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FE" w:rsidRPr="007C3FE1" w:rsidRDefault="00AB6EFE" w:rsidP="00AB6EFE">
      <w:pPr>
        <w:jc w:val="center"/>
        <w:rPr>
          <w:caps/>
        </w:rPr>
      </w:pPr>
      <w:r w:rsidRPr="007C3FE1">
        <w:rPr>
          <w:b/>
          <w:caps/>
          <w:u w:val="single"/>
        </w:rPr>
        <w:t>Explanatory Statement</w:t>
      </w:r>
    </w:p>
    <w:p w:rsidR="00AB6EFE" w:rsidRPr="007C3FE1" w:rsidRDefault="00AB6EFE" w:rsidP="00AB6EFE"/>
    <w:p w:rsidR="00AB6EFE" w:rsidRPr="007C3FE1" w:rsidRDefault="00AB6EFE" w:rsidP="00AB6EFE">
      <w:pPr>
        <w:jc w:val="center"/>
      </w:pPr>
      <w:r w:rsidRPr="007C3FE1">
        <w:t>Issued by the Authority of the Minister for Health</w:t>
      </w:r>
    </w:p>
    <w:p w:rsidR="00AB6EFE" w:rsidRPr="007C3FE1" w:rsidRDefault="00AB6EFE" w:rsidP="00AB6EFE">
      <w:pPr>
        <w:jc w:val="center"/>
      </w:pPr>
    </w:p>
    <w:p w:rsidR="00AB6EFE" w:rsidRPr="007C3FE1" w:rsidRDefault="00AB6EFE" w:rsidP="00AB6EFE">
      <w:pPr>
        <w:jc w:val="center"/>
      </w:pPr>
      <w:r w:rsidRPr="007C3FE1">
        <w:rPr>
          <w:i/>
        </w:rPr>
        <w:t>Health Insurance Act 1973</w:t>
      </w:r>
    </w:p>
    <w:p w:rsidR="00AB6EFE" w:rsidRPr="007C3FE1" w:rsidRDefault="00AB6EFE" w:rsidP="00AB6EFE">
      <w:pPr>
        <w:jc w:val="center"/>
      </w:pPr>
    </w:p>
    <w:p w:rsidR="00AB6EFE" w:rsidRDefault="00121982" w:rsidP="00121982">
      <w:pPr>
        <w:jc w:val="center"/>
        <w:rPr>
          <w:i/>
          <w:iCs/>
          <w:color w:val="000000"/>
          <w:lang w:eastAsia="en-AU"/>
        </w:rPr>
      </w:pPr>
      <w:r w:rsidRPr="001022DF">
        <w:rPr>
          <w:i/>
          <w:iCs/>
          <w:color w:val="000000"/>
          <w:lang w:eastAsia="en-AU"/>
        </w:rPr>
        <w:t>Health Insurance (Allied Health Services) Amendment (Other Medical Practitioner) Determination 2018</w:t>
      </w:r>
    </w:p>
    <w:p w:rsidR="00121982" w:rsidRPr="00D4077A" w:rsidRDefault="00121982" w:rsidP="00AB6EFE"/>
    <w:p w:rsidR="00AB6EFE" w:rsidRPr="00D4077A" w:rsidRDefault="00AB6EFE" w:rsidP="0097323E">
      <w:pPr>
        <w:spacing w:after="240"/>
      </w:pPr>
      <w:r w:rsidRPr="00D4077A">
        <w:t xml:space="preserve">Subsection 3C(1) of the </w:t>
      </w:r>
      <w:r w:rsidRPr="00D4077A">
        <w:rPr>
          <w:i/>
        </w:rPr>
        <w:t>Health Insurance Act 1973</w:t>
      </w:r>
      <w:r w:rsidRPr="00D4077A">
        <w:t xml:space="preserve"> (the Act) provides that the Minister may determine in writing that a health service not specified in an item i</w:t>
      </w:r>
      <w:bookmarkStart w:id="0" w:name="_GoBack"/>
      <w:bookmarkEnd w:id="0"/>
      <w:r w:rsidRPr="00D4077A">
        <w:t>n the general medical services table (the Table) shall, in specified circumstances and for the purpose of specified statutory provisions, be treated as if i</w:t>
      </w:r>
      <w:r w:rsidR="00121982">
        <w:t xml:space="preserve">t were specified in the Table. </w:t>
      </w:r>
      <w:r w:rsidRPr="00D4077A">
        <w:t xml:space="preserve">This Table is set out in the </w:t>
      </w:r>
      <w:r w:rsidRPr="00D4077A">
        <w:rPr>
          <w:i/>
        </w:rPr>
        <w:t xml:space="preserve">Health Insurance (General Medical Services Table) Regulation, </w:t>
      </w:r>
      <w:r w:rsidRPr="00D4077A">
        <w:t>which is re-made each year.</w:t>
      </w:r>
    </w:p>
    <w:p w:rsidR="007C7DCE" w:rsidRDefault="007C7DCE" w:rsidP="00307FD3">
      <w:pPr>
        <w:rPr>
          <w:b/>
        </w:rPr>
      </w:pPr>
      <w:r>
        <w:rPr>
          <w:b/>
        </w:rPr>
        <w:t>Purpose</w:t>
      </w:r>
    </w:p>
    <w:p w:rsidR="00FF2550" w:rsidRPr="007C7DCE" w:rsidRDefault="00FF2550" w:rsidP="007C7DCE">
      <w:pPr>
        <w:spacing w:after="240"/>
        <w:rPr>
          <w:b/>
          <w:highlight w:val="yellow"/>
        </w:rPr>
      </w:pPr>
      <w:r w:rsidRPr="00D4077A">
        <w:t xml:space="preserve">The </w:t>
      </w:r>
      <w:r w:rsidR="00D15C0F" w:rsidRPr="00D4077A">
        <w:rPr>
          <w:i/>
        </w:rPr>
        <w:t>Health Insurance (Allied Health Services) Determination 2014</w:t>
      </w:r>
      <w:r w:rsidR="00D15C0F">
        <w:rPr>
          <w:i/>
        </w:rPr>
        <w:t xml:space="preserve"> </w:t>
      </w:r>
      <w:r w:rsidR="00D15C0F" w:rsidRPr="00D15C0F">
        <w:t>(</w:t>
      </w:r>
      <w:r w:rsidR="001F1552">
        <w:t xml:space="preserve">the </w:t>
      </w:r>
      <w:r w:rsidRPr="00D15C0F">
        <w:t>Principal Determination</w:t>
      </w:r>
      <w:r w:rsidR="00D15C0F" w:rsidRPr="00D15C0F">
        <w:t>)</w:t>
      </w:r>
      <w:r w:rsidRPr="00D4077A">
        <w:t xml:space="preserve"> sets out items that may be provided as Medicare-eligible services by appropriately qualified allied health professionals, including but not limited to psychologists, osteopaths, chiropractors, physiotherapists and audiologists.</w:t>
      </w:r>
      <w:r w:rsidR="00D15C0F">
        <w:t xml:space="preserve"> To access these services patients must be referred by a medical practitioner.</w:t>
      </w:r>
    </w:p>
    <w:p w:rsidR="00D15C0F" w:rsidRDefault="00AB6EFE" w:rsidP="0057685F">
      <w:pPr>
        <w:spacing w:after="240"/>
        <w:ind w:right="-540"/>
      </w:pPr>
      <w:r w:rsidRPr="00D4077A">
        <w:t xml:space="preserve">The purpose of the </w:t>
      </w:r>
      <w:r w:rsidR="00121982" w:rsidRPr="00121982">
        <w:rPr>
          <w:i/>
          <w:iCs/>
          <w:color w:val="000000"/>
          <w:lang w:eastAsia="en-AU"/>
        </w:rPr>
        <w:t xml:space="preserve">Health Insurance (Allied Health Services) Amendment (Other Medical Practitioner) Determination 2018 </w:t>
      </w:r>
      <w:r w:rsidRPr="00D4077A">
        <w:t xml:space="preserve">(the </w:t>
      </w:r>
      <w:r w:rsidR="00212623" w:rsidRPr="00D4077A">
        <w:t xml:space="preserve">Amendment </w:t>
      </w:r>
      <w:r w:rsidRPr="00D4077A">
        <w:t xml:space="preserve">Determination) is to amend the </w:t>
      </w:r>
      <w:r w:rsidR="00121982">
        <w:t>Principal Determination</w:t>
      </w:r>
      <w:r w:rsidR="0057685F">
        <w:t xml:space="preserve"> to</w:t>
      </w:r>
      <w:r w:rsidR="00D15C0F">
        <w:t xml:space="preserve"> </w:t>
      </w:r>
      <w:r w:rsidR="00D15C0F" w:rsidRPr="00D15C0F">
        <w:t>allow doctors working in general practice without post-graduate training to continue referring patients for Medicare-eligible allied health services.</w:t>
      </w:r>
      <w:r w:rsidR="00AF60DC">
        <w:t xml:space="preserve"> This is a consequential change as a result of the 1 July 2018 changes to Medicare general practice services made through the </w:t>
      </w:r>
      <w:r w:rsidR="00AF60DC" w:rsidRPr="001022DF">
        <w:rPr>
          <w:i/>
        </w:rPr>
        <w:t>Health Insurance (Section 3C General Medical Services – Other Medical Practitioner) Determination 2018</w:t>
      </w:r>
      <w:r w:rsidR="00AF60DC">
        <w:t>.</w:t>
      </w:r>
    </w:p>
    <w:p w:rsidR="00307FD3" w:rsidRDefault="0057685F" w:rsidP="0057685F">
      <w:pPr>
        <w:spacing w:after="240"/>
        <w:ind w:right="-540"/>
      </w:pPr>
      <w:r>
        <w:t xml:space="preserve">In addition, the Amendment Determination updates the applicable practice standards for mental health workers to refer to the </w:t>
      </w:r>
      <w:r w:rsidRPr="0046255C">
        <w:rPr>
          <w:i/>
        </w:rPr>
        <w:t>Practice Standards for Mental Health Social Workers 2014</w:t>
      </w:r>
      <w:r>
        <w:t xml:space="preserve">, and provides </w:t>
      </w:r>
      <w:r w:rsidR="00277B1F">
        <w:t>transitional provisions in relation to certificates issued relating to practice standards that applied the previous standards.</w:t>
      </w:r>
    </w:p>
    <w:p w:rsidR="00307FD3" w:rsidRPr="00121982" w:rsidRDefault="00307FD3" w:rsidP="00307FD3">
      <w:pPr>
        <w:rPr>
          <w:b/>
          <w:highlight w:val="yellow"/>
        </w:rPr>
      </w:pPr>
      <w:r w:rsidRPr="001022DF">
        <w:rPr>
          <w:b/>
        </w:rPr>
        <w:t>Consultation</w:t>
      </w:r>
    </w:p>
    <w:p w:rsidR="00307FD3" w:rsidRPr="001022DF" w:rsidRDefault="00307FD3" w:rsidP="00307FD3">
      <w:pPr>
        <w:spacing w:after="240"/>
      </w:pPr>
      <w:r>
        <w:t xml:space="preserve">No consultation was undertaken on the creation of the Amendment Determination as the amendments are consequential in nature. Consultation was undertaken in relation to the creation of the </w:t>
      </w:r>
      <w:r w:rsidRPr="001022DF">
        <w:rPr>
          <w:i/>
        </w:rPr>
        <w:t>Health Insurance (Section 3C General Medical Services – Other Medical Practitioner) Determination 2018</w:t>
      </w:r>
      <w:r w:rsidRPr="006950C6">
        <w:t xml:space="preserve">. </w:t>
      </w:r>
      <w:r>
        <w:t>Details on the consultation for these instruments can be found in the explanatory statements for these instruments.</w:t>
      </w:r>
    </w:p>
    <w:p w:rsidR="00AB6EFE" w:rsidRPr="00121982" w:rsidRDefault="00AB6EFE" w:rsidP="0097323E">
      <w:pPr>
        <w:spacing w:after="240"/>
        <w:ind w:right="-540"/>
      </w:pPr>
      <w:r w:rsidRPr="00121982">
        <w:t xml:space="preserve">Details of the </w:t>
      </w:r>
      <w:r w:rsidR="00212623" w:rsidRPr="00121982">
        <w:t xml:space="preserve">Amendment Determination </w:t>
      </w:r>
      <w:r w:rsidRPr="00121982">
        <w:t xml:space="preserve">are set out in the Attachment. </w:t>
      </w:r>
    </w:p>
    <w:p w:rsidR="00AB6EFE" w:rsidRPr="00121982" w:rsidRDefault="00AB6EFE" w:rsidP="0097323E">
      <w:pPr>
        <w:spacing w:after="240"/>
        <w:ind w:right="-540"/>
      </w:pPr>
      <w:r w:rsidRPr="00121982">
        <w:t xml:space="preserve">The Act specifies no conditions which need to be met before the power to make the </w:t>
      </w:r>
      <w:r w:rsidR="00212623" w:rsidRPr="00121982">
        <w:t>Amendment Determination</w:t>
      </w:r>
      <w:r w:rsidRPr="00121982">
        <w:t xml:space="preserve"> may be exercised.</w:t>
      </w:r>
    </w:p>
    <w:p w:rsidR="00AB6EFE" w:rsidRPr="00121982" w:rsidRDefault="00AB6EFE" w:rsidP="0097323E">
      <w:pPr>
        <w:spacing w:after="240"/>
        <w:rPr>
          <w:i/>
        </w:rPr>
      </w:pPr>
      <w:r w:rsidRPr="00121982">
        <w:t xml:space="preserve">This </w:t>
      </w:r>
      <w:r w:rsidR="00212623" w:rsidRPr="00121982">
        <w:t>Amendment Determination</w:t>
      </w:r>
      <w:r w:rsidRPr="00121982">
        <w:t xml:space="preserve"> is a legislative instrument for the purposes of the </w:t>
      </w:r>
      <w:r w:rsidRPr="00121982">
        <w:rPr>
          <w:i/>
        </w:rPr>
        <w:t>Legislati</w:t>
      </w:r>
      <w:r w:rsidR="005236A5" w:rsidRPr="00121982">
        <w:rPr>
          <w:i/>
        </w:rPr>
        <w:t>on</w:t>
      </w:r>
      <w:r w:rsidRPr="00121982">
        <w:rPr>
          <w:i/>
        </w:rPr>
        <w:t xml:space="preserve"> Act 2003.</w:t>
      </w:r>
    </w:p>
    <w:p w:rsidR="00AB6EFE" w:rsidRPr="001022DF" w:rsidRDefault="00AB6EFE" w:rsidP="0097323E">
      <w:pPr>
        <w:spacing w:after="240"/>
      </w:pPr>
      <w:r w:rsidRPr="001022DF">
        <w:lastRenderedPageBreak/>
        <w:t xml:space="preserve">This </w:t>
      </w:r>
      <w:r w:rsidR="00212623" w:rsidRPr="001022DF">
        <w:t>Amendment Determination</w:t>
      </w:r>
      <w:r w:rsidRPr="001022DF">
        <w:t xml:space="preserve"> </w:t>
      </w:r>
      <w:r w:rsidR="001022DF" w:rsidRPr="001022DF">
        <w:t xml:space="preserve">commences immediately after the commencement of the </w:t>
      </w:r>
      <w:r w:rsidR="007C7DCE" w:rsidRPr="001022DF">
        <w:rPr>
          <w:i/>
        </w:rPr>
        <w:t>Health Insurance (Section 3C General Medical Services – Other Medical Practitioner) Determination 2018</w:t>
      </w:r>
      <w:r w:rsidR="001022DF">
        <w:t>.</w:t>
      </w:r>
    </w:p>
    <w:p w:rsidR="00307FD3" w:rsidRDefault="00307FD3" w:rsidP="0097323E">
      <w:pPr>
        <w:spacing w:after="240"/>
      </w:pPr>
    </w:p>
    <w:p w:rsidR="00307FD3" w:rsidRDefault="00307FD3" w:rsidP="00307FD3">
      <w:pPr>
        <w:shd w:val="clear" w:color="auto" w:fill="FFFFFF"/>
        <w:ind w:left="6663" w:hanging="1843"/>
        <w:rPr>
          <w:lang w:val="en-US"/>
        </w:rPr>
      </w:pPr>
      <w:r>
        <w:rPr>
          <w:u w:val="single"/>
        </w:rPr>
        <w:t>Authority</w:t>
      </w:r>
      <w:r>
        <w:t xml:space="preserve">:     Subsection </w:t>
      </w:r>
      <w:proofErr w:type="gramStart"/>
      <w:r>
        <w:t>3C(</w:t>
      </w:r>
      <w:proofErr w:type="gramEnd"/>
      <w:r>
        <w:t xml:space="preserve">1) of the </w:t>
      </w:r>
    </w:p>
    <w:p w:rsidR="00307FD3" w:rsidRDefault="00307FD3" w:rsidP="00307FD3">
      <w:pPr>
        <w:shd w:val="clear" w:color="auto" w:fill="FFFFFF"/>
        <w:rPr>
          <w:lang w:val="en-US"/>
        </w:rPr>
      </w:pPr>
      <w:r>
        <w:rPr>
          <w:i/>
          <w:iCs/>
        </w:rPr>
        <w:t xml:space="preserve">                                                                                </w:t>
      </w:r>
      <w:r>
        <w:rPr>
          <w:i/>
          <w:iCs/>
        </w:rPr>
        <w:tab/>
      </w:r>
      <w:r>
        <w:rPr>
          <w:i/>
          <w:iCs/>
        </w:rPr>
        <w:tab/>
        <w:t xml:space="preserve">      Health Insurance Act 1973</w:t>
      </w:r>
      <w:r>
        <w:t xml:space="preserve"> </w:t>
      </w:r>
    </w:p>
    <w:p w:rsidR="008A137C" w:rsidRPr="00D4077A" w:rsidRDefault="008A137C" w:rsidP="0097323E">
      <w:pPr>
        <w:spacing w:after="240"/>
      </w:pPr>
      <w:r w:rsidRPr="00D4077A">
        <w:br w:type="page"/>
      </w:r>
    </w:p>
    <w:p w:rsidR="00AB6EFE" w:rsidRPr="001022DF" w:rsidRDefault="00D563D4" w:rsidP="0097323E">
      <w:pPr>
        <w:pStyle w:val="Heading3"/>
        <w:spacing w:before="0" w:after="240"/>
        <w:jc w:val="right"/>
        <w:rPr>
          <w:rFonts w:cs="Times New Roman"/>
          <w:lang w:val="en-AU"/>
        </w:rPr>
      </w:pPr>
      <w:r w:rsidRPr="001022DF">
        <w:rPr>
          <w:rFonts w:cs="Times New Roman"/>
          <w:lang w:val="en-AU"/>
        </w:rPr>
        <w:lastRenderedPageBreak/>
        <w:t>ATTACHMENT</w:t>
      </w:r>
    </w:p>
    <w:p w:rsidR="00AB6EFE" w:rsidRPr="001022DF" w:rsidRDefault="005C6F48" w:rsidP="0097323E">
      <w:pPr>
        <w:pStyle w:val="Heading3"/>
        <w:spacing w:before="0" w:after="240"/>
        <w:rPr>
          <w:rFonts w:cs="Times New Roman"/>
          <w:i/>
          <w:u w:val="single"/>
          <w:lang w:val="en-AU"/>
        </w:rPr>
      </w:pPr>
      <w:r w:rsidRPr="001022DF">
        <w:rPr>
          <w:rFonts w:cs="Times New Roman"/>
          <w:u w:val="single"/>
          <w:lang w:val="en-AU"/>
        </w:rPr>
        <w:t>Details of</w:t>
      </w:r>
      <w:r w:rsidR="00D563D4" w:rsidRPr="001022DF">
        <w:rPr>
          <w:rFonts w:cs="Times New Roman"/>
          <w:u w:val="single"/>
          <w:lang w:val="en-AU"/>
        </w:rPr>
        <w:t xml:space="preserve"> the</w:t>
      </w:r>
      <w:r w:rsidRPr="001022DF">
        <w:rPr>
          <w:rFonts w:cs="Times New Roman"/>
          <w:u w:val="single"/>
          <w:lang w:val="en-AU"/>
        </w:rPr>
        <w:t xml:space="preserve"> </w:t>
      </w:r>
      <w:r w:rsidR="001022DF" w:rsidRPr="001022DF">
        <w:rPr>
          <w:rFonts w:cs="Times New Roman"/>
          <w:i/>
          <w:u w:val="single"/>
          <w:lang w:val="en-AU"/>
        </w:rPr>
        <w:t>Health Insurance (Allied Health Services) Amendment (Other Medical Practitioner) Determination 2018</w:t>
      </w:r>
    </w:p>
    <w:p w:rsidR="00AB6EFE" w:rsidRPr="001022DF" w:rsidRDefault="00AB6EFE" w:rsidP="0097323E">
      <w:pPr>
        <w:spacing w:after="240"/>
        <w:rPr>
          <w:b/>
        </w:rPr>
      </w:pPr>
      <w:r w:rsidRPr="001022DF">
        <w:rPr>
          <w:b/>
        </w:rPr>
        <w:t>Section 1 – Name of Determination</w:t>
      </w:r>
    </w:p>
    <w:p w:rsidR="00AB6EFE" w:rsidRDefault="00AB6EFE" w:rsidP="001022DF">
      <w:r w:rsidRPr="001022DF">
        <w:t xml:space="preserve">Section 1 provides that the name of the Determination is the </w:t>
      </w:r>
      <w:r w:rsidR="001022DF" w:rsidRPr="001022DF">
        <w:rPr>
          <w:i/>
          <w:iCs/>
          <w:color w:val="000000"/>
          <w:lang w:eastAsia="en-AU"/>
        </w:rPr>
        <w:t xml:space="preserve">Health Insurance (Allied Health Services) Amendment (Other Medical Practitioner) Determination 2018 </w:t>
      </w:r>
      <w:r w:rsidRPr="001022DF">
        <w:t xml:space="preserve">(the </w:t>
      </w:r>
      <w:r w:rsidR="00212623" w:rsidRPr="001022DF">
        <w:t>Amendment Determination</w:t>
      </w:r>
      <w:r w:rsidRPr="001022DF">
        <w:t xml:space="preserve">).  </w:t>
      </w:r>
    </w:p>
    <w:p w:rsidR="001022DF" w:rsidRPr="001022DF" w:rsidRDefault="001022DF" w:rsidP="001022DF">
      <w:pPr>
        <w:rPr>
          <w:i/>
          <w:iCs/>
          <w:color w:val="000000"/>
          <w:lang w:eastAsia="en-AU"/>
        </w:rPr>
      </w:pPr>
    </w:p>
    <w:p w:rsidR="00AB6EFE" w:rsidRPr="001022DF" w:rsidRDefault="00AB6EFE" w:rsidP="0097323E">
      <w:pPr>
        <w:spacing w:after="240"/>
        <w:rPr>
          <w:b/>
        </w:rPr>
      </w:pPr>
      <w:r w:rsidRPr="001022DF">
        <w:rPr>
          <w:b/>
        </w:rPr>
        <w:t xml:space="preserve">Section 2 </w:t>
      </w:r>
      <w:r w:rsidR="004A4FE5" w:rsidRPr="001022DF">
        <w:rPr>
          <w:b/>
        </w:rPr>
        <w:t>–</w:t>
      </w:r>
      <w:r w:rsidRPr="001022DF">
        <w:rPr>
          <w:b/>
        </w:rPr>
        <w:t xml:space="preserve"> Commencement</w:t>
      </w:r>
    </w:p>
    <w:p w:rsidR="00AB6EFE" w:rsidRPr="001022DF" w:rsidRDefault="00AB6EFE" w:rsidP="0097323E">
      <w:pPr>
        <w:spacing w:after="240"/>
      </w:pPr>
      <w:r w:rsidRPr="001022DF">
        <w:t xml:space="preserve">Section 2 provides that the </w:t>
      </w:r>
      <w:r w:rsidR="00212623" w:rsidRPr="001022DF">
        <w:t xml:space="preserve">Amendment Determination </w:t>
      </w:r>
      <w:r w:rsidRPr="001022DF">
        <w:t xml:space="preserve">commences </w:t>
      </w:r>
      <w:r w:rsidR="001022DF" w:rsidRPr="001022DF">
        <w:t xml:space="preserve">immediately after the commencement of the </w:t>
      </w:r>
      <w:r w:rsidR="006950C6" w:rsidRPr="001022DF">
        <w:rPr>
          <w:i/>
        </w:rPr>
        <w:t>Health Insurance (Section 3C General Medical Services – Other Medical Practitioner) Determination 2018</w:t>
      </w:r>
      <w:r w:rsidRPr="001022DF">
        <w:t xml:space="preserve">. </w:t>
      </w:r>
    </w:p>
    <w:p w:rsidR="00AB6EFE" w:rsidRPr="001022DF" w:rsidRDefault="00AB6EFE" w:rsidP="0097323E">
      <w:pPr>
        <w:spacing w:after="240"/>
        <w:rPr>
          <w:b/>
        </w:rPr>
      </w:pPr>
      <w:r w:rsidRPr="001022DF">
        <w:rPr>
          <w:b/>
        </w:rPr>
        <w:t xml:space="preserve">Section 3 </w:t>
      </w:r>
      <w:r w:rsidR="004A4FE5" w:rsidRPr="001022DF">
        <w:rPr>
          <w:b/>
        </w:rPr>
        <w:t>–</w:t>
      </w:r>
      <w:r w:rsidRPr="001022DF">
        <w:rPr>
          <w:b/>
        </w:rPr>
        <w:t xml:space="preserve"> Authority</w:t>
      </w:r>
    </w:p>
    <w:p w:rsidR="00AB6EFE" w:rsidRPr="001022DF" w:rsidRDefault="00AB6EFE" w:rsidP="0097323E">
      <w:pPr>
        <w:spacing w:after="240"/>
      </w:pPr>
      <w:r w:rsidRPr="001022DF">
        <w:t xml:space="preserve">Section 3 provides that the </w:t>
      </w:r>
      <w:r w:rsidR="00212623" w:rsidRPr="001022DF">
        <w:t>Amendment Determination</w:t>
      </w:r>
      <w:r w:rsidRPr="001022DF">
        <w:t xml:space="preserve"> is made under </w:t>
      </w:r>
      <w:r w:rsidR="00573E9B" w:rsidRPr="001022DF">
        <w:t>s</w:t>
      </w:r>
      <w:r w:rsidR="00277B1F">
        <w:t>ubs</w:t>
      </w:r>
      <w:r w:rsidR="00573E9B" w:rsidRPr="001022DF">
        <w:t>ection 3C</w:t>
      </w:r>
      <w:r w:rsidR="00277B1F">
        <w:t>(1)</w:t>
      </w:r>
      <w:r w:rsidR="00573E9B" w:rsidRPr="001022DF">
        <w:t xml:space="preserve"> of </w:t>
      </w:r>
      <w:r w:rsidRPr="001022DF">
        <w:t xml:space="preserve">the </w:t>
      </w:r>
      <w:r w:rsidRPr="001022DF">
        <w:rPr>
          <w:i/>
        </w:rPr>
        <w:t>Health Insurance Act 1973</w:t>
      </w:r>
      <w:r w:rsidRPr="001022DF">
        <w:t xml:space="preserve">. </w:t>
      </w:r>
    </w:p>
    <w:p w:rsidR="00AB6EFE" w:rsidRPr="001022DF" w:rsidRDefault="00AB6EFE" w:rsidP="0097323E">
      <w:pPr>
        <w:spacing w:after="240"/>
        <w:rPr>
          <w:b/>
        </w:rPr>
      </w:pPr>
      <w:r w:rsidRPr="001022DF">
        <w:rPr>
          <w:b/>
        </w:rPr>
        <w:t xml:space="preserve">Section 4 – </w:t>
      </w:r>
      <w:r w:rsidR="00573E9B" w:rsidRPr="001022DF">
        <w:rPr>
          <w:b/>
        </w:rPr>
        <w:t>Schedules</w:t>
      </w:r>
    </w:p>
    <w:p w:rsidR="00AB6EFE" w:rsidRPr="001022DF" w:rsidRDefault="00AB6EFE" w:rsidP="0097323E">
      <w:pPr>
        <w:spacing w:after="240"/>
      </w:pPr>
      <w:r w:rsidRPr="001022DF">
        <w:t xml:space="preserve">Section 4 provides that the Schedule to the </w:t>
      </w:r>
      <w:r w:rsidR="004A4FE5" w:rsidRPr="001022DF">
        <w:t xml:space="preserve">Amendment </w:t>
      </w:r>
      <w:r w:rsidRPr="001022DF">
        <w:t xml:space="preserve">Determination </w:t>
      </w:r>
      <w:r w:rsidR="00277B1F">
        <w:t xml:space="preserve">is amended or repealed as set out in the applicable items in the Schedule concerned, and any other item in a Schedule to this instrument has effect according to its terms. </w:t>
      </w:r>
      <w:r w:rsidRPr="001022DF">
        <w:t xml:space="preserve"> </w:t>
      </w:r>
    </w:p>
    <w:p w:rsidR="00277B1F" w:rsidRDefault="00277B1F">
      <w:pPr>
        <w:spacing w:after="200" w:line="276" w:lineRule="auto"/>
        <w:rPr>
          <w:b/>
        </w:rPr>
      </w:pPr>
      <w:r>
        <w:rPr>
          <w:b/>
        </w:rPr>
        <w:br w:type="page"/>
      </w:r>
    </w:p>
    <w:p w:rsidR="00AB6EFE" w:rsidRPr="001022DF" w:rsidRDefault="00AB6EFE" w:rsidP="0097323E">
      <w:pPr>
        <w:spacing w:after="240"/>
        <w:rPr>
          <w:b/>
        </w:rPr>
      </w:pPr>
      <w:r w:rsidRPr="001022DF">
        <w:rPr>
          <w:b/>
        </w:rPr>
        <w:lastRenderedPageBreak/>
        <w:t xml:space="preserve">Schedule </w:t>
      </w:r>
      <w:r w:rsidR="00573E9B" w:rsidRPr="001022DF">
        <w:rPr>
          <w:b/>
        </w:rPr>
        <w:t xml:space="preserve">1 </w:t>
      </w:r>
      <w:r w:rsidR="004A4FE5" w:rsidRPr="001022DF">
        <w:rPr>
          <w:b/>
        </w:rPr>
        <w:t>–</w:t>
      </w:r>
      <w:r w:rsidRPr="001022DF">
        <w:rPr>
          <w:b/>
        </w:rPr>
        <w:t xml:space="preserve"> Amendment</w:t>
      </w:r>
      <w:r w:rsidR="00045E91" w:rsidRPr="001022DF">
        <w:rPr>
          <w:b/>
        </w:rPr>
        <w:t>s</w:t>
      </w:r>
    </w:p>
    <w:p w:rsidR="00277B1F" w:rsidRDefault="00277B1F" w:rsidP="0097323E">
      <w:pPr>
        <w:spacing w:after="240"/>
        <w:rPr>
          <w:b/>
        </w:rPr>
      </w:pPr>
      <w:r w:rsidRPr="00D4077A">
        <w:rPr>
          <w:i/>
        </w:rPr>
        <w:t>Health Insurance (Allied Health Services) Determination 2014</w:t>
      </w:r>
    </w:p>
    <w:p w:rsidR="00AB6EFE" w:rsidRPr="001022DF" w:rsidRDefault="00AB6EFE" w:rsidP="0097323E">
      <w:pPr>
        <w:spacing w:after="240"/>
        <w:rPr>
          <w:b/>
        </w:rPr>
      </w:pPr>
      <w:r w:rsidRPr="001022DF">
        <w:rPr>
          <w:b/>
        </w:rPr>
        <w:t xml:space="preserve">Item 1 – </w:t>
      </w:r>
      <w:r w:rsidR="001022DF" w:rsidRPr="001022DF">
        <w:rPr>
          <w:b/>
        </w:rPr>
        <w:t xml:space="preserve">Subsection 4(1) </w:t>
      </w:r>
      <w:r w:rsidR="00277B1F">
        <w:rPr>
          <w:b/>
        </w:rPr>
        <w:t>(</w:t>
      </w:r>
      <w:r w:rsidR="00277B1F" w:rsidRPr="006D06F9">
        <w:rPr>
          <w:b/>
        </w:rPr>
        <w:t>definition of</w:t>
      </w:r>
      <w:r w:rsidR="00277B1F">
        <w:rPr>
          <w:b/>
        </w:rPr>
        <w:t xml:space="preserve"> </w:t>
      </w:r>
      <w:r w:rsidR="001022DF" w:rsidRPr="00F214D8">
        <w:rPr>
          <w:b/>
          <w:i/>
        </w:rPr>
        <w:t>GP Management Plan</w:t>
      </w:r>
      <w:r w:rsidR="00277B1F">
        <w:rPr>
          <w:b/>
        </w:rPr>
        <w:t>)</w:t>
      </w:r>
    </w:p>
    <w:p w:rsidR="00FF6BBD" w:rsidRPr="004E5CCA" w:rsidRDefault="00573E9B" w:rsidP="00404F00">
      <w:pPr>
        <w:spacing w:after="240"/>
      </w:pPr>
      <w:r w:rsidRPr="00404F00">
        <w:t xml:space="preserve">Item 1 </w:t>
      </w:r>
      <w:r w:rsidR="00793DD4">
        <w:t xml:space="preserve">repeals </w:t>
      </w:r>
      <w:r w:rsidR="00AF60DC">
        <w:t xml:space="preserve">the </w:t>
      </w:r>
      <w:r w:rsidR="00277B1F">
        <w:t xml:space="preserve">definition of </w:t>
      </w:r>
      <w:r w:rsidR="00793DD4">
        <w:t>the term “</w:t>
      </w:r>
      <w:r w:rsidR="00277B1F" w:rsidRPr="00F214D8">
        <w:rPr>
          <w:b/>
          <w:i/>
        </w:rPr>
        <w:t>GP Management Plan</w:t>
      </w:r>
      <w:r w:rsidR="00793DD4">
        <w:t>”</w:t>
      </w:r>
      <w:r w:rsidR="00277B1F">
        <w:t xml:space="preserve"> </w:t>
      </w:r>
      <w:r w:rsidR="00EE13CF">
        <w:t xml:space="preserve">in subsection 4(1) </w:t>
      </w:r>
      <w:r w:rsidR="00277B1F">
        <w:t xml:space="preserve">and substitutes a new definition that includes </w:t>
      </w:r>
      <w:r w:rsidR="00404F00" w:rsidRPr="00404F00">
        <w:t>reference</w:t>
      </w:r>
      <w:r w:rsidR="00277B1F">
        <w:t>s</w:t>
      </w:r>
      <w:r w:rsidR="00404F00" w:rsidRPr="00404F00">
        <w:t xml:space="preserve"> to newly listed items 229 and 233 of the </w:t>
      </w:r>
      <w:r w:rsidR="00404F00" w:rsidRPr="00EE13CF">
        <w:rPr>
          <w:i/>
        </w:rPr>
        <w:t>Health Insurance (Section 3C General Medical Services – Other Medical Practitioner) Determination 2018</w:t>
      </w:r>
      <w:r w:rsidR="00277B1F">
        <w:rPr>
          <w:i/>
        </w:rPr>
        <w:t xml:space="preserve"> </w:t>
      </w:r>
      <w:r w:rsidR="00277B1F" w:rsidRPr="00F214D8">
        <w:t>(Section 3C OMP Determination</w:t>
      </w:r>
      <w:r w:rsidR="00277B1F">
        <w:rPr>
          <w:i/>
        </w:rPr>
        <w:t>)</w:t>
      </w:r>
      <w:r w:rsidR="00404F00" w:rsidRPr="00404F00">
        <w:t>.</w:t>
      </w:r>
      <w:r w:rsidR="00404F00" w:rsidRPr="00404F00">
        <w:rPr>
          <w:i/>
        </w:rPr>
        <w:t xml:space="preserve"> </w:t>
      </w:r>
    </w:p>
    <w:p w:rsidR="00045E91" w:rsidRPr="005F1F57" w:rsidRDefault="00045E91" w:rsidP="0097323E">
      <w:pPr>
        <w:spacing w:after="240"/>
      </w:pPr>
      <w:r w:rsidRPr="00404F00">
        <w:rPr>
          <w:b/>
        </w:rPr>
        <w:t xml:space="preserve">Item 2 – </w:t>
      </w:r>
      <w:r w:rsidR="00404F00" w:rsidRPr="00404F00">
        <w:rPr>
          <w:b/>
        </w:rPr>
        <w:t xml:space="preserve">Subsection 4(1) </w:t>
      </w:r>
      <w:r w:rsidR="00277B1F">
        <w:rPr>
          <w:b/>
        </w:rPr>
        <w:t>(</w:t>
      </w:r>
      <w:r w:rsidR="00277B1F" w:rsidRPr="006D06F9">
        <w:rPr>
          <w:b/>
        </w:rPr>
        <w:t>definition of</w:t>
      </w:r>
      <w:r w:rsidR="00277B1F" w:rsidRPr="005F1F57">
        <w:t xml:space="preserve"> </w:t>
      </w:r>
      <w:r w:rsidR="00404F00" w:rsidRPr="00404F00">
        <w:rPr>
          <w:b/>
          <w:i/>
        </w:rPr>
        <w:t>GP Mental Health Treatment Plan</w:t>
      </w:r>
      <w:r w:rsidR="00277B1F" w:rsidRPr="005F1F57">
        <w:rPr>
          <w:b/>
        </w:rPr>
        <w:t>)</w:t>
      </w:r>
    </w:p>
    <w:p w:rsidR="00CA5A8F" w:rsidRPr="00CA5A8F" w:rsidRDefault="00CA5A8F" w:rsidP="0097323E">
      <w:pPr>
        <w:spacing w:after="240"/>
      </w:pPr>
      <w:r w:rsidRPr="00CA5A8F">
        <w:t xml:space="preserve">Item 2 </w:t>
      </w:r>
      <w:r w:rsidR="00A76BCB">
        <w:t>repeals p</w:t>
      </w:r>
      <w:r w:rsidR="006D06F9">
        <w:t xml:space="preserve">aragraph (b) of the definition </w:t>
      </w:r>
      <w:r w:rsidR="00793DD4">
        <w:t>of the term “</w:t>
      </w:r>
      <w:r w:rsidR="00793DD4" w:rsidRPr="00404F00">
        <w:rPr>
          <w:b/>
          <w:i/>
        </w:rPr>
        <w:t>GP Mental Health Treatment Plan</w:t>
      </w:r>
      <w:r w:rsidR="00793DD4" w:rsidRPr="005F1F57">
        <w:t>”</w:t>
      </w:r>
      <w:r w:rsidR="00793DD4" w:rsidRPr="00793DD4">
        <w:t xml:space="preserve"> </w:t>
      </w:r>
      <w:r w:rsidR="00EE13CF">
        <w:t xml:space="preserve">in subsection 4(1) </w:t>
      </w:r>
      <w:r w:rsidR="00A76BCB">
        <w:t xml:space="preserve">and substitutes </w:t>
      </w:r>
      <w:r w:rsidR="00AF60DC">
        <w:t xml:space="preserve">with </w:t>
      </w:r>
      <w:r w:rsidR="00A76BCB">
        <w:t xml:space="preserve">a new definition that includes </w:t>
      </w:r>
      <w:r w:rsidRPr="00CA5A8F">
        <w:t>reference</w:t>
      </w:r>
      <w:r w:rsidR="00793DD4">
        <w:t>s</w:t>
      </w:r>
      <w:r w:rsidRPr="00CA5A8F">
        <w:t xml:space="preserve"> to newly listed items </w:t>
      </w:r>
      <w:r w:rsidR="004E5CCA">
        <w:t>272, 276, 281 and</w:t>
      </w:r>
      <w:r w:rsidRPr="00CA5A8F">
        <w:t xml:space="preserve"> 282 of the </w:t>
      </w:r>
      <w:r w:rsidR="00A76BCB">
        <w:t>Section 3C OMP Determination</w:t>
      </w:r>
      <w:r w:rsidR="004E5CCA">
        <w:t>.</w:t>
      </w:r>
      <w:r w:rsidRPr="00CA5A8F">
        <w:rPr>
          <w:i/>
        </w:rPr>
        <w:t xml:space="preserve"> </w:t>
      </w:r>
      <w:r w:rsidRPr="00CA5A8F">
        <w:t xml:space="preserve"> </w:t>
      </w:r>
      <w:r w:rsidRPr="00CA5A8F">
        <w:rPr>
          <w:i/>
        </w:rPr>
        <w:t xml:space="preserve"> </w:t>
      </w:r>
      <w:r w:rsidRPr="00CA5A8F">
        <w:t xml:space="preserve">  </w:t>
      </w:r>
    </w:p>
    <w:p w:rsidR="00A76BCB" w:rsidRDefault="00A76BCB" w:rsidP="0097323E">
      <w:pPr>
        <w:spacing w:after="240"/>
        <w:rPr>
          <w:b/>
        </w:rPr>
      </w:pPr>
      <w:r>
        <w:rPr>
          <w:b/>
        </w:rPr>
        <w:t xml:space="preserve">Item 3 – Subsection 4(1) (definition of </w:t>
      </w:r>
      <w:r w:rsidR="006D06F9" w:rsidRPr="005F1F57">
        <w:rPr>
          <w:b/>
          <w:i/>
        </w:rPr>
        <w:t>Health Insurance (Section 3C General Medical Services – Other Medical Practitioner) Determination 2018</w:t>
      </w:r>
      <w:r w:rsidR="006D06F9" w:rsidRPr="005F1F57">
        <w:rPr>
          <w:b/>
        </w:rPr>
        <w:t>)</w:t>
      </w:r>
    </w:p>
    <w:p w:rsidR="00A76BCB" w:rsidRDefault="006D06F9" w:rsidP="0097323E">
      <w:pPr>
        <w:spacing w:after="240"/>
        <w:rPr>
          <w:b/>
        </w:rPr>
      </w:pPr>
      <w:r w:rsidRPr="005F1F57">
        <w:t>Item 3</w:t>
      </w:r>
      <w:r>
        <w:t xml:space="preserve"> inserts the definition of the </w:t>
      </w:r>
      <w:r w:rsidR="00783AD5">
        <w:t>term “</w:t>
      </w:r>
      <w:r w:rsidRPr="006D06F9">
        <w:rPr>
          <w:b/>
          <w:i/>
        </w:rPr>
        <w:t>Health Insurance (Section 3C General Medical Services – Other Medical Practitioner) Determination 2018</w:t>
      </w:r>
      <w:r w:rsidRPr="005F1F57">
        <w:rPr>
          <w:b/>
          <w:i/>
        </w:rPr>
        <w:t>)</w:t>
      </w:r>
      <w:r w:rsidR="00783AD5">
        <w:rPr>
          <w:b/>
          <w:i/>
        </w:rPr>
        <w:t>”</w:t>
      </w:r>
      <w:r>
        <w:t xml:space="preserve"> after the definition of </w:t>
      </w:r>
      <w:r w:rsidR="00783AD5">
        <w:t>“</w:t>
      </w:r>
      <w:r w:rsidRPr="005F1F57">
        <w:rPr>
          <w:b/>
          <w:i/>
        </w:rPr>
        <w:t>Health Care Homes Program</w:t>
      </w:r>
      <w:r w:rsidR="00783AD5">
        <w:rPr>
          <w:b/>
          <w:i/>
        </w:rPr>
        <w:t>”</w:t>
      </w:r>
      <w:r w:rsidR="00EE13CF">
        <w:t xml:space="preserve"> in subsection 4(1) of the Principal Determination.</w:t>
      </w:r>
    </w:p>
    <w:p w:rsidR="004A6E13" w:rsidRDefault="004A6E13" w:rsidP="0097323E">
      <w:pPr>
        <w:spacing w:after="240"/>
        <w:rPr>
          <w:b/>
          <w:i/>
        </w:rPr>
      </w:pPr>
      <w:r w:rsidRPr="00404F00">
        <w:rPr>
          <w:b/>
        </w:rPr>
        <w:t xml:space="preserve">Item </w:t>
      </w:r>
      <w:r w:rsidR="006D06F9">
        <w:rPr>
          <w:b/>
        </w:rPr>
        <w:t>4</w:t>
      </w:r>
      <w:r w:rsidRPr="00404F00">
        <w:rPr>
          <w:b/>
        </w:rPr>
        <w:t xml:space="preserve"> –</w:t>
      </w:r>
      <w:r w:rsidR="00162B7C" w:rsidRPr="00404F00">
        <w:rPr>
          <w:b/>
        </w:rPr>
        <w:t xml:space="preserve"> </w:t>
      </w:r>
      <w:r w:rsidR="00404F00" w:rsidRPr="00404F00">
        <w:rPr>
          <w:b/>
        </w:rPr>
        <w:t xml:space="preserve">Subsection 4(1) </w:t>
      </w:r>
      <w:r w:rsidR="006D06F9">
        <w:rPr>
          <w:b/>
        </w:rPr>
        <w:t xml:space="preserve">(definition of </w:t>
      </w:r>
      <w:r w:rsidR="00404F00" w:rsidRPr="00404F00">
        <w:rPr>
          <w:b/>
          <w:i/>
        </w:rPr>
        <w:t>multidisciplinary care plan</w:t>
      </w:r>
      <w:r w:rsidR="006D06F9" w:rsidRPr="0046255C">
        <w:rPr>
          <w:b/>
        </w:rPr>
        <w:t>)</w:t>
      </w:r>
    </w:p>
    <w:p w:rsidR="00CA5A8F" w:rsidRPr="00CA5A8F" w:rsidRDefault="00CA5A8F" w:rsidP="0097323E">
      <w:pPr>
        <w:spacing w:after="240"/>
      </w:pPr>
      <w:r w:rsidRPr="00CA5A8F">
        <w:t xml:space="preserve">Item </w:t>
      </w:r>
      <w:r w:rsidR="005F1F57">
        <w:t>4</w:t>
      </w:r>
      <w:r w:rsidRPr="00CA5A8F">
        <w:t xml:space="preserve"> </w:t>
      </w:r>
      <w:r w:rsidR="006D06F9">
        <w:t xml:space="preserve">repeals the definition of </w:t>
      </w:r>
      <w:r w:rsidR="00793DD4">
        <w:t xml:space="preserve">the term </w:t>
      </w:r>
      <w:r w:rsidR="00783AD5">
        <w:t>“</w:t>
      </w:r>
      <w:r w:rsidR="006D06F9" w:rsidRPr="005F1F57">
        <w:rPr>
          <w:b/>
          <w:i/>
        </w:rPr>
        <w:t>multidisciplinary care plan</w:t>
      </w:r>
      <w:r w:rsidR="00783AD5">
        <w:t>”</w:t>
      </w:r>
      <w:r w:rsidR="00EE13CF">
        <w:t xml:space="preserve"> in subsection 4(1)</w:t>
      </w:r>
      <w:r w:rsidR="006D06F9">
        <w:t xml:space="preserve"> and inserts a new definition</w:t>
      </w:r>
      <w:r w:rsidR="00783AD5">
        <w:t xml:space="preserve"> that includes</w:t>
      </w:r>
      <w:r w:rsidR="006D06F9">
        <w:t xml:space="preserve"> </w:t>
      </w:r>
      <w:r w:rsidRPr="00CA5A8F">
        <w:t>a reference to newly listed item</w:t>
      </w:r>
      <w:r w:rsidR="00C53EE8">
        <w:t>s</w:t>
      </w:r>
      <w:r w:rsidRPr="00CA5A8F">
        <w:t xml:space="preserve"> </w:t>
      </w:r>
      <w:r w:rsidR="00C53EE8">
        <w:t xml:space="preserve">231 and </w:t>
      </w:r>
      <w:r w:rsidRPr="00CA5A8F">
        <w:t xml:space="preserve">232 of the </w:t>
      </w:r>
      <w:r w:rsidR="00783AD5">
        <w:t xml:space="preserve">Section </w:t>
      </w:r>
      <w:r w:rsidR="00EE13CF">
        <w:t xml:space="preserve">3C </w:t>
      </w:r>
      <w:r w:rsidR="00783AD5">
        <w:t xml:space="preserve">OMP Determination. </w:t>
      </w:r>
    </w:p>
    <w:p w:rsidR="00D61421" w:rsidRDefault="00D61421" w:rsidP="0097323E">
      <w:pPr>
        <w:spacing w:after="240"/>
        <w:rPr>
          <w:b/>
          <w:i/>
        </w:rPr>
      </w:pPr>
      <w:r w:rsidRPr="00404F00">
        <w:rPr>
          <w:b/>
        </w:rPr>
        <w:t xml:space="preserve">Item </w:t>
      </w:r>
      <w:r w:rsidR="00783AD5">
        <w:rPr>
          <w:b/>
        </w:rPr>
        <w:t>5</w:t>
      </w:r>
      <w:r w:rsidRPr="00404F00">
        <w:rPr>
          <w:b/>
        </w:rPr>
        <w:t xml:space="preserve"> – </w:t>
      </w:r>
      <w:r w:rsidR="00404F00" w:rsidRPr="00404F00">
        <w:rPr>
          <w:b/>
        </w:rPr>
        <w:t xml:space="preserve">Subsection 4(1) </w:t>
      </w:r>
      <w:r w:rsidR="00783AD5">
        <w:rPr>
          <w:b/>
        </w:rPr>
        <w:t xml:space="preserve">(definition of </w:t>
      </w:r>
      <w:r w:rsidR="00404F00" w:rsidRPr="00CA5A8F">
        <w:rPr>
          <w:b/>
          <w:i/>
        </w:rPr>
        <w:t>Team Care Arrangements</w:t>
      </w:r>
      <w:r w:rsidR="00783AD5" w:rsidRPr="005F1F57">
        <w:rPr>
          <w:b/>
        </w:rPr>
        <w:t>)</w:t>
      </w:r>
    </w:p>
    <w:p w:rsidR="00CA5A8F" w:rsidRPr="00404F00" w:rsidRDefault="00CA5A8F" w:rsidP="0097323E">
      <w:pPr>
        <w:spacing w:after="240"/>
        <w:rPr>
          <w:b/>
        </w:rPr>
      </w:pPr>
      <w:r>
        <w:t xml:space="preserve">Item </w:t>
      </w:r>
      <w:r w:rsidR="005F1F57">
        <w:t>5</w:t>
      </w:r>
      <w:r w:rsidR="00FC5F55">
        <w:t xml:space="preserve"> </w:t>
      </w:r>
      <w:r w:rsidR="00783AD5">
        <w:t>repeals the definition of the term “</w:t>
      </w:r>
      <w:r w:rsidR="00783AD5" w:rsidRPr="00CA5A8F">
        <w:rPr>
          <w:b/>
          <w:i/>
        </w:rPr>
        <w:t>Team Care Arrangements</w:t>
      </w:r>
      <w:r w:rsidR="004C4D02">
        <w:t>”</w:t>
      </w:r>
      <w:r w:rsidR="00783AD5">
        <w:t xml:space="preserve"> </w:t>
      </w:r>
      <w:r w:rsidR="00EE13CF">
        <w:t xml:space="preserve">in subsection 4(1) </w:t>
      </w:r>
      <w:r w:rsidR="00783AD5">
        <w:t xml:space="preserve">and substitutes a new definition that includes references </w:t>
      </w:r>
      <w:r w:rsidRPr="00404F00">
        <w:t xml:space="preserve">to newly listed items </w:t>
      </w:r>
      <w:r w:rsidR="004E5CCA">
        <w:t>230 and</w:t>
      </w:r>
      <w:r w:rsidRPr="00CA5A8F">
        <w:t xml:space="preserve"> 233 of the</w:t>
      </w:r>
      <w:r w:rsidR="00783AD5">
        <w:t xml:space="preserve"> Section 3C OMP Determination. </w:t>
      </w:r>
    </w:p>
    <w:p w:rsidR="00D61421" w:rsidRDefault="00D61421" w:rsidP="0097323E">
      <w:pPr>
        <w:keepNext/>
        <w:spacing w:after="240"/>
        <w:rPr>
          <w:b/>
        </w:rPr>
      </w:pPr>
      <w:r w:rsidRPr="00404F00">
        <w:rPr>
          <w:b/>
        </w:rPr>
        <w:t xml:space="preserve">Item </w:t>
      </w:r>
      <w:r w:rsidR="009837A9">
        <w:rPr>
          <w:b/>
        </w:rPr>
        <w:t>6</w:t>
      </w:r>
      <w:r w:rsidR="00404F00" w:rsidRPr="00404F00">
        <w:rPr>
          <w:b/>
        </w:rPr>
        <w:t xml:space="preserve"> </w:t>
      </w:r>
      <w:r w:rsidRPr="00404F00">
        <w:rPr>
          <w:b/>
        </w:rPr>
        <w:t xml:space="preserve">– </w:t>
      </w:r>
      <w:r w:rsidR="00404F00" w:rsidRPr="00404F00">
        <w:rPr>
          <w:b/>
        </w:rPr>
        <w:t xml:space="preserve">Subsection 6(4) </w:t>
      </w:r>
    </w:p>
    <w:p w:rsidR="00CA5A8F" w:rsidRPr="00404F00" w:rsidRDefault="002537E3" w:rsidP="00CA5A8F">
      <w:pPr>
        <w:spacing w:after="240"/>
      </w:pPr>
      <w:r>
        <w:t xml:space="preserve">Item </w:t>
      </w:r>
      <w:r w:rsidR="00F221D5">
        <w:t>6</w:t>
      </w:r>
      <w:r w:rsidR="00CA5A8F" w:rsidRPr="00404F00">
        <w:t xml:space="preserve"> </w:t>
      </w:r>
      <w:r w:rsidR="00623D75">
        <w:t>repeals subsection 6(4) and substitutes a new subsection 6(4)</w:t>
      </w:r>
      <w:r w:rsidR="004C4D02">
        <w:t xml:space="preserve">. </w:t>
      </w:r>
      <w:r w:rsidR="00623D75">
        <w:t xml:space="preserve">The new subsection has the effect of including </w:t>
      </w:r>
      <w:r w:rsidR="009837A9">
        <w:t xml:space="preserve">services under </w:t>
      </w:r>
      <w:r w:rsidR="00CA5A8F" w:rsidRPr="00404F00">
        <w:t>newly listed items</w:t>
      </w:r>
      <w:r>
        <w:t xml:space="preserve"> </w:t>
      </w:r>
      <w:r w:rsidR="004E5CCA">
        <w:t>283, 285, 286 and</w:t>
      </w:r>
      <w:r w:rsidRPr="002537E3">
        <w:t xml:space="preserve"> 287 of the </w:t>
      </w:r>
      <w:r w:rsidR="009837A9">
        <w:t>Section 3C OMP Determination within the scope of the definition of “</w:t>
      </w:r>
      <w:r w:rsidR="009837A9" w:rsidRPr="0046255C">
        <w:rPr>
          <w:b/>
          <w:i/>
        </w:rPr>
        <w:t>relevant service</w:t>
      </w:r>
      <w:r w:rsidR="009837A9">
        <w:t>”</w:t>
      </w:r>
      <w:r w:rsidR="004E5CCA">
        <w:t>.</w:t>
      </w:r>
      <w:r w:rsidR="004E5CCA" w:rsidRPr="002537E3">
        <w:t xml:space="preserve"> </w:t>
      </w:r>
      <w:r w:rsidR="004E5CCA">
        <w:t xml:space="preserve"> </w:t>
      </w:r>
      <w:r w:rsidR="00CA5A8F" w:rsidRPr="00404F00">
        <w:rPr>
          <w:i/>
        </w:rPr>
        <w:t xml:space="preserve"> </w:t>
      </w:r>
      <w:r w:rsidR="00CA5A8F" w:rsidRPr="00404F00">
        <w:t xml:space="preserve">  </w:t>
      </w:r>
    </w:p>
    <w:p w:rsidR="009F41EF" w:rsidRPr="004E5CCA" w:rsidRDefault="00404F00" w:rsidP="0097323E">
      <w:pPr>
        <w:keepNext/>
        <w:spacing w:after="240"/>
        <w:rPr>
          <w:b/>
          <w:i/>
        </w:rPr>
      </w:pPr>
      <w:r w:rsidRPr="00404F00">
        <w:rPr>
          <w:b/>
        </w:rPr>
        <w:t xml:space="preserve">Item </w:t>
      </w:r>
      <w:r w:rsidR="009837A9">
        <w:rPr>
          <w:b/>
        </w:rPr>
        <w:t>7</w:t>
      </w:r>
      <w:r w:rsidR="009F41EF" w:rsidRPr="00404F00">
        <w:rPr>
          <w:b/>
        </w:rPr>
        <w:t xml:space="preserve"> – </w:t>
      </w:r>
      <w:r w:rsidR="009837A9">
        <w:rPr>
          <w:b/>
        </w:rPr>
        <w:t xml:space="preserve">Paragraph </w:t>
      </w:r>
      <w:r w:rsidRPr="00404F00">
        <w:rPr>
          <w:b/>
        </w:rPr>
        <w:t>6B(4)(b)</w:t>
      </w:r>
      <w:r w:rsidR="004E5CCA" w:rsidRPr="004E5CCA">
        <w:rPr>
          <w:b/>
        </w:rPr>
        <w:t xml:space="preserve"> </w:t>
      </w:r>
    </w:p>
    <w:p w:rsidR="00CA5A8F" w:rsidRPr="00CA5A8F" w:rsidRDefault="002537E3" w:rsidP="00CA5A8F">
      <w:pPr>
        <w:spacing w:after="240"/>
      </w:pPr>
      <w:r>
        <w:t xml:space="preserve">Item </w:t>
      </w:r>
      <w:r w:rsidR="004C4D02">
        <w:t>7</w:t>
      </w:r>
      <w:r w:rsidR="00CA5A8F" w:rsidRPr="00404F00">
        <w:t xml:space="preserve"> </w:t>
      </w:r>
      <w:r w:rsidR="009837A9">
        <w:t>repeals paragraph 6B(4)(b) and substitutes it with a new paragraph (b)</w:t>
      </w:r>
      <w:r w:rsidR="004C4D02">
        <w:t xml:space="preserve">. </w:t>
      </w:r>
      <w:r w:rsidR="009837A9">
        <w:t xml:space="preserve">The new paragraph has the effect of including services under </w:t>
      </w:r>
      <w:r w:rsidR="00CA5A8F" w:rsidRPr="00404F00">
        <w:t xml:space="preserve">newly listed items </w:t>
      </w:r>
      <w:r w:rsidR="004E5CCA">
        <w:t>283, 285, 286 and</w:t>
      </w:r>
      <w:r w:rsidRPr="002537E3">
        <w:t xml:space="preserve"> 287 </w:t>
      </w:r>
      <w:r w:rsidR="00B33A12">
        <w:t>that are listed in</w:t>
      </w:r>
      <w:r w:rsidR="00B42FD1">
        <w:t xml:space="preserve"> </w:t>
      </w:r>
      <w:r w:rsidRPr="002537E3">
        <w:t xml:space="preserve">the </w:t>
      </w:r>
      <w:r w:rsidR="009837A9">
        <w:t>Section 3C OMP Determination within the scope of the definition of “</w:t>
      </w:r>
      <w:r w:rsidR="009837A9" w:rsidRPr="0046255C">
        <w:rPr>
          <w:b/>
          <w:i/>
        </w:rPr>
        <w:t>personalised individual service</w:t>
      </w:r>
      <w:r w:rsidR="009837A9">
        <w:t xml:space="preserve">”. </w:t>
      </w:r>
    </w:p>
    <w:p w:rsidR="00404F00" w:rsidRPr="00404F00" w:rsidRDefault="00404F00" w:rsidP="0097323E">
      <w:pPr>
        <w:keepNext/>
        <w:spacing w:after="240"/>
        <w:rPr>
          <w:b/>
        </w:rPr>
      </w:pPr>
      <w:r w:rsidRPr="00404F00">
        <w:rPr>
          <w:b/>
        </w:rPr>
        <w:t xml:space="preserve">Item </w:t>
      </w:r>
      <w:r w:rsidR="009837A9">
        <w:rPr>
          <w:b/>
        </w:rPr>
        <w:t>8</w:t>
      </w:r>
      <w:r w:rsidRPr="00404F00">
        <w:rPr>
          <w:b/>
        </w:rPr>
        <w:t xml:space="preserve"> – Schedule 2, Part 3, items 81000, 81005 and 81010 </w:t>
      </w:r>
    </w:p>
    <w:p w:rsidR="00FA05CA" w:rsidRDefault="002537E3" w:rsidP="006514C0">
      <w:pPr>
        <w:ind w:right="-483"/>
      </w:pPr>
      <w:r>
        <w:t xml:space="preserve">Item </w:t>
      </w:r>
      <w:r w:rsidR="009837A9">
        <w:t xml:space="preserve">8 repeals the text after the end of paragraph (d) </w:t>
      </w:r>
      <w:r w:rsidR="00FA05CA">
        <w:t>of each of th</w:t>
      </w:r>
      <w:r w:rsidR="007C26E2">
        <w:t xml:space="preserve">e items 81000, 81005 and 81010 in the Principal Determination </w:t>
      </w:r>
      <w:r w:rsidR="009837A9">
        <w:t>and substitute</w:t>
      </w:r>
      <w:r w:rsidR="00EE13CF">
        <w:t>s it</w:t>
      </w:r>
      <w:r w:rsidR="009837A9">
        <w:t xml:space="preserve"> with new text </w:t>
      </w:r>
      <w:r w:rsidR="00AF60DC">
        <w:t>to include</w:t>
      </w:r>
      <w:r w:rsidR="009837A9">
        <w:t xml:space="preserve"> </w:t>
      </w:r>
      <w:r w:rsidR="00CA5A8F" w:rsidRPr="00404F00">
        <w:t xml:space="preserve">newly listed item </w:t>
      </w:r>
      <w:r>
        <w:t>792</w:t>
      </w:r>
      <w:r w:rsidR="00CA5A8F" w:rsidRPr="00404F00">
        <w:t xml:space="preserve"> of </w:t>
      </w:r>
      <w:r w:rsidR="00B42FD1">
        <w:lastRenderedPageBreak/>
        <w:t xml:space="preserve">the </w:t>
      </w:r>
      <w:r w:rsidR="009837A9">
        <w:t>Section 3C OMP Determination</w:t>
      </w:r>
      <w:r w:rsidR="00AF60DC">
        <w:t>.</w:t>
      </w:r>
      <w:r w:rsidR="009837A9">
        <w:t xml:space="preserve"> </w:t>
      </w:r>
      <w:r w:rsidR="00932B62">
        <w:t xml:space="preserve">This is to make it clear that </w:t>
      </w:r>
      <w:r w:rsidR="00932B62">
        <w:rPr>
          <w:szCs w:val="20"/>
          <w:lang w:eastAsia="en-AU"/>
        </w:rPr>
        <w:t>item 792 cannot be claimed if a person has had three pregnancy support services across the general practice or allied health pregnancy support items.</w:t>
      </w:r>
    </w:p>
    <w:p w:rsidR="006514C0" w:rsidRDefault="006514C0" w:rsidP="006514C0">
      <w:pPr>
        <w:ind w:right="-483"/>
      </w:pPr>
    </w:p>
    <w:p w:rsidR="00B42FD1" w:rsidRPr="009B530B" w:rsidRDefault="00B42FD1" w:rsidP="00CA5A8F">
      <w:pPr>
        <w:spacing w:after="240"/>
        <w:rPr>
          <w:b/>
        </w:rPr>
      </w:pPr>
      <w:r w:rsidRPr="009B530B">
        <w:rPr>
          <w:b/>
        </w:rPr>
        <w:t>Item 9 – Schedule 1, paragraph 7(b) and subparagraphs 8(e</w:t>
      </w:r>
      <w:proofErr w:type="gramStart"/>
      <w:r w:rsidRPr="009B530B">
        <w:rPr>
          <w:b/>
        </w:rPr>
        <w:t>)(</w:t>
      </w:r>
      <w:proofErr w:type="gramEnd"/>
      <w:r w:rsidRPr="009B530B">
        <w:rPr>
          <w:b/>
        </w:rPr>
        <w:t>ii) and 9(c)(ii)</w:t>
      </w:r>
    </w:p>
    <w:p w:rsidR="00AF60DC" w:rsidRDefault="00B42FD1" w:rsidP="00CA5A8F">
      <w:pPr>
        <w:spacing w:after="240"/>
      </w:pPr>
      <w:r w:rsidRPr="009B530B">
        <w:t>Item 9 omits references to “</w:t>
      </w:r>
      <w:r w:rsidR="00B557B6" w:rsidRPr="009B530B">
        <w:t>titled ‘</w:t>
      </w:r>
      <w:r w:rsidRPr="009B530B">
        <w:t>Practice Standards for Mental Health Social Workers’, as in force on 8 November 2008</w:t>
      </w:r>
      <w:r w:rsidR="00AF60DC">
        <w:t>”</w:t>
      </w:r>
      <w:r w:rsidR="00B33A12" w:rsidRPr="009B530B">
        <w:t>,</w:t>
      </w:r>
      <w:r w:rsidRPr="009B530B">
        <w:t xml:space="preserve"> wherever occurring in </w:t>
      </w:r>
      <w:r w:rsidR="009B530B" w:rsidRPr="009B530B">
        <w:t>the Principal</w:t>
      </w:r>
      <w:r w:rsidR="0046255C" w:rsidRPr="009B530B">
        <w:t xml:space="preserve"> </w:t>
      </w:r>
      <w:r w:rsidR="007C26E2" w:rsidRPr="009B530B">
        <w:t>Determination and substitutes it</w:t>
      </w:r>
      <w:r w:rsidRPr="009B530B">
        <w:t xml:space="preserve"> with </w:t>
      </w:r>
      <w:r w:rsidR="00307FD3">
        <w:t>“</w:t>
      </w:r>
      <w:r w:rsidR="00B557B6" w:rsidRPr="009B530B">
        <w:t xml:space="preserve">titled </w:t>
      </w:r>
      <w:r w:rsidR="00AF60DC">
        <w:t>‘</w:t>
      </w:r>
      <w:r w:rsidR="00B557B6" w:rsidRPr="009B530B">
        <w:t>Practice Standards for Mental Health Social Workers 2014</w:t>
      </w:r>
      <w:r w:rsidR="00AF60DC">
        <w:t>’</w:t>
      </w:r>
      <w:r w:rsidR="00B557B6" w:rsidRPr="009B530B">
        <w:t xml:space="preserve"> as in force on 25 September 2014</w:t>
      </w:r>
      <w:r w:rsidR="00307FD3">
        <w:t>”</w:t>
      </w:r>
      <w:r w:rsidR="009B530B" w:rsidRPr="009B530B">
        <w:t xml:space="preserve">. </w:t>
      </w:r>
    </w:p>
    <w:p w:rsidR="00B557B6" w:rsidRPr="009B530B" w:rsidRDefault="00B557B6" w:rsidP="00CA5A8F">
      <w:pPr>
        <w:spacing w:after="240"/>
      </w:pPr>
      <w:r w:rsidRPr="009B530B">
        <w:t xml:space="preserve">This has the effect that the Australian Association of Social Workers will now certify a person as meeting the standards for mental health against standards set out in this 2014 document which is one of the requirements that a person must meet under clauses 7, 8 and 9 of Schedule 1 to the </w:t>
      </w:r>
      <w:r w:rsidR="0046255C" w:rsidRPr="009B530B">
        <w:t>Principal</w:t>
      </w:r>
      <w:r w:rsidR="007C26E2" w:rsidRPr="009B530B">
        <w:t xml:space="preserve"> </w:t>
      </w:r>
      <w:r w:rsidRPr="009B530B">
        <w:t>Determination</w:t>
      </w:r>
      <w:r w:rsidR="009B530B" w:rsidRPr="009B530B">
        <w:t xml:space="preserve">. </w:t>
      </w:r>
      <w:r w:rsidR="00B33A12" w:rsidRPr="009B530B">
        <w:t>The certification is required</w:t>
      </w:r>
      <w:r w:rsidRPr="009B530B">
        <w:t xml:space="preserve"> in order to be considered an allied health professional in relation to the provision of a mental health service, a focussed psychological strategies health service, or in relation to the provision of a non-directive pregnancy support counselling health service.</w:t>
      </w:r>
    </w:p>
    <w:p w:rsidR="00B557B6" w:rsidRPr="009B530B" w:rsidRDefault="00B33A12" w:rsidP="00CA5A8F">
      <w:pPr>
        <w:spacing w:after="240"/>
        <w:rPr>
          <w:b/>
        </w:rPr>
      </w:pPr>
      <w:r w:rsidRPr="009B530B">
        <w:rPr>
          <w:b/>
        </w:rPr>
        <w:t>Schedule 2 – Transitional provisions</w:t>
      </w:r>
    </w:p>
    <w:p w:rsidR="00B33A12" w:rsidRPr="009B530B" w:rsidRDefault="00B33A12" w:rsidP="00CA5A8F">
      <w:pPr>
        <w:spacing w:after="240"/>
        <w:rPr>
          <w:b/>
        </w:rPr>
      </w:pPr>
      <w:r w:rsidRPr="009B530B">
        <w:rPr>
          <w:b/>
        </w:rPr>
        <w:t>Item 1 – Certificates issued relating to practice standards for mental health social workers</w:t>
      </w:r>
    </w:p>
    <w:p w:rsidR="00B33A12" w:rsidRPr="00B33A12" w:rsidRDefault="00B33A12" w:rsidP="00CA5A8F">
      <w:pPr>
        <w:spacing w:after="240"/>
      </w:pPr>
      <w:r w:rsidRPr="009B530B">
        <w:t>This item provides that if at the time of the commencement of the Amending Determination, a person has been certified by the Australian Association of Social Workers (the AASW) as meeting the standards for mental health under the old standard and that certification has not been revoked, then for the purposes of paragraph 7(b), and subparagraphs 8(e)(ii) and 9(c)(ii) of Schedule 1 of the Determination, the person is taken to be certified as meeting the standards for mental health set out in the new standard (refer to Item 9 of Schedule 1 of this Amending Determination</w:t>
      </w:r>
      <w:r w:rsidR="00B062DE" w:rsidRPr="009B530B">
        <w:t>).  Thu</w:t>
      </w:r>
      <w:r w:rsidRPr="009B530B">
        <w:t>s</w:t>
      </w:r>
      <w:r w:rsidR="00B062DE" w:rsidRPr="009B530B">
        <w:t>, this</w:t>
      </w:r>
      <w:r w:rsidRPr="009B530B">
        <w:t xml:space="preserve"> provision treats the certification in relation to a person </w:t>
      </w:r>
      <w:r w:rsidR="00B062DE" w:rsidRPr="009B530B">
        <w:t>made under those</w:t>
      </w:r>
      <w:r w:rsidRPr="009B530B">
        <w:t xml:space="preserve"> provisions using the old standard, assuming they have not been revoked, as if they were </w:t>
      </w:r>
      <w:r w:rsidR="00B062DE" w:rsidRPr="009B530B">
        <w:t xml:space="preserve">certified </w:t>
      </w:r>
      <w:r w:rsidRPr="009B530B">
        <w:t>against</w:t>
      </w:r>
      <w:r w:rsidR="00B062DE" w:rsidRPr="009B530B">
        <w:t xml:space="preserve"> the new standards in force on 25 September 2014.</w:t>
      </w:r>
    </w:p>
    <w:p w:rsidR="00B33A12" w:rsidRDefault="00B33A12" w:rsidP="00CA5A8F">
      <w:pPr>
        <w:spacing w:after="240"/>
      </w:pPr>
    </w:p>
    <w:p w:rsidR="007D1C97" w:rsidRPr="00121982" w:rsidRDefault="00B557B6" w:rsidP="0046255C">
      <w:pPr>
        <w:spacing w:after="240"/>
        <w:rPr>
          <w:b/>
          <w:sz w:val="28"/>
          <w:szCs w:val="28"/>
          <w:highlight w:val="yellow"/>
        </w:rPr>
        <w:sectPr w:rsidR="007D1C97" w:rsidRPr="00121982" w:rsidSect="007D1C97">
          <w:headerReference w:type="default" r:id="rId9"/>
          <w:pgSz w:w="11906" w:h="16838"/>
          <w:pgMar w:top="1134" w:right="1440" w:bottom="1418" w:left="1440" w:header="709" w:footer="709" w:gutter="0"/>
          <w:cols w:space="708"/>
          <w:titlePg/>
          <w:docGrid w:linePitch="360"/>
        </w:sectPr>
      </w:pPr>
      <w:r>
        <w:t xml:space="preserve">  </w:t>
      </w:r>
    </w:p>
    <w:p w:rsidR="00BA63C7" w:rsidRPr="00CA5A8F" w:rsidRDefault="00BA63C7" w:rsidP="00BA63C7">
      <w:pPr>
        <w:spacing w:before="360" w:after="120"/>
        <w:jc w:val="center"/>
        <w:rPr>
          <w:b/>
          <w:sz w:val="28"/>
          <w:szCs w:val="28"/>
        </w:rPr>
      </w:pPr>
      <w:r w:rsidRPr="00CA5A8F">
        <w:rPr>
          <w:b/>
          <w:sz w:val="28"/>
          <w:szCs w:val="28"/>
        </w:rPr>
        <w:lastRenderedPageBreak/>
        <w:t>Statement of Compatibility with Human Rights</w:t>
      </w:r>
    </w:p>
    <w:p w:rsidR="00BA63C7" w:rsidRPr="00CA5A8F" w:rsidRDefault="00BA63C7" w:rsidP="00BA63C7">
      <w:pPr>
        <w:spacing w:before="120" w:after="120"/>
        <w:jc w:val="center"/>
      </w:pPr>
      <w:r w:rsidRPr="00CA5A8F">
        <w:rPr>
          <w:i/>
        </w:rPr>
        <w:t>Prepared in accordance with Part 3 of the Human Rights (Parliamentary Scrutiny) Act 2011</w:t>
      </w:r>
    </w:p>
    <w:p w:rsidR="00BA63C7" w:rsidRPr="00CA5A8F" w:rsidRDefault="00BA63C7" w:rsidP="00BA63C7">
      <w:pPr>
        <w:spacing w:before="120" w:after="120"/>
        <w:jc w:val="center"/>
      </w:pPr>
    </w:p>
    <w:p w:rsidR="00BA63C7" w:rsidRPr="00CA5A8F" w:rsidRDefault="00CA5A8F" w:rsidP="00CA5A8F">
      <w:pPr>
        <w:spacing w:before="120" w:after="120"/>
        <w:jc w:val="center"/>
      </w:pPr>
      <w:r w:rsidRPr="00CA5A8F">
        <w:rPr>
          <w:b/>
          <w:i/>
          <w:iCs/>
          <w:color w:val="000000"/>
          <w:lang w:eastAsia="en-AU"/>
        </w:rPr>
        <w:t>Health Insurance (Allied Health Services) Amendment (Other Medical Practitioner) Determination 2018</w:t>
      </w:r>
    </w:p>
    <w:p w:rsidR="00BA63C7" w:rsidRPr="00CA5A8F" w:rsidRDefault="00BA63C7" w:rsidP="00BA63C7">
      <w:pPr>
        <w:spacing w:before="120" w:after="120"/>
        <w:jc w:val="center"/>
      </w:pPr>
      <w:r w:rsidRPr="00CA5A8F">
        <w:t xml:space="preserve">This </w:t>
      </w:r>
      <w:r w:rsidR="001E1C8D">
        <w:t>Amendment Determination</w:t>
      </w:r>
      <w:r w:rsidRPr="00CA5A8F">
        <w:t xml:space="preserve"> is compatible with the human rights and freedoms recognised or declared in the international instruments listed in section 3 of the </w:t>
      </w:r>
      <w:r w:rsidRPr="00CA5A8F">
        <w:rPr>
          <w:i/>
        </w:rPr>
        <w:t>Human Rights (Parliamentary Scrutiny) Act 2011</w:t>
      </w:r>
      <w:r w:rsidRPr="00CA5A8F">
        <w:t>.</w:t>
      </w:r>
    </w:p>
    <w:p w:rsidR="00BA63C7" w:rsidRPr="00121982" w:rsidRDefault="00BA63C7" w:rsidP="00BA63C7">
      <w:pPr>
        <w:spacing w:before="120" w:after="120"/>
        <w:rPr>
          <w:highlight w:val="yellow"/>
        </w:rPr>
      </w:pPr>
    </w:p>
    <w:p w:rsidR="00BA63C7" w:rsidRPr="001E1C8D" w:rsidRDefault="001E1C8D" w:rsidP="00BA63C7">
      <w:pPr>
        <w:spacing w:before="120" w:after="120"/>
        <w:jc w:val="both"/>
        <w:rPr>
          <w:b/>
        </w:rPr>
      </w:pPr>
      <w:r w:rsidRPr="001E1C8D">
        <w:rPr>
          <w:b/>
        </w:rPr>
        <w:t xml:space="preserve">Overview of the </w:t>
      </w:r>
      <w:r w:rsidR="00BA63C7" w:rsidRPr="001E1C8D">
        <w:rPr>
          <w:b/>
        </w:rPr>
        <w:t>Legislative Instrument</w:t>
      </w:r>
    </w:p>
    <w:p w:rsidR="00307FD3" w:rsidRPr="007C7DCE" w:rsidRDefault="00307FD3" w:rsidP="00307FD3">
      <w:pPr>
        <w:spacing w:after="240"/>
        <w:rPr>
          <w:b/>
          <w:highlight w:val="yellow"/>
        </w:rPr>
      </w:pPr>
      <w:r w:rsidRPr="00D4077A">
        <w:t xml:space="preserve">The </w:t>
      </w:r>
      <w:r w:rsidRPr="00D4077A">
        <w:rPr>
          <w:i/>
        </w:rPr>
        <w:t>Health Insurance (Allied Health Services) Determination 2014</w:t>
      </w:r>
      <w:r>
        <w:rPr>
          <w:i/>
        </w:rPr>
        <w:t xml:space="preserve"> </w:t>
      </w:r>
      <w:r w:rsidRPr="00D15C0F">
        <w:t>(</w:t>
      </w:r>
      <w:r w:rsidR="00A86A7E">
        <w:t xml:space="preserve">the </w:t>
      </w:r>
      <w:r w:rsidRPr="00D15C0F">
        <w:t>Principal Determination)</w:t>
      </w:r>
      <w:r w:rsidRPr="00D4077A">
        <w:t xml:space="preserve"> sets out items that may be provided as Medicare-eligible services by appropriately qualified allied health professionals, including but not limited to psychologists, osteopaths, chiropractors, physiotherapists and audiologists.</w:t>
      </w:r>
      <w:r>
        <w:t xml:space="preserve"> To access these services patients must be referred by a medical practitioner.</w:t>
      </w:r>
    </w:p>
    <w:p w:rsidR="00307FD3" w:rsidRDefault="00307FD3" w:rsidP="00307FD3">
      <w:pPr>
        <w:spacing w:after="240"/>
        <w:ind w:right="-540"/>
      </w:pPr>
      <w:r w:rsidRPr="00D4077A">
        <w:t xml:space="preserve">The purpose of the </w:t>
      </w:r>
      <w:r w:rsidRPr="00121982">
        <w:rPr>
          <w:i/>
          <w:iCs/>
          <w:color w:val="000000"/>
          <w:lang w:eastAsia="en-AU"/>
        </w:rPr>
        <w:t xml:space="preserve">Health Insurance (Allied Health Services) Amendment (Other Medical Practitioner) Determination 2018 </w:t>
      </w:r>
      <w:r w:rsidRPr="00D4077A">
        <w:t xml:space="preserve">(the Amendment Determination) is to amend the </w:t>
      </w:r>
      <w:r>
        <w:t xml:space="preserve">Principal Determination to </w:t>
      </w:r>
      <w:r w:rsidRPr="00D15C0F">
        <w:t>allow doctors working in general practice without post-graduate training to continue referring patients for Medicare-eligible allied health services.</w:t>
      </w:r>
      <w:r>
        <w:t xml:space="preserve"> This is a consequential change as a result of the 1 July 2018 changes to Medicare general practice services made through the </w:t>
      </w:r>
      <w:r w:rsidRPr="001022DF">
        <w:rPr>
          <w:i/>
        </w:rPr>
        <w:t>Health Insurance (Section 3C General Medical Services – Other Medical Practitioner) Determination 2018</w:t>
      </w:r>
      <w:r>
        <w:t>.</w:t>
      </w:r>
    </w:p>
    <w:p w:rsidR="00307FD3" w:rsidRDefault="00307FD3" w:rsidP="00307FD3">
      <w:pPr>
        <w:spacing w:after="240"/>
        <w:ind w:right="-540"/>
      </w:pPr>
      <w:r>
        <w:t xml:space="preserve">In addition, the Amendment Determination updates the applicable practice standards for mental health workers to refer to the </w:t>
      </w:r>
      <w:r w:rsidRPr="0046255C">
        <w:rPr>
          <w:i/>
        </w:rPr>
        <w:t>Practice Standards for Mental Health Social Workers 2014</w:t>
      </w:r>
      <w:r>
        <w:t>, and provides transitional provisions in relation to certificates issued relating to practice standards that applied the previous standards.</w:t>
      </w:r>
    </w:p>
    <w:p w:rsidR="009013D9" w:rsidRPr="001E1C8D" w:rsidRDefault="009013D9" w:rsidP="009013D9">
      <w:pPr>
        <w:spacing w:before="120" w:after="120"/>
        <w:jc w:val="both"/>
        <w:rPr>
          <w:b/>
        </w:rPr>
      </w:pPr>
      <w:r w:rsidRPr="001E1C8D">
        <w:rPr>
          <w:b/>
        </w:rPr>
        <w:t>Human rights implications</w:t>
      </w:r>
    </w:p>
    <w:p w:rsidR="001E1C8D" w:rsidRPr="004F7914" w:rsidRDefault="001E1C8D" w:rsidP="001E1C8D">
      <w:pPr>
        <w:spacing w:before="120" w:after="120"/>
      </w:pPr>
      <w:r>
        <w:t>The Amendment Determination</w:t>
      </w:r>
      <w:r w:rsidRPr="004F7914">
        <w:t xml:space="preserve"> engage</w:t>
      </w:r>
      <w:r>
        <w:t>s</w:t>
      </w:r>
      <w:r w:rsidRPr="004F7914">
        <w:t xml:space="preserve"> Articles 9 and 12 of the International Covenant on Economic Social and Cultural Rights (ICESCR), specifically the rights to health and social security. </w:t>
      </w:r>
    </w:p>
    <w:p w:rsidR="001E1C8D" w:rsidRPr="004F7914" w:rsidRDefault="001E1C8D" w:rsidP="001E1C8D">
      <w:pPr>
        <w:spacing w:before="120" w:after="120"/>
        <w:rPr>
          <w:i/>
        </w:rPr>
      </w:pPr>
      <w:r w:rsidRPr="004F7914">
        <w:rPr>
          <w:i/>
        </w:rPr>
        <w:t>The Right to Health</w:t>
      </w:r>
    </w:p>
    <w:p w:rsidR="001E1C8D" w:rsidRPr="004F7914" w:rsidRDefault="001E1C8D" w:rsidP="001E1C8D">
      <w:pPr>
        <w:spacing w:before="120" w:after="120"/>
      </w:pPr>
      <w:r w:rsidRPr="004F7914">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1E1C8D" w:rsidRPr="004F7914" w:rsidRDefault="001E1C8D" w:rsidP="001E1C8D">
      <w:pPr>
        <w:spacing w:before="120" w:after="120"/>
      </w:pPr>
      <w:r w:rsidRPr="004F7914">
        <w:t xml:space="preserve">The Committee reports that the </w:t>
      </w:r>
      <w:r w:rsidRPr="004F7914">
        <w:rPr>
          <w:i/>
        </w:rPr>
        <w:t>‘highest attainable standard of health’</w:t>
      </w:r>
      <w:r w:rsidRPr="004F7914">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1E1C8D" w:rsidRPr="004F7914" w:rsidRDefault="001E1C8D" w:rsidP="001E1C8D">
      <w:pPr>
        <w:spacing w:before="120" w:after="120"/>
        <w:rPr>
          <w:i/>
        </w:rPr>
      </w:pPr>
      <w:r w:rsidRPr="004F7914">
        <w:rPr>
          <w:i/>
        </w:rPr>
        <w:t xml:space="preserve">The Right to Social Security </w:t>
      </w:r>
    </w:p>
    <w:p w:rsidR="001E1C8D" w:rsidRPr="004F7914" w:rsidRDefault="001E1C8D" w:rsidP="001E1C8D">
      <w:pPr>
        <w:spacing w:before="120" w:after="120"/>
      </w:pPr>
      <w:r w:rsidRPr="004F7914">
        <w:lastRenderedPageBreak/>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9013D9" w:rsidRDefault="001E1C8D" w:rsidP="001E1C8D">
      <w:pPr>
        <w:spacing w:before="120" w:after="120"/>
      </w:pPr>
      <w:r w:rsidRPr="004F7914">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1E1C8D" w:rsidRPr="004F7914" w:rsidRDefault="001E1C8D" w:rsidP="001E1C8D">
      <w:pPr>
        <w:spacing w:before="120" w:after="120"/>
      </w:pPr>
      <w:r w:rsidRPr="004F7914">
        <w:rPr>
          <w:u w:val="single"/>
        </w:rPr>
        <w:t xml:space="preserve">Analysis </w:t>
      </w:r>
    </w:p>
    <w:p w:rsidR="001E1C8D" w:rsidRPr="001E1C8D" w:rsidRDefault="001E1C8D" w:rsidP="001E1C8D">
      <w:pPr>
        <w:spacing w:before="120" w:after="120"/>
      </w:pPr>
      <w:r w:rsidRPr="004F7914">
        <w:t>The</w:t>
      </w:r>
      <w:r>
        <w:t xml:space="preserve"> Amendment Determination</w:t>
      </w:r>
      <w:r w:rsidRPr="004F7914">
        <w:t xml:space="preserve"> will maintain rights to health and social security by ensuring access to publicly subsidised health services which are clinically and cost</w:t>
      </w:r>
      <w:r>
        <w:t xml:space="preserve"> </w:t>
      </w:r>
      <w:r w:rsidRPr="004F7914">
        <w:t xml:space="preserve">effective. </w:t>
      </w:r>
    </w:p>
    <w:p w:rsidR="0038513B" w:rsidRPr="001E1C8D" w:rsidRDefault="009B60E7" w:rsidP="005C6F48">
      <w:pPr>
        <w:spacing w:before="120" w:after="120"/>
        <w:rPr>
          <w:b/>
        </w:rPr>
      </w:pPr>
      <w:r w:rsidRPr="001E1C8D">
        <w:rPr>
          <w:b/>
        </w:rPr>
        <w:t>Conclusion</w:t>
      </w:r>
    </w:p>
    <w:p w:rsidR="001E1C8D" w:rsidRPr="004F7914" w:rsidRDefault="001E1C8D" w:rsidP="001E1C8D">
      <w:r w:rsidRPr="001E1C8D">
        <w:t xml:space="preserve">This </w:t>
      </w:r>
      <w:r>
        <w:t>Amendment Determination</w:t>
      </w:r>
      <w:r w:rsidRPr="001E1C8D">
        <w:t xml:space="preserve"> is compatible with human rights as it does not raise any human rights issues.</w:t>
      </w:r>
    </w:p>
    <w:p w:rsidR="00BA63C7" w:rsidRPr="00121982" w:rsidRDefault="00BA63C7" w:rsidP="00BA63C7">
      <w:pPr>
        <w:rPr>
          <w:highlight w:val="yellow"/>
          <w:lang w:val="en-US"/>
        </w:rPr>
      </w:pPr>
    </w:p>
    <w:p w:rsidR="009013D9" w:rsidRPr="00121982" w:rsidRDefault="009013D9" w:rsidP="00BA63C7">
      <w:pPr>
        <w:rPr>
          <w:highlight w:val="yellow"/>
          <w:lang w:val="en-US"/>
        </w:rPr>
      </w:pPr>
    </w:p>
    <w:p w:rsidR="00240AF4" w:rsidRPr="00240AF4" w:rsidRDefault="00240AF4" w:rsidP="00240AF4">
      <w:pPr>
        <w:jc w:val="center"/>
        <w:rPr>
          <w:b/>
        </w:rPr>
      </w:pPr>
      <w:r w:rsidRPr="00240AF4">
        <w:rPr>
          <w:b/>
        </w:rPr>
        <w:t>Celia Street</w:t>
      </w:r>
    </w:p>
    <w:p w:rsidR="00240AF4" w:rsidRPr="00240AF4" w:rsidRDefault="00240AF4" w:rsidP="00240AF4">
      <w:pPr>
        <w:jc w:val="center"/>
        <w:rPr>
          <w:b/>
        </w:rPr>
      </w:pPr>
      <w:r w:rsidRPr="00240AF4">
        <w:rPr>
          <w:b/>
        </w:rPr>
        <w:t xml:space="preserve">Assistant Secretary </w:t>
      </w:r>
    </w:p>
    <w:p w:rsidR="00240AF4" w:rsidRPr="00240AF4" w:rsidRDefault="00240AF4" w:rsidP="00240AF4">
      <w:pPr>
        <w:jc w:val="center"/>
        <w:rPr>
          <w:b/>
        </w:rPr>
      </w:pPr>
      <w:r w:rsidRPr="00240AF4">
        <w:rPr>
          <w:b/>
        </w:rPr>
        <w:t>Medical Benefits Division</w:t>
      </w:r>
    </w:p>
    <w:p w:rsidR="00B53E2C" w:rsidRDefault="00B53E2C" w:rsidP="00240AF4">
      <w:pPr>
        <w:jc w:val="center"/>
        <w:rPr>
          <w:b/>
        </w:rPr>
      </w:pPr>
    </w:p>
    <w:sectPr w:rsidR="00B53E2C" w:rsidSect="007D1C97">
      <w:headerReference w:type="first" r:id="rId10"/>
      <w:pgSz w:w="11906" w:h="16838"/>
      <w:pgMar w:top="1134"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97" w:rsidRDefault="007D1C97" w:rsidP="007D1C97">
      <w:r>
        <w:separator/>
      </w:r>
    </w:p>
  </w:endnote>
  <w:endnote w:type="continuationSeparator" w:id="0">
    <w:p w:rsidR="007D1C97" w:rsidRDefault="007D1C97" w:rsidP="007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97" w:rsidRDefault="007D1C97" w:rsidP="007D1C97">
      <w:r>
        <w:separator/>
      </w:r>
    </w:p>
  </w:footnote>
  <w:footnote w:type="continuationSeparator" w:id="0">
    <w:p w:rsidR="007D1C97" w:rsidRDefault="007D1C97" w:rsidP="007D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18154"/>
      <w:docPartObj>
        <w:docPartGallery w:val="Page Numbers (Top of Page)"/>
        <w:docPartUnique/>
      </w:docPartObj>
    </w:sdtPr>
    <w:sdtEndPr>
      <w:rPr>
        <w:noProof/>
      </w:rPr>
    </w:sdtEndPr>
    <w:sdtContent>
      <w:p w:rsidR="007D1C97" w:rsidRDefault="007D1C97">
        <w:pPr>
          <w:pStyle w:val="Header"/>
          <w:jc w:val="center"/>
        </w:pPr>
        <w:r>
          <w:fldChar w:fldCharType="begin"/>
        </w:r>
        <w:r>
          <w:instrText xml:space="preserve"> PAGE   \* MERGEFORMAT </w:instrText>
        </w:r>
        <w:r>
          <w:fldChar w:fldCharType="separate"/>
        </w:r>
        <w:r w:rsidR="001574DE">
          <w:rPr>
            <w:noProof/>
          </w:rPr>
          <w:t>7</w:t>
        </w:r>
        <w:r>
          <w:rPr>
            <w:noProof/>
          </w:rPr>
          <w:fldChar w:fldCharType="end"/>
        </w:r>
      </w:p>
    </w:sdtContent>
  </w:sdt>
  <w:p w:rsidR="007D1C97" w:rsidRDefault="007D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97" w:rsidRDefault="007D1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A8"/>
    <w:multiLevelType w:val="hybridMultilevel"/>
    <w:tmpl w:val="7F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508C6"/>
    <w:multiLevelType w:val="hybridMultilevel"/>
    <w:tmpl w:val="7E94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6F5C31"/>
    <w:multiLevelType w:val="hybridMultilevel"/>
    <w:tmpl w:val="2E0AC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5FF1591"/>
    <w:multiLevelType w:val="hybridMultilevel"/>
    <w:tmpl w:val="14C65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237EDE"/>
    <w:multiLevelType w:val="hybridMultilevel"/>
    <w:tmpl w:val="E1F03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9B5332C"/>
    <w:multiLevelType w:val="hybridMultilevel"/>
    <w:tmpl w:val="B23AD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78E7753"/>
    <w:multiLevelType w:val="hybridMultilevel"/>
    <w:tmpl w:val="11C40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3DE59C1"/>
    <w:multiLevelType w:val="hybridMultilevel"/>
    <w:tmpl w:val="1F161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2180C78"/>
    <w:multiLevelType w:val="hybridMultilevel"/>
    <w:tmpl w:val="FA7C3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1">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69C156D7"/>
    <w:multiLevelType w:val="hybridMultilevel"/>
    <w:tmpl w:val="9CD4E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B710E41"/>
    <w:multiLevelType w:val="hybridMultilevel"/>
    <w:tmpl w:val="2B78F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815FA8"/>
    <w:multiLevelType w:val="hybridMultilevel"/>
    <w:tmpl w:val="A850A754"/>
    <w:lvl w:ilvl="0" w:tplc="445A92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8"/>
  </w:num>
  <w:num w:numId="5">
    <w:abstractNumId w:val="4"/>
  </w:num>
  <w:num w:numId="6">
    <w:abstractNumId w:val="5"/>
  </w:num>
  <w:num w:numId="7">
    <w:abstractNumId w:val="14"/>
  </w:num>
  <w:num w:numId="8">
    <w:abstractNumId w:val="9"/>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FE"/>
    <w:rsid w:val="00003BA0"/>
    <w:rsid w:val="00030C88"/>
    <w:rsid w:val="000326F8"/>
    <w:rsid w:val="00045E91"/>
    <w:rsid w:val="000A3690"/>
    <w:rsid w:val="000B7C9C"/>
    <w:rsid w:val="000F19C8"/>
    <w:rsid w:val="001022DF"/>
    <w:rsid w:val="00121982"/>
    <w:rsid w:val="00134C5B"/>
    <w:rsid w:val="001574DE"/>
    <w:rsid w:val="00162B7C"/>
    <w:rsid w:val="00185C03"/>
    <w:rsid w:val="001C0301"/>
    <w:rsid w:val="001E1C8D"/>
    <w:rsid w:val="001F1552"/>
    <w:rsid w:val="001F54DD"/>
    <w:rsid w:val="00212623"/>
    <w:rsid w:val="00215567"/>
    <w:rsid w:val="002257D1"/>
    <w:rsid w:val="00240AF4"/>
    <w:rsid w:val="002537E3"/>
    <w:rsid w:val="00277B1F"/>
    <w:rsid w:val="002B48FF"/>
    <w:rsid w:val="002D691F"/>
    <w:rsid w:val="00307FD3"/>
    <w:rsid w:val="00343A62"/>
    <w:rsid w:val="003731C2"/>
    <w:rsid w:val="00384451"/>
    <w:rsid w:val="0038513B"/>
    <w:rsid w:val="00397637"/>
    <w:rsid w:val="003B4B2E"/>
    <w:rsid w:val="00404181"/>
    <w:rsid w:val="00404F00"/>
    <w:rsid w:val="00416A30"/>
    <w:rsid w:val="00421BCD"/>
    <w:rsid w:val="00433B1F"/>
    <w:rsid w:val="0046255C"/>
    <w:rsid w:val="0048607A"/>
    <w:rsid w:val="004877D8"/>
    <w:rsid w:val="004A4FE5"/>
    <w:rsid w:val="004A6E13"/>
    <w:rsid w:val="004C4D02"/>
    <w:rsid w:val="004D2D0C"/>
    <w:rsid w:val="004E5CCA"/>
    <w:rsid w:val="004F589D"/>
    <w:rsid w:val="005236A5"/>
    <w:rsid w:val="005646E9"/>
    <w:rsid w:val="00573E9B"/>
    <w:rsid w:val="0057685F"/>
    <w:rsid w:val="00582670"/>
    <w:rsid w:val="0059234D"/>
    <w:rsid w:val="00596447"/>
    <w:rsid w:val="005A24C2"/>
    <w:rsid w:val="005C6F48"/>
    <w:rsid w:val="005F1B32"/>
    <w:rsid w:val="005F1F57"/>
    <w:rsid w:val="00623D75"/>
    <w:rsid w:val="006317B0"/>
    <w:rsid w:val="00643E37"/>
    <w:rsid w:val="006514C0"/>
    <w:rsid w:val="00666E00"/>
    <w:rsid w:val="006723EF"/>
    <w:rsid w:val="006950C6"/>
    <w:rsid w:val="006D06F9"/>
    <w:rsid w:val="00724F7F"/>
    <w:rsid w:val="00783AD5"/>
    <w:rsid w:val="00793DD4"/>
    <w:rsid w:val="007C26E2"/>
    <w:rsid w:val="007C7DCE"/>
    <w:rsid w:val="007D1263"/>
    <w:rsid w:val="007D1C97"/>
    <w:rsid w:val="007D327B"/>
    <w:rsid w:val="007F462D"/>
    <w:rsid w:val="007F4E20"/>
    <w:rsid w:val="00813E7E"/>
    <w:rsid w:val="00823831"/>
    <w:rsid w:val="00831A2F"/>
    <w:rsid w:val="008A137C"/>
    <w:rsid w:val="008E3110"/>
    <w:rsid w:val="008E5580"/>
    <w:rsid w:val="008E663D"/>
    <w:rsid w:val="008F2302"/>
    <w:rsid w:val="009013D9"/>
    <w:rsid w:val="009048D7"/>
    <w:rsid w:val="009125AD"/>
    <w:rsid w:val="009174AB"/>
    <w:rsid w:val="00925DA9"/>
    <w:rsid w:val="00932B62"/>
    <w:rsid w:val="00954B11"/>
    <w:rsid w:val="0097323E"/>
    <w:rsid w:val="009837A9"/>
    <w:rsid w:val="009B530B"/>
    <w:rsid w:val="009B60E7"/>
    <w:rsid w:val="009E6D05"/>
    <w:rsid w:val="009F41EF"/>
    <w:rsid w:val="00A1331F"/>
    <w:rsid w:val="00A76BCB"/>
    <w:rsid w:val="00A770AA"/>
    <w:rsid w:val="00A81FC7"/>
    <w:rsid w:val="00A86A7E"/>
    <w:rsid w:val="00AB6EFE"/>
    <w:rsid w:val="00AD0F24"/>
    <w:rsid w:val="00AF60DC"/>
    <w:rsid w:val="00AF760F"/>
    <w:rsid w:val="00B062DE"/>
    <w:rsid w:val="00B33A12"/>
    <w:rsid w:val="00B42FD1"/>
    <w:rsid w:val="00B53E2C"/>
    <w:rsid w:val="00B557B6"/>
    <w:rsid w:val="00B80379"/>
    <w:rsid w:val="00BA63C7"/>
    <w:rsid w:val="00BD67D3"/>
    <w:rsid w:val="00BF4BD2"/>
    <w:rsid w:val="00C07945"/>
    <w:rsid w:val="00C33084"/>
    <w:rsid w:val="00C53EE8"/>
    <w:rsid w:val="00C7656E"/>
    <w:rsid w:val="00CA5A8F"/>
    <w:rsid w:val="00CC3E3A"/>
    <w:rsid w:val="00D15C0F"/>
    <w:rsid w:val="00D4077A"/>
    <w:rsid w:val="00D563D4"/>
    <w:rsid w:val="00D61421"/>
    <w:rsid w:val="00D61784"/>
    <w:rsid w:val="00D862D7"/>
    <w:rsid w:val="00D866BD"/>
    <w:rsid w:val="00DD0268"/>
    <w:rsid w:val="00E45554"/>
    <w:rsid w:val="00ED496D"/>
    <w:rsid w:val="00EE13CF"/>
    <w:rsid w:val="00F214D8"/>
    <w:rsid w:val="00F221D5"/>
    <w:rsid w:val="00F319FD"/>
    <w:rsid w:val="00F6738E"/>
    <w:rsid w:val="00F978B3"/>
    <w:rsid w:val="00FA05CA"/>
    <w:rsid w:val="00FB557A"/>
    <w:rsid w:val="00FC5F55"/>
    <w:rsid w:val="00FE6C63"/>
    <w:rsid w:val="00FF2550"/>
    <w:rsid w:val="00FF6BBD"/>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FE"/>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 w:type="character" w:styleId="Hyperlink">
    <w:name w:val="Hyperlink"/>
    <w:basedOn w:val="DefaultParagraphFont"/>
    <w:uiPriority w:val="99"/>
    <w:unhideWhenUsed/>
    <w:rsid w:val="00CC3E3A"/>
    <w:rPr>
      <w:color w:val="0000FF" w:themeColor="hyperlink"/>
      <w:u w:val="single"/>
    </w:rPr>
  </w:style>
  <w:style w:type="paragraph" w:styleId="ListNumber">
    <w:name w:val="List Number"/>
    <w:basedOn w:val="Normal"/>
    <w:uiPriority w:val="99"/>
    <w:qFormat/>
    <w:rsid w:val="00925DA9"/>
    <w:pPr>
      <w:numPr>
        <w:numId w:val="11"/>
      </w:numPr>
      <w:spacing w:after="200" w:line="276" w:lineRule="auto"/>
    </w:pPr>
    <w:rPr>
      <w:rFonts w:ascii="Arial" w:eastAsia="Calibri" w:hAnsi="Arial"/>
      <w:sz w:val="22"/>
      <w:szCs w:val="22"/>
    </w:rPr>
  </w:style>
  <w:style w:type="paragraph" w:styleId="ListNumber2">
    <w:name w:val="List Number 2"/>
    <w:basedOn w:val="Normal"/>
    <w:uiPriority w:val="99"/>
    <w:rsid w:val="00925DA9"/>
    <w:pPr>
      <w:numPr>
        <w:ilvl w:val="1"/>
        <w:numId w:val="11"/>
      </w:numPr>
      <w:spacing w:after="200" w:line="276" w:lineRule="auto"/>
    </w:pPr>
    <w:rPr>
      <w:rFonts w:ascii="Arial" w:eastAsia="Calibri" w:hAnsi="Arial"/>
      <w:sz w:val="22"/>
      <w:szCs w:val="22"/>
    </w:rPr>
  </w:style>
  <w:style w:type="paragraph" w:styleId="ListNumber3">
    <w:name w:val="List Number 3"/>
    <w:basedOn w:val="Normal"/>
    <w:uiPriority w:val="99"/>
    <w:rsid w:val="00925DA9"/>
    <w:pPr>
      <w:numPr>
        <w:ilvl w:val="2"/>
        <w:numId w:val="11"/>
      </w:numPr>
      <w:spacing w:after="200" w:line="276" w:lineRule="auto"/>
    </w:pPr>
    <w:rPr>
      <w:rFonts w:ascii="Arial" w:eastAsia="Calibri" w:hAnsi="Arial"/>
      <w:sz w:val="22"/>
      <w:szCs w:val="22"/>
    </w:rPr>
  </w:style>
  <w:style w:type="paragraph" w:styleId="ListNumber4">
    <w:name w:val="List Number 4"/>
    <w:basedOn w:val="Normal"/>
    <w:uiPriority w:val="99"/>
    <w:rsid w:val="00925DA9"/>
    <w:pPr>
      <w:numPr>
        <w:ilvl w:val="3"/>
        <w:numId w:val="11"/>
      </w:numPr>
      <w:spacing w:after="200" w:line="276" w:lineRule="auto"/>
    </w:pPr>
    <w:rPr>
      <w:rFonts w:ascii="Arial" w:eastAsia="Calibri" w:hAnsi="Arial"/>
      <w:sz w:val="22"/>
      <w:szCs w:val="22"/>
    </w:rPr>
  </w:style>
  <w:style w:type="paragraph" w:styleId="ListNumber5">
    <w:name w:val="List Number 5"/>
    <w:basedOn w:val="Normal"/>
    <w:uiPriority w:val="99"/>
    <w:rsid w:val="00925DA9"/>
    <w:pPr>
      <w:numPr>
        <w:ilvl w:val="4"/>
        <w:numId w:val="11"/>
      </w:numPr>
      <w:spacing w:after="200" w:line="276" w:lineRule="auto"/>
    </w:pPr>
    <w:rPr>
      <w:rFonts w:ascii="Arial" w:eastAsia="Calibri" w:hAnsi="Arial"/>
      <w:sz w:val="22"/>
      <w:szCs w:val="22"/>
    </w:rPr>
  </w:style>
  <w:style w:type="character" w:customStyle="1" w:styleId="apple-converted-space">
    <w:name w:val="apple-converted-space"/>
    <w:basedOn w:val="DefaultParagraphFont"/>
    <w:rsid w:val="00B53E2C"/>
  </w:style>
  <w:style w:type="character" w:styleId="CommentReference">
    <w:name w:val="annotation reference"/>
    <w:basedOn w:val="DefaultParagraphFont"/>
    <w:uiPriority w:val="99"/>
    <w:semiHidden/>
    <w:unhideWhenUsed/>
    <w:rsid w:val="00BD67D3"/>
    <w:rPr>
      <w:sz w:val="16"/>
      <w:szCs w:val="16"/>
    </w:rPr>
  </w:style>
  <w:style w:type="paragraph" w:styleId="CommentText">
    <w:name w:val="annotation text"/>
    <w:basedOn w:val="Normal"/>
    <w:link w:val="CommentTextChar"/>
    <w:uiPriority w:val="99"/>
    <w:semiHidden/>
    <w:unhideWhenUsed/>
    <w:rsid w:val="00BD67D3"/>
    <w:rPr>
      <w:sz w:val="20"/>
      <w:szCs w:val="20"/>
    </w:rPr>
  </w:style>
  <w:style w:type="character" w:customStyle="1" w:styleId="CommentTextChar">
    <w:name w:val="Comment Text Char"/>
    <w:basedOn w:val="DefaultParagraphFont"/>
    <w:link w:val="CommentText"/>
    <w:uiPriority w:val="99"/>
    <w:semiHidden/>
    <w:rsid w:val="00BD67D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7D3"/>
    <w:rPr>
      <w:b/>
      <w:bCs/>
    </w:rPr>
  </w:style>
  <w:style w:type="character" w:customStyle="1" w:styleId="CommentSubjectChar">
    <w:name w:val="Comment Subject Char"/>
    <w:basedOn w:val="CommentTextChar"/>
    <w:link w:val="CommentSubject"/>
    <w:uiPriority w:val="99"/>
    <w:semiHidden/>
    <w:rsid w:val="00BD67D3"/>
    <w:rPr>
      <w:rFonts w:eastAsia="Times New Roman" w:cs="Times New Roman"/>
      <w:b/>
      <w:bCs/>
      <w:sz w:val="20"/>
      <w:szCs w:val="20"/>
    </w:rPr>
  </w:style>
  <w:style w:type="paragraph" w:styleId="Header">
    <w:name w:val="header"/>
    <w:basedOn w:val="Normal"/>
    <w:link w:val="HeaderChar"/>
    <w:uiPriority w:val="99"/>
    <w:unhideWhenUsed/>
    <w:rsid w:val="007D1C97"/>
    <w:pPr>
      <w:tabs>
        <w:tab w:val="center" w:pos="4513"/>
        <w:tab w:val="right" w:pos="9026"/>
      </w:tabs>
    </w:pPr>
  </w:style>
  <w:style w:type="character" w:customStyle="1" w:styleId="HeaderChar">
    <w:name w:val="Header Char"/>
    <w:basedOn w:val="DefaultParagraphFont"/>
    <w:link w:val="Header"/>
    <w:uiPriority w:val="99"/>
    <w:rsid w:val="007D1C97"/>
    <w:rPr>
      <w:rFonts w:eastAsia="Times New Roman" w:cs="Times New Roman"/>
      <w:szCs w:val="24"/>
    </w:rPr>
  </w:style>
  <w:style w:type="paragraph" w:styleId="Footer">
    <w:name w:val="footer"/>
    <w:basedOn w:val="Normal"/>
    <w:link w:val="FooterChar"/>
    <w:uiPriority w:val="99"/>
    <w:unhideWhenUsed/>
    <w:rsid w:val="007D1C97"/>
    <w:pPr>
      <w:tabs>
        <w:tab w:val="center" w:pos="4513"/>
        <w:tab w:val="right" w:pos="9026"/>
      </w:tabs>
    </w:pPr>
  </w:style>
  <w:style w:type="character" w:customStyle="1" w:styleId="FooterChar">
    <w:name w:val="Footer Char"/>
    <w:basedOn w:val="DefaultParagraphFont"/>
    <w:link w:val="Footer"/>
    <w:uiPriority w:val="99"/>
    <w:rsid w:val="007D1C97"/>
    <w:rPr>
      <w:rFonts w:eastAsia="Times New Roman" w:cs="Times New Roman"/>
      <w:szCs w:val="24"/>
    </w:rPr>
  </w:style>
  <w:style w:type="paragraph" w:styleId="Revision">
    <w:name w:val="Revision"/>
    <w:hidden/>
    <w:uiPriority w:val="99"/>
    <w:semiHidden/>
    <w:rsid w:val="000326F8"/>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FE"/>
    <w:pPr>
      <w:spacing w:after="0" w:line="240" w:lineRule="auto"/>
    </w:pPr>
    <w:rPr>
      <w:rFonts w:eastAsia="Times New Roman" w:cs="Times New Roman"/>
      <w:szCs w:val="24"/>
    </w:rPr>
  </w:style>
  <w:style w:type="paragraph" w:styleId="Heading3">
    <w:name w:val="heading 3"/>
    <w:basedOn w:val="Normal"/>
    <w:next w:val="Normal"/>
    <w:link w:val="Heading3Char"/>
    <w:qFormat/>
    <w:rsid w:val="00AB6EFE"/>
    <w:pPr>
      <w:keepNext/>
      <w:spacing w:before="240" w:after="60"/>
      <w:outlineLvl w:val="2"/>
    </w:pPr>
    <w:rPr>
      <w:rFonts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6EFE"/>
    <w:rPr>
      <w:rFonts w:eastAsia="Times New Roman" w:cs="Arial"/>
      <w:b/>
      <w:bCs/>
      <w:sz w:val="26"/>
      <w:szCs w:val="26"/>
      <w:lang w:val="en-US"/>
    </w:rPr>
  </w:style>
  <w:style w:type="paragraph" w:styleId="ListParagraph">
    <w:name w:val="List Paragraph"/>
    <w:basedOn w:val="Normal"/>
    <w:uiPriority w:val="34"/>
    <w:qFormat/>
    <w:rsid w:val="00AB6EFE"/>
    <w:pPr>
      <w:ind w:left="720"/>
      <w:contextualSpacing/>
    </w:pPr>
  </w:style>
  <w:style w:type="paragraph" w:styleId="BalloonText">
    <w:name w:val="Balloon Text"/>
    <w:basedOn w:val="Normal"/>
    <w:link w:val="BalloonTextChar"/>
    <w:uiPriority w:val="99"/>
    <w:semiHidden/>
    <w:unhideWhenUsed/>
    <w:rsid w:val="001F54DD"/>
    <w:rPr>
      <w:rFonts w:ascii="Tahoma" w:hAnsi="Tahoma" w:cs="Tahoma"/>
      <w:sz w:val="16"/>
      <w:szCs w:val="16"/>
    </w:rPr>
  </w:style>
  <w:style w:type="character" w:customStyle="1" w:styleId="BalloonTextChar">
    <w:name w:val="Balloon Text Char"/>
    <w:basedOn w:val="DefaultParagraphFont"/>
    <w:link w:val="BalloonText"/>
    <w:uiPriority w:val="99"/>
    <w:semiHidden/>
    <w:rsid w:val="001F54DD"/>
    <w:rPr>
      <w:rFonts w:ascii="Tahoma" w:eastAsia="Times New Roman" w:hAnsi="Tahoma" w:cs="Tahoma"/>
      <w:sz w:val="16"/>
      <w:szCs w:val="16"/>
    </w:rPr>
  </w:style>
  <w:style w:type="character" w:styleId="Hyperlink">
    <w:name w:val="Hyperlink"/>
    <w:basedOn w:val="DefaultParagraphFont"/>
    <w:uiPriority w:val="99"/>
    <w:unhideWhenUsed/>
    <w:rsid w:val="00CC3E3A"/>
    <w:rPr>
      <w:color w:val="0000FF" w:themeColor="hyperlink"/>
      <w:u w:val="single"/>
    </w:rPr>
  </w:style>
  <w:style w:type="paragraph" w:styleId="ListNumber">
    <w:name w:val="List Number"/>
    <w:basedOn w:val="Normal"/>
    <w:uiPriority w:val="99"/>
    <w:qFormat/>
    <w:rsid w:val="00925DA9"/>
    <w:pPr>
      <w:numPr>
        <w:numId w:val="11"/>
      </w:numPr>
      <w:spacing w:after="200" w:line="276" w:lineRule="auto"/>
    </w:pPr>
    <w:rPr>
      <w:rFonts w:ascii="Arial" w:eastAsia="Calibri" w:hAnsi="Arial"/>
      <w:sz w:val="22"/>
      <w:szCs w:val="22"/>
    </w:rPr>
  </w:style>
  <w:style w:type="paragraph" w:styleId="ListNumber2">
    <w:name w:val="List Number 2"/>
    <w:basedOn w:val="Normal"/>
    <w:uiPriority w:val="99"/>
    <w:rsid w:val="00925DA9"/>
    <w:pPr>
      <w:numPr>
        <w:ilvl w:val="1"/>
        <w:numId w:val="11"/>
      </w:numPr>
      <w:spacing w:after="200" w:line="276" w:lineRule="auto"/>
    </w:pPr>
    <w:rPr>
      <w:rFonts w:ascii="Arial" w:eastAsia="Calibri" w:hAnsi="Arial"/>
      <w:sz w:val="22"/>
      <w:szCs w:val="22"/>
    </w:rPr>
  </w:style>
  <w:style w:type="paragraph" w:styleId="ListNumber3">
    <w:name w:val="List Number 3"/>
    <w:basedOn w:val="Normal"/>
    <w:uiPriority w:val="99"/>
    <w:rsid w:val="00925DA9"/>
    <w:pPr>
      <w:numPr>
        <w:ilvl w:val="2"/>
        <w:numId w:val="11"/>
      </w:numPr>
      <w:spacing w:after="200" w:line="276" w:lineRule="auto"/>
    </w:pPr>
    <w:rPr>
      <w:rFonts w:ascii="Arial" w:eastAsia="Calibri" w:hAnsi="Arial"/>
      <w:sz w:val="22"/>
      <w:szCs w:val="22"/>
    </w:rPr>
  </w:style>
  <w:style w:type="paragraph" w:styleId="ListNumber4">
    <w:name w:val="List Number 4"/>
    <w:basedOn w:val="Normal"/>
    <w:uiPriority w:val="99"/>
    <w:rsid w:val="00925DA9"/>
    <w:pPr>
      <w:numPr>
        <w:ilvl w:val="3"/>
        <w:numId w:val="11"/>
      </w:numPr>
      <w:spacing w:after="200" w:line="276" w:lineRule="auto"/>
    </w:pPr>
    <w:rPr>
      <w:rFonts w:ascii="Arial" w:eastAsia="Calibri" w:hAnsi="Arial"/>
      <w:sz w:val="22"/>
      <w:szCs w:val="22"/>
    </w:rPr>
  </w:style>
  <w:style w:type="paragraph" w:styleId="ListNumber5">
    <w:name w:val="List Number 5"/>
    <w:basedOn w:val="Normal"/>
    <w:uiPriority w:val="99"/>
    <w:rsid w:val="00925DA9"/>
    <w:pPr>
      <w:numPr>
        <w:ilvl w:val="4"/>
        <w:numId w:val="11"/>
      </w:numPr>
      <w:spacing w:after="200" w:line="276" w:lineRule="auto"/>
    </w:pPr>
    <w:rPr>
      <w:rFonts w:ascii="Arial" w:eastAsia="Calibri" w:hAnsi="Arial"/>
      <w:sz w:val="22"/>
      <w:szCs w:val="22"/>
    </w:rPr>
  </w:style>
  <w:style w:type="character" w:customStyle="1" w:styleId="apple-converted-space">
    <w:name w:val="apple-converted-space"/>
    <w:basedOn w:val="DefaultParagraphFont"/>
    <w:rsid w:val="00B53E2C"/>
  </w:style>
  <w:style w:type="character" w:styleId="CommentReference">
    <w:name w:val="annotation reference"/>
    <w:basedOn w:val="DefaultParagraphFont"/>
    <w:uiPriority w:val="99"/>
    <w:semiHidden/>
    <w:unhideWhenUsed/>
    <w:rsid w:val="00BD67D3"/>
    <w:rPr>
      <w:sz w:val="16"/>
      <w:szCs w:val="16"/>
    </w:rPr>
  </w:style>
  <w:style w:type="paragraph" w:styleId="CommentText">
    <w:name w:val="annotation text"/>
    <w:basedOn w:val="Normal"/>
    <w:link w:val="CommentTextChar"/>
    <w:uiPriority w:val="99"/>
    <w:semiHidden/>
    <w:unhideWhenUsed/>
    <w:rsid w:val="00BD67D3"/>
    <w:rPr>
      <w:sz w:val="20"/>
      <w:szCs w:val="20"/>
    </w:rPr>
  </w:style>
  <w:style w:type="character" w:customStyle="1" w:styleId="CommentTextChar">
    <w:name w:val="Comment Text Char"/>
    <w:basedOn w:val="DefaultParagraphFont"/>
    <w:link w:val="CommentText"/>
    <w:uiPriority w:val="99"/>
    <w:semiHidden/>
    <w:rsid w:val="00BD67D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67D3"/>
    <w:rPr>
      <w:b/>
      <w:bCs/>
    </w:rPr>
  </w:style>
  <w:style w:type="character" w:customStyle="1" w:styleId="CommentSubjectChar">
    <w:name w:val="Comment Subject Char"/>
    <w:basedOn w:val="CommentTextChar"/>
    <w:link w:val="CommentSubject"/>
    <w:uiPriority w:val="99"/>
    <w:semiHidden/>
    <w:rsid w:val="00BD67D3"/>
    <w:rPr>
      <w:rFonts w:eastAsia="Times New Roman" w:cs="Times New Roman"/>
      <w:b/>
      <w:bCs/>
      <w:sz w:val="20"/>
      <w:szCs w:val="20"/>
    </w:rPr>
  </w:style>
  <w:style w:type="paragraph" w:styleId="Header">
    <w:name w:val="header"/>
    <w:basedOn w:val="Normal"/>
    <w:link w:val="HeaderChar"/>
    <w:uiPriority w:val="99"/>
    <w:unhideWhenUsed/>
    <w:rsid w:val="007D1C97"/>
    <w:pPr>
      <w:tabs>
        <w:tab w:val="center" w:pos="4513"/>
        <w:tab w:val="right" w:pos="9026"/>
      </w:tabs>
    </w:pPr>
  </w:style>
  <w:style w:type="character" w:customStyle="1" w:styleId="HeaderChar">
    <w:name w:val="Header Char"/>
    <w:basedOn w:val="DefaultParagraphFont"/>
    <w:link w:val="Header"/>
    <w:uiPriority w:val="99"/>
    <w:rsid w:val="007D1C97"/>
    <w:rPr>
      <w:rFonts w:eastAsia="Times New Roman" w:cs="Times New Roman"/>
      <w:szCs w:val="24"/>
    </w:rPr>
  </w:style>
  <w:style w:type="paragraph" w:styleId="Footer">
    <w:name w:val="footer"/>
    <w:basedOn w:val="Normal"/>
    <w:link w:val="FooterChar"/>
    <w:uiPriority w:val="99"/>
    <w:unhideWhenUsed/>
    <w:rsid w:val="007D1C97"/>
    <w:pPr>
      <w:tabs>
        <w:tab w:val="center" w:pos="4513"/>
        <w:tab w:val="right" w:pos="9026"/>
      </w:tabs>
    </w:pPr>
  </w:style>
  <w:style w:type="character" w:customStyle="1" w:styleId="FooterChar">
    <w:name w:val="Footer Char"/>
    <w:basedOn w:val="DefaultParagraphFont"/>
    <w:link w:val="Footer"/>
    <w:uiPriority w:val="99"/>
    <w:rsid w:val="007D1C97"/>
    <w:rPr>
      <w:rFonts w:eastAsia="Times New Roman" w:cs="Times New Roman"/>
      <w:szCs w:val="24"/>
    </w:rPr>
  </w:style>
  <w:style w:type="paragraph" w:styleId="Revision">
    <w:name w:val="Revision"/>
    <w:hidden/>
    <w:uiPriority w:val="99"/>
    <w:semiHidden/>
    <w:rsid w:val="000326F8"/>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1930">
      <w:bodyDiv w:val="1"/>
      <w:marLeft w:val="0"/>
      <w:marRight w:val="0"/>
      <w:marTop w:val="0"/>
      <w:marBottom w:val="0"/>
      <w:divBdr>
        <w:top w:val="none" w:sz="0" w:space="0" w:color="auto"/>
        <w:left w:val="none" w:sz="0" w:space="0" w:color="auto"/>
        <w:bottom w:val="none" w:sz="0" w:space="0" w:color="auto"/>
        <w:right w:val="none" w:sz="0" w:space="0" w:color="auto"/>
      </w:divBdr>
    </w:div>
    <w:div w:id="227612390">
      <w:bodyDiv w:val="1"/>
      <w:marLeft w:val="0"/>
      <w:marRight w:val="0"/>
      <w:marTop w:val="0"/>
      <w:marBottom w:val="0"/>
      <w:divBdr>
        <w:top w:val="none" w:sz="0" w:space="0" w:color="auto"/>
        <w:left w:val="none" w:sz="0" w:space="0" w:color="auto"/>
        <w:bottom w:val="none" w:sz="0" w:space="0" w:color="auto"/>
        <w:right w:val="none" w:sz="0" w:space="0" w:color="auto"/>
      </w:divBdr>
    </w:div>
    <w:div w:id="380176724">
      <w:bodyDiv w:val="1"/>
      <w:marLeft w:val="0"/>
      <w:marRight w:val="0"/>
      <w:marTop w:val="0"/>
      <w:marBottom w:val="0"/>
      <w:divBdr>
        <w:top w:val="none" w:sz="0" w:space="0" w:color="auto"/>
        <w:left w:val="none" w:sz="0" w:space="0" w:color="auto"/>
        <w:bottom w:val="none" w:sz="0" w:space="0" w:color="auto"/>
        <w:right w:val="none" w:sz="0" w:space="0" w:color="auto"/>
      </w:divBdr>
    </w:div>
    <w:div w:id="530919629">
      <w:bodyDiv w:val="1"/>
      <w:marLeft w:val="0"/>
      <w:marRight w:val="0"/>
      <w:marTop w:val="0"/>
      <w:marBottom w:val="0"/>
      <w:divBdr>
        <w:top w:val="none" w:sz="0" w:space="0" w:color="auto"/>
        <w:left w:val="none" w:sz="0" w:space="0" w:color="auto"/>
        <w:bottom w:val="none" w:sz="0" w:space="0" w:color="auto"/>
        <w:right w:val="none" w:sz="0" w:space="0" w:color="auto"/>
      </w:divBdr>
    </w:div>
    <w:div w:id="813986428">
      <w:bodyDiv w:val="1"/>
      <w:marLeft w:val="0"/>
      <w:marRight w:val="0"/>
      <w:marTop w:val="0"/>
      <w:marBottom w:val="0"/>
      <w:divBdr>
        <w:top w:val="none" w:sz="0" w:space="0" w:color="auto"/>
        <w:left w:val="none" w:sz="0" w:space="0" w:color="auto"/>
        <w:bottom w:val="none" w:sz="0" w:space="0" w:color="auto"/>
        <w:right w:val="none" w:sz="0" w:space="0" w:color="auto"/>
      </w:divBdr>
      <w:divsChild>
        <w:div w:id="1404596480">
          <w:marLeft w:val="0"/>
          <w:marRight w:val="0"/>
          <w:marTop w:val="0"/>
          <w:marBottom w:val="0"/>
          <w:divBdr>
            <w:top w:val="none" w:sz="0" w:space="0" w:color="auto"/>
            <w:left w:val="none" w:sz="0" w:space="0" w:color="auto"/>
            <w:bottom w:val="none" w:sz="0" w:space="0" w:color="auto"/>
            <w:right w:val="none" w:sz="0" w:space="0" w:color="auto"/>
          </w:divBdr>
          <w:divsChild>
            <w:div w:id="1958103731">
              <w:marLeft w:val="0"/>
              <w:marRight w:val="0"/>
              <w:marTop w:val="0"/>
              <w:marBottom w:val="0"/>
              <w:divBdr>
                <w:top w:val="none" w:sz="0" w:space="0" w:color="auto"/>
                <w:left w:val="none" w:sz="0" w:space="0" w:color="auto"/>
                <w:bottom w:val="none" w:sz="0" w:space="0" w:color="auto"/>
                <w:right w:val="none" w:sz="0" w:space="0" w:color="auto"/>
              </w:divBdr>
              <w:divsChild>
                <w:div w:id="1364553625">
                  <w:marLeft w:val="0"/>
                  <w:marRight w:val="0"/>
                  <w:marTop w:val="0"/>
                  <w:marBottom w:val="0"/>
                  <w:divBdr>
                    <w:top w:val="none" w:sz="0" w:space="0" w:color="auto"/>
                    <w:left w:val="none" w:sz="0" w:space="0" w:color="auto"/>
                    <w:bottom w:val="none" w:sz="0" w:space="0" w:color="auto"/>
                    <w:right w:val="none" w:sz="0" w:space="0" w:color="auto"/>
                  </w:divBdr>
                  <w:divsChild>
                    <w:div w:id="1309748579">
                      <w:marLeft w:val="0"/>
                      <w:marRight w:val="0"/>
                      <w:marTop w:val="0"/>
                      <w:marBottom w:val="0"/>
                      <w:divBdr>
                        <w:top w:val="none" w:sz="0" w:space="0" w:color="auto"/>
                        <w:left w:val="none" w:sz="0" w:space="0" w:color="auto"/>
                        <w:bottom w:val="none" w:sz="0" w:space="0" w:color="auto"/>
                        <w:right w:val="none" w:sz="0" w:space="0" w:color="auto"/>
                      </w:divBdr>
                      <w:divsChild>
                        <w:div w:id="488251740">
                          <w:marLeft w:val="0"/>
                          <w:marRight w:val="0"/>
                          <w:marTop w:val="0"/>
                          <w:marBottom w:val="0"/>
                          <w:divBdr>
                            <w:top w:val="none" w:sz="0" w:space="0" w:color="auto"/>
                            <w:left w:val="none" w:sz="0" w:space="0" w:color="auto"/>
                            <w:bottom w:val="none" w:sz="0" w:space="0" w:color="auto"/>
                            <w:right w:val="none" w:sz="0" w:space="0" w:color="auto"/>
                          </w:divBdr>
                          <w:divsChild>
                            <w:div w:id="886377927">
                              <w:marLeft w:val="0"/>
                              <w:marRight w:val="0"/>
                              <w:marTop w:val="0"/>
                              <w:marBottom w:val="0"/>
                              <w:divBdr>
                                <w:top w:val="none" w:sz="0" w:space="0" w:color="auto"/>
                                <w:left w:val="none" w:sz="0" w:space="0" w:color="auto"/>
                                <w:bottom w:val="none" w:sz="0" w:space="0" w:color="auto"/>
                                <w:right w:val="none" w:sz="0" w:space="0" w:color="auto"/>
                              </w:divBdr>
                              <w:divsChild>
                                <w:div w:id="1904219025">
                                  <w:marLeft w:val="0"/>
                                  <w:marRight w:val="0"/>
                                  <w:marTop w:val="0"/>
                                  <w:marBottom w:val="0"/>
                                  <w:divBdr>
                                    <w:top w:val="none" w:sz="0" w:space="0" w:color="auto"/>
                                    <w:left w:val="none" w:sz="0" w:space="0" w:color="auto"/>
                                    <w:bottom w:val="none" w:sz="0" w:space="0" w:color="auto"/>
                                    <w:right w:val="none" w:sz="0" w:space="0" w:color="auto"/>
                                  </w:divBdr>
                                  <w:divsChild>
                                    <w:div w:id="1581914530">
                                      <w:marLeft w:val="0"/>
                                      <w:marRight w:val="0"/>
                                      <w:marTop w:val="0"/>
                                      <w:marBottom w:val="0"/>
                                      <w:divBdr>
                                        <w:top w:val="none" w:sz="0" w:space="0" w:color="auto"/>
                                        <w:left w:val="none" w:sz="0" w:space="0" w:color="auto"/>
                                        <w:bottom w:val="none" w:sz="0" w:space="0" w:color="auto"/>
                                        <w:right w:val="none" w:sz="0" w:space="0" w:color="auto"/>
                                      </w:divBdr>
                                      <w:divsChild>
                                        <w:div w:id="896934974">
                                          <w:marLeft w:val="0"/>
                                          <w:marRight w:val="0"/>
                                          <w:marTop w:val="0"/>
                                          <w:marBottom w:val="0"/>
                                          <w:divBdr>
                                            <w:top w:val="none" w:sz="0" w:space="0" w:color="auto"/>
                                            <w:left w:val="none" w:sz="0" w:space="0" w:color="auto"/>
                                            <w:bottom w:val="none" w:sz="0" w:space="0" w:color="auto"/>
                                            <w:right w:val="none" w:sz="0" w:space="0" w:color="auto"/>
                                          </w:divBdr>
                                          <w:divsChild>
                                            <w:div w:id="903180140">
                                              <w:marLeft w:val="0"/>
                                              <w:marRight w:val="0"/>
                                              <w:marTop w:val="0"/>
                                              <w:marBottom w:val="0"/>
                                              <w:divBdr>
                                                <w:top w:val="none" w:sz="0" w:space="0" w:color="auto"/>
                                                <w:left w:val="none" w:sz="0" w:space="0" w:color="auto"/>
                                                <w:bottom w:val="none" w:sz="0" w:space="0" w:color="auto"/>
                                                <w:right w:val="none" w:sz="0" w:space="0" w:color="auto"/>
                                              </w:divBdr>
                                              <w:divsChild>
                                                <w:div w:id="703749515">
                                                  <w:marLeft w:val="0"/>
                                                  <w:marRight w:val="0"/>
                                                  <w:marTop w:val="0"/>
                                                  <w:marBottom w:val="0"/>
                                                  <w:divBdr>
                                                    <w:top w:val="none" w:sz="0" w:space="0" w:color="auto"/>
                                                    <w:left w:val="none" w:sz="0" w:space="0" w:color="auto"/>
                                                    <w:bottom w:val="none" w:sz="0" w:space="0" w:color="auto"/>
                                                    <w:right w:val="none" w:sz="0" w:space="0" w:color="auto"/>
                                                  </w:divBdr>
                                                  <w:divsChild>
                                                    <w:div w:id="1630281858">
                                                      <w:marLeft w:val="0"/>
                                                      <w:marRight w:val="0"/>
                                                      <w:marTop w:val="0"/>
                                                      <w:marBottom w:val="0"/>
                                                      <w:divBdr>
                                                        <w:top w:val="none" w:sz="0" w:space="0" w:color="auto"/>
                                                        <w:left w:val="none" w:sz="0" w:space="0" w:color="auto"/>
                                                        <w:bottom w:val="none" w:sz="0" w:space="0" w:color="auto"/>
                                                        <w:right w:val="none" w:sz="0" w:space="0" w:color="auto"/>
                                                      </w:divBdr>
                                                      <w:divsChild>
                                                        <w:div w:id="567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0A0D-B526-4609-8082-EED8F9A5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1972</Words>
  <Characters>11244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Lindsay</dc:creator>
  <cp:lastModifiedBy>KWONG, Jady</cp:lastModifiedBy>
  <cp:revision>2</cp:revision>
  <cp:lastPrinted>2018-06-20T02:47:00Z</cp:lastPrinted>
  <dcterms:created xsi:type="dcterms:W3CDTF">2018-06-26T07:59:00Z</dcterms:created>
  <dcterms:modified xsi:type="dcterms:W3CDTF">2018-06-26T07:59:00Z</dcterms:modified>
</cp:coreProperties>
</file>