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0285"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70B58034" w14:textId="501A3A2B" w:rsidR="006D75FF" w:rsidRPr="006D75FF" w:rsidRDefault="006D75FF" w:rsidP="006D75FF">
      <w:pPr>
        <w:pStyle w:val="Heading2"/>
        <w:spacing w:before="240" w:after="240"/>
        <w:jc w:val="center"/>
        <w:rPr>
          <w:rFonts w:ascii="Times New Roman" w:hAnsi="Times New Roman" w:cs="Times New Roman"/>
          <w:u w:val="single"/>
        </w:rPr>
      </w:pPr>
      <w:r w:rsidRPr="006D75FF">
        <w:rPr>
          <w:rFonts w:ascii="Times New Roman" w:hAnsi="Times New Roman" w:cs="Times New Roman"/>
          <w:color w:val="auto"/>
          <w:u w:val="single"/>
        </w:rPr>
        <w:t>Issued by the authori</w:t>
      </w:r>
      <w:r w:rsidR="00ED4E36">
        <w:rPr>
          <w:rFonts w:ascii="Times New Roman" w:hAnsi="Times New Roman" w:cs="Times New Roman"/>
          <w:color w:val="auto"/>
          <w:u w:val="single"/>
        </w:rPr>
        <w:t>ty of the Minister for Law Enforcement and Cyber</w:t>
      </w:r>
      <w:r w:rsidR="007A36B3">
        <w:rPr>
          <w:rFonts w:ascii="Times New Roman" w:hAnsi="Times New Roman" w:cs="Times New Roman"/>
          <w:color w:val="auto"/>
          <w:u w:val="single"/>
        </w:rPr>
        <w:t xml:space="preserve"> S</w:t>
      </w:r>
      <w:r w:rsidR="00ED4E36">
        <w:rPr>
          <w:rFonts w:ascii="Times New Roman" w:hAnsi="Times New Roman" w:cs="Times New Roman"/>
          <w:color w:val="auto"/>
          <w:u w:val="single"/>
        </w:rPr>
        <w:t>ecurity</w:t>
      </w:r>
      <w:r w:rsidRPr="006D75FF">
        <w:rPr>
          <w:rFonts w:ascii="Times New Roman" w:hAnsi="Times New Roman" w:cs="Times New Roman"/>
          <w:color w:val="auto"/>
          <w:u w:val="single"/>
        </w:rPr>
        <w:t xml:space="preserve"> </w:t>
      </w:r>
    </w:p>
    <w:p w14:paraId="7E044D90" w14:textId="77777777" w:rsidR="006D75FF" w:rsidRDefault="006D75FF" w:rsidP="006D75FF">
      <w:pPr>
        <w:pStyle w:val="Heading2"/>
        <w:spacing w:before="240" w:after="240"/>
        <w:jc w:val="center"/>
        <w:rPr>
          <w:rFonts w:ascii="Times New Roman" w:hAnsi="Times New Roman" w:cs="Times New Roman"/>
          <w:i/>
          <w:color w:val="auto"/>
        </w:rPr>
      </w:pPr>
      <w:r w:rsidRPr="006D75FF">
        <w:rPr>
          <w:rFonts w:ascii="Times New Roman" w:hAnsi="Times New Roman" w:cs="Times New Roman"/>
          <w:i/>
          <w:color w:val="auto"/>
        </w:rPr>
        <w:t>Customs Act 1901</w:t>
      </w:r>
    </w:p>
    <w:p w14:paraId="06208520" w14:textId="0BEE8275" w:rsidR="006D75FF" w:rsidRDefault="006D75FF" w:rsidP="006D75FF">
      <w:pPr>
        <w:spacing w:before="240" w:after="240"/>
        <w:jc w:val="center"/>
        <w:rPr>
          <w:rFonts w:ascii="Times New Roman" w:hAnsi="Times New Roman" w:cs="Times New Roman"/>
          <w:i/>
          <w:sz w:val="24"/>
          <w:szCs w:val="24"/>
          <w:u w:val="single"/>
        </w:rPr>
      </w:pPr>
      <w:r w:rsidRPr="006D75FF">
        <w:rPr>
          <w:rFonts w:ascii="Times New Roman" w:hAnsi="Times New Roman" w:cs="Times New Roman"/>
          <w:i/>
          <w:sz w:val="26"/>
          <w:szCs w:val="26"/>
        </w:rPr>
        <w:t xml:space="preserve">Customs (Prohibited Exports) </w:t>
      </w:r>
      <w:r w:rsidR="00ED4E36">
        <w:rPr>
          <w:rFonts w:ascii="Times New Roman" w:hAnsi="Times New Roman" w:cs="Times New Roman"/>
          <w:i/>
          <w:sz w:val="26"/>
          <w:szCs w:val="26"/>
        </w:rPr>
        <w:t>Amendment (Chemicals) Regulations 2018</w:t>
      </w:r>
    </w:p>
    <w:p w14:paraId="014FABD8" w14:textId="3C717E4C" w:rsidR="007A36B3" w:rsidRPr="00671054" w:rsidRDefault="007A36B3"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 xml:space="preserve">The </w:t>
      </w:r>
      <w:r w:rsidRPr="00671054">
        <w:rPr>
          <w:rFonts w:ascii="Times New Roman" w:eastAsia="Calibri" w:hAnsi="Times New Roman" w:cs="Times New Roman"/>
          <w:i/>
          <w:sz w:val="24"/>
          <w:szCs w:val="24"/>
        </w:rPr>
        <w:t>Customs Act 1901</w:t>
      </w:r>
      <w:r w:rsidRPr="00671054">
        <w:rPr>
          <w:rFonts w:ascii="Times New Roman" w:eastAsia="Calibri" w:hAnsi="Times New Roman" w:cs="Times New Roman"/>
          <w:sz w:val="24"/>
          <w:szCs w:val="24"/>
        </w:rPr>
        <w:t xml:space="preserve"> (the Act) concerns customs related functions and is the legislative authority that sets out the customs requirement</w:t>
      </w:r>
      <w:r w:rsidR="00671054">
        <w:rPr>
          <w:rFonts w:ascii="Times New Roman" w:eastAsia="Calibri" w:hAnsi="Times New Roman" w:cs="Times New Roman"/>
          <w:sz w:val="24"/>
          <w:szCs w:val="24"/>
        </w:rPr>
        <w:t>s</w:t>
      </w:r>
      <w:r w:rsidRPr="00671054">
        <w:rPr>
          <w:rFonts w:ascii="Times New Roman" w:eastAsia="Calibri" w:hAnsi="Times New Roman" w:cs="Times New Roman"/>
          <w:sz w:val="24"/>
          <w:szCs w:val="24"/>
        </w:rPr>
        <w:t xml:space="preserve"> for the </w:t>
      </w:r>
      <w:r w:rsidR="000E513B" w:rsidRPr="00671054">
        <w:rPr>
          <w:rFonts w:ascii="Times New Roman" w:eastAsia="Calibri" w:hAnsi="Times New Roman" w:cs="Times New Roman"/>
          <w:sz w:val="24"/>
          <w:szCs w:val="24"/>
        </w:rPr>
        <w:t>importation, and exportation,</w:t>
      </w:r>
      <w:r w:rsidRPr="00671054">
        <w:rPr>
          <w:rFonts w:ascii="Times New Roman" w:eastAsia="Calibri" w:hAnsi="Times New Roman" w:cs="Times New Roman"/>
          <w:sz w:val="24"/>
          <w:szCs w:val="24"/>
        </w:rPr>
        <w:t xml:space="preserve"> of goods to and from Australia.</w:t>
      </w:r>
    </w:p>
    <w:p w14:paraId="4136BBC3" w14:textId="3E3C7B38" w:rsidR="007A36B3" w:rsidRPr="00671054" w:rsidRDefault="007A36B3"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Subsection 270(1) of the Act provides, in part, that the Governor-General may make regulations, not inconsistent with the Act, prescribing all matters, which by the Act are required or permitted to be prescribed.</w:t>
      </w:r>
    </w:p>
    <w:p w14:paraId="0359EC80" w14:textId="56F22677" w:rsidR="00671054" w:rsidRPr="00152496" w:rsidRDefault="00671054"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Section 112</w:t>
      </w:r>
      <w:r w:rsidR="007A36B3" w:rsidRPr="00671054">
        <w:rPr>
          <w:rFonts w:ascii="Times New Roman" w:eastAsia="Calibri" w:hAnsi="Times New Roman" w:cs="Times New Roman"/>
          <w:sz w:val="24"/>
          <w:szCs w:val="24"/>
        </w:rPr>
        <w:t xml:space="preserve"> of the Act provides, in part, that the Governor-General may, by regul</w:t>
      </w:r>
      <w:r w:rsidRPr="00671054">
        <w:rPr>
          <w:rFonts w:ascii="Times New Roman" w:eastAsia="Calibri" w:hAnsi="Times New Roman" w:cs="Times New Roman"/>
          <w:sz w:val="24"/>
          <w:szCs w:val="24"/>
        </w:rPr>
        <w:t>ation, prohibit the exportation of goods from</w:t>
      </w:r>
      <w:r w:rsidR="007A36B3" w:rsidRPr="00671054">
        <w:rPr>
          <w:rFonts w:ascii="Times New Roman" w:eastAsia="Calibri" w:hAnsi="Times New Roman" w:cs="Times New Roman"/>
          <w:sz w:val="24"/>
          <w:szCs w:val="24"/>
        </w:rPr>
        <w:t xml:space="preserve"> Australia and the power may be exercise</w:t>
      </w:r>
      <w:r w:rsidRPr="00671054">
        <w:rPr>
          <w:rFonts w:ascii="Times New Roman" w:eastAsia="Calibri" w:hAnsi="Times New Roman" w:cs="Times New Roman"/>
          <w:sz w:val="24"/>
          <w:szCs w:val="24"/>
        </w:rPr>
        <w:t>d by prohibiting the exportation</w:t>
      </w:r>
      <w:r w:rsidR="007A36B3" w:rsidRPr="00671054">
        <w:rPr>
          <w:rFonts w:ascii="Times New Roman" w:eastAsia="Calibri" w:hAnsi="Times New Roman" w:cs="Times New Roman"/>
          <w:sz w:val="24"/>
          <w:szCs w:val="24"/>
        </w:rPr>
        <w:t xml:space="preserve"> of goods absolutely o</w:t>
      </w:r>
      <w:r w:rsidRPr="00671054">
        <w:rPr>
          <w:rFonts w:ascii="Times New Roman" w:eastAsia="Calibri" w:hAnsi="Times New Roman" w:cs="Times New Roman"/>
          <w:sz w:val="24"/>
          <w:szCs w:val="24"/>
        </w:rPr>
        <w:t>r by prohibiting the exportation</w:t>
      </w:r>
      <w:r w:rsidR="007A36B3" w:rsidRPr="00671054">
        <w:rPr>
          <w:rFonts w:ascii="Times New Roman" w:eastAsia="Calibri" w:hAnsi="Times New Roman" w:cs="Times New Roman"/>
          <w:sz w:val="24"/>
          <w:szCs w:val="24"/>
        </w:rPr>
        <w:t xml:space="preserve"> of goods unless specified conditions or restrictions are complied with. </w:t>
      </w:r>
    </w:p>
    <w:p w14:paraId="4612658E" w14:textId="702B5CFB" w:rsidR="00ED4E36" w:rsidRPr="00671054" w:rsidRDefault="00D07B51" w:rsidP="00ED4E36">
      <w:pPr>
        <w:rPr>
          <w:rFonts w:ascii="Times New Roman" w:eastAsia="Calibri" w:hAnsi="Times New Roman" w:cs="Times New Roman"/>
          <w:sz w:val="24"/>
          <w:szCs w:val="24"/>
        </w:rPr>
      </w:pPr>
      <w:r>
        <w:rPr>
          <w:rFonts w:ascii="Times New Roman" w:eastAsia="Calibri" w:hAnsi="Times New Roman" w:cs="Times New Roman"/>
          <w:sz w:val="24"/>
          <w:szCs w:val="24"/>
        </w:rPr>
        <w:t>Under r</w:t>
      </w:r>
      <w:r w:rsidR="00ED4E36" w:rsidRPr="00671054">
        <w:rPr>
          <w:rFonts w:ascii="Times New Roman" w:eastAsia="Calibri" w:hAnsi="Times New Roman" w:cs="Times New Roman"/>
          <w:sz w:val="24"/>
          <w:szCs w:val="24"/>
        </w:rPr>
        <w:t xml:space="preserve">egulation 4A of the </w:t>
      </w:r>
      <w:r w:rsidR="00ED4E36" w:rsidRPr="00671054">
        <w:rPr>
          <w:rFonts w:ascii="Times New Roman" w:eastAsia="Calibri" w:hAnsi="Times New Roman" w:cs="Times New Roman"/>
          <w:i/>
          <w:sz w:val="24"/>
          <w:szCs w:val="24"/>
        </w:rPr>
        <w:t xml:space="preserve">Customs (Prohibited Exports) Regulations 1958 </w:t>
      </w:r>
      <w:r w:rsidR="00ED4E36" w:rsidRPr="00671054">
        <w:rPr>
          <w:rFonts w:ascii="Times New Roman" w:eastAsia="Calibri" w:hAnsi="Times New Roman" w:cs="Times New Roman"/>
          <w:sz w:val="24"/>
          <w:szCs w:val="24"/>
        </w:rPr>
        <w:t>(the Principal Regul</w:t>
      </w:r>
      <w:r>
        <w:rPr>
          <w:rFonts w:ascii="Times New Roman" w:eastAsia="Calibri" w:hAnsi="Times New Roman" w:cs="Times New Roman"/>
          <w:sz w:val="24"/>
          <w:szCs w:val="24"/>
        </w:rPr>
        <w:t>ations),</w:t>
      </w:r>
      <w:r w:rsidR="00ED4E36" w:rsidRPr="00671054">
        <w:rPr>
          <w:rFonts w:ascii="Times New Roman" w:eastAsia="Calibri" w:hAnsi="Times New Roman" w:cs="Times New Roman"/>
          <w:sz w:val="24"/>
          <w:szCs w:val="24"/>
        </w:rPr>
        <w:t xml:space="preserve"> the exportation from Australia of a chemical mentioned in Schedule 2, or a mixture or preparation of a chemical mentioned in Schedule 2, is prohibited unless, relevantly, a permission to export the chemical has been granted in writing by the Minister</w:t>
      </w:r>
      <w:r>
        <w:rPr>
          <w:rFonts w:ascii="Times New Roman" w:eastAsia="Calibri" w:hAnsi="Times New Roman" w:cs="Times New Roman"/>
          <w:sz w:val="24"/>
          <w:szCs w:val="24"/>
        </w:rPr>
        <w:t xml:space="preserve"> for Agric</w:t>
      </w:r>
      <w:r w:rsidR="00152496">
        <w:rPr>
          <w:rFonts w:ascii="Times New Roman" w:eastAsia="Calibri" w:hAnsi="Times New Roman" w:cs="Times New Roman"/>
          <w:sz w:val="24"/>
          <w:szCs w:val="24"/>
        </w:rPr>
        <w:t>ulture and Water Resources (the Minister</w:t>
      </w:r>
      <w:r>
        <w:rPr>
          <w:rFonts w:ascii="Times New Roman" w:eastAsia="Calibri" w:hAnsi="Times New Roman" w:cs="Times New Roman"/>
          <w:sz w:val="24"/>
          <w:szCs w:val="24"/>
        </w:rPr>
        <w:t>),</w:t>
      </w:r>
      <w:r w:rsidR="00ED4E36" w:rsidRPr="006710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under the </w:t>
      </w:r>
      <w:r w:rsidRPr="00D07B51">
        <w:rPr>
          <w:rFonts w:ascii="Times New Roman" w:eastAsia="Calibri" w:hAnsi="Times New Roman" w:cs="Times New Roman"/>
          <w:i/>
          <w:sz w:val="24"/>
          <w:szCs w:val="24"/>
        </w:rPr>
        <w:t>Agricultural and Veterinary Chemicals (Administration) Regulations 1995.</w:t>
      </w:r>
    </w:p>
    <w:p w14:paraId="4ACEC649" w14:textId="5CC011FD" w:rsidR="00ED4E36" w:rsidRPr="00671054" w:rsidRDefault="00ED4E36" w:rsidP="00ED4E36">
      <w:pPr>
        <w:rPr>
          <w:rFonts w:ascii="Times New Roman" w:eastAsia="Calibri" w:hAnsi="Times New Roman" w:cs="Times New Roman"/>
          <w:sz w:val="24"/>
          <w:szCs w:val="24"/>
        </w:rPr>
      </w:pPr>
      <w:r w:rsidRPr="00671054">
        <w:rPr>
          <w:rFonts w:ascii="Times New Roman" w:eastAsia="Calibri" w:hAnsi="Times New Roman" w:cs="Times New Roman"/>
          <w:sz w:val="24"/>
          <w:szCs w:val="24"/>
        </w:rPr>
        <w:t>Schedule 2 to the Principal Regulations lists the goods, being certain chemicals, the exportation of which is prohibited unless certain permission is granted under regulation 4A.</w:t>
      </w:r>
    </w:p>
    <w:p w14:paraId="571442D2" w14:textId="3A7DFDE3" w:rsidR="00671054" w:rsidRPr="00671054" w:rsidRDefault="00671054" w:rsidP="00671054">
      <w:pPr>
        <w:rPr>
          <w:rFonts w:ascii="Times New Roman" w:eastAsia="Calibri" w:hAnsi="Times New Roman" w:cs="Times New Roman"/>
          <w:sz w:val="24"/>
          <w:szCs w:val="24"/>
        </w:rPr>
      </w:pPr>
      <w:r w:rsidRPr="00671054">
        <w:rPr>
          <w:rFonts w:ascii="Times New Roman" w:eastAsia="Calibri" w:hAnsi="Times New Roman" w:cs="Times New Roman"/>
          <w:sz w:val="24"/>
          <w:szCs w:val="24"/>
        </w:rPr>
        <w:t xml:space="preserve">The </w:t>
      </w:r>
      <w:r w:rsidRPr="00671054">
        <w:rPr>
          <w:rFonts w:ascii="Times New Roman" w:eastAsia="Calibri" w:hAnsi="Times New Roman" w:cs="Times New Roman"/>
          <w:i/>
          <w:sz w:val="24"/>
          <w:szCs w:val="24"/>
        </w:rPr>
        <w:t>Customs (Prohibited Exports) Amendment (Chemicals) Regulations 2018</w:t>
      </w:r>
      <w:r>
        <w:rPr>
          <w:rFonts w:ascii="Times New Roman" w:eastAsia="Calibri" w:hAnsi="Times New Roman" w:cs="Times New Roman"/>
          <w:sz w:val="24"/>
          <w:szCs w:val="24"/>
        </w:rPr>
        <w:t xml:space="preserve"> (the</w:t>
      </w:r>
      <w:r w:rsidRPr="00671054">
        <w:rPr>
          <w:rFonts w:ascii="Times New Roman" w:eastAsia="Calibri" w:hAnsi="Times New Roman" w:cs="Times New Roman"/>
          <w:sz w:val="24"/>
          <w:szCs w:val="24"/>
        </w:rPr>
        <w:t xml:space="preserve"> Regulations) amend Schedule 2 to the Principal Regulations to add carbofuran and trichlorfon to the list of chemicals the exportation of which is prohibited unless permission is granted under regulation 4A. </w:t>
      </w:r>
    </w:p>
    <w:p w14:paraId="5252E671" w14:textId="58443598" w:rsidR="000E1FFE" w:rsidRPr="00152496" w:rsidRDefault="005F50F7" w:rsidP="00ED4E36">
      <w:pPr>
        <w:rPr>
          <w:rFonts w:ascii="Times New Roman" w:eastAsia="Calibri" w:hAnsi="Times New Roman" w:cs="Times New Roman"/>
          <w:sz w:val="24"/>
          <w:szCs w:val="24"/>
        </w:rPr>
      </w:pPr>
      <w:r>
        <w:rPr>
          <w:rFonts w:ascii="Times New Roman" w:eastAsia="Calibri" w:hAnsi="Times New Roman" w:cs="Times New Roman"/>
          <w:sz w:val="24"/>
          <w:szCs w:val="24"/>
        </w:rPr>
        <w:t>The</w:t>
      </w:r>
      <w:r w:rsidR="00671054" w:rsidRPr="00671054">
        <w:rPr>
          <w:rFonts w:ascii="Times New Roman" w:eastAsia="Calibri" w:hAnsi="Times New Roman" w:cs="Times New Roman"/>
          <w:sz w:val="24"/>
          <w:szCs w:val="24"/>
        </w:rPr>
        <w:t xml:space="preserve"> Regulations also make several consequential amendments to Schedule 2 of the Principal Regulations to list preparations containing particular combinations of chemicals in a new, separate part within the Schedule. This clearly distinguishes chemicals in their pure form from preparations containing particular combinations of chemicals. </w:t>
      </w:r>
    </w:p>
    <w:p w14:paraId="66E57069" w14:textId="299C71B4" w:rsidR="00671054" w:rsidRPr="00671054" w:rsidRDefault="00152496" w:rsidP="00ED4E36">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Context </w:t>
      </w:r>
      <w:r w:rsidR="00671054" w:rsidRPr="00671054">
        <w:rPr>
          <w:rFonts w:ascii="Times New Roman" w:eastAsia="Calibri" w:hAnsi="Times New Roman" w:cs="Times New Roman"/>
          <w:b/>
          <w:sz w:val="24"/>
          <w:szCs w:val="24"/>
          <w:u w:val="single"/>
        </w:rPr>
        <w:t>and Background</w:t>
      </w:r>
    </w:p>
    <w:p w14:paraId="0B134542" w14:textId="77777777" w:rsidR="00D07B51" w:rsidRPr="00D07B51" w:rsidRDefault="00D07B51" w:rsidP="00D07B51">
      <w:pPr>
        <w:rPr>
          <w:rFonts w:ascii="Times New Roman" w:eastAsia="Calibri" w:hAnsi="Times New Roman" w:cs="Times New Roman"/>
          <w:sz w:val="24"/>
          <w:szCs w:val="24"/>
        </w:rPr>
      </w:pPr>
      <w:r w:rsidRPr="00D07B51">
        <w:rPr>
          <w:rFonts w:ascii="Times New Roman" w:eastAsia="Calibri" w:hAnsi="Times New Roman" w:cs="Times New Roman"/>
          <w:sz w:val="24"/>
          <w:szCs w:val="24"/>
        </w:rPr>
        <w:t xml:space="preserve">The Rotterdam Convention on the Prior Informed Consent Procedure for Certain Hazardous Chemicals and Pesticides in International Trade (the Convention) applies to banned or severely restricted chemicals and severely hazardous pesticides and provides a cooperative </w:t>
      </w:r>
      <w:r w:rsidRPr="00D07B51">
        <w:rPr>
          <w:rFonts w:ascii="Times New Roman" w:eastAsia="Calibri" w:hAnsi="Times New Roman" w:cs="Times New Roman"/>
          <w:sz w:val="24"/>
          <w:szCs w:val="24"/>
        </w:rPr>
        <w:lastRenderedPageBreak/>
        <w:t>framework for ensuring parties have information about substances to address risk and take informed decisions on chemical imports. Australia ratified the Convention on 20 May 2004.</w:t>
      </w:r>
    </w:p>
    <w:p w14:paraId="7D54B45D" w14:textId="37746B3C" w:rsidR="00D07B51" w:rsidRPr="00D07B51" w:rsidRDefault="00D07B51" w:rsidP="00D07B51">
      <w:pPr>
        <w:rPr>
          <w:rFonts w:ascii="Times New Roman" w:eastAsia="Calibri" w:hAnsi="Times New Roman" w:cs="Times New Roman"/>
          <w:sz w:val="24"/>
          <w:szCs w:val="24"/>
        </w:rPr>
      </w:pPr>
      <w:r w:rsidRPr="00D07B51">
        <w:rPr>
          <w:rFonts w:ascii="Times New Roman" w:eastAsia="Calibri" w:hAnsi="Times New Roman" w:cs="Times New Roman"/>
          <w:sz w:val="24"/>
          <w:szCs w:val="24"/>
        </w:rPr>
        <w:t xml:space="preserve">Chemicals listed in Annex III of the Convention are subject to the Convention’s Prior Informed Consent (PIC) procedure, which provides for information exchange between parties of their import and export requirements. The Convention does not require chemicals to be banned or phased out and does not alter domestic regulatory decisions on chemicals. </w:t>
      </w:r>
    </w:p>
    <w:p w14:paraId="35984740" w14:textId="77777777" w:rsidR="00D07B51" w:rsidRPr="00D07B51" w:rsidRDefault="00D07B51" w:rsidP="00D07B51">
      <w:pPr>
        <w:rPr>
          <w:rFonts w:ascii="Times New Roman" w:eastAsia="Calibri" w:hAnsi="Times New Roman" w:cs="Times New Roman"/>
          <w:sz w:val="24"/>
          <w:szCs w:val="24"/>
        </w:rPr>
      </w:pPr>
      <w:r w:rsidRPr="00D07B51">
        <w:rPr>
          <w:rFonts w:ascii="Times New Roman" w:eastAsia="Calibri" w:hAnsi="Times New Roman" w:cs="Times New Roman"/>
          <w:sz w:val="24"/>
          <w:szCs w:val="24"/>
        </w:rPr>
        <w:t>The Convention also requires the dissemination of national decisions made about the import and export of certain chemicals. Under the Convention, Australia is obliged to ensure exports from Australia comply with the import decisions of other states parties, six months after such decisions are conveyed.</w:t>
      </w:r>
    </w:p>
    <w:p w14:paraId="2DF238A5" w14:textId="56FA7D31" w:rsidR="00D07B51" w:rsidRPr="00D07B51" w:rsidRDefault="00D07B51" w:rsidP="00D07B51">
      <w:pPr>
        <w:rPr>
          <w:rFonts w:ascii="Times New Roman" w:eastAsia="Calibri" w:hAnsi="Times New Roman" w:cs="Times New Roman"/>
          <w:sz w:val="24"/>
          <w:szCs w:val="24"/>
        </w:rPr>
      </w:pPr>
      <w:r w:rsidRPr="00D07B51">
        <w:rPr>
          <w:rFonts w:ascii="Times New Roman" w:eastAsia="Calibri" w:hAnsi="Times New Roman" w:cs="Times New Roman"/>
          <w:sz w:val="24"/>
          <w:szCs w:val="24"/>
        </w:rPr>
        <w:t>In April-May 2017, the eighth Conference of the Parties to the Convention agreed by consensus to list four additional</w:t>
      </w:r>
      <w:r w:rsidR="00152496">
        <w:rPr>
          <w:rFonts w:ascii="Times New Roman" w:eastAsia="Calibri" w:hAnsi="Times New Roman" w:cs="Times New Roman"/>
          <w:sz w:val="24"/>
          <w:szCs w:val="24"/>
        </w:rPr>
        <w:t xml:space="preserve"> chemicals, including </w:t>
      </w:r>
      <w:proofErr w:type="spellStart"/>
      <w:r w:rsidR="00152496">
        <w:rPr>
          <w:rFonts w:ascii="Times New Roman" w:eastAsia="Calibri" w:hAnsi="Times New Roman" w:cs="Times New Roman"/>
          <w:sz w:val="24"/>
          <w:szCs w:val="24"/>
        </w:rPr>
        <w:t>carbofuran</w:t>
      </w:r>
      <w:proofErr w:type="spellEnd"/>
      <w:r w:rsidRPr="00D07B51">
        <w:rPr>
          <w:rFonts w:ascii="Times New Roman" w:eastAsia="Calibri" w:hAnsi="Times New Roman" w:cs="Times New Roman"/>
          <w:sz w:val="24"/>
          <w:szCs w:val="24"/>
        </w:rPr>
        <w:t xml:space="preserve"> and </w:t>
      </w:r>
      <w:proofErr w:type="spellStart"/>
      <w:r w:rsidRPr="00D07B51">
        <w:rPr>
          <w:rFonts w:ascii="Times New Roman" w:eastAsia="Calibri" w:hAnsi="Times New Roman" w:cs="Times New Roman"/>
          <w:sz w:val="24"/>
          <w:szCs w:val="24"/>
        </w:rPr>
        <w:t>trichlorfon</w:t>
      </w:r>
      <w:proofErr w:type="spellEnd"/>
      <w:r w:rsidRPr="00D07B51">
        <w:rPr>
          <w:rFonts w:ascii="Times New Roman" w:eastAsia="Calibri" w:hAnsi="Times New Roman" w:cs="Times New Roman"/>
          <w:sz w:val="24"/>
          <w:szCs w:val="24"/>
        </w:rPr>
        <w:t xml:space="preserve"> in Annex III of the Convention. Australia is obliged to ensure Australian exports comply with the import decisions of other parties by 12 June 2018 (as of six months after such decisions are conveyed by the Convention Secretariat, being those conveyed in PIC Circular XLVI (46) of 13 December 2017).</w:t>
      </w:r>
    </w:p>
    <w:p w14:paraId="4073D5FA" w14:textId="77777777" w:rsidR="00D07B51" w:rsidRPr="00D07B51" w:rsidRDefault="00D07B51" w:rsidP="00D07B51">
      <w:pPr>
        <w:rPr>
          <w:rFonts w:ascii="Times New Roman" w:eastAsia="Calibri" w:hAnsi="Times New Roman" w:cs="Times New Roman"/>
          <w:sz w:val="24"/>
          <w:szCs w:val="24"/>
        </w:rPr>
      </w:pPr>
      <w:r w:rsidRPr="00D07B51">
        <w:rPr>
          <w:rFonts w:ascii="Times New Roman" w:eastAsia="Calibri" w:hAnsi="Times New Roman" w:cs="Times New Roman"/>
          <w:sz w:val="24"/>
          <w:szCs w:val="24"/>
        </w:rPr>
        <w:t xml:space="preserve">The minor treaty action for Australia to give effect to the listings of the four new chemicals in Annex III was endorsed by the Joint Standing Committee on Treaties on 26 March 2018. </w:t>
      </w:r>
    </w:p>
    <w:p w14:paraId="3BD6A4BD" w14:textId="1EB7CFC6" w:rsidR="000D0E22" w:rsidRPr="000E1FFE" w:rsidRDefault="00D07B51" w:rsidP="000E1FFE">
      <w:pPr>
        <w:rPr>
          <w:rFonts w:ascii="Times New Roman" w:eastAsia="Calibri" w:hAnsi="Times New Roman" w:cs="Times New Roman"/>
          <w:sz w:val="24"/>
          <w:szCs w:val="24"/>
        </w:rPr>
      </w:pPr>
      <w:r w:rsidRPr="00D07B51">
        <w:rPr>
          <w:rFonts w:ascii="Times New Roman" w:eastAsia="Calibri" w:hAnsi="Times New Roman" w:cs="Times New Roman"/>
          <w:sz w:val="24"/>
          <w:szCs w:val="24"/>
        </w:rPr>
        <w:t xml:space="preserve">These amendments to Schedule 2 of the </w:t>
      </w:r>
      <w:r w:rsidR="00152496">
        <w:rPr>
          <w:rFonts w:ascii="Times New Roman" w:eastAsia="Calibri" w:hAnsi="Times New Roman" w:cs="Times New Roman"/>
          <w:sz w:val="24"/>
          <w:szCs w:val="24"/>
        </w:rPr>
        <w:t xml:space="preserve">Principal </w:t>
      </w:r>
      <w:r w:rsidRPr="00D07B51">
        <w:rPr>
          <w:rFonts w:ascii="Times New Roman" w:eastAsia="Calibri" w:hAnsi="Times New Roman" w:cs="Times New Roman"/>
          <w:sz w:val="24"/>
          <w:szCs w:val="24"/>
        </w:rPr>
        <w:t>Regulations ensure Australia is meeting its obligations under the Convention regarding the listing of carbofuran and trichlorfon in the list of chemicals the exportation of which is prohibited without permission. Amendments to implement the listing of the remaining two industrial chemicals will be managed by the National Industrial Chemicals Notification and Assessment Scheme under the Department of Health.</w:t>
      </w:r>
    </w:p>
    <w:p w14:paraId="61AE1D66" w14:textId="255A36C8" w:rsidR="00F665F8" w:rsidRPr="00671054" w:rsidRDefault="005F50F7" w:rsidP="00F665F8">
      <w:pPr>
        <w:rPr>
          <w:rFonts w:ascii="Times New Roman" w:hAnsi="Times New Roman" w:cs="Times New Roman"/>
          <w:sz w:val="24"/>
          <w:szCs w:val="24"/>
        </w:rPr>
      </w:pPr>
      <w:r>
        <w:rPr>
          <w:rFonts w:ascii="Times New Roman" w:hAnsi="Times New Roman" w:cs="Times New Roman"/>
          <w:sz w:val="24"/>
          <w:szCs w:val="24"/>
        </w:rPr>
        <w:t>The</w:t>
      </w:r>
      <w:r w:rsidR="00F665F8" w:rsidRPr="00671054">
        <w:rPr>
          <w:rFonts w:ascii="Times New Roman" w:hAnsi="Times New Roman" w:cs="Times New Roman"/>
          <w:sz w:val="24"/>
          <w:szCs w:val="24"/>
        </w:rPr>
        <w:t xml:space="preserve"> Regulations were developed in consultation with the </w:t>
      </w:r>
      <w:r w:rsidR="00ED4E36" w:rsidRPr="00671054">
        <w:rPr>
          <w:rFonts w:ascii="Times New Roman" w:hAnsi="Times New Roman" w:cs="Times New Roman"/>
          <w:sz w:val="24"/>
          <w:szCs w:val="24"/>
        </w:rPr>
        <w:t xml:space="preserve">Department of </w:t>
      </w:r>
      <w:r w:rsidR="007E464F" w:rsidRPr="00671054">
        <w:rPr>
          <w:rFonts w:ascii="Times New Roman" w:hAnsi="Times New Roman" w:cs="Times New Roman"/>
          <w:sz w:val="24"/>
          <w:szCs w:val="24"/>
        </w:rPr>
        <w:t xml:space="preserve">the </w:t>
      </w:r>
      <w:r w:rsidR="00487A90" w:rsidRPr="00671054">
        <w:rPr>
          <w:rFonts w:ascii="Times New Roman" w:hAnsi="Times New Roman" w:cs="Times New Roman"/>
          <w:sz w:val="24"/>
          <w:szCs w:val="24"/>
        </w:rPr>
        <w:t>Environment and Energy</w:t>
      </w:r>
      <w:r w:rsidR="00ED4E36" w:rsidRPr="00671054">
        <w:rPr>
          <w:rFonts w:ascii="Times New Roman" w:hAnsi="Times New Roman" w:cs="Times New Roman"/>
          <w:sz w:val="24"/>
          <w:szCs w:val="24"/>
        </w:rPr>
        <w:t xml:space="preserve"> and the Department of Agriculture and Water Resources.</w:t>
      </w:r>
    </w:p>
    <w:p w14:paraId="03183047" w14:textId="33B56296" w:rsidR="000D0E22" w:rsidRPr="00671054" w:rsidRDefault="009620C1" w:rsidP="00670003">
      <w:pPr>
        <w:spacing w:before="120" w:after="120"/>
        <w:rPr>
          <w:rFonts w:ascii="Times New Roman" w:hAnsi="Times New Roman" w:cs="Times New Roman"/>
          <w:b/>
          <w:sz w:val="24"/>
          <w:szCs w:val="24"/>
          <w:u w:val="single"/>
        </w:rPr>
        <w:sectPr w:rsidR="000D0E22" w:rsidRPr="00671054">
          <w:pgSz w:w="11906" w:h="16838"/>
          <w:pgMar w:top="1440" w:right="1440" w:bottom="1440" w:left="1440" w:header="708" w:footer="708" w:gutter="0"/>
          <w:cols w:space="708"/>
          <w:docGrid w:linePitch="360"/>
        </w:sectPr>
      </w:pPr>
      <w:r w:rsidRPr="00671054">
        <w:rPr>
          <w:rFonts w:ascii="Times New Roman" w:hAnsi="Times New Roman" w:cs="Times New Roman"/>
          <w:sz w:val="24"/>
          <w:szCs w:val="24"/>
        </w:rPr>
        <w:t xml:space="preserve">A regulatory impact statement </w:t>
      </w:r>
      <w:r w:rsidR="0018683B" w:rsidRPr="00671054">
        <w:rPr>
          <w:rFonts w:ascii="Times New Roman" w:hAnsi="Times New Roman" w:cs="Times New Roman"/>
          <w:sz w:val="24"/>
          <w:szCs w:val="24"/>
        </w:rPr>
        <w:t xml:space="preserve">(RIS) </w:t>
      </w:r>
      <w:r w:rsidRPr="00671054">
        <w:rPr>
          <w:rFonts w:ascii="Times New Roman" w:hAnsi="Times New Roman" w:cs="Times New Roman"/>
          <w:sz w:val="24"/>
          <w:szCs w:val="24"/>
        </w:rPr>
        <w:t xml:space="preserve">was not </w:t>
      </w:r>
      <w:r w:rsidR="0018683B" w:rsidRPr="00671054">
        <w:rPr>
          <w:rFonts w:ascii="Times New Roman" w:hAnsi="Times New Roman" w:cs="Times New Roman"/>
          <w:sz w:val="24"/>
          <w:szCs w:val="24"/>
        </w:rPr>
        <w:t xml:space="preserve">required (OBPR reference 23484). </w:t>
      </w:r>
    </w:p>
    <w:p w14:paraId="051CDA66" w14:textId="11771B4A" w:rsidR="00366EF0" w:rsidRDefault="000D0E22" w:rsidP="00366EF0">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1544E2" w:rsidRPr="001544E2">
        <w:rPr>
          <w:rFonts w:ascii="Times New Roman" w:hAnsi="Times New Roman" w:cs="Times New Roman"/>
          <w:b/>
          <w:i/>
          <w:iCs/>
          <w:sz w:val="24"/>
          <w:szCs w:val="24"/>
          <w:u w:val="single"/>
        </w:rPr>
        <w:t>Customs (Prohibited Exports) A</w:t>
      </w:r>
      <w:r w:rsidR="002F7A06">
        <w:rPr>
          <w:rFonts w:ascii="Times New Roman" w:hAnsi="Times New Roman" w:cs="Times New Roman"/>
          <w:b/>
          <w:i/>
          <w:iCs/>
          <w:sz w:val="24"/>
          <w:szCs w:val="24"/>
          <w:u w:val="single"/>
        </w:rPr>
        <w:t>mendment (Chemicals) Regulations 2018</w:t>
      </w:r>
    </w:p>
    <w:p w14:paraId="3EF31C9F" w14:textId="77777777" w:rsidR="001544E2" w:rsidRPr="001544E2" w:rsidRDefault="001544E2" w:rsidP="001544E2">
      <w:pPr>
        <w:shd w:val="clear" w:color="auto" w:fill="FFFFFF"/>
        <w:spacing w:before="36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sz w:val="24"/>
          <w:szCs w:val="24"/>
          <w:lang w:eastAsia="en-AU"/>
        </w:rPr>
        <w:t xml:space="preserve">Section 1 – Name </w:t>
      </w:r>
    </w:p>
    <w:p w14:paraId="0F9DE7FE" w14:textId="08E61C1C"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sz w:val="24"/>
          <w:szCs w:val="24"/>
          <w:lang w:eastAsia="en-AU"/>
        </w:rPr>
        <w:t xml:space="preserve">This section specifies the name of the Regulations as the </w:t>
      </w:r>
      <w:r w:rsidRPr="001544E2">
        <w:rPr>
          <w:rFonts w:ascii="Times New Roman" w:eastAsia="Times New Roman" w:hAnsi="Times New Roman" w:cs="Times New Roman"/>
          <w:i/>
          <w:iCs/>
          <w:sz w:val="24"/>
          <w:szCs w:val="24"/>
          <w:lang w:eastAsia="en-AU"/>
        </w:rPr>
        <w:t xml:space="preserve">Customs (Prohibited Exports) </w:t>
      </w:r>
      <w:r w:rsidR="002F7A06">
        <w:rPr>
          <w:rFonts w:ascii="Times New Roman" w:eastAsia="Times New Roman" w:hAnsi="Times New Roman" w:cs="Times New Roman"/>
          <w:i/>
          <w:iCs/>
          <w:sz w:val="24"/>
          <w:szCs w:val="24"/>
          <w:lang w:eastAsia="en-AU"/>
        </w:rPr>
        <w:t>Amendment (Chemicals) Regulations 2018</w:t>
      </w:r>
      <w:r w:rsidRPr="001544E2">
        <w:rPr>
          <w:rFonts w:ascii="Times New Roman" w:eastAsia="Times New Roman" w:hAnsi="Times New Roman" w:cs="Times New Roman"/>
          <w:i/>
          <w:iCs/>
          <w:sz w:val="24"/>
          <w:szCs w:val="24"/>
          <w:lang w:eastAsia="en-AU"/>
        </w:rPr>
        <w:t>.</w:t>
      </w:r>
    </w:p>
    <w:p w14:paraId="37D9A1CA" w14:textId="77777777"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sz w:val="24"/>
          <w:szCs w:val="24"/>
          <w:lang w:eastAsia="en-AU"/>
        </w:rPr>
        <w:t>Section 2 – Commencement</w:t>
      </w:r>
    </w:p>
    <w:p w14:paraId="332083CC" w14:textId="77777777"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sz w:val="24"/>
          <w:szCs w:val="24"/>
          <w:lang w:eastAsia="en-AU"/>
        </w:rPr>
        <w:t>This section provides that the Amendment Regulations commence the day after they are registered on the Federal Register of Legislation.</w:t>
      </w:r>
    </w:p>
    <w:p w14:paraId="016CF28B" w14:textId="77777777"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sz w:val="24"/>
          <w:szCs w:val="24"/>
          <w:lang w:eastAsia="en-AU"/>
        </w:rPr>
        <w:t>Section 3 – Authority</w:t>
      </w:r>
    </w:p>
    <w:p w14:paraId="4BA17245" w14:textId="117C58CB"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sz w:val="24"/>
          <w:szCs w:val="24"/>
          <w:lang w:eastAsia="en-AU"/>
        </w:rPr>
        <w:t xml:space="preserve">This section sets out that the Amendment Regulations are made under the </w:t>
      </w:r>
      <w:r w:rsidRPr="001544E2">
        <w:rPr>
          <w:rFonts w:ascii="Times New Roman" w:eastAsia="Times New Roman" w:hAnsi="Times New Roman" w:cs="Times New Roman"/>
          <w:i/>
          <w:iCs/>
          <w:sz w:val="24"/>
          <w:szCs w:val="24"/>
          <w:lang w:eastAsia="en-AU"/>
        </w:rPr>
        <w:t>Customs Act 1901</w:t>
      </w:r>
      <w:r w:rsidRPr="001544E2">
        <w:rPr>
          <w:rFonts w:ascii="Times New Roman" w:eastAsia="Times New Roman" w:hAnsi="Times New Roman" w:cs="Times New Roman"/>
          <w:sz w:val="24"/>
          <w:szCs w:val="24"/>
          <w:lang w:eastAsia="en-AU"/>
        </w:rPr>
        <w:t>.</w:t>
      </w:r>
    </w:p>
    <w:p w14:paraId="0BA9AE9E" w14:textId="77777777"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sz w:val="24"/>
          <w:szCs w:val="24"/>
          <w:lang w:eastAsia="en-AU"/>
        </w:rPr>
        <w:t>Section 4 – Schedules</w:t>
      </w:r>
    </w:p>
    <w:p w14:paraId="079C9168" w14:textId="77777777" w:rsidR="001544E2" w:rsidRPr="001544E2" w:rsidRDefault="001544E2" w:rsidP="001544E2">
      <w:pPr>
        <w:shd w:val="clear" w:color="auto" w:fill="FFFFFF"/>
        <w:spacing w:before="240" w:after="100" w:afterAutospacing="1"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sz w:val="24"/>
          <w:szCs w:val="24"/>
          <w:lang w:eastAsia="en-AU"/>
        </w:rPr>
        <w:t>This section is a machinery clause that enables the Schedule to amend the Regulations. The Amendment Regulations contain one schedule.</w:t>
      </w:r>
    </w:p>
    <w:p w14:paraId="1C830A7D" w14:textId="77777777" w:rsidR="001544E2" w:rsidRPr="001544E2" w:rsidRDefault="001544E2" w:rsidP="001544E2">
      <w:pPr>
        <w:shd w:val="clear" w:color="auto" w:fill="FFFFFF"/>
        <w:spacing w:before="240" w:after="240"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sz w:val="24"/>
          <w:szCs w:val="24"/>
          <w:u w:val="single"/>
          <w:lang w:eastAsia="en-AU"/>
        </w:rPr>
        <w:t>Schedule 1 – Amendments</w:t>
      </w:r>
      <w:r w:rsidRPr="001544E2">
        <w:rPr>
          <w:rFonts w:ascii="Times New Roman" w:eastAsia="Times New Roman" w:hAnsi="Times New Roman" w:cs="Times New Roman"/>
          <w:b/>
          <w:bCs/>
          <w:sz w:val="24"/>
          <w:szCs w:val="24"/>
          <w:lang w:eastAsia="en-AU"/>
        </w:rPr>
        <w:t xml:space="preserve"> </w:t>
      </w:r>
    </w:p>
    <w:p w14:paraId="6A3630BA" w14:textId="77777777" w:rsidR="001544E2" w:rsidRPr="001544E2" w:rsidRDefault="001544E2" w:rsidP="001544E2">
      <w:pPr>
        <w:shd w:val="clear" w:color="auto" w:fill="FFFFFF"/>
        <w:spacing w:before="240" w:after="240" w:line="240" w:lineRule="auto"/>
        <w:rPr>
          <w:rFonts w:ascii="Times New Roman" w:eastAsia="Times New Roman" w:hAnsi="Times New Roman" w:cs="Times New Roman"/>
          <w:sz w:val="24"/>
          <w:szCs w:val="24"/>
          <w:lang w:val="en-US" w:eastAsia="en-AU"/>
        </w:rPr>
      </w:pPr>
      <w:r w:rsidRPr="001544E2">
        <w:rPr>
          <w:rFonts w:ascii="Times New Roman" w:eastAsia="Times New Roman" w:hAnsi="Times New Roman" w:cs="Times New Roman"/>
          <w:b/>
          <w:bCs/>
          <w:i/>
          <w:iCs/>
          <w:sz w:val="24"/>
          <w:szCs w:val="24"/>
          <w:lang w:eastAsia="en-AU"/>
        </w:rPr>
        <w:t>Customs (Prohibited Exports) Regulations 1958</w:t>
      </w:r>
    </w:p>
    <w:p w14:paraId="0E07A9C7" w14:textId="77777777" w:rsidR="000D4F1A" w:rsidRPr="00FE4160" w:rsidRDefault="000D4F1A" w:rsidP="000D4F1A">
      <w:pPr>
        <w:spacing w:before="240" w:after="240"/>
        <w:rPr>
          <w:rFonts w:ascii="Times New Roman" w:eastAsia="Times New Roman" w:hAnsi="Times New Roman" w:cs="Times New Roman"/>
          <w:b/>
          <w:bCs/>
          <w:iCs/>
          <w:sz w:val="24"/>
          <w:szCs w:val="24"/>
          <w:lang w:eastAsia="en-AU"/>
        </w:rPr>
      </w:pPr>
      <w:r w:rsidRPr="00FE4160">
        <w:rPr>
          <w:rFonts w:ascii="Times New Roman" w:eastAsia="Times New Roman" w:hAnsi="Times New Roman" w:cs="Times New Roman"/>
          <w:b/>
          <w:bCs/>
          <w:iCs/>
          <w:sz w:val="24"/>
          <w:szCs w:val="24"/>
          <w:lang w:eastAsia="en-AU"/>
        </w:rPr>
        <w:t>Schedule 2 (note)</w:t>
      </w:r>
    </w:p>
    <w:p w14:paraId="5708EB84" w14:textId="6FD76538" w:rsidR="000D4F1A" w:rsidRPr="00FE4160" w:rsidRDefault="000D4F1A" w:rsidP="000D4F1A">
      <w:pPr>
        <w:spacing w:before="240" w:after="240"/>
        <w:rPr>
          <w:rFonts w:ascii="Times New Roman" w:eastAsia="Times New Roman" w:hAnsi="Times New Roman" w:cs="Times New Roman"/>
          <w:bCs/>
          <w:iCs/>
          <w:sz w:val="24"/>
          <w:szCs w:val="24"/>
          <w:lang w:eastAsia="en-AU"/>
        </w:rPr>
      </w:pPr>
      <w:r w:rsidRPr="00FE4160">
        <w:rPr>
          <w:rFonts w:ascii="Times New Roman" w:eastAsia="Times New Roman" w:hAnsi="Times New Roman" w:cs="Times New Roman"/>
          <w:bCs/>
          <w:iCs/>
          <w:sz w:val="24"/>
          <w:szCs w:val="24"/>
          <w:lang w:eastAsia="en-AU"/>
        </w:rPr>
        <w:t xml:space="preserve">This item repeals the current note to Schedule 2 to the </w:t>
      </w:r>
      <w:r w:rsidRPr="00FE4160">
        <w:rPr>
          <w:rFonts w:ascii="Times New Roman" w:eastAsia="Times New Roman" w:hAnsi="Times New Roman" w:cs="Times New Roman"/>
          <w:bCs/>
          <w:i/>
          <w:iCs/>
          <w:sz w:val="24"/>
          <w:szCs w:val="24"/>
          <w:lang w:eastAsia="en-AU"/>
        </w:rPr>
        <w:t>Customs (Prohibited Exports) Regulations 1958</w:t>
      </w:r>
      <w:r w:rsidRPr="00FE4160">
        <w:rPr>
          <w:rFonts w:ascii="Times New Roman" w:eastAsia="Times New Roman" w:hAnsi="Times New Roman" w:cs="Times New Roman"/>
          <w:bCs/>
          <w:iCs/>
          <w:sz w:val="24"/>
          <w:szCs w:val="24"/>
          <w:lang w:eastAsia="en-AU"/>
        </w:rPr>
        <w:t xml:space="preserve"> (the Principal Regulations) and substitutes a new note.</w:t>
      </w:r>
    </w:p>
    <w:p w14:paraId="0C4017F3" w14:textId="4D433FCE" w:rsidR="000D4F1A" w:rsidRPr="00FE4160" w:rsidRDefault="000D4F1A" w:rsidP="000D4F1A">
      <w:pPr>
        <w:spacing w:before="240" w:after="240"/>
        <w:rPr>
          <w:rFonts w:ascii="Times New Roman" w:eastAsia="Times New Roman" w:hAnsi="Times New Roman" w:cs="Times New Roman"/>
          <w:bCs/>
          <w:iCs/>
          <w:sz w:val="24"/>
          <w:szCs w:val="24"/>
          <w:lang w:eastAsia="en-AU"/>
        </w:rPr>
      </w:pPr>
      <w:r w:rsidRPr="00FE4160">
        <w:rPr>
          <w:rFonts w:ascii="Times New Roman" w:eastAsia="Times New Roman" w:hAnsi="Times New Roman" w:cs="Times New Roman"/>
          <w:bCs/>
          <w:iCs/>
          <w:sz w:val="24"/>
          <w:szCs w:val="24"/>
          <w:lang w:eastAsia="en-AU"/>
        </w:rPr>
        <w:t>This amendment more clearly refers the reader to regulation 4A of the Principal Regulations as the provision that prohibits the exportation from Australia of a chemical mentioned in Schedule 2, or a mixture or preparation containing a chemical mentioned in Schedule 2 unless, relevantly, a permission to export the chemical has been granted in writing by the Minister or an authorised officer under this regulation, and the permission is produced to a Collector.</w:t>
      </w:r>
    </w:p>
    <w:p w14:paraId="11E37576" w14:textId="2365D4B7" w:rsidR="000D4F1A" w:rsidRPr="00FE4160" w:rsidRDefault="009B48BD" w:rsidP="000D4F1A">
      <w:pPr>
        <w:spacing w:before="240" w:after="240"/>
        <w:rPr>
          <w:rFonts w:ascii="Times New Roman" w:eastAsia="Times New Roman" w:hAnsi="Times New Roman" w:cs="Times New Roman"/>
          <w:bCs/>
          <w:iCs/>
          <w:sz w:val="24"/>
          <w:szCs w:val="24"/>
          <w:lang w:eastAsia="en-AU"/>
        </w:rPr>
      </w:pPr>
      <w:r w:rsidRPr="00FE4160">
        <w:rPr>
          <w:rFonts w:ascii="Times New Roman" w:eastAsia="Times New Roman" w:hAnsi="Times New Roman" w:cs="Times New Roman"/>
          <w:bCs/>
          <w:iCs/>
          <w:sz w:val="24"/>
          <w:szCs w:val="24"/>
          <w:lang w:eastAsia="en-AU"/>
        </w:rPr>
        <w:t xml:space="preserve">This item also inserts a new heading to the table in Schedule 2, as a consequence of the insertion below of new Part 2 to that table by item 6. </w:t>
      </w:r>
    </w:p>
    <w:p w14:paraId="5E1DDB79" w14:textId="77777777" w:rsidR="000D4F1A" w:rsidRPr="00FE4160" w:rsidRDefault="000D4F1A" w:rsidP="000D4F1A">
      <w:pPr>
        <w:spacing w:before="240" w:after="240"/>
        <w:rPr>
          <w:rFonts w:ascii="Times New Roman" w:eastAsia="Times New Roman" w:hAnsi="Times New Roman" w:cs="Times New Roman"/>
          <w:b/>
          <w:bCs/>
          <w:iCs/>
          <w:sz w:val="24"/>
          <w:szCs w:val="24"/>
          <w:lang w:eastAsia="en-AU"/>
        </w:rPr>
      </w:pPr>
      <w:r w:rsidRPr="00FE4160">
        <w:rPr>
          <w:rFonts w:ascii="Times New Roman" w:eastAsia="Times New Roman" w:hAnsi="Times New Roman" w:cs="Times New Roman"/>
          <w:b/>
          <w:bCs/>
          <w:iCs/>
          <w:sz w:val="24"/>
          <w:szCs w:val="24"/>
          <w:lang w:eastAsia="en-AU"/>
        </w:rPr>
        <w:t>Item 2 – Schedule 2 (table item 3A)</w:t>
      </w:r>
    </w:p>
    <w:p w14:paraId="3A79A638" w14:textId="5CD929BA" w:rsidR="000D4F1A" w:rsidRPr="00FE4160" w:rsidRDefault="000D4F1A" w:rsidP="000D4F1A">
      <w:pPr>
        <w:spacing w:before="240" w:after="240"/>
        <w:rPr>
          <w:rFonts w:ascii="Times New Roman" w:eastAsia="Times New Roman" w:hAnsi="Times New Roman" w:cs="Times New Roman"/>
          <w:bCs/>
          <w:iCs/>
          <w:sz w:val="24"/>
          <w:szCs w:val="24"/>
          <w:lang w:eastAsia="en-AU"/>
        </w:rPr>
      </w:pPr>
      <w:r w:rsidRPr="00FE4160">
        <w:rPr>
          <w:rFonts w:ascii="Times New Roman" w:eastAsia="Times New Roman" w:hAnsi="Times New Roman" w:cs="Times New Roman"/>
          <w:bCs/>
          <w:iCs/>
          <w:sz w:val="24"/>
          <w:szCs w:val="24"/>
          <w:lang w:eastAsia="en-AU"/>
        </w:rPr>
        <w:t>This item repeals table item 3A of Schedule 2 to the Principal Regulations.</w:t>
      </w:r>
    </w:p>
    <w:p w14:paraId="67EA9672" w14:textId="150ABE19" w:rsidR="000D4F1A" w:rsidRPr="00FE4160" w:rsidRDefault="000D4F1A" w:rsidP="000D4F1A">
      <w:pPr>
        <w:spacing w:before="240" w:after="240" w:line="252" w:lineRule="auto"/>
        <w:rPr>
          <w:rFonts w:ascii="Times New Roman" w:eastAsia="Times New Roman" w:hAnsi="Times New Roman" w:cs="Times New Roman"/>
          <w:bCs/>
          <w:iCs/>
          <w:sz w:val="24"/>
          <w:szCs w:val="24"/>
          <w:lang w:eastAsia="en-AU"/>
        </w:rPr>
      </w:pPr>
      <w:r w:rsidRPr="00FE4160">
        <w:rPr>
          <w:rFonts w:ascii="Times New Roman" w:eastAsia="Times New Roman" w:hAnsi="Times New Roman" w:cs="Times New Roman"/>
          <w:bCs/>
          <w:iCs/>
          <w:sz w:val="24"/>
          <w:szCs w:val="24"/>
          <w:lang w:eastAsia="en-AU"/>
        </w:rPr>
        <w:t>This is a consequential amendment to the amendment made by item 6 below, which lists mixtures or preparations containing certain combinations of chemicals in proposed new Part 2 of Schedule 2.</w:t>
      </w:r>
    </w:p>
    <w:p w14:paraId="2D9A8708" w14:textId="77777777" w:rsidR="000D4F1A" w:rsidRPr="00FE4160" w:rsidRDefault="000D4F1A" w:rsidP="000D4F1A">
      <w:pPr>
        <w:keepNext/>
        <w:keepLines/>
        <w:spacing w:before="240" w:after="240"/>
        <w:rPr>
          <w:rFonts w:ascii="Times New Roman" w:hAnsi="Times New Roman" w:cs="Times New Roman"/>
          <w:sz w:val="24"/>
          <w:szCs w:val="24"/>
        </w:rPr>
      </w:pPr>
      <w:r w:rsidRPr="00FE4160">
        <w:rPr>
          <w:rFonts w:ascii="Times New Roman" w:hAnsi="Times New Roman" w:cs="Times New Roman"/>
          <w:b/>
          <w:sz w:val="24"/>
          <w:szCs w:val="24"/>
        </w:rPr>
        <w:lastRenderedPageBreak/>
        <w:t>Item 3 – Schedule 2 (table item 4A)</w:t>
      </w:r>
    </w:p>
    <w:p w14:paraId="1C3AFBCD" w14:textId="2E6B26AC" w:rsidR="000D4F1A" w:rsidRPr="00FE4160" w:rsidRDefault="000D4F1A" w:rsidP="000D4F1A">
      <w:pPr>
        <w:keepNext/>
        <w:keepLines/>
        <w:spacing w:before="240" w:after="240"/>
        <w:rPr>
          <w:rFonts w:ascii="Times New Roman" w:hAnsi="Times New Roman" w:cs="Times New Roman"/>
          <w:sz w:val="24"/>
          <w:szCs w:val="24"/>
        </w:rPr>
      </w:pPr>
      <w:r w:rsidRPr="00FE4160">
        <w:rPr>
          <w:rFonts w:ascii="Times New Roman" w:hAnsi="Times New Roman" w:cs="Times New Roman"/>
          <w:sz w:val="24"/>
          <w:szCs w:val="24"/>
        </w:rPr>
        <w:t>This item repeals table item 4A in Schedule 2 to the Principal Regulations, and substitutes a new item 4A.</w:t>
      </w:r>
    </w:p>
    <w:p w14:paraId="1DDA9C4D" w14:textId="060B06E5" w:rsidR="000D4F1A" w:rsidRPr="00FE4160" w:rsidRDefault="000D4F1A" w:rsidP="000D4F1A">
      <w:pPr>
        <w:keepNext/>
        <w:keepLines/>
        <w:spacing w:before="240" w:after="240"/>
        <w:rPr>
          <w:rFonts w:ascii="Times New Roman" w:hAnsi="Times New Roman" w:cs="Times New Roman"/>
          <w:sz w:val="24"/>
          <w:szCs w:val="24"/>
        </w:rPr>
      </w:pPr>
      <w:r w:rsidRPr="00FE4160">
        <w:rPr>
          <w:rFonts w:ascii="Times New Roman" w:hAnsi="Times New Roman" w:cs="Times New Roman"/>
          <w:sz w:val="24"/>
          <w:szCs w:val="24"/>
        </w:rPr>
        <w:t>Table item 4A currently covers carbofuran in powder form, when made up of a certain percentage of c</w:t>
      </w:r>
      <w:r w:rsidR="005F50F7" w:rsidRPr="00FE4160">
        <w:rPr>
          <w:rFonts w:ascii="Times New Roman" w:hAnsi="Times New Roman" w:cs="Times New Roman"/>
          <w:sz w:val="24"/>
          <w:szCs w:val="24"/>
        </w:rPr>
        <w:t>arbofuran and other chemicals. N</w:t>
      </w:r>
      <w:r w:rsidRPr="00FE4160">
        <w:rPr>
          <w:rFonts w:ascii="Times New Roman" w:hAnsi="Times New Roman" w:cs="Times New Roman"/>
          <w:sz w:val="24"/>
          <w:szCs w:val="24"/>
        </w:rPr>
        <w:t xml:space="preserve">ew table item 4A covers carbofuran in its pure form only. Carbofuran in its powder form is </w:t>
      </w:r>
      <w:r w:rsidR="005F50F7" w:rsidRPr="00FE4160">
        <w:rPr>
          <w:rFonts w:ascii="Times New Roman" w:hAnsi="Times New Roman" w:cs="Times New Roman"/>
          <w:sz w:val="24"/>
          <w:szCs w:val="24"/>
        </w:rPr>
        <w:t>covered by</w:t>
      </w:r>
      <w:r w:rsidRPr="00FE4160">
        <w:rPr>
          <w:rFonts w:ascii="Times New Roman" w:hAnsi="Times New Roman" w:cs="Times New Roman"/>
          <w:sz w:val="24"/>
          <w:szCs w:val="24"/>
        </w:rPr>
        <w:t xml:space="preserve"> new Part 2 of Schedule 2 to the Principal Regulations (which deals with mixtures or preparations containing particular combinations of chemicals, inserted by item 6 below).</w:t>
      </w:r>
    </w:p>
    <w:p w14:paraId="66AAEB9F" w14:textId="2EBF016C"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 xml:space="preserve">This item also specifies 1563-66-2 as the CAS registry number for carbofuran in its pure form. The CAS registry numbers are unique numerical identifiers assigned by the Chemical Abstracts Service (a division of the American Chemical Society) to every chemical substance described in open scientific literature (which currently includes all substances described from 1957 to the present). </w:t>
      </w:r>
    </w:p>
    <w:p w14:paraId="461E0EB3" w14:textId="77777777" w:rsidR="000D4F1A" w:rsidRPr="00FE4160" w:rsidRDefault="000D4F1A" w:rsidP="000D4F1A">
      <w:pPr>
        <w:spacing w:before="240" w:after="240"/>
        <w:rPr>
          <w:rFonts w:ascii="Times New Roman" w:hAnsi="Times New Roman" w:cs="Times New Roman"/>
          <w:b/>
          <w:sz w:val="24"/>
          <w:szCs w:val="24"/>
        </w:rPr>
      </w:pPr>
      <w:r w:rsidRPr="00FE4160">
        <w:rPr>
          <w:rFonts w:ascii="Times New Roman" w:hAnsi="Times New Roman" w:cs="Times New Roman"/>
          <w:b/>
          <w:sz w:val="24"/>
          <w:szCs w:val="24"/>
        </w:rPr>
        <w:t>Item 4 – Schedule 2 (table item 68A)</w:t>
      </w:r>
    </w:p>
    <w:p w14:paraId="0A26BE00" w14:textId="2FDA5C14"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This item repeals table item 68A of Schedule 2 to the Principal Regulations.</w:t>
      </w:r>
    </w:p>
    <w:p w14:paraId="0B53B8BB" w14:textId="77777777"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Table item 68A covers thiram in dustable power made up of 7% or more of benomyl, 10% or more of carbofuran, and 15% or more of thiram.</w:t>
      </w:r>
    </w:p>
    <w:p w14:paraId="25E2904A" w14:textId="1C899702"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 xml:space="preserve">This is a consequential amendment to the amendment made by item 6 below, which lists mixtures or preparations containing chemicals in proposed new Part 2 of Schedule 2 to the Principal Regulations. </w:t>
      </w:r>
    </w:p>
    <w:p w14:paraId="7FC61CC1" w14:textId="77777777" w:rsidR="000D4F1A" w:rsidRPr="00FE4160" w:rsidRDefault="000D4F1A" w:rsidP="000D4F1A">
      <w:pPr>
        <w:spacing w:before="240" w:after="240"/>
        <w:rPr>
          <w:rFonts w:ascii="Times New Roman" w:hAnsi="Times New Roman" w:cs="Times New Roman"/>
          <w:b/>
          <w:sz w:val="24"/>
          <w:szCs w:val="24"/>
        </w:rPr>
      </w:pPr>
      <w:r w:rsidRPr="00FE4160">
        <w:rPr>
          <w:rFonts w:ascii="Times New Roman" w:hAnsi="Times New Roman" w:cs="Times New Roman"/>
          <w:b/>
          <w:sz w:val="24"/>
          <w:szCs w:val="24"/>
        </w:rPr>
        <w:t>Item 5 – Schedule 2 (at the end of the table)</w:t>
      </w:r>
    </w:p>
    <w:p w14:paraId="6E4A08F4" w14:textId="0E65E414"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This item inserts trichlorfon as new table item number 72 at the end of Part 1 of Schedule 2 to the Principal Regulations. This item also specifies 52-68-6 as the CAS registry number for that chemical.</w:t>
      </w:r>
    </w:p>
    <w:p w14:paraId="294667C3" w14:textId="77777777" w:rsidR="000D4F1A" w:rsidRPr="00FE4160" w:rsidRDefault="000D4F1A" w:rsidP="000D4F1A">
      <w:pPr>
        <w:spacing w:before="240" w:after="240"/>
        <w:rPr>
          <w:rFonts w:ascii="Times New Roman" w:hAnsi="Times New Roman" w:cs="Times New Roman"/>
          <w:b/>
          <w:sz w:val="24"/>
          <w:szCs w:val="24"/>
        </w:rPr>
      </w:pPr>
      <w:r w:rsidRPr="00FE4160">
        <w:rPr>
          <w:rFonts w:ascii="Times New Roman" w:hAnsi="Times New Roman" w:cs="Times New Roman"/>
          <w:b/>
          <w:sz w:val="24"/>
          <w:szCs w:val="24"/>
        </w:rPr>
        <w:t>Item 6 – At the end of Schedule 2 (before the note)</w:t>
      </w:r>
    </w:p>
    <w:p w14:paraId="0D0765B5" w14:textId="5030C2E2"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This item adds a new Part 2 to Schedule 2 of the Principal Regulations.</w:t>
      </w:r>
    </w:p>
    <w:p w14:paraId="6FD57744" w14:textId="288019EE"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 xml:space="preserve">This item covers all mixtures and preparations containing chemicals that are currently covered by table items 3A, 4A and 68A of Schedule 2 to the Principal Regulations, specifically, benomyl, carbofuran and thiram in dustable power form made up of 7% or more of benomyl, 10% or more of carbofuran, and 15% or more of thiram. </w:t>
      </w:r>
    </w:p>
    <w:p w14:paraId="6B4D537A" w14:textId="394648C6" w:rsidR="000D4F1A" w:rsidRPr="00FE4160" w:rsidRDefault="000D4F1A" w:rsidP="000D4F1A">
      <w:pPr>
        <w:spacing w:before="240" w:after="240"/>
        <w:rPr>
          <w:rFonts w:ascii="Times New Roman" w:hAnsi="Times New Roman" w:cs="Times New Roman"/>
          <w:sz w:val="24"/>
          <w:szCs w:val="24"/>
        </w:rPr>
      </w:pPr>
      <w:r w:rsidRPr="00FE4160">
        <w:rPr>
          <w:rFonts w:ascii="Times New Roman" w:hAnsi="Times New Roman" w:cs="Times New Roman"/>
          <w:sz w:val="24"/>
          <w:szCs w:val="24"/>
        </w:rPr>
        <w:t>Mixtures or preparations containing chemicals in a particular combination are listed in a separate Part of Schedule 2 of the Principal Regulations to chemicals in their pure form. This amendment clarifies the operation of the Schedule, especially for exporters of these chemicals.</w:t>
      </w:r>
    </w:p>
    <w:p w14:paraId="1EC4E183" w14:textId="1AC7FB18" w:rsidR="00EE7E72" w:rsidRPr="00F17B09" w:rsidRDefault="00EE7E72" w:rsidP="00250139">
      <w:pPr>
        <w:spacing w:before="240" w:after="240"/>
        <w:rPr>
          <w:rFonts w:ascii="Times New Roman" w:hAnsi="Times New Roman" w:cs="Times New Roman"/>
          <w:bCs/>
          <w:sz w:val="24"/>
          <w:szCs w:val="24"/>
        </w:rPr>
      </w:pPr>
    </w:p>
    <w:p w14:paraId="020C1FB5"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26291050"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10639154"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6CAF9D6" w14:textId="2E0EAB0F" w:rsidR="00547F8D" w:rsidRPr="00547F8D" w:rsidRDefault="00B312FC"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Customs (Prohibite</w:t>
      </w:r>
      <w:r w:rsidR="0050482B">
        <w:rPr>
          <w:rFonts w:ascii="Times New Roman" w:hAnsi="Times New Roman" w:cs="Times New Roman"/>
          <w:i/>
          <w:sz w:val="24"/>
          <w:szCs w:val="24"/>
        </w:rPr>
        <w:t>d Exports) Amendment (Chemicals) Regulations 2018</w:t>
      </w:r>
    </w:p>
    <w:p w14:paraId="43DF7B08"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e Regulations</w:t>
      </w:r>
      <w:r w:rsidRPr="00547F8D">
        <w:rPr>
          <w:rFonts w:ascii="Times New Roman" w:hAnsi="Times New Roman" w:cs="Times New Roman"/>
          <w:sz w:val="24"/>
          <w:szCs w:val="24"/>
        </w:rPr>
        <w:t xml:space="preserve"> </w:t>
      </w:r>
      <w:r w:rsidR="00B312FC">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F7FB825"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A5E299B" w14:textId="31645B49" w:rsidR="003C476A" w:rsidRDefault="00B312FC" w:rsidP="0050482B">
      <w:pPr>
        <w:spacing w:before="120" w:after="120"/>
        <w:rPr>
          <w:rFonts w:ascii="Times New Roman" w:hAnsi="Times New Roman" w:cs="Times New Roman"/>
          <w:sz w:val="24"/>
          <w:szCs w:val="24"/>
        </w:rPr>
      </w:pPr>
      <w:r>
        <w:rPr>
          <w:rFonts w:ascii="Times New Roman" w:hAnsi="Times New Roman" w:cs="Times New Roman"/>
          <w:sz w:val="24"/>
          <w:szCs w:val="24"/>
        </w:rPr>
        <w:t>The</w:t>
      </w:r>
      <w:r w:rsidR="00531168">
        <w:rPr>
          <w:rFonts w:ascii="Times New Roman" w:hAnsi="Times New Roman" w:cs="Times New Roman"/>
          <w:sz w:val="24"/>
          <w:szCs w:val="24"/>
        </w:rPr>
        <w:t>se</w:t>
      </w:r>
      <w:r>
        <w:rPr>
          <w:rFonts w:ascii="Times New Roman" w:hAnsi="Times New Roman" w:cs="Times New Roman"/>
          <w:sz w:val="24"/>
          <w:szCs w:val="24"/>
        </w:rPr>
        <w:t xml:space="preserve"> Regulations amend </w:t>
      </w:r>
      <w:r w:rsidR="0050482B">
        <w:rPr>
          <w:rFonts w:ascii="Times New Roman" w:hAnsi="Times New Roman" w:cs="Times New Roman"/>
          <w:sz w:val="24"/>
          <w:szCs w:val="24"/>
        </w:rPr>
        <w:t xml:space="preserve">Schedule 2 to </w:t>
      </w:r>
      <w:r>
        <w:rPr>
          <w:rFonts w:ascii="Times New Roman" w:hAnsi="Times New Roman" w:cs="Times New Roman"/>
          <w:sz w:val="24"/>
          <w:szCs w:val="24"/>
        </w:rPr>
        <w:t xml:space="preserve">the </w:t>
      </w:r>
      <w:r>
        <w:rPr>
          <w:rFonts w:ascii="Times New Roman" w:hAnsi="Times New Roman" w:cs="Times New Roman"/>
          <w:i/>
          <w:sz w:val="24"/>
          <w:szCs w:val="24"/>
        </w:rPr>
        <w:t xml:space="preserve">Customs (Prohibited Exports) Regulations 1958 </w:t>
      </w:r>
      <w:r w:rsidR="00A46800">
        <w:rPr>
          <w:rFonts w:ascii="Times New Roman" w:hAnsi="Times New Roman" w:cs="Times New Roman"/>
          <w:sz w:val="24"/>
          <w:szCs w:val="24"/>
        </w:rPr>
        <w:t xml:space="preserve">(the Principal Regulations) </w:t>
      </w:r>
      <w:r w:rsidR="0050482B">
        <w:rPr>
          <w:rFonts w:ascii="Times New Roman" w:hAnsi="Times New Roman" w:cs="Times New Roman"/>
          <w:sz w:val="24"/>
          <w:szCs w:val="24"/>
        </w:rPr>
        <w:t>to add</w:t>
      </w:r>
      <w:r>
        <w:rPr>
          <w:rFonts w:ascii="Times New Roman" w:hAnsi="Times New Roman" w:cs="Times New Roman"/>
          <w:sz w:val="24"/>
          <w:szCs w:val="24"/>
        </w:rPr>
        <w:t xml:space="preserve"> </w:t>
      </w:r>
      <w:r w:rsidR="0050482B">
        <w:rPr>
          <w:rFonts w:ascii="Times New Roman" w:hAnsi="Times New Roman" w:cs="Times New Roman"/>
          <w:sz w:val="24"/>
          <w:szCs w:val="24"/>
        </w:rPr>
        <w:t>two new chemicals, carbofuran and trichlorfon</w:t>
      </w:r>
      <w:r w:rsidR="00A46800">
        <w:rPr>
          <w:rFonts w:ascii="Times New Roman" w:hAnsi="Times New Roman" w:cs="Times New Roman"/>
          <w:sz w:val="24"/>
          <w:szCs w:val="24"/>
        </w:rPr>
        <w:t>,</w:t>
      </w:r>
      <w:r w:rsidR="0050482B">
        <w:rPr>
          <w:rFonts w:ascii="Times New Roman" w:hAnsi="Times New Roman" w:cs="Times New Roman"/>
          <w:sz w:val="24"/>
          <w:szCs w:val="24"/>
        </w:rPr>
        <w:t xml:space="preserve"> to the list of chemicals the exportation of which is prohibited unless permission is granted under regulation 4A. </w:t>
      </w:r>
    </w:p>
    <w:p w14:paraId="67082DD1" w14:textId="57B73578" w:rsidR="00D93DC6" w:rsidRDefault="00D93DC6" w:rsidP="0050482B">
      <w:pPr>
        <w:spacing w:before="120" w:after="120"/>
        <w:rPr>
          <w:rFonts w:ascii="Times New Roman" w:hAnsi="Times New Roman" w:cs="Times New Roman"/>
          <w:sz w:val="24"/>
          <w:szCs w:val="24"/>
        </w:rPr>
      </w:pPr>
      <w:r>
        <w:rPr>
          <w:rFonts w:ascii="Times New Roman" w:hAnsi="Times New Roman" w:cs="Times New Roman"/>
          <w:sz w:val="24"/>
          <w:szCs w:val="24"/>
        </w:rPr>
        <w:t>The Regulations also made several consequential amendments to Schedule 2 of the Principal Regulations to list preparations containing particular combinations of chemicals in a new, separate part within the Schedule. This clearly distinguishes chemicals in their pure form from preparations containing particular combinations of chemicals.</w:t>
      </w:r>
    </w:p>
    <w:p w14:paraId="50081E3C" w14:textId="0C9D51F7" w:rsidR="00547F8D" w:rsidRPr="00547F8D" w:rsidRDefault="0050482B" w:rsidP="0050482B">
      <w:pPr>
        <w:spacing w:before="120" w:after="120"/>
        <w:rPr>
          <w:rFonts w:ascii="Times New Roman" w:hAnsi="Times New Roman" w:cs="Times New Roman"/>
          <w:sz w:val="24"/>
          <w:szCs w:val="24"/>
        </w:rPr>
      </w:pPr>
      <w:r>
        <w:rPr>
          <w:rFonts w:ascii="Times New Roman" w:hAnsi="Times New Roman" w:cs="Times New Roman"/>
          <w:sz w:val="24"/>
          <w:szCs w:val="24"/>
        </w:rPr>
        <w:t xml:space="preserve">These amendments ensure Australia is meeting its obligations under the </w:t>
      </w:r>
      <w:r w:rsidR="003C476A">
        <w:rPr>
          <w:rFonts w:ascii="Times New Roman" w:hAnsi="Times New Roman" w:cs="Times New Roman"/>
          <w:sz w:val="24"/>
          <w:szCs w:val="24"/>
        </w:rPr>
        <w:t xml:space="preserve">Rotterdam Convention on the Prior Informed Consent Procedure for Certain Hazardous Chemicals and Pesticides in International Trade (the Rotterdam Convention). </w:t>
      </w:r>
    </w:p>
    <w:p w14:paraId="627CD456"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9EAE0B3"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 xml:space="preserve">e Regulations </w:t>
      </w:r>
      <w:r w:rsidRPr="00547F8D">
        <w:rPr>
          <w:rFonts w:ascii="Times New Roman" w:hAnsi="Times New Roman" w:cs="Times New Roman"/>
          <w:sz w:val="24"/>
          <w:szCs w:val="24"/>
        </w:rPr>
        <w:t>do not engage any of the applicable rights or freedoms.</w:t>
      </w:r>
    </w:p>
    <w:p w14:paraId="72BB1D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F70353A"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B312FC">
        <w:rPr>
          <w:rFonts w:ascii="Times New Roman" w:hAnsi="Times New Roman" w:cs="Times New Roman"/>
          <w:sz w:val="24"/>
          <w:szCs w:val="24"/>
        </w:rPr>
        <w:t>e</w:t>
      </w:r>
      <w:r w:rsidRPr="00547F8D">
        <w:rPr>
          <w:rFonts w:ascii="Times New Roman" w:hAnsi="Times New Roman" w:cs="Times New Roman"/>
          <w:sz w:val="24"/>
          <w:szCs w:val="24"/>
        </w:rPr>
        <w:t>s</w:t>
      </w:r>
      <w:r w:rsidR="00B312FC">
        <w:rPr>
          <w:rFonts w:ascii="Times New Roman" w:hAnsi="Times New Roman" w:cs="Times New Roman"/>
          <w:sz w:val="24"/>
          <w:szCs w:val="24"/>
        </w:rPr>
        <w:t xml:space="preserve">e Regulations are </w:t>
      </w:r>
      <w:r w:rsidRPr="00547F8D">
        <w:rPr>
          <w:rFonts w:ascii="Times New Roman" w:hAnsi="Times New Roman" w:cs="Times New Roman"/>
          <w:sz w:val="24"/>
          <w:szCs w:val="24"/>
        </w:rPr>
        <w:t xml:space="preserve">compatible with human rights as </w:t>
      </w:r>
      <w:r w:rsidR="00B312FC">
        <w:rPr>
          <w:rFonts w:ascii="Times New Roman" w:hAnsi="Times New Roman" w:cs="Times New Roman"/>
          <w:sz w:val="24"/>
          <w:szCs w:val="24"/>
        </w:rPr>
        <w:t>they</w:t>
      </w:r>
      <w:r w:rsidRPr="00547F8D">
        <w:rPr>
          <w:rFonts w:ascii="Times New Roman" w:hAnsi="Times New Roman" w:cs="Times New Roman"/>
          <w:sz w:val="24"/>
          <w:szCs w:val="24"/>
        </w:rPr>
        <w:t xml:space="preserve"> do not raise any human rights issues.</w:t>
      </w:r>
    </w:p>
    <w:p w14:paraId="5EB69EA7" w14:textId="77777777" w:rsidR="00547F8D" w:rsidRPr="00547F8D" w:rsidRDefault="00547F8D" w:rsidP="00547F8D">
      <w:pPr>
        <w:spacing w:before="120" w:after="120"/>
        <w:jc w:val="center"/>
        <w:rPr>
          <w:rFonts w:ascii="Times New Roman" w:hAnsi="Times New Roman" w:cs="Times New Roman"/>
          <w:sz w:val="24"/>
          <w:szCs w:val="24"/>
        </w:rPr>
      </w:pPr>
    </w:p>
    <w:p w14:paraId="1EF1496E" w14:textId="301D7BE3" w:rsidR="00882263" w:rsidRDefault="0050482B"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Hon Angus Taylor</w:t>
      </w:r>
      <w:r w:rsidR="00B312FC">
        <w:rPr>
          <w:rFonts w:ascii="Times New Roman" w:hAnsi="Times New Roman" w:cs="Times New Roman"/>
          <w:b/>
          <w:sz w:val="24"/>
          <w:szCs w:val="24"/>
        </w:rPr>
        <w:t xml:space="preserve"> MP</w:t>
      </w:r>
    </w:p>
    <w:p w14:paraId="299AD5DB" w14:textId="6DCEB5CA" w:rsidR="00547F8D" w:rsidRPr="00547F8D" w:rsidRDefault="0050482B"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Law Enforcement and Cyber</w:t>
      </w:r>
      <w:r w:rsidR="000D4F1A">
        <w:rPr>
          <w:rFonts w:ascii="Times New Roman" w:hAnsi="Times New Roman" w:cs="Times New Roman"/>
          <w:b/>
          <w:sz w:val="24"/>
          <w:szCs w:val="24"/>
        </w:rPr>
        <w:t xml:space="preserve"> S</w:t>
      </w:r>
      <w:r>
        <w:rPr>
          <w:rFonts w:ascii="Times New Roman" w:hAnsi="Times New Roman" w:cs="Times New Roman"/>
          <w:b/>
          <w:sz w:val="24"/>
          <w:szCs w:val="24"/>
        </w:rPr>
        <w:t>ecurity</w:t>
      </w:r>
    </w:p>
    <w:p w14:paraId="340B04AE" w14:textId="77777777" w:rsidR="006472E0" w:rsidRPr="00547F8D" w:rsidRDefault="006472E0" w:rsidP="00B312FC">
      <w:pPr>
        <w:shd w:val="clear" w:color="auto" w:fill="FFFFFF"/>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41"/>
    <w:multiLevelType w:val="hybridMultilevel"/>
    <w:tmpl w:val="623C2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6F275F"/>
    <w:multiLevelType w:val="hybridMultilevel"/>
    <w:tmpl w:val="00C4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FF6083"/>
    <w:multiLevelType w:val="hybridMultilevel"/>
    <w:tmpl w:val="A5D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16B"/>
    <w:rsid w:val="00013351"/>
    <w:rsid w:val="000220E4"/>
    <w:rsid w:val="00064298"/>
    <w:rsid w:val="000B2631"/>
    <w:rsid w:val="000C5988"/>
    <w:rsid w:val="000C7211"/>
    <w:rsid w:val="000D0E22"/>
    <w:rsid w:val="000D4F1A"/>
    <w:rsid w:val="000E1FFE"/>
    <w:rsid w:val="000E513B"/>
    <w:rsid w:val="000F50F1"/>
    <w:rsid w:val="00101E33"/>
    <w:rsid w:val="00106D2E"/>
    <w:rsid w:val="00111B0E"/>
    <w:rsid w:val="0013767C"/>
    <w:rsid w:val="00152496"/>
    <w:rsid w:val="001544E2"/>
    <w:rsid w:val="00154BC8"/>
    <w:rsid w:val="001604E1"/>
    <w:rsid w:val="001644D5"/>
    <w:rsid w:val="00176597"/>
    <w:rsid w:val="0018432B"/>
    <w:rsid w:val="0018683B"/>
    <w:rsid w:val="001919AC"/>
    <w:rsid w:val="001A1257"/>
    <w:rsid w:val="001B2043"/>
    <w:rsid w:val="001B67BD"/>
    <w:rsid w:val="001B6B45"/>
    <w:rsid w:val="001C639C"/>
    <w:rsid w:val="001E5146"/>
    <w:rsid w:val="001E6B21"/>
    <w:rsid w:val="0020452D"/>
    <w:rsid w:val="002131FE"/>
    <w:rsid w:val="00221E7C"/>
    <w:rsid w:val="002244B3"/>
    <w:rsid w:val="00250139"/>
    <w:rsid w:val="00272A46"/>
    <w:rsid w:val="002C0669"/>
    <w:rsid w:val="002E2189"/>
    <w:rsid w:val="002E3895"/>
    <w:rsid w:val="002F7A06"/>
    <w:rsid w:val="003542DD"/>
    <w:rsid w:val="00362588"/>
    <w:rsid w:val="00366EF0"/>
    <w:rsid w:val="003C2C9B"/>
    <w:rsid w:val="003C476A"/>
    <w:rsid w:val="003C5D4E"/>
    <w:rsid w:val="003F1E12"/>
    <w:rsid w:val="00404E89"/>
    <w:rsid w:val="00464C39"/>
    <w:rsid w:val="00487A90"/>
    <w:rsid w:val="004E2290"/>
    <w:rsid w:val="004E4D20"/>
    <w:rsid w:val="0050389B"/>
    <w:rsid w:val="0050482B"/>
    <w:rsid w:val="0052515C"/>
    <w:rsid w:val="00531168"/>
    <w:rsid w:val="00547F8D"/>
    <w:rsid w:val="00585864"/>
    <w:rsid w:val="005A0585"/>
    <w:rsid w:val="005A5CBF"/>
    <w:rsid w:val="005D41B1"/>
    <w:rsid w:val="005D7670"/>
    <w:rsid w:val="005F50F7"/>
    <w:rsid w:val="00622FF1"/>
    <w:rsid w:val="00625C31"/>
    <w:rsid w:val="006265D2"/>
    <w:rsid w:val="006472E0"/>
    <w:rsid w:val="00670003"/>
    <w:rsid w:val="00671054"/>
    <w:rsid w:val="006745C3"/>
    <w:rsid w:val="00697B9F"/>
    <w:rsid w:val="006D75FF"/>
    <w:rsid w:val="006F5ADD"/>
    <w:rsid w:val="00701EDA"/>
    <w:rsid w:val="00703569"/>
    <w:rsid w:val="0072540E"/>
    <w:rsid w:val="00745058"/>
    <w:rsid w:val="00754338"/>
    <w:rsid w:val="007936F1"/>
    <w:rsid w:val="007A36B3"/>
    <w:rsid w:val="007B21CC"/>
    <w:rsid w:val="007B6D85"/>
    <w:rsid w:val="007D1C39"/>
    <w:rsid w:val="007E464F"/>
    <w:rsid w:val="007F32D7"/>
    <w:rsid w:val="00824902"/>
    <w:rsid w:val="0083024F"/>
    <w:rsid w:val="0084577B"/>
    <w:rsid w:val="00856F6C"/>
    <w:rsid w:val="00882263"/>
    <w:rsid w:val="008B2685"/>
    <w:rsid w:val="008D1C88"/>
    <w:rsid w:val="008D2B3D"/>
    <w:rsid w:val="008F0FC3"/>
    <w:rsid w:val="00924762"/>
    <w:rsid w:val="0092673C"/>
    <w:rsid w:val="009620C1"/>
    <w:rsid w:val="00975D56"/>
    <w:rsid w:val="0098415F"/>
    <w:rsid w:val="00994F99"/>
    <w:rsid w:val="009B48BD"/>
    <w:rsid w:val="009C6DBB"/>
    <w:rsid w:val="009D5598"/>
    <w:rsid w:val="009D6ADF"/>
    <w:rsid w:val="009E7BE3"/>
    <w:rsid w:val="00A04F5C"/>
    <w:rsid w:val="00A46800"/>
    <w:rsid w:val="00A529CD"/>
    <w:rsid w:val="00A9325B"/>
    <w:rsid w:val="00A9469A"/>
    <w:rsid w:val="00AD12CF"/>
    <w:rsid w:val="00AE49EF"/>
    <w:rsid w:val="00B14077"/>
    <w:rsid w:val="00B312FC"/>
    <w:rsid w:val="00C01AB7"/>
    <w:rsid w:val="00C67A56"/>
    <w:rsid w:val="00C81342"/>
    <w:rsid w:val="00CA3B6C"/>
    <w:rsid w:val="00CB1E28"/>
    <w:rsid w:val="00CC293B"/>
    <w:rsid w:val="00CC3F98"/>
    <w:rsid w:val="00D07B51"/>
    <w:rsid w:val="00D15BB2"/>
    <w:rsid w:val="00D178D4"/>
    <w:rsid w:val="00D178EC"/>
    <w:rsid w:val="00D45DFF"/>
    <w:rsid w:val="00D64675"/>
    <w:rsid w:val="00D93DC6"/>
    <w:rsid w:val="00DD0A90"/>
    <w:rsid w:val="00DD2157"/>
    <w:rsid w:val="00DE6B40"/>
    <w:rsid w:val="00DF78AE"/>
    <w:rsid w:val="00E02751"/>
    <w:rsid w:val="00E168F0"/>
    <w:rsid w:val="00E34800"/>
    <w:rsid w:val="00E378B3"/>
    <w:rsid w:val="00E85344"/>
    <w:rsid w:val="00EA4C74"/>
    <w:rsid w:val="00ED4E36"/>
    <w:rsid w:val="00ED63D2"/>
    <w:rsid w:val="00EE7E72"/>
    <w:rsid w:val="00EF1F64"/>
    <w:rsid w:val="00F05F4B"/>
    <w:rsid w:val="00F17B09"/>
    <w:rsid w:val="00F66288"/>
    <w:rsid w:val="00F665F8"/>
    <w:rsid w:val="00F774E8"/>
    <w:rsid w:val="00F81535"/>
    <w:rsid w:val="00F8248F"/>
    <w:rsid w:val="00FD0D0D"/>
    <w:rsid w:val="00FE4160"/>
    <w:rsid w:val="00FE7700"/>
    <w:rsid w:val="00FF1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8A8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D75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5FF"/>
    <w:rPr>
      <w:rFonts w:asciiTheme="majorHAnsi" w:eastAsiaTheme="majorEastAsia" w:hAnsiTheme="majorHAnsi" w:cstheme="majorBidi"/>
      <w:color w:val="365F91" w:themeColor="accent1" w:themeShade="BF"/>
      <w:sz w:val="26"/>
      <w:szCs w:val="26"/>
    </w:rPr>
  </w:style>
  <w:style w:type="paragraph" w:styleId="ListParagraph">
    <w:name w:val="List Paragraph"/>
    <w:aliases w:val="CAB - List Bullet,1 heading,Bullet List,Bullet point,Dot point 1.5 line spacing,FooterText,L,List Paragraph - bullets,List Paragraph1,List Paragraph11,List Paragraph2,NFP GP Bulleted List,Paragraphe de liste1,Recommendation,numbered,列出段落"/>
    <w:basedOn w:val="Normal"/>
    <w:link w:val="ListParagraphChar"/>
    <w:uiPriority w:val="34"/>
    <w:qFormat/>
    <w:rsid w:val="006D75FF"/>
    <w:pPr>
      <w:ind w:left="720"/>
      <w:contextualSpacing/>
    </w:pPr>
  </w:style>
  <w:style w:type="character" w:customStyle="1" w:styleId="ListParagraphChar">
    <w:name w:val="List Paragraph Char"/>
    <w:aliases w:val="CAB - List Bullet Char,1 heading Char,Bullet List Char,Bullet point Char,Dot point 1.5 line spacing Char,FooterText Char,L Char,List Paragraph - bullets Char,List Paragraph1 Char,List Paragraph11 Char,List Paragraph2 Char,列出段落 Char"/>
    <w:basedOn w:val="DefaultParagraphFont"/>
    <w:link w:val="ListParagraph"/>
    <w:uiPriority w:val="2"/>
    <w:qFormat/>
    <w:locked/>
    <w:rsid w:val="006D75FF"/>
  </w:style>
  <w:style w:type="paragraph" w:customStyle="1" w:styleId="ActHead5">
    <w:name w:val="ActHead 5"/>
    <w:aliases w:val="s"/>
    <w:basedOn w:val="Normal"/>
    <w:next w:val="subsection"/>
    <w:qFormat/>
    <w:rsid w:val="00A946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A946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9469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9469A"/>
    <w:rPr>
      <w:rFonts w:ascii="Times New Roman" w:eastAsia="Times New Roman" w:hAnsi="Times New Roman" w:cs="Times New Roman"/>
      <w:szCs w:val="20"/>
      <w:lang w:eastAsia="en-AU"/>
    </w:rPr>
  </w:style>
  <w:style w:type="character" w:styleId="CommentReference">
    <w:name w:val="annotation reference"/>
    <w:uiPriority w:val="99"/>
    <w:semiHidden/>
    <w:unhideWhenUsed/>
    <w:rsid w:val="00A9469A"/>
    <w:rPr>
      <w:sz w:val="16"/>
      <w:szCs w:val="16"/>
    </w:rPr>
  </w:style>
  <w:style w:type="paragraph" w:styleId="CommentText">
    <w:name w:val="annotation text"/>
    <w:basedOn w:val="Normal"/>
    <w:link w:val="CommentTextChar"/>
    <w:uiPriority w:val="99"/>
    <w:semiHidden/>
    <w:unhideWhenUsed/>
    <w:rsid w:val="00A9469A"/>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9469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3C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2189"/>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2189"/>
    <w:rPr>
      <w:rFonts w:ascii="Times New Roman" w:eastAsia="Calibri" w:hAnsi="Times New Roman" w:cs="Times New Roman"/>
      <w:b/>
      <w:bCs/>
      <w:sz w:val="20"/>
      <w:szCs w:val="20"/>
    </w:rPr>
  </w:style>
  <w:style w:type="paragraph" w:styleId="Revision">
    <w:name w:val="Revision"/>
    <w:hidden/>
    <w:uiPriority w:val="99"/>
    <w:semiHidden/>
    <w:rsid w:val="00697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0383">
      <w:bodyDiv w:val="1"/>
      <w:marLeft w:val="0"/>
      <w:marRight w:val="0"/>
      <w:marTop w:val="0"/>
      <w:marBottom w:val="0"/>
      <w:divBdr>
        <w:top w:val="none" w:sz="0" w:space="0" w:color="auto"/>
        <w:left w:val="none" w:sz="0" w:space="0" w:color="auto"/>
        <w:bottom w:val="none" w:sz="0" w:space="0" w:color="auto"/>
        <w:right w:val="none" w:sz="0" w:space="0" w:color="auto"/>
      </w:divBdr>
      <w:divsChild>
        <w:div w:id="50005260">
          <w:marLeft w:val="0"/>
          <w:marRight w:val="0"/>
          <w:marTop w:val="0"/>
          <w:marBottom w:val="0"/>
          <w:divBdr>
            <w:top w:val="none" w:sz="0" w:space="0" w:color="auto"/>
            <w:left w:val="none" w:sz="0" w:space="0" w:color="auto"/>
            <w:bottom w:val="none" w:sz="0" w:space="0" w:color="auto"/>
            <w:right w:val="none" w:sz="0" w:space="0" w:color="auto"/>
          </w:divBdr>
          <w:divsChild>
            <w:div w:id="1676571102">
              <w:marLeft w:val="0"/>
              <w:marRight w:val="0"/>
              <w:marTop w:val="0"/>
              <w:marBottom w:val="0"/>
              <w:divBdr>
                <w:top w:val="none" w:sz="0" w:space="0" w:color="auto"/>
                <w:left w:val="none" w:sz="0" w:space="0" w:color="auto"/>
                <w:bottom w:val="none" w:sz="0" w:space="0" w:color="auto"/>
                <w:right w:val="none" w:sz="0" w:space="0" w:color="auto"/>
              </w:divBdr>
              <w:divsChild>
                <w:div w:id="765931105">
                  <w:marLeft w:val="0"/>
                  <w:marRight w:val="0"/>
                  <w:marTop w:val="0"/>
                  <w:marBottom w:val="0"/>
                  <w:divBdr>
                    <w:top w:val="none" w:sz="0" w:space="0" w:color="auto"/>
                    <w:left w:val="none" w:sz="0" w:space="0" w:color="auto"/>
                    <w:bottom w:val="none" w:sz="0" w:space="0" w:color="auto"/>
                    <w:right w:val="none" w:sz="0" w:space="0" w:color="auto"/>
                  </w:divBdr>
                  <w:divsChild>
                    <w:div w:id="1185247484">
                      <w:marLeft w:val="0"/>
                      <w:marRight w:val="0"/>
                      <w:marTop w:val="0"/>
                      <w:marBottom w:val="0"/>
                      <w:divBdr>
                        <w:top w:val="none" w:sz="0" w:space="0" w:color="auto"/>
                        <w:left w:val="none" w:sz="0" w:space="0" w:color="auto"/>
                        <w:bottom w:val="none" w:sz="0" w:space="0" w:color="auto"/>
                        <w:right w:val="none" w:sz="0" w:space="0" w:color="auto"/>
                      </w:divBdr>
                      <w:divsChild>
                        <w:div w:id="117065428">
                          <w:marLeft w:val="0"/>
                          <w:marRight w:val="0"/>
                          <w:marTop w:val="0"/>
                          <w:marBottom w:val="0"/>
                          <w:divBdr>
                            <w:top w:val="none" w:sz="0" w:space="0" w:color="auto"/>
                            <w:left w:val="none" w:sz="0" w:space="0" w:color="auto"/>
                            <w:bottom w:val="none" w:sz="0" w:space="0" w:color="auto"/>
                            <w:right w:val="none" w:sz="0" w:space="0" w:color="auto"/>
                          </w:divBdr>
                          <w:divsChild>
                            <w:div w:id="206575287">
                              <w:marLeft w:val="0"/>
                              <w:marRight w:val="0"/>
                              <w:marTop w:val="0"/>
                              <w:marBottom w:val="0"/>
                              <w:divBdr>
                                <w:top w:val="none" w:sz="0" w:space="0" w:color="auto"/>
                                <w:left w:val="none" w:sz="0" w:space="0" w:color="auto"/>
                                <w:bottom w:val="none" w:sz="0" w:space="0" w:color="auto"/>
                                <w:right w:val="none" w:sz="0" w:space="0" w:color="auto"/>
                              </w:divBdr>
                              <w:divsChild>
                                <w:div w:id="838430167">
                                  <w:marLeft w:val="0"/>
                                  <w:marRight w:val="0"/>
                                  <w:marTop w:val="0"/>
                                  <w:marBottom w:val="0"/>
                                  <w:divBdr>
                                    <w:top w:val="none" w:sz="0" w:space="0" w:color="auto"/>
                                    <w:left w:val="none" w:sz="0" w:space="0" w:color="auto"/>
                                    <w:bottom w:val="none" w:sz="0" w:space="0" w:color="auto"/>
                                    <w:right w:val="none" w:sz="0" w:space="0" w:color="auto"/>
                                  </w:divBdr>
                                  <w:divsChild>
                                    <w:div w:id="118842243">
                                      <w:marLeft w:val="0"/>
                                      <w:marRight w:val="0"/>
                                      <w:marTop w:val="0"/>
                                      <w:marBottom w:val="0"/>
                                      <w:divBdr>
                                        <w:top w:val="none" w:sz="0" w:space="0" w:color="auto"/>
                                        <w:left w:val="none" w:sz="0" w:space="0" w:color="auto"/>
                                        <w:bottom w:val="none" w:sz="0" w:space="0" w:color="auto"/>
                                        <w:right w:val="none" w:sz="0" w:space="0" w:color="auto"/>
                                      </w:divBdr>
                                      <w:divsChild>
                                        <w:div w:id="968246223">
                                          <w:marLeft w:val="0"/>
                                          <w:marRight w:val="0"/>
                                          <w:marTop w:val="0"/>
                                          <w:marBottom w:val="0"/>
                                          <w:divBdr>
                                            <w:top w:val="none" w:sz="0" w:space="0" w:color="auto"/>
                                            <w:left w:val="none" w:sz="0" w:space="0" w:color="auto"/>
                                            <w:bottom w:val="none" w:sz="0" w:space="0" w:color="auto"/>
                                            <w:right w:val="none" w:sz="0" w:space="0" w:color="auto"/>
                                          </w:divBdr>
                                          <w:divsChild>
                                            <w:div w:id="1027757414">
                                              <w:marLeft w:val="0"/>
                                              <w:marRight w:val="0"/>
                                              <w:marTop w:val="0"/>
                                              <w:marBottom w:val="0"/>
                                              <w:divBdr>
                                                <w:top w:val="none" w:sz="0" w:space="0" w:color="auto"/>
                                                <w:left w:val="none" w:sz="0" w:space="0" w:color="auto"/>
                                                <w:bottom w:val="none" w:sz="0" w:space="0" w:color="auto"/>
                                                <w:right w:val="none" w:sz="0" w:space="0" w:color="auto"/>
                                              </w:divBdr>
                                              <w:divsChild>
                                                <w:div w:id="1065835615">
                                                  <w:marLeft w:val="0"/>
                                                  <w:marRight w:val="0"/>
                                                  <w:marTop w:val="0"/>
                                                  <w:marBottom w:val="0"/>
                                                  <w:divBdr>
                                                    <w:top w:val="none" w:sz="0" w:space="0" w:color="auto"/>
                                                    <w:left w:val="none" w:sz="0" w:space="0" w:color="auto"/>
                                                    <w:bottom w:val="none" w:sz="0" w:space="0" w:color="auto"/>
                                                    <w:right w:val="none" w:sz="0" w:space="0" w:color="auto"/>
                                                  </w:divBdr>
                                                  <w:divsChild>
                                                    <w:div w:id="1025444429">
                                                      <w:marLeft w:val="0"/>
                                                      <w:marRight w:val="0"/>
                                                      <w:marTop w:val="0"/>
                                                      <w:marBottom w:val="0"/>
                                                      <w:divBdr>
                                                        <w:top w:val="none" w:sz="0" w:space="0" w:color="auto"/>
                                                        <w:left w:val="none" w:sz="0" w:space="0" w:color="auto"/>
                                                        <w:bottom w:val="none" w:sz="0" w:space="0" w:color="auto"/>
                                                        <w:right w:val="none" w:sz="0" w:space="0" w:color="auto"/>
                                                      </w:divBdr>
                                                      <w:divsChild>
                                                        <w:div w:id="12522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722350">
      <w:bodyDiv w:val="1"/>
      <w:marLeft w:val="0"/>
      <w:marRight w:val="0"/>
      <w:marTop w:val="0"/>
      <w:marBottom w:val="0"/>
      <w:divBdr>
        <w:top w:val="none" w:sz="0" w:space="0" w:color="auto"/>
        <w:left w:val="none" w:sz="0" w:space="0" w:color="auto"/>
        <w:bottom w:val="none" w:sz="0" w:space="0" w:color="auto"/>
        <w:right w:val="none" w:sz="0" w:space="0" w:color="auto"/>
      </w:divBdr>
    </w:div>
    <w:div w:id="879826719">
      <w:bodyDiv w:val="1"/>
      <w:marLeft w:val="0"/>
      <w:marRight w:val="0"/>
      <w:marTop w:val="0"/>
      <w:marBottom w:val="0"/>
      <w:divBdr>
        <w:top w:val="none" w:sz="0" w:space="0" w:color="auto"/>
        <w:left w:val="none" w:sz="0" w:space="0" w:color="auto"/>
        <w:bottom w:val="none" w:sz="0" w:space="0" w:color="auto"/>
        <w:right w:val="none" w:sz="0" w:space="0" w:color="auto"/>
      </w:divBdr>
      <w:divsChild>
        <w:div w:id="224025661">
          <w:marLeft w:val="0"/>
          <w:marRight w:val="0"/>
          <w:marTop w:val="0"/>
          <w:marBottom w:val="0"/>
          <w:divBdr>
            <w:top w:val="none" w:sz="0" w:space="0" w:color="auto"/>
            <w:left w:val="none" w:sz="0" w:space="0" w:color="auto"/>
            <w:bottom w:val="none" w:sz="0" w:space="0" w:color="auto"/>
            <w:right w:val="none" w:sz="0" w:space="0" w:color="auto"/>
          </w:divBdr>
          <w:divsChild>
            <w:div w:id="91055595">
              <w:marLeft w:val="0"/>
              <w:marRight w:val="0"/>
              <w:marTop w:val="0"/>
              <w:marBottom w:val="0"/>
              <w:divBdr>
                <w:top w:val="none" w:sz="0" w:space="0" w:color="auto"/>
                <w:left w:val="none" w:sz="0" w:space="0" w:color="auto"/>
                <w:bottom w:val="none" w:sz="0" w:space="0" w:color="auto"/>
                <w:right w:val="none" w:sz="0" w:space="0" w:color="auto"/>
              </w:divBdr>
              <w:divsChild>
                <w:div w:id="1649241739">
                  <w:marLeft w:val="0"/>
                  <w:marRight w:val="0"/>
                  <w:marTop w:val="0"/>
                  <w:marBottom w:val="0"/>
                  <w:divBdr>
                    <w:top w:val="none" w:sz="0" w:space="0" w:color="auto"/>
                    <w:left w:val="none" w:sz="0" w:space="0" w:color="auto"/>
                    <w:bottom w:val="none" w:sz="0" w:space="0" w:color="auto"/>
                    <w:right w:val="none" w:sz="0" w:space="0" w:color="auto"/>
                  </w:divBdr>
                  <w:divsChild>
                    <w:div w:id="1728868839">
                      <w:marLeft w:val="0"/>
                      <w:marRight w:val="0"/>
                      <w:marTop w:val="0"/>
                      <w:marBottom w:val="0"/>
                      <w:divBdr>
                        <w:top w:val="none" w:sz="0" w:space="0" w:color="auto"/>
                        <w:left w:val="none" w:sz="0" w:space="0" w:color="auto"/>
                        <w:bottom w:val="none" w:sz="0" w:space="0" w:color="auto"/>
                        <w:right w:val="none" w:sz="0" w:space="0" w:color="auto"/>
                      </w:divBdr>
                      <w:divsChild>
                        <w:div w:id="68507059">
                          <w:marLeft w:val="0"/>
                          <w:marRight w:val="0"/>
                          <w:marTop w:val="0"/>
                          <w:marBottom w:val="0"/>
                          <w:divBdr>
                            <w:top w:val="none" w:sz="0" w:space="0" w:color="auto"/>
                            <w:left w:val="none" w:sz="0" w:space="0" w:color="auto"/>
                            <w:bottom w:val="none" w:sz="0" w:space="0" w:color="auto"/>
                            <w:right w:val="none" w:sz="0" w:space="0" w:color="auto"/>
                          </w:divBdr>
                          <w:divsChild>
                            <w:div w:id="196820246">
                              <w:marLeft w:val="0"/>
                              <w:marRight w:val="0"/>
                              <w:marTop w:val="0"/>
                              <w:marBottom w:val="0"/>
                              <w:divBdr>
                                <w:top w:val="none" w:sz="0" w:space="0" w:color="auto"/>
                                <w:left w:val="none" w:sz="0" w:space="0" w:color="auto"/>
                                <w:bottom w:val="none" w:sz="0" w:space="0" w:color="auto"/>
                                <w:right w:val="none" w:sz="0" w:space="0" w:color="auto"/>
                              </w:divBdr>
                              <w:divsChild>
                                <w:div w:id="1904022766">
                                  <w:marLeft w:val="0"/>
                                  <w:marRight w:val="0"/>
                                  <w:marTop w:val="0"/>
                                  <w:marBottom w:val="0"/>
                                  <w:divBdr>
                                    <w:top w:val="none" w:sz="0" w:space="0" w:color="auto"/>
                                    <w:left w:val="none" w:sz="0" w:space="0" w:color="auto"/>
                                    <w:bottom w:val="none" w:sz="0" w:space="0" w:color="auto"/>
                                    <w:right w:val="none" w:sz="0" w:space="0" w:color="auto"/>
                                  </w:divBdr>
                                  <w:divsChild>
                                    <w:div w:id="1751078591">
                                      <w:marLeft w:val="0"/>
                                      <w:marRight w:val="0"/>
                                      <w:marTop w:val="0"/>
                                      <w:marBottom w:val="0"/>
                                      <w:divBdr>
                                        <w:top w:val="none" w:sz="0" w:space="0" w:color="auto"/>
                                        <w:left w:val="none" w:sz="0" w:space="0" w:color="auto"/>
                                        <w:bottom w:val="none" w:sz="0" w:space="0" w:color="auto"/>
                                        <w:right w:val="none" w:sz="0" w:space="0" w:color="auto"/>
                                      </w:divBdr>
                                      <w:divsChild>
                                        <w:div w:id="147095550">
                                          <w:marLeft w:val="0"/>
                                          <w:marRight w:val="0"/>
                                          <w:marTop w:val="0"/>
                                          <w:marBottom w:val="0"/>
                                          <w:divBdr>
                                            <w:top w:val="none" w:sz="0" w:space="0" w:color="auto"/>
                                            <w:left w:val="none" w:sz="0" w:space="0" w:color="auto"/>
                                            <w:bottom w:val="none" w:sz="0" w:space="0" w:color="auto"/>
                                            <w:right w:val="none" w:sz="0" w:space="0" w:color="auto"/>
                                          </w:divBdr>
                                          <w:divsChild>
                                            <w:div w:id="1582980730">
                                              <w:marLeft w:val="0"/>
                                              <w:marRight w:val="0"/>
                                              <w:marTop w:val="0"/>
                                              <w:marBottom w:val="0"/>
                                              <w:divBdr>
                                                <w:top w:val="none" w:sz="0" w:space="0" w:color="auto"/>
                                                <w:left w:val="none" w:sz="0" w:space="0" w:color="auto"/>
                                                <w:bottom w:val="none" w:sz="0" w:space="0" w:color="auto"/>
                                                <w:right w:val="none" w:sz="0" w:space="0" w:color="auto"/>
                                              </w:divBdr>
                                              <w:divsChild>
                                                <w:div w:id="403071749">
                                                  <w:marLeft w:val="0"/>
                                                  <w:marRight w:val="0"/>
                                                  <w:marTop w:val="0"/>
                                                  <w:marBottom w:val="0"/>
                                                  <w:divBdr>
                                                    <w:top w:val="none" w:sz="0" w:space="0" w:color="auto"/>
                                                    <w:left w:val="none" w:sz="0" w:space="0" w:color="auto"/>
                                                    <w:bottom w:val="none" w:sz="0" w:space="0" w:color="auto"/>
                                                    <w:right w:val="none" w:sz="0" w:space="0" w:color="auto"/>
                                                  </w:divBdr>
                                                  <w:divsChild>
                                                    <w:div w:id="1473449755">
                                                      <w:marLeft w:val="0"/>
                                                      <w:marRight w:val="0"/>
                                                      <w:marTop w:val="0"/>
                                                      <w:marBottom w:val="0"/>
                                                      <w:divBdr>
                                                        <w:top w:val="none" w:sz="0" w:space="0" w:color="auto"/>
                                                        <w:left w:val="none" w:sz="0" w:space="0" w:color="auto"/>
                                                        <w:bottom w:val="none" w:sz="0" w:space="0" w:color="auto"/>
                                                        <w:right w:val="none" w:sz="0" w:space="0" w:color="auto"/>
                                                      </w:divBdr>
                                                      <w:divsChild>
                                                        <w:div w:id="643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733088">
      <w:bodyDiv w:val="1"/>
      <w:marLeft w:val="0"/>
      <w:marRight w:val="0"/>
      <w:marTop w:val="0"/>
      <w:marBottom w:val="0"/>
      <w:divBdr>
        <w:top w:val="none" w:sz="0" w:space="0" w:color="auto"/>
        <w:left w:val="none" w:sz="0" w:space="0" w:color="auto"/>
        <w:bottom w:val="none" w:sz="0" w:space="0" w:color="auto"/>
        <w:right w:val="none" w:sz="0" w:space="0" w:color="auto"/>
      </w:divBdr>
      <w:divsChild>
        <w:div w:id="69499767">
          <w:marLeft w:val="0"/>
          <w:marRight w:val="0"/>
          <w:marTop w:val="0"/>
          <w:marBottom w:val="0"/>
          <w:divBdr>
            <w:top w:val="none" w:sz="0" w:space="0" w:color="auto"/>
            <w:left w:val="none" w:sz="0" w:space="0" w:color="auto"/>
            <w:bottom w:val="none" w:sz="0" w:space="0" w:color="auto"/>
            <w:right w:val="none" w:sz="0" w:space="0" w:color="auto"/>
          </w:divBdr>
          <w:divsChild>
            <w:div w:id="452987841">
              <w:marLeft w:val="0"/>
              <w:marRight w:val="0"/>
              <w:marTop w:val="0"/>
              <w:marBottom w:val="0"/>
              <w:divBdr>
                <w:top w:val="none" w:sz="0" w:space="0" w:color="auto"/>
                <w:left w:val="none" w:sz="0" w:space="0" w:color="auto"/>
                <w:bottom w:val="none" w:sz="0" w:space="0" w:color="auto"/>
                <w:right w:val="none" w:sz="0" w:space="0" w:color="auto"/>
              </w:divBdr>
              <w:divsChild>
                <w:div w:id="1345979917">
                  <w:marLeft w:val="0"/>
                  <w:marRight w:val="0"/>
                  <w:marTop w:val="0"/>
                  <w:marBottom w:val="0"/>
                  <w:divBdr>
                    <w:top w:val="none" w:sz="0" w:space="0" w:color="auto"/>
                    <w:left w:val="none" w:sz="0" w:space="0" w:color="auto"/>
                    <w:bottom w:val="none" w:sz="0" w:space="0" w:color="auto"/>
                    <w:right w:val="none" w:sz="0" w:space="0" w:color="auto"/>
                  </w:divBdr>
                  <w:divsChild>
                    <w:div w:id="939025547">
                      <w:marLeft w:val="0"/>
                      <w:marRight w:val="0"/>
                      <w:marTop w:val="0"/>
                      <w:marBottom w:val="0"/>
                      <w:divBdr>
                        <w:top w:val="none" w:sz="0" w:space="0" w:color="auto"/>
                        <w:left w:val="none" w:sz="0" w:space="0" w:color="auto"/>
                        <w:bottom w:val="none" w:sz="0" w:space="0" w:color="auto"/>
                        <w:right w:val="none" w:sz="0" w:space="0" w:color="auto"/>
                      </w:divBdr>
                      <w:divsChild>
                        <w:div w:id="1462773207">
                          <w:marLeft w:val="0"/>
                          <w:marRight w:val="0"/>
                          <w:marTop w:val="0"/>
                          <w:marBottom w:val="0"/>
                          <w:divBdr>
                            <w:top w:val="none" w:sz="0" w:space="0" w:color="auto"/>
                            <w:left w:val="none" w:sz="0" w:space="0" w:color="auto"/>
                            <w:bottom w:val="none" w:sz="0" w:space="0" w:color="auto"/>
                            <w:right w:val="none" w:sz="0" w:space="0" w:color="auto"/>
                          </w:divBdr>
                          <w:divsChild>
                            <w:div w:id="2081907741">
                              <w:marLeft w:val="0"/>
                              <w:marRight w:val="0"/>
                              <w:marTop w:val="0"/>
                              <w:marBottom w:val="0"/>
                              <w:divBdr>
                                <w:top w:val="none" w:sz="0" w:space="0" w:color="auto"/>
                                <w:left w:val="none" w:sz="0" w:space="0" w:color="auto"/>
                                <w:bottom w:val="none" w:sz="0" w:space="0" w:color="auto"/>
                                <w:right w:val="none" w:sz="0" w:space="0" w:color="auto"/>
                              </w:divBdr>
                              <w:divsChild>
                                <w:div w:id="1722092191">
                                  <w:marLeft w:val="0"/>
                                  <w:marRight w:val="0"/>
                                  <w:marTop w:val="0"/>
                                  <w:marBottom w:val="0"/>
                                  <w:divBdr>
                                    <w:top w:val="none" w:sz="0" w:space="0" w:color="auto"/>
                                    <w:left w:val="none" w:sz="0" w:space="0" w:color="auto"/>
                                    <w:bottom w:val="none" w:sz="0" w:space="0" w:color="auto"/>
                                    <w:right w:val="none" w:sz="0" w:space="0" w:color="auto"/>
                                  </w:divBdr>
                                  <w:divsChild>
                                    <w:div w:id="1847136967">
                                      <w:marLeft w:val="0"/>
                                      <w:marRight w:val="0"/>
                                      <w:marTop w:val="0"/>
                                      <w:marBottom w:val="0"/>
                                      <w:divBdr>
                                        <w:top w:val="none" w:sz="0" w:space="0" w:color="auto"/>
                                        <w:left w:val="none" w:sz="0" w:space="0" w:color="auto"/>
                                        <w:bottom w:val="none" w:sz="0" w:space="0" w:color="auto"/>
                                        <w:right w:val="none" w:sz="0" w:space="0" w:color="auto"/>
                                      </w:divBdr>
                                      <w:divsChild>
                                        <w:div w:id="1030836252">
                                          <w:marLeft w:val="0"/>
                                          <w:marRight w:val="0"/>
                                          <w:marTop w:val="0"/>
                                          <w:marBottom w:val="0"/>
                                          <w:divBdr>
                                            <w:top w:val="none" w:sz="0" w:space="0" w:color="auto"/>
                                            <w:left w:val="none" w:sz="0" w:space="0" w:color="auto"/>
                                            <w:bottom w:val="none" w:sz="0" w:space="0" w:color="auto"/>
                                            <w:right w:val="none" w:sz="0" w:space="0" w:color="auto"/>
                                          </w:divBdr>
                                          <w:divsChild>
                                            <w:div w:id="2147311331">
                                              <w:marLeft w:val="0"/>
                                              <w:marRight w:val="0"/>
                                              <w:marTop w:val="0"/>
                                              <w:marBottom w:val="0"/>
                                              <w:divBdr>
                                                <w:top w:val="none" w:sz="0" w:space="0" w:color="auto"/>
                                                <w:left w:val="none" w:sz="0" w:space="0" w:color="auto"/>
                                                <w:bottom w:val="none" w:sz="0" w:space="0" w:color="auto"/>
                                                <w:right w:val="none" w:sz="0" w:space="0" w:color="auto"/>
                                              </w:divBdr>
                                              <w:divsChild>
                                                <w:div w:id="155806777">
                                                  <w:marLeft w:val="0"/>
                                                  <w:marRight w:val="0"/>
                                                  <w:marTop w:val="0"/>
                                                  <w:marBottom w:val="0"/>
                                                  <w:divBdr>
                                                    <w:top w:val="none" w:sz="0" w:space="0" w:color="auto"/>
                                                    <w:left w:val="none" w:sz="0" w:space="0" w:color="auto"/>
                                                    <w:bottom w:val="none" w:sz="0" w:space="0" w:color="auto"/>
                                                    <w:right w:val="none" w:sz="0" w:space="0" w:color="auto"/>
                                                  </w:divBdr>
                                                  <w:divsChild>
                                                    <w:div w:id="893664517">
                                                      <w:marLeft w:val="0"/>
                                                      <w:marRight w:val="0"/>
                                                      <w:marTop w:val="0"/>
                                                      <w:marBottom w:val="0"/>
                                                      <w:divBdr>
                                                        <w:top w:val="none" w:sz="0" w:space="0" w:color="auto"/>
                                                        <w:left w:val="none" w:sz="0" w:space="0" w:color="auto"/>
                                                        <w:bottom w:val="none" w:sz="0" w:space="0" w:color="auto"/>
                                                        <w:right w:val="none" w:sz="0" w:space="0" w:color="auto"/>
                                                      </w:divBdr>
                                                      <w:divsChild>
                                                        <w:div w:id="7992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569103">
      <w:bodyDiv w:val="1"/>
      <w:marLeft w:val="0"/>
      <w:marRight w:val="0"/>
      <w:marTop w:val="0"/>
      <w:marBottom w:val="0"/>
      <w:divBdr>
        <w:top w:val="none" w:sz="0" w:space="0" w:color="auto"/>
        <w:left w:val="none" w:sz="0" w:space="0" w:color="auto"/>
        <w:bottom w:val="none" w:sz="0" w:space="0" w:color="auto"/>
        <w:right w:val="none" w:sz="0" w:space="0" w:color="auto"/>
      </w:divBdr>
    </w:div>
    <w:div w:id="1478037705">
      <w:bodyDiv w:val="1"/>
      <w:marLeft w:val="0"/>
      <w:marRight w:val="0"/>
      <w:marTop w:val="0"/>
      <w:marBottom w:val="0"/>
      <w:divBdr>
        <w:top w:val="none" w:sz="0" w:space="0" w:color="auto"/>
        <w:left w:val="none" w:sz="0" w:space="0" w:color="auto"/>
        <w:bottom w:val="none" w:sz="0" w:space="0" w:color="auto"/>
        <w:right w:val="none" w:sz="0" w:space="0" w:color="auto"/>
      </w:divBdr>
    </w:div>
    <w:div w:id="1946962889">
      <w:bodyDiv w:val="1"/>
      <w:marLeft w:val="0"/>
      <w:marRight w:val="0"/>
      <w:marTop w:val="0"/>
      <w:marBottom w:val="0"/>
      <w:divBdr>
        <w:top w:val="none" w:sz="0" w:space="0" w:color="auto"/>
        <w:left w:val="none" w:sz="0" w:space="0" w:color="auto"/>
        <w:bottom w:val="none" w:sz="0" w:space="0" w:color="auto"/>
        <w:right w:val="none" w:sz="0" w:space="0" w:color="auto"/>
      </w:divBdr>
      <w:divsChild>
        <w:div w:id="1103960742">
          <w:marLeft w:val="0"/>
          <w:marRight w:val="0"/>
          <w:marTop w:val="0"/>
          <w:marBottom w:val="0"/>
          <w:divBdr>
            <w:top w:val="none" w:sz="0" w:space="0" w:color="auto"/>
            <w:left w:val="none" w:sz="0" w:space="0" w:color="auto"/>
            <w:bottom w:val="none" w:sz="0" w:space="0" w:color="auto"/>
            <w:right w:val="none" w:sz="0" w:space="0" w:color="auto"/>
          </w:divBdr>
          <w:divsChild>
            <w:div w:id="423840671">
              <w:marLeft w:val="0"/>
              <w:marRight w:val="0"/>
              <w:marTop w:val="0"/>
              <w:marBottom w:val="0"/>
              <w:divBdr>
                <w:top w:val="none" w:sz="0" w:space="0" w:color="auto"/>
                <w:left w:val="none" w:sz="0" w:space="0" w:color="auto"/>
                <w:bottom w:val="none" w:sz="0" w:space="0" w:color="auto"/>
                <w:right w:val="none" w:sz="0" w:space="0" w:color="auto"/>
              </w:divBdr>
              <w:divsChild>
                <w:div w:id="1086457704">
                  <w:marLeft w:val="0"/>
                  <w:marRight w:val="0"/>
                  <w:marTop w:val="0"/>
                  <w:marBottom w:val="0"/>
                  <w:divBdr>
                    <w:top w:val="none" w:sz="0" w:space="0" w:color="auto"/>
                    <w:left w:val="none" w:sz="0" w:space="0" w:color="auto"/>
                    <w:bottom w:val="none" w:sz="0" w:space="0" w:color="auto"/>
                    <w:right w:val="none" w:sz="0" w:space="0" w:color="auto"/>
                  </w:divBdr>
                  <w:divsChild>
                    <w:div w:id="1397515399">
                      <w:marLeft w:val="0"/>
                      <w:marRight w:val="0"/>
                      <w:marTop w:val="0"/>
                      <w:marBottom w:val="0"/>
                      <w:divBdr>
                        <w:top w:val="none" w:sz="0" w:space="0" w:color="auto"/>
                        <w:left w:val="none" w:sz="0" w:space="0" w:color="auto"/>
                        <w:bottom w:val="none" w:sz="0" w:space="0" w:color="auto"/>
                        <w:right w:val="none" w:sz="0" w:space="0" w:color="auto"/>
                      </w:divBdr>
                      <w:divsChild>
                        <w:div w:id="680476538">
                          <w:marLeft w:val="0"/>
                          <w:marRight w:val="0"/>
                          <w:marTop w:val="0"/>
                          <w:marBottom w:val="0"/>
                          <w:divBdr>
                            <w:top w:val="none" w:sz="0" w:space="0" w:color="auto"/>
                            <w:left w:val="none" w:sz="0" w:space="0" w:color="auto"/>
                            <w:bottom w:val="none" w:sz="0" w:space="0" w:color="auto"/>
                            <w:right w:val="none" w:sz="0" w:space="0" w:color="auto"/>
                          </w:divBdr>
                          <w:divsChild>
                            <w:div w:id="1400597079">
                              <w:marLeft w:val="0"/>
                              <w:marRight w:val="0"/>
                              <w:marTop w:val="0"/>
                              <w:marBottom w:val="0"/>
                              <w:divBdr>
                                <w:top w:val="none" w:sz="0" w:space="0" w:color="auto"/>
                                <w:left w:val="none" w:sz="0" w:space="0" w:color="auto"/>
                                <w:bottom w:val="none" w:sz="0" w:space="0" w:color="auto"/>
                                <w:right w:val="none" w:sz="0" w:space="0" w:color="auto"/>
                              </w:divBdr>
                              <w:divsChild>
                                <w:div w:id="510141465">
                                  <w:marLeft w:val="0"/>
                                  <w:marRight w:val="0"/>
                                  <w:marTop w:val="0"/>
                                  <w:marBottom w:val="0"/>
                                  <w:divBdr>
                                    <w:top w:val="none" w:sz="0" w:space="0" w:color="auto"/>
                                    <w:left w:val="none" w:sz="0" w:space="0" w:color="auto"/>
                                    <w:bottom w:val="none" w:sz="0" w:space="0" w:color="auto"/>
                                    <w:right w:val="none" w:sz="0" w:space="0" w:color="auto"/>
                                  </w:divBdr>
                                  <w:divsChild>
                                    <w:div w:id="1545797766">
                                      <w:marLeft w:val="0"/>
                                      <w:marRight w:val="0"/>
                                      <w:marTop w:val="0"/>
                                      <w:marBottom w:val="0"/>
                                      <w:divBdr>
                                        <w:top w:val="none" w:sz="0" w:space="0" w:color="auto"/>
                                        <w:left w:val="none" w:sz="0" w:space="0" w:color="auto"/>
                                        <w:bottom w:val="none" w:sz="0" w:space="0" w:color="auto"/>
                                        <w:right w:val="none" w:sz="0" w:space="0" w:color="auto"/>
                                      </w:divBdr>
                                      <w:divsChild>
                                        <w:div w:id="700591156">
                                          <w:marLeft w:val="0"/>
                                          <w:marRight w:val="0"/>
                                          <w:marTop w:val="0"/>
                                          <w:marBottom w:val="0"/>
                                          <w:divBdr>
                                            <w:top w:val="none" w:sz="0" w:space="0" w:color="auto"/>
                                            <w:left w:val="none" w:sz="0" w:space="0" w:color="auto"/>
                                            <w:bottom w:val="none" w:sz="0" w:space="0" w:color="auto"/>
                                            <w:right w:val="none" w:sz="0" w:space="0" w:color="auto"/>
                                          </w:divBdr>
                                          <w:divsChild>
                                            <w:div w:id="2032876359">
                                              <w:marLeft w:val="0"/>
                                              <w:marRight w:val="0"/>
                                              <w:marTop w:val="0"/>
                                              <w:marBottom w:val="0"/>
                                              <w:divBdr>
                                                <w:top w:val="none" w:sz="0" w:space="0" w:color="auto"/>
                                                <w:left w:val="none" w:sz="0" w:space="0" w:color="auto"/>
                                                <w:bottom w:val="none" w:sz="0" w:space="0" w:color="auto"/>
                                                <w:right w:val="none" w:sz="0" w:space="0" w:color="auto"/>
                                              </w:divBdr>
                                              <w:divsChild>
                                                <w:div w:id="818306464">
                                                  <w:marLeft w:val="0"/>
                                                  <w:marRight w:val="0"/>
                                                  <w:marTop w:val="0"/>
                                                  <w:marBottom w:val="0"/>
                                                  <w:divBdr>
                                                    <w:top w:val="none" w:sz="0" w:space="0" w:color="auto"/>
                                                    <w:left w:val="none" w:sz="0" w:space="0" w:color="auto"/>
                                                    <w:bottom w:val="none" w:sz="0" w:space="0" w:color="auto"/>
                                                    <w:right w:val="none" w:sz="0" w:space="0" w:color="auto"/>
                                                  </w:divBdr>
                                                  <w:divsChild>
                                                    <w:div w:id="659431014">
                                                      <w:marLeft w:val="0"/>
                                                      <w:marRight w:val="0"/>
                                                      <w:marTop w:val="0"/>
                                                      <w:marBottom w:val="0"/>
                                                      <w:divBdr>
                                                        <w:top w:val="none" w:sz="0" w:space="0" w:color="auto"/>
                                                        <w:left w:val="none" w:sz="0" w:space="0" w:color="auto"/>
                                                        <w:bottom w:val="none" w:sz="0" w:space="0" w:color="auto"/>
                                                        <w:right w:val="none" w:sz="0" w:space="0" w:color="auto"/>
                                                      </w:divBdr>
                                                      <w:divsChild>
                                                        <w:div w:id="1220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3B1CE24-9B87-46B5-8D95-A42C3AAEE8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BC6720CD5D8C419E0EC0FFCBE22C6C" ma:contentTypeVersion="" ma:contentTypeDescription="PDMS Document Site Content Type" ma:contentTypeScope="" ma:versionID="2fe5e5d3da2829f58079df0596cf89f9">
  <xsd:schema xmlns:xsd="http://www.w3.org/2001/XMLSchema" xmlns:xs="http://www.w3.org/2001/XMLSchema" xmlns:p="http://schemas.microsoft.com/office/2006/metadata/properties" xmlns:ns2="63B1CE24-9B87-46B5-8D95-A42C3AAEE8A4" targetNamespace="http://schemas.microsoft.com/office/2006/metadata/properties" ma:root="true" ma:fieldsID="2ab39c68b3eb53dfe463af1745cf6b39" ns2:_="">
    <xsd:import namespace="63B1CE24-9B87-46B5-8D95-A42C3AAEE8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1CE24-9B87-46B5-8D95-A42C3AAEE8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63B1CE24-9B87-46B5-8D95-A42C3AAEE8A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64EC527-4A10-437A-A56B-8E8AF5AC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1CE24-9B87-46B5-8D95-A42C3AAEE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2DAAD499-3A25-4AAA-82F3-4F7D7BC0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Jane DERNELLEY</cp:lastModifiedBy>
  <cp:revision>2</cp:revision>
  <dcterms:created xsi:type="dcterms:W3CDTF">2018-06-18T06:42:00Z</dcterms:created>
  <dcterms:modified xsi:type="dcterms:W3CDTF">2018-06-18T06:42:00Z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0x010100266966F133664895A6EE3632470D45F500D1BC6720CD5D8C419E0EC0FFCBE22C6C</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571;#2017|5f6de30b-6e1e-4c09-9e51-982258231536</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1687;#legislative|41a6d6e0-0157-44f6-8c1b-7e00273bbfa2</vt:lpwstr>
  </property>
  <property fmtid="{D5CDD505-2E9C-101B-9397-08002B2CF9AE}" pid="8" name="DocHub_DocumentType">
    <vt:lpwstr>1456;#Explanatory Memorandum|e1baf4eb-cfb1-4562-a99a-5aebab1aca70</vt:lpwstr>
  </property>
  <property fmtid="{D5CDD505-2E9C-101B-9397-08002B2CF9AE}" pid="9" name="DocHub_SecurityClassification">
    <vt:lpwstr>627;#Sensitive: Legal|803d03d9-f24d-497a-bb88-13a7511ff07a</vt:lpwstr>
  </property>
  <property fmtid="{D5CDD505-2E9C-101B-9397-08002B2CF9AE}" pid="10" name="_dlc_DocIdItemGuid">
    <vt:lpwstr>14af13bb-0194-43c4-8845-e5c2f791e37d</vt:lpwstr>
  </property>
  <property fmtid="{D5CDD505-2E9C-101B-9397-08002B2CF9AE}" pid="11" name="DocHub_WorkTopic">
    <vt:lpwstr/>
  </property>
</Properties>
</file>