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5E38F" w14:textId="77777777" w:rsidR="00F109D4" w:rsidRPr="00647BB7" w:rsidRDefault="00F109D4" w:rsidP="00647BB7">
      <w:pPr>
        <w:pStyle w:val="Heading1"/>
        <w:spacing w:after="360"/>
        <w:rPr>
          <w:rFonts w:ascii="Times New Roman" w:hAnsi="Times New Roman"/>
          <w:u w:val="none"/>
        </w:rPr>
      </w:pPr>
      <w:bookmarkStart w:id="0" w:name="_GoBack"/>
      <w:bookmarkEnd w:id="0"/>
      <w:r w:rsidRPr="00647BB7">
        <w:rPr>
          <w:rFonts w:ascii="Times New Roman" w:hAnsi="Times New Roman"/>
          <w:u w:val="none"/>
        </w:rPr>
        <w:t>EXPLANATORY STATEMENT</w:t>
      </w:r>
    </w:p>
    <w:p w14:paraId="4367A29E" w14:textId="77777777" w:rsidR="007662C7" w:rsidRDefault="00F109D4" w:rsidP="000822F2">
      <w:pPr>
        <w:pStyle w:val="Heading2"/>
        <w:spacing w:after="240"/>
        <w:jc w:val="center"/>
      </w:pPr>
      <w:r w:rsidRPr="00503E44">
        <w:t xml:space="preserve">Issued by authority of the </w:t>
      </w:r>
      <w:r w:rsidR="008F038A">
        <w:t>Treasurer</w:t>
      </w:r>
    </w:p>
    <w:p w14:paraId="79D64DAE" w14:textId="77777777" w:rsidR="00F109D4" w:rsidRPr="00503E44" w:rsidRDefault="008F038A" w:rsidP="00AA1689">
      <w:pPr>
        <w:spacing w:before="0" w:after="240"/>
        <w:jc w:val="center"/>
        <w:rPr>
          <w:i/>
        </w:rPr>
      </w:pPr>
      <w:r>
        <w:rPr>
          <w:i/>
        </w:rPr>
        <w:t>National Housing Finance and Investment Corporation Act 2018</w:t>
      </w:r>
    </w:p>
    <w:p w14:paraId="2D6EF496" w14:textId="77777777" w:rsidR="00F109D4" w:rsidRPr="00503E44" w:rsidRDefault="008F038A" w:rsidP="00AA1689">
      <w:pPr>
        <w:tabs>
          <w:tab w:val="left" w:pos="1418"/>
        </w:tabs>
        <w:spacing w:before="0" w:after="240"/>
        <w:jc w:val="center"/>
        <w:rPr>
          <w:i/>
        </w:rPr>
      </w:pPr>
      <w:r w:rsidRPr="008F038A">
        <w:rPr>
          <w:i/>
        </w:rPr>
        <w:t>National Housing Finance and Investment Corporation</w:t>
      </w:r>
      <w:r>
        <w:rPr>
          <w:i/>
        </w:rPr>
        <w:t xml:space="preserve"> Investment Mandate </w:t>
      </w:r>
      <w:r w:rsidR="00B30A12">
        <w:rPr>
          <w:i/>
        </w:rPr>
        <w:t xml:space="preserve">Direction </w:t>
      </w:r>
      <w:r>
        <w:rPr>
          <w:i/>
        </w:rPr>
        <w:t>2018</w:t>
      </w:r>
    </w:p>
    <w:p w14:paraId="14A9F962" w14:textId="57050A05" w:rsidR="00D04F84" w:rsidRDefault="00D04F84" w:rsidP="00647BB7">
      <w:pPr>
        <w:spacing w:before="240"/>
      </w:pPr>
      <w:r>
        <w:t xml:space="preserve">The </w:t>
      </w:r>
      <w:r w:rsidRPr="00097696">
        <w:rPr>
          <w:i/>
        </w:rPr>
        <w:t>National Housing Finance and Investment Corporation Act 2018</w:t>
      </w:r>
      <w:r w:rsidRPr="00503E44">
        <w:t xml:space="preserve"> (the Act)</w:t>
      </w:r>
      <w:r>
        <w:t xml:space="preserve"> established the </w:t>
      </w:r>
      <w:r w:rsidRPr="008F038A">
        <w:t xml:space="preserve">National Housing Finance and Investment Corporation </w:t>
      </w:r>
      <w:r>
        <w:t xml:space="preserve">(the </w:t>
      </w:r>
      <w:r w:rsidR="00635E65">
        <w:t>NHFIC</w:t>
      </w:r>
      <w:r>
        <w:t>) to improve housing outcomes for Australians</w:t>
      </w:r>
      <w:r w:rsidR="004D1706">
        <w:t xml:space="preserve"> by:</w:t>
      </w:r>
    </w:p>
    <w:p w14:paraId="57D0E4BD" w14:textId="775E38A8" w:rsidR="004D1706" w:rsidRDefault="00DC6D8F" w:rsidP="00BF6658">
      <w:pPr>
        <w:pStyle w:val="Bullet"/>
      </w:pPr>
      <w:r>
        <w:t>strengthening</w:t>
      </w:r>
      <w:r w:rsidR="004D1706">
        <w:t xml:space="preserve"> efforts to increase the supply of housing;</w:t>
      </w:r>
    </w:p>
    <w:p w14:paraId="03E41316" w14:textId="512B1DD8" w:rsidR="004D1706" w:rsidRDefault="00DC6D8F" w:rsidP="00BF6658">
      <w:pPr>
        <w:pStyle w:val="Bullet"/>
      </w:pPr>
      <w:r>
        <w:t>e</w:t>
      </w:r>
      <w:r w:rsidR="004D1706">
        <w:t>ncouraging investment in housing, in particular in the social or affordable housing sector;</w:t>
      </w:r>
    </w:p>
    <w:p w14:paraId="5FBCE019" w14:textId="77777777" w:rsidR="004D1706" w:rsidRDefault="00DC6D8F" w:rsidP="00BF6658">
      <w:pPr>
        <w:pStyle w:val="Bullet"/>
      </w:pPr>
      <w:r>
        <w:t>p</w:t>
      </w:r>
      <w:r w:rsidR="004D1706">
        <w:t xml:space="preserve">roviding finance, grants or </w:t>
      </w:r>
      <w:r>
        <w:t>investments</w:t>
      </w:r>
      <w:r w:rsidR="004D1706">
        <w:t xml:space="preserve"> that complement</w:t>
      </w:r>
      <w:r>
        <w:t>,</w:t>
      </w:r>
      <w:r w:rsidR="004D1706">
        <w:t xml:space="preserve"> leverage</w:t>
      </w:r>
      <w:r w:rsidRPr="00DC6D8F">
        <w:t xml:space="preserve"> </w:t>
      </w:r>
      <w:r>
        <w:t>or support Commonwealth, State or Territory activ</w:t>
      </w:r>
      <w:r w:rsidR="004679D0">
        <w:t>ities</w:t>
      </w:r>
      <w:r>
        <w:t xml:space="preserve"> that relate to housing; and </w:t>
      </w:r>
    </w:p>
    <w:p w14:paraId="6BEE0642" w14:textId="77777777" w:rsidR="00DC6D8F" w:rsidRDefault="00DC6D8F" w:rsidP="00BF6658">
      <w:pPr>
        <w:pStyle w:val="Bullet"/>
      </w:pPr>
      <w:r>
        <w:t>contributing</w:t>
      </w:r>
      <w:r w:rsidR="00BF6658">
        <w:t xml:space="preserve"> to the development of the scale, efficiency and effectiveness of the community housing sector in Australia.</w:t>
      </w:r>
    </w:p>
    <w:p w14:paraId="2572F063" w14:textId="6BB4EF4E" w:rsidR="00BF6658" w:rsidRDefault="00BF6658" w:rsidP="00181E57">
      <w:pPr>
        <w:spacing w:before="240"/>
      </w:pPr>
      <w:r>
        <w:t>The objectives will be implemented through the NHFIC’s administration of the Affordable Housing Bond Aggregator</w:t>
      </w:r>
      <w:r w:rsidR="006044EB">
        <w:t xml:space="preserve"> (</w:t>
      </w:r>
      <w:r w:rsidR="00996FCC">
        <w:t>AHBA</w:t>
      </w:r>
      <w:r w:rsidR="006044EB">
        <w:t>)</w:t>
      </w:r>
      <w:r w:rsidR="007E0A86">
        <w:t xml:space="preserve"> and</w:t>
      </w:r>
      <w:r w:rsidR="006044EB">
        <w:t xml:space="preserve"> </w:t>
      </w:r>
      <w:r>
        <w:t>the</w:t>
      </w:r>
      <w:r w:rsidR="00181E57">
        <w:t xml:space="preserve"> $1 billion</w:t>
      </w:r>
      <w:r>
        <w:t xml:space="preserve"> National Housing Infrastructure Facility</w:t>
      </w:r>
      <w:r w:rsidR="006044EB">
        <w:t xml:space="preserve"> </w:t>
      </w:r>
      <w:r w:rsidR="00181E57">
        <w:t>(NHIF)</w:t>
      </w:r>
      <w:r w:rsidR="007E0A86">
        <w:t>,</w:t>
      </w:r>
      <w:r w:rsidR="00181E57">
        <w:t xml:space="preserve"> </w:t>
      </w:r>
      <w:r w:rsidR="006044EB">
        <w:t xml:space="preserve">and </w:t>
      </w:r>
      <w:r w:rsidR="007E0A86">
        <w:t xml:space="preserve">by </w:t>
      </w:r>
      <w:r w:rsidR="006044EB">
        <w:t>undertaking capacity building activities for registered community housing providers (CHPs).</w:t>
      </w:r>
    </w:p>
    <w:p w14:paraId="457CDAB5" w14:textId="14FB043E" w:rsidR="00787A3D" w:rsidRPr="00DC5C71" w:rsidRDefault="00444E28" w:rsidP="00DC5C71">
      <w:pPr>
        <w:spacing w:before="240"/>
      </w:pPr>
      <w:r>
        <w:t>T</w:t>
      </w:r>
      <w:r w:rsidR="00D30A6B" w:rsidRPr="00F272FE">
        <w:t xml:space="preserve">he NHFIC operates independently of </w:t>
      </w:r>
      <w:r>
        <w:t>the G</w:t>
      </w:r>
      <w:r w:rsidR="00D30A6B" w:rsidRPr="00F272FE">
        <w:t>overnment and appl</w:t>
      </w:r>
      <w:r w:rsidR="007E0A86">
        <w:t>ies</w:t>
      </w:r>
      <w:r w:rsidR="00D30A6B" w:rsidRPr="00F272FE">
        <w:t xml:space="preserve"> commercial </w:t>
      </w:r>
      <w:r w:rsidR="007E0A86">
        <w:t>discipline in</w:t>
      </w:r>
      <w:r w:rsidR="00D30A6B" w:rsidRPr="00F272FE">
        <w:t xml:space="preserve"> making financing decisions</w:t>
      </w:r>
      <w:r>
        <w:t>. The NHFIC acts</w:t>
      </w:r>
      <w:r w:rsidR="00073A98" w:rsidRPr="00073A98">
        <w:t xml:space="preserve"> </w:t>
      </w:r>
      <w:r w:rsidR="00073A98">
        <w:t>consistent</w:t>
      </w:r>
      <w:r>
        <w:t>ly</w:t>
      </w:r>
      <w:r w:rsidR="00073A98">
        <w:t xml:space="preserve"> with its objective to improve housing outcomes while balancing the risks of its operations</w:t>
      </w:r>
      <w:r w:rsidR="00BF05BE">
        <w:t>, including risk</w:t>
      </w:r>
      <w:r w:rsidR="007A517E">
        <w:t>s</w:t>
      </w:r>
      <w:r w:rsidR="00073A98">
        <w:t xml:space="preserve"> to the Commonwealth</w:t>
      </w:r>
      <w:r w:rsidR="00D30A6B" w:rsidRPr="00F272FE">
        <w:t xml:space="preserve">. </w:t>
      </w:r>
      <w:r w:rsidR="00FA7505">
        <w:t xml:space="preserve">Under </w:t>
      </w:r>
      <w:r w:rsidR="007E0A86">
        <w:t xml:space="preserve">the </w:t>
      </w:r>
      <w:r w:rsidR="00D30A6B" w:rsidRPr="00F272FE">
        <w:t xml:space="preserve">NHFIC’s </w:t>
      </w:r>
      <w:r w:rsidR="00FA7505">
        <w:t xml:space="preserve">corporate model of governance, </w:t>
      </w:r>
      <w:r w:rsidR="007E0A86">
        <w:t xml:space="preserve">the </w:t>
      </w:r>
      <w:r w:rsidR="004611E5">
        <w:t>NHFIC’s</w:t>
      </w:r>
      <w:r w:rsidR="00FA7505">
        <w:t xml:space="preserve"> independent Board</w:t>
      </w:r>
      <w:r w:rsidR="00D30A6B" w:rsidRPr="00F272FE">
        <w:t xml:space="preserve"> </w:t>
      </w:r>
      <w:r w:rsidR="00B478E0" w:rsidRPr="00F272FE">
        <w:t>will apply the necessary</w:t>
      </w:r>
      <w:r w:rsidR="00D30A6B" w:rsidRPr="00F272FE">
        <w:t xml:space="preserve"> expertise </w:t>
      </w:r>
      <w:r w:rsidR="00B478E0" w:rsidRPr="00F272FE">
        <w:t xml:space="preserve">and commercial rigour </w:t>
      </w:r>
      <w:r w:rsidR="00787A3D">
        <w:t>n</w:t>
      </w:r>
      <w:r w:rsidR="006B441C">
        <w:t>eeded</w:t>
      </w:r>
      <w:r w:rsidR="00787A3D">
        <w:t xml:space="preserve"> </w:t>
      </w:r>
      <w:r w:rsidR="00D30A6B" w:rsidRPr="00F272FE">
        <w:t>to assess and ma</w:t>
      </w:r>
      <w:r w:rsidR="00787A3D">
        <w:t>ke sound</w:t>
      </w:r>
      <w:r w:rsidR="00D30A6B" w:rsidRPr="00F272FE">
        <w:t xml:space="preserve"> financing decisions. </w:t>
      </w:r>
    </w:p>
    <w:p w14:paraId="14146422" w14:textId="40E34698" w:rsidR="000A69C0" w:rsidRDefault="007E0A86" w:rsidP="000A69C0">
      <w:pPr>
        <w:spacing w:before="240"/>
      </w:pPr>
      <w:r>
        <w:t>This investment mandate</w:t>
      </w:r>
      <w:r w:rsidR="00444E28">
        <w:t xml:space="preserve"> is</w:t>
      </w:r>
      <w:r>
        <w:t xml:space="preserve"> a mechanism for the </w:t>
      </w:r>
      <w:r w:rsidR="00C5020B">
        <w:t xml:space="preserve">Government </w:t>
      </w:r>
      <w:r>
        <w:t>to</w:t>
      </w:r>
      <w:r w:rsidR="00C5020B">
        <w:t xml:space="preserve"> </w:t>
      </w:r>
      <w:r w:rsidR="00444E28">
        <w:t>direct the NHFIC in relation to</w:t>
      </w:r>
      <w:r w:rsidR="00C5020B">
        <w:t xml:space="preserve"> the performance of </w:t>
      </w:r>
      <w:r>
        <w:t xml:space="preserve">the </w:t>
      </w:r>
      <w:r w:rsidR="00C5020B">
        <w:t>NHFIC’s functions</w:t>
      </w:r>
      <w:r w:rsidR="00444E28">
        <w:t xml:space="preserve">. </w:t>
      </w:r>
      <w:r w:rsidR="000A69C0">
        <w:t xml:space="preserve">In administering the NHFIC, the Board is subject to the requirements of the Act and the investment mandate. </w:t>
      </w:r>
    </w:p>
    <w:p w14:paraId="10E6E9C8" w14:textId="11B82CE6" w:rsidR="00444E28" w:rsidRDefault="00444E28" w:rsidP="00181E57">
      <w:pPr>
        <w:spacing w:before="240"/>
      </w:pPr>
      <w:r>
        <w:t>The investment mandate</w:t>
      </w:r>
      <w:r w:rsidR="007E0A86">
        <w:t xml:space="preserve"> is </w:t>
      </w:r>
      <w:r w:rsidR="00C52A69">
        <w:t>made</w:t>
      </w:r>
      <w:r w:rsidR="00C5020B">
        <w:t xml:space="preserve"> </w:t>
      </w:r>
      <w:r w:rsidR="00C52A69">
        <w:t>under section 12 of the Act</w:t>
      </w:r>
      <w:r w:rsidR="00A51F4E">
        <w:t>.</w:t>
      </w:r>
      <w:r>
        <w:t xml:space="preserve"> </w:t>
      </w:r>
      <w:r w:rsidR="00A51F4E">
        <w:t xml:space="preserve">Under </w:t>
      </w:r>
      <w:r w:rsidR="007E0A86">
        <w:t xml:space="preserve">section 13 of the Act, </w:t>
      </w:r>
      <w:r w:rsidR="00A51F4E">
        <w:t xml:space="preserve">the investment mandate </w:t>
      </w:r>
      <w:r w:rsidR="004679D0">
        <w:t>may direct the NHFIC about its operations in a range of areas, including</w:t>
      </w:r>
      <w:r>
        <w:t xml:space="preserve"> the NHFIC’s:</w:t>
      </w:r>
    </w:p>
    <w:p w14:paraId="1EA18727" w14:textId="6BC5DAE8" w:rsidR="00444E28" w:rsidRDefault="00677D5D" w:rsidP="00E42681">
      <w:pPr>
        <w:pStyle w:val="Bullet"/>
      </w:pPr>
      <w:r>
        <w:t>strategies and policies that the Board must observe</w:t>
      </w:r>
      <w:r w:rsidR="00A51F4E">
        <w:t>;</w:t>
      </w:r>
      <w:r>
        <w:t xml:space="preserve"> </w:t>
      </w:r>
    </w:p>
    <w:p w14:paraId="3B94207D" w14:textId="77777777" w:rsidR="00444E28" w:rsidRDefault="00677D5D" w:rsidP="00D409AA">
      <w:pPr>
        <w:pStyle w:val="Bullet"/>
      </w:pPr>
      <w:r>
        <w:t>decision making criteria</w:t>
      </w:r>
      <w:r w:rsidR="00A51F4E">
        <w:t xml:space="preserve">; </w:t>
      </w:r>
    </w:p>
    <w:p w14:paraId="279DB54E" w14:textId="77777777" w:rsidR="00444E28" w:rsidRDefault="00A51F4E" w:rsidP="00D409AA">
      <w:pPr>
        <w:pStyle w:val="Bullet"/>
      </w:pPr>
      <w:r>
        <w:t>limits on financial assistance;</w:t>
      </w:r>
      <w:r w:rsidR="00677D5D">
        <w:t xml:space="preserve"> and </w:t>
      </w:r>
    </w:p>
    <w:p w14:paraId="52880BF2" w14:textId="77777777" w:rsidR="00444E28" w:rsidRDefault="00677D5D" w:rsidP="00D409AA">
      <w:pPr>
        <w:pStyle w:val="Bullet"/>
      </w:pPr>
      <w:r>
        <w:t xml:space="preserve">risk and return on investments. </w:t>
      </w:r>
    </w:p>
    <w:p w14:paraId="4C193B0D" w14:textId="62F891F1" w:rsidR="004679D0" w:rsidRDefault="00D41419" w:rsidP="00D409AA">
      <w:pPr>
        <w:pStyle w:val="Bullet"/>
        <w:numPr>
          <w:ilvl w:val="0"/>
          <w:numId w:val="0"/>
        </w:numPr>
      </w:pPr>
      <w:r>
        <w:lastRenderedPageBreak/>
        <w:t xml:space="preserve">However, the Government may not direct the NHFIC </w:t>
      </w:r>
      <w:r w:rsidR="004B5B74">
        <w:t>in relation to</w:t>
      </w:r>
      <w:r>
        <w:t xml:space="preserve"> </w:t>
      </w:r>
      <w:r w:rsidR="00752E9E">
        <w:t>specific</w:t>
      </w:r>
      <w:r>
        <w:t xml:space="preserve"> investments</w:t>
      </w:r>
      <w:r w:rsidR="00752E9E">
        <w:t xml:space="preserve"> or projects.</w:t>
      </w:r>
    </w:p>
    <w:p w14:paraId="0759B2CA" w14:textId="62604227" w:rsidR="00951272" w:rsidRDefault="00752E9E" w:rsidP="00951272">
      <w:pPr>
        <w:spacing w:before="240"/>
      </w:pPr>
      <w:r>
        <w:t xml:space="preserve">The investment mandate sets out the details of </w:t>
      </w:r>
      <w:r w:rsidR="004F1E40">
        <w:t xml:space="preserve">the </w:t>
      </w:r>
      <w:r>
        <w:t xml:space="preserve">NHFIC’s </w:t>
      </w:r>
      <w:r w:rsidR="007E0A86">
        <w:t xml:space="preserve">core </w:t>
      </w:r>
      <w:r>
        <w:t>functions</w:t>
      </w:r>
      <w:r w:rsidR="00206469">
        <w:t xml:space="preserve"> </w:t>
      </w:r>
      <w:r w:rsidR="007E0A86">
        <w:t xml:space="preserve">(being </w:t>
      </w:r>
      <w:r w:rsidR="00206469">
        <w:t xml:space="preserve">the </w:t>
      </w:r>
      <w:r w:rsidR="00996FCC">
        <w:t>AHBA</w:t>
      </w:r>
      <w:r w:rsidR="00206469">
        <w:t>, the NHIF and capacity building activities</w:t>
      </w:r>
      <w:r w:rsidR="007E0A86">
        <w:t>)</w:t>
      </w:r>
      <w:r w:rsidR="00206469">
        <w:t xml:space="preserve">. The inclusion of these details in the investment mandate provides flexibility to allow </w:t>
      </w:r>
      <w:r w:rsidR="007E0A86">
        <w:t xml:space="preserve">the </w:t>
      </w:r>
      <w:r w:rsidR="00206469">
        <w:t>NHFIC’s operations to respon</w:t>
      </w:r>
      <w:r w:rsidR="00017320">
        <w:t>d</w:t>
      </w:r>
      <w:r w:rsidR="00206469">
        <w:t xml:space="preserve"> to the needs of the community housing sector and other recipients of financial assistance.</w:t>
      </w:r>
      <w:r w:rsidR="00951272" w:rsidRPr="00951272">
        <w:t xml:space="preserve"> </w:t>
      </w:r>
    </w:p>
    <w:p w14:paraId="172CA928" w14:textId="2D20308B" w:rsidR="00621013" w:rsidRPr="00D409AA" w:rsidRDefault="00951272" w:rsidP="00D409AA">
      <w:pPr>
        <w:spacing w:before="0" w:after="0"/>
        <w:rPr>
          <w:b/>
        </w:rPr>
      </w:pPr>
      <w:r>
        <w:t xml:space="preserve">Details of the investment mandate are outlined in the </w:t>
      </w:r>
      <w:r w:rsidRPr="006341C6">
        <w:rPr>
          <w:u w:val="single"/>
        </w:rPr>
        <w:t>Attachment</w:t>
      </w:r>
      <w:r>
        <w:t>.</w:t>
      </w:r>
    </w:p>
    <w:p w14:paraId="276218BB" w14:textId="77777777" w:rsidR="00C52A69" w:rsidRDefault="00C52A69" w:rsidP="00752E9E">
      <w:pPr>
        <w:spacing w:before="240"/>
        <w:rPr>
          <w:b/>
        </w:rPr>
      </w:pPr>
      <w:r w:rsidRPr="00DC5C71">
        <w:rPr>
          <w:b/>
        </w:rPr>
        <w:t xml:space="preserve">Consultation </w:t>
      </w:r>
    </w:p>
    <w:p w14:paraId="0FABB985" w14:textId="77777777" w:rsidR="003B782B" w:rsidRDefault="003B782B" w:rsidP="00073A98">
      <w:pPr>
        <w:spacing w:before="240"/>
      </w:pPr>
      <w:r>
        <w:t>The Government has undertaken extensive consultation on the design and implementation of the NHFIC, including the development of the investment mandate. Consultation has occurred through:</w:t>
      </w:r>
    </w:p>
    <w:p w14:paraId="30DF79FE" w14:textId="67CC93AA" w:rsidR="00D409AA" w:rsidRDefault="003B782B" w:rsidP="00EC0307">
      <w:pPr>
        <w:pStyle w:val="Bullet"/>
      </w:pPr>
      <w:r>
        <w:t xml:space="preserve">the </w:t>
      </w:r>
      <w:r w:rsidRPr="00073A98">
        <w:t>Aff</w:t>
      </w:r>
      <w:r>
        <w:t>ordable Housing Working Group established</w:t>
      </w:r>
      <w:r w:rsidRPr="00073A98">
        <w:t xml:space="preserve"> </w:t>
      </w:r>
      <w:r>
        <w:t>in</w:t>
      </w:r>
      <w:r w:rsidRPr="00073A98">
        <w:t xml:space="preserve"> January 2016</w:t>
      </w:r>
      <w:r w:rsidR="00EC0307">
        <w:t xml:space="preserve"> and comprised </w:t>
      </w:r>
      <w:r w:rsidR="00EC0307" w:rsidRPr="00073A98">
        <w:t xml:space="preserve">of </w:t>
      </w:r>
      <w:r w:rsidR="00EC0307" w:rsidRPr="00011CFF">
        <w:t>certain State and Commonwealth officials</w:t>
      </w:r>
      <w:r w:rsidR="00EC0307">
        <w:t xml:space="preserve">, and </w:t>
      </w:r>
      <w:r w:rsidR="00EC0307" w:rsidRPr="00011CFF">
        <w:t>the</w:t>
      </w:r>
      <w:r w:rsidR="00EC0307">
        <w:t xml:space="preserve"> </w:t>
      </w:r>
      <w:r w:rsidR="00EC0307" w:rsidRPr="00AB721F">
        <w:t>Affordable Housing Implementation Taskforce</w:t>
      </w:r>
      <w:r w:rsidR="00EC0307">
        <w:t xml:space="preserve">, which was subsequently established and </w:t>
      </w:r>
      <w:r w:rsidR="00EC0307" w:rsidRPr="00073A98">
        <w:t>design</w:t>
      </w:r>
      <w:r w:rsidR="00EC0307">
        <w:t>ed</w:t>
      </w:r>
      <w:r w:rsidR="00EC0307" w:rsidRPr="00073A98">
        <w:t xml:space="preserve"> a proof of conc</w:t>
      </w:r>
      <w:r w:rsidR="00EC0307">
        <w:t>ept for a bond aggregator model</w:t>
      </w:r>
      <w:r>
        <w:t>;</w:t>
      </w:r>
    </w:p>
    <w:p w14:paraId="1A4BD51E" w14:textId="71D266DE" w:rsidR="003B782B" w:rsidRDefault="003B782B" w:rsidP="00D409AA">
      <w:pPr>
        <w:pStyle w:val="Bullet"/>
      </w:pPr>
      <w:r>
        <w:t xml:space="preserve">a Consultation Paper on the design of the NHFIC </w:t>
      </w:r>
      <w:r w:rsidR="00D409AA">
        <w:t xml:space="preserve">(including the operation of the NHIF and the AHBA) </w:t>
      </w:r>
      <w:r>
        <w:t>released in September 2017</w:t>
      </w:r>
      <w:r w:rsidR="00D409AA">
        <w:t>, which resulted in written feedback from over</w:t>
      </w:r>
      <w:r w:rsidR="00D409AA" w:rsidRPr="00D409AA">
        <w:t xml:space="preserve"> </w:t>
      </w:r>
      <w:r w:rsidR="00D409AA">
        <w:t>50 stakeholders</w:t>
      </w:r>
      <w:r w:rsidR="00D409AA" w:rsidRPr="00D409AA">
        <w:t xml:space="preserve"> </w:t>
      </w:r>
      <w:r w:rsidR="00D409AA">
        <w:t xml:space="preserve">including </w:t>
      </w:r>
      <w:r w:rsidR="00CC6739">
        <w:t>S</w:t>
      </w:r>
      <w:r w:rsidR="00D409AA">
        <w:t>tate and local governments, registered and unregistered CHPs, property developers, financiers, institutional investors and individuals</w:t>
      </w:r>
      <w:r>
        <w:t>;</w:t>
      </w:r>
    </w:p>
    <w:p w14:paraId="782DE8F3" w14:textId="6AEB4A7D" w:rsidR="003B782B" w:rsidRDefault="003B782B" w:rsidP="00D409AA">
      <w:pPr>
        <w:pStyle w:val="Bullet"/>
      </w:pPr>
      <w:r>
        <w:t xml:space="preserve">targeted roundtables </w:t>
      </w:r>
      <w:r w:rsidR="00D409AA">
        <w:t xml:space="preserve">over September and October 2017 </w:t>
      </w:r>
      <w:r>
        <w:t>in each capital city with 120 stakeholder groups, including around 30 CHPs;</w:t>
      </w:r>
    </w:p>
    <w:p w14:paraId="568C8159" w14:textId="38A0D47C" w:rsidR="003B782B" w:rsidRDefault="00BF05BE" w:rsidP="00D409AA">
      <w:pPr>
        <w:pStyle w:val="Bullet"/>
      </w:pPr>
      <w:r>
        <w:t>release,</w:t>
      </w:r>
      <w:r w:rsidR="003B782B" w:rsidRPr="00916CE2">
        <w:t xml:space="preserve"> </w:t>
      </w:r>
      <w:r w:rsidR="00D409AA">
        <w:t xml:space="preserve">in </w:t>
      </w:r>
      <w:r w:rsidR="00D409AA" w:rsidRPr="00916CE2">
        <w:t>January 2018</w:t>
      </w:r>
      <w:r>
        <w:t>, of</w:t>
      </w:r>
      <w:r w:rsidR="003B782B" w:rsidRPr="00916CE2">
        <w:t xml:space="preserve"> </w:t>
      </w:r>
      <w:r w:rsidR="00D409AA">
        <w:t>exposure</w:t>
      </w:r>
      <w:r w:rsidR="00D409AA" w:rsidRPr="00916CE2">
        <w:t xml:space="preserve"> </w:t>
      </w:r>
      <w:r w:rsidR="003B782B" w:rsidRPr="00916CE2">
        <w:t>draft legislation to establish the NHFI</w:t>
      </w:r>
      <w:r w:rsidR="003B782B">
        <w:t>C;</w:t>
      </w:r>
      <w:r w:rsidR="00E9070A">
        <w:t xml:space="preserve"> </w:t>
      </w:r>
    </w:p>
    <w:p w14:paraId="548C75AA" w14:textId="6C33F1E3" w:rsidR="003B782B" w:rsidRPr="00E01688" w:rsidRDefault="00BF05BE" w:rsidP="00D409AA">
      <w:pPr>
        <w:pStyle w:val="Bullet"/>
      </w:pPr>
      <w:r w:rsidRPr="00E01688">
        <w:t xml:space="preserve">release, </w:t>
      </w:r>
      <w:r w:rsidR="003B782B" w:rsidRPr="00E01688">
        <w:t xml:space="preserve"> </w:t>
      </w:r>
      <w:r w:rsidRPr="00E01688">
        <w:t>in February 2018, of an exposure</w:t>
      </w:r>
      <w:r w:rsidR="003B782B" w:rsidRPr="00E01688">
        <w:t xml:space="preserve"> draft investment mandate</w:t>
      </w:r>
      <w:r w:rsidR="00E9070A" w:rsidRPr="00E01688">
        <w:t>; and</w:t>
      </w:r>
    </w:p>
    <w:p w14:paraId="06C4F90C" w14:textId="770F9176" w:rsidR="00E9070A" w:rsidRPr="00E01688" w:rsidRDefault="00E9070A" w:rsidP="00D409AA">
      <w:pPr>
        <w:pStyle w:val="Bullet"/>
      </w:pPr>
      <w:r w:rsidRPr="00E01688">
        <w:t xml:space="preserve">the parliamentary debate on the legislation establishing the NHFIC, including an inquiry by the </w:t>
      </w:r>
      <w:r w:rsidRPr="00E01688">
        <w:rPr>
          <w:lang w:val="en"/>
        </w:rPr>
        <w:t>Senate Economics Legislation Committee</w:t>
      </w:r>
      <w:r w:rsidRPr="00E01688">
        <w:t>.</w:t>
      </w:r>
    </w:p>
    <w:p w14:paraId="76C573D0" w14:textId="77777777" w:rsidR="00621013" w:rsidRPr="00DC5C71" w:rsidRDefault="00EF29BA" w:rsidP="00752E9E">
      <w:pPr>
        <w:spacing w:before="240"/>
        <w:rPr>
          <w:b/>
        </w:rPr>
      </w:pPr>
      <w:r>
        <w:t xml:space="preserve">Feedback from </w:t>
      </w:r>
      <w:r w:rsidR="004A1788">
        <w:t>each</w:t>
      </w:r>
      <w:r>
        <w:t xml:space="preserve"> consultation process ha</w:t>
      </w:r>
      <w:r w:rsidR="004A5F24">
        <w:t>s</w:t>
      </w:r>
      <w:r>
        <w:t xml:space="preserve"> </w:t>
      </w:r>
      <w:r w:rsidR="004A1788">
        <w:t xml:space="preserve">informed </w:t>
      </w:r>
      <w:r>
        <w:t xml:space="preserve">the </w:t>
      </w:r>
      <w:r w:rsidR="00944576">
        <w:t>drafting of the i</w:t>
      </w:r>
      <w:r>
        <w:t xml:space="preserve">nvestment </w:t>
      </w:r>
      <w:r w:rsidR="00944576">
        <w:t>m</w:t>
      </w:r>
      <w:r>
        <w:t>andate.</w:t>
      </w:r>
    </w:p>
    <w:p w14:paraId="0FF8F2B1" w14:textId="77777777" w:rsidR="006341C6" w:rsidRDefault="006341C6" w:rsidP="002D39E1">
      <w:pPr>
        <w:tabs>
          <w:tab w:val="left" w:pos="2500"/>
        </w:tabs>
        <w:spacing w:before="240"/>
      </w:pPr>
    </w:p>
    <w:p w14:paraId="5C833B01" w14:textId="77777777" w:rsidR="00E92A23" w:rsidRDefault="00E92A23">
      <w:pPr>
        <w:spacing w:before="0" w:after="0"/>
      </w:pPr>
      <w:r>
        <w:br w:type="page"/>
      </w:r>
    </w:p>
    <w:p w14:paraId="317B72E0" w14:textId="77777777" w:rsidR="006341C6" w:rsidRPr="006341C6" w:rsidRDefault="009E260E" w:rsidP="006341C6">
      <w:pPr>
        <w:shd w:val="clear" w:color="auto" w:fill="FFFFFF"/>
        <w:spacing w:before="0" w:after="240"/>
        <w:ind w:right="91"/>
        <w:jc w:val="right"/>
        <w:rPr>
          <w:szCs w:val="24"/>
          <w:lang w:val="en-US"/>
        </w:rPr>
      </w:pPr>
      <w:r>
        <w:rPr>
          <w:b/>
          <w:bCs/>
          <w:szCs w:val="24"/>
          <w:u w:val="single"/>
        </w:rPr>
        <w:lastRenderedPageBreak/>
        <w:t>ATTACHMENT</w:t>
      </w:r>
    </w:p>
    <w:p w14:paraId="67F2C939" w14:textId="77777777" w:rsidR="006341C6" w:rsidRPr="009E260E" w:rsidRDefault="006341C6" w:rsidP="006341C6">
      <w:pPr>
        <w:spacing w:before="240"/>
        <w:jc w:val="center"/>
        <w:rPr>
          <w:b/>
          <w:u w:val="single"/>
        </w:rPr>
      </w:pPr>
      <w:r w:rsidRPr="009E260E">
        <w:rPr>
          <w:b/>
          <w:u w:val="single"/>
        </w:rPr>
        <w:t xml:space="preserve">Details of the </w:t>
      </w:r>
      <w:r w:rsidR="009E260E" w:rsidRPr="009E260E">
        <w:rPr>
          <w:b/>
          <w:i/>
          <w:u w:val="single"/>
        </w:rPr>
        <w:t xml:space="preserve">National Housing Finance and Investment Corporation Investment Mandate </w:t>
      </w:r>
      <w:r w:rsidR="00B30A12">
        <w:rPr>
          <w:b/>
          <w:i/>
          <w:u w:val="single"/>
        </w:rPr>
        <w:t xml:space="preserve">Direction </w:t>
      </w:r>
      <w:r w:rsidR="009E260E" w:rsidRPr="009E260E">
        <w:rPr>
          <w:b/>
          <w:i/>
          <w:u w:val="single"/>
        </w:rPr>
        <w:t>2018</w:t>
      </w:r>
    </w:p>
    <w:p w14:paraId="681E8558" w14:textId="77777777" w:rsidR="00587DD3" w:rsidRPr="00DA4E84" w:rsidRDefault="00587DD3" w:rsidP="00D409AA">
      <w:pPr>
        <w:spacing w:before="240"/>
      </w:pPr>
      <w:r w:rsidRPr="00D409AA">
        <w:rPr>
          <w:b/>
        </w:rPr>
        <w:t>Part 1 – Preliminary</w:t>
      </w:r>
    </w:p>
    <w:p w14:paraId="75EE618C" w14:textId="77777777" w:rsidR="00587DD3" w:rsidRPr="00587DD3" w:rsidRDefault="00587DD3" w:rsidP="00587DD3">
      <w:pPr>
        <w:spacing w:before="240"/>
        <w:rPr>
          <w:u w:val="single"/>
        </w:rPr>
      </w:pPr>
      <w:r w:rsidRPr="00587DD3">
        <w:rPr>
          <w:u w:val="single"/>
        </w:rPr>
        <w:t>Section 1 – Name of the investment mandate</w:t>
      </w:r>
    </w:p>
    <w:p w14:paraId="55213D3B" w14:textId="77777777" w:rsidR="00587DD3" w:rsidRDefault="00587DD3" w:rsidP="00587DD3">
      <w:pPr>
        <w:spacing w:before="240"/>
      </w:pPr>
      <w:r>
        <w:t xml:space="preserve">Section 1 provides that the title of the investment mandate is the </w:t>
      </w:r>
      <w:r w:rsidRPr="00D409AA">
        <w:t>National Housing Finance and Investment Corporation Investment Mandate Direction 2018</w:t>
      </w:r>
      <w:r>
        <w:t>.</w:t>
      </w:r>
    </w:p>
    <w:p w14:paraId="7736E68F" w14:textId="77777777" w:rsidR="00587DD3" w:rsidRPr="00D409AA" w:rsidRDefault="00587DD3" w:rsidP="00D409AA">
      <w:pPr>
        <w:spacing w:before="240"/>
        <w:rPr>
          <w:u w:val="single"/>
        </w:rPr>
      </w:pPr>
      <w:r w:rsidRPr="00587DD3">
        <w:rPr>
          <w:u w:val="single"/>
        </w:rPr>
        <w:t>Section 2 – Commencement</w:t>
      </w:r>
    </w:p>
    <w:p w14:paraId="1037EBE5" w14:textId="77777777" w:rsidR="00587DD3" w:rsidRPr="00D409AA" w:rsidRDefault="00587DD3" w:rsidP="00D409AA">
      <w:pPr>
        <w:spacing w:before="240"/>
      </w:pPr>
      <w:r>
        <w:t xml:space="preserve">Section 2 provides that the investment mandate commences the day after it is registered. </w:t>
      </w:r>
    </w:p>
    <w:p w14:paraId="4C6171E7" w14:textId="77777777" w:rsidR="00587DD3" w:rsidRPr="00D409AA" w:rsidRDefault="00587DD3" w:rsidP="00D409AA">
      <w:pPr>
        <w:spacing w:before="240"/>
        <w:rPr>
          <w:u w:val="single"/>
        </w:rPr>
      </w:pPr>
      <w:r w:rsidRPr="00587DD3">
        <w:rPr>
          <w:u w:val="single"/>
        </w:rPr>
        <w:t>Section 3 – Authority</w:t>
      </w:r>
    </w:p>
    <w:p w14:paraId="515B9038" w14:textId="744963A6" w:rsidR="00587DD3" w:rsidRDefault="00587DD3" w:rsidP="00D409AA">
      <w:pPr>
        <w:spacing w:before="240"/>
      </w:pPr>
      <w:r>
        <w:t xml:space="preserve">Section 3 provides that the investment mandate is made under subsection 12(1) of the </w:t>
      </w:r>
      <w:r w:rsidRPr="00FA1310">
        <w:rPr>
          <w:i/>
        </w:rPr>
        <w:t>National Housing Finance and Investment Corporation Act 2018</w:t>
      </w:r>
      <w:r>
        <w:t xml:space="preserve"> (the Act). </w:t>
      </w:r>
    </w:p>
    <w:p w14:paraId="40B8A45D" w14:textId="77777777" w:rsidR="00587DD3" w:rsidRPr="00D409AA" w:rsidRDefault="00587DD3" w:rsidP="00D409AA">
      <w:pPr>
        <w:spacing w:before="240"/>
        <w:rPr>
          <w:u w:val="single"/>
        </w:rPr>
      </w:pPr>
      <w:r w:rsidRPr="00587DD3">
        <w:rPr>
          <w:u w:val="single"/>
        </w:rPr>
        <w:t>Section 4 – Definitions</w:t>
      </w:r>
    </w:p>
    <w:p w14:paraId="06864C78" w14:textId="6BE35573" w:rsidR="002C1622" w:rsidRDefault="00C160D8" w:rsidP="00587DD3">
      <w:pPr>
        <w:spacing w:before="240"/>
      </w:pPr>
      <w:r>
        <w:t>Section 4</w:t>
      </w:r>
      <w:r w:rsidR="00F4457B">
        <w:t xml:space="preserve"> </w:t>
      </w:r>
      <w:r>
        <w:t>defines</w:t>
      </w:r>
      <w:r w:rsidR="00EF29BA">
        <w:t xml:space="preserve"> terms that give effect to the</w:t>
      </w:r>
      <w:r w:rsidR="00F4457B">
        <w:t xml:space="preserve"> </w:t>
      </w:r>
      <w:r w:rsidR="00BF05BE" w:rsidRPr="008F038A">
        <w:t>National Housing Finance and Investment Corporation</w:t>
      </w:r>
      <w:r w:rsidR="00BF05BE">
        <w:t xml:space="preserve">’s (the </w:t>
      </w:r>
      <w:r w:rsidR="00F4457B">
        <w:t>NHFIC’s</w:t>
      </w:r>
      <w:r w:rsidR="00BF05BE">
        <w:t>)</w:t>
      </w:r>
      <w:r w:rsidR="00F4457B">
        <w:t xml:space="preserve"> activities</w:t>
      </w:r>
      <w:r>
        <w:t xml:space="preserve"> and obligations under the investment mandate</w:t>
      </w:r>
      <w:r w:rsidR="006F00A5">
        <w:t xml:space="preserve">, including </w:t>
      </w:r>
      <w:r>
        <w:t xml:space="preserve">“AHBA”, </w:t>
      </w:r>
      <w:r w:rsidR="00587DD3">
        <w:t>“capacity building contract”, “Commercial Financier”, “financing decision”, “financing proposal”, “infrastructure loan, investment</w:t>
      </w:r>
      <w:r w:rsidR="006F00A5" w:rsidRPr="006F00A5">
        <w:t xml:space="preserve"> </w:t>
      </w:r>
      <w:r w:rsidR="006F00A5">
        <w:t>or grant</w:t>
      </w:r>
      <w:r w:rsidR="00587DD3">
        <w:t xml:space="preserve">”, “minimum target value”, </w:t>
      </w:r>
      <w:r>
        <w:t xml:space="preserve">“NHIF”, </w:t>
      </w:r>
      <w:r w:rsidR="00587DD3">
        <w:t>“Permanent Fund”</w:t>
      </w:r>
      <w:r w:rsidR="00A85124">
        <w:t>,</w:t>
      </w:r>
      <w:r>
        <w:t xml:space="preserve"> </w:t>
      </w:r>
      <w:r w:rsidR="00587DD3">
        <w:t>“project proponent”</w:t>
      </w:r>
      <w:r w:rsidR="00A85124">
        <w:t>, “special purpose vehicle” and “underlying eligible member”</w:t>
      </w:r>
      <w:r w:rsidR="00587DD3">
        <w:t xml:space="preserve">. </w:t>
      </w:r>
    </w:p>
    <w:p w14:paraId="1D8FF1A8" w14:textId="77777777" w:rsidR="00C160D8" w:rsidRDefault="00C160D8" w:rsidP="006341C6">
      <w:pPr>
        <w:spacing w:before="240"/>
      </w:pPr>
      <w:r>
        <w:t xml:space="preserve">Section 4 also notes that a number of expressions used in the investment mandate are defined in the Act, such as “Board”, “NHFIC” and “registered community housing provider”. </w:t>
      </w:r>
    </w:p>
    <w:p w14:paraId="69305269" w14:textId="77777777" w:rsidR="00C90512" w:rsidRPr="00C90512" w:rsidRDefault="00C90512" w:rsidP="006341C6">
      <w:pPr>
        <w:spacing w:before="240"/>
        <w:rPr>
          <w:u w:val="single"/>
        </w:rPr>
      </w:pPr>
      <w:r w:rsidRPr="00C90512">
        <w:rPr>
          <w:u w:val="single"/>
        </w:rPr>
        <w:t>Section 5 – Purpose of the investment mandate</w:t>
      </w:r>
    </w:p>
    <w:p w14:paraId="7DD67689" w14:textId="14935B79" w:rsidR="00C90512" w:rsidRDefault="00C90512" w:rsidP="006341C6">
      <w:pPr>
        <w:spacing w:before="240"/>
      </w:pPr>
      <w:r>
        <w:t xml:space="preserve">Section 5 provides that the purpose of the investment mandate is to give directions to the Board in relation to the </w:t>
      </w:r>
      <w:r w:rsidR="001663DE">
        <w:t>performance of</w:t>
      </w:r>
      <w:r>
        <w:t xml:space="preserve"> </w:t>
      </w:r>
      <w:r w:rsidR="001663DE">
        <w:t xml:space="preserve">the </w:t>
      </w:r>
      <w:r w:rsidR="006F00A5">
        <w:t>NHFIC’s</w:t>
      </w:r>
      <w:r w:rsidR="001663DE">
        <w:t xml:space="preserve"> functions</w:t>
      </w:r>
      <w:r w:rsidR="001675A6" w:rsidRPr="008F038A">
        <w:t xml:space="preserve"> </w:t>
      </w:r>
      <w:r w:rsidR="001663DE">
        <w:t>as set out in section 8 of the Act</w:t>
      </w:r>
      <w:r w:rsidR="001675A6">
        <w:t xml:space="preserve">. </w:t>
      </w:r>
    </w:p>
    <w:p w14:paraId="278E514B" w14:textId="77777777" w:rsidR="00C90512" w:rsidRPr="00C90512" w:rsidRDefault="00C90512" w:rsidP="00E83643">
      <w:pPr>
        <w:pStyle w:val="Heading3"/>
      </w:pPr>
      <w:r w:rsidRPr="00C90512">
        <w:t>Part 2 – Activities and allocation of funds</w:t>
      </w:r>
    </w:p>
    <w:p w14:paraId="19D176E7" w14:textId="1D6DDE60" w:rsidR="00C90512" w:rsidRDefault="00DC2E69" w:rsidP="006341C6">
      <w:pPr>
        <w:spacing w:before="240"/>
        <w:rPr>
          <w:u w:val="single"/>
        </w:rPr>
      </w:pPr>
      <w:r>
        <w:rPr>
          <w:u w:val="single"/>
        </w:rPr>
        <w:t>Division 1</w:t>
      </w:r>
      <w:r w:rsidR="0089505D">
        <w:rPr>
          <w:u w:val="single"/>
        </w:rPr>
        <w:t xml:space="preserve"> – The </w:t>
      </w:r>
      <w:r w:rsidR="006F00A5">
        <w:rPr>
          <w:u w:val="single"/>
        </w:rPr>
        <w:t xml:space="preserve">NHFIC’s </w:t>
      </w:r>
      <w:r w:rsidR="0089505D">
        <w:rPr>
          <w:u w:val="single"/>
        </w:rPr>
        <w:t>activities</w:t>
      </w:r>
    </w:p>
    <w:p w14:paraId="13CB286E" w14:textId="70B30829" w:rsidR="00DC2E69" w:rsidRDefault="005A71BA" w:rsidP="006341C6">
      <w:pPr>
        <w:spacing w:before="240"/>
      </w:pPr>
      <w:r>
        <w:t>Under sections 6 and 7 of the investment mandate, t</w:t>
      </w:r>
      <w:r w:rsidR="000510B7">
        <w:t xml:space="preserve">he </w:t>
      </w:r>
      <w:r w:rsidR="00635E65">
        <w:t>NHFIC</w:t>
      </w:r>
      <w:r w:rsidR="000510B7">
        <w:t xml:space="preserve"> is </w:t>
      </w:r>
      <w:r w:rsidR="00217B89">
        <w:t xml:space="preserve">required </w:t>
      </w:r>
      <w:r w:rsidR="000510B7">
        <w:t xml:space="preserve">to </w:t>
      </w:r>
      <w:r w:rsidR="004E1E78">
        <w:t xml:space="preserve">establish and </w:t>
      </w:r>
      <w:r w:rsidR="00FD62A5">
        <w:t>operate</w:t>
      </w:r>
      <w:r w:rsidR="007A19B1">
        <w:t xml:space="preserve"> </w:t>
      </w:r>
      <w:r w:rsidR="00FD62A5">
        <w:t>an</w:t>
      </w:r>
      <w:r w:rsidR="00FD62A5" w:rsidRPr="00E62FA8">
        <w:t xml:space="preserve"> </w:t>
      </w:r>
      <w:r w:rsidR="00FD62A5">
        <w:t>Affordable Housing Bond Aggregator (AHBA) and the National Housing Infrastructure Facility (NHIF</w:t>
      </w:r>
      <w:r>
        <w:t>)</w:t>
      </w:r>
      <w:r w:rsidR="00116F4F">
        <w:t>. These activities are intended</w:t>
      </w:r>
      <w:r w:rsidR="00FD62A5">
        <w:t xml:space="preserve"> </w:t>
      </w:r>
      <w:r w:rsidR="007A19B1">
        <w:t xml:space="preserve">to </w:t>
      </w:r>
      <w:r w:rsidR="004E1E78">
        <w:t xml:space="preserve">improve </w:t>
      </w:r>
      <w:r w:rsidR="00A45C92">
        <w:t>housing outcomes for Australians</w:t>
      </w:r>
      <w:r w:rsidR="006F00A5">
        <w:t>. Details are provided in</w:t>
      </w:r>
      <w:r w:rsidR="008077B6">
        <w:t xml:space="preserve"> Parts</w:t>
      </w:r>
      <w:r w:rsidR="001B0B1B">
        <w:t> </w:t>
      </w:r>
      <w:r w:rsidR="008077B6">
        <w:t>3 and 4 of the investment mandate</w:t>
      </w:r>
      <w:r>
        <w:t>.</w:t>
      </w:r>
    </w:p>
    <w:p w14:paraId="73DAB363" w14:textId="7428FA89" w:rsidR="00E62FA8" w:rsidRDefault="00E62FA8" w:rsidP="00BF05BE">
      <w:pPr>
        <w:keepLines/>
        <w:spacing w:before="240"/>
      </w:pPr>
      <w:r>
        <w:lastRenderedPageBreak/>
        <w:t>The AHBA provide</w:t>
      </w:r>
      <w:r w:rsidR="004B1007">
        <w:t>s</w:t>
      </w:r>
      <w:r>
        <w:t xml:space="preserve"> finance to registered community housing providers</w:t>
      </w:r>
      <w:r w:rsidRPr="00696F49">
        <w:t xml:space="preserve"> </w:t>
      </w:r>
      <w:r>
        <w:t xml:space="preserve">(CHPs) </w:t>
      </w:r>
      <w:r w:rsidRPr="00696F49">
        <w:t>by aggregating the</w:t>
      </w:r>
      <w:r>
        <w:t>ir</w:t>
      </w:r>
      <w:r w:rsidRPr="00696F49">
        <w:t xml:space="preserve"> </w:t>
      </w:r>
      <w:r>
        <w:t xml:space="preserve">lending requirements </w:t>
      </w:r>
      <w:r w:rsidR="006F00A5">
        <w:t xml:space="preserve">and financing them </w:t>
      </w:r>
      <w:r w:rsidR="00BF05BE">
        <w:t xml:space="preserve">primarily </w:t>
      </w:r>
      <w:r w:rsidR="006F00A5">
        <w:t xml:space="preserve">through the issuance of </w:t>
      </w:r>
      <w:r w:rsidRPr="00696F49">
        <w:t>bonds</w:t>
      </w:r>
      <w:r>
        <w:t xml:space="preserve">. The ABHA will build </w:t>
      </w:r>
      <w:r w:rsidR="006F00A5">
        <w:t xml:space="preserve">the </w:t>
      </w:r>
      <w:r>
        <w:t xml:space="preserve">capacity of the sector and encourage investment to improve housing outcomes by providing </w:t>
      </w:r>
      <w:r w:rsidR="00073CF1">
        <w:t xml:space="preserve">registered </w:t>
      </w:r>
      <w:r>
        <w:t xml:space="preserve">CHPs with a more efficient source of funds, reducing the refinancing risk faced by </w:t>
      </w:r>
      <w:r w:rsidR="00073CF1">
        <w:t xml:space="preserve">registered </w:t>
      </w:r>
      <w:r>
        <w:t xml:space="preserve">CHPs and reducing </w:t>
      </w:r>
      <w:r w:rsidR="006F00A5">
        <w:t xml:space="preserve">their </w:t>
      </w:r>
      <w:r>
        <w:t>borrowing costs.</w:t>
      </w:r>
    </w:p>
    <w:p w14:paraId="2820DC58" w14:textId="62B19C02" w:rsidR="00E62FA8" w:rsidRDefault="00E62FA8" w:rsidP="006341C6">
      <w:pPr>
        <w:spacing w:before="240"/>
      </w:pPr>
      <w:r>
        <w:t>The NHIF assist</w:t>
      </w:r>
      <w:r w:rsidR="004B1007">
        <w:t>s</w:t>
      </w:r>
      <w:r>
        <w:t xml:space="preserve"> in financing </w:t>
      </w:r>
      <w:r w:rsidR="008579E3">
        <w:t xml:space="preserve">the </w:t>
      </w:r>
      <w:r>
        <w:t xml:space="preserve">critical infrastructure </w:t>
      </w:r>
      <w:r w:rsidR="008579E3" w:rsidRPr="005A71BA">
        <w:t>that is needed to accelerate new housing supply</w:t>
      </w:r>
      <w:r w:rsidR="008579E3" w:rsidRPr="008579E3">
        <w:t>,</w:t>
      </w:r>
      <w:r w:rsidR="008579E3">
        <w:t xml:space="preserve"> particularly </w:t>
      </w:r>
      <w:r w:rsidR="00BF05BE">
        <w:t xml:space="preserve">the supply of </w:t>
      </w:r>
      <w:r w:rsidR="008579E3">
        <w:t>affordable housing.</w:t>
      </w:r>
      <w:r w:rsidR="00994B70">
        <w:t xml:space="preserve"> </w:t>
      </w:r>
    </w:p>
    <w:p w14:paraId="0FB1EDB8" w14:textId="678AE0D8" w:rsidR="0089505D" w:rsidRDefault="00116F4F" w:rsidP="00097696">
      <w:pPr>
        <w:spacing w:before="240"/>
      </w:pPr>
      <w:r>
        <w:t>In addition to these activities</w:t>
      </w:r>
      <w:r w:rsidR="00994B70">
        <w:t>, t</w:t>
      </w:r>
      <w:r w:rsidR="00217B89">
        <w:t xml:space="preserve">he NHFIC </w:t>
      </w:r>
      <w:r w:rsidR="000F7542">
        <w:t>may provide</w:t>
      </w:r>
      <w:r w:rsidR="00911318">
        <w:t xml:space="preserve"> </w:t>
      </w:r>
      <w:r w:rsidR="000510B7">
        <w:t>c</w:t>
      </w:r>
      <w:r w:rsidR="0089505D">
        <w:t xml:space="preserve">apacity building </w:t>
      </w:r>
      <w:r w:rsidR="00BF014B">
        <w:t>services</w:t>
      </w:r>
      <w:r w:rsidR="00696F49">
        <w:t xml:space="preserve"> to</w:t>
      </w:r>
      <w:r>
        <w:t xml:space="preserve"> </w:t>
      </w:r>
      <w:r w:rsidR="00696F49">
        <w:t xml:space="preserve">registered </w:t>
      </w:r>
      <w:r w:rsidR="00073CF1">
        <w:t>CHPs</w:t>
      </w:r>
      <w:r w:rsidR="008077B6">
        <w:t xml:space="preserve"> (</w:t>
      </w:r>
      <w:r w:rsidR="001B0B1B">
        <w:t>in accordance with</w:t>
      </w:r>
      <w:r w:rsidR="008077B6">
        <w:t xml:space="preserve"> Part 5 of the investment mandate)</w:t>
      </w:r>
      <w:r>
        <w:t>. This service seeks to develop the</w:t>
      </w:r>
      <w:r w:rsidR="000F7542">
        <w:t xml:space="preserve"> financial </w:t>
      </w:r>
      <w:r w:rsidR="00BF05BE">
        <w:t xml:space="preserve">and management </w:t>
      </w:r>
      <w:r w:rsidR="000F7542">
        <w:t>capability</w:t>
      </w:r>
      <w:r>
        <w:t xml:space="preserve"> of registered </w:t>
      </w:r>
      <w:r w:rsidR="00073CF1">
        <w:t>CHPs</w:t>
      </w:r>
      <w:r w:rsidR="000F7542">
        <w:t>.</w:t>
      </w:r>
    </w:p>
    <w:p w14:paraId="37F965D7" w14:textId="57E5A196" w:rsidR="0089505D" w:rsidRDefault="0089505D" w:rsidP="006341C6">
      <w:pPr>
        <w:spacing w:before="240"/>
      </w:pPr>
      <w:r>
        <w:t xml:space="preserve">The </w:t>
      </w:r>
      <w:r w:rsidR="00635E65">
        <w:t>NHFIC</w:t>
      </w:r>
      <w:r>
        <w:t xml:space="preserve"> may not </w:t>
      </w:r>
      <w:r w:rsidR="00244935">
        <w:t>spend money</w:t>
      </w:r>
      <w:r w:rsidR="00126340">
        <w:t xml:space="preserve"> (including</w:t>
      </w:r>
      <w:r w:rsidR="00244935">
        <w:t xml:space="preserve"> </w:t>
      </w:r>
      <w:r w:rsidR="001B0B1B">
        <w:t xml:space="preserve">making </w:t>
      </w:r>
      <w:r w:rsidR="00244935">
        <w:t>loans</w:t>
      </w:r>
      <w:r w:rsidR="001B0B1B">
        <w:t xml:space="preserve"> or</w:t>
      </w:r>
      <w:r w:rsidR="00244935">
        <w:t xml:space="preserve"> investments or </w:t>
      </w:r>
      <w:r w:rsidR="001B0B1B">
        <w:t xml:space="preserve">issuing </w:t>
      </w:r>
      <w:r w:rsidR="00244935">
        <w:t>grants</w:t>
      </w:r>
      <w:r w:rsidR="00126340">
        <w:t>)</w:t>
      </w:r>
      <w:r w:rsidR="00244935">
        <w:t xml:space="preserve"> unless </w:t>
      </w:r>
      <w:r w:rsidR="001B0B1B">
        <w:t xml:space="preserve">doing so </w:t>
      </w:r>
      <w:r w:rsidR="00244935">
        <w:t>is</w:t>
      </w:r>
      <w:r w:rsidR="00BC1225">
        <w:t xml:space="preserve"> </w:t>
      </w:r>
      <w:r w:rsidR="001B0B1B">
        <w:t xml:space="preserve">in accordance with </w:t>
      </w:r>
      <w:r w:rsidR="00BC1225">
        <w:t xml:space="preserve">its permitted activities </w:t>
      </w:r>
      <w:r w:rsidR="004E1E78">
        <w:t>(</w:t>
      </w:r>
      <w:r w:rsidR="00126340">
        <w:t>sections 6 to 8 of the investment mandate</w:t>
      </w:r>
      <w:r w:rsidR="004E1E78">
        <w:t>)</w:t>
      </w:r>
      <w:r w:rsidR="00126340">
        <w:t xml:space="preserve"> </w:t>
      </w:r>
      <w:r w:rsidR="00BC1225">
        <w:t>or</w:t>
      </w:r>
      <w:r>
        <w:t xml:space="preserve"> incidental to </w:t>
      </w:r>
      <w:r w:rsidR="00BC1225">
        <w:t>those</w:t>
      </w:r>
      <w:r>
        <w:t xml:space="preserve"> activities. </w:t>
      </w:r>
      <w:r w:rsidR="001B0B1B">
        <w:t xml:space="preserve">The </w:t>
      </w:r>
      <w:r w:rsidR="00BC1225">
        <w:t xml:space="preserve">NHFIC may also make an investment </w:t>
      </w:r>
      <w:r w:rsidR="001B0B1B">
        <w:t>in accordance</w:t>
      </w:r>
      <w:r w:rsidR="00BC1225">
        <w:t xml:space="preserve"> with section 59 of the </w:t>
      </w:r>
      <w:r w:rsidR="00BC1225" w:rsidRPr="00FA1310">
        <w:rPr>
          <w:i/>
        </w:rPr>
        <w:t>Public Governance</w:t>
      </w:r>
      <w:r w:rsidR="009258CA">
        <w:rPr>
          <w:i/>
        </w:rPr>
        <w:t>, Performance</w:t>
      </w:r>
      <w:r w:rsidR="00BC1225" w:rsidRPr="00FA1310">
        <w:rPr>
          <w:i/>
        </w:rPr>
        <w:t xml:space="preserve"> and Accountability Act 2013</w:t>
      </w:r>
      <w:r w:rsidR="00B05A83">
        <w:t xml:space="preserve">. That provision places limits on the investments </w:t>
      </w:r>
      <w:r w:rsidR="004A1788">
        <w:t>of</w:t>
      </w:r>
      <w:r w:rsidR="00B05A83">
        <w:t xml:space="preserve"> </w:t>
      </w:r>
      <w:r w:rsidR="004A5F24">
        <w:t>corporate C</w:t>
      </w:r>
      <w:r w:rsidR="00B05A83">
        <w:t>ommonwealth entities</w:t>
      </w:r>
      <w:r w:rsidR="00E8613D">
        <w:t xml:space="preserve"> and generally requires entities to invest money in bank deposits</w:t>
      </w:r>
      <w:r w:rsidR="000968D8">
        <w:t>,</w:t>
      </w:r>
      <w:r w:rsidR="00E8613D">
        <w:t xml:space="preserve"> Australian government securities</w:t>
      </w:r>
      <w:r w:rsidR="000968D8">
        <w:t xml:space="preserve"> or investments authorised by the Finance Minister</w:t>
      </w:r>
      <w:r w:rsidR="00B05A83">
        <w:t>.</w:t>
      </w:r>
    </w:p>
    <w:p w14:paraId="480969D8" w14:textId="4C7EA9CE" w:rsidR="00C24DE1" w:rsidRDefault="00E8613D" w:rsidP="00C24DE1">
      <w:r w:rsidRPr="00D409AA">
        <w:t>Paragraph 9(2)(b)</w:t>
      </w:r>
      <w:r w:rsidRPr="00D409AA" w:rsidDel="00E8613D">
        <w:t xml:space="preserve"> </w:t>
      </w:r>
      <w:r w:rsidRPr="00D409AA">
        <w:t xml:space="preserve">of </w:t>
      </w:r>
      <w:r w:rsidRPr="00591A0D">
        <w:t>t</w:t>
      </w:r>
      <w:r w:rsidR="00C24DE1" w:rsidRPr="00591A0D">
        <w:t xml:space="preserve">he </w:t>
      </w:r>
      <w:r w:rsidRPr="00591A0D">
        <w:t>Act</w:t>
      </w:r>
      <w:r w:rsidR="00C24DE1" w:rsidRPr="00D409AA">
        <w:t xml:space="preserve"> allows the NHFIC to enter into swaps, foreign exchange agreements, forward rate agreements, options or hedge agreements, and similar </w:t>
      </w:r>
      <w:r w:rsidR="00BF05BE">
        <w:t>arrangements</w:t>
      </w:r>
      <w:r w:rsidRPr="00D409AA">
        <w:t xml:space="preserve">. </w:t>
      </w:r>
      <w:r w:rsidR="00C24DE1" w:rsidRPr="00D409AA">
        <w:t xml:space="preserve">The investment mandate limits this power to circumstances where the purpose of the agreement or instrument is </w:t>
      </w:r>
      <w:r w:rsidR="00CE7C40">
        <w:t xml:space="preserve">for the purposes of, or </w:t>
      </w:r>
      <w:r w:rsidR="00C24DE1" w:rsidRPr="00D409AA">
        <w:t>incidental to</w:t>
      </w:r>
      <w:r w:rsidR="00CE7C40">
        <w:t>,</w:t>
      </w:r>
      <w:r w:rsidR="00C24DE1" w:rsidRPr="00D409AA">
        <w:t xml:space="preserve"> the NHFIC’s </w:t>
      </w:r>
      <w:r w:rsidRPr="00E8613D">
        <w:t>permitted activities (sections 6 to 8 of the investment mandate)</w:t>
      </w:r>
      <w:r w:rsidR="00C24DE1" w:rsidRPr="00591A0D">
        <w:t>.</w:t>
      </w:r>
      <w:r w:rsidR="00C24DE1" w:rsidRPr="00D409AA">
        <w:t xml:space="preserve"> Th</w:t>
      </w:r>
      <w:r w:rsidRPr="00D409AA">
        <w:t xml:space="preserve">is ensures </w:t>
      </w:r>
      <w:r w:rsidR="00C24DE1" w:rsidRPr="00D409AA">
        <w:t xml:space="preserve">that such instruments or agreements </w:t>
      </w:r>
      <w:r w:rsidRPr="00591A0D">
        <w:t>are</w:t>
      </w:r>
      <w:r w:rsidR="00C24DE1" w:rsidRPr="00D409AA">
        <w:t xml:space="preserve"> entered into to manage risk and exposure,</w:t>
      </w:r>
      <w:r w:rsidRPr="00D409AA">
        <w:t xml:space="preserve"> and</w:t>
      </w:r>
      <w:r w:rsidR="00C24DE1" w:rsidRPr="00D409AA">
        <w:t xml:space="preserve"> not for purposes of speculation or leveraging</w:t>
      </w:r>
      <w:r w:rsidR="007A517E">
        <w:t>.</w:t>
      </w:r>
      <w:r w:rsidR="00C24DE1" w:rsidRPr="00D409AA">
        <w:t xml:space="preserve"> </w:t>
      </w:r>
    </w:p>
    <w:p w14:paraId="2C2E4FBF" w14:textId="43543B20" w:rsidR="00116F4F" w:rsidRDefault="00A644B1" w:rsidP="00FA1310">
      <w:pPr>
        <w:spacing w:before="240"/>
      </w:pPr>
      <w:r>
        <w:t>T</w:t>
      </w:r>
      <w:r w:rsidR="00C71A38">
        <w:t>o the extent that doing so does not conflict with another provision of the investment mandate, t</w:t>
      </w:r>
      <w:r w:rsidR="00116F4F">
        <w:t xml:space="preserve">he NHFIC must apply commercial </w:t>
      </w:r>
      <w:r w:rsidR="001B0B1B">
        <w:t>discipline</w:t>
      </w:r>
      <w:r w:rsidR="00116F4F">
        <w:t xml:space="preserve"> when making financing decisions</w:t>
      </w:r>
      <w:r w:rsidR="004A1788">
        <w:t>,</w:t>
      </w:r>
      <w:r w:rsidR="004A1788" w:rsidRPr="004A1788">
        <w:t xml:space="preserve"> </w:t>
      </w:r>
      <w:r w:rsidR="004A1788">
        <w:t>mindful of the broader context of the NHFIC’s objective to improve housing outcomes.</w:t>
      </w:r>
    </w:p>
    <w:p w14:paraId="07B628C8" w14:textId="77777777" w:rsidR="00DC2E69" w:rsidRDefault="00DC2E69" w:rsidP="006341C6">
      <w:pPr>
        <w:spacing w:before="240"/>
        <w:rPr>
          <w:u w:val="single"/>
        </w:rPr>
      </w:pPr>
      <w:r>
        <w:rPr>
          <w:u w:val="single"/>
        </w:rPr>
        <w:t>Division 2</w:t>
      </w:r>
      <w:r w:rsidR="0089505D">
        <w:rPr>
          <w:u w:val="single"/>
        </w:rPr>
        <w:t xml:space="preserve"> –</w:t>
      </w:r>
      <w:r w:rsidR="0089505D" w:rsidRPr="00C54ECD">
        <w:rPr>
          <w:u w:val="single"/>
        </w:rPr>
        <w:t xml:space="preserve"> </w:t>
      </w:r>
      <w:r w:rsidR="00C54ECD" w:rsidRPr="00F1074F">
        <w:rPr>
          <w:u w:val="single"/>
        </w:rPr>
        <w:t>Allocation and repayment of funds – AHBA</w:t>
      </w:r>
    </w:p>
    <w:p w14:paraId="23BFD205" w14:textId="289E0E11" w:rsidR="00AB28FF" w:rsidRDefault="00AB28FF" w:rsidP="00AB28FF">
      <w:pPr>
        <w:spacing w:before="240"/>
      </w:pPr>
      <w:r>
        <w:t xml:space="preserve">The NHFIC will borrow from the Commonwealth funds appropriated by Parliament for the purpose of the AHBA reserve. The Board must allocate amounts borrowed for this purpose to the reserve.  Up to $1 billion may be allocated by the Board. </w:t>
      </w:r>
    </w:p>
    <w:p w14:paraId="10E8BF8B" w14:textId="280D7A71" w:rsidR="00AB28FF" w:rsidRDefault="00AB28FF" w:rsidP="00AB28FF">
      <w:pPr>
        <w:spacing w:before="240"/>
      </w:pPr>
      <w:r>
        <w:t xml:space="preserve">The reserve must be used to fund loans by the NHFIC to registered </w:t>
      </w:r>
      <w:r w:rsidR="007A517E">
        <w:t>CHPs</w:t>
      </w:r>
      <w:r>
        <w:t xml:space="preserve"> unless the Minister and the Minister for Finance approves an allo</w:t>
      </w:r>
      <w:r w:rsidR="000822F2">
        <w:t>cation to the reserve for a non</w:t>
      </w:r>
      <w:r w:rsidR="000822F2">
        <w:noBreakHyphen/>
      </w:r>
      <w:r>
        <w:t xml:space="preserve">lending purpose (such as for liquidity management). </w:t>
      </w:r>
    </w:p>
    <w:p w14:paraId="3BCE30CF" w14:textId="200C0D79" w:rsidR="00AB28FF" w:rsidRDefault="00AB28FF" w:rsidP="00AB28FF">
      <w:pPr>
        <w:spacing w:before="240"/>
      </w:pPr>
      <w:r>
        <w:t xml:space="preserve">The reserve is primarily intended to be used to provide a warehouse facility that extends bridging financing to registered CHPs until </w:t>
      </w:r>
      <w:r w:rsidR="007A517E">
        <w:t xml:space="preserve">sufficient scale </w:t>
      </w:r>
      <w:r w:rsidR="00817342">
        <w:t xml:space="preserve">is </w:t>
      </w:r>
      <w:r w:rsidR="007A517E">
        <w:t xml:space="preserve">achieved to enable </w:t>
      </w:r>
      <w:r>
        <w:t>a bond issuance</w:t>
      </w:r>
      <w:r w:rsidR="007A517E">
        <w:t>. The reserve will also assist the NHFIC to offer a range of AHBA loan products as the bond program matures.</w:t>
      </w:r>
      <w:r>
        <w:t xml:space="preserve"> </w:t>
      </w:r>
    </w:p>
    <w:p w14:paraId="2F6C9293" w14:textId="096D8BBD" w:rsidR="00BF05BE" w:rsidRDefault="00C54ECD" w:rsidP="00BF05BE">
      <w:pPr>
        <w:keepLines/>
        <w:spacing w:before="240"/>
      </w:pPr>
      <w:r>
        <w:lastRenderedPageBreak/>
        <w:t xml:space="preserve">The NHFIC must repay </w:t>
      </w:r>
      <w:r w:rsidR="00E8613D">
        <w:t>amount</w:t>
      </w:r>
      <w:r w:rsidR="00674010">
        <w:t>s</w:t>
      </w:r>
      <w:r w:rsidR="00D833FE">
        <w:t xml:space="preserve"> </w:t>
      </w:r>
      <w:r w:rsidR="00041275">
        <w:t xml:space="preserve">borrowed from the Commonwealth (which must be allocated to </w:t>
      </w:r>
      <w:r>
        <w:t xml:space="preserve">the AHBA </w:t>
      </w:r>
      <w:r w:rsidR="004B5B74">
        <w:t>reserve</w:t>
      </w:r>
      <w:r w:rsidR="00041275">
        <w:t>)</w:t>
      </w:r>
      <w:r w:rsidR="004B5B74">
        <w:t xml:space="preserve"> </w:t>
      </w:r>
      <w:r>
        <w:t xml:space="preserve">plus a margin to reflect the Commonwealth’s cost of borrowing. </w:t>
      </w:r>
      <w:r w:rsidR="004B5B74" w:rsidRPr="00CB04B2">
        <w:t xml:space="preserve">The adjustment to cover the Commonwealth’s cost of borrowing </w:t>
      </w:r>
      <w:r w:rsidR="004B5B74">
        <w:t xml:space="preserve">ensures the Commonwealth recoups the cost of financing the AHBA reserve. </w:t>
      </w:r>
    </w:p>
    <w:p w14:paraId="4332AFA9" w14:textId="30FADA7F" w:rsidR="006F75CC" w:rsidRDefault="00EA5BD6" w:rsidP="00BF05BE">
      <w:pPr>
        <w:keepLines/>
        <w:spacing w:before="240"/>
      </w:pPr>
      <w:r>
        <w:t xml:space="preserve">Where </w:t>
      </w:r>
      <w:r w:rsidR="00041275">
        <w:t xml:space="preserve">amounts are borrowed by the NHFIC for the purposes of </w:t>
      </w:r>
      <w:r>
        <w:t xml:space="preserve">financing </w:t>
      </w:r>
      <w:r w:rsidR="00041275">
        <w:t xml:space="preserve">an </w:t>
      </w:r>
      <w:r>
        <w:t>AHBA l</w:t>
      </w:r>
      <w:r w:rsidR="00041275">
        <w:t>oan</w:t>
      </w:r>
      <w:r>
        <w:t xml:space="preserve">, </w:t>
      </w:r>
      <w:r w:rsidR="00041275">
        <w:t xml:space="preserve">the NHFIC must </w:t>
      </w:r>
      <w:r>
        <w:t>r</w:t>
      </w:r>
      <w:r w:rsidR="00674010">
        <w:t>epay</w:t>
      </w:r>
      <w:r w:rsidR="00041275">
        <w:t xml:space="preserve"> the Commonwealth</w:t>
      </w:r>
      <w:r w:rsidR="00674010">
        <w:t xml:space="preserve"> no later than </w:t>
      </w:r>
      <w:r w:rsidR="008405D4">
        <w:t>six</w:t>
      </w:r>
      <w:r w:rsidR="007F364C">
        <w:t xml:space="preserve"> month</w:t>
      </w:r>
      <w:r w:rsidR="008405D4">
        <w:t>s</w:t>
      </w:r>
      <w:r w:rsidR="007F364C">
        <w:t xml:space="preserve"> after </w:t>
      </w:r>
      <w:r w:rsidR="00674010">
        <w:t xml:space="preserve">the time when </w:t>
      </w:r>
      <w:r w:rsidR="007F364C">
        <w:t xml:space="preserve">repayments under </w:t>
      </w:r>
      <w:r w:rsidR="00674010">
        <w:t xml:space="preserve">the underlying loan </w:t>
      </w:r>
      <w:r w:rsidR="007F364C">
        <w:t>are</w:t>
      </w:r>
      <w:r w:rsidR="00674010">
        <w:t xml:space="preserve"> due to be repaid</w:t>
      </w:r>
      <w:r>
        <w:t xml:space="preserve"> or</w:t>
      </w:r>
      <w:r w:rsidR="006F75CC">
        <w:t xml:space="preserve"> </w:t>
      </w:r>
      <w:r w:rsidR="00592C2D">
        <w:t xml:space="preserve">a later date </w:t>
      </w:r>
      <w:r w:rsidR="006F75CC">
        <w:t xml:space="preserve">approved by the Minister. While the Minister may allow repayment at a later date, there is no ability for the Minister to </w:t>
      </w:r>
      <w:r w:rsidR="00BF05BE">
        <w:t>waive the requirement that the NHFIC repay amounts allocated to the AHBA reserve. That is, the risk associated with AHBA lending activit</w:t>
      </w:r>
      <w:r w:rsidR="00592C2D">
        <w:t>ies</w:t>
      </w:r>
      <w:r w:rsidR="00BF05BE">
        <w:t xml:space="preserve"> </w:t>
      </w:r>
      <w:r w:rsidR="008405D4">
        <w:t>continue to vest</w:t>
      </w:r>
      <w:r w:rsidR="00BF05BE">
        <w:t xml:space="preserve"> with the NHFIC</w:t>
      </w:r>
      <w:r w:rsidR="009B0DA6">
        <w:t xml:space="preserve">. </w:t>
      </w:r>
      <w:r w:rsidR="00BF05BE">
        <w:t xml:space="preserve"> </w:t>
      </w:r>
      <w:r w:rsidR="006F75CC">
        <w:t xml:space="preserve"> </w:t>
      </w:r>
    </w:p>
    <w:p w14:paraId="6360FF7B" w14:textId="7B7F38BE" w:rsidR="00C54ECD" w:rsidRDefault="00674010" w:rsidP="009B0DA6">
      <w:pPr>
        <w:keepLines/>
        <w:spacing w:before="240"/>
      </w:pPr>
      <w:r>
        <w:t>For example, the NHFIC allocates $1</w:t>
      </w:r>
      <w:r w:rsidR="004B5B74">
        <w:t> </w:t>
      </w:r>
      <w:r>
        <w:t>million to the reserve to finance a seven-year $1</w:t>
      </w:r>
      <w:r w:rsidR="009B0DA6">
        <w:t> </w:t>
      </w:r>
      <w:r>
        <w:t>million loan to a registered CHP. The NHFIC must repay the $1 million (adjusted for the Commonwealth’s cost of borrowing</w:t>
      </w:r>
      <w:r w:rsidR="004B5B74">
        <w:t xml:space="preserve"> at a fixed interest rate equivalent to the </w:t>
      </w:r>
      <w:r w:rsidR="009B0DA6">
        <w:t>seven</w:t>
      </w:r>
      <w:r w:rsidR="009B0DA6">
        <w:noBreakHyphen/>
      </w:r>
      <w:r w:rsidR="004B5B74">
        <w:t>year bond yield on the day of drawdown</w:t>
      </w:r>
      <w:r>
        <w:t>) within seven years</w:t>
      </w:r>
      <w:r w:rsidR="00592C2D">
        <w:t xml:space="preserve"> and six months</w:t>
      </w:r>
      <w:r>
        <w:t xml:space="preserve">. </w:t>
      </w:r>
    </w:p>
    <w:p w14:paraId="1496CE15" w14:textId="7760B742" w:rsidR="004536BF" w:rsidRDefault="004536BF" w:rsidP="00C54ECD">
      <w:pPr>
        <w:spacing w:before="240"/>
      </w:pPr>
      <w:r>
        <w:t xml:space="preserve">When the NHFIC makes a repayment to the Commonwealth, the </w:t>
      </w:r>
      <w:r w:rsidR="001C751B">
        <w:t xml:space="preserve">amount allocated to the reserve is </w:t>
      </w:r>
      <w:r w:rsidR="00AB28FF">
        <w:t>adjusted</w:t>
      </w:r>
      <w:r w:rsidR="001C751B">
        <w:t xml:space="preserve"> by the amount of the </w:t>
      </w:r>
      <w:r>
        <w:t xml:space="preserve">repayment. This </w:t>
      </w:r>
      <w:r w:rsidR="00AB28FF">
        <w:t xml:space="preserve">ensures that only outstanding amounts borrowed from the Commonwealth are included in the cap on </w:t>
      </w:r>
      <w:r w:rsidR="007A517E">
        <w:t xml:space="preserve">NHFIC </w:t>
      </w:r>
      <w:r w:rsidR="00AB28FF">
        <w:t>liabilities mentioned in section 34.</w:t>
      </w:r>
    </w:p>
    <w:p w14:paraId="152578CE" w14:textId="0A06FCF0" w:rsidR="00AB28FF" w:rsidRDefault="00AB28FF" w:rsidP="00C54ECD">
      <w:pPr>
        <w:spacing w:before="240"/>
      </w:pPr>
      <w:r>
        <w:t>Where amounts allocated to the AHBA relate to draw-downs for non-lending purposes, such as liquidity management, the NHFIC must also repay those amounts plus a margin to cover the Commonwealth’s cost of borrowing. The timing of repayment and any other terms and conditions applicable to that allocation will be determined by the Minister and Minister for Finance.</w:t>
      </w:r>
    </w:p>
    <w:p w14:paraId="56A45BDA" w14:textId="1F269047" w:rsidR="004536BF" w:rsidRDefault="004536BF" w:rsidP="00C54ECD">
      <w:pPr>
        <w:spacing w:before="240"/>
      </w:pPr>
      <w:r>
        <w:t xml:space="preserve">Over the medium to long term, the NHFIC must reduce the AHBA’s reliance on the Commonwealth such that no more than </w:t>
      </w:r>
      <w:r w:rsidR="001C751B">
        <w:t xml:space="preserve">one </w:t>
      </w:r>
      <w:r>
        <w:t xml:space="preserve">third of its </w:t>
      </w:r>
      <w:r w:rsidR="001C751B">
        <w:t xml:space="preserve">total </w:t>
      </w:r>
      <w:r>
        <w:t>liabilities are to the Commonwealth. The remaining two</w:t>
      </w:r>
      <w:r w:rsidR="001C751B">
        <w:t xml:space="preserve"> </w:t>
      </w:r>
      <w:r>
        <w:t xml:space="preserve">thirds of the AHBA’s capital requirements are to be sourced from issuing bonds in the private sector. By 30 June 2019, the NHFIC must develop a business plan to </w:t>
      </w:r>
      <w:r w:rsidR="00236E88">
        <w:t>satisfy</w:t>
      </w:r>
      <w:r>
        <w:t xml:space="preserve"> this funding </w:t>
      </w:r>
      <w:r w:rsidR="00236E88">
        <w:t>requirement</w:t>
      </w:r>
      <w:r>
        <w:t xml:space="preserve"> and provide a copy of the plan to the Minister.</w:t>
      </w:r>
    </w:p>
    <w:p w14:paraId="21E85F49" w14:textId="761FBA93" w:rsidR="00C54ECD" w:rsidRDefault="00DC5E4B" w:rsidP="00C54ECD">
      <w:pPr>
        <w:spacing w:before="240"/>
      </w:pPr>
      <w:r>
        <w:t>Over the long term, t</w:t>
      </w:r>
      <w:r w:rsidR="00C54ECD">
        <w:t>he Board must consider recommending the payment of a dividend to the Government under section 49 of the Act if the AHBA substantially exceeds its benchmark rate of return (see Part 3</w:t>
      </w:r>
      <w:r w:rsidR="00CC7F03">
        <w:t>, section 20</w:t>
      </w:r>
      <w:r w:rsidR="00C54ECD">
        <w:t xml:space="preserve">). </w:t>
      </w:r>
    </w:p>
    <w:p w14:paraId="742801DB" w14:textId="77777777" w:rsidR="00C54ECD" w:rsidRPr="00F1074F" w:rsidRDefault="00C54ECD" w:rsidP="006341C6">
      <w:pPr>
        <w:spacing w:before="240"/>
        <w:rPr>
          <w:u w:val="single"/>
        </w:rPr>
      </w:pPr>
      <w:r w:rsidRPr="00F1074F">
        <w:rPr>
          <w:u w:val="single"/>
        </w:rPr>
        <w:t>Division 3 – Allocation and maintenance of funds – NHIF and capacity building</w:t>
      </w:r>
    </w:p>
    <w:p w14:paraId="5C1E0003" w14:textId="6B359965" w:rsidR="00262B2C" w:rsidRDefault="00262B2C" w:rsidP="006341C6">
      <w:pPr>
        <w:spacing w:before="240"/>
      </w:pPr>
      <w:r>
        <w:t>Division 3 directs the NHFIC in relation to the allocation of funding appropriated by the Parliament for the purposes of the NHIF.</w:t>
      </w:r>
    </w:p>
    <w:p w14:paraId="3DDC1224" w14:textId="2C16D79D" w:rsidR="00EC5271" w:rsidRDefault="00C905BD" w:rsidP="006341C6">
      <w:pPr>
        <w:spacing w:before="240"/>
      </w:pPr>
      <w:r w:rsidRPr="00625926">
        <w:t xml:space="preserve">The Government has </w:t>
      </w:r>
      <w:r w:rsidR="002A372E">
        <w:t xml:space="preserve">allocated </w:t>
      </w:r>
      <w:r w:rsidRPr="00625926">
        <w:t>$1 billion to the NHIF for the</w:t>
      </w:r>
      <w:r>
        <w:t xml:space="preserve"> </w:t>
      </w:r>
      <w:r w:rsidR="00635E65">
        <w:t>NHFIC</w:t>
      </w:r>
      <w:r>
        <w:t xml:space="preserve"> to make loans, investments and grants to </w:t>
      </w:r>
      <w:r w:rsidR="00CC13F7">
        <w:t>facilitate</w:t>
      </w:r>
      <w:r w:rsidR="002B699F">
        <w:t xml:space="preserve"> </w:t>
      </w:r>
      <w:r w:rsidR="001C751B">
        <w:t xml:space="preserve">the construction of </w:t>
      </w:r>
      <w:r>
        <w:t>housing-</w:t>
      </w:r>
      <w:r w:rsidR="002A372E">
        <w:t xml:space="preserve">enabling </w:t>
      </w:r>
      <w:r w:rsidR="00CC13F7">
        <w:t xml:space="preserve">critical </w:t>
      </w:r>
      <w:r>
        <w:t xml:space="preserve">infrastructure. </w:t>
      </w:r>
      <w:r w:rsidR="009B4903">
        <w:t xml:space="preserve">This funding is provided </w:t>
      </w:r>
      <w:r w:rsidR="000C7B5F">
        <w:t xml:space="preserve">by </w:t>
      </w:r>
      <w:r w:rsidR="009B4903">
        <w:t xml:space="preserve">appropriations </w:t>
      </w:r>
      <w:r w:rsidR="000C7B5F">
        <w:t xml:space="preserve">made through the Budget process. </w:t>
      </w:r>
    </w:p>
    <w:p w14:paraId="3EB0B1FD" w14:textId="77777777" w:rsidR="002B699F" w:rsidRDefault="002B699F" w:rsidP="006341C6">
      <w:pPr>
        <w:spacing w:before="240"/>
      </w:pPr>
      <w:r>
        <w:lastRenderedPageBreak/>
        <w:t>The NHFIC may also undertake capacity building activities for registered CHPs, funded through the allocation for</w:t>
      </w:r>
      <w:r w:rsidR="00E9415A">
        <w:t xml:space="preserve"> the</w:t>
      </w:r>
      <w:r>
        <w:t xml:space="preserve"> NHIF.</w:t>
      </w:r>
    </w:p>
    <w:p w14:paraId="1BA9189F" w14:textId="49321B4C" w:rsidR="002B699F" w:rsidRDefault="002B699F" w:rsidP="002B699F">
      <w:pPr>
        <w:spacing w:before="240"/>
      </w:pPr>
      <w:r>
        <w:t xml:space="preserve">A cap of $175 million applies to the total amount of money the NHFIC can provide in the form of grants and capacity building activities. Of the $175 million, the NHFIC may allocate up to $1.5 million to capacity building activities. </w:t>
      </w:r>
    </w:p>
    <w:p w14:paraId="6AB12B15" w14:textId="7B438FD3" w:rsidR="00236E88" w:rsidRDefault="00454F52" w:rsidP="00454F52">
      <w:pPr>
        <w:spacing w:before="240"/>
      </w:pPr>
      <w:r>
        <w:t xml:space="preserve">The NHFIC must establish a permanent fund for the purposes of </w:t>
      </w:r>
      <w:r w:rsidR="009106AA">
        <w:t xml:space="preserve">loans and investments made under </w:t>
      </w:r>
      <w:r>
        <w:t xml:space="preserve">the </w:t>
      </w:r>
      <w:r w:rsidRPr="006C27C6">
        <w:t>NHIF.</w:t>
      </w:r>
      <w:r w:rsidRPr="00454F52">
        <w:t xml:space="preserve"> </w:t>
      </w:r>
      <w:r>
        <w:t xml:space="preserve">The </w:t>
      </w:r>
      <w:r w:rsidR="00B42EC3">
        <w:t>p</w:t>
      </w:r>
      <w:r>
        <w:t xml:space="preserve">ermanent </w:t>
      </w:r>
      <w:r w:rsidR="00B42EC3">
        <w:t>f</w:t>
      </w:r>
      <w:r>
        <w:t>und includes</w:t>
      </w:r>
      <w:r w:rsidR="00354736">
        <w:t>:</w:t>
      </w:r>
    </w:p>
    <w:p w14:paraId="2767BEAA" w14:textId="2F32AFC7" w:rsidR="00354736" w:rsidRDefault="00454F52" w:rsidP="001C751B">
      <w:pPr>
        <w:pStyle w:val="Bullet"/>
      </w:pPr>
      <w:r>
        <w:t>the value of the NHFIC’s current infrastructure loans and investments under the NHIF</w:t>
      </w:r>
      <w:r w:rsidR="00354736">
        <w:t>;</w:t>
      </w:r>
    </w:p>
    <w:p w14:paraId="043350F9" w14:textId="54635164" w:rsidR="00354736" w:rsidRDefault="007A517E" w:rsidP="001C751B">
      <w:pPr>
        <w:pStyle w:val="Bullet"/>
      </w:pPr>
      <w:r>
        <w:t xml:space="preserve">undrawn </w:t>
      </w:r>
      <w:r w:rsidR="00354736">
        <w:t>amounts</w:t>
      </w:r>
      <w:r w:rsidR="00454F52">
        <w:t xml:space="preserve"> </w:t>
      </w:r>
      <w:r w:rsidR="00236E88">
        <w:t xml:space="preserve">allocated to the </w:t>
      </w:r>
      <w:r w:rsidR="002A6AF8">
        <w:t>NHFIC</w:t>
      </w:r>
      <w:r w:rsidR="00236E88">
        <w:t xml:space="preserve"> f</w:t>
      </w:r>
      <w:r w:rsidR="00454F52">
        <w:t>or th</w:t>
      </w:r>
      <w:r w:rsidR="00B42EC3">
        <w:t>e</w:t>
      </w:r>
      <w:r w:rsidR="00454F52">
        <w:t xml:space="preserve"> purpose</w:t>
      </w:r>
      <w:r w:rsidR="00B42EC3">
        <w:t xml:space="preserve"> of making infrastructure loans</w:t>
      </w:r>
      <w:r w:rsidR="00236E88">
        <w:t xml:space="preserve"> and</w:t>
      </w:r>
      <w:r w:rsidR="00B42EC3">
        <w:t xml:space="preserve"> investments</w:t>
      </w:r>
      <w:r w:rsidR="002A6AF8">
        <w:t xml:space="preserve"> through the NHIF</w:t>
      </w:r>
      <w:r w:rsidR="00354736">
        <w:t xml:space="preserve">, and </w:t>
      </w:r>
      <w:r w:rsidR="00264B4F">
        <w:t xml:space="preserve">the </w:t>
      </w:r>
      <w:r w:rsidR="00354736">
        <w:t>operating costs</w:t>
      </w:r>
      <w:r w:rsidR="00264B4F">
        <w:t xml:space="preserve"> of the NHIF</w:t>
      </w:r>
      <w:r w:rsidR="00354736">
        <w:t>; and</w:t>
      </w:r>
    </w:p>
    <w:p w14:paraId="06778E36" w14:textId="3D07F4C2" w:rsidR="00454F52" w:rsidRDefault="00236E88" w:rsidP="001C751B">
      <w:pPr>
        <w:pStyle w:val="Bullet"/>
      </w:pPr>
      <w:r>
        <w:t>returns on loans and investments</w:t>
      </w:r>
      <w:r w:rsidR="00454F52">
        <w:t xml:space="preserve">. </w:t>
      </w:r>
    </w:p>
    <w:p w14:paraId="4099FA4F" w14:textId="6D21BEC0" w:rsidR="00D55C12" w:rsidRDefault="00167822" w:rsidP="001C751B">
      <w:pPr>
        <w:spacing w:before="240"/>
      </w:pPr>
      <w:r w:rsidRPr="002F4AE3">
        <w:t xml:space="preserve">Over the medium to long term, the Board must </w:t>
      </w:r>
      <w:r w:rsidR="002B699F" w:rsidRPr="002F4AE3">
        <w:t xml:space="preserve">seek to </w:t>
      </w:r>
      <w:r w:rsidRPr="002F4AE3">
        <w:t xml:space="preserve">maintain the </w:t>
      </w:r>
      <w:r w:rsidR="007A76E4">
        <w:t xml:space="preserve">real </w:t>
      </w:r>
      <w:r w:rsidRPr="002F4AE3">
        <w:t xml:space="preserve">value of the </w:t>
      </w:r>
      <w:r w:rsidR="00354736">
        <w:t xml:space="preserve">amounts allocated to the </w:t>
      </w:r>
      <w:r w:rsidR="00E34E3A">
        <w:t>p</w:t>
      </w:r>
      <w:r w:rsidR="00D07C22">
        <w:t xml:space="preserve">ermanent </w:t>
      </w:r>
      <w:r w:rsidR="00E34E3A">
        <w:t>f</w:t>
      </w:r>
      <w:r w:rsidRPr="002F4AE3">
        <w:t>und</w:t>
      </w:r>
      <w:r w:rsidR="00A55296">
        <w:t xml:space="preserve">. It does so by maintaining a </w:t>
      </w:r>
      <w:r>
        <w:t>minimum target value of the fund</w:t>
      </w:r>
      <w:r w:rsidR="00A55296">
        <w:t>. The minimum target value</w:t>
      </w:r>
      <w:r>
        <w:t xml:space="preserve"> </w:t>
      </w:r>
      <w:r w:rsidR="00193188">
        <w:t>at a particular time</w:t>
      </w:r>
      <w:r w:rsidR="00D55C12">
        <w:t xml:space="preserve"> </w:t>
      </w:r>
      <w:r w:rsidR="00CC13F7">
        <w:t>is</w:t>
      </w:r>
      <w:r w:rsidR="00710A36">
        <w:t xml:space="preserve"> </w:t>
      </w:r>
      <w:r w:rsidR="00D55C12">
        <w:t xml:space="preserve">the sum of the </w:t>
      </w:r>
      <w:r w:rsidR="00354736">
        <w:t xml:space="preserve">amounts allocated to the permanent fund </w:t>
      </w:r>
      <w:r w:rsidR="00D55C12">
        <w:t>adjusted to cover the Commonwealth’s cost of borrowing</w:t>
      </w:r>
      <w:r w:rsidR="0002253B">
        <w:t>.</w:t>
      </w:r>
    </w:p>
    <w:p w14:paraId="1D0C413D" w14:textId="77777777" w:rsidR="004B5B74" w:rsidRDefault="00354736" w:rsidP="004B5B74">
      <w:pPr>
        <w:spacing w:before="240"/>
      </w:pPr>
      <w:r w:rsidRPr="00CB04B2">
        <w:t xml:space="preserve">The adjustment to cover the Commonwealth’s cost of borrowing </w:t>
      </w:r>
      <w:r>
        <w:t xml:space="preserve">ensures the permanent fund is maintained in real, rather than nominal, terms. </w:t>
      </w:r>
      <w:r w:rsidR="004B5B74" w:rsidRPr="00F941F8">
        <w:t>The same approach is taken in respect of the target rate of return in the Investment Mandate</w:t>
      </w:r>
      <w:r w:rsidR="004B5B74" w:rsidRPr="009D064C">
        <w:t xml:space="preserve"> for the Northern Australia Infrastructure Facility.</w:t>
      </w:r>
      <w:r w:rsidR="004B5B74">
        <w:t xml:space="preserve"> T</w:t>
      </w:r>
      <w:r w:rsidR="004B5B74" w:rsidRPr="00625926">
        <w:t xml:space="preserve">he </w:t>
      </w:r>
      <w:r w:rsidR="004B5B74" w:rsidRPr="00F941F8">
        <w:t>term</w:t>
      </w:r>
      <w:r w:rsidR="004B5B74" w:rsidRPr="00625926">
        <w:t xml:space="preserve"> </w:t>
      </w:r>
      <w:r w:rsidR="004B5B74">
        <w:t xml:space="preserve">‘Commonwealth’s cost of borrowing’ is </w:t>
      </w:r>
      <w:r w:rsidR="004B5B74" w:rsidRPr="00625926">
        <w:t>generally</w:t>
      </w:r>
      <w:r w:rsidR="004B5B74">
        <w:t xml:space="preserve"> understood to</w:t>
      </w:r>
      <w:r w:rsidR="004B5B74" w:rsidRPr="00625926">
        <w:t xml:space="preserve"> </w:t>
      </w:r>
      <w:r w:rsidR="004B5B74">
        <w:t>refer to:</w:t>
      </w:r>
    </w:p>
    <w:p w14:paraId="7A2F87AA" w14:textId="77777777" w:rsidR="004B5B74" w:rsidRDefault="004B5B74" w:rsidP="004B5B74">
      <w:pPr>
        <w:pStyle w:val="Bullet"/>
      </w:pPr>
      <w:r>
        <w:t xml:space="preserve">for fixed rate loans — traded yields on Australian Government nominal securities having regard to the average term to maturity of the loan; or </w:t>
      </w:r>
    </w:p>
    <w:p w14:paraId="0C74820B" w14:textId="01365142" w:rsidR="004B5B74" w:rsidRDefault="004B5B74" w:rsidP="004B5B74">
      <w:pPr>
        <w:pStyle w:val="Bullet"/>
      </w:pPr>
      <w:r>
        <w:t>for floating rate loans — a market benchmark which reflects the Commonwealth’s cost of borrowing</w:t>
      </w:r>
      <w:r w:rsidR="007A517E">
        <w:t>,</w:t>
      </w:r>
      <w:r>
        <w:t xml:space="preserve"> such as yields on short-term Australian Government securities or the Reserve Bank of Australia’s open market operations repo rate, having regard to the reset frequency of the loan; or</w:t>
      </w:r>
    </w:p>
    <w:p w14:paraId="6CAD8815" w14:textId="77777777" w:rsidR="004B5B74" w:rsidRDefault="004B5B74" w:rsidP="004B5B74">
      <w:pPr>
        <w:pStyle w:val="Bullet"/>
      </w:pPr>
      <w:r>
        <w:t>for other investments — the 10-year yield on an Australian Government nominal security.</w:t>
      </w:r>
    </w:p>
    <w:p w14:paraId="6E247CB1" w14:textId="4C2C35F2" w:rsidR="00CC13F7" w:rsidRDefault="00E02FF4" w:rsidP="00CC13F7">
      <w:pPr>
        <w:spacing w:before="240"/>
      </w:pPr>
      <w:r>
        <w:t xml:space="preserve">Maintaining a </w:t>
      </w:r>
      <w:r w:rsidR="00710A36">
        <w:t>minimum target value requires the Board to consider the aggregate return from all NHIF loans and investments</w:t>
      </w:r>
      <w:r w:rsidR="00CC13F7" w:rsidRPr="008F46CA">
        <w:t xml:space="preserve">, rather than </w:t>
      </w:r>
      <w:r w:rsidR="000822F2">
        <w:t>requiring the Board to meet a </w:t>
      </w:r>
      <w:r w:rsidR="00710A36">
        <w:t>specific</w:t>
      </w:r>
      <w:r w:rsidR="00CC13F7" w:rsidRPr="008F46CA">
        <w:t xml:space="preserve"> rate of return for </w:t>
      </w:r>
      <w:r w:rsidR="00710A36">
        <w:t>all</w:t>
      </w:r>
      <w:r w:rsidR="00CC13F7" w:rsidRPr="008F46CA">
        <w:t xml:space="preserve"> financing decisions. </w:t>
      </w:r>
      <w:r w:rsidR="00CC13F7">
        <w:t xml:space="preserve">This approach provides the Board with appropriate </w:t>
      </w:r>
      <w:r w:rsidR="00CC13F7" w:rsidRPr="008F46CA">
        <w:t xml:space="preserve">flexibility in determining the rate of return </w:t>
      </w:r>
      <w:r w:rsidR="007C6B62">
        <w:t xml:space="preserve">required </w:t>
      </w:r>
      <w:r w:rsidR="00CC13F7" w:rsidRPr="008F46CA">
        <w:t>for individual financing decisions</w:t>
      </w:r>
      <w:r w:rsidR="00710A36">
        <w:t xml:space="preserve"> and the level of concessions provided </w:t>
      </w:r>
      <w:r>
        <w:t xml:space="preserve">for </w:t>
      </w:r>
      <w:r w:rsidR="00710A36">
        <w:t>particular projects</w:t>
      </w:r>
      <w:r w:rsidR="00CC13F7">
        <w:t xml:space="preserve">. </w:t>
      </w:r>
    </w:p>
    <w:p w14:paraId="3DE6C895" w14:textId="2341D6AF" w:rsidR="00167822" w:rsidRDefault="00354736" w:rsidP="00CA1F7D">
      <w:pPr>
        <w:spacing w:before="240"/>
      </w:pPr>
      <w:r>
        <w:t>T</w:t>
      </w:r>
      <w:r w:rsidR="001B1CA0">
        <w:t xml:space="preserve">he </w:t>
      </w:r>
      <w:r w:rsidR="00635E65">
        <w:t>NHFIC</w:t>
      </w:r>
      <w:r w:rsidR="001B1CA0">
        <w:t xml:space="preserve"> is not required to recoup the value of </w:t>
      </w:r>
      <w:r>
        <w:t>infrastructure grants made under the NHFIC or the value of capacity building activities</w:t>
      </w:r>
      <w:r w:rsidR="00A55296">
        <w:t xml:space="preserve"> (</w:t>
      </w:r>
      <w:r w:rsidR="001B1CA0">
        <w:t xml:space="preserve">although </w:t>
      </w:r>
      <w:r w:rsidR="00E02FF4">
        <w:t xml:space="preserve">these </w:t>
      </w:r>
      <w:r w:rsidR="001B1CA0">
        <w:t xml:space="preserve">are subject to the </w:t>
      </w:r>
      <w:r w:rsidR="00A55296">
        <w:t xml:space="preserve">$175 million </w:t>
      </w:r>
      <w:r w:rsidR="00710A36">
        <w:t>and</w:t>
      </w:r>
      <w:r w:rsidR="00A55296">
        <w:t xml:space="preserve"> $1.5</w:t>
      </w:r>
      <w:r w:rsidR="00710A36">
        <w:t> </w:t>
      </w:r>
      <w:r w:rsidR="00A55296">
        <w:t xml:space="preserve">million </w:t>
      </w:r>
      <w:r w:rsidR="001B1CA0">
        <w:t>cap</w:t>
      </w:r>
      <w:r w:rsidR="00A55296">
        <w:t>s described above)</w:t>
      </w:r>
      <w:r w:rsidR="001B1CA0">
        <w:t xml:space="preserve">. </w:t>
      </w:r>
    </w:p>
    <w:p w14:paraId="60D35BAC" w14:textId="77777777" w:rsidR="00EC5271" w:rsidRDefault="00EC5271" w:rsidP="00E83643">
      <w:pPr>
        <w:pStyle w:val="Heading3"/>
      </w:pPr>
      <w:r w:rsidRPr="00EC5271">
        <w:lastRenderedPageBreak/>
        <w:t>Part 3 – The Affordable Housing Bond Aggregator</w:t>
      </w:r>
    </w:p>
    <w:p w14:paraId="2770C8BA" w14:textId="2FD5CF17" w:rsidR="0049476E" w:rsidRDefault="00FC3FE5" w:rsidP="0049476E">
      <w:pPr>
        <w:spacing w:before="240"/>
      </w:pPr>
      <w:r>
        <w:t>The NHFIC</w:t>
      </w:r>
      <w:r w:rsidR="00DB5E0F">
        <w:t xml:space="preserve"> </w:t>
      </w:r>
      <w:r w:rsidR="0073525C">
        <w:t xml:space="preserve">can </w:t>
      </w:r>
      <w:r w:rsidR="00A36F3B">
        <w:t xml:space="preserve">provide </w:t>
      </w:r>
      <w:r w:rsidR="00D4768E">
        <w:t>loans</w:t>
      </w:r>
      <w:r w:rsidR="00A36F3B">
        <w:t xml:space="preserve"> </w:t>
      </w:r>
      <w:r w:rsidR="00DB5E0F">
        <w:t xml:space="preserve">through the AHBA </w:t>
      </w:r>
      <w:r w:rsidR="00E02FF4">
        <w:t xml:space="preserve">only </w:t>
      </w:r>
      <w:r w:rsidR="00A36F3B">
        <w:t>to register</w:t>
      </w:r>
      <w:r w:rsidR="007A19B1">
        <w:t xml:space="preserve">ed </w:t>
      </w:r>
      <w:r w:rsidR="00073CF1">
        <w:t>CHPs</w:t>
      </w:r>
      <w:r w:rsidR="007A19B1">
        <w:t xml:space="preserve">. </w:t>
      </w:r>
      <w:r w:rsidR="009106AA">
        <w:t>CHPs are registered with State and Territory governments and undertake a range of activities, including delivering</w:t>
      </w:r>
      <w:r w:rsidR="009106AA" w:rsidRPr="00DA3E5B">
        <w:t xml:space="preserve"> socia</w:t>
      </w:r>
      <w:r w:rsidR="009106AA">
        <w:t>l or affordable housing and associated services to people on very low, low or moderate incomes. In some cases, CHPs may</w:t>
      </w:r>
      <w:r w:rsidR="009106AA" w:rsidRPr="00DA3E5B">
        <w:t xml:space="preserve"> </w:t>
      </w:r>
      <w:r w:rsidR="009106AA">
        <w:t>manage</w:t>
      </w:r>
      <w:r w:rsidR="009106AA" w:rsidRPr="00DA3E5B">
        <w:t xml:space="preserve"> public housing on behalf of governments. </w:t>
      </w:r>
      <w:r w:rsidR="009106AA">
        <w:t>CHPs</w:t>
      </w:r>
      <w:r w:rsidR="009106AA" w:rsidRPr="00DA3E5B">
        <w:t xml:space="preserve"> </w:t>
      </w:r>
      <w:r w:rsidR="009106AA">
        <w:t xml:space="preserve">may </w:t>
      </w:r>
      <w:r w:rsidR="009106AA" w:rsidRPr="00DA3E5B">
        <w:t xml:space="preserve">also own their own stock of housing, which they offer to tenants </w:t>
      </w:r>
      <w:r w:rsidR="009106AA">
        <w:t>with modest incomes at below-</w:t>
      </w:r>
      <w:r w:rsidR="009106AA" w:rsidRPr="00DA3E5B">
        <w:t>market rents.</w:t>
      </w:r>
    </w:p>
    <w:p w14:paraId="4E170E66" w14:textId="7B2A870F" w:rsidR="0002016A" w:rsidRDefault="0002016A" w:rsidP="0049476E">
      <w:pPr>
        <w:spacing w:before="240"/>
      </w:pPr>
      <w:r w:rsidRPr="00107BD8">
        <w:t>The NHFIC may specify eligibility criteria that registered CHPs (or classes of registered CHPs) must satisfy.</w:t>
      </w:r>
    </w:p>
    <w:p w14:paraId="67D0B4F5" w14:textId="0CEB70F7" w:rsidR="00DC5C71" w:rsidRPr="00F272FE" w:rsidRDefault="00DB5E0F" w:rsidP="00E02FF4">
      <w:pPr>
        <w:keepLines/>
        <w:spacing w:before="240"/>
      </w:pPr>
      <w:r>
        <w:t xml:space="preserve">The </w:t>
      </w:r>
      <w:r w:rsidR="00476707">
        <w:t xml:space="preserve">NHFIC </w:t>
      </w:r>
      <w:r w:rsidR="006C4A79">
        <w:t>must</w:t>
      </w:r>
      <w:r w:rsidR="009D064C">
        <w:t xml:space="preserve"> </w:t>
      </w:r>
      <w:r w:rsidR="00476707">
        <w:t>aim to</w:t>
      </w:r>
      <w:r w:rsidR="009D064C">
        <w:t xml:space="preserve"> </w:t>
      </w:r>
      <w:r w:rsidR="00476707">
        <w:t xml:space="preserve">provide AHBA loans </w:t>
      </w:r>
      <w:r w:rsidR="009D064C">
        <w:t xml:space="preserve">to registered </w:t>
      </w:r>
      <w:r w:rsidR="006C4A79">
        <w:t>CHPs</w:t>
      </w:r>
      <w:r w:rsidR="009D064C">
        <w:t xml:space="preserve"> </w:t>
      </w:r>
      <w:r w:rsidR="002469F4">
        <w:t>at the lowest cost and most appropriate tenor, subject to</w:t>
      </w:r>
      <w:r w:rsidR="009D064C">
        <w:t xml:space="preserve"> NHFIC</w:t>
      </w:r>
      <w:r w:rsidR="002469F4">
        <w:t xml:space="preserve"> recovering operational and financing costs and building capital reserves</w:t>
      </w:r>
      <w:r w:rsidR="00557C53">
        <w:t xml:space="preserve"> as required by the </w:t>
      </w:r>
      <w:r w:rsidR="007A517E">
        <w:t>Act</w:t>
      </w:r>
      <w:r w:rsidR="002469F4" w:rsidRPr="00DC5C71">
        <w:t xml:space="preserve">. </w:t>
      </w:r>
      <w:r w:rsidR="00DC5C71" w:rsidRPr="00F272FE">
        <w:t>A bond aggregator works by sourcing finance in the debt market and on-lending funds to a number of different borrowers for different projects</w:t>
      </w:r>
      <w:r w:rsidR="00557C53">
        <w:t xml:space="preserve"> or purposes</w:t>
      </w:r>
      <w:r w:rsidR="00DC5C71" w:rsidRPr="00F272FE">
        <w:t xml:space="preserve">. Aggregating the funding needs of a number of borrowers into larger debt issuances allows funding to be raised at a lower cost. </w:t>
      </w:r>
      <w:r w:rsidR="004C4B35">
        <w:t xml:space="preserve">While the NHFIC seeks to build this new asset class, the Government has provided the NHFIC with the ability to borrow from the Commonwealth to finance some of its lending. </w:t>
      </w:r>
    </w:p>
    <w:p w14:paraId="4CBB08A0" w14:textId="44BDF563" w:rsidR="00EC5271" w:rsidRDefault="00B323CE" w:rsidP="006341C6">
      <w:pPr>
        <w:spacing w:before="240"/>
      </w:pPr>
      <w:r w:rsidRPr="00F272FE">
        <w:t xml:space="preserve">In the case of the AHBA, the </w:t>
      </w:r>
      <w:r w:rsidR="00635E65" w:rsidRPr="00F272FE">
        <w:t>NHFIC</w:t>
      </w:r>
      <w:r w:rsidRPr="00F272FE">
        <w:t xml:space="preserve"> is supported by a government guarantee </w:t>
      </w:r>
      <w:r w:rsidR="004062C4">
        <w:t xml:space="preserve">(under section 51 of the Act) </w:t>
      </w:r>
      <w:r w:rsidR="009106AA">
        <w:t>that</w:t>
      </w:r>
      <w:r w:rsidR="009106AA" w:rsidRPr="00F272FE">
        <w:t xml:space="preserve"> </w:t>
      </w:r>
      <w:r w:rsidRPr="00F272FE">
        <w:t xml:space="preserve">further reduces the </w:t>
      </w:r>
      <w:r w:rsidR="00635E65" w:rsidRPr="00F272FE">
        <w:t>NHFIC</w:t>
      </w:r>
      <w:r w:rsidRPr="00F272FE">
        <w:t xml:space="preserve">’s borrowing costs. </w:t>
      </w:r>
      <w:r w:rsidR="007A19B1" w:rsidRPr="00F272FE">
        <w:t xml:space="preserve">Attracting finance through the AHBA in this way will allow registered </w:t>
      </w:r>
      <w:r w:rsidR="00476707">
        <w:t>CHPs</w:t>
      </w:r>
      <w:r w:rsidR="007A19B1" w:rsidRPr="00F272FE">
        <w:t xml:space="preserve"> to ac</w:t>
      </w:r>
      <w:r w:rsidRPr="00F272FE">
        <w:t xml:space="preserve">cess more </w:t>
      </w:r>
      <w:r w:rsidR="007A19B1" w:rsidRPr="00F272FE">
        <w:t xml:space="preserve">affordable finance on more appropriate terms, and will support the expansion of Australia’s affordable housing stock. </w:t>
      </w:r>
    </w:p>
    <w:p w14:paraId="479FD342" w14:textId="5EABF08D" w:rsidR="0002016A" w:rsidRDefault="0002016A" w:rsidP="006341C6">
      <w:pPr>
        <w:spacing w:before="240"/>
      </w:pPr>
      <w:r>
        <w:t>The aims of the AHBA do not preclude f</w:t>
      </w:r>
      <w:r w:rsidRPr="00D409AA">
        <w:t xml:space="preserve">inance being provided to a registered CHP </w:t>
      </w:r>
      <w:r w:rsidR="00415E10">
        <w:t>that</w:t>
      </w:r>
      <w:r w:rsidRPr="00D409AA">
        <w:t xml:space="preserve"> undertakes ‘for profit’ activities, provided profits derived </w:t>
      </w:r>
      <w:r w:rsidR="007A517E">
        <w:t xml:space="preserve">ultimately </w:t>
      </w:r>
      <w:r w:rsidRPr="00D409AA">
        <w:t xml:space="preserve">support social and affordable housing outcomes, consistent with </w:t>
      </w:r>
      <w:r w:rsidR="00E02FF4">
        <w:t>S</w:t>
      </w:r>
      <w:r w:rsidR="00E02FF4" w:rsidRPr="00D409AA">
        <w:t xml:space="preserve">tate </w:t>
      </w:r>
      <w:r w:rsidR="004B5B74">
        <w:t xml:space="preserve">and </w:t>
      </w:r>
      <w:r w:rsidR="00E02FF4">
        <w:t xml:space="preserve">Territory </w:t>
      </w:r>
      <w:r w:rsidRPr="00D409AA">
        <w:t>CHP regulatory requirements.</w:t>
      </w:r>
      <w:r w:rsidR="00415E10">
        <w:t xml:space="preserve"> This principle applies in the case of mixed tenure developments – projects involving a combination of affordable housing and other housing. The NHFIC may provide loans to finance mixed tenure developments. However the NHFIC must be satisfied that any profits from the mixed tenure development will be applied to support affordable housing outcomes. </w:t>
      </w:r>
    </w:p>
    <w:p w14:paraId="6ACE2B27" w14:textId="45549567" w:rsidR="0002016A" w:rsidRPr="00107BD8" w:rsidRDefault="009C232D" w:rsidP="0002016A">
      <w:pPr>
        <w:spacing w:before="240"/>
      </w:pPr>
      <w:r w:rsidRPr="00D409AA">
        <w:t>The Board is empowered and encouraged to offer a range of loan products</w:t>
      </w:r>
      <w:r w:rsidR="007A517E">
        <w:t>, including construction finance,</w:t>
      </w:r>
      <w:r w:rsidRPr="00D409AA">
        <w:t xml:space="preserve"> to meet the varying needs of registered CHP applicants.</w:t>
      </w:r>
      <w:r w:rsidR="0002016A">
        <w:t xml:space="preserve"> However, t</w:t>
      </w:r>
      <w:r w:rsidR="00BB3EA2" w:rsidRPr="00107BD8">
        <w:t xml:space="preserve">he </w:t>
      </w:r>
      <w:r w:rsidR="00635E65" w:rsidRPr="00107BD8">
        <w:t>NHFIC</w:t>
      </w:r>
      <w:r w:rsidR="00BB3EA2" w:rsidRPr="00107BD8">
        <w:t xml:space="preserve"> may only provide finance to registered </w:t>
      </w:r>
      <w:r w:rsidR="00557C53" w:rsidRPr="00591A0D">
        <w:t>CHPs</w:t>
      </w:r>
      <w:r w:rsidR="00BB3EA2" w:rsidRPr="00107BD8">
        <w:t xml:space="preserve"> in the form of secured loans. The </w:t>
      </w:r>
      <w:r w:rsidR="00635E65" w:rsidRPr="00107BD8">
        <w:t>NHFIC</w:t>
      </w:r>
      <w:r w:rsidR="00BB3EA2" w:rsidRPr="00107BD8">
        <w:t xml:space="preserve"> is required to take </w:t>
      </w:r>
      <w:r w:rsidR="00D539FE" w:rsidRPr="00D409AA">
        <w:t xml:space="preserve">an appropriate level of </w:t>
      </w:r>
      <w:r w:rsidR="00BB3EA2" w:rsidRPr="00107BD8">
        <w:t>security for its loans</w:t>
      </w:r>
      <w:r w:rsidR="0045435B" w:rsidRPr="00D409AA">
        <w:t xml:space="preserve">, having regard to the potential exposure of the </w:t>
      </w:r>
      <w:r w:rsidR="00557C53" w:rsidRPr="00D409AA">
        <w:t xml:space="preserve">NHFIC and the </w:t>
      </w:r>
      <w:r w:rsidR="0045435B" w:rsidRPr="00D409AA">
        <w:t>Commonwealth in the event of a default</w:t>
      </w:r>
      <w:r w:rsidR="004F1E40" w:rsidRPr="00D409AA">
        <w:t xml:space="preserve">. </w:t>
      </w:r>
      <w:r w:rsidR="00FF3A5F" w:rsidRPr="00D409AA">
        <w:t xml:space="preserve">The NHFIC </w:t>
      </w:r>
      <w:r w:rsidR="00787A3D" w:rsidRPr="00D409AA">
        <w:t xml:space="preserve">will need to consider a range of </w:t>
      </w:r>
      <w:r w:rsidR="00FB291B" w:rsidRPr="00D409AA">
        <w:t>f</w:t>
      </w:r>
      <w:r w:rsidR="00787A3D" w:rsidRPr="00D409AA">
        <w:t>actors in deciding what security is appropriate</w:t>
      </w:r>
      <w:r w:rsidR="00D539FE" w:rsidRPr="00107BD8">
        <w:t xml:space="preserve"> on </w:t>
      </w:r>
      <w:r w:rsidR="00D539FE" w:rsidRPr="00591A0D">
        <w:t>a case by case basis</w:t>
      </w:r>
      <w:r w:rsidR="00787A3D" w:rsidRPr="00591A0D">
        <w:t xml:space="preserve">, including the </w:t>
      </w:r>
      <w:r w:rsidR="00FF3A5F" w:rsidRPr="00591A0D">
        <w:t>quality</w:t>
      </w:r>
      <w:r w:rsidR="0045435B" w:rsidRPr="00107BD8">
        <w:t xml:space="preserve"> and </w:t>
      </w:r>
      <w:r w:rsidR="0045435B" w:rsidRPr="00591A0D">
        <w:t>type</w:t>
      </w:r>
      <w:r w:rsidR="00FF3A5F" w:rsidRPr="00591A0D">
        <w:t xml:space="preserve"> of any security available from the registered </w:t>
      </w:r>
      <w:r w:rsidR="00476707" w:rsidRPr="00591A0D">
        <w:t>CHP.</w:t>
      </w:r>
      <w:r w:rsidR="0002016A" w:rsidRPr="0002016A">
        <w:t xml:space="preserve"> </w:t>
      </w:r>
    </w:p>
    <w:p w14:paraId="507738CC" w14:textId="77777777" w:rsidR="00E02FF4" w:rsidRDefault="00A34A68" w:rsidP="0002016A">
      <w:pPr>
        <w:spacing w:before="240"/>
      </w:pPr>
      <w:r>
        <w:t xml:space="preserve">In making financing decisions, the </w:t>
      </w:r>
      <w:r w:rsidR="00635E65">
        <w:t>NHFIC</w:t>
      </w:r>
      <w:r>
        <w:t xml:space="preserve"> is required to </w:t>
      </w:r>
      <w:r w:rsidR="0045435B">
        <w:t>apply</w:t>
      </w:r>
      <w:r w:rsidR="00B666E7">
        <w:t xml:space="preserve"> </w:t>
      </w:r>
      <w:r>
        <w:t xml:space="preserve">commercial </w:t>
      </w:r>
      <w:r w:rsidR="00557C53">
        <w:t>discipline</w:t>
      </w:r>
      <w:r w:rsidR="009106AA">
        <w:t>,</w:t>
      </w:r>
      <w:r w:rsidR="00443044">
        <w:t xml:space="preserve"> </w:t>
      </w:r>
      <w:r w:rsidR="00557C53">
        <w:t xml:space="preserve">build and </w:t>
      </w:r>
      <w:r>
        <w:t xml:space="preserve">maintain </w:t>
      </w:r>
      <w:r w:rsidR="00414777">
        <w:t xml:space="preserve">adequate </w:t>
      </w:r>
      <w:r>
        <w:t>capital reserves</w:t>
      </w:r>
      <w:r w:rsidR="009106AA">
        <w:t>,</w:t>
      </w:r>
      <w:r w:rsidR="00443044">
        <w:t xml:space="preserve"> </w:t>
      </w:r>
      <w:r>
        <w:t xml:space="preserve">achieve a benchmark rate of return and manage its risks. </w:t>
      </w:r>
      <w:r w:rsidR="00BB3EA2">
        <w:t xml:space="preserve">This </w:t>
      </w:r>
      <w:r w:rsidR="0045435B">
        <w:t xml:space="preserve">supports </w:t>
      </w:r>
      <w:r w:rsidR="00BB3EA2">
        <w:t xml:space="preserve">the </w:t>
      </w:r>
      <w:r w:rsidR="00635E65">
        <w:t>NHFIC</w:t>
      </w:r>
      <w:r w:rsidR="004A1788">
        <w:t>’</w:t>
      </w:r>
      <w:r w:rsidR="0045435B">
        <w:t xml:space="preserve">s </w:t>
      </w:r>
      <w:r w:rsidR="00BB3EA2">
        <w:t xml:space="preserve">functions </w:t>
      </w:r>
      <w:r w:rsidR="00557C53">
        <w:t xml:space="preserve">being performed </w:t>
      </w:r>
      <w:r w:rsidR="00BB3EA2">
        <w:t>in a</w:t>
      </w:r>
      <w:r w:rsidR="00117B91">
        <w:t>n efficient, effective</w:t>
      </w:r>
      <w:r w:rsidR="00BB3EA2">
        <w:t xml:space="preserve"> and appropriate manner</w:t>
      </w:r>
      <w:r w:rsidR="00FF3A5F">
        <w:t>.</w:t>
      </w:r>
      <w:r w:rsidR="0002016A">
        <w:t xml:space="preserve"> </w:t>
      </w:r>
    </w:p>
    <w:p w14:paraId="52A29A1D" w14:textId="08CAC467" w:rsidR="00BB3EA2" w:rsidRDefault="00BB3EA2" w:rsidP="0002016A">
      <w:pPr>
        <w:spacing w:before="240"/>
      </w:pPr>
      <w:r>
        <w:lastRenderedPageBreak/>
        <w:t xml:space="preserve">The </w:t>
      </w:r>
      <w:r w:rsidR="00CA5DE5">
        <w:t>Board</w:t>
      </w:r>
      <w:r>
        <w:t xml:space="preserve"> must consider a number of matters </w:t>
      </w:r>
      <w:r w:rsidR="00165EDA">
        <w:t xml:space="preserve">when </w:t>
      </w:r>
      <w:r>
        <w:t xml:space="preserve">making a </w:t>
      </w:r>
      <w:r w:rsidR="00911318">
        <w:t>financing</w:t>
      </w:r>
      <w:r>
        <w:t xml:space="preserve"> decision</w:t>
      </w:r>
      <w:r w:rsidR="00911318">
        <w:t xml:space="preserve"> under the AHBA</w:t>
      </w:r>
      <w:r w:rsidR="00D539FE">
        <w:t>, including in setting the conditions of a loan</w:t>
      </w:r>
      <w:r>
        <w:t>. These include</w:t>
      </w:r>
      <w:r w:rsidR="00557C53">
        <w:t>:</w:t>
      </w:r>
      <w:r>
        <w:t xml:space="preserve"> the </w:t>
      </w:r>
      <w:r w:rsidR="00414777">
        <w:t>purpose for which the loan is sought</w:t>
      </w:r>
      <w:r w:rsidR="00557C53">
        <w:t xml:space="preserve"> and the extent to which that purpose supports affordable housing outcomes</w:t>
      </w:r>
      <w:r w:rsidR="00FF3A5F">
        <w:t xml:space="preserve">; </w:t>
      </w:r>
      <w:r w:rsidR="00414777">
        <w:t xml:space="preserve">the </w:t>
      </w:r>
      <w:r>
        <w:t>credi</w:t>
      </w:r>
      <w:r w:rsidR="00557C53">
        <w:t>t</w:t>
      </w:r>
      <w:r w:rsidR="00557C53">
        <w:noBreakHyphen/>
      </w:r>
      <w:r>
        <w:t xml:space="preserve">worthiness of the registered </w:t>
      </w:r>
      <w:r w:rsidR="00165EDA">
        <w:t>CHP</w:t>
      </w:r>
      <w:r w:rsidR="00557C53">
        <w:t xml:space="preserve"> applicant</w:t>
      </w:r>
      <w:r w:rsidR="00FF3A5F">
        <w:t xml:space="preserve">; </w:t>
      </w:r>
      <w:r>
        <w:t xml:space="preserve">the </w:t>
      </w:r>
      <w:r w:rsidR="00414777">
        <w:t xml:space="preserve">extent and </w:t>
      </w:r>
      <w:r>
        <w:t>like</w:t>
      </w:r>
      <w:r w:rsidR="00414777">
        <w:t>lihood</w:t>
      </w:r>
      <w:r>
        <w:t xml:space="preserve"> </w:t>
      </w:r>
      <w:r w:rsidR="00414777">
        <w:t xml:space="preserve">of a </w:t>
      </w:r>
      <w:r>
        <w:t>return on any loan</w:t>
      </w:r>
      <w:r w:rsidR="00557C53">
        <w:t>;</w:t>
      </w:r>
      <w:r>
        <w:t xml:space="preserve"> and the associated financing cost. </w:t>
      </w:r>
      <w:r w:rsidR="003D5178">
        <w:t>In addition, the Board must have regard to</w:t>
      </w:r>
      <w:r w:rsidR="00D539FE">
        <w:t>:</w:t>
      </w:r>
      <w:r w:rsidR="003D5178">
        <w:t xml:space="preserve"> the objects </w:t>
      </w:r>
      <w:r w:rsidR="009106AA">
        <w:t xml:space="preserve">and limits </w:t>
      </w:r>
      <w:r w:rsidR="003D5178">
        <w:t>of the Act</w:t>
      </w:r>
      <w:r w:rsidR="00711060">
        <w:t xml:space="preserve">; </w:t>
      </w:r>
      <w:r w:rsidR="003D5178">
        <w:t>the availabilit</w:t>
      </w:r>
      <w:r w:rsidR="005E04AC">
        <w:t>y and terms</w:t>
      </w:r>
      <w:r w:rsidR="003D5178">
        <w:t xml:space="preserve"> of </w:t>
      </w:r>
      <w:r w:rsidR="00F10D35">
        <w:t xml:space="preserve">any </w:t>
      </w:r>
      <w:r w:rsidR="003D5178">
        <w:t xml:space="preserve">private sector finance to the registered </w:t>
      </w:r>
      <w:r w:rsidR="00165EDA">
        <w:t>CHP</w:t>
      </w:r>
      <w:r w:rsidR="009E216F">
        <w:t>; the quality of available security;</w:t>
      </w:r>
      <w:r w:rsidR="003D5178">
        <w:t xml:space="preserve"> and whether the loan would complement other sources of government finance.</w:t>
      </w:r>
    </w:p>
    <w:p w14:paraId="42FF3ED3" w14:textId="5A34207C" w:rsidR="00BB3EA2" w:rsidRDefault="009D064C" w:rsidP="00A34A68">
      <w:pPr>
        <w:spacing w:before="240"/>
      </w:pPr>
      <w:r>
        <w:t xml:space="preserve">Under section 48 of the Act, the Board must </w:t>
      </w:r>
      <w:r w:rsidR="00BB3EA2">
        <w:t>ai</w:t>
      </w:r>
      <w:r w:rsidR="00F5319A">
        <w:t xml:space="preserve">m to maintain </w:t>
      </w:r>
      <w:r w:rsidR="00414777">
        <w:t>adequate</w:t>
      </w:r>
      <w:r w:rsidR="00F5319A">
        <w:t xml:space="preserve"> capital reserve</w:t>
      </w:r>
      <w:r w:rsidR="005A16AC">
        <w:t>s</w:t>
      </w:r>
      <w:r w:rsidR="00C02F9F">
        <w:t xml:space="preserve"> </w:t>
      </w:r>
      <w:r w:rsidR="00BB3EA2">
        <w:t>over the medium to long term. This</w:t>
      </w:r>
      <w:r w:rsidR="0051012C">
        <w:t xml:space="preserve"> needs to be</w:t>
      </w:r>
      <w:r w:rsidR="00BB3EA2">
        <w:t xml:space="preserve"> reflected in the benchmark rate of return</w:t>
      </w:r>
      <w:r w:rsidR="005A16AC" w:rsidRPr="005A16AC">
        <w:t xml:space="preserve"> </w:t>
      </w:r>
      <w:r w:rsidR="005A16AC">
        <w:t>for AHBA loans</w:t>
      </w:r>
      <w:r w:rsidR="004A5F24">
        <w:t>;</w:t>
      </w:r>
      <w:r w:rsidR="00BB3EA2">
        <w:t xml:space="preserve"> </w:t>
      </w:r>
      <w:r w:rsidR="004A1788">
        <w:t>that is</w:t>
      </w:r>
      <w:r w:rsidR="004A5F24">
        <w:t>,</w:t>
      </w:r>
      <w:r w:rsidR="00BB3EA2">
        <w:t xml:space="preserve"> the Board must </w:t>
      </w:r>
      <w:r w:rsidR="00E02FF4">
        <w:t>target an average rate of return that</w:t>
      </w:r>
      <w:r w:rsidR="00BB3EA2">
        <w:t xml:space="preserve"> cover</w:t>
      </w:r>
      <w:r w:rsidR="00E02FF4">
        <w:t>s</w:t>
      </w:r>
      <w:r w:rsidR="00BB3EA2">
        <w:t xml:space="preserve"> its financing and operating costs </w:t>
      </w:r>
      <w:r w:rsidR="00E02FF4">
        <w:t xml:space="preserve">and allows it to build and maintain an adequate </w:t>
      </w:r>
      <w:r w:rsidR="00BB3EA2">
        <w:t xml:space="preserve">capital reserve. </w:t>
      </w:r>
      <w:r w:rsidR="00043861">
        <w:t>The benchmark rate of return is a minimum target</w:t>
      </w:r>
      <w:r w:rsidR="0051012C">
        <w:t xml:space="preserve"> for the purposes of building adequate capital reserves</w:t>
      </w:r>
      <w:r w:rsidR="00043861">
        <w:t xml:space="preserve">. If the </w:t>
      </w:r>
      <w:r w:rsidR="00635E65">
        <w:t>NHFIC</w:t>
      </w:r>
      <w:r w:rsidR="00043861">
        <w:t xml:space="preserve">’s returns substantially exceed the benchmark, </w:t>
      </w:r>
      <w:r w:rsidR="002872F8">
        <w:t xml:space="preserve">the Board </w:t>
      </w:r>
      <w:r w:rsidR="00043861">
        <w:t xml:space="preserve">may </w:t>
      </w:r>
      <w:r w:rsidR="001B44B7">
        <w:t>recommend paying</w:t>
      </w:r>
      <w:r w:rsidR="00043861">
        <w:t xml:space="preserve"> a dividend</w:t>
      </w:r>
      <w:r w:rsidR="002872F8">
        <w:t xml:space="preserve"> to the Commonwealth</w:t>
      </w:r>
      <w:r w:rsidR="00043861">
        <w:t xml:space="preserve">. </w:t>
      </w:r>
    </w:p>
    <w:p w14:paraId="2ADA6EB0" w14:textId="1CCF146F" w:rsidR="0002016A" w:rsidRDefault="008D225E" w:rsidP="00E02FF4">
      <w:pPr>
        <w:keepLines/>
        <w:spacing w:before="240"/>
      </w:pPr>
      <w:r>
        <w:t xml:space="preserve">In targeting the benchmark return, the NHFIC must seek to develop a portfolio that in aggregate has an acceptable but not excessive level of risk, having regard to the objects of the AHBA and the Act. </w:t>
      </w:r>
      <w:r w:rsidR="0002016A">
        <w:t xml:space="preserve">The NHFIC should not assume a greater level of risk than is required for it to carry out its functions and satisfy the requirements of the Act and the investment mandate. </w:t>
      </w:r>
      <w:r w:rsidR="005946C5">
        <w:t xml:space="preserve">In particular, the NHFIC’s lending decisions and </w:t>
      </w:r>
      <w:r w:rsidR="004B5B74">
        <w:t>capital</w:t>
      </w:r>
      <w:r w:rsidR="005946C5">
        <w:t xml:space="preserve"> reserve should </w:t>
      </w:r>
      <w:r w:rsidR="00A468B3">
        <w:t xml:space="preserve">enable it to </w:t>
      </w:r>
      <w:r w:rsidR="005946C5">
        <w:t>adequately manage any risk that the NHFIC will be unable to meet its liabilities</w:t>
      </w:r>
      <w:r w:rsidR="00E02FF4">
        <w:t>, thereby mitigating the risk that</w:t>
      </w:r>
      <w:r w:rsidR="005946C5">
        <w:t xml:space="preserve"> the Commonwealth’s guarantee under section 5</w:t>
      </w:r>
      <w:r w:rsidR="00D92BEC">
        <w:t>1</w:t>
      </w:r>
      <w:r w:rsidR="005946C5">
        <w:t xml:space="preserve"> of the Act might be called on. </w:t>
      </w:r>
    </w:p>
    <w:p w14:paraId="5519FAE5" w14:textId="4F4FA291" w:rsidR="00BB3EA2" w:rsidRDefault="00BB3EA2" w:rsidP="00A34A68">
      <w:pPr>
        <w:spacing w:before="240"/>
      </w:pPr>
      <w:r>
        <w:t>Within six months of the commencement of the investment mandate, the Board must agree an investment risk evaluation process to assess the risk</w:t>
      </w:r>
      <w:r w:rsidR="00911318">
        <w:t>s associated with the AHBA</w:t>
      </w:r>
      <w:r w:rsidR="009C232D">
        <w:t xml:space="preserve">, and </w:t>
      </w:r>
      <w:r>
        <w:t xml:space="preserve">must advise the </w:t>
      </w:r>
      <w:r w:rsidR="006C25D4">
        <w:t xml:space="preserve">Minister </w:t>
      </w:r>
      <w:r>
        <w:t>of this process.</w:t>
      </w:r>
    </w:p>
    <w:p w14:paraId="60BAFFA7" w14:textId="77777777" w:rsidR="00EC5271" w:rsidRPr="00EC5271" w:rsidRDefault="00EC5271" w:rsidP="00E83643">
      <w:pPr>
        <w:pStyle w:val="Heading3"/>
      </w:pPr>
      <w:r w:rsidRPr="00EC5271">
        <w:t xml:space="preserve">Part 4 – </w:t>
      </w:r>
      <w:r>
        <w:t xml:space="preserve">The </w:t>
      </w:r>
      <w:r w:rsidRPr="00EC5271">
        <w:t>National Housing Infrastructure Facility</w:t>
      </w:r>
    </w:p>
    <w:p w14:paraId="00EE890E" w14:textId="2DA758C1" w:rsidR="003A7C18" w:rsidRDefault="00B30A12" w:rsidP="003A7C18">
      <w:pPr>
        <w:spacing w:before="240"/>
      </w:pPr>
      <w:r>
        <w:t xml:space="preserve">The </w:t>
      </w:r>
      <w:r w:rsidR="00635E65">
        <w:t>NHFIC</w:t>
      </w:r>
      <w:r w:rsidR="002B0DFB">
        <w:t xml:space="preserve">, via the </w:t>
      </w:r>
      <w:r>
        <w:t>NHIF</w:t>
      </w:r>
      <w:r w:rsidR="002B0DFB">
        <w:t>,</w:t>
      </w:r>
      <w:r>
        <w:t xml:space="preserve"> </w:t>
      </w:r>
      <w:r w:rsidR="002B0DFB">
        <w:t xml:space="preserve">may </w:t>
      </w:r>
      <w:r w:rsidR="00256E2A">
        <w:t>provide</w:t>
      </w:r>
      <w:r>
        <w:t xml:space="preserve"> finance </w:t>
      </w:r>
      <w:r w:rsidR="009874EE">
        <w:t xml:space="preserve">in the form of loans, equity investments and grants </w:t>
      </w:r>
      <w:r w:rsidR="00443044">
        <w:t xml:space="preserve">for </w:t>
      </w:r>
      <w:r>
        <w:t xml:space="preserve">eligible </w:t>
      </w:r>
      <w:r w:rsidR="000A302E">
        <w:t xml:space="preserve">critical </w:t>
      </w:r>
      <w:r>
        <w:t xml:space="preserve">infrastructure projects </w:t>
      </w:r>
      <w:r w:rsidR="005946C5">
        <w:t xml:space="preserve">that </w:t>
      </w:r>
      <w:r>
        <w:t xml:space="preserve">support </w:t>
      </w:r>
      <w:r w:rsidR="000A302E">
        <w:t xml:space="preserve">new </w:t>
      </w:r>
      <w:r>
        <w:t>housing development</w:t>
      </w:r>
      <w:r w:rsidR="006A69FD">
        <w:t>s</w:t>
      </w:r>
      <w:r w:rsidR="00543BA3">
        <w:t xml:space="preserve">. </w:t>
      </w:r>
      <w:r w:rsidR="003A7C18">
        <w:t xml:space="preserve">Examples of </w:t>
      </w:r>
      <w:r w:rsidR="00443044">
        <w:t xml:space="preserve">critical </w:t>
      </w:r>
      <w:r w:rsidR="003A7C18">
        <w:t>housing-</w:t>
      </w:r>
      <w:r w:rsidR="001D44F6">
        <w:t xml:space="preserve">enabling </w:t>
      </w:r>
      <w:r w:rsidR="003A7C18">
        <w:t>infrastructure include</w:t>
      </w:r>
      <w:r w:rsidR="000A302E">
        <w:t xml:space="preserve"> (but </w:t>
      </w:r>
      <w:r w:rsidR="001D44F6">
        <w:t xml:space="preserve">are </w:t>
      </w:r>
      <w:r w:rsidR="000A302E">
        <w:t>not limited to)</w:t>
      </w:r>
      <w:r w:rsidR="003A7C18">
        <w:t>:</w:t>
      </w:r>
    </w:p>
    <w:p w14:paraId="5A0C9A54" w14:textId="77777777" w:rsidR="003A7C18" w:rsidRDefault="003A7C18" w:rsidP="00D409AA">
      <w:pPr>
        <w:pStyle w:val="Bullet"/>
      </w:pPr>
      <w:r>
        <w:t>new or upgraded infrastructure for services such as water, sewerage, electricity</w:t>
      </w:r>
      <w:r w:rsidR="007414BE">
        <w:t>, telecommunications</w:t>
      </w:r>
      <w:r w:rsidR="00F272FE">
        <w:t>, stormwater</w:t>
      </w:r>
      <w:r>
        <w:t xml:space="preserve"> or transportation; </w:t>
      </w:r>
      <w:r w:rsidR="009C232D">
        <w:t>and</w:t>
      </w:r>
    </w:p>
    <w:p w14:paraId="308963DB" w14:textId="77777777" w:rsidR="003A7C18" w:rsidRDefault="003A7C18" w:rsidP="00D409AA">
      <w:pPr>
        <w:pStyle w:val="Bullet"/>
      </w:pPr>
      <w:r>
        <w:t>site remediation works including the removal of hazardous waste or contamination.</w:t>
      </w:r>
    </w:p>
    <w:p w14:paraId="21C8979C" w14:textId="65D5F708" w:rsidR="002008E7" w:rsidRDefault="002008E7" w:rsidP="00DC5C71">
      <w:pPr>
        <w:spacing w:before="240"/>
      </w:pPr>
      <w:r w:rsidRPr="00F861D5">
        <w:t xml:space="preserve">The NHIF will support </w:t>
      </w:r>
      <w:r>
        <w:t xml:space="preserve">critical </w:t>
      </w:r>
      <w:r w:rsidRPr="00F861D5">
        <w:t xml:space="preserve">infrastructure projects linked to new housing supply </w:t>
      </w:r>
      <w:r w:rsidR="007A517E">
        <w:t>whether on the site or connecting</w:t>
      </w:r>
      <w:r w:rsidR="00817342">
        <w:t xml:space="preserve"> to or </w:t>
      </w:r>
      <w:r w:rsidR="007A517E">
        <w:t xml:space="preserve">linking </w:t>
      </w:r>
      <w:r w:rsidR="00817342">
        <w:t xml:space="preserve">to </w:t>
      </w:r>
      <w:r w:rsidR="007A517E">
        <w:t xml:space="preserve">infrastructure. The NHIF will do this </w:t>
      </w:r>
      <w:r w:rsidRPr="00F861D5">
        <w:t>by offering innovative financing options such as equity</w:t>
      </w:r>
      <w:r w:rsidR="00150483">
        <w:t xml:space="preserve"> investments</w:t>
      </w:r>
      <w:r w:rsidRPr="00F861D5">
        <w:t xml:space="preserve"> and blended finance tailored to the needs of projects. </w:t>
      </w:r>
      <w:r w:rsidR="00150483">
        <w:t>Equity investments involve the NHFIC acquiring an equity interest in a project proponent. B</w:t>
      </w:r>
      <w:r w:rsidRPr="00F861D5">
        <w:t>lended finance refers both to the potential for project finance to be provided through a</w:t>
      </w:r>
      <w:r w:rsidR="00150483">
        <w:t>ny</w:t>
      </w:r>
      <w:r w:rsidRPr="00F861D5">
        <w:t xml:space="preserve"> combination of NHIF loans</w:t>
      </w:r>
      <w:r>
        <w:t xml:space="preserve">, </w:t>
      </w:r>
      <w:r>
        <w:lastRenderedPageBreak/>
        <w:t>grants</w:t>
      </w:r>
      <w:r w:rsidRPr="00F861D5">
        <w:t xml:space="preserve"> and investments</w:t>
      </w:r>
      <w:r w:rsidR="009C232D">
        <w:t>,</w:t>
      </w:r>
      <w:r w:rsidRPr="00F861D5">
        <w:t xml:space="preserve"> and the potential for NHIF financing to be structured to complement funding from a consortium of other government or non-government </w:t>
      </w:r>
      <w:r w:rsidR="00264B4F">
        <w:t>entities</w:t>
      </w:r>
      <w:r w:rsidRPr="00F861D5">
        <w:t>.</w:t>
      </w:r>
      <w:r w:rsidR="0014608D">
        <w:t xml:space="preserve"> Applications for grant funding will be preferred </w:t>
      </w:r>
      <w:r w:rsidR="00F571DF">
        <w:t xml:space="preserve">if </w:t>
      </w:r>
      <w:r w:rsidR="00B51480">
        <w:t xml:space="preserve">made in conjunction with an application for </w:t>
      </w:r>
      <w:r w:rsidR="00F571DF">
        <w:t xml:space="preserve">other </w:t>
      </w:r>
      <w:r w:rsidR="009C232D">
        <w:t>NHIF</w:t>
      </w:r>
      <w:r w:rsidR="0014608D">
        <w:t xml:space="preserve"> financing.</w:t>
      </w:r>
    </w:p>
    <w:p w14:paraId="276D075A" w14:textId="74BB0C53" w:rsidR="006C7106" w:rsidRDefault="009D0505" w:rsidP="003A7C18">
      <w:pPr>
        <w:spacing w:before="240"/>
      </w:pPr>
      <w:r>
        <w:t xml:space="preserve">NHIF </w:t>
      </w:r>
      <w:r w:rsidR="00B51480">
        <w:t>financing</w:t>
      </w:r>
      <w:r w:rsidR="006C7106">
        <w:t xml:space="preserve"> </w:t>
      </w:r>
      <w:r>
        <w:t xml:space="preserve">is not limited to infrastructure that would </w:t>
      </w:r>
      <w:r w:rsidR="003156D6">
        <w:t>support new</w:t>
      </w:r>
      <w:r>
        <w:t xml:space="preserve"> affordable housing. While the impact on the supply and retention of affordable housing is an important consideration </w:t>
      </w:r>
      <w:r w:rsidR="00315352">
        <w:t xml:space="preserve">that </w:t>
      </w:r>
      <w:r>
        <w:t xml:space="preserve">the </w:t>
      </w:r>
      <w:r w:rsidR="00315352">
        <w:t>NHFIC must take into account</w:t>
      </w:r>
      <w:r>
        <w:t xml:space="preserve"> in deciding whether </w:t>
      </w:r>
      <w:r w:rsidR="00315352">
        <w:t xml:space="preserve">or not </w:t>
      </w:r>
      <w:r w:rsidR="00F8378E">
        <w:t xml:space="preserve">to </w:t>
      </w:r>
      <w:r w:rsidR="006C25D4">
        <w:t xml:space="preserve">provide </w:t>
      </w:r>
      <w:r w:rsidR="00F8378E">
        <w:t>finance</w:t>
      </w:r>
      <w:r w:rsidR="006C25D4">
        <w:t xml:space="preserve"> for</w:t>
      </w:r>
      <w:r w:rsidR="00F8378E">
        <w:t xml:space="preserve"> a</w:t>
      </w:r>
      <w:r w:rsidR="006C25D4">
        <w:t xml:space="preserve"> particular</w:t>
      </w:r>
      <w:r w:rsidR="00F8378E">
        <w:t xml:space="preserve"> project</w:t>
      </w:r>
      <w:r w:rsidR="00944576">
        <w:t>,</w:t>
      </w:r>
      <w:r>
        <w:t xml:space="preserve"> </w:t>
      </w:r>
      <w:r w:rsidR="006C25D4">
        <w:t>projects which would</w:t>
      </w:r>
      <w:r w:rsidR="00F8378E">
        <w:t xml:space="preserve"> </w:t>
      </w:r>
      <w:r>
        <w:t>increas</w:t>
      </w:r>
      <w:r w:rsidR="00F8378E">
        <w:t>e</w:t>
      </w:r>
      <w:r>
        <w:t xml:space="preserve"> the supply of housing generally may also attract NHIF infrastructure finance. This could include </w:t>
      </w:r>
      <w:r w:rsidR="00F8378E">
        <w:t xml:space="preserve">funding for infrastructure that supports the construction of </w:t>
      </w:r>
      <w:r>
        <w:t xml:space="preserve">mixed </w:t>
      </w:r>
      <w:r w:rsidR="00F8378E">
        <w:t xml:space="preserve">housing </w:t>
      </w:r>
      <w:r>
        <w:t xml:space="preserve">developments </w:t>
      </w:r>
      <w:r w:rsidR="00F8378E">
        <w:t>(</w:t>
      </w:r>
      <w:r>
        <w:t>which offer accommodation for people with a range of income levels</w:t>
      </w:r>
      <w:r w:rsidR="00F8378E">
        <w:t>)</w:t>
      </w:r>
      <w:r>
        <w:t>.</w:t>
      </w:r>
    </w:p>
    <w:p w14:paraId="1CBFCCB5" w14:textId="5C72ED22" w:rsidR="00A871CF" w:rsidRDefault="0056247D" w:rsidP="003A7C18">
      <w:pPr>
        <w:spacing w:before="240"/>
      </w:pPr>
      <w:r>
        <w:t xml:space="preserve">The NHIF will not finance housing directly nor will it finance community infrastructure such as parks or libraries. </w:t>
      </w:r>
    </w:p>
    <w:p w14:paraId="051CFA66" w14:textId="46D4C83C" w:rsidR="0056247D" w:rsidRPr="00107BD8" w:rsidRDefault="00A871CF" w:rsidP="003A7C18">
      <w:pPr>
        <w:spacing w:before="240"/>
      </w:pPr>
      <w:r>
        <w:t xml:space="preserve">The NHIF may only be used to finance projects that can demonstrate ‘additionality’. </w:t>
      </w:r>
      <w:r w:rsidRPr="00107BD8">
        <w:t xml:space="preserve">Additionality in this context refers to projects that </w:t>
      </w:r>
      <w:r w:rsidR="006C25D4">
        <w:t>would be</w:t>
      </w:r>
      <w:r w:rsidRPr="00107BD8">
        <w:t xml:space="preserve"> unlikely to proceed, or would </w:t>
      </w:r>
      <w:r w:rsidR="00D2458B" w:rsidRPr="00107BD8">
        <w:t xml:space="preserve">only </w:t>
      </w:r>
      <w:r w:rsidRPr="00107BD8">
        <w:t xml:space="preserve">proceed at a later time, without NHIF assistance, and the extent to which NHIF assistance would accelerate or increase affordable housing supply. </w:t>
      </w:r>
      <w:r w:rsidR="00B82190" w:rsidRPr="00591A0D">
        <w:t xml:space="preserve">It </w:t>
      </w:r>
      <w:r w:rsidRPr="00591A0D">
        <w:t xml:space="preserve">is anticipated that NHIF finance would not be provided for </w:t>
      </w:r>
      <w:r w:rsidR="00B82190" w:rsidRPr="00591A0D">
        <w:t>feasibility</w:t>
      </w:r>
      <w:r w:rsidR="007D4ACC" w:rsidRPr="00591A0D">
        <w:t>, scoping</w:t>
      </w:r>
      <w:r w:rsidR="00B82190" w:rsidRPr="00591A0D">
        <w:t xml:space="preserve"> or planning studies that may lead to the </w:t>
      </w:r>
      <w:r w:rsidR="003156D6" w:rsidRPr="00591A0D">
        <w:t xml:space="preserve">later </w:t>
      </w:r>
      <w:r w:rsidR="00315352" w:rsidRPr="00591A0D">
        <w:t>construction</w:t>
      </w:r>
      <w:r w:rsidR="00B82190" w:rsidRPr="00591A0D">
        <w:t xml:space="preserve"> of infrastructure</w:t>
      </w:r>
      <w:r w:rsidRPr="00591A0D">
        <w:t>, as such studies would be expected to be undertaken before an application is made for NHIF finance</w:t>
      </w:r>
      <w:r w:rsidR="00D2458B" w:rsidRPr="00591A0D">
        <w:t>, to assist in demonstrating additionality</w:t>
      </w:r>
      <w:r w:rsidR="00B82190" w:rsidRPr="00591A0D">
        <w:t>.</w:t>
      </w:r>
      <w:r w:rsidR="00BF6D99" w:rsidRPr="00591A0D">
        <w:t xml:space="preserve"> </w:t>
      </w:r>
    </w:p>
    <w:p w14:paraId="092B92E9" w14:textId="2A865E4E" w:rsidR="00CF042D" w:rsidRPr="00DC5C71" w:rsidRDefault="00BB2F43" w:rsidP="003A0FD3">
      <w:pPr>
        <w:spacing w:before="240"/>
      </w:pPr>
      <w:r w:rsidRPr="00DC5C71">
        <w:t>The NHFIC may provide NHIF finance to</w:t>
      </w:r>
      <w:r w:rsidR="005A16AC" w:rsidRPr="00DC5C71">
        <w:t xml:space="preserve"> a:</w:t>
      </w:r>
    </w:p>
    <w:p w14:paraId="67AFADF6" w14:textId="739567ED" w:rsidR="007D40C5" w:rsidRDefault="007D40C5" w:rsidP="00DC5C71">
      <w:pPr>
        <w:pStyle w:val="Bullet"/>
      </w:pPr>
      <w:r w:rsidRPr="007B38F6">
        <w:t>State or Territory</w:t>
      </w:r>
      <w:r>
        <w:t>,</w:t>
      </w:r>
      <w:r w:rsidRPr="00DC5C71">
        <w:t xml:space="preserve"> </w:t>
      </w:r>
      <w:r>
        <w:t xml:space="preserve">including a State or Territory agency </w:t>
      </w:r>
      <w:r w:rsidR="002F299E">
        <w:t>representing the</w:t>
      </w:r>
      <w:r>
        <w:t xml:space="preserve"> State or Territory</w:t>
      </w:r>
      <w:r w:rsidR="00B369D9">
        <w:t xml:space="preserve"> such as a </w:t>
      </w:r>
      <w:r w:rsidR="00B369D9" w:rsidRPr="00107BD8">
        <w:t xml:space="preserve">government </w:t>
      </w:r>
      <w:r w:rsidR="00B369D9" w:rsidRPr="00D409AA">
        <w:t>owned</w:t>
      </w:r>
      <w:r w:rsidR="00B369D9">
        <w:t xml:space="preserve"> development corporation or utility provider</w:t>
      </w:r>
      <w:r>
        <w:t>;</w:t>
      </w:r>
    </w:p>
    <w:p w14:paraId="59B1B4D8" w14:textId="6C1277D7" w:rsidR="00CF042D" w:rsidRPr="007B38F6" w:rsidRDefault="00CF042D" w:rsidP="00DC5C71">
      <w:pPr>
        <w:pStyle w:val="Bullet"/>
      </w:pPr>
      <w:r w:rsidRPr="00DC5C71">
        <w:t xml:space="preserve">local </w:t>
      </w:r>
      <w:r w:rsidR="00BB2F43" w:rsidRPr="00DC5C71">
        <w:t>government</w:t>
      </w:r>
      <w:r w:rsidRPr="00DC5C71">
        <w:t xml:space="preserve"> body</w:t>
      </w:r>
      <w:r w:rsidR="00B369D9">
        <w:t xml:space="preserve"> or</w:t>
      </w:r>
      <w:r w:rsidRPr="00DC5C71">
        <w:t xml:space="preserve"> local government</w:t>
      </w:r>
      <w:r w:rsidR="00B369D9">
        <w:t xml:space="preserve"> owned</w:t>
      </w:r>
      <w:r w:rsidRPr="00DC5C71">
        <w:t xml:space="preserve"> investment corporation or utility provider;</w:t>
      </w:r>
    </w:p>
    <w:p w14:paraId="77126645" w14:textId="3A76A4A3" w:rsidR="00592C2D" w:rsidRDefault="00CF042D" w:rsidP="00DC5C71">
      <w:pPr>
        <w:pStyle w:val="Bullet"/>
      </w:pPr>
      <w:r w:rsidRPr="00D409AA">
        <w:t>State</w:t>
      </w:r>
      <w:r w:rsidRPr="00107BD8">
        <w:t xml:space="preserve"> government </w:t>
      </w:r>
      <w:r w:rsidRPr="00D409AA">
        <w:t xml:space="preserve">owned </w:t>
      </w:r>
      <w:r w:rsidR="00C73896">
        <w:t xml:space="preserve">utility provider that is a constitutional </w:t>
      </w:r>
      <w:r w:rsidR="00A31AEF" w:rsidRPr="00D409AA">
        <w:t>corporation (</w:t>
      </w:r>
      <w:r w:rsidR="00C73896">
        <w:t xml:space="preserve">but not </w:t>
      </w:r>
      <w:r w:rsidR="00264B4F">
        <w:t xml:space="preserve">necessarily </w:t>
      </w:r>
      <w:r w:rsidR="00C73896">
        <w:t>an emanation of the State</w:t>
      </w:r>
      <w:r w:rsidR="00A31AEF" w:rsidRPr="00D409AA">
        <w:t>)</w:t>
      </w:r>
      <w:r w:rsidR="009106AA">
        <w:t>;</w:t>
      </w:r>
      <w:r w:rsidR="00BB2F43" w:rsidRPr="00107BD8">
        <w:t xml:space="preserve"> </w:t>
      </w:r>
    </w:p>
    <w:p w14:paraId="1173B3B0" w14:textId="79F28E62" w:rsidR="00CF042D" w:rsidRPr="00107BD8" w:rsidRDefault="00592C2D" w:rsidP="00DC5C71">
      <w:pPr>
        <w:pStyle w:val="Bullet"/>
      </w:pPr>
      <w:r>
        <w:t xml:space="preserve">Territory government owned utility provider (that is not necessarily an emanation of the Territory); </w:t>
      </w:r>
      <w:r w:rsidR="002E31F9" w:rsidRPr="00107BD8">
        <w:t>or</w:t>
      </w:r>
    </w:p>
    <w:p w14:paraId="1EC12C06" w14:textId="4E9394B6" w:rsidR="00CF042D" w:rsidRPr="007B38F6" w:rsidRDefault="00BB2F43" w:rsidP="00D409AA">
      <w:pPr>
        <w:pStyle w:val="Bullet"/>
      </w:pPr>
      <w:r w:rsidRPr="00DC5C71">
        <w:t xml:space="preserve">registered </w:t>
      </w:r>
      <w:r w:rsidR="007D40C5">
        <w:t>CHP</w:t>
      </w:r>
      <w:r w:rsidR="00CF042D" w:rsidRPr="007B38F6">
        <w:t xml:space="preserve">. </w:t>
      </w:r>
    </w:p>
    <w:p w14:paraId="73C2A7C9" w14:textId="7496DF19" w:rsidR="003A0FD3" w:rsidRDefault="003A0FD3" w:rsidP="003A0FD3">
      <w:pPr>
        <w:spacing w:before="240"/>
      </w:pPr>
      <w:r>
        <w:t xml:space="preserve">The NHFIC may also provide finance to a special purpose vehicle (SPV) </w:t>
      </w:r>
      <w:r w:rsidR="00824119">
        <w:t>that</w:t>
      </w:r>
      <w:r>
        <w:t xml:space="preserve"> ha</w:t>
      </w:r>
      <w:r w:rsidR="009957CE">
        <w:t>s</w:t>
      </w:r>
      <w:r>
        <w:t xml:space="preserve"> a purpose of undertaking housing-enabling </w:t>
      </w:r>
      <w:r w:rsidR="007D40C5">
        <w:t xml:space="preserve">infrastructure </w:t>
      </w:r>
      <w:r>
        <w:t>projects and h</w:t>
      </w:r>
      <w:r w:rsidR="009957CE">
        <w:t xml:space="preserve">as </w:t>
      </w:r>
      <w:r>
        <w:t xml:space="preserve">at least one member that is </w:t>
      </w:r>
      <w:r w:rsidR="007D40C5">
        <w:t>an</w:t>
      </w:r>
      <w:r>
        <w:t xml:space="preserve"> </w:t>
      </w:r>
      <w:r w:rsidR="007D40C5">
        <w:t xml:space="preserve">eligible recipient listed above </w:t>
      </w:r>
      <w:r>
        <w:t xml:space="preserve">(the underlying eligible member or members). In this context, </w:t>
      </w:r>
      <w:r w:rsidR="00824119">
        <w:t xml:space="preserve">an underlying </w:t>
      </w:r>
      <w:r w:rsidR="009258CA">
        <w:t xml:space="preserve">eligible </w:t>
      </w:r>
      <w:r w:rsidR="00824119">
        <w:t>member</w:t>
      </w:r>
      <w:r>
        <w:t xml:space="preserve"> is </w:t>
      </w:r>
      <w:r w:rsidR="009258CA">
        <w:t>an</w:t>
      </w:r>
      <w:r>
        <w:t xml:space="preserve"> entity that has an ownership or participation interest in the SPV (for example, a shareholder if the SPV is a </w:t>
      </w:r>
      <w:r w:rsidR="00592C2D">
        <w:t>company</w:t>
      </w:r>
      <w:r>
        <w:t xml:space="preserve"> or a partner if it is a partnership). </w:t>
      </w:r>
    </w:p>
    <w:p w14:paraId="59E8943A" w14:textId="77777777" w:rsidR="0019204D" w:rsidRDefault="003A0FD3" w:rsidP="00D74D70">
      <w:pPr>
        <w:spacing w:before="240"/>
      </w:pPr>
      <w:r>
        <w:t>In considering whether to provide finance to an SPV, the NHFIC must consider the extent to which the underlying eligible member or members</w:t>
      </w:r>
      <w:r w:rsidR="002872F8">
        <w:t xml:space="preserve"> </w:t>
      </w:r>
      <w:r>
        <w:t xml:space="preserve">of the SPV </w:t>
      </w:r>
      <w:r w:rsidR="007A59D3">
        <w:t>expects to</w:t>
      </w:r>
      <w:r w:rsidR="00765A3B">
        <w:t xml:space="preserve"> be</w:t>
      </w:r>
      <w:r>
        <w:t xml:space="preserve"> involved in the proposed project</w:t>
      </w:r>
      <w:r w:rsidR="00765A3B">
        <w:t xml:space="preserve"> over its duration</w:t>
      </w:r>
      <w:r>
        <w:t xml:space="preserve">. In this context, involvement has a </w:t>
      </w:r>
      <w:r>
        <w:lastRenderedPageBreak/>
        <w:t>broad meaning</w:t>
      </w:r>
      <w:r w:rsidR="00006A1E">
        <w:t>. T</w:t>
      </w:r>
      <w:r>
        <w:t xml:space="preserve">he Board </w:t>
      </w:r>
      <w:r w:rsidR="00006A1E">
        <w:t>should</w:t>
      </w:r>
      <w:r>
        <w:t xml:space="preserve"> have regard to the extent of the member</w:t>
      </w:r>
      <w:r w:rsidR="00006A1E">
        <w:t>’s or member</w:t>
      </w:r>
      <w:r>
        <w:t>s’ financial involvement, their level of oversight and control, their ability (if any) to appoint directors to the SPV’s board, the level of finance they are providing to the project and their role in managing the delivery of the project. None of these types of involvement are determinative</w:t>
      </w:r>
      <w:r w:rsidR="006A69FD">
        <w:t>,</w:t>
      </w:r>
      <w:r w:rsidR="008F40DA">
        <w:t xml:space="preserve"> </w:t>
      </w:r>
      <w:r w:rsidR="00824119">
        <w:t>and</w:t>
      </w:r>
      <w:r w:rsidR="008F40DA">
        <w:t xml:space="preserve"> it is not necessary for the underlying eligible member </w:t>
      </w:r>
      <w:r w:rsidR="00944576">
        <w:t xml:space="preserve">or members </w:t>
      </w:r>
      <w:r w:rsidR="008F40DA">
        <w:t>to have financial or management control of the SPV. T</w:t>
      </w:r>
      <w:r>
        <w:t xml:space="preserve">he </w:t>
      </w:r>
      <w:r w:rsidR="00443044">
        <w:t xml:space="preserve">NHFIC </w:t>
      </w:r>
      <w:r>
        <w:t xml:space="preserve">Board must make financing decisions </w:t>
      </w:r>
      <w:r w:rsidR="007A59D3">
        <w:t xml:space="preserve">based </w:t>
      </w:r>
      <w:r>
        <w:t xml:space="preserve">on a holistic assessment of all prescribed matters and the proposal. </w:t>
      </w:r>
    </w:p>
    <w:p w14:paraId="7972AC26" w14:textId="4A8B514F" w:rsidR="00D74D70" w:rsidRDefault="00D74D70" w:rsidP="00D74D70">
      <w:pPr>
        <w:spacing w:before="240"/>
      </w:pPr>
      <w:r>
        <w:t xml:space="preserve">For example, </w:t>
      </w:r>
      <w:r w:rsidR="00944576">
        <w:t xml:space="preserve">while </w:t>
      </w:r>
      <w:r>
        <w:t>it is not necessary for the members to have the ability to control the appointment of directors</w:t>
      </w:r>
      <w:r w:rsidR="00944576">
        <w:t xml:space="preserve">, </w:t>
      </w:r>
      <w:r>
        <w:t xml:space="preserve">the NHFIC Board may consider certain levels of involvement as too low for particular proposals to be </w:t>
      </w:r>
      <w:r w:rsidR="00944576">
        <w:t>approved for NHIF finance</w:t>
      </w:r>
      <w:r>
        <w:t xml:space="preserve">. </w:t>
      </w:r>
      <w:r w:rsidR="00765A3B">
        <w:t xml:space="preserve">In addition, it is expected that </w:t>
      </w:r>
      <w:r w:rsidR="00765E55">
        <w:t xml:space="preserve">an underlying eligible member of an SPV not sell or otherwise relinquish their interest in the SPV during the life of the project. The Board may </w:t>
      </w:r>
      <w:r w:rsidR="00122B3A">
        <w:t>address this</w:t>
      </w:r>
      <w:r w:rsidR="00765E55">
        <w:t xml:space="preserve"> through the conditions it sets for financing arrangements.</w:t>
      </w:r>
    </w:p>
    <w:p w14:paraId="3F4320F8" w14:textId="0909D9F5" w:rsidR="00092CC2" w:rsidRDefault="00092CC2" w:rsidP="006C25D4">
      <w:pPr>
        <w:keepLines/>
        <w:spacing w:before="240"/>
      </w:pPr>
      <w:r w:rsidRPr="00107BD8">
        <w:t xml:space="preserve">The NHFIC may tailor its concessional loans to suit the needs of project proponents. Tailoring of loans may include (but </w:t>
      </w:r>
      <w:r w:rsidR="004A1788" w:rsidRPr="00107BD8">
        <w:t>will</w:t>
      </w:r>
      <w:r w:rsidRPr="00107BD8">
        <w:t xml:space="preserve"> not </w:t>
      </w:r>
      <w:r w:rsidR="004A1788" w:rsidRPr="00107BD8">
        <w:t xml:space="preserve">be </w:t>
      </w:r>
      <w:r w:rsidRPr="00107BD8">
        <w:t>limited to) a range of concessions, including longer loan tenors and lower interest rates than offered by commercial financiers</w:t>
      </w:r>
      <w:r w:rsidR="007C733F" w:rsidRPr="00107BD8">
        <w:t>,</w:t>
      </w:r>
      <w:r w:rsidRPr="00107BD8">
        <w:t xml:space="preserve"> and repayment holidays. The NHFIC must limit any concessions provided under the NHIF to the minimum </w:t>
      </w:r>
      <w:r w:rsidR="00F10D35">
        <w:t>that it</w:t>
      </w:r>
      <w:r w:rsidR="00150483" w:rsidRPr="00D409AA">
        <w:t xml:space="preserve"> considers </w:t>
      </w:r>
      <w:r w:rsidRPr="00107BD8">
        <w:t xml:space="preserve">necessary for an eligible project to </w:t>
      </w:r>
      <w:r w:rsidR="00150483" w:rsidRPr="00107BD8">
        <w:t>proceed or be completed</w:t>
      </w:r>
      <w:r w:rsidRPr="00107BD8">
        <w:t xml:space="preserve"> in the proposed </w:t>
      </w:r>
      <w:r>
        <w:t>time</w:t>
      </w:r>
      <w:r w:rsidR="00150483">
        <w:t>frame</w:t>
      </w:r>
      <w:r>
        <w:t>.</w:t>
      </w:r>
      <w:r w:rsidR="00E82E5E">
        <w:t xml:space="preserve"> </w:t>
      </w:r>
      <w:r w:rsidR="00150483">
        <w:t xml:space="preserve">The NHIF should not provide greater concessions than </w:t>
      </w:r>
      <w:r w:rsidR="00F10D35">
        <w:t xml:space="preserve">the NHFIC considers </w:t>
      </w:r>
      <w:r w:rsidR="00150483">
        <w:t xml:space="preserve">necessary, and this may be reflected in </w:t>
      </w:r>
      <w:r w:rsidR="00545DBC">
        <w:t xml:space="preserve">the terms of the </w:t>
      </w:r>
      <w:r w:rsidR="00150483">
        <w:t xml:space="preserve">contract. </w:t>
      </w:r>
      <w:r w:rsidR="006A69FD">
        <w:t xml:space="preserve">The </w:t>
      </w:r>
      <w:r w:rsidR="00E82E5E">
        <w:t>NHFIC will also need to take into account the extent of any public benefit from the housing-enabling infrastructure and the objects of the Act in determining the extent of the concession.</w:t>
      </w:r>
    </w:p>
    <w:p w14:paraId="0D54AAFB" w14:textId="17B3ACD6" w:rsidR="009874EE" w:rsidRDefault="009874EE" w:rsidP="009874EE">
      <w:pPr>
        <w:spacing w:before="240"/>
      </w:pPr>
      <w:r>
        <w:t>The Board must consider a number of matters in making a financing decision</w:t>
      </w:r>
      <w:r w:rsidR="00092CC2">
        <w:t xml:space="preserve">. </w:t>
      </w:r>
      <w:r w:rsidR="00006A1E">
        <w:t>It</w:t>
      </w:r>
      <w:r w:rsidR="00150483">
        <w:t xml:space="preserve"> must be satisfied that the project proponent and project are eligible under the investment mandate and that the risk of default on a loan does not exceed an acceptable level. </w:t>
      </w:r>
      <w:r>
        <w:t>The</w:t>
      </w:r>
      <w:r w:rsidR="00150483">
        <w:t xml:space="preserve"> Board must also have regard</w:t>
      </w:r>
      <w:r w:rsidR="00765A3B">
        <w:t xml:space="preserve"> to matters including</w:t>
      </w:r>
      <w:r w:rsidR="00944576">
        <w:t>:</w:t>
      </w:r>
      <w:r>
        <w:t xml:space="preserve"> the credit</w:t>
      </w:r>
      <w:r w:rsidR="00765A3B">
        <w:noBreakHyphen/>
      </w:r>
      <w:r>
        <w:t xml:space="preserve">worthiness of </w:t>
      </w:r>
      <w:r w:rsidR="00765A3B">
        <w:t>the project proponent</w:t>
      </w:r>
      <w:r w:rsidR="00C2445A">
        <w:t>; the extent of the concession that is appropriate</w:t>
      </w:r>
      <w:r w:rsidR="00765A3B">
        <w:t>;</w:t>
      </w:r>
      <w:r>
        <w:t xml:space="preserve"> the </w:t>
      </w:r>
      <w:r w:rsidR="00D0598F">
        <w:t xml:space="preserve">likely </w:t>
      </w:r>
      <w:r>
        <w:t xml:space="preserve">effect </w:t>
      </w:r>
      <w:r w:rsidR="00765A3B">
        <w:t xml:space="preserve">of a project </w:t>
      </w:r>
      <w:r>
        <w:t xml:space="preserve">on the supply </w:t>
      </w:r>
      <w:r w:rsidR="00F81AC6">
        <w:t xml:space="preserve">and </w:t>
      </w:r>
      <w:r w:rsidR="00765E55">
        <w:t xml:space="preserve">longer term </w:t>
      </w:r>
      <w:r w:rsidR="00F81AC6">
        <w:t xml:space="preserve">retention </w:t>
      </w:r>
      <w:r>
        <w:t>of affordable housing</w:t>
      </w:r>
      <w:r w:rsidR="00765A3B">
        <w:t>; and the quality of the security available from the applicant</w:t>
      </w:r>
      <w:r>
        <w:t xml:space="preserve">. </w:t>
      </w:r>
      <w:r w:rsidR="00A732A0">
        <w:t xml:space="preserve">In addition, the Board must have regard to the objects </w:t>
      </w:r>
      <w:r w:rsidR="009106AA">
        <w:t xml:space="preserve">and limits </w:t>
      </w:r>
      <w:r w:rsidR="00A732A0">
        <w:t xml:space="preserve">of the Act and must consider whether </w:t>
      </w:r>
      <w:r w:rsidR="00765A3B">
        <w:t>NHIF finance</w:t>
      </w:r>
      <w:r w:rsidR="00A732A0">
        <w:t xml:space="preserve"> would complement other sources of government finance</w:t>
      </w:r>
      <w:r w:rsidR="00C44A05">
        <w:t xml:space="preserve"> or activities</w:t>
      </w:r>
      <w:r w:rsidR="00F41ECA" w:rsidRPr="00F41ECA">
        <w:t xml:space="preserve"> </w:t>
      </w:r>
      <w:r w:rsidR="00CB6320">
        <w:t>and</w:t>
      </w:r>
      <w:r w:rsidR="00765A3B">
        <w:t xml:space="preserve"> whether it would </w:t>
      </w:r>
      <w:r w:rsidR="00F41ECA">
        <w:t>encourage private sector investment in the project</w:t>
      </w:r>
      <w:r w:rsidR="00A732A0">
        <w:t>.</w:t>
      </w:r>
      <w:r w:rsidR="00C44A05">
        <w:t xml:space="preserve"> </w:t>
      </w:r>
    </w:p>
    <w:p w14:paraId="04300D58" w14:textId="5B7638E8" w:rsidR="00C2445A" w:rsidRDefault="00C2445A" w:rsidP="00C2445A">
      <w:pPr>
        <w:spacing w:before="240"/>
      </w:pPr>
      <w:r w:rsidRPr="00B7209A">
        <w:t xml:space="preserve">The NHFIC is required to take </w:t>
      </w:r>
      <w:r w:rsidR="00954795" w:rsidRPr="00B7209A">
        <w:t xml:space="preserve">appropriate </w:t>
      </w:r>
      <w:r w:rsidRPr="00B7209A">
        <w:t>security for its loans, having regard to the potential exposure of the Commonwealth</w:t>
      </w:r>
      <w:r w:rsidR="00765A3B" w:rsidRPr="00B7209A">
        <w:t xml:space="preserve"> and the NHFIC</w:t>
      </w:r>
      <w:r w:rsidRPr="00B7209A">
        <w:t xml:space="preserve"> in the event of a default.</w:t>
      </w:r>
      <w:r w:rsidR="00B7209A" w:rsidRPr="006C25D4">
        <w:t xml:space="preserve"> State </w:t>
      </w:r>
      <w:r w:rsidR="000968D8">
        <w:t>and</w:t>
      </w:r>
      <w:r w:rsidR="000968D8" w:rsidRPr="006C25D4">
        <w:t xml:space="preserve"> </w:t>
      </w:r>
      <w:r w:rsidR="00B7209A" w:rsidRPr="006C25D4">
        <w:t>Territory applicant</w:t>
      </w:r>
      <w:r w:rsidR="000968D8">
        <w:t>s are not required to provide security</w:t>
      </w:r>
      <w:r w:rsidR="00B7209A" w:rsidRPr="006C25D4">
        <w:t>.</w:t>
      </w:r>
      <w:r w:rsidRPr="00B7209A">
        <w:t xml:space="preserve"> </w:t>
      </w:r>
      <w:r w:rsidR="000968D8">
        <w:t>For other applicants</w:t>
      </w:r>
      <w:r w:rsidR="00B7209A" w:rsidRPr="006C25D4">
        <w:t>, t</w:t>
      </w:r>
      <w:r w:rsidRPr="00B7209A">
        <w:t xml:space="preserve">he NHFIC will need to consider a range of factors in deciding what </w:t>
      </w:r>
      <w:r w:rsidR="00B7209A">
        <w:t xml:space="preserve">level of </w:t>
      </w:r>
      <w:r w:rsidRPr="00B7209A">
        <w:t xml:space="preserve">security is appropriate, including the quality and type of any security available from the project proponent.  </w:t>
      </w:r>
    </w:p>
    <w:p w14:paraId="427C9840" w14:textId="77777777" w:rsidR="003B4780" w:rsidRDefault="003B4780" w:rsidP="003B4780">
      <w:pPr>
        <w:spacing w:before="240"/>
      </w:pPr>
      <w:r>
        <w:t xml:space="preserve">In making financing decisions in relation to the NHIF, the NHFIC is required to apply commercial </w:t>
      </w:r>
      <w:r w:rsidR="00B42EC3">
        <w:t>discipline</w:t>
      </w:r>
      <w:r>
        <w:t xml:space="preserve">, achieve a benchmark rate of return and manage its risks. </w:t>
      </w:r>
    </w:p>
    <w:p w14:paraId="40E99A54" w14:textId="204D350E" w:rsidR="003D1906" w:rsidRDefault="006C25D4" w:rsidP="009874EE">
      <w:pPr>
        <w:spacing w:before="240"/>
      </w:pPr>
      <w:r>
        <w:t xml:space="preserve">As described above, the </w:t>
      </w:r>
      <w:r w:rsidR="00635E65">
        <w:t>NHFIC</w:t>
      </w:r>
      <w:r w:rsidR="003D1906">
        <w:t xml:space="preserve"> must maintain the value of its infrastructure loans and investments over the medium to long term in line with </w:t>
      </w:r>
      <w:r w:rsidR="00545DBC">
        <w:t xml:space="preserve">the </w:t>
      </w:r>
      <w:r w:rsidR="003D1906">
        <w:t xml:space="preserve">minimum target value of the </w:t>
      </w:r>
      <w:r w:rsidR="00635E65">
        <w:t>NHFIC</w:t>
      </w:r>
      <w:r w:rsidR="003D1906">
        <w:t xml:space="preserve">’s </w:t>
      </w:r>
      <w:r>
        <w:t>permanent fund</w:t>
      </w:r>
      <w:r w:rsidR="003D1906">
        <w:t xml:space="preserve">. The Board has flexibility in determining the expected </w:t>
      </w:r>
      <w:r w:rsidR="003D1906">
        <w:lastRenderedPageBreak/>
        <w:t>rate of return in relation to any particular financing decision</w:t>
      </w:r>
      <w:r w:rsidR="00545DBC">
        <w:t>; however t</w:t>
      </w:r>
      <w:r w:rsidR="003D1906">
        <w:t xml:space="preserve">he Board must ensure that, in aggregate over the medium to long term, the return on </w:t>
      </w:r>
      <w:r w:rsidR="00545DBC">
        <w:t xml:space="preserve">NHIF </w:t>
      </w:r>
      <w:r w:rsidR="003D1906">
        <w:t xml:space="preserve">loans and investments is sufficient to cover the </w:t>
      </w:r>
      <w:r w:rsidR="004A1788">
        <w:t xml:space="preserve">NHIF’s </w:t>
      </w:r>
      <w:r w:rsidR="003D1906">
        <w:t xml:space="preserve">financing and operating costs, </w:t>
      </w:r>
      <w:r w:rsidR="007F364C">
        <w:t>build and maintain adequate capital reserves</w:t>
      </w:r>
      <w:r w:rsidR="003D1906">
        <w:t xml:space="preserve">, and </w:t>
      </w:r>
      <w:r w:rsidR="007F364C">
        <w:t xml:space="preserve">cover </w:t>
      </w:r>
      <w:r w:rsidR="003D1906">
        <w:t>the Government’s borrowing costs.</w:t>
      </w:r>
      <w:r w:rsidR="00C2445A">
        <w:t xml:space="preserve"> The </w:t>
      </w:r>
      <w:r w:rsidR="00291346">
        <w:t>Commonwealth</w:t>
      </w:r>
      <w:r w:rsidR="00C2445A">
        <w:t xml:space="preserve">’s cost of borrowing is described </w:t>
      </w:r>
      <w:r w:rsidR="00BF29FA">
        <w:t>a</w:t>
      </w:r>
      <w:r w:rsidR="00BF29FA" w:rsidRPr="00E01688">
        <w:t xml:space="preserve">bove </w:t>
      </w:r>
      <w:r w:rsidR="00C2445A" w:rsidRPr="00E01688">
        <w:t xml:space="preserve">in </w:t>
      </w:r>
      <w:r w:rsidR="00291346" w:rsidRPr="00E01688">
        <w:t xml:space="preserve">the context of the </w:t>
      </w:r>
      <w:r w:rsidR="004B5B74" w:rsidRPr="00E01688">
        <w:t>permanent fund</w:t>
      </w:r>
      <w:r w:rsidR="00C2445A" w:rsidRPr="00E01688">
        <w:t>.</w:t>
      </w:r>
    </w:p>
    <w:p w14:paraId="5CD26281" w14:textId="4CF925EA" w:rsidR="009874EE" w:rsidRDefault="00291346" w:rsidP="007A517E">
      <w:pPr>
        <w:keepLines/>
        <w:spacing w:before="240"/>
      </w:pPr>
      <w:r w:rsidRPr="00291346">
        <w:t xml:space="preserve">In targeting the benchmark return for the NHIF, the NHFIC must seek to develop a portfolio that in aggregate has an acceptable but not excessive level of risk, having regard to the objects of the NHIF and the Act. </w:t>
      </w:r>
      <w:r w:rsidR="009874EE" w:rsidRPr="00291346">
        <w:t>Within six months of the commencement</w:t>
      </w:r>
      <w:r w:rsidR="009874EE">
        <w:t xml:space="preserve"> of the investment mandate, the </w:t>
      </w:r>
      <w:r w:rsidR="00BF29FA">
        <w:t xml:space="preserve">NHFIC </w:t>
      </w:r>
      <w:r w:rsidR="009874EE">
        <w:t xml:space="preserve">Board must agree an investment risk evaluation process to assess the </w:t>
      </w:r>
      <w:r w:rsidR="00D0598F">
        <w:t xml:space="preserve">risks associated with the </w:t>
      </w:r>
      <w:r w:rsidR="009874EE">
        <w:t>NHIF</w:t>
      </w:r>
      <w:r>
        <w:t xml:space="preserve">, and </w:t>
      </w:r>
      <w:r w:rsidR="009874EE">
        <w:t xml:space="preserve">must advise the </w:t>
      </w:r>
      <w:r w:rsidR="00CC6739">
        <w:t xml:space="preserve">Minister </w:t>
      </w:r>
      <w:r w:rsidR="009874EE">
        <w:t xml:space="preserve">of this process. </w:t>
      </w:r>
    </w:p>
    <w:p w14:paraId="0E19CE7A" w14:textId="77777777" w:rsidR="00C2445A" w:rsidRDefault="00C2445A" w:rsidP="00C2445A">
      <w:pPr>
        <w:spacing w:before="240"/>
      </w:pPr>
      <w:r>
        <w:t>The NHF</w:t>
      </w:r>
      <w:r w:rsidR="00946F5E">
        <w:t>IC</w:t>
      </w:r>
      <w:r>
        <w:t xml:space="preserve"> will work in partnership with local, State and Territory governments and registered </w:t>
      </w:r>
      <w:r w:rsidR="00946F5E">
        <w:t>CHPs</w:t>
      </w:r>
      <w:r>
        <w:t xml:space="preserve"> to support housing-enabling infrastructure projects</w:t>
      </w:r>
      <w:r w:rsidR="00946F5E">
        <w:t xml:space="preserve"> under the NHIF</w:t>
      </w:r>
      <w:r>
        <w:t xml:space="preserve">. </w:t>
      </w:r>
    </w:p>
    <w:p w14:paraId="0F12C91C" w14:textId="77777777" w:rsidR="00EC5271" w:rsidRPr="00EC5271" w:rsidRDefault="00EC5271" w:rsidP="00E83643">
      <w:pPr>
        <w:pStyle w:val="Heading3"/>
      </w:pPr>
      <w:r w:rsidRPr="00EC5271">
        <w:t xml:space="preserve">Part 5 – </w:t>
      </w:r>
      <w:r>
        <w:t>Capacity b</w:t>
      </w:r>
      <w:r w:rsidRPr="00EC5271">
        <w:t>uilding activities</w:t>
      </w:r>
    </w:p>
    <w:p w14:paraId="5EB9DFC8" w14:textId="40001B86" w:rsidR="00EC5271" w:rsidRDefault="00256E2A" w:rsidP="006341C6">
      <w:pPr>
        <w:spacing w:before="240"/>
      </w:pPr>
      <w:r>
        <w:t>T</w:t>
      </w:r>
      <w:r w:rsidR="0034351D">
        <w:t xml:space="preserve">he </w:t>
      </w:r>
      <w:r w:rsidR="00635E65">
        <w:t>NHFIC</w:t>
      </w:r>
      <w:r w:rsidR="0034351D">
        <w:t xml:space="preserve"> may</w:t>
      </w:r>
      <w:r>
        <w:t xml:space="preserve"> </w:t>
      </w:r>
      <w:r w:rsidR="00954795">
        <w:t xml:space="preserve">fund </w:t>
      </w:r>
      <w:r>
        <w:t xml:space="preserve">capacity building services for registered </w:t>
      </w:r>
      <w:r w:rsidR="00946F5E">
        <w:t>CHPs</w:t>
      </w:r>
      <w:r>
        <w:t xml:space="preserve">. </w:t>
      </w:r>
      <w:r w:rsidR="007A517E">
        <w:t>Through this pilot program, NHFIC</w:t>
      </w:r>
      <w:r w:rsidR="005F0B8E">
        <w:t xml:space="preserve"> can assist registered </w:t>
      </w:r>
      <w:r w:rsidR="00946F5E">
        <w:t>CHPs</w:t>
      </w:r>
      <w:r w:rsidR="005F0B8E">
        <w:t xml:space="preserve"> to </w:t>
      </w:r>
      <w:r w:rsidR="005F0B8E" w:rsidRPr="005F0B8E">
        <w:t>develop</w:t>
      </w:r>
      <w:r w:rsidR="005F0B8E">
        <w:t xml:space="preserve"> their financial </w:t>
      </w:r>
      <w:r w:rsidR="005540AE">
        <w:t xml:space="preserve">and management </w:t>
      </w:r>
      <w:r w:rsidR="005F0B8E">
        <w:t>capability and</w:t>
      </w:r>
      <w:r w:rsidR="005F0B8E" w:rsidRPr="005F0B8E">
        <w:t xml:space="preserve"> u</w:t>
      </w:r>
      <w:r w:rsidR="005F0B8E">
        <w:t xml:space="preserve">ndertake new developments. </w:t>
      </w:r>
      <w:r w:rsidR="00A176A8">
        <w:t>A cap of $1.5</w:t>
      </w:r>
      <w:r w:rsidR="005540AE">
        <w:t> </w:t>
      </w:r>
      <w:r w:rsidR="00A176A8">
        <w:t>million applies to the amount the NHFIC can spend on capacity building activities</w:t>
      </w:r>
      <w:r w:rsidR="005F0B8E">
        <w:t xml:space="preserve">. </w:t>
      </w:r>
    </w:p>
    <w:p w14:paraId="1BCAE6BB" w14:textId="0D3054F5" w:rsidR="00256E2A" w:rsidRDefault="00256E2A" w:rsidP="006341C6">
      <w:pPr>
        <w:spacing w:before="240"/>
      </w:pPr>
      <w:r>
        <w:t xml:space="preserve">The </w:t>
      </w:r>
      <w:r w:rsidR="00635E65">
        <w:t>NHFIC</w:t>
      </w:r>
      <w:r>
        <w:t xml:space="preserve"> will fund the provision of any capacity building services. </w:t>
      </w:r>
      <w:r w:rsidR="00B27E92">
        <w:t>For example</w:t>
      </w:r>
      <w:r>
        <w:t xml:space="preserve">, the </w:t>
      </w:r>
      <w:r w:rsidR="00635E65">
        <w:t>NHFIC</w:t>
      </w:r>
      <w:r>
        <w:t xml:space="preserve"> may procure these services from providers such as the Government’s AusIndustry service. </w:t>
      </w:r>
    </w:p>
    <w:p w14:paraId="52025D10" w14:textId="1237F168" w:rsidR="00975BFF" w:rsidRPr="00107BD8" w:rsidRDefault="004B5B74" w:rsidP="006341C6">
      <w:pPr>
        <w:spacing w:before="240"/>
      </w:pPr>
      <w:r>
        <w:t xml:space="preserve">The Board may develop guidelines regarding the operation of any capacity building service, including </w:t>
      </w:r>
      <w:r w:rsidR="00CC6739">
        <w:t>eligibility criteria</w:t>
      </w:r>
      <w:r>
        <w:t>.</w:t>
      </w:r>
    </w:p>
    <w:p w14:paraId="3FB91371" w14:textId="77777777" w:rsidR="00EC5271" w:rsidRDefault="00EC5271" w:rsidP="00E83643">
      <w:pPr>
        <w:pStyle w:val="Heading3"/>
      </w:pPr>
      <w:r>
        <w:t xml:space="preserve">Part 6 </w:t>
      </w:r>
      <w:r w:rsidR="002D6C86">
        <w:t>–</w:t>
      </w:r>
      <w:r>
        <w:t xml:space="preserve"> Governance</w:t>
      </w:r>
    </w:p>
    <w:p w14:paraId="3A2BADB8" w14:textId="77777777" w:rsidR="00AF6139" w:rsidRDefault="00AF6139" w:rsidP="002D6C86">
      <w:pPr>
        <w:pStyle w:val="base-text-paragraph"/>
        <w:ind w:left="0"/>
        <w:rPr>
          <w:u w:val="single"/>
        </w:rPr>
      </w:pPr>
      <w:r>
        <w:rPr>
          <w:u w:val="single"/>
        </w:rPr>
        <w:t>Section 30</w:t>
      </w:r>
      <w:r w:rsidR="00975BFF">
        <w:rPr>
          <w:u w:val="single"/>
        </w:rPr>
        <w:t xml:space="preserve"> – Reasons for decisions</w:t>
      </w:r>
    </w:p>
    <w:p w14:paraId="38B43340" w14:textId="77777777" w:rsidR="004D04EF" w:rsidRDefault="004D04EF" w:rsidP="004D04EF">
      <w:pPr>
        <w:pStyle w:val="base-text-paragraph"/>
        <w:ind w:left="0"/>
      </w:pPr>
      <w:r>
        <w:t>Section 30 provides that</w:t>
      </w:r>
      <w:r w:rsidR="00975BFF">
        <w:t>,</w:t>
      </w:r>
      <w:r>
        <w:t xml:space="preserve"> where it is practicable to do so, the NHFIC should communicate its reasons for making a particular decision to provide finance, or to not provide finance, to the entity that made the related financing proposal.</w:t>
      </w:r>
    </w:p>
    <w:p w14:paraId="741EFC0F" w14:textId="77777777" w:rsidR="004D04EF" w:rsidRDefault="004D04EF" w:rsidP="004D04EF">
      <w:pPr>
        <w:pStyle w:val="base-text-paragraph"/>
        <w:ind w:left="0"/>
      </w:pPr>
      <w:r>
        <w:t xml:space="preserve">While this provision does not require the NHFIC to provide such reasons in all circumstances, it nevertheless makes clear the expectation that the NHFIC will, as a matter of good practice, provide applicants with information about its decisions. </w:t>
      </w:r>
    </w:p>
    <w:p w14:paraId="63B8B52C" w14:textId="49E73F00" w:rsidR="00012CFE" w:rsidRDefault="00012CFE" w:rsidP="004D04EF">
      <w:pPr>
        <w:pStyle w:val="base-text-paragraph"/>
        <w:ind w:left="0"/>
      </w:pPr>
      <w:r>
        <w:t xml:space="preserve">Circumstances in which </w:t>
      </w:r>
      <w:r w:rsidR="00946F5E">
        <w:t xml:space="preserve">the </w:t>
      </w:r>
      <w:r>
        <w:t>NHFIC may not provide such reasons include where the information is commercial-in-confidence or places at risk its relationship with third party financiers who have provided commercially sensitive information to the NHFIC.</w:t>
      </w:r>
    </w:p>
    <w:p w14:paraId="400B3E36" w14:textId="77777777" w:rsidR="002D6C86" w:rsidRDefault="00F07236" w:rsidP="002D6C86">
      <w:pPr>
        <w:pStyle w:val="base-text-paragraph"/>
        <w:ind w:left="0"/>
        <w:rPr>
          <w:u w:val="single"/>
        </w:rPr>
      </w:pPr>
      <w:r>
        <w:rPr>
          <w:u w:val="single"/>
        </w:rPr>
        <w:t xml:space="preserve">Section </w:t>
      </w:r>
      <w:r w:rsidR="00A376E6">
        <w:rPr>
          <w:u w:val="single"/>
        </w:rPr>
        <w:t>3</w:t>
      </w:r>
      <w:r w:rsidR="00AF6139">
        <w:rPr>
          <w:u w:val="single"/>
        </w:rPr>
        <w:t>1</w:t>
      </w:r>
      <w:r w:rsidR="00A376E6">
        <w:rPr>
          <w:u w:val="single"/>
        </w:rPr>
        <w:t xml:space="preserve"> </w:t>
      </w:r>
      <w:r>
        <w:rPr>
          <w:u w:val="single"/>
        </w:rPr>
        <w:t>– Good corporate citizenship</w:t>
      </w:r>
    </w:p>
    <w:p w14:paraId="0A5E86AC" w14:textId="5346F9FC" w:rsidR="00F07236" w:rsidRDefault="00F07236" w:rsidP="002D6C86">
      <w:pPr>
        <w:pStyle w:val="base-text-paragraph"/>
        <w:ind w:left="0"/>
      </w:pPr>
      <w:r w:rsidRPr="00F07236">
        <w:t xml:space="preserve">Section </w:t>
      </w:r>
      <w:r w:rsidR="00A376E6">
        <w:t>3</w:t>
      </w:r>
      <w:r w:rsidR="00AF6139">
        <w:t>1</w:t>
      </w:r>
      <w:r w:rsidR="00A376E6" w:rsidRPr="00F07236">
        <w:t xml:space="preserve"> </w:t>
      </w:r>
      <w:r w:rsidRPr="00F07236">
        <w:t xml:space="preserve">provides that the </w:t>
      </w:r>
      <w:r w:rsidR="00635E65">
        <w:t>NHFIC</w:t>
      </w:r>
      <w:r w:rsidRPr="00F07236">
        <w:t xml:space="preserve"> must </w:t>
      </w:r>
      <w:r w:rsidR="00CC216A">
        <w:t>have regard to</w:t>
      </w:r>
      <w:r w:rsidR="00975BFF">
        <w:t xml:space="preserve"> Australian</w:t>
      </w:r>
      <w:r w:rsidR="00CC216A">
        <w:t xml:space="preserve"> best practice principles of corporate governance rele</w:t>
      </w:r>
      <w:r w:rsidR="00D735AB">
        <w:t xml:space="preserve">vant to its role. In particular, the Board must develop and annually review </w:t>
      </w:r>
      <w:r w:rsidR="00443044">
        <w:t xml:space="preserve">policies regarding </w:t>
      </w:r>
      <w:r w:rsidR="00D735AB">
        <w:t>environmental, social and governance</w:t>
      </w:r>
      <w:r w:rsidR="00BA78C4">
        <w:t xml:space="preserve"> issues</w:t>
      </w:r>
      <w:r w:rsidR="00D735AB">
        <w:t>.</w:t>
      </w:r>
    </w:p>
    <w:p w14:paraId="26E1F4DA" w14:textId="334FB73B" w:rsidR="009106AA" w:rsidRDefault="009106AA" w:rsidP="002D6C86">
      <w:pPr>
        <w:pStyle w:val="base-text-paragraph"/>
        <w:ind w:left="0"/>
      </w:pPr>
      <w:r w:rsidRPr="00CC6739">
        <w:lastRenderedPageBreak/>
        <w:t>The NHFIC must also ensure as far as practicable that financing decisions are made in a timely way. This requires the NHFIC to balance its obligations under the Act and the investment mandate to make informed decision</w:t>
      </w:r>
      <w:r w:rsidR="00A468B3">
        <w:t>s</w:t>
      </w:r>
      <w:r w:rsidRPr="00CC6739">
        <w:t xml:space="preserve"> against the costs to the project proponent. The NHFIC should not take longer than is necessary to make financing decisions.</w:t>
      </w:r>
    </w:p>
    <w:p w14:paraId="67611AEC" w14:textId="77777777" w:rsidR="00BD5D20" w:rsidRPr="00BD5D20" w:rsidRDefault="00BD5D20" w:rsidP="007A517E">
      <w:pPr>
        <w:pStyle w:val="base-text-paragraph"/>
        <w:keepNext/>
        <w:ind w:left="0"/>
        <w:rPr>
          <w:u w:val="single"/>
        </w:rPr>
      </w:pPr>
      <w:r w:rsidRPr="00BD5D20">
        <w:rPr>
          <w:u w:val="single"/>
        </w:rPr>
        <w:t xml:space="preserve">Section </w:t>
      </w:r>
      <w:r w:rsidR="00A376E6">
        <w:rPr>
          <w:u w:val="single"/>
        </w:rPr>
        <w:t>3</w:t>
      </w:r>
      <w:r w:rsidR="00AF6139">
        <w:rPr>
          <w:u w:val="single"/>
        </w:rPr>
        <w:t>2</w:t>
      </w:r>
      <w:r w:rsidR="00A376E6" w:rsidRPr="00BD5D20">
        <w:rPr>
          <w:u w:val="single"/>
        </w:rPr>
        <w:t xml:space="preserve"> </w:t>
      </w:r>
      <w:r w:rsidRPr="00BD5D20">
        <w:rPr>
          <w:u w:val="single"/>
        </w:rPr>
        <w:t xml:space="preserve">– Transparency of </w:t>
      </w:r>
      <w:r w:rsidR="00926EE4">
        <w:rPr>
          <w:u w:val="single"/>
        </w:rPr>
        <w:t xml:space="preserve">NHIF </w:t>
      </w:r>
      <w:r w:rsidRPr="00BD5D20">
        <w:rPr>
          <w:u w:val="single"/>
        </w:rPr>
        <w:t>operations</w:t>
      </w:r>
    </w:p>
    <w:p w14:paraId="1352B08B" w14:textId="08AD3223" w:rsidR="00BD5D20" w:rsidRDefault="00B802F8" w:rsidP="002D6C86">
      <w:pPr>
        <w:pStyle w:val="base-text-paragraph"/>
        <w:ind w:left="0"/>
      </w:pPr>
      <w:r>
        <w:t xml:space="preserve">Section </w:t>
      </w:r>
      <w:r w:rsidR="00A376E6">
        <w:t>3</w:t>
      </w:r>
      <w:r w:rsidR="00AF6139">
        <w:t>2</w:t>
      </w:r>
      <w:r w:rsidR="00A376E6">
        <w:t xml:space="preserve"> </w:t>
      </w:r>
      <w:r>
        <w:t xml:space="preserve">provides that the </w:t>
      </w:r>
      <w:r w:rsidR="00635E65">
        <w:t>NHFIC</w:t>
      </w:r>
      <w:r>
        <w:t xml:space="preserve"> must publish guidance on its website to assist potential applicants to lodge </w:t>
      </w:r>
      <w:r w:rsidR="008C7D7D">
        <w:t xml:space="preserve">AHBA loan applications and </w:t>
      </w:r>
      <w:r w:rsidR="00926EE4">
        <w:t>N</w:t>
      </w:r>
      <w:r w:rsidR="00BA78C4">
        <w:t>H</w:t>
      </w:r>
      <w:r w:rsidR="00926EE4">
        <w:t xml:space="preserve">IF </w:t>
      </w:r>
      <w:r>
        <w:t xml:space="preserve">financing proposals and to ensure the </w:t>
      </w:r>
      <w:r w:rsidR="00635E65">
        <w:t>NHFIC</w:t>
      </w:r>
      <w:r>
        <w:t>’s decision-making process is transparent.</w:t>
      </w:r>
    </w:p>
    <w:p w14:paraId="664B920B" w14:textId="26944348" w:rsidR="00B802F8" w:rsidRDefault="00B802F8" w:rsidP="002D6C86">
      <w:pPr>
        <w:pStyle w:val="base-text-paragraph"/>
        <w:ind w:left="0"/>
      </w:pPr>
      <w:r>
        <w:t xml:space="preserve">Section </w:t>
      </w:r>
      <w:r w:rsidR="00A376E6">
        <w:t>3</w:t>
      </w:r>
      <w:r w:rsidR="00AF6139">
        <w:t>2</w:t>
      </w:r>
      <w:r w:rsidR="00A376E6">
        <w:t xml:space="preserve"> </w:t>
      </w:r>
      <w:r>
        <w:t xml:space="preserve">also requires the </w:t>
      </w:r>
      <w:r w:rsidR="00635E65">
        <w:t>NHFIC</w:t>
      </w:r>
      <w:r>
        <w:t xml:space="preserve"> to publish details of each </w:t>
      </w:r>
      <w:r w:rsidR="00E179E4">
        <w:t>d</w:t>
      </w:r>
      <w:r w:rsidR="007C0754">
        <w:t>ecision</w:t>
      </w:r>
      <w:r w:rsidR="00E179E4">
        <w:t xml:space="preserve"> to make a grant, loan or investment</w:t>
      </w:r>
      <w:r>
        <w:t xml:space="preserve"> </w:t>
      </w:r>
      <w:r w:rsidR="00926EE4">
        <w:t xml:space="preserve">under the NHIF </w:t>
      </w:r>
      <w:r>
        <w:t xml:space="preserve">within six months of the decision. This </w:t>
      </w:r>
      <w:r w:rsidR="004C598A">
        <w:t>requirement</w:t>
      </w:r>
      <w:r>
        <w:t xml:space="preserve"> is subject to the </w:t>
      </w:r>
      <w:r w:rsidR="00635E65">
        <w:t>NHFIC</w:t>
      </w:r>
      <w:r>
        <w:t>’</w:t>
      </w:r>
      <w:r w:rsidR="004C598A">
        <w:t>s obligation</w:t>
      </w:r>
      <w:r>
        <w:t xml:space="preserve"> to maintain the confidentiality of </w:t>
      </w:r>
      <w:r w:rsidR="00441DFB">
        <w:t>commercially sensitive</w:t>
      </w:r>
      <w:r>
        <w:t xml:space="preserve"> information. </w:t>
      </w:r>
    </w:p>
    <w:p w14:paraId="7C2EB01F" w14:textId="77777777" w:rsidR="00BD5D20" w:rsidRPr="00BD5D20" w:rsidRDefault="00BD5D20" w:rsidP="00CC6739">
      <w:pPr>
        <w:pStyle w:val="base-text-paragraph"/>
        <w:keepNext/>
        <w:ind w:left="0"/>
        <w:rPr>
          <w:u w:val="single"/>
        </w:rPr>
      </w:pPr>
      <w:r w:rsidRPr="00BD5D20">
        <w:rPr>
          <w:u w:val="single"/>
        </w:rPr>
        <w:t xml:space="preserve">Section </w:t>
      </w:r>
      <w:r w:rsidR="00A376E6">
        <w:rPr>
          <w:u w:val="single"/>
        </w:rPr>
        <w:t>3</w:t>
      </w:r>
      <w:r w:rsidR="00AF6139">
        <w:rPr>
          <w:u w:val="single"/>
        </w:rPr>
        <w:t>3</w:t>
      </w:r>
      <w:r w:rsidR="00A376E6" w:rsidRPr="00BD5D20">
        <w:rPr>
          <w:u w:val="single"/>
        </w:rPr>
        <w:t xml:space="preserve"> </w:t>
      </w:r>
      <w:r w:rsidRPr="00BD5D20">
        <w:rPr>
          <w:u w:val="single"/>
        </w:rPr>
        <w:t>– Reputation</w:t>
      </w:r>
    </w:p>
    <w:p w14:paraId="26278655" w14:textId="20E5FA19" w:rsidR="00BD5D20" w:rsidRPr="001B1CA0" w:rsidRDefault="005C005C" w:rsidP="002D6C86">
      <w:pPr>
        <w:pStyle w:val="base-text-paragraph"/>
        <w:ind w:left="0"/>
      </w:pPr>
      <w:r>
        <w:t xml:space="preserve">Section </w:t>
      </w:r>
      <w:r w:rsidR="00A376E6">
        <w:t>3</w:t>
      </w:r>
      <w:r w:rsidR="00AF6139">
        <w:t>3</w:t>
      </w:r>
      <w:r w:rsidR="00A376E6">
        <w:t xml:space="preserve"> </w:t>
      </w:r>
      <w:r>
        <w:t>provides</w:t>
      </w:r>
      <w:r w:rsidR="00BA78C4">
        <w:t xml:space="preserve"> that</w:t>
      </w:r>
      <w:r>
        <w:t xml:space="preserve"> the </w:t>
      </w:r>
      <w:r w:rsidR="00635E65">
        <w:t>NHFIC</w:t>
      </w:r>
      <w:r>
        <w:t xml:space="preserve"> must not cause damage to the Australian Government</w:t>
      </w:r>
      <w:r w:rsidR="004C598A">
        <w:t>’s reputation</w:t>
      </w:r>
      <w:r>
        <w:t>, inclu</w:t>
      </w:r>
      <w:r w:rsidRPr="001B1CA0">
        <w:t>ding its reputation in financial markets</w:t>
      </w:r>
      <w:r w:rsidR="00BA78C4">
        <w:t xml:space="preserve"> both locally and overseas</w:t>
      </w:r>
      <w:r w:rsidRPr="001B1CA0">
        <w:t xml:space="preserve">. </w:t>
      </w:r>
    </w:p>
    <w:p w14:paraId="5559221A" w14:textId="77777777" w:rsidR="00BD5D20" w:rsidRPr="001B1CA0" w:rsidRDefault="00BD5D20" w:rsidP="00CC6739">
      <w:pPr>
        <w:pStyle w:val="base-text-paragraph"/>
        <w:keepNext/>
        <w:ind w:left="0"/>
        <w:rPr>
          <w:u w:val="single"/>
        </w:rPr>
      </w:pPr>
      <w:r w:rsidRPr="001B1CA0">
        <w:rPr>
          <w:u w:val="single"/>
        </w:rPr>
        <w:t xml:space="preserve">Section </w:t>
      </w:r>
      <w:r w:rsidR="00A376E6">
        <w:rPr>
          <w:u w:val="single"/>
        </w:rPr>
        <w:t>3</w:t>
      </w:r>
      <w:r w:rsidR="00AF6139">
        <w:rPr>
          <w:u w:val="single"/>
        </w:rPr>
        <w:t>4</w:t>
      </w:r>
      <w:r w:rsidR="00A376E6" w:rsidRPr="001B1CA0">
        <w:rPr>
          <w:u w:val="single"/>
        </w:rPr>
        <w:t xml:space="preserve"> </w:t>
      </w:r>
      <w:r w:rsidRPr="001B1CA0">
        <w:rPr>
          <w:u w:val="single"/>
        </w:rPr>
        <w:t>– Approval required if liabilities will exceed $</w:t>
      </w:r>
      <w:r w:rsidR="000A77CB">
        <w:rPr>
          <w:u w:val="single"/>
        </w:rPr>
        <w:t>2</w:t>
      </w:r>
      <w:r w:rsidRPr="001B1CA0">
        <w:rPr>
          <w:u w:val="single"/>
        </w:rPr>
        <w:t xml:space="preserve"> billion</w:t>
      </w:r>
    </w:p>
    <w:p w14:paraId="577E1443" w14:textId="104EBC30" w:rsidR="00BD5D20" w:rsidRDefault="00BD5D20" w:rsidP="002D6C86">
      <w:pPr>
        <w:pStyle w:val="base-text-paragraph"/>
        <w:ind w:left="0"/>
      </w:pPr>
      <w:r>
        <w:t>A cap of $</w:t>
      </w:r>
      <w:r w:rsidR="000A77CB">
        <w:t>2</w:t>
      </w:r>
      <w:r>
        <w:t xml:space="preserve"> billion applies to the amount of </w:t>
      </w:r>
      <w:r w:rsidR="00BA78C4">
        <w:t>government</w:t>
      </w:r>
      <w:r>
        <w:t>-guaranteed liabilities</w:t>
      </w:r>
      <w:r w:rsidR="00BA78C4">
        <w:t xml:space="preserve"> that the NHFIC may incur</w:t>
      </w:r>
      <w:r w:rsidR="005946C5">
        <w:t xml:space="preserve"> and allocate</w:t>
      </w:r>
      <w:r w:rsidR="00B27E92">
        <w:t>d</w:t>
      </w:r>
      <w:r w:rsidR="005946C5">
        <w:t xml:space="preserve"> to the AHBA reserve</w:t>
      </w:r>
      <w:r>
        <w:t xml:space="preserve">. </w:t>
      </w:r>
      <w:r w:rsidR="007A59D3">
        <w:t>T</w:t>
      </w:r>
      <w:r w:rsidR="00375319">
        <w:t xml:space="preserve">he </w:t>
      </w:r>
      <w:r w:rsidR="00635E65">
        <w:t>NHFIC</w:t>
      </w:r>
      <w:r w:rsidR="00375319">
        <w:t xml:space="preserve"> may not </w:t>
      </w:r>
      <w:r w:rsidR="00441DFB">
        <w:t xml:space="preserve">incur </w:t>
      </w:r>
      <w:r w:rsidR="00375319">
        <w:t xml:space="preserve">guaranteed liabilities </w:t>
      </w:r>
      <w:r w:rsidR="005946C5">
        <w:t xml:space="preserve">or allocate amounts to the reserve </w:t>
      </w:r>
      <w:r w:rsidR="00375319">
        <w:t>in excess of the cap</w:t>
      </w:r>
      <w:r w:rsidR="00441DFB">
        <w:t xml:space="preserve"> unless t</w:t>
      </w:r>
      <w:r w:rsidR="00A6390C">
        <w:t xml:space="preserve">he </w:t>
      </w:r>
      <w:r w:rsidR="00CC6739">
        <w:t xml:space="preserve">Minister </w:t>
      </w:r>
      <w:r w:rsidR="00A6390C">
        <w:t xml:space="preserve">and the Minister for Finance </w:t>
      </w:r>
      <w:r w:rsidR="00E518B6">
        <w:t>approve</w:t>
      </w:r>
      <w:r w:rsidR="00A6390C">
        <w:t xml:space="preserve"> a higher cap. </w:t>
      </w:r>
    </w:p>
    <w:p w14:paraId="1ADC3FDC" w14:textId="6C58B57B" w:rsidR="00DC5E4B" w:rsidRDefault="00DC5E4B" w:rsidP="002D6C86">
      <w:pPr>
        <w:pStyle w:val="base-text-paragraph"/>
        <w:ind w:left="0"/>
      </w:pPr>
      <w:r>
        <w:t xml:space="preserve">The cap is an obligation on the NHFIC and does not operate to directly limit the effect of the </w:t>
      </w:r>
      <w:r w:rsidR="00BA78C4">
        <w:t xml:space="preserve">government </w:t>
      </w:r>
      <w:r>
        <w:t>guarantee. If the NHFIC breached the cap without ministerial approval, the debt issued in excess of the cap would sti</w:t>
      </w:r>
      <w:r w:rsidR="00397BC2">
        <w:t>ll be subject to the guarantee.</w:t>
      </w:r>
    </w:p>
    <w:p w14:paraId="339757BA" w14:textId="379633E9" w:rsidR="000615A7" w:rsidRPr="00591A0D" w:rsidRDefault="000615A7" w:rsidP="002D6C86">
      <w:pPr>
        <w:pStyle w:val="base-text-paragraph"/>
        <w:ind w:left="0"/>
        <w:rPr>
          <w:u w:val="single"/>
        </w:rPr>
      </w:pPr>
      <w:r w:rsidRPr="00591A0D">
        <w:rPr>
          <w:u w:val="single"/>
        </w:rPr>
        <w:t xml:space="preserve">Section </w:t>
      </w:r>
      <w:r w:rsidR="000E13D1" w:rsidRPr="00591A0D">
        <w:rPr>
          <w:u w:val="single"/>
        </w:rPr>
        <w:t>35</w:t>
      </w:r>
      <w:r w:rsidRPr="00591A0D">
        <w:rPr>
          <w:u w:val="single"/>
        </w:rPr>
        <w:t xml:space="preserve"> – </w:t>
      </w:r>
      <w:r w:rsidR="00C66388" w:rsidRPr="00591A0D">
        <w:rPr>
          <w:u w:val="single"/>
        </w:rPr>
        <w:t>Five</w:t>
      </w:r>
      <w:r w:rsidR="00CC6739">
        <w:rPr>
          <w:u w:val="single"/>
        </w:rPr>
        <w:t>-</w:t>
      </w:r>
      <w:r w:rsidR="00C66388" w:rsidRPr="00591A0D">
        <w:rPr>
          <w:u w:val="single"/>
        </w:rPr>
        <w:t>year restriction on offshore</w:t>
      </w:r>
      <w:r w:rsidRPr="00591A0D">
        <w:rPr>
          <w:u w:val="single"/>
        </w:rPr>
        <w:t xml:space="preserve"> borrowing</w:t>
      </w:r>
    </w:p>
    <w:p w14:paraId="442D8607" w14:textId="54A5AF83" w:rsidR="007A59D3" w:rsidRPr="00F07236" w:rsidRDefault="00CC6739" w:rsidP="00CC6739">
      <w:r>
        <w:t xml:space="preserve">The </w:t>
      </w:r>
      <w:r w:rsidR="00C66388" w:rsidRPr="00D409AA">
        <w:t xml:space="preserve">NHFIC </w:t>
      </w:r>
      <w:r w:rsidR="000E13D1" w:rsidRPr="00591A0D">
        <w:t>may</w:t>
      </w:r>
      <w:r w:rsidR="00C66388" w:rsidRPr="00D409AA">
        <w:t xml:space="preserve"> borrow funds from the market, including by way of issuing bonds</w:t>
      </w:r>
      <w:r w:rsidR="00C66388" w:rsidRPr="00591A0D">
        <w:t>.</w:t>
      </w:r>
      <w:r w:rsidR="00C66388" w:rsidRPr="00D409AA">
        <w:t xml:space="preserve"> Section </w:t>
      </w:r>
      <w:r w:rsidR="000E13D1" w:rsidRPr="00591A0D">
        <w:t>35</w:t>
      </w:r>
      <w:r w:rsidR="002651BB">
        <w:t xml:space="preserve"> </w:t>
      </w:r>
      <w:r w:rsidR="00C66388" w:rsidRPr="00591A0D">
        <w:t>restricts</w:t>
      </w:r>
      <w:r w:rsidR="00C66388" w:rsidRPr="00D409AA">
        <w:t xml:space="preserve"> the NHFIC’s borrowing powers to prevent it from issuing bonds in an offshore market until 1 July 2023</w:t>
      </w:r>
      <w:r w:rsidR="007A517E">
        <w:t xml:space="preserve"> as the initial priority of the NHFIC should be to build a new asset class in Australia.</w:t>
      </w:r>
      <w:r w:rsidR="00C66388" w:rsidRPr="00D409AA">
        <w:t xml:space="preserve"> From 1 July 2023, the NHFIC may </w:t>
      </w:r>
      <w:r w:rsidR="007A517E">
        <w:t xml:space="preserve">also </w:t>
      </w:r>
      <w:r w:rsidR="00C66388" w:rsidRPr="00D409AA">
        <w:t xml:space="preserve">issue bonds in </w:t>
      </w:r>
      <w:r w:rsidR="007A517E">
        <w:t>offshore</w:t>
      </w:r>
      <w:r w:rsidR="007A517E" w:rsidRPr="00D409AA">
        <w:t xml:space="preserve"> </w:t>
      </w:r>
      <w:r w:rsidR="00C66388" w:rsidRPr="00D409AA">
        <w:t>markets.</w:t>
      </w:r>
    </w:p>
    <w:sectPr w:rsidR="007A59D3" w:rsidRPr="00F07236" w:rsidSect="00392BBA">
      <w:footerReference w:type="default" r:id="rId1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6A5FA" w14:textId="77777777" w:rsidR="00F40AC7" w:rsidRDefault="00F40AC7" w:rsidP="00954679">
      <w:pPr>
        <w:spacing w:before="0" w:after="0"/>
      </w:pPr>
      <w:r>
        <w:separator/>
      </w:r>
    </w:p>
  </w:endnote>
  <w:endnote w:type="continuationSeparator" w:id="0">
    <w:p w14:paraId="3FAD8A07" w14:textId="77777777" w:rsidR="00F40AC7" w:rsidRDefault="00F40AC7" w:rsidP="00954679">
      <w:pPr>
        <w:spacing w:before="0" w:after="0"/>
      </w:pPr>
      <w:r>
        <w:continuationSeparator/>
      </w:r>
    </w:p>
  </w:endnote>
  <w:endnote w:type="continuationNotice" w:id="1">
    <w:p w14:paraId="147D9D1F" w14:textId="77777777" w:rsidR="00F40AC7" w:rsidRDefault="00F40AC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0BDD8AC" w14:textId="22CD3971" w:rsidR="00F40AC7" w:rsidRDefault="00F40AC7"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AF0247">
              <w:rPr>
                <w:bCs/>
                <w:noProof/>
              </w:rPr>
              <w:t>12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AF0247">
              <w:rPr>
                <w:bCs/>
                <w:noProof/>
              </w:rPr>
              <w:t>12</w:t>
            </w:r>
            <w:r w:rsidRPr="00954679">
              <w:rPr>
                <w:bCs/>
                <w:szCs w:val="24"/>
              </w:rPr>
              <w:fldChar w:fldCharType="end"/>
            </w:r>
          </w:p>
        </w:sdtContent>
      </w:sdt>
    </w:sdtContent>
  </w:sdt>
  <w:p w14:paraId="5E2E0A16" w14:textId="77777777" w:rsidR="00F40AC7" w:rsidRDefault="00F40A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09F4B" w14:textId="77777777" w:rsidR="00F40AC7" w:rsidRDefault="00F40AC7" w:rsidP="00954679">
      <w:pPr>
        <w:spacing w:before="0" w:after="0"/>
      </w:pPr>
      <w:r>
        <w:separator/>
      </w:r>
    </w:p>
  </w:footnote>
  <w:footnote w:type="continuationSeparator" w:id="0">
    <w:p w14:paraId="16B83D0B" w14:textId="77777777" w:rsidR="00F40AC7" w:rsidRDefault="00F40AC7" w:rsidP="00954679">
      <w:pPr>
        <w:spacing w:before="0" w:after="0"/>
      </w:pPr>
      <w:r>
        <w:continuationSeparator/>
      </w:r>
    </w:p>
  </w:footnote>
  <w:footnote w:type="continuationNotice" w:id="1">
    <w:p w14:paraId="7238CB3A" w14:textId="77777777" w:rsidR="00F40AC7" w:rsidRDefault="00F40AC7">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3C554A3D"/>
    <w:multiLevelType w:val="multilevel"/>
    <w:tmpl w:val="A3F20A6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3EAD3F5F"/>
    <w:multiLevelType w:val="multilevel"/>
    <w:tmpl w:val="D884C47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7A43C0B"/>
    <w:multiLevelType w:val="multilevel"/>
    <w:tmpl w:val="2E96819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8E566F9"/>
    <w:multiLevelType w:val="multilevel"/>
    <w:tmpl w:val="08A026E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4"/>
  </w:num>
  <w:num w:numId="3">
    <w:abstractNumId w:val="0"/>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8A"/>
    <w:rsid w:val="0000417B"/>
    <w:rsid w:val="00006101"/>
    <w:rsid w:val="00006A1E"/>
    <w:rsid w:val="0000796D"/>
    <w:rsid w:val="00012CFE"/>
    <w:rsid w:val="00016EA2"/>
    <w:rsid w:val="00017320"/>
    <w:rsid w:val="0002016A"/>
    <w:rsid w:val="0002253B"/>
    <w:rsid w:val="00022E0C"/>
    <w:rsid w:val="0003465D"/>
    <w:rsid w:val="00036E85"/>
    <w:rsid w:val="00041275"/>
    <w:rsid w:val="00043861"/>
    <w:rsid w:val="0004650F"/>
    <w:rsid w:val="000510B7"/>
    <w:rsid w:val="0005429F"/>
    <w:rsid w:val="000615A7"/>
    <w:rsid w:val="00073A98"/>
    <w:rsid w:val="00073CF1"/>
    <w:rsid w:val="000822F2"/>
    <w:rsid w:val="00083C06"/>
    <w:rsid w:val="00092CC2"/>
    <w:rsid w:val="00095211"/>
    <w:rsid w:val="00095B3C"/>
    <w:rsid w:val="000968D8"/>
    <w:rsid w:val="00097696"/>
    <w:rsid w:val="000A2800"/>
    <w:rsid w:val="000A302E"/>
    <w:rsid w:val="000A4317"/>
    <w:rsid w:val="000A67FA"/>
    <w:rsid w:val="000A69C0"/>
    <w:rsid w:val="000A77CB"/>
    <w:rsid w:val="000B2F57"/>
    <w:rsid w:val="000C08A1"/>
    <w:rsid w:val="000C10DF"/>
    <w:rsid w:val="000C2D24"/>
    <w:rsid w:val="000C75C7"/>
    <w:rsid w:val="000C7B5F"/>
    <w:rsid w:val="000D5361"/>
    <w:rsid w:val="000D6419"/>
    <w:rsid w:val="000E13D1"/>
    <w:rsid w:val="000E4229"/>
    <w:rsid w:val="000F7542"/>
    <w:rsid w:val="001048F4"/>
    <w:rsid w:val="00106776"/>
    <w:rsid w:val="00107BD8"/>
    <w:rsid w:val="00113B45"/>
    <w:rsid w:val="001147BF"/>
    <w:rsid w:val="00116F4F"/>
    <w:rsid w:val="00117B91"/>
    <w:rsid w:val="00122B3A"/>
    <w:rsid w:val="00126340"/>
    <w:rsid w:val="00131562"/>
    <w:rsid w:val="0014608D"/>
    <w:rsid w:val="00150483"/>
    <w:rsid w:val="00150EF1"/>
    <w:rsid w:val="001517EC"/>
    <w:rsid w:val="00165EDA"/>
    <w:rsid w:val="001663DE"/>
    <w:rsid w:val="001675A6"/>
    <w:rsid w:val="00167822"/>
    <w:rsid w:val="00181E57"/>
    <w:rsid w:val="001903D7"/>
    <w:rsid w:val="0019204D"/>
    <w:rsid w:val="00193188"/>
    <w:rsid w:val="001A020B"/>
    <w:rsid w:val="001B0B1B"/>
    <w:rsid w:val="001B121D"/>
    <w:rsid w:val="001B1323"/>
    <w:rsid w:val="001B1CA0"/>
    <w:rsid w:val="001B44B7"/>
    <w:rsid w:val="001C751B"/>
    <w:rsid w:val="001D09A2"/>
    <w:rsid w:val="001D44F6"/>
    <w:rsid w:val="001D4CA4"/>
    <w:rsid w:val="001D5890"/>
    <w:rsid w:val="001D5E2E"/>
    <w:rsid w:val="001E6A74"/>
    <w:rsid w:val="001F2017"/>
    <w:rsid w:val="001F41D0"/>
    <w:rsid w:val="002008E7"/>
    <w:rsid w:val="00206469"/>
    <w:rsid w:val="00217B89"/>
    <w:rsid w:val="00220F16"/>
    <w:rsid w:val="002339ED"/>
    <w:rsid w:val="00236E88"/>
    <w:rsid w:val="002427BA"/>
    <w:rsid w:val="00244935"/>
    <w:rsid w:val="002469F4"/>
    <w:rsid w:val="00254C5B"/>
    <w:rsid w:val="00256E2A"/>
    <w:rsid w:val="0026160B"/>
    <w:rsid w:val="00262B2C"/>
    <w:rsid w:val="00264B4F"/>
    <w:rsid w:val="002651BB"/>
    <w:rsid w:val="00281DC8"/>
    <w:rsid w:val="002822C8"/>
    <w:rsid w:val="002872F8"/>
    <w:rsid w:val="00291346"/>
    <w:rsid w:val="00291F66"/>
    <w:rsid w:val="00296D9D"/>
    <w:rsid w:val="002977D7"/>
    <w:rsid w:val="002A372E"/>
    <w:rsid w:val="002A612D"/>
    <w:rsid w:val="002A6AF8"/>
    <w:rsid w:val="002B0DFB"/>
    <w:rsid w:val="002B6555"/>
    <w:rsid w:val="002B699F"/>
    <w:rsid w:val="002C1622"/>
    <w:rsid w:val="002C3B3D"/>
    <w:rsid w:val="002D0B33"/>
    <w:rsid w:val="002D39E1"/>
    <w:rsid w:val="002D6C86"/>
    <w:rsid w:val="002E31F9"/>
    <w:rsid w:val="002F16A6"/>
    <w:rsid w:val="002F299E"/>
    <w:rsid w:val="002F4AE3"/>
    <w:rsid w:val="002F737F"/>
    <w:rsid w:val="00300625"/>
    <w:rsid w:val="00312F79"/>
    <w:rsid w:val="00315352"/>
    <w:rsid w:val="003156D6"/>
    <w:rsid w:val="0031734C"/>
    <w:rsid w:val="0032066F"/>
    <w:rsid w:val="00327B01"/>
    <w:rsid w:val="003342CD"/>
    <w:rsid w:val="00335042"/>
    <w:rsid w:val="0034351D"/>
    <w:rsid w:val="0035184B"/>
    <w:rsid w:val="00354736"/>
    <w:rsid w:val="00362B70"/>
    <w:rsid w:val="00366FC6"/>
    <w:rsid w:val="00371404"/>
    <w:rsid w:val="00375319"/>
    <w:rsid w:val="00380C2B"/>
    <w:rsid w:val="00392BBA"/>
    <w:rsid w:val="00394B1C"/>
    <w:rsid w:val="003954FD"/>
    <w:rsid w:val="00397BC2"/>
    <w:rsid w:val="003A0FD3"/>
    <w:rsid w:val="003A7C18"/>
    <w:rsid w:val="003B4780"/>
    <w:rsid w:val="003B782B"/>
    <w:rsid w:val="003C7C5B"/>
    <w:rsid w:val="003D1906"/>
    <w:rsid w:val="003D5178"/>
    <w:rsid w:val="003E1CE3"/>
    <w:rsid w:val="003E520D"/>
    <w:rsid w:val="003E7D70"/>
    <w:rsid w:val="003F11B6"/>
    <w:rsid w:val="003F1601"/>
    <w:rsid w:val="003F77C4"/>
    <w:rsid w:val="00400DD7"/>
    <w:rsid w:val="00401746"/>
    <w:rsid w:val="00404F65"/>
    <w:rsid w:val="004055C7"/>
    <w:rsid w:val="004062C4"/>
    <w:rsid w:val="004108E3"/>
    <w:rsid w:val="00411616"/>
    <w:rsid w:val="00414777"/>
    <w:rsid w:val="00415E10"/>
    <w:rsid w:val="00441DFB"/>
    <w:rsid w:val="00443044"/>
    <w:rsid w:val="00444BDD"/>
    <w:rsid w:val="00444E28"/>
    <w:rsid w:val="004536BF"/>
    <w:rsid w:val="0045435B"/>
    <w:rsid w:val="00454F52"/>
    <w:rsid w:val="00455083"/>
    <w:rsid w:val="004611E5"/>
    <w:rsid w:val="00462095"/>
    <w:rsid w:val="00465285"/>
    <w:rsid w:val="004679D0"/>
    <w:rsid w:val="00476707"/>
    <w:rsid w:val="004925E2"/>
    <w:rsid w:val="00493EC7"/>
    <w:rsid w:val="0049476E"/>
    <w:rsid w:val="00496D50"/>
    <w:rsid w:val="004971B7"/>
    <w:rsid w:val="004A011A"/>
    <w:rsid w:val="004A159F"/>
    <w:rsid w:val="004A1788"/>
    <w:rsid w:val="004A1EBE"/>
    <w:rsid w:val="004A5F24"/>
    <w:rsid w:val="004B1007"/>
    <w:rsid w:val="004B3C0F"/>
    <w:rsid w:val="004B5B74"/>
    <w:rsid w:val="004B5F0A"/>
    <w:rsid w:val="004C05E4"/>
    <w:rsid w:val="004C3775"/>
    <w:rsid w:val="004C4B35"/>
    <w:rsid w:val="004C4DEF"/>
    <w:rsid w:val="004C598A"/>
    <w:rsid w:val="004C6D3E"/>
    <w:rsid w:val="004D04EF"/>
    <w:rsid w:val="004D1706"/>
    <w:rsid w:val="004D1854"/>
    <w:rsid w:val="004D70D2"/>
    <w:rsid w:val="004E1E78"/>
    <w:rsid w:val="004E39E1"/>
    <w:rsid w:val="004F1E40"/>
    <w:rsid w:val="00502281"/>
    <w:rsid w:val="00503E44"/>
    <w:rsid w:val="00504551"/>
    <w:rsid w:val="0051012C"/>
    <w:rsid w:val="00511F9F"/>
    <w:rsid w:val="00515283"/>
    <w:rsid w:val="0052273A"/>
    <w:rsid w:val="00533926"/>
    <w:rsid w:val="00534328"/>
    <w:rsid w:val="0054004C"/>
    <w:rsid w:val="00540FB0"/>
    <w:rsid w:val="00541A6D"/>
    <w:rsid w:val="00543BA3"/>
    <w:rsid w:val="00545DBC"/>
    <w:rsid w:val="0054753F"/>
    <w:rsid w:val="005540AE"/>
    <w:rsid w:val="0055675D"/>
    <w:rsid w:val="00557C53"/>
    <w:rsid w:val="005605A8"/>
    <w:rsid w:val="0056247D"/>
    <w:rsid w:val="005648AF"/>
    <w:rsid w:val="00566E8F"/>
    <w:rsid w:val="00572459"/>
    <w:rsid w:val="005744B7"/>
    <w:rsid w:val="00580854"/>
    <w:rsid w:val="005824EA"/>
    <w:rsid w:val="005833BE"/>
    <w:rsid w:val="00587DD3"/>
    <w:rsid w:val="00591A0D"/>
    <w:rsid w:val="00592C2D"/>
    <w:rsid w:val="005946C5"/>
    <w:rsid w:val="005A16AC"/>
    <w:rsid w:val="005A2B24"/>
    <w:rsid w:val="005A71BA"/>
    <w:rsid w:val="005B441F"/>
    <w:rsid w:val="005B7C48"/>
    <w:rsid w:val="005C005C"/>
    <w:rsid w:val="005C01F4"/>
    <w:rsid w:val="005C293A"/>
    <w:rsid w:val="005D3690"/>
    <w:rsid w:val="005D7D5A"/>
    <w:rsid w:val="005E04AC"/>
    <w:rsid w:val="005E4BAC"/>
    <w:rsid w:val="005F0B8E"/>
    <w:rsid w:val="005F15F3"/>
    <w:rsid w:val="005F2F11"/>
    <w:rsid w:val="005F59FD"/>
    <w:rsid w:val="005F5E6C"/>
    <w:rsid w:val="0060130D"/>
    <w:rsid w:val="006044EB"/>
    <w:rsid w:val="00621013"/>
    <w:rsid w:val="00625926"/>
    <w:rsid w:val="00632531"/>
    <w:rsid w:val="006341C6"/>
    <w:rsid w:val="00635E65"/>
    <w:rsid w:val="006361FB"/>
    <w:rsid w:val="0064129F"/>
    <w:rsid w:val="00647BB7"/>
    <w:rsid w:val="006526A2"/>
    <w:rsid w:val="00652E2B"/>
    <w:rsid w:val="0065455F"/>
    <w:rsid w:val="00674010"/>
    <w:rsid w:val="00677D5D"/>
    <w:rsid w:val="00686B10"/>
    <w:rsid w:val="0069018E"/>
    <w:rsid w:val="00696F49"/>
    <w:rsid w:val="006A0786"/>
    <w:rsid w:val="006A1A5D"/>
    <w:rsid w:val="006A353A"/>
    <w:rsid w:val="006A69FD"/>
    <w:rsid w:val="006A6DBC"/>
    <w:rsid w:val="006B1396"/>
    <w:rsid w:val="006B441C"/>
    <w:rsid w:val="006B6F5E"/>
    <w:rsid w:val="006C0568"/>
    <w:rsid w:val="006C21BB"/>
    <w:rsid w:val="006C25D4"/>
    <w:rsid w:val="006C4A79"/>
    <w:rsid w:val="006C7106"/>
    <w:rsid w:val="006D3E9C"/>
    <w:rsid w:val="006D4664"/>
    <w:rsid w:val="006F00A5"/>
    <w:rsid w:val="006F2FDB"/>
    <w:rsid w:val="006F75CC"/>
    <w:rsid w:val="006F799F"/>
    <w:rsid w:val="00710A36"/>
    <w:rsid w:val="00711060"/>
    <w:rsid w:val="0073525C"/>
    <w:rsid w:val="00736F61"/>
    <w:rsid w:val="007414BE"/>
    <w:rsid w:val="00752E9E"/>
    <w:rsid w:val="00754BC4"/>
    <w:rsid w:val="00765A3B"/>
    <w:rsid w:val="00765E55"/>
    <w:rsid w:val="007662C7"/>
    <w:rsid w:val="0077090C"/>
    <w:rsid w:val="00773A53"/>
    <w:rsid w:val="0077587E"/>
    <w:rsid w:val="00776306"/>
    <w:rsid w:val="007804B2"/>
    <w:rsid w:val="00787A3D"/>
    <w:rsid w:val="007A19B1"/>
    <w:rsid w:val="007A517E"/>
    <w:rsid w:val="007A59D3"/>
    <w:rsid w:val="007A76E4"/>
    <w:rsid w:val="007B1F10"/>
    <w:rsid w:val="007B38F6"/>
    <w:rsid w:val="007B539B"/>
    <w:rsid w:val="007C0754"/>
    <w:rsid w:val="007C2D83"/>
    <w:rsid w:val="007C3407"/>
    <w:rsid w:val="007C3B46"/>
    <w:rsid w:val="007C498C"/>
    <w:rsid w:val="007C6B62"/>
    <w:rsid w:val="007C733F"/>
    <w:rsid w:val="007D0FA3"/>
    <w:rsid w:val="007D40C5"/>
    <w:rsid w:val="007D4ACC"/>
    <w:rsid w:val="007E018D"/>
    <w:rsid w:val="007E0A86"/>
    <w:rsid w:val="007F1B71"/>
    <w:rsid w:val="007F364C"/>
    <w:rsid w:val="00800AE0"/>
    <w:rsid w:val="008077B6"/>
    <w:rsid w:val="00807E7D"/>
    <w:rsid w:val="00815C37"/>
    <w:rsid w:val="00817342"/>
    <w:rsid w:val="00817C76"/>
    <w:rsid w:val="008222BD"/>
    <w:rsid w:val="00824119"/>
    <w:rsid w:val="00827A23"/>
    <w:rsid w:val="00831675"/>
    <w:rsid w:val="008405D4"/>
    <w:rsid w:val="008462D5"/>
    <w:rsid w:val="008579E3"/>
    <w:rsid w:val="0088467C"/>
    <w:rsid w:val="00884E3C"/>
    <w:rsid w:val="0089201A"/>
    <w:rsid w:val="00894579"/>
    <w:rsid w:val="0089505D"/>
    <w:rsid w:val="008A1D1E"/>
    <w:rsid w:val="008A291D"/>
    <w:rsid w:val="008A5B67"/>
    <w:rsid w:val="008C7D7D"/>
    <w:rsid w:val="008D16F7"/>
    <w:rsid w:val="008D225E"/>
    <w:rsid w:val="008D50CD"/>
    <w:rsid w:val="008F038A"/>
    <w:rsid w:val="008F40DA"/>
    <w:rsid w:val="008F46CA"/>
    <w:rsid w:val="009106AA"/>
    <w:rsid w:val="00911318"/>
    <w:rsid w:val="00914074"/>
    <w:rsid w:val="009143A0"/>
    <w:rsid w:val="009178DA"/>
    <w:rsid w:val="009258CA"/>
    <w:rsid w:val="00926EE4"/>
    <w:rsid w:val="00944576"/>
    <w:rsid w:val="00946F5E"/>
    <w:rsid w:val="00951272"/>
    <w:rsid w:val="0095187D"/>
    <w:rsid w:val="00954679"/>
    <w:rsid w:val="00954795"/>
    <w:rsid w:val="009650FC"/>
    <w:rsid w:val="00966B78"/>
    <w:rsid w:val="00971354"/>
    <w:rsid w:val="00975BFF"/>
    <w:rsid w:val="00976412"/>
    <w:rsid w:val="009874EE"/>
    <w:rsid w:val="00990CA0"/>
    <w:rsid w:val="00991D7E"/>
    <w:rsid w:val="0099340E"/>
    <w:rsid w:val="00994B70"/>
    <w:rsid w:val="009957CE"/>
    <w:rsid w:val="00996FCC"/>
    <w:rsid w:val="009A7898"/>
    <w:rsid w:val="009B0DA6"/>
    <w:rsid w:val="009B2B13"/>
    <w:rsid w:val="009B4903"/>
    <w:rsid w:val="009B4B14"/>
    <w:rsid w:val="009C232D"/>
    <w:rsid w:val="009D0505"/>
    <w:rsid w:val="009D064C"/>
    <w:rsid w:val="009E14FF"/>
    <w:rsid w:val="009E216F"/>
    <w:rsid w:val="009E260E"/>
    <w:rsid w:val="009E2F86"/>
    <w:rsid w:val="009E4E56"/>
    <w:rsid w:val="009E6BBB"/>
    <w:rsid w:val="009F2A20"/>
    <w:rsid w:val="009F7037"/>
    <w:rsid w:val="00A033CB"/>
    <w:rsid w:val="00A10924"/>
    <w:rsid w:val="00A10E80"/>
    <w:rsid w:val="00A12209"/>
    <w:rsid w:val="00A1589E"/>
    <w:rsid w:val="00A176A8"/>
    <w:rsid w:val="00A211DE"/>
    <w:rsid w:val="00A22876"/>
    <w:rsid w:val="00A2424A"/>
    <w:rsid w:val="00A265AF"/>
    <w:rsid w:val="00A31004"/>
    <w:rsid w:val="00A31AEF"/>
    <w:rsid w:val="00A31ED0"/>
    <w:rsid w:val="00A34A68"/>
    <w:rsid w:val="00A36DF3"/>
    <w:rsid w:val="00A36F3B"/>
    <w:rsid w:val="00A376E6"/>
    <w:rsid w:val="00A41066"/>
    <w:rsid w:val="00A45C92"/>
    <w:rsid w:val="00A468B3"/>
    <w:rsid w:val="00A51F4E"/>
    <w:rsid w:val="00A532DD"/>
    <w:rsid w:val="00A55296"/>
    <w:rsid w:val="00A6390C"/>
    <w:rsid w:val="00A644B1"/>
    <w:rsid w:val="00A6581A"/>
    <w:rsid w:val="00A732A0"/>
    <w:rsid w:val="00A80B6C"/>
    <w:rsid w:val="00A80BCF"/>
    <w:rsid w:val="00A80BF4"/>
    <w:rsid w:val="00A823F0"/>
    <w:rsid w:val="00A82A02"/>
    <w:rsid w:val="00A8369C"/>
    <w:rsid w:val="00A85124"/>
    <w:rsid w:val="00A871CF"/>
    <w:rsid w:val="00A964E7"/>
    <w:rsid w:val="00A97F56"/>
    <w:rsid w:val="00AA1689"/>
    <w:rsid w:val="00AA7D03"/>
    <w:rsid w:val="00AB067A"/>
    <w:rsid w:val="00AB28FF"/>
    <w:rsid w:val="00AB433B"/>
    <w:rsid w:val="00AB6136"/>
    <w:rsid w:val="00AC1D15"/>
    <w:rsid w:val="00AF0247"/>
    <w:rsid w:val="00AF4ADC"/>
    <w:rsid w:val="00AF6139"/>
    <w:rsid w:val="00B00A9B"/>
    <w:rsid w:val="00B02D57"/>
    <w:rsid w:val="00B041D6"/>
    <w:rsid w:val="00B05A83"/>
    <w:rsid w:val="00B06937"/>
    <w:rsid w:val="00B06A98"/>
    <w:rsid w:val="00B07B0C"/>
    <w:rsid w:val="00B10DA4"/>
    <w:rsid w:val="00B13DD8"/>
    <w:rsid w:val="00B25563"/>
    <w:rsid w:val="00B26D48"/>
    <w:rsid w:val="00B27E92"/>
    <w:rsid w:val="00B30A12"/>
    <w:rsid w:val="00B310E5"/>
    <w:rsid w:val="00B323CE"/>
    <w:rsid w:val="00B36116"/>
    <w:rsid w:val="00B369D9"/>
    <w:rsid w:val="00B4047A"/>
    <w:rsid w:val="00B42EC3"/>
    <w:rsid w:val="00B42EE1"/>
    <w:rsid w:val="00B478E0"/>
    <w:rsid w:val="00B5138F"/>
    <w:rsid w:val="00B51480"/>
    <w:rsid w:val="00B563B5"/>
    <w:rsid w:val="00B666E7"/>
    <w:rsid w:val="00B7209A"/>
    <w:rsid w:val="00B742B1"/>
    <w:rsid w:val="00B75795"/>
    <w:rsid w:val="00B802F8"/>
    <w:rsid w:val="00B82190"/>
    <w:rsid w:val="00B83F16"/>
    <w:rsid w:val="00B92478"/>
    <w:rsid w:val="00BA1728"/>
    <w:rsid w:val="00BA21C7"/>
    <w:rsid w:val="00BA2E59"/>
    <w:rsid w:val="00BA78C4"/>
    <w:rsid w:val="00BB2F43"/>
    <w:rsid w:val="00BB3EA2"/>
    <w:rsid w:val="00BB6B9B"/>
    <w:rsid w:val="00BC1225"/>
    <w:rsid w:val="00BC12F4"/>
    <w:rsid w:val="00BD0F9C"/>
    <w:rsid w:val="00BD5D20"/>
    <w:rsid w:val="00BD5F6D"/>
    <w:rsid w:val="00BD61A2"/>
    <w:rsid w:val="00BD6C29"/>
    <w:rsid w:val="00BE0510"/>
    <w:rsid w:val="00BE169A"/>
    <w:rsid w:val="00BE4675"/>
    <w:rsid w:val="00BE4735"/>
    <w:rsid w:val="00BE484D"/>
    <w:rsid w:val="00BE579C"/>
    <w:rsid w:val="00BF014B"/>
    <w:rsid w:val="00BF05BE"/>
    <w:rsid w:val="00BF29FA"/>
    <w:rsid w:val="00BF3205"/>
    <w:rsid w:val="00BF6658"/>
    <w:rsid w:val="00BF6D99"/>
    <w:rsid w:val="00C02F9F"/>
    <w:rsid w:val="00C041C1"/>
    <w:rsid w:val="00C05225"/>
    <w:rsid w:val="00C160D8"/>
    <w:rsid w:val="00C16340"/>
    <w:rsid w:val="00C2445A"/>
    <w:rsid w:val="00C24DE1"/>
    <w:rsid w:val="00C34194"/>
    <w:rsid w:val="00C37E05"/>
    <w:rsid w:val="00C44A05"/>
    <w:rsid w:val="00C46FB5"/>
    <w:rsid w:val="00C5020B"/>
    <w:rsid w:val="00C52A69"/>
    <w:rsid w:val="00C54ECD"/>
    <w:rsid w:val="00C55D29"/>
    <w:rsid w:val="00C55DF4"/>
    <w:rsid w:val="00C60FE5"/>
    <w:rsid w:val="00C63721"/>
    <w:rsid w:val="00C66388"/>
    <w:rsid w:val="00C71A38"/>
    <w:rsid w:val="00C72752"/>
    <w:rsid w:val="00C73896"/>
    <w:rsid w:val="00C74A74"/>
    <w:rsid w:val="00C83CD3"/>
    <w:rsid w:val="00C86594"/>
    <w:rsid w:val="00C87DC5"/>
    <w:rsid w:val="00C90512"/>
    <w:rsid w:val="00C905BD"/>
    <w:rsid w:val="00C9539B"/>
    <w:rsid w:val="00CA0BE9"/>
    <w:rsid w:val="00CA138D"/>
    <w:rsid w:val="00CA14E3"/>
    <w:rsid w:val="00CA1F7D"/>
    <w:rsid w:val="00CA229B"/>
    <w:rsid w:val="00CA22D3"/>
    <w:rsid w:val="00CA5DE5"/>
    <w:rsid w:val="00CA73E1"/>
    <w:rsid w:val="00CB04B2"/>
    <w:rsid w:val="00CB6320"/>
    <w:rsid w:val="00CB6630"/>
    <w:rsid w:val="00CB7C86"/>
    <w:rsid w:val="00CC13F7"/>
    <w:rsid w:val="00CC216A"/>
    <w:rsid w:val="00CC6739"/>
    <w:rsid w:val="00CC7641"/>
    <w:rsid w:val="00CC7F03"/>
    <w:rsid w:val="00CD7713"/>
    <w:rsid w:val="00CE7C40"/>
    <w:rsid w:val="00CF042D"/>
    <w:rsid w:val="00CF0D02"/>
    <w:rsid w:val="00D00581"/>
    <w:rsid w:val="00D041B8"/>
    <w:rsid w:val="00D04F84"/>
    <w:rsid w:val="00D0598F"/>
    <w:rsid w:val="00D07C22"/>
    <w:rsid w:val="00D11D3D"/>
    <w:rsid w:val="00D12453"/>
    <w:rsid w:val="00D13794"/>
    <w:rsid w:val="00D21A9B"/>
    <w:rsid w:val="00D24052"/>
    <w:rsid w:val="00D2458B"/>
    <w:rsid w:val="00D256C9"/>
    <w:rsid w:val="00D30A6B"/>
    <w:rsid w:val="00D31575"/>
    <w:rsid w:val="00D34626"/>
    <w:rsid w:val="00D409AA"/>
    <w:rsid w:val="00D41419"/>
    <w:rsid w:val="00D4257A"/>
    <w:rsid w:val="00D42BED"/>
    <w:rsid w:val="00D4768E"/>
    <w:rsid w:val="00D539FE"/>
    <w:rsid w:val="00D5530B"/>
    <w:rsid w:val="00D5531C"/>
    <w:rsid w:val="00D55C12"/>
    <w:rsid w:val="00D62665"/>
    <w:rsid w:val="00D714A1"/>
    <w:rsid w:val="00D735AB"/>
    <w:rsid w:val="00D74D70"/>
    <w:rsid w:val="00D833FE"/>
    <w:rsid w:val="00D92BEC"/>
    <w:rsid w:val="00D9463E"/>
    <w:rsid w:val="00D94A2F"/>
    <w:rsid w:val="00DA3E5B"/>
    <w:rsid w:val="00DA4E84"/>
    <w:rsid w:val="00DA5CBE"/>
    <w:rsid w:val="00DA6E5E"/>
    <w:rsid w:val="00DB13B1"/>
    <w:rsid w:val="00DB3AC4"/>
    <w:rsid w:val="00DB3C88"/>
    <w:rsid w:val="00DB5E0F"/>
    <w:rsid w:val="00DB726D"/>
    <w:rsid w:val="00DC0CDE"/>
    <w:rsid w:val="00DC286C"/>
    <w:rsid w:val="00DC2E69"/>
    <w:rsid w:val="00DC4D72"/>
    <w:rsid w:val="00DC5C71"/>
    <w:rsid w:val="00DC5E4B"/>
    <w:rsid w:val="00DC6CB1"/>
    <w:rsid w:val="00DC6D8F"/>
    <w:rsid w:val="00DE2E5B"/>
    <w:rsid w:val="00DE43C3"/>
    <w:rsid w:val="00DE6848"/>
    <w:rsid w:val="00DF3366"/>
    <w:rsid w:val="00E01688"/>
    <w:rsid w:val="00E016A1"/>
    <w:rsid w:val="00E02FF4"/>
    <w:rsid w:val="00E0624D"/>
    <w:rsid w:val="00E1706E"/>
    <w:rsid w:val="00E179E4"/>
    <w:rsid w:val="00E34E3A"/>
    <w:rsid w:val="00E404E4"/>
    <w:rsid w:val="00E42681"/>
    <w:rsid w:val="00E4438C"/>
    <w:rsid w:val="00E457F3"/>
    <w:rsid w:val="00E518B6"/>
    <w:rsid w:val="00E5454A"/>
    <w:rsid w:val="00E62FA8"/>
    <w:rsid w:val="00E80D74"/>
    <w:rsid w:val="00E82E5E"/>
    <w:rsid w:val="00E833EA"/>
    <w:rsid w:val="00E83643"/>
    <w:rsid w:val="00E8613D"/>
    <w:rsid w:val="00E9070A"/>
    <w:rsid w:val="00E92A23"/>
    <w:rsid w:val="00E9415A"/>
    <w:rsid w:val="00E96253"/>
    <w:rsid w:val="00EA5419"/>
    <w:rsid w:val="00EA5BD6"/>
    <w:rsid w:val="00EB770E"/>
    <w:rsid w:val="00EB7CCD"/>
    <w:rsid w:val="00EB7E71"/>
    <w:rsid w:val="00EC0307"/>
    <w:rsid w:val="00EC5271"/>
    <w:rsid w:val="00ED3AC0"/>
    <w:rsid w:val="00ED4421"/>
    <w:rsid w:val="00ED6A72"/>
    <w:rsid w:val="00ED72B0"/>
    <w:rsid w:val="00EF29BA"/>
    <w:rsid w:val="00EF72F4"/>
    <w:rsid w:val="00F07236"/>
    <w:rsid w:val="00F1074F"/>
    <w:rsid w:val="00F109D4"/>
    <w:rsid w:val="00F10D35"/>
    <w:rsid w:val="00F272FE"/>
    <w:rsid w:val="00F30E28"/>
    <w:rsid w:val="00F32C17"/>
    <w:rsid w:val="00F40487"/>
    <w:rsid w:val="00F40AC7"/>
    <w:rsid w:val="00F41ECA"/>
    <w:rsid w:val="00F4457B"/>
    <w:rsid w:val="00F47585"/>
    <w:rsid w:val="00F5319A"/>
    <w:rsid w:val="00F571DF"/>
    <w:rsid w:val="00F62CFF"/>
    <w:rsid w:val="00F72F8E"/>
    <w:rsid w:val="00F7341F"/>
    <w:rsid w:val="00F76A4C"/>
    <w:rsid w:val="00F81AC6"/>
    <w:rsid w:val="00F8378E"/>
    <w:rsid w:val="00F861D5"/>
    <w:rsid w:val="00F876FE"/>
    <w:rsid w:val="00F92613"/>
    <w:rsid w:val="00F941F8"/>
    <w:rsid w:val="00F97399"/>
    <w:rsid w:val="00FA121C"/>
    <w:rsid w:val="00FA1310"/>
    <w:rsid w:val="00FA7505"/>
    <w:rsid w:val="00FB0C98"/>
    <w:rsid w:val="00FB291B"/>
    <w:rsid w:val="00FB2C54"/>
    <w:rsid w:val="00FC3FE5"/>
    <w:rsid w:val="00FC725E"/>
    <w:rsid w:val="00FD4041"/>
    <w:rsid w:val="00FD4ACA"/>
    <w:rsid w:val="00FD62A5"/>
    <w:rsid w:val="00FD67E1"/>
    <w:rsid w:val="00FE04E4"/>
    <w:rsid w:val="00FE73F9"/>
    <w:rsid w:val="00FE7BF6"/>
    <w:rsid w:val="00FE7FB7"/>
    <w:rsid w:val="00FF1057"/>
    <w:rsid w:val="00FF150C"/>
    <w:rsid w:val="00FF3A5F"/>
    <w:rsid w:val="00FF3E25"/>
    <w:rsid w:val="00FF556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B58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level 1,Body,Bullet + line"/>
    <w:basedOn w:val="Normal"/>
    <w:link w:val="BulletChar"/>
    <w:qFormat/>
    <w:rsid w:val="007C2D83"/>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Char,b + line Char Char,b Char Char,Body Char,Bullet + line Char,b + line Char,b1 Char,level 1 Char"/>
    <w:basedOn w:val="DefaultChar"/>
    <w:link w:val="Bullet"/>
    <w:rsid w:val="00E0624D"/>
    <w:rPr>
      <w:color w:val="000000"/>
      <w:sz w:val="24"/>
      <w:szCs w:val="23"/>
    </w:rPr>
  </w:style>
  <w:style w:type="paragraph" w:customStyle="1" w:styleId="Dash">
    <w:name w:val="Dash"/>
    <w:basedOn w:val="Normal"/>
    <w:link w:val="DashChar"/>
    <w:qFormat/>
    <w:rsid w:val="007C2D83"/>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7C2D83"/>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styleId="Revision">
    <w:name w:val="Revision"/>
    <w:hidden/>
    <w:uiPriority w:val="99"/>
    <w:semiHidden/>
    <w:rsid w:val="00752E9E"/>
    <w:rPr>
      <w:sz w:val="24"/>
    </w:rPr>
  </w:style>
  <w:style w:type="character" w:customStyle="1" w:styleId="Referencingstyle">
    <w:name w:val="Referencing style"/>
    <w:basedOn w:val="DefaultParagraphFont"/>
    <w:rsid w:val="00787A3D"/>
    <w:rPr>
      <w:b/>
      <w:i/>
      <w:sz w:val="18"/>
    </w:rPr>
  </w:style>
  <w:style w:type="paragraph" w:styleId="FootnoteText">
    <w:name w:val="footnote text"/>
    <w:basedOn w:val="Normal"/>
    <w:link w:val="FootnoteTextChar"/>
    <w:uiPriority w:val="99"/>
    <w:semiHidden/>
    <w:unhideWhenUsed/>
    <w:rsid w:val="00DB5E0F"/>
    <w:pPr>
      <w:spacing w:before="0" w:after="0"/>
    </w:pPr>
    <w:rPr>
      <w:sz w:val="20"/>
    </w:rPr>
  </w:style>
  <w:style w:type="character" w:customStyle="1" w:styleId="FootnoteTextChar">
    <w:name w:val="Footnote Text Char"/>
    <w:basedOn w:val="DefaultParagraphFont"/>
    <w:link w:val="FootnoteText"/>
    <w:uiPriority w:val="99"/>
    <w:semiHidden/>
    <w:rsid w:val="00DB5E0F"/>
  </w:style>
  <w:style w:type="character" w:styleId="FootnoteReference">
    <w:name w:val="footnote reference"/>
    <w:basedOn w:val="DefaultParagraphFont"/>
    <w:uiPriority w:val="99"/>
    <w:semiHidden/>
    <w:unhideWhenUsed/>
    <w:rsid w:val="00DB5E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level 1,Body,Bullet + line"/>
    <w:basedOn w:val="Normal"/>
    <w:link w:val="BulletChar"/>
    <w:qFormat/>
    <w:rsid w:val="007C2D83"/>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Char,b + line Char Char,b Char Char,Body Char,Bullet + line Char,b + line Char,b1 Char,level 1 Char"/>
    <w:basedOn w:val="DefaultChar"/>
    <w:link w:val="Bullet"/>
    <w:rsid w:val="00E0624D"/>
    <w:rPr>
      <w:color w:val="000000"/>
      <w:sz w:val="24"/>
      <w:szCs w:val="23"/>
    </w:rPr>
  </w:style>
  <w:style w:type="paragraph" w:customStyle="1" w:styleId="Dash">
    <w:name w:val="Dash"/>
    <w:basedOn w:val="Normal"/>
    <w:link w:val="DashChar"/>
    <w:qFormat/>
    <w:rsid w:val="007C2D83"/>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7C2D83"/>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styleId="Revision">
    <w:name w:val="Revision"/>
    <w:hidden/>
    <w:uiPriority w:val="99"/>
    <w:semiHidden/>
    <w:rsid w:val="00752E9E"/>
    <w:rPr>
      <w:sz w:val="24"/>
    </w:rPr>
  </w:style>
  <w:style w:type="character" w:customStyle="1" w:styleId="Referencingstyle">
    <w:name w:val="Referencing style"/>
    <w:basedOn w:val="DefaultParagraphFont"/>
    <w:rsid w:val="00787A3D"/>
    <w:rPr>
      <w:b/>
      <w:i/>
      <w:sz w:val="18"/>
    </w:rPr>
  </w:style>
  <w:style w:type="paragraph" w:styleId="FootnoteText">
    <w:name w:val="footnote text"/>
    <w:basedOn w:val="Normal"/>
    <w:link w:val="FootnoteTextChar"/>
    <w:uiPriority w:val="99"/>
    <w:semiHidden/>
    <w:unhideWhenUsed/>
    <w:rsid w:val="00DB5E0F"/>
    <w:pPr>
      <w:spacing w:before="0" w:after="0"/>
    </w:pPr>
    <w:rPr>
      <w:sz w:val="20"/>
    </w:rPr>
  </w:style>
  <w:style w:type="character" w:customStyle="1" w:styleId="FootnoteTextChar">
    <w:name w:val="Footnote Text Char"/>
    <w:basedOn w:val="DefaultParagraphFont"/>
    <w:link w:val="FootnoteText"/>
    <w:uiPriority w:val="99"/>
    <w:semiHidden/>
    <w:rsid w:val="00DB5E0F"/>
  </w:style>
  <w:style w:type="character" w:styleId="FootnoteReference">
    <w:name w:val="footnote reference"/>
    <w:basedOn w:val="DefaultParagraphFont"/>
    <w:uiPriority w:val="99"/>
    <w:semiHidden/>
    <w:unhideWhenUsed/>
    <w:rsid w:val="00DB5E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7354">
      <w:bodyDiv w:val="1"/>
      <w:marLeft w:val="0"/>
      <w:marRight w:val="0"/>
      <w:marTop w:val="0"/>
      <w:marBottom w:val="0"/>
      <w:divBdr>
        <w:top w:val="none" w:sz="0" w:space="0" w:color="auto"/>
        <w:left w:val="none" w:sz="0" w:space="0" w:color="auto"/>
        <w:bottom w:val="none" w:sz="0" w:space="0" w:color="auto"/>
        <w:right w:val="none" w:sz="0" w:space="0" w:color="auto"/>
      </w:divBdr>
    </w:div>
    <w:div w:id="365065129">
      <w:bodyDiv w:val="1"/>
      <w:marLeft w:val="0"/>
      <w:marRight w:val="0"/>
      <w:marTop w:val="0"/>
      <w:marBottom w:val="0"/>
      <w:divBdr>
        <w:top w:val="none" w:sz="0" w:space="0" w:color="auto"/>
        <w:left w:val="none" w:sz="0" w:space="0" w:color="auto"/>
        <w:bottom w:val="none" w:sz="0" w:space="0" w:color="auto"/>
        <w:right w:val="none" w:sz="0" w:space="0" w:color="auto"/>
      </w:divBdr>
      <w:divsChild>
        <w:div w:id="2126924529">
          <w:marLeft w:val="0"/>
          <w:marRight w:val="0"/>
          <w:marTop w:val="0"/>
          <w:marBottom w:val="0"/>
          <w:divBdr>
            <w:top w:val="none" w:sz="0" w:space="0" w:color="auto"/>
            <w:left w:val="none" w:sz="0" w:space="0" w:color="auto"/>
            <w:bottom w:val="none" w:sz="0" w:space="0" w:color="auto"/>
            <w:right w:val="none" w:sz="0" w:space="0" w:color="auto"/>
          </w:divBdr>
          <w:divsChild>
            <w:div w:id="679550661">
              <w:marLeft w:val="0"/>
              <w:marRight w:val="0"/>
              <w:marTop w:val="0"/>
              <w:marBottom w:val="0"/>
              <w:divBdr>
                <w:top w:val="none" w:sz="0" w:space="0" w:color="auto"/>
                <w:left w:val="none" w:sz="0" w:space="0" w:color="auto"/>
                <w:bottom w:val="none" w:sz="0" w:space="0" w:color="auto"/>
                <w:right w:val="none" w:sz="0" w:space="0" w:color="auto"/>
              </w:divBdr>
              <w:divsChild>
                <w:div w:id="1588735901">
                  <w:marLeft w:val="0"/>
                  <w:marRight w:val="0"/>
                  <w:marTop w:val="0"/>
                  <w:marBottom w:val="0"/>
                  <w:divBdr>
                    <w:top w:val="none" w:sz="0" w:space="0" w:color="auto"/>
                    <w:left w:val="none" w:sz="0" w:space="0" w:color="auto"/>
                    <w:bottom w:val="none" w:sz="0" w:space="0" w:color="auto"/>
                    <w:right w:val="none" w:sz="0" w:space="0" w:color="auto"/>
                  </w:divBdr>
                  <w:divsChild>
                    <w:div w:id="644890434">
                      <w:marLeft w:val="0"/>
                      <w:marRight w:val="0"/>
                      <w:marTop w:val="0"/>
                      <w:marBottom w:val="0"/>
                      <w:divBdr>
                        <w:top w:val="none" w:sz="0" w:space="0" w:color="auto"/>
                        <w:left w:val="none" w:sz="0" w:space="0" w:color="auto"/>
                        <w:bottom w:val="none" w:sz="0" w:space="0" w:color="auto"/>
                        <w:right w:val="none" w:sz="0" w:space="0" w:color="auto"/>
                      </w:divBdr>
                      <w:divsChild>
                        <w:div w:id="689528893">
                          <w:marLeft w:val="0"/>
                          <w:marRight w:val="0"/>
                          <w:marTop w:val="0"/>
                          <w:marBottom w:val="0"/>
                          <w:divBdr>
                            <w:top w:val="none" w:sz="0" w:space="0" w:color="auto"/>
                            <w:left w:val="none" w:sz="0" w:space="0" w:color="auto"/>
                            <w:bottom w:val="none" w:sz="0" w:space="0" w:color="auto"/>
                            <w:right w:val="none" w:sz="0" w:space="0" w:color="auto"/>
                          </w:divBdr>
                          <w:divsChild>
                            <w:div w:id="348414493">
                              <w:marLeft w:val="0"/>
                              <w:marRight w:val="0"/>
                              <w:marTop w:val="0"/>
                              <w:marBottom w:val="0"/>
                              <w:divBdr>
                                <w:top w:val="none" w:sz="0" w:space="0" w:color="auto"/>
                                <w:left w:val="none" w:sz="0" w:space="0" w:color="auto"/>
                                <w:bottom w:val="none" w:sz="0" w:space="0" w:color="auto"/>
                                <w:right w:val="none" w:sz="0" w:space="0" w:color="auto"/>
                              </w:divBdr>
                              <w:divsChild>
                                <w:div w:id="489561574">
                                  <w:marLeft w:val="0"/>
                                  <w:marRight w:val="0"/>
                                  <w:marTop w:val="0"/>
                                  <w:marBottom w:val="0"/>
                                  <w:divBdr>
                                    <w:top w:val="none" w:sz="0" w:space="0" w:color="auto"/>
                                    <w:left w:val="none" w:sz="0" w:space="0" w:color="auto"/>
                                    <w:bottom w:val="none" w:sz="0" w:space="0" w:color="auto"/>
                                    <w:right w:val="none" w:sz="0" w:space="0" w:color="auto"/>
                                  </w:divBdr>
                                  <w:divsChild>
                                    <w:div w:id="1676758626">
                                      <w:marLeft w:val="0"/>
                                      <w:marRight w:val="0"/>
                                      <w:marTop w:val="0"/>
                                      <w:marBottom w:val="0"/>
                                      <w:divBdr>
                                        <w:top w:val="none" w:sz="0" w:space="0" w:color="auto"/>
                                        <w:left w:val="none" w:sz="0" w:space="0" w:color="auto"/>
                                        <w:bottom w:val="none" w:sz="0" w:space="0" w:color="auto"/>
                                        <w:right w:val="none" w:sz="0" w:space="0" w:color="auto"/>
                                      </w:divBdr>
                                      <w:divsChild>
                                        <w:div w:id="1989239083">
                                          <w:marLeft w:val="0"/>
                                          <w:marRight w:val="0"/>
                                          <w:marTop w:val="0"/>
                                          <w:marBottom w:val="0"/>
                                          <w:divBdr>
                                            <w:top w:val="none" w:sz="0" w:space="0" w:color="auto"/>
                                            <w:left w:val="none" w:sz="0" w:space="0" w:color="auto"/>
                                            <w:bottom w:val="none" w:sz="0" w:space="0" w:color="auto"/>
                                            <w:right w:val="none" w:sz="0" w:space="0" w:color="auto"/>
                                          </w:divBdr>
                                          <w:divsChild>
                                            <w:div w:id="632948739">
                                              <w:marLeft w:val="0"/>
                                              <w:marRight w:val="0"/>
                                              <w:marTop w:val="0"/>
                                              <w:marBottom w:val="0"/>
                                              <w:divBdr>
                                                <w:top w:val="none" w:sz="0" w:space="0" w:color="auto"/>
                                                <w:left w:val="none" w:sz="0" w:space="0" w:color="auto"/>
                                                <w:bottom w:val="none" w:sz="0" w:space="0" w:color="auto"/>
                                                <w:right w:val="none" w:sz="0" w:space="0" w:color="auto"/>
                                              </w:divBdr>
                                              <w:divsChild>
                                                <w:div w:id="990712097">
                                                  <w:marLeft w:val="0"/>
                                                  <w:marRight w:val="0"/>
                                                  <w:marTop w:val="0"/>
                                                  <w:marBottom w:val="0"/>
                                                  <w:divBdr>
                                                    <w:top w:val="none" w:sz="0" w:space="0" w:color="auto"/>
                                                    <w:left w:val="none" w:sz="0" w:space="0" w:color="auto"/>
                                                    <w:bottom w:val="none" w:sz="0" w:space="0" w:color="auto"/>
                                                    <w:right w:val="none" w:sz="0" w:space="0" w:color="auto"/>
                                                  </w:divBdr>
                                                  <w:divsChild>
                                                    <w:div w:id="68230428">
                                                      <w:marLeft w:val="0"/>
                                                      <w:marRight w:val="0"/>
                                                      <w:marTop w:val="0"/>
                                                      <w:marBottom w:val="0"/>
                                                      <w:divBdr>
                                                        <w:top w:val="none" w:sz="0" w:space="0" w:color="auto"/>
                                                        <w:left w:val="none" w:sz="0" w:space="0" w:color="auto"/>
                                                        <w:bottom w:val="none" w:sz="0" w:space="0" w:color="auto"/>
                                                        <w:right w:val="none" w:sz="0" w:space="0" w:color="auto"/>
                                                      </w:divBdr>
                                                      <w:divsChild>
                                                        <w:div w:id="20771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1039342">
      <w:bodyDiv w:val="1"/>
      <w:marLeft w:val="0"/>
      <w:marRight w:val="0"/>
      <w:marTop w:val="0"/>
      <w:marBottom w:val="0"/>
      <w:divBdr>
        <w:top w:val="none" w:sz="0" w:space="0" w:color="auto"/>
        <w:left w:val="none" w:sz="0" w:space="0" w:color="auto"/>
        <w:bottom w:val="none" w:sz="0" w:space="0" w:color="auto"/>
        <w:right w:val="none" w:sz="0" w:space="0" w:color="auto"/>
      </w:divBdr>
    </w:div>
    <w:div w:id="926579720">
      <w:bodyDiv w:val="1"/>
      <w:marLeft w:val="0"/>
      <w:marRight w:val="0"/>
      <w:marTop w:val="0"/>
      <w:marBottom w:val="0"/>
      <w:divBdr>
        <w:top w:val="none" w:sz="0" w:space="0" w:color="auto"/>
        <w:left w:val="none" w:sz="0" w:space="0" w:color="auto"/>
        <w:bottom w:val="none" w:sz="0" w:space="0" w:color="auto"/>
        <w:right w:val="none" w:sz="0" w:space="0" w:color="auto"/>
      </w:divBdr>
    </w:div>
    <w:div w:id="1136950662">
      <w:bodyDiv w:val="1"/>
      <w:marLeft w:val="0"/>
      <w:marRight w:val="0"/>
      <w:marTop w:val="0"/>
      <w:marBottom w:val="0"/>
      <w:divBdr>
        <w:top w:val="none" w:sz="0" w:space="0" w:color="auto"/>
        <w:left w:val="none" w:sz="0" w:space="0" w:color="auto"/>
        <w:bottom w:val="none" w:sz="0" w:space="0" w:color="auto"/>
        <w:right w:val="none" w:sz="0" w:space="0" w:color="auto"/>
      </w:divBdr>
    </w:div>
    <w:div w:id="1172068778">
      <w:bodyDiv w:val="1"/>
      <w:marLeft w:val="0"/>
      <w:marRight w:val="0"/>
      <w:marTop w:val="0"/>
      <w:marBottom w:val="0"/>
      <w:divBdr>
        <w:top w:val="none" w:sz="0" w:space="0" w:color="auto"/>
        <w:left w:val="none" w:sz="0" w:space="0" w:color="auto"/>
        <w:bottom w:val="none" w:sz="0" w:space="0" w:color="auto"/>
        <w:right w:val="none" w:sz="0" w:space="0" w:color="auto"/>
      </w:divBdr>
    </w:div>
    <w:div w:id="1300378258">
      <w:bodyDiv w:val="1"/>
      <w:marLeft w:val="0"/>
      <w:marRight w:val="0"/>
      <w:marTop w:val="0"/>
      <w:marBottom w:val="0"/>
      <w:divBdr>
        <w:top w:val="none" w:sz="0" w:space="0" w:color="auto"/>
        <w:left w:val="none" w:sz="0" w:space="0" w:color="auto"/>
        <w:bottom w:val="none" w:sz="0" w:space="0" w:color="auto"/>
        <w:right w:val="none" w:sz="0" w:space="0" w:color="auto"/>
      </w:divBdr>
    </w:div>
    <w:div w:id="1642540343">
      <w:bodyDiv w:val="1"/>
      <w:marLeft w:val="0"/>
      <w:marRight w:val="0"/>
      <w:marTop w:val="0"/>
      <w:marBottom w:val="0"/>
      <w:divBdr>
        <w:top w:val="none" w:sz="0" w:space="0" w:color="auto"/>
        <w:left w:val="none" w:sz="0" w:space="0" w:color="auto"/>
        <w:bottom w:val="none" w:sz="0" w:space="0" w:color="auto"/>
        <w:right w:val="none" w:sz="0" w:space="0" w:color="auto"/>
      </w:divBdr>
      <w:divsChild>
        <w:div w:id="1718165332">
          <w:marLeft w:val="0"/>
          <w:marRight w:val="0"/>
          <w:marTop w:val="0"/>
          <w:marBottom w:val="0"/>
          <w:divBdr>
            <w:top w:val="none" w:sz="0" w:space="0" w:color="auto"/>
            <w:left w:val="none" w:sz="0" w:space="0" w:color="auto"/>
            <w:bottom w:val="none" w:sz="0" w:space="0" w:color="auto"/>
            <w:right w:val="none" w:sz="0" w:space="0" w:color="auto"/>
          </w:divBdr>
          <w:divsChild>
            <w:div w:id="940800885">
              <w:marLeft w:val="0"/>
              <w:marRight w:val="0"/>
              <w:marTop w:val="0"/>
              <w:marBottom w:val="0"/>
              <w:divBdr>
                <w:top w:val="none" w:sz="0" w:space="0" w:color="auto"/>
                <w:left w:val="none" w:sz="0" w:space="0" w:color="auto"/>
                <w:bottom w:val="none" w:sz="0" w:space="0" w:color="auto"/>
                <w:right w:val="none" w:sz="0" w:space="0" w:color="auto"/>
              </w:divBdr>
              <w:divsChild>
                <w:div w:id="388192297">
                  <w:marLeft w:val="0"/>
                  <w:marRight w:val="0"/>
                  <w:marTop w:val="0"/>
                  <w:marBottom w:val="0"/>
                  <w:divBdr>
                    <w:top w:val="none" w:sz="0" w:space="0" w:color="auto"/>
                    <w:left w:val="none" w:sz="0" w:space="0" w:color="auto"/>
                    <w:bottom w:val="none" w:sz="0" w:space="0" w:color="auto"/>
                    <w:right w:val="none" w:sz="0" w:space="0" w:color="auto"/>
                  </w:divBdr>
                  <w:divsChild>
                    <w:div w:id="1876115965">
                      <w:marLeft w:val="0"/>
                      <w:marRight w:val="0"/>
                      <w:marTop w:val="0"/>
                      <w:marBottom w:val="0"/>
                      <w:divBdr>
                        <w:top w:val="none" w:sz="0" w:space="0" w:color="auto"/>
                        <w:left w:val="none" w:sz="0" w:space="0" w:color="auto"/>
                        <w:bottom w:val="none" w:sz="0" w:space="0" w:color="auto"/>
                        <w:right w:val="none" w:sz="0" w:space="0" w:color="auto"/>
                      </w:divBdr>
                      <w:divsChild>
                        <w:div w:id="2009097733">
                          <w:marLeft w:val="0"/>
                          <w:marRight w:val="0"/>
                          <w:marTop w:val="0"/>
                          <w:marBottom w:val="0"/>
                          <w:divBdr>
                            <w:top w:val="none" w:sz="0" w:space="0" w:color="auto"/>
                            <w:left w:val="none" w:sz="0" w:space="0" w:color="auto"/>
                            <w:bottom w:val="none" w:sz="0" w:space="0" w:color="auto"/>
                            <w:right w:val="none" w:sz="0" w:space="0" w:color="auto"/>
                          </w:divBdr>
                          <w:divsChild>
                            <w:div w:id="1112672870">
                              <w:marLeft w:val="0"/>
                              <w:marRight w:val="0"/>
                              <w:marTop w:val="0"/>
                              <w:marBottom w:val="0"/>
                              <w:divBdr>
                                <w:top w:val="none" w:sz="0" w:space="0" w:color="auto"/>
                                <w:left w:val="none" w:sz="0" w:space="0" w:color="auto"/>
                                <w:bottom w:val="none" w:sz="0" w:space="0" w:color="auto"/>
                                <w:right w:val="none" w:sz="0" w:space="0" w:color="auto"/>
                              </w:divBdr>
                              <w:divsChild>
                                <w:div w:id="92091207">
                                  <w:marLeft w:val="0"/>
                                  <w:marRight w:val="0"/>
                                  <w:marTop w:val="0"/>
                                  <w:marBottom w:val="0"/>
                                  <w:divBdr>
                                    <w:top w:val="none" w:sz="0" w:space="0" w:color="auto"/>
                                    <w:left w:val="none" w:sz="0" w:space="0" w:color="auto"/>
                                    <w:bottom w:val="none" w:sz="0" w:space="0" w:color="auto"/>
                                    <w:right w:val="none" w:sz="0" w:space="0" w:color="auto"/>
                                  </w:divBdr>
                                  <w:divsChild>
                                    <w:div w:id="222328223">
                                      <w:marLeft w:val="0"/>
                                      <w:marRight w:val="0"/>
                                      <w:marTop w:val="0"/>
                                      <w:marBottom w:val="0"/>
                                      <w:divBdr>
                                        <w:top w:val="none" w:sz="0" w:space="0" w:color="auto"/>
                                        <w:left w:val="none" w:sz="0" w:space="0" w:color="auto"/>
                                        <w:bottom w:val="none" w:sz="0" w:space="0" w:color="auto"/>
                                        <w:right w:val="none" w:sz="0" w:space="0" w:color="auto"/>
                                      </w:divBdr>
                                      <w:divsChild>
                                        <w:div w:id="1963227201">
                                          <w:marLeft w:val="0"/>
                                          <w:marRight w:val="0"/>
                                          <w:marTop w:val="0"/>
                                          <w:marBottom w:val="0"/>
                                          <w:divBdr>
                                            <w:top w:val="none" w:sz="0" w:space="0" w:color="auto"/>
                                            <w:left w:val="none" w:sz="0" w:space="0" w:color="auto"/>
                                            <w:bottom w:val="none" w:sz="0" w:space="0" w:color="auto"/>
                                            <w:right w:val="none" w:sz="0" w:space="0" w:color="auto"/>
                                          </w:divBdr>
                                          <w:divsChild>
                                            <w:div w:id="1073895163">
                                              <w:marLeft w:val="0"/>
                                              <w:marRight w:val="0"/>
                                              <w:marTop w:val="0"/>
                                              <w:marBottom w:val="0"/>
                                              <w:divBdr>
                                                <w:top w:val="none" w:sz="0" w:space="0" w:color="auto"/>
                                                <w:left w:val="none" w:sz="0" w:space="0" w:color="auto"/>
                                                <w:bottom w:val="none" w:sz="0" w:space="0" w:color="auto"/>
                                                <w:right w:val="none" w:sz="0" w:space="0" w:color="auto"/>
                                              </w:divBdr>
                                              <w:divsChild>
                                                <w:div w:id="673145247">
                                                  <w:marLeft w:val="0"/>
                                                  <w:marRight w:val="0"/>
                                                  <w:marTop w:val="0"/>
                                                  <w:marBottom w:val="0"/>
                                                  <w:divBdr>
                                                    <w:top w:val="none" w:sz="0" w:space="0" w:color="auto"/>
                                                    <w:left w:val="none" w:sz="0" w:space="0" w:color="auto"/>
                                                    <w:bottom w:val="none" w:sz="0" w:space="0" w:color="auto"/>
                                                    <w:right w:val="none" w:sz="0" w:space="0" w:color="auto"/>
                                                  </w:divBdr>
                                                  <w:divsChild>
                                                    <w:div w:id="635457299">
                                                      <w:marLeft w:val="0"/>
                                                      <w:marRight w:val="0"/>
                                                      <w:marTop w:val="0"/>
                                                      <w:marBottom w:val="0"/>
                                                      <w:divBdr>
                                                        <w:top w:val="none" w:sz="0" w:space="0" w:color="auto"/>
                                                        <w:left w:val="none" w:sz="0" w:space="0" w:color="auto"/>
                                                        <w:bottom w:val="none" w:sz="0" w:space="0" w:color="auto"/>
                                                        <w:right w:val="none" w:sz="0" w:space="0" w:color="auto"/>
                                                      </w:divBdr>
                                                      <w:divsChild>
                                                        <w:div w:id="147845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55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2419" ma:contentTypeDescription=" " ma:contentTypeScope="" ma:versionID="e6d3e68c4b57f65e844b1df66317d2c2">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9f7bc583-7cbe-45b9-a2bd-8bbb6543b37e">
      <Value>11</Value>
    </TaxCatchAll>
    <_dlc_DocId xmlns="9f7bc583-7cbe-45b9-a2bd-8bbb6543b37e">2018RG-111-9420</_dlc_DocId>
    <_dlc_DocIdUrl xmlns="9f7bc583-7cbe-45b9-a2bd-8bbb6543b37e">
      <Url>http://tweb/sites/rg/ldp/lmu/_layouts/15/DocIdRedir.aspx?ID=2018RG-111-9420</Url>
      <Description>2018RG-111-9420</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AF508-85B8-4F11-9D4A-567F5A977B5D}">
  <ds:schemaRefs>
    <ds:schemaRef ds:uri="http://schemas.microsoft.com/sharepoint/events"/>
  </ds:schemaRefs>
</ds:datastoreItem>
</file>

<file path=customXml/itemProps2.xml><?xml version="1.0" encoding="utf-8"?>
<ds:datastoreItem xmlns:ds="http://schemas.openxmlformats.org/officeDocument/2006/customXml" ds:itemID="{5B56739A-FDAF-410F-9358-1BFAD629AD8F}">
  <ds:schemaRefs>
    <ds:schemaRef ds:uri="office.server.policy"/>
  </ds:schemaRefs>
</ds:datastoreItem>
</file>

<file path=customXml/itemProps3.xml><?xml version="1.0" encoding="utf-8"?>
<ds:datastoreItem xmlns:ds="http://schemas.openxmlformats.org/officeDocument/2006/customXml" ds:itemID="{96165D7B-1D2D-4D17-AEB6-E680C1A60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49357E-0B3B-40BE-A7D2-2C59657F663E}">
  <ds:schemaRefs>
    <ds:schemaRef ds:uri="office.server.policy"/>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6.xml><?xml version="1.0" encoding="utf-8"?>
<ds:datastoreItem xmlns:ds="http://schemas.openxmlformats.org/officeDocument/2006/customXml" ds:itemID="{46278533-3486-40E5-9013-DD26FD164D39}">
  <ds:schemaRefs>
    <ds:schemaRef ds:uri="http://purl.org/dc/elements/1.1/"/>
    <ds:schemaRef ds:uri="http://www.w3.org/XML/1998/namespace"/>
    <ds:schemaRef ds:uri="http://schemas.microsoft.com/office/infopath/2007/PartnerControls"/>
    <ds:schemaRef ds:uri="http://purl.org/dc/terms/"/>
    <ds:schemaRef ds:uri="http://schemas.microsoft.com/sharepoint/v4"/>
    <ds:schemaRef ds:uri="http://purl.org/dc/dcmitype/"/>
    <ds:schemaRef ds:uri="http://schemas.microsoft.com/office/2006/metadata/properties"/>
    <ds:schemaRef ds:uri="http://schemas.microsoft.com/office/2006/documentManagement/types"/>
    <ds:schemaRef ds:uri="http://schemas.openxmlformats.org/package/2006/metadata/core-properties"/>
    <ds:schemaRef ds:uri="9f7bc583-7cbe-45b9-a2bd-8bbb6543b37e"/>
    <ds:schemaRef ds:uri="http://schemas.microsoft.com/sharepoint/v3"/>
  </ds:schemaRefs>
</ds:datastoreItem>
</file>

<file path=customXml/itemProps7.xml><?xml version="1.0" encoding="utf-8"?>
<ds:datastoreItem xmlns:ds="http://schemas.openxmlformats.org/officeDocument/2006/customXml" ds:itemID="{85732430-AE34-4B24-B1CB-A78F99BF3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12</Pages>
  <Words>4836</Words>
  <Characters>27570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32342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Murphy, Jesse</dc:creator>
  <cp:lastModifiedBy>Lewis, Larissa</cp:lastModifiedBy>
  <cp:revision>2</cp:revision>
  <cp:lastPrinted>2018-06-06T07:30:00Z</cp:lastPrinted>
  <dcterms:created xsi:type="dcterms:W3CDTF">2018-07-03T01:54:00Z</dcterms:created>
  <dcterms:modified xsi:type="dcterms:W3CDTF">2018-07-03T01:54:00Z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-1718200769</vt:i4>
  </property>
  <property fmtid="{D5CDD505-2E9C-101B-9397-08002B2CF9AE}" pid="3" name="_NewReviewCycle">
    <vt:lpwstr/>
  </property>
  <property fmtid="{D5CDD505-2E9C-101B-9397-08002B2CF9AE}" pid="4" name="_EmailSubject">
    <vt:lpwstr>NHFIC Investment Mandate</vt:lpwstr>
  </property>
  <property fmtid="{D5CDD505-2E9C-101B-9397-08002B2CF9AE}" pid="5" name="_AuthorEmail">
    <vt:lpwstr>Jesse.Murphy@TREASURY.GOV.AU</vt:lpwstr>
  </property>
  <property fmtid="{D5CDD505-2E9C-101B-9397-08002B2CF9AE}" pid="6" name="_AuthorEmailDisplayName">
    <vt:lpwstr>Murphy, Jesse</vt:lpwstr>
  </property>
  <property fmtid="{D5CDD505-2E9C-101B-9397-08002B2CF9AE}" pid="7" name="ContentTypeId">
    <vt:lpwstr>0x01010036BB8DE7EC542E42A8B2E98CC20CB69700D5C18F41BA18FB44827A222ACD6776F5</vt:lpwstr>
  </property>
  <property fmtid="{D5CDD505-2E9C-101B-9397-08002B2CF9AE}" pid="8" name="_dlc_DocIdItemGuid">
    <vt:lpwstr>a43022fb-5eb5-448b-ad5f-6266299e5618</vt:lpwstr>
  </property>
  <property fmtid="{D5CDD505-2E9C-101B-9397-08002B2CF9AE}" pid="9" name="_PreviousAdHocReviewCycleID">
    <vt:i4>1630189888</vt:i4>
  </property>
  <property fmtid="{D5CDD505-2E9C-101B-9397-08002B2CF9AE}" pid="10" name="RecordPoint_WorkflowType">
    <vt:lpwstr>ActiveSubmitStub</vt:lpwstr>
  </property>
  <property fmtid="{D5CDD505-2E9C-101B-9397-08002B2CF9AE}" pid="11" name="RecordPoint_ActiveItemUniqueId">
    <vt:lpwstr>{ee1e8ea2-b890-4a2c-ad28-db30568c4b0f}</vt:lpwstr>
  </property>
  <property fmtid="{D5CDD505-2E9C-101B-9397-08002B2CF9AE}" pid="12" name="RecordPoint_ActiveItemWebId">
    <vt:lpwstr>{2602612e-a30f-4de0-b9eb-e01e73dc8005}</vt:lpwstr>
  </property>
  <property fmtid="{D5CDD505-2E9C-101B-9397-08002B2CF9AE}" pid="13" name="RecordPoint_ActiveItemSiteId">
    <vt:lpwstr>{5b52b9a5-e5b2-4521-8814-a1e24ca2869d}</vt:lpwstr>
  </property>
  <property fmtid="{D5CDD505-2E9C-101B-9397-08002B2CF9AE}" pid="14" name="RecordPoint_ActiveItemListId">
    <vt:lpwstr>{1a010be9-83b3-4740-abb7-452f2d1120fe}</vt:lpwstr>
  </property>
  <property fmtid="{D5CDD505-2E9C-101B-9397-08002B2CF9AE}" pid="15" name="RecordPoint_RecordNumberSubmitted">
    <vt:lpwstr>R0001785019</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TSYRecordClass">
    <vt:lpwstr>11;#TSY RA-9237 - Destroy 5 years after action completed|9f1a030e-81bf-44c5-98eb-4d5d869a40d5</vt:lpwstr>
  </property>
  <property fmtid="{D5CDD505-2E9C-101B-9397-08002B2CF9AE}" pid="20" name="RecordPoint_SubmissionCompleted">
    <vt:lpwstr>2018-07-02T13:34:30.7586794+10:00</vt:lpwstr>
  </property>
  <property fmtid="{D5CDD505-2E9C-101B-9397-08002B2CF9AE}" pid="21" name="_ReviewingToolsShownOnce">
    <vt:lpwstr/>
  </property>
</Properties>
</file>