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DF" w:rsidRPr="00B56009" w:rsidRDefault="00887FDF" w:rsidP="00A91F42">
      <w:pPr>
        <w:pStyle w:val="Title"/>
        <w:spacing w:after="240"/>
        <w:rPr>
          <w:u w:val="single"/>
        </w:rPr>
      </w:pPr>
      <w:r w:rsidRPr="00B56009">
        <w:rPr>
          <w:u w:val="single"/>
        </w:rPr>
        <w:t>Explanatory Statement</w:t>
      </w:r>
    </w:p>
    <w:p w:rsidR="00B56009" w:rsidRPr="007413BA" w:rsidRDefault="00B56009" w:rsidP="00B56009">
      <w:pPr>
        <w:pStyle w:val="Title"/>
        <w:spacing w:after="240"/>
        <w:rPr>
          <w:sz w:val="24"/>
          <w:szCs w:val="24"/>
        </w:rPr>
      </w:pPr>
      <w:r w:rsidRPr="007413BA">
        <w:rPr>
          <w:i/>
          <w:sz w:val="24"/>
          <w:szCs w:val="24"/>
        </w:rPr>
        <w:t>ASIC (Fees–Complexity Criteria) Instrument 2018/</w:t>
      </w:r>
      <w:r w:rsidR="007413BA">
        <w:rPr>
          <w:i/>
          <w:sz w:val="24"/>
          <w:szCs w:val="24"/>
        </w:rPr>
        <w:t>578</w:t>
      </w:r>
    </w:p>
    <w:p w:rsidR="007413BA" w:rsidRDefault="00887FDF" w:rsidP="00B86975">
      <w:pPr>
        <w:pBdr>
          <w:bottom w:val="single" w:sz="4" w:space="1" w:color="auto"/>
        </w:pBdr>
        <w:spacing w:after="240" w:line="240" w:lineRule="auto"/>
        <w:jc w:val="center"/>
        <w:rPr>
          <w:rFonts w:ascii="Times New Roman" w:hAnsi="Times New Roman" w:cs="Times New Roman"/>
          <w:sz w:val="24"/>
          <w:szCs w:val="24"/>
        </w:rPr>
      </w:pPr>
      <w:r w:rsidRPr="000B2800">
        <w:rPr>
          <w:rFonts w:ascii="Times New Roman" w:hAnsi="Times New Roman" w:cs="Times New Roman"/>
          <w:sz w:val="24"/>
          <w:szCs w:val="24"/>
        </w:rPr>
        <w:t>Prepared by the Australian Securities and Investments Commission</w:t>
      </w:r>
    </w:p>
    <w:p w:rsidR="00787213" w:rsidRDefault="00887FDF" w:rsidP="00A91F42">
      <w:pPr>
        <w:spacing w:after="240" w:line="240" w:lineRule="auto"/>
        <w:rPr>
          <w:rFonts w:ascii="Times New Roman" w:hAnsi="Times New Roman" w:cs="Times New Roman"/>
          <w:sz w:val="24"/>
          <w:szCs w:val="24"/>
        </w:rPr>
      </w:pPr>
      <w:r w:rsidRPr="00971232">
        <w:rPr>
          <w:rFonts w:ascii="Times New Roman" w:hAnsi="Times New Roman" w:cs="Times New Roman"/>
          <w:sz w:val="24"/>
          <w:szCs w:val="24"/>
        </w:rPr>
        <w:t>The Australian Securities and Investments Commission (</w:t>
      </w:r>
      <w:r w:rsidRPr="00971232">
        <w:rPr>
          <w:rFonts w:ascii="Times New Roman" w:hAnsi="Times New Roman" w:cs="Times New Roman"/>
          <w:b/>
          <w:i/>
          <w:sz w:val="24"/>
          <w:szCs w:val="24"/>
        </w:rPr>
        <w:t>ASIC</w:t>
      </w:r>
      <w:r w:rsidRPr="00971232">
        <w:rPr>
          <w:rFonts w:ascii="Times New Roman" w:hAnsi="Times New Roman" w:cs="Times New Roman"/>
          <w:sz w:val="24"/>
          <w:szCs w:val="24"/>
        </w:rPr>
        <w:t xml:space="preserve">) makes </w:t>
      </w:r>
      <w:r w:rsidR="00E3035B">
        <w:rPr>
          <w:rFonts w:ascii="Times New Roman" w:hAnsi="Times New Roman" w:cs="Times New Roman"/>
          <w:sz w:val="24"/>
          <w:szCs w:val="24"/>
        </w:rPr>
        <w:t xml:space="preserve">the </w:t>
      </w:r>
      <w:r w:rsidR="00787213" w:rsidRPr="00787213">
        <w:rPr>
          <w:rFonts w:ascii="Times New Roman" w:hAnsi="Times New Roman" w:cs="Times New Roman"/>
          <w:i/>
          <w:sz w:val="24"/>
          <w:szCs w:val="24"/>
        </w:rPr>
        <w:t>ASIC (Fees—</w:t>
      </w:r>
      <w:r w:rsidR="0072427A">
        <w:rPr>
          <w:rFonts w:ascii="Times New Roman" w:hAnsi="Times New Roman" w:cs="Times New Roman"/>
          <w:i/>
          <w:sz w:val="24"/>
          <w:szCs w:val="24"/>
        </w:rPr>
        <w:t>C</w:t>
      </w:r>
      <w:r w:rsidR="00787213" w:rsidRPr="00787213">
        <w:rPr>
          <w:rFonts w:ascii="Times New Roman" w:hAnsi="Times New Roman" w:cs="Times New Roman"/>
          <w:i/>
          <w:sz w:val="24"/>
          <w:szCs w:val="24"/>
        </w:rPr>
        <w:t>omplexity Criteria)</w:t>
      </w:r>
      <w:r w:rsidR="0072427A">
        <w:rPr>
          <w:rFonts w:ascii="Times New Roman" w:hAnsi="Times New Roman" w:cs="Times New Roman"/>
          <w:i/>
          <w:sz w:val="24"/>
          <w:szCs w:val="24"/>
        </w:rPr>
        <w:t> </w:t>
      </w:r>
      <w:r w:rsidR="00787213" w:rsidRPr="00787213">
        <w:rPr>
          <w:rFonts w:ascii="Times New Roman" w:hAnsi="Times New Roman" w:cs="Times New Roman"/>
          <w:i/>
          <w:sz w:val="24"/>
          <w:szCs w:val="24"/>
        </w:rPr>
        <w:t>Instrument 2018/</w:t>
      </w:r>
      <w:r w:rsidR="00B56009">
        <w:rPr>
          <w:rFonts w:ascii="Times New Roman" w:hAnsi="Times New Roman" w:cs="Times New Roman"/>
          <w:i/>
          <w:sz w:val="24"/>
          <w:szCs w:val="24"/>
        </w:rPr>
        <w:t>578</w:t>
      </w:r>
      <w:r w:rsidR="00787213">
        <w:rPr>
          <w:rFonts w:ascii="Times New Roman" w:hAnsi="Times New Roman" w:cs="Times New Roman"/>
          <w:sz w:val="24"/>
          <w:szCs w:val="24"/>
        </w:rPr>
        <w:t xml:space="preserve"> under subsection 5</w:t>
      </w:r>
      <w:proofErr w:type="gramStart"/>
      <w:r w:rsidR="00787213">
        <w:rPr>
          <w:rFonts w:ascii="Times New Roman" w:hAnsi="Times New Roman" w:cs="Times New Roman"/>
          <w:sz w:val="24"/>
          <w:szCs w:val="24"/>
        </w:rPr>
        <w:t>A(</w:t>
      </w:r>
      <w:proofErr w:type="gramEnd"/>
      <w:r w:rsidR="00787213">
        <w:rPr>
          <w:rFonts w:ascii="Times New Roman" w:hAnsi="Times New Roman" w:cs="Times New Roman"/>
          <w:sz w:val="24"/>
          <w:szCs w:val="24"/>
        </w:rPr>
        <w:t xml:space="preserve">4) of the </w:t>
      </w:r>
      <w:r w:rsidR="00787213" w:rsidRPr="00787213">
        <w:rPr>
          <w:rFonts w:ascii="Times New Roman" w:hAnsi="Times New Roman" w:cs="Times New Roman"/>
          <w:i/>
          <w:sz w:val="24"/>
          <w:szCs w:val="24"/>
        </w:rPr>
        <w:t>Corporations</w:t>
      </w:r>
      <w:r w:rsidR="0072427A">
        <w:rPr>
          <w:rFonts w:ascii="Times New Roman" w:hAnsi="Times New Roman" w:cs="Times New Roman"/>
          <w:i/>
          <w:sz w:val="24"/>
          <w:szCs w:val="24"/>
        </w:rPr>
        <w:t> </w:t>
      </w:r>
      <w:r w:rsidR="00787213" w:rsidRPr="00787213">
        <w:rPr>
          <w:rFonts w:ascii="Times New Roman" w:hAnsi="Times New Roman" w:cs="Times New Roman"/>
          <w:i/>
          <w:sz w:val="24"/>
          <w:szCs w:val="24"/>
        </w:rPr>
        <w:t>(Fees)</w:t>
      </w:r>
      <w:r w:rsidR="0072427A">
        <w:rPr>
          <w:rFonts w:ascii="Times New Roman" w:hAnsi="Times New Roman" w:cs="Times New Roman"/>
          <w:i/>
          <w:sz w:val="24"/>
          <w:szCs w:val="24"/>
        </w:rPr>
        <w:t> </w:t>
      </w:r>
      <w:r w:rsidR="00787213" w:rsidRPr="00787213">
        <w:rPr>
          <w:rFonts w:ascii="Times New Roman" w:hAnsi="Times New Roman" w:cs="Times New Roman"/>
          <w:i/>
          <w:sz w:val="24"/>
          <w:szCs w:val="24"/>
        </w:rPr>
        <w:t>Act 2001</w:t>
      </w:r>
      <w:r w:rsidR="00787213">
        <w:rPr>
          <w:rFonts w:ascii="Times New Roman" w:hAnsi="Times New Roman" w:cs="Times New Roman"/>
          <w:i/>
          <w:sz w:val="24"/>
          <w:szCs w:val="24"/>
        </w:rPr>
        <w:t xml:space="preserve"> (</w:t>
      </w:r>
      <w:r w:rsidR="00787213" w:rsidRPr="00787213">
        <w:rPr>
          <w:rFonts w:ascii="Times New Roman" w:hAnsi="Times New Roman" w:cs="Times New Roman"/>
          <w:sz w:val="24"/>
          <w:szCs w:val="24"/>
        </w:rPr>
        <w:t xml:space="preserve">the </w:t>
      </w:r>
      <w:r w:rsidR="00787213" w:rsidRPr="00787213">
        <w:rPr>
          <w:rFonts w:ascii="Times New Roman" w:hAnsi="Times New Roman" w:cs="Times New Roman"/>
          <w:b/>
          <w:i/>
          <w:sz w:val="24"/>
          <w:szCs w:val="24"/>
        </w:rPr>
        <w:t>Fees Act</w:t>
      </w:r>
      <w:r w:rsidR="00787213">
        <w:rPr>
          <w:rFonts w:ascii="Times New Roman" w:hAnsi="Times New Roman" w:cs="Times New Roman"/>
          <w:i/>
          <w:sz w:val="24"/>
          <w:szCs w:val="24"/>
        </w:rPr>
        <w:t>)</w:t>
      </w:r>
      <w:r w:rsidR="00787213">
        <w:rPr>
          <w:rFonts w:ascii="Times New Roman" w:hAnsi="Times New Roman" w:cs="Times New Roman"/>
          <w:sz w:val="24"/>
          <w:szCs w:val="24"/>
        </w:rPr>
        <w:t>.</w:t>
      </w:r>
    </w:p>
    <w:p w:rsidR="00A55C7F" w:rsidRDefault="00787213" w:rsidP="00A91F42">
      <w:pPr>
        <w:spacing w:after="240" w:line="240" w:lineRule="auto"/>
        <w:rPr>
          <w:rFonts w:ascii="Times New Roman" w:hAnsi="Times New Roman" w:cs="Times New Roman"/>
          <w:sz w:val="24"/>
          <w:szCs w:val="24"/>
        </w:rPr>
      </w:pPr>
      <w:r>
        <w:rPr>
          <w:rFonts w:ascii="Times New Roman" w:hAnsi="Times New Roman" w:cs="Times New Roman"/>
          <w:sz w:val="24"/>
          <w:szCs w:val="24"/>
        </w:rPr>
        <w:t>Under subsection 5</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4) of the Fees Act, ASIC may, by legislative instrument, make a determination specifying criteria for whether a chargeable matter is of low, medium or high complexity for the purposes of subsection 5A(2) of that Act.</w:t>
      </w:r>
    </w:p>
    <w:p w:rsidR="008B00DA" w:rsidRDefault="00787213" w:rsidP="00A91F42">
      <w:pPr>
        <w:spacing w:after="240" w:line="240" w:lineRule="auto"/>
        <w:rPr>
          <w:rFonts w:ascii="Times New Roman" w:hAnsi="Times New Roman" w:cs="Times New Roman"/>
          <w:sz w:val="24"/>
          <w:szCs w:val="24"/>
        </w:rPr>
      </w:pPr>
      <w:r>
        <w:rPr>
          <w:rFonts w:ascii="Times New Roman" w:hAnsi="Times New Roman" w:cs="Times New Roman"/>
          <w:sz w:val="24"/>
          <w:szCs w:val="24"/>
        </w:rPr>
        <w:t>Subsection 5</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2) </w:t>
      </w:r>
      <w:r w:rsidR="00A55C7F">
        <w:rPr>
          <w:rFonts w:ascii="Times New Roman" w:hAnsi="Times New Roman" w:cs="Times New Roman"/>
          <w:sz w:val="24"/>
          <w:szCs w:val="24"/>
        </w:rPr>
        <w:t xml:space="preserve">of that Act </w:t>
      </w:r>
      <w:r>
        <w:rPr>
          <w:rFonts w:ascii="Times New Roman" w:hAnsi="Times New Roman" w:cs="Times New Roman"/>
          <w:sz w:val="24"/>
          <w:szCs w:val="24"/>
        </w:rPr>
        <w:t xml:space="preserve">provides that regulations </w:t>
      </w:r>
      <w:r w:rsidR="00A639E9">
        <w:rPr>
          <w:rFonts w:ascii="Times New Roman" w:hAnsi="Times New Roman" w:cs="Times New Roman"/>
          <w:sz w:val="24"/>
          <w:szCs w:val="24"/>
        </w:rPr>
        <w:t xml:space="preserve">may prescribe, in relation to a chargeable matter, </w:t>
      </w:r>
      <w:bookmarkStart w:id="0" w:name="_Hlk517428825"/>
      <w:r w:rsidR="00A639E9">
        <w:rPr>
          <w:rFonts w:ascii="Times New Roman" w:hAnsi="Times New Roman" w:cs="Times New Roman"/>
          <w:sz w:val="24"/>
          <w:szCs w:val="24"/>
        </w:rPr>
        <w:t>different fees having regard to whether the matter is of low, medium or high complexity.</w:t>
      </w:r>
    </w:p>
    <w:bookmarkEnd w:id="0"/>
    <w:p w:rsidR="00A55C7F" w:rsidRDefault="00A55C7F" w:rsidP="00A91F4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 ‘chargeable matter’ includes </w:t>
      </w:r>
      <w:r w:rsidRPr="00A55C7F">
        <w:rPr>
          <w:rFonts w:ascii="Times New Roman" w:hAnsi="Times New Roman" w:cs="Times New Roman"/>
          <w:sz w:val="24"/>
          <w:szCs w:val="24"/>
        </w:rPr>
        <w:t xml:space="preserve">the </w:t>
      </w:r>
      <w:r w:rsidR="000F508F">
        <w:rPr>
          <w:rFonts w:ascii="Times New Roman" w:hAnsi="Times New Roman" w:cs="Times New Roman"/>
          <w:sz w:val="24"/>
          <w:szCs w:val="24"/>
        </w:rPr>
        <w:t>lodging of a document with ASIC, and the m</w:t>
      </w:r>
      <w:r w:rsidRPr="00A55C7F">
        <w:rPr>
          <w:rFonts w:ascii="Times New Roman" w:hAnsi="Times New Roman" w:cs="Times New Roman"/>
          <w:sz w:val="24"/>
          <w:szCs w:val="24"/>
        </w:rPr>
        <w:t>aking of an</w:t>
      </w:r>
      <w:r w:rsidR="000F508F">
        <w:rPr>
          <w:rFonts w:ascii="Times New Roman" w:hAnsi="Times New Roman" w:cs="Times New Roman"/>
          <w:sz w:val="24"/>
          <w:szCs w:val="24"/>
        </w:rPr>
        <w:t> </w:t>
      </w:r>
      <w:r w:rsidRPr="00A55C7F">
        <w:rPr>
          <w:rFonts w:ascii="Times New Roman" w:hAnsi="Times New Roman" w:cs="Times New Roman"/>
          <w:sz w:val="24"/>
          <w:szCs w:val="24"/>
        </w:rPr>
        <w:t>application to the Minister, or ASIC, in relation to a matter arising under th</w:t>
      </w:r>
      <w:r>
        <w:rPr>
          <w:rFonts w:ascii="Times New Roman" w:hAnsi="Times New Roman" w:cs="Times New Roman"/>
          <w:sz w:val="24"/>
          <w:szCs w:val="24"/>
        </w:rPr>
        <w:t xml:space="preserve">e </w:t>
      </w:r>
      <w:r w:rsidRPr="00A55C7F">
        <w:rPr>
          <w:rFonts w:ascii="Times New Roman" w:hAnsi="Times New Roman" w:cs="Times New Roman"/>
          <w:i/>
          <w:sz w:val="24"/>
          <w:szCs w:val="24"/>
        </w:rPr>
        <w:t>Corporations</w:t>
      </w:r>
      <w:r w:rsidR="000F508F">
        <w:rPr>
          <w:rFonts w:ascii="Times New Roman" w:hAnsi="Times New Roman" w:cs="Times New Roman"/>
          <w:i/>
          <w:sz w:val="24"/>
          <w:szCs w:val="24"/>
        </w:rPr>
        <w:t> </w:t>
      </w:r>
      <w:r w:rsidRPr="00A55C7F">
        <w:rPr>
          <w:rFonts w:ascii="Times New Roman" w:hAnsi="Times New Roman" w:cs="Times New Roman"/>
          <w:i/>
          <w:sz w:val="24"/>
          <w:szCs w:val="24"/>
        </w:rPr>
        <w:t>Act 2001</w:t>
      </w:r>
      <w:r>
        <w:rPr>
          <w:rFonts w:ascii="Times New Roman" w:hAnsi="Times New Roman" w:cs="Times New Roman"/>
          <w:sz w:val="24"/>
          <w:szCs w:val="24"/>
        </w:rPr>
        <w:t xml:space="preserve"> (the </w:t>
      </w:r>
      <w:r w:rsidRPr="00A55C7F">
        <w:rPr>
          <w:rFonts w:ascii="Times New Roman" w:hAnsi="Times New Roman" w:cs="Times New Roman"/>
          <w:b/>
          <w:i/>
          <w:sz w:val="24"/>
          <w:szCs w:val="24"/>
        </w:rPr>
        <w:t>Act</w:t>
      </w:r>
      <w:r>
        <w:rPr>
          <w:rFonts w:ascii="Times New Roman" w:hAnsi="Times New Roman" w:cs="Times New Roman"/>
          <w:sz w:val="24"/>
          <w:szCs w:val="24"/>
        </w:rPr>
        <w:t>).</w:t>
      </w:r>
    </w:p>
    <w:p w:rsidR="008B00DA" w:rsidRPr="007413BA" w:rsidRDefault="00A639E9" w:rsidP="00A91F42">
      <w:pPr>
        <w:spacing w:after="240" w:line="240" w:lineRule="auto"/>
        <w:rPr>
          <w:rFonts w:ascii="Times New Roman" w:hAnsi="Times New Roman" w:cs="Times New Roman"/>
          <w:b/>
          <w:sz w:val="24"/>
          <w:szCs w:val="24"/>
        </w:rPr>
      </w:pPr>
      <w:r w:rsidRPr="007413BA">
        <w:rPr>
          <w:rFonts w:ascii="Times New Roman" w:hAnsi="Times New Roman" w:cs="Times New Roman"/>
          <w:b/>
          <w:sz w:val="24"/>
          <w:szCs w:val="24"/>
        </w:rPr>
        <w:t>1.</w:t>
      </w:r>
      <w:r w:rsidRPr="007413BA">
        <w:rPr>
          <w:rFonts w:ascii="Times New Roman" w:hAnsi="Times New Roman" w:cs="Times New Roman"/>
          <w:b/>
          <w:sz w:val="24"/>
          <w:szCs w:val="24"/>
        </w:rPr>
        <w:tab/>
        <w:t>Background</w:t>
      </w:r>
    </w:p>
    <w:p w:rsidR="00A55C7F" w:rsidRPr="00A55C7F"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A55C7F" w:rsidRPr="00A55C7F">
        <w:rPr>
          <w:rFonts w:ascii="Times New Roman" w:hAnsi="Times New Roman" w:cs="Times New Roman"/>
          <w:sz w:val="24"/>
          <w:szCs w:val="24"/>
        </w:rPr>
        <w:t xml:space="preserve">On 20 April 2016, the Government accepted </w:t>
      </w:r>
      <w:r w:rsidR="00A55C7F">
        <w:rPr>
          <w:rFonts w:ascii="Times New Roman" w:hAnsi="Times New Roman" w:cs="Times New Roman"/>
          <w:sz w:val="24"/>
          <w:szCs w:val="24"/>
        </w:rPr>
        <w:t xml:space="preserve">a </w:t>
      </w:r>
      <w:r w:rsidR="00A55C7F" w:rsidRPr="00A55C7F">
        <w:rPr>
          <w:rFonts w:ascii="Times New Roman" w:hAnsi="Times New Roman" w:cs="Times New Roman"/>
          <w:sz w:val="24"/>
          <w:szCs w:val="24"/>
        </w:rPr>
        <w:t>recommendation of the Financial</w:t>
      </w:r>
      <w:r w:rsidR="00A91F42">
        <w:rPr>
          <w:rFonts w:ascii="Times New Roman" w:hAnsi="Times New Roman" w:cs="Times New Roman"/>
          <w:sz w:val="24"/>
          <w:szCs w:val="24"/>
        </w:rPr>
        <w:t> </w:t>
      </w:r>
      <w:r w:rsidR="00A55C7F" w:rsidRPr="00A55C7F">
        <w:rPr>
          <w:rFonts w:ascii="Times New Roman" w:hAnsi="Times New Roman" w:cs="Times New Roman"/>
          <w:sz w:val="24"/>
          <w:szCs w:val="24"/>
        </w:rPr>
        <w:t>System</w:t>
      </w:r>
      <w:r w:rsidR="00A55C7F">
        <w:rPr>
          <w:rFonts w:ascii="Times New Roman" w:hAnsi="Times New Roman" w:cs="Times New Roman"/>
          <w:sz w:val="24"/>
          <w:szCs w:val="24"/>
        </w:rPr>
        <w:t> </w:t>
      </w:r>
      <w:r w:rsidR="00A55C7F" w:rsidRPr="00A55C7F">
        <w:rPr>
          <w:rFonts w:ascii="Times New Roman" w:hAnsi="Times New Roman" w:cs="Times New Roman"/>
          <w:sz w:val="24"/>
          <w:szCs w:val="24"/>
        </w:rPr>
        <w:t>Inquiry to introduce an industry funding model for ASIC.</w:t>
      </w:r>
    </w:p>
    <w:p w:rsidR="00A91F42"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91F42">
        <w:rPr>
          <w:rFonts w:ascii="Times New Roman" w:hAnsi="Times New Roman" w:cs="Times New Roman"/>
          <w:sz w:val="24"/>
          <w:szCs w:val="24"/>
        </w:rPr>
        <w:t xml:space="preserve">An </w:t>
      </w:r>
      <w:r w:rsidR="00A55C7F" w:rsidRPr="00A55C7F">
        <w:rPr>
          <w:rFonts w:ascii="Times New Roman" w:hAnsi="Times New Roman" w:cs="Times New Roman"/>
          <w:sz w:val="24"/>
          <w:szCs w:val="24"/>
        </w:rPr>
        <w:t>industry funding model</w:t>
      </w:r>
      <w:r w:rsidR="00A91F42">
        <w:rPr>
          <w:rFonts w:ascii="Times New Roman" w:hAnsi="Times New Roman" w:cs="Times New Roman"/>
          <w:sz w:val="24"/>
          <w:szCs w:val="24"/>
        </w:rPr>
        <w:t xml:space="preserve"> </w:t>
      </w:r>
      <w:r w:rsidR="00A55C7F" w:rsidRPr="00A55C7F">
        <w:rPr>
          <w:rFonts w:ascii="Times New Roman" w:hAnsi="Times New Roman" w:cs="Times New Roman"/>
          <w:sz w:val="24"/>
          <w:szCs w:val="24"/>
        </w:rPr>
        <w:t>will have significant benefits, including:</w:t>
      </w:r>
    </w:p>
    <w:p w:rsidR="0072427A" w:rsidRPr="0072427A" w:rsidRDefault="00A55C7F" w:rsidP="004B7CEB">
      <w:pPr>
        <w:pStyle w:val="ListParagraph"/>
        <w:numPr>
          <w:ilvl w:val="0"/>
          <w:numId w:val="8"/>
        </w:numPr>
        <w:spacing w:after="240" w:line="240" w:lineRule="auto"/>
        <w:ind w:hanging="513"/>
        <w:rPr>
          <w:rFonts w:ascii="Times New Roman" w:hAnsi="Times New Roman" w:cs="Times New Roman"/>
          <w:sz w:val="24"/>
          <w:szCs w:val="24"/>
        </w:rPr>
      </w:pPr>
      <w:r w:rsidRPr="0072427A">
        <w:rPr>
          <w:rFonts w:ascii="Times New Roman" w:hAnsi="Times New Roman" w:cs="Times New Roman"/>
          <w:sz w:val="24"/>
          <w:szCs w:val="24"/>
        </w:rPr>
        <w:t>improving equity, as only those entities that are regulated by ASIC and create the need for regulation will bear its costs, rather than ordinary taxpayers;</w:t>
      </w:r>
      <w:r w:rsidR="0072427A">
        <w:rPr>
          <w:rFonts w:ascii="Times New Roman" w:hAnsi="Times New Roman" w:cs="Times New Roman"/>
          <w:sz w:val="24"/>
          <w:szCs w:val="24"/>
        </w:rPr>
        <w:br/>
      </w:r>
    </w:p>
    <w:p w:rsidR="00A91F42" w:rsidRDefault="00A55C7F" w:rsidP="003605AA">
      <w:pPr>
        <w:pStyle w:val="ListParagraph"/>
        <w:numPr>
          <w:ilvl w:val="0"/>
          <w:numId w:val="8"/>
        </w:numPr>
        <w:spacing w:after="240" w:line="240" w:lineRule="auto"/>
        <w:ind w:hanging="513"/>
        <w:rPr>
          <w:rFonts w:ascii="Times New Roman" w:hAnsi="Times New Roman" w:cs="Times New Roman"/>
          <w:sz w:val="24"/>
          <w:szCs w:val="24"/>
        </w:rPr>
      </w:pPr>
      <w:r w:rsidRPr="00A91F42">
        <w:rPr>
          <w:rFonts w:ascii="Times New Roman" w:hAnsi="Times New Roman" w:cs="Times New Roman"/>
          <w:sz w:val="24"/>
          <w:szCs w:val="24"/>
        </w:rPr>
        <w:t>encouraging regulatory compliance as good conduct will reduce supervisory levies;</w:t>
      </w:r>
      <w:r w:rsidR="00D673F6">
        <w:rPr>
          <w:rFonts w:ascii="Times New Roman" w:hAnsi="Times New Roman" w:cs="Times New Roman"/>
          <w:sz w:val="24"/>
          <w:szCs w:val="24"/>
        </w:rPr>
        <w:t xml:space="preserve"> and</w:t>
      </w:r>
      <w:r w:rsidR="0072427A">
        <w:rPr>
          <w:rFonts w:ascii="Times New Roman" w:hAnsi="Times New Roman" w:cs="Times New Roman"/>
          <w:sz w:val="24"/>
          <w:szCs w:val="24"/>
        </w:rPr>
        <w:br/>
      </w:r>
    </w:p>
    <w:p w:rsidR="00A55C7F" w:rsidRPr="00A91F42" w:rsidRDefault="00A55C7F" w:rsidP="003605AA">
      <w:pPr>
        <w:pStyle w:val="ListParagraph"/>
        <w:numPr>
          <w:ilvl w:val="0"/>
          <w:numId w:val="8"/>
        </w:numPr>
        <w:spacing w:after="240" w:line="240" w:lineRule="auto"/>
        <w:ind w:hanging="513"/>
        <w:rPr>
          <w:rFonts w:ascii="Times New Roman" w:hAnsi="Times New Roman" w:cs="Times New Roman"/>
          <w:sz w:val="24"/>
          <w:szCs w:val="24"/>
        </w:rPr>
      </w:pPr>
      <w:r w:rsidRPr="00A91F42">
        <w:rPr>
          <w:rFonts w:ascii="Times New Roman" w:hAnsi="Times New Roman" w:cs="Times New Roman"/>
          <w:sz w:val="24"/>
          <w:szCs w:val="24"/>
        </w:rPr>
        <w:t xml:space="preserve">improving ASIC’s resource allocation, by providing ASIC with richer data to better identify emerging risks and </w:t>
      </w:r>
      <w:r w:rsidRPr="00A91F42">
        <w:rPr>
          <w:rFonts w:ascii="Times New Roman" w:hAnsi="Times New Roman" w:cs="Times New Roman"/>
          <w:sz w:val="24"/>
          <w:szCs w:val="24"/>
          <w:lang w:val="en-US"/>
        </w:rPr>
        <w:t>enhancing ASIC’s transparency and accountability.</w:t>
      </w:r>
    </w:p>
    <w:p w:rsidR="00A55C7F" w:rsidRPr="00A55C7F"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lang w:val="en-US"/>
        </w:rPr>
        <w:tab/>
      </w:r>
      <w:r w:rsidR="00A55C7F" w:rsidRPr="00A55C7F">
        <w:rPr>
          <w:rFonts w:ascii="Times New Roman" w:hAnsi="Times New Roman" w:cs="Times New Roman"/>
          <w:sz w:val="24"/>
          <w:szCs w:val="24"/>
          <w:lang w:val="en-US"/>
        </w:rPr>
        <w:t>On 1 July 2017, the first phase of the ASIC industry funding model commenced with the introduction of industry levies to recover the costs of ASIC’s regulatory activities.</w:t>
      </w:r>
      <w:r w:rsidR="00A91F42">
        <w:rPr>
          <w:rFonts w:ascii="Times New Roman" w:hAnsi="Times New Roman" w:cs="Times New Roman"/>
          <w:sz w:val="24"/>
          <w:szCs w:val="24"/>
          <w:lang w:val="en-US"/>
        </w:rPr>
        <w:t xml:space="preserve"> </w:t>
      </w:r>
      <w:r w:rsidR="00DF3452">
        <w:rPr>
          <w:rFonts w:ascii="Times New Roman" w:hAnsi="Times New Roman" w:cs="Times New Roman"/>
          <w:sz w:val="24"/>
          <w:szCs w:val="24"/>
          <w:lang w:val="en-US"/>
        </w:rPr>
        <w:t xml:space="preserve">The first phase is reflected in the </w:t>
      </w:r>
      <w:r w:rsidR="00DF3452" w:rsidRPr="00DF3452">
        <w:rPr>
          <w:rFonts w:ascii="Times New Roman" w:hAnsi="Times New Roman" w:cs="Times New Roman"/>
          <w:i/>
          <w:sz w:val="24"/>
          <w:szCs w:val="24"/>
          <w:lang w:val="en-US"/>
        </w:rPr>
        <w:t>ASIC Supervisory Cost Recovery Levy Act 2017</w:t>
      </w:r>
      <w:r w:rsidR="00DF3452">
        <w:rPr>
          <w:rFonts w:ascii="Times New Roman" w:hAnsi="Times New Roman" w:cs="Times New Roman"/>
          <w:sz w:val="24"/>
          <w:szCs w:val="24"/>
          <w:lang w:val="en-US"/>
        </w:rPr>
        <w:t xml:space="preserve">, </w:t>
      </w:r>
      <w:r w:rsidR="00DF3452" w:rsidRPr="00DF3452">
        <w:rPr>
          <w:rFonts w:ascii="Times New Roman" w:hAnsi="Times New Roman" w:cs="Times New Roman"/>
          <w:i/>
          <w:sz w:val="24"/>
          <w:szCs w:val="24"/>
          <w:lang w:val="en-US"/>
        </w:rPr>
        <w:t>ASIC</w:t>
      </w:r>
      <w:r w:rsidR="00DF3452">
        <w:rPr>
          <w:rFonts w:ascii="Times New Roman" w:hAnsi="Times New Roman" w:cs="Times New Roman"/>
          <w:i/>
          <w:sz w:val="24"/>
          <w:szCs w:val="24"/>
          <w:lang w:val="en-US"/>
        </w:rPr>
        <w:t> </w:t>
      </w:r>
      <w:r w:rsidR="00DF3452" w:rsidRPr="00DF3452">
        <w:rPr>
          <w:rFonts w:ascii="Times New Roman" w:hAnsi="Times New Roman" w:cs="Times New Roman"/>
          <w:i/>
          <w:sz w:val="24"/>
          <w:szCs w:val="24"/>
          <w:lang w:val="en-US"/>
        </w:rPr>
        <w:t>Supervisory Cost Recovery Levy (Collection) Act 2017</w:t>
      </w:r>
      <w:r w:rsidR="00DF3452">
        <w:rPr>
          <w:rFonts w:ascii="Times New Roman" w:hAnsi="Times New Roman" w:cs="Times New Roman"/>
          <w:sz w:val="24"/>
          <w:szCs w:val="24"/>
          <w:lang w:val="en-US"/>
        </w:rPr>
        <w:t xml:space="preserve"> and related regulations. </w:t>
      </w:r>
      <w:r>
        <w:rPr>
          <w:rFonts w:ascii="Times New Roman" w:hAnsi="Times New Roman" w:cs="Times New Roman"/>
          <w:sz w:val="24"/>
          <w:szCs w:val="24"/>
          <w:lang w:val="en-US"/>
        </w:rPr>
        <w:t>T</w:t>
      </w:r>
      <w:r w:rsidR="00A91F42">
        <w:rPr>
          <w:rFonts w:ascii="Times New Roman" w:hAnsi="Times New Roman" w:cs="Times New Roman"/>
          <w:sz w:val="24"/>
          <w:szCs w:val="24"/>
          <w:lang w:val="en-US"/>
        </w:rPr>
        <w:t>his </w:t>
      </w:r>
      <w:r w:rsidR="00942008">
        <w:rPr>
          <w:rFonts w:ascii="Times New Roman" w:hAnsi="Times New Roman" w:cs="Times New Roman"/>
          <w:sz w:val="24"/>
          <w:szCs w:val="24"/>
          <w:lang w:val="en-US"/>
        </w:rPr>
        <w:t xml:space="preserve">instrument </w:t>
      </w:r>
      <w:r w:rsidR="00A91F42">
        <w:rPr>
          <w:rFonts w:ascii="Times New Roman" w:hAnsi="Times New Roman" w:cs="Times New Roman"/>
          <w:sz w:val="24"/>
          <w:szCs w:val="24"/>
          <w:lang w:val="en-US"/>
        </w:rPr>
        <w:t>does not relate to industry levies.</w:t>
      </w:r>
    </w:p>
    <w:p w:rsidR="002201B7"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A55C7F" w:rsidRPr="00A55C7F">
        <w:rPr>
          <w:rFonts w:ascii="Times New Roman" w:hAnsi="Times New Roman" w:cs="Times New Roman"/>
          <w:sz w:val="24"/>
          <w:szCs w:val="24"/>
        </w:rPr>
        <w:t xml:space="preserve">The Government has </w:t>
      </w:r>
      <w:r w:rsidR="00DF3452">
        <w:rPr>
          <w:rFonts w:ascii="Times New Roman" w:hAnsi="Times New Roman" w:cs="Times New Roman"/>
          <w:sz w:val="24"/>
          <w:szCs w:val="24"/>
        </w:rPr>
        <w:t xml:space="preserve">also </w:t>
      </w:r>
      <w:r w:rsidR="00A55C7F" w:rsidRPr="00A55C7F">
        <w:rPr>
          <w:rFonts w:ascii="Times New Roman" w:hAnsi="Times New Roman" w:cs="Times New Roman"/>
          <w:sz w:val="24"/>
          <w:szCs w:val="24"/>
        </w:rPr>
        <w:t>committed that ASIC’s costs for specific regulatory activities requested by an entity should be fully recovered from that entity. This is referred to as ‘fees</w:t>
      </w:r>
      <w:r w:rsidR="00A91F42">
        <w:rPr>
          <w:rFonts w:ascii="Times New Roman" w:hAnsi="Times New Roman" w:cs="Times New Roman"/>
          <w:sz w:val="24"/>
          <w:szCs w:val="24"/>
        </w:rPr>
        <w:t xml:space="preserve"> </w:t>
      </w:r>
      <w:r w:rsidR="00A55C7F" w:rsidRPr="00A55C7F">
        <w:rPr>
          <w:rFonts w:ascii="Times New Roman" w:hAnsi="Times New Roman" w:cs="Times New Roman"/>
          <w:sz w:val="24"/>
          <w:szCs w:val="24"/>
        </w:rPr>
        <w:t>for</w:t>
      </w:r>
      <w:r w:rsidR="00A91F42">
        <w:rPr>
          <w:rFonts w:ascii="Times New Roman" w:hAnsi="Times New Roman" w:cs="Times New Roman"/>
          <w:sz w:val="24"/>
          <w:szCs w:val="24"/>
        </w:rPr>
        <w:t xml:space="preserve"> </w:t>
      </w:r>
      <w:r w:rsidR="00A55C7F" w:rsidRPr="00A55C7F">
        <w:rPr>
          <w:rFonts w:ascii="Times New Roman" w:hAnsi="Times New Roman" w:cs="Times New Roman"/>
          <w:sz w:val="24"/>
          <w:szCs w:val="24"/>
        </w:rPr>
        <w:t>service’ and is the second and final phase of the ASIC industry funding model.</w:t>
      </w:r>
      <w:r w:rsidR="00DF3452">
        <w:rPr>
          <w:rFonts w:ascii="Times New Roman" w:hAnsi="Times New Roman" w:cs="Times New Roman"/>
          <w:sz w:val="24"/>
          <w:szCs w:val="24"/>
        </w:rPr>
        <w:t xml:space="preserve"> The second phase is reflected in the reforms made on or about 28 and 29 June 2018, including by the </w:t>
      </w:r>
      <w:r w:rsidR="00DF3452" w:rsidRPr="00DF3452">
        <w:rPr>
          <w:rFonts w:ascii="Times New Roman" w:hAnsi="Times New Roman" w:cs="Times New Roman"/>
          <w:i/>
          <w:sz w:val="24"/>
          <w:szCs w:val="24"/>
        </w:rPr>
        <w:t>Corporations (Fees) Amendment (ASIC Fees) Act 2018</w:t>
      </w:r>
      <w:r w:rsidR="00DF3452">
        <w:rPr>
          <w:rFonts w:ascii="Times New Roman" w:hAnsi="Times New Roman" w:cs="Times New Roman"/>
          <w:sz w:val="24"/>
          <w:szCs w:val="24"/>
        </w:rPr>
        <w:t xml:space="preserve"> and</w:t>
      </w:r>
      <w:r w:rsidR="00DF3452" w:rsidRPr="00DF3452">
        <w:rPr>
          <w:rFonts w:ascii="Helv" w:hAnsi="Helv" w:cs="Helv"/>
          <w:color w:val="000000"/>
        </w:rPr>
        <w:t xml:space="preserve"> </w:t>
      </w:r>
      <w:r w:rsidR="00DF3452" w:rsidRPr="00DF3452">
        <w:rPr>
          <w:rFonts w:ascii="Times New Roman" w:hAnsi="Times New Roman" w:cs="Times New Roman"/>
          <w:color w:val="000000"/>
          <w:sz w:val="24"/>
          <w:szCs w:val="24"/>
        </w:rPr>
        <w:t xml:space="preserve">the </w:t>
      </w:r>
      <w:r w:rsidR="00DF3452" w:rsidRPr="001854E6">
        <w:rPr>
          <w:rFonts w:ascii="Times New Roman" w:hAnsi="Times New Roman" w:cs="Times New Roman"/>
          <w:i/>
          <w:color w:val="000000"/>
          <w:sz w:val="24"/>
          <w:szCs w:val="24"/>
        </w:rPr>
        <w:lastRenderedPageBreak/>
        <w:t>Treas</w:t>
      </w:r>
      <w:r w:rsidR="00DF3452" w:rsidRPr="001854E6">
        <w:rPr>
          <w:rFonts w:ascii="Times New Roman" w:hAnsi="Times New Roman" w:cs="Times New Roman"/>
          <w:i/>
          <w:sz w:val="24"/>
          <w:szCs w:val="24"/>
        </w:rPr>
        <w:t>ury Laws Amendment (ASIC Fees) Regulations 2018</w:t>
      </w:r>
      <w:r w:rsidR="00DF3452">
        <w:rPr>
          <w:rFonts w:ascii="Times New Roman" w:hAnsi="Times New Roman" w:cs="Times New Roman"/>
          <w:sz w:val="24"/>
          <w:szCs w:val="24"/>
        </w:rPr>
        <w:t xml:space="preserve">. </w:t>
      </w:r>
      <w:r w:rsidR="00A91F42">
        <w:rPr>
          <w:rFonts w:ascii="Times New Roman" w:hAnsi="Times New Roman" w:cs="Times New Roman"/>
          <w:sz w:val="24"/>
          <w:szCs w:val="24"/>
        </w:rPr>
        <w:t xml:space="preserve">This </w:t>
      </w:r>
      <w:r w:rsidR="00942008">
        <w:rPr>
          <w:rFonts w:ascii="Times New Roman" w:hAnsi="Times New Roman" w:cs="Times New Roman"/>
          <w:sz w:val="24"/>
          <w:szCs w:val="24"/>
        </w:rPr>
        <w:t xml:space="preserve">instrument </w:t>
      </w:r>
      <w:r w:rsidR="00A91F42">
        <w:rPr>
          <w:rFonts w:ascii="Times New Roman" w:hAnsi="Times New Roman" w:cs="Times New Roman"/>
          <w:sz w:val="24"/>
          <w:szCs w:val="24"/>
        </w:rPr>
        <w:t xml:space="preserve">relates to ‘fees for service’. </w:t>
      </w:r>
      <w:r w:rsidR="002201B7">
        <w:rPr>
          <w:rFonts w:ascii="Times New Roman" w:hAnsi="Times New Roman" w:cs="Times New Roman"/>
          <w:sz w:val="24"/>
          <w:szCs w:val="24"/>
        </w:rPr>
        <w:t>The instrument commence</w:t>
      </w:r>
      <w:r w:rsidR="00E60535">
        <w:rPr>
          <w:rFonts w:ascii="Times New Roman" w:hAnsi="Times New Roman" w:cs="Times New Roman"/>
          <w:sz w:val="24"/>
          <w:szCs w:val="24"/>
        </w:rPr>
        <w:t>s</w:t>
      </w:r>
      <w:r w:rsidR="002201B7">
        <w:rPr>
          <w:rFonts w:ascii="Times New Roman" w:hAnsi="Times New Roman" w:cs="Times New Roman"/>
          <w:sz w:val="24"/>
          <w:szCs w:val="24"/>
        </w:rPr>
        <w:t xml:space="preserve"> on 4 July 2018 to align with the commencement of the </w:t>
      </w:r>
      <w:r w:rsidR="002201B7" w:rsidRPr="002201B7">
        <w:rPr>
          <w:rFonts w:ascii="Times New Roman" w:hAnsi="Times New Roman" w:cs="Times New Roman"/>
          <w:i/>
          <w:sz w:val="24"/>
          <w:szCs w:val="24"/>
        </w:rPr>
        <w:t>Treasury Laws Amendment (ASIC Fees) Regulations 2018</w:t>
      </w:r>
      <w:r w:rsidR="002201B7">
        <w:rPr>
          <w:rFonts w:ascii="Times New Roman" w:hAnsi="Times New Roman" w:cs="Times New Roman"/>
          <w:sz w:val="24"/>
          <w:szCs w:val="24"/>
        </w:rPr>
        <w:t>.</w:t>
      </w:r>
    </w:p>
    <w:p w:rsidR="00D673F6"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A55C7F" w:rsidRPr="00A55C7F">
        <w:rPr>
          <w:rFonts w:ascii="Times New Roman" w:hAnsi="Times New Roman" w:cs="Times New Roman"/>
          <w:sz w:val="24"/>
          <w:szCs w:val="24"/>
        </w:rPr>
        <w:t>The current fees charged for the services and activities ASIC provides is not a true</w:t>
      </w:r>
      <w:r>
        <w:rPr>
          <w:rFonts w:ascii="Times New Roman" w:hAnsi="Times New Roman" w:cs="Times New Roman"/>
          <w:sz w:val="24"/>
          <w:szCs w:val="24"/>
        </w:rPr>
        <w:t> </w:t>
      </w:r>
      <w:r w:rsidR="00A55C7F" w:rsidRPr="00A55C7F">
        <w:rPr>
          <w:rFonts w:ascii="Times New Roman" w:hAnsi="Times New Roman" w:cs="Times New Roman"/>
          <w:sz w:val="24"/>
          <w:szCs w:val="24"/>
        </w:rPr>
        <w:t>reflection of the actual costs incurred by ASIC. Historically, these services and activities have only attracted a nominal fee. As a result, any difference between the fee an entity pays and the actual costs incurred by ASIC is subsidised by taxpayers.</w:t>
      </w:r>
    </w:p>
    <w:p w:rsidR="00A639E9" w:rsidRDefault="00D673F6"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A55C7F" w:rsidRPr="00A55C7F">
        <w:rPr>
          <w:rFonts w:ascii="Times New Roman" w:hAnsi="Times New Roman" w:cs="Times New Roman"/>
          <w:sz w:val="24"/>
          <w:szCs w:val="24"/>
        </w:rPr>
        <w:t>ASIC’s regulatory services primarily benefit the requesting entities, and as such the fees associated with the regulatory</w:t>
      </w:r>
      <w:r w:rsidR="00A91F42">
        <w:rPr>
          <w:rFonts w:ascii="Times New Roman" w:hAnsi="Times New Roman" w:cs="Times New Roman"/>
          <w:sz w:val="24"/>
          <w:szCs w:val="24"/>
        </w:rPr>
        <w:t> </w:t>
      </w:r>
      <w:r w:rsidR="00A55C7F" w:rsidRPr="00A55C7F">
        <w:rPr>
          <w:rFonts w:ascii="Times New Roman" w:hAnsi="Times New Roman" w:cs="Times New Roman"/>
          <w:sz w:val="24"/>
          <w:szCs w:val="24"/>
        </w:rPr>
        <w:t>services will be cost recovered. The regulatory activities ASIC provides will no longer be taxpayer funded.</w:t>
      </w:r>
    </w:p>
    <w:p w:rsidR="00A55C7F" w:rsidRPr="00A55C7F" w:rsidRDefault="00A55C7F" w:rsidP="00D673F6">
      <w:pPr>
        <w:spacing w:after="240" w:line="240" w:lineRule="auto"/>
        <w:ind w:left="567" w:hanging="567"/>
        <w:rPr>
          <w:rFonts w:ascii="Times New Roman" w:hAnsi="Times New Roman" w:cs="Times New Roman"/>
          <w:sz w:val="24"/>
          <w:szCs w:val="24"/>
        </w:rPr>
      </w:pPr>
      <w:r w:rsidRPr="00A55C7F">
        <w:rPr>
          <w:rFonts w:ascii="Times New Roman" w:hAnsi="Times New Roman" w:cs="Times New Roman"/>
          <w:sz w:val="24"/>
          <w:szCs w:val="24"/>
        </w:rPr>
        <w:t>1.</w:t>
      </w:r>
      <w:r w:rsidR="00D673F6">
        <w:rPr>
          <w:rFonts w:ascii="Times New Roman" w:hAnsi="Times New Roman" w:cs="Times New Roman"/>
          <w:sz w:val="24"/>
          <w:szCs w:val="24"/>
        </w:rPr>
        <w:t>7</w:t>
      </w:r>
      <w:r w:rsidRPr="00A55C7F">
        <w:rPr>
          <w:rFonts w:ascii="Times New Roman" w:hAnsi="Times New Roman" w:cs="Times New Roman"/>
          <w:sz w:val="24"/>
          <w:szCs w:val="24"/>
        </w:rPr>
        <w:tab/>
      </w:r>
      <w:r w:rsidR="000D56E3">
        <w:rPr>
          <w:rFonts w:ascii="Times New Roman" w:hAnsi="Times New Roman" w:cs="Times New Roman"/>
          <w:sz w:val="24"/>
          <w:szCs w:val="24"/>
        </w:rPr>
        <w:t xml:space="preserve">The Government considers that </w:t>
      </w:r>
      <w:r w:rsidRPr="00A55C7F">
        <w:rPr>
          <w:rFonts w:ascii="Times New Roman" w:hAnsi="Times New Roman" w:cs="Times New Roman"/>
          <w:sz w:val="24"/>
          <w:szCs w:val="24"/>
        </w:rPr>
        <w:t>ASIC is best placed to determine the criteria for whether a type of application for a particular service is considered low, medium or high complexity, as ASIC is the regulator administering the service and knows the complexity involved in assessing the application, and therefore the costs involved.</w:t>
      </w:r>
    </w:p>
    <w:p w:rsidR="004713A3" w:rsidRDefault="00A55C7F" w:rsidP="00D673F6">
      <w:pPr>
        <w:spacing w:after="240" w:line="240" w:lineRule="auto"/>
        <w:ind w:left="567" w:hanging="567"/>
        <w:rPr>
          <w:rFonts w:ascii="Times New Roman" w:hAnsi="Times New Roman" w:cs="Times New Roman"/>
          <w:sz w:val="24"/>
          <w:szCs w:val="24"/>
        </w:rPr>
      </w:pPr>
      <w:r w:rsidRPr="00A55C7F">
        <w:rPr>
          <w:rFonts w:ascii="Times New Roman" w:hAnsi="Times New Roman" w:cs="Times New Roman"/>
          <w:sz w:val="24"/>
          <w:szCs w:val="24"/>
        </w:rPr>
        <w:t>1.</w:t>
      </w:r>
      <w:r w:rsidR="004713A3">
        <w:rPr>
          <w:rFonts w:ascii="Times New Roman" w:hAnsi="Times New Roman" w:cs="Times New Roman"/>
          <w:sz w:val="24"/>
          <w:szCs w:val="24"/>
        </w:rPr>
        <w:t>8</w:t>
      </w:r>
      <w:r w:rsidRPr="00A55C7F">
        <w:rPr>
          <w:rFonts w:ascii="Times New Roman" w:hAnsi="Times New Roman" w:cs="Times New Roman"/>
          <w:sz w:val="24"/>
          <w:szCs w:val="24"/>
        </w:rPr>
        <w:tab/>
      </w:r>
      <w:r w:rsidR="00D673F6">
        <w:rPr>
          <w:rFonts w:ascii="Times New Roman" w:hAnsi="Times New Roman" w:cs="Times New Roman"/>
          <w:sz w:val="24"/>
          <w:szCs w:val="24"/>
        </w:rPr>
        <w:t xml:space="preserve">The </w:t>
      </w:r>
      <w:r w:rsidR="00D673F6" w:rsidRPr="003605AA">
        <w:rPr>
          <w:rFonts w:ascii="Times New Roman" w:hAnsi="Times New Roman" w:cs="Times New Roman"/>
          <w:i/>
          <w:sz w:val="24"/>
          <w:szCs w:val="24"/>
        </w:rPr>
        <w:t>Corporations (Fees) Regulations 2001</w:t>
      </w:r>
      <w:r w:rsidR="00D673F6">
        <w:rPr>
          <w:rFonts w:ascii="Times New Roman" w:hAnsi="Times New Roman" w:cs="Times New Roman"/>
          <w:sz w:val="24"/>
          <w:szCs w:val="24"/>
        </w:rPr>
        <w:t xml:space="preserve"> </w:t>
      </w:r>
      <w:r w:rsidR="002A5EEB">
        <w:rPr>
          <w:rFonts w:ascii="Times New Roman" w:hAnsi="Times New Roman" w:cs="Times New Roman"/>
          <w:sz w:val="24"/>
          <w:szCs w:val="24"/>
        </w:rPr>
        <w:t xml:space="preserve">(the </w:t>
      </w:r>
      <w:r w:rsidR="002A5EEB" w:rsidRPr="002A5EEB">
        <w:rPr>
          <w:rFonts w:ascii="Times New Roman" w:hAnsi="Times New Roman" w:cs="Times New Roman"/>
          <w:b/>
          <w:i/>
          <w:sz w:val="24"/>
          <w:szCs w:val="24"/>
        </w:rPr>
        <w:t>Fees Regulations</w:t>
      </w:r>
      <w:r w:rsidR="002A5EEB">
        <w:rPr>
          <w:rFonts w:ascii="Times New Roman" w:hAnsi="Times New Roman" w:cs="Times New Roman"/>
          <w:sz w:val="24"/>
          <w:szCs w:val="24"/>
        </w:rPr>
        <w:t xml:space="preserve">) </w:t>
      </w:r>
      <w:r w:rsidR="003605AA">
        <w:rPr>
          <w:rFonts w:ascii="Times New Roman" w:hAnsi="Times New Roman" w:cs="Times New Roman"/>
          <w:sz w:val="24"/>
          <w:szCs w:val="24"/>
        </w:rPr>
        <w:t xml:space="preserve">prescribe fees for chargeable matters. For some chargeable matters, </w:t>
      </w:r>
      <w:r w:rsidR="003605AA" w:rsidRPr="003605AA">
        <w:rPr>
          <w:rFonts w:ascii="Times New Roman" w:hAnsi="Times New Roman" w:cs="Times New Roman"/>
          <w:sz w:val="24"/>
          <w:szCs w:val="24"/>
        </w:rPr>
        <w:t xml:space="preserve">different fees </w:t>
      </w:r>
      <w:r w:rsidR="003605AA">
        <w:rPr>
          <w:rFonts w:ascii="Times New Roman" w:hAnsi="Times New Roman" w:cs="Times New Roman"/>
          <w:sz w:val="24"/>
          <w:szCs w:val="24"/>
        </w:rPr>
        <w:t xml:space="preserve">apply </w:t>
      </w:r>
      <w:r w:rsidR="003605AA" w:rsidRPr="003605AA">
        <w:rPr>
          <w:rFonts w:ascii="Times New Roman" w:hAnsi="Times New Roman" w:cs="Times New Roman"/>
          <w:sz w:val="24"/>
          <w:szCs w:val="24"/>
        </w:rPr>
        <w:t>having regard to whether the matter is of low, medium or high complexity.</w:t>
      </w:r>
    </w:p>
    <w:p w:rsidR="00B96B86" w:rsidRDefault="004713A3"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FE6995">
        <w:rPr>
          <w:rFonts w:ascii="Times New Roman" w:hAnsi="Times New Roman" w:cs="Times New Roman"/>
          <w:sz w:val="24"/>
          <w:szCs w:val="24"/>
        </w:rPr>
        <w:t xml:space="preserve">These </w:t>
      </w:r>
      <w:r>
        <w:rPr>
          <w:rFonts w:ascii="Times New Roman" w:hAnsi="Times New Roman" w:cs="Times New Roman"/>
          <w:sz w:val="24"/>
          <w:szCs w:val="24"/>
        </w:rPr>
        <w:t xml:space="preserve">chargeable matters </w:t>
      </w:r>
      <w:r w:rsidR="00FE6995">
        <w:rPr>
          <w:rFonts w:ascii="Times New Roman" w:hAnsi="Times New Roman" w:cs="Times New Roman"/>
          <w:sz w:val="24"/>
          <w:szCs w:val="24"/>
        </w:rPr>
        <w:t>are set out in the following table.</w:t>
      </w:r>
    </w:p>
    <w:tbl>
      <w:tblPr>
        <w:tblStyle w:val="TableGrid"/>
        <w:tblW w:w="0" w:type="auto"/>
        <w:tblInd w:w="567" w:type="dxa"/>
        <w:tblLook w:val="04A0" w:firstRow="1" w:lastRow="0" w:firstColumn="1" w:lastColumn="0" w:noHBand="0" w:noVBand="1"/>
      </w:tblPr>
      <w:tblGrid>
        <w:gridCol w:w="6232"/>
        <w:gridCol w:w="2217"/>
      </w:tblGrid>
      <w:tr w:rsidR="00B96B86" w:rsidTr="00B96B86">
        <w:tc>
          <w:tcPr>
            <w:tcW w:w="6232" w:type="dxa"/>
          </w:tcPr>
          <w:p w:rsidR="00B96B86" w:rsidRPr="00B96B86" w:rsidRDefault="00B96B86" w:rsidP="004713A3">
            <w:pPr>
              <w:spacing w:after="240"/>
              <w:rPr>
                <w:rFonts w:ascii="Times New Roman" w:hAnsi="Times New Roman" w:cs="Times New Roman"/>
                <w:b/>
                <w:sz w:val="20"/>
                <w:szCs w:val="20"/>
              </w:rPr>
            </w:pPr>
            <w:r w:rsidRPr="00B96B86">
              <w:rPr>
                <w:rFonts w:ascii="Times New Roman" w:hAnsi="Times New Roman" w:cs="Times New Roman"/>
                <w:b/>
                <w:sz w:val="20"/>
                <w:szCs w:val="20"/>
              </w:rPr>
              <w:t>Chargeable matter</w:t>
            </w:r>
          </w:p>
        </w:tc>
        <w:tc>
          <w:tcPr>
            <w:tcW w:w="2217" w:type="dxa"/>
          </w:tcPr>
          <w:p w:rsidR="00B96B86" w:rsidRPr="00B96B86" w:rsidRDefault="00B96B86" w:rsidP="004713A3">
            <w:pPr>
              <w:spacing w:after="240"/>
              <w:rPr>
                <w:rFonts w:ascii="Times New Roman" w:hAnsi="Times New Roman" w:cs="Times New Roman"/>
                <w:b/>
                <w:sz w:val="20"/>
                <w:szCs w:val="20"/>
              </w:rPr>
            </w:pPr>
            <w:r w:rsidRPr="00B96B86">
              <w:rPr>
                <w:rFonts w:ascii="Times New Roman" w:hAnsi="Times New Roman" w:cs="Times New Roman"/>
                <w:b/>
                <w:sz w:val="20"/>
                <w:szCs w:val="20"/>
              </w:rPr>
              <w:t>Complexity level</w:t>
            </w:r>
          </w:p>
        </w:tc>
      </w:tr>
      <w:tr w:rsidR="00B96B86" w:rsidTr="00B96B86">
        <w:tc>
          <w:tcPr>
            <w:tcW w:w="6232" w:type="dxa"/>
          </w:tcPr>
          <w:p w:rsidR="00B96B86" w:rsidRPr="00B96B86" w:rsidRDefault="00B96B86" w:rsidP="00D673F6">
            <w:pPr>
              <w:spacing w:after="240"/>
              <w:rPr>
                <w:rFonts w:ascii="Times New Roman" w:hAnsi="Times New Roman" w:cs="Times New Roman"/>
                <w:sz w:val="20"/>
                <w:szCs w:val="20"/>
              </w:rPr>
            </w:pPr>
            <w:bookmarkStart w:id="1" w:name="_Hlk517450358"/>
            <w:r w:rsidRPr="00B96B86">
              <w:rPr>
                <w:rFonts w:ascii="Times New Roman" w:hAnsi="Times New Roman" w:cs="Times New Roman"/>
                <w:sz w:val="20"/>
                <w:szCs w:val="20"/>
              </w:rPr>
              <w:t>Application for an Australian financial services licence</w:t>
            </w:r>
          </w:p>
        </w:tc>
        <w:tc>
          <w:tcPr>
            <w:tcW w:w="2217" w:type="dxa"/>
          </w:tcPr>
          <w:p w:rsidR="00B96B86" w:rsidRPr="00B96B86" w:rsidRDefault="00B96B86" w:rsidP="00B96B86">
            <w:pPr>
              <w:spacing w:after="240"/>
              <w:rPr>
                <w:rFonts w:ascii="Times New Roman" w:hAnsi="Times New Roman" w:cs="Times New Roman"/>
                <w:sz w:val="20"/>
                <w:szCs w:val="20"/>
              </w:rPr>
            </w:pPr>
            <w:r>
              <w:rPr>
                <w:rFonts w:ascii="Times New Roman" w:hAnsi="Times New Roman" w:cs="Times New Roman"/>
                <w:sz w:val="20"/>
                <w:szCs w:val="20"/>
              </w:rPr>
              <w:t xml:space="preserve">High </w:t>
            </w:r>
            <w:r w:rsidRPr="00B96B86">
              <w:rPr>
                <w:rFonts w:ascii="Times New Roman" w:hAnsi="Times New Roman" w:cs="Times New Roman"/>
                <w:sz w:val="20"/>
                <w:szCs w:val="20"/>
              </w:rPr>
              <w:t>complexity</w:t>
            </w:r>
            <w:r>
              <w:rPr>
                <w:rFonts w:ascii="Times New Roman" w:hAnsi="Times New Roman" w:cs="Times New Roman"/>
                <w:sz w:val="20"/>
                <w:szCs w:val="20"/>
              </w:rPr>
              <w:br/>
              <w:t>Low c</w:t>
            </w:r>
            <w:r w:rsidRPr="00B96B86">
              <w:rPr>
                <w:rFonts w:ascii="Times New Roman" w:hAnsi="Times New Roman" w:cs="Times New Roman"/>
                <w:sz w:val="20"/>
                <w:szCs w:val="20"/>
              </w:rPr>
              <w:t>omplexity</w:t>
            </w:r>
          </w:p>
        </w:tc>
      </w:tr>
      <w:tr w:rsidR="00B96B86" w:rsidTr="00B96B86">
        <w:tc>
          <w:tcPr>
            <w:tcW w:w="6232"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Application for an Australian market licence</w:t>
            </w:r>
          </w:p>
        </w:tc>
        <w:tc>
          <w:tcPr>
            <w:tcW w:w="2217"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High complexity</w:t>
            </w:r>
            <w:r>
              <w:rPr>
                <w:rFonts w:ascii="Times New Roman" w:hAnsi="Times New Roman" w:cs="Times New Roman"/>
                <w:sz w:val="20"/>
                <w:szCs w:val="20"/>
              </w:rPr>
              <w:br/>
              <w:t>Medium complexity</w:t>
            </w:r>
            <w:r>
              <w:rPr>
                <w:rFonts w:ascii="Times New Roman" w:hAnsi="Times New Roman" w:cs="Times New Roman"/>
                <w:sz w:val="20"/>
                <w:szCs w:val="20"/>
              </w:rPr>
              <w:br/>
              <w:t>Low complexity</w:t>
            </w:r>
          </w:p>
        </w:tc>
      </w:tr>
      <w:tr w:rsidR="00B96B86" w:rsidTr="00B96B86">
        <w:tc>
          <w:tcPr>
            <w:tcW w:w="6232"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 xml:space="preserve">Application for an Australian CS facility licence </w:t>
            </w:r>
          </w:p>
        </w:tc>
        <w:tc>
          <w:tcPr>
            <w:tcW w:w="2217"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High complexity</w:t>
            </w:r>
            <w:r>
              <w:rPr>
                <w:rFonts w:ascii="Times New Roman" w:hAnsi="Times New Roman" w:cs="Times New Roman"/>
                <w:sz w:val="20"/>
                <w:szCs w:val="20"/>
              </w:rPr>
              <w:br/>
              <w:t>Medium complexity</w:t>
            </w:r>
            <w:r>
              <w:rPr>
                <w:rFonts w:ascii="Times New Roman" w:hAnsi="Times New Roman" w:cs="Times New Roman"/>
                <w:sz w:val="20"/>
                <w:szCs w:val="20"/>
              </w:rPr>
              <w:br/>
              <w:t>Low complexity</w:t>
            </w:r>
          </w:p>
        </w:tc>
      </w:tr>
      <w:tr w:rsidR="00B96B86" w:rsidTr="00B96B86">
        <w:tc>
          <w:tcPr>
            <w:tcW w:w="6232"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 xml:space="preserve">Lodging a notice of changes to the operating rules of a licensed market </w:t>
            </w:r>
          </w:p>
        </w:tc>
        <w:tc>
          <w:tcPr>
            <w:tcW w:w="2217" w:type="dxa"/>
          </w:tcPr>
          <w:p w:rsidR="00B96B86" w:rsidRPr="00B96B86" w:rsidRDefault="00B96B86" w:rsidP="00B96B86">
            <w:pPr>
              <w:spacing w:after="240"/>
              <w:rPr>
                <w:rFonts w:ascii="Times New Roman" w:hAnsi="Times New Roman" w:cs="Times New Roman"/>
                <w:sz w:val="20"/>
                <w:szCs w:val="20"/>
              </w:rPr>
            </w:pPr>
            <w:r>
              <w:rPr>
                <w:rFonts w:ascii="Times New Roman" w:hAnsi="Times New Roman" w:cs="Times New Roman"/>
                <w:sz w:val="20"/>
                <w:szCs w:val="20"/>
              </w:rPr>
              <w:t>High complexity</w:t>
            </w:r>
            <w:r>
              <w:rPr>
                <w:rFonts w:ascii="Times New Roman" w:hAnsi="Times New Roman" w:cs="Times New Roman"/>
                <w:sz w:val="20"/>
                <w:szCs w:val="20"/>
              </w:rPr>
              <w:br/>
              <w:t>Medium complexity</w:t>
            </w:r>
            <w:r>
              <w:rPr>
                <w:rFonts w:ascii="Times New Roman" w:hAnsi="Times New Roman" w:cs="Times New Roman"/>
                <w:sz w:val="20"/>
                <w:szCs w:val="20"/>
              </w:rPr>
              <w:br/>
              <w:t>Low complexity</w:t>
            </w:r>
          </w:p>
        </w:tc>
      </w:tr>
      <w:tr w:rsidR="00B96B86" w:rsidTr="00B96B86">
        <w:tc>
          <w:tcPr>
            <w:tcW w:w="6232"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 xml:space="preserve">Lodging a notice of changes to the operating rules of a licensed CS facility </w:t>
            </w:r>
          </w:p>
        </w:tc>
        <w:tc>
          <w:tcPr>
            <w:tcW w:w="2217" w:type="dxa"/>
          </w:tcPr>
          <w:p w:rsidR="00B96B86" w:rsidRPr="00B96B86" w:rsidRDefault="00B96B86" w:rsidP="00D673F6">
            <w:pPr>
              <w:spacing w:after="240"/>
              <w:rPr>
                <w:rFonts w:ascii="Times New Roman" w:hAnsi="Times New Roman" w:cs="Times New Roman"/>
                <w:sz w:val="20"/>
                <w:szCs w:val="20"/>
              </w:rPr>
            </w:pPr>
            <w:r>
              <w:rPr>
                <w:rFonts w:ascii="Times New Roman" w:hAnsi="Times New Roman" w:cs="Times New Roman"/>
                <w:sz w:val="20"/>
                <w:szCs w:val="20"/>
              </w:rPr>
              <w:t>High complexity</w:t>
            </w:r>
            <w:r>
              <w:rPr>
                <w:rFonts w:ascii="Times New Roman" w:hAnsi="Times New Roman" w:cs="Times New Roman"/>
                <w:sz w:val="20"/>
                <w:szCs w:val="20"/>
              </w:rPr>
              <w:br/>
              <w:t>Medium complexity</w:t>
            </w:r>
            <w:r>
              <w:rPr>
                <w:rFonts w:ascii="Times New Roman" w:hAnsi="Times New Roman" w:cs="Times New Roman"/>
                <w:sz w:val="20"/>
                <w:szCs w:val="20"/>
              </w:rPr>
              <w:br/>
              <w:t>Low complexity</w:t>
            </w:r>
          </w:p>
        </w:tc>
      </w:tr>
      <w:bookmarkEnd w:id="1"/>
    </w:tbl>
    <w:p w:rsidR="004713A3" w:rsidRDefault="004713A3" w:rsidP="00D673F6">
      <w:pPr>
        <w:spacing w:after="240" w:line="240" w:lineRule="auto"/>
        <w:ind w:left="567" w:hanging="567"/>
        <w:rPr>
          <w:rFonts w:ascii="Times New Roman" w:hAnsi="Times New Roman" w:cs="Times New Roman"/>
          <w:sz w:val="24"/>
          <w:szCs w:val="24"/>
        </w:rPr>
      </w:pPr>
    </w:p>
    <w:p w:rsidR="00F664E9" w:rsidRDefault="004713A3" w:rsidP="0072427A">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t xml:space="preserve">If </w:t>
      </w:r>
      <w:r w:rsidRPr="004713A3">
        <w:rPr>
          <w:rFonts w:ascii="Times New Roman" w:hAnsi="Times New Roman" w:cs="Times New Roman"/>
          <w:sz w:val="24"/>
          <w:szCs w:val="24"/>
        </w:rPr>
        <w:t>no such determination is in operation</w:t>
      </w:r>
      <w:r>
        <w:rPr>
          <w:rFonts w:ascii="Times New Roman" w:hAnsi="Times New Roman" w:cs="Times New Roman"/>
          <w:sz w:val="24"/>
          <w:szCs w:val="24"/>
        </w:rPr>
        <w:t xml:space="preserve"> in relation to these kinds of chargeable matters</w:t>
      </w:r>
      <w:r w:rsidRPr="004713A3">
        <w:rPr>
          <w:rFonts w:ascii="Times New Roman" w:hAnsi="Times New Roman" w:cs="Times New Roman"/>
          <w:sz w:val="24"/>
          <w:szCs w:val="24"/>
        </w:rPr>
        <w:t xml:space="preserve">, the </w:t>
      </w:r>
      <w:r>
        <w:rPr>
          <w:rFonts w:ascii="Times New Roman" w:hAnsi="Times New Roman" w:cs="Times New Roman"/>
          <w:sz w:val="24"/>
          <w:szCs w:val="24"/>
        </w:rPr>
        <w:t xml:space="preserve">applicable </w:t>
      </w:r>
      <w:r w:rsidRPr="004713A3">
        <w:rPr>
          <w:rFonts w:ascii="Times New Roman" w:hAnsi="Times New Roman" w:cs="Times New Roman"/>
          <w:sz w:val="24"/>
          <w:szCs w:val="24"/>
        </w:rPr>
        <w:t xml:space="preserve">fee for the chargeable matter </w:t>
      </w:r>
      <w:r>
        <w:rPr>
          <w:rFonts w:ascii="Times New Roman" w:hAnsi="Times New Roman" w:cs="Times New Roman"/>
          <w:sz w:val="24"/>
          <w:szCs w:val="24"/>
        </w:rPr>
        <w:t xml:space="preserve">is the fee prescribed in the regulations for </w:t>
      </w:r>
      <w:r w:rsidRPr="004713A3">
        <w:rPr>
          <w:rFonts w:ascii="Times New Roman" w:hAnsi="Times New Roman" w:cs="Times New Roman"/>
          <w:sz w:val="24"/>
          <w:szCs w:val="24"/>
        </w:rPr>
        <w:t>low complexity</w:t>
      </w:r>
      <w:r>
        <w:rPr>
          <w:rFonts w:ascii="Times New Roman" w:hAnsi="Times New Roman" w:cs="Times New Roman"/>
          <w:sz w:val="24"/>
          <w:szCs w:val="24"/>
        </w:rPr>
        <w:t>.</w:t>
      </w:r>
      <w:r w:rsidR="00F664E9">
        <w:rPr>
          <w:rFonts w:ascii="Times New Roman" w:hAnsi="Times New Roman" w:cs="Times New Roman"/>
          <w:sz w:val="24"/>
          <w:szCs w:val="24"/>
        </w:rPr>
        <w:br w:type="page"/>
      </w:r>
    </w:p>
    <w:p w:rsidR="00172353" w:rsidRPr="00172353" w:rsidRDefault="00172353" w:rsidP="00D673F6">
      <w:pPr>
        <w:spacing w:after="240" w:line="240" w:lineRule="auto"/>
        <w:ind w:left="567" w:hanging="567"/>
        <w:rPr>
          <w:rFonts w:ascii="Times New Roman" w:hAnsi="Times New Roman" w:cs="Times New Roman"/>
          <w:sz w:val="24"/>
          <w:szCs w:val="24"/>
          <w:u w:val="single"/>
        </w:rPr>
      </w:pPr>
      <w:r w:rsidRPr="00172353">
        <w:rPr>
          <w:rFonts w:ascii="Times New Roman" w:hAnsi="Times New Roman" w:cs="Times New Roman"/>
          <w:sz w:val="24"/>
          <w:szCs w:val="24"/>
          <w:u w:val="single"/>
        </w:rPr>
        <w:lastRenderedPageBreak/>
        <w:t>Australian financial services licence</w:t>
      </w:r>
    </w:p>
    <w:p w:rsidR="008B5969" w:rsidRDefault="000D56E3"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sidR="008D5A5A">
        <w:rPr>
          <w:rFonts w:ascii="Times New Roman" w:hAnsi="Times New Roman" w:cs="Times New Roman"/>
          <w:sz w:val="24"/>
          <w:szCs w:val="24"/>
        </w:rPr>
        <w:t>1</w:t>
      </w:r>
      <w:r>
        <w:rPr>
          <w:rFonts w:ascii="Times New Roman" w:hAnsi="Times New Roman" w:cs="Times New Roman"/>
          <w:sz w:val="24"/>
          <w:szCs w:val="24"/>
        </w:rPr>
        <w:tab/>
      </w:r>
      <w:r w:rsidR="00172353">
        <w:rPr>
          <w:rFonts w:ascii="Times New Roman" w:hAnsi="Times New Roman" w:cs="Times New Roman"/>
          <w:sz w:val="24"/>
          <w:szCs w:val="24"/>
        </w:rPr>
        <w:t xml:space="preserve">A person </w:t>
      </w:r>
      <w:r w:rsidR="00C4685F">
        <w:rPr>
          <w:rFonts w:ascii="Times New Roman" w:hAnsi="Times New Roman" w:cs="Times New Roman"/>
          <w:sz w:val="24"/>
          <w:szCs w:val="24"/>
        </w:rPr>
        <w:t>who carries on a financial services business in this jurisdiction must hold an Australian financial services licence</w:t>
      </w:r>
      <w:r w:rsidR="0073730A">
        <w:rPr>
          <w:rFonts w:ascii="Times New Roman" w:hAnsi="Times New Roman" w:cs="Times New Roman"/>
          <w:sz w:val="24"/>
          <w:szCs w:val="24"/>
        </w:rPr>
        <w:t>, or otherwise be exempt from doing so</w:t>
      </w:r>
      <w:r w:rsidR="00C4685F">
        <w:rPr>
          <w:rFonts w:ascii="Times New Roman" w:hAnsi="Times New Roman" w:cs="Times New Roman"/>
          <w:sz w:val="24"/>
          <w:szCs w:val="24"/>
        </w:rPr>
        <w:t xml:space="preserve">. </w:t>
      </w:r>
      <w:r w:rsidR="0072427A">
        <w:rPr>
          <w:rFonts w:ascii="Times New Roman" w:hAnsi="Times New Roman" w:cs="Times New Roman"/>
          <w:sz w:val="24"/>
          <w:szCs w:val="24"/>
        </w:rPr>
        <w:t xml:space="preserve"> </w:t>
      </w:r>
      <w:r w:rsidR="008B5969">
        <w:rPr>
          <w:rFonts w:ascii="Times New Roman" w:hAnsi="Times New Roman" w:cs="Times New Roman"/>
          <w:sz w:val="24"/>
          <w:szCs w:val="24"/>
        </w:rPr>
        <w:t>The</w:t>
      </w:r>
      <w:r w:rsidR="0072427A">
        <w:rPr>
          <w:rFonts w:ascii="Times New Roman" w:hAnsi="Times New Roman" w:cs="Times New Roman"/>
          <w:sz w:val="24"/>
          <w:szCs w:val="24"/>
        </w:rPr>
        <w:t> </w:t>
      </w:r>
      <w:r w:rsidR="008B5969">
        <w:rPr>
          <w:rFonts w:ascii="Times New Roman" w:hAnsi="Times New Roman" w:cs="Times New Roman"/>
          <w:sz w:val="24"/>
          <w:szCs w:val="24"/>
        </w:rPr>
        <w:t>power</w:t>
      </w:r>
      <w:r w:rsidR="00F664E9">
        <w:rPr>
          <w:rFonts w:ascii="Times New Roman" w:hAnsi="Times New Roman" w:cs="Times New Roman"/>
          <w:sz w:val="24"/>
          <w:szCs w:val="24"/>
        </w:rPr>
        <w:t> </w:t>
      </w:r>
      <w:r w:rsidR="008B5969">
        <w:rPr>
          <w:rFonts w:ascii="Times New Roman" w:hAnsi="Times New Roman" w:cs="Times New Roman"/>
          <w:sz w:val="24"/>
          <w:szCs w:val="24"/>
        </w:rPr>
        <w:t>to grant an Australian financial services licence in response to an application is</w:t>
      </w:r>
      <w:r w:rsidR="00F664E9">
        <w:rPr>
          <w:rFonts w:ascii="Times New Roman" w:hAnsi="Times New Roman" w:cs="Times New Roman"/>
          <w:sz w:val="24"/>
          <w:szCs w:val="24"/>
        </w:rPr>
        <w:t> </w:t>
      </w:r>
      <w:r w:rsidR="008B5969">
        <w:rPr>
          <w:rFonts w:ascii="Times New Roman" w:hAnsi="Times New Roman" w:cs="Times New Roman"/>
          <w:sz w:val="24"/>
          <w:szCs w:val="24"/>
        </w:rPr>
        <w:t>conferred on ASIC. The power is exercised by delegates of ASIC</w:t>
      </w:r>
      <w:r w:rsidR="0073730A">
        <w:rPr>
          <w:rFonts w:ascii="Times New Roman" w:hAnsi="Times New Roman" w:cs="Times New Roman"/>
          <w:sz w:val="24"/>
          <w:szCs w:val="24"/>
        </w:rPr>
        <w:t xml:space="preserve"> who are </w:t>
      </w:r>
      <w:r w:rsidR="008B5969">
        <w:rPr>
          <w:rFonts w:ascii="Times New Roman" w:hAnsi="Times New Roman" w:cs="Times New Roman"/>
          <w:sz w:val="24"/>
          <w:szCs w:val="24"/>
        </w:rPr>
        <w:t>staff</w:t>
      </w:r>
      <w:r w:rsidR="00F664E9">
        <w:rPr>
          <w:rFonts w:ascii="Times New Roman" w:hAnsi="Times New Roman" w:cs="Times New Roman"/>
          <w:sz w:val="24"/>
          <w:szCs w:val="24"/>
        </w:rPr>
        <w:t> </w:t>
      </w:r>
      <w:r w:rsidR="008B5969">
        <w:rPr>
          <w:rFonts w:ascii="Times New Roman" w:hAnsi="Times New Roman" w:cs="Times New Roman"/>
          <w:sz w:val="24"/>
          <w:szCs w:val="24"/>
        </w:rPr>
        <w:t>members.</w:t>
      </w:r>
    </w:p>
    <w:p w:rsidR="00C4685F" w:rsidRPr="00172353" w:rsidRDefault="00C4685F" w:rsidP="00C4685F">
      <w:pPr>
        <w:spacing w:after="240" w:line="240" w:lineRule="auto"/>
        <w:ind w:left="567" w:hanging="567"/>
        <w:rPr>
          <w:rFonts w:ascii="Times New Roman" w:hAnsi="Times New Roman" w:cs="Times New Roman"/>
          <w:sz w:val="24"/>
          <w:szCs w:val="24"/>
          <w:u w:val="single"/>
        </w:rPr>
      </w:pPr>
      <w:r w:rsidRPr="00172353">
        <w:rPr>
          <w:rFonts w:ascii="Times New Roman" w:hAnsi="Times New Roman" w:cs="Times New Roman"/>
          <w:sz w:val="24"/>
          <w:szCs w:val="24"/>
          <w:u w:val="single"/>
        </w:rPr>
        <w:t xml:space="preserve">Australian </w:t>
      </w:r>
      <w:r>
        <w:rPr>
          <w:rFonts w:ascii="Times New Roman" w:hAnsi="Times New Roman" w:cs="Times New Roman"/>
          <w:sz w:val="24"/>
          <w:szCs w:val="24"/>
          <w:u w:val="single"/>
        </w:rPr>
        <w:t>market licence and Australian CS facility licence</w:t>
      </w:r>
    </w:p>
    <w:p w:rsidR="00C4685F" w:rsidRDefault="00C4685F" w:rsidP="00C4685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sidR="008D5A5A">
        <w:rPr>
          <w:rFonts w:ascii="Times New Roman" w:hAnsi="Times New Roman" w:cs="Times New Roman"/>
          <w:sz w:val="24"/>
          <w:szCs w:val="24"/>
        </w:rPr>
        <w:t>2</w:t>
      </w:r>
      <w:r>
        <w:rPr>
          <w:rFonts w:ascii="Times New Roman" w:hAnsi="Times New Roman" w:cs="Times New Roman"/>
          <w:sz w:val="24"/>
          <w:szCs w:val="24"/>
        </w:rPr>
        <w:tab/>
        <w:t>A person who operates a financial market in this jurisdiction must hold an Australian market licence that authorises the person to operate the market</w:t>
      </w:r>
      <w:r w:rsidR="0073730A">
        <w:rPr>
          <w:rFonts w:ascii="Times New Roman" w:hAnsi="Times New Roman" w:cs="Times New Roman"/>
          <w:sz w:val="24"/>
          <w:szCs w:val="24"/>
        </w:rPr>
        <w:t>,</w:t>
      </w:r>
      <w:r w:rsidR="0073730A" w:rsidRPr="0073730A">
        <w:rPr>
          <w:rFonts w:ascii="Times New Roman" w:hAnsi="Times New Roman" w:cs="Times New Roman"/>
          <w:sz w:val="24"/>
          <w:szCs w:val="24"/>
        </w:rPr>
        <w:t xml:space="preserve"> </w:t>
      </w:r>
      <w:r w:rsidR="0073730A">
        <w:rPr>
          <w:rFonts w:ascii="Times New Roman" w:hAnsi="Times New Roman" w:cs="Times New Roman"/>
          <w:sz w:val="24"/>
          <w:szCs w:val="24"/>
        </w:rPr>
        <w:t>or otherwise be exempt from doing so</w:t>
      </w:r>
      <w:r>
        <w:rPr>
          <w:rFonts w:ascii="Times New Roman" w:hAnsi="Times New Roman" w:cs="Times New Roman"/>
          <w:sz w:val="24"/>
          <w:szCs w:val="24"/>
        </w:rPr>
        <w:t xml:space="preserve">. </w:t>
      </w:r>
      <w:r w:rsidR="0072427A">
        <w:rPr>
          <w:rFonts w:ascii="Times New Roman" w:hAnsi="Times New Roman" w:cs="Times New Roman"/>
          <w:sz w:val="24"/>
          <w:szCs w:val="24"/>
        </w:rPr>
        <w:t xml:space="preserve"> </w:t>
      </w:r>
      <w:r>
        <w:rPr>
          <w:rFonts w:ascii="Times New Roman" w:hAnsi="Times New Roman" w:cs="Times New Roman"/>
          <w:sz w:val="24"/>
          <w:szCs w:val="24"/>
        </w:rPr>
        <w:t>A person who operates a clearing and settlement (CS) facility in this jurisdiction must hold an Australian CS facility licence that authorises the person to operate the facility</w:t>
      </w:r>
      <w:r w:rsidR="0073730A">
        <w:rPr>
          <w:rFonts w:ascii="Times New Roman" w:hAnsi="Times New Roman" w:cs="Times New Roman"/>
          <w:sz w:val="24"/>
          <w:szCs w:val="24"/>
        </w:rPr>
        <w:t>,</w:t>
      </w:r>
      <w:r w:rsidR="0073730A" w:rsidRPr="0073730A">
        <w:rPr>
          <w:rFonts w:ascii="Times New Roman" w:hAnsi="Times New Roman" w:cs="Times New Roman"/>
          <w:sz w:val="24"/>
          <w:szCs w:val="24"/>
        </w:rPr>
        <w:t xml:space="preserve"> </w:t>
      </w:r>
      <w:r w:rsidR="0073730A">
        <w:rPr>
          <w:rFonts w:ascii="Times New Roman" w:hAnsi="Times New Roman" w:cs="Times New Roman"/>
          <w:sz w:val="24"/>
          <w:szCs w:val="24"/>
        </w:rPr>
        <w:t>or otherwise be exempt from doing so</w:t>
      </w:r>
      <w:r>
        <w:rPr>
          <w:rFonts w:ascii="Times New Roman" w:hAnsi="Times New Roman" w:cs="Times New Roman"/>
          <w:sz w:val="24"/>
          <w:szCs w:val="24"/>
        </w:rPr>
        <w:t>.</w:t>
      </w:r>
    </w:p>
    <w:p w:rsidR="008B5969" w:rsidRDefault="00C4685F"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sidR="008D5A5A">
        <w:rPr>
          <w:rFonts w:ascii="Times New Roman" w:hAnsi="Times New Roman" w:cs="Times New Roman"/>
          <w:sz w:val="24"/>
          <w:szCs w:val="24"/>
        </w:rPr>
        <w:t>3</w:t>
      </w:r>
      <w:r>
        <w:rPr>
          <w:rFonts w:ascii="Times New Roman" w:hAnsi="Times New Roman" w:cs="Times New Roman"/>
          <w:sz w:val="24"/>
          <w:szCs w:val="24"/>
        </w:rPr>
        <w:tab/>
      </w:r>
      <w:r w:rsidR="008B5969">
        <w:rPr>
          <w:rFonts w:ascii="Times New Roman" w:hAnsi="Times New Roman" w:cs="Times New Roman"/>
          <w:sz w:val="24"/>
          <w:szCs w:val="24"/>
        </w:rPr>
        <w:t xml:space="preserve">The power to grant an </w:t>
      </w:r>
      <w:r w:rsidR="00BA58C8">
        <w:rPr>
          <w:rFonts w:ascii="Times New Roman" w:hAnsi="Times New Roman" w:cs="Times New Roman"/>
          <w:sz w:val="24"/>
          <w:szCs w:val="24"/>
        </w:rPr>
        <w:t>Australian market lic</w:t>
      </w:r>
      <w:r w:rsidR="008B5969">
        <w:rPr>
          <w:rFonts w:ascii="Times New Roman" w:hAnsi="Times New Roman" w:cs="Times New Roman"/>
          <w:sz w:val="24"/>
          <w:szCs w:val="24"/>
        </w:rPr>
        <w:t>e</w:t>
      </w:r>
      <w:r w:rsidR="00BA58C8">
        <w:rPr>
          <w:rFonts w:ascii="Times New Roman" w:hAnsi="Times New Roman" w:cs="Times New Roman"/>
          <w:sz w:val="24"/>
          <w:szCs w:val="24"/>
        </w:rPr>
        <w:t>nce</w:t>
      </w:r>
      <w:r w:rsidR="008B5969">
        <w:rPr>
          <w:rFonts w:ascii="Times New Roman" w:hAnsi="Times New Roman" w:cs="Times New Roman"/>
          <w:sz w:val="24"/>
          <w:szCs w:val="24"/>
        </w:rPr>
        <w:t xml:space="preserve"> </w:t>
      </w:r>
      <w:r>
        <w:rPr>
          <w:rFonts w:ascii="Times New Roman" w:hAnsi="Times New Roman" w:cs="Times New Roman"/>
          <w:sz w:val="24"/>
          <w:szCs w:val="24"/>
        </w:rPr>
        <w:t xml:space="preserve">or an Australian CS facility licence </w:t>
      </w:r>
      <w:r w:rsidR="008B5969">
        <w:rPr>
          <w:rFonts w:ascii="Times New Roman" w:hAnsi="Times New Roman" w:cs="Times New Roman"/>
          <w:sz w:val="24"/>
          <w:szCs w:val="24"/>
        </w:rPr>
        <w:t xml:space="preserve">in response to an application is conferred on the Minister. </w:t>
      </w:r>
      <w:r w:rsidR="0072427A">
        <w:rPr>
          <w:rFonts w:ascii="Times New Roman" w:hAnsi="Times New Roman" w:cs="Times New Roman"/>
          <w:sz w:val="24"/>
          <w:szCs w:val="24"/>
        </w:rPr>
        <w:t xml:space="preserve"> </w:t>
      </w:r>
      <w:r w:rsidR="008B5969">
        <w:rPr>
          <w:rFonts w:ascii="Times New Roman" w:hAnsi="Times New Roman" w:cs="Times New Roman"/>
          <w:sz w:val="24"/>
          <w:szCs w:val="24"/>
        </w:rPr>
        <w:t xml:space="preserve">The power </w:t>
      </w:r>
      <w:r>
        <w:rPr>
          <w:rFonts w:ascii="Times New Roman" w:hAnsi="Times New Roman" w:cs="Times New Roman"/>
          <w:sz w:val="24"/>
          <w:szCs w:val="24"/>
        </w:rPr>
        <w:t xml:space="preserve">has been delegated to </w:t>
      </w:r>
      <w:r w:rsidR="008B5969">
        <w:rPr>
          <w:rFonts w:ascii="Times New Roman" w:hAnsi="Times New Roman" w:cs="Times New Roman"/>
          <w:sz w:val="24"/>
          <w:szCs w:val="24"/>
        </w:rPr>
        <w:t xml:space="preserve">members of ASIC </w:t>
      </w:r>
      <w:r>
        <w:rPr>
          <w:rFonts w:ascii="Times New Roman" w:hAnsi="Times New Roman" w:cs="Times New Roman"/>
          <w:sz w:val="24"/>
          <w:szCs w:val="24"/>
        </w:rPr>
        <w:t xml:space="preserve">and </w:t>
      </w:r>
      <w:r w:rsidR="008B5969">
        <w:rPr>
          <w:rFonts w:ascii="Times New Roman" w:hAnsi="Times New Roman" w:cs="Times New Roman"/>
          <w:sz w:val="24"/>
          <w:szCs w:val="24"/>
        </w:rPr>
        <w:t>certain senior staff members of ASIC.</w:t>
      </w:r>
    </w:p>
    <w:p w:rsidR="00C4685F" w:rsidRPr="00C4685F" w:rsidRDefault="00C4685F" w:rsidP="00D673F6">
      <w:pPr>
        <w:spacing w:after="240" w:line="240" w:lineRule="auto"/>
        <w:ind w:left="567" w:hanging="567"/>
        <w:rPr>
          <w:rFonts w:ascii="Times New Roman" w:hAnsi="Times New Roman" w:cs="Times New Roman"/>
          <w:sz w:val="24"/>
          <w:szCs w:val="24"/>
          <w:u w:val="single"/>
        </w:rPr>
      </w:pPr>
      <w:r w:rsidRPr="00C4685F">
        <w:rPr>
          <w:rFonts w:ascii="Times New Roman" w:hAnsi="Times New Roman" w:cs="Times New Roman"/>
          <w:sz w:val="24"/>
          <w:szCs w:val="24"/>
          <w:u w:val="single"/>
        </w:rPr>
        <w:t>Operating rules</w:t>
      </w:r>
    </w:p>
    <w:p w:rsidR="0011734E" w:rsidRDefault="008B5969"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sidR="008D5A5A">
        <w:rPr>
          <w:rFonts w:ascii="Times New Roman" w:hAnsi="Times New Roman" w:cs="Times New Roman"/>
          <w:sz w:val="24"/>
          <w:szCs w:val="24"/>
        </w:rPr>
        <w:t>4</w:t>
      </w:r>
      <w:r>
        <w:rPr>
          <w:rFonts w:ascii="Times New Roman" w:hAnsi="Times New Roman" w:cs="Times New Roman"/>
          <w:sz w:val="24"/>
          <w:szCs w:val="24"/>
        </w:rPr>
        <w:tab/>
      </w:r>
      <w:bookmarkStart w:id="2" w:name="_Hlk517432258"/>
      <w:r w:rsidR="0011734E">
        <w:rPr>
          <w:rFonts w:ascii="Times New Roman" w:hAnsi="Times New Roman" w:cs="Times New Roman"/>
          <w:sz w:val="24"/>
          <w:szCs w:val="24"/>
        </w:rPr>
        <w:t xml:space="preserve">An </w:t>
      </w:r>
      <w:r w:rsidR="00172353">
        <w:rPr>
          <w:rFonts w:ascii="Times New Roman" w:hAnsi="Times New Roman" w:cs="Times New Roman"/>
          <w:sz w:val="24"/>
          <w:szCs w:val="24"/>
        </w:rPr>
        <w:t xml:space="preserve">operator of a licensed market </w:t>
      </w:r>
      <w:r w:rsidR="0011734E">
        <w:rPr>
          <w:rFonts w:ascii="Times New Roman" w:hAnsi="Times New Roman" w:cs="Times New Roman"/>
          <w:sz w:val="24"/>
          <w:szCs w:val="24"/>
        </w:rPr>
        <w:t>must have operating rules that govern the operation of the market.</w:t>
      </w:r>
      <w:bookmarkEnd w:id="2"/>
      <w:r w:rsidR="0011734E">
        <w:rPr>
          <w:rFonts w:ascii="Times New Roman" w:hAnsi="Times New Roman" w:cs="Times New Roman"/>
          <w:sz w:val="24"/>
          <w:szCs w:val="24"/>
        </w:rPr>
        <w:t xml:space="preserve">  An operator of a licensed CS facility must have operating rules that govern the operation of the facility.</w:t>
      </w:r>
    </w:p>
    <w:p w:rsidR="005A5488" w:rsidRDefault="0011734E"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1.1</w:t>
      </w:r>
      <w:r w:rsidR="008D5A5A">
        <w:rPr>
          <w:rFonts w:ascii="Times New Roman" w:hAnsi="Times New Roman" w:cs="Times New Roman"/>
          <w:sz w:val="24"/>
          <w:szCs w:val="24"/>
        </w:rPr>
        <w:t>5</w:t>
      </w:r>
      <w:r>
        <w:rPr>
          <w:rFonts w:ascii="Times New Roman" w:hAnsi="Times New Roman" w:cs="Times New Roman"/>
          <w:sz w:val="24"/>
          <w:szCs w:val="24"/>
        </w:rPr>
        <w:tab/>
        <w:t xml:space="preserve">If an operator of a licensed market </w:t>
      </w:r>
      <w:r w:rsidR="00172353">
        <w:rPr>
          <w:rFonts w:ascii="Times New Roman" w:hAnsi="Times New Roman" w:cs="Times New Roman"/>
          <w:sz w:val="24"/>
          <w:szCs w:val="24"/>
        </w:rPr>
        <w:t xml:space="preserve">or a licensed CS facility lodges with ASIC a notice of changes to the operating rules of the market or the facility, ASIC must send a copy of the notice to the Minister. </w:t>
      </w:r>
      <w:r w:rsidR="0072427A">
        <w:rPr>
          <w:rFonts w:ascii="Times New Roman" w:hAnsi="Times New Roman" w:cs="Times New Roman"/>
          <w:sz w:val="24"/>
          <w:szCs w:val="24"/>
        </w:rPr>
        <w:t xml:space="preserve"> </w:t>
      </w:r>
      <w:r w:rsidR="00172353">
        <w:rPr>
          <w:rFonts w:ascii="Times New Roman" w:hAnsi="Times New Roman" w:cs="Times New Roman"/>
          <w:sz w:val="24"/>
          <w:szCs w:val="24"/>
        </w:rPr>
        <w:t>The Minister has the power to disallow all or a specified part of the ch</w:t>
      </w:r>
      <w:r>
        <w:rPr>
          <w:rFonts w:ascii="Times New Roman" w:hAnsi="Times New Roman" w:cs="Times New Roman"/>
          <w:sz w:val="24"/>
          <w:szCs w:val="24"/>
        </w:rPr>
        <w:t>a</w:t>
      </w:r>
      <w:r w:rsidR="00172353">
        <w:rPr>
          <w:rFonts w:ascii="Times New Roman" w:hAnsi="Times New Roman" w:cs="Times New Roman"/>
          <w:sz w:val="24"/>
          <w:szCs w:val="24"/>
        </w:rPr>
        <w:t>nge</w:t>
      </w:r>
      <w:r>
        <w:rPr>
          <w:rFonts w:ascii="Times New Roman" w:hAnsi="Times New Roman" w:cs="Times New Roman"/>
          <w:sz w:val="24"/>
          <w:szCs w:val="24"/>
        </w:rPr>
        <w:t>s</w:t>
      </w:r>
      <w:r w:rsidR="00172353">
        <w:rPr>
          <w:rFonts w:ascii="Times New Roman" w:hAnsi="Times New Roman" w:cs="Times New Roman"/>
          <w:sz w:val="24"/>
          <w:szCs w:val="24"/>
        </w:rPr>
        <w:t xml:space="preserve"> to the operating rules.</w:t>
      </w:r>
      <w:r>
        <w:rPr>
          <w:rFonts w:ascii="Times New Roman" w:hAnsi="Times New Roman" w:cs="Times New Roman"/>
          <w:sz w:val="24"/>
          <w:szCs w:val="24"/>
        </w:rPr>
        <w:t xml:space="preserve"> </w:t>
      </w:r>
      <w:r w:rsidR="0072427A">
        <w:rPr>
          <w:rFonts w:ascii="Times New Roman" w:hAnsi="Times New Roman" w:cs="Times New Roman"/>
          <w:sz w:val="24"/>
          <w:szCs w:val="24"/>
        </w:rPr>
        <w:t xml:space="preserve"> </w:t>
      </w:r>
      <w:r>
        <w:rPr>
          <w:rFonts w:ascii="Times New Roman" w:hAnsi="Times New Roman" w:cs="Times New Roman"/>
          <w:sz w:val="24"/>
          <w:szCs w:val="24"/>
        </w:rPr>
        <w:t>The power to disallow the changes has been delegated to members of ASIC and certain senior staff members of ASIC.</w:t>
      </w:r>
    </w:p>
    <w:p w:rsidR="000D56E3" w:rsidRPr="007413BA" w:rsidRDefault="000D56E3" w:rsidP="00D673F6">
      <w:pPr>
        <w:spacing w:after="240" w:line="240" w:lineRule="auto"/>
        <w:ind w:left="567" w:hanging="567"/>
        <w:rPr>
          <w:rFonts w:ascii="Times New Roman" w:hAnsi="Times New Roman" w:cs="Times New Roman"/>
          <w:b/>
          <w:sz w:val="24"/>
          <w:szCs w:val="24"/>
        </w:rPr>
      </w:pPr>
      <w:r w:rsidRPr="007413BA">
        <w:rPr>
          <w:rFonts w:ascii="Times New Roman" w:hAnsi="Times New Roman" w:cs="Times New Roman"/>
          <w:b/>
          <w:sz w:val="24"/>
          <w:szCs w:val="24"/>
        </w:rPr>
        <w:t>2.</w:t>
      </w:r>
      <w:r w:rsidRPr="007413BA">
        <w:rPr>
          <w:rFonts w:ascii="Times New Roman" w:hAnsi="Times New Roman" w:cs="Times New Roman"/>
          <w:b/>
          <w:sz w:val="24"/>
          <w:szCs w:val="24"/>
        </w:rPr>
        <w:tab/>
        <w:t xml:space="preserve">Purpose of the instrument </w:t>
      </w:r>
    </w:p>
    <w:p w:rsidR="008D5A5A" w:rsidRDefault="000D56E3"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The purpose of the instrument </w:t>
      </w:r>
      <w:r w:rsidR="008D5A5A">
        <w:rPr>
          <w:rFonts w:ascii="Times New Roman" w:hAnsi="Times New Roman" w:cs="Times New Roman"/>
          <w:sz w:val="24"/>
          <w:szCs w:val="24"/>
        </w:rPr>
        <w:t xml:space="preserve">is to allow </w:t>
      </w:r>
      <w:r w:rsidR="007413BA" w:rsidRPr="00A55C7F">
        <w:rPr>
          <w:rFonts w:ascii="Times New Roman" w:hAnsi="Times New Roman" w:cs="Times New Roman"/>
          <w:sz w:val="24"/>
          <w:szCs w:val="24"/>
        </w:rPr>
        <w:t>ASIC to better recover the costs of its regulatory activities.</w:t>
      </w:r>
      <w:r w:rsidR="0072427A">
        <w:rPr>
          <w:rFonts w:ascii="Times New Roman" w:hAnsi="Times New Roman" w:cs="Times New Roman"/>
          <w:sz w:val="24"/>
          <w:szCs w:val="24"/>
        </w:rPr>
        <w:t xml:space="preserve"> </w:t>
      </w:r>
      <w:r w:rsidR="007413BA" w:rsidRPr="00A55C7F">
        <w:rPr>
          <w:rFonts w:ascii="Times New Roman" w:hAnsi="Times New Roman" w:cs="Times New Roman"/>
          <w:sz w:val="24"/>
          <w:szCs w:val="24"/>
        </w:rPr>
        <w:t xml:space="preserve"> This will ensure entities will pay the appropriate fee based on the complexity of the transaction for the service ASIC provides</w:t>
      </w:r>
      <w:r w:rsidR="008D5A5A">
        <w:rPr>
          <w:rFonts w:ascii="Times New Roman" w:hAnsi="Times New Roman" w:cs="Times New Roman"/>
          <w:sz w:val="24"/>
          <w:szCs w:val="24"/>
        </w:rPr>
        <w:t>.</w:t>
      </w:r>
    </w:p>
    <w:p w:rsidR="001C6A1E" w:rsidRDefault="008D5A5A" w:rsidP="00D673F6">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The instrument will also ensure that</w:t>
      </w:r>
      <w:r w:rsidR="000D56E3">
        <w:rPr>
          <w:rFonts w:ascii="Times New Roman" w:hAnsi="Times New Roman" w:cs="Times New Roman"/>
          <w:sz w:val="24"/>
          <w:szCs w:val="24"/>
        </w:rPr>
        <w:t xml:space="preserve">, so far as is practically possible, </w:t>
      </w:r>
      <w:r w:rsidR="001D6148">
        <w:rPr>
          <w:rFonts w:ascii="Times New Roman" w:hAnsi="Times New Roman" w:cs="Times New Roman"/>
          <w:sz w:val="24"/>
          <w:szCs w:val="24"/>
        </w:rPr>
        <w:t xml:space="preserve">persons </w:t>
      </w:r>
      <w:r w:rsidR="00A55C7F" w:rsidRPr="00A55C7F">
        <w:rPr>
          <w:rFonts w:ascii="Times New Roman" w:hAnsi="Times New Roman" w:cs="Times New Roman"/>
          <w:sz w:val="24"/>
          <w:szCs w:val="24"/>
        </w:rPr>
        <w:t>will</w:t>
      </w:r>
      <w:r w:rsidR="00BA58C8">
        <w:rPr>
          <w:rFonts w:ascii="Times New Roman" w:hAnsi="Times New Roman" w:cs="Times New Roman"/>
          <w:sz w:val="24"/>
          <w:szCs w:val="24"/>
        </w:rPr>
        <w:t> </w:t>
      </w:r>
      <w:r w:rsidR="00A55C7F" w:rsidRPr="00A55C7F">
        <w:rPr>
          <w:rFonts w:ascii="Times New Roman" w:hAnsi="Times New Roman" w:cs="Times New Roman"/>
          <w:sz w:val="24"/>
          <w:szCs w:val="24"/>
        </w:rPr>
        <w:t xml:space="preserve">know which </w:t>
      </w:r>
      <w:r w:rsidR="00B764AE">
        <w:rPr>
          <w:rFonts w:ascii="Times New Roman" w:hAnsi="Times New Roman" w:cs="Times New Roman"/>
          <w:sz w:val="24"/>
          <w:szCs w:val="24"/>
        </w:rPr>
        <w:t xml:space="preserve">complexity </w:t>
      </w:r>
      <w:r w:rsidR="00A55C7F" w:rsidRPr="00A55C7F">
        <w:rPr>
          <w:rFonts w:ascii="Times New Roman" w:hAnsi="Times New Roman" w:cs="Times New Roman"/>
          <w:sz w:val="24"/>
          <w:szCs w:val="24"/>
        </w:rPr>
        <w:t>tier they belong in prior to submitting their application</w:t>
      </w:r>
      <w:r w:rsidR="00B764AE">
        <w:rPr>
          <w:rFonts w:ascii="Times New Roman" w:hAnsi="Times New Roman" w:cs="Times New Roman"/>
          <w:sz w:val="24"/>
          <w:szCs w:val="24"/>
        </w:rPr>
        <w:t xml:space="preserve"> for licences, or lodging notices of changes to operating rules. </w:t>
      </w:r>
      <w:r w:rsidR="0072427A">
        <w:rPr>
          <w:rFonts w:ascii="Times New Roman" w:hAnsi="Times New Roman" w:cs="Times New Roman"/>
          <w:sz w:val="24"/>
          <w:szCs w:val="24"/>
        </w:rPr>
        <w:t xml:space="preserve"> </w:t>
      </w:r>
      <w:r w:rsidR="001C6A1E">
        <w:rPr>
          <w:rFonts w:ascii="Times New Roman" w:hAnsi="Times New Roman" w:cs="Times New Roman"/>
          <w:sz w:val="24"/>
          <w:szCs w:val="24"/>
        </w:rPr>
        <w:t>T</w:t>
      </w:r>
      <w:r w:rsidR="00A55C7F" w:rsidRPr="00A55C7F">
        <w:rPr>
          <w:rFonts w:ascii="Times New Roman" w:hAnsi="Times New Roman" w:cs="Times New Roman"/>
          <w:sz w:val="24"/>
          <w:szCs w:val="24"/>
        </w:rPr>
        <w:t xml:space="preserve">his </w:t>
      </w:r>
      <w:r w:rsidR="000F508F">
        <w:rPr>
          <w:rFonts w:ascii="Times New Roman" w:hAnsi="Times New Roman" w:cs="Times New Roman"/>
          <w:sz w:val="24"/>
          <w:szCs w:val="24"/>
        </w:rPr>
        <w:t xml:space="preserve">will </w:t>
      </w:r>
      <w:r w:rsidR="00A55C7F" w:rsidRPr="00A55C7F">
        <w:rPr>
          <w:rFonts w:ascii="Times New Roman" w:hAnsi="Times New Roman" w:cs="Times New Roman"/>
          <w:sz w:val="24"/>
          <w:szCs w:val="24"/>
        </w:rPr>
        <w:t xml:space="preserve">ensure </w:t>
      </w:r>
      <w:r w:rsidR="00B764AE">
        <w:rPr>
          <w:rFonts w:ascii="Times New Roman" w:hAnsi="Times New Roman" w:cs="Times New Roman"/>
          <w:sz w:val="24"/>
          <w:szCs w:val="24"/>
        </w:rPr>
        <w:t xml:space="preserve">that persons </w:t>
      </w:r>
      <w:r w:rsidR="00A55C7F" w:rsidRPr="00A55C7F">
        <w:rPr>
          <w:rFonts w:ascii="Times New Roman" w:hAnsi="Times New Roman" w:cs="Times New Roman"/>
          <w:sz w:val="24"/>
          <w:szCs w:val="24"/>
        </w:rPr>
        <w:t xml:space="preserve">will know what fee they will be required to pay for </w:t>
      </w:r>
      <w:r w:rsidR="00B764AE">
        <w:rPr>
          <w:rFonts w:ascii="Times New Roman" w:hAnsi="Times New Roman" w:cs="Times New Roman"/>
          <w:sz w:val="24"/>
          <w:szCs w:val="24"/>
        </w:rPr>
        <w:t>those kinds of chargeable matters.</w:t>
      </w:r>
    </w:p>
    <w:p w:rsidR="0073730A" w:rsidRDefault="001C6A1E" w:rsidP="0072427A">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2.</w:t>
      </w:r>
      <w:r w:rsidR="008D5A5A">
        <w:rPr>
          <w:rFonts w:ascii="Times New Roman" w:hAnsi="Times New Roman" w:cs="Times New Roman"/>
          <w:sz w:val="24"/>
          <w:szCs w:val="24"/>
        </w:rPr>
        <w:t>3</w:t>
      </w:r>
      <w:r>
        <w:rPr>
          <w:rFonts w:ascii="Times New Roman" w:hAnsi="Times New Roman" w:cs="Times New Roman"/>
          <w:sz w:val="24"/>
          <w:szCs w:val="24"/>
        </w:rPr>
        <w:tab/>
        <w:t xml:space="preserve">Further, particularly in relation to applications for market </w:t>
      </w:r>
      <w:r w:rsidR="00684C56">
        <w:rPr>
          <w:rFonts w:ascii="Times New Roman" w:hAnsi="Times New Roman" w:cs="Times New Roman"/>
          <w:sz w:val="24"/>
          <w:szCs w:val="24"/>
        </w:rPr>
        <w:t xml:space="preserve">licences </w:t>
      </w:r>
      <w:r>
        <w:rPr>
          <w:rFonts w:ascii="Times New Roman" w:hAnsi="Times New Roman" w:cs="Times New Roman"/>
          <w:sz w:val="24"/>
          <w:szCs w:val="24"/>
        </w:rPr>
        <w:t xml:space="preserve">or CS facility licences, </w:t>
      </w:r>
      <w:r w:rsidR="00684C56">
        <w:rPr>
          <w:rFonts w:ascii="Times New Roman" w:hAnsi="Times New Roman" w:cs="Times New Roman"/>
          <w:sz w:val="24"/>
          <w:szCs w:val="24"/>
        </w:rPr>
        <w:t xml:space="preserve">or lodging notices of changes to operating rules, </w:t>
      </w:r>
      <w:r>
        <w:rPr>
          <w:rFonts w:ascii="Times New Roman" w:hAnsi="Times New Roman" w:cs="Times New Roman"/>
          <w:sz w:val="24"/>
          <w:szCs w:val="24"/>
        </w:rPr>
        <w:t xml:space="preserve">such </w:t>
      </w:r>
      <w:r w:rsidR="00B764AE">
        <w:rPr>
          <w:rFonts w:ascii="Times New Roman" w:hAnsi="Times New Roman" w:cs="Times New Roman"/>
          <w:sz w:val="24"/>
          <w:szCs w:val="24"/>
        </w:rPr>
        <w:t xml:space="preserve">persons are also encouraged to liaise with </w:t>
      </w:r>
      <w:r w:rsidR="00684C56">
        <w:rPr>
          <w:rFonts w:ascii="Times New Roman" w:hAnsi="Times New Roman" w:cs="Times New Roman"/>
          <w:sz w:val="24"/>
          <w:szCs w:val="24"/>
        </w:rPr>
        <w:t xml:space="preserve">the relevant </w:t>
      </w:r>
      <w:r w:rsidR="00B764AE">
        <w:rPr>
          <w:rFonts w:ascii="Times New Roman" w:hAnsi="Times New Roman" w:cs="Times New Roman"/>
          <w:sz w:val="24"/>
          <w:szCs w:val="24"/>
        </w:rPr>
        <w:t>ASIC</w:t>
      </w:r>
      <w:r w:rsidR="00684C56">
        <w:rPr>
          <w:rFonts w:ascii="Times New Roman" w:hAnsi="Times New Roman" w:cs="Times New Roman"/>
          <w:sz w:val="24"/>
          <w:szCs w:val="24"/>
        </w:rPr>
        <w:t xml:space="preserve"> team</w:t>
      </w:r>
      <w:r w:rsidR="00B764AE">
        <w:rPr>
          <w:rFonts w:ascii="Times New Roman" w:hAnsi="Times New Roman" w:cs="Times New Roman"/>
          <w:sz w:val="24"/>
          <w:szCs w:val="24"/>
        </w:rPr>
        <w:t xml:space="preserve"> prior to </w:t>
      </w:r>
      <w:r w:rsidR="00B764AE" w:rsidRPr="00A55C7F">
        <w:rPr>
          <w:rFonts w:ascii="Times New Roman" w:hAnsi="Times New Roman" w:cs="Times New Roman"/>
          <w:sz w:val="24"/>
          <w:szCs w:val="24"/>
        </w:rPr>
        <w:t>submitting their application</w:t>
      </w:r>
      <w:r w:rsidR="00684C56">
        <w:rPr>
          <w:rFonts w:ascii="Times New Roman" w:hAnsi="Times New Roman" w:cs="Times New Roman"/>
          <w:sz w:val="24"/>
          <w:szCs w:val="24"/>
        </w:rPr>
        <w:t>s</w:t>
      </w:r>
      <w:r w:rsidR="00B764AE">
        <w:rPr>
          <w:rFonts w:ascii="Times New Roman" w:hAnsi="Times New Roman" w:cs="Times New Roman"/>
          <w:sz w:val="24"/>
          <w:szCs w:val="24"/>
        </w:rPr>
        <w:t xml:space="preserve"> for licences or lodging notices of changes to operating rules. </w:t>
      </w:r>
      <w:r w:rsidR="0072427A">
        <w:rPr>
          <w:rFonts w:ascii="Times New Roman" w:hAnsi="Times New Roman" w:cs="Times New Roman"/>
          <w:sz w:val="24"/>
          <w:szCs w:val="24"/>
        </w:rPr>
        <w:t xml:space="preserve"> </w:t>
      </w:r>
      <w:r w:rsidR="0073730A">
        <w:rPr>
          <w:rFonts w:ascii="Times New Roman" w:hAnsi="Times New Roman" w:cs="Times New Roman"/>
          <w:sz w:val="24"/>
          <w:szCs w:val="24"/>
        </w:rPr>
        <w:t>This is designed to ensure the applicant or lodging party clearly understands the relevant complexity (fee) tier.</w:t>
      </w:r>
      <w:r w:rsidR="0073730A">
        <w:rPr>
          <w:rFonts w:ascii="Times New Roman" w:hAnsi="Times New Roman" w:cs="Times New Roman"/>
          <w:sz w:val="24"/>
          <w:szCs w:val="24"/>
        </w:rPr>
        <w:br w:type="page"/>
      </w:r>
    </w:p>
    <w:p w:rsidR="00B764AE" w:rsidRPr="007413BA" w:rsidRDefault="00B764AE" w:rsidP="00B764AE">
      <w:pPr>
        <w:spacing w:after="240" w:line="240" w:lineRule="auto"/>
        <w:ind w:left="567" w:hanging="567"/>
        <w:rPr>
          <w:rFonts w:ascii="Times New Roman" w:hAnsi="Times New Roman" w:cs="Times New Roman"/>
          <w:b/>
          <w:sz w:val="24"/>
          <w:szCs w:val="24"/>
        </w:rPr>
      </w:pPr>
      <w:r w:rsidRPr="007413BA">
        <w:rPr>
          <w:rFonts w:ascii="Times New Roman" w:hAnsi="Times New Roman" w:cs="Times New Roman"/>
          <w:b/>
          <w:sz w:val="24"/>
          <w:szCs w:val="24"/>
        </w:rPr>
        <w:lastRenderedPageBreak/>
        <w:t>3.</w:t>
      </w:r>
      <w:r w:rsidRPr="007413BA">
        <w:rPr>
          <w:rFonts w:ascii="Times New Roman" w:hAnsi="Times New Roman" w:cs="Times New Roman"/>
          <w:b/>
          <w:sz w:val="24"/>
          <w:szCs w:val="24"/>
        </w:rPr>
        <w:tab/>
        <w:t>The operation of the instrument</w:t>
      </w:r>
    </w:p>
    <w:p w:rsidR="00B764AE" w:rsidRPr="00172353" w:rsidRDefault="00B764AE" w:rsidP="00B764AE">
      <w:pPr>
        <w:spacing w:after="240" w:line="240" w:lineRule="auto"/>
        <w:ind w:left="567" w:hanging="567"/>
        <w:rPr>
          <w:rFonts w:ascii="Times New Roman" w:hAnsi="Times New Roman" w:cs="Times New Roman"/>
          <w:sz w:val="24"/>
          <w:szCs w:val="24"/>
          <w:u w:val="single"/>
        </w:rPr>
      </w:pPr>
      <w:r w:rsidRPr="00172353">
        <w:rPr>
          <w:rFonts w:ascii="Times New Roman" w:hAnsi="Times New Roman" w:cs="Times New Roman"/>
          <w:sz w:val="24"/>
          <w:szCs w:val="24"/>
          <w:u w:val="single"/>
        </w:rPr>
        <w:t>Australian financial services licence</w:t>
      </w:r>
    </w:p>
    <w:p w:rsidR="007E505B" w:rsidRPr="007413BA" w:rsidRDefault="007E505B" w:rsidP="00B764AE">
      <w:pPr>
        <w:spacing w:after="240" w:line="240" w:lineRule="auto"/>
        <w:ind w:left="567" w:hanging="567"/>
        <w:rPr>
          <w:rFonts w:ascii="Times New Roman" w:hAnsi="Times New Roman" w:cs="Times New Roman"/>
          <w:i/>
          <w:sz w:val="24"/>
          <w:szCs w:val="24"/>
        </w:rPr>
      </w:pPr>
      <w:r w:rsidRPr="007413BA">
        <w:rPr>
          <w:rFonts w:ascii="Times New Roman" w:hAnsi="Times New Roman" w:cs="Times New Roman"/>
          <w:i/>
          <w:sz w:val="24"/>
          <w:szCs w:val="24"/>
        </w:rPr>
        <w:t>Complexity criteria</w:t>
      </w:r>
    </w:p>
    <w:p w:rsidR="00C34992" w:rsidRPr="007413BA" w:rsidRDefault="00B764AE" w:rsidP="00B764A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Pr="007413BA">
        <w:rPr>
          <w:rFonts w:ascii="Times New Roman" w:hAnsi="Times New Roman" w:cs="Times New Roman"/>
          <w:sz w:val="24"/>
          <w:szCs w:val="24"/>
        </w:rPr>
        <w:tab/>
      </w:r>
      <w:bookmarkStart w:id="3" w:name="_Hlk517440869"/>
      <w:r w:rsidR="00C34992" w:rsidRPr="007413BA">
        <w:rPr>
          <w:rFonts w:ascii="Times New Roman" w:hAnsi="Times New Roman" w:cs="Times New Roman"/>
          <w:sz w:val="24"/>
          <w:szCs w:val="24"/>
        </w:rPr>
        <w:t>ASIC considers complexity to be a function of the expertise required</w:t>
      </w:r>
      <w:r w:rsidR="00707DF0">
        <w:rPr>
          <w:rFonts w:ascii="Times New Roman" w:hAnsi="Times New Roman" w:cs="Times New Roman"/>
          <w:sz w:val="24"/>
          <w:szCs w:val="24"/>
        </w:rPr>
        <w:t>,</w:t>
      </w:r>
      <w:r w:rsidR="00C34992" w:rsidRPr="007413BA">
        <w:rPr>
          <w:rFonts w:ascii="Times New Roman" w:hAnsi="Times New Roman" w:cs="Times New Roman"/>
          <w:sz w:val="24"/>
          <w:szCs w:val="24"/>
        </w:rPr>
        <w:t xml:space="preserve"> and the amount of time required, to assess a matter.</w:t>
      </w:r>
    </w:p>
    <w:p w:rsidR="00F14B31" w:rsidRDefault="00C34992" w:rsidP="00B764AE">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00B764AE">
        <w:rPr>
          <w:rFonts w:ascii="Times New Roman" w:hAnsi="Times New Roman" w:cs="Times New Roman"/>
          <w:sz w:val="24"/>
          <w:szCs w:val="24"/>
        </w:rPr>
        <w:t>The complexity criteria in relation to an application for an Australian financial services</w:t>
      </w:r>
      <w:r w:rsidR="008D5A5A">
        <w:rPr>
          <w:rFonts w:ascii="Times New Roman" w:hAnsi="Times New Roman" w:cs="Times New Roman"/>
          <w:sz w:val="24"/>
          <w:szCs w:val="24"/>
        </w:rPr>
        <w:t> </w:t>
      </w:r>
      <w:r w:rsidR="00B764AE">
        <w:rPr>
          <w:rFonts w:ascii="Times New Roman" w:hAnsi="Times New Roman" w:cs="Times New Roman"/>
          <w:sz w:val="24"/>
          <w:szCs w:val="24"/>
        </w:rPr>
        <w:t>licence</w:t>
      </w:r>
      <w:r w:rsidR="00F14B31">
        <w:rPr>
          <w:rFonts w:ascii="Times New Roman" w:hAnsi="Times New Roman" w:cs="Times New Roman"/>
          <w:sz w:val="24"/>
          <w:szCs w:val="24"/>
        </w:rPr>
        <w:t xml:space="preserve"> has been determined according to the </w:t>
      </w:r>
      <w:r w:rsidR="00F14B31" w:rsidRPr="00707DF0">
        <w:rPr>
          <w:rFonts w:ascii="Times New Roman" w:hAnsi="Times New Roman" w:cs="Times New Roman"/>
          <w:i/>
          <w:sz w:val="24"/>
          <w:szCs w:val="24"/>
        </w:rPr>
        <w:t>kind of financial product</w:t>
      </w:r>
      <w:r w:rsidRPr="00707DF0">
        <w:rPr>
          <w:rFonts w:ascii="Times New Roman" w:hAnsi="Times New Roman" w:cs="Times New Roman"/>
          <w:i/>
          <w:sz w:val="24"/>
          <w:szCs w:val="24"/>
        </w:rPr>
        <w:t>s</w:t>
      </w:r>
      <w:r w:rsidR="00F14B31">
        <w:rPr>
          <w:rFonts w:ascii="Times New Roman" w:hAnsi="Times New Roman" w:cs="Times New Roman"/>
          <w:sz w:val="24"/>
          <w:szCs w:val="24"/>
        </w:rPr>
        <w:t xml:space="preserve"> </w:t>
      </w:r>
      <w:r w:rsidR="008D5A5A">
        <w:rPr>
          <w:rFonts w:ascii="Times New Roman" w:hAnsi="Times New Roman" w:cs="Times New Roman"/>
          <w:sz w:val="24"/>
          <w:szCs w:val="24"/>
        </w:rPr>
        <w:t>and</w:t>
      </w:r>
      <w:r w:rsidR="00707DF0">
        <w:rPr>
          <w:rFonts w:ascii="Times New Roman" w:hAnsi="Times New Roman" w:cs="Times New Roman"/>
          <w:sz w:val="24"/>
          <w:szCs w:val="24"/>
        </w:rPr>
        <w:t xml:space="preserve"> the</w:t>
      </w:r>
      <w:r w:rsidR="008D5A5A">
        <w:rPr>
          <w:rFonts w:ascii="Times New Roman" w:hAnsi="Times New Roman" w:cs="Times New Roman"/>
          <w:sz w:val="24"/>
          <w:szCs w:val="24"/>
        </w:rPr>
        <w:t xml:space="preserve"> </w:t>
      </w:r>
      <w:r w:rsidR="00707DF0" w:rsidRPr="00707DF0">
        <w:rPr>
          <w:rFonts w:ascii="Times New Roman" w:hAnsi="Times New Roman" w:cs="Times New Roman"/>
          <w:i/>
          <w:sz w:val="24"/>
          <w:szCs w:val="24"/>
        </w:rPr>
        <w:t xml:space="preserve">kind of </w:t>
      </w:r>
      <w:r w:rsidR="008D5A5A" w:rsidRPr="00707DF0">
        <w:rPr>
          <w:rFonts w:ascii="Times New Roman" w:hAnsi="Times New Roman" w:cs="Times New Roman"/>
          <w:i/>
          <w:sz w:val="24"/>
          <w:szCs w:val="24"/>
        </w:rPr>
        <w:t>financial services</w:t>
      </w:r>
      <w:r w:rsidR="008D5A5A">
        <w:rPr>
          <w:rFonts w:ascii="Times New Roman" w:hAnsi="Times New Roman" w:cs="Times New Roman"/>
          <w:sz w:val="24"/>
          <w:szCs w:val="24"/>
        </w:rPr>
        <w:t xml:space="preserve"> </w:t>
      </w:r>
      <w:r w:rsidR="00F14B31">
        <w:rPr>
          <w:rFonts w:ascii="Times New Roman" w:hAnsi="Times New Roman" w:cs="Times New Roman"/>
          <w:sz w:val="24"/>
          <w:szCs w:val="24"/>
        </w:rPr>
        <w:t>to</w:t>
      </w:r>
      <w:r w:rsidR="008D5A5A">
        <w:rPr>
          <w:rFonts w:ascii="Times New Roman" w:hAnsi="Times New Roman" w:cs="Times New Roman"/>
          <w:sz w:val="24"/>
          <w:szCs w:val="24"/>
        </w:rPr>
        <w:t xml:space="preserve"> </w:t>
      </w:r>
      <w:r w:rsidR="00F14B31">
        <w:rPr>
          <w:rFonts w:ascii="Times New Roman" w:hAnsi="Times New Roman" w:cs="Times New Roman"/>
          <w:sz w:val="24"/>
          <w:szCs w:val="24"/>
        </w:rPr>
        <w:t>which the authorisations sought relate.</w:t>
      </w:r>
    </w:p>
    <w:bookmarkEnd w:id="3"/>
    <w:p w:rsidR="003D6EE8" w:rsidRDefault="003D6EE8" w:rsidP="0050510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 xml:space="preserve">Applications that seek authorisations in relation to any of the following </w:t>
      </w:r>
      <w:r w:rsidRPr="0026674A">
        <w:rPr>
          <w:rFonts w:ascii="Times New Roman" w:hAnsi="Times New Roman" w:cs="Times New Roman"/>
          <w:i/>
          <w:sz w:val="24"/>
          <w:szCs w:val="24"/>
        </w:rPr>
        <w:t>kinds of financial products</w:t>
      </w:r>
      <w:r>
        <w:rPr>
          <w:rFonts w:ascii="Times New Roman" w:hAnsi="Times New Roman" w:cs="Times New Roman"/>
          <w:i/>
          <w:sz w:val="24"/>
          <w:szCs w:val="24"/>
        </w:rPr>
        <w:t xml:space="preserve"> </w:t>
      </w:r>
      <w:r>
        <w:rPr>
          <w:rFonts w:ascii="Times New Roman" w:hAnsi="Times New Roman" w:cs="Times New Roman"/>
          <w:sz w:val="24"/>
          <w:szCs w:val="24"/>
        </w:rPr>
        <w:t>are of high complexity:</w:t>
      </w:r>
    </w:p>
    <w:p w:rsidR="00505100" w:rsidRDefault="00505100" w:rsidP="00505100">
      <w:pPr>
        <w:spacing w:after="0" w:line="240" w:lineRule="auto"/>
        <w:ind w:left="567" w:hanging="567"/>
        <w:rPr>
          <w:rFonts w:ascii="Times New Roman" w:hAnsi="Times New Roman" w:cs="Times New Roman"/>
          <w:sz w:val="24"/>
          <w:szCs w:val="24"/>
        </w:rPr>
      </w:pPr>
    </w:p>
    <w:p w:rsidR="003D6EE8" w:rsidRDefault="003D6EE8" w:rsidP="00505100">
      <w:pPr>
        <w:pStyle w:val="LI-BodyTextNumbered"/>
        <w:spacing w:before="0"/>
      </w:pPr>
      <w:r w:rsidRPr="003D6EE8">
        <w:t>(a)</w:t>
      </w:r>
      <w:r w:rsidRPr="003D6EE8">
        <w:tab/>
      </w:r>
      <w:r w:rsidR="00505100">
        <w:t xml:space="preserve">a </w:t>
      </w:r>
      <w:r w:rsidRPr="003D6EE8">
        <w:t xml:space="preserve">miscellaneous </w:t>
      </w:r>
      <w:r w:rsidR="00505100">
        <w:t>financial investment facility or financial risk management facility (i.e. a facility that is a financial product under the general definition of ‘financial product’ in paragraph 763A(1)(a) or (b) of the Act but is not covered by the list of specific financial products)</w:t>
      </w:r>
      <w:r w:rsidRPr="003D6EE8">
        <w:t>;</w:t>
      </w:r>
      <w:r w:rsidR="00505100">
        <w:t xml:space="preserve"> and</w:t>
      </w:r>
    </w:p>
    <w:p w:rsidR="00505100" w:rsidRPr="003D6EE8" w:rsidRDefault="00505100" w:rsidP="00505100">
      <w:pPr>
        <w:pStyle w:val="LI-BodyTextNumbered"/>
        <w:spacing w:before="0"/>
      </w:pPr>
    </w:p>
    <w:p w:rsidR="00505100" w:rsidRDefault="003D6EE8" w:rsidP="00505100">
      <w:pPr>
        <w:pStyle w:val="LI-BodyTextNumbered"/>
        <w:spacing w:before="0"/>
      </w:pPr>
      <w:r w:rsidRPr="003D6EE8">
        <w:t>(b)</w:t>
      </w:r>
      <w:r w:rsidRPr="003D6EE8">
        <w:tab/>
        <w:t>a non-standard margin lending facility</w:t>
      </w:r>
      <w:r w:rsidR="00505100">
        <w:t>.</w:t>
      </w:r>
    </w:p>
    <w:p w:rsidR="00505100" w:rsidRDefault="00505100" w:rsidP="00505100">
      <w:pPr>
        <w:spacing w:after="0" w:line="240" w:lineRule="auto"/>
        <w:ind w:left="567" w:hanging="567"/>
        <w:rPr>
          <w:rFonts w:ascii="Times New Roman" w:hAnsi="Times New Roman" w:cs="Times New Roman"/>
          <w:sz w:val="24"/>
          <w:szCs w:val="24"/>
        </w:rPr>
      </w:pPr>
    </w:p>
    <w:p w:rsidR="00707DF0" w:rsidRDefault="00707DF0" w:rsidP="0050510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Applications that seek authorisations in relation to those kinds of financial products are high complexity applications, irrespective of the kinds of financial services for which the authorisations are sought.</w:t>
      </w:r>
    </w:p>
    <w:p w:rsidR="00707DF0" w:rsidRDefault="00707DF0" w:rsidP="00505100">
      <w:pPr>
        <w:spacing w:after="0" w:line="240" w:lineRule="auto"/>
        <w:ind w:left="567" w:hanging="567"/>
        <w:rPr>
          <w:rFonts w:ascii="Times New Roman" w:hAnsi="Times New Roman" w:cs="Times New Roman"/>
          <w:sz w:val="24"/>
          <w:szCs w:val="24"/>
        </w:rPr>
      </w:pPr>
    </w:p>
    <w:p w:rsidR="00505100" w:rsidRDefault="00F14B31" w:rsidP="00505100">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3.</w:t>
      </w:r>
      <w:r w:rsidR="003711B8">
        <w:rPr>
          <w:rFonts w:ascii="Times New Roman" w:hAnsi="Times New Roman" w:cs="Times New Roman"/>
          <w:sz w:val="24"/>
          <w:szCs w:val="24"/>
        </w:rPr>
        <w:t>5</w:t>
      </w:r>
      <w:r>
        <w:rPr>
          <w:rFonts w:ascii="Times New Roman" w:hAnsi="Times New Roman" w:cs="Times New Roman"/>
          <w:sz w:val="24"/>
          <w:szCs w:val="24"/>
        </w:rPr>
        <w:tab/>
        <w:t xml:space="preserve">Applications that seek authorisations in relation to any of the following </w:t>
      </w:r>
      <w:r w:rsidRPr="0026674A">
        <w:rPr>
          <w:rFonts w:ascii="Times New Roman" w:hAnsi="Times New Roman" w:cs="Times New Roman"/>
          <w:i/>
          <w:sz w:val="24"/>
          <w:szCs w:val="24"/>
        </w:rPr>
        <w:t>kinds of financial services</w:t>
      </w:r>
      <w:r w:rsidRPr="009E0F27">
        <w:rPr>
          <w:rFonts w:ascii="Times New Roman" w:hAnsi="Times New Roman" w:cs="Times New Roman"/>
          <w:sz w:val="24"/>
          <w:szCs w:val="24"/>
        </w:rPr>
        <w:t xml:space="preserve"> </w:t>
      </w:r>
      <w:r w:rsidR="00C34992">
        <w:rPr>
          <w:rFonts w:ascii="Times New Roman" w:hAnsi="Times New Roman" w:cs="Times New Roman"/>
          <w:sz w:val="24"/>
          <w:szCs w:val="24"/>
        </w:rPr>
        <w:t>are</w:t>
      </w:r>
      <w:r>
        <w:rPr>
          <w:rFonts w:ascii="Times New Roman" w:hAnsi="Times New Roman" w:cs="Times New Roman"/>
          <w:sz w:val="24"/>
          <w:szCs w:val="24"/>
        </w:rPr>
        <w:t xml:space="preserve"> </w:t>
      </w:r>
      <w:r w:rsidR="00505100">
        <w:rPr>
          <w:rFonts w:ascii="Times New Roman" w:hAnsi="Times New Roman" w:cs="Times New Roman"/>
          <w:sz w:val="24"/>
          <w:szCs w:val="24"/>
        </w:rPr>
        <w:t xml:space="preserve">also </w:t>
      </w:r>
      <w:r>
        <w:rPr>
          <w:rFonts w:ascii="Times New Roman" w:hAnsi="Times New Roman" w:cs="Times New Roman"/>
          <w:sz w:val="24"/>
          <w:szCs w:val="24"/>
        </w:rPr>
        <w:t>of high complexity:</w:t>
      </w:r>
    </w:p>
    <w:p w:rsidR="00F14B31" w:rsidRDefault="00F14B31" w:rsidP="00505100">
      <w:pPr>
        <w:spacing w:after="0" w:line="240" w:lineRule="auto"/>
        <w:ind w:left="567" w:hanging="567"/>
        <w:rPr>
          <w:rFonts w:ascii="Times New Roman" w:hAnsi="Times New Roman" w:cs="Times New Roman"/>
          <w:sz w:val="24"/>
          <w:szCs w:val="24"/>
        </w:rPr>
      </w:pPr>
    </w:p>
    <w:p w:rsidR="00F14B31" w:rsidRDefault="00F14B31" w:rsidP="00505100">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makes a market </w:t>
      </w:r>
      <w:r w:rsidR="00990576">
        <w:rPr>
          <w:rFonts w:ascii="Times New Roman" w:hAnsi="Times New Roman" w:cs="Times New Roman"/>
          <w:sz w:val="24"/>
          <w:szCs w:val="24"/>
        </w:rPr>
        <w:t>for a financial product</w:t>
      </w:r>
      <w:r>
        <w:rPr>
          <w:rFonts w:ascii="Times New Roman" w:hAnsi="Times New Roman" w:cs="Times New Roman"/>
          <w:sz w:val="24"/>
          <w:szCs w:val="24"/>
        </w:rPr>
        <w:t>;</w:t>
      </w:r>
    </w:p>
    <w:p w:rsidR="00707DF0" w:rsidRDefault="00707DF0" w:rsidP="00505100">
      <w:pPr>
        <w:spacing w:after="0" w:line="240" w:lineRule="auto"/>
        <w:ind w:left="1134" w:hanging="567"/>
        <w:rPr>
          <w:rFonts w:ascii="Times New Roman" w:hAnsi="Times New Roman" w:cs="Times New Roman"/>
          <w:sz w:val="24"/>
          <w:szCs w:val="24"/>
        </w:rPr>
      </w:pPr>
    </w:p>
    <w:p w:rsidR="00707DF0" w:rsidRDefault="00F14B31" w:rsidP="00505100">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F14B31">
        <w:rPr>
          <w:rFonts w:ascii="Times New Roman" w:hAnsi="Times New Roman" w:cs="Times New Roman"/>
          <w:sz w:val="24"/>
          <w:szCs w:val="24"/>
        </w:rPr>
        <w:t>operate a registered scheme;</w:t>
      </w:r>
    </w:p>
    <w:p w:rsidR="005D5FC6" w:rsidRDefault="005D5FC6" w:rsidP="005D5FC6">
      <w:pPr>
        <w:pStyle w:val="LI-BodyTextNumbered"/>
      </w:pPr>
      <w:r w:rsidRPr="005D5FC6">
        <w:t>(</w:t>
      </w:r>
      <w:r w:rsidR="00707DF0">
        <w:t>c</w:t>
      </w:r>
      <w:r w:rsidRPr="005D5FC6">
        <w:t>)</w:t>
      </w:r>
      <w:r w:rsidRPr="005D5FC6">
        <w:tab/>
        <w:t>the provision by a trustee company of a traditional trustee company service;</w:t>
      </w:r>
    </w:p>
    <w:p w:rsidR="006B2274" w:rsidRPr="00936A98" w:rsidRDefault="006B2274" w:rsidP="006B2274">
      <w:pPr>
        <w:spacing w:after="0" w:line="240" w:lineRule="auto"/>
        <w:ind w:left="1134" w:hanging="567"/>
        <w:rPr>
          <w:rFonts w:ascii="Times New Roman" w:eastAsia="Times New Roman" w:hAnsi="Times New Roman" w:cs="Times New Roman"/>
          <w:sz w:val="24"/>
          <w:szCs w:val="24"/>
          <w:lang w:eastAsia="en-AU"/>
        </w:rPr>
      </w:pPr>
    </w:p>
    <w:p w:rsidR="00707DF0" w:rsidRPr="00936A98" w:rsidRDefault="005D5FC6" w:rsidP="006B2274">
      <w:pPr>
        <w:spacing w:after="0" w:line="240" w:lineRule="auto"/>
        <w:ind w:left="1134" w:hanging="567"/>
        <w:rPr>
          <w:rFonts w:ascii="Times New Roman" w:eastAsia="Times New Roman" w:hAnsi="Times New Roman" w:cs="Times New Roman"/>
          <w:sz w:val="24"/>
          <w:szCs w:val="24"/>
          <w:lang w:eastAsia="en-AU"/>
        </w:rPr>
      </w:pPr>
      <w:r w:rsidRPr="00936A98">
        <w:rPr>
          <w:rFonts w:ascii="Times New Roman" w:eastAsia="Times New Roman" w:hAnsi="Times New Roman" w:cs="Times New Roman"/>
          <w:sz w:val="24"/>
          <w:szCs w:val="24"/>
          <w:lang w:eastAsia="en-AU"/>
        </w:rPr>
        <w:t>(</w:t>
      </w:r>
      <w:r w:rsidR="00707DF0" w:rsidRPr="00936A98">
        <w:rPr>
          <w:rFonts w:ascii="Times New Roman" w:eastAsia="Times New Roman" w:hAnsi="Times New Roman" w:cs="Times New Roman"/>
          <w:sz w:val="24"/>
          <w:szCs w:val="24"/>
          <w:lang w:eastAsia="en-AU"/>
        </w:rPr>
        <w:t>d</w:t>
      </w:r>
      <w:r w:rsidRPr="00936A98">
        <w:rPr>
          <w:rFonts w:ascii="Times New Roman" w:eastAsia="Times New Roman" w:hAnsi="Times New Roman" w:cs="Times New Roman"/>
          <w:sz w:val="24"/>
          <w:szCs w:val="24"/>
          <w:lang w:eastAsia="en-AU"/>
        </w:rPr>
        <w:t>)</w:t>
      </w:r>
      <w:r w:rsidRPr="00936A98">
        <w:rPr>
          <w:rFonts w:ascii="Times New Roman" w:eastAsia="Times New Roman" w:hAnsi="Times New Roman" w:cs="Times New Roman"/>
          <w:sz w:val="24"/>
          <w:szCs w:val="24"/>
          <w:lang w:eastAsia="en-AU"/>
        </w:rPr>
        <w:tab/>
      </w:r>
      <w:r w:rsidR="00707DF0" w:rsidRPr="00936A98">
        <w:rPr>
          <w:rFonts w:ascii="Times New Roman" w:eastAsia="Times New Roman" w:hAnsi="Times New Roman" w:cs="Times New Roman"/>
          <w:sz w:val="24"/>
          <w:szCs w:val="24"/>
          <w:lang w:eastAsia="en-AU"/>
        </w:rPr>
        <w:t>dealing in relation to a derivative (i.e. a</w:t>
      </w:r>
      <w:r w:rsidR="0026674A" w:rsidRPr="00936A98">
        <w:rPr>
          <w:rFonts w:ascii="Times New Roman" w:eastAsia="Times New Roman" w:hAnsi="Times New Roman" w:cs="Times New Roman"/>
          <w:sz w:val="24"/>
          <w:szCs w:val="24"/>
          <w:lang w:eastAsia="en-AU"/>
        </w:rPr>
        <w:t xml:space="preserve">ny kind of </w:t>
      </w:r>
      <w:r w:rsidR="00707DF0" w:rsidRPr="00936A98">
        <w:rPr>
          <w:rFonts w:ascii="Times New Roman" w:eastAsia="Times New Roman" w:hAnsi="Times New Roman" w:cs="Times New Roman"/>
          <w:sz w:val="24"/>
          <w:szCs w:val="24"/>
          <w:lang w:eastAsia="en-AU"/>
        </w:rPr>
        <w:t>dealing</w:t>
      </w:r>
      <w:r w:rsidR="0026674A" w:rsidRPr="00936A98">
        <w:rPr>
          <w:rFonts w:ascii="Times New Roman" w:eastAsia="Times New Roman" w:hAnsi="Times New Roman" w:cs="Times New Roman"/>
          <w:sz w:val="24"/>
          <w:szCs w:val="24"/>
          <w:lang w:eastAsia="en-AU"/>
        </w:rPr>
        <w:t xml:space="preserve"> within subsections 766</w:t>
      </w:r>
      <w:proofErr w:type="gramStart"/>
      <w:r w:rsidR="0026674A" w:rsidRPr="00936A98">
        <w:rPr>
          <w:rFonts w:ascii="Times New Roman" w:eastAsia="Times New Roman" w:hAnsi="Times New Roman" w:cs="Times New Roman"/>
          <w:sz w:val="24"/>
          <w:szCs w:val="24"/>
          <w:lang w:eastAsia="en-AU"/>
        </w:rPr>
        <w:t>C(</w:t>
      </w:r>
      <w:proofErr w:type="gramEnd"/>
      <w:r w:rsidR="0026674A" w:rsidRPr="00936A98">
        <w:rPr>
          <w:rFonts w:ascii="Times New Roman" w:eastAsia="Times New Roman" w:hAnsi="Times New Roman" w:cs="Times New Roman"/>
          <w:sz w:val="24"/>
          <w:szCs w:val="24"/>
          <w:lang w:eastAsia="en-AU"/>
        </w:rPr>
        <w:t>1) or (2) of the Act in relation to a derivative);</w:t>
      </w:r>
    </w:p>
    <w:p w:rsidR="006B2274" w:rsidRDefault="006B2274" w:rsidP="006B2274">
      <w:pPr>
        <w:spacing w:after="0" w:line="240" w:lineRule="auto"/>
        <w:ind w:left="1134" w:hanging="567"/>
        <w:rPr>
          <w:rFonts w:ascii="Times New Roman" w:eastAsia="Times New Roman" w:hAnsi="Times New Roman" w:cs="Times New Roman"/>
          <w:sz w:val="24"/>
          <w:szCs w:val="24"/>
          <w:lang w:eastAsia="en-AU"/>
        </w:rPr>
      </w:pPr>
    </w:p>
    <w:p w:rsidR="00B86AF4" w:rsidRDefault="00B86AF4" w:rsidP="006B2274">
      <w:pPr>
        <w:spacing w:after="0" w:line="240" w:lineRule="auto"/>
        <w:ind w:left="1134"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Pr>
          <w:rFonts w:ascii="Times New Roman" w:eastAsia="Times New Roman" w:hAnsi="Times New Roman" w:cs="Times New Roman"/>
          <w:sz w:val="24"/>
          <w:szCs w:val="24"/>
          <w:lang w:eastAsia="en-AU"/>
        </w:rPr>
        <w:tab/>
        <w:t>underwriting securities or managed investment interests;</w:t>
      </w:r>
    </w:p>
    <w:p w:rsidR="00B86AF4" w:rsidRPr="00936A98" w:rsidRDefault="00B86AF4" w:rsidP="006B2274">
      <w:pPr>
        <w:spacing w:after="0" w:line="240" w:lineRule="auto"/>
        <w:ind w:left="1134" w:hanging="567"/>
        <w:rPr>
          <w:rFonts w:ascii="Times New Roman" w:eastAsia="Times New Roman" w:hAnsi="Times New Roman" w:cs="Times New Roman"/>
          <w:sz w:val="24"/>
          <w:szCs w:val="24"/>
          <w:lang w:eastAsia="en-AU"/>
        </w:rPr>
      </w:pPr>
    </w:p>
    <w:p w:rsidR="004408AD" w:rsidRDefault="0026674A" w:rsidP="006B2274">
      <w:pPr>
        <w:spacing w:after="0" w:line="240" w:lineRule="auto"/>
        <w:ind w:left="1134" w:hanging="567"/>
        <w:rPr>
          <w:rFonts w:ascii="Times New Roman" w:hAnsi="Times New Roman" w:cs="Times New Roman"/>
          <w:sz w:val="24"/>
          <w:szCs w:val="24"/>
        </w:rPr>
      </w:pPr>
      <w:r w:rsidRPr="00936A98">
        <w:rPr>
          <w:rFonts w:ascii="Times New Roman" w:hAnsi="Times New Roman" w:cs="Times New Roman"/>
          <w:sz w:val="24"/>
          <w:szCs w:val="24"/>
        </w:rPr>
        <w:t>(</w:t>
      </w:r>
      <w:r w:rsidR="00B86AF4">
        <w:rPr>
          <w:rFonts w:ascii="Times New Roman" w:hAnsi="Times New Roman" w:cs="Times New Roman"/>
          <w:sz w:val="24"/>
          <w:szCs w:val="24"/>
        </w:rPr>
        <w:t>f</w:t>
      </w:r>
      <w:r w:rsidRPr="00936A98">
        <w:rPr>
          <w:rFonts w:ascii="Times New Roman" w:hAnsi="Times New Roman" w:cs="Times New Roman"/>
          <w:sz w:val="24"/>
          <w:szCs w:val="24"/>
        </w:rPr>
        <w:t>)</w:t>
      </w:r>
      <w:r w:rsidRPr="00936A98">
        <w:rPr>
          <w:rFonts w:ascii="Times New Roman" w:hAnsi="Times New Roman" w:cs="Times New Roman"/>
          <w:sz w:val="24"/>
          <w:szCs w:val="24"/>
        </w:rPr>
        <w:tab/>
        <w:t xml:space="preserve">issuing </w:t>
      </w:r>
      <w:r w:rsidR="004408AD">
        <w:rPr>
          <w:rFonts w:ascii="Times New Roman" w:hAnsi="Times New Roman" w:cs="Times New Roman"/>
          <w:sz w:val="24"/>
          <w:szCs w:val="24"/>
        </w:rPr>
        <w:t xml:space="preserve">(i.e. a specific kind of dealing) </w:t>
      </w:r>
      <w:r>
        <w:rPr>
          <w:rFonts w:ascii="Times New Roman" w:hAnsi="Times New Roman" w:cs="Times New Roman"/>
          <w:sz w:val="24"/>
          <w:szCs w:val="24"/>
        </w:rPr>
        <w:t xml:space="preserve">any of the following </w:t>
      </w:r>
      <w:r w:rsidR="004408AD">
        <w:rPr>
          <w:rFonts w:ascii="Times New Roman" w:hAnsi="Times New Roman" w:cs="Times New Roman"/>
          <w:sz w:val="24"/>
          <w:szCs w:val="24"/>
        </w:rPr>
        <w:t>financial products:</w:t>
      </w:r>
    </w:p>
    <w:p w:rsidR="004408AD" w:rsidRPr="00231952" w:rsidRDefault="004408AD" w:rsidP="004408AD">
      <w:pPr>
        <w:pStyle w:val="LI-BodyTextNumbered"/>
        <w:ind w:left="1701"/>
      </w:pPr>
      <w:r w:rsidRPr="00231952">
        <w:t>(i)</w:t>
      </w:r>
      <w:r w:rsidRPr="00231952">
        <w:tab/>
        <w:t>a foreign exchange contract;</w:t>
      </w:r>
    </w:p>
    <w:p w:rsidR="004408AD" w:rsidRPr="00231952" w:rsidRDefault="004408AD" w:rsidP="004408AD">
      <w:pPr>
        <w:pStyle w:val="LI-BodyTextNumbered"/>
        <w:ind w:left="1701"/>
      </w:pPr>
      <w:r w:rsidRPr="00231952">
        <w:t>(ii)</w:t>
      </w:r>
      <w:r w:rsidRPr="00231952">
        <w:tab/>
        <w:t>a margin lending facility that is a standard margin lending facility;</w:t>
      </w:r>
    </w:p>
    <w:p w:rsidR="004408AD" w:rsidRPr="00231952" w:rsidRDefault="004408AD" w:rsidP="004408AD">
      <w:pPr>
        <w:pStyle w:val="LI-BodyTextNumbered"/>
        <w:ind w:left="1701"/>
      </w:pPr>
      <w:r w:rsidRPr="00231952">
        <w:t>(iii)</w:t>
      </w:r>
      <w:r w:rsidRPr="00231952">
        <w:tab/>
        <w:t xml:space="preserve">a </w:t>
      </w:r>
      <w:r>
        <w:t xml:space="preserve">non-cash payment </w:t>
      </w:r>
      <w:r w:rsidRPr="00231952">
        <w:t>facility;</w:t>
      </w:r>
    </w:p>
    <w:p w:rsidR="004408AD" w:rsidRDefault="004408AD" w:rsidP="004408AD">
      <w:pPr>
        <w:pStyle w:val="LI-BodyTextNumbered"/>
        <w:ind w:left="1701"/>
      </w:pPr>
      <w:r w:rsidRPr="00231952">
        <w:t>(iv)</w:t>
      </w:r>
      <w:r w:rsidRPr="00231952">
        <w:tab/>
      </w:r>
      <w:r>
        <w:t>in relation to managed discretionary account (</w:t>
      </w:r>
      <w:r w:rsidRPr="004408AD">
        <w:rPr>
          <w:b/>
          <w:i/>
        </w:rPr>
        <w:t>MDA</w:t>
      </w:r>
      <w:r>
        <w:t>) services:</w:t>
      </w:r>
    </w:p>
    <w:p w:rsidR="004408AD" w:rsidRPr="004408AD" w:rsidRDefault="004408AD" w:rsidP="004408AD">
      <w:pPr>
        <w:pStyle w:val="LI-BodyTextNumbered"/>
        <w:ind w:left="2268"/>
        <w:rPr>
          <w:lang w:val="en-US"/>
        </w:rPr>
      </w:pPr>
      <w:r>
        <w:lastRenderedPageBreak/>
        <w:t>(A)</w:t>
      </w:r>
      <w:r>
        <w:tab/>
      </w:r>
      <w:r w:rsidR="003711B8">
        <w:t xml:space="preserve">an </w:t>
      </w:r>
      <w:r w:rsidRPr="004408AD">
        <w:t xml:space="preserve">interest in </w:t>
      </w:r>
      <w:r w:rsidR="003711B8">
        <w:t xml:space="preserve">a </w:t>
      </w:r>
      <w:r w:rsidRPr="004408AD">
        <w:t xml:space="preserve">managed investment scheme that </w:t>
      </w:r>
      <w:r w:rsidR="003711B8">
        <w:t>is</w:t>
      </w:r>
      <w:r w:rsidRPr="004408AD">
        <w:t xml:space="preserve"> limited to a right to receive MDA services; and</w:t>
      </w:r>
    </w:p>
    <w:p w:rsidR="004408AD" w:rsidRDefault="004408AD" w:rsidP="004408AD">
      <w:pPr>
        <w:pStyle w:val="LI-BodyTextNumbered"/>
        <w:ind w:left="2268"/>
      </w:pPr>
      <w:r w:rsidRPr="004408AD">
        <w:t>(</w:t>
      </w:r>
      <w:r>
        <w:t>B</w:t>
      </w:r>
      <w:r w:rsidRPr="004408AD">
        <w:t>)</w:t>
      </w:r>
      <w:r w:rsidR="00936A98">
        <w:tab/>
      </w:r>
      <w:r w:rsidR="003711B8">
        <w:t xml:space="preserve">a </w:t>
      </w:r>
      <w:r w:rsidRPr="004408AD">
        <w:t xml:space="preserve">miscellaneous financial investment product that </w:t>
      </w:r>
      <w:r w:rsidR="003711B8">
        <w:t xml:space="preserve">is </w:t>
      </w:r>
      <w:r w:rsidRPr="004408AD">
        <w:t>limited to a right to receive MDA services</w:t>
      </w:r>
      <w:r>
        <w:t>;</w:t>
      </w:r>
    </w:p>
    <w:p w:rsidR="0026674A" w:rsidRDefault="003711B8" w:rsidP="003711B8">
      <w:pPr>
        <w:pStyle w:val="LI-BodyTextNumbered"/>
        <w:ind w:left="1701"/>
      </w:pPr>
      <w:r>
        <w:t>(v)</w:t>
      </w:r>
      <w:r>
        <w:tab/>
        <w:t>an interest in a registered scheme or a managed investment scheme that is not a registered scheme (which includes interests in platforms such as investor-directed portfolio services (</w:t>
      </w:r>
      <w:r w:rsidRPr="003711B8">
        <w:rPr>
          <w:b/>
          <w:i/>
        </w:rPr>
        <w:t>IDPS</w:t>
      </w:r>
      <w:r>
        <w:t>) and IDPS-like schemes).</w:t>
      </w:r>
    </w:p>
    <w:p w:rsidR="006B2274" w:rsidRDefault="006B2274" w:rsidP="006B2274">
      <w:pPr>
        <w:spacing w:after="0" w:line="240" w:lineRule="auto"/>
        <w:ind w:left="567" w:hanging="567"/>
        <w:rPr>
          <w:rFonts w:ascii="Times New Roman" w:hAnsi="Times New Roman" w:cs="Times New Roman"/>
          <w:sz w:val="24"/>
          <w:szCs w:val="24"/>
        </w:rPr>
      </w:pPr>
    </w:p>
    <w:p w:rsidR="006B2274" w:rsidRPr="003711B8" w:rsidRDefault="00990576" w:rsidP="006B2274">
      <w:pPr>
        <w:spacing w:after="0" w:line="240" w:lineRule="auto"/>
        <w:ind w:left="567" w:hanging="567"/>
        <w:rPr>
          <w:rFonts w:ascii="Times New Roman" w:hAnsi="Times New Roman" w:cs="Times New Roman"/>
          <w:sz w:val="24"/>
          <w:szCs w:val="24"/>
        </w:rPr>
      </w:pPr>
      <w:r w:rsidRPr="003711B8">
        <w:rPr>
          <w:rFonts w:ascii="Times New Roman" w:hAnsi="Times New Roman" w:cs="Times New Roman"/>
          <w:sz w:val="24"/>
          <w:szCs w:val="24"/>
        </w:rPr>
        <w:t>3.</w:t>
      </w:r>
      <w:r w:rsidR="003711B8">
        <w:rPr>
          <w:rFonts w:ascii="Times New Roman" w:hAnsi="Times New Roman" w:cs="Times New Roman"/>
          <w:sz w:val="24"/>
          <w:szCs w:val="24"/>
        </w:rPr>
        <w:t>6</w:t>
      </w:r>
      <w:r w:rsidRPr="003711B8">
        <w:rPr>
          <w:rFonts w:ascii="Times New Roman" w:hAnsi="Times New Roman" w:cs="Times New Roman"/>
          <w:sz w:val="24"/>
          <w:szCs w:val="24"/>
        </w:rPr>
        <w:tab/>
        <w:t>ASIC conducts a higher intensity review of application</w:t>
      </w:r>
      <w:r w:rsidR="009E0F27" w:rsidRPr="003711B8">
        <w:rPr>
          <w:rFonts w:ascii="Times New Roman" w:hAnsi="Times New Roman" w:cs="Times New Roman"/>
          <w:sz w:val="24"/>
          <w:szCs w:val="24"/>
        </w:rPr>
        <w:t>s</w:t>
      </w:r>
      <w:r w:rsidRPr="003711B8">
        <w:rPr>
          <w:rFonts w:ascii="Times New Roman" w:hAnsi="Times New Roman" w:cs="Times New Roman"/>
          <w:sz w:val="24"/>
          <w:szCs w:val="24"/>
        </w:rPr>
        <w:t xml:space="preserve"> </w:t>
      </w:r>
      <w:r w:rsidR="009E0F27" w:rsidRPr="003711B8">
        <w:rPr>
          <w:rFonts w:ascii="Times New Roman" w:hAnsi="Times New Roman" w:cs="Times New Roman"/>
          <w:sz w:val="24"/>
          <w:szCs w:val="24"/>
        </w:rPr>
        <w:t>seeking authorisations relating to th</w:t>
      </w:r>
      <w:r w:rsidR="00F41433">
        <w:rPr>
          <w:rFonts w:ascii="Times New Roman" w:hAnsi="Times New Roman" w:cs="Times New Roman"/>
          <w:sz w:val="24"/>
          <w:szCs w:val="24"/>
        </w:rPr>
        <w:t>e</w:t>
      </w:r>
      <w:r w:rsidR="009E0F27" w:rsidRPr="003711B8">
        <w:rPr>
          <w:rFonts w:ascii="Times New Roman" w:hAnsi="Times New Roman" w:cs="Times New Roman"/>
          <w:sz w:val="24"/>
          <w:szCs w:val="24"/>
        </w:rPr>
        <w:t>se kinds of financial services and financial products</w:t>
      </w:r>
      <w:r w:rsidR="009F6FCE" w:rsidRPr="003711B8">
        <w:rPr>
          <w:rFonts w:ascii="Times New Roman" w:hAnsi="Times New Roman" w:cs="Times New Roman"/>
          <w:sz w:val="24"/>
          <w:szCs w:val="24"/>
        </w:rPr>
        <w:t>. These applications typically require more in-depth analysis of obligations or risks, such as:</w:t>
      </w:r>
    </w:p>
    <w:p w:rsidR="009F6FCE" w:rsidRPr="003711B8" w:rsidRDefault="009F6FCE" w:rsidP="00936A98">
      <w:pPr>
        <w:spacing w:after="0" w:line="240" w:lineRule="auto"/>
        <w:ind w:left="567"/>
        <w:rPr>
          <w:rFonts w:ascii="Times New Roman" w:hAnsi="Times New Roman" w:cs="Times New Roman"/>
          <w:sz w:val="24"/>
          <w:szCs w:val="24"/>
        </w:rPr>
      </w:pPr>
    </w:p>
    <w:p w:rsidR="009F6FCE" w:rsidRPr="003711B8" w:rsidRDefault="009F6FCE"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(a)</w:t>
      </w:r>
      <w:r w:rsidRPr="003711B8">
        <w:rPr>
          <w:rFonts w:ascii="Times New Roman" w:hAnsi="Times New Roman" w:cs="Times New Roman"/>
          <w:sz w:val="24"/>
          <w:szCs w:val="24"/>
        </w:rPr>
        <w:tab/>
        <w:t>additional financial resources or insurance coverage;</w:t>
      </w:r>
    </w:p>
    <w:p w:rsidR="009F6FCE" w:rsidRPr="003711B8" w:rsidRDefault="009F6FCE"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(b)</w:t>
      </w:r>
      <w:r w:rsidRPr="003711B8">
        <w:rPr>
          <w:rFonts w:ascii="Times New Roman" w:hAnsi="Times New Roman" w:cs="Times New Roman"/>
          <w:sz w:val="24"/>
          <w:szCs w:val="24"/>
        </w:rPr>
        <w:tab/>
        <w:t>client money and scheme property handling procedures;</w:t>
      </w:r>
    </w:p>
    <w:p w:rsidR="009F6FCE" w:rsidRPr="003711B8" w:rsidRDefault="009F6FCE"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(c)</w:t>
      </w:r>
      <w:r w:rsidRPr="003711B8">
        <w:rPr>
          <w:rFonts w:ascii="Times New Roman" w:hAnsi="Times New Roman" w:cs="Times New Roman"/>
          <w:sz w:val="24"/>
          <w:szCs w:val="24"/>
        </w:rPr>
        <w:tab/>
      </w:r>
      <w:r w:rsidR="00B86AF4">
        <w:rPr>
          <w:rFonts w:ascii="Times New Roman" w:hAnsi="Times New Roman" w:cs="Times New Roman"/>
          <w:sz w:val="24"/>
          <w:szCs w:val="24"/>
        </w:rPr>
        <w:t xml:space="preserve">assessment of the competence and good fame and character of </w:t>
      </w:r>
      <w:r w:rsidRPr="003711B8">
        <w:rPr>
          <w:rFonts w:ascii="Times New Roman" w:hAnsi="Times New Roman" w:cs="Times New Roman"/>
          <w:sz w:val="24"/>
          <w:szCs w:val="24"/>
        </w:rPr>
        <w:t>multiple</w:t>
      </w:r>
      <w:r w:rsidR="00B86AF4">
        <w:rPr>
          <w:rFonts w:ascii="Times New Roman" w:hAnsi="Times New Roman" w:cs="Times New Roman"/>
          <w:sz w:val="24"/>
          <w:szCs w:val="24"/>
        </w:rPr>
        <w:t> </w:t>
      </w:r>
      <w:r w:rsidRPr="003711B8">
        <w:rPr>
          <w:rFonts w:ascii="Times New Roman" w:hAnsi="Times New Roman" w:cs="Times New Roman"/>
          <w:sz w:val="24"/>
          <w:szCs w:val="24"/>
        </w:rPr>
        <w:t>responsible managers;</w:t>
      </w:r>
    </w:p>
    <w:p w:rsidR="00B86AF4" w:rsidRDefault="00B86AF4" w:rsidP="009F6FCE">
      <w:pPr>
        <w:spacing w:after="240" w:line="240" w:lineRule="auto"/>
        <w:ind w:left="1134"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assessment of risk management, conflicts management and compliance systems;</w:t>
      </w:r>
    </w:p>
    <w:p w:rsidR="00DC3BAC" w:rsidRPr="003711B8" w:rsidRDefault="009F6FCE"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w:t>
      </w:r>
      <w:r w:rsidR="00B86AF4">
        <w:rPr>
          <w:rFonts w:ascii="Times New Roman" w:hAnsi="Times New Roman" w:cs="Times New Roman"/>
          <w:sz w:val="24"/>
          <w:szCs w:val="24"/>
        </w:rPr>
        <w:t>e</w:t>
      </w:r>
      <w:r w:rsidRPr="003711B8">
        <w:rPr>
          <w:rFonts w:ascii="Times New Roman" w:hAnsi="Times New Roman" w:cs="Times New Roman"/>
          <w:sz w:val="24"/>
          <w:szCs w:val="24"/>
        </w:rPr>
        <w:t>)</w:t>
      </w:r>
      <w:r w:rsidRPr="003711B8">
        <w:rPr>
          <w:rFonts w:ascii="Times New Roman" w:hAnsi="Times New Roman" w:cs="Times New Roman"/>
          <w:sz w:val="24"/>
          <w:szCs w:val="24"/>
        </w:rPr>
        <w:tab/>
        <w:t>dealing (as principal) in derivatives</w:t>
      </w:r>
      <w:r w:rsidR="00DC3BAC" w:rsidRPr="003711B8">
        <w:rPr>
          <w:rFonts w:ascii="Times New Roman" w:hAnsi="Times New Roman" w:cs="Times New Roman"/>
          <w:sz w:val="24"/>
          <w:szCs w:val="24"/>
        </w:rPr>
        <w:t>;</w:t>
      </w:r>
    </w:p>
    <w:p w:rsidR="009F6FCE" w:rsidRPr="003711B8" w:rsidRDefault="00DC3BAC"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w:t>
      </w:r>
      <w:r w:rsidR="00B86AF4">
        <w:rPr>
          <w:rFonts w:ascii="Times New Roman" w:hAnsi="Times New Roman" w:cs="Times New Roman"/>
          <w:sz w:val="24"/>
          <w:szCs w:val="24"/>
        </w:rPr>
        <w:t>f</w:t>
      </w:r>
      <w:r w:rsidRPr="003711B8">
        <w:rPr>
          <w:rFonts w:ascii="Times New Roman" w:hAnsi="Times New Roman" w:cs="Times New Roman"/>
          <w:sz w:val="24"/>
          <w:szCs w:val="24"/>
        </w:rPr>
        <w:t>)</w:t>
      </w:r>
      <w:r w:rsidRPr="003711B8">
        <w:rPr>
          <w:rFonts w:ascii="Times New Roman" w:hAnsi="Times New Roman" w:cs="Times New Roman"/>
          <w:sz w:val="24"/>
          <w:szCs w:val="24"/>
        </w:rPr>
        <w:tab/>
        <w:t xml:space="preserve">dealing in </w:t>
      </w:r>
      <w:r w:rsidR="009F6FCE" w:rsidRPr="003711B8">
        <w:rPr>
          <w:rFonts w:ascii="Times New Roman" w:hAnsi="Times New Roman" w:cs="Times New Roman"/>
          <w:sz w:val="24"/>
          <w:szCs w:val="24"/>
        </w:rPr>
        <w:t xml:space="preserve">other products on behalf of </w:t>
      </w:r>
      <w:r w:rsidR="00832F64" w:rsidRPr="003711B8">
        <w:rPr>
          <w:rFonts w:ascii="Times New Roman" w:hAnsi="Times New Roman" w:cs="Times New Roman"/>
          <w:sz w:val="24"/>
          <w:szCs w:val="24"/>
        </w:rPr>
        <w:t xml:space="preserve">persons </w:t>
      </w:r>
      <w:r w:rsidR="009F6FCE" w:rsidRPr="003711B8">
        <w:rPr>
          <w:rFonts w:ascii="Times New Roman" w:hAnsi="Times New Roman" w:cs="Times New Roman"/>
          <w:sz w:val="24"/>
          <w:szCs w:val="24"/>
        </w:rPr>
        <w:t>on a discretionary basis;</w:t>
      </w:r>
    </w:p>
    <w:p w:rsidR="00BD630E" w:rsidRPr="003711B8" w:rsidRDefault="009F6FCE" w:rsidP="009F6FCE">
      <w:pPr>
        <w:spacing w:after="240" w:line="240" w:lineRule="auto"/>
        <w:ind w:left="1134" w:hanging="567"/>
        <w:rPr>
          <w:rFonts w:ascii="Times New Roman" w:hAnsi="Times New Roman" w:cs="Times New Roman"/>
          <w:sz w:val="24"/>
          <w:szCs w:val="24"/>
        </w:rPr>
      </w:pPr>
      <w:r w:rsidRPr="003711B8">
        <w:rPr>
          <w:rFonts w:ascii="Times New Roman" w:hAnsi="Times New Roman" w:cs="Times New Roman"/>
          <w:sz w:val="24"/>
          <w:szCs w:val="24"/>
        </w:rPr>
        <w:t>(</w:t>
      </w:r>
      <w:r w:rsidR="00B86AF4">
        <w:rPr>
          <w:rFonts w:ascii="Times New Roman" w:hAnsi="Times New Roman" w:cs="Times New Roman"/>
          <w:sz w:val="24"/>
          <w:szCs w:val="24"/>
        </w:rPr>
        <w:t>g</w:t>
      </w:r>
      <w:r w:rsidRPr="003711B8">
        <w:rPr>
          <w:rFonts w:ascii="Times New Roman" w:hAnsi="Times New Roman" w:cs="Times New Roman"/>
          <w:sz w:val="24"/>
          <w:szCs w:val="24"/>
        </w:rPr>
        <w:t>)</w:t>
      </w:r>
      <w:r w:rsidRPr="003711B8">
        <w:rPr>
          <w:rFonts w:ascii="Times New Roman" w:hAnsi="Times New Roman" w:cs="Times New Roman"/>
          <w:sz w:val="24"/>
          <w:szCs w:val="24"/>
        </w:rPr>
        <w:tab/>
      </w:r>
      <w:r w:rsidR="00832F64" w:rsidRPr="003711B8">
        <w:rPr>
          <w:rFonts w:ascii="Times New Roman" w:hAnsi="Times New Roman" w:cs="Times New Roman"/>
          <w:sz w:val="24"/>
          <w:szCs w:val="24"/>
        </w:rPr>
        <w:t>a</w:t>
      </w:r>
      <w:r w:rsidRPr="003711B8">
        <w:rPr>
          <w:rFonts w:ascii="Times New Roman" w:hAnsi="Times New Roman" w:cs="Times New Roman"/>
          <w:sz w:val="24"/>
          <w:szCs w:val="24"/>
        </w:rPr>
        <w:t>ssessment of products that are not specifically defined as financial products.</w:t>
      </w:r>
    </w:p>
    <w:p w:rsidR="00BD630E" w:rsidRPr="003711B8" w:rsidRDefault="00BD630E" w:rsidP="00BD630E">
      <w:pPr>
        <w:spacing w:after="240" w:line="240" w:lineRule="auto"/>
        <w:ind w:left="567" w:hanging="567"/>
        <w:rPr>
          <w:rFonts w:ascii="Times New Roman" w:hAnsi="Times New Roman" w:cs="Times New Roman"/>
          <w:sz w:val="24"/>
          <w:szCs w:val="24"/>
        </w:rPr>
      </w:pPr>
      <w:r w:rsidRPr="003711B8">
        <w:rPr>
          <w:rFonts w:ascii="Times New Roman" w:hAnsi="Times New Roman" w:cs="Times New Roman"/>
          <w:sz w:val="24"/>
          <w:szCs w:val="24"/>
        </w:rPr>
        <w:t>3.</w:t>
      </w:r>
      <w:r w:rsidR="003711B8">
        <w:rPr>
          <w:rFonts w:ascii="Times New Roman" w:hAnsi="Times New Roman" w:cs="Times New Roman"/>
          <w:sz w:val="24"/>
          <w:szCs w:val="24"/>
        </w:rPr>
        <w:t>7</w:t>
      </w:r>
      <w:r w:rsidRPr="003711B8">
        <w:rPr>
          <w:rFonts w:ascii="Times New Roman" w:hAnsi="Times New Roman" w:cs="Times New Roman"/>
          <w:sz w:val="24"/>
          <w:szCs w:val="24"/>
        </w:rPr>
        <w:tab/>
        <w:t xml:space="preserve">The level of complexity of the application </w:t>
      </w:r>
      <w:r w:rsidR="005D5FC6" w:rsidRPr="003711B8">
        <w:rPr>
          <w:rFonts w:ascii="Times New Roman" w:hAnsi="Times New Roman" w:cs="Times New Roman"/>
          <w:sz w:val="24"/>
          <w:szCs w:val="24"/>
        </w:rPr>
        <w:t xml:space="preserve">also </w:t>
      </w:r>
      <w:r w:rsidRPr="003711B8">
        <w:rPr>
          <w:rFonts w:ascii="Times New Roman" w:hAnsi="Times New Roman" w:cs="Times New Roman"/>
          <w:sz w:val="24"/>
          <w:szCs w:val="24"/>
        </w:rPr>
        <w:t xml:space="preserve">determines the seniority of the staff </w:t>
      </w:r>
      <w:r w:rsidR="00B86AF4">
        <w:rPr>
          <w:rFonts w:ascii="Times New Roman" w:hAnsi="Times New Roman" w:cs="Times New Roman"/>
          <w:sz w:val="24"/>
          <w:szCs w:val="24"/>
        </w:rPr>
        <w:t xml:space="preserve">involved in assessing an </w:t>
      </w:r>
      <w:r w:rsidRPr="003711B8">
        <w:rPr>
          <w:rFonts w:ascii="Times New Roman" w:hAnsi="Times New Roman" w:cs="Times New Roman"/>
          <w:sz w:val="24"/>
          <w:szCs w:val="24"/>
        </w:rPr>
        <w:t>application</w:t>
      </w:r>
      <w:r w:rsidR="005D5FC6" w:rsidRPr="003711B8">
        <w:rPr>
          <w:rFonts w:ascii="Times New Roman" w:hAnsi="Times New Roman" w:cs="Times New Roman"/>
          <w:sz w:val="24"/>
          <w:szCs w:val="24"/>
        </w:rPr>
        <w:t xml:space="preserve">, including dealing with </w:t>
      </w:r>
      <w:r w:rsidR="00B86AF4">
        <w:rPr>
          <w:rFonts w:ascii="Times New Roman" w:hAnsi="Times New Roman" w:cs="Times New Roman"/>
          <w:sz w:val="24"/>
          <w:szCs w:val="24"/>
        </w:rPr>
        <w:t>more complex and novel</w:t>
      </w:r>
      <w:r w:rsidR="005D5FC6" w:rsidRPr="003711B8">
        <w:rPr>
          <w:rFonts w:ascii="Times New Roman" w:hAnsi="Times New Roman" w:cs="Times New Roman"/>
          <w:sz w:val="24"/>
          <w:szCs w:val="24"/>
        </w:rPr>
        <w:t xml:space="preserve"> commercial, legal and policy issues. T</w:t>
      </w:r>
      <w:r w:rsidRPr="003711B8">
        <w:rPr>
          <w:rFonts w:ascii="Times New Roman" w:hAnsi="Times New Roman" w:cs="Times New Roman"/>
          <w:sz w:val="24"/>
          <w:szCs w:val="24"/>
        </w:rPr>
        <w:t>he</w:t>
      </w:r>
      <w:r w:rsidR="00B86AF4">
        <w:rPr>
          <w:rFonts w:ascii="Times New Roman" w:hAnsi="Times New Roman" w:cs="Times New Roman"/>
          <w:sz w:val="24"/>
          <w:szCs w:val="24"/>
        </w:rPr>
        <w:t xml:space="preserve">se factors mean the </w:t>
      </w:r>
      <w:r w:rsidRPr="003711B8">
        <w:rPr>
          <w:rFonts w:ascii="Times New Roman" w:hAnsi="Times New Roman" w:cs="Times New Roman"/>
          <w:sz w:val="24"/>
          <w:szCs w:val="24"/>
        </w:rPr>
        <w:t>average time taken to assess the application</w:t>
      </w:r>
      <w:r w:rsidR="005D5FC6" w:rsidRPr="003711B8">
        <w:rPr>
          <w:rFonts w:ascii="Times New Roman" w:hAnsi="Times New Roman" w:cs="Times New Roman"/>
          <w:sz w:val="24"/>
          <w:szCs w:val="24"/>
        </w:rPr>
        <w:t xml:space="preserve"> will be longer</w:t>
      </w:r>
      <w:r w:rsidRPr="003711B8">
        <w:rPr>
          <w:rFonts w:ascii="Times New Roman" w:hAnsi="Times New Roman" w:cs="Times New Roman"/>
          <w:sz w:val="24"/>
          <w:szCs w:val="24"/>
        </w:rPr>
        <w:t>. For example, more experienced and qualified staff will assess a highly complex application, resulting in a higher hourly rate, and the assessment will, on average, take longer to finalise.</w:t>
      </w:r>
    </w:p>
    <w:p w:rsidR="00A6489D" w:rsidRPr="007413BA" w:rsidRDefault="00A6489D" w:rsidP="00A6489D">
      <w:pPr>
        <w:spacing w:after="240" w:line="240" w:lineRule="auto"/>
        <w:ind w:left="567" w:hanging="567"/>
        <w:rPr>
          <w:rFonts w:ascii="Times New Roman" w:hAnsi="Times New Roman" w:cs="Times New Roman"/>
          <w:sz w:val="24"/>
          <w:szCs w:val="24"/>
          <w:u w:val="single"/>
        </w:rPr>
      </w:pPr>
      <w:r w:rsidRPr="007413BA">
        <w:rPr>
          <w:rFonts w:ascii="Times New Roman" w:hAnsi="Times New Roman" w:cs="Times New Roman"/>
          <w:sz w:val="24"/>
          <w:szCs w:val="24"/>
          <w:u w:val="single"/>
        </w:rPr>
        <w:t>Australian market licence</w:t>
      </w:r>
      <w:r w:rsidR="00865059" w:rsidRPr="007413BA">
        <w:rPr>
          <w:rFonts w:ascii="Times New Roman" w:hAnsi="Times New Roman" w:cs="Times New Roman"/>
          <w:sz w:val="24"/>
          <w:szCs w:val="24"/>
          <w:u w:val="single"/>
        </w:rPr>
        <w:t xml:space="preserve">s, </w:t>
      </w:r>
      <w:r w:rsidRPr="007413BA">
        <w:rPr>
          <w:rFonts w:ascii="Times New Roman" w:hAnsi="Times New Roman" w:cs="Times New Roman"/>
          <w:sz w:val="24"/>
          <w:szCs w:val="24"/>
          <w:u w:val="single"/>
        </w:rPr>
        <w:t>Australian CS facility licence</w:t>
      </w:r>
      <w:r w:rsidR="00865059" w:rsidRPr="007413BA">
        <w:rPr>
          <w:rFonts w:ascii="Times New Roman" w:hAnsi="Times New Roman" w:cs="Times New Roman"/>
          <w:sz w:val="24"/>
          <w:szCs w:val="24"/>
          <w:u w:val="single"/>
        </w:rPr>
        <w:t xml:space="preserve"> and operating rules</w:t>
      </w:r>
    </w:p>
    <w:p w:rsidR="005A5488" w:rsidRPr="007413BA" w:rsidRDefault="005A5488" w:rsidP="00A6489D">
      <w:pPr>
        <w:spacing w:after="240" w:line="240" w:lineRule="auto"/>
        <w:ind w:left="567" w:hanging="567"/>
        <w:rPr>
          <w:rFonts w:ascii="Times New Roman" w:hAnsi="Times New Roman" w:cs="Times New Roman"/>
          <w:i/>
          <w:sz w:val="24"/>
          <w:szCs w:val="24"/>
        </w:rPr>
      </w:pPr>
      <w:r w:rsidRPr="007413BA">
        <w:rPr>
          <w:rFonts w:ascii="Times New Roman" w:hAnsi="Times New Roman" w:cs="Times New Roman"/>
          <w:i/>
          <w:sz w:val="24"/>
          <w:szCs w:val="24"/>
        </w:rPr>
        <w:t>Market licences and operating rules of the market</w:t>
      </w:r>
    </w:p>
    <w:p w:rsidR="005A5488" w:rsidRPr="007413BA" w:rsidRDefault="00865059"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3711B8">
        <w:rPr>
          <w:rFonts w:ascii="Times New Roman" w:hAnsi="Times New Roman" w:cs="Times New Roman"/>
          <w:sz w:val="24"/>
          <w:szCs w:val="24"/>
        </w:rPr>
        <w:t>8</w:t>
      </w:r>
      <w:r w:rsidRPr="007413BA">
        <w:rPr>
          <w:rFonts w:ascii="Times New Roman" w:hAnsi="Times New Roman" w:cs="Times New Roman"/>
          <w:sz w:val="24"/>
          <w:szCs w:val="24"/>
        </w:rPr>
        <w:t>.</w:t>
      </w:r>
      <w:r w:rsidRPr="007413BA">
        <w:rPr>
          <w:rFonts w:ascii="Times New Roman" w:hAnsi="Times New Roman" w:cs="Times New Roman"/>
          <w:sz w:val="24"/>
          <w:szCs w:val="24"/>
        </w:rPr>
        <w:tab/>
        <w:t>The Minister</w:t>
      </w:r>
      <w:r w:rsidR="005A5488" w:rsidRPr="007413BA">
        <w:rPr>
          <w:rFonts w:ascii="Times New Roman" w:hAnsi="Times New Roman" w:cs="Times New Roman"/>
          <w:sz w:val="24"/>
          <w:szCs w:val="24"/>
        </w:rPr>
        <w:t xml:space="preserve"> (or </w:t>
      </w:r>
      <w:r w:rsidR="005711AB" w:rsidRPr="007413BA">
        <w:rPr>
          <w:rFonts w:ascii="Times New Roman" w:hAnsi="Times New Roman" w:cs="Times New Roman"/>
          <w:sz w:val="24"/>
          <w:szCs w:val="24"/>
        </w:rPr>
        <w:t xml:space="preserve">their </w:t>
      </w:r>
      <w:r w:rsidR="005A5488" w:rsidRPr="007413BA">
        <w:rPr>
          <w:rFonts w:ascii="Times New Roman" w:hAnsi="Times New Roman" w:cs="Times New Roman"/>
          <w:sz w:val="24"/>
          <w:szCs w:val="24"/>
        </w:rPr>
        <w:t xml:space="preserve">delegate) </w:t>
      </w:r>
      <w:r w:rsidRPr="007413BA">
        <w:rPr>
          <w:rFonts w:ascii="Times New Roman" w:hAnsi="Times New Roman" w:cs="Times New Roman"/>
          <w:sz w:val="24"/>
          <w:szCs w:val="24"/>
        </w:rPr>
        <w:t>must have regard to certain matters in deciding whether</w:t>
      </w:r>
      <w:r w:rsidR="00936A98">
        <w:rPr>
          <w:rFonts w:ascii="Times New Roman" w:hAnsi="Times New Roman" w:cs="Times New Roman"/>
          <w:sz w:val="24"/>
          <w:szCs w:val="24"/>
        </w:rPr>
        <w:t> </w:t>
      </w:r>
      <w:r w:rsidRPr="007413BA">
        <w:rPr>
          <w:rFonts w:ascii="Times New Roman" w:hAnsi="Times New Roman" w:cs="Times New Roman"/>
          <w:sz w:val="24"/>
          <w:szCs w:val="24"/>
        </w:rPr>
        <w:t>to grant an Australian market licence or disallow changes to the operating rules of a licensed market</w:t>
      </w:r>
      <w:r w:rsidR="005A5488" w:rsidRPr="007413BA">
        <w:rPr>
          <w:rFonts w:ascii="Times New Roman" w:hAnsi="Times New Roman" w:cs="Times New Roman"/>
          <w:sz w:val="24"/>
          <w:szCs w:val="24"/>
        </w:rPr>
        <w:t>: subsection 798</w:t>
      </w:r>
      <w:proofErr w:type="gramStart"/>
      <w:r w:rsidR="005A5488" w:rsidRPr="007413BA">
        <w:rPr>
          <w:rFonts w:ascii="Times New Roman" w:hAnsi="Times New Roman" w:cs="Times New Roman"/>
          <w:sz w:val="24"/>
          <w:szCs w:val="24"/>
        </w:rPr>
        <w:t>A(</w:t>
      </w:r>
      <w:proofErr w:type="gramEnd"/>
      <w:r w:rsidR="005A5488" w:rsidRPr="007413BA">
        <w:rPr>
          <w:rFonts w:ascii="Times New Roman" w:hAnsi="Times New Roman" w:cs="Times New Roman"/>
          <w:sz w:val="24"/>
          <w:szCs w:val="24"/>
        </w:rPr>
        <w:t>2) of the Act</w:t>
      </w:r>
      <w:r w:rsidRPr="007413BA">
        <w:rPr>
          <w:rFonts w:ascii="Times New Roman" w:hAnsi="Times New Roman" w:cs="Times New Roman"/>
          <w:sz w:val="24"/>
          <w:szCs w:val="24"/>
        </w:rPr>
        <w:t>.</w:t>
      </w:r>
    </w:p>
    <w:p w:rsidR="00865059" w:rsidRPr="007413BA" w:rsidRDefault="005A5488"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3711B8">
        <w:rPr>
          <w:rFonts w:ascii="Times New Roman" w:hAnsi="Times New Roman" w:cs="Times New Roman"/>
          <w:sz w:val="24"/>
          <w:szCs w:val="24"/>
        </w:rPr>
        <w:t>9</w:t>
      </w:r>
      <w:r w:rsidRPr="007413BA">
        <w:rPr>
          <w:rFonts w:ascii="Times New Roman" w:hAnsi="Times New Roman" w:cs="Times New Roman"/>
          <w:sz w:val="24"/>
          <w:szCs w:val="24"/>
        </w:rPr>
        <w:tab/>
      </w:r>
      <w:r w:rsidR="00865059" w:rsidRPr="007413BA">
        <w:rPr>
          <w:rFonts w:ascii="Times New Roman" w:hAnsi="Times New Roman" w:cs="Times New Roman"/>
          <w:sz w:val="24"/>
          <w:szCs w:val="24"/>
        </w:rPr>
        <w:t>These matters are as follows:</w:t>
      </w:r>
    </w:p>
    <w:p w:rsidR="00865059" w:rsidRPr="007413BA" w:rsidRDefault="00865059" w:rsidP="00865059">
      <w:pPr>
        <w:pStyle w:val="Default"/>
        <w:ind w:left="1134" w:hanging="567"/>
        <w:rPr>
          <w:color w:val="auto"/>
        </w:rPr>
      </w:pPr>
      <w:r w:rsidRPr="007413BA">
        <w:rPr>
          <w:color w:val="auto"/>
        </w:rPr>
        <w:t>(a)</w:t>
      </w:r>
      <w:r w:rsidRPr="007413BA">
        <w:rPr>
          <w:color w:val="auto"/>
        </w:rPr>
        <w:tab/>
        <w:t>the structure, or proposed structure, of the market;</w:t>
      </w:r>
    </w:p>
    <w:p w:rsidR="00865059" w:rsidRPr="007413BA" w:rsidRDefault="00865059" w:rsidP="00865059">
      <w:pPr>
        <w:pStyle w:val="Default"/>
        <w:ind w:left="1134" w:hanging="567"/>
        <w:rPr>
          <w:color w:val="auto"/>
        </w:rPr>
      </w:pPr>
    </w:p>
    <w:p w:rsidR="00865059" w:rsidRPr="007413BA" w:rsidRDefault="00865059" w:rsidP="00865059">
      <w:pPr>
        <w:pStyle w:val="Default"/>
        <w:ind w:left="1134" w:hanging="567"/>
        <w:rPr>
          <w:color w:val="auto"/>
        </w:rPr>
      </w:pPr>
      <w:r w:rsidRPr="007413BA">
        <w:rPr>
          <w:color w:val="auto"/>
        </w:rPr>
        <w:t>(b)</w:t>
      </w:r>
      <w:r w:rsidRPr="007413BA">
        <w:rPr>
          <w:color w:val="auto"/>
        </w:rPr>
        <w:tab/>
        <w:t>the nature of the activities conducted, or proposed to be conducted, on the market;</w:t>
      </w:r>
    </w:p>
    <w:p w:rsidR="00865059" w:rsidRPr="007413BA" w:rsidRDefault="00865059" w:rsidP="00865059">
      <w:pPr>
        <w:pStyle w:val="Default"/>
        <w:ind w:left="1134" w:hanging="567"/>
        <w:rPr>
          <w:color w:val="auto"/>
        </w:rPr>
      </w:pPr>
    </w:p>
    <w:p w:rsidR="00865059" w:rsidRPr="007413BA" w:rsidRDefault="00865059" w:rsidP="00865059">
      <w:pPr>
        <w:pStyle w:val="Default"/>
        <w:ind w:left="1134" w:hanging="567"/>
        <w:rPr>
          <w:color w:val="auto"/>
        </w:rPr>
      </w:pPr>
      <w:r w:rsidRPr="007413BA">
        <w:rPr>
          <w:color w:val="auto"/>
        </w:rPr>
        <w:t>(c)</w:t>
      </w:r>
      <w:r w:rsidRPr="007413BA">
        <w:rPr>
          <w:color w:val="auto"/>
        </w:rPr>
        <w:tab/>
        <w:t>the size, or proposed size, of the market;</w:t>
      </w:r>
    </w:p>
    <w:p w:rsidR="00865059" w:rsidRPr="007413BA" w:rsidRDefault="00865059" w:rsidP="00865059">
      <w:pPr>
        <w:pStyle w:val="Default"/>
        <w:ind w:left="1134" w:hanging="567"/>
        <w:rPr>
          <w:color w:val="auto"/>
        </w:rPr>
      </w:pPr>
    </w:p>
    <w:p w:rsidR="00865059" w:rsidRPr="007413BA" w:rsidRDefault="00865059" w:rsidP="00865059">
      <w:pPr>
        <w:pStyle w:val="Default"/>
        <w:ind w:left="1134" w:hanging="567"/>
        <w:rPr>
          <w:color w:val="auto"/>
        </w:rPr>
      </w:pPr>
      <w:r w:rsidRPr="007413BA">
        <w:rPr>
          <w:color w:val="auto"/>
        </w:rPr>
        <w:lastRenderedPageBreak/>
        <w:t>(d)</w:t>
      </w:r>
      <w:r w:rsidRPr="007413BA">
        <w:rPr>
          <w:color w:val="auto"/>
        </w:rPr>
        <w:tab/>
        <w:t>the nature of the financial products dealt with, or proposed to be dealt with, on the market;</w:t>
      </w:r>
    </w:p>
    <w:p w:rsidR="00865059" w:rsidRPr="007413BA" w:rsidRDefault="00865059" w:rsidP="00865059">
      <w:pPr>
        <w:pStyle w:val="Default"/>
        <w:ind w:left="1134" w:hanging="567"/>
        <w:rPr>
          <w:color w:val="auto"/>
        </w:rPr>
      </w:pPr>
    </w:p>
    <w:p w:rsidR="00865059" w:rsidRPr="007413BA" w:rsidRDefault="00865059" w:rsidP="00865059">
      <w:pPr>
        <w:pStyle w:val="Default"/>
        <w:ind w:left="1134" w:hanging="567"/>
        <w:rPr>
          <w:color w:val="auto"/>
        </w:rPr>
      </w:pPr>
      <w:r w:rsidRPr="007413BA">
        <w:rPr>
          <w:color w:val="auto"/>
        </w:rPr>
        <w:t>(e)</w:t>
      </w:r>
      <w:r w:rsidRPr="007413BA">
        <w:rPr>
          <w:color w:val="auto"/>
        </w:rPr>
        <w:tab/>
        <w:t>the participants, or proposed participants, in the market and:</w:t>
      </w:r>
    </w:p>
    <w:p w:rsidR="00865059" w:rsidRPr="007413BA" w:rsidRDefault="00865059" w:rsidP="00865059">
      <w:pPr>
        <w:pStyle w:val="Default"/>
        <w:ind w:left="567"/>
        <w:rPr>
          <w:color w:val="auto"/>
        </w:rPr>
      </w:pPr>
    </w:p>
    <w:p w:rsidR="00865059" w:rsidRPr="007413BA" w:rsidRDefault="00865059" w:rsidP="00865059">
      <w:pPr>
        <w:pStyle w:val="Default"/>
        <w:ind w:left="1701" w:hanging="567"/>
        <w:rPr>
          <w:color w:val="auto"/>
        </w:rPr>
      </w:pPr>
      <w:r w:rsidRPr="007413BA">
        <w:rPr>
          <w:color w:val="auto"/>
        </w:rPr>
        <w:t>(i)</w:t>
      </w:r>
      <w:r w:rsidRPr="007413BA">
        <w:rPr>
          <w:color w:val="auto"/>
        </w:rPr>
        <w:tab/>
        <w:t>whether those participants, in effecting transactions through the market, are, or will be, providing financial services to other persons; and</w:t>
      </w:r>
    </w:p>
    <w:p w:rsidR="00865059" w:rsidRPr="007413BA" w:rsidRDefault="00865059" w:rsidP="00865059">
      <w:pPr>
        <w:pStyle w:val="Default"/>
        <w:ind w:left="1701" w:hanging="567"/>
        <w:rPr>
          <w:color w:val="auto"/>
        </w:rPr>
      </w:pPr>
    </w:p>
    <w:p w:rsidR="00865059" w:rsidRPr="007413BA" w:rsidRDefault="00865059" w:rsidP="00865059">
      <w:pPr>
        <w:pStyle w:val="Default"/>
        <w:ind w:left="1701" w:hanging="567"/>
        <w:rPr>
          <w:color w:val="auto"/>
        </w:rPr>
      </w:pPr>
      <w:r w:rsidRPr="007413BA">
        <w:rPr>
          <w:color w:val="auto"/>
        </w:rPr>
        <w:t>(ii)</w:t>
      </w:r>
      <w:r w:rsidRPr="007413BA">
        <w:rPr>
          <w:color w:val="auto"/>
        </w:rPr>
        <w:tab/>
        <w:t>whether those participants acquire or dispose, or will acquire or dispose, of</w:t>
      </w:r>
      <w:r w:rsidR="00936A98">
        <w:rPr>
          <w:color w:val="auto"/>
        </w:rPr>
        <w:t> </w:t>
      </w:r>
      <w:r w:rsidRPr="007413BA">
        <w:rPr>
          <w:color w:val="auto"/>
        </w:rPr>
        <w:t>financial products through the market as retail clients or as wholesale</w:t>
      </w:r>
      <w:r w:rsidR="00936A98">
        <w:rPr>
          <w:color w:val="auto"/>
        </w:rPr>
        <w:t> </w:t>
      </w:r>
      <w:r w:rsidRPr="007413BA">
        <w:rPr>
          <w:color w:val="auto"/>
        </w:rPr>
        <w:t>clients; and</w:t>
      </w:r>
    </w:p>
    <w:p w:rsidR="00865059" w:rsidRPr="007413BA" w:rsidRDefault="00865059" w:rsidP="00865059">
      <w:pPr>
        <w:pStyle w:val="Default"/>
        <w:ind w:left="1701" w:hanging="567"/>
        <w:rPr>
          <w:color w:val="auto"/>
        </w:rPr>
      </w:pPr>
    </w:p>
    <w:p w:rsidR="00865059" w:rsidRPr="007413BA" w:rsidRDefault="00865059" w:rsidP="00865059">
      <w:pPr>
        <w:pStyle w:val="Default"/>
        <w:ind w:left="1701" w:hanging="567"/>
        <w:rPr>
          <w:color w:val="auto"/>
        </w:rPr>
      </w:pPr>
      <w:r w:rsidRPr="007413BA">
        <w:rPr>
          <w:color w:val="auto"/>
        </w:rPr>
        <w:t>(iii)</w:t>
      </w:r>
      <w:r w:rsidRPr="007413BA">
        <w:rPr>
          <w:color w:val="auto"/>
        </w:rPr>
        <w:tab/>
        <w:t>whether those participants are also, or will also be, participants in any other financial markets;</w:t>
      </w:r>
    </w:p>
    <w:p w:rsidR="00865059" w:rsidRPr="007413BA" w:rsidRDefault="00865059" w:rsidP="00865059">
      <w:pPr>
        <w:pStyle w:val="Default"/>
        <w:ind w:left="567"/>
        <w:rPr>
          <w:color w:val="auto"/>
        </w:rPr>
      </w:pPr>
    </w:p>
    <w:p w:rsidR="00865059" w:rsidRDefault="00865059" w:rsidP="00F41433">
      <w:pPr>
        <w:pStyle w:val="Default"/>
        <w:ind w:left="1134" w:hanging="567"/>
        <w:rPr>
          <w:color w:val="auto"/>
        </w:rPr>
      </w:pPr>
      <w:r w:rsidRPr="007413BA">
        <w:rPr>
          <w:color w:val="auto"/>
        </w:rPr>
        <w:t>(f)</w:t>
      </w:r>
      <w:r w:rsidRPr="007413BA">
        <w:rPr>
          <w:color w:val="auto"/>
        </w:rPr>
        <w:tab/>
        <w:t>the technology used, or proposed to be used, in the operation of the market;</w:t>
      </w:r>
    </w:p>
    <w:p w:rsidR="00F41433" w:rsidRPr="007413BA" w:rsidRDefault="00F41433" w:rsidP="00F41433">
      <w:pPr>
        <w:pStyle w:val="Default"/>
        <w:ind w:left="1134" w:hanging="567"/>
        <w:rPr>
          <w:color w:val="auto"/>
        </w:rPr>
      </w:pPr>
    </w:p>
    <w:p w:rsidR="00865059" w:rsidRPr="007413BA" w:rsidRDefault="00865059" w:rsidP="00865059">
      <w:pPr>
        <w:pStyle w:val="Default"/>
        <w:ind w:left="1134" w:hanging="567"/>
        <w:rPr>
          <w:color w:val="auto"/>
        </w:rPr>
      </w:pPr>
      <w:r w:rsidRPr="007413BA">
        <w:rPr>
          <w:color w:val="auto"/>
        </w:rPr>
        <w:t>(g)</w:t>
      </w:r>
      <w:r w:rsidRPr="007413BA">
        <w:rPr>
          <w:color w:val="auto"/>
        </w:rPr>
        <w:tab/>
        <w:t>whether it would be in the public interest to grant the licence or disallow the change to the operating rules;</w:t>
      </w:r>
    </w:p>
    <w:p w:rsidR="00865059" w:rsidRPr="007413BA" w:rsidRDefault="00865059" w:rsidP="00865059">
      <w:pPr>
        <w:pStyle w:val="Default"/>
        <w:ind w:left="567"/>
        <w:rPr>
          <w:color w:val="auto"/>
        </w:rPr>
      </w:pPr>
    </w:p>
    <w:p w:rsidR="00865059" w:rsidRPr="007413BA" w:rsidRDefault="00865059" w:rsidP="00865059">
      <w:pPr>
        <w:spacing w:after="240" w:line="240" w:lineRule="auto"/>
        <w:ind w:left="1134" w:hanging="567"/>
        <w:rPr>
          <w:rFonts w:ascii="Times New Roman" w:hAnsi="Times New Roman" w:cs="Times New Roman"/>
          <w:sz w:val="24"/>
          <w:szCs w:val="24"/>
        </w:rPr>
      </w:pPr>
      <w:r w:rsidRPr="007413BA">
        <w:rPr>
          <w:rFonts w:ascii="Times New Roman" w:hAnsi="Times New Roman" w:cs="Times New Roman"/>
          <w:sz w:val="24"/>
          <w:szCs w:val="24"/>
        </w:rPr>
        <w:t>(h)</w:t>
      </w:r>
      <w:r w:rsidRPr="007413BA">
        <w:rPr>
          <w:rFonts w:ascii="Times New Roman" w:hAnsi="Times New Roman" w:cs="Times New Roman"/>
          <w:sz w:val="24"/>
          <w:szCs w:val="24"/>
        </w:rPr>
        <w:tab/>
        <w:t>any relevant advice received from ASIC.</w:t>
      </w:r>
    </w:p>
    <w:p w:rsidR="005A5488" w:rsidRPr="007413BA" w:rsidRDefault="005A5488"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3711B8">
        <w:rPr>
          <w:rFonts w:ascii="Times New Roman" w:hAnsi="Times New Roman" w:cs="Times New Roman"/>
          <w:sz w:val="24"/>
          <w:szCs w:val="24"/>
        </w:rPr>
        <w:t>10</w:t>
      </w:r>
      <w:r w:rsidRPr="007413BA">
        <w:rPr>
          <w:rFonts w:ascii="Times New Roman" w:hAnsi="Times New Roman" w:cs="Times New Roman"/>
          <w:sz w:val="24"/>
          <w:szCs w:val="24"/>
        </w:rPr>
        <w:tab/>
        <w:t>The Minister (or the</w:t>
      </w:r>
      <w:r w:rsidR="005711AB" w:rsidRPr="007413BA">
        <w:rPr>
          <w:rFonts w:ascii="Times New Roman" w:hAnsi="Times New Roman" w:cs="Times New Roman"/>
          <w:sz w:val="24"/>
          <w:szCs w:val="24"/>
        </w:rPr>
        <w:t>ir</w:t>
      </w:r>
      <w:r w:rsidRPr="007413BA">
        <w:rPr>
          <w:rFonts w:ascii="Times New Roman" w:hAnsi="Times New Roman" w:cs="Times New Roman"/>
          <w:sz w:val="24"/>
          <w:szCs w:val="24"/>
        </w:rPr>
        <w:t xml:space="preserve"> delegate) may also have regard to any other matter </w:t>
      </w:r>
      <w:r w:rsidR="00E3035B">
        <w:rPr>
          <w:rFonts w:ascii="Times New Roman" w:hAnsi="Times New Roman" w:cs="Times New Roman"/>
          <w:sz w:val="24"/>
          <w:szCs w:val="24"/>
        </w:rPr>
        <w:t xml:space="preserve">that </w:t>
      </w:r>
      <w:r w:rsidRPr="007413BA">
        <w:rPr>
          <w:rFonts w:ascii="Times New Roman" w:hAnsi="Times New Roman" w:cs="Times New Roman"/>
          <w:sz w:val="24"/>
          <w:szCs w:val="24"/>
        </w:rPr>
        <w:t>the Minister (or the</w:t>
      </w:r>
      <w:r w:rsidR="005711AB" w:rsidRPr="007413BA">
        <w:rPr>
          <w:rFonts w:ascii="Times New Roman" w:hAnsi="Times New Roman" w:cs="Times New Roman"/>
          <w:sz w:val="24"/>
          <w:szCs w:val="24"/>
        </w:rPr>
        <w:t>ir</w:t>
      </w:r>
      <w:r w:rsidRPr="007413BA">
        <w:rPr>
          <w:rFonts w:ascii="Times New Roman" w:hAnsi="Times New Roman" w:cs="Times New Roman"/>
          <w:sz w:val="24"/>
          <w:szCs w:val="24"/>
        </w:rPr>
        <w:t xml:space="preserve"> delegate) consider</w:t>
      </w:r>
      <w:r w:rsidR="00E3035B">
        <w:rPr>
          <w:rFonts w:ascii="Times New Roman" w:hAnsi="Times New Roman" w:cs="Times New Roman"/>
          <w:sz w:val="24"/>
          <w:szCs w:val="24"/>
        </w:rPr>
        <w:t>s</w:t>
      </w:r>
      <w:r w:rsidRPr="007413BA">
        <w:rPr>
          <w:rFonts w:ascii="Times New Roman" w:hAnsi="Times New Roman" w:cs="Times New Roman"/>
          <w:sz w:val="24"/>
          <w:szCs w:val="24"/>
        </w:rPr>
        <w:t xml:space="preserve"> relevant.</w:t>
      </w:r>
    </w:p>
    <w:p w:rsidR="005A5488" w:rsidRPr="007413BA" w:rsidRDefault="005A5488" w:rsidP="005A5488">
      <w:pPr>
        <w:spacing w:after="240" w:line="240" w:lineRule="auto"/>
        <w:ind w:left="567" w:hanging="567"/>
        <w:rPr>
          <w:rFonts w:ascii="Times New Roman" w:hAnsi="Times New Roman" w:cs="Times New Roman"/>
          <w:i/>
          <w:sz w:val="24"/>
          <w:szCs w:val="24"/>
        </w:rPr>
      </w:pPr>
      <w:r w:rsidRPr="007413BA">
        <w:rPr>
          <w:rFonts w:ascii="Times New Roman" w:hAnsi="Times New Roman" w:cs="Times New Roman"/>
          <w:i/>
          <w:sz w:val="24"/>
          <w:szCs w:val="24"/>
        </w:rPr>
        <w:t>CS facility licences and operating rules of the facility</w:t>
      </w:r>
    </w:p>
    <w:p w:rsidR="005A5488" w:rsidRPr="007413BA" w:rsidRDefault="005A5488" w:rsidP="005A5488">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C34992" w:rsidRPr="007413BA">
        <w:rPr>
          <w:rFonts w:ascii="Times New Roman" w:hAnsi="Times New Roman" w:cs="Times New Roman"/>
          <w:sz w:val="24"/>
          <w:szCs w:val="24"/>
        </w:rPr>
        <w:t>1</w:t>
      </w:r>
      <w:r w:rsidR="003711B8">
        <w:rPr>
          <w:rFonts w:ascii="Times New Roman" w:hAnsi="Times New Roman" w:cs="Times New Roman"/>
          <w:sz w:val="24"/>
          <w:szCs w:val="24"/>
        </w:rPr>
        <w:t>1</w:t>
      </w:r>
      <w:r w:rsidRPr="007413BA">
        <w:rPr>
          <w:rFonts w:ascii="Times New Roman" w:hAnsi="Times New Roman" w:cs="Times New Roman"/>
          <w:sz w:val="24"/>
          <w:szCs w:val="24"/>
        </w:rPr>
        <w:tab/>
        <w:t xml:space="preserve">The Minister (or </w:t>
      </w:r>
      <w:r w:rsidR="005711AB" w:rsidRPr="007413BA">
        <w:rPr>
          <w:rFonts w:ascii="Times New Roman" w:hAnsi="Times New Roman" w:cs="Times New Roman"/>
          <w:sz w:val="24"/>
          <w:szCs w:val="24"/>
        </w:rPr>
        <w:t xml:space="preserve">their </w:t>
      </w:r>
      <w:r w:rsidRPr="007413BA">
        <w:rPr>
          <w:rFonts w:ascii="Times New Roman" w:hAnsi="Times New Roman" w:cs="Times New Roman"/>
          <w:sz w:val="24"/>
          <w:szCs w:val="24"/>
        </w:rPr>
        <w:t>delegate) must have regard to certain matters in deciding whether to grant an Australian CS facility licence or disallow changes to the operating rules of a licensed CS facility: subsection 827</w:t>
      </w:r>
      <w:proofErr w:type="gramStart"/>
      <w:r w:rsidRPr="007413BA">
        <w:rPr>
          <w:rFonts w:ascii="Times New Roman" w:hAnsi="Times New Roman" w:cs="Times New Roman"/>
          <w:sz w:val="24"/>
          <w:szCs w:val="24"/>
        </w:rPr>
        <w:t>A(</w:t>
      </w:r>
      <w:proofErr w:type="gramEnd"/>
      <w:r w:rsidRPr="007413BA">
        <w:rPr>
          <w:rFonts w:ascii="Times New Roman" w:hAnsi="Times New Roman" w:cs="Times New Roman"/>
          <w:sz w:val="24"/>
          <w:szCs w:val="24"/>
        </w:rPr>
        <w:t>2) of the Act.</w:t>
      </w:r>
    </w:p>
    <w:p w:rsidR="005A5488" w:rsidRPr="007413BA" w:rsidRDefault="005A5488" w:rsidP="005A5488">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C34992" w:rsidRPr="007413BA">
        <w:rPr>
          <w:rFonts w:ascii="Times New Roman" w:hAnsi="Times New Roman" w:cs="Times New Roman"/>
          <w:sz w:val="24"/>
          <w:szCs w:val="24"/>
        </w:rPr>
        <w:t>1</w:t>
      </w:r>
      <w:r w:rsidR="003711B8">
        <w:rPr>
          <w:rFonts w:ascii="Times New Roman" w:hAnsi="Times New Roman" w:cs="Times New Roman"/>
          <w:sz w:val="24"/>
          <w:szCs w:val="24"/>
        </w:rPr>
        <w:t>2</w:t>
      </w:r>
      <w:r w:rsidRPr="007413BA">
        <w:rPr>
          <w:rFonts w:ascii="Times New Roman" w:hAnsi="Times New Roman" w:cs="Times New Roman"/>
          <w:sz w:val="24"/>
          <w:szCs w:val="24"/>
        </w:rPr>
        <w:tab/>
        <w:t>These matters are as follows:</w:t>
      </w:r>
    </w:p>
    <w:p w:rsidR="005A5488" w:rsidRPr="007413BA" w:rsidRDefault="005A5488" w:rsidP="005A5488">
      <w:pPr>
        <w:pStyle w:val="Default"/>
        <w:ind w:left="1134" w:hanging="567"/>
        <w:rPr>
          <w:color w:val="auto"/>
        </w:rPr>
      </w:pPr>
      <w:r w:rsidRPr="007413BA">
        <w:rPr>
          <w:color w:val="auto"/>
        </w:rPr>
        <w:t>(a)</w:t>
      </w:r>
      <w:r w:rsidRPr="007413BA">
        <w:rPr>
          <w:color w:val="auto"/>
        </w:rPr>
        <w:tab/>
        <w:t>the structure, or proposed structure, of the facility;</w:t>
      </w:r>
    </w:p>
    <w:p w:rsidR="005A5488" w:rsidRPr="007413BA" w:rsidRDefault="005A5488" w:rsidP="005A5488">
      <w:pPr>
        <w:pStyle w:val="Default"/>
        <w:ind w:left="1134" w:hanging="567"/>
        <w:rPr>
          <w:color w:val="auto"/>
        </w:rPr>
      </w:pPr>
    </w:p>
    <w:p w:rsidR="005A5488" w:rsidRPr="007413BA" w:rsidRDefault="005A5488" w:rsidP="005A5488">
      <w:pPr>
        <w:pStyle w:val="Default"/>
        <w:ind w:left="1134" w:hanging="567"/>
        <w:rPr>
          <w:color w:val="auto"/>
        </w:rPr>
      </w:pPr>
      <w:r w:rsidRPr="007413BA">
        <w:rPr>
          <w:color w:val="auto"/>
        </w:rPr>
        <w:t>(b)</w:t>
      </w:r>
      <w:r w:rsidRPr="007413BA">
        <w:rPr>
          <w:color w:val="auto"/>
        </w:rPr>
        <w:tab/>
        <w:t xml:space="preserve">the nature of the </w:t>
      </w:r>
      <w:r w:rsidR="00E25759" w:rsidRPr="007413BA">
        <w:rPr>
          <w:color w:val="auto"/>
        </w:rPr>
        <w:t>services provided</w:t>
      </w:r>
      <w:r w:rsidRPr="007413BA">
        <w:rPr>
          <w:color w:val="auto"/>
        </w:rPr>
        <w:t xml:space="preserve">, or proposed to be </w:t>
      </w:r>
      <w:r w:rsidR="00E25759" w:rsidRPr="007413BA">
        <w:rPr>
          <w:color w:val="auto"/>
        </w:rPr>
        <w:t>provided</w:t>
      </w:r>
      <w:r w:rsidRPr="007413BA">
        <w:rPr>
          <w:color w:val="auto"/>
        </w:rPr>
        <w:t xml:space="preserve">, </w:t>
      </w:r>
      <w:r w:rsidR="00E25759" w:rsidRPr="007413BA">
        <w:rPr>
          <w:color w:val="auto"/>
        </w:rPr>
        <w:t>by the facility</w:t>
      </w:r>
      <w:r w:rsidRPr="007413BA">
        <w:rPr>
          <w:color w:val="auto"/>
        </w:rPr>
        <w:t>;</w:t>
      </w:r>
    </w:p>
    <w:p w:rsidR="005A5488" w:rsidRPr="007413BA" w:rsidRDefault="005A5488" w:rsidP="005A5488">
      <w:pPr>
        <w:pStyle w:val="Default"/>
        <w:ind w:left="1134" w:hanging="567"/>
        <w:rPr>
          <w:color w:val="auto"/>
        </w:rPr>
      </w:pPr>
    </w:p>
    <w:p w:rsidR="005A5488" w:rsidRPr="007413BA" w:rsidRDefault="005A5488" w:rsidP="005A5488">
      <w:pPr>
        <w:pStyle w:val="Default"/>
        <w:ind w:left="1134" w:hanging="567"/>
        <w:rPr>
          <w:color w:val="auto"/>
        </w:rPr>
      </w:pPr>
      <w:r w:rsidRPr="007413BA">
        <w:rPr>
          <w:color w:val="auto"/>
        </w:rPr>
        <w:t>(c)</w:t>
      </w:r>
      <w:r w:rsidRPr="007413BA">
        <w:rPr>
          <w:color w:val="auto"/>
        </w:rPr>
        <w:tab/>
        <w:t xml:space="preserve">the size, or proposed size, of the </w:t>
      </w:r>
      <w:r w:rsidR="00E25759" w:rsidRPr="007413BA">
        <w:rPr>
          <w:color w:val="auto"/>
        </w:rPr>
        <w:t>facility</w:t>
      </w:r>
      <w:r w:rsidRPr="007413BA">
        <w:rPr>
          <w:color w:val="auto"/>
        </w:rPr>
        <w:t>;</w:t>
      </w:r>
    </w:p>
    <w:p w:rsidR="005A5488" w:rsidRPr="007413BA" w:rsidRDefault="005A5488" w:rsidP="005A5488">
      <w:pPr>
        <w:pStyle w:val="Default"/>
        <w:ind w:left="1134" w:hanging="567"/>
        <w:rPr>
          <w:color w:val="auto"/>
        </w:rPr>
      </w:pPr>
    </w:p>
    <w:p w:rsidR="005A5488" w:rsidRPr="007413BA" w:rsidRDefault="005A5488" w:rsidP="005A5488">
      <w:pPr>
        <w:pStyle w:val="Default"/>
        <w:ind w:left="1134" w:hanging="567"/>
        <w:rPr>
          <w:color w:val="auto"/>
        </w:rPr>
      </w:pPr>
      <w:r w:rsidRPr="007413BA">
        <w:rPr>
          <w:color w:val="auto"/>
        </w:rPr>
        <w:t>(d)</w:t>
      </w:r>
      <w:r w:rsidRPr="007413BA">
        <w:rPr>
          <w:color w:val="auto"/>
        </w:rPr>
        <w:tab/>
        <w:t xml:space="preserve">the nature of the financial products </w:t>
      </w:r>
      <w:r w:rsidR="00E25759" w:rsidRPr="007413BA">
        <w:rPr>
          <w:color w:val="auto"/>
        </w:rPr>
        <w:t>in respect of which the facility provides services</w:t>
      </w:r>
      <w:r w:rsidRPr="007413BA">
        <w:rPr>
          <w:color w:val="auto"/>
        </w:rPr>
        <w:t>, or propose</w:t>
      </w:r>
      <w:r w:rsidR="00E25759" w:rsidRPr="007413BA">
        <w:rPr>
          <w:color w:val="auto"/>
        </w:rPr>
        <w:t>s to provide services</w:t>
      </w:r>
      <w:r w:rsidRPr="007413BA">
        <w:rPr>
          <w:color w:val="auto"/>
        </w:rPr>
        <w:t>;</w:t>
      </w:r>
    </w:p>
    <w:p w:rsidR="005A5488" w:rsidRPr="007413BA" w:rsidRDefault="005A5488" w:rsidP="005A5488">
      <w:pPr>
        <w:pStyle w:val="Default"/>
        <w:ind w:left="1134" w:hanging="567"/>
        <w:rPr>
          <w:color w:val="auto"/>
        </w:rPr>
      </w:pPr>
    </w:p>
    <w:p w:rsidR="005A5488" w:rsidRPr="007413BA" w:rsidRDefault="005A5488" w:rsidP="005A5488">
      <w:pPr>
        <w:pStyle w:val="Default"/>
        <w:ind w:left="1134" w:hanging="567"/>
        <w:rPr>
          <w:color w:val="auto"/>
        </w:rPr>
      </w:pPr>
      <w:r w:rsidRPr="007413BA">
        <w:rPr>
          <w:color w:val="auto"/>
        </w:rPr>
        <w:t>(e)</w:t>
      </w:r>
      <w:r w:rsidRPr="007413BA">
        <w:rPr>
          <w:color w:val="auto"/>
        </w:rPr>
        <w:tab/>
        <w:t xml:space="preserve">the participants, or proposed participants, in the </w:t>
      </w:r>
      <w:r w:rsidR="00E25759" w:rsidRPr="007413BA">
        <w:rPr>
          <w:color w:val="auto"/>
        </w:rPr>
        <w:t>facility and whether those participants</w:t>
      </w:r>
      <w:r w:rsidRPr="007413BA">
        <w:rPr>
          <w:color w:val="auto"/>
        </w:rPr>
        <w:t>:</w:t>
      </w:r>
    </w:p>
    <w:p w:rsidR="005A5488" w:rsidRPr="007413BA" w:rsidRDefault="005A5488" w:rsidP="005A5488">
      <w:pPr>
        <w:pStyle w:val="Default"/>
        <w:ind w:left="567"/>
        <w:rPr>
          <w:color w:val="auto"/>
        </w:rPr>
      </w:pPr>
    </w:p>
    <w:p w:rsidR="005A5488" w:rsidRPr="007413BA" w:rsidRDefault="005A5488" w:rsidP="005A5488">
      <w:pPr>
        <w:pStyle w:val="Default"/>
        <w:ind w:left="1701" w:hanging="567"/>
        <w:rPr>
          <w:color w:val="auto"/>
        </w:rPr>
      </w:pPr>
      <w:r w:rsidRPr="007413BA">
        <w:rPr>
          <w:color w:val="auto"/>
        </w:rPr>
        <w:t>(i)</w:t>
      </w:r>
      <w:r w:rsidRPr="007413BA">
        <w:rPr>
          <w:color w:val="auto"/>
        </w:rPr>
        <w:tab/>
        <w:t xml:space="preserve">in </w:t>
      </w:r>
      <w:r w:rsidR="00E25759" w:rsidRPr="007413BA">
        <w:rPr>
          <w:color w:val="auto"/>
        </w:rPr>
        <w:t xml:space="preserve">using the facility’s services, </w:t>
      </w:r>
      <w:r w:rsidRPr="007413BA">
        <w:rPr>
          <w:color w:val="auto"/>
        </w:rPr>
        <w:t>are, or will be, providing financial services to other persons;</w:t>
      </w:r>
      <w:r w:rsidR="00E25759" w:rsidRPr="007413BA">
        <w:rPr>
          <w:color w:val="auto"/>
        </w:rPr>
        <w:t xml:space="preserve"> or</w:t>
      </w:r>
    </w:p>
    <w:p w:rsidR="005A5488" w:rsidRPr="007413BA" w:rsidRDefault="005A5488" w:rsidP="005A5488">
      <w:pPr>
        <w:pStyle w:val="Default"/>
        <w:ind w:left="1701" w:hanging="567"/>
        <w:rPr>
          <w:color w:val="auto"/>
        </w:rPr>
      </w:pPr>
    </w:p>
    <w:p w:rsidR="005A5488" w:rsidRPr="007413BA" w:rsidRDefault="005A5488" w:rsidP="005A5488">
      <w:pPr>
        <w:pStyle w:val="Default"/>
        <w:ind w:left="1701" w:hanging="567"/>
        <w:rPr>
          <w:color w:val="auto"/>
        </w:rPr>
      </w:pPr>
      <w:r w:rsidRPr="007413BA">
        <w:rPr>
          <w:color w:val="auto"/>
        </w:rPr>
        <w:t>(ii)</w:t>
      </w:r>
      <w:r w:rsidRPr="007413BA">
        <w:rPr>
          <w:color w:val="auto"/>
        </w:rPr>
        <w:tab/>
      </w:r>
      <w:r w:rsidR="00E25759" w:rsidRPr="007413BA">
        <w:rPr>
          <w:color w:val="auto"/>
        </w:rPr>
        <w:t xml:space="preserve">use, or will use, the facility’s services in respect of financial products they </w:t>
      </w:r>
      <w:r w:rsidRPr="007413BA">
        <w:rPr>
          <w:color w:val="auto"/>
        </w:rPr>
        <w:t xml:space="preserve">acquire or dispose of </w:t>
      </w:r>
      <w:r w:rsidR="00E25759" w:rsidRPr="007413BA">
        <w:rPr>
          <w:color w:val="auto"/>
        </w:rPr>
        <w:t xml:space="preserve">as </w:t>
      </w:r>
      <w:r w:rsidRPr="007413BA">
        <w:rPr>
          <w:color w:val="auto"/>
        </w:rPr>
        <w:t xml:space="preserve">retail clients or as wholesale clients; </w:t>
      </w:r>
      <w:r w:rsidR="00E25759" w:rsidRPr="007413BA">
        <w:rPr>
          <w:color w:val="auto"/>
        </w:rPr>
        <w:t>or</w:t>
      </w:r>
    </w:p>
    <w:p w:rsidR="005A5488" w:rsidRPr="007413BA" w:rsidRDefault="005A5488" w:rsidP="005A5488">
      <w:pPr>
        <w:pStyle w:val="Default"/>
        <w:ind w:left="1701" w:hanging="567"/>
        <w:rPr>
          <w:color w:val="auto"/>
        </w:rPr>
      </w:pPr>
    </w:p>
    <w:p w:rsidR="005A5488" w:rsidRPr="007413BA" w:rsidRDefault="005A5488" w:rsidP="005A5488">
      <w:pPr>
        <w:pStyle w:val="Default"/>
        <w:ind w:left="1701" w:hanging="567"/>
        <w:rPr>
          <w:color w:val="auto"/>
        </w:rPr>
      </w:pPr>
      <w:r w:rsidRPr="007413BA">
        <w:rPr>
          <w:color w:val="auto"/>
        </w:rPr>
        <w:lastRenderedPageBreak/>
        <w:t>(iii)</w:t>
      </w:r>
      <w:r w:rsidRPr="007413BA">
        <w:rPr>
          <w:color w:val="auto"/>
        </w:rPr>
        <w:tab/>
      </w:r>
      <w:r w:rsidR="00E25759" w:rsidRPr="007413BA">
        <w:rPr>
          <w:color w:val="auto"/>
        </w:rPr>
        <w:t xml:space="preserve">are, or will be, </w:t>
      </w:r>
      <w:r w:rsidRPr="007413BA">
        <w:rPr>
          <w:color w:val="auto"/>
        </w:rPr>
        <w:t xml:space="preserve">participants </w:t>
      </w:r>
      <w:r w:rsidR="00E25759" w:rsidRPr="007413BA">
        <w:rPr>
          <w:color w:val="auto"/>
        </w:rPr>
        <w:t>in a financial market, or other clearing and settlement facilities, as well;</w:t>
      </w:r>
    </w:p>
    <w:p w:rsidR="005A5488" w:rsidRPr="007413BA" w:rsidRDefault="005A5488" w:rsidP="005A5488">
      <w:pPr>
        <w:pStyle w:val="Default"/>
        <w:ind w:left="567"/>
        <w:rPr>
          <w:color w:val="auto"/>
        </w:rPr>
      </w:pPr>
    </w:p>
    <w:p w:rsidR="005A5488" w:rsidRPr="007413BA" w:rsidRDefault="005A5488" w:rsidP="005A5488">
      <w:pPr>
        <w:pStyle w:val="Default"/>
        <w:ind w:left="1134" w:hanging="567"/>
        <w:rPr>
          <w:color w:val="auto"/>
        </w:rPr>
      </w:pPr>
      <w:r w:rsidRPr="007413BA">
        <w:rPr>
          <w:color w:val="auto"/>
        </w:rPr>
        <w:t>(f)</w:t>
      </w:r>
      <w:r w:rsidRPr="007413BA">
        <w:rPr>
          <w:color w:val="auto"/>
        </w:rPr>
        <w:tab/>
        <w:t xml:space="preserve">the technology used, or proposed to be used, in the operation of the </w:t>
      </w:r>
      <w:r w:rsidR="00E25759" w:rsidRPr="007413BA">
        <w:rPr>
          <w:color w:val="auto"/>
        </w:rPr>
        <w:t>facility</w:t>
      </w:r>
      <w:r w:rsidRPr="007413BA">
        <w:rPr>
          <w:color w:val="auto"/>
        </w:rPr>
        <w:t>;</w:t>
      </w:r>
    </w:p>
    <w:p w:rsidR="005A5488" w:rsidRPr="007413BA" w:rsidRDefault="005A5488" w:rsidP="005A5488">
      <w:pPr>
        <w:pStyle w:val="Default"/>
        <w:ind w:left="567"/>
        <w:rPr>
          <w:color w:val="auto"/>
        </w:rPr>
      </w:pPr>
    </w:p>
    <w:p w:rsidR="005A5488" w:rsidRPr="007413BA" w:rsidRDefault="005A5488" w:rsidP="005A5488">
      <w:pPr>
        <w:pStyle w:val="Default"/>
        <w:ind w:left="1134" w:hanging="567"/>
        <w:rPr>
          <w:color w:val="auto"/>
        </w:rPr>
      </w:pPr>
      <w:r w:rsidRPr="007413BA">
        <w:rPr>
          <w:color w:val="auto"/>
        </w:rPr>
        <w:t>(g)</w:t>
      </w:r>
      <w:r w:rsidRPr="007413BA">
        <w:rPr>
          <w:color w:val="auto"/>
        </w:rPr>
        <w:tab/>
        <w:t>whether it would be in the public interest to grant the licence or disallow the change to the operating rules;</w:t>
      </w:r>
    </w:p>
    <w:p w:rsidR="005A5488" w:rsidRPr="007413BA" w:rsidRDefault="005A5488" w:rsidP="005A5488">
      <w:pPr>
        <w:pStyle w:val="Default"/>
        <w:ind w:left="567"/>
        <w:rPr>
          <w:color w:val="auto"/>
        </w:rPr>
      </w:pPr>
    </w:p>
    <w:p w:rsidR="005A5488" w:rsidRPr="007413BA" w:rsidRDefault="005A5488" w:rsidP="005A5488">
      <w:pPr>
        <w:spacing w:after="240" w:line="240" w:lineRule="auto"/>
        <w:ind w:left="1134" w:hanging="567"/>
        <w:rPr>
          <w:rFonts w:ascii="Times New Roman" w:hAnsi="Times New Roman" w:cs="Times New Roman"/>
          <w:sz w:val="24"/>
          <w:szCs w:val="24"/>
        </w:rPr>
      </w:pPr>
      <w:r w:rsidRPr="007413BA">
        <w:rPr>
          <w:rFonts w:ascii="Times New Roman" w:hAnsi="Times New Roman" w:cs="Times New Roman"/>
          <w:sz w:val="24"/>
          <w:szCs w:val="24"/>
        </w:rPr>
        <w:t>(h)</w:t>
      </w:r>
      <w:r w:rsidRPr="007413BA">
        <w:rPr>
          <w:rFonts w:ascii="Times New Roman" w:hAnsi="Times New Roman" w:cs="Times New Roman"/>
          <w:sz w:val="24"/>
          <w:szCs w:val="24"/>
        </w:rPr>
        <w:tab/>
        <w:t>any relevant advice received from ASIC</w:t>
      </w:r>
      <w:r w:rsidR="00E25759" w:rsidRPr="007413BA">
        <w:rPr>
          <w:rFonts w:ascii="Times New Roman" w:hAnsi="Times New Roman" w:cs="Times New Roman"/>
          <w:sz w:val="24"/>
          <w:szCs w:val="24"/>
        </w:rPr>
        <w:t xml:space="preserve"> or the Reserve Bank of Australia</w:t>
      </w:r>
      <w:r w:rsidRPr="007413BA">
        <w:rPr>
          <w:rFonts w:ascii="Times New Roman" w:hAnsi="Times New Roman" w:cs="Times New Roman"/>
          <w:sz w:val="24"/>
          <w:szCs w:val="24"/>
        </w:rPr>
        <w:t>.</w:t>
      </w:r>
    </w:p>
    <w:p w:rsidR="005A5488" w:rsidRPr="007413BA" w:rsidRDefault="005A5488" w:rsidP="005A5488">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w:t>
      </w:r>
      <w:r w:rsidR="00E25759" w:rsidRPr="007413BA">
        <w:rPr>
          <w:rFonts w:ascii="Times New Roman" w:hAnsi="Times New Roman" w:cs="Times New Roman"/>
          <w:sz w:val="24"/>
          <w:szCs w:val="24"/>
        </w:rPr>
        <w:t>1</w:t>
      </w:r>
      <w:r w:rsidR="003711B8">
        <w:rPr>
          <w:rFonts w:ascii="Times New Roman" w:hAnsi="Times New Roman" w:cs="Times New Roman"/>
          <w:sz w:val="24"/>
          <w:szCs w:val="24"/>
        </w:rPr>
        <w:t>3</w:t>
      </w:r>
      <w:r w:rsidRPr="007413BA">
        <w:rPr>
          <w:rFonts w:ascii="Times New Roman" w:hAnsi="Times New Roman" w:cs="Times New Roman"/>
          <w:sz w:val="24"/>
          <w:szCs w:val="24"/>
        </w:rPr>
        <w:tab/>
        <w:t>The Minister (or the</w:t>
      </w:r>
      <w:r w:rsidR="005711AB" w:rsidRPr="007413BA">
        <w:rPr>
          <w:rFonts w:ascii="Times New Roman" w:hAnsi="Times New Roman" w:cs="Times New Roman"/>
          <w:sz w:val="24"/>
          <w:szCs w:val="24"/>
        </w:rPr>
        <w:t>ir</w:t>
      </w:r>
      <w:r w:rsidRPr="007413BA">
        <w:rPr>
          <w:rFonts w:ascii="Times New Roman" w:hAnsi="Times New Roman" w:cs="Times New Roman"/>
          <w:sz w:val="24"/>
          <w:szCs w:val="24"/>
        </w:rPr>
        <w:t xml:space="preserve"> delegate) may also have regard to any other matter </w:t>
      </w:r>
      <w:r w:rsidR="00E3035B">
        <w:rPr>
          <w:rFonts w:ascii="Times New Roman" w:hAnsi="Times New Roman" w:cs="Times New Roman"/>
          <w:sz w:val="24"/>
          <w:szCs w:val="24"/>
        </w:rPr>
        <w:t xml:space="preserve">that </w:t>
      </w:r>
      <w:r w:rsidRPr="007413BA">
        <w:rPr>
          <w:rFonts w:ascii="Times New Roman" w:hAnsi="Times New Roman" w:cs="Times New Roman"/>
          <w:sz w:val="24"/>
          <w:szCs w:val="24"/>
        </w:rPr>
        <w:t>the Minister (or the</w:t>
      </w:r>
      <w:r w:rsidR="005711AB" w:rsidRPr="007413BA">
        <w:rPr>
          <w:rFonts w:ascii="Times New Roman" w:hAnsi="Times New Roman" w:cs="Times New Roman"/>
          <w:sz w:val="24"/>
          <w:szCs w:val="24"/>
        </w:rPr>
        <w:t>ir</w:t>
      </w:r>
      <w:r w:rsidRPr="007413BA">
        <w:rPr>
          <w:rFonts w:ascii="Times New Roman" w:hAnsi="Times New Roman" w:cs="Times New Roman"/>
          <w:sz w:val="24"/>
          <w:szCs w:val="24"/>
        </w:rPr>
        <w:t xml:space="preserve"> delegate) consider</w:t>
      </w:r>
      <w:r w:rsidR="00E3035B">
        <w:rPr>
          <w:rFonts w:ascii="Times New Roman" w:hAnsi="Times New Roman" w:cs="Times New Roman"/>
          <w:sz w:val="24"/>
          <w:szCs w:val="24"/>
        </w:rPr>
        <w:t>s</w:t>
      </w:r>
      <w:r w:rsidRPr="007413BA">
        <w:rPr>
          <w:rFonts w:ascii="Times New Roman" w:hAnsi="Times New Roman" w:cs="Times New Roman"/>
          <w:sz w:val="24"/>
          <w:szCs w:val="24"/>
        </w:rPr>
        <w:t xml:space="preserve"> relevant.</w:t>
      </w:r>
    </w:p>
    <w:p w:rsidR="007E505B" w:rsidRPr="007413BA" w:rsidRDefault="007E505B" w:rsidP="00A6489D">
      <w:pPr>
        <w:spacing w:after="240" w:line="240" w:lineRule="auto"/>
        <w:ind w:left="567" w:hanging="567"/>
        <w:rPr>
          <w:rFonts w:ascii="Times New Roman" w:hAnsi="Times New Roman" w:cs="Times New Roman"/>
          <w:i/>
          <w:sz w:val="24"/>
          <w:szCs w:val="24"/>
        </w:rPr>
      </w:pPr>
      <w:r w:rsidRPr="007413BA">
        <w:rPr>
          <w:rFonts w:ascii="Times New Roman" w:hAnsi="Times New Roman" w:cs="Times New Roman"/>
          <w:i/>
          <w:sz w:val="24"/>
          <w:szCs w:val="24"/>
        </w:rPr>
        <w:t>Complexity criteria</w:t>
      </w:r>
    </w:p>
    <w:p w:rsidR="00C34992" w:rsidRPr="007413BA" w:rsidRDefault="00C34992"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4</w:t>
      </w:r>
      <w:r w:rsidRPr="007413BA">
        <w:rPr>
          <w:rFonts w:ascii="Times New Roman" w:hAnsi="Times New Roman" w:cs="Times New Roman"/>
          <w:sz w:val="24"/>
          <w:szCs w:val="24"/>
        </w:rPr>
        <w:tab/>
        <w:t>ASIC considers complexity to be a function of the expertise required</w:t>
      </w:r>
      <w:r w:rsidR="00F41433">
        <w:rPr>
          <w:rFonts w:ascii="Times New Roman" w:hAnsi="Times New Roman" w:cs="Times New Roman"/>
          <w:sz w:val="24"/>
          <w:szCs w:val="24"/>
        </w:rPr>
        <w:t>,</w:t>
      </w:r>
      <w:r w:rsidRPr="007413BA">
        <w:rPr>
          <w:rFonts w:ascii="Times New Roman" w:hAnsi="Times New Roman" w:cs="Times New Roman"/>
          <w:sz w:val="24"/>
          <w:szCs w:val="24"/>
        </w:rPr>
        <w:t xml:space="preserve"> and the amount of time required, to assess a matter.</w:t>
      </w:r>
    </w:p>
    <w:p w:rsidR="006D5124" w:rsidRPr="007413BA" w:rsidRDefault="00C34992"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5</w:t>
      </w:r>
      <w:r w:rsidRPr="007413BA">
        <w:rPr>
          <w:rFonts w:ascii="Times New Roman" w:hAnsi="Times New Roman" w:cs="Times New Roman"/>
          <w:sz w:val="24"/>
          <w:szCs w:val="24"/>
        </w:rPr>
        <w:tab/>
      </w:r>
      <w:r w:rsidR="00A6489D" w:rsidRPr="007413BA">
        <w:rPr>
          <w:rFonts w:ascii="Times New Roman" w:hAnsi="Times New Roman" w:cs="Times New Roman"/>
          <w:sz w:val="24"/>
          <w:szCs w:val="24"/>
        </w:rPr>
        <w:t>The complexity criteria in relation to an application for an Australian market licence</w:t>
      </w:r>
      <w:r w:rsidR="00E25759" w:rsidRPr="007413BA">
        <w:rPr>
          <w:rFonts w:ascii="Times New Roman" w:hAnsi="Times New Roman" w:cs="Times New Roman"/>
          <w:sz w:val="24"/>
          <w:szCs w:val="24"/>
        </w:rPr>
        <w:t xml:space="preserve">, </w:t>
      </w:r>
      <w:r w:rsidR="00A6489D" w:rsidRPr="007413BA">
        <w:rPr>
          <w:rFonts w:ascii="Times New Roman" w:hAnsi="Times New Roman" w:cs="Times New Roman"/>
          <w:sz w:val="24"/>
          <w:szCs w:val="24"/>
        </w:rPr>
        <w:t>an Australian CS facility licence</w:t>
      </w:r>
      <w:r w:rsidR="00E25759" w:rsidRPr="007413BA">
        <w:rPr>
          <w:rFonts w:ascii="Times New Roman" w:hAnsi="Times New Roman" w:cs="Times New Roman"/>
          <w:sz w:val="24"/>
          <w:szCs w:val="24"/>
        </w:rPr>
        <w:t xml:space="preserve">, and changes to the operating rules of licensed markets and licensed CS facilities, </w:t>
      </w:r>
      <w:r w:rsidR="006D5124" w:rsidRPr="007413BA">
        <w:rPr>
          <w:rFonts w:ascii="Times New Roman" w:hAnsi="Times New Roman" w:cs="Times New Roman"/>
          <w:sz w:val="24"/>
          <w:szCs w:val="24"/>
        </w:rPr>
        <w:t>are</w:t>
      </w:r>
      <w:r w:rsidR="00E25759" w:rsidRPr="007413BA">
        <w:rPr>
          <w:rFonts w:ascii="Times New Roman" w:hAnsi="Times New Roman" w:cs="Times New Roman"/>
          <w:sz w:val="24"/>
          <w:szCs w:val="24"/>
        </w:rPr>
        <w:t xml:space="preserve"> </w:t>
      </w:r>
      <w:r w:rsidR="006D5124" w:rsidRPr="007413BA">
        <w:rPr>
          <w:rFonts w:ascii="Times New Roman" w:hAnsi="Times New Roman" w:cs="Times New Roman"/>
          <w:sz w:val="24"/>
          <w:szCs w:val="24"/>
        </w:rPr>
        <w:t>primarily based on the level of expertise, or the amount of time, required to assess the matters that must be considered under subsections 798</w:t>
      </w:r>
      <w:proofErr w:type="gramStart"/>
      <w:r w:rsidR="006D5124" w:rsidRPr="007413BA">
        <w:rPr>
          <w:rFonts w:ascii="Times New Roman" w:hAnsi="Times New Roman" w:cs="Times New Roman"/>
          <w:sz w:val="24"/>
          <w:szCs w:val="24"/>
        </w:rPr>
        <w:t>A(</w:t>
      </w:r>
      <w:proofErr w:type="gramEnd"/>
      <w:r w:rsidR="006D5124" w:rsidRPr="007413BA">
        <w:rPr>
          <w:rFonts w:ascii="Times New Roman" w:hAnsi="Times New Roman" w:cs="Times New Roman"/>
          <w:sz w:val="24"/>
          <w:szCs w:val="24"/>
        </w:rPr>
        <w:t>2) and 827A(2) of the Act.</w:t>
      </w:r>
    </w:p>
    <w:p w:rsidR="007E505B" w:rsidRPr="007413BA" w:rsidRDefault="00C34992" w:rsidP="00A6489D">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6</w:t>
      </w:r>
      <w:r w:rsidRPr="007413BA">
        <w:rPr>
          <w:rFonts w:ascii="Times New Roman" w:hAnsi="Times New Roman" w:cs="Times New Roman"/>
          <w:sz w:val="24"/>
          <w:szCs w:val="24"/>
        </w:rPr>
        <w:tab/>
      </w:r>
      <w:r w:rsidR="006D5124" w:rsidRPr="007413BA">
        <w:rPr>
          <w:rFonts w:ascii="Times New Roman" w:hAnsi="Times New Roman" w:cs="Times New Roman"/>
          <w:sz w:val="24"/>
          <w:szCs w:val="24"/>
        </w:rPr>
        <w:t xml:space="preserve">The complexity criteria </w:t>
      </w:r>
      <w:r w:rsidR="007E505B" w:rsidRPr="007413BA">
        <w:rPr>
          <w:rFonts w:ascii="Times New Roman" w:hAnsi="Times New Roman" w:cs="Times New Roman"/>
          <w:sz w:val="24"/>
          <w:szCs w:val="24"/>
        </w:rPr>
        <w:t>are</w:t>
      </w:r>
      <w:r w:rsidR="006D5124" w:rsidRPr="007413BA">
        <w:rPr>
          <w:rFonts w:ascii="Times New Roman" w:hAnsi="Times New Roman" w:cs="Times New Roman"/>
          <w:sz w:val="24"/>
          <w:szCs w:val="24"/>
        </w:rPr>
        <w:t xml:space="preserve"> also based on the extent to which the matter requires the development of new policy. </w:t>
      </w:r>
      <w:r w:rsidR="007E505B" w:rsidRPr="007413BA">
        <w:rPr>
          <w:rFonts w:ascii="Times New Roman" w:hAnsi="Times New Roman" w:cs="Times New Roman"/>
          <w:sz w:val="24"/>
          <w:szCs w:val="24"/>
        </w:rPr>
        <w:t>ASIC’s existing policy is set out in:</w:t>
      </w:r>
    </w:p>
    <w:p w:rsidR="007E505B" w:rsidRPr="007413BA" w:rsidRDefault="007E505B" w:rsidP="007E505B">
      <w:pPr>
        <w:spacing w:after="240" w:line="240" w:lineRule="auto"/>
        <w:ind w:left="1134" w:hanging="567"/>
        <w:rPr>
          <w:rFonts w:ascii="Times New Roman" w:hAnsi="Times New Roman" w:cs="Times New Roman"/>
          <w:sz w:val="24"/>
          <w:szCs w:val="24"/>
        </w:rPr>
      </w:pPr>
      <w:r w:rsidRPr="007413BA">
        <w:rPr>
          <w:rFonts w:ascii="Times New Roman" w:hAnsi="Times New Roman" w:cs="Times New Roman"/>
          <w:sz w:val="24"/>
          <w:szCs w:val="24"/>
        </w:rPr>
        <w:t>(a)</w:t>
      </w:r>
      <w:r w:rsidRPr="007413BA">
        <w:rPr>
          <w:rFonts w:ascii="Times New Roman" w:hAnsi="Times New Roman" w:cs="Times New Roman"/>
          <w:sz w:val="24"/>
          <w:szCs w:val="24"/>
        </w:rPr>
        <w:tab/>
      </w:r>
      <w:r w:rsidRPr="007413BA">
        <w:rPr>
          <w:rFonts w:ascii="Times New Roman" w:hAnsi="Times New Roman" w:cs="Times New Roman"/>
          <w:i/>
          <w:sz w:val="24"/>
          <w:szCs w:val="24"/>
        </w:rPr>
        <w:t>ASIC Regulatory Guide 172: Market licences – Domestic and overseas operators;</w:t>
      </w:r>
      <w:r w:rsidRPr="007413BA">
        <w:rPr>
          <w:rFonts w:ascii="Times New Roman" w:hAnsi="Times New Roman" w:cs="Times New Roman"/>
          <w:sz w:val="24"/>
          <w:szCs w:val="24"/>
        </w:rPr>
        <w:t xml:space="preserve"> and</w:t>
      </w:r>
    </w:p>
    <w:p w:rsidR="006D5124" w:rsidRPr="007413BA" w:rsidRDefault="007E505B" w:rsidP="007E505B">
      <w:pPr>
        <w:spacing w:after="240" w:line="240" w:lineRule="auto"/>
        <w:ind w:left="1134" w:hanging="567"/>
        <w:rPr>
          <w:rFonts w:ascii="Times New Roman" w:hAnsi="Times New Roman" w:cs="Times New Roman"/>
          <w:sz w:val="24"/>
          <w:szCs w:val="24"/>
        </w:rPr>
      </w:pPr>
      <w:r w:rsidRPr="007413BA">
        <w:rPr>
          <w:rFonts w:ascii="Times New Roman" w:hAnsi="Times New Roman" w:cs="Times New Roman"/>
          <w:sz w:val="24"/>
          <w:szCs w:val="24"/>
        </w:rPr>
        <w:t>(b)</w:t>
      </w:r>
      <w:r w:rsidRPr="007413BA">
        <w:rPr>
          <w:rFonts w:ascii="Times New Roman" w:hAnsi="Times New Roman" w:cs="Times New Roman"/>
          <w:sz w:val="24"/>
          <w:szCs w:val="24"/>
        </w:rPr>
        <w:tab/>
      </w:r>
      <w:r w:rsidRPr="007413BA">
        <w:rPr>
          <w:rFonts w:ascii="Times New Roman" w:hAnsi="Times New Roman" w:cs="Times New Roman"/>
          <w:i/>
          <w:sz w:val="24"/>
          <w:szCs w:val="24"/>
        </w:rPr>
        <w:t>ASIC Regulatory Guide 211: Clearing and settlement facilities – Australian and overseas operators.</w:t>
      </w:r>
    </w:p>
    <w:p w:rsidR="00A669B9" w:rsidRPr="007413BA" w:rsidRDefault="007E505B" w:rsidP="00A669B9">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7</w:t>
      </w:r>
      <w:r w:rsidR="00C34992" w:rsidRPr="007413BA">
        <w:rPr>
          <w:rFonts w:ascii="Times New Roman" w:hAnsi="Times New Roman" w:cs="Times New Roman"/>
          <w:sz w:val="24"/>
          <w:szCs w:val="24"/>
        </w:rPr>
        <w:tab/>
        <w:t>The assessment of a matter is of high complexity if it requires a significant level of expertise</w:t>
      </w:r>
      <w:r w:rsidR="00A669B9" w:rsidRPr="007413BA">
        <w:rPr>
          <w:rFonts w:ascii="Times New Roman" w:hAnsi="Times New Roman" w:cs="Times New Roman"/>
          <w:sz w:val="24"/>
          <w:szCs w:val="24"/>
        </w:rPr>
        <w:t xml:space="preserve">, </w:t>
      </w:r>
      <w:r w:rsidR="00C34992" w:rsidRPr="007413BA">
        <w:rPr>
          <w:rFonts w:ascii="Times New Roman" w:hAnsi="Times New Roman" w:cs="Times New Roman"/>
          <w:sz w:val="24"/>
          <w:szCs w:val="24"/>
        </w:rPr>
        <w:t>a significant amount of time</w:t>
      </w:r>
      <w:r w:rsidR="00A669B9" w:rsidRPr="007413BA">
        <w:rPr>
          <w:rFonts w:ascii="Times New Roman" w:hAnsi="Times New Roman" w:cs="Times New Roman"/>
          <w:sz w:val="24"/>
          <w:szCs w:val="24"/>
        </w:rPr>
        <w:t xml:space="preserve"> or involves the development of significant new policy. Examples of matters of high complexity might include:</w:t>
      </w:r>
    </w:p>
    <w:p w:rsidR="00936A98" w:rsidRPr="00936A98" w:rsidRDefault="00936A98" w:rsidP="00936A98">
      <w:pPr>
        <w:spacing w:after="240" w:line="240" w:lineRule="auto"/>
        <w:ind w:left="1134" w:hanging="567"/>
        <w:rPr>
          <w:rFonts w:ascii="Times New Roman" w:hAnsi="Times New Roman" w:cs="Times New Roman"/>
          <w:sz w:val="24"/>
          <w:szCs w:val="24"/>
        </w:rPr>
      </w:pPr>
      <w:r w:rsidRPr="00936A98">
        <w:rPr>
          <w:rFonts w:ascii="Times New Roman" w:hAnsi="Times New Roman" w:cs="Times New Roman"/>
          <w:sz w:val="24"/>
          <w:szCs w:val="24"/>
        </w:rPr>
        <w:t>(a)</w:t>
      </w:r>
      <w:r w:rsidRPr="00936A98">
        <w:rPr>
          <w:rFonts w:ascii="Times New Roman" w:hAnsi="Times New Roman" w:cs="Times New Roman"/>
          <w:sz w:val="24"/>
          <w:szCs w:val="24"/>
        </w:rPr>
        <w:tab/>
        <w:t xml:space="preserve">an application for a licence to operate a market or CS </w:t>
      </w:r>
      <w:r>
        <w:rPr>
          <w:rFonts w:ascii="Times New Roman" w:hAnsi="Times New Roman" w:cs="Times New Roman"/>
          <w:sz w:val="24"/>
          <w:szCs w:val="24"/>
        </w:rPr>
        <w:t>f</w:t>
      </w:r>
      <w:r w:rsidRPr="00936A98">
        <w:rPr>
          <w:rFonts w:ascii="Times New Roman" w:hAnsi="Times New Roman" w:cs="Times New Roman"/>
          <w:sz w:val="24"/>
          <w:szCs w:val="24"/>
        </w:rPr>
        <w:t xml:space="preserve">acility in </w:t>
      </w:r>
      <w:r w:rsidR="00F41433">
        <w:rPr>
          <w:rFonts w:ascii="Times New Roman" w:hAnsi="Times New Roman" w:cs="Times New Roman"/>
          <w:sz w:val="24"/>
          <w:szCs w:val="24"/>
        </w:rPr>
        <w:t xml:space="preserve">relation to </w:t>
      </w:r>
      <w:r w:rsidRPr="00936A98">
        <w:rPr>
          <w:rFonts w:ascii="Times New Roman" w:hAnsi="Times New Roman" w:cs="Times New Roman"/>
          <w:sz w:val="24"/>
          <w:szCs w:val="24"/>
        </w:rPr>
        <w:t>services that are structurally different to those available in the Australian market</w:t>
      </w:r>
      <w:r w:rsidR="000527A6">
        <w:rPr>
          <w:rFonts w:ascii="Times New Roman" w:hAnsi="Times New Roman" w:cs="Times New Roman"/>
          <w:sz w:val="24"/>
          <w:szCs w:val="24"/>
        </w:rPr>
        <w:t xml:space="preserve"> </w:t>
      </w:r>
      <w:bookmarkStart w:id="4" w:name="_Hlk518303345"/>
      <w:r w:rsidR="000527A6">
        <w:rPr>
          <w:rFonts w:ascii="Times New Roman" w:hAnsi="Times New Roman" w:cs="Times New Roman"/>
          <w:sz w:val="24"/>
          <w:szCs w:val="24"/>
        </w:rPr>
        <w:t>or which have the potential to create structural changes in the Australian market</w:t>
      </w:r>
      <w:bookmarkEnd w:id="4"/>
      <w:r w:rsidRPr="00936A98">
        <w:rPr>
          <w:rFonts w:ascii="Times New Roman" w:hAnsi="Times New Roman" w:cs="Times New Roman"/>
          <w:sz w:val="24"/>
          <w:szCs w:val="24"/>
        </w:rPr>
        <w:t>, such as the historical licensing of a competing platform for trading ASX</w:t>
      </w:r>
      <w:r w:rsidR="00540F9B">
        <w:rPr>
          <w:rFonts w:ascii="Times New Roman" w:hAnsi="Times New Roman" w:cs="Times New Roman"/>
          <w:sz w:val="24"/>
          <w:szCs w:val="24"/>
        </w:rPr>
        <w:t>-</w:t>
      </w:r>
      <w:r w:rsidRPr="00936A98">
        <w:rPr>
          <w:rFonts w:ascii="Times New Roman" w:hAnsi="Times New Roman" w:cs="Times New Roman"/>
          <w:sz w:val="24"/>
          <w:szCs w:val="24"/>
        </w:rPr>
        <w:t xml:space="preserve">listed products or the historical introduction of </w:t>
      </w:r>
      <w:r>
        <w:rPr>
          <w:rFonts w:ascii="Times New Roman" w:hAnsi="Times New Roman" w:cs="Times New Roman"/>
          <w:sz w:val="24"/>
          <w:szCs w:val="24"/>
        </w:rPr>
        <w:t>over</w:t>
      </w:r>
      <w:r w:rsidR="000527A6">
        <w:rPr>
          <w:rFonts w:ascii="Times New Roman" w:hAnsi="Times New Roman" w:cs="Times New Roman"/>
          <w:sz w:val="24"/>
          <w:szCs w:val="24"/>
        </w:rPr>
        <w:t>-</w:t>
      </w:r>
      <w:r>
        <w:rPr>
          <w:rFonts w:ascii="Times New Roman" w:hAnsi="Times New Roman" w:cs="Times New Roman"/>
          <w:sz w:val="24"/>
          <w:szCs w:val="24"/>
        </w:rPr>
        <w:t>the</w:t>
      </w:r>
      <w:r w:rsidR="000527A6">
        <w:rPr>
          <w:rFonts w:ascii="Times New Roman" w:hAnsi="Times New Roman" w:cs="Times New Roman"/>
          <w:sz w:val="24"/>
          <w:szCs w:val="24"/>
        </w:rPr>
        <w:t>-</w:t>
      </w:r>
      <w:r>
        <w:rPr>
          <w:rFonts w:ascii="Times New Roman" w:hAnsi="Times New Roman" w:cs="Times New Roman"/>
          <w:sz w:val="24"/>
          <w:szCs w:val="24"/>
        </w:rPr>
        <w:t>counter (</w:t>
      </w:r>
      <w:r w:rsidRPr="00936A98">
        <w:rPr>
          <w:rFonts w:ascii="Times New Roman" w:hAnsi="Times New Roman" w:cs="Times New Roman"/>
          <w:sz w:val="24"/>
          <w:szCs w:val="24"/>
        </w:rPr>
        <w:t>OTC</w:t>
      </w:r>
      <w:r>
        <w:rPr>
          <w:rFonts w:ascii="Times New Roman" w:hAnsi="Times New Roman" w:cs="Times New Roman"/>
          <w:sz w:val="24"/>
          <w:szCs w:val="24"/>
        </w:rPr>
        <w:t>)</w:t>
      </w:r>
      <w:r w:rsidRPr="00936A98">
        <w:rPr>
          <w:rFonts w:ascii="Times New Roman" w:hAnsi="Times New Roman" w:cs="Times New Roman"/>
          <w:sz w:val="24"/>
          <w:szCs w:val="24"/>
        </w:rPr>
        <w:t xml:space="preserve"> clearing</w:t>
      </w:r>
      <w:r w:rsidR="000527A6">
        <w:rPr>
          <w:rFonts w:ascii="Times New Roman" w:hAnsi="Times New Roman" w:cs="Times New Roman"/>
          <w:sz w:val="24"/>
          <w:szCs w:val="24"/>
        </w:rPr>
        <w:t xml:space="preserve"> arrangements</w:t>
      </w:r>
      <w:r>
        <w:rPr>
          <w:rFonts w:ascii="Times New Roman" w:hAnsi="Times New Roman" w:cs="Times New Roman"/>
          <w:sz w:val="24"/>
          <w:szCs w:val="24"/>
        </w:rPr>
        <w:t>;</w:t>
      </w:r>
    </w:p>
    <w:p w:rsidR="000527A6" w:rsidRDefault="00936A98" w:rsidP="000527A6">
      <w:pPr>
        <w:spacing w:after="0" w:line="240" w:lineRule="auto"/>
        <w:ind w:left="1134" w:hanging="567"/>
        <w:rPr>
          <w:rFonts w:ascii="Times New Roman" w:hAnsi="Times New Roman" w:cs="Times New Roman"/>
          <w:sz w:val="24"/>
          <w:szCs w:val="24"/>
        </w:rPr>
      </w:pPr>
      <w:r w:rsidRPr="00936A98">
        <w:rPr>
          <w:rFonts w:ascii="Times New Roman" w:hAnsi="Times New Roman" w:cs="Times New Roman"/>
          <w:sz w:val="24"/>
          <w:szCs w:val="24"/>
        </w:rPr>
        <w:t>(b)</w:t>
      </w:r>
      <w:r w:rsidRPr="00936A98">
        <w:rPr>
          <w:rFonts w:ascii="Times New Roman" w:hAnsi="Times New Roman" w:cs="Times New Roman"/>
          <w:sz w:val="24"/>
          <w:szCs w:val="24"/>
        </w:rPr>
        <w:tab/>
        <w:t>notic</w:t>
      </w:r>
      <w:r w:rsidR="00F41433">
        <w:rPr>
          <w:rFonts w:ascii="Times New Roman" w:hAnsi="Times New Roman" w:cs="Times New Roman"/>
          <w:sz w:val="24"/>
          <w:szCs w:val="24"/>
        </w:rPr>
        <w:t>e</w:t>
      </w:r>
      <w:r w:rsidRPr="00936A98">
        <w:rPr>
          <w:rFonts w:ascii="Times New Roman" w:hAnsi="Times New Roman" w:cs="Times New Roman"/>
          <w:sz w:val="24"/>
          <w:szCs w:val="24"/>
        </w:rPr>
        <w:t xml:space="preserve"> of </w:t>
      </w:r>
      <w:r w:rsidR="00540F9B">
        <w:rPr>
          <w:rFonts w:ascii="Times New Roman" w:hAnsi="Times New Roman" w:cs="Times New Roman"/>
          <w:sz w:val="24"/>
          <w:szCs w:val="24"/>
        </w:rPr>
        <w:t xml:space="preserve">changes to the operating </w:t>
      </w:r>
      <w:r w:rsidRPr="00936A98">
        <w:rPr>
          <w:rFonts w:ascii="Times New Roman" w:hAnsi="Times New Roman" w:cs="Times New Roman"/>
          <w:sz w:val="24"/>
          <w:szCs w:val="24"/>
        </w:rPr>
        <w:t>rule</w:t>
      </w:r>
      <w:r w:rsidR="00540F9B">
        <w:rPr>
          <w:rFonts w:ascii="Times New Roman" w:hAnsi="Times New Roman" w:cs="Times New Roman"/>
          <w:sz w:val="24"/>
          <w:szCs w:val="24"/>
        </w:rPr>
        <w:t>s</w:t>
      </w:r>
      <w:r w:rsidRPr="00936A98">
        <w:rPr>
          <w:rFonts w:ascii="Times New Roman" w:hAnsi="Times New Roman" w:cs="Times New Roman"/>
          <w:sz w:val="24"/>
          <w:szCs w:val="24"/>
        </w:rPr>
        <w:t xml:space="preserve"> for a new proposal that is</w:t>
      </w:r>
      <w:r w:rsidR="000527A6">
        <w:rPr>
          <w:rFonts w:ascii="Times New Roman" w:hAnsi="Times New Roman" w:cs="Times New Roman"/>
          <w:sz w:val="24"/>
          <w:szCs w:val="24"/>
        </w:rPr>
        <w:t>:</w:t>
      </w:r>
    </w:p>
    <w:p w:rsidR="000527A6" w:rsidRDefault="000527A6" w:rsidP="000527A6">
      <w:pPr>
        <w:spacing w:after="0" w:line="240" w:lineRule="auto"/>
        <w:ind w:left="1134" w:hanging="567"/>
        <w:rPr>
          <w:rFonts w:ascii="Times New Roman" w:hAnsi="Times New Roman" w:cs="Times New Roman"/>
          <w:sz w:val="24"/>
          <w:szCs w:val="24"/>
        </w:rPr>
      </w:pPr>
    </w:p>
    <w:p w:rsidR="000527A6" w:rsidRDefault="000527A6" w:rsidP="000527A6">
      <w:pPr>
        <w:spacing w:after="0" w:line="240" w:lineRule="auto"/>
        <w:ind w:left="1701" w:hanging="567"/>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936A98" w:rsidRPr="00936A98">
        <w:rPr>
          <w:rFonts w:ascii="Times New Roman" w:hAnsi="Times New Roman" w:cs="Times New Roman"/>
          <w:sz w:val="24"/>
          <w:szCs w:val="24"/>
        </w:rPr>
        <w:t>structurally different to those available in the Australian market</w:t>
      </w:r>
      <w:r w:rsidRPr="000527A6">
        <w:rPr>
          <w:rFonts w:ascii="Times New Roman" w:hAnsi="Times New Roman" w:cs="Times New Roman"/>
          <w:sz w:val="24"/>
          <w:szCs w:val="24"/>
        </w:rPr>
        <w:t xml:space="preserve"> </w:t>
      </w:r>
      <w:r>
        <w:rPr>
          <w:rFonts w:ascii="Times New Roman" w:hAnsi="Times New Roman" w:cs="Times New Roman"/>
          <w:sz w:val="24"/>
          <w:szCs w:val="24"/>
        </w:rPr>
        <w:t>or which have the potential to create structural changes in the Australian market</w:t>
      </w:r>
      <w:r w:rsidR="00936A98" w:rsidRPr="00936A98">
        <w:rPr>
          <w:rFonts w:ascii="Times New Roman" w:hAnsi="Times New Roman" w:cs="Times New Roman"/>
          <w:sz w:val="24"/>
          <w:szCs w:val="24"/>
        </w:rPr>
        <w:t xml:space="preserve">, </w:t>
      </w:r>
      <w:r>
        <w:rPr>
          <w:rFonts w:ascii="Times New Roman" w:hAnsi="Times New Roman" w:cs="Times New Roman"/>
          <w:sz w:val="24"/>
          <w:szCs w:val="24"/>
        </w:rPr>
        <w:t>such as the historical introduction of margining for equities or a service for trading securities that altered the sequence or priority in which orders are matched; or</w:t>
      </w:r>
    </w:p>
    <w:p w:rsidR="000527A6" w:rsidRDefault="000527A6" w:rsidP="000527A6">
      <w:pPr>
        <w:spacing w:after="0" w:line="240" w:lineRule="auto"/>
        <w:ind w:left="1701" w:hanging="567"/>
        <w:rPr>
          <w:rFonts w:ascii="Times New Roman" w:hAnsi="Times New Roman" w:cs="Times New Roman"/>
          <w:sz w:val="24"/>
          <w:szCs w:val="24"/>
        </w:rPr>
      </w:pPr>
    </w:p>
    <w:p w:rsidR="00936A98" w:rsidRDefault="000527A6" w:rsidP="000527A6">
      <w:pPr>
        <w:spacing w:after="0" w:line="240" w:lineRule="auto"/>
        <w:ind w:left="1701" w:hanging="567"/>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r>
      <w:r w:rsidR="00936A98" w:rsidRPr="00936A98">
        <w:rPr>
          <w:rFonts w:ascii="Times New Roman" w:hAnsi="Times New Roman" w:cs="Times New Roman"/>
          <w:sz w:val="24"/>
          <w:szCs w:val="24"/>
        </w:rPr>
        <w:t xml:space="preserve">materially different to that previously operated by the </w:t>
      </w:r>
      <w:r w:rsidR="00540F9B">
        <w:rPr>
          <w:rFonts w:ascii="Times New Roman" w:hAnsi="Times New Roman" w:cs="Times New Roman"/>
          <w:sz w:val="24"/>
          <w:szCs w:val="24"/>
        </w:rPr>
        <w:t xml:space="preserve">relevant </w:t>
      </w:r>
      <w:r w:rsidR="00936A98" w:rsidRPr="00936A98">
        <w:rPr>
          <w:rFonts w:ascii="Times New Roman" w:hAnsi="Times New Roman" w:cs="Times New Roman"/>
          <w:sz w:val="24"/>
          <w:szCs w:val="24"/>
        </w:rPr>
        <w:t xml:space="preserve">licensee such as the launch of a new service for listing or quoting managed funds by a licensee that has not previously provided this type of </w:t>
      </w:r>
      <w:r w:rsidR="00540F9B">
        <w:rPr>
          <w:rFonts w:ascii="Times New Roman" w:hAnsi="Times New Roman" w:cs="Times New Roman"/>
          <w:sz w:val="24"/>
          <w:szCs w:val="24"/>
        </w:rPr>
        <w:t>service;</w:t>
      </w:r>
    </w:p>
    <w:p w:rsidR="000527A6" w:rsidRPr="00936A98" w:rsidRDefault="000527A6" w:rsidP="000527A6">
      <w:pPr>
        <w:spacing w:after="0" w:line="240" w:lineRule="auto"/>
        <w:ind w:left="1701" w:hanging="567"/>
        <w:rPr>
          <w:rFonts w:ascii="Times New Roman" w:hAnsi="Times New Roman" w:cs="Times New Roman"/>
          <w:sz w:val="24"/>
          <w:szCs w:val="24"/>
        </w:rPr>
      </w:pPr>
    </w:p>
    <w:p w:rsidR="00A669B9" w:rsidRPr="00540F9B" w:rsidRDefault="00936A98" w:rsidP="00540F9B">
      <w:pPr>
        <w:spacing w:after="240" w:line="240" w:lineRule="auto"/>
        <w:ind w:left="1134" w:hanging="567"/>
        <w:rPr>
          <w:rFonts w:ascii="Times New Roman" w:hAnsi="Times New Roman" w:cs="Times New Roman"/>
          <w:sz w:val="24"/>
          <w:szCs w:val="24"/>
        </w:rPr>
      </w:pPr>
      <w:r w:rsidRPr="00936A98">
        <w:rPr>
          <w:rFonts w:ascii="Times New Roman" w:hAnsi="Times New Roman" w:cs="Times New Roman"/>
          <w:sz w:val="24"/>
          <w:szCs w:val="24"/>
        </w:rPr>
        <w:t>(c)</w:t>
      </w:r>
      <w:r w:rsidRPr="00936A98">
        <w:rPr>
          <w:rFonts w:ascii="Times New Roman" w:hAnsi="Times New Roman" w:cs="Times New Roman"/>
          <w:sz w:val="24"/>
          <w:szCs w:val="24"/>
        </w:rPr>
        <w:tab/>
        <w:t>an application for a licence to operate a</w:t>
      </w:r>
      <w:r w:rsidR="00540F9B">
        <w:rPr>
          <w:rFonts w:ascii="Times New Roman" w:hAnsi="Times New Roman" w:cs="Times New Roman"/>
          <w:sz w:val="24"/>
          <w:szCs w:val="24"/>
        </w:rPr>
        <w:t xml:space="preserve"> financial market </w:t>
      </w:r>
      <w:r w:rsidRPr="00936A98">
        <w:rPr>
          <w:rFonts w:ascii="Times New Roman" w:hAnsi="Times New Roman" w:cs="Times New Roman"/>
          <w:sz w:val="24"/>
          <w:szCs w:val="24"/>
        </w:rPr>
        <w:t>or notic</w:t>
      </w:r>
      <w:r w:rsidR="00F41433">
        <w:rPr>
          <w:rFonts w:ascii="Times New Roman" w:hAnsi="Times New Roman" w:cs="Times New Roman"/>
          <w:sz w:val="24"/>
          <w:szCs w:val="24"/>
        </w:rPr>
        <w:t>e</w:t>
      </w:r>
      <w:r w:rsidRPr="00936A98">
        <w:rPr>
          <w:rFonts w:ascii="Times New Roman" w:hAnsi="Times New Roman" w:cs="Times New Roman"/>
          <w:sz w:val="24"/>
          <w:szCs w:val="24"/>
        </w:rPr>
        <w:t xml:space="preserve"> of</w:t>
      </w:r>
      <w:r w:rsidR="00540F9B">
        <w:rPr>
          <w:rFonts w:ascii="Times New Roman" w:hAnsi="Times New Roman" w:cs="Times New Roman"/>
          <w:sz w:val="24"/>
          <w:szCs w:val="24"/>
        </w:rPr>
        <w:t xml:space="preserve"> changes</w:t>
      </w:r>
      <w:r w:rsidR="00F41433">
        <w:rPr>
          <w:rFonts w:ascii="Times New Roman" w:hAnsi="Times New Roman" w:cs="Times New Roman"/>
          <w:sz w:val="24"/>
          <w:szCs w:val="24"/>
        </w:rPr>
        <w:t> </w:t>
      </w:r>
      <w:r w:rsidR="00540F9B">
        <w:rPr>
          <w:rFonts w:ascii="Times New Roman" w:hAnsi="Times New Roman" w:cs="Times New Roman"/>
          <w:sz w:val="24"/>
          <w:szCs w:val="24"/>
        </w:rPr>
        <w:t>to</w:t>
      </w:r>
      <w:r w:rsidR="00F41433">
        <w:rPr>
          <w:rFonts w:ascii="Times New Roman" w:hAnsi="Times New Roman" w:cs="Times New Roman"/>
          <w:sz w:val="24"/>
          <w:szCs w:val="24"/>
        </w:rPr>
        <w:t> </w:t>
      </w:r>
      <w:r w:rsidR="00540F9B">
        <w:rPr>
          <w:rFonts w:ascii="Times New Roman" w:hAnsi="Times New Roman" w:cs="Times New Roman"/>
          <w:sz w:val="24"/>
          <w:szCs w:val="24"/>
        </w:rPr>
        <w:t xml:space="preserve">operating rules </w:t>
      </w:r>
      <w:r w:rsidRPr="00936A98">
        <w:rPr>
          <w:rFonts w:ascii="Times New Roman" w:hAnsi="Times New Roman" w:cs="Times New Roman"/>
          <w:sz w:val="24"/>
          <w:szCs w:val="24"/>
        </w:rPr>
        <w:t xml:space="preserve">to support </w:t>
      </w:r>
      <w:r w:rsidR="00540F9B">
        <w:rPr>
          <w:rFonts w:ascii="Times New Roman" w:hAnsi="Times New Roman" w:cs="Times New Roman"/>
          <w:sz w:val="24"/>
          <w:szCs w:val="24"/>
        </w:rPr>
        <w:t xml:space="preserve">the market’s </w:t>
      </w:r>
      <w:r w:rsidRPr="00936A98">
        <w:rPr>
          <w:rFonts w:ascii="Times New Roman" w:hAnsi="Times New Roman" w:cs="Times New Roman"/>
          <w:sz w:val="24"/>
          <w:szCs w:val="24"/>
        </w:rPr>
        <w:t>re-launch under a different</w:t>
      </w:r>
      <w:r w:rsidR="00540F9B">
        <w:rPr>
          <w:rFonts w:ascii="Times New Roman" w:hAnsi="Times New Roman" w:cs="Times New Roman"/>
          <w:sz w:val="24"/>
          <w:szCs w:val="24"/>
        </w:rPr>
        <w:t> </w:t>
      </w:r>
      <w:r w:rsidRPr="00936A98">
        <w:rPr>
          <w:rFonts w:ascii="Times New Roman" w:hAnsi="Times New Roman" w:cs="Times New Roman"/>
          <w:sz w:val="24"/>
          <w:szCs w:val="24"/>
        </w:rPr>
        <w:t>business</w:t>
      </w:r>
      <w:r w:rsidR="00F41433">
        <w:rPr>
          <w:rFonts w:ascii="Times New Roman" w:hAnsi="Times New Roman" w:cs="Times New Roman"/>
          <w:sz w:val="24"/>
          <w:szCs w:val="24"/>
        </w:rPr>
        <w:t> </w:t>
      </w:r>
      <w:r w:rsidRPr="00936A98">
        <w:rPr>
          <w:rFonts w:ascii="Times New Roman" w:hAnsi="Times New Roman" w:cs="Times New Roman"/>
          <w:sz w:val="24"/>
          <w:szCs w:val="24"/>
        </w:rPr>
        <w:t>model</w:t>
      </w:r>
      <w:r w:rsidR="00540F9B">
        <w:rPr>
          <w:rFonts w:ascii="Times New Roman" w:hAnsi="Times New Roman" w:cs="Times New Roman"/>
          <w:sz w:val="24"/>
          <w:szCs w:val="24"/>
        </w:rPr>
        <w:t>.</w:t>
      </w:r>
    </w:p>
    <w:p w:rsidR="00A669B9" w:rsidRPr="007413BA" w:rsidRDefault="00A669B9" w:rsidP="00A669B9">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8</w:t>
      </w:r>
      <w:r w:rsidRPr="007413BA">
        <w:rPr>
          <w:rFonts w:ascii="Times New Roman" w:hAnsi="Times New Roman" w:cs="Times New Roman"/>
          <w:sz w:val="24"/>
          <w:szCs w:val="24"/>
        </w:rPr>
        <w:tab/>
        <w:t>The assessment of a matter is of medium complexity if it requires a moderate level of expertise, a moderate amount of time or involves the development of new policy. Examples of matters of medium complexity might include:</w:t>
      </w:r>
    </w:p>
    <w:p w:rsidR="00540F9B" w:rsidRPr="00540F9B" w:rsidRDefault="00540F9B" w:rsidP="00540F9B">
      <w:pPr>
        <w:spacing w:after="240" w:line="240" w:lineRule="auto"/>
        <w:ind w:left="1134" w:hanging="567"/>
        <w:rPr>
          <w:rFonts w:ascii="Times New Roman" w:eastAsia="Calibri" w:hAnsi="Times New Roman" w:cs="Times New Roman"/>
          <w:sz w:val="24"/>
          <w:szCs w:val="24"/>
        </w:rPr>
      </w:pPr>
      <w:r w:rsidRPr="00540F9B">
        <w:rPr>
          <w:rFonts w:ascii="Times New Roman" w:eastAsia="Calibri" w:hAnsi="Times New Roman" w:cs="Times New Roman"/>
          <w:sz w:val="24"/>
          <w:szCs w:val="24"/>
        </w:rPr>
        <w:t>(a)</w:t>
      </w:r>
      <w:r w:rsidRPr="00540F9B">
        <w:rPr>
          <w:rFonts w:ascii="Times New Roman" w:eastAsia="Calibri" w:hAnsi="Times New Roman" w:cs="Times New Roman"/>
          <w:sz w:val="24"/>
          <w:szCs w:val="24"/>
        </w:rPr>
        <w:tab/>
        <w:t>notic</w:t>
      </w:r>
      <w:r w:rsidR="00F41433">
        <w:rPr>
          <w:rFonts w:ascii="Times New Roman" w:eastAsia="Calibri" w:hAnsi="Times New Roman" w:cs="Times New Roman"/>
          <w:sz w:val="24"/>
          <w:szCs w:val="24"/>
        </w:rPr>
        <w:t>e</w:t>
      </w:r>
      <w:r w:rsidRPr="00540F9B">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changes to the </w:t>
      </w:r>
      <w:r w:rsidRPr="00540F9B">
        <w:rPr>
          <w:rFonts w:ascii="Times New Roman" w:eastAsia="Calibri" w:hAnsi="Times New Roman" w:cs="Times New Roman"/>
          <w:sz w:val="24"/>
          <w:szCs w:val="24"/>
        </w:rPr>
        <w:t>operating rule</w:t>
      </w:r>
      <w:r w:rsidR="00F41433">
        <w:rPr>
          <w:rFonts w:ascii="Times New Roman" w:eastAsia="Calibri" w:hAnsi="Times New Roman" w:cs="Times New Roman"/>
          <w:sz w:val="24"/>
          <w:szCs w:val="24"/>
        </w:rPr>
        <w:t>s</w:t>
      </w:r>
      <w:r w:rsidRPr="00540F9B">
        <w:rPr>
          <w:rFonts w:ascii="Times New Roman" w:eastAsia="Calibri" w:hAnsi="Times New Roman" w:cs="Times New Roman"/>
          <w:sz w:val="24"/>
          <w:szCs w:val="24"/>
        </w:rPr>
        <w:t xml:space="preserve"> to introduce a new futures product by an</w:t>
      </w:r>
      <w:r>
        <w:rPr>
          <w:rFonts w:ascii="Times New Roman" w:eastAsia="Calibri" w:hAnsi="Times New Roman" w:cs="Times New Roman"/>
          <w:sz w:val="24"/>
          <w:szCs w:val="24"/>
        </w:rPr>
        <w:t> </w:t>
      </w:r>
      <w:r w:rsidRPr="00540F9B">
        <w:rPr>
          <w:rFonts w:ascii="Times New Roman" w:eastAsia="Calibri" w:hAnsi="Times New Roman" w:cs="Times New Roman"/>
          <w:sz w:val="24"/>
          <w:szCs w:val="24"/>
        </w:rPr>
        <w:t>existing futures market operator where that new product does not give rise to structural changes to the Australian market</w:t>
      </w:r>
      <w:r>
        <w:rPr>
          <w:rFonts w:ascii="Times New Roman" w:eastAsia="Calibri" w:hAnsi="Times New Roman" w:cs="Times New Roman"/>
          <w:sz w:val="24"/>
          <w:szCs w:val="24"/>
        </w:rPr>
        <w:t>; or</w:t>
      </w:r>
    </w:p>
    <w:p w:rsidR="00540F9B" w:rsidRPr="00540F9B" w:rsidRDefault="00540F9B" w:rsidP="00540F9B">
      <w:pPr>
        <w:spacing w:after="240" w:line="240" w:lineRule="auto"/>
        <w:ind w:left="1134" w:hanging="567"/>
        <w:rPr>
          <w:rFonts w:ascii="Times New Roman" w:eastAsia="Calibri" w:hAnsi="Times New Roman" w:cs="Times New Roman"/>
          <w:sz w:val="24"/>
          <w:szCs w:val="24"/>
        </w:rPr>
      </w:pPr>
      <w:r w:rsidRPr="00540F9B">
        <w:rPr>
          <w:rFonts w:ascii="Times New Roman" w:eastAsia="Calibri" w:hAnsi="Times New Roman" w:cs="Times New Roman"/>
          <w:sz w:val="24"/>
          <w:szCs w:val="24"/>
        </w:rPr>
        <w:t>(b)</w:t>
      </w:r>
      <w:r w:rsidRPr="00540F9B">
        <w:rPr>
          <w:rFonts w:ascii="Times New Roman" w:eastAsia="Calibri" w:hAnsi="Times New Roman" w:cs="Times New Roman"/>
          <w:sz w:val="24"/>
          <w:szCs w:val="24"/>
        </w:rPr>
        <w:tab/>
        <w:t>noti</w:t>
      </w:r>
      <w:r w:rsidR="00F41433">
        <w:rPr>
          <w:rFonts w:ascii="Times New Roman" w:eastAsia="Calibri" w:hAnsi="Times New Roman" w:cs="Times New Roman"/>
          <w:sz w:val="24"/>
          <w:szCs w:val="24"/>
        </w:rPr>
        <w:t xml:space="preserve">ce </w:t>
      </w:r>
      <w:r w:rsidRPr="00540F9B">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changes to the </w:t>
      </w:r>
      <w:r w:rsidRPr="00540F9B">
        <w:rPr>
          <w:rFonts w:ascii="Times New Roman" w:eastAsia="Calibri" w:hAnsi="Times New Roman" w:cs="Times New Roman"/>
          <w:sz w:val="24"/>
          <w:szCs w:val="24"/>
        </w:rPr>
        <w:t>operating rule</w:t>
      </w:r>
      <w:r>
        <w:rPr>
          <w:rFonts w:ascii="Times New Roman" w:eastAsia="Calibri" w:hAnsi="Times New Roman" w:cs="Times New Roman"/>
          <w:sz w:val="24"/>
          <w:szCs w:val="24"/>
        </w:rPr>
        <w:t>s</w:t>
      </w:r>
      <w:r w:rsidRPr="00540F9B">
        <w:rPr>
          <w:rFonts w:ascii="Times New Roman" w:eastAsia="Calibri" w:hAnsi="Times New Roman" w:cs="Times New Roman"/>
          <w:sz w:val="24"/>
          <w:szCs w:val="24"/>
        </w:rPr>
        <w:t xml:space="preserve"> to modernise important admission criteria for listed entities by an established listing market</w:t>
      </w:r>
      <w:r>
        <w:rPr>
          <w:rFonts w:ascii="Times New Roman" w:eastAsia="Calibri" w:hAnsi="Times New Roman" w:cs="Times New Roman"/>
          <w:sz w:val="24"/>
          <w:szCs w:val="24"/>
        </w:rPr>
        <w:t>.</w:t>
      </w:r>
    </w:p>
    <w:p w:rsidR="007E505B" w:rsidRPr="007413BA" w:rsidRDefault="00A669B9" w:rsidP="00F773EB">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3.1</w:t>
      </w:r>
      <w:r w:rsidR="003711B8">
        <w:rPr>
          <w:rFonts w:ascii="Times New Roman" w:hAnsi="Times New Roman" w:cs="Times New Roman"/>
          <w:sz w:val="24"/>
          <w:szCs w:val="24"/>
        </w:rPr>
        <w:t>9</w:t>
      </w:r>
      <w:r w:rsidRPr="007413BA">
        <w:rPr>
          <w:rFonts w:ascii="Times New Roman" w:hAnsi="Times New Roman" w:cs="Times New Roman"/>
          <w:sz w:val="24"/>
          <w:szCs w:val="24"/>
        </w:rPr>
        <w:tab/>
        <w:t xml:space="preserve">The assessment of a matter is of low complexity if the matter is of neither high nor medium complexity. </w:t>
      </w:r>
      <w:r w:rsidR="005711AB" w:rsidRPr="007413BA">
        <w:rPr>
          <w:rFonts w:ascii="Times New Roman" w:hAnsi="Times New Roman" w:cs="Times New Roman"/>
          <w:sz w:val="24"/>
          <w:szCs w:val="24"/>
        </w:rPr>
        <w:t xml:space="preserve">In the case of changes to the operating rules, the matter will also be of low complexity if the changes merely correct typographical or cross-referencing errors, or </w:t>
      </w:r>
      <w:r w:rsidR="00DF3452">
        <w:rPr>
          <w:rFonts w:ascii="Times New Roman" w:hAnsi="Times New Roman" w:cs="Times New Roman"/>
          <w:sz w:val="24"/>
          <w:szCs w:val="24"/>
        </w:rPr>
        <w:t xml:space="preserve">are </w:t>
      </w:r>
      <w:r w:rsidR="005711AB" w:rsidRPr="007413BA">
        <w:rPr>
          <w:rFonts w:ascii="Times New Roman" w:hAnsi="Times New Roman" w:cs="Times New Roman"/>
          <w:sz w:val="24"/>
          <w:szCs w:val="24"/>
        </w:rPr>
        <w:t xml:space="preserve">merely consequential on </w:t>
      </w:r>
      <w:r w:rsidR="009F6FCE" w:rsidRPr="007413BA">
        <w:rPr>
          <w:rFonts w:ascii="Times New Roman" w:hAnsi="Times New Roman" w:cs="Times New Roman"/>
          <w:sz w:val="24"/>
          <w:szCs w:val="24"/>
        </w:rPr>
        <w:t>changes to legislation</w:t>
      </w:r>
      <w:r w:rsidR="00DF3452">
        <w:rPr>
          <w:rFonts w:ascii="Times New Roman" w:hAnsi="Times New Roman" w:cs="Times New Roman"/>
          <w:sz w:val="24"/>
          <w:szCs w:val="24"/>
        </w:rPr>
        <w:t xml:space="preserve">, regulations </w:t>
      </w:r>
      <w:r w:rsidR="009F6FCE" w:rsidRPr="007413BA">
        <w:rPr>
          <w:rFonts w:ascii="Times New Roman" w:hAnsi="Times New Roman" w:cs="Times New Roman"/>
          <w:sz w:val="24"/>
          <w:szCs w:val="24"/>
        </w:rPr>
        <w:t>or legislative</w:t>
      </w:r>
      <w:r w:rsidR="00DF3452">
        <w:rPr>
          <w:rFonts w:ascii="Times New Roman" w:hAnsi="Times New Roman" w:cs="Times New Roman"/>
          <w:sz w:val="24"/>
          <w:szCs w:val="24"/>
        </w:rPr>
        <w:t> </w:t>
      </w:r>
      <w:r w:rsidR="009F6FCE" w:rsidRPr="007413BA">
        <w:rPr>
          <w:rFonts w:ascii="Times New Roman" w:hAnsi="Times New Roman" w:cs="Times New Roman"/>
          <w:sz w:val="24"/>
          <w:szCs w:val="24"/>
        </w:rPr>
        <w:t>instruments such as the market integrity rules</w:t>
      </w:r>
      <w:r w:rsidR="00540F9B">
        <w:rPr>
          <w:rFonts w:ascii="Times New Roman" w:hAnsi="Times New Roman" w:cs="Times New Roman"/>
          <w:sz w:val="24"/>
          <w:szCs w:val="24"/>
        </w:rPr>
        <w:t>, or other operating rules</w:t>
      </w:r>
      <w:r w:rsidR="009F6FCE" w:rsidRPr="007413BA">
        <w:rPr>
          <w:rFonts w:ascii="Times New Roman" w:hAnsi="Times New Roman" w:cs="Times New Roman"/>
          <w:sz w:val="24"/>
          <w:szCs w:val="24"/>
        </w:rPr>
        <w:t>.</w:t>
      </w:r>
      <w:r w:rsidR="00001D6C">
        <w:rPr>
          <w:rFonts w:ascii="Times New Roman" w:hAnsi="Times New Roman" w:cs="Times New Roman"/>
          <w:sz w:val="24"/>
          <w:szCs w:val="24"/>
        </w:rPr>
        <w:t xml:space="preserve"> </w:t>
      </w:r>
      <w:r w:rsidR="00001D6C" w:rsidRPr="00001D6C">
        <w:rPr>
          <w:rFonts w:ascii="Times New Roman" w:hAnsi="Times New Roman" w:cs="Times New Roman"/>
          <w:sz w:val="24"/>
          <w:szCs w:val="24"/>
        </w:rPr>
        <w:t>The </w:t>
      </w:r>
      <w:r w:rsidR="00001D6C" w:rsidRPr="00001D6C">
        <w:rPr>
          <w:rFonts w:ascii="Times New Roman" w:hAnsi="Times New Roman"/>
          <w:sz w:val="24"/>
          <w:szCs w:val="24"/>
        </w:rPr>
        <w:t>circumstances for which this is the case for other operating rules, arise where a medium or high complexity change requires other consequential rule changes to give effect to that more complex change.</w:t>
      </w:r>
    </w:p>
    <w:p w:rsidR="008B00DA" w:rsidRPr="00FE6995" w:rsidRDefault="0076511D" w:rsidP="0076511D">
      <w:pPr>
        <w:spacing w:after="240" w:line="240" w:lineRule="auto"/>
        <w:ind w:left="567" w:hanging="567"/>
        <w:rPr>
          <w:rFonts w:ascii="Times New Roman" w:hAnsi="Times New Roman" w:cs="Times New Roman"/>
          <w:b/>
          <w:sz w:val="28"/>
          <w:szCs w:val="28"/>
        </w:rPr>
      </w:pPr>
      <w:r w:rsidRPr="00FE6995">
        <w:rPr>
          <w:rFonts w:ascii="Times New Roman" w:hAnsi="Times New Roman" w:cs="Times New Roman"/>
          <w:b/>
          <w:sz w:val="28"/>
          <w:szCs w:val="28"/>
        </w:rPr>
        <w:t>4.</w:t>
      </w:r>
      <w:r w:rsidRPr="00FE6995">
        <w:rPr>
          <w:rFonts w:ascii="Times New Roman" w:hAnsi="Times New Roman" w:cs="Times New Roman"/>
          <w:b/>
          <w:sz w:val="28"/>
          <w:szCs w:val="28"/>
        </w:rPr>
        <w:tab/>
      </w:r>
      <w:r w:rsidR="003956C7" w:rsidRPr="00FE6995">
        <w:rPr>
          <w:rFonts w:ascii="Times New Roman" w:hAnsi="Times New Roman" w:cs="Times New Roman"/>
          <w:b/>
          <w:sz w:val="28"/>
          <w:szCs w:val="28"/>
        </w:rPr>
        <w:t>Consultation</w:t>
      </w:r>
    </w:p>
    <w:p w:rsidR="00E1519F" w:rsidRDefault="000150BE" w:rsidP="000150B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4.1</w:t>
      </w:r>
      <w:r w:rsidRPr="007413BA">
        <w:rPr>
          <w:rFonts w:ascii="Times New Roman" w:hAnsi="Times New Roman" w:cs="Times New Roman"/>
          <w:sz w:val="24"/>
          <w:szCs w:val="24"/>
        </w:rPr>
        <w:tab/>
      </w:r>
      <w:r w:rsidR="000B54C9">
        <w:rPr>
          <w:rFonts w:ascii="Times New Roman" w:hAnsi="Times New Roman" w:cs="Times New Roman"/>
          <w:sz w:val="24"/>
          <w:szCs w:val="24"/>
        </w:rPr>
        <w:t xml:space="preserve">In November 2017, the Australian Government released a consultation paper entitled </w:t>
      </w:r>
      <w:r w:rsidR="000B54C9" w:rsidRPr="00E1519F">
        <w:rPr>
          <w:rFonts w:ascii="Times New Roman" w:hAnsi="Times New Roman" w:cs="Times New Roman"/>
          <w:i/>
          <w:sz w:val="24"/>
          <w:szCs w:val="24"/>
        </w:rPr>
        <w:t xml:space="preserve">Introduction of Australian Securities and Investments Commission’s </w:t>
      </w:r>
      <w:r w:rsidR="00E1519F">
        <w:rPr>
          <w:rFonts w:ascii="Times New Roman" w:hAnsi="Times New Roman" w:cs="Times New Roman"/>
          <w:i/>
          <w:sz w:val="24"/>
          <w:szCs w:val="24"/>
        </w:rPr>
        <w:t>f</w:t>
      </w:r>
      <w:r w:rsidR="000B54C9" w:rsidRPr="00E1519F">
        <w:rPr>
          <w:rFonts w:ascii="Times New Roman" w:hAnsi="Times New Roman" w:cs="Times New Roman"/>
          <w:i/>
          <w:sz w:val="24"/>
          <w:szCs w:val="24"/>
        </w:rPr>
        <w:t>ees-for-</w:t>
      </w:r>
      <w:r w:rsidR="00E1519F">
        <w:rPr>
          <w:rFonts w:ascii="Times New Roman" w:hAnsi="Times New Roman" w:cs="Times New Roman"/>
          <w:i/>
          <w:sz w:val="24"/>
          <w:szCs w:val="24"/>
        </w:rPr>
        <w:t>s</w:t>
      </w:r>
      <w:r w:rsidR="000B54C9" w:rsidRPr="00E1519F">
        <w:rPr>
          <w:rFonts w:ascii="Times New Roman" w:hAnsi="Times New Roman" w:cs="Times New Roman"/>
          <w:i/>
          <w:sz w:val="24"/>
          <w:szCs w:val="24"/>
        </w:rPr>
        <w:t xml:space="preserve">ervice </w:t>
      </w:r>
      <w:r w:rsidR="00E1519F">
        <w:rPr>
          <w:rFonts w:ascii="Times New Roman" w:hAnsi="Times New Roman" w:cs="Times New Roman"/>
          <w:i/>
          <w:sz w:val="24"/>
          <w:szCs w:val="24"/>
        </w:rPr>
        <w:t>u</w:t>
      </w:r>
      <w:r w:rsidR="000B54C9" w:rsidRPr="00E1519F">
        <w:rPr>
          <w:rFonts w:ascii="Times New Roman" w:hAnsi="Times New Roman" w:cs="Times New Roman"/>
          <w:i/>
          <w:sz w:val="24"/>
          <w:szCs w:val="24"/>
        </w:rPr>
        <w:t xml:space="preserve">nder the </w:t>
      </w:r>
      <w:r w:rsidR="00E1519F">
        <w:rPr>
          <w:rFonts w:ascii="Times New Roman" w:hAnsi="Times New Roman" w:cs="Times New Roman"/>
          <w:i/>
          <w:sz w:val="24"/>
          <w:szCs w:val="24"/>
        </w:rPr>
        <w:t>i</w:t>
      </w:r>
      <w:r w:rsidR="000B54C9" w:rsidRPr="00E1519F">
        <w:rPr>
          <w:rFonts w:ascii="Times New Roman" w:hAnsi="Times New Roman" w:cs="Times New Roman"/>
          <w:i/>
          <w:sz w:val="24"/>
          <w:szCs w:val="24"/>
        </w:rPr>
        <w:t xml:space="preserve">ndustry </w:t>
      </w:r>
      <w:r w:rsidR="00E1519F">
        <w:rPr>
          <w:rFonts w:ascii="Times New Roman" w:hAnsi="Times New Roman" w:cs="Times New Roman"/>
          <w:i/>
          <w:sz w:val="24"/>
          <w:szCs w:val="24"/>
        </w:rPr>
        <w:t>f</w:t>
      </w:r>
      <w:r w:rsidR="000B54C9" w:rsidRPr="00E1519F">
        <w:rPr>
          <w:rFonts w:ascii="Times New Roman" w:hAnsi="Times New Roman" w:cs="Times New Roman"/>
          <w:i/>
          <w:sz w:val="24"/>
          <w:szCs w:val="24"/>
        </w:rPr>
        <w:t xml:space="preserve">unding </w:t>
      </w:r>
      <w:r w:rsidR="00E1519F">
        <w:rPr>
          <w:rFonts w:ascii="Times New Roman" w:hAnsi="Times New Roman" w:cs="Times New Roman"/>
          <w:i/>
          <w:sz w:val="24"/>
          <w:szCs w:val="24"/>
        </w:rPr>
        <w:t>m</w:t>
      </w:r>
      <w:r w:rsidR="000B54C9" w:rsidRPr="00E1519F">
        <w:rPr>
          <w:rFonts w:ascii="Times New Roman" w:hAnsi="Times New Roman" w:cs="Times New Roman"/>
          <w:i/>
          <w:sz w:val="24"/>
          <w:szCs w:val="24"/>
        </w:rPr>
        <w:t>odel</w:t>
      </w:r>
      <w:r w:rsidR="00E1519F">
        <w:rPr>
          <w:rFonts w:ascii="Times New Roman" w:hAnsi="Times New Roman" w:cs="Times New Roman"/>
          <w:sz w:val="24"/>
          <w:szCs w:val="24"/>
        </w:rPr>
        <w:t xml:space="preserve">. </w:t>
      </w:r>
    </w:p>
    <w:p w:rsidR="000150BE" w:rsidRPr="007413BA" w:rsidRDefault="00E1519F" w:rsidP="000150BE">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In </w:t>
      </w:r>
      <w:r w:rsidR="000150BE" w:rsidRPr="007413BA">
        <w:rPr>
          <w:rFonts w:ascii="Times New Roman" w:hAnsi="Times New Roman" w:cs="Times New Roman"/>
          <w:sz w:val="24"/>
          <w:szCs w:val="24"/>
        </w:rPr>
        <w:t xml:space="preserve">May 2018, ASIC released the </w:t>
      </w:r>
      <w:r w:rsidR="000150BE" w:rsidRPr="007413BA">
        <w:rPr>
          <w:rFonts w:ascii="Times New Roman" w:hAnsi="Times New Roman" w:cs="Times New Roman"/>
          <w:i/>
          <w:sz w:val="24"/>
          <w:szCs w:val="24"/>
        </w:rPr>
        <w:t>Cost Recovery Implementation Statement: Fees for service under the ASIC industry funding model (2018–19)</w:t>
      </w:r>
      <w:r w:rsidR="000150BE" w:rsidRPr="007413BA">
        <w:rPr>
          <w:rFonts w:ascii="Times New Roman" w:hAnsi="Times New Roman" w:cs="Times New Roman"/>
          <w:sz w:val="24"/>
          <w:szCs w:val="24"/>
        </w:rPr>
        <w:t xml:space="preserve"> (the </w:t>
      </w:r>
      <w:r w:rsidR="000150BE" w:rsidRPr="007413BA">
        <w:rPr>
          <w:rFonts w:ascii="Times New Roman" w:hAnsi="Times New Roman" w:cs="Times New Roman"/>
          <w:b/>
          <w:i/>
          <w:sz w:val="24"/>
          <w:szCs w:val="24"/>
        </w:rPr>
        <w:t>CRIS</w:t>
      </w:r>
      <w:r w:rsidR="000150BE" w:rsidRPr="007413BA">
        <w:rPr>
          <w:rFonts w:ascii="Times New Roman" w:hAnsi="Times New Roman" w:cs="Times New Roman"/>
          <w:sz w:val="24"/>
          <w:szCs w:val="24"/>
        </w:rPr>
        <w:t>) for consultation.</w:t>
      </w:r>
    </w:p>
    <w:p w:rsidR="000150BE" w:rsidRPr="007413BA" w:rsidRDefault="000150BE" w:rsidP="000150B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4.</w:t>
      </w:r>
      <w:r w:rsidR="00E1519F">
        <w:rPr>
          <w:rFonts w:ascii="Times New Roman" w:hAnsi="Times New Roman" w:cs="Times New Roman"/>
          <w:sz w:val="24"/>
          <w:szCs w:val="24"/>
        </w:rPr>
        <w:t>3</w:t>
      </w:r>
      <w:r w:rsidRPr="007413BA">
        <w:rPr>
          <w:rFonts w:ascii="Times New Roman" w:hAnsi="Times New Roman" w:cs="Times New Roman"/>
          <w:sz w:val="24"/>
          <w:szCs w:val="24"/>
        </w:rPr>
        <w:tab/>
        <w:t>The CRIS provides information about how ASIC will implement fees for service for our regulatory activities under the industry funding model, including the levels of complexity for specified services, and the criteria for determining whether a specified service is considered low, medium or high complexity.</w:t>
      </w:r>
    </w:p>
    <w:p w:rsidR="000150BE" w:rsidRPr="007413BA" w:rsidRDefault="000150BE" w:rsidP="000150B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4.</w:t>
      </w:r>
      <w:r w:rsidR="00E1519F">
        <w:rPr>
          <w:rFonts w:ascii="Times New Roman" w:hAnsi="Times New Roman" w:cs="Times New Roman"/>
          <w:sz w:val="24"/>
          <w:szCs w:val="24"/>
        </w:rPr>
        <w:t>4</w:t>
      </w:r>
      <w:r w:rsidRPr="007413BA">
        <w:rPr>
          <w:rFonts w:ascii="Times New Roman" w:hAnsi="Times New Roman" w:cs="Times New Roman"/>
          <w:sz w:val="24"/>
          <w:szCs w:val="24"/>
        </w:rPr>
        <w:tab/>
      </w:r>
      <w:r w:rsidR="00E3035B">
        <w:rPr>
          <w:rFonts w:ascii="Times New Roman" w:hAnsi="Times New Roman" w:cs="Times New Roman"/>
          <w:sz w:val="24"/>
          <w:szCs w:val="24"/>
        </w:rPr>
        <w:t xml:space="preserve">ASIC </w:t>
      </w:r>
      <w:r w:rsidRPr="007413BA">
        <w:rPr>
          <w:rFonts w:ascii="Times New Roman" w:hAnsi="Times New Roman" w:cs="Times New Roman"/>
          <w:sz w:val="24"/>
          <w:szCs w:val="24"/>
        </w:rPr>
        <w:t xml:space="preserve">received 8 responses to the CRIS. One respondent to the CRIS queried whether a two-tiered fee </w:t>
      </w:r>
      <w:r w:rsidR="00BB21F2" w:rsidRPr="007413BA">
        <w:rPr>
          <w:rFonts w:ascii="Times New Roman" w:hAnsi="Times New Roman" w:cs="Times New Roman"/>
          <w:sz w:val="24"/>
          <w:szCs w:val="24"/>
        </w:rPr>
        <w:t xml:space="preserve">(i.e. low complexity and high complexity) </w:t>
      </w:r>
      <w:r w:rsidRPr="007413BA">
        <w:rPr>
          <w:rFonts w:ascii="Times New Roman" w:hAnsi="Times New Roman" w:cs="Times New Roman"/>
          <w:sz w:val="24"/>
          <w:szCs w:val="24"/>
        </w:rPr>
        <w:t xml:space="preserve">for </w:t>
      </w:r>
      <w:r w:rsidR="00BB21F2" w:rsidRPr="007413BA">
        <w:rPr>
          <w:rFonts w:ascii="Times New Roman" w:hAnsi="Times New Roman" w:cs="Times New Roman"/>
          <w:sz w:val="24"/>
          <w:szCs w:val="24"/>
        </w:rPr>
        <w:t xml:space="preserve">assessing notices to changes to the </w:t>
      </w:r>
      <w:r w:rsidRPr="007413BA">
        <w:rPr>
          <w:rFonts w:ascii="Times New Roman" w:hAnsi="Times New Roman" w:cs="Times New Roman"/>
          <w:sz w:val="24"/>
          <w:szCs w:val="24"/>
        </w:rPr>
        <w:t xml:space="preserve">operating rules </w:t>
      </w:r>
      <w:r w:rsidR="00BB21F2" w:rsidRPr="007413BA">
        <w:rPr>
          <w:rFonts w:ascii="Times New Roman" w:hAnsi="Times New Roman" w:cs="Times New Roman"/>
          <w:sz w:val="24"/>
          <w:szCs w:val="24"/>
        </w:rPr>
        <w:t xml:space="preserve">of a licensed market </w:t>
      </w:r>
      <w:r w:rsidRPr="007413BA">
        <w:rPr>
          <w:rFonts w:ascii="Times New Roman" w:hAnsi="Times New Roman" w:cs="Times New Roman"/>
          <w:sz w:val="24"/>
          <w:szCs w:val="24"/>
        </w:rPr>
        <w:t>properly reflects ASIC’s</w:t>
      </w:r>
      <w:r w:rsidR="002A5EEB" w:rsidRPr="007413BA">
        <w:rPr>
          <w:rFonts w:ascii="Times New Roman" w:hAnsi="Times New Roman" w:cs="Times New Roman"/>
          <w:sz w:val="24"/>
          <w:szCs w:val="24"/>
        </w:rPr>
        <w:t> </w:t>
      </w:r>
      <w:r w:rsidRPr="007413BA">
        <w:rPr>
          <w:rFonts w:ascii="Times New Roman" w:hAnsi="Times New Roman" w:cs="Times New Roman"/>
          <w:sz w:val="24"/>
          <w:szCs w:val="24"/>
        </w:rPr>
        <w:t>regulatory</w:t>
      </w:r>
      <w:r w:rsidR="002A5EEB" w:rsidRPr="007413BA">
        <w:rPr>
          <w:rFonts w:ascii="Times New Roman" w:hAnsi="Times New Roman" w:cs="Times New Roman"/>
          <w:sz w:val="24"/>
          <w:szCs w:val="24"/>
        </w:rPr>
        <w:t> </w:t>
      </w:r>
      <w:r w:rsidRPr="007413BA">
        <w:rPr>
          <w:rFonts w:ascii="Times New Roman" w:hAnsi="Times New Roman" w:cs="Times New Roman"/>
          <w:sz w:val="24"/>
          <w:szCs w:val="24"/>
        </w:rPr>
        <w:t xml:space="preserve">effort. In response to this feedback, ASIC reviewed the regulatory effort taken to assess a notice of changes to the operating rules of a licensed market </w:t>
      </w:r>
      <w:r w:rsidR="00BB21F2" w:rsidRPr="007413BA">
        <w:rPr>
          <w:rFonts w:ascii="Times New Roman" w:hAnsi="Times New Roman" w:cs="Times New Roman"/>
          <w:sz w:val="24"/>
          <w:szCs w:val="24"/>
        </w:rPr>
        <w:t>and</w:t>
      </w:r>
      <w:r w:rsidR="002A5EEB" w:rsidRPr="007413BA">
        <w:rPr>
          <w:rFonts w:ascii="Times New Roman" w:hAnsi="Times New Roman" w:cs="Times New Roman"/>
          <w:sz w:val="24"/>
          <w:szCs w:val="24"/>
        </w:rPr>
        <w:t> </w:t>
      </w:r>
      <w:r w:rsidR="00BB21F2" w:rsidRPr="007413BA">
        <w:rPr>
          <w:rFonts w:ascii="Times New Roman" w:hAnsi="Times New Roman" w:cs="Times New Roman"/>
          <w:sz w:val="24"/>
          <w:szCs w:val="24"/>
        </w:rPr>
        <w:t xml:space="preserve">of a </w:t>
      </w:r>
      <w:r w:rsidRPr="007413BA">
        <w:rPr>
          <w:rFonts w:ascii="Times New Roman" w:hAnsi="Times New Roman" w:cs="Times New Roman"/>
          <w:sz w:val="24"/>
          <w:szCs w:val="24"/>
        </w:rPr>
        <w:t>licensed</w:t>
      </w:r>
      <w:r w:rsidR="00BB21F2" w:rsidRPr="007413BA">
        <w:rPr>
          <w:rFonts w:ascii="Times New Roman" w:hAnsi="Times New Roman" w:cs="Times New Roman"/>
          <w:sz w:val="24"/>
          <w:szCs w:val="24"/>
        </w:rPr>
        <w:t> CS </w:t>
      </w:r>
      <w:r w:rsidRPr="007413BA">
        <w:rPr>
          <w:rFonts w:ascii="Times New Roman" w:hAnsi="Times New Roman" w:cs="Times New Roman"/>
          <w:sz w:val="24"/>
          <w:szCs w:val="24"/>
        </w:rPr>
        <w:t>facility.</w:t>
      </w:r>
    </w:p>
    <w:p w:rsidR="000150BE" w:rsidRPr="007413BA" w:rsidRDefault="000150BE" w:rsidP="000150B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4.</w:t>
      </w:r>
      <w:r w:rsidR="00E1519F">
        <w:rPr>
          <w:rFonts w:ascii="Times New Roman" w:hAnsi="Times New Roman" w:cs="Times New Roman"/>
          <w:sz w:val="24"/>
          <w:szCs w:val="24"/>
        </w:rPr>
        <w:t>5</w:t>
      </w:r>
      <w:r w:rsidRPr="007413BA">
        <w:rPr>
          <w:rFonts w:ascii="Times New Roman" w:hAnsi="Times New Roman" w:cs="Times New Roman"/>
          <w:sz w:val="24"/>
          <w:szCs w:val="24"/>
        </w:rPr>
        <w:tab/>
        <w:t xml:space="preserve">ASIC determined that the introduction of an additional complexity tier </w:t>
      </w:r>
      <w:r w:rsidR="00BB21F2" w:rsidRPr="007413BA">
        <w:rPr>
          <w:rFonts w:ascii="Times New Roman" w:hAnsi="Times New Roman" w:cs="Times New Roman"/>
          <w:sz w:val="24"/>
          <w:szCs w:val="24"/>
        </w:rPr>
        <w:t xml:space="preserve">(i.e. medium complexity) </w:t>
      </w:r>
      <w:r w:rsidRPr="007413BA">
        <w:rPr>
          <w:rFonts w:ascii="Times New Roman" w:hAnsi="Times New Roman" w:cs="Times New Roman"/>
          <w:sz w:val="24"/>
          <w:szCs w:val="24"/>
        </w:rPr>
        <w:t xml:space="preserve">will better reflect regulatory effort and allow for a more </w:t>
      </w:r>
      <w:r w:rsidRPr="007413BA">
        <w:rPr>
          <w:rFonts w:ascii="Times New Roman" w:hAnsi="Times New Roman" w:cs="Times New Roman"/>
          <w:sz w:val="24"/>
          <w:szCs w:val="24"/>
        </w:rPr>
        <w:lastRenderedPageBreak/>
        <w:t xml:space="preserve">gradual increase in fees depending on the complexity of the </w:t>
      </w:r>
      <w:r w:rsidR="00BB21F2" w:rsidRPr="007413BA">
        <w:rPr>
          <w:rFonts w:ascii="Times New Roman" w:hAnsi="Times New Roman" w:cs="Times New Roman"/>
          <w:sz w:val="24"/>
          <w:szCs w:val="24"/>
        </w:rPr>
        <w:t>changes.</w:t>
      </w:r>
      <w:r w:rsidRPr="007413BA">
        <w:rPr>
          <w:rFonts w:ascii="Times New Roman" w:hAnsi="Times New Roman" w:cs="Times New Roman"/>
          <w:sz w:val="24"/>
          <w:szCs w:val="24"/>
        </w:rPr>
        <w:t xml:space="preserve"> This amendment </w:t>
      </w:r>
      <w:r w:rsidR="00E3035B">
        <w:rPr>
          <w:rFonts w:ascii="Times New Roman" w:hAnsi="Times New Roman" w:cs="Times New Roman"/>
          <w:sz w:val="24"/>
          <w:szCs w:val="24"/>
        </w:rPr>
        <w:t xml:space="preserve">is reflected in </w:t>
      </w:r>
      <w:r w:rsidRPr="007413BA">
        <w:rPr>
          <w:rFonts w:ascii="Times New Roman" w:hAnsi="Times New Roman" w:cs="Times New Roman"/>
          <w:sz w:val="24"/>
          <w:szCs w:val="24"/>
        </w:rPr>
        <w:t xml:space="preserve">the Fees Regulations. </w:t>
      </w:r>
    </w:p>
    <w:p w:rsidR="00425EA9" w:rsidRDefault="000150BE" w:rsidP="000150BE">
      <w:pPr>
        <w:spacing w:after="240" w:line="240" w:lineRule="auto"/>
        <w:ind w:left="567" w:hanging="567"/>
        <w:rPr>
          <w:rFonts w:ascii="Times New Roman" w:hAnsi="Times New Roman" w:cs="Times New Roman"/>
          <w:sz w:val="24"/>
          <w:szCs w:val="24"/>
        </w:rPr>
      </w:pPr>
      <w:r w:rsidRPr="007413BA">
        <w:rPr>
          <w:rFonts w:ascii="Times New Roman" w:hAnsi="Times New Roman" w:cs="Times New Roman"/>
          <w:sz w:val="24"/>
          <w:szCs w:val="24"/>
        </w:rPr>
        <w:t>4.</w:t>
      </w:r>
      <w:r w:rsidR="00E1519F">
        <w:rPr>
          <w:rFonts w:ascii="Times New Roman" w:hAnsi="Times New Roman" w:cs="Times New Roman"/>
          <w:sz w:val="24"/>
          <w:szCs w:val="24"/>
        </w:rPr>
        <w:t>6</w:t>
      </w:r>
      <w:r w:rsidRPr="007413BA">
        <w:rPr>
          <w:rFonts w:ascii="Times New Roman" w:hAnsi="Times New Roman" w:cs="Times New Roman"/>
          <w:sz w:val="24"/>
          <w:szCs w:val="24"/>
        </w:rPr>
        <w:tab/>
      </w:r>
      <w:r w:rsidR="00D923AF">
        <w:rPr>
          <w:rFonts w:ascii="Times New Roman" w:hAnsi="Times New Roman" w:cs="Times New Roman"/>
          <w:sz w:val="24"/>
          <w:szCs w:val="24"/>
        </w:rPr>
        <w:t xml:space="preserve">ASIC </w:t>
      </w:r>
      <w:r w:rsidRPr="007413BA">
        <w:rPr>
          <w:rFonts w:ascii="Times New Roman" w:hAnsi="Times New Roman" w:cs="Times New Roman"/>
          <w:sz w:val="24"/>
          <w:szCs w:val="24"/>
        </w:rPr>
        <w:t>did not receive any feedback on the criteria for determining the complexity of</w:t>
      </w:r>
      <w:r w:rsidR="00D923AF">
        <w:rPr>
          <w:rFonts w:ascii="Times New Roman" w:hAnsi="Times New Roman" w:cs="Times New Roman"/>
          <w:sz w:val="24"/>
          <w:szCs w:val="24"/>
        </w:rPr>
        <w:t> </w:t>
      </w:r>
      <w:r w:rsidRPr="007413BA">
        <w:rPr>
          <w:rFonts w:ascii="Times New Roman" w:hAnsi="Times New Roman" w:cs="Times New Roman"/>
          <w:sz w:val="24"/>
          <w:szCs w:val="24"/>
        </w:rPr>
        <w:t>a</w:t>
      </w:r>
      <w:r w:rsidR="00D923AF">
        <w:rPr>
          <w:rFonts w:ascii="Times New Roman" w:hAnsi="Times New Roman" w:cs="Times New Roman"/>
          <w:sz w:val="24"/>
          <w:szCs w:val="24"/>
        </w:rPr>
        <w:t> </w:t>
      </w:r>
      <w:r w:rsidRPr="007413BA">
        <w:rPr>
          <w:rFonts w:ascii="Times New Roman" w:hAnsi="Times New Roman" w:cs="Times New Roman"/>
          <w:sz w:val="24"/>
          <w:szCs w:val="24"/>
        </w:rPr>
        <w:t>service.</w:t>
      </w:r>
      <w:r>
        <w:rPr>
          <w:rFonts w:ascii="Times New Roman" w:hAnsi="Times New Roman" w:cs="Times New Roman"/>
          <w:sz w:val="24"/>
          <w:szCs w:val="24"/>
        </w:rPr>
        <w:br w:type="page"/>
      </w:r>
    </w:p>
    <w:p w:rsidR="00425EA9" w:rsidRDefault="00425EA9" w:rsidP="00A91F42">
      <w:pPr>
        <w:pStyle w:val="CommentText"/>
        <w:spacing w:after="240"/>
        <w:jc w:val="center"/>
        <w:rPr>
          <w:b/>
          <w:sz w:val="24"/>
          <w:szCs w:val="24"/>
        </w:rPr>
      </w:pPr>
      <w:r>
        <w:rPr>
          <w:b/>
          <w:sz w:val="24"/>
          <w:szCs w:val="24"/>
        </w:rPr>
        <w:lastRenderedPageBreak/>
        <w:t>Statement of Compatibility with Human Rights</w:t>
      </w:r>
    </w:p>
    <w:p w:rsidR="00425EA9" w:rsidRDefault="00425EA9" w:rsidP="00A91F42">
      <w:pPr>
        <w:pStyle w:val="CommentText"/>
        <w:spacing w:after="240"/>
        <w:jc w:val="center"/>
        <w:rPr>
          <w:i/>
          <w:sz w:val="24"/>
          <w:szCs w:val="24"/>
        </w:rPr>
      </w:pPr>
      <w:r>
        <w:rPr>
          <w:i/>
          <w:sz w:val="24"/>
          <w:szCs w:val="24"/>
        </w:rPr>
        <w:t>Prepared in accordance with Part 3 of the Human Rights (Parliamentary Scrutiny) Act 2011</w:t>
      </w:r>
    </w:p>
    <w:p w:rsidR="00425EA9" w:rsidRPr="009F07EB" w:rsidRDefault="00425EA9" w:rsidP="00A91F42">
      <w:pPr>
        <w:pStyle w:val="CommentText"/>
        <w:spacing w:after="240"/>
        <w:jc w:val="center"/>
        <w:rPr>
          <w:b/>
          <w:i/>
          <w:sz w:val="24"/>
          <w:szCs w:val="24"/>
        </w:rPr>
      </w:pPr>
      <w:r w:rsidRPr="009F07EB">
        <w:rPr>
          <w:b/>
          <w:i/>
          <w:sz w:val="24"/>
          <w:szCs w:val="24"/>
        </w:rPr>
        <w:t>ASIC (</w:t>
      </w:r>
      <w:r w:rsidR="009E092D" w:rsidRPr="009F07EB">
        <w:rPr>
          <w:b/>
          <w:i/>
          <w:sz w:val="24"/>
          <w:szCs w:val="24"/>
        </w:rPr>
        <w:t>Fees—Complexity Criteria</w:t>
      </w:r>
      <w:r w:rsidR="005A52A3" w:rsidRPr="009F07EB">
        <w:rPr>
          <w:b/>
          <w:i/>
          <w:sz w:val="24"/>
          <w:szCs w:val="24"/>
        </w:rPr>
        <w:t xml:space="preserve">) Instrument </w:t>
      </w:r>
      <w:r w:rsidR="00660439" w:rsidRPr="009F07EB">
        <w:rPr>
          <w:b/>
          <w:i/>
          <w:sz w:val="24"/>
          <w:szCs w:val="24"/>
        </w:rPr>
        <w:t>2018/</w:t>
      </w:r>
      <w:r w:rsidR="007413BA" w:rsidRPr="009F07EB">
        <w:rPr>
          <w:b/>
          <w:i/>
          <w:sz w:val="24"/>
          <w:szCs w:val="24"/>
        </w:rPr>
        <w:t>578</w:t>
      </w:r>
    </w:p>
    <w:p w:rsidR="00425EA9" w:rsidRDefault="00425EA9" w:rsidP="00A91F42">
      <w:pPr>
        <w:pStyle w:val="CommentText"/>
        <w:spacing w:after="240"/>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rsidR="00425EA9" w:rsidRDefault="00425EA9" w:rsidP="00A91F42">
      <w:pPr>
        <w:pStyle w:val="CommentText"/>
        <w:spacing w:after="240"/>
        <w:rPr>
          <w:b/>
          <w:sz w:val="24"/>
          <w:szCs w:val="24"/>
        </w:rPr>
      </w:pPr>
      <w:r>
        <w:rPr>
          <w:b/>
          <w:sz w:val="24"/>
          <w:szCs w:val="24"/>
        </w:rPr>
        <w:t>Overview of the legislative instrument</w:t>
      </w:r>
    </w:p>
    <w:p w:rsidR="009E092D" w:rsidRDefault="00425EA9" w:rsidP="009E092D">
      <w:pPr>
        <w:spacing w:after="240" w:line="240" w:lineRule="auto"/>
        <w:rPr>
          <w:rFonts w:ascii="Times New Roman" w:hAnsi="Times New Roman" w:cs="Times New Roman"/>
          <w:sz w:val="24"/>
          <w:szCs w:val="24"/>
        </w:rPr>
      </w:pPr>
      <w:r w:rsidRPr="009E092D">
        <w:rPr>
          <w:rFonts w:ascii="Times New Roman" w:hAnsi="Times New Roman" w:cs="Times New Roman"/>
          <w:sz w:val="24"/>
          <w:szCs w:val="24"/>
        </w:rPr>
        <w:t>Th</w:t>
      </w:r>
      <w:r w:rsidR="009E092D">
        <w:rPr>
          <w:rFonts w:ascii="Times New Roman" w:hAnsi="Times New Roman" w:cs="Times New Roman"/>
          <w:sz w:val="24"/>
          <w:szCs w:val="24"/>
        </w:rPr>
        <w:t xml:space="preserve">is </w:t>
      </w:r>
      <w:r w:rsidRPr="009E092D">
        <w:rPr>
          <w:rFonts w:ascii="Times New Roman" w:hAnsi="Times New Roman" w:cs="Times New Roman"/>
          <w:sz w:val="24"/>
          <w:szCs w:val="24"/>
        </w:rPr>
        <w:t xml:space="preserve">legislative instrument </w:t>
      </w:r>
      <w:r w:rsidR="009E092D">
        <w:rPr>
          <w:rFonts w:ascii="Times New Roman" w:hAnsi="Times New Roman" w:cs="Times New Roman"/>
          <w:sz w:val="24"/>
          <w:szCs w:val="24"/>
        </w:rPr>
        <w:t xml:space="preserve">specifies criteria for whether certain applications and notices </w:t>
      </w:r>
      <w:r w:rsidR="000F508F">
        <w:rPr>
          <w:rFonts w:ascii="Times New Roman" w:hAnsi="Times New Roman" w:cs="Times New Roman"/>
          <w:sz w:val="24"/>
          <w:szCs w:val="24"/>
        </w:rPr>
        <w:t xml:space="preserve">made under Chapter 7 of the </w:t>
      </w:r>
      <w:r w:rsidR="000F508F" w:rsidRPr="000F508F">
        <w:rPr>
          <w:rFonts w:ascii="Times New Roman" w:hAnsi="Times New Roman" w:cs="Times New Roman"/>
          <w:i/>
          <w:sz w:val="24"/>
          <w:szCs w:val="24"/>
        </w:rPr>
        <w:t>Corporations Act 2001</w:t>
      </w:r>
      <w:r w:rsidR="000F508F">
        <w:rPr>
          <w:rFonts w:ascii="Times New Roman" w:hAnsi="Times New Roman" w:cs="Times New Roman"/>
          <w:sz w:val="24"/>
          <w:szCs w:val="24"/>
        </w:rPr>
        <w:t xml:space="preserve"> </w:t>
      </w:r>
      <w:r w:rsidR="009E092D">
        <w:rPr>
          <w:rFonts w:ascii="Times New Roman" w:hAnsi="Times New Roman" w:cs="Times New Roman"/>
          <w:sz w:val="24"/>
          <w:szCs w:val="24"/>
        </w:rPr>
        <w:t xml:space="preserve">are of low, medium or high complexity for the purposes of the </w:t>
      </w:r>
      <w:r w:rsidR="000F508F">
        <w:rPr>
          <w:rFonts w:ascii="Times New Roman" w:hAnsi="Times New Roman" w:cs="Times New Roman"/>
          <w:sz w:val="24"/>
          <w:szCs w:val="24"/>
        </w:rPr>
        <w:t>ASIC industry funding model in relation to fees for service</w:t>
      </w:r>
      <w:r w:rsidR="009E092D">
        <w:rPr>
          <w:rFonts w:ascii="Times New Roman" w:hAnsi="Times New Roman" w:cs="Times New Roman"/>
          <w:sz w:val="24"/>
          <w:szCs w:val="24"/>
        </w:rPr>
        <w:t>.</w:t>
      </w:r>
    </w:p>
    <w:p w:rsidR="009E092D" w:rsidRDefault="003711B8" w:rsidP="009E092D">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instrument is to allow </w:t>
      </w:r>
      <w:r w:rsidRPr="00A55C7F">
        <w:rPr>
          <w:rFonts w:ascii="Times New Roman" w:hAnsi="Times New Roman" w:cs="Times New Roman"/>
          <w:sz w:val="24"/>
          <w:szCs w:val="24"/>
        </w:rPr>
        <w:t>ASIC to better recover the costs of its regulatory activities. This will ensure entities will pay the appropriate fee based on the complexity of the transaction for the service ASIC provides</w:t>
      </w:r>
      <w:r>
        <w:rPr>
          <w:rFonts w:ascii="Times New Roman" w:hAnsi="Times New Roman" w:cs="Times New Roman"/>
          <w:sz w:val="24"/>
          <w:szCs w:val="24"/>
        </w:rPr>
        <w:t>.</w:t>
      </w:r>
    </w:p>
    <w:p w:rsidR="000F508F" w:rsidRDefault="000F508F" w:rsidP="009E092D">
      <w:pPr>
        <w:spacing w:after="240" w:line="240" w:lineRule="auto"/>
        <w:rPr>
          <w:rFonts w:ascii="Times New Roman" w:hAnsi="Times New Roman" w:cs="Times New Roman"/>
          <w:sz w:val="24"/>
          <w:szCs w:val="24"/>
        </w:rPr>
      </w:pPr>
      <w:r>
        <w:rPr>
          <w:rFonts w:ascii="Times New Roman" w:hAnsi="Times New Roman" w:cs="Times New Roman"/>
          <w:sz w:val="24"/>
          <w:szCs w:val="24"/>
        </w:rPr>
        <w:t>The complexity criteria relate to the following kinds of matters:</w:t>
      </w:r>
    </w:p>
    <w:p w:rsidR="000F508F" w:rsidRPr="000F508F" w:rsidRDefault="000F508F" w:rsidP="000F508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an a</w:t>
      </w:r>
      <w:r w:rsidRPr="000F508F">
        <w:rPr>
          <w:rFonts w:ascii="Times New Roman" w:hAnsi="Times New Roman" w:cs="Times New Roman"/>
          <w:sz w:val="24"/>
          <w:szCs w:val="24"/>
        </w:rPr>
        <w:t>pplication for an Australian financial services licence</w:t>
      </w:r>
      <w:r>
        <w:rPr>
          <w:rFonts w:ascii="Times New Roman" w:hAnsi="Times New Roman" w:cs="Times New Roman"/>
          <w:sz w:val="24"/>
          <w:szCs w:val="24"/>
        </w:rPr>
        <w:t>;</w:t>
      </w:r>
    </w:p>
    <w:p w:rsidR="000F508F" w:rsidRPr="000F508F" w:rsidRDefault="000F508F" w:rsidP="000F508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an a</w:t>
      </w:r>
      <w:r w:rsidRPr="000F508F">
        <w:rPr>
          <w:rFonts w:ascii="Times New Roman" w:hAnsi="Times New Roman" w:cs="Times New Roman"/>
          <w:sz w:val="24"/>
          <w:szCs w:val="24"/>
        </w:rPr>
        <w:t>pplication for an Australian market licence</w:t>
      </w:r>
      <w:r>
        <w:rPr>
          <w:rFonts w:ascii="Times New Roman" w:hAnsi="Times New Roman" w:cs="Times New Roman"/>
          <w:sz w:val="24"/>
          <w:szCs w:val="24"/>
        </w:rPr>
        <w:t>;</w:t>
      </w:r>
    </w:p>
    <w:p w:rsidR="000F508F" w:rsidRPr="000F508F" w:rsidRDefault="000F508F" w:rsidP="000F508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an a</w:t>
      </w:r>
      <w:r w:rsidRPr="000F508F">
        <w:rPr>
          <w:rFonts w:ascii="Times New Roman" w:hAnsi="Times New Roman" w:cs="Times New Roman"/>
          <w:sz w:val="24"/>
          <w:szCs w:val="24"/>
        </w:rPr>
        <w:t xml:space="preserve">pplication for an Australian CS </w:t>
      </w:r>
      <w:r>
        <w:rPr>
          <w:rFonts w:ascii="Times New Roman" w:hAnsi="Times New Roman" w:cs="Times New Roman"/>
          <w:sz w:val="24"/>
          <w:szCs w:val="24"/>
        </w:rPr>
        <w:t xml:space="preserve">(clearing and settlement) </w:t>
      </w:r>
      <w:r w:rsidRPr="000F508F">
        <w:rPr>
          <w:rFonts w:ascii="Times New Roman" w:hAnsi="Times New Roman" w:cs="Times New Roman"/>
          <w:sz w:val="24"/>
          <w:szCs w:val="24"/>
        </w:rPr>
        <w:t>facility licence</w:t>
      </w:r>
      <w:r>
        <w:rPr>
          <w:rFonts w:ascii="Times New Roman" w:hAnsi="Times New Roman" w:cs="Times New Roman"/>
          <w:sz w:val="24"/>
          <w:szCs w:val="24"/>
        </w:rPr>
        <w:t>;</w:t>
      </w:r>
    </w:p>
    <w:p w:rsidR="000F508F" w:rsidRPr="000F508F" w:rsidRDefault="000F508F" w:rsidP="000F508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l</w:t>
      </w:r>
      <w:r w:rsidRPr="000F508F">
        <w:rPr>
          <w:rFonts w:ascii="Times New Roman" w:hAnsi="Times New Roman" w:cs="Times New Roman"/>
          <w:sz w:val="24"/>
          <w:szCs w:val="24"/>
        </w:rPr>
        <w:t>odging a notice of changes to the operating rules of a licensed market</w:t>
      </w:r>
      <w:r>
        <w:rPr>
          <w:rFonts w:ascii="Times New Roman" w:hAnsi="Times New Roman" w:cs="Times New Roman"/>
          <w:sz w:val="24"/>
          <w:szCs w:val="24"/>
        </w:rPr>
        <w:t>;</w:t>
      </w:r>
    </w:p>
    <w:p w:rsidR="000F508F" w:rsidRDefault="000F508F" w:rsidP="000F508F">
      <w:pPr>
        <w:spacing w:after="240" w:line="240" w:lineRule="auto"/>
        <w:ind w:left="567" w:hanging="567"/>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l</w:t>
      </w:r>
      <w:r w:rsidRPr="000F508F">
        <w:rPr>
          <w:rFonts w:ascii="Times New Roman" w:hAnsi="Times New Roman" w:cs="Times New Roman"/>
          <w:sz w:val="24"/>
          <w:szCs w:val="24"/>
        </w:rPr>
        <w:t>odging a notice of changes to the operating rules of a licensed CS facility</w:t>
      </w:r>
      <w:r>
        <w:rPr>
          <w:rFonts w:ascii="Times New Roman" w:hAnsi="Times New Roman" w:cs="Times New Roman"/>
          <w:sz w:val="24"/>
          <w:szCs w:val="24"/>
        </w:rPr>
        <w:t>.</w:t>
      </w:r>
    </w:p>
    <w:p w:rsidR="00425EA9" w:rsidRDefault="00425EA9" w:rsidP="00A91F42">
      <w:pPr>
        <w:pStyle w:val="CommentText"/>
        <w:spacing w:after="240"/>
        <w:rPr>
          <w:b/>
          <w:sz w:val="24"/>
          <w:szCs w:val="24"/>
        </w:rPr>
      </w:pPr>
      <w:r>
        <w:rPr>
          <w:b/>
          <w:sz w:val="24"/>
          <w:szCs w:val="24"/>
        </w:rPr>
        <w:t>Human rights implications</w:t>
      </w:r>
    </w:p>
    <w:p w:rsidR="00425EA9" w:rsidRDefault="00425EA9" w:rsidP="00A91F42">
      <w:pPr>
        <w:pStyle w:val="CommentText"/>
        <w:spacing w:after="240"/>
        <w:rPr>
          <w:sz w:val="24"/>
          <w:szCs w:val="24"/>
        </w:rPr>
      </w:pPr>
      <w:r>
        <w:rPr>
          <w:sz w:val="24"/>
          <w:szCs w:val="24"/>
        </w:rPr>
        <w:t>This legislative instrument does not engage any of the applicable rights or freedoms.</w:t>
      </w:r>
    </w:p>
    <w:p w:rsidR="00425EA9" w:rsidRDefault="00425EA9" w:rsidP="00A91F42">
      <w:pPr>
        <w:pStyle w:val="CommentText"/>
        <w:spacing w:after="240"/>
        <w:rPr>
          <w:b/>
          <w:sz w:val="24"/>
          <w:szCs w:val="24"/>
        </w:rPr>
      </w:pPr>
      <w:r>
        <w:rPr>
          <w:b/>
          <w:sz w:val="24"/>
          <w:szCs w:val="24"/>
        </w:rPr>
        <w:t>Conclusion</w:t>
      </w:r>
    </w:p>
    <w:p w:rsidR="00A91F42" w:rsidRDefault="00425EA9" w:rsidP="00F41433">
      <w:pPr>
        <w:pStyle w:val="CommentText"/>
        <w:spacing w:after="240"/>
        <w:rPr>
          <w:sz w:val="24"/>
          <w:szCs w:val="24"/>
        </w:rPr>
      </w:pPr>
      <w:r>
        <w:rPr>
          <w:sz w:val="24"/>
          <w:szCs w:val="24"/>
        </w:rPr>
        <w:t>This legislative instrument is compatible with human rights as it does not raise any human</w:t>
      </w:r>
      <w:r w:rsidR="000F508F">
        <w:rPr>
          <w:sz w:val="24"/>
          <w:szCs w:val="24"/>
        </w:rPr>
        <w:t> </w:t>
      </w:r>
      <w:r>
        <w:rPr>
          <w:sz w:val="24"/>
          <w:szCs w:val="24"/>
        </w:rPr>
        <w:t>rights issues.</w:t>
      </w:r>
      <w:bookmarkStart w:id="5" w:name="_GoBack"/>
      <w:bookmarkEnd w:id="5"/>
    </w:p>
    <w:sectPr w:rsidR="00A91F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C9" w:rsidRDefault="000B54C9" w:rsidP="00E728AC">
      <w:pPr>
        <w:spacing w:after="0" w:line="240" w:lineRule="auto"/>
      </w:pPr>
      <w:r>
        <w:separator/>
      </w:r>
    </w:p>
  </w:endnote>
  <w:endnote w:type="continuationSeparator" w:id="0">
    <w:p w:rsidR="000B54C9" w:rsidRDefault="000B54C9" w:rsidP="00E7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24513"/>
      <w:docPartObj>
        <w:docPartGallery w:val="Page Numbers (Bottom of Page)"/>
        <w:docPartUnique/>
      </w:docPartObj>
    </w:sdtPr>
    <w:sdtEndPr>
      <w:rPr>
        <w:noProof/>
      </w:rPr>
    </w:sdtEndPr>
    <w:sdtContent>
      <w:p w:rsidR="000B54C9" w:rsidRDefault="000B54C9">
        <w:pPr>
          <w:pStyle w:val="Footer"/>
          <w:jc w:val="center"/>
        </w:pPr>
        <w:r>
          <w:fldChar w:fldCharType="begin"/>
        </w:r>
        <w:r>
          <w:instrText xml:space="preserve"> PAGE   \* MERGEFORMAT </w:instrText>
        </w:r>
        <w:r>
          <w:fldChar w:fldCharType="separate"/>
        </w:r>
        <w:r w:rsidR="00F41433">
          <w:rPr>
            <w:noProof/>
          </w:rPr>
          <w:t>10</w:t>
        </w:r>
        <w:r>
          <w:rPr>
            <w:noProof/>
          </w:rPr>
          <w:fldChar w:fldCharType="end"/>
        </w:r>
      </w:p>
    </w:sdtContent>
  </w:sdt>
  <w:p w:rsidR="000B54C9" w:rsidRDefault="000B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C9" w:rsidRDefault="000B54C9" w:rsidP="00E728AC">
      <w:pPr>
        <w:spacing w:after="0" w:line="240" w:lineRule="auto"/>
      </w:pPr>
      <w:r>
        <w:separator/>
      </w:r>
    </w:p>
  </w:footnote>
  <w:footnote w:type="continuationSeparator" w:id="0">
    <w:p w:rsidR="000B54C9" w:rsidRDefault="000B54C9" w:rsidP="00E7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606"/>
    <w:multiLevelType w:val="hybridMultilevel"/>
    <w:tmpl w:val="323CABE0"/>
    <w:lvl w:ilvl="0" w:tplc="691814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606CF0"/>
    <w:multiLevelType w:val="hybridMultilevel"/>
    <w:tmpl w:val="E104E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40F54AC"/>
    <w:multiLevelType w:val="hybridMultilevel"/>
    <w:tmpl w:val="87648A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2E002E"/>
    <w:multiLevelType w:val="hybridMultilevel"/>
    <w:tmpl w:val="DD8E3C6A"/>
    <w:lvl w:ilvl="0" w:tplc="B5FAC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DF6494"/>
    <w:multiLevelType w:val="multilevel"/>
    <w:tmpl w:val="A316FE50"/>
    <w:numStyleLink w:val="ChapterList"/>
  </w:abstractNum>
  <w:abstractNum w:abstractNumId="6" w15:restartNumberingAfterBreak="0">
    <w:nsid w:val="6B7F326D"/>
    <w:multiLevelType w:val="hybridMultilevel"/>
    <w:tmpl w:val="F6B4174E"/>
    <w:lvl w:ilvl="0" w:tplc="8BEECF7A">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C475D8"/>
    <w:multiLevelType w:val="hybridMultilevel"/>
    <w:tmpl w:val="45121E7C"/>
    <w:lvl w:ilvl="0" w:tplc="8BEECF7A">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lvlOverride w:ilvl="0">
      <w:startOverride w:val="1"/>
      <w:lvl w:ilvl="0">
        <w:start w:val="1"/>
        <w:numFmt w:val="decimal"/>
        <w:pStyle w:val="ChapterHeading"/>
        <w:lvlText w:val=""/>
        <w:lvlJc w:val="left"/>
      </w:lvl>
    </w:lvlOverride>
    <w:lvlOverride w:ilvl="1">
      <w:startOverride w:val="1"/>
      <w:lvl w:ilvl="1">
        <w:start w:val="1"/>
        <w:numFmt w:val="decimal"/>
        <w:pStyle w:val="base-text-paragraph"/>
        <w:lvlText w:val=""/>
        <w:lvlJc w:val="left"/>
      </w:lvl>
    </w:lvlOverride>
    <w:lvlOverride w:ilvl="2">
      <w:startOverride w:val="1"/>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TableHeadingoutsidetable"/>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DF"/>
    <w:rsid w:val="00001D6C"/>
    <w:rsid w:val="000150BE"/>
    <w:rsid w:val="000172E3"/>
    <w:rsid w:val="00040438"/>
    <w:rsid w:val="000527A6"/>
    <w:rsid w:val="00095200"/>
    <w:rsid w:val="000B54C9"/>
    <w:rsid w:val="000D56E3"/>
    <w:rsid w:val="000F508F"/>
    <w:rsid w:val="00103C8F"/>
    <w:rsid w:val="0011734E"/>
    <w:rsid w:val="0012569F"/>
    <w:rsid w:val="00172353"/>
    <w:rsid w:val="001854E6"/>
    <w:rsid w:val="001B51F7"/>
    <w:rsid w:val="001C6A1E"/>
    <w:rsid w:val="001D6148"/>
    <w:rsid w:val="002201B7"/>
    <w:rsid w:val="002514EE"/>
    <w:rsid w:val="00263734"/>
    <w:rsid w:val="00264EC6"/>
    <w:rsid w:val="0026674A"/>
    <w:rsid w:val="002A40CB"/>
    <w:rsid w:val="002A5EEB"/>
    <w:rsid w:val="002B0199"/>
    <w:rsid w:val="00301A36"/>
    <w:rsid w:val="003605AA"/>
    <w:rsid w:val="003711B8"/>
    <w:rsid w:val="003956C7"/>
    <w:rsid w:val="003D5316"/>
    <w:rsid w:val="003D6EE8"/>
    <w:rsid w:val="003E2AC0"/>
    <w:rsid w:val="00425EA9"/>
    <w:rsid w:val="004408AD"/>
    <w:rsid w:val="00454870"/>
    <w:rsid w:val="004713A3"/>
    <w:rsid w:val="00476BDA"/>
    <w:rsid w:val="004959D7"/>
    <w:rsid w:val="004E6547"/>
    <w:rsid w:val="00505100"/>
    <w:rsid w:val="005323D4"/>
    <w:rsid w:val="00540F9B"/>
    <w:rsid w:val="005711AB"/>
    <w:rsid w:val="005A52A3"/>
    <w:rsid w:val="005A5488"/>
    <w:rsid w:val="005D5FC6"/>
    <w:rsid w:val="005E0EBC"/>
    <w:rsid w:val="00633A37"/>
    <w:rsid w:val="00660439"/>
    <w:rsid w:val="00660FE0"/>
    <w:rsid w:val="00664637"/>
    <w:rsid w:val="0067136A"/>
    <w:rsid w:val="00684C56"/>
    <w:rsid w:val="006B2274"/>
    <w:rsid w:val="006D5124"/>
    <w:rsid w:val="006D7D50"/>
    <w:rsid w:val="00703426"/>
    <w:rsid w:val="00707DF0"/>
    <w:rsid w:val="0072427A"/>
    <w:rsid w:val="0073730A"/>
    <w:rsid w:val="007413BA"/>
    <w:rsid w:val="007616D9"/>
    <w:rsid w:val="0076511D"/>
    <w:rsid w:val="00775C37"/>
    <w:rsid w:val="00787213"/>
    <w:rsid w:val="00791F85"/>
    <w:rsid w:val="007E505B"/>
    <w:rsid w:val="00813739"/>
    <w:rsid w:val="00832F64"/>
    <w:rsid w:val="00850A23"/>
    <w:rsid w:val="00850C42"/>
    <w:rsid w:val="00865059"/>
    <w:rsid w:val="00887FDF"/>
    <w:rsid w:val="008B00DA"/>
    <w:rsid w:val="008B5969"/>
    <w:rsid w:val="008B60B0"/>
    <w:rsid w:val="008C37B4"/>
    <w:rsid w:val="008D5A5A"/>
    <w:rsid w:val="00925FE6"/>
    <w:rsid w:val="00927CCA"/>
    <w:rsid w:val="00936A98"/>
    <w:rsid w:val="00941BE3"/>
    <w:rsid w:val="00942008"/>
    <w:rsid w:val="009558DC"/>
    <w:rsid w:val="0096430F"/>
    <w:rsid w:val="009806D6"/>
    <w:rsid w:val="00990576"/>
    <w:rsid w:val="0099168E"/>
    <w:rsid w:val="009E092D"/>
    <w:rsid w:val="009E0F27"/>
    <w:rsid w:val="009F07EB"/>
    <w:rsid w:val="009F6FCE"/>
    <w:rsid w:val="00A55C7F"/>
    <w:rsid w:val="00A639E9"/>
    <w:rsid w:val="00A6489D"/>
    <w:rsid w:val="00A669B9"/>
    <w:rsid w:val="00A670FA"/>
    <w:rsid w:val="00A91F42"/>
    <w:rsid w:val="00A943A2"/>
    <w:rsid w:val="00AC5BF1"/>
    <w:rsid w:val="00B37F81"/>
    <w:rsid w:val="00B42E44"/>
    <w:rsid w:val="00B56009"/>
    <w:rsid w:val="00B7498B"/>
    <w:rsid w:val="00B764AE"/>
    <w:rsid w:val="00B86975"/>
    <w:rsid w:val="00B86AF4"/>
    <w:rsid w:val="00B96B86"/>
    <w:rsid w:val="00BA1253"/>
    <w:rsid w:val="00BA58C8"/>
    <w:rsid w:val="00BA74D6"/>
    <w:rsid w:val="00BB21F2"/>
    <w:rsid w:val="00BD630E"/>
    <w:rsid w:val="00C34992"/>
    <w:rsid w:val="00C4012E"/>
    <w:rsid w:val="00C4685F"/>
    <w:rsid w:val="00C54C7E"/>
    <w:rsid w:val="00C63F7F"/>
    <w:rsid w:val="00C81377"/>
    <w:rsid w:val="00D24193"/>
    <w:rsid w:val="00D673F6"/>
    <w:rsid w:val="00D923AF"/>
    <w:rsid w:val="00DA2316"/>
    <w:rsid w:val="00DA7E30"/>
    <w:rsid w:val="00DC3BAC"/>
    <w:rsid w:val="00DF0729"/>
    <w:rsid w:val="00DF3452"/>
    <w:rsid w:val="00E1519F"/>
    <w:rsid w:val="00E25759"/>
    <w:rsid w:val="00E3035B"/>
    <w:rsid w:val="00E57EFA"/>
    <w:rsid w:val="00E60535"/>
    <w:rsid w:val="00E70008"/>
    <w:rsid w:val="00E728AC"/>
    <w:rsid w:val="00E75A1C"/>
    <w:rsid w:val="00E8195D"/>
    <w:rsid w:val="00F06F07"/>
    <w:rsid w:val="00F14B31"/>
    <w:rsid w:val="00F41433"/>
    <w:rsid w:val="00F54A4B"/>
    <w:rsid w:val="00F664E9"/>
    <w:rsid w:val="00F773EB"/>
    <w:rsid w:val="00F86A32"/>
    <w:rsid w:val="00FE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C9C5"/>
  <w15:docId w15:val="{B0DACE82-9366-487D-BA2F-BFDE4DB0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FDF"/>
  </w:style>
  <w:style w:type="paragraph" w:styleId="Heading2">
    <w:name w:val="heading 2"/>
    <w:basedOn w:val="Normal"/>
    <w:next w:val="Normal"/>
    <w:link w:val="Heading2Char"/>
    <w:uiPriority w:val="9"/>
    <w:semiHidden/>
    <w:unhideWhenUsed/>
    <w:qFormat/>
    <w:rsid w:val="00A55C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55C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7FDF"/>
    <w:pPr>
      <w:overflowPunct w:val="0"/>
      <w:autoSpaceDE w:val="0"/>
      <w:autoSpaceDN w:val="0"/>
      <w:adjustRightInd w:val="0"/>
      <w:spacing w:after="0" w:line="240" w:lineRule="auto"/>
      <w:ind w:left="567" w:hanging="567"/>
      <w:jc w:val="center"/>
      <w:textAlignment w:val="baseline"/>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87FDF"/>
    <w:rPr>
      <w:rFonts w:ascii="Times New Roman" w:eastAsia="Times New Roman" w:hAnsi="Times New Roman" w:cs="Times New Roman"/>
      <w:b/>
      <w:bCs/>
      <w:sz w:val="28"/>
      <w:szCs w:val="20"/>
    </w:rPr>
  </w:style>
  <w:style w:type="paragraph" w:styleId="ListParagraph">
    <w:name w:val="List Paragraph"/>
    <w:basedOn w:val="Normal"/>
    <w:uiPriority w:val="34"/>
    <w:qFormat/>
    <w:rsid w:val="00B7498B"/>
    <w:pPr>
      <w:ind w:left="720"/>
      <w:contextualSpacing/>
    </w:pPr>
  </w:style>
  <w:style w:type="paragraph" w:styleId="Header">
    <w:name w:val="header"/>
    <w:basedOn w:val="Normal"/>
    <w:link w:val="HeaderChar"/>
    <w:uiPriority w:val="99"/>
    <w:unhideWhenUsed/>
    <w:rsid w:val="00E7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8AC"/>
  </w:style>
  <w:style w:type="paragraph" w:styleId="Footer">
    <w:name w:val="footer"/>
    <w:basedOn w:val="Normal"/>
    <w:link w:val="FooterChar"/>
    <w:uiPriority w:val="99"/>
    <w:unhideWhenUsed/>
    <w:rsid w:val="00E7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8AC"/>
  </w:style>
  <w:style w:type="paragraph" w:styleId="BalloonText">
    <w:name w:val="Balloon Text"/>
    <w:basedOn w:val="Normal"/>
    <w:link w:val="BalloonTextChar"/>
    <w:uiPriority w:val="99"/>
    <w:semiHidden/>
    <w:unhideWhenUsed/>
    <w:rsid w:val="00E7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AC"/>
    <w:rPr>
      <w:rFonts w:ascii="Tahoma" w:hAnsi="Tahoma" w:cs="Tahoma"/>
      <w:sz w:val="16"/>
      <w:szCs w:val="16"/>
    </w:rPr>
  </w:style>
  <w:style w:type="paragraph" w:styleId="FootnoteText">
    <w:name w:val="footnote text"/>
    <w:basedOn w:val="Normal"/>
    <w:link w:val="FootnoteTextChar"/>
    <w:uiPriority w:val="99"/>
    <w:semiHidden/>
    <w:unhideWhenUsed/>
    <w:rsid w:val="00E81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195D"/>
    <w:rPr>
      <w:sz w:val="20"/>
      <w:szCs w:val="20"/>
    </w:rPr>
  </w:style>
  <w:style w:type="character" w:styleId="FootnoteReference">
    <w:name w:val="footnote reference"/>
    <w:basedOn w:val="DefaultParagraphFont"/>
    <w:uiPriority w:val="99"/>
    <w:semiHidden/>
    <w:unhideWhenUsed/>
    <w:rsid w:val="00E8195D"/>
    <w:rPr>
      <w:vertAlign w:val="superscript"/>
    </w:rPr>
  </w:style>
  <w:style w:type="paragraph" w:styleId="CommentText">
    <w:name w:val="annotation text"/>
    <w:basedOn w:val="Normal"/>
    <w:link w:val="CommentTextChar"/>
    <w:unhideWhenUsed/>
    <w:rsid w:val="00425E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25EA9"/>
    <w:rPr>
      <w:rFonts w:ascii="Times New Roman" w:eastAsia="Times New Roman" w:hAnsi="Times New Roman" w:cs="Times New Roman"/>
      <w:sz w:val="20"/>
      <w:szCs w:val="20"/>
    </w:rPr>
  </w:style>
  <w:style w:type="paragraph" w:customStyle="1" w:styleId="base-text-paragraph">
    <w:name w:val="base-text-paragraph"/>
    <w:basedOn w:val="Normal"/>
    <w:qFormat/>
    <w:rsid w:val="00A55C7F"/>
    <w:pPr>
      <w:numPr>
        <w:ilvl w:val="1"/>
        <w:numId w:val="5"/>
      </w:numPr>
      <w:spacing w:before="120" w:after="120" w:line="240" w:lineRule="auto"/>
    </w:pPr>
    <w:rPr>
      <w:rFonts w:ascii="Times New Roman" w:eastAsia="Times New Roman" w:hAnsi="Times New Roman" w:cs="Times New Roman"/>
      <w:szCs w:val="20"/>
      <w:lang w:eastAsia="en-AU"/>
    </w:rPr>
  </w:style>
  <w:style w:type="paragraph" w:customStyle="1" w:styleId="ChapterHeading">
    <w:name w:val="Chapter Heading"/>
    <w:next w:val="Heading2"/>
    <w:rsid w:val="00A55C7F"/>
    <w:pPr>
      <w:numPr>
        <w:numId w:val="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Diagram">
    <w:name w:val="Diagram"/>
    <w:basedOn w:val="Normal"/>
    <w:next w:val="Normal"/>
    <w:rsid w:val="00A55C7F"/>
    <w:pPr>
      <w:keepNext/>
      <w:numPr>
        <w:ilvl w:val="2"/>
        <w:numId w:val="5"/>
      </w:numPr>
      <w:spacing w:after="0" w:line="240" w:lineRule="auto"/>
    </w:pPr>
    <w:rPr>
      <w:rFonts w:ascii="Times New Roman" w:eastAsia="Times New Roman" w:hAnsi="Times New Roman" w:cs="Times New Roman"/>
      <w:b/>
      <w:szCs w:val="20"/>
      <w:lang w:eastAsia="en-AU"/>
    </w:rPr>
  </w:style>
  <w:style w:type="paragraph" w:customStyle="1" w:styleId="ExampleHeading">
    <w:name w:val="Example Heading"/>
    <w:basedOn w:val="Normal"/>
    <w:next w:val="Normal"/>
    <w:rsid w:val="00A55C7F"/>
    <w:pPr>
      <w:keepNext/>
      <w:numPr>
        <w:ilvl w:val="3"/>
        <w:numId w:val="5"/>
      </w:numPr>
      <w:spacing w:before="120" w:after="120" w:line="240" w:lineRule="auto"/>
    </w:pPr>
    <w:rPr>
      <w:rFonts w:ascii="Times New Roman" w:eastAsia="Times New Roman" w:hAnsi="Times New Roman" w:cs="Times New Roman"/>
      <w:b/>
      <w:szCs w:val="20"/>
      <w:lang w:eastAsia="en-AU"/>
    </w:rPr>
  </w:style>
  <w:style w:type="paragraph" w:customStyle="1" w:styleId="TableHeadingoutsidetable">
    <w:name w:val="Table Heading (outside table)"/>
    <w:basedOn w:val="Heading4"/>
    <w:rsid w:val="00A55C7F"/>
    <w:pPr>
      <w:keepLines w:val="0"/>
      <w:numPr>
        <w:ilvl w:val="4"/>
        <w:numId w:val="5"/>
      </w:numPr>
      <w:tabs>
        <w:tab w:val="num" w:pos="360"/>
      </w:tabs>
      <w:spacing w:before="120" w:after="200" w:line="240" w:lineRule="auto"/>
      <w:ind w:hanging="360"/>
    </w:pPr>
    <w:rPr>
      <w:rFonts w:ascii="Times New Roman" w:eastAsia="Times New Roman" w:hAnsi="Times New Roman" w:cs="Times New Roman"/>
      <w:b/>
      <w:i w:val="0"/>
      <w:iCs w:val="0"/>
      <w:color w:val="auto"/>
      <w:szCs w:val="20"/>
      <w:lang w:eastAsia="en-AU"/>
    </w:rPr>
  </w:style>
  <w:style w:type="numbering" w:customStyle="1" w:styleId="ChapterList">
    <w:name w:val="ChapterList"/>
    <w:uiPriority w:val="99"/>
    <w:rsid w:val="00A55C7F"/>
    <w:pPr>
      <w:numPr>
        <w:numId w:val="4"/>
      </w:numPr>
    </w:pPr>
  </w:style>
  <w:style w:type="character" w:customStyle="1" w:styleId="Heading2Char">
    <w:name w:val="Heading 2 Char"/>
    <w:basedOn w:val="DefaultParagraphFont"/>
    <w:link w:val="Heading2"/>
    <w:uiPriority w:val="9"/>
    <w:semiHidden/>
    <w:rsid w:val="00A55C7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55C7F"/>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B9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0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BodyTextNumbered">
    <w:name w:val="LI - Body Text Numbered"/>
    <w:basedOn w:val="Normal"/>
    <w:link w:val="LI-BodyTextNumberedChar"/>
    <w:qFormat/>
    <w:rsid w:val="005D5FC6"/>
    <w:pPr>
      <w:spacing w:before="240" w:after="0" w:line="240" w:lineRule="auto"/>
      <w:ind w:left="1134" w:hanging="567"/>
    </w:pPr>
    <w:rPr>
      <w:rFonts w:ascii="Times New Roman" w:eastAsia="Times New Roman" w:hAnsi="Times New Roman" w:cs="Times New Roman"/>
      <w:sz w:val="24"/>
      <w:szCs w:val="24"/>
      <w:lang w:eastAsia="en-AU"/>
    </w:rPr>
  </w:style>
  <w:style w:type="character" w:customStyle="1" w:styleId="LI-BodyTextNumberedChar">
    <w:name w:val="LI - Body Text Numbered Char"/>
    <w:link w:val="LI-BodyTextNumbered"/>
    <w:rsid w:val="005D5FC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36A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8393">
      <w:bodyDiv w:val="1"/>
      <w:marLeft w:val="0"/>
      <w:marRight w:val="0"/>
      <w:marTop w:val="0"/>
      <w:marBottom w:val="0"/>
      <w:divBdr>
        <w:top w:val="none" w:sz="0" w:space="0" w:color="auto"/>
        <w:left w:val="none" w:sz="0" w:space="0" w:color="auto"/>
        <w:bottom w:val="none" w:sz="0" w:space="0" w:color="auto"/>
        <w:right w:val="none" w:sz="0" w:space="0" w:color="auto"/>
      </w:divBdr>
      <w:divsChild>
        <w:div w:id="589436653">
          <w:marLeft w:val="0"/>
          <w:marRight w:val="0"/>
          <w:marTop w:val="0"/>
          <w:marBottom w:val="0"/>
          <w:divBdr>
            <w:top w:val="none" w:sz="0" w:space="0" w:color="auto"/>
            <w:left w:val="none" w:sz="0" w:space="0" w:color="auto"/>
            <w:bottom w:val="none" w:sz="0" w:space="0" w:color="auto"/>
            <w:right w:val="none" w:sz="0" w:space="0" w:color="auto"/>
          </w:divBdr>
          <w:divsChild>
            <w:div w:id="2051802744">
              <w:marLeft w:val="0"/>
              <w:marRight w:val="0"/>
              <w:marTop w:val="0"/>
              <w:marBottom w:val="0"/>
              <w:divBdr>
                <w:top w:val="none" w:sz="0" w:space="0" w:color="auto"/>
                <w:left w:val="none" w:sz="0" w:space="0" w:color="auto"/>
                <w:bottom w:val="none" w:sz="0" w:space="0" w:color="auto"/>
                <w:right w:val="none" w:sz="0" w:space="0" w:color="auto"/>
              </w:divBdr>
              <w:divsChild>
                <w:div w:id="502204513">
                  <w:marLeft w:val="0"/>
                  <w:marRight w:val="0"/>
                  <w:marTop w:val="0"/>
                  <w:marBottom w:val="0"/>
                  <w:divBdr>
                    <w:top w:val="none" w:sz="0" w:space="0" w:color="auto"/>
                    <w:left w:val="none" w:sz="0" w:space="0" w:color="auto"/>
                    <w:bottom w:val="none" w:sz="0" w:space="0" w:color="auto"/>
                    <w:right w:val="none" w:sz="0" w:space="0" w:color="auto"/>
                  </w:divBdr>
                  <w:divsChild>
                    <w:div w:id="506553772">
                      <w:marLeft w:val="0"/>
                      <w:marRight w:val="0"/>
                      <w:marTop w:val="0"/>
                      <w:marBottom w:val="0"/>
                      <w:divBdr>
                        <w:top w:val="none" w:sz="0" w:space="0" w:color="auto"/>
                        <w:left w:val="none" w:sz="0" w:space="0" w:color="auto"/>
                        <w:bottom w:val="none" w:sz="0" w:space="0" w:color="auto"/>
                        <w:right w:val="none" w:sz="0" w:space="0" w:color="auto"/>
                      </w:divBdr>
                      <w:divsChild>
                        <w:div w:id="6828290">
                          <w:marLeft w:val="0"/>
                          <w:marRight w:val="0"/>
                          <w:marTop w:val="0"/>
                          <w:marBottom w:val="0"/>
                          <w:divBdr>
                            <w:top w:val="none" w:sz="0" w:space="0" w:color="auto"/>
                            <w:left w:val="none" w:sz="0" w:space="0" w:color="auto"/>
                            <w:bottom w:val="none" w:sz="0" w:space="0" w:color="auto"/>
                            <w:right w:val="none" w:sz="0" w:space="0" w:color="auto"/>
                          </w:divBdr>
                          <w:divsChild>
                            <w:div w:id="536357828">
                              <w:marLeft w:val="0"/>
                              <w:marRight w:val="0"/>
                              <w:marTop w:val="0"/>
                              <w:marBottom w:val="0"/>
                              <w:divBdr>
                                <w:top w:val="none" w:sz="0" w:space="0" w:color="auto"/>
                                <w:left w:val="none" w:sz="0" w:space="0" w:color="auto"/>
                                <w:bottom w:val="none" w:sz="0" w:space="0" w:color="auto"/>
                                <w:right w:val="none" w:sz="0" w:space="0" w:color="auto"/>
                              </w:divBdr>
                              <w:divsChild>
                                <w:div w:id="2111922654">
                                  <w:marLeft w:val="0"/>
                                  <w:marRight w:val="0"/>
                                  <w:marTop w:val="0"/>
                                  <w:marBottom w:val="0"/>
                                  <w:divBdr>
                                    <w:top w:val="none" w:sz="0" w:space="0" w:color="auto"/>
                                    <w:left w:val="none" w:sz="0" w:space="0" w:color="auto"/>
                                    <w:bottom w:val="none" w:sz="0" w:space="0" w:color="auto"/>
                                    <w:right w:val="none" w:sz="0" w:space="0" w:color="auto"/>
                                  </w:divBdr>
                                  <w:divsChild>
                                    <w:div w:id="987169342">
                                      <w:marLeft w:val="0"/>
                                      <w:marRight w:val="0"/>
                                      <w:marTop w:val="0"/>
                                      <w:marBottom w:val="0"/>
                                      <w:divBdr>
                                        <w:top w:val="none" w:sz="0" w:space="0" w:color="auto"/>
                                        <w:left w:val="none" w:sz="0" w:space="0" w:color="auto"/>
                                        <w:bottom w:val="none" w:sz="0" w:space="0" w:color="auto"/>
                                        <w:right w:val="none" w:sz="0" w:space="0" w:color="auto"/>
                                      </w:divBdr>
                                      <w:divsChild>
                                        <w:div w:id="2135639196">
                                          <w:marLeft w:val="0"/>
                                          <w:marRight w:val="0"/>
                                          <w:marTop w:val="0"/>
                                          <w:marBottom w:val="0"/>
                                          <w:divBdr>
                                            <w:top w:val="none" w:sz="0" w:space="0" w:color="auto"/>
                                            <w:left w:val="none" w:sz="0" w:space="0" w:color="auto"/>
                                            <w:bottom w:val="none" w:sz="0" w:space="0" w:color="auto"/>
                                            <w:right w:val="none" w:sz="0" w:space="0" w:color="auto"/>
                                          </w:divBdr>
                                          <w:divsChild>
                                            <w:div w:id="451939576">
                                              <w:marLeft w:val="0"/>
                                              <w:marRight w:val="0"/>
                                              <w:marTop w:val="0"/>
                                              <w:marBottom w:val="0"/>
                                              <w:divBdr>
                                                <w:top w:val="none" w:sz="0" w:space="0" w:color="auto"/>
                                                <w:left w:val="none" w:sz="0" w:space="0" w:color="auto"/>
                                                <w:bottom w:val="none" w:sz="0" w:space="0" w:color="auto"/>
                                                <w:right w:val="none" w:sz="0" w:space="0" w:color="auto"/>
                                              </w:divBdr>
                                              <w:divsChild>
                                                <w:div w:id="1511942475">
                                                  <w:marLeft w:val="0"/>
                                                  <w:marRight w:val="0"/>
                                                  <w:marTop w:val="0"/>
                                                  <w:marBottom w:val="0"/>
                                                  <w:divBdr>
                                                    <w:top w:val="none" w:sz="0" w:space="0" w:color="auto"/>
                                                    <w:left w:val="none" w:sz="0" w:space="0" w:color="auto"/>
                                                    <w:bottom w:val="none" w:sz="0" w:space="0" w:color="auto"/>
                                                    <w:right w:val="none" w:sz="0" w:space="0" w:color="auto"/>
                                                  </w:divBdr>
                                                  <w:divsChild>
                                                    <w:div w:id="498666029">
                                                      <w:marLeft w:val="0"/>
                                                      <w:marRight w:val="0"/>
                                                      <w:marTop w:val="0"/>
                                                      <w:marBottom w:val="0"/>
                                                      <w:divBdr>
                                                        <w:top w:val="none" w:sz="0" w:space="0" w:color="auto"/>
                                                        <w:left w:val="none" w:sz="0" w:space="0" w:color="auto"/>
                                                        <w:bottom w:val="none" w:sz="0" w:space="0" w:color="auto"/>
                                                        <w:right w:val="none" w:sz="0" w:space="0" w:color="auto"/>
                                                      </w:divBdr>
                                                      <w:divsChild>
                                                        <w:div w:id="11353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50967">
      <w:bodyDiv w:val="1"/>
      <w:marLeft w:val="0"/>
      <w:marRight w:val="0"/>
      <w:marTop w:val="0"/>
      <w:marBottom w:val="0"/>
      <w:divBdr>
        <w:top w:val="none" w:sz="0" w:space="0" w:color="auto"/>
        <w:left w:val="none" w:sz="0" w:space="0" w:color="auto"/>
        <w:bottom w:val="none" w:sz="0" w:space="0" w:color="auto"/>
        <w:right w:val="none" w:sz="0" w:space="0" w:color="auto"/>
      </w:divBdr>
    </w:div>
    <w:div w:id="308363791">
      <w:bodyDiv w:val="1"/>
      <w:marLeft w:val="0"/>
      <w:marRight w:val="0"/>
      <w:marTop w:val="0"/>
      <w:marBottom w:val="0"/>
      <w:divBdr>
        <w:top w:val="none" w:sz="0" w:space="0" w:color="auto"/>
        <w:left w:val="none" w:sz="0" w:space="0" w:color="auto"/>
        <w:bottom w:val="none" w:sz="0" w:space="0" w:color="auto"/>
        <w:right w:val="none" w:sz="0" w:space="0" w:color="auto"/>
      </w:divBdr>
    </w:div>
    <w:div w:id="717360437">
      <w:bodyDiv w:val="1"/>
      <w:marLeft w:val="0"/>
      <w:marRight w:val="0"/>
      <w:marTop w:val="0"/>
      <w:marBottom w:val="0"/>
      <w:divBdr>
        <w:top w:val="none" w:sz="0" w:space="0" w:color="auto"/>
        <w:left w:val="none" w:sz="0" w:space="0" w:color="auto"/>
        <w:bottom w:val="none" w:sz="0" w:space="0" w:color="auto"/>
        <w:right w:val="none" w:sz="0" w:space="0" w:color="auto"/>
      </w:divBdr>
    </w:div>
    <w:div w:id="768892303">
      <w:bodyDiv w:val="1"/>
      <w:marLeft w:val="0"/>
      <w:marRight w:val="0"/>
      <w:marTop w:val="0"/>
      <w:marBottom w:val="0"/>
      <w:divBdr>
        <w:top w:val="none" w:sz="0" w:space="0" w:color="auto"/>
        <w:left w:val="none" w:sz="0" w:space="0" w:color="auto"/>
        <w:bottom w:val="none" w:sz="0" w:space="0" w:color="auto"/>
        <w:right w:val="none" w:sz="0" w:space="0" w:color="auto"/>
      </w:divBdr>
    </w:div>
    <w:div w:id="956835124">
      <w:bodyDiv w:val="1"/>
      <w:marLeft w:val="0"/>
      <w:marRight w:val="0"/>
      <w:marTop w:val="0"/>
      <w:marBottom w:val="0"/>
      <w:divBdr>
        <w:top w:val="none" w:sz="0" w:space="0" w:color="auto"/>
        <w:left w:val="none" w:sz="0" w:space="0" w:color="auto"/>
        <w:bottom w:val="none" w:sz="0" w:space="0" w:color="auto"/>
        <w:right w:val="none" w:sz="0" w:space="0" w:color="auto"/>
      </w:divBdr>
    </w:div>
    <w:div w:id="1422410512">
      <w:bodyDiv w:val="1"/>
      <w:marLeft w:val="0"/>
      <w:marRight w:val="0"/>
      <w:marTop w:val="0"/>
      <w:marBottom w:val="0"/>
      <w:divBdr>
        <w:top w:val="none" w:sz="0" w:space="0" w:color="auto"/>
        <w:left w:val="none" w:sz="0" w:space="0" w:color="auto"/>
        <w:bottom w:val="none" w:sz="0" w:space="0" w:color="auto"/>
        <w:right w:val="none" w:sz="0" w:space="0" w:color="auto"/>
      </w:divBdr>
      <w:divsChild>
        <w:div w:id="448864627">
          <w:marLeft w:val="0"/>
          <w:marRight w:val="0"/>
          <w:marTop w:val="0"/>
          <w:marBottom w:val="0"/>
          <w:divBdr>
            <w:top w:val="none" w:sz="0" w:space="0" w:color="auto"/>
            <w:left w:val="none" w:sz="0" w:space="0" w:color="auto"/>
            <w:bottom w:val="none" w:sz="0" w:space="0" w:color="auto"/>
            <w:right w:val="none" w:sz="0" w:space="0" w:color="auto"/>
          </w:divBdr>
          <w:divsChild>
            <w:div w:id="556211426">
              <w:marLeft w:val="0"/>
              <w:marRight w:val="0"/>
              <w:marTop w:val="0"/>
              <w:marBottom w:val="0"/>
              <w:divBdr>
                <w:top w:val="none" w:sz="0" w:space="0" w:color="auto"/>
                <w:left w:val="none" w:sz="0" w:space="0" w:color="auto"/>
                <w:bottom w:val="none" w:sz="0" w:space="0" w:color="auto"/>
                <w:right w:val="none" w:sz="0" w:space="0" w:color="auto"/>
              </w:divBdr>
              <w:divsChild>
                <w:div w:id="834146102">
                  <w:marLeft w:val="0"/>
                  <w:marRight w:val="0"/>
                  <w:marTop w:val="0"/>
                  <w:marBottom w:val="0"/>
                  <w:divBdr>
                    <w:top w:val="none" w:sz="0" w:space="0" w:color="auto"/>
                    <w:left w:val="none" w:sz="0" w:space="0" w:color="auto"/>
                    <w:bottom w:val="none" w:sz="0" w:space="0" w:color="auto"/>
                    <w:right w:val="none" w:sz="0" w:space="0" w:color="auto"/>
                  </w:divBdr>
                  <w:divsChild>
                    <w:div w:id="994340506">
                      <w:marLeft w:val="0"/>
                      <w:marRight w:val="0"/>
                      <w:marTop w:val="0"/>
                      <w:marBottom w:val="0"/>
                      <w:divBdr>
                        <w:top w:val="none" w:sz="0" w:space="0" w:color="auto"/>
                        <w:left w:val="none" w:sz="0" w:space="0" w:color="auto"/>
                        <w:bottom w:val="none" w:sz="0" w:space="0" w:color="auto"/>
                        <w:right w:val="none" w:sz="0" w:space="0" w:color="auto"/>
                      </w:divBdr>
                      <w:divsChild>
                        <w:div w:id="333731204">
                          <w:marLeft w:val="0"/>
                          <w:marRight w:val="0"/>
                          <w:marTop w:val="0"/>
                          <w:marBottom w:val="0"/>
                          <w:divBdr>
                            <w:top w:val="none" w:sz="0" w:space="0" w:color="auto"/>
                            <w:left w:val="none" w:sz="0" w:space="0" w:color="auto"/>
                            <w:bottom w:val="none" w:sz="0" w:space="0" w:color="auto"/>
                            <w:right w:val="none" w:sz="0" w:space="0" w:color="auto"/>
                          </w:divBdr>
                          <w:divsChild>
                            <w:div w:id="411513737">
                              <w:marLeft w:val="0"/>
                              <w:marRight w:val="0"/>
                              <w:marTop w:val="0"/>
                              <w:marBottom w:val="0"/>
                              <w:divBdr>
                                <w:top w:val="none" w:sz="0" w:space="0" w:color="auto"/>
                                <w:left w:val="none" w:sz="0" w:space="0" w:color="auto"/>
                                <w:bottom w:val="none" w:sz="0" w:space="0" w:color="auto"/>
                                <w:right w:val="none" w:sz="0" w:space="0" w:color="auto"/>
                              </w:divBdr>
                              <w:divsChild>
                                <w:div w:id="714158107">
                                  <w:marLeft w:val="0"/>
                                  <w:marRight w:val="0"/>
                                  <w:marTop w:val="0"/>
                                  <w:marBottom w:val="0"/>
                                  <w:divBdr>
                                    <w:top w:val="none" w:sz="0" w:space="0" w:color="auto"/>
                                    <w:left w:val="none" w:sz="0" w:space="0" w:color="auto"/>
                                    <w:bottom w:val="none" w:sz="0" w:space="0" w:color="auto"/>
                                    <w:right w:val="none" w:sz="0" w:space="0" w:color="auto"/>
                                  </w:divBdr>
                                  <w:divsChild>
                                    <w:div w:id="1895696949">
                                      <w:marLeft w:val="0"/>
                                      <w:marRight w:val="0"/>
                                      <w:marTop w:val="0"/>
                                      <w:marBottom w:val="0"/>
                                      <w:divBdr>
                                        <w:top w:val="none" w:sz="0" w:space="0" w:color="auto"/>
                                        <w:left w:val="none" w:sz="0" w:space="0" w:color="auto"/>
                                        <w:bottom w:val="none" w:sz="0" w:space="0" w:color="auto"/>
                                        <w:right w:val="none" w:sz="0" w:space="0" w:color="auto"/>
                                      </w:divBdr>
                                      <w:divsChild>
                                        <w:div w:id="58480749">
                                          <w:marLeft w:val="0"/>
                                          <w:marRight w:val="0"/>
                                          <w:marTop w:val="0"/>
                                          <w:marBottom w:val="0"/>
                                          <w:divBdr>
                                            <w:top w:val="none" w:sz="0" w:space="0" w:color="auto"/>
                                            <w:left w:val="none" w:sz="0" w:space="0" w:color="auto"/>
                                            <w:bottom w:val="none" w:sz="0" w:space="0" w:color="auto"/>
                                            <w:right w:val="none" w:sz="0" w:space="0" w:color="auto"/>
                                          </w:divBdr>
                                          <w:divsChild>
                                            <w:div w:id="509833938">
                                              <w:marLeft w:val="0"/>
                                              <w:marRight w:val="0"/>
                                              <w:marTop w:val="0"/>
                                              <w:marBottom w:val="0"/>
                                              <w:divBdr>
                                                <w:top w:val="none" w:sz="0" w:space="0" w:color="auto"/>
                                                <w:left w:val="none" w:sz="0" w:space="0" w:color="auto"/>
                                                <w:bottom w:val="none" w:sz="0" w:space="0" w:color="auto"/>
                                                <w:right w:val="none" w:sz="0" w:space="0" w:color="auto"/>
                                              </w:divBdr>
                                              <w:divsChild>
                                                <w:div w:id="489054639">
                                                  <w:marLeft w:val="0"/>
                                                  <w:marRight w:val="0"/>
                                                  <w:marTop w:val="0"/>
                                                  <w:marBottom w:val="0"/>
                                                  <w:divBdr>
                                                    <w:top w:val="none" w:sz="0" w:space="0" w:color="auto"/>
                                                    <w:left w:val="none" w:sz="0" w:space="0" w:color="auto"/>
                                                    <w:bottom w:val="none" w:sz="0" w:space="0" w:color="auto"/>
                                                    <w:right w:val="none" w:sz="0" w:space="0" w:color="auto"/>
                                                  </w:divBdr>
                                                  <w:divsChild>
                                                    <w:div w:id="362444042">
                                                      <w:marLeft w:val="0"/>
                                                      <w:marRight w:val="0"/>
                                                      <w:marTop w:val="0"/>
                                                      <w:marBottom w:val="0"/>
                                                      <w:divBdr>
                                                        <w:top w:val="none" w:sz="0" w:space="0" w:color="auto"/>
                                                        <w:left w:val="none" w:sz="0" w:space="0" w:color="auto"/>
                                                        <w:bottom w:val="none" w:sz="0" w:space="0" w:color="auto"/>
                                                        <w:right w:val="none" w:sz="0" w:space="0" w:color="auto"/>
                                                      </w:divBdr>
                                                      <w:divsChild>
                                                        <w:div w:id="6302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0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27E3-7BE9-47F7-A57A-DA84EB20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10</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fiona.laidlaw</dc:creator>
  <cp:lastModifiedBy>Grant Moodie</cp:lastModifiedBy>
  <cp:revision>32</cp:revision>
  <cp:lastPrinted>2018-06-29T01:56:00Z</cp:lastPrinted>
  <dcterms:created xsi:type="dcterms:W3CDTF">2018-06-21T23:43:00Z</dcterms:created>
  <dcterms:modified xsi:type="dcterms:W3CDTF">2018-07-03T01:05:00Z</dcterms:modified>
</cp:coreProperties>
</file>