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8989F" w14:textId="77777777" w:rsidR="007E64EB" w:rsidRPr="007E64EB" w:rsidRDefault="007E64EB" w:rsidP="007E64EB">
      <w:pPr>
        <w:jc w:val="center"/>
        <w:rPr>
          <w:rFonts w:ascii="Arial" w:hAnsi="Arial" w:cs="Arial"/>
          <w:sz w:val="24"/>
          <w:szCs w:val="24"/>
        </w:rPr>
      </w:pPr>
      <w:bookmarkStart w:id="0" w:name="OLE_LINK3"/>
      <w:bookmarkStart w:id="1" w:name="OLE_LINK4"/>
      <w:r w:rsidRPr="007E64EB">
        <w:rPr>
          <w:rFonts w:ascii="Arial" w:hAnsi="Arial" w:cs="Arial"/>
          <w:b/>
          <w:bCs/>
          <w:sz w:val="24"/>
          <w:szCs w:val="24"/>
        </w:rPr>
        <w:t>EXPLANATORY STATEMENT</w:t>
      </w:r>
    </w:p>
    <w:p w14:paraId="1C64175B" w14:textId="0C857024" w:rsidR="007E64EB" w:rsidRPr="007E64EB" w:rsidRDefault="007E64EB" w:rsidP="007E64EB">
      <w:pPr>
        <w:jc w:val="center"/>
        <w:rPr>
          <w:rFonts w:ascii="Arial" w:hAnsi="Arial" w:cs="Arial"/>
          <w:sz w:val="24"/>
          <w:szCs w:val="24"/>
        </w:rPr>
      </w:pPr>
      <w:r w:rsidRPr="007E64EB">
        <w:rPr>
          <w:rFonts w:ascii="Arial" w:hAnsi="Arial" w:cs="Arial"/>
          <w:b/>
          <w:bCs/>
          <w:sz w:val="24"/>
          <w:szCs w:val="24"/>
        </w:rPr>
        <w:t xml:space="preserve">Personal Property Securities </w:t>
      </w:r>
      <w:r w:rsidR="006E0973">
        <w:rPr>
          <w:rFonts w:ascii="Arial" w:hAnsi="Arial" w:cs="Arial"/>
          <w:b/>
          <w:bCs/>
          <w:sz w:val="24"/>
          <w:szCs w:val="24"/>
        </w:rPr>
        <w:t>(</w:t>
      </w:r>
      <w:r w:rsidR="008A21E5">
        <w:rPr>
          <w:rFonts w:ascii="Arial" w:hAnsi="Arial" w:cs="Arial"/>
          <w:b/>
          <w:bCs/>
          <w:sz w:val="24"/>
          <w:szCs w:val="24"/>
        </w:rPr>
        <w:t>Fees</w:t>
      </w:r>
      <w:r w:rsidRPr="007E64EB">
        <w:rPr>
          <w:rFonts w:ascii="Arial" w:hAnsi="Arial" w:cs="Arial"/>
          <w:b/>
          <w:bCs/>
          <w:sz w:val="24"/>
          <w:szCs w:val="24"/>
        </w:rPr>
        <w:t xml:space="preserve">) Determination </w:t>
      </w:r>
      <w:r w:rsidR="003A3348">
        <w:rPr>
          <w:rFonts w:ascii="Arial" w:hAnsi="Arial" w:cs="Arial"/>
          <w:b/>
          <w:bCs/>
          <w:sz w:val="24"/>
          <w:szCs w:val="24"/>
        </w:rPr>
        <w:t>201</w:t>
      </w:r>
      <w:r w:rsidR="00A560BD">
        <w:rPr>
          <w:rFonts w:ascii="Arial" w:hAnsi="Arial" w:cs="Arial"/>
          <w:b/>
          <w:bCs/>
          <w:sz w:val="24"/>
          <w:szCs w:val="24"/>
        </w:rPr>
        <w:t>8</w:t>
      </w:r>
    </w:p>
    <w:bookmarkEnd w:id="0"/>
    <w:bookmarkEnd w:id="1"/>
    <w:p w14:paraId="46E0C0D2" w14:textId="77777777" w:rsidR="007E64EB" w:rsidRPr="007E64EB" w:rsidRDefault="007E64EB" w:rsidP="007E64EB">
      <w:pPr>
        <w:rPr>
          <w:rFonts w:ascii="Arial" w:hAnsi="Arial" w:cs="Arial"/>
          <w:sz w:val="24"/>
          <w:szCs w:val="24"/>
        </w:rPr>
      </w:pPr>
      <w:r w:rsidRPr="007E64EB">
        <w:rPr>
          <w:rFonts w:ascii="Arial" w:hAnsi="Arial" w:cs="Arial"/>
          <w:b/>
          <w:bCs/>
          <w:sz w:val="24"/>
          <w:szCs w:val="24"/>
        </w:rPr>
        <w:t>Summary</w:t>
      </w:r>
    </w:p>
    <w:p w14:paraId="37520C0F" w14:textId="4CCB5A97" w:rsidR="007E64EB" w:rsidRPr="00BE6D54" w:rsidRDefault="007E64EB" w:rsidP="007E64EB">
      <w:pPr>
        <w:rPr>
          <w:rFonts w:ascii="Arial" w:hAnsi="Arial" w:cs="Arial"/>
          <w:sz w:val="24"/>
          <w:szCs w:val="24"/>
        </w:rPr>
      </w:pPr>
      <w:r w:rsidRPr="007E64EB">
        <w:rPr>
          <w:rFonts w:ascii="Arial" w:hAnsi="Arial" w:cs="Arial"/>
          <w:sz w:val="24"/>
          <w:szCs w:val="24"/>
        </w:rPr>
        <w:t>The</w:t>
      </w:r>
      <w:r w:rsidRPr="007E64EB">
        <w:rPr>
          <w:rFonts w:ascii="Arial" w:hAnsi="Arial" w:cs="Arial"/>
          <w:i/>
          <w:iCs/>
          <w:sz w:val="24"/>
          <w:szCs w:val="24"/>
        </w:rPr>
        <w:t xml:space="preserve"> Personal Property Securities (</w:t>
      </w:r>
      <w:r w:rsidR="008A21E5">
        <w:rPr>
          <w:rFonts w:ascii="Arial" w:hAnsi="Arial" w:cs="Arial"/>
          <w:bCs/>
          <w:i/>
          <w:iCs/>
          <w:sz w:val="24"/>
          <w:szCs w:val="24"/>
        </w:rPr>
        <w:t>Fees</w:t>
      </w:r>
      <w:r w:rsidRPr="007E64EB">
        <w:rPr>
          <w:rFonts w:ascii="Arial" w:hAnsi="Arial" w:cs="Arial"/>
          <w:i/>
          <w:iCs/>
          <w:sz w:val="24"/>
          <w:szCs w:val="24"/>
        </w:rPr>
        <w:t xml:space="preserve">) Determination </w:t>
      </w:r>
      <w:r w:rsidR="003A3348">
        <w:rPr>
          <w:rFonts w:ascii="Arial" w:hAnsi="Arial" w:cs="Arial"/>
          <w:i/>
          <w:iCs/>
          <w:sz w:val="24"/>
          <w:szCs w:val="24"/>
        </w:rPr>
        <w:t>201</w:t>
      </w:r>
      <w:r w:rsidR="00DD3168">
        <w:rPr>
          <w:rFonts w:ascii="Arial" w:hAnsi="Arial" w:cs="Arial"/>
          <w:i/>
          <w:iCs/>
          <w:sz w:val="24"/>
          <w:szCs w:val="24"/>
        </w:rPr>
        <w:t>8</w:t>
      </w:r>
      <w:r w:rsidR="003A3348">
        <w:rPr>
          <w:rFonts w:ascii="Arial" w:hAnsi="Arial" w:cs="Arial"/>
          <w:i/>
          <w:iCs/>
          <w:sz w:val="24"/>
          <w:szCs w:val="24"/>
        </w:rPr>
        <w:t xml:space="preserve"> </w:t>
      </w:r>
      <w:r w:rsidRPr="007E64EB">
        <w:rPr>
          <w:rFonts w:ascii="Arial" w:hAnsi="Arial" w:cs="Arial"/>
          <w:sz w:val="24"/>
          <w:szCs w:val="24"/>
        </w:rPr>
        <w:t>(</w:t>
      </w:r>
      <w:r w:rsidR="00C43871">
        <w:rPr>
          <w:rFonts w:ascii="Arial" w:hAnsi="Arial" w:cs="Arial"/>
          <w:sz w:val="24"/>
          <w:szCs w:val="24"/>
        </w:rPr>
        <w:t>the Determination</w:t>
      </w:r>
      <w:r w:rsidRPr="007E64EB">
        <w:rPr>
          <w:rFonts w:ascii="Arial" w:hAnsi="Arial" w:cs="Arial"/>
          <w:sz w:val="24"/>
          <w:szCs w:val="24"/>
        </w:rPr>
        <w:t>) is made under section </w:t>
      </w:r>
      <w:r w:rsidR="008A21E5">
        <w:rPr>
          <w:rFonts w:ascii="Arial" w:hAnsi="Arial" w:cs="Arial"/>
          <w:sz w:val="24"/>
          <w:szCs w:val="24"/>
        </w:rPr>
        <w:t>190</w:t>
      </w:r>
      <w:r w:rsidRPr="007E64EB">
        <w:rPr>
          <w:rFonts w:ascii="Arial" w:hAnsi="Arial" w:cs="Arial"/>
          <w:sz w:val="24"/>
          <w:szCs w:val="24"/>
        </w:rPr>
        <w:t xml:space="preserve"> of the </w:t>
      </w:r>
      <w:r w:rsidRPr="007E64EB">
        <w:rPr>
          <w:rFonts w:ascii="Arial" w:hAnsi="Arial" w:cs="Arial"/>
          <w:i/>
          <w:iCs/>
          <w:sz w:val="24"/>
          <w:szCs w:val="24"/>
        </w:rPr>
        <w:t>Personal Property Securities Act 2009</w:t>
      </w:r>
      <w:r w:rsidRPr="007E64EB">
        <w:rPr>
          <w:rFonts w:ascii="Arial" w:hAnsi="Arial" w:cs="Arial"/>
          <w:sz w:val="24"/>
          <w:szCs w:val="24"/>
        </w:rPr>
        <w:t xml:space="preserve"> (the Act) by the </w:t>
      </w:r>
      <w:r w:rsidR="008A21E5">
        <w:rPr>
          <w:rFonts w:ascii="Arial" w:hAnsi="Arial" w:cs="Arial"/>
          <w:sz w:val="24"/>
          <w:szCs w:val="24"/>
        </w:rPr>
        <w:t>Attorney-General</w:t>
      </w:r>
      <w:r w:rsidR="00BE6D54">
        <w:rPr>
          <w:rFonts w:ascii="Arial" w:hAnsi="Arial" w:cs="Arial"/>
          <w:sz w:val="24"/>
          <w:szCs w:val="24"/>
        </w:rPr>
        <w:t>. </w:t>
      </w:r>
      <w:r w:rsidR="00DE0C0C">
        <w:rPr>
          <w:rFonts w:ascii="Arial" w:hAnsi="Arial" w:cs="Arial"/>
          <w:sz w:val="24"/>
          <w:szCs w:val="24"/>
        </w:rPr>
        <w:t>It replace</w:t>
      </w:r>
      <w:r w:rsidR="000F225A">
        <w:rPr>
          <w:rFonts w:ascii="Arial" w:hAnsi="Arial" w:cs="Arial"/>
          <w:sz w:val="24"/>
          <w:szCs w:val="24"/>
        </w:rPr>
        <w:t>s</w:t>
      </w:r>
      <w:r w:rsidR="00DE0C0C">
        <w:rPr>
          <w:rFonts w:ascii="Arial" w:hAnsi="Arial" w:cs="Arial"/>
          <w:sz w:val="24"/>
          <w:szCs w:val="24"/>
        </w:rPr>
        <w:t xml:space="preserve"> the </w:t>
      </w:r>
      <w:r w:rsidR="00DE0C0C" w:rsidRPr="007E64EB">
        <w:rPr>
          <w:rFonts w:ascii="Arial" w:hAnsi="Arial" w:cs="Arial"/>
          <w:i/>
          <w:iCs/>
          <w:sz w:val="24"/>
          <w:szCs w:val="24"/>
        </w:rPr>
        <w:t>Personal Property Securities (</w:t>
      </w:r>
      <w:r w:rsidR="00DE0C0C">
        <w:rPr>
          <w:rFonts w:ascii="Arial" w:hAnsi="Arial" w:cs="Arial"/>
          <w:bCs/>
          <w:i/>
          <w:iCs/>
          <w:sz w:val="24"/>
          <w:szCs w:val="24"/>
        </w:rPr>
        <w:t>Fees</w:t>
      </w:r>
      <w:r w:rsidR="00DE0C0C" w:rsidRPr="007E64EB">
        <w:rPr>
          <w:rFonts w:ascii="Arial" w:hAnsi="Arial" w:cs="Arial"/>
          <w:i/>
          <w:iCs/>
          <w:sz w:val="24"/>
          <w:szCs w:val="24"/>
        </w:rPr>
        <w:t>)</w:t>
      </w:r>
      <w:r w:rsidR="004745CE">
        <w:rPr>
          <w:rFonts w:ascii="Arial" w:hAnsi="Arial" w:cs="Arial"/>
          <w:i/>
          <w:iCs/>
          <w:sz w:val="24"/>
          <w:szCs w:val="24"/>
        </w:rPr>
        <w:t xml:space="preserve"> </w:t>
      </w:r>
      <w:r w:rsidR="00DE0C0C" w:rsidRPr="007E64EB">
        <w:rPr>
          <w:rFonts w:ascii="Arial" w:hAnsi="Arial" w:cs="Arial"/>
          <w:i/>
          <w:iCs/>
          <w:sz w:val="24"/>
          <w:szCs w:val="24"/>
        </w:rPr>
        <w:t xml:space="preserve">Determination </w:t>
      </w:r>
      <w:r w:rsidR="003A3348">
        <w:rPr>
          <w:rFonts w:ascii="Arial" w:hAnsi="Arial" w:cs="Arial"/>
          <w:i/>
          <w:iCs/>
          <w:sz w:val="24"/>
          <w:szCs w:val="24"/>
        </w:rPr>
        <w:t>201</w:t>
      </w:r>
      <w:r w:rsidR="00DD3168">
        <w:rPr>
          <w:rFonts w:ascii="Arial" w:hAnsi="Arial" w:cs="Arial"/>
          <w:i/>
          <w:iCs/>
          <w:sz w:val="24"/>
          <w:szCs w:val="24"/>
        </w:rPr>
        <w:t>5</w:t>
      </w:r>
      <w:r w:rsidR="00BE6D54">
        <w:rPr>
          <w:rFonts w:ascii="Arial" w:hAnsi="Arial" w:cs="Arial"/>
          <w:i/>
          <w:iCs/>
          <w:sz w:val="24"/>
          <w:szCs w:val="24"/>
        </w:rPr>
        <w:t>.</w:t>
      </w:r>
    </w:p>
    <w:p w14:paraId="61A57822" w14:textId="52718846" w:rsidR="007E64EB" w:rsidRDefault="007E64EB" w:rsidP="007E64EB">
      <w:pPr>
        <w:rPr>
          <w:rFonts w:ascii="Arial" w:hAnsi="Arial" w:cs="Arial"/>
          <w:sz w:val="24"/>
          <w:szCs w:val="24"/>
        </w:rPr>
      </w:pPr>
      <w:r w:rsidRPr="00ED2883">
        <w:rPr>
          <w:rFonts w:ascii="Arial" w:hAnsi="Arial" w:cs="Arial"/>
          <w:sz w:val="24"/>
          <w:szCs w:val="24"/>
        </w:rPr>
        <w:t xml:space="preserve">The </w:t>
      </w:r>
      <w:r w:rsidR="008A21E5">
        <w:rPr>
          <w:rFonts w:ascii="Arial" w:hAnsi="Arial" w:cs="Arial"/>
          <w:sz w:val="24"/>
          <w:szCs w:val="24"/>
        </w:rPr>
        <w:t>instrument determines the fees payable for the purposes of the Act</w:t>
      </w:r>
      <w:r w:rsidRPr="00ED2883">
        <w:rPr>
          <w:rFonts w:ascii="Arial" w:hAnsi="Arial" w:cs="Arial"/>
          <w:sz w:val="24"/>
          <w:szCs w:val="24"/>
        </w:rPr>
        <w:t>.</w:t>
      </w:r>
      <w:r w:rsidR="00054BA3">
        <w:rPr>
          <w:rFonts w:ascii="Arial" w:hAnsi="Arial" w:cs="Arial"/>
          <w:sz w:val="24"/>
          <w:szCs w:val="24"/>
        </w:rPr>
        <w:t xml:space="preserve"> </w:t>
      </w:r>
      <w:r w:rsidR="00C43871">
        <w:rPr>
          <w:rFonts w:ascii="Arial" w:hAnsi="Arial" w:cs="Arial"/>
          <w:sz w:val="24"/>
          <w:szCs w:val="24"/>
        </w:rPr>
        <w:t>The Determination</w:t>
      </w:r>
      <w:r w:rsidR="008A21E5">
        <w:rPr>
          <w:rFonts w:ascii="Arial" w:hAnsi="Arial" w:cs="Arial"/>
          <w:sz w:val="24"/>
          <w:szCs w:val="24"/>
        </w:rPr>
        <w:t xml:space="preserve"> also specifies the kinds of arrangements for the payment of fees that may be approved by the </w:t>
      </w:r>
      <w:r w:rsidR="00DE0C0C">
        <w:rPr>
          <w:rFonts w:ascii="Arial" w:hAnsi="Arial" w:cs="Arial"/>
          <w:sz w:val="24"/>
          <w:szCs w:val="24"/>
        </w:rPr>
        <w:t xml:space="preserve">Registrar of </w:t>
      </w:r>
      <w:r w:rsidR="008A21E5">
        <w:rPr>
          <w:rFonts w:ascii="Arial" w:hAnsi="Arial" w:cs="Arial"/>
          <w:sz w:val="24"/>
          <w:szCs w:val="24"/>
        </w:rPr>
        <w:t xml:space="preserve">Personal Property Securities </w:t>
      </w:r>
      <w:r w:rsidR="00DE0C0C">
        <w:rPr>
          <w:rFonts w:ascii="Arial" w:hAnsi="Arial" w:cs="Arial"/>
          <w:sz w:val="24"/>
          <w:szCs w:val="24"/>
        </w:rPr>
        <w:t xml:space="preserve">(the Registrar) </w:t>
      </w:r>
      <w:r w:rsidR="008A21E5">
        <w:rPr>
          <w:rFonts w:ascii="Arial" w:hAnsi="Arial" w:cs="Arial"/>
          <w:sz w:val="24"/>
          <w:szCs w:val="24"/>
        </w:rPr>
        <w:t>under subsection 190(4) of the Act</w:t>
      </w:r>
      <w:r w:rsidR="00D25D4D">
        <w:rPr>
          <w:rFonts w:ascii="Arial" w:hAnsi="Arial" w:cs="Arial"/>
          <w:sz w:val="24"/>
          <w:szCs w:val="24"/>
        </w:rPr>
        <w:t>.</w:t>
      </w:r>
      <w:r w:rsidR="00900F29">
        <w:rPr>
          <w:rFonts w:ascii="Arial" w:hAnsi="Arial" w:cs="Arial"/>
          <w:sz w:val="24"/>
          <w:szCs w:val="24"/>
        </w:rPr>
        <w:t xml:space="preserve"> </w:t>
      </w:r>
    </w:p>
    <w:p w14:paraId="23FEA4A4" w14:textId="77777777" w:rsidR="007E64EB" w:rsidRPr="007E64EB" w:rsidRDefault="007E64EB" w:rsidP="007E64EB">
      <w:pPr>
        <w:rPr>
          <w:rFonts w:ascii="Arial" w:hAnsi="Arial" w:cs="Arial"/>
          <w:sz w:val="24"/>
          <w:szCs w:val="24"/>
        </w:rPr>
      </w:pPr>
      <w:r w:rsidRPr="007E64EB">
        <w:rPr>
          <w:rFonts w:ascii="Arial" w:hAnsi="Arial" w:cs="Arial"/>
          <w:b/>
          <w:bCs/>
          <w:sz w:val="24"/>
          <w:szCs w:val="24"/>
        </w:rPr>
        <w:t>Background</w:t>
      </w:r>
    </w:p>
    <w:p w14:paraId="7AFEFDD1" w14:textId="565225BE" w:rsidR="0001098B" w:rsidRDefault="00D2050C" w:rsidP="00F972F4">
      <w:pPr>
        <w:rPr>
          <w:rFonts w:ascii="Arial" w:hAnsi="Arial" w:cs="Arial"/>
          <w:sz w:val="24"/>
          <w:szCs w:val="24"/>
        </w:rPr>
      </w:pPr>
      <w:r w:rsidRPr="00D2050C">
        <w:rPr>
          <w:rFonts w:ascii="Arial" w:hAnsi="Arial" w:cs="Arial"/>
          <w:sz w:val="24"/>
          <w:szCs w:val="24"/>
        </w:rPr>
        <w:t xml:space="preserve">The </w:t>
      </w:r>
      <w:r>
        <w:rPr>
          <w:rFonts w:ascii="Arial" w:hAnsi="Arial" w:cs="Arial"/>
          <w:sz w:val="24"/>
          <w:szCs w:val="24"/>
        </w:rPr>
        <w:t>Personal Property Securities Register (</w:t>
      </w:r>
      <w:r w:rsidRPr="008C42FF">
        <w:rPr>
          <w:rFonts w:ascii="Arial" w:hAnsi="Arial" w:cs="Arial"/>
          <w:sz w:val="24"/>
          <w:szCs w:val="24"/>
        </w:rPr>
        <w:t>PPSR</w:t>
      </w:r>
      <w:r>
        <w:rPr>
          <w:rFonts w:ascii="Arial" w:hAnsi="Arial" w:cs="Arial"/>
          <w:sz w:val="24"/>
          <w:szCs w:val="24"/>
        </w:rPr>
        <w:t>)</w:t>
      </w:r>
      <w:r w:rsidR="00900F29">
        <w:rPr>
          <w:rFonts w:ascii="Arial" w:hAnsi="Arial" w:cs="Arial"/>
          <w:sz w:val="24"/>
          <w:szCs w:val="24"/>
        </w:rPr>
        <w:t xml:space="preserve"> </w:t>
      </w:r>
      <w:r>
        <w:rPr>
          <w:rFonts w:ascii="Arial" w:hAnsi="Arial" w:cs="Arial"/>
          <w:sz w:val="24"/>
          <w:szCs w:val="24"/>
        </w:rPr>
        <w:t>is</w:t>
      </w:r>
      <w:r w:rsidR="00900F29">
        <w:rPr>
          <w:rFonts w:ascii="Arial" w:hAnsi="Arial" w:cs="Arial"/>
          <w:sz w:val="24"/>
          <w:szCs w:val="24"/>
        </w:rPr>
        <w:t xml:space="preserve"> </w:t>
      </w:r>
      <w:r w:rsidR="0001098B">
        <w:rPr>
          <w:rFonts w:ascii="Arial" w:hAnsi="Arial" w:cs="Arial"/>
          <w:sz w:val="24"/>
          <w:szCs w:val="24"/>
        </w:rPr>
        <w:t xml:space="preserve">required to be </w:t>
      </w:r>
      <w:r w:rsidRPr="00D2050C">
        <w:rPr>
          <w:rFonts w:ascii="Arial" w:hAnsi="Arial" w:cs="Arial"/>
          <w:sz w:val="24"/>
          <w:szCs w:val="24"/>
        </w:rPr>
        <w:t xml:space="preserve">established and maintained by </w:t>
      </w:r>
      <w:r>
        <w:rPr>
          <w:rFonts w:ascii="Arial" w:hAnsi="Arial" w:cs="Arial"/>
          <w:sz w:val="24"/>
          <w:szCs w:val="24"/>
        </w:rPr>
        <w:t>the</w:t>
      </w:r>
      <w:r w:rsidRPr="00D2050C">
        <w:rPr>
          <w:rFonts w:ascii="Arial" w:hAnsi="Arial" w:cs="Arial"/>
          <w:sz w:val="24"/>
          <w:szCs w:val="24"/>
        </w:rPr>
        <w:t xml:space="preserve"> Registrar </w:t>
      </w:r>
      <w:r>
        <w:rPr>
          <w:rFonts w:ascii="Arial" w:hAnsi="Arial" w:cs="Arial"/>
          <w:sz w:val="24"/>
          <w:szCs w:val="24"/>
        </w:rPr>
        <w:t>under the subsection</w:t>
      </w:r>
      <w:r w:rsidRPr="00D2050C">
        <w:rPr>
          <w:rFonts w:ascii="Arial" w:hAnsi="Arial" w:cs="Arial"/>
          <w:sz w:val="24"/>
          <w:szCs w:val="24"/>
        </w:rPr>
        <w:t> 147(1)</w:t>
      </w:r>
      <w:r>
        <w:rPr>
          <w:rFonts w:ascii="Arial" w:hAnsi="Arial" w:cs="Arial"/>
          <w:sz w:val="24"/>
          <w:szCs w:val="24"/>
        </w:rPr>
        <w:t xml:space="preserve"> of the Act.</w:t>
      </w:r>
    </w:p>
    <w:p w14:paraId="235C3DC1" w14:textId="13065CA5" w:rsidR="00D6480E" w:rsidRDefault="001F3429" w:rsidP="00F972F4">
      <w:pPr>
        <w:rPr>
          <w:rFonts w:ascii="Arial" w:hAnsi="Arial" w:cs="Arial"/>
          <w:sz w:val="24"/>
          <w:szCs w:val="24"/>
        </w:rPr>
      </w:pPr>
      <w:r>
        <w:rPr>
          <w:rFonts w:ascii="Arial" w:hAnsi="Arial" w:cs="Arial"/>
          <w:sz w:val="24"/>
          <w:szCs w:val="24"/>
        </w:rPr>
        <w:t xml:space="preserve">The PPSR </w:t>
      </w:r>
      <w:r w:rsidR="0001098B">
        <w:rPr>
          <w:rFonts w:ascii="Arial" w:hAnsi="Arial" w:cs="Arial"/>
          <w:sz w:val="24"/>
          <w:szCs w:val="24"/>
        </w:rPr>
        <w:t xml:space="preserve">is an electronic register that </w:t>
      </w:r>
      <w:r w:rsidR="00B04FED">
        <w:rPr>
          <w:rFonts w:ascii="Arial" w:hAnsi="Arial" w:cs="Arial"/>
          <w:sz w:val="24"/>
          <w:szCs w:val="24"/>
        </w:rPr>
        <w:t>is</w:t>
      </w:r>
      <w:r w:rsidR="00F921BC">
        <w:rPr>
          <w:rFonts w:ascii="Arial" w:hAnsi="Arial" w:cs="Arial"/>
          <w:sz w:val="24"/>
          <w:szCs w:val="24"/>
        </w:rPr>
        <w:t xml:space="preserve"> </w:t>
      </w:r>
      <w:r w:rsidR="00765140">
        <w:rPr>
          <w:rFonts w:ascii="Arial" w:hAnsi="Arial" w:cs="Arial"/>
          <w:sz w:val="24"/>
          <w:szCs w:val="24"/>
        </w:rPr>
        <w:t xml:space="preserve">publicly </w:t>
      </w:r>
      <w:r w:rsidR="00B95E5F">
        <w:rPr>
          <w:rFonts w:ascii="Arial" w:hAnsi="Arial" w:cs="Arial"/>
          <w:sz w:val="24"/>
          <w:szCs w:val="24"/>
        </w:rPr>
        <w:t xml:space="preserve">accessible through a </w:t>
      </w:r>
      <w:r w:rsidR="0001098B" w:rsidRPr="0001098B">
        <w:rPr>
          <w:rFonts w:ascii="Arial" w:hAnsi="Arial" w:cs="Arial"/>
          <w:sz w:val="24"/>
          <w:szCs w:val="24"/>
        </w:rPr>
        <w:t>user interface available at</w:t>
      </w:r>
      <w:r w:rsidR="00B95E5F">
        <w:rPr>
          <w:rFonts w:ascii="Arial" w:hAnsi="Arial" w:cs="Arial"/>
          <w:sz w:val="24"/>
          <w:szCs w:val="24"/>
        </w:rPr>
        <w:t xml:space="preserve"> a website maintained by the Registrar</w:t>
      </w:r>
      <w:r w:rsidR="00900F29">
        <w:rPr>
          <w:rFonts w:ascii="Arial" w:hAnsi="Arial" w:cs="Arial"/>
          <w:sz w:val="24"/>
          <w:szCs w:val="24"/>
        </w:rPr>
        <w:t xml:space="preserve"> </w:t>
      </w:r>
      <w:r>
        <w:rPr>
          <w:rFonts w:ascii="Arial" w:hAnsi="Arial" w:cs="Arial"/>
          <w:sz w:val="24"/>
          <w:szCs w:val="24"/>
        </w:rPr>
        <w:t xml:space="preserve">24 hours per day, 7 days per week. </w:t>
      </w:r>
      <w:r w:rsidR="0001098B">
        <w:rPr>
          <w:rFonts w:ascii="Arial" w:hAnsi="Arial" w:cs="Arial"/>
          <w:sz w:val="24"/>
          <w:szCs w:val="24"/>
        </w:rPr>
        <w:t>However, t</w:t>
      </w:r>
      <w:r w:rsidR="0001098B" w:rsidRPr="0001098B">
        <w:rPr>
          <w:rFonts w:ascii="Arial" w:hAnsi="Arial" w:cs="Arial"/>
          <w:sz w:val="24"/>
          <w:szCs w:val="24"/>
        </w:rPr>
        <w:t xml:space="preserve">he Registrar </w:t>
      </w:r>
      <w:r w:rsidR="00B04FED">
        <w:rPr>
          <w:rFonts w:ascii="Arial" w:hAnsi="Arial" w:cs="Arial"/>
          <w:sz w:val="24"/>
          <w:szCs w:val="24"/>
        </w:rPr>
        <w:t>can</w:t>
      </w:r>
      <w:r w:rsidR="0001098B" w:rsidRPr="0001098B">
        <w:rPr>
          <w:rFonts w:ascii="Arial" w:hAnsi="Arial" w:cs="Arial"/>
          <w:sz w:val="24"/>
          <w:szCs w:val="24"/>
        </w:rPr>
        <w:t xml:space="preserve"> refuse access to, or suspend the operation of the PPSR, in whole or in part, where it is not practical to provide</w:t>
      </w:r>
      <w:r w:rsidR="004745CE">
        <w:rPr>
          <w:rFonts w:ascii="Arial" w:hAnsi="Arial" w:cs="Arial"/>
          <w:sz w:val="24"/>
          <w:szCs w:val="24"/>
        </w:rPr>
        <w:t xml:space="preserve"> </w:t>
      </w:r>
      <w:r w:rsidR="0001098B" w:rsidRPr="0001098B">
        <w:rPr>
          <w:rFonts w:ascii="Arial" w:hAnsi="Arial" w:cs="Arial"/>
          <w:sz w:val="24"/>
          <w:szCs w:val="24"/>
        </w:rPr>
        <w:t>access</w:t>
      </w:r>
      <w:r w:rsidR="004745CE">
        <w:rPr>
          <w:rFonts w:ascii="Arial" w:hAnsi="Arial" w:cs="Arial"/>
          <w:sz w:val="24"/>
          <w:szCs w:val="24"/>
        </w:rPr>
        <w:t> </w:t>
      </w:r>
      <w:r w:rsidR="00BE6D54">
        <w:rPr>
          <w:rFonts w:ascii="Arial" w:hAnsi="Arial" w:cs="Arial"/>
          <w:sz w:val="24"/>
          <w:szCs w:val="24"/>
        </w:rPr>
        <w:t>(subsection</w:t>
      </w:r>
      <w:r w:rsidR="004745CE">
        <w:rPr>
          <w:rFonts w:ascii="Arial" w:hAnsi="Arial" w:cs="Arial"/>
          <w:sz w:val="24"/>
          <w:szCs w:val="24"/>
        </w:rPr>
        <w:t> </w:t>
      </w:r>
      <w:r w:rsidR="0001098B">
        <w:rPr>
          <w:rFonts w:ascii="Arial" w:hAnsi="Arial" w:cs="Arial"/>
          <w:sz w:val="24"/>
          <w:szCs w:val="24"/>
        </w:rPr>
        <w:t>147(5)).</w:t>
      </w:r>
    </w:p>
    <w:p w14:paraId="24B9CE49" w14:textId="77777777" w:rsidR="00C1511F" w:rsidRDefault="00DE0C0C" w:rsidP="00F972F4">
      <w:pPr>
        <w:rPr>
          <w:rFonts w:ascii="Arial" w:hAnsi="Arial" w:cs="Arial"/>
          <w:sz w:val="24"/>
          <w:szCs w:val="24"/>
        </w:rPr>
      </w:pPr>
      <w:r>
        <w:rPr>
          <w:rFonts w:ascii="Arial" w:hAnsi="Arial" w:cs="Arial"/>
          <w:sz w:val="24"/>
          <w:szCs w:val="24"/>
        </w:rPr>
        <w:t>T</w:t>
      </w:r>
      <w:r w:rsidR="001F3429">
        <w:rPr>
          <w:rFonts w:ascii="Arial" w:hAnsi="Arial" w:cs="Arial"/>
          <w:sz w:val="24"/>
          <w:szCs w:val="24"/>
        </w:rPr>
        <w:t xml:space="preserve">ransactions on the PPSR </w:t>
      </w:r>
      <w:r w:rsidR="00900F29">
        <w:rPr>
          <w:rFonts w:ascii="Arial" w:hAnsi="Arial" w:cs="Arial"/>
          <w:sz w:val="24"/>
          <w:szCs w:val="24"/>
        </w:rPr>
        <w:t>are</w:t>
      </w:r>
      <w:r w:rsidR="001F3429">
        <w:rPr>
          <w:rFonts w:ascii="Arial" w:hAnsi="Arial" w:cs="Arial"/>
          <w:sz w:val="24"/>
          <w:szCs w:val="24"/>
        </w:rPr>
        <w:t xml:space="preserve"> conducted through the PPSR’s </w:t>
      </w:r>
      <w:r w:rsidR="0001098B">
        <w:rPr>
          <w:rFonts w:ascii="Arial" w:hAnsi="Arial" w:cs="Arial"/>
          <w:sz w:val="24"/>
          <w:szCs w:val="24"/>
        </w:rPr>
        <w:t xml:space="preserve">online </w:t>
      </w:r>
      <w:r>
        <w:rPr>
          <w:rFonts w:ascii="Arial" w:hAnsi="Arial" w:cs="Arial"/>
          <w:sz w:val="24"/>
          <w:szCs w:val="24"/>
        </w:rPr>
        <w:t xml:space="preserve">web </w:t>
      </w:r>
      <w:r w:rsidR="001F3429">
        <w:rPr>
          <w:rFonts w:ascii="Arial" w:hAnsi="Arial" w:cs="Arial"/>
          <w:sz w:val="24"/>
          <w:szCs w:val="24"/>
        </w:rPr>
        <w:t>user interface</w:t>
      </w:r>
      <w:r w:rsidR="00BE6D54">
        <w:rPr>
          <w:rFonts w:ascii="Arial" w:hAnsi="Arial" w:cs="Arial"/>
          <w:sz w:val="24"/>
          <w:szCs w:val="24"/>
        </w:rPr>
        <w:t>.</w:t>
      </w:r>
      <w:r>
        <w:rPr>
          <w:rFonts w:ascii="Arial" w:hAnsi="Arial" w:cs="Arial"/>
          <w:sz w:val="24"/>
          <w:szCs w:val="24"/>
        </w:rPr>
        <w:t xml:space="preserve"> Some users </w:t>
      </w:r>
      <w:r w:rsidR="0001098B">
        <w:rPr>
          <w:rFonts w:ascii="Arial" w:hAnsi="Arial" w:cs="Arial"/>
          <w:sz w:val="24"/>
          <w:szCs w:val="24"/>
        </w:rPr>
        <w:t xml:space="preserve">access the PPSR </w:t>
      </w:r>
      <w:r>
        <w:rPr>
          <w:rFonts w:ascii="Arial" w:hAnsi="Arial" w:cs="Arial"/>
          <w:sz w:val="24"/>
          <w:szCs w:val="24"/>
        </w:rPr>
        <w:t xml:space="preserve">electronically through </w:t>
      </w:r>
      <w:r w:rsidR="0001098B">
        <w:rPr>
          <w:rFonts w:ascii="Arial" w:hAnsi="Arial" w:cs="Arial"/>
          <w:sz w:val="24"/>
          <w:szCs w:val="24"/>
        </w:rPr>
        <w:t>a business to government</w:t>
      </w:r>
      <w:r>
        <w:rPr>
          <w:rFonts w:ascii="Arial" w:hAnsi="Arial" w:cs="Arial"/>
          <w:sz w:val="24"/>
          <w:szCs w:val="24"/>
        </w:rPr>
        <w:t xml:space="preserve"> (B2G)</w:t>
      </w:r>
      <w:r w:rsidR="00BE6D54">
        <w:rPr>
          <w:rFonts w:ascii="Arial" w:hAnsi="Arial" w:cs="Arial"/>
          <w:sz w:val="24"/>
          <w:szCs w:val="24"/>
        </w:rPr>
        <w:t xml:space="preserve"> interface.</w:t>
      </w:r>
    </w:p>
    <w:p w14:paraId="072B90B4" w14:textId="492F5425" w:rsidR="00B04FED" w:rsidRDefault="00C1511F" w:rsidP="00F972F4">
      <w:pPr>
        <w:rPr>
          <w:rFonts w:ascii="Arial" w:hAnsi="Arial" w:cs="Arial"/>
          <w:sz w:val="24"/>
          <w:szCs w:val="24"/>
        </w:rPr>
      </w:pPr>
      <w:r>
        <w:rPr>
          <w:rFonts w:ascii="Arial" w:hAnsi="Arial" w:cs="Arial"/>
          <w:sz w:val="24"/>
          <w:szCs w:val="24"/>
        </w:rPr>
        <w:t xml:space="preserve">A </w:t>
      </w:r>
      <w:r w:rsidR="00E407D6">
        <w:rPr>
          <w:rFonts w:ascii="Arial" w:hAnsi="Arial" w:cs="Arial"/>
          <w:sz w:val="24"/>
          <w:szCs w:val="24"/>
        </w:rPr>
        <w:t xml:space="preserve">contact centre </w:t>
      </w:r>
      <w:r>
        <w:rPr>
          <w:rFonts w:ascii="Arial" w:hAnsi="Arial" w:cs="Arial"/>
          <w:sz w:val="24"/>
          <w:szCs w:val="24"/>
        </w:rPr>
        <w:t>has been</w:t>
      </w:r>
      <w:r w:rsidR="00E407D6">
        <w:rPr>
          <w:rFonts w:ascii="Arial" w:hAnsi="Arial" w:cs="Arial"/>
          <w:sz w:val="24"/>
          <w:szCs w:val="24"/>
        </w:rPr>
        <w:t xml:space="preserve"> established </w:t>
      </w:r>
      <w:r w:rsidR="0030580A">
        <w:rPr>
          <w:rFonts w:ascii="Arial" w:hAnsi="Arial" w:cs="Arial"/>
          <w:sz w:val="24"/>
          <w:szCs w:val="24"/>
        </w:rPr>
        <w:t>that enable</w:t>
      </w:r>
      <w:r w:rsidR="00DE0C0C">
        <w:rPr>
          <w:rFonts w:ascii="Arial" w:hAnsi="Arial" w:cs="Arial"/>
          <w:sz w:val="24"/>
          <w:szCs w:val="24"/>
        </w:rPr>
        <w:t>s</w:t>
      </w:r>
      <w:r w:rsidR="0030580A">
        <w:rPr>
          <w:rFonts w:ascii="Arial" w:hAnsi="Arial" w:cs="Arial"/>
          <w:sz w:val="24"/>
          <w:szCs w:val="24"/>
        </w:rPr>
        <w:t xml:space="preserve"> </w:t>
      </w:r>
      <w:r w:rsidR="00DE0C0C">
        <w:rPr>
          <w:rFonts w:ascii="Arial" w:hAnsi="Arial" w:cs="Arial"/>
          <w:sz w:val="24"/>
          <w:szCs w:val="24"/>
        </w:rPr>
        <w:t>users</w:t>
      </w:r>
      <w:r w:rsidR="00D6480E">
        <w:rPr>
          <w:rFonts w:ascii="Arial" w:hAnsi="Arial" w:cs="Arial"/>
          <w:sz w:val="24"/>
          <w:szCs w:val="24"/>
        </w:rPr>
        <w:t xml:space="preserve"> to </w:t>
      </w:r>
      <w:r>
        <w:rPr>
          <w:rFonts w:ascii="Arial" w:hAnsi="Arial" w:cs="Arial"/>
          <w:sz w:val="24"/>
          <w:szCs w:val="24"/>
        </w:rPr>
        <w:t xml:space="preserve">conduct some PPSR </w:t>
      </w:r>
      <w:r w:rsidR="00D6480E">
        <w:rPr>
          <w:rFonts w:ascii="Arial" w:hAnsi="Arial" w:cs="Arial"/>
          <w:sz w:val="24"/>
          <w:szCs w:val="24"/>
        </w:rPr>
        <w:t>transact</w:t>
      </w:r>
      <w:r>
        <w:rPr>
          <w:rFonts w:ascii="Arial" w:hAnsi="Arial" w:cs="Arial"/>
          <w:sz w:val="24"/>
          <w:szCs w:val="24"/>
        </w:rPr>
        <w:t>ions</w:t>
      </w:r>
      <w:r w:rsidR="00D6480E">
        <w:rPr>
          <w:rFonts w:ascii="Arial" w:hAnsi="Arial" w:cs="Arial"/>
          <w:sz w:val="24"/>
          <w:szCs w:val="24"/>
        </w:rPr>
        <w:t xml:space="preserve"> by making an application through </w:t>
      </w:r>
      <w:r w:rsidR="0030580A">
        <w:rPr>
          <w:rFonts w:ascii="Arial" w:hAnsi="Arial" w:cs="Arial"/>
          <w:sz w:val="24"/>
          <w:szCs w:val="24"/>
        </w:rPr>
        <w:t>the contact centre.</w:t>
      </w:r>
      <w:r w:rsidR="00DE0C0C">
        <w:rPr>
          <w:rFonts w:ascii="Arial" w:hAnsi="Arial" w:cs="Arial"/>
          <w:sz w:val="24"/>
          <w:szCs w:val="24"/>
        </w:rPr>
        <w:t xml:space="preserve"> For example, a person may telephone the contact centre and request a search of the PPSR to be performed on their behalf.</w:t>
      </w:r>
      <w:r>
        <w:rPr>
          <w:rFonts w:ascii="Arial" w:hAnsi="Arial" w:cs="Arial"/>
          <w:sz w:val="24"/>
          <w:szCs w:val="24"/>
        </w:rPr>
        <w:t xml:space="preserve"> </w:t>
      </w:r>
      <w:r w:rsidR="008B4DDF">
        <w:rPr>
          <w:rFonts w:ascii="Arial" w:hAnsi="Arial" w:cs="Arial"/>
          <w:sz w:val="24"/>
          <w:szCs w:val="24"/>
        </w:rPr>
        <w:t xml:space="preserve">Some </w:t>
      </w:r>
      <w:r w:rsidR="00900F29">
        <w:rPr>
          <w:rFonts w:ascii="Arial" w:hAnsi="Arial" w:cs="Arial"/>
          <w:sz w:val="24"/>
          <w:szCs w:val="24"/>
        </w:rPr>
        <w:t xml:space="preserve">contact centre </w:t>
      </w:r>
      <w:r w:rsidR="00B04FED">
        <w:rPr>
          <w:rFonts w:ascii="Arial" w:hAnsi="Arial" w:cs="Arial"/>
          <w:sz w:val="24"/>
          <w:szCs w:val="24"/>
        </w:rPr>
        <w:t xml:space="preserve">services </w:t>
      </w:r>
      <w:r w:rsidR="00900F29">
        <w:rPr>
          <w:rFonts w:ascii="Arial" w:hAnsi="Arial" w:cs="Arial"/>
          <w:sz w:val="24"/>
          <w:szCs w:val="24"/>
        </w:rPr>
        <w:t>that</w:t>
      </w:r>
      <w:r w:rsidR="00F921BC">
        <w:rPr>
          <w:rFonts w:ascii="Arial" w:hAnsi="Arial" w:cs="Arial"/>
          <w:sz w:val="24"/>
          <w:szCs w:val="24"/>
        </w:rPr>
        <w:t xml:space="preserve"> </w:t>
      </w:r>
      <w:r w:rsidR="00DE0C0C">
        <w:rPr>
          <w:rFonts w:ascii="Arial" w:hAnsi="Arial" w:cs="Arial"/>
          <w:sz w:val="24"/>
          <w:szCs w:val="24"/>
        </w:rPr>
        <w:t xml:space="preserve">were offered under the previous fee determination </w:t>
      </w:r>
      <w:r w:rsidR="00AE0A58">
        <w:rPr>
          <w:rFonts w:ascii="Arial" w:hAnsi="Arial" w:cs="Arial"/>
          <w:sz w:val="24"/>
          <w:szCs w:val="24"/>
        </w:rPr>
        <w:t>have been very</w:t>
      </w:r>
      <w:r w:rsidR="00DE0C0C">
        <w:rPr>
          <w:rFonts w:ascii="Arial" w:hAnsi="Arial" w:cs="Arial"/>
          <w:sz w:val="24"/>
          <w:szCs w:val="24"/>
        </w:rPr>
        <w:t xml:space="preserve"> rarely utilised by PPSR users</w:t>
      </w:r>
      <w:r w:rsidR="006D2C7F">
        <w:rPr>
          <w:rFonts w:ascii="Arial" w:hAnsi="Arial" w:cs="Arial"/>
          <w:sz w:val="24"/>
          <w:szCs w:val="24"/>
        </w:rPr>
        <w:t xml:space="preserve">, who have conducted </w:t>
      </w:r>
      <w:r w:rsidR="002C409E">
        <w:rPr>
          <w:rFonts w:ascii="Arial" w:hAnsi="Arial" w:cs="Arial"/>
          <w:sz w:val="24"/>
          <w:szCs w:val="24"/>
        </w:rPr>
        <w:t>those</w:t>
      </w:r>
      <w:r w:rsidR="006D2C7F">
        <w:rPr>
          <w:rFonts w:ascii="Arial" w:hAnsi="Arial" w:cs="Arial"/>
          <w:sz w:val="24"/>
          <w:szCs w:val="24"/>
        </w:rPr>
        <w:t xml:space="preserve"> transactions almost exclusively through the online interface or B2G channels</w:t>
      </w:r>
      <w:r w:rsidR="00DE0C0C">
        <w:rPr>
          <w:rFonts w:ascii="Arial" w:hAnsi="Arial" w:cs="Arial"/>
          <w:sz w:val="24"/>
          <w:szCs w:val="24"/>
        </w:rPr>
        <w:t xml:space="preserve">. Those services </w:t>
      </w:r>
      <w:r w:rsidR="002C409E">
        <w:rPr>
          <w:rFonts w:ascii="Arial" w:hAnsi="Arial" w:cs="Arial"/>
          <w:sz w:val="24"/>
          <w:szCs w:val="24"/>
        </w:rPr>
        <w:t xml:space="preserve">are </w:t>
      </w:r>
      <w:r w:rsidR="00DE0C0C">
        <w:rPr>
          <w:rFonts w:ascii="Arial" w:hAnsi="Arial" w:cs="Arial"/>
          <w:sz w:val="24"/>
          <w:szCs w:val="24"/>
        </w:rPr>
        <w:t xml:space="preserve">no longer available </w:t>
      </w:r>
      <w:r w:rsidR="002C409E">
        <w:rPr>
          <w:rFonts w:ascii="Arial" w:hAnsi="Arial" w:cs="Arial"/>
          <w:sz w:val="24"/>
          <w:szCs w:val="24"/>
        </w:rPr>
        <w:t xml:space="preserve">through </w:t>
      </w:r>
      <w:r w:rsidR="00DE0C0C">
        <w:rPr>
          <w:rFonts w:ascii="Arial" w:hAnsi="Arial" w:cs="Arial"/>
          <w:sz w:val="24"/>
          <w:szCs w:val="24"/>
        </w:rPr>
        <w:t xml:space="preserve">the contact centre and the </w:t>
      </w:r>
      <w:r w:rsidR="00AE0A58">
        <w:rPr>
          <w:rFonts w:ascii="Arial" w:hAnsi="Arial" w:cs="Arial"/>
          <w:sz w:val="24"/>
          <w:szCs w:val="24"/>
        </w:rPr>
        <w:t>Determination</w:t>
      </w:r>
      <w:r w:rsidR="00DE0C0C">
        <w:rPr>
          <w:rFonts w:ascii="Arial" w:hAnsi="Arial" w:cs="Arial"/>
          <w:sz w:val="24"/>
          <w:szCs w:val="24"/>
        </w:rPr>
        <w:t xml:space="preserve"> </w:t>
      </w:r>
      <w:r w:rsidR="00AE0A58">
        <w:rPr>
          <w:rFonts w:ascii="Arial" w:hAnsi="Arial" w:cs="Arial"/>
          <w:sz w:val="24"/>
          <w:szCs w:val="24"/>
        </w:rPr>
        <w:t>reflects those changes</w:t>
      </w:r>
      <w:r w:rsidR="00054BA3">
        <w:rPr>
          <w:rFonts w:ascii="Arial" w:hAnsi="Arial" w:cs="Arial"/>
          <w:sz w:val="24"/>
          <w:szCs w:val="24"/>
        </w:rPr>
        <w:t>.</w:t>
      </w:r>
      <w:r w:rsidR="00A529C1">
        <w:rPr>
          <w:rFonts w:ascii="Arial" w:hAnsi="Arial" w:cs="Arial"/>
          <w:sz w:val="24"/>
          <w:szCs w:val="24"/>
        </w:rPr>
        <w:t xml:space="preserve"> For example, the reissue of written search results are able to be accessed for free by the client and the contact centre was rarely used for this type of activity.  </w:t>
      </w:r>
    </w:p>
    <w:p w14:paraId="2D5AF620" w14:textId="761CD5F8" w:rsidR="002C4672" w:rsidRDefault="002C4672" w:rsidP="002C4672">
      <w:pPr>
        <w:spacing w:after="120"/>
        <w:rPr>
          <w:rFonts w:ascii="Arial" w:hAnsi="Arial" w:cs="Arial"/>
          <w:sz w:val="24"/>
          <w:szCs w:val="24"/>
        </w:rPr>
      </w:pPr>
      <w:r w:rsidRPr="002C4672">
        <w:rPr>
          <w:rFonts w:ascii="Arial" w:hAnsi="Arial" w:cs="Arial"/>
          <w:sz w:val="24"/>
          <w:szCs w:val="24"/>
        </w:rPr>
        <w:t xml:space="preserve">A Cost Recovery </w:t>
      </w:r>
      <w:r w:rsidR="003A3348">
        <w:rPr>
          <w:rFonts w:ascii="Arial" w:hAnsi="Arial" w:cs="Arial"/>
          <w:sz w:val="24"/>
          <w:szCs w:val="24"/>
        </w:rPr>
        <w:t>Implementation</w:t>
      </w:r>
      <w:r w:rsidR="003A3348" w:rsidRPr="002C4672">
        <w:rPr>
          <w:rFonts w:ascii="Arial" w:hAnsi="Arial" w:cs="Arial"/>
          <w:sz w:val="24"/>
          <w:szCs w:val="24"/>
        </w:rPr>
        <w:t xml:space="preserve"> </w:t>
      </w:r>
      <w:r w:rsidRPr="002C4672">
        <w:rPr>
          <w:rFonts w:ascii="Arial" w:hAnsi="Arial" w:cs="Arial"/>
          <w:sz w:val="24"/>
          <w:szCs w:val="24"/>
        </w:rPr>
        <w:t>Statement (CRIS) is required for all cost recovery arrangemen</w:t>
      </w:r>
      <w:r w:rsidRPr="001B08C7">
        <w:rPr>
          <w:rFonts w:ascii="Arial" w:hAnsi="Arial" w:cs="Arial"/>
          <w:sz w:val="24"/>
          <w:szCs w:val="24"/>
        </w:rPr>
        <w:t>ts</w:t>
      </w:r>
      <w:r w:rsidR="00BE6D54">
        <w:rPr>
          <w:rFonts w:ascii="Arial" w:hAnsi="Arial" w:cs="Arial"/>
          <w:sz w:val="24"/>
          <w:szCs w:val="24"/>
        </w:rPr>
        <w:t xml:space="preserve">. </w:t>
      </w:r>
      <w:r w:rsidR="00446497">
        <w:rPr>
          <w:rFonts w:ascii="Arial" w:hAnsi="Arial" w:cs="Arial"/>
          <w:sz w:val="24"/>
          <w:szCs w:val="24"/>
        </w:rPr>
        <w:t xml:space="preserve">A CRIS </w:t>
      </w:r>
      <w:r w:rsidR="00716790" w:rsidRPr="00BE6D54">
        <w:rPr>
          <w:rFonts w:ascii="Arial" w:hAnsi="Arial" w:cs="Arial"/>
          <w:sz w:val="24"/>
          <w:szCs w:val="24"/>
        </w:rPr>
        <w:t xml:space="preserve">entitled ‘Personal Property Securities Register’ </w:t>
      </w:r>
      <w:r w:rsidR="00CD072C">
        <w:rPr>
          <w:rFonts w:ascii="Arial" w:hAnsi="Arial" w:cs="Arial"/>
          <w:sz w:val="24"/>
          <w:szCs w:val="24"/>
        </w:rPr>
        <w:t xml:space="preserve">(PPSR CRIS) </w:t>
      </w:r>
      <w:r w:rsidR="00B05162" w:rsidRPr="001B08C7">
        <w:rPr>
          <w:rFonts w:ascii="Arial" w:hAnsi="Arial" w:cs="Arial"/>
          <w:sz w:val="24"/>
          <w:szCs w:val="24"/>
        </w:rPr>
        <w:t>was</w:t>
      </w:r>
      <w:r w:rsidRPr="001B08C7">
        <w:rPr>
          <w:rFonts w:ascii="Arial" w:hAnsi="Arial" w:cs="Arial"/>
          <w:sz w:val="24"/>
          <w:szCs w:val="24"/>
        </w:rPr>
        <w:t xml:space="preserve"> developed</w:t>
      </w:r>
      <w:r w:rsidR="001B08C7" w:rsidRPr="001B08C7">
        <w:rPr>
          <w:rFonts w:ascii="Arial" w:hAnsi="Arial" w:cs="Arial"/>
          <w:sz w:val="24"/>
          <w:szCs w:val="24"/>
        </w:rPr>
        <w:t xml:space="preserve"> </w:t>
      </w:r>
      <w:r w:rsidR="004F5565" w:rsidRPr="001B08C7">
        <w:rPr>
          <w:rFonts w:ascii="Arial" w:hAnsi="Arial" w:cs="Arial"/>
          <w:sz w:val="24"/>
          <w:szCs w:val="24"/>
        </w:rPr>
        <w:t xml:space="preserve">in </w:t>
      </w:r>
      <w:r w:rsidR="00AE0A58" w:rsidRPr="001B08C7">
        <w:rPr>
          <w:rFonts w:ascii="Arial" w:hAnsi="Arial" w:cs="Arial"/>
          <w:sz w:val="24"/>
          <w:szCs w:val="24"/>
        </w:rPr>
        <w:t xml:space="preserve">accordance </w:t>
      </w:r>
      <w:r w:rsidR="004F5565" w:rsidRPr="001B08C7">
        <w:rPr>
          <w:rFonts w:ascii="Arial" w:hAnsi="Arial" w:cs="Arial"/>
          <w:sz w:val="24"/>
          <w:szCs w:val="24"/>
        </w:rPr>
        <w:t>with</w:t>
      </w:r>
      <w:r w:rsidR="004F5565">
        <w:rPr>
          <w:rFonts w:ascii="Arial" w:hAnsi="Arial" w:cs="Arial"/>
          <w:sz w:val="24"/>
          <w:szCs w:val="24"/>
        </w:rPr>
        <w:t xml:space="preserve"> the </w:t>
      </w:r>
      <w:r w:rsidR="0041076D" w:rsidRPr="0041076D">
        <w:rPr>
          <w:rFonts w:ascii="Arial" w:hAnsi="Arial" w:cs="Arial"/>
          <w:sz w:val="24"/>
          <w:szCs w:val="24"/>
        </w:rPr>
        <w:t>Australian Government Charging Framework</w:t>
      </w:r>
      <w:r w:rsidR="00F842C7">
        <w:rPr>
          <w:rFonts w:ascii="Arial" w:hAnsi="Arial" w:cs="Arial"/>
          <w:sz w:val="24"/>
          <w:szCs w:val="24"/>
        </w:rPr>
        <w:t>,</w:t>
      </w:r>
      <w:r w:rsidR="0041076D" w:rsidRPr="0041076D">
        <w:rPr>
          <w:rFonts w:ascii="Arial" w:hAnsi="Arial" w:cs="Arial"/>
          <w:sz w:val="24"/>
          <w:szCs w:val="24"/>
        </w:rPr>
        <w:t xml:space="preserve"> </w:t>
      </w:r>
      <w:r w:rsidR="0041076D" w:rsidRPr="0041076D">
        <w:rPr>
          <w:rFonts w:ascii="Arial" w:hAnsi="Arial" w:cs="Arial"/>
          <w:sz w:val="24"/>
          <w:szCs w:val="24"/>
        </w:rPr>
        <w:lastRenderedPageBreak/>
        <w:t>which incorporates the Cost Recovery Guidelines</w:t>
      </w:r>
      <w:r w:rsidR="0041076D">
        <w:rPr>
          <w:rFonts w:ascii="Arial" w:hAnsi="Arial" w:cs="Arial"/>
          <w:sz w:val="24"/>
          <w:szCs w:val="24"/>
        </w:rPr>
        <w:t>.</w:t>
      </w:r>
      <w:r w:rsidR="00BE6D54">
        <w:rPr>
          <w:rFonts w:ascii="Arial" w:hAnsi="Arial" w:cs="Arial"/>
          <w:sz w:val="24"/>
          <w:szCs w:val="24"/>
        </w:rPr>
        <w:t xml:space="preserve"> </w:t>
      </w:r>
      <w:r w:rsidR="004F5565">
        <w:rPr>
          <w:rFonts w:ascii="Arial" w:hAnsi="Arial" w:cs="Arial"/>
          <w:sz w:val="24"/>
          <w:szCs w:val="24"/>
        </w:rPr>
        <w:t>T</w:t>
      </w:r>
      <w:r w:rsidR="00C43871">
        <w:rPr>
          <w:rFonts w:ascii="Arial" w:hAnsi="Arial" w:cs="Arial"/>
          <w:sz w:val="24"/>
          <w:szCs w:val="24"/>
        </w:rPr>
        <w:t>he fees set out in this</w:t>
      </w:r>
      <w:r w:rsidR="00B05162">
        <w:rPr>
          <w:rFonts w:ascii="Arial" w:hAnsi="Arial" w:cs="Arial"/>
          <w:sz w:val="24"/>
          <w:szCs w:val="24"/>
        </w:rPr>
        <w:t xml:space="preserve"> Determination </w:t>
      </w:r>
      <w:r w:rsidR="00C43871">
        <w:rPr>
          <w:rFonts w:ascii="Arial" w:hAnsi="Arial" w:cs="Arial"/>
          <w:sz w:val="24"/>
          <w:szCs w:val="24"/>
        </w:rPr>
        <w:t>are</w:t>
      </w:r>
      <w:r w:rsidR="004F5565">
        <w:rPr>
          <w:rFonts w:ascii="Arial" w:hAnsi="Arial" w:cs="Arial"/>
          <w:sz w:val="24"/>
          <w:szCs w:val="24"/>
        </w:rPr>
        <w:t xml:space="preserve"> derived from</w:t>
      </w:r>
      <w:r w:rsidR="00C43871">
        <w:rPr>
          <w:rFonts w:ascii="Arial" w:hAnsi="Arial" w:cs="Arial"/>
          <w:sz w:val="24"/>
          <w:szCs w:val="24"/>
        </w:rPr>
        <w:t xml:space="preserve"> th</w:t>
      </w:r>
      <w:r w:rsidR="00CD072C">
        <w:rPr>
          <w:rFonts w:ascii="Arial" w:hAnsi="Arial" w:cs="Arial"/>
          <w:sz w:val="24"/>
          <w:szCs w:val="24"/>
        </w:rPr>
        <w:t>e PPSR</w:t>
      </w:r>
      <w:r w:rsidR="004F5565">
        <w:rPr>
          <w:rFonts w:ascii="Arial" w:hAnsi="Arial" w:cs="Arial"/>
          <w:sz w:val="24"/>
          <w:szCs w:val="24"/>
        </w:rPr>
        <w:t xml:space="preserve"> CRIS</w:t>
      </w:r>
      <w:r w:rsidRPr="002C4672">
        <w:rPr>
          <w:rFonts w:ascii="Arial" w:hAnsi="Arial" w:cs="Arial"/>
          <w:sz w:val="24"/>
          <w:szCs w:val="24"/>
        </w:rPr>
        <w:t>.</w:t>
      </w:r>
    </w:p>
    <w:p w14:paraId="7D1C53B6" w14:textId="4D14F5B8" w:rsidR="001944CC" w:rsidRPr="001944CC" w:rsidRDefault="00C43871" w:rsidP="001944CC">
      <w:pPr>
        <w:rPr>
          <w:rFonts w:ascii="Arial" w:hAnsi="Arial" w:cs="Arial"/>
          <w:sz w:val="24"/>
          <w:szCs w:val="24"/>
        </w:rPr>
      </w:pPr>
      <w:r>
        <w:rPr>
          <w:rFonts w:ascii="Arial" w:hAnsi="Arial" w:cs="Arial"/>
          <w:sz w:val="24"/>
          <w:szCs w:val="24"/>
        </w:rPr>
        <w:t>T</w:t>
      </w:r>
      <w:r w:rsidRPr="004B6529">
        <w:rPr>
          <w:rFonts w:ascii="Arial" w:hAnsi="Arial" w:cs="Arial"/>
          <w:sz w:val="24"/>
          <w:szCs w:val="24"/>
        </w:rPr>
        <w:t xml:space="preserve">he fees </w:t>
      </w:r>
      <w:r w:rsidR="0086436C">
        <w:rPr>
          <w:rFonts w:ascii="Arial" w:hAnsi="Arial" w:cs="Arial"/>
          <w:sz w:val="24"/>
          <w:szCs w:val="24"/>
        </w:rPr>
        <w:t>have been</w:t>
      </w:r>
      <w:r w:rsidRPr="004B6529">
        <w:rPr>
          <w:rFonts w:ascii="Arial" w:hAnsi="Arial" w:cs="Arial"/>
          <w:sz w:val="24"/>
          <w:szCs w:val="24"/>
        </w:rPr>
        <w:t xml:space="preserve"> </w:t>
      </w:r>
      <w:r w:rsidR="00AE0A58">
        <w:rPr>
          <w:rFonts w:ascii="Arial" w:hAnsi="Arial" w:cs="Arial"/>
          <w:sz w:val="24"/>
          <w:szCs w:val="24"/>
        </w:rPr>
        <w:t>set based on</w:t>
      </w:r>
      <w:r w:rsidRPr="004B6529">
        <w:rPr>
          <w:rFonts w:ascii="Arial" w:hAnsi="Arial" w:cs="Arial"/>
          <w:sz w:val="24"/>
          <w:szCs w:val="24"/>
        </w:rPr>
        <w:t xml:space="preserve"> the cost of operating the PPSR, including direct and indirect costs</w:t>
      </w:r>
      <w:r w:rsidR="00AE0A58">
        <w:rPr>
          <w:rFonts w:ascii="Arial" w:hAnsi="Arial" w:cs="Arial"/>
          <w:sz w:val="24"/>
          <w:szCs w:val="24"/>
        </w:rPr>
        <w:t>.</w:t>
      </w:r>
      <w:r w:rsidR="00AE0A58" w:rsidRPr="004B6529">
        <w:rPr>
          <w:rFonts w:ascii="Arial" w:hAnsi="Arial" w:cs="Arial"/>
          <w:sz w:val="24"/>
          <w:szCs w:val="24"/>
        </w:rPr>
        <w:t xml:space="preserve"> </w:t>
      </w:r>
      <w:r w:rsidR="00AE0A58">
        <w:rPr>
          <w:rFonts w:ascii="Arial" w:hAnsi="Arial" w:cs="Arial"/>
          <w:sz w:val="24"/>
          <w:szCs w:val="24"/>
        </w:rPr>
        <w:t>C</w:t>
      </w:r>
      <w:r w:rsidR="00AE0A58" w:rsidRPr="004B6529">
        <w:rPr>
          <w:rFonts w:ascii="Arial" w:hAnsi="Arial" w:cs="Arial"/>
          <w:sz w:val="24"/>
          <w:szCs w:val="24"/>
        </w:rPr>
        <w:t xml:space="preserve">ollecting </w:t>
      </w:r>
      <w:r w:rsidRPr="004B6529">
        <w:rPr>
          <w:rFonts w:ascii="Arial" w:hAnsi="Arial" w:cs="Arial"/>
          <w:sz w:val="24"/>
          <w:szCs w:val="24"/>
        </w:rPr>
        <w:t xml:space="preserve">the proposed fees </w:t>
      </w:r>
      <w:r w:rsidR="00AE0A58">
        <w:rPr>
          <w:rFonts w:ascii="Arial" w:hAnsi="Arial" w:cs="Arial"/>
          <w:sz w:val="24"/>
          <w:szCs w:val="24"/>
        </w:rPr>
        <w:t>is</w:t>
      </w:r>
      <w:r w:rsidRPr="004B6529">
        <w:rPr>
          <w:rFonts w:ascii="Arial" w:hAnsi="Arial" w:cs="Arial"/>
          <w:sz w:val="24"/>
          <w:szCs w:val="24"/>
        </w:rPr>
        <w:t xml:space="preserve"> administratively efficient and inexpensive</w:t>
      </w:r>
      <w:r w:rsidR="00AE0A58">
        <w:rPr>
          <w:rFonts w:ascii="Arial" w:hAnsi="Arial" w:cs="Arial"/>
          <w:sz w:val="24"/>
          <w:szCs w:val="24"/>
        </w:rPr>
        <w:t>,</w:t>
      </w:r>
      <w:r w:rsidRPr="004B6529">
        <w:rPr>
          <w:rFonts w:ascii="Arial" w:hAnsi="Arial" w:cs="Arial"/>
          <w:sz w:val="24"/>
          <w:szCs w:val="24"/>
        </w:rPr>
        <w:t xml:space="preserve"> with minima</w:t>
      </w:r>
      <w:r w:rsidR="007B6E8B">
        <w:rPr>
          <w:rFonts w:ascii="Arial" w:hAnsi="Arial" w:cs="Arial"/>
          <w:sz w:val="24"/>
          <w:szCs w:val="24"/>
        </w:rPr>
        <w:t xml:space="preserve">l manual </w:t>
      </w:r>
      <w:r>
        <w:rPr>
          <w:rFonts w:ascii="Arial" w:hAnsi="Arial" w:cs="Arial"/>
          <w:sz w:val="24"/>
          <w:szCs w:val="24"/>
        </w:rPr>
        <w:t>intervention and cost.</w:t>
      </w:r>
      <w:r w:rsidR="00A529C1">
        <w:rPr>
          <w:rFonts w:ascii="Arial" w:hAnsi="Arial" w:cs="Arial"/>
          <w:sz w:val="24"/>
          <w:szCs w:val="24"/>
        </w:rPr>
        <w:t xml:space="preserve"> For example certain activit</w:t>
      </w:r>
      <w:r w:rsidR="00D20D9D">
        <w:rPr>
          <w:rFonts w:ascii="Arial" w:hAnsi="Arial" w:cs="Arial"/>
          <w:sz w:val="24"/>
          <w:szCs w:val="24"/>
        </w:rPr>
        <w:t>ies,</w:t>
      </w:r>
      <w:r w:rsidR="00A529C1">
        <w:rPr>
          <w:rFonts w:ascii="Arial" w:hAnsi="Arial" w:cs="Arial"/>
          <w:sz w:val="24"/>
          <w:szCs w:val="24"/>
        </w:rPr>
        <w:t xml:space="preserve"> such as the issue of a copy of a verification statement</w:t>
      </w:r>
      <w:r w:rsidR="00D20D9D">
        <w:rPr>
          <w:rFonts w:ascii="Arial" w:hAnsi="Arial" w:cs="Arial"/>
          <w:sz w:val="24"/>
          <w:szCs w:val="24"/>
        </w:rPr>
        <w:t>,</w:t>
      </w:r>
      <w:r w:rsidR="00A529C1">
        <w:rPr>
          <w:rFonts w:ascii="Arial" w:hAnsi="Arial" w:cs="Arial"/>
          <w:sz w:val="24"/>
          <w:szCs w:val="24"/>
        </w:rPr>
        <w:t xml:space="preserve"> </w:t>
      </w:r>
      <w:r w:rsidR="00D20D9D">
        <w:rPr>
          <w:rFonts w:ascii="Arial" w:hAnsi="Arial" w:cs="Arial"/>
          <w:sz w:val="24"/>
          <w:szCs w:val="24"/>
        </w:rPr>
        <w:t xml:space="preserve">are </w:t>
      </w:r>
      <w:r w:rsidR="00A529C1">
        <w:rPr>
          <w:rFonts w:ascii="Arial" w:hAnsi="Arial" w:cs="Arial"/>
          <w:sz w:val="24"/>
          <w:szCs w:val="24"/>
        </w:rPr>
        <w:t>very infrequent and often conducted online rather than through the contact centre.</w:t>
      </w:r>
      <w:r w:rsidR="00134DEC">
        <w:rPr>
          <w:rFonts w:ascii="Arial" w:hAnsi="Arial" w:cs="Arial"/>
          <w:sz w:val="24"/>
          <w:szCs w:val="24"/>
        </w:rPr>
        <w:t xml:space="preserve"> Other activities</w:t>
      </w:r>
      <w:r w:rsidR="00D20D9D">
        <w:rPr>
          <w:rFonts w:ascii="Arial" w:hAnsi="Arial" w:cs="Arial"/>
          <w:sz w:val="24"/>
          <w:szCs w:val="24"/>
        </w:rPr>
        <w:t>,</w:t>
      </w:r>
      <w:r w:rsidR="00134DEC">
        <w:rPr>
          <w:rFonts w:ascii="Arial" w:hAnsi="Arial" w:cs="Arial"/>
          <w:sz w:val="24"/>
          <w:szCs w:val="24"/>
        </w:rPr>
        <w:t xml:space="preserve"> such as “attach a document to a financing statement”</w:t>
      </w:r>
      <w:r w:rsidR="00D20D9D">
        <w:rPr>
          <w:rFonts w:ascii="Arial" w:hAnsi="Arial" w:cs="Arial"/>
          <w:sz w:val="24"/>
          <w:szCs w:val="24"/>
        </w:rPr>
        <w:t>,</w:t>
      </w:r>
      <w:r w:rsidR="00134DEC">
        <w:rPr>
          <w:rFonts w:ascii="Arial" w:hAnsi="Arial" w:cs="Arial"/>
          <w:sz w:val="24"/>
          <w:szCs w:val="24"/>
        </w:rPr>
        <w:t xml:space="preserve"> </w:t>
      </w:r>
      <w:r w:rsidR="00D20D9D">
        <w:rPr>
          <w:rFonts w:ascii="Arial" w:hAnsi="Arial" w:cs="Arial"/>
          <w:sz w:val="24"/>
          <w:szCs w:val="24"/>
        </w:rPr>
        <w:t xml:space="preserve">are </w:t>
      </w:r>
      <w:r w:rsidR="00134DEC">
        <w:rPr>
          <w:rFonts w:ascii="Arial" w:hAnsi="Arial" w:cs="Arial"/>
          <w:sz w:val="24"/>
          <w:szCs w:val="24"/>
        </w:rPr>
        <w:t xml:space="preserve">no longer available and hence </w:t>
      </w:r>
      <w:r w:rsidR="00D20D9D">
        <w:rPr>
          <w:rFonts w:ascii="Arial" w:hAnsi="Arial" w:cs="Arial"/>
          <w:sz w:val="24"/>
          <w:szCs w:val="24"/>
        </w:rPr>
        <w:t xml:space="preserve">have </w:t>
      </w:r>
      <w:r w:rsidR="00134DEC">
        <w:rPr>
          <w:rFonts w:ascii="Arial" w:hAnsi="Arial" w:cs="Arial"/>
          <w:sz w:val="24"/>
          <w:szCs w:val="24"/>
        </w:rPr>
        <w:t>been removed.</w:t>
      </w:r>
      <w:r w:rsidR="00D20D9D">
        <w:rPr>
          <w:rFonts w:ascii="Arial" w:hAnsi="Arial" w:cs="Arial"/>
          <w:sz w:val="24"/>
          <w:szCs w:val="24"/>
        </w:rPr>
        <w:t xml:space="preserve"> This Determination provides for reductions in </w:t>
      </w:r>
      <w:r w:rsidR="00EF4C27">
        <w:rPr>
          <w:rFonts w:ascii="Arial" w:hAnsi="Arial" w:cs="Arial"/>
          <w:sz w:val="24"/>
          <w:szCs w:val="24"/>
        </w:rPr>
        <w:t>most</w:t>
      </w:r>
      <w:r w:rsidR="00D20D9D">
        <w:rPr>
          <w:rFonts w:ascii="Arial" w:hAnsi="Arial" w:cs="Arial"/>
          <w:sz w:val="24"/>
          <w:szCs w:val="24"/>
        </w:rPr>
        <w:t xml:space="preserve"> fees compared with those fixed in the </w:t>
      </w:r>
      <w:r w:rsidR="00D20D9D">
        <w:rPr>
          <w:rFonts w:ascii="Arial" w:eastAsia="Times New Roman" w:hAnsi="Arial" w:cs="Arial"/>
          <w:i/>
          <w:sz w:val="24"/>
          <w:szCs w:val="24"/>
          <w:lang w:val="en-US" w:eastAsia="en-AU"/>
        </w:rPr>
        <w:t>Personal Property Securities (Fees) Determination 2015</w:t>
      </w:r>
      <w:r w:rsidR="00D20D9D">
        <w:rPr>
          <w:rFonts w:ascii="Arial" w:hAnsi="Arial" w:cs="Arial"/>
          <w:sz w:val="24"/>
          <w:szCs w:val="24"/>
          <w:lang w:val="en-US"/>
        </w:rPr>
        <w:t xml:space="preserve">. These </w:t>
      </w:r>
      <w:r w:rsidR="001944CC">
        <w:rPr>
          <w:rFonts w:ascii="Arial" w:hAnsi="Arial" w:cs="Arial"/>
          <w:sz w:val="24"/>
          <w:szCs w:val="24"/>
        </w:rPr>
        <w:t xml:space="preserve">reductions </w:t>
      </w:r>
      <w:r w:rsidR="001944CC" w:rsidRPr="001944CC">
        <w:rPr>
          <w:rFonts w:ascii="Arial" w:hAnsi="Arial" w:cs="Arial"/>
          <w:sz w:val="24"/>
          <w:szCs w:val="24"/>
        </w:rPr>
        <w:t>have broadly resulted from the following:</w:t>
      </w:r>
    </w:p>
    <w:p w14:paraId="42C473B0" w14:textId="50B9AA02" w:rsidR="001944CC" w:rsidRPr="00FD2DCE" w:rsidRDefault="00EF4C27" w:rsidP="001944CC">
      <w:pPr>
        <w:pStyle w:val="ListParagraph"/>
        <w:numPr>
          <w:ilvl w:val="0"/>
          <w:numId w:val="3"/>
        </w:numPr>
        <w:rPr>
          <w:rFonts w:ascii="Arial" w:hAnsi="Arial" w:cs="Arial"/>
          <w:sz w:val="24"/>
          <w:szCs w:val="24"/>
        </w:rPr>
      </w:pPr>
      <w:r>
        <w:rPr>
          <w:rFonts w:ascii="Arial" w:hAnsi="Arial" w:cs="Arial"/>
          <w:sz w:val="24"/>
          <w:szCs w:val="24"/>
        </w:rPr>
        <w:t>i</w:t>
      </w:r>
      <w:r w:rsidR="001944CC" w:rsidRPr="00FD2DCE">
        <w:rPr>
          <w:rFonts w:ascii="Arial" w:hAnsi="Arial" w:cs="Arial"/>
          <w:sz w:val="24"/>
          <w:szCs w:val="24"/>
        </w:rPr>
        <w:t xml:space="preserve">ncreased search and registration volumes reducing the per unit cost </w:t>
      </w:r>
    </w:p>
    <w:p w14:paraId="05970979" w14:textId="06C8643A" w:rsidR="001944CC" w:rsidRPr="00FD2DCE" w:rsidRDefault="00EF4C27" w:rsidP="001944CC">
      <w:pPr>
        <w:pStyle w:val="ListParagraph"/>
        <w:numPr>
          <w:ilvl w:val="0"/>
          <w:numId w:val="3"/>
        </w:numPr>
        <w:rPr>
          <w:rFonts w:ascii="Arial" w:hAnsi="Arial" w:cs="Arial"/>
          <w:sz w:val="24"/>
          <w:szCs w:val="24"/>
        </w:rPr>
      </w:pPr>
      <w:r>
        <w:rPr>
          <w:rFonts w:ascii="Arial" w:hAnsi="Arial" w:cs="Arial"/>
          <w:sz w:val="24"/>
          <w:szCs w:val="24"/>
        </w:rPr>
        <w:t>d</w:t>
      </w:r>
      <w:r w:rsidR="001944CC" w:rsidRPr="00FD2DCE">
        <w:rPr>
          <w:rFonts w:ascii="Arial" w:hAnsi="Arial" w:cs="Arial"/>
          <w:sz w:val="24"/>
          <w:szCs w:val="24"/>
        </w:rPr>
        <w:t>ecreased costs including delayed replacement of the PPSR system</w:t>
      </w:r>
      <w:r>
        <w:rPr>
          <w:rFonts w:ascii="Arial" w:hAnsi="Arial" w:cs="Arial"/>
          <w:sz w:val="24"/>
          <w:szCs w:val="24"/>
        </w:rPr>
        <w:t>,</w:t>
      </w:r>
      <w:r w:rsidR="001944CC" w:rsidRPr="00FD2DCE">
        <w:rPr>
          <w:rFonts w:ascii="Arial" w:hAnsi="Arial" w:cs="Arial"/>
          <w:sz w:val="24"/>
          <w:szCs w:val="24"/>
        </w:rPr>
        <w:t xml:space="preserve"> and</w:t>
      </w:r>
    </w:p>
    <w:p w14:paraId="0E5314F7" w14:textId="44A6480E" w:rsidR="001944CC" w:rsidRPr="00FD2DCE" w:rsidRDefault="00EF4C27" w:rsidP="001944CC">
      <w:pPr>
        <w:pStyle w:val="ListParagraph"/>
        <w:numPr>
          <w:ilvl w:val="0"/>
          <w:numId w:val="3"/>
        </w:numPr>
        <w:rPr>
          <w:rFonts w:ascii="Arial" w:hAnsi="Arial" w:cs="Arial"/>
          <w:sz w:val="24"/>
          <w:szCs w:val="24"/>
        </w:rPr>
      </w:pPr>
      <w:proofErr w:type="gramStart"/>
      <w:r>
        <w:rPr>
          <w:rFonts w:ascii="Arial" w:hAnsi="Arial" w:cs="Arial"/>
          <w:sz w:val="24"/>
          <w:szCs w:val="24"/>
        </w:rPr>
        <w:t>c</w:t>
      </w:r>
      <w:r w:rsidR="001944CC" w:rsidRPr="00FD2DCE">
        <w:rPr>
          <w:rFonts w:ascii="Arial" w:hAnsi="Arial" w:cs="Arial"/>
          <w:sz w:val="24"/>
          <w:szCs w:val="24"/>
        </w:rPr>
        <w:t>essation</w:t>
      </w:r>
      <w:proofErr w:type="gramEnd"/>
      <w:r w:rsidR="001944CC" w:rsidRPr="00FD2DCE">
        <w:rPr>
          <w:rFonts w:ascii="Arial" w:hAnsi="Arial" w:cs="Arial"/>
          <w:sz w:val="24"/>
          <w:szCs w:val="24"/>
        </w:rPr>
        <w:t xml:space="preserve"> of funding recovery for enhancements due to retained balance of this reserve.  </w:t>
      </w:r>
    </w:p>
    <w:p w14:paraId="78A769AF" w14:textId="77777777" w:rsidR="00B84B18" w:rsidRDefault="007E64EB" w:rsidP="00B84B18">
      <w:pPr>
        <w:rPr>
          <w:rFonts w:ascii="Arial" w:hAnsi="Arial" w:cs="Arial"/>
          <w:b/>
          <w:bCs/>
          <w:sz w:val="24"/>
          <w:szCs w:val="24"/>
          <w:lang w:val="en-US"/>
        </w:rPr>
      </w:pPr>
      <w:r w:rsidRPr="007E64EB">
        <w:rPr>
          <w:rFonts w:ascii="Arial" w:hAnsi="Arial" w:cs="Arial"/>
          <w:b/>
          <w:sz w:val="24"/>
          <w:szCs w:val="24"/>
          <w:lang w:val="en-US"/>
        </w:rPr>
        <w:t>Notes on Sections</w:t>
      </w:r>
    </w:p>
    <w:p w14:paraId="498E5ABB" w14:textId="77777777" w:rsidR="007E64EB" w:rsidRPr="00B84B18" w:rsidRDefault="007E64EB" w:rsidP="00B84B18">
      <w:pPr>
        <w:rPr>
          <w:rFonts w:ascii="Arial" w:hAnsi="Arial" w:cs="Arial"/>
          <w:b/>
          <w:sz w:val="24"/>
          <w:szCs w:val="24"/>
          <w:lang w:val="en-US"/>
        </w:rPr>
      </w:pPr>
      <w:r w:rsidRPr="007E64EB">
        <w:rPr>
          <w:rFonts w:ascii="Arial" w:hAnsi="Arial" w:cs="Arial"/>
          <w:b/>
          <w:bCs/>
          <w:sz w:val="24"/>
          <w:szCs w:val="24"/>
          <w:lang w:val="en-US"/>
        </w:rPr>
        <w:t>Section 1 – Name of Determination</w:t>
      </w:r>
    </w:p>
    <w:p w14:paraId="753B9105" w14:textId="42F2B64D" w:rsidR="00F33164" w:rsidRPr="00B84B18" w:rsidRDefault="007E64EB" w:rsidP="00B84B18">
      <w:pPr>
        <w:rPr>
          <w:rFonts w:ascii="Arial" w:hAnsi="Arial" w:cs="Arial"/>
          <w:i/>
          <w:iCs/>
          <w:sz w:val="24"/>
          <w:szCs w:val="24"/>
          <w:lang w:val="en-US"/>
        </w:rPr>
      </w:pPr>
      <w:r w:rsidRPr="007E64EB">
        <w:rPr>
          <w:rFonts w:ascii="Arial" w:hAnsi="Arial" w:cs="Arial"/>
          <w:sz w:val="24"/>
          <w:szCs w:val="24"/>
          <w:lang w:val="en-US"/>
        </w:rPr>
        <w:t xml:space="preserve">Section 1 provides for the citation of </w:t>
      </w:r>
      <w:r w:rsidR="00C43871">
        <w:rPr>
          <w:rFonts w:ascii="Arial" w:hAnsi="Arial" w:cs="Arial"/>
          <w:sz w:val="24"/>
          <w:szCs w:val="24"/>
          <w:lang w:val="en-US"/>
        </w:rPr>
        <w:t>the Determination</w:t>
      </w:r>
      <w:r w:rsidRPr="007E64EB">
        <w:rPr>
          <w:rFonts w:ascii="Arial" w:hAnsi="Arial" w:cs="Arial"/>
          <w:sz w:val="24"/>
          <w:szCs w:val="24"/>
          <w:lang w:val="en-US"/>
        </w:rPr>
        <w:t xml:space="preserve"> as the </w:t>
      </w:r>
      <w:r w:rsidR="00C43FEF">
        <w:rPr>
          <w:rFonts w:ascii="Arial" w:eastAsia="Times New Roman" w:hAnsi="Arial" w:cs="Arial"/>
          <w:i/>
          <w:sz w:val="24"/>
          <w:szCs w:val="24"/>
          <w:lang w:val="en-US" w:eastAsia="en-AU"/>
        </w:rPr>
        <w:t>Personal Property Securities (</w:t>
      </w:r>
      <w:r w:rsidR="00CA0919">
        <w:rPr>
          <w:rFonts w:ascii="Arial" w:eastAsia="Times New Roman" w:hAnsi="Arial" w:cs="Arial"/>
          <w:i/>
          <w:sz w:val="24"/>
          <w:szCs w:val="24"/>
          <w:lang w:val="en-US" w:eastAsia="en-AU"/>
        </w:rPr>
        <w:t>Fees</w:t>
      </w:r>
      <w:r w:rsidR="00C43FEF">
        <w:rPr>
          <w:rFonts w:ascii="Arial" w:eastAsia="Times New Roman" w:hAnsi="Arial" w:cs="Arial"/>
          <w:i/>
          <w:sz w:val="24"/>
          <w:szCs w:val="24"/>
          <w:lang w:val="en-US" w:eastAsia="en-AU"/>
        </w:rPr>
        <w:t xml:space="preserve">) Determination </w:t>
      </w:r>
      <w:r w:rsidR="001B08C7">
        <w:rPr>
          <w:rFonts w:ascii="Arial" w:eastAsia="Times New Roman" w:hAnsi="Arial" w:cs="Arial"/>
          <w:i/>
          <w:sz w:val="24"/>
          <w:szCs w:val="24"/>
          <w:lang w:val="en-US" w:eastAsia="en-AU"/>
        </w:rPr>
        <w:t>201</w:t>
      </w:r>
      <w:r w:rsidR="00773817">
        <w:rPr>
          <w:rFonts w:ascii="Arial" w:eastAsia="Times New Roman" w:hAnsi="Arial" w:cs="Arial"/>
          <w:i/>
          <w:sz w:val="24"/>
          <w:szCs w:val="24"/>
          <w:lang w:val="en-US" w:eastAsia="en-AU"/>
        </w:rPr>
        <w:t>8</w:t>
      </w:r>
      <w:r w:rsidRPr="007E64EB">
        <w:rPr>
          <w:rFonts w:ascii="Arial" w:hAnsi="Arial" w:cs="Arial"/>
          <w:i/>
          <w:iCs/>
          <w:sz w:val="24"/>
          <w:szCs w:val="24"/>
          <w:lang w:val="en-US"/>
        </w:rPr>
        <w:t>.</w:t>
      </w:r>
    </w:p>
    <w:p w14:paraId="09376BE6" w14:textId="77777777" w:rsidR="007E64EB" w:rsidRPr="007E64EB" w:rsidRDefault="007E64EB" w:rsidP="00B84B18">
      <w:pPr>
        <w:rPr>
          <w:rFonts w:ascii="Arial" w:hAnsi="Arial" w:cs="Arial"/>
          <w:sz w:val="24"/>
          <w:szCs w:val="24"/>
        </w:rPr>
      </w:pPr>
      <w:r w:rsidRPr="007E64EB">
        <w:rPr>
          <w:rFonts w:ascii="Arial" w:hAnsi="Arial" w:cs="Arial"/>
          <w:b/>
          <w:bCs/>
          <w:sz w:val="24"/>
          <w:szCs w:val="24"/>
          <w:lang w:val="en-US"/>
        </w:rPr>
        <w:t>Section 2 – Commencement</w:t>
      </w:r>
      <w:r w:rsidR="00054BA3" w:rsidRPr="00054BA3">
        <w:t xml:space="preserve"> </w:t>
      </w:r>
      <w:r w:rsidR="00054BA3" w:rsidRPr="00054BA3">
        <w:rPr>
          <w:rFonts w:ascii="Arial" w:hAnsi="Arial" w:cs="Arial"/>
          <w:b/>
          <w:bCs/>
          <w:sz w:val="24"/>
          <w:szCs w:val="24"/>
          <w:lang w:val="en-US"/>
        </w:rPr>
        <w:t>and repeal of earlier determination</w:t>
      </w:r>
    </w:p>
    <w:p w14:paraId="2E330C6E" w14:textId="7AD62562" w:rsidR="007E64EB" w:rsidRPr="00B84B18" w:rsidRDefault="00C43871" w:rsidP="007E64EB">
      <w:pPr>
        <w:rPr>
          <w:rFonts w:ascii="Arial" w:hAnsi="Arial" w:cs="Arial"/>
          <w:sz w:val="24"/>
          <w:szCs w:val="24"/>
          <w:lang w:val="en-US"/>
        </w:rPr>
      </w:pPr>
      <w:r w:rsidRPr="00932215">
        <w:rPr>
          <w:rFonts w:ascii="Arial" w:hAnsi="Arial" w:cs="Arial"/>
          <w:sz w:val="24"/>
          <w:szCs w:val="24"/>
          <w:lang w:val="en-US"/>
        </w:rPr>
        <w:t>The Determination</w:t>
      </w:r>
      <w:r w:rsidR="00432151" w:rsidRPr="00932215">
        <w:rPr>
          <w:rFonts w:ascii="Arial" w:hAnsi="Arial" w:cs="Arial"/>
          <w:sz w:val="24"/>
          <w:szCs w:val="24"/>
          <w:lang w:val="en-US"/>
        </w:rPr>
        <w:t xml:space="preserve"> commences on </w:t>
      </w:r>
      <w:r w:rsidR="001B5026">
        <w:rPr>
          <w:rFonts w:ascii="Arial" w:hAnsi="Arial" w:cs="Arial"/>
          <w:sz w:val="24"/>
          <w:szCs w:val="24"/>
          <w:lang w:val="en-US"/>
        </w:rPr>
        <w:t xml:space="preserve">1 </w:t>
      </w:r>
      <w:r w:rsidR="00E671E9">
        <w:rPr>
          <w:rFonts w:ascii="Arial" w:hAnsi="Arial" w:cs="Arial"/>
          <w:sz w:val="24"/>
          <w:szCs w:val="24"/>
          <w:lang w:val="en-US"/>
        </w:rPr>
        <w:t>August</w:t>
      </w:r>
      <w:r w:rsidR="001B5026">
        <w:rPr>
          <w:rFonts w:ascii="Arial" w:hAnsi="Arial" w:cs="Arial"/>
          <w:sz w:val="24"/>
          <w:szCs w:val="24"/>
          <w:lang w:val="en-US"/>
        </w:rPr>
        <w:t xml:space="preserve"> </w:t>
      </w:r>
      <w:r w:rsidR="001B08C7">
        <w:rPr>
          <w:rFonts w:ascii="Arial" w:hAnsi="Arial" w:cs="Arial"/>
          <w:sz w:val="24"/>
          <w:szCs w:val="24"/>
          <w:lang w:val="en-US"/>
        </w:rPr>
        <w:t>201</w:t>
      </w:r>
      <w:r w:rsidR="00773817">
        <w:rPr>
          <w:rFonts w:ascii="Arial" w:hAnsi="Arial" w:cs="Arial"/>
          <w:sz w:val="24"/>
          <w:szCs w:val="24"/>
          <w:lang w:val="en-US"/>
        </w:rPr>
        <w:t>8</w:t>
      </w:r>
      <w:r w:rsidR="007E64EB" w:rsidRPr="00932215">
        <w:rPr>
          <w:rFonts w:ascii="Arial" w:hAnsi="Arial" w:cs="Arial"/>
          <w:sz w:val="24"/>
          <w:szCs w:val="24"/>
          <w:lang w:val="en-US"/>
        </w:rPr>
        <w:t>.</w:t>
      </w:r>
      <w:r w:rsidR="00900F29">
        <w:rPr>
          <w:rFonts w:ascii="Arial" w:hAnsi="Arial" w:cs="Arial"/>
          <w:sz w:val="24"/>
          <w:szCs w:val="24"/>
          <w:lang w:val="en-US"/>
        </w:rPr>
        <w:t xml:space="preserve"> </w:t>
      </w:r>
      <w:r w:rsidR="00B74846">
        <w:rPr>
          <w:rFonts w:ascii="Arial" w:hAnsi="Arial" w:cs="Arial"/>
          <w:sz w:val="24"/>
          <w:szCs w:val="24"/>
          <w:lang w:val="en-US"/>
        </w:rPr>
        <w:t>Commencement of the Determination</w:t>
      </w:r>
      <w:r w:rsidR="00900F29">
        <w:rPr>
          <w:rFonts w:ascii="Arial" w:hAnsi="Arial" w:cs="Arial"/>
          <w:sz w:val="24"/>
          <w:szCs w:val="24"/>
          <w:lang w:val="en-US"/>
        </w:rPr>
        <w:t xml:space="preserve"> </w:t>
      </w:r>
      <w:r w:rsidR="00B74846">
        <w:rPr>
          <w:rFonts w:ascii="Arial" w:hAnsi="Arial" w:cs="Arial"/>
          <w:sz w:val="24"/>
          <w:szCs w:val="24"/>
          <w:lang w:val="en-US"/>
        </w:rPr>
        <w:t>ends the application of the</w:t>
      </w:r>
      <w:r w:rsidR="00900F29">
        <w:rPr>
          <w:rFonts w:ascii="Arial" w:hAnsi="Arial" w:cs="Arial"/>
          <w:sz w:val="24"/>
          <w:szCs w:val="24"/>
          <w:lang w:val="en-US"/>
        </w:rPr>
        <w:t xml:space="preserve"> </w:t>
      </w:r>
      <w:r w:rsidR="00B74846">
        <w:rPr>
          <w:rFonts w:ascii="Arial" w:eastAsia="Times New Roman" w:hAnsi="Arial" w:cs="Arial"/>
          <w:i/>
          <w:sz w:val="24"/>
          <w:szCs w:val="24"/>
          <w:lang w:val="en-US" w:eastAsia="en-AU"/>
        </w:rPr>
        <w:t xml:space="preserve">Personal Property Securities (Fees) Determination </w:t>
      </w:r>
      <w:r w:rsidR="001B08C7">
        <w:rPr>
          <w:rFonts w:ascii="Arial" w:eastAsia="Times New Roman" w:hAnsi="Arial" w:cs="Arial"/>
          <w:i/>
          <w:sz w:val="24"/>
          <w:szCs w:val="24"/>
          <w:lang w:val="en-US" w:eastAsia="en-AU"/>
        </w:rPr>
        <w:t>201</w:t>
      </w:r>
      <w:r w:rsidR="00773817">
        <w:rPr>
          <w:rFonts w:ascii="Arial" w:eastAsia="Times New Roman" w:hAnsi="Arial" w:cs="Arial"/>
          <w:i/>
          <w:sz w:val="24"/>
          <w:szCs w:val="24"/>
          <w:lang w:val="en-US" w:eastAsia="en-AU"/>
        </w:rPr>
        <w:t>5</w:t>
      </w:r>
      <w:r w:rsidR="00B74846">
        <w:rPr>
          <w:rFonts w:ascii="Arial" w:hAnsi="Arial" w:cs="Arial"/>
          <w:sz w:val="24"/>
          <w:szCs w:val="24"/>
          <w:lang w:val="en-US"/>
        </w:rPr>
        <w:t>.</w:t>
      </w:r>
    </w:p>
    <w:p w14:paraId="7770A270" w14:textId="77777777" w:rsidR="007E64EB" w:rsidRPr="007E64EB" w:rsidRDefault="007E64EB" w:rsidP="007E64EB">
      <w:pPr>
        <w:rPr>
          <w:rFonts w:ascii="Arial" w:hAnsi="Arial" w:cs="Arial"/>
          <w:sz w:val="24"/>
          <w:szCs w:val="24"/>
        </w:rPr>
      </w:pPr>
      <w:r w:rsidRPr="007E64EB">
        <w:rPr>
          <w:rFonts w:ascii="Arial" w:hAnsi="Arial" w:cs="Arial"/>
          <w:b/>
          <w:bCs/>
          <w:sz w:val="24"/>
          <w:szCs w:val="24"/>
          <w:lang w:val="en-US"/>
        </w:rPr>
        <w:t xml:space="preserve">Section 3 – </w:t>
      </w:r>
      <w:r w:rsidR="00EB381D">
        <w:rPr>
          <w:rFonts w:ascii="Arial" w:hAnsi="Arial" w:cs="Arial"/>
          <w:b/>
          <w:bCs/>
          <w:sz w:val="24"/>
          <w:szCs w:val="24"/>
          <w:lang w:val="en-US"/>
        </w:rPr>
        <w:t>Definitions</w:t>
      </w:r>
    </w:p>
    <w:p w14:paraId="371491A8" w14:textId="77777777" w:rsidR="007E64EB" w:rsidRDefault="007E64EB" w:rsidP="007E64EB">
      <w:pPr>
        <w:rPr>
          <w:rFonts w:ascii="Arial" w:hAnsi="Arial" w:cs="Arial"/>
          <w:sz w:val="24"/>
          <w:szCs w:val="24"/>
        </w:rPr>
      </w:pPr>
      <w:r w:rsidRPr="007E64EB">
        <w:rPr>
          <w:rFonts w:ascii="Arial" w:hAnsi="Arial" w:cs="Arial"/>
          <w:sz w:val="24"/>
          <w:szCs w:val="24"/>
          <w:lang w:val="en-US"/>
        </w:rPr>
        <w:t xml:space="preserve">This section provides that the definition of </w:t>
      </w:r>
      <w:r w:rsidRPr="007E64EB">
        <w:rPr>
          <w:rFonts w:ascii="Arial" w:hAnsi="Arial" w:cs="Arial"/>
          <w:i/>
          <w:iCs/>
          <w:sz w:val="24"/>
          <w:szCs w:val="24"/>
          <w:lang w:val="en-US"/>
        </w:rPr>
        <w:t>Act</w:t>
      </w:r>
      <w:r w:rsidRPr="007E64EB">
        <w:rPr>
          <w:rFonts w:ascii="Arial" w:hAnsi="Arial" w:cs="Arial"/>
          <w:sz w:val="24"/>
          <w:szCs w:val="24"/>
          <w:lang w:val="en-US"/>
        </w:rPr>
        <w:t xml:space="preserve"> is </w:t>
      </w:r>
      <w:r w:rsidRPr="007E64EB">
        <w:rPr>
          <w:rFonts w:ascii="Arial" w:hAnsi="Arial" w:cs="Arial"/>
          <w:sz w:val="24"/>
          <w:szCs w:val="24"/>
        </w:rPr>
        <w:t xml:space="preserve">the </w:t>
      </w:r>
      <w:r w:rsidRPr="007E64EB">
        <w:rPr>
          <w:rFonts w:ascii="Arial" w:hAnsi="Arial" w:cs="Arial"/>
          <w:i/>
          <w:sz w:val="24"/>
          <w:szCs w:val="24"/>
        </w:rPr>
        <w:t>Personal Proper</w:t>
      </w:r>
      <w:bookmarkStart w:id="2" w:name="_GoBack"/>
      <w:bookmarkEnd w:id="2"/>
      <w:r w:rsidRPr="007E64EB">
        <w:rPr>
          <w:rFonts w:ascii="Arial" w:hAnsi="Arial" w:cs="Arial"/>
          <w:i/>
          <w:sz w:val="24"/>
          <w:szCs w:val="24"/>
        </w:rPr>
        <w:t>ty Securities</w:t>
      </w:r>
      <w:r w:rsidR="00054BA3">
        <w:rPr>
          <w:rFonts w:ascii="Arial" w:hAnsi="Arial" w:cs="Arial"/>
          <w:i/>
          <w:sz w:val="24"/>
          <w:szCs w:val="24"/>
        </w:rPr>
        <w:t> </w:t>
      </w:r>
      <w:r w:rsidRPr="007E64EB">
        <w:rPr>
          <w:rFonts w:ascii="Arial" w:hAnsi="Arial" w:cs="Arial"/>
          <w:i/>
          <w:sz w:val="24"/>
          <w:szCs w:val="24"/>
        </w:rPr>
        <w:t>Act</w:t>
      </w:r>
      <w:r w:rsidR="00054BA3">
        <w:rPr>
          <w:rFonts w:ascii="Arial" w:hAnsi="Arial" w:cs="Arial"/>
          <w:i/>
          <w:sz w:val="24"/>
          <w:szCs w:val="24"/>
        </w:rPr>
        <w:t> </w:t>
      </w:r>
      <w:r w:rsidRPr="007E64EB">
        <w:rPr>
          <w:rFonts w:ascii="Arial" w:hAnsi="Arial" w:cs="Arial"/>
          <w:i/>
          <w:sz w:val="24"/>
          <w:szCs w:val="24"/>
        </w:rPr>
        <w:t>2009</w:t>
      </w:r>
      <w:r w:rsidRPr="007E64EB">
        <w:rPr>
          <w:rFonts w:ascii="Arial" w:hAnsi="Arial" w:cs="Arial"/>
          <w:sz w:val="24"/>
          <w:szCs w:val="24"/>
        </w:rPr>
        <w:t>.</w:t>
      </w:r>
      <w:r w:rsidR="00900F29">
        <w:rPr>
          <w:rFonts w:ascii="Arial" w:hAnsi="Arial" w:cs="Arial"/>
          <w:sz w:val="24"/>
          <w:szCs w:val="24"/>
        </w:rPr>
        <w:t xml:space="preserve"> </w:t>
      </w:r>
      <w:r w:rsidR="00EB381D">
        <w:rPr>
          <w:rFonts w:ascii="Arial" w:hAnsi="Arial" w:cs="Arial"/>
          <w:sz w:val="24"/>
          <w:szCs w:val="24"/>
        </w:rPr>
        <w:t xml:space="preserve">Other words and expressions used in </w:t>
      </w:r>
      <w:r w:rsidR="00C43871">
        <w:rPr>
          <w:rFonts w:ascii="Arial" w:hAnsi="Arial" w:cs="Arial"/>
          <w:sz w:val="24"/>
          <w:szCs w:val="24"/>
        </w:rPr>
        <w:t>the Determination</w:t>
      </w:r>
      <w:r w:rsidR="00EB381D">
        <w:rPr>
          <w:rFonts w:ascii="Arial" w:hAnsi="Arial" w:cs="Arial"/>
          <w:sz w:val="24"/>
          <w:szCs w:val="24"/>
        </w:rPr>
        <w:t xml:space="preserve"> have the meaning given by section 10 of the Act. </w:t>
      </w:r>
    </w:p>
    <w:p w14:paraId="2B24B452" w14:textId="2FFD9002" w:rsidR="003C3EE3" w:rsidRPr="007E64EB" w:rsidRDefault="00727391" w:rsidP="007E64EB">
      <w:pPr>
        <w:rPr>
          <w:rFonts w:ascii="Arial" w:hAnsi="Arial" w:cs="Arial"/>
          <w:sz w:val="24"/>
          <w:szCs w:val="24"/>
        </w:rPr>
      </w:pPr>
      <w:r>
        <w:rPr>
          <w:rFonts w:ascii="Arial" w:hAnsi="Arial" w:cs="Arial"/>
          <w:sz w:val="24"/>
          <w:szCs w:val="24"/>
        </w:rPr>
        <w:t>This section also</w:t>
      </w:r>
      <w:r w:rsidR="00900F29">
        <w:rPr>
          <w:rFonts w:ascii="Arial" w:hAnsi="Arial" w:cs="Arial"/>
          <w:sz w:val="24"/>
          <w:szCs w:val="24"/>
        </w:rPr>
        <w:t xml:space="preserve"> </w:t>
      </w:r>
      <w:r w:rsidR="00250D38">
        <w:rPr>
          <w:rFonts w:ascii="Arial" w:hAnsi="Arial" w:cs="Arial"/>
          <w:sz w:val="24"/>
          <w:szCs w:val="24"/>
        </w:rPr>
        <w:t xml:space="preserve">provides a definition of </w:t>
      </w:r>
      <w:r w:rsidR="00250D38" w:rsidRPr="00394C3B">
        <w:rPr>
          <w:rFonts w:ascii="Arial" w:hAnsi="Arial" w:cs="Arial"/>
          <w:i/>
          <w:sz w:val="24"/>
          <w:szCs w:val="24"/>
        </w:rPr>
        <w:t>contact centre</w:t>
      </w:r>
      <w:r w:rsidR="00250D38">
        <w:rPr>
          <w:rFonts w:ascii="Arial" w:hAnsi="Arial" w:cs="Arial"/>
          <w:sz w:val="24"/>
          <w:szCs w:val="24"/>
        </w:rPr>
        <w:t xml:space="preserve">. </w:t>
      </w:r>
      <w:r w:rsidR="00CA7C9A">
        <w:rPr>
          <w:rFonts w:ascii="Arial" w:hAnsi="Arial" w:cs="Arial"/>
          <w:sz w:val="24"/>
          <w:szCs w:val="24"/>
        </w:rPr>
        <w:t xml:space="preserve">The contact centre </w:t>
      </w:r>
      <w:r w:rsidR="00AE0A58">
        <w:rPr>
          <w:rFonts w:ascii="Arial" w:hAnsi="Arial" w:cs="Arial"/>
          <w:sz w:val="24"/>
          <w:szCs w:val="24"/>
        </w:rPr>
        <w:t xml:space="preserve">can perform </w:t>
      </w:r>
      <w:r w:rsidR="00C1511F">
        <w:rPr>
          <w:rFonts w:ascii="Arial" w:hAnsi="Arial" w:cs="Arial"/>
          <w:sz w:val="24"/>
          <w:szCs w:val="24"/>
        </w:rPr>
        <w:t>some PPSR</w:t>
      </w:r>
      <w:r w:rsidR="00F921BC">
        <w:rPr>
          <w:rFonts w:ascii="Arial" w:hAnsi="Arial" w:cs="Arial"/>
          <w:sz w:val="24"/>
          <w:szCs w:val="24"/>
        </w:rPr>
        <w:t xml:space="preserve"> </w:t>
      </w:r>
      <w:r w:rsidR="00C16EF8">
        <w:rPr>
          <w:rFonts w:ascii="Arial" w:hAnsi="Arial" w:cs="Arial"/>
          <w:sz w:val="24"/>
          <w:szCs w:val="24"/>
        </w:rPr>
        <w:t>transactions</w:t>
      </w:r>
      <w:r w:rsidR="00AE0A58">
        <w:rPr>
          <w:rFonts w:ascii="Arial" w:hAnsi="Arial" w:cs="Arial"/>
          <w:sz w:val="24"/>
          <w:szCs w:val="24"/>
        </w:rPr>
        <w:t xml:space="preserve"> on behalf of users as an alternative to the user accessing the PPSR online</w:t>
      </w:r>
      <w:r w:rsidR="00C16EF8">
        <w:rPr>
          <w:rFonts w:ascii="Arial" w:hAnsi="Arial" w:cs="Arial"/>
          <w:sz w:val="24"/>
          <w:szCs w:val="24"/>
        </w:rPr>
        <w:t xml:space="preserve">. </w:t>
      </w:r>
      <w:r w:rsidR="00AE0A58">
        <w:rPr>
          <w:rFonts w:ascii="Arial" w:hAnsi="Arial" w:cs="Arial"/>
          <w:sz w:val="24"/>
          <w:szCs w:val="24"/>
        </w:rPr>
        <w:t>A small number of transa</w:t>
      </w:r>
      <w:r w:rsidR="00054BA3">
        <w:rPr>
          <w:rFonts w:ascii="Arial" w:hAnsi="Arial" w:cs="Arial"/>
          <w:sz w:val="24"/>
          <w:szCs w:val="24"/>
        </w:rPr>
        <w:t>ctions on the PPSR, for example</w:t>
      </w:r>
      <w:r w:rsidR="00AE0A58">
        <w:rPr>
          <w:rFonts w:ascii="Arial" w:hAnsi="Arial" w:cs="Arial"/>
          <w:sz w:val="24"/>
          <w:szCs w:val="24"/>
        </w:rPr>
        <w:t xml:space="preserve"> </w:t>
      </w:r>
      <w:r w:rsidR="005E2AB7">
        <w:rPr>
          <w:rFonts w:ascii="Arial" w:hAnsi="Arial" w:cs="Arial"/>
          <w:sz w:val="24"/>
          <w:szCs w:val="24"/>
        </w:rPr>
        <w:t>“develop a special purpose report for Account Holders”</w:t>
      </w:r>
      <w:r w:rsidR="007D2276">
        <w:rPr>
          <w:rFonts w:ascii="Arial" w:hAnsi="Arial" w:cs="Arial"/>
          <w:sz w:val="24"/>
          <w:szCs w:val="24"/>
        </w:rPr>
        <w:t xml:space="preserve"> or “maintenance of registrations”</w:t>
      </w:r>
      <w:r w:rsidR="005E2AB7">
        <w:rPr>
          <w:rFonts w:ascii="Arial" w:hAnsi="Arial" w:cs="Arial"/>
          <w:sz w:val="24"/>
          <w:szCs w:val="24"/>
        </w:rPr>
        <w:t>,</w:t>
      </w:r>
      <w:r w:rsidR="00765140">
        <w:rPr>
          <w:rFonts w:ascii="Arial" w:hAnsi="Arial" w:cs="Arial"/>
          <w:sz w:val="24"/>
          <w:szCs w:val="24"/>
        </w:rPr>
        <w:t xml:space="preserve"> </w:t>
      </w:r>
      <w:r w:rsidR="00AE0A58">
        <w:rPr>
          <w:rFonts w:ascii="Arial" w:hAnsi="Arial" w:cs="Arial"/>
          <w:sz w:val="24"/>
          <w:szCs w:val="24"/>
        </w:rPr>
        <w:t xml:space="preserve">can only be performed through the </w:t>
      </w:r>
      <w:r w:rsidR="00765140">
        <w:rPr>
          <w:rFonts w:ascii="Arial" w:hAnsi="Arial" w:cs="Arial"/>
          <w:sz w:val="24"/>
          <w:szCs w:val="24"/>
        </w:rPr>
        <w:t>contact centre</w:t>
      </w:r>
      <w:r w:rsidR="001309E5">
        <w:rPr>
          <w:rFonts w:ascii="Arial" w:hAnsi="Arial" w:cs="Arial"/>
          <w:sz w:val="24"/>
          <w:szCs w:val="24"/>
        </w:rPr>
        <w:t>.</w:t>
      </w:r>
    </w:p>
    <w:p w14:paraId="3A2682E9" w14:textId="77777777" w:rsidR="007E64EB" w:rsidRPr="00017B08" w:rsidRDefault="00017B08" w:rsidP="00394C3B">
      <w:pPr>
        <w:keepNext/>
        <w:rPr>
          <w:rFonts w:ascii="Arial" w:hAnsi="Arial" w:cs="Arial"/>
          <w:sz w:val="28"/>
          <w:szCs w:val="28"/>
        </w:rPr>
      </w:pPr>
      <w:r w:rsidRPr="00017B08">
        <w:rPr>
          <w:rFonts w:ascii="Arial" w:hAnsi="Arial" w:cs="Arial"/>
          <w:b/>
          <w:bCs/>
          <w:sz w:val="28"/>
          <w:szCs w:val="28"/>
        </w:rPr>
        <w:lastRenderedPageBreak/>
        <w:t>Part 2</w:t>
      </w:r>
      <w:r w:rsidRPr="00017B08">
        <w:rPr>
          <w:rFonts w:ascii="Arial" w:hAnsi="Arial" w:cs="Arial"/>
          <w:b/>
          <w:bCs/>
          <w:sz w:val="28"/>
          <w:szCs w:val="28"/>
        </w:rPr>
        <w:tab/>
        <w:t>Fees</w:t>
      </w:r>
    </w:p>
    <w:p w14:paraId="7278E54E" w14:textId="77777777" w:rsidR="007E64EB" w:rsidRPr="007E64EB" w:rsidRDefault="007E64EB" w:rsidP="00394C3B">
      <w:pPr>
        <w:keepNext/>
        <w:rPr>
          <w:rFonts w:ascii="Arial" w:hAnsi="Arial" w:cs="Arial"/>
          <w:sz w:val="24"/>
          <w:szCs w:val="24"/>
        </w:rPr>
      </w:pPr>
      <w:r w:rsidRPr="007E64EB">
        <w:rPr>
          <w:rFonts w:ascii="Arial" w:hAnsi="Arial" w:cs="Arial"/>
          <w:b/>
          <w:bCs/>
          <w:sz w:val="24"/>
          <w:szCs w:val="24"/>
        </w:rPr>
        <w:t xml:space="preserve">Section 4 – </w:t>
      </w:r>
      <w:r w:rsidR="003C3EE3">
        <w:rPr>
          <w:rFonts w:ascii="Arial" w:hAnsi="Arial" w:cs="Arial"/>
          <w:b/>
          <w:bCs/>
          <w:sz w:val="24"/>
          <w:szCs w:val="24"/>
        </w:rPr>
        <w:t>Registration and search fees</w:t>
      </w:r>
    </w:p>
    <w:p w14:paraId="2301D82D" w14:textId="22368028" w:rsidR="00B63BBC" w:rsidRDefault="00E52429" w:rsidP="00B74846">
      <w:pPr>
        <w:rPr>
          <w:rFonts w:ascii="Arial" w:hAnsi="Arial" w:cs="Arial"/>
          <w:color w:val="000000"/>
          <w:sz w:val="24"/>
          <w:szCs w:val="24"/>
        </w:rPr>
      </w:pPr>
      <w:r>
        <w:rPr>
          <w:rFonts w:ascii="Arial" w:hAnsi="Arial" w:cs="Arial"/>
          <w:sz w:val="24"/>
          <w:szCs w:val="24"/>
        </w:rPr>
        <w:t xml:space="preserve">The table in </w:t>
      </w:r>
      <w:r w:rsidR="00533756">
        <w:rPr>
          <w:rFonts w:ascii="Arial" w:hAnsi="Arial" w:cs="Arial"/>
          <w:sz w:val="24"/>
          <w:szCs w:val="24"/>
        </w:rPr>
        <w:t>sub</w:t>
      </w:r>
      <w:r>
        <w:rPr>
          <w:rFonts w:ascii="Arial" w:hAnsi="Arial" w:cs="Arial"/>
          <w:sz w:val="24"/>
          <w:szCs w:val="24"/>
        </w:rPr>
        <w:t>section 4</w:t>
      </w:r>
      <w:r w:rsidR="00533756">
        <w:rPr>
          <w:rFonts w:ascii="Arial" w:hAnsi="Arial" w:cs="Arial"/>
          <w:sz w:val="24"/>
          <w:szCs w:val="24"/>
        </w:rPr>
        <w:t>(2)</w:t>
      </w:r>
      <w:r>
        <w:rPr>
          <w:rFonts w:ascii="Arial" w:hAnsi="Arial" w:cs="Arial"/>
          <w:sz w:val="24"/>
          <w:szCs w:val="24"/>
        </w:rPr>
        <w:t xml:space="preserve"> sets out most of</w:t>
      </w:r>
      <w:r w:rsidR="000E02B4" w:rsidRPr="000E02B4">
        <w:rPr>
          <w:rFonts w:ascii="Arial" w:hAnsi="Arial" w:cs="Arial"/>
          <w:sz w:val="24"/>
          <w:szCs w:val="24"/>
        </w:rPr>
        <w:t xml:space="preserve"> the fee</w:t>
      </w:r>
      <w:r>
        <w:rPr>
          <w:rFonts w:ascii="Arial" w:hAnsi="Arial" w:cs="Arial"/>
          <w:sz w:val="24"/>
          <w:szCs w:val="24"/>
        </w:rPr>
        <w:t>s</w:t>
      </w:r>
      <w:r w:rsidR="00F921BC">
        <w:rPr>
          <w:rFonts w:ascii="Arial" w:hAnsi="Arial" w:cs="Arial"/>
          <w:sz w:val="24"/>
          <w:szCs w:val="24"/>
        </w:rPr>
        <w:t xml:space="preserve"> </w:t>
      </w:r>
      <w:r>
        <w:rPr>
          <w:rFonts w:ascii="Arial" w:hAnsi="Arial" w:cs="Arial"/>
          <w:sz w:val="24"/>
          <w:szCs w:val="24"/>
        </w:rPr>
        <w:t>payable</w:t>
      </w:r>
      <w:r w:rsidR="00F921BC">
        <w:rPr>
          <w:rFonts w:ascii="Arial" w:hAnsi="Arial" w:cs="Arial"/>
          <w:sz w:val="24"/>
          <w:szCs w:val="24"/>
        </w:rPr>
        <w:t xml:space="preserve"> </w:t>
      </w:r>
      <w:r>
        <w:rPr>
          <w:rFonts w:ascii="Arial" w:hAnsi="Arial" w:cs="Arial"/>
          <w:sz w:val="24"/>
          <w:szCs w:val="24"/>
        </w:rPr>
        <w:t>under subsection</w:t>
      </w:r>
      <w:r w:rsidR="004745CE">
        <w:rPr>
          <w:rFonts w:ascii="Arial" w:hAnsi="Arial" w:cs="Arial"/>
          <w:sz w:val="24"/>
          <w:szCs w:val="24"/>
        </w:rPr>
        <w:t> </w:t>
      </w:r>
      <w:r>
        <w:rPr>
          <w:rFonts w:ascii="Arial" w:hAnsi="Arial" w:cs="Arial"/>
          <w:sz w:val="24"/>
          <w:szCs w:val="24"/>
        </w:rPr>
        <w:t>190(1)</w:t>
      </w:r>
      <w:r w:rsidR="006D1B6E">
        <w:rPr>
          <w:rFonts w:ascii="Arial" w:hAnsi="Arial" w:cs="Arial"/>
          <w:sz w:val="24"/>
          <w:szCs w:val="24"/>
        </w:rPr>
        <w:t xml:space="preserve"> of the Act</w:t>
      </w:r>
      <w:r>
        <w:rPr>
          <w:rFonts w:ascii="Arial" w:hAnsi="Arial" w:cs="Arial"/>
          <w:sz w:val="24"/>
          <w:szCs w:val="24"/>
        </w:rPr>
        <w:t xml:space="preserve">. </w:t>
      </w:r>
      <w:r w:rsidR="00787574">
        <w:rPr>
          <w:rFonts w:ascii="Arial" w:hAnsi="Arial" w:cs="Arial"/>
          <w:sz w:val="24"/>
          <w:szCs w:val="24"/>
        </w:rPr>
        <w:t xml:space="preserve">The fees in the </w:t>
      </w:r>
      <w:r w:rsidR="00B63BBC">
        <w:rPr>
          <w:rFonts w:ascii="Arial" w:hAnsi="Arial" w:cs="Arial"/>
          <w:sz w:val="24"/>
          <w:szCs w:val="24"/>
        </w:rPr>
        <w:t>column headed ‘F</w:t>
      </w:r>
      <w:r w:rsidR="00787574">
        <w:rPr>
          <w:rFonts w:ascii="Arial" w:hAnsi="Arial" w:cs="Arial"/>
          <w:sz w:val="24"/>
          <w:szCs w:val="24"/>
        </w:rPr>
        <w:t>ee’ appl</w:t>
      </w:r>
      <w:r w:rsidR="00B63BBC">
        <w:rPr>
          <w:rFonts w:ascii="Arial" w:hAnsi="Arial" w:cs="Arial"/>
          <w:sz w:val="24"/>
          <w:szCs w:val="24"/>
        </w:rPr>
        <w:t>y</w:t>
      </w:r>
      <w:r w:rsidR="00787574">
        <w:rPr>
          <w:rFonts w:ascii="Arial" w:hAnsi="Arial" w:cs="Arial"/>
          <w:sz w:val="24"/>
          <w:szCs w:val="24"/>
        </w:rPr>
        <w:t xml:space="preserve"> to transaction</w:t>
      </w:r>
      <w:r w:rsidR="00B63BBC">
        <w:rPr>
          <w:rFonts w:ascii="Arial" w:hAnsi="Arial" w:cs="Arial"/>
          <w:sz w:val="24"/>
          <w:szCs w:val="24"/>
        </w:rPr>
        <w:t>s</w:t>
      </w:r>
      <w:r w:rsidR="00787574">
        <w:rPr>
          <w:rFonts w:ascii="Arial" w:hAnsi="Arial" w:cs="Arial"/>
          <w:sz w:val="24"/>
          <w:szCs w:val="24"/>
        </w:rPr>
        <w:t xml:space="preserve"> </w:t>
      </w:r>
      <w:r w:rsidR="00B63BBC">
        <w:rPr>
          <w:rFonts w:ascii="Arial" w:hAnsi="Arial" w:cs="Arial"/>
          <w:sz w:val="24"/>
          <w:szCs w:val="24"/>
        </w:rPr>
        <w:t>on the PPSR requested by users</w:t>
      </w:r>
      <w:r w:rsidR="00787574">
        <w:rPr>
          <w:rFonts w:ascii="Arial" w:hAnsi="Arial" w:cs="Arial"/>
          <w:sz w:val="24"/>
          <w:szCs w:val="24"/>
        </w:rPr>
        <w:t xml:space="preserve"> through the web user interface or B2G channel</w:t>
      </w:r>
      <w:r w:rsidR="00B63BBC">
        <w:rPr>
          <w:rFonts w:ascii="Arial" w:hAnsi="Arial" w:cs="Arial"/>
          <w:sz w:val="24"/>
          <w:szCs w:val="24"/>
        </w:rPr>
        <w:t>s</w:t>
      </w:r>
      <w:r w:rsidR="00787574">
        <w:rPr>
          <w:rFonts w:ascii="Arial" w:hAnsi="Arial" w:cs="Arial"/>
          <w:sz w:val="24"/>
          <w:szCs w:val="24"/>
        </w:rPr>
        <w:t xml:space="preserve">. </w:t>
      </w:r>
      <w:r w:rsidR="00B63BBC">
        <w:rPr>
          <w:rFonts w:ascii="Arial" w:hAnsi="Arial" w:cs="Arial"/>
          <w:sz w:val="24"/>
          <w:szCs w:val="24"/>
        </w:rPr>
        <w:t xml:space="preserve">The fees in the column marked ‘Contact centre fee’ apply to transactions conducted on behalf of users who requested the contact centre to perform the transaction on their behalf. </w:t>
      </w:r>
      <w:r w:rsidR="00B63BBC" w:rsidRPr="00062001">
        <w:rPr>
          <w:rFonts w:ascii="Arial" w:hAnsi="Arial" w:cs="Arial"/>
          <w:color w:val="000000"/>
          <w:sz w:val="24"/>
          <w:szCs w:val="24"/>
        </w:rPr>
        <w:t>A notation of “N/A” at an entry in the table indicates that the service concerned is not available through that mode of access.</w:t>
      </w:r>
    </w:p>
    <w:p w14:paraId="62194040" w14:textId="77777777" w:rsidR="00E84316" w:rsidRDefault="00832AF5" w:rsidP="00832AF5">
      <w:pPr>
        <w:rPr>
          <w:rFonts w:ascii="Arial" w:hAnsi="Arial" w:cs="Arial"/>
          <w:sz w:val="24"/>
          <w:szCs w:val="24"/>
        </w:rPr>
      </w:pPr>
      <w:r>
        <w:rPr>
          <w:rFonts w:ascii="Arial" w:hAnsi="Arial" w:cs="Arial"/>
          <w:sz w:val="24"/>
          <w:szCs w:val="24"/>
        </w:rPr>
        <w:t>The fees for the registration of a financing statement or a financing change statement reflect the full cost of delivery and include system storage of such information. Minor amendments to a registered financing statement will not incur fees, such as where a financing change statement</w:t>
      </w:r>
      <w:r w:rsidR="00E84316">
        <w:rPr>
          <w:rFonts w:ascii="Arial" w:hAnsi="Arial" w:cs="Arial"/>
          <w:sz w:val="24"/>
          <w:szCs w:val="24"/>
        </w:rPr>
        <w:t>:</w:t>
      </w:r>
    </w:p>
    <w:p w14:paraId="66A2AB0A" w14:textId="553A1299" w:rsidR="00E84316" w:rsidRDefault="00832AF5" w:rsidP="00394C3B">
      <w:pPr>
        <w:pStyle w:val="ListParagraph"/>
        <w:numPr>
          <w:ilvl w:val="0"/>
          <w:numId w:val="4"/>
        </w:numPr>
        <w:rPr>
          <w:rFonts w:ascii="Arial" w:hAnsi="Arial" w:cs="Arial"/>
          <w:sz w:val="24"/>
          <w:szCs w:val="24"/>
        </w:rPr>
      </w:pPr>
      <w:r w:rsidRPr="00394C3B">
        <w:rPr>
          <w:rFonts w:ascii="Arial" w:hAnsi="Arial" w:cs="Arial"/>
          <w:sz w:val="24"/>
          <w:szCs w:val="24"/>
        </w:rPr>
        <w:t xml:space="preserve">changes the end time to an earlier time </w:t>
      </w:r>
    </w:p>
    <w:p w14:paraId="56C14641" w14:textId="56AE1E79" w:rsidR="00E84316" w:rsidRDefault="00832AF5" w:rsidP="00394C3B">
      <w:pPr>
        <w:pStyle w:val="ListParagraph"/>
        <w:numPr>
          <w:ilvl w:val="0"/>
          <w:numId w:val="4"/>
        </w:numPr>
        <w:rPr>
          <w:rFonts w:ascii="Arial" w:hAnsi="Arial" w:cs="Arial"/>
          <w:sz w:val="24"/>
          <w:szCs w:val="24"/>
        </w:rPr>
      </w:pPr>
      <w:r w:rsidRPr="00394C3B">
        <w:rPr>
          <w:rFonts w:ascii="Arial" w:hAnsi="Arial" w:cs="Arial"/>
          <w:sz w:val="24"/>
          <w:szCs w:val="24"/>
        </w:rPr>
        <w:t>removes a grantor (where multiple grantors exist)</w:t>
      </w:r>
      <w:r w:rsidR="00772ED5">
        <w:rPr>
          <w:rFonts w:ascii="Arial" w:hAnsi="Arial" w:cs="Arial"/>
          <w:sz w:val="24"/>
          <w:szCs w:val="24"/>
        </w:rPr>
        <w:t>,</w:t>
      </w:r>
      <w:r w:rsidRPr="00394C3B">
        <w:rPr>
          <w:rFonts w:ascii="Arial" w:hAnsi="Arial" w:cs="Arial"/>
          <w:sz w:val="24"/>
          <w:szCs w:val="24"/>
        </w:rPr>
        <w:t xml:space="preserve"> or </w:t>
      </w:r>
    </w:p>
    <w:p w14:paraId="28B08383" w14:textId="4FB10347" w:rsidR="00832AF5" w:rsidRPr="00394C3B" w:rsidRDefault="00832AF5" w:rsidP="00394C3B">
      <w:pPr>
        <w:pStyle w:val="ListParagraph"/>
        <w:numPr>
          <w:ilvl w:val="0"/>
          <w:numId w:val="4"/>
        </w:numPr>
        <w:rPr>
          <w:rFonts w:ascii="Arial" w:hAnsi="Arial" w:cs="Arial"/>
          <w:sz w:val="24"/>
          <w:szCs w:val="24"/>
        </w:rPr>
      </w:pPr>
      <w:proofErr w:type="gramStart"/>
      <w:r w:rsidRPr="00394C3B">
        <w:rPr>
          <w:rFonts w:ascii="Arial" w:hAnsi="Arial" w:cs="Arial"/>
          <w:sz w:val="24"/>
          <w:szCs w:val="24"/>
        </w:rPr>
        <w:t>amends</w:t>
      </w:r>
      <w:proofErr w:type="gramEnd"/>
      <w:r w:rsidRPr="00394C3B">
        <w:rPr>
          <w:rFonts w:ascii="Arial" w:hAnsi="Arial" w:cs="Arial"/>
          <w:sz w:val="24"/>
          <w:szCs w:val="24"/>
        </w:rPr>
        <w:t xml:space="preserve"> a free text field. </w:t>
      </w:r>
    </w:p>
    <w:p w14:paraId="18CEED1F" w14:textId="4E7AD57F" w:rsidR="000A6A40" w:rsidRPr="000A6A40" w:rsidRDefault="00CE700B" w:rsidP="00B74846">
      <w:pPr>
        <w:rPr>
          <w:rFonts w:ascii="Arial" w:hAnsi="Arial" w:cs="Arial"/>
          <w:color w:val="000000"/>
          <w:sz w:val="24"/>
          <w:szCs w:val="24"/>
        </w:rPr>
      </w:pPr>
      <w:r w:rsidRPr="00F2341A">
        <w:rPr>
          <w:rFonts w:ascii="Arial" w:hAnsi="Arial" w:cs="Arial"/>
          <w:sz w:val="24"/>
          <w:szCs w:val="24"/>
        </w:rPr>
        <w:t>The higher fee</w:t>
      </w:r>
      <w:r w:rsidR="00B74846">
        <w:rPr>
          <w:rFonts w:ascii="Arial" w:hAnsi="Arial" w:cs="Arial"/>
          <w:sz w:val="24"/>
          <w:szCs w:val="24"/>
        </w:rPr>
        <w:t>s for some of the work</w:t>
      </w:r>
      <w:r w:rsidR="00C73E7E">
        <w:rPr>
          <w:rFonts w:ascii="Arial" w:hAnsi="Arial" w:cs="Arial"/>
          <w:sz w:val="24"/>
          <w:szCs w:val="24"/>
        </w:rPr>
        <w:t xml:space="preserve"> (such as searches</w:t>
      </w:r>
      <w:proofErr w:type="gramStart"/>
      <w:r w:rsidR="00C73E7E">
        <w:rPr>
          <w:rFonts w:ascii="Arial" w:hAnsi="Arial" w:cs="Arial"/>
          <w:sz w:val="24"/>
          <w:szCs w:val="24"/>
        </w:rPr>
        <w:t>)</w:t>
      </w:r>
      <w:r w:rsidR="00B74846">
        <w:rPr>
          <w:rFonts w:ascii="Arial" w:hAnsi="Arial" w:cs="Arial"/>
          <w:sz w:val="24"/>
          <w:szCs w:val="24"/>
        </w:rPr>
        <w:t xml:space="preserve"> done</w:t>
      </w:r>
      <w:proofErr w:type="gramEnd"/>
      <w:r w:rsidR="00B74846">
        <w:rPr>
          <w:rFonts w:ascii="Arial" w:hAnsi="Arial" w:cs="Arial"/>
          <w:sz w:val="24"/>
          <w:szCs w:val="24"/>
        </w:rPr>
        <w:t xml:space="preserve"> through the contact centre</w:t>
      </w:r>
      <w:r w:rsidR="00021270">
        <w:rPr>
          <w:rFonts w:ascii="Arial" w:hAnsi="Arial" w:cs="Arial"/>
          <w:sz w:val="24"/>
          <w:szCs w:val="24"/>
        </w:rPr>
        <w:t xml:space="preserve"> </w:t>
      </w:r>
      <w:r w:rsidR="00791E1F" w:rsidRPr="00F2341A">
        <w:rPr>
          <w:rFonts w:ascii="Arial" w:hAnsi="Arial" w:cs="Arial"/>
          <w:sz w:val="24"/>
          <w:szCs w:val="24"/>
        </w:rPr>
        <w:t>reflects</w:t>
      </w:r>
      <w:r w:rsidRPr="00F2341A">
        <w:rPr>
          <w:rFonts w:ascii="Arial" w:hAnsi="Arial" w:cs="Arial"/>
          <w:sz w:val="24"/>
          <w:szCs w:val="24"/>
        </w:rPr>
        <w:t xml:space="preserve"> the </w:t>
      </w:r>
      <w:r w:rsidR="00791E1F" w:rsidRPr="00F2341A">
        <w:rPr>
          <w:rFonts w:ascii="Arial" w:hAnsi="Arial" w:cs="Arial"/>
          <w:sz w:val="24"/>
          <w:szCs w:val="24"/>
        </w:rPr>
        <w:t xml:space="preserve">additional cost of </w:t>
      </w:r>
      <w:r w:rsidR="00F72B05" w:rsidRPr="00F2341A">
        <w:rPr>
          <w:rFonts w:ascii="Arial" w:hAnsi="Arial" w:cs="Arial"/>
          <w:sz w:val="24"/>
          <w:szCs w:val="24"/>
        </w:rPr>
        <w:t>applications</w:t>
      </w:r>
      <w:r w:rsidR="00F2341A">
        <w:rPr>
          <w:rFonts w:ascii="Arial" w:hAnsi="Arial" w:cs="Arial"/>
          <w:sz w:val="24"/>
          <w:szCs w:val="24"/>
        </w:rPr>
        <w:t xml:space="preserve"> being made</w:t>
      </w:r>
      <w:r w:rsidR="00791E1F" w:rsidRPr="00F2341A">
        <w:rPr>
          <w:rFonts w:ascii="Arial" w:hAnsi="Arial" w:cs="Arial"/>
          <w:sz w:val="24"/>
          <w:szCs w:val="24"/>
        </w:rPr>
        <w:t xml:space="preserve"> through the contact centre</w:t>
      </w:r>
      <w:r w:rsidR="008A009C" w:rsidRPr="00F2341A">
        <w:rPr>
          <w:rFonts w:ascii="Arial" w:hAnsi="Arial" w:cs="Arial"/>
          <w:color w:val="000000"/>
          <w:sz w:val="24"/>
          <w:szCs w:val="24"/>
        </w:rPr>
        <w:t xml:space="preserve"> where manual handling and data processing is required</w:t>
      </w:r>
      <w:r w:rsidR="00BE6D54">
        <w:rPr>
          <w:rFonts w:ascii="Arial" w:hAnsi="Arial" w:cs="Arial"/>
          <w:color w:val="000000"/>
          <w:sz w:val="24"/>
          <w:szCs w:val="24"/>
        </w:rPr>
        <w:t xml:space="preserve">. </w:t>
      </w:r>
    </w:p>
    <w:p w14:paraId="1A721DBC" w14:textId="77777777" w:rsidR="00E62A9D" w:rsidRPr="00F125C3" w:rsidRDefault="00E62A9D" w:rsidP="00E62A9D">
      <w:pPr>
        <w:rPr>
          <w:rFonts w:ascii="Arial" w:hAnsi="Arial" w:cs="Arial"/>
          <w:sz w:val="24"/>
          <w:szCs w:val="24"/>
        </w:rPr>
      </w:pPr>
      <w:r w:rsidRPr="00F125C3">
        <w:rPr>
          <w:rFonts w:ascii="Arial" w:hAnsi="Arial" w:cs="Arial"/>
          <w:b/>
          <w:sz w:val="24"/>
          <w:szCs w:val="24"/>
        </w:rPr>
        <w:t xml:space="preserve">Section 5 – </w:t>
      </w:r>
      <w:r>
        <w:rPr>
          <w:rFonts w:ascii="Arial" w:hAnsi="Arial" w:cs="Arial"/>
          <w:b/>
          <w:sz w:val="24"/>
          <w:szCs w:val="24"/>
        </w:rPr>
        <w:t>Maintenance fees</w:t>
      </w:r>
    </w:p>
    <w:p w14:paraId="64659A59" w14:textId="2FE85CF6" w:rsidR="001D36E5" w:rsidRDefault="003B2233" w:rsidP="00E62A9D">
      <w:pPr>
        <w:rPr>
          <w:rFonts w:ascii="Arial" w:hAnsi="Arial" w:cs="Arial"/>
          <w:sz w:val="24"/>
          <w:szCs w:val="24"/>
        </w:rPr>
      </w:pPr>
      <w:r>
        <w:rPr>
          <w:rFonts w:ascii="Arial" w:hAnsi="Arial" w:cs="Arial"/>
          <w:sz w:val="24"/>
          <w:szCs w:val="24"/>
        </w:rPr>
        <w:t>Section 5 sets the fee</w:t>
      </w:r>
      <w:r w:rsidR="00B57F1A">
        <w:rPr>
          <w:rFonts w:ascii="Arial" w:hAnsi="Arial" w:cs="Arial"/>
          <w:sz w:val="24"/>
          <w:szCs w:val="24"/>
        </w:rPr>
        <w:t xml:space="preserve"> payable</w:t>
      </w:r>
      <w:r>
        <w:rPr>
          <w:rFonts w:ascii="Arial" w:hAnsi="Arial" w:cs="Arial"/>
          <w:sz w:val="24"/>
          <w:szCs w:val="24"/>
        </w:rPr>
        <w:t xml:space="preserve"> when the Registrar provides notice to a secured party to pay a fee </w:t>
      </w:r>
      <w:r w:rsidR="00B57F1A">
        <w:rPr>
          <w:rFonts w:ascii="Arial" w:hAnsi="Arial" w:cs="Arial"/>
          <w:sz w:val="24"/>
          <w:szCs w:val="24"/>
        </w:rPr>
        <w:t>to maintain</w:t>
      </w:r>
      <w:r>
        <w:rPr>
          <w:rFonts w:ascii="Arial" w:hAnsi="Arial" w:cs="Arial"/>
          <w:sz w:val="24"/>
          <w:szCs w:val="24"/>
        </w:rPr>
        <w:t xml:space="preserve"> a registration</w:t>
      </w:r>
      <w:r w:rsidR="00B57F1A">
        <w:rPr>
          <w:rFonts w:ascii="Arial" w:hAnsi="Arial" w:cs="Arial"/>
          <w:sz w:val="24"/>
          <w:szCs w:val="24"/>
        </w:rPr>
        <w:t xml:space="preserve"> </w:t>
      </w:r>
      <w:r w:rsidR="00772ED5">
        <w:rPr>
          <w:rFonts w:ascii="Arial" w:hAnsi="Arial" w:cs="Arial"/>
          <w:sz w:val="24"/>
          <w:szCs w:val="24"/>
        </w:rPr>
        <w:t xml:space="preserve">on </w:t>
      </w:r>
      <w:r w:rsidR="00B57F1A">
        <w:rPr>
          <w:rFonts w:ascii="Arial" w:hAnsi="Arial" w:cs="Arial"/>
          <w:sz w:val="24"/>
          <w:szCs w:val="24"/>
        </w:rPr>
        <w:t xml:space="preserve">the PPSR, under subsection 168(1) of the Act. </w:t>
      </w:r>
      <w:r w:rsidR="00A646F2">
        <w:rPr>
          <w:rFonts w:ascii="Arial" w:hAnsi="Arial" w:cs="Arial"/>
          <w:sz w:val="24"/>
          <w:szCs w:val="24"/>
        </w:rPr>
        <w:t xml:space="preserve">If the fee is not paid within 28 days of the Registrar giving notice, the Registrar may end the </w:t>
      </w:r>
      <w:r w:rsidR="008167D4">
        <w:rPr>
          <w:rFonts w:ascii="Arial" w:hAnsi="Arial" w:cs="Arial"/>
          <w:sz w:val="24"/>
          <w:szCs w:val="24"/>
        </w:rPr>
        <w:t xml:space="preserve">applicable </w:t>
      </w:r>
      <w:r w:rsidR="00A646F2">
        <w:rPr>
          <w:rFonts w:ascii="Arial" w:hAnsi="Arial" w:cs="Arial"/>
          <w:sz w:val="24"/>
          <w:szCs w:val="24"/>
        </w:rPr>
        <w:t>registration through a financing change statement.</w:t>
      </w:r>
      <w:r w:rsidR="00BE6D54">
        <w:rPr>
          <w:rFonts w:ascii="Arial" w:hAnsi="Arial" w:cs="Arial"/>
          <w:sz w:val="24"/>
          <w:szCs w:val="24"/>
        </w:rPr>
        <w:t xml:space="preserve"> </w:t>
      </w:r>
      <w:r w:rsidR="008167D4">
        <w:rPr>
          <w:rFonts w:ascii="Arial" w:hAnsi="Arial" w:cs="Arial"/>
          <w:sz w:val="24"/>
          <w:szCs w:val="24"/>
        </w:rPr>
        <w:t>Under subsection 190(6) of the Act, the Commonwealth cannot recover unpaid maintenance fees</w:t>
      </w:r>
      <w:r w:rsidR="00B6649E">
        <w:rPr>
          <w:rFonts w:ascii="Arial" w:hAnsi="Arial" w:cs="Arial"/>
          <w:sz w:val="24"/>
          <w:szCs w:val="24"/>
        </w:rPr>
        <w:t>.</w:t>
      </w:r>
    </w:p>
    <w:p w14:paraId="58433154" w14:textId="77777777" w:rsidR="00533756" w:rsidRPr="00F125C3" w:rsidRDefault="007B111B" w:rsidP="000E02B4">
      <w:pPr>
        <w:rPr>
          <w:rFonts w:ascii="Arial" w:hAnsi="Arial" w:cs="Arial"/>
          <w:sz w:val="24"/>
          <w:szCs w:val="24"/>
        </w:rPr>
      </w:pPr>
      <w:r w:rsidRPr="00F125C3">
        <w:rPr>
          <w:rFonts w:ascii="Arial" w:hAnsi="Arial" w:cs="Arial"/>
          <w:b/>
          <w:sz w:val="24"/>
          <w:szCs w:val="24"/>
        </w:rPr>
        <w:t xml:space="preserve">Section </w:t>
      </w:r>
      <w:r w:rsidR="00E62A9D">
        <w:rPr>
          <w:rFonts w:ascii="Arial" w:hAnsi="Arial" w:cs="Arial"/>
          <w:b/>
          <w:sz w:val="24"/>
          <w:szCs w:val="24"/>
        </w:rPr>
        <w:t>6</w:t>
      </w:r>
      <w:r w:rsidRPr="00F125C3">
        <w:rPr>
          <w:rFonts w:ascii="Arial" w:hAnsi="Arial" w:cs="Arial"/>
          <w:b/>
          <w:sz w:val="24"/>
          <w:szCs w:val="24"/>
        </w:rPr>
        <w:t xml:space="preserve"> – Reports by the Registrar</w:t>
      </w:r>
    </w:p>
    <w:p w14:paraId="24C8593B" w14:textId="5DFDFC39" w:rsidR="00533756" w:rsidRDefault="008E4C31" w:rsidP="000E02B4">
      <w:pPr>
        <w:rPr>
          <w:rFonts w:ascii="Arial" w:hAnsi="Arial" w:cs="Arial"/>
          <w:sz w:val="24"/>
          <w:szCs w:val="24"/>
        </w:rPr>
      </w:pPr>
      <w:r>
        <w:rPr>
          <w:rFonts w:ascii="Arial" w:hAnsi="Arial" w:cs="Arial"/>
          <w:sz w:val="24"/>
          <w:szCs w:val="24"/>
        </w:rPr>
        <w:t xml:space="preserve">Item 2 of the table in section 4 of the </w:t>
      </w:r>
      <w:r w:rsidR="00F312D8" w:rsidRPr="000F225A">
        <w:rPr>
          <w:rFonts w:ascii="Arial" w:hAnsi="Arial" w:cs="Arial"/>
          <w:i/>
          <w:sz w:val="24"/>
          <w:szCs w:val="24"/>
        </w:rPr>
        <w:t>Personal Property Securities (Reports) Determination 2011</w:t>
      </w:r>
      <w:r>
        <w:rPr>
          <w:rFonts w:ascii="Arial" w:hAnsi="Arial" w:cs="Arial"/>
          <w:sz w:val="24"/>
          <w:szCs w:val="24"/>
        </w:rPr>
        <w:t xml:space="preserve"> </w:t>
      </w:r>
      <w:r w:rsidR="00771854">
        <w:rPr>
          <w:rFonts w:ascii="Arial" w:hAnsi="Arial" w:cs="Arial"/>
          <w:sz w:val="24"/>
          <w:szCs w:val="24"/>
        </w:rPr>
        <w:t xml:space="preserve">refers to a person requesting a report </w:t>
      </w:r>
      <w:r w:rsidR="007872C8">
        <w:rPr>
          <w:rFonts w:ascii="Arial" w:hAnsi="Arial" w:cs="Arial"/>
          <w:sz w:val="24"/>
          <w:szCs w:val="24"/>
        </w:rPr>
        <w:t xml:space="preserve">by the Registrar </w:t>
      </w:r>
      <w:r w:rsidR="00771854">
        <w:rPr>
          <w:rFonts w:ascii="Arial" w:hAnsi="Arial" w:cs="Arial"/>
          <w:sz w:val="24"/>
          <w:szCs w:val="24"/>
        </w:rPr>
        <w:t>in relation to</w:t>
      </w:r>
      <w:r w:rsidR="00FA0B33">
        <w:rPr>
          <w:rFonts w:ascii="Arial" w:hAnsi="Arial" w:cs="Arial"/>
          <w:sz w:val="24"/>
          <w:szCs w:val="24"/>
        </w:rPr>
        <w:t xml:space="preserve"> certain</w:t>
      </w:r>
      <w:r w:rsidR="00771854">
        <w:rPr>
          <w:rFonts w:ascii="Arial" w:hAnsi="Arial" w:cs="Arial"/>
          <w:sz w:val="24"/>
          <w:szCs w:val="24"/>
        </w:rPr>
        <w:t xml:space="preserve"> </w:t>
      </w:r>
      <w:r w:rsidR="00FA0B33">
        <w:rPr>
          <w:rFonts w:ascii="Arial" w:eastAsia="Times New Roman" w:hAnsi="Arial" w:cs="Arial"/>
          <w:sz w:val="24"/>
          <w:szCs w:val="24"/>
          <w:lang w:eastAsia="en-AU"/>
        </w:rPr>
        <w:t>registered data</w:t>
      </w:r>
      <w:r w:rsidR="00771854">
        <w:rPr>
          <w:rFonts w:ascii="Arial" w:hAnsi="Arial" w:cs="Arial"/>
          <w:sz w:val="24"/>
          <w:szCs w:val="24"/>
        </w:rPr>
        <w:t xml:space="preserve">, under subsection 176(1) of the Act. </w:t>
      </w:r>
      <w:r w:rsidR="007872C8">
        <w:rPr>
          <w:rFonts w:ascii="Arial" w:hAnsi="Arial" w:cs="Arial"/>
          <w:sz w:val="24"/>
          <w:szCs w:val="24"/>
        </w:rPr>
        <w:t xml:space="preserve">Section </w:t>
      </w:r>
      <w:r w:rsidR="00B57F1A">
        <w:rPr>
          <w:rFonts w:ascii="Arial" w:hAnsi="Arial" w:cs="Arial"/>
          <w:sz w:val="24"/>
          <w:szCs w:val="24"/>
        </w:rPr>
        <w:t>6</w:t>
      </w:r>
      <w:r w:rsidR="007872C8">
        <w:rPr>
          <w:rFonts w:ascii="Arial" w:hAnsi="Arial" w:cs="Arial"/>
          <w:sz w:val="24"/>
          <w:szCs w:val="24"/>
        </w:rPr>
        <w:t xml:space="preserve"> </w:t>
      </w:r>
      <w:r w:rsidR="008352CA">
        <w:rPr>
          <w:rFonts w:ascii="Arial" w:hAnsi="Arial" w:cs="Arial"/>
          <w:sz w:val="24"/>
          <w:szCs w:val="24"/>
        </w:rPr>
        <w:t xml:space="preserve">of the Determination </w:t>
      </w:r>
      <w:r w:rsidR="007872C8">
        <w:rPr>
          <w:rFonts w:ascii="Arial" w:hAnsi="Arial" w:cs="Arial"/>
          <w:sz w:val="24"/>
          <w:szCs w:val="24"/>
        </w:rPr>
        <w:t>sets t</w:t>
      </w:r>
      <w:r w:rsidR="007B111B" w:rsidRPr="00F125C3">
        <w:rPr>
          <w:rFonts w:ascii="Arial" w:hAnsi="Arial" w:cs="Arial"/>
          <w:sz w:val="24"/>
          <w:szCs w:val="24"/>
        </w:rPr>
        <w:t xml:space="preserve">he fee payable </w:t>
      </w:r>
      <w:r w:rsidR="007872C8">
        <w:rPr>
          <w:rFonts w:ascii="Arial" w:hAnsi="Arial" w:cs="Arial"/>
          <w:sz w:val="24"/>
          <w:szCs w:val="24"/>
        </w:rPr>
        <w:t xml:space="preserve">for such a report, which </w:t>
      </w:r>
      <w:r w:rsidR="007B111B" w:rsidRPr="00F125C3">
        <w:rPr>
          <w:rFonts w:ascii="Arial" w:hAnsi="Arial" w:cs="Arial"/>
          <w:sz w:val="24"/>
          <w:szCs w:val="24"/>
        </w:rPr>
        <w:t>will depend on the length of time taken to prepare the report calculated on a per hour basis.</w:t>
      </w:r>
      <w:r w:rsidR="007872C8">
        <w:rPr>
          <w:rFonts w:ascii="Arial" w:hAnsi="Arial" w:cs="Arial"/>
          <w:sz w:val="24"/>
          <w:szCs w:val="24"/>
        </w:rPr>
        <w:t xml:space="preserve"> </w:t>
      </w:r>
      <w:r w:rsidR="00771854" w:rsidRPr="00F125C3">
        <w:rPr>
          <w:rFonts w:ascii="Arial" w:hAnsi="Arial" w:cs="Arial"/>
          <w:sz w:val="24"/>
          <w:szCs w:val="24"/>
        </w:rPr>
        <w:t xml:space="preserve">A report under section </w:t>
      </w:r>
      <w:r w:rsidR="00B57F1A">
        <w:rPr>
          <w:rFonts w:ascii="Arial" w:hAnsi="Arial" w:cs="Arial"/>
          <w:sz w:val="24"/>
          <w:szCs w:val="24"/>
        </w:rPr>
        <w:t>6</w:t>
      </w:r>
      <w:r w:rsidR="00771854" w:rsidRPr="00F125C3">
        <w:rPr>
          <w:rFonts w:ascii="Arial" w:hAnsi="Arial" w:cs="Arial"/>
          <w:sz w:val="24"/>
          <w:szCs w:val="24"/>
        </w:rPr>
        <w:t xml:space="preserve"> </w:t>
      </w:r>
      <w:r w:rsidR="007872C8">
        <w:rPr>
          <w:rFonts w:ascii="Arial" w:hAnsi="Arial" w:cs="Arial"/>
          <w:sz w:val="24"/>
          <w:szCs w:val="24"/>
        </w:rPr>
        <w:t>is</w:t>
      </w:r>
      <w:r w:rsidR="00771854" w:rsidRPr="00F125C3">
        <w:rPr>
          <w:rFonts w:ascii="Arial" w:hAnsi="Arial" w:cs="Arial"/>
          <w:sz w:val="24"/>
          <w:szCs w:val="24"/>
        </w:rPr>
        <w:t xml:space="preserve"> only available through the contact centre.</w:t>
      </w:r>
    </w:p>
    <w:p w14:paraId="3513ED9F" w14:textId="77777777" w:rsidR="00697A9E" w:rsidRDefault="00697A9E" w:rsidP="00394C3B">
      <w:pPr>
        <w:keepNext/>
        <w:rPr>
          <w:rFonts w:ascii="Arial" w:hAnsi="Arial" w:cs="Arial"/>
          <w:b/>
          <w:sz w:val="24"/>
          <w:szCs w:val="24"/>
        </w:rPr>
      </w:pPr>
      <w:r>
        <w:rPr>
          <w:rFonts w:ascii="Arial" w:hAnsi="Arial" w:cs="Arial"/>
          <w:b/>
          <w:sz w:val="24"/>
          <w:szCs w:val="24"/>
        </w:rPr>
        <w:lastRenderedPageBreak/>
        <w:t xml:space="preserve">Section </w:t>
      </w:r>
      <w:r w:rsidR="00E62A9D">
        <w:rPr>
          <w:rFonts w:ascii="Arial" w:hAnsi="Arial" w:cs="Arial"/>
          <w:b/>
          <w:sz w:val="24"/>
          <w:szCs w:val="24"/>
        </w:rPr>
        <w:t>7</w:t>
      </w:r>
      <w:r>
        <w:rPr>
          <w:rFonts w:ascii="Arial" w:hAnsi="Arial" w:cs="Arial"/>
          <w:b/>
          <w:sz w:val="24"/>
          <w:szCs w:val="24"/>
        </w:rPr>
        <w:t xml:space="preserve"> – Remitting fees</w:t>
      </w:r>
    </w:p>
    <w:p w14:paraId="588FC7A6" w14:textId="004319FF" w:rsidR="002B2430" w:rsidRDefault="00697A9E" w:rsidP="00394C3B">
      <w:pPr>
        <w:keepNext/>
        <w:rPr>
          <w:rFonts w:ascii="Arial" w:hAnsi="Arial" w:cs="Arial"/>
          <w:b/>
          <w:sz w:val="28"/>
          <w:szCs w:val="28"/>
        </w:rPr>
      </w:pPr>
      <w:r>
        <w:rPr>
          <w:rFonts w:ascii="Arial" w:hAnsi="Arial" w:cs="Arial"/>
          <w:sz w:val="24"/>
          <w:szCs w:val="24"/>
        </w:rPr>
        <w:t xml:space="preserve">Section </w:t>
      </w:r>
      <w:r w:rsidR="00916E48">
        <w:rPr>
          <w:rFonts w:ascii="Arial" w:hAnsi="Arial" w:cs="Arial"/>
          <w:sz w:val="24"/>
          <w:szCs w:val="24"/>
        </w:rPr>
        <w:t xml:space="preserve">7 </w:t>
      </w:r>
      <w:r>
        <w:rPr>
          <w:rFonts w:ascii="Arial" w:hAnsi="Arial" w:cs="Arial"/>
          <w:sz w:val="24"/>
          <w:szCs w:val="24"/>
        </w:rPr>
        <w:t xml:space="preserve">allows the Registrar to </w:t>
      </w:r>
      <w:r w:rsidR="007872C8">
        <w:rPr>
          <w:rFonts w:ascii="Arial" w:hAnsi="Arial" w:cs="Arial"/>
          <w:sz w:val="24"/>
          <w:szCs w:val="24"/>
        </w:rPr>
        <w:t xml:space="preserve">remit fees payable by </w:t>
      </w:r>
      <w:r w:rsidR="00772ED5">
        <w:rPr>
          <w:rFonts w:ascii="Arial" w:hAnsi="Arial" w:cs="Arial"/>
          <w:sz w:val="24"/>
          <w:szCs w:val="24"/>
        </w:rPr>
        <w:t>the</w:t>
      </w:r>
      <w:r>
        <w:rPr>
          <w:rFonts w:ascii="Arial" w:hAnsi="Arial" w:cs="Arial"/>
          <w:sz w:val="24"/>
          <w:szCs w:val="24"/>
        </w:rPr>
        <w:t xml:space="preserve"> Commonwealth or</w:t>
      </w:r>
      <w:r w:rsidR="00772ED5">
        <w:rPr>
          <w:rFonts w:ascii="Arial" w:hAnsi="Arial" w:cs="Arial"/>
          <w:sz w:val="24"/>
          <w:szCs w:val="24"/>
        </w:rPr>
        <w:t xml:space="preserve"> a</w:t>
      </w:r>
      <w:r>
        <w:rPr>
          <w:rFonts w:ascii="Arial" w:hAnsi="Arial" w:cs="Arial"/>
          <w:sz w:val="24"/>
          <w:szCs w:val="24"/>
        </w:rPr>
        <w:t xml:space="preserve"> State or Territory government under sections 4</w:t>
      </w:r>
      <w:r w:rsidR="00916E48">
        <w:rPr>
          <w:rFonts w:ascii="Arial" w:hAnsi="Arial" w:cs="Arial"/>
          <w:sz w:val="24"/>
          <w:szCs w:val="24"/>
        </w:rPr>
        <w:t>, 5</w:t>
      </w:r>
      <w:r>
        <w:rPr>
          <w:rFonts w:ascii="Arial" w:hAnsi="Arial" w:cs="Arial"/>
          <w:sz w:val="24"/>
          <w:szCs w:val="24"/>
        </w:rPr>
        <w:t xml:space="preserve"> or </w:t>
      </w:r>
      <w:r w:rsidR="00916E48">
        <w:rPr>
          <w:rFonts w:ascii="Arial" w:hAnsi="Arial" w:cs="Arial"/>
          <w:sz w:val="24"/>
          <w:szCs w:val="24"/>
        </w:rPr>
        <w:t>6</w:t>
      </w:r>
      <w:r>
        <w:rPr>
          <w:rFonts w:ascii="Arial" w:hAnsi="Arial" w:cs="Arial"/>
          <w:sz w:val="24"/>
          <w:szCs w:val="24"/>
        </w:rPr>
        <w:t xml:space="preserve">. This is consistent with </w:t>
      </w:r>
      <w:r w:rsidR="0086436C">
        <w:rPr>
          <w:rFonts w:ascii="Arial" w:hAnsi="Arial" w:cs="Arial"/>
          <w:sz w:val="24"/>
          <w:szCs w:val="24"/>
        </w:rPr>
        <w:t xml:space="preserve">the </w:t>
      </w:r>
      <w:r>
        <w:rPr>
          <w:rFonts w:ascii="Arial" w:hAnsi="Arial" w:cs="Arial"/>
          <w:sz w:val="24"/>
          <w:szCs w:val="24"/>
        </w:rPr>
        <w:t xml:space="preserve">cooperative arrangements set out in the </w:t>
      </w:r>
      <w:r w:rsidRPr="00394C3B">
        <w:rPr>
          <w:rFonts w:ascii="Arial" w:hAnsi="Arial" w:cs="Arial"/>
          <w:i/>
          <w:sz w:val="24"/>
          <w:szCs w:val="24"/>
        </w:rPr>
        <w:t>Personal Property Securities Law Agreement 2008</w:t>
      </w:r>
      <w:r w:rsidR="0086436C">
        <w:rPr>
          <w:rFonts w:ascii="Arial" w:hAnsi="Arial" w:cs="Arial"/>
          <w:sz w:val="24"/>
          <w:szCs w:val="24"/>
        </w:rPr>
        <w:t xml:space="preserve"> between the Commonwealth and the States and Territories</w:t>
      </w:r>
      <w:r>
        <w:rPr>
          <w:rFonts w:ascii="Arial" w:hAnsi="Arial" w:cs="Arial"/>
          <w:sz w:val="24"/>
          <w:szCs w:val="24"/>
        </w:rPr>
        <w:t xml:space="preserve">. </w:t>
      </w:r>
      <w:r w:rsidR="007872C8">
        <w:rPr>
          <w:rFonts w:ascii="Arial" w:hAnsi="Arial" w:cs="Arial"/>
          <w:sz w:val="24"/>
          <w:szCs w:val="24"/>
        </w:rPr>
        <w:t xml:space="preserve">Remission </w:t>
      </w:r>
      <w:r w:rsidR="0086436C">
        <w:rPr>
          <w:rFonts w:ascii="Arial" w:hAnsi="Arial" w:cs="Arial"/>
          <w:sz w:val="24"/>
          <w:szCs w:val="24"/>
        </w:rPr>
        <w:t xml:space="preserve">of fees </w:t>
      </w:r>
      <w:r w:rsidR="007872C8">
        <w:rPr>
          <w:rFonts w:ascii="Arial" w:hAnsi="Arial" w:cs="Arial"/>
          <w:sz w:val="24"/>
          <w:szCs w:val="24"/>
        </w:rPr>
        <w:t xml:space="preserve">payable by a government agency could </w:t>
      </w:r>
      <w:r w:rsidR="0086436C">
        <w:rPr>
          <w:rFonts w:ascii="Arial" w:hAnsi="Arial" w:cs="Arial"/>
          <w:sz w:val="24"/>
          <w:szCs w:val="24"/>
        </w:rPr>
        <w:t>occur</w:t>
      </w:r>
      <w:r w:rsidR="007872C8">
        <w:rPr>
          <w:rFonts w:ascii="Arial" w:hAnsi="Arial" w:cs="Arial"/>
          <w:sz w:val="24"/>
          <w:szCs w:val="24"/>
        </w:rPr>
        <w:t>, for example,</w:t>
      </w:r>
      <w:r w:rsidR="0086436C">
        <w:rPr>
          <w:rFonts w:ascii="Arial" w:hAnsi="Arial" w:cs="Arial"/>
          <w:sz w:val="24"/>
          <w:szCs w:val="24"/>
        </w:rPr>
        <w:t xml:space="preserve"> where a </w:t>
      </w:r>
      <w:r w:rsidR="00B2573F">
        <w:rPr>
          <w:rFonts w:ascii="Arial" w:hAnsi="Arial" w:cs="Arial"/>
          <w:sz w:val="24"/>
          <w:szCs w:val="24"/>
        </w:rPr>
        <w:t>government</w:t>
      </w:r>
      <w:r w:rsidR="0086436C">
        <w:rPr>
          <w:rFonts w:ascii="Arial" w:hAnsi="Arial" w:cs="Arial"/>
          <w:sz w:val="24"/>
          <w:szCs w:val="24"/>
        </w:rPr>
        <w:t xml:space="preserve"> agency register</w:t>
      </w:r>
      <w:r w:rsidR="007872C8">
        <w:rPr>
          <w:rFonts w:ascii="Arial" w:hAnsi="Arial" w:cs="Arial"/>
          <w:sz w:val="24"/>
          <w:szCs w:val="24"/>
        </w:rPr>
        <w:t>s</w:t>
      </w:r>
      <w:r w:rsidR="0086436C">
        <w:rPr>
          <w:rFonts w:ascii="Arial" w:hAnsi="Arial" w:cs="Arial"/>
          <w:sz w:val="24"/>
          <w:szCs w:val="24"/>
        </w:rPr>
        <w:t xml:space="preserve"> personal property that is the subject of a court order or proceeds of crime </w:t>
      </w:r>
      <w:r w:rsidR="007872C8">
        <w:rPr>
          <w:rFonts w:ascii="Arial" w:hAnsi="Arial" w:cs="Arial"/>
          <w:sz w:val="24"/>
          <w:szCs w:val="24"/>
        </w:rPr>
        <w:t>order under paragraph 148(c) of the Act</w:t>
      </w:r>
      <w:r w:rsidR="0086436C">
        <w:rPr>
          <w:rFonts w:ascii="Arial" w:hAnsi="Arial" w:cs="Arial"/>
          <w:sz w:val="24"/>
          <w:szCs w:val="24"/>
        </w:rPr>
        <w:t>.</w:t>
      </w:r>
    </w:p>
    <w:p w14:paraId="1EEB11CF" w14:textId="77777777" w:rsidR="007F3ADA" w:rsidRDefault="007F3ADA" w:rsidP="00394C3B">
      <w:pPr>
        <w:keepNext/>
        <w:rPr>
          <w:rFonts w:ascii="Arial" w:hAnsi="Arial" w:cs="Arial"/>
          <w:b/>
          <w:sz w:val="28"/>
          <w:szCs w:val="28"/>
        </w:rPr>
      </w:pPr>
      <w:r>
        <w:rPr>
          <w:rFonts w:ascii="Arial" w:hAnsi="Arial" w:cs="Arial"/>
          <w:b/>
          <w:sz w:val="28"/>
          <w:szCs w:val="28"/>
        </w:rPr>
        <w:t>Part 3</w:t>
      </w:r>
      <w:r>
        <w:rPr>
          <w:rFonts w:ascii="Arial" w:hAnsi="Arial" w:cs="Arial"/>
          <w:b/>
          <w:sz w:val="28"/>
          <w:szCs w:val="28"/>
        </w:rPr>
        <w:tab/>
        <w:t>Arrangements</w:t>
      </w:r>
    </w:p>
    <w:p w14:paraId="3B16F842" w14:textId="72057189" w:rsidR="007F3ADA" w:rsidRPr="007F3ADA" w:rsidRDefault="00F51A29" w:rsidP="000E02B4">
      <w:pPr>
        <w:rPr>
          <w:rFonts w:ascii="Arial" w:hAnsi="Arial" w:cs="Arial"/>
          <w:sz w:val="24"/>
          <w:szCs w:val="24"/>
        </w:rPr>
      </w:pPr>
      <w:r>
        <w:rPr>
          <w:rFonts w:ascii="Arial" w:hAnsi="Arial" w:cs="Arial"/>
          <w:sz w:val="24"/>
          <w:szCs w:val="24"/>
        </w:rPr>
        <w:t xml:space="preserve">In addition to determining the fees for the purposes of the Act, the Minister may also, </w:t>
      </w:r>
      <w:r w:rsidR="0016484B">
        <w:rPr>
          <w:rFonts w:ascii="Arial" w:hAnsi="Arial" w:cs="Arial"/>
          <w:sz w:val="24"/>
          <w:szCs w:val="24"/>
        </w:rPr>
        <w:t>pursuant to</w:t>
      </w:r>
      <w:r>
        <w:rPr>
          <w:rFonts w:ascii="Arial" w:hAnsi="Arial" w:cs="Arial"/>
          <w:sz w:val="24"/>
          <w:szCs w:val="24"/>
        </w:rPr>
        <w:t xml:space="preserve"> subs</w:t>
      </w:r>
      <w:r w:rsidR="007F3ADA" w:rsidRPr="007F3ADA">
        <w:rPr>
          <w:rFonts w:ascii="Arial" w:hAnsi="Arial" w:cs="Arial"/>
          <w:sz w:val="24"/>
          <w:szCs w:val="24"/>
        </w:rPr>
        <w:t>ection 190(</w:t>
      </w:r>
      <w:r>
        <w:rPr>
          <w:rFonts w:ascii="Arial" w:hAnsi="Arial" w:cs="Arial"/>
          <w:sz w:val="24"/>
          <w:szCs w:val="24"/>
        </w:rPr>
        <w:t>2</w:t>
      </w:r>
      <w:r w:rsidR="007F3ADA" w:rsidRPr="007F3ADA">
        <w:rPr>
          <w:rFonts w:ascii="Arial" w:hAnsi="Arial" w:cs="Arial"/>
          <w:sz w:val="24"/>
          <w:szCs w:val="24"/>
        </w:rPr>
        <w:t xml:space="preserve">) </w:t>
      </w:r>
      <w:r w:rsidR="007F3ADA">
        <w:rPr>
          <w:rFonts w:ascii="Arial" w:hAnsi="Arial" w:cs="Arial"/>
          <w:sz w:val="24"/>
          <w:szCs w:val="24"/>
        </w:rPr>
        <w:t>of the Act</w:t>
      </w:r>
      <w:r w:rsidR="000610B7">
        <w:rPr>
          <w:rFonts w:ascii="Arial" w:hAnsi="Arial" w:cs="Arial"/>
          <w:sz w:val="24"/>
          <w:szCs w:val="24"/>
        </w:rPr>
        <w:t>,</w:t>
      </w:r>
      <w:r w:rsidR="00900F29">
        <w:rPr>
          <w:rFonts w:ascii="Arial" w:hAnsi="Arial" w:cs="Arial"/>
          <w:sz w:val="24"/>
          <w:szCs w:val="24"/>
        </w:rPr>
        <w:t xml:space="preserve"> </w:t>
      </w:r>
      <w:r w:rsidR="004C400C">
        <w:rPr>
          <w:rFonts w:ascii="Arial" w:hAnsi="Arial" w:cs="Arial"/>
          <w:sz w:val="24"/>
          <w:szCs w:val="24"/>
        </w:rPr>
        <w:t xml:space="preserve">determine the kinds of arrangements that may be approved by the Registrar under subsection 190(4). If an arrangement for the payment of fees is approved by the Registrar, the requirement to pay the fee under the relevant section is taken to be satisfied. For example, </w:t>
      </w:r>
      <w:r w:rsidR="000610B7">
        <w:rPr>
          <w:rFonts w:ascii="Arial" w:hAnsi="Arial" w:cs="Arial"/>
          <w:sz w:val="24"/>
          <w:szCs w:val="24"/>
        </w:rPr>
        <w:t xml:space="preserve">under subsection 150(3) the Registrar will only register a financing statement if, among other things, the fee has been paid. </w:t>
      </w:r>
      <w:r w:rsidR="00B16BE1">
        <w:rPr>
          <w:rFonts w:ascii="Arial" w:hAnsi="Arial" w:cs="Arial"/>
          <w:sz w:val="24"/>
          <w:szCs w:val="24"/>
        </w:rPr>
        <w:t>If an arrangement for the payment of fees by a person has been approved by the Registrar, that person may pay the fee at a later time</w:t>
      </w:r>
      <w:r w:rsidR="004D571E">
        <w:rPr>
          <w:rFonts w:ascii="Arial" w:hAnsi="Arial" w:cs="Arial"/>
          <w:sz w:val="24"/>
          <w:szCs w:val="24"/>
        </w:rPr>
        <w:t>, in accordance with t</w:t>
      </w:r>
      <w:r w:rsidR="0016484B">
        <w:rPr>
          <w:rFonts w:ascii="Arial" w:hAnsi="Arial" w:cs="Arial"/>
          <w:sz w:val="24"/>
          <w:szCs w:val="24"/>
        </w:rPr>
        <w:t>h</w:t>
      </w:r>
      <w:r w:rsidR="004D571E">
        <w:rPr>
          <w:rFonts w:ascii="Arial" w:hAnsi="Arial" w:cs="Arial"/>
          <w:sz w:val="24"/>
          <w:szCs w:val="24"/>
        </w:rPr>
        <w:t>e</w:t>
      </w:r>
      <w:r w:rsidR="0016484B">
        <w:rPr>
          <w:rFonts w:ascii="Arial" w:hAnsi="Arial" w:cs="Arial"/>
          <w:sz w:val="24"/>
          <w:szCs w:val="24"/>
        </w:rPr>
        <w:t xml:space="preserve"> arrangement,</w:t>
      </w:r>
      <w:r w:rsidR="00B16BE1">
        <w:rPr>
          <w:rFonts w:ascii="Arial" w:hAnsi="Arial" w:cs="Arial"/>
          <w:sz w:val="24"/>
          <w:szCs w:val="24"/>
        </w:rPr>
        <w:t xml:space="preserve"> but will be treated as having satisfied the requirement to pay the fee at the time the application to register the financing statement was made.  </w:t>
      </w:r>
    </w:p>
    <w:p w14:paraId="7B3ECF72" w14:textId="77777777" w:rsidR="00636F6D" w:rsidRDefault="007F3ADA" w:rsidP="000F225A">
      <w:pPr>
        <w:keepNext/>
        <w:rPr>
          <w:rFonts w:ascii="Arial" w:hAnsi="Arial" w:cs="Arial"/>
          <w:b/>
          <w:sz w:val="24"/>
          <w:szCs w:val="24"/>
        </w:rPr>
      </w:pPr>
      <w:r>
        <w:rPr>
          <w:rFonts w:ascii="Arial" w:hAnsi="Arial" w:cs="Arial"/>
          <w:b/>
          <w:sz w:val="24"/>
          <w:szCs w:val="24"/>
        </w:rPr>
        <w:t xml:space="preserve">Section </w:t>
      </w:r>
      <w:r w:rsidR="00E62A9D">
        <w:rPr>
          <w:rFonts w:ascii="Arial" w:hAnsi="Arial" w:cs="Arial"/>
          <w:b/>
          <w:sz w:val="24"/>
          <w:szCs w:val="24"/>
        </w:rPr>
        <w:t xml:space="preserve">8 </w:t>
      </w:r>
      <w:r>
        <w:rPr>
          <w:rFonts w:ascii="Arial" w:hAnsi="Arial" w:cs="Arial"/>
          <w:b/>
          <w:sz w:val="24"/>
          <w:szCs w:val="24"/>
        </w:rPr>
        <w:t xml:space="preserve">– Arrangement for monthly payment in arrears </w:t>
      </w:r>
    </w:p>
    <w:p w14:paraId="33A92F97" w14:textId="77777777" w:rsidR="00CC5410" w:rsidRDefault="0016484B" w:rsidP="000E02B4">
      <w:pPr>
        <w:rPr>
          <w:rFonts w:ascii="Arial" w:hAnsi="Arial" w:cs="Arial"/>
          <w:sz w:val="24"/>
          <w:szCs w:val="24"/>
        </w:rPr>
      </w:pPr>
      <w:r>
        <w:rPr>
          <w:rFonts w:ascii="Arial" w:hAnsi="Arial" w:cs="Arial"/>
          <w:sz w:val="24"/>
          <w:szCs w:val="24"/>
        </w:rPr>
        <w:t xml:space="preserve">Section </w:t>
      </w:r>
      <w:r w:rsidR="00497A90">
        <w:rPr>
          <w:rFonts w:ascii="Arial" w:hAnsi="Arial" w:cs="Arial"/>
          <w:sz w:val="24"/>
          <w:szCs w:val="24"/>
        </w:rPr>
        <w:t xml:space="preserve">8 </w:t>
      </w:r>
      <w:r>
        <w:rPr>
          <w:rFonts w:ascii="Arial" w:hAnsi="Arial" w:cs="Arial"/>
          <w:sz w:val="24"/>
          <w:szCs w:val="24"/>
        </w:rPr>
        <w:t xml:space="preserve">provides that the Registrar may </w:t>
      </w:r>
      <w:r w:rsidR="004D571E">
        <w:rPr>
          <w:rFonts w:ascii="Arial" w:hAnsi="Arial" w:cs="Arial"/>
          <w:sz w:val="24"/>
          <w:szCs w:val="24"/>
        </w:rPr>
        <w:t xml:space="preserve">approve a credit arrangement by which a person may pay for transactions conducted in </w:t>
      </w:r>
      <w:r w:rsidR="00763D04">
        <w:rPr>
          <w:rFonts w:ascii="Arial" w:hAnsi="Arial" w:cs="Arial"/>
          <w:sz w:val="24"/>
          <w:szCs w:val="24"/>
        </w:rPr>
        <w:t xml:space="preserve">the course of a month in arrears on the receipt of a </w:t>
      </w:r>
      <w:r w:rsidR="00890E2C">
        <w:rPr>
          <w:rFonts w:ascii="Arial" w:hAnsi="Arial" w:cs="Arial"/>
          <w:sz w:val="24"/>
          <w:szCs w:val="24"/>
        </w:rPr>
        <w:t>monthly statement</w:t>
      </w:r>
      <w:r w:rsidR="00BE6D54">
        <w:rPr>
          <w:rFonts w:ascii="Arial" w:hAnsi="Arial" w:cs="Arial"/>
          <w:sz w:val="24"/>
          <w:szCs w:val="24"/>
        </w:rPr>
        <w:t xml:space="preserve">. </w:t>
      </w:r>
      <w:r w:rsidR="00763D04">
        <w:rPr>
          <w:rFonts w:ascii="Arial" w:hAnsi="Arial" w:cs="Arial"/>
          <w:sz w:val="24"/>
          <w:szCs w:val="24"/>
        </w:rPr>
        <w:t xml:space="preserve">The Registrar may approve a credit limit as part of the arrangement. </w:t>
      </w:r>
    </w:p>
    <w:p w14:paraId="7C939256" w14:textId="77777777" w:rsidR="00CC5410" w:rsidRDefault="00CC5410" w:rsidP="000E02B4">
      <w:pPr>
        <w:rPr>
          <w:rFonts w:ascii="Arial" w:hAnsi="Arial" w:cs="Arial"/>
          <w:sz w:val="24"/>
          <w:szCs w:val="24"/>
        </w:rPr>
      </w:pPr>
      <w:r>
        <w:rPr>
          <w:rFonts w:ascii="Arial" w:hAnsi="Arial" w:cs="Arial"/>
          <w:b/>
          <w:sz w:val="24"/>
          <w:szCs w:val="24"/>
        </w:rPr>
        <w:t xml:space="preserve">Section </w:t>
      </w:r>
      <w:r w:rsidR="00E62A9D">
        <w:rPr>
          <w:rFonts w:ascii="Arial" w:hAnsi="Arial" w:cs="Arial"/>
          <w:b/>
          <w:sz w:val="24"/>
          <w:szCs w:val="24"/>
        </w:rPr>
        <w:t xml:space="preserve">9 </w:t>
      </w:r>
      <w:r>
        <w:rPr>
          <w:rFonts w:ascii="Arial" w:hAnsi="Arial" w:cs="Arial"/>
          <w:b/>
          <w:sz w:val="24"/>
          <w:szCs w:val="24"/>
        </w:rPr>
        <w:t>– Arrangement for payment for reports</w:t>
      </w:r>
    </w:p>
    <w:p w14:paraId="4461EF51" w14:textId="77777777" w:rsidR="001304E1" w:rsidRDefault="00CC5410" w:rsidP="007E64EB">
      <w:pPr>
        <w:rPr>
          <w:rFonts w:ascii="Arial" w:hAnsi="Arial" w:cs="Arial"/>
          <w:b/>
          <w:bCs/>
          <w:sz w:val="24"/>
          <w:szCs w:val="24"/>
        </w:rPr>
      </w:pPr>
      <w:r>
        <w:rPr>
          <w:rFonts w:ascii="Arial" w:hAnsi="Arial" w:cs="Arial"/>
          <w:sz w:val="24"/>
          <w:szCs w:val="24"/>
        </w:rPr>
        <w:t xml:space="preserve">As the fee under section </w:t>
      </w:r>
      <w:r w:rsidR="00916E48">
        <w:rPr>
          <w:rFonts w:ascii="Arial" w:hAnsi="Arial" w:cs="Arial"/>
          <w:sz w:val="24"/>
          <w:szCs w:val="24"/>
        </w:rPr>
        <w:t xml:space="preserve">6 </w:t>
      </w:r>
      <w:r>
        <w:rPr>
          <w:rFonts w:ascii="Arial" w:hAnsi="Arial" w:cs="Arial"/>
          <w:sz w:val="24"/>
          <w:szCs w:val="24"/>
        </w:rPr>
        <w:t xml:space="preserve">of </w:t>
      </w:r>
      <w:r w:rsidR="00C43871">
        <w:rPr>
          <w:rFonts w:ascii="Arial" w:hAnsi="Arial" w:cs="Arial"/>
          <w:sz w:val="24"/>
          <w:szCs w:val="24"/>
        </w:rPr>
        <w:t>the Determination</w:t>
      </w:r>
      <w:r>
        <w:rPr>
          <w:rFonts w:ascii="Arial" w:hAnsi="Arial" w:cs="Arial"/>
          <w:sz w:val="24"/>
          <w:szCs w:val="24"/>
        </w:rPr>
        <w:t xml:space="preserve"> is only calculable once the report has been prepared, this section provides that </w:t>
      </w:r>
      <w:r w:rsidR="00DD2924">
        <w:rPr>
          <w:rFonts w:ascii="Arial" w:hAnsi="Arial" w:cs="Arial"/>
          <w:sz w:val="24"/>
          <w:szCs w:val="24"/>
        </w:rPr>
        <w:t xml:space="preserve">an arrangement may be approved so that </w:t>
      </w:r>
      <w:r>
        <w:rPr>
          <w:rFonts w:ascii="Arial" w:hAnsi="Arial" w:cs="Arial"/>
          <w:sz w:val="24"/>
          <w:szCs w:val="24"/>
        </w:rPr>
        <w:t>the fee does not become payable until a</w:t>
      </w:r>
      <w:r w:rsidR="00E57211">
        <w:rPr>
          <w:rFonts w:ascii="Arial" w:hAnsi="Arial" w:cs="Arial"/>
          <w:sz w:val="24"/>
          <w:szCs w:val="24"/>
        </w:rPr>
        <w:t>n</w:t>
      </w:r>
      <w:r w:rsidR="00900F29">
        <w:rPr>
          <w:rFonts w:ascii="Arial" w:hAnsi="Arial" w:cs="Arial"/>
          <w:sz w:val="24"/>
          <w:szCs w:val="24"/>
        </w:rPr>
        <w:t xml:space="preserve"> </w:t>
      </w:r>
      <w:r w:rsidRPr="00E57211">
        <w:rPr>
          <w:rFonts w:ascii="Arial" w:hAnsi="Arial" w:cs="Arial"/>
          <w:sz w:val="24"/>
          <w:szCs w:val="24"/>
        </w:rPr>
        <w:t>invoice</w:t>
      </w:r>
      <w:r>
        <w:rPr>
          <w:rFonts w:ascii="Arial" w:hAnsi="Arial" w:cs="Arial"/>
          <w:sz w:val="24"/>
          <w:szCs w:val="24"/>
        </w:rPr>
        <w:t xml:space="preserve"> has been </w:t>
      </w:r>
      <w:r w:rsidR="00541A25">
        <w:rPr>
          <w:rFonts w:ascii="Arial" w:hAnsi="Arial" w:cs="Arial"/>
          <w:sz w:val="24"/>
          <w:szCs w:val="24"/>
        </w:rPr>
        <w:t>received by</w:t>
      </w:r>
      <w:r>
        <w:rPr>
          <w:rFonts w:ascii="Arial" w:hAnsi="Arial" w:cs="Arial"/>
          <w:sz w:val="24"/>
          <w:szCs w:val="24"/>
        </w:rPr>
        <w:t xml:space="preserve"> the applicant. </w:t>
      </w:r>
    </w:p>
    <w:p w14:paraId="7C26DCD9" w14:textId="77777777" w:rsidR="007E64EB" w:rsidRPr="007E64EB" w:rsidRDefault="007E64EB" w:rsidP="007E64EB">
      <w:pPr>
        <w:rPr>
          <w:rFonts w:ascii="Arial" w:hAnsi="Arial" w:cs="Arial"/>
          <w:sz w:val="24"/>
          <w:szCs w:val="24"/>
        </w:rPr>
      </w:pPr>
      <w:r w:rsidRPr="007E64EB">
        <w:rPr>
          <w:rFonts w:ascii="Arial" w:hAnsi="Arial" w:cs="Arial"/>
          <w:b/>
          <w:bCs/>
          <w:sz w:val="24"/>
          <w:szCs w:val="24"/>
        </w:rPr>
        <w:t>Consultation</w:t>
      </w:r>
    </w:p>
    <w:p w14:paraId="79F37CA5" w14:textId="5BE23CBA" w:rsidR="00AB4A81" w:rsidRDefault="00F312D8" w:rsidP="007E64EB">
      <w:pPr>
        <w:rPr>
          <w:rFonts w:ascii="Arial" w:eastAsia="Times New Roman" w:hAnsi="Arial" w:cs="Arial"/>
          <w:sz w:val="24"/>
          <w:szCs w:val="24"/>
          <w:lang w:eastAsia="en-AU"/>
        </w:rPr>
      </w:pPr>
      <w:r w:rsidRPr="000F225A">
        <w:rPr>
          <w:rFonts w:ascii="Arial" w:eastAsia="Times New Roman" w:hAnsi="Arial" w:cs="Arial"/>
          <w:sz w:val="24"/>
          <w:szCs w:val="24"/>
          <w:lang w:eastAsia="en-AU"/>
        </w:rPr>
        <w:t xml:space="preserve">A formal </w:t>
      </w:r>
      <w:r w:rsidR="00935BEA">
        <w:rPr>
          <w:rFonts w:ascii="Arial" w:eastAsia="Times New Roman" w:hAnsi="Arial" w:cs="Arial"/>
          <w:sz w:val="24"/>
          <w:szCs w:val="24"/>
          <w:lang w:eastAsia="en-AU"/>
        </w:rPr>
        <w:t xml:space="preserve">public </w:t>
      </w:r>
      <w:r w:rsidRPr="000F225A">
        <w:rPr>
          <w:rFonts w:ascii="Arial" w:eastAsia="Times New Roman" w:hAnsi="Arial" w:cs="Arial"/>
          <w:sz w:val="24"/>
          <w:szCs w:val="24"/>
          <w:lang w:eastAsia="en-AU"/>
        </w:rPr>
        <w:t xml:space="preserve">consultation process was undertaken involving the Department of Finance and </w:t>
      </w:r>
      <w:r w:rsidR="00772ED5">
        <w:rPr>
          <w:rFonts w:ascii="Arial" w:eastAsia="Times New Roman" w:hAnsi="Arial" w:cs="Arial"/>
          <w:sz w:val="24"/>
          <w:szCs w:val="24"/>
          <w:lang w:eastAsia="en-AU"/>
        </w:rPr>
        <w:t xml:space="preserve">external </w:t>
      </w:r>
      <w:r w:rsidR="007872C8">
        <w:rPr>
          <w:rFonts w:ascii="Arial" w:eastAsia="Times New Roman" w:hAnsi="Arial" w:cs="Arial"/>
          <w:sz w:val="24"/>
          <w:szCs w:val="24"/>
          <w:lang w:eastAsia="en-AU"/>
        </w:rPr>
        <w:t>stakeholder</w:t>
      </w:r>
      <w:r w:rsidR="00772ED5">
        <w:rPr>
          <w:rFonts w:ascii="Arial" w:eastAsia="Times New Roman" w:hAnsi="Arial" w:cs="Arial"/>
          <w:sz w:val="24"/>
          <w:szCs w:val="24"/>
          <w:lang w:eastAsia="en-AU"/>
        </w:rPr>
        <w:t xml:space="preserve"> groups</w:t>
      </w:r>
      <w:r w:rsidRPr="000F225A">
        <w:rPr>
          <w:rFonts w:ascii="Arial" w:eastAsia="Times New Roman" w:hAnsi="Arial" w:cs="Arial"/>
          <w:sz w:val="24"/>
          <w:szCs w:val="24"/>
          <w:lang w:eastAsia="en-AU"/>
        </w:rPr>
        <w:t xml:space="preserve"> in developing the </w:t>
      </w:r>
      <w:r w:rsidRPr="000F225A">
        <w:rPr>
          <w:rFonts w:ascii="Arial" w:hAnsi="Arial" w:cs="Arial"/>
          <w:color w:val="000000"/>
          <w:sz w:val="24"/>
          <w:szCs w:val="24"/>
        </w:rPr>
        <w:t>CRIS upon which this Determination is based.</w:t>
      </w:r>
      <w:r w:rsidR="00BE6D54">
        <w:rPr>
          <w:rFonts w:ascii="Arial" w:hAnsi="Arial" w:cs="Arial"/>
          <w:color w:val="000000"/>
          <w:sz w:val="24"/>
          <w:szCs w:val="24"/>
        </w:rPr>
        <w:t xml:space="preserve"> </w:t>
      </w:r>
      <w:r w:rsidRPr="000F225A">
        <w:rPr>
          <w:rFonts w:ascii="Arial" w:eastAsia="Times New Roman" w:hAnsi="Arial" w:cs="Arial"/>
          <w:sz w:val="24"/>
          <w:szCs w:val="24"/>
          <w:lang w:eastAsia="en-AU"/>
        </w:rPr>
        <w:t xml:space="preserve">The formal consultation period for the </w:t>
      </w:r>
      <w:r w:rsidR="00833815">
        <w:rPr>
          <w:rFonts w:ascii="Arial" w:eastAsia="Times New Roman" w:hAnsi="Arial" w:cs="Arial"/>
          <w:sz w:val="24"/>
          <w:szCs w:val="24"/>
          <w:lang w:eastAsia="en-AU"/>
        </w:rPr>
        <w:t xml:space="preserve">PPSR </w:t>
      </w:r>
      <w:r w:rsidRPr="000F225A">
        <w:rPr>
          <w:rFonts w:ascii="Arial" w:eastAsia="Times New Roman" w:hAnsi="Arial" w:cs="Arial"/>
          <w:sz w:val="24"/>
          <w:szCs w:val="24"/>
          <w:lang w:eastAsia="en-AU"/>
        </w:rPr>
        <w:t xml:space="preserve">CRIS </w:t>
      </w:r>
      <w:r w:rsidR="00AB4A81">
        <w:rPr>
          <w:rFonts w:ascii="Arial" w:eastAsia="Times New Roman" w:hAnsi="Arial" w:cs="Arial"/>
          <w:sz w:val="24"/>
          <w:szCs w:val="24"/>
          <w:lang w:eastAsia="en-AU"/>
        </w:rPr>
        <w:t>occurred between 1</w:t>
      </w:r>
      <w:r w:rsidR="001D36E5">
        <w:rPr>
          <w:rFonts w:ascii="Arial" w:eastAsia="Times New Roman" w:hAnsi="Arial" w:cs="Arial"/>
          <w:sz w:val="24"/>
          <w:szCs w:val="24"/>
          <w:lang w:eastAsia="en-AU"/>
        </w:rPr>
        <w:t>1</w:t>
      </w:r>
      <w:r w:rsidR="00AB4A81">
        <w:rPr>
          <w:rFonts w:ascii="Arial" w:eastAsia="Times New Roman" w:hAnsi="Arial" w:cs="Arial"/>
          <w:sz w:val="24"/>
          <w:szCs w:val="24"/>
          <w:lang w:eastAsia="en-AU"/>
        </w:rPr>
        <w:t xml:space="preserve"> </w:t>
      </w:r>
      <w:r w:rsidR="001D36E5">
        <w:rPr>
          <w:rFonts w:ascii="Arial" w:eastAsia="Times New Roman" w:hAnsi="Arial" w:cs="Arial"/>
          <w:sz w:val="24"/>
          <w:szCs w:val="24"/>
          <w:lang w:eastAsia="en-AU"/>
        </w:rPr>
        <w:t>April</w:t>
      </w:r>
      <w:r w:rsidR="00AB4A81">
        <w:rPr>
          <w:rFonts w:ascii="Arial" w:eastAsia="Times New Roman" w:hAnsi="Arial" w:cs="Arial"/>
          <w:sz w:val="24"/>
          <w:szCs w:val="24"/>
          <w:lang w:eastAsia="en-AU"/>
        </w:rPr>
        <w:t xml:space="preserve"> and</w:t>
      </w:r>
      <w:r w:rsidRPr="000F225A">
        <w:rPr>
          <w:rFonts w:ascii="Arial" w:eastAsia="Times New Roman" w:hAnsi="Arial" w:cs="Arial"/>
          <w:sz w:val="24"/>
          <w:szCs w:val="24"/>
          <w:lang w:eastAsia="en-AU"/>
        </w:rPr>
        <w:t xml:space="preserve"> </w:t>
      </w:r>
      <w:r w:rsidR="00727391">
        <w:rPr>
          <w:rFonts w:ascii="Arial" w:eastAsia="Times New Roman" w:hAnsi="Arial" w:cs="Arial"/>
          <w:sz w:val="24"/>
          <w:szCs w:val="24"/>
          <w:lang w:eastAsia="en-AU"/>
        </w:rPr>
        <w:t>4 </w:t>
      </w:r>
      <w:r w:rsidR="001D36E5">
        <w:rPr>
          <w:rFonts w:ascii="Arial" w:eastAsia="Times New Roman" w:hAnsi="Arial" w:cs="Arial"/>
          <w:sz w:val="24"/>
          <w:szCs w:val="24"/>
          <w:lang w:eastAsia="en-AU"/>
        </w:rPr>
        <w:t>May</w:t>
      </w:r>
      <w:r w:rsidR="003B176A">
        <w:rPr>
          <w:rFonts w:ascii="Arial" w:eastAsia="Times New Roman" w:hAnsi="Arial" w:cs="Arial"/>
          <w:sz w:val="24"/>
          <w:szCs w:val="24"/>
          <w:lang w:eastAsia="en-AU"/>
        </w:rPr>
        <w:t xml:space="preserve"> 201</w:t>
      </w:r>
      <w:r w:rsidR="001D36E5">
        <w:rPr>
          <w:rFonts w:ascii="Arial" w:eastAsia="Times New Roman" w:hAnsi="Arial" w:cs="Arial"/>
          <w:sz w:val="24"/>
          <w:szCs w:val="24"/>
          <w:lang w:eastAsia="en-AU"/>
        </w:rPr>
        <w:t>8</w:t>
      </w:r>
      <w:r w:rsidRPr="000F225A">
        <w:rPr>
          <w:rFonts w:ascii="Arial" w:eastAsia="Times New Roman" w:hAnsi="Arial" w:cs="Arial"/>
          <w:sz w:val="24"/>
          <w:szCs w:val="24"/>
          <w:lang w:eastAsia="en-AU"/>
        </w:rPr>
        <w:t xml:space="preserve">. </w:t>
      </w:r>
      <w:r w:rsidR="003B176A">
        <w:rPr>
          <w:rFonts w:ascii="Arial" w:eastAsia="Times New Roman" w:hAnsi="Arial" w:cs="Arial"/>
          <w:sz w:val="24"/>
          <w:szCs w:val="24"/>
          <w:lang w:eastAsia="en-AU"/>
        </w:rPr>
        <w:t>I</w:t>
      </w:r>
      <w:r w:rsidRPr="000F225A">
        <w:rPr>
          <w:rFonts w:ascii="Arial" w:eastAsia="Times New Roman" w:hAnsi="Arial" w:cs="Arial"/>
          <w:sz w:val="24"/>
          <w:szCs w:val="24"/>
          <w:lang w:eastAsia="en-AU"/>
        </w:rPr>
        <w:t xml:space="preserve">ssues raised by stakeholders during the consultation period were </w:t>
      </w:r>
      <w:r w:rsidR="00772ED5">
        <w:rPr>
          <w:rFonts w:ascii="Arial" w:eastAsia="Times New Roman" w:hAnsi="Arial" w:cs="Arial"/>
          <w:sz w:val="24"/>
          <w:szCs w:val="24"/>
          <w:lang w:eastAsia="en-AU"/>
        </w:rPr>
        <w:t>considered</w:t>
      </w:r>
      <w:r w:rsidR="00772ED5" w:rsidRPr="000F225A">
        <w:rPr>
          <w:rFonts w:ascii="Arial" w:eastAsia="Times New Roman" w:hAnsi="Arial" w:cs="Arial"/>
          <w:sz w:val="24"/>
          <w:szCs w:val="24"/>
          <w:lang w:eastAsia="en-AU"/>
        </w:rPr>
        <w:t xml:space="preserve"> </w:t>
      </w:r>
      <w:r w:rsidRPr="000F225A">
        <w:rPr>
          <w:rFonts w:ascii="Arial" w:eastAsia="Times New Roman" w:hAnsi="Arial" w:cs="Arial"/>
          <w:sz w:val="24"/>
          <w:szCs w:val="24"/>
          <w:lang w:eastAsia="en-AU"/>
        </w:rPr>
        <w:t xml:space="preserve">in finalising the </w:t>
      </w:r>
      <w:r w:rsidR="006F3DDE">
        <w:rPr>
          <w:rFonts w:ascii="Arial" w:eastAsia="Times New Roman" w:hAnsi="Arial" w:cs="Arial"/>
          <w:sz w:val="24"/>
          <w:szCs w:val="24"/>
          <w:lang w:eastAsia="en-AU"/>
        </w:rPr>
        <w:t xml:space="preserve">PPSR </w:t>
      </w:r>
      <w:r w:rsidRPr="000F225A">
        <w:rPr>
          <w:rFonts w:ascii="Arial" w:eastAsia="Times New Roman" w:hAnsi="Arial" w:cs="Arial"/>
          <w:sz w:val="24"/>
          <w:szCs w:val="24"/>
          <w:lang w:eastAsia="en-AU"/>
        </w:rPr>
        <w:t>CRIS.</w:t>
      </w:r>
    </w:p>
    <w:p w14:paraId="0D01C40D" w14:textId="7B57270C" w:rsidR="00AB4A81" w:rsidRDefault="00AB4A81" w:rsidP="007E64EB">
      <w:pPr>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In </w:t>
      </w:r>
      <w:r w:rsidR="001304E1">
        <w:rPr>
          <w:rFonts w:ascii="Arial" w:eastAsia="Times New Roman" w:hAnsi="Arial" w:cs="Arial"/>
          <w:sz w:val="24"/>
          <w:szCs w:val="24"/>
          <w:lang w:eastAsia="en-AU"/>
        </w:rPr>
        <w:t xml:space="preserve">raising awareness of the </w:t>
      </w:r>
      <w:r>
        <w:rPr>
          <w:rFonts w:ascii="Arial" w:eastAsia="Times New Roman" w:hAnsi="Arial" w:cs="Arial"/>
          <w:sz w:val="24"/>
          <w:szCs w:val="24"/>
          <w:lang w:eastAsia="en-AU"/>
        </w:rPr>
        <w:t>consultation</w:t>
      </w:r>
      <w:r w:rsidR="001304E1">
        <w:rPr>
          <w:rFonts w:ascii="Arial" w:eastAsia="Times New Roman" w:hAnsi="Arial" w:cs="Arial"/>
          <w:sz w:val="24"/>
          <w:szCs w:val="24"/>
          <w:lang w:eastAsia="en-AU"/>
        </w:rPr>
        <w:t xml:space="preserve"> of the </w:t>
      </w:r>
      <w:r w:rsidR="00833815">
        <w:rPr>
          <w:rFonts w:ascii="Arial" w:eastAsia="Times New Roman" w:hAnsi="Arial" w:cs="Arial"/>
          <w:sz w:val="24"/>
          <w:szCs w:val="24"/>
          <w:lang w:eastAsia="en-AU"/>
        </w:rPr>
        <w:t xml:space="preserve">PPSR </w:t>
      </w:r>
      <w:r w:rsidR="001304E1">
        <w:rPr>
          <w:rFonts w:ascii="Arial" w:eastAsia="Times New Roman" w:hAnsi="Arial" w:cs="Arial"/>
          <w:sz w:val="24"/>
          <w:szCs w:val="24"/>
          <w:lang w:eastAsia="en-AU"/>
        </w:rPr>
        <w:t>CRIS</w:t>
      </w:r>
      <w:r>
        <w:rPr>
          <w:rFonts w:ascii="Arial" w:eastAsia="Times New Roman" w:hAnsi="Arial" w:cs="Arial"/>
          <w:sz w:val="24"/>
          <w:szCs w:val="24"/>
          <w:lang w:eastAsia="en-AU"/>
        </w:rPr>
        <w:t xml:space="preserve">, </w:t>
      </w:r>
      <w:r w:rsidR="009C332F">
        <w:rPr>
          <w:rFonts w:ascii="Arial" w:hAnsi="Arial" w:cs="Arial"/>
          <w:sz w:val="24"/>
          <w:szCs w:val="24"/>
        </w:rPr>
        <w:t>the Australian Financial Security Authority (</w:t>
      </w:r>
      <w:r>
        <w:rPr>
          <w:rFonts w:ascii="Arial" w:eastAsia="Times New Roman" w:hAnsi="Arial" w:cs="Arial"/>
          <w:sz w:val="24"/>
          <w:szCs w:val="24"/>
          <w:lang w:eastAsia="en-AU"/>
        </w:rPr>
        <w:t>AFSA</w:t>
      </w:r>
      <w:r w:rsidR="009C332F">
        <w:rPr>
          <w:rFonts w:ascii="Arial" w:eastAsia="Times New Roman" w:hAnsi="Arial" w:cs="Arial"/>
          <w:sz w:val="24"/>
          <w:szCs w:val="24"/>
          <w:lang w:eastAsia="en-AU"/>
        </w:rPr>
        <w:t>)</w:t>
      </w:r>
      <w:r>
        <w:rPr>
          <w:rFonts w:ascii="Arial" w:eastAsia="Times New Roman" w:hAnsi="Arial" w:cs="Arial"/>
          <w:sz w:val="24"/>
          <w:szCs w:val="24"/>
          <w:lang w:eastAsia="en-AU"/>
        </w:rPr>
        <w:t>:</w:t>
      </w:r>
    </w:p>
    <w:p w14:paraId="17CACED0" w14:textId="264ECCD4" w:rsidR="00716790" w:rsidRDefault="00AB4A81" w:rsidP="00BE6D54">
      <w:pPr>
        <w:pStyle w:val="ListParagraph"/>
        <w:numPr>
          <w:ilvl w:val="0"/>
          <w:numId w:val="2"/>
        </w:numPr>
        <w:rPr>
          <w:rFonts w:ascii="Arial" w:eastAsia="Times New Roman" w:hAnsi="Arial" w:cs="Arial"/>
          <w:sz w:val="24"/>
          <w:szCs w:val="24"/>
          <w:lang w:eastAsia="en-AU"/>
        </w:rPr>
      </w:pPr>
      <w:r>
        <w:rPr>
          <w:rFonts w:ascii="Arial" w:eastAsia="Times New Roman" w:hAnsi="Arial" w:cs="Arial"/>
          <w:sz w:val="24"/>
          <w:szCs w:val="24"/>
          <w:lang w:eastAsia="en-AU"/>
        </w:rPr>
        <w:t xml:space="preserve">published the draft </w:t>
      </w:r>
      <w:r w:rsidR="00833815">
        <w:rPr>
          <w:rFonts w:ascii="Arial" w:eastAsia="Times New Roman" w:hAnsi="Arial" w:cs="Arial"/>
          <w:sz w:val="24"/>
          <w:szCs w:val="24"/>
          <w:lang w:eastAsia="en-AU"/>
        </w:rPr>
        <w:t xml:space="preserve">PPSR </w:t>
      </w:r>
      <w:r>
        <w:rPr>
          <w:rFonts w:ascii="Arial" w:eastAsia="Times New Roman" w:hAnsi="Arial" w:cs="Arial"/>
          <w:sz w:val="24"/>
          <w:szCs w:val="24"/>
          <w:lang w:eastAsia="en-AU"/>
        </w:rPr>
        <w:t>CRIS on the PPSR website (</w:t>
      </w:r>
      <w:hyperlink r:id="rId9" w:history="1">
        <w:r w:rsidRPr="00DD5517">
          <w:rPr>
            <w:rStyle w:val="Hyperlink"/>
            <w:rFonts w:ascii="Arial" w:eastAsia="Times New Roman" w:hAnsi="Arial" w:cs="Arial"/>
            <w:sz w:val="24"/>
            <w:szCs w:val="24"/>
            <w:lang w:eastAsia="en-AU"/>
          </w:rPr>
          <w:t>www.ppsr.gov.au</w:t>
        </w:r>
      </w:hyperlink>
      <w:r>
        <w:rPr>
          <w:rFonts w:ascii="Arial" w:eastAsia="Times New Roman" w:hAnsi="Arial" w:cs="Arial"/>
          <w:sz w:val="24"/>
          <w:szCs w:val="24"/>
          <w:lang w:eastAsia="en-AU"/>
        </w:rPr>
        <w:t>)</w:t>
      </w:r>
    </w:p>
    <w:p w14:paraId="5A6CBBDB" w14:textId="38149E75" w:rsidR="00716790" w:rsidRDefault="00AB4A81" w:rsidP="00BE6D54">
      <w:pPr>
        <w:pStyle w:val="ListParagraph"/>
        <w:numPr>
          <w:ilvl w:val="0"/>
          <w:numId w:val="2"/>
        </w:numPr>
        <w:rPr>
          <w:rFonts w:ascii="Arial" w:eastAsia="Times New Roman" w:hAnsi="Arial" w:cs="Arial"/>
          <w:sz w:val="24"/>
          <w:szCs w:val="24"/>
          <w:lang w:eastAsia="en-AU"/>
        </w:rPr>
      </w:pPr>
      <w:r>
        <w:rPr>
          <w:rFonts w:ascii="Arial" w:eastAsia="Times New Roman" w:hAnsi="Arial" w:cs="Arial"/>
          <w:sz w:val="24"/>
          <w:szCs w:val="24"/>
          <w:lang w:eastAsia="en-AU"/>
        </w:rPr>
        <w:t xml:space="preserve">publicised the draft </w:t>
      </w:r>
      <w:r w:rsidR="00833815">
        <w:rPr>
          <w:rFonts w:ascii="Arial" w:eastAsia="Times New Roman" w:hAnsi="Arial" w:cs="Arial"/>
          <w:sz w:val="24"/>
          <w:szCs w:val="24"/>
          <w:lang w:eastAsia="en-AU"/>
        </w:rPr>
        <w:t xml:space="preserve">PPSR </w:t>
      </w:r>
      <w:r>
        <w:rPr>
          <w:rFonts w:ascii="Arial" w:eastAsia="Times New Roman" w:hAnsi="Arial" w:cs="Arial"/>
          <w:sz w:val="24"/>
          <w:szCs w:val="24"/>
          <w:lang w:eastAsia="en-AU"/>
        </w:rPr>
        <w:t xml:space="preserve">CRIS in PPSR News, which is a blog with almost </w:t>
      </w:r>
      <w:r w:rsidRPr="00AC5EF2">
        <w:rPr>
          <w:rFonts w:ascii="Arial" w:eastAsia="Times New Roman" w:hAnsi="Arial" w:cs="Arial"/>
          <w:sz w:val="24"/>
          <w:szCs w:val="24"/>
          <w:lang w:eastAsia="en-AU"/>
        </w:rPr>
        <w:t>5000</w:t>
      </w:r>
      <w:r>
        <w:rPr>
          <w:rFonts w:ascii="Arial" w:eastAsia="Times New Roman" w:hAnsi="Arial" w:cs="Arial"/>
          <w:sz w:val="24"/>
          <w:szCs w:val="24"/>
          <w:lang w:eastAsia="en-AU"/>
        </w:rPr>
        <w:t xml:space="preserve"> subscribers</w:t>
      </w:r>
      <w:r w:rsidR="00772ED5">
        <w:rPr>
          <w:rFonts w:ascii="Arial" w:eastAsia="Times New Roman" w:hAnsi="Arial" w:cs="Arial"/>
          <w:sz w:val="24"/>
          <w:szCs w:val="24"/>
          <w:lang w:eastAsia="en-AU"/>
        </w:rPr>
        <w:t>,</w:t>
      </w:r>
      <w:r>
        <w:rPr>
          <w:rFonts w:ascii="Arial" w:eastAsia="Times New Roman" w:hAnsi="Arial" w:cs="Arial"/>
          <w:sz w:val="24"/>
          <w:szCs w:val="24"/>
          <w:lang w:eastAsia="en-AU"/>
        </w:rPr>
        <w:t xml:space="preserve"> and</w:t>
      </w:r>
    </w:p>
    <w:p w14:paraId="186FA68A" w14:textId="49989288" w:rsidR="00716790" w:rsidRPr="00BE6D54" w:rsidRDefault="00AB4A81" w:rsidP="00BE6D54">
      <w:pPr>
        <w:pStyle w:val="ListParagraph"/>
        <w:numPr>
          <w:ilvl w:val="0"/>
          <w:numId w:val="2"/>
        </w:numPr>
        <w:rPr>
          <w:rFonts w:ascii="Arial" w:eastAsia="Times New Roman" w:hAnsi="Arial" w:cs="Arial"/>
          <w:sz w:val="24"/>
          <w:szCs w:val="24"/>
          <w:lang w:eastAsia="en-AU"/>
        </w:rPr>
      </w:pPr>
      <w:proofErr w:type="gramStart"/>
      <w:r>
        <w:rPr>
          <w:rFonts w:ascii="Arial" w:eastAsia="Times New Roman" w:hAnsi="Arial" w:cs="Arial"/>
          <w:sz w:val="24"/>
          <w:szCs w:val="24"/>
          <w:lang w:eastAsia="en-AU"/>
        </w:rPr>
        <w:t>publicised</w:t>
      </w:r>
      <w:proofErr w:type="gramEnd"/>
      <w:r>
        <w:rPr>
          <w:rFonts w:ascii="Arial" w:eastAsia="Times New Roman" w:hAnsi="Arial" w:cs="Arial"/>
          <w:sz w:val="24"/>
          <w:szCs w:val="24"/>
          <w:lang w:eastAsia="en-AU"/>
        </w:rPr>
        <w:t xml:space="preserve"> the draft </w:t>
      </w:r>
      <w:r w:rsidR="00833815">
        <w:rPr>
          <w:rFonts w:ascii="Arial" w:eastAsia="Times New Roman" w:hAnsi="Arial" w:cs="Arial"/>
          <w:sz w:val="24"/>
          <w:szCs w:val="24"/>
          <w:lang w:eastAsia="en-AU"/>
        </w:rPr>
        <w:t xml:space="preserve">PPSR </w:t>
      </w:r>
      <w:r>
        <w:rPr>
          <w:rFonts w:ascii="Arial" w:eastAsia="Times New Roman" w:hAnsi="Arial" w:cs="Arial"/>
          <w:sz w:val="24"/>
          <w:szCs w:val="24"/>
          <w:lang w:eastAsia="en-AU"/>
        </w:rPr>
        <w:t xml:space="preserve">CRIS through an e-mail to AFSA’s broad stakeholder mailing list, which includes over </w:t>
      </w:r>
      <w:r w:rsidRPr="00AC5EF2">
        <w:rPr>
          <w:rFonts w:ascii="Arial" w:eastAsia="Times New Roman" w:hAnsi="Arial" w:cs="Arial"/>
          <w:sz w:val="24"/>
          <w:szCs w:val="24"/>
          <w:lang w:eastAsia="en-AU"/>
        </w:rPr>
        <w:t>1300</w:t>
      </w:r>
      <w:r>
        <w:rPr>
          <w:rFonts w:ascii="Arial" w:eastAsia="Times New Roman" w:hAnsi="Arial" w:cs="Arial"/>
          <w:sz w:val="24"/>
          <w:szCs w:val="24"/>
          <w:lang w:eastAsia="en-AU"/>
        </w:rPr>
        <w:t xml:space="preserve"> stakeholders representing practitioners, financial counsellors and other interested parties.</w:t>
      </w:r>
    </w:p>
    <w:p w14:paraId="2786D9FF" w14:textId="5D8D3327" w:rsidR="00EF6C37" w:rsidRPr="00EF6C37" w:rsidRDefault="00C95EB3" w:rsidP="004C4667">
      <w:pPr>
        <w:rPr>
          <w:rFonts w:ascii="Arial" w:eastAsia="Times New Roman" w:hAnsi="Arial" w:cs="Arial"/>
          <w:sz w:val="24"/>
          <w:szCs w:val="24"/>
          <w:lang w:eastAsia="en-AU"/>
        </w:rPr>
      </w:pPr>
      <w:r>
        <w:rPr>
          <w:rFonts w:ascii="Arial" w:eastAsia="Times New Roman" w:hAnsi="Arial" w:cs="Arial"/>
          <w:sz w:val="24"/>
          <w:szCs w:val="24"/>
          <w:lang w:eastAsia="en-AU"/>
        </w:rPr>
        <w:t xml:space="preserve">AFSA received </w:t>
      </w:r>
      <w:r w:rsidR="00FF6077">
        <w:rPr>
          <w:rFonts w:ascii="Arial" w:eastAsia="Times New Roman" w:hAnsi="Arial" w:cs="Arial"/>
          <w:sz w:val="24"/>
          <w:szCs w:val="24"/>
          <w:lang w:eastAsia="en-AU"/>
        </w:rPr>
        <w:t>no significant expressions of concern</w:t>
      </w:r>
      <w:r>
        <w:rPr>
          <w:rFonts w:ascii="Arial" w:eastAsia="Times New Roman" w:hAnsi="Arial" w:cs="Arial"/>
          <w:sz w:val="24"/>
          <w:szCs w:val="24"/>
          <w:lang w:eastAsia="en-AU"/>
        </w:rPr>
        <w:t xml:space="preserve"> thr</w:t>
      </w:r>
      <w:r w:rsidR="0042129C">
        <w:rPr>
          <w:rFonts w:ascii="Arial" w:eastAsia="Times New Roman" w:hAnsi="Arial" w:cs="Arial"/>
          <w:sz w:val="24"/>
          <w:szCs w:val="24"/>
          <w:lang w:eastAsia="en-AU"/>
        </w:rPr>
        <w:t>oughout the consultation period.</w:t>
      </w:r>
      <w:r>
        <w:rPr>
          <w:rFonts w:ascii="Arial" w:eastAsia="Times New Roman" w:hAnsi="Arial" w:cs="Arial"/>
          <w:sz w:val="24"/>
          <w:szCs w:val="24"/>
          <w:lang w:eastAsia="en-AU"/>
        </w:rPr>
        <w:t xml:space="preserve"> </w:t>
      </w:r>
      <w:r w:rsidR="0042129C">
        <w:rPr>
          <w:rFonts w:ascii="Arial" w:eastAsia="Times New Roman" w:hAnsi="Arial" w:cs="Arial"/>
          <w:sz w:val="24"/>
          <w:szCs w:val="24"/>
          <w:lang w:eastAsia="en-AU"/>
        </w:rPr>
        <w:t>The feedback included</w:t>
      </w:r>
      <w:r>
        <w:rPr>
          <w:rFonts w:ascii="Arial" w:eastAsia="Times New Roman" w:hAnsi="Arial" w:cs="Arial"/>
          <w:sz w:val="24"/>
          <w:szCs w:val="24"/>
          <w:lang w:eastAsia="en-AU"/>
        </w:rPr>
        <w:t xml:space="preserve"> confirmations from several industry bodies</w:t>
      </w:r>
      <w:r w:rsidR="00FF6077">
        <w:rPr>
          <w:rFonts w:ascii="Arial" w:eastAsia="Times New Roman" w:hAnsi="Arial" w:cs="Arial"/>
          <w:sz w:val="24"/>
          <w:szCs w:val="24"/>
          <w:lang w:eastAsia="en-AU"/>
        </w:rPr>
        <w:t xml:space="preserve"> that they had no </w:t>
      </w:r>
      <w:r w:rsidR="00C5252C">
        <w:rPr>
          <w:rFonts w:ascii="Arial" w:eastAsia="Times New Roman" w:hAnsi="Arial" w:cs="Arial"/>
          <w:sz w:val="24"/>
          <w:szCs w:val="24"/>
          <w:lang w:eastAsia="en-AU"/>
        </w:rPr>
        <w:t xml:space="preserve">adverse </w:t>
      </w:r>
      <w:r w:rsidR="00FF6077">
        <w:rPr>
          <w:rFonts w:ascii="Arial" w:eastAsia="Times New Roman" w:hAnsi="Arial" w:cs="Arial"/>
          <w:sz w:val="24"/>
          <w:szCs w:val="24"/>
          <w:lang w:eastAsia="en-AU"/>
        </w:rPr>
        <w:t>comments</w:t>
      </w:r>
      <w:r>
        <w:rPr>
          <w:rFonts w:ascii="Arial" w:eastAsia="Times New Roman" w:hAnsi="Arial" w:cs="Arial"/>
          <w:sz w:val="24"/>
          <w:szCs w:val="24"/>
          <w:lang w:eastAsia="en-AU"/>
        </w:rPr>
        <w:t>.</w:t>
      </w:r>
      <w:r w:rsidR="00EF6C37">
        <w:rPr>
          <w:rFonts w:ascii="Arial" w:eastAsia="Times New Roman" w:hAnsi="Arial" w:cs="Arial"/>
          <w:sz w:val="24"/>
          <w:szCs w:val="24"/>
          <w:lang w:eastAsia="en-AU"/>
        </w:rPr>
        <w:t xml:space="preserve">  </w:t>
      </w:r>
    </w:p>
    <w:p w14:paraId="1E5B2670" w14:textId="05163D08" w:rsidR="00134DEC" w:rsidRDefault="009C332F" w:rsidP="007E64EB">
      <w:pPr>
        <w:rPr>
          <w:rFonts w:ascii="Arial" w:hAnsi="Arial" w:cs="Arial"/>
          <w:b/>
          <w:bCs/>
          <w:sz w:val="24"/>
          <w:szCs w:val="24"/>
        </w:rPr>
      </w:pPr>
      <w:r>
        <w:rPr>
          <w:rFonts w:ascii="Arial" w:hAnsi="Arial" w:cs="Arial"/>
          <w:sz w:val="24"/>
          <w:szCs w:val="24"/>
        </w:rPr>
        <w:t>AFSA</w:t>
      </w:r>
      <w:r w:rsidR="00B046C7">
        <w:rPr>
          <w:rFonts w:ascii="Arial" w:hAnsi="Arial" w:cs="Arial"/>
          <w:sz w:val="24"/>
          <w:szCs w:val="24"/>
        </w:rPr>
        <w:t xml:space="preserve"> also consulted with members of the </w:t>
      </w:r>
      <w:r w:rsidR="00B046C7" w:rsidRPr="00DA51BD">
        <w:rPr>
          <w:rFonts w:ascii="Arial" w:hAnsi="Arial" w:cs="Arial"/>
          <w:sz w:val="24"/>
          <w:szCs w:val="24"/>
        </w:rPr>
        <w:t>Personal Property Securities Stakeholder Forum and</w:t>
      </w:r>
      <w:r>
        <w:rPr>
          <w:rFonts w:ascii="Arial" w:hAnsi="Arial" w:cs="Arial"/>
          <w:sz w:val="24"/>
          <w:szCs w:val="24"/>
        </w:rPr>
        <w:t xml:space="preserve"> the</w:t>
      </w:r>
      <w:r w:rsidR="00B046C7" w:rsidRPr="00DA51BD">
        <w:rPr>
          <w:rFonts w:ascii="Arial" w:hAnsi="Arial" w:cs="Arial"/>
          <w:sz w:val="24"/>
          <w:szCs w:val="24"/>
        </w:rPr>
        <w:t xml:space="preserve"> Personal Property Securities Operations Forum at a joint meeting. </w:t>
      </w:r>
      <w:r w:rsidR="006F3DDE">
        <w:rPr>
          <w:rFonts w:ascii="Arial" w:hAnsi="Arial" w:cs="Arial"/>
          <w:sz w:val="24"/>
          <w:szCs w:val="24"/>
        </w:rPr>
        <w:t xml:space="preserve">This </w:t>
      </w:r>
      <w:r w:rsidR="00675872">
        <w:rPr>
          <w:rFonts w:ascii="Arial" w:hAnsi="Arial" w:cs="Arial"/>
          <w:sz w:val="24"/>
          <w:szCs w:val="24"/>
        </w:rPr>
        <w:t>meeting</w:t>
      </w:r>
      <w:r w:rsidR="00062001">
        <w:rPr>
          <w:rFonts w:ascii="Arial" w:hAnsi="Arial" w:cs="Arial"/>
          <w:sz w:val="24"/>
          <w:szCs w:val="24"/>
        </w:rPr>
        <w:t xml:space="preserve"> </w:t>
      </w:r>
      <w:r w:rsidR="006F3DDE">
        <w:rPr>
          <w:rFonts w:ascii="Arial" w:hAnsi="Arial" w:cs="Arial"/>
          <w:sz w:val="24"/>
          <w:szCs w:val="24"/>
        </w:rPr>
        <w:t xml:space="preserve">is </w:t>
      </w:r>
      <w:r w:rsidR="00B046C7">
        <w:rPr>
          <w:rFonts w:ascii="Arial" w:hAnsi="Arial" w:cs="Arial"/>
          <w:sz w:val="24"/>
          <w:szCs w:val="24"/>
        </w:rPr>
        <w:t>made up of representatives from a wide variety of Australian peak industry bodies and national associations with an interest in the PPS</w:t>
      </w:r>
      <w:r>
        <w:rPr>
          <w:rFonts w:ascii="Arial" w:hAnsi="Arial" w:cs="Arial"/>
          <w:sz w:val="24"/>
          <w:szCs w:val="24"/>
        </w:rPr>
        <w:t>R</w:t>
      </w:r>
      <w:r w:rsidR="00B046C7">
        <w:rPr>
          <w:rFonts w:ascii="Arial" w:hAnsi="Arial" w:cs="Arial"/>
          <w:sz w:val="24"/>
          <w:szCs w:val="24"/>
        </w:rPr>
        <w:t>.</w:t>
      </w:r>
      <w:r w:rsidR="00675872">
        <w:rPr>
          <w:rFonts w:ascii="Arial" w:hAnsi="Arial" w:cs="Arial"/>
          <w:sz w:val="24"/>
          <w:szCs w:val="24"/>
        </w:rPr>
        <w:t xml:space="preserve"> No major areas of concern were raised by any of the stakeholders.</w:t>
      </w:r>
      <w:r w:rsidR="00B046C7">
        <w:rPr>
          <w:rFonts w:ascii="Arial" w:hAnsi="Arial" w:cs="Arial"/>
          <w:sz w:val="24"/>
          <w:szCs w:val="24"/>
        </w:rPr>
        <w:t> </w:t>
      </w:r>
    </w:p>
    <w:p w14:paraId="2157B071" w14:textId="77777777" w:rsidR="007E64EB" w:rsidRPr="007E64EB" w:rsidRDefault="007E64EB" w:rsidP="007E64EB">
      <w:pPr>
        <w:rPr>
          <w:rFonts w:ascii="Arial" w:hAnsi="Arial" w:cs="Arial"/>
          <w:sz w:val="24"/>
          <w:szCs w:val="24"/>
        </w:rPr>
      </w:pPr>
      <w:r w:rsidRPr="007E64EB">
        <w:rPr>
          <w:rFonts w:ascii="Arial" w:hAnsi="Arial" w:cs="Arial"/>
          <w:b/>
          <w:bCs/>
          <w:sz w:val="24"/>
          <w:szCs w:val="24"/>
        </w:rPr>
        <w:t>Regulatory Impact Analysis</w:t>
      </w:r>
    </w:p>
    <w:p w14:paraId="3C18AFC0" w14:textId="77777777" w:rsidR="003B176A" w:rsidRDefault="003B176A" w:rsidP="003B176A">
      <w:pPr>
        <w:rPr>
          <w:rFonts w:ascii="Arial" w:hAnsi="Arial" w:cs="Arial"/>
          <w:sz w:val="24"/>
          <w:szCs w:val="24"/>
        </w:rPr>
      </w:pPr>
      <w:bookmarkStart w:id="3" w:name="OLE_LINK1"/>
      <w:bookmarkStart w:id="4" w:name="OLE_LINK2"/>
      <w:r>
        <w:rPr>
          <w:rFonts w:ascii="Arial" w:hAnsi="Arial" w:cs="Arial"/>
          <w:sz w:val="24"/>
          <w:szCs w:val="24"/>
        </w:rPr>
        <w:t xml:space="preserve">The Determination has been assessed against </w:t>
      </w:r>
      <w:r>
        <w:rPr>
          <w:rFonts w:ascii="Arial" w:hAnsi="Arial" w:cs="Arial"/>
          <w:i/>
          <w:sz w:val="24"/>
          <w:szCs w:val="24"/>
        </w:rPr>
        <w:t>The Australian Government Guide to Regulation</w:t>
      </w:r>
      <w:r>
        <w:rPr>
          <w:rFonts w:ascii="Arial" w:hAnsi="Arial" w:cs="Arial"/>
          <w:sz w:val="24"/>
          <w:szCs w:val="24"/>
        </w:rPr>
        <w:t xml:space="preserve"> as not requiring the production of </w:t>
      </w:r>
      <w:r w:rsidRPr="00940C8F">
        <w:rPr>
          <w:rFonts w:ascii="Arial" w:hAnsi="Arial" w:cs="Arial"/>
          <w:sz w:val="24"/>
          <w:szCs w:val="24"/>
        </w:rPr>
        <w:t>a regulat</w:t>
      </w:r>
      <w:r>
        <w:rPr>
          <w:rFonts w:ascii="Arial" w:hAnsi="Arial" w:cs="Arial"/>
          <w:sz w:val="24"/>
          <w:szCs w:val="24"/>
        </w:rPr>
        <w:t>ion</w:t>
      </w:r>
      <w:r w:rsidRPr="00940C8F">
        <w:rPr>
          <w:rFonts w:ascii="Arial" w:hAnsi="Arial" w:cs="Arial"/>
          <w:sz w:val="24"/>
          <w:szCs w:val="24"/>
        </w:rPr>
        <w:t xml:space="preserve"> impact statement.</w:t>
      </w:r>
    </w:p>
    <w:bookmarkEnd w:id="3"/>
    <w:bookmarkEnd w:id="4"/>
    <w:p w14:paraId="1A1B2448" w14:textId="77777777" w:rsidR="00380996" w:rsidRPr="00380996" w:rsidRDefault="00380996" w:rsidP="00380996">
      <w:pPr>
        <w:rPr>
          <w:rFonts w:ascii="Arial" w:hAnsi="Arial" w:cs="Arial"/>
          <w:sz w:val="24"/>
          <w:szCs w:val="24"/>
        </w:rPr>
      </w:pPr>
      <w:r w:rsidRPr="00380996">
        <w:rPr>
          <w:rFonts w:ascii="Arial" w:hAnsi="Arial" w:cs="Arial"/>
          <w:b/>
          <w:bCs/>
          <w:sz w:val="24"/>
          <w:szCs w:val="24"/>
        </w:rPr>
        <w:t xml:space="preserve">Statement of compatibility prepared in accordance with Part 3 of the </w:t>
      </w:r>
      <w:r w:rsidRPr="009E0B71">
        <w:rPr>
          <w:rFonts w:ascii="Arial" w:hAnsi="Arial" w:cs="Arial"/>
          <w:b/>
          <w:bCs/>
          <w:i/>
          <w:sz w:val="24"/>
          <w:szCs w:val="24"/>
        </w:rPr>
        <w:t>Human Rights (Parliamentary Scrutiny)</w:t>
      </w:r>
      <w:r w:rsidRPr="009E0B71">
        <w:rPr>
          <w:rFonts w:ascii="Arial" w:hAnsi="Arial" w:cs="Arial"/>
          <w:b/>
          <w:i/>
          <w:sz w:val="24"/>
          <w:szCs w:val="24"/>
        </w:rPr>
        <w:t xml:space="preserve"> Act 2011</w:t>
      </w:r>
    </w:p>
    <w:p w14:paraId="6858CCDE" w14:textId="55DFA782" w:rsidR="00727391" w:rsidRPr="00394C3B" w:rsidRDefault="00380996" w:rsidP="00380996">
      <w:pPr>
        <w:rPr>
          <w:rFonts w:ascii="Arial" w:hAnsi="Arial" w:cs="Arial"/>
          <w:sz w:val="24"/>
          <w:szCs w:val="24"/>
        </w:rPr>
      </w:pPr>
      <w:r w:rsidRPr="00380996">
        <w:rPr>
          <w:rFonts w:ascii="Arial" w:hAnsi="Arial" w:cs="Arial"/>
          <w:sz w:val="24"/>
          <w:szCs w:val="24"/>
        </w:rPr>
        <w:t xml:space="preserve">A Statement of compatibility prepared in accordance with Part 3 of the </w:t>
      </w:r>
      <w:r w:rsidR="00BE6D54">
        <w:rPr>
          <w:rFonts w:ascii="Arial" w:hAnsi="Arial" w:cs="Arial"/>
          <w:i/>
          <w:sz w:val="24"/>
          <w:szCs w:val="24"/>
        </w:rPr>
        <w:t>Human Rights </w:t>
      </w:r>
      <w:r w:rsidRPr="00380996">
        <w:rPr>
          <w:rFonts w:ascii="Arial" w:hAnsi="Arial" w:cs="Arial"/>
          <w:i/>
          <w:sz w:val="24"/>
          <w:szCs w:val="24"/>
        </w:rPr>
        <w:t>(Parliamentary Scrutiny) Act 2011</w:t>
      </w:r>
      <w:r w:rsidRPr="00380996">
        <w:rPr>
          <w:rFonts w:ascii="Arial" w:hAnsi="Arial" w:cs="Arial"/>
          <w:sz w:val="24"/>
          <w:szCs w:val="24"/>
        </w:rPr>
        <w:t xml:space="preserve"> is provided at </w:t>
      </w:r>
      <w:r w:rsidRPr="009E0B71">
        <w:rPr>
          <w:rFonts w:ascii="Arial" w:hAnsi="Arial" w:cs="Arial"/>
          <w:b/>
          <w:sz w:val="24"/>
          <w:szCs w:val="24"/>
        </w:rPr>
        <w:t>Attachment A</w:t>
      </w:r>
      <w:r w:rsidRPr="00380996">
        <w:rPr>
          <w:rFonts w:ascii="Arial" w:hAnsi="Arial" w:cs="Arial"/>
          <w:sz w:val="24"/>
          <w:szCs w:val="24"/>
        </w:rPr>
        <w:t xml:space="preserve"> to this Explanatory Statement.</w:t>
      </w:r>
    </w:p>
    <w:p w14:paraId="7D1681FA" w14:textId="740AE087" w:rsidR="00F45103" w:rsidRDefault="00F45103">
      <w:pPr>
        <w:spacing w:after="0" w:line="240" w:lineRule="auto"/>
        <w:rPr>
          <w:rFonts w:ascii="Arial" w:hAnsi="Arial" w:cs="Arial"/>
          <w:b/>
          <w:sz w:val="24"/>
          <w:szCs w:val="24"/>
        </w:rPr>
      </w:pPr>
    </w:p>
    <w:p w14:paraId="54A8BF51" w14:textId="7130ED8F" w:rsidR="00380996" w:rsidRPr="009E0B71" w:rsidRDefault="00380996" w:rsidP="00F45103">
      <w:pPr>
        <w:rPr>
          <w:rFonts w:ascii="Arial" w:hAnsi="Arial" w:cs="Arial"/>
          <w:b/>
          <w:sz w:val="24"/>
          <w:szCs w:val="24"/>
        </w:rPr>
      </w:pPr>
      <w:r w:rsidRPr="009E0B71">
        <w:rPr>
          <w:rFonts w:ascii="Arial" w:hAnsi="Arial" w:cs="Arial"/>
          <w:b/>
          <w:sz w:val="24"/>
          <w:szCs w:val="24"/>
        </w:rPr>
        <w:t>Attachment A</w:t>
      </w:r>
    </w:p>
    <w:p w14:paraId="68C059D2" w14:textId="77777777" w:rsidR="00380996" w:rsidRPr="00380996" w:rsidRDefault="00380996" w:rsidP="00380996">
      <w:pPr>
        <w:jc w:val="center"/>
        <w:rPr>
          <w:rFonts w:ascii="Arial" w:hAnsi="Arial" w:cs="Arial"/>
          <w:b/>
          <w:sz w:val="24"/>
          <w:szCs w:val="24"/>
        </w:rPr>
      </w:pPr>
      <w:r w:rsidRPr="00380996">
        <w:rPr>
          <w:rFonts w:ascii="Arial" w:hAnsi="Arial" w:cs="Arial"/>
          <w:b/>
          <w:sz w:val="24"/>
          <w:szCs w:val="24"/>
        </w:rPr>
        <w:t>Statement of Compatibility with Human Rights</w:t>
      </w:r>
    </w:p>
    <w:p w14:paraId="3642AD7F" w14:textId="77777777" w:rsidR="00380996" w:rsidRPr="00380996" w:rsidRDefault="00380996" w:rsidP="00380996">
      <w:pPr>
        <w:rPr>
          <w:rFonts w:ascii="Arial" w:hAnsi="Arial" w:cs="Arial"/>
          <w:sz w:val="24"/>
          <w:szCs w:val="24"/>
        </w:rPr>
      </w:pPr>
      <w:r w:rsidRPr="00380996">
        <w:rPr>
          <w:rFonts w:ascii="Arial" w:hAnsi="Arial" w:cs="Arial"/>
          <w:i/>
          <w:sz w:val="24"/>
          <w:szCs w:val="24"/>
        </w:rPr>
        <w:t>Prepared in accordance with Part 3 of the Human Rights (Parliamentary Scrutiny)</w:t>
      </w:r>
      <w:r>
        <w:rPr>
          <w:rFonts w:ascii="Arial" w:hAnsi="Arial" w:cs="Arial"/>
          <w:i/>
          <w:sz w:val="24"/>
          <w:szCs w:val="24"/>
        </w:rPr>
        <w:t> </w:t>
      </w:r>
      <w:r w:rsidRPr="00380996">
        <w:rPr>
          <w:rFonts w:ascii="Arial" w:hAnsi="Arial" w:cs="Arial"/>
          <w:i/>
          <w:sz w:val="24"/>
          <w:szCs w:val="24"/>
        </w:rPr>
        <w:t>Act 2011</w:t>
      </w:r>
    </w:p>
    <w:p w14:paraId="3706C3AB" w14:textId="1F143ED3" w:rsidR="00380996" w:rsidRPr="00380996" w:rsidRDefault="00380996" w:rsidP="00380996">
      <w:pPr>
        <w:jc w:val="center"/>
        <w:rPr>
          <w:rFonts w:ascii="Arial" w:hAnsi="Arial" w:cs="Arial"/>
          <w:b/>
          <w:sz w:val="24"/>
          <w:szCs w:val="24"/>
        </w:rPr>
      </w:pPr>
      <w:r w:rsidRPr="00380996">
        <w:rPr>
          <w:rFonts w:ascii="Arial" w:hAnsi="Arial" w:cs="Arial"/>
          <w:b/>
          <w:sz w:val="24"/>
          <w:szCs w:val="24"/>
        </w:rPr>
        <w:t>Personal Property Securities (Fees) Determination 201</w:t>
      </w:r>
      <w:r w:rsidR="00AC24DD">
        <w:rPr>
          <w:rFonts w:ascii="Arial" w:hAnsi="Arial" w:cs="Arial"/>
          <w:b/>
          <w:sz w:val="24"/>
          <w:szCs w:val="24"/>
        </w:rPr>
        <w:t>8</w:t>
      </w:r>
    </w:p>
    <w:p w14:paraId="198D4B7E" w14:textId="75B77799" w:rsidR="00380996" w:rsidRPr="00380996" w:rsidRDefault="00380996" w:rsidP="00380996">
      <w:pPr>
        <w:rPr>
          <w:rFonts w:ascii="Arial" w:hAnsi="Arial" w:cs="Arial"/>
          <w:sz w:val="24"/>
          <w:szCs w:val="24"/>
        </w:rPr>
      </w:pPr>
      <w:r w:rsidRPr="00380996">
        <w:rPr>
          <w:rFonts w:ascii="Arial" w:hAnsi="Arial" w:cs="Arial"/>
          <w:sz w:val="24"/>
          <w:szCs w:val="24"/>
        </w:rPr>
        <w:t xml:space="preserve">This </w:t>
      </w:r>
      <w:r w:rsidR="009C332F">
        <w:rPr>
          <w:rFonts w:ascii="Arial" w:hAnsi="Arial" w:cs="Arial"/>
          <w:sz w:val="24"/>
          <w:szCs w:val="24"/>
        </w:rPr>
        <w:t xml:space="preserve">Disallowable </w:t>
      </w:r>
      <w:r w:rsidRPr="00380996">
        <w:rPr>
          <w:rFonts w:ascii="Arial" w:hAnsi="Arial" w:cs="Arial"/>
          <w:sz w:val="24"/>
          <w:szCs w:val="24"/>
        </w:rPr>
        <w:t xml:space="preserve">Legislative Instrument is compatible with the human rights and freedoms recognised or declared in the international instruments listed in section 3 of the </w:t>
      </w:r>
      <w:r w:rsidRPr="00380996">
        <w:rPr>
          <w:rFonts w:ascii="Arial" w:hAnsi="Arial" w:cs="Arial"/>
          <w:i/>
          <w:sz w:val="24"/>
          <w:szCs w:val="24"/>
        </w:rPr>
        <w:t>Human Rights (Parliamentary Scrutiny) Act 2011</w:t>
      </w:r>
      <w:r w:rsidRPr="00380996">
        <w:rPr>
          <w:rFonts w:ascii="Arial" w:hAnsi="Arial" w:cs="Arial"/>
          <w:sz w:val="24"/>
          <w:szCs w:val="24"/>
        </w:rPr>
        <w:t>.</w:t>
      </w:r>
    </w:p>
    <w:p w14:paraId="5C95E87A" w14:textId="77777777" w:rsidR="00380996" w:rsidRPr="00380996" w:rsidRDefault="00380996" w:rsidP="00D67E08">
      <w:pPr>
        <w:rPr>
          <w:rFonts w:ascii="Arial" w:hAnsi="Arial" w:cs="Arial"/>
          <w:b/>
          <w:sz w:val="24"/>
          <w:szCs w:val="24"/>
        </w:rPr>
      </w:pPr>
      <w:r w:rsidRPr="00380996">
        <w:rPr>
          <w:rFonts w:ascii="Arial" w:hAnsi="Arial" w:cs="Arial"/>
          <w:b/>
          <w:sz w:val="24"/>
          <w:szCs w:val="24"/>
        </w:rPr>
        <w:t>Overview of the Legislative Instrument</w:t>
      </w:r>
    </w:p>
    <w:p w14:paraId="7E048A00" w14:textId="41301FA4" w:rsidR="002801B1" w:rsidRDefault="00380996" w:rsidP="00380996">
      <w:pPr>
        <w:rPr>
          <w:rFonts w:ascii="Arial" w:hAnsi="Arial" w:cs="Arial"/>
          <w:sz w:val="24"/>
          <w:szCs w:val="24"/>
        </w:rPr>
      </w:pPr>
      <w:r>
        <w:rPr>
          <w:rFonts w:ascii="Arial" w:hAnsi="Arial" w:cs="Arial"/>
          <w:sz w:val="24"/>
          <w:szCs w:val="24"/>
        </w:rPr>
        <w:lastRenderedPageBreak/>
        <w:t xml:space="preserve">This </w:t>
      </w:r>
      <w:r w:rsidR="009C332F">
        <w:rPr>
          <w:rFonts w:ascii="Arial" w:hAnsi="Arial" w:cs="Arial"/>
          <w:sz w:val="24"/>
          <w:szCs w:val="24"/>
        </w:rPr>
        <w:t xml:space="preserve">Disallowable </w:t>
      </w:r>
      <w:r w:rsidR="00DD340E">
        <w:rPr>
          <w:rFonts w:ascii="Arial" w:hAnsi="Arial" w:cs="Arial"/>
          <w:sz w:val="24"/>
          <w:szCs w:val="24"/>
        </w:rPr>
        <w:t>Legislative Instrument</w:t>
      </w:r>
      <w:r>
        <w:rPr>
          <w:rFonts w:ascii="Arial" w:hAnsi="Arial" w:cs="Arial"/>
          <w:sz w:val="24"/>
          <w:szCs w:val="24"/>
        </w:rPr>
        <w:t xml:space="preserve"> </w:t>
      </w:r>
      <w:r w:rsidR="009E0B71">
        <w:rPr>
          <w:rFonts w:ascii="Arial" w:hAnsi="Arial" w:cs="Arial"/>
          <w:sz w:val="24"/>
          <w:szCs w:val="24"/>
        </w:rPr>
        <w:t xml:space="preserve">sets fees for access to the </w:t>
      </w:r>
      <w:r>
        <w:rPr>
          <w:rFonts w:ascii="Arial" w:hAnsi="Arial" w:cs="Arial"/>
          <w:sz w:val="24"/>
          <w:szCs w:val="24"/>
        </w:rPr>
        <w:t xml:space="preserve">Personal Property Securities Register under the </w:t>
      </w:r>
      <w:r>
        <w:rPr>
          <w:rFonts w:ascii="Arial" w:hAnsi="Arial" w:cs="Arial"/>
          <w:i/>
          <w:sz w:val="24"/>
          <w:szCs w:val="24"/>
        </w:rPr>
        <w:t>Personal Property Securities Act 2009</w:t>
      </w:r>
      <w:r w:rsidR="009C332F">
        <w:rPr>
          <w:rFonts w:ascii="Arial" w:hAnsi="Arial" w:cs="Arial"/>
          <w:i/>
          <w:sz w:val="24"/>
          <w:szCs w:val="24"/>
        </w:rPr>
        <w:t xml:space="preserve"> </w:t>
      </w:r>
      <w:r w:rsidR="009C332F">
        <w:rPr>
          <w:rFonts w:ascii="Arial" w:hAnsi="Arial" w:cs="Arial"/>
          <w:sz w:val="24"/>
          <w:szCs w:val="24"/>
        </w:rPr>
        <w:t>(the Act)</w:t>
      </w:r>
      <w:r>
        <w:rPr>
          <w:rFonts w:ascii="Arial" w:hAnsi="Arial" w:cs="Arial"/>
          <w:sz w:val="24"/>
          <w:szCs w:val="24"/>
        </w:rPr>
        <w:t>.</w:t>
      </w:r>
      <w:r w:rsidR="009E0B71">
        <w:rPr>
          <w:rFonts w:ascii="Arial" w:hAnsi="Arial" w:cs="Arial"/>
          <w:sz w:val="24"/>
          <w:szCs w:val="24"/>
        </w:rPr>
        <w:t xml:space="preserve"> </w:t>
      </w:r>
      <w:r>
        <w:rPr>
          <w:rFonts w:ascii="Arial" w:hAnsi="Arial" w:cs="Arial"/>
          <w:sz w:val="24"/>
          <w:szCs w:val="24"/>
        </w:rPr>
        <w:t xml:space="preserve">The Act provides a system for the creation, </w:t>
      </w:r>
      <w:r w:rsidR="00DD340E">
        <w:rPr>
          <w:rFonts w:ascii="Arial" w:hAnsi="Arial" w:cs="Arial"/>
          <w:sz w:val="24"/>
          <w:szCs w:val="24"/>
        </w:rPr>
        <w:t xml:space="preserve">registration, </w:t>
      </w:r>
      <w:r>
        <w:rPr>
          <w:rFonts w:ascii="Arial" w:hAnsi="Arial" w:cs="Arial"/>
          <w:sz w:val="24"/>
          <w:szCs w:val="24"/>
        </w:rPr>
        <w:t>priority and enforcement of security interests in personal property.</w:t>
      </w:r>
      <w:r w:rsidR="009E0B71">
        <w:rPr>
          <w:rFonts w:ascii="Arial" w:hAnsi="Arial" w:cs="Arial"/>
          <w:sz w:val="24"/>
          <w:szCs w:val="24"/>
        </w:rPr>
        <w:t xml:space="preserve"> </w:t>
      </w:r>
      <w:r w:rsidR="002C6060">
        <w:rPr>
          <w:rFonts w:ascii="Arial" w:hAnsi="Arial" w:cs="Arial"/>
          <w:sz w:val="24"/>
          <w:szCs w:val="24"/>
        </w:rPr>
        <w:t>This</w:t>
      </w:r>
      <w:r w:rsidR="002801B1">
        <w:rPr>
          <w:rFonts w:ascii="Arial" w:hAnsi="Arial" w:cs="Arial"/>
          <w:sz w:val="24"/>
          <w:szCs w:val="24"/>
        </w:rPr>
        <w:t xml:space="preserve"> includes, for example, the use of a motor vehicle as collateral in the course of obtaining finance for it.</w:t>
      </w:r>
    </w:p>
    <w:p w14:paraId="0F2F219B" w14:textId="4C772081" w:rsidR="00380996" w:rsidRPr="00380996" w:rsidRDefault="002801B1" w:rsidP="00380996">
      <w:pPr>
        <w:rPr>
          <w:rFonts w:ascii="Arial" w:hAnsi="Arial" w:cs="Arial"/>
          <w:sz w:val="24"/>
          <w:szCs w:val="24"/>
        </w:rPr>
      </w:pPr>
      <w:r>
        <w:rPr>
          <w:rFonts w:ascii="Arial" w:hAnsi="Arial" w:cs="Arial"/>
          <w:sz w:val="24"/>
          <w:szCs w:val="24"/>
        </w:rPr>
        <w:t>This</w:t>
      </w:r>
      <w:r w:rsidR="009C332F">
        <w:rPr>
          <w:rFonts w:ascii="Arial" w:hAnsi="Arial" w:cs="Arial"/>
          <w:sz w:val="24"/>
          <w:szCs w:val="24"/>
        </w:rPr>
        <w:t xml:space="preserve"> Disallowable</w:t>
      </w:r>
      <w:r>
        <w:rPr>
          <w:rFonts w:ascii="Arial" w:hAnsi="Arial" w:cs="Arial"/>
          <w:sz w:val="24"/>
          <w:szCs w:val="24"/>
        </w:rPr>
        <w:t xml:space="preserve"> </w:t>
      </w:r>
      <w:r w:rsidR="00DD340E">
        <w:rPr>
          <w:rFonts w:ascii="Arial" w:hAnsi="Arial" w:cs="Arial"/>
          <w:sz w:val="24"/>
          <w:szCs w:val="24"/>
        </w:rPr>
        <w:t xml:space="preserve">Legislative Instrument </w:t>
      </w:r>
      <w:r w:rsidR="009E0B71">
        <w:rPr>
          <w:rFonts w:ascii="Arial" w:hAnsi="Arial" w:cs="Arial"/>
          <w:sz w:val="24"/>
          <w:szCs w:val="24"/>
        </w:rPr>
        <w:t xml:space="preserve">replaces an earlier </w:t>
      </w:r>
      <w:r w:rsidR="00DD340E">
        <w:rPr>
          <w:rFonts w:ascii="Arial" w:hAnsi="Arial" w:cs="Arial"/>
          <w:sz w:val="24"/>
          <w:szCs w:val="24"/>
        </w:rPr>
        <w:t xml:space="preserve">Legislative Instrument </w:t>
      </w:r>
      <w:r w:rsidR="009E0B71">
        <w:rPr>
          <w:rFonts w:ascii="Arial" w:hAnsi="Arial" w:cs="Arial"/>
          <w:sz w:val="24"/>
          <w:szCs w:val="24"/>
        </w:rPr>
        <w:t xml:space="preserve">that had set fees since </w:t>
      </w:r>
      <w:r w:rsidR="00B6194C">
        <w:rPr>
          <w:rFonts w:ascii="Arial" w:hAnsi="Arial" w:cs="Arial"/>
          <w:sz w:val="24"/>
          <w:szCs w:val="24"/>
        </w:rPr>
        <w:t>1 July 201</w:t>
      </w:r>
      <w:r w:rsidR="006F3DDE">
        <w:rPr>
          <w:rFonts w:ascii="Arial" w:hAnsi="Arial" w:cs="Arial"/>
          <w:sz w:val="24"/>
          <w:szCs w:val="24"/>
        </w:rPr>
        <w:t>5</w:t>
      </w:r>
      <w:r w:rsidR="009E0B71">
        <w:rPr>
          <w:rFonts w:ascii="Arial" w:hAnsi="Arial" w:cs="Arial"/>
          <w:sz w:val="24"/>
          <w:szCs w:val="24"/>
        </w:rPr>
        <w:t>. The fees are calculated on a cost recovery basis in accordance with the Australian Government Cost Recovery Guidelines.</w:t>
      </w:r>
    </w:p>
    <w:p w14:paraId="1E28F7AD" w14:textId="77777777" w:rsidR="00380996" w:rsidRPr="00380996" w:rsidRDefault="00380996" w:rsidP="00D67E08">
      <w:pPr>
        <w:rPr>
          <w:rFonts w:ascii="Arial" w:hAnsi="Arial" w:cs="Arial"/>
          <w:b/>
          <w:sz w:val="24"/>
          <w:szCs w:val="24"/>
        </w:rPr>
      </w:pPr>
      <w:r w:rsidRPr="00380996">
        <w:rPr>
          <w:rFonts w:ascii="Arial" w:hAnsi="Arial" w:cs="Arial"/>
          <w:b/>
          <w:sz w:val="24"/>
          <w:szCs w:val="24"/>
        </w:rPr>
        <w:t>Human rights implications</w:t>
      </w:r>
    </w:p>
    <w:p w14:paraId="24B25C73" w14:textId="1126D78C" w:rsidR="00380996" w:rsidRPr="00380996" w:rsidRDefault="00380996" w:rsidP="00380996">
      <w:pPr>
        <w:rPr>
          <w:rFonts w:ascii="Arial" w:hAnsi="Arial" w:cs="Arial"/>
          <w:sz w:val="24"/>
          <w:szCs w:val="24"/>
        </w:rPr>
      </w:pPr>
      <w:r w:rsidRPr="00380996">
        <w:rPr>
          <w:rFonts w:ascii="Arial" w:hAnsi="Arial" w:cs="Arial"/>
          <w:sz w:val="24"/>
          <w:szCs w:val="24"/>
        </w:rPr>
        <w:t xml:space="preserve">This </w:t>
      </w:r>
      <w:r w:rsidR="009C332F">
        <w:rPr>
          <w:rFonts w:ascii="Arial" w:hAnsi="Arial" w:cs="Arial"/>
          <w:sz w:val="24"/>
          <w:szCs w:val="24"/>
        </w:rPr>
        <w:t xml:space="preserve">Disallowable </w:t>
      </w:r>
      <w:r w:rsidRPr="00380996">
        <w:rPr>
          <w:rFonts w:ascii="Arial" w:hAnsi="Arial" w:cs="Arial"/>
          <w:sz w:val="24"/>
          <w:szCs w:val="24"/>
        </w:rPr>
        <w:t>Legislative Instrument does not engage any of the applicable rights or freedoms.</w:t>
      </w:r>
    </w:p>
    <w:p w14:paraId="69916EE2" w14:textId="77777777" w:rsidR="00380996" w:rsidRPr="00380996" w:rsidRDefault="00380996" w:rsidP="00394C3B">
      <w:pPr>
        <w:keepNext/>
        <w:rPr>
          <w:rFonts w:ascii="Arial" w:hAnsi="Arial" w:cs="Arial"/>
          <w:b/>
          <w:sz w:val="24"/>
          <w:szCs w:val="24"/>
        </w:rPr>
      </w:pPr>
      <w:r w:rsidRPr="00380996">
        <w:rPr>
          <w:rFonts w:ascii="Arial" w:hAnsi="Arial" w:cs="Arial"/>
          <w:b/>
          <w:sz w:val="24"/>
          <w:szCs w:val="24"/>
        </w:rPr>
        <w:t>Conclusion</w:t>
      </w:r>
    </w:p>
    <w:p w14:paraId="0B57BC68" w14:textId="1A27D1CE" w:rsidR="00380996" w:rsidRDefault="00380996" w:rsidP="00380996">
      <w:pPr>
        <w:rPr>
          <w:rFonts w:ascii="Arial" w:hAnsi="Arial" w:cs="Arial"/>
          <w:sz w:val="24"/>
          <w:szCs w:val="24"/>
        </w:rPr>
      </w:pPr>
      <w:r w:rsidRPr="00380996">
        <w:rPr>
          <w:rFonts w:ascii="Arial" w:hAnsi="Arial" w:cs="Arial"/>
          <w:sz w:val="24"/>
          <w:szCs w:val="24"/>
        </w:rPr>
        <w:t xml:space="preserve">This </w:t>
      </w:r>
      <w:r w:rsidR="009C332F">
        <w:rPr>
          <w:rFonts w:ascii="Arial" w:hAnsi="Arial" w:cs="Arial"/>
          <w:sz w:val="24"/>
          <w:szCs w:val="24"/>
        </w:rPr>
        <w:t xml:space="preserve">Disallowable </w:t>
      </w:r>
      <w:r w:rsidRPr="00380996">
        <w:rPr>
          <w:rFonts w:ascii="Arial" w:hAnsi="Arial" w:cs="Arial"/>
          <w:sz w:val="24"/>
          <w:szCs w:val="24"/>
        </w:rPr>
        <w:t>Legislative Instrument is compatible with human rights as it does not raise any human rights issues.</w:t>
      </w:r>
    </w:p>
    <w:p w14:paraId="17FBE0FF" w14:textId="77777777" w:rsidR="00902679" w:rsidRDefault="00902679" w:rsidP="00380996">
      <w:pPr>
        <w:rPr>
          <w:rFonts w:ascii="Arial" w:hAnsi="Arial" w:cs="Arial"/>
          <w:sz w:val="24"/>
          <w:szCs w:val="24"/>
        </w:rPr>
      </w:pPr>
    </w:p>
    <w:p w14:paraId="34F36071" w14:textId="77777777" w:rsidR="00902679" w:rsidRPr="00380996" w:rsidRDefault="00902679" w:rsidP="00380996">
      <w:pPr>
        <w:rPr>
          <w:rFonts w:ascii="Arial" w:hAnsi="Arial" w:cs="Arial"/>
          <w:sz w:val="24"/>
          <w:szCs w:val="24"/>
        </w:rPr>
      </w:pPr>
    </w:p>
    <w:p w14:paraId="77C7A5AA" w14:textId="41D8E766" w:rsidR="00380996" w:rsidRDefault="005E2AB7" w:rsidP="00380996">
      <w:pPr>
        <w:rPr>
          <w:rFonts w:ascii="Arial" w:hAnsi="Arial" w:cs="Arial"/>
          <w:b/>
          <w:sz w:val="24"/>
          <w:szCs w:val="24"/>
        </w:rPr>
      </w:pPr>
      <w:r>
        <w:rPr>
          <w:rFonts w:ascii="Arial" w:hAnsi="Arial" w:cs="Arial"/>
          <w:b/>
          <w:sz w:val="24"/>
          <w:szCs w:val="24"/>
        </w:rPr>
        <w:t>The Hon Christian Porter MP</w:t>
      </w:r>
    </w:p>
    <w:p w14:paraId="3990B2AB" w14:textId="3931FF82" w:rsidR="00380996" w:rsidRPr="007E64EB" w:rsidRDefault="00380996" w:rsidP="00380996">
      <w:pPr>
        <w:rPr>
          <w:rFonts w:ascii="Arial" w:hAnsi="Arial" w:cs="Arial"/>
          <w:sz w:val="24"/>
          <w:szCs w:val="24"/>
        </w:rPr>
      </w:pPr>
      <w:r>
        <w:rPr>
          <w:rFonts w:ascii="Arial" w:hAnsi="Arial" w:cs="Arial"/>
          <w:b/>
          <w:sz w:val="24"/>
          <w:szCs w:val="24"/>
        </w:rPr>
        <w:t>Attorney-General</w:t>
      </w:r>
    </w:p>
    <w:sectPr w:rsidR="00380996" w:rsidRPr="007E64EB" w:rsidSect="00773805">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CC5ED" w16cid:durableId="1EC188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D9364" w14:textId="77777777" w:rsidR="002403CD" w:rsidRDefault="002403CD" w:rsidP="00380996">
      <w:pPr>
        <w:spacing w:after="0" w:line="240" w:lineRule="auto"/>
      </w:pPr>
      <w:r>
        <w:separator/>
      </w:r>
    </w:p>
  </w:endnote>
  <w:endnote w:type="continuationSeparator" w:id="0">
    <w:p w14:paraId="1DA78723" w14:textId="77777777" w:rsidR="002403CD" w:rsidRDefault="002403CD" w:rsidP="0038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15D4C" w14:textId="77777777" w:rsidR="00210AE5" w:rsidRDefault="00907154">
    <w:pPr>
      <w:pStyle w:val="Footer"/>
      <w:jc w:val="center"/>
    </w:pPr>
    <w:r>
      <w:fldChar w:fldCharType="begin"/>
    </w:r>
    <w:r>
      <w:instrText xml:space="preserve"> PAGE   \* MERGEFORMAT </w:instrText>
    </w:r>
    <w:r>
      <w:fldChar w:fldCharType="separate"/>
    </w:r>
    <w:r w:rsidR="00E671E9">
      <w:rPr>
        <w:noProof/>
      </w:rPr>
      <w:t>1</w:t>
    </w:r>
    <w:r>
      <w:rPr>
        <w:noProof/>
      </w:rPr>
      <w:fldChar w:fldCharType="end"/>
    </w:r>
  </w:p>
  <w:p w14:paraId="13E4F6A4" w14:textId="77777777" w:rsidR="00210AE5" w:rsidRDefault="00210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88531" w14:textId="77777777" w:rsidR="002403CD" w:rsidRDefault="002403CD" w:rsidP="00380996">
      <w:pPr>
        <w:spacing w:after="0" w:line="240" w:lineRule="auto"/>
      </w:pPr>
      <w:r>
        <w:separator/>
      </w:r>
    </w:p>
  </w:footnote>
  <w:footnote w:type="continuationSeparator" w:id="0">
    <w:p w14:paraId="1553FDD6" w14:textId="77777777" w:rsidR="002403CD" w:rsidRDefault="002403CD" w:rsidP="00380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45BA"/>
    <w:multiLevelType w:val="hybridMultilevel"/>
    <w:tmpl w:val="60EC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B234B6"/>
    <w:multiLevelType w:val="hybridMultilevel"/>
    <w:tmpl w:val="AD287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CD315E"/>
    <w:multiLevelType w:val="hybridMultilevel"/>
    <w:tmpl w:val="2AB2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247DC"/>
    <w:multiLevelType w:val="hybridMultilevel"/>
    <w:tmpl w:val="05A62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EB"/>
    <w:rsid w:val="0001098B"/>
    <w:rsid w:val="00017B08"/>
    <w:rsid w:val="00021270"/>
    <w:rsid w:val="00023E24"/>
    <w:rsid w:val="00036554"/>
    <w:rsid w:val="00041A62"/>
    <w:rsid w:val="000431EF"/>
    <w:rsid w:val="000538C0"/>
    <w:rsid w:val="00054BA3"/>
    <w:rsid w:val="000566C6"/>
    <w:rsid w:val="000610B7"/>
    <w:rsid w:val="00062001"/>
    <w:rsid w:val="00067B00"/>
    <w:rsid w:val="000710FD"/>
    <w:rsid w:val="00085F3A"/>
    <w:rsid w:val="00094F4E"/>
    <w:rsid w:val="000A6A40"/>
    <w:rsid w:val="000C1B90"/>
    <w:rsid w:val="000E02B4"/>
    <w:rsid w:val="000E28D0"/>
    <w:rsid w:val="000E4650"/>
    <w:rsid w:val="000F225A"/>
    <w:rsid w:val="001068E9"/>
    <w:rsid w:val="0011081E"/>
    <w:rsid w:val="001244D0"/>
    <w:rsid w:val="001304E1"/>
    <w:rsid w:val="001309E5"/>
    <w:rsid w:val="00134DEC"/>
    <w:rsid w:val="00135C26"/>
    <w:rsid w:val="00144BD3"/>
    <w:rsid w:val="00150BA9"/>
    <w:rsid w:val="0016484B"/>
    <w:rsid w:val="00164AFF"/>
    <w:rsid w:val="00177C24"/>
    <w:rsid w:val="00177DD3"/>
    <w:rsid w:val="001801D3"/>
    <w:rsid w:val="00180B6B"/>
    <w:rsid w:val="0019163C"/>
    <w:rsid w:val="001944CC"/>
    <w:rsid w:val="001956B7"/>
    <w:rsid w:val="001B08C7"/>
    <w:rsid w:val="001B4F35"/>
    <w:rsid w:val="001B5026"/>
    <w:rsid w:val="001C4F16"/>
    <w:rsid w:val="001D36E5"/>
    <w:rsid w:val="001D7964"/>
    <w:rsid w:val="001E2C73"/>
    <w:rsid w:val="001F240D"/>
    <w:rsid w:val="001F2E2D"/>
    <w:rsid w:val="001F3429"/>
    <w:rsid w:val="001F6E20"/>
    <w:rsid w:val="00210AE5"/>
    <w:rsid w:val="00211551"/>
    <w:rsid w:val="0022025B"/>
    <w:rsid w:val="0022365C"/>
    <w:rsid w:val="00230200"/>
    <w:rsid w:val="00232B00"/>
    <w:rsid w:val="002403CD"/>
    <w:rsid w:val="00250D38"/>
    <w:rsid w:val="002530F3"/>
    <w:rsid w:val="002553D7"/>
    <w:rsid w:val="00274FC3"/>
    <w:rsid w:val="002801B1"/>
    <w:rsid w:val="002B2430"/>
    <w:rsid w:val="002C409E"/>
    <w:rsid w:val="002C4672"/>
    <w:rsid w:val="002C6060"/>
    <w:rsid w:val="002D4CC5"/>
    <w:rsid w:val="002E4700"/>
    <w:rsid w:val="002E4DAD"/>
    <w:rsid w:val="002F160D"/>
    <w:rsid w:val="002F5FA6"/>
    <w:rsid w:val="003012F6"/>
    <w:rsid w:val="003028FE"/>
    <w:rsid w:val="00303A28"/>
    <w:rsid w:val="0030580A"/>
    <w:rsid w:val="003604EF"/>
    <w:rsid w:val="0037678C"/>
    <w:rsid w:val="00380996"/>
    <w:rsid w:val="003858E3"/>
    <w:rsid w:val="00394C3B"/>
    <w:rsid w:val="003A26C2"/>
    <w:rsid w:val="003A2AFC"/>
    <w:rsid w:val="003A3348"/>
    <w:rsid w:val="003B176A"/>
    <w:rsid w:val="003B2233"/>
    <w:rsid w:val="003B3A21"/>
    <w:rsid w:val="003C298C"/>
    <w:rsid w:val="003C3EE3"/>
    <w:rsid w:val="003C4AEC"/>
    <w:rsid w:val="003C529D"/>
    <w:rsid w:val="003D3CA0"/>
    <w:rsid w:val="003F5CFA"/>
    <w:rsid w:val="0041076D"/>
    <w:rsid w:val="00420072"/>
    <w:rsid w:val="0042129C"/>
    <w:rsid w:val="00426508"/>
    <w:rsid w:val="00431A72"/>
    <w:rsid w:val="00432151"/>
    <w:rsid w:val="004343A9"/>
    <w:rsid w:val="00446497"/>
    <w:rsid w:val="004471EC"/>
    <w:rsid w:val="004745CE"/>
    <w:rsid w:val="00497A90"/>
    <w:rsid w:val="004B36F0"/>
    <w:rsid w:val="004B6529"/>
    <w:rsid w:val="004C2C7E"/>
    <w:rsid w:val="004C400C"/>
    <w:rsid w:val="004C4406"/>
    <w:rsid w:val="004C4667"/>
    <w:rsid w:val="004D03D7"/>
    <w:rsid w:val="004D571E"/>
    <w:rsid w:val="004E2A4E"/>
    <w:rsid w:val="004F5565"/>
    <w:rsid w:val="005009ED"/>
    <w:rsid w:val="00504079"/>
    <w:rsid w:val="00511A4C"/>
    <w:rsid w:val="00533756"/>
    <w:rsid w:val="00536333"/>
    <w:rsid w:val="00537BEF"/>
    <w:rsid w:val="00541A25"/>
    <w:rsid w:val="00546421"/>
    <w:rsid w:val="00562455"/>
    <w:rsid w:val="00575EEE"/>
    <w:rsid w:val="00584C51"/>
    <w:rsid w:val="00584C58"/>
    <w:rsid w:val="005901BC"/>
    <w:rsid w:val="00592FE2"/>
    <w:rsid w:val="0059762B"/>
    <w:rsid w:val="005A0677"/>
    <w:rsid w:val="005A2B75"/>
    <w:rsid w:val="005B1FBE"/>
    <w:rsid w:val="005C1D88"/>
    <w:rsid w:val="005E2AB7"/>
    <w:rsid w:val="005E7B56"/>
    <w:rsid w:val="005F5FE6"/>
    <w:rsid w:val="00600062"/>
    <w:rsid w:val="0060232D"/>
    <w:rsid w:val="0060369C"/>
    <w:rsid w:val="006113F7"/>
    <w:rsid w:val="006254A4"/>
    <w:rsid w:val="00625E6B"/>
    <w:rsid w:val="00627C61"/>
    <w:rsid w:val="006318D6"/>
    <w:rsid w:val="00636F6D"/>
    <w:rsid w:val="00637F9A"/>
    <w:rsid w:val="00651583"/>
    <w:rsid w:val="00661506"/>
    <w:rsid w:val="00675872"/>
    <w:rsid w:val="00691E7D"/>
    <w:rsid w:val="00692A85"/>
    <w:rsid w:val="0069536A"/>
    <w:rsid w:val="00695B98"/>
    <w:rsid w:val="00697A9E"/>
    <w:rsid w:val="006A0DA2"/>
    <w:rsid w:val="006B5029"/>
    <w:rsid w:val="006D1B6E"/>
    <w:rsid w:val="006D2C7F"/>
    <w:rsid w:val="006D50CC"/>
    <w:rsid w:val="006E0973"/>
    <w:rsid w:val="006F3DDE"/>
    <w:rsid w:val="0070222D"/>
    <w:rsid w:val="00705B37"/>
    <w:rsid w:val="00707A4B"/>
    <w:rsid w:val="007127E4"/>
    <w:rsid w:val="00716790"/>
    <w:rsid w:val="00727391"/>
    <w:rsid w:val="0074674C"/>
    <w:rsid w:val="00762B05"/>
    <w:rsid w:val="00763D04"/>
    <w:rsid w:val="00765140"/>
    <w:rsid w:val="00771854"/>
    <w:rsid w:val="00772ED5"/>
    <w:rsid w:val="00773805"/>
    <w:rsid w:val="00773817"/>
    <w:rsid w:val="007872C8"/>
    <w:rsid w:val="00787574"/>
    <w:rsid w:val="00787DE8"/>
    <w:rsid w:val="00791E1F"/>
    <w:rsid w:val="00792798"/>
    <w:rsid w:val="007A4740"/>
    <w:rsid w:val="007A5E8D"/>
    <w:rsid w:val="007A6920"/>
    <w:rsid w:val="007B111B"/>
    <w:rsid w:val="007B628D"/>
    <w:rsid w:val="007B6E8B"/>
    <w:rsid w:val="007C16D1"/>
    <w:rsid w:val="007C496B"/>
    <w:rsid w:val="007C6322"/>
    <w:rsid w:val="007D2276"/>
    <w:rsid w:val="007E64EB"/>
    <w:rsid w:val="007F3ADA"/>
    <w:rsid w:val="007F511F"/>
    <w:rsid w:val="008167D4"/>
    <w:rsid w:val="00824B8A"/>
    <w:rsid w:val="00831C65"/>
    <w:rsid w:val="00832AF5"/>
    <w:rsid w:val="00833815"/>
    <w:rsid w:val="008352CA"/>
    <w:rsid w:val="00842446"/>
    <w:rsid w:val="008564E9"/>
    <w:rsid w:val="0086436C"/>
    <w:rsid w:val="00864A44"/>
    <w:rsid w:val="008734EF"/>
    <w:rsid w:val="00875264"/>
    <w:rsid w:val="008775D1"/>
    <w:rsid w:val="00890E2C"/>
    <w:rsid w:val="008A009C"/>
    <w:rsid w:val="008A21E5"/>
    <w:rsid w:val="008A4DE6"/>
    <w:rsid w:val="008B2806"/>
    <w:rsid w:val="008B4DDF"/>
    <w:rsid w:val="008C42FF"/>
    <w:rsid w:val="008C4D74"/>
    <w:rsid w:val="008D011A"/>
    <w:rsid w:val="008E4C31"/>
    <w:rsid w:val="008F5AA6"/>
    <w:rsid w:val="00900F29"/>
    <w:rsid w:val="00900F2E"/>
    <w:rsid w:val="00902581"/>
    <w:rsid w:val="00902679"/>
    <w:rsid w:val="00907154"/>
    <w:rsid w:val="00915D45"/>
    <w:rsid w:val="00916E48"/>
    <w:rsid w:val="0092542E"/>
    <w:rsid w:val="00932215"/>
    <w:rsid w:val="00935BEA"/>
    <w:rsid w:val="00940C8F"/>
    <w:rsid w:val="00962F71"/>
    <w:rsid w:val="00964C10"/>
    <w:rsid w:val="00974798"/>
    <w:rsid w:val="00975552"/>
    <w:rsid w:val="00982336"/>
    <w:rsid w:val="009C332F"/>
    <w:rsid w:val="009C5A04"/>
    <w:rsid w:val="009C6CE8"/>
    <w:rsid w:val="009D1772"/>
    <w:rsid w:val="009E0B71"/>
    <w:rsid w:val="009E5CC2"/>
    <w:rsid w:val="009E7DAA"/>
    <w:rsid w:val="009F2BF6"/>
    <w:rsid w:val="009F7D75"/>
    <w:rsid w:val="00A01251"/>
    <w:rsid w:val="00A10840"/>
    <w:rsid w:val="00A151F8"/>
    <w:rsid w:val="00A22C5F"/>
    <w:rsid w:val="00A2738F"/>
    <w:rsid w:val="00A42AB9"/>
    <w:rsid w:val="00A529C1"/>
    <w:rsid w:val="00A5441D"/>
    <w:rsid w:val="00A560BD"/>
    <w:rsid w:val="00A603E9"/>
    <w:rsid w:val="00A646F2"/>
    <w:rsid w:val="00A91A9B"/>
    <w:rsid w:val="00A95D7D"/>
    <w:rsid w:val="00AA758A"/>
    <w:rsid w:val="00AB4A81"/>
    <w:rsid w:val="00AC24DD"/>
    <w:rsid w:val="00AC5EF2"/>
    <w:rsid w:val="00AD246C"/>
    <w:rsid w:val="00AD43AF"/>
    <w:rsid w:val="00AE0A58"/>
    <w:rsid w:val="00AE76AA"/>
    <w:rsid w:val="00AF1D03"/>
    <w:rsid w:val="00B046C7"/>
    <w:rsid w:val="00B04A16"/>
    <w:rsid w:val="00B04FED"/>
    <w:rsid w:val="00B05162"/>
    <w:rsid w:val="00B16BE1"/>
    <w:rsid w:val="00B2573F"/>
    <w:rsid w:val="00B25DE4"/>
    <w:rsid w:val="00B4076F"/>
    <w:rsid w:val="00B44C92"/>
    <w:rsid w:val="00B57F1A"/>
    <w:rsid w:val="00B6194C"/>
    <w:rsid w:val="00B6392A"/>
    <w:rsid w:val="00B63BBC"/>
    <w:rsid w:val="00B64D49"/>
    <w:rsid w:val="00B6649E"/>
    <w:rsid w:val="00B74846"/>
    <w:rsid w:val="00B84B18"/>
    <w:rsid w:val="00B85D9F"/>
    <w:rsid w:val="00B90D2A"/>
    <w:rsid w:val="00B91C19"/>
    <w:rsid w:val="00B95E5F"/>
    <w:rsid w:val="00BA0604"/>
    <w:rsid w:val="00BA1D83"/>
    <w:rsid w:val="00BB4D23"/>
    <w:rsid w:val="00BE6A86"/>
    <w:rsid w:val="00BE6D54"/>
    <w:rsid w:val="00BE7928"/>
    <w:rsid w:val="00BF61AF"/>
    <w:rsid w:val="00BF6466"/>
    <w:rsid w:val="00C1511F"/>
    <w:rsid w:val="00C15DB1"/>
    <w:rsid w:val="00C16EF8"/>
    <w:rsid w:val="00C308DC"/>
    <w:rsid w:val="00C33DDB"/>
    <w:rsid w:val="00C34DB1"/>
    <w:rsid w:val="00C40313"/>
    <w:rsid w:val="00C43871"/>
    <w:rsid w:val="00C43FEF"/>
    <w:rsid w:val="00C5252C"/>
    <w:rsid w:val="00C54C11"/>
    <w:rsid w:val="00C555CB"/>
    <w:rsid w:val="00C61A5A"/>
    <w:rsid w:val="00C62E17"/>
    <w:rsid w:val="00C66E92"/>
    <w:rsid w:val="00C70B8A"/>
    <w:rsid w:val="00C73E7E"/>
    <w:rsid w:val="00C76FDC"/>
    <w:rsid w:val="00C95EB3"/>
    <w:rsid w:val="00CA0919"/>
    <w:rsid w:val="00CA7C9A"/>
    <w:rsid w:val="00CB1C25"/>
    <w:rsid w:val="00CB467F"/>
    <w:rsid w:val="00CC0B58"/>
    <w:rsid w:val="00CC5410"/>
    <w:rsid w:val="00CC7C15"/>
    <w:rsid w:val="00CD072C"/>
    <w:rsid w:val="00CE6661"/>
    <w:rsid w:val="00CE700B"/>
    <w:rsid w:val="00CF18FC"/>
    <w:rsid w:val="00D0526E"/>
    <w:rsid w:val="00D170E2"/>
    <w:rsid w:val="00D2050C"/>
    <w:rsid w:val="00D20D9D"/>
    <w:rsid w:val="00D25D4D"/>
    <w:rsid w:val="00D26D1B"/>
    <w:rsid w:val="00D3215C"/>
    <w:rsid w:val="00D465BF"/>
    <w:rsid w:val="00D5587D"/>
    <w:rsid w:val="00D566BF"/>
    <w:rsid w:val="00D60E68"/>
    <w:rsid w:val="00D63526"/>
    <w:rsid w:val="00D6480E"/>
    <w:rsid w:val="00D67E08"/>
    <w:rsid w:val="00D86968"/>
    <w:rsid w:val="00D962EA"/>
    <w:rsid w:val="00DA3E0A"/>
    <w:rsid w:val="00DA51BD"/>
    <w:rsid w:val="00DD2924"/>
    <w:rsid w:val="00DD3168"/>
    <w:rsid w:val="00DD340E"/>
    <w:rsid w:val="00DD5640"/>
    <w:rsid w:val="00DE0C0C"/>
    <w:rsid w:val="00DE52AB"/>
    <w:rsid w:val="00DF0952"/>
    <w:rsid w:val="00E127F0"/>
    <w:rsid w:val="00E25B34"/>
    <w:rsid w:val="00E33D42"/>
    <w:rsid w:val="00E407D6"/>
    <w:rsid w:val="00E43555"/>
    <w:rsid w:val="00E45699"/>
    <w:rsid w:val="00E45CF4"/>
    <w:rsid w:val="00E52429"/>
    <w:rsid w:val="00E537A8"/>
    <w:rsid w:val="00E562D4"/>
    <w:rsid w:val="00E57211"/>
    <w:rsid w:val="00E62A9D"/>
    <w:rsid w:val="00E64C05"/>
    <w:rsid w:val="00E671E9"/>
    <w:rsid w:val="00E72C58"/>
    <w:rsid w:val="00E84316"/>
    <w:rsid w:val="00EB0F3B"/>
    <w:rsid w:val="00EB381D"/>
    <w:rsid w:val="00ED2883"/>
    <w:rsid w:val="00ED3302"/>
    <w:rsid w:val="00EE74FA"/>
    <w:rsid w:val="00EF06FE"/>
    <w:rsid w:val="00EF109B"/>
    <w:rsid w:val="00EF4C27"/>
    <w:rsid w:val="00EF6C37"/>
    <w:rsid w:val="00F009DA"/>
    <w:rsid w:val="00F03D95"/>
    <w:rsid w:val="00F11B9A"/>
    <w:rsid w:val="00F11D76"/>
    <w:rsid w:val="00F125C3"/>
    <w:rsid w:val="00F165B4"/>
    <w:rsid w:val="00F2341A"/>
    <w:rsid w:val="00F312D8"/>
    <w:rsid w:val="00F33164"/>
    <w:rsid w:val="00F35166"/>
    <w:rsid w:val="00F361AB"/>
    <w:rsid w:val="00F36D12"/>
    <w:rsid w:val="00F44614"/>
    <w:rsid w:val="00F45103"/>
    <w:rsid w:val="00F46388"/>
    <w:rsid w:val="00F51A29"/>
    <w:rsid w:val="00F55302"/>
    <w:rsid w:val="00F564B5"/>
    <w:rsid w:val="00F60F23"/>
    <w:rsid w:val="00F643DB"/>
    <w:rsid w:val="00F72B05"/>
    <w:rsid w:val="00F84022"/>
    <w:rsid w:val="00F842C7"/>
    <w:rsid w:val="00F876D9"/>
    <w:rsid w:val="00F921BC"/>
    <w:rsid w:val="00F9368B"/>
    <w:rsid w:val="00F972F4"/>
    <w:rsid w:val="00FA0B33"/>
    <w:rsid w:val="00FA49BB"/>
    <w:rsid w:val="00FB5D2D"/>
    <w:rsid w:val="00FC497B"/>
    <w:rsid w:val="00FF5137"/>
    <w:rsid w:val="00FF60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29D"/>
    <w:rPr>
      <w:rFonts w:ascii="Tahoma" w:hAnsi="Tahoma" w:cs="Tahoma"/>
      <w:sz w:val="16"/>
      <w:szCs w:val="16"/>
      <w:lang w:eastAsia="en-US"/>
    </w:rPr>
  </w:style>
  <w:style w:type="character" w:styleId="CommentReference">
    <w:name w:val="annotation reference"/>
    <w:uiPriority w:val="99"/>
    <w:semiHidden/>
    <w:unhideWhenUsed/>
    <w:rsid w:val="00592FE2"/>
    <w:rPr>
      <w:sz w:val="16"/>
      <w:szCs w:val="16"/>
    </w:rPr>
  </w:style>
  <w:style w:type="paragraph" w:styleId="CommentText">
    <w:name w:val="annotation text"/>
    <w:basedOn w:val="Normal"/>
    <w:link w:val="CommentTextChar"/>
    <w:uiPriority w:val="99"/>
    <w:semiHidden/>
    <w:unhideWhenUsed/>
    <w:rsid w:val="00592FE2"/>
    <w:rPr>
      <w:sz w:val="20"/>
      <w:szCs w:val="20"/>
    </w:rPr>
  </w:style>
  <w:style w:type="character" w:customStyle="1" w:styleId="CommentTextChar">
    <w:name w:val="Comment Text Char"/>
    <w:link w:val="CommentText"/>
    <w:uiPriority w:val="99"/>
    <w:semiHidden/>
    <w:rsid w:val="00592FE2"/>
    <w:rPr>
      <w:lang w:eastAsia="en-US"/>
    </w:rPr>
  </w:style>
  <w:style w:type="paragraph" w:styleId="CommentSubject">
    <w:name w:val="annotation subject"/>
    <w:basedOn w:val="CommentText"/>
    <w:next w:val="CommentText"/>
    <w:link w:val="CommentSubjectChar"/>
    <w:uiPriority w:val="99"/>
    <w:semiHidden/>
    <w:unhideWhenUsed/>
    <w:rsid w:val="00592FE2"/>
    <w:rPr>
      <w:b/>
      <w:bCs/>
    </w:rPr>
  </w:style>
  <w:style w:type="character" w:customStyle="1" w:styleId="CommentSubjectChar">
    <w:name w:val="Comment Subject Char"/>
    <w:link w:val="CommentSubject"/>
    <w:uiPriority w:val="99"/>
    <w:semiHidden/>
    <w:rsid w:val="00592FE2"/>
    <w:rPr>
      <w:b/>
      <w:bCs/>
      <w:lang w:eastAsia="en-US"/>
    </w:rPr>
  </w:style>
  <w:style w:type="paragraph" w:styleId="Header">
    <w:name w:val="header"/>
    <w:basedOn w:val="Normal"/>
    <w:link w:val="HeaderChar"/>
    <w:uiPriority w:val="99"/>
    <w:unhideWhenUsed/>
    <w:rsid w:val="00380996"/>
    <w:pPr>
      <w:tabs>
        <w:tab w:val="center" w:pos="4513"/>
        <w:tab w:val="right" w:pos="9026"/>
      </w:tabs>
    </w:pPr>
  </w:style>
  <w:style w:type="character" w:customStyle="1" w:styleId="HeaderChar">
    <w:name w:val="Header Char"/>
    <w:link w:val="Header"/>
    <w:uiPriority w:val="99"/>
    <w:rsid w:val="00380996"/>
    <w:rPr>
      <w:sz w:val="22"/>
      <w:szCs w:val="22"/>
      <w:lang w:eastAsia="en-US"/>
    </w:rPr>
  </w:style>
  <w:style w:type="paragraph" w:styleId="Footer">
    <w:name w:val="footer"/>
    <w:basedOn w:val="Normal"/>
    <w:link w:val="FooterChar"/>
    <w:uiPriority w:val="99"/>
    <w:unhideWhenUsed/>
    <w:rsid w:val="00380996"/>
    <w:pPr>
      <w:tabs>
        <w:tab w:val="center" w:pos="4513"/>
        <w:tab w:val="right" w:pos="9026"/>
      </w:tabs>
    </w:pPr>
  </w:style>
  <w:style w:type="character" w:customStyle="1" w:styleId="FooterChar">
    <w:name w:val="Footer Char"/>
    <w:link w:val="Footer"/>
    <w:uiPriority w:val="99"/>
    <w:rsid w:val="00380996"/>
    <w:rPr>
      <w:sz w:val="22"/>
      <w:szCs w:val="22"/>
      <w:lang w:eastAsia="en-US"/>
    </w:rPr>
  </w:style>
  <w:style w:type="paragraph" w:styleId="ListParagraph">
    <w:name w:val="List Paragraph"/>
    <w:basedOn w:val="Normal"/>
    <w:uiPriority w:val="34"/>
    <w:qFormat/>
    <w:rsid w:val="00AB4A81"/>
    <w:pPr>
      <w:ind w:left="720"/>
      <w:contextualSpacing/>
    </w:pPr>
  </w:style>
  <w:style w:type="character" w:styleId="Hyperlink">
    <w:name w:val="Hyperlink"/>
    <w:basedOn w:val="DefaultParagraphFont"/>
    <w:uiPriority w:val="99"/>
    <w:unhideWhenUsed/>
    <w:rsid w:val="00AB4A81"/>
    <w:rPr>
      <w:color w:val="0000FF" w:themeColor="hyperlink"/>
      <w:u w:val="single"/>
    </w:rPr>
  </w:style>
  <w:style w:type="paragraph" w:styleId="Revision">
    <w:name w:val="Revision"/>
    <w:hidden/>
    <w:uiPriority w:val="99"/>
    <w:semiHidden/>
    <w:rsid w:val="001F24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2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29D"/>
    <w:rPr>
      <w:rFonts w:ascii="Tahoma" w:hAnsi="Tahoma" w:cs="Tahoma"/>
      <w:sz w:val="16"/>
      <w:szCs w:val="16"/>
      <w:lang w:eastAsia="en-US"/>
    </w:rPr>
  </w:style>
  <w:style w:type="character" w:styleId="CommentReference">
    <w:name w:val="annotation reference"/>
    <w:uiPriority w:val="99"/>
    <w:semiHidden/>
    <w:unhideWhenUsed/>
    <w:rsid w:val="00592FE2"/>
    <w:rPr>
      <w:sz w:val="16"/>
      <w:szCs w:val="16"/>
    </w:rPr>
  </w:style>
  <w:style w:type="paragraph" w:styleId="CommentText">
    <w:name w:val="annotation text"/>
    <w:basedOn w:val="Normal"/>
    <w:link w:val="CommentTextChar"/>
    <w:uiPriority w:val="99"/>
    <w:semiHidden/>
    <w:unhideWhenUsed/>
    <w:rsid w:val="00592FE2"/>
    <w:rPr>
      <w:sz w:val="20"/>
      <w:szCs w:val="20"/>
    </w:rPr>
  </w:style>
  <w:style w:type="character" w:customStyle="1" w:styleId="CommentTextChar">
    <w:name w:val="Comment Text Char"/>
    <w:link w:val="CommentText"/>
    <w:uiPriority w:val="99"/>
    <w:semiHidden/>
    <w:rsid w:val="00592FE2"/>
    <w:rPr>
      <w:lang w:eastAsia="en-US"/>
    </w:rPr>
  </w:style>
  <w:style w:type="paragraph" w:styleId="CommentSubject">
    <w:name w:val="annotation subject"/>
    <w:basedOn w:val="CommentText"/>
    <w:next w:val="CommentText"/>
    <w:link w:val="CommentSubjectChar"/>
    <w:uiPriority w:val="99"/>
    <w:semiHidden/>
    <w:unhideWhenUsed/>
    <w:rsid w:val="00592FE2"/>
    <w:rPr>
      <w:b/>
      <w:bCs/>
    </w:rPr>
  </w:style>
  <w:style w:type="character" w:customStyle="1" w:styleId="CommentSubjectChar">
    <w:name w:val="Comment Subject Char"/>
    <w:link w:val="CommentSubject"/>
    <w:uiPriority w:val="99"/>
    <w:semiHidden/>
    <w:rsid w:val="00592FE2"/>
    <w:rPr>
      <w:b/>
      <w:bCs/>
      <w:lang w:eastAsia="en-US"/>
    </w:rPr>
  </w:style>
  <w:style w:type="paragraph" w:styleId="Header">
    <w:name w:val="header"/>
    <w:basedOn w:val="Normal"/>
    <w:link w:val="HeaderChar"/>
    <w:uiPriority w:val="99"/>
    <w:unhideWhenUsed/>
    <w:rsid w:val="00380996"/>
    <w:pPr>
      <w:tabs>
        <w:tab w:val="center" w:pos="4513"/>
        <w:tab w:val="right" w:pos="9026"/>
      </w:tabs>
    </w:pPr>
  </w:style>
  <w:style w:type="character" w:customStyle="1" w:styleId="HeaderChar">
    <w:name w:val="Header Char"/>
    <w:link w:val="Header"/>
    <w:uiPriority w:val="99"/>
    <w:rsid w:val="00380996"/>
    <w:rPr>
      <w:sz w:val="22"/>
      <w:szCs w:val="22"/>
      <w:lang w:eastAsia="en-US"/>
    </w:rPr>
  </w:style>
  <w:style w:type="paragraph" w:styleId="Footer">
    <w:name w:val="footer"/>
    <w:basedOn w:val="Normal"/>
    <w:link w:val="FooterChar"/>
    <w:uiPriority w:val="99"/>
    <w:unhideWhenUsed/>
    <w:rsid w:val="00380996"/>
    <w:pPr>
      <w:tabs>
        <w:tab w:val="center" w:pos="4513"/>
        <w:tab w:val="right" w:pos="9026"/>
      </w:tabs>
    </w:pPr>
  </w:style>
  <w:style w:type="character" w:customStyle="1" w:styleId="FooterChar">
    <w:name w:val="Footer Char"/>
    <w:link w:val="Footer"/>
    <w:uiPriority w:val="99"/>
    <w:rsid w:val="00380996"/>
    <w:rPr>
      <w:sz w:val="22"/>
      <w:szCs w:val="22"/>
      <w:lang w:eastAsia="en-US"/>
    </w:rPr>
  </w:style>
  <w:style w:type="paragraph" w:styleId="ListParagraph">
    <w:name w:val="List Paragraph"/>
    <w:basedOn w:val="Normal"/>
    <w:uiPriority w:val="34"/>
    <w:qFormat/>
    <w:rsid w:val="00AB4A81"/>
    <w:pPr>
      <w:ind w:left="720"/>
      <w:contextualSpacing/>
    </w:pPr>
  </w:style>
  <w:style w:type="character" w:styleId="Hyperlink">
    <w:name w:val="Hyperlink"/>
    <w:basedOn w:val="DefaultParagraphFont"/>
    <w:uiPriority w:val="99"/>
    <w:unhideWhenUsed/>
    <w:rsid w:val="00AB4A81"/>
    <w:rPr>
      <w:color w:val="0000FF" w:themeColor="hyperlink"/>
      <w:u w:val="single"/>
    </w:rPr>
  </w:style>
  <w:style w:type="paragraph" w:styleId="Revision">
    <w:name w:val="Revision"/>
    <w:hidden/>
    <w:uiPriority w:val="99"/>
    <w:semiHidden/>
    <w:rsid w:val="001F24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0872">
      <w:bodyDiv w:val="1"/>
      <w:marLeft w:val="0"/>
      <w:marRight w:val="0"/>
      <w:marTop w:val="0"/>
      <w:marBottom w:val="0"/>
      <w:divBdr>
        <w:top w:val="none" w:sz="0" w:space="0" w:color="auto"/>
        <w:left w:val="none" w:sz="0" w:space="0" w:color="auto"/>
        <w:bottom w:val="none" w:sz="0" w:space="0" w:color="auto"/>
        <w:right w:val="none" w:sz="0" w:space="0" w:color="auto"/>
      </w:divBdr>
      <w:divsChild>
        <w:div w:id="195312034">
          <w:marLeft w:val="0"/>
          <w:marRight w:val="0"/>
          <w:marTop w:val="0"/>
          <w:marBottom w:val="0"/>
          <w:divBdr>
            <w:top w:val="none" w:sz="0" w:space="0" w:color="auto"/>
            <w:left w:val="none" w:sz="0" w:space="0" w:color="auto"/>
            <w:bottom w:val="none" w:sz="0" w:space="0" w:color="auto"/>
            <w:right w:val="none" w:sz="0" w:space="0" w:color="auto"/>
          </w:divBdr>
          <w:divsChild>
            <w:div w:id="1589996038">
              <w:marLeft w:val="0"/>
              <w:marRight w:val="0"/>
              <w:marTop w:val="0"/>
              <w:marBottom w:val="0"/>
              <w:divBdr>
                <w:top w:val="none" w:sz="0" w:space="0" w:color="auto"/>
                <w:left w:val="none" w:sz="0" w:space="0" w:color="auto"/>
                <w:bottom w:val="none" w:sz="0" w:space="0" w:color="auto"/>
                <w:right w:val="none" w:sz="0" w:space="0" w:color="auto"/>
              </w:divBdr>
              <w:divsChild>
                <w:div w:id="1543328526">
                  <w:marLeft w:val="0"/>
                  <w:marRight w:val="0"/>
                  <w:marTop w:val="0"/>
                  <w:marBottom w:val="0"/>
                  <w:divBdr>
                    <w:top w:val="none" w:sz="0" w:space="0" w:color="auto"/>
                    <w:left w:val="none" w:sz="0" w:space="0" w:color="auto"/>
                    <w:bottom w:val="none" w:sz="0" w:space="0" w:color="auto"/>
                    <w:right w:val="none" w:sz="0" w:space="0" w:color="auto"/>
                  </w:divBdr>
                  <w:divsChild>
                    <w:div w:id="1110078908">
                      <w:marLeft w:val="0"/>
                      <w:marRight w:val="0"/>
                      <w:marTop w:val="0"/>
                      <w:marBottom w:val="0"/>
                      <w:divBdr>
                        <w:top w:val="none" w:sz="0" w:space="0" w:color="auto"/>
                        <w:left w:val="none" w:sz="0" w:space="0" w:color="auto"/>
                        <w:bottom w:val="none" w:sz="0" w:space="0" w:color="auto"/>
                        <w:right w:val="none" w:sz="0" w:space="0" w:color="auto"/>
                      </w:divBdr>
                      <w:divsChild>
                        <w:div w:id="461072513">
                          <w:marLeft w:val="0"/>
                          <w:marRight w:val="0"/>
                          <w:marTop w:val="0"/>
                          <w:marBottom w:val="0"/>
                          <w:divBdr>
                            <w:top w:val="single" w:sz="6" w:space="0" w:color="828282"/>
                            <w:left w:val="single" w:sz="6" w:space="0" w:color="828282"/>
                            <w:bottom w:val="single" w:sz="6" w:space="0" w:color="828282"/>
                            <w:right w:val="single" w:sz="6" w:space="0" w:color="828282"/>
                          </w:divBdr>
                          <w:divsChild>
                            <w:div w:id="757871150">
                              <w:marLeft w:val="0"/>
                              <w:marRight w:val="0"/>
                              <w:marTop w:val="0"/>
                              <w:marBottom w:val="0"/>
                              <w:divBdr>
                                <w:top w:val="none" w:sz="0" w:space="0" w:color="auto"/>
                                <w:left w:val="none" w:sz="0" w:space="0" w:color="auto"/>
                                <w:bottom w:val="none" w:sz="0" w:space="0" w:color="auto"/>
                                <w:right w:val="none" w:sz="0" w:space="0" w:color="auto"/>
                              </w:divBdr>
                              <w:divsChild>
                                <w:div w:id="1010721963">
                                  <w:marLeft w:val="0"/>
                                  <w:marRight w:val="0"/>
                                  <w:marTop w:val="0"/>
                                  <w:marBottom w:val="0"/>
                                  <w:divBdr>
                                    <w:top w:val="none" w:sz="0" w:space="0" w:color="auto"/>
                                    <w:left w:val="none" w:sz="0" w:space="0" w:color="auto"/>
                                    <w:bottom w:val="none" w:sz="0" w:space="0" w:color="auto"/>
                                    <w:right w:val="none" w:sz="0" w:space="0" w:color="auto"/>
                                  </w:divBdr>
                                  <w:divsChild>
                                    <w:div w:id="475487170">
                                      <w:marLeft w:val="0"/>
                                      <w:marRight w:val="0"/>
                                      <w:marTop w:val="0"/>
                                      <w:marBottom w:val="0"/>
                                      <w:divBdr>
                                        <w:top w:val="none" w:sz="0" w:space="0" w:color="auto"/>
                                        <w:left w:val="none" w:sz="0" w:space="0" w:color="auto"/>
                                        <w:bottom w:val="none" w:sz="0" w:space="0" w:color="auto"/>
                                        <w:right w:val="none" w:sz="0" w:space="0" w:color="auto"/>
                                      </w:divBdr>
                                      <w:divsChild>
                                        <w:div w:id="291980991">
                                          <w:marLeft w:val="0"/>
                                          <w:marRight w:val="0"/>
                                          <w:marTop w:val="0"/>
                                          <w:marBottom w:val="0"/>
                                          <w:divBdr>
                                            <w:top w:val="none" w:sz="0" w:space="0" w:color="auto"/>
                                            <w:left w:val="none" w:sz="0" w:space="0" w:color="auto"/>
                                            <w:bottom w:val="none" w:sz="0" w:space="0" w:color="auto"/>
                                            <w:right w:val="none" w:sz="0" w:space="0" w:color="auto"/>
                                          </w:divBdr>
                                          <w:divsChild>
                                            <w:div w:id="1397431395">
                                              <w:marLeft w:val="0"/>
                                              <w:marRight w:val="0"/>
                                              <w:marTop w:val="0"/>
                                              <w:marBottom w:val="0"/>
                                              <w:divBdr>
                                                <w:top w:val="none" w:sz="0" w:space="0" w:color="auto"/>
                                                <w:left w:val="none" w:sz="0" w:space="0" w:color="auto"/>
                                                <w:bottom w:val="none" w:sz="0" w:space="0" w:color="auto"/>
                                                <w:right w:val="none" w:sz="0" w:space="0" w:color="auto"/>
                                              </w:divBdr>
                                              <w:divsChild>
                                                <w:div w:id="4325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5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ps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C7B3-E18B-49D0-AFCD-493D1B0F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10098</Characters>
  <Application>Microsoft Office Word</Application>
  <DocSecurity>4</DocSecurity>
  <Lines>188</Lines>
  <Paragraphs>69</Paragraphs>
  <ScaleCrop>false</ScaleCrop>
  <HeadingPairs>
    <vt:vector size="2" baseType="variant">
      <vt:variant>
        <vt:lpstr>Title</vt:lpstr>
      </vt:variant>
      <vt:variant>
        <vt:i4>1</vt:i4>
      </vt:variant>
    </vt:vector>
  </HeadingPairs>
  <TitlesOfParts>
    <vt:vector size="1" baseType="lpstr">
      <vt:lpstr>Explanatory Statement - Personal Property Securities (Fees) Determination 2013</vt:lpstr>
    </vt:vector>
  </TitlesOfParts>
  <Company>ITSA</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Personal Property Securities (Fees) Determination 2013</dc:title>
  <dc:creator>macfaa</dc:creator>
  <cp:lastModifiedBy>bartler</cp:lastModifiedBy>
  <cp:revision>2</cp:revision>
  <cp:lastPrinted>2018-05-09T03:25:00Z</cp:lastPrinted>
  <dcterms:created xsi:type="dcterms:W3CDTF">2018-06-29T04:57:00Z</dcterms:created>
  <dcterms:modified xsi:type="dcterms:W3CDTF">2018-06-29T04:57:00Z</dcterms:modified>
</cp:coreProperties>
</file>