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CD401" w14:textId="6D053427" w:rsidR="00521C09" w:rsidRPr="00BD3DBA" w:rsidRDefault="00E479CD" w:rsidP="00790500">
      <w:r w:rsidRPr="00BD3DBA">
        <w:rPr>
          <w:noProof/>
          <w:lang w:eastAsia="en-AU"/>
        </w:rPr>
        <w:drawing>
          <wp:inline distT="0" distB="0" distL="0" distR="0" wp14:anchorId="7EC8012B" wp14:editId="59E1C4C8">
            <wp:extent cx="1419225" cy="1104900"/>
            <wp:effectExtent l="0" t="0" r="9525" b="0"/>
            <wp:docPr id="25" name="Picture 2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E1BBA" w14:textId="77777777" w:rsidR="00E73966" w:rsidRPr="00BD3DBA" w:rsidRDefault="00E73966" w:rsidP="00790500"/>
    <w:p w14:paraId="60F25048" w14:textId="2A755123" w:rsidR="00521C09" w:rsidRPr="00BD3DBA" w:rsidRDefault="00FE0B45" w:rsidP="00521C09">
      <w:pPr>
        <w:pStyle w:val="ShortT"/>
      </w:pPr>
      <w:r w:rsidRPr="00BD3DBA">
        <w:t>Australian Communications and Media Authority (</w:t>
      </w:r>
      <w:proofErr w:type="spellStart"/>
      <w:r w:rsidRPr="00BD3DBA">
        <w:t>Radiocommunications</w:t>
      </w:r>
      <w:proofErr w:type="spellEnd"/>
      <w:r w:rsidRPr="00BD3DBA">
        <w:t xml:space="preserve"> Licence Conditions—</w:t>
      </w:r>
      <w:r w:rsidR="00955509">
        <w:t>3.4 and 3.6 GHz Bands Interference Management</w:t>
      </w:r>
      <w:r w:rsidRPr="00BD3DBA">
        <w:t>) Direction 2018</w:t>
      </w:r>
    </w:p>
    <w:p w14:paraId="5ED26FF0" w14:textId="77777777" w:rsidR="00E479CD" w:rsidRPr="00BD3DBA" w:rsidRDefault="00E479CD" w:rsidP="00E479CD"/>
    <w:p w14:paraId="47B5E741" w14:textId="741AB152" w:rsidR="00E479CD" w:rsidRPr="00BD3DBA" w:rsidRDefault="00FE0B45" w:rsidP="00E479CD">
      <w:pPr>
        <w:rPr>
          <w:i/>
          <w:sz w:val="28"/>
          <w:szCs w:val="26"/>
        </w:rPr>
      </w:pPr>
      <w:r w:rsidRPr="00BD3DBA">
        <w:rPr>
          <w:i/>
          <w:sz w:val="28"/>
          <w:szCs w:val="26"/>
        </w:rPr>
        <w:t>Australian Communications and Media Authority Act 2005</w:t>
      </w:r>
    </w:p>
    <w:p w14:paraId="4AFED304" w14:textId="77777777" w:rsidR="00521C09" w:rsidRPr="00BD3DBA" w:rsidRDefault="00521C09" w:rsidP="00521C09"/>
    <w:p w14:paraId="2CF219C5" w14:textId="77777777" w:rsidR="00E73966" w:rsidRPr="00BD3DBA" w:rsidRDefault="00E73966" w:rsidP="00521C09"/>
    <w:p w14:paraId="5ED361D2" w14:textId="542F412E" w:rsidR="00914D92" w:rsidRPr="00BD3DBA" w:rsidRDefault="00914D92" w:rsidP="00BE2C51">
      <w:pPr>
        <w:pStyle w:val="SignCoverPageStart"/>
        <w:spacing w:before="240"/>
      </w:pPr>
      <w:r w:rsidRPr="00BD3DBA">
        <w:t xml:space="preserve">I, </w:t>
      </w:r>
      <w:r w:rsidR="007F77CD" w:rsidRPr="00BD3DBA">
        <w:t>MITCH FIFIELD</w:t>
      </w:r>
      <w:r w:rsidRPr="00BD3DBA">
        <w:t xml:space="preserve">, </w:t>
      </w:r>
      <w:r w:rsidR="00670D11" w:rsidRPr="00BD3DBA">
        <w:t>Minister for Communications</w:t>
      </w:r>
      <w:r w:rsidRPr="00BD3DBA">
        <w:t>,</w:t>
      </w:r>
      <w:r w:rsidR="00FE0B45" w:rsidRPr="00BD3DBA">
        <w:t xml:space="preserve"> </w:t>
      </w:r>
      <w:r w:rsidR="008469E1" w:rsidRPr="00BD3DBA">
        <w:t>give</w:t>
      </w:r>
      <w:r w:rsidRPr="00BD3DBA">
        <w:t xml:space="preserve"> the following </w:t>
      </w:r>
      <w:r w:rsidR="00FE0B45" w:rsidRPr="00BD3DBA">
        <w:t>direction</w:t>
      </w:r>
      <w:r w:rsidRPr="00BD3DBA">
        <w:t>.</w:t>
      </w:r>
    </w:p>
    <w:p w14:paraId="6E5CAB86" w14:textId="0798D778" w:rsidR="00914D92" w:rsidRPr="00BD3DBA" w:rsidRDefault="00914D92" w:rsidP="00BE2C51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BD3DBA">
        <w:rPr>
          <w:sz w:val="24"/>
          <w:szCs w:val="24"/>
        </w:rPr>
        <w:t xml:space="preserve">Dated </w:t>
      </w:r>
      <w:bookmarkStart w:id="0" w:name="BKCheck15B_2"/>
      <w:bookmarkEnd w:id="0"/>
      <w:r w:rsidR="0000554E">
        <w:rPr>
          <w:sz w:val="24"/>
          <w:szCs w:val="24"/>
        </w:rPr>
        <w:t>17 July 2018</w:t>
      </w:r>
      <w:bookmarkStart w:id="1" w:name="_GoBack"/>
      <w:bookmarkEnd w:id="1"/>
    </w:p>
    <w:p w14:paraId="742D25A5" w14:textId="1AEBE07A" w:rsidR="00914D92" w:rsidRPr="00566FFA" w:rsidRDefault="007F77CD" w:rsidP="00E00CCB">
      <w:pPr>
        <w:keepNext/>
        <w:tabs>
          <w:tab w:val="left" w:pos="3402"/>
        </w:tabs>
        <w:spacing w:before="960" w:line="300" w:lineRule="atLeast"/>
        <w:ind w:right="397"/>
        <w:rPr>
          <w:b/>
          <w:szCs w:val="22"/>
        </w:rPr>
      </w:pPr>
      <w:r w:rsidRPr="00BD3DBA">
        <w:rPr>
          <w:szCs w:val="22"/>
        </w:rPr>
        <w:t>MITCH FIFIELD</w:t>
      </w:r>
    </w:p>
    <w:p w14:paraId="030A0F6D" w14:textId="5B11BC76" w:rsidR="00914D92" w:rsidRPr="00BD3DBA" w:rsidRDefault="00914D92" w:rsidP="00BE2C51">
      <w:pPr>
        <w:pStyle w:val="SignCoverPageEnd"/>
      </w:pPr>
      <w:r w:rsidRPr="00BD3DBA">
        <w:t>Minister for Communications</w:t>
      </w:r>
    </w:p>
    <w:p w14:paraId="4C8E9131" w14:textId="6B705606" w:rsidR="00521C09" w:rsidRPr="00BD3DBA" w:rsidRDefault="00521C09" w:rsidP="005142A9">
      <w:pPr>
        <w:pStyle w:val="Header"/>
        <w:keepNext w:val="0"/>
        <w:tabs>
          <w:tab w:val="clear" w:pos="4150"/>
          <w:tab w:val="clear" w:pos="8307"/>
        </w:tabs>
        <w:spacing w:line="240" w:lineRule="auto"/>
      </w:pPr>
      <w:r w:rsidRPr="00BD3DBA">
        <w:rPr>
          <w:rStyle w:val="CharChapNo"/>
        </w:rPr>
        <w:t xml:space="preserve"> </w:t>
      </w:r>
      <w:r w:rsidRPr="00BD3DBA">
        <w:rPr>
          <w:rStyle w:val="CharChapText"/>
        </w:rPr>
        <w:t xml:space="preserve"> </w:t>
      </w:r>
      <w:r w:rsidRPr="00BD3DBA">
        <w:rPr>
          <w:rStyle w:val="CharPartNo"/>
        </w:rPr>
        <w:t xml:space="preserve"> </w:t>
      </w:r>
      <w:r w:rsidRPr="00BD3DBA">
        <w:rPr>
          <w:rStyle w:val="CharPartText"/>
        </w:rPr>
        <w:t xml:space="preserve"> </w:t>
      </w:r>
      <w:r w:rsidRPr="00BD3DBA">
        <w:rPr>
          <w:rStyle w:val="CharDivNo"/>
        </w:rPr>
        <w:t xml:space="preserve"> </w:t>
      </w:r>
      <w:r w:rsidRPr="00BD3DBA">
        <w:rPr>
          <w:rStyle w:val="CharDivText"/>
        </w:rPr>
        <w:t xml:space="preserve"> </w:t>
      </w:r>
    </w:p>
    <w:p w14:paraId="1464ECE1" w14:textId="7AD8B722" w:rsidR="00275065" w:rsidRPr="00BD3DBA" w:rsidRDefault="00275065" w:rsidP="00521C09">
      <w:pPr>
        <w:pStyle w:val="ActHead5"/>
      </w:pPr>
      <w:bookmarkStart w:id="2" w:name="_Toc418067266"/>
      <w:bookmarkStart w:id="3" w:name="_Toc418067518"/>
      <w:bookmarkStart w:id="4" w:name="_Toc418067534"/>
      <w:bookmarkStart w:id="5" w:name="_Toc418067960"/>
      <w:bookmarkStart w:id="6" w:name="_Toc418165041"/>
      <w:proofErr w:type="gramStart"/>
      <w:r w:rsidRPr="00BD3DBA">
        <w:rPr>
          <w:rStyle w:val="CharSectno"/>
        </w:rPr>
        <w:t>1</w:t>
      </w:r>
      <w:r w:rsidR="00521C09" w:rsidRPr="00BD3DBA">
        <w:t xml:space="preserve">  </w:t>
      </w:r>
      <w:r w:rsidRPr="00BD3DBA">
        <w:t>Name</w:t>
      </w:r>
      <w:bookmarkEnd w:id="2"/>
      <w:bookmarkEnd w:id="3"/>
      <w:bookmarkEnd w:id="4"/>
      <w:bookmarkEnd w:id="5"/>
      <w:bookmarkEnd w:id="6"/>
      <w:proofErr w:type="gramEnd"/>
    </w:p>
    <w:p w14:paraId="7EE032AD" w14:textId="71B67631" w:rsidR="00160EE0" w:rsidRPr="00BD3DBA" w:rsidRDefault="00275065" w:rsidP="00521C09">
      <w:pPr>
        <w:pStyle w:val="subsection"/>
      </w:pPr>
      <w:r w:rsidRPr="00BD3DBA">
        <w:tab/>
      </w:r>
      <w:r w:rsidRPr="00BD3DBA">
        <w:tab/>
        <w:t>This</w:t>
      </w:r>
      <w:r w:rsidR="00AC3EF3" w:rsidRPr="00BD3DBA">
        <w:t xml:space="preserve"> </w:t>
      </w:r>
      <w:r w:rsidR="006646A5" w:rsidRPr="00BD3DBA">
        <w:t xml:space="preserve">instrument </w:t>
      </w:r>
      <w:r w:rsidRPr="00BD3DBA">
        <w:t>is the</w:t>
      </w:r>
      <w:r w:rsidR="00AC3EF3" w:rsidRPr="00BD3DBA">
        <w:t xml:space="preserve"> </w:t>
      </w:r>
      <w:r w:rsidR="00FE0B45" w:rsidRPr="00BD3DBA">
        <w:rPr>
          <w:i/>
        </w:rPr>
        <w:t>Australian Communications and Media Authority (</w:t>
      </w:r>
      <w:proofErr w:type="spellStart"/>
      <w:r w:rsidR="00FE0B45" w:rsidRPr="00BD3DBA">
        <w:rPr>
          <w:i/>
        </w:rPr>
        <w:t>Radiocommunications</w:t>
      </w:r>
      <w:proofErr w:type="spellEnd"/>
      <w:r w:rsidR="00FE0B45" w:rsidRPr="00BD3DBA">
        <w:rPr>
          <w:i/>
        </w:rPr>
        <w:t xml:space="preserve"> Licence Conditions—</w:t>
      </w:r>
      <w:r w:rsidR="00955509" w:rsidRPr="00955509">
        <w:rPr>
          <w:i/>
        </w:rPr>
        <w:t>3.4 and 3.6 GHz Bands Interference Management</w:t>
      </w:r>
      <w:r w:rsidR="00FE0B45" w:rsidRPr="00BD3DBA">
        <w:rPr>
          <w:i/>
        </w:rPr>
        <w:t>) Direction 2018</w:t>
      </w:r>
      <w:r w:rsidR="00C47468" w:rsidRPr="00BD3DBA">
        <w:t>.</w:t>
      </w:r>
    </w:p>
    <w:p w14:paraId="2AD32C90" w14:textId="77777777" w:rsidR="00611361" w:rsidRPr="00BD3DBA" w:rsidRDefault="00611361" w:rsidP="00611361">
      <w:pPr>
        <w:pStyle w:val="ActHead5"/>
      </w:pPr>
      <w:bookmarkStart w:id="7" w:name="_Toc485208921"/>
      <w:bookmarkStart w:id="8" w:name="_Toc418067267"/>
      <w:bookmarkStart w:id="9" w:name="_Toc418067519"/>
      <w:bookmarkStart w:id="10" w:name="_Toc418067535"/>
      <w:bookmarkStart w:id="11" w:name="_Toc418067961"/>
      <w:bookmarkStart w:id="12" w:name="_Toc418165042"/>
      <w:proofErr w:type="gramStart"/>
      <w:r w:rsidRPr="00BD3DBA">
        <w:rPr>
          <w:rStyle w:val="CharSectno"/>
        </w:rPr>
        <w:t>2</w:t>
      </w:r>
      <w:r w:rsidRPr="00BD3DBA">
        <w:t xml:space="preserve">  Commencement</w:t>
      </w:r>
      <w:bookmarkEnd w:id="7"/>
      <w:proofErr w:type="gramEnd"/>
    </w:p>
    <w:p w14:paraId="6D023398" w14:textId="54F811B1" w:rsidR="00FE0B45" w:rsidRPr="00BD3DBA" w:rsidRDefault="00FE0B45" w:rsidP="00611361">
      <w:pPr>
        <w:pStyle w:val="subsection"/>
      </w:pPr>
      <w:r w:rsidRPr="00BD3DBA">
        <w:tab/>
      </w:r>
      <w:r w:rsidRPr="00BD3DBA">
        <w:tab/>
        <w:t>This instrument commences on the day after it is registered.</w:t>
      </w:r>
    </w:p>
    <w:p w14:paraId="48234419" w14:textId="26F0B961" w:rsidR="006646A5" w:rsidRPr="00BD3DBA" w:rsidRDefault="006646A5" w:rsidP="006646A5">
      <w:pPr>
        <w:pStyle w:val="ActHead5"/>
      </w:pPr>
      <w:bookmarkStart w:id="13" w:name="_Toc418067268"/>
      <w:bookmarkStart w:id="14" w:name="_Toc418067520"/>
      <w:bookmarkStart w:id="15" w:name="_Toc418067536"/>
      <w:bookmarkStart w:id="16" w:name="_Toc418067962"/>
      <w:bookmarkStart w:id="17" w:name="_Toc418165043"/>
      <w:bookmarkEnd w:id="8"/>
      <w:bookmarkEnd w:id="9"/>
      <w:bookmarkEnd w:id="10"/>
      <w:bookmarkEnd w:id="11"/>
      <w:bookmarkEnd w:id="12"/>
      <w:proofErr w:type="gramStart"/>
      <w:r w:rsidRPr="00BD3DBA">
        <w:rPr>
          <w:rStyle w:val="CharSectno"/>
        </w:rPr>
        <w:lastRenderedPageBreak/>
        <w:t>3</w:t>
      </w:r>
      <w:r w:rsidRPr="00BD3DBA">
        <w:t xml:space="preserve">  Authority</w:t>
      </w:r>
      <w:proofErr w:type="gramEnd"/>
    </w:p>
    <w:p w14:paraId="3C962F87" w14:textId="73FF7B73" w:rsidR="006646A5" w:rsidRPr="00BD3DBA" w:rsidRDefault="006646A5" w:rsidP="006646A5">
      <w:pPr>
        <w:pStyle w:val="subsection"/>
      </w:pPr>
      <w:r w:rsidRPr="00BD3DBA">
        <w:tab/>
      </w:r>
      <w:r w:rsidRPr="00BD3DBA">
        <w:tab/>
        <w:t xml:space="preserve">This instrument is made under </w:t>
      </w:r>
      <w:r w:rsidR="00FE0B45" w:rsidRPr="00BD3DBA">
        <w:t xml:space="preserve">subsection 14(1) </w:t>
      </w:r>
      <w:r w:rsidRPr="00BD3DBA">
        <w:t xml:space="preserve">of the </w:t>
      </w:r>
      <w:r w:rsidR="00FE0B45" w:rsidRPr="00BD3DBA">
        <w:rPr>
          <w:i/>
        </w:rPr>
        <w:t>Australian Communications and Media Authority Act 2005</w:t>
      </w:r>
      <w:r w:rsidRPr="00BD3DBA">
        <w:t>.</w:t>
      </w:r>
    </w:p>
    <w:p w14:paraId="5313F370" w14:textId="5EE426B5" w:rsidR="006646A5" w:rsidRPr="00BD3DBA" w:rsidRDefault="00FE0B45" w:rsidP="006646A5">
      <w:pPr>
        <w:pStyle w:val="ActHead5"/>
      </w:pPr>
      <w:bookmarkStart w:id="18" w:name="_Toc418067269"/>
      <w:bookmarkStart w:id="19" w:name="_Toc418067521"/>
      <w:bookmarkStart w:id="20" w:name="_Toc418067537"/>
      <w:bookmarkStart w:id="21" w:name="_Toc418067963"/>
      <w:bookmarkStart w:id="22" w:name="_Toc418165044"/>
      <w:bookmarkStart w:id="23" w:name="_Toc454803175"/>
      <w:bookmarkEnd w:id="13"/>
      <w:bookmarkEnd w:id="14"/>
      <w:bookmarkEnd w:id="15"/>
      <w:bookmarkEnd w:id="16"/>
      <w:bookmarkEnd w:id="17"/>
      <w:proofErr w:type="gramStart"/>
      <w:r w:rsidRPr="00BD3DBA">
        <w:rPr>
          <w:rStyle w:val="CharSectno"/>
        </w:rPr>
        <w:t>4</w:t>
      </w:r>
      <w:r w:rsidR="006646A5" w:rsidRPr="00BD3DBA">
        <w:t xml:space="preserve">  </w:t>
      </w:r>
      <w:bookmarkEnd w:id="18"/>
      <w:bookmarkEnd w:id="19"/>
      <w:bookmarkEnd w:id="20"/>
      <w:bookmarkEnd w:id="21"/>
      <w:r w:rsidR="006646A5" w:rsidRPr="00BD3DBA">
        <w:t>Interpretation</w:t>
      </w:r>
      <w:bookmarkEnd w:id="22"/>
      <w:bookmarkEnd w:id="23"/>
      <w:proofErr w:type="gramEnd"/>
    </w:p>
    <w:p w14:paraId="7C7A8BE4" w14:textId="23B2AEC9" w:rsidR="000C5AE2" w:rsidRPr="00BD3DBA" w:rsidRDefault="000C5AE2" w:rsidP="00521C09">
      <w:pPr>
        <w:pStyle w:val="subsection"/>
      </w:pPr>
      <w:r w:rsidRPr="00BD3DBA">
        <w:tab/>
      </w:r>
      <w:r w:rsidR="00170906" w:rsidRPr="00BD3DBA">
        <w:t>(1)</w:t>
      </w:r>
      <w:r w:rsidRPr="00BD3DBA">
        <w:tab/>
        <w:t xml:space="preserve">In this </w:t>
      </w:r>
      <w:r w:rsidR="006D2642" w:rsidRPr="00BD3DBA">
        <w:t>instrument</w:t>
      </w:r>
      <w:r w:rsidRPr="00BD3DBA">
        <w:t>:</w:t>
      </w:r>
    </w:p>
    <w:p w14:paraId="1A722C9A" w14:textId="4FCD7B23" w:rsidR="00170906" w:rsidRPr="00BD3DBA" w:rsidRDefault="00170906" w:rsidP="00170906">
      <w:pPr>
        <w:pStyle w:val="Definition"/>
      </w:pPr>
      <w:bookmarkStart w:id="24" w:name="_Toc418165046"/>
      <w:r w:rsidRPr="00BD3DBA">
        <w:rPr>
          <w:b/>
          <w:i/>
        </w:rPr>
        <w:t>3.4 GHz band</w:t>
      </w:r>
      <w:r w:rsidRPr="00BD3DBA">
        <w:t xml:space="preserve"> means the part of the spectrum from 3400 to 3575 </w:t>
      </w:r>
      <w:proofErr w:type="spellStart"/>
      <w:r w:rsidRPr="00BD3DBA">
        <w:t>MHz.</w:t>
      </w:r>
      <w:proofErr w:type="spellEnd"/>
    </w:p>
    <w:p w14:paraId="64435F76" w14:textId="7B4C73DA" w:rsidR="00870A16" w:rsidRPr="00BD3DBA" w:rsidRDefault="00870A16" w:rsidP="00870A16">
      <w:pPr>
        <w:pStyle w:val="Definition"/>
        <w:rPr>
          <w:b/>
          <w:i/>
        </w:rPr>
      </w:pPr>
      <w:r w:rsidRPr="00BD3DBA">
        <w:rPr>
          <w:b/>
          <w:i/>
        </w:rPr>
        <w:t>3.4 GHz spectrum licence</w:t>
      </w:r>
      <w:r w:rsidRPr="00BD3DBA">
        <w:t xml:space="preserve"> means a spectrum licence that authorises the operation of a </w:t>
      </w:r>
      <w:proofErr w:type="spellStart"/>
      <w:r w:rsidRPr="00BD3DBA">
        <w:t>radiocommunications</w:t>
      </w:r>
      <w:proofErr w:type="spellEnd"/>
      <w:r w:rsidRPr="00BD3DBA">
        <w:t xml:space="preserve"> </w:t>
      </w:r>
      <w:r w:rsidR="00692656">
        <w:t>device</w:t>
      </w:r>
      <w:r w:rsidR="00692656" w:rsidRPr="00BD3DBA">
        <w:t xml:space="preserve"> </w:t>
      </w:r>
      <w:r w:rsidRPr="00BD3DBA">
        <w:t>in the 3.4 GHz band.</w:t>
      </w:r>
    </w:p>
    <w:p w14:paraId="5D10033A" w14:textId="474738B6" w:rsidR="006646A5" w:rsidRPr="00BD3DBA" w:rsidRDefault="006646A5" w:rsidP="006646A5">
      <w:pPr>
        <w:pStyle w:val="Definition"/>
        <w:rPr>
          <w:b/>
        </w:rPr>
      </w:pPr>
      <w:r w:rsidRPr="00BD3DBA">
        <w:rPr>
          <w:b/>
          <w:i/>
        </w:rPr>
        <w:t>Act</w:t>
      </w:r>
      <w:r w:rsidRPr="00BD3DBA">
        <w:t xml:space="preserve"> means </w:t>
      </w:r>
      <w:r w:rsidR="00C97B8B">
        <w:t xml:space="preserve">the </w:t>
      </w:r>
      <w:r w:rsidR="00FE0B45" w:rsidRPr="00BD3DBA">
        <w:rPr>
          <w:i/>
        </w:rPr>
        <w:t>Australian Communications and Media Authority Act 2005</w:t>
      </w:r>
      <w:r w:rsidRPr="00BD3DBA">
        <w:t>.</w:t>
      </w:r>
    </w:p>
    <w:p w14:paraId="7C60B3A1" w14:textId="32C0093A" w:rsidR="00A314C6" w:rsidRDefault="00A314C6" w:rsidP="006646A5">
      <w:pPr>
        <w:pStyle w:val="Definition"/>
      </w:pPr>
      <w:proofErr w:type="gramStart"/>
      <w:r>
        <w:rPr>
          <w:b/>
          <w:i/>
        </w:rPr>
        <w:t>compatibility</w:t>
      </w:r>
      <w:proofErr w:type="gramEnd"/>
      <w:r>
        <w:rPr>
          <w:b/>
          <w:i/>
        </w:rPr>
        <w:t xml:space="preserve"> requirement</w:t>
      </w:r>
      <w:r>
        <w:t xml:space="preserve"> </w:t>
      </w:r>
      <w:r w:rsidR="00176C6A">
        <w:t xml:space="preserve">means </w:t>
      </w:r>
      <w:r w:rsidR="006555D9">
        <w:t>the</w:t>
      </w:r>
      <w:r w:rsidR="00176C6A">
        <w:t xml:space="preserve"> compatibility requirement set out in </w:t>
      </w:r>
      <w:r w:rsidR="006555D9">
        <w:t xml:space="preserve">the </w:t>
      </w:r>
      <w:proofErr w:type="spellStart"/>
      <w:r w:rsidR="00176C6A" w:rsidRPr="00453C07">
        <w:rPr>
          <w:i/>
        </w:rPr>
        <w:t>Radiocommunications</w:t>
      </w:r>
      <w:proofErr w:type="spellEnd"/>
      <w:r w:rsidR="00176C6A" w:rsidRPr="00453C07">
        <w:rPr>
          <w:i/>
        </w:rPr>
        <w:t xml:space="preserve"> Advisory Guidelines (Managing Interference to Spectrum Licensed Receivers — 3.4 GHz Band) 2015</w:t>
      </w:r>
      <w:r w:rsidR="00176C6A">
        <w:t>, as in force from time to time</w:t>
      </w:r>
      <w:r>
        <w:t>.</w:t>
      </w:r>
    </w:p>
    <w:p w14:paraId="34E7D1F7" w14:textId="154385A9" w:rsidR="00453C07" w:rsidRPr="00453C07" w:rsidRDefault="00453C07" w:rsidP="0056057B">
      <w:pPr>
        <w:pStyle w:val="notetext"/>
      </w:pPr>
      <w:r>
        <w:t>Note:</w:t>
      </w:r>
      <w:r>
        <w:tab/>
        <w:t xml:space="preserve">See Schedule 2 to the </w:t>
      </w:r>
      <w:proofErr w:type="spellStart"/>
      <w:r w:rsidRPr="00453C07">
        <w:rPr>
          <w:i/>
        </w:rPr>
        <w:t>Radiocommunications</w:t>
      </w:r>
      <w:proofErr w:type="spellEnd"/>
      <w:r w:rsidRPr="00453C07">
        <w:rPr>
          <w:i/>
        </w:rPr>
        <w:t xml:space="preserve"> Advisory Guidelines (Managing Interference to Spectrum Licensed Receivers — 3.4 GHz Band) 2015</w:t>
      </w:r>
      <w:r>
        <w:t>.</w:t>
      </w:r>
    </w:p>
    <w:p w14:paraId="79664436" w14:textId="77777777" w:rsidR="00C16989" w:rsidRDefault="00C16989" w:rsidP="00C16989">
      <w:pPr>
        <w:pStyle w:val="Definition"/>
      </w:pPr>
      <w:r w:rsidRPr="00B20B0C">
        <w:rPr>
          <w:b/>
          <w:i/>
        </w:rPr>
        <w:t>Hierarchical Cell Identification Scheme</w:t>
      </w:r>
      <w:r w:rsidRPr="00EF1094">
        <w:t xml:space="preserve"> </w:t>
      </w:r>
      <w:r>
        <w:t xml:space="preserve">or </w:t>
      </w:r>
      <w:r>
        <w:rPr>
          <w:b/>
          <w:i/>
        </w:rPr>
        <w:t>HCIS</w:t>
      </w:r>
      <w:r w:rsidRPr="00B20B0C">
        <w:t xml:space="preserve"> </w:t>
      </w:r>
      <w:r>
        <w:t xml:space="preserve">means the Hierarchical Cell Identification Scheme used as part of the </w:t>
      </w:r>
      <w:r w:rsidRPr="00C34C69">
        <w:t xml:space="preserve">Australian </w:t>
      </w:r>
      <w:r>
        <w:t>S</w:t>
      </w:r>
      <w:r w:rsidRPr="00C34C69">
        <w:t xml:space="preserve">pectrum </w:t>
      </w:r>
      <w:r>
        <w:t>M</w:t>
      </w:r>
      <w:r w:rsidRPr="00C34C69">
        <w:t xml:space="preserve">ap </w:t>
      </w:r>
      <w:r>
        <w:t>G</w:t>
      </w:r>
      <w:r w:rsidRPr="00C34C69">
        <w:t>rid 2012</w:t>
      </w:r>
      <w:r>
        <w:t xml:space="preserve"> document published by the ACMA on its website, as the document existed at the time this instrument was made.</w:t>
      </w:r>
    </w:p>
    <w:p w14:paraId="6255377A" w14:textId="24D8115D" w:rsidR="00D72EAE" w:rsidRPr="00D72EAE" w:rsidRDefault="00D72EAE" w:rsidP="006646A5">
      <w:pPr>
        <w:pStyle w:val="Definition"/>
      </w:pPr>
      <w:proofErr w:type="gramStart"/>
      <w:r>
        <w:rPr>
          <w:b/>
          <w:i/>
        </w:rPr>
        <w:t>interference</w:t>
      </w:r>
      <w:proofErr w:type="gramEnd"/>
      <w:r>
        <w:t xml:space="preserve">, in relation to </w:t>
      </w:r>
      <w:proofErr w:type="spellStart"/>
      <w:r>
        <w:t>radiocommunications</w:t>
      </w:r>
      <w:proofErr w:type="spellEnd"/>
      <w:r>
        <w:t xml:space="preserve">, has the same meaning as in the </w:t>
      </w:r>
      <w:proofErr w:type="spellStart"/>
      <w:r>
        <w:rPr>
          <w:i/>
        </w:rPr>
        <w:t>Radiocommunications</w:t>
      </w:r>
      <w:proofErr w:type="spellEnd"/>
      <w:r>
        <w:rPr>
          <w:i/>
        </w:rPr>
        <w:t xml:space="preserve"> Act 1992</w:t>
      </w:r>
      <w:r>
        <w:t>.</w:t>
      </w:r>
    </w:p>
    <w:p w14:paraId="29A0F5C9" w14:textId="515233D8" w:rsidR="008F620E" w:rsidRPr="00BD3DBA" w:rsidRDefault="008F620E" w:rsidP="006646A5">
      <w:pPr>
        <w:pStyle w:val="Definition"/>
      </w:pPr>
      <w:r w:rsidRPr="00BD3DBA">
        <w:rPr>
          <w:b/>
          <w:i/>
        </w:rPr>
        <w:t xml:space="preserve">PTS </w:t>
      </w:r>
      <w:r w:rsidR="004033E6">
        <w:rPr>
          <w:b/>
          <w:i/>
        </w:rPr>
        <w:t xml:space="preserve">transmitter </w:t>
      </w:r>
      <w:r w:rsidRPr="00BD3DBA">
        <w:rPr>
          <w:b/>
          <w:i/>
        </w:rPr>
        <w:t>licence</w:t>
      </w:r>
      <w:r w:rsidRPr="00BD3DBA">
        <w:t xml:space="preserve"> </w:t>
      </w:r>
      <w:r w:rsidR="004033E6">
        <w:t>means a transmitter licence of the PTS type.</w:t>
      </w:r>
    </w:p>
    <w:p w14:paraId="3CE91349" w14:textId="45801CF6" w:rsidR="008F620E" w:rsidRPr="00BD3DBA" w:rsidRDefault="008F620E" w:rsidP="006646A5">
      <w:pPr>
        <w:pStyle w:val="Definition"/>
      </w:pPr>
      <w:proofErr w:type="spellStart"/>
      <w:proofErr w:type="gramStart"/>
      <w:r w:rsidRPr="00BD3DBA">
        <w:rPr>
          <w:b/>
          <w:i/>
        </w:rPr>
        <w:t>radiocommunications</w:t>
      </w:r>
      <w:proofErr w:type="spellEnd"/>
      <w:proofErr w:type="gramEnd"/>
      <w:r w:rsidRPr="00BD3DBA">
        <w:rPr>
          <w:b/>
          <w:i/>
        </w:rPr>
        <w:t xml:space="preserve"> </w:t>
      </w:r>
      <w:r w:rsidR="00692656">
        <w:rPr>
          <w:b/>
          <w:i/>
        </w:rPr>
        <w:t>device</w:t>
      </w:r>
      <w:r w:rsidR="00692656" w:rsidRPr="00BD3DBA">
        <w:t xml:space="preserve"> </w:t>
      </w:r>
      <w:r w:rsidRPr="00BD3DBA">
        <w:t xml:space="preserve">has the same meaning as in the </w:t>
      </w:r>
      <w:proofErr w:type="spellStart"/>
      <w:r w:rsidRPr="00BD3DBA">
        <w:rPr>
          <w:i/>
        </w:rPr>
        <w:t>Radiocommunications</w:t>
      </w:r>
      <w:proofErr w:type="spellEnd"/>
      <w:r w:rsidRPr="00BD3DBA">
        <w:rPr>
          <w:i/>
        </w:rPr>
        <w:t xml:space="preserve"> Act 1992</w:t>
      </w:r>
      <w:r w:rsidRPr="00BD3DBA">
        <w:t>.</w:t>
      </w:r>
    </w:p>
    <w:p w14:paraId="321B1CE6" w14:textId="77777777" w:rsidR="00692656" w:rsidRPr="00C55ACF" w:rsidRDefault="00692656" w:rsidP="00692656">
      <w:pPr>
        <w:pStyle w:val="Definition"/>
      </w:pPr>
      <w:proofErr w:type="gramStart"/>
      <w:r>
        <w:rPr>
          <w:b/>
          <w:i/>
        </w:rPr>
        <w:t>radio</w:t>
      </w:r>
      <w:proofErr w:type="gramEnd"/>
      <w:r>
        <w:rPr>
          <w:b/>
          <w:i/>
        </w:rPr>
        <w:t xml:space="preserve"> emission</w:t>
      </w:r>
      <w:r>
        <w:t xml:space="preserve"> has the same meaning as in the </w:t>
      </w:r>
      <w:proofErr w:type="spellStart"/>
      <w:r>
        <w:rPr>
          <w:i/>
        </w:rPr>
        <w:t>Radiocommunications</w:t>
      </w:r>
      <w:proofErr w:type="spellEnd"/>
      <w:r>
        <w:rPr>
          <w:i/>
        </w:rPr>
        <w:t xml:space="preserve"> Act 1992</w:t>
      </w:r>
      <w:r>
        <w:t>.</w:t>
      </w:r>
    </w:p>
    <w:p w14:paraId="10C79D4C" w14:textId="0C5F9B6F" w:rsidR="00407866" w:rsidRDefault="00407866" w:rsidP="0045154F">
      <w:pPr>
        <w:pStyle w:val="Definition"/>
      </w:pPr>
      <w:proofErr w:type="gramStart"/>
      <w:r>
        <w:rPr>
          <w:b/>
          <w:i/>
        </w:rPr>
        <w:t>relevant</w:t>
      </w:r>
      <w:proofErr w:type="gramEnd"/>
      <w:r>
        <w:rPr>
          <w:b/>
          <w:i/>
        </w:rPr>
        <w:t xml:space="preserve"> area</w:t>
      </w:r>
      <w:r>
        <w:t xml:space="preserve"> </w:t>
      </w:r>
      <w:r w:rsidR="00C16989">
        <w:t>has the meaning given by section 8.</w:t>
      </w:r>
    </w:p>
    <w:p w14:paraId="615D209C" w14:textId="41182346" w:rsidR="0045154F" w:rsidRPr="00BD3DBA" w:rsidRDefault="0045154F" w:rsidP="0045154F">
      <w:pPr>
        <w:pStyle w:val="Definition"/>
      </w:pPr>
      <w:proofErr w:type="gramStart"/>
      <w:r w:rsidRPr="00BD3DBA">
        <w:rPr>
          <w:b/>
          <w:i/>
        </w:rPr>
        <w:t>relevant</w:t>
      </w:r>
      <w:proofErr w:type="gramEnd"/>
      <w:r w:rsidRPr="00BD3DBA">
        <w:rPr>
          <w:b/>
          <w:i/>
        </w:rPr>
        <w:t xml:space="preserve"> band</w:t>
      </w:r>
      <w:r w:rsidRPr="00BD3DBA">
        <w:t xml:space="preserve"> means the part of the spectrum from 3400 to 3700 </w:t>
      </w:r>
      <w:proofErr w:type="spellStart"/>
      <w:r w:rsidRPr="00BD3DBA">
        <w:t>MHz.</w:t>
      </w:r>
      <w:proofErr w:type="spellEnd"/>
    </w:p>
    <w:p w14:paraId="7551E848" w14:textId="6D5FD699" w:rsidR="00A92F4B" w:rsidRPr="00453C07" w:rsidRDefault="00A92F4B" w:rsidP="008F620E">
      <w:pPr>
        <w:pStyle w:val="Definition"/>
      </w:pPr>
      <w:proofErr w:type="gramStart"/>
      <w:r>
        <w:rPr>
          <w:b/>
          <w:i/>
        </w:rPr>
        <w:t>special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subframe</w:t>
      </w:r>
      <w:proofErr w:type="spellEnd"/>
      <w:r>
        <w:rPr>
          <w:b/>
          <w:i/>
        </w:rPr>
        <w:t xml:space="preserve"> configuration 6</w:t>
      </w:r>
      <w:r>
        <w:t xml:space="preserve"> means </w:t>
      </w:r>
      <w:r w:rsidR="00F549D6">
        <w:t xml:space="preserve">a </w:t>
      </w:r>
      <w:r>
        <w:t xml:space="preserve">special </w:t>
      </w:r>
      <w:proofErr w:type="spellStart"/>
      <w:r>
        <w:t>subfram</w:t>
      </w:r>
      <w:r w:rsidR="00485B24">
        <w:t>e</w:t>
      </w:r>
      <w:proofErr w:type="spellEnd"/>
      <w:r w:rsidR="00485B24">
        <w:t xml:space="preserve"> configuration</w:t>
      </w:r>
      <w:r w:rsidR="00F549D6">
        <w:t xml:space="preserve">, </w:t>
      </w:r>
      <w:r w:rsidR="00F549D6" w:rsidRPr="00BD3DBA">
        <w:t>as referred to in clause 4.2 of the technical specification,</w:t>
      </w:r>
      <w:r>
        <w:t xml:space="preserve"> that is consistent with special </w:t>
      </w:r>
      <w:proofErr w:type="spellStart"/>
      <w:r>
        <w:t>subframe</w:t>
      </w:r>
      <w:proofErr w:type="spellEnd"/>
      <w:r>
        <w:t xml:space="preserve"> configuration 6</w:t>
      </w:r>
      <w:r w:rsidR="00F549D6">
        <w:t>, as referred to</w:t>
      </w:r>
      <w:r>
        <w:t xml:space="preserve"> in Table 4.2-1 of the technical specification.</w:t>
      </w:r>
    </w:p>
    <w:p w14:paraId="3A9CA29B" w14:textId="7A48E873" w:rsidR="0045154F" w:rsidRPr="00BD3DBA" w:rsidRDefault="0045154F" w:rsidP="008F620E">
      <w:pPr>
        <w:pStyle w:val="Definition"/>
      </w:pPr>
      <w:proofErr w:type="gramStart"/>
      <w:r w:rsidRPr="00BD3DBA">
        <w:rPr>
          <w:b/>
          <w:i/>
        </w:rPr>
        <w:t>spectrum</w:t>
      </w:r>
      <w:proofErr w:type="gramEnd"/>
      <w:r w:rsidRPr="00BD3DBA">
        <w:t xml:space="preserve"> has the same meaning as in the </w:t>
      </w:r>
      <w:proofErr w:type="spellStart"/>
      <w:r w:rsidRPr="00BD3DBA">
        <w:rPr>
          <w:i/>
        </w:rPr>
        <w:t>Radiocommunications</w:t>
      </w:r>
      <w:proofErr w:type="spellEnd"/>
      <w:r w:rsidRPr="00BD3DBA">
        <w:rPr>
          <w:i/>
        </w:rPr>
        <w:t xml:space="preserve"> Act 1992</w:t>
      </w:r>
      <w:r w:rsidRPr="00BD3DBA">
        <w:t>.</w:t>
      </w:r>
    </w:p>
    <w:p w14:paraId="3BCCBD52" w14:textId="4C2288B6" w:rsidR="008F620E" w:rsidRPr="00BD3DBA" w:rsidRDefault="008F620E" w:rsidP="008F620E">
      <w:pPr>
        <w:pStyle w:val="Definition"/>
      </w:pPr>
      <w:proofErr w:type="gramStart"/>
      <w:r w:rsidRPr="00BD3DBA">
        <w:rPr>
          <w:b/>
          <w:i/>
        </w:rPr>
        <w:t>spectrum</w:t>
      </w:r>
      <w:proofErr w:type="gramEnd"/>
      <w:r w:rsidRPr="00BD3DBA">
        <w:rPr>
          <w:b/>
          <w:i/>
        </w:rPr>
        <w:t xml:space="preserve"> licence</w:t>
      </w:r>
      <w:r w:rsidRPr="00BD3DBA">
        <w:t xml:space="preserve"> has the same meaning as in the </w:t>
      </w:r>
      <w:proofErr w:type="spellStart"/>
      <w:r w:rsidRPr="00BD3DBA">
        <w:rPr>
          <w:i/>
        </w:rPr>
        <w:t>Radiocommunications</w:t>
      </w:r>
      <w:proofErr w:type="spellEnd"/>
      <w:r w:rsidRPr="00BD3DBA">
        <w:rPr>
          <w:i/>
        </w:rPr>
        <w:t xml:space="preserve"> Act 1992</w:t>
      </w:r>
      <w:r w:rsidRPr="00BD3DBA">
        <w:t>.</w:t>
      </w:r>
    </w:p>
    <w:p w14:paraId="5EAE4CC1" w14:textId="5EE3D3C5" w:rsidR="00E24263" w:rsidRPr="00BD3DBA" w:rsidRDefault="00E24263" w:rsidP="00E24263">
      <w:pPr>
        <w:pStyle w:val="Definition"/>
      </w:pPr>
      <w:proofErr w:type="gramStart"/>
      <w:r w:rsidRPr="00BD3DBA">
        <w:rPr>
          <w:b/>
          <w:i/>
        </w:rPr>
        <w:lastRenderedPageBreak/>
        <w:t>technical</w:t>
      </w:r>
      <w:proofErr w:type="gramEnd"/>
      <w:r w:rsidRPr="00BD3DBA">
        <w:rPr>
          <w:b/>
          <w:i/>
        </w:rPr>
        <w:t xml:space="preserve"> specification</w:t>
      </w:r>
      <w:r w:rsidRPr="00BD3DBA">
        <w:t xml:space="preserve"> means the document entitled “LTE; Evolved Universal Terrestrial Radio Access (E-UTRA); Physical channels and modulation (3GPP TS 36.211 version 14.6.0 Release 14)” published by the European Telecommunications Standards Institute (</w:t>
      </w:r>
      <w:r w:rsidR="00BD7EE4">
        <w:t>ETSI</w:t>
      </w:r>
      <w:r w:rsidRPr="00BD3DBA">
        <w:t>), as it existed at the time this instrument was made.</w:t>
      </w:r>
    </w:p>
    <w:p w14:paraId="70712375" w14:textId="6F536AEC" w:rsidR="008F620E" w:rsidRPr="00BD3DBA" w:rsidRDefault="008F620E" w:rsidP="008F620E">
      <w:pPr>
        <w:pStyle w:val="Definition"/>
      </w:pPr>
      <w:proofErr w:type="gramStart"/>
      <w:r w:rsidRPr="00BD3DBA">
        <w:rPr>
          <w:b/>
          <w:i/>
        </w:rPr>
        <w:t>transmitter</w:t>
      </w:r>
      <w:proofErr w:type="gramEnd"/>
      <w:r w:rsidRPr="00BD3DBA">
        <w:rPr>
          <w:b/>
          <w:i/>
        </w:rPr>
        <w:t xml:space="preserve"> licence</w:t>
      </w:r>
      <w:r w:rsidRPr="00BD3DBA">
        <w:t xml:space="preserve"> has the same meaning as in the </w:t>
      </w:r>
      <w:proofErr w:type="spellStart"/>
      <w:r w:rsidRPr="00BD3DBA">
        <w:rPr>
          <w:i/>
        </w:rPr>
        <w:t>Radiocommunications</w:t>
      </w:r>
      <w:proofErr w:type="spellEnd"/>
      <w:r w:rsidRPr="00BD3DBA">
        <w:rPr>
          <w:i/>
        </w:rPr>
        <w:t xml:space="preserve"> Act 1992</w:t>
      </w:r>
      <w:r w:rsidRPr="00BD3DBA">
        <w:t>.</w:t>
      </w:r>
    </w:p>
    <w:p w14:paraId="7643F73E" w14:textId="27539E9B" w:rsidR="006646A5" w:rsidRPr="00BD3DBA" w:rsidRDefault="008F620E" w:rsidP="006646A5">
      <w:pPr>
        <w:pStyle w:val="Definition"/>
      </w:pPr>
      <w:proofErr w:type="gramStart"/>
      <w:r w:rsidRPr="00BD3DBA">
        <w:rPr>
          <w:b/>
          <w:i/>
        </w:rPr>
        <w:t>type</w:t>
      </w:r>
      <w:proofErr w:type="gramEnd"/>
      <w:r w:rsidRPr="00BD3DBA">
        <w:t>, in relation to a transmitter licence,</w:t>
      </w:r>
      <w:r w:rsidR="006646A5" w:rsidRPr="00BD3DBA">
        <w:t xml:space="preserve"> has the same meaning as in the </w:t>
      </w:r>
      <w:proofErr w:type="spellStart"/>
      <w:r w:rsidRPr="00BD3DBA">
        <w:rPr>
          <w:i/>
        </w:rPr>
        <w:t>Radiocommunications</w:t>
      </w:r>
      <w:proofErr w:type="spellEnd"/>
      <w:r w:rsidRPr="00BD3DBA">
        <w:rPr>
          <w:i/>
        </w:rPr>
        <w:t xml:space="preserve"> Act 1992</w:t>
      </w:r>
      <w:r w:rsidR="006646A5" w:rsidRPr="00BD3DBA">
        <w:t>.</w:t>
      </w:r>
    </w:p>
    <w:p w14:paraId="64A44001" w14:textId="6661DD02" w:rsidR="00B90419" w:rsidRPr="00BD3DBA" w:rsidRDefault="00B90419" w:rsidP="006646A5">
      <w:pPr>
        <w:pStyle w:val="Definition"/>
      </w:pPr>
      <w:proofErr w:type="gramStart"/>
      <w:r w:rsidRPr="00BD3DBA">
        <w:rPr>
          <w:b/>
          <w:i/>
        </w:rPr>
        <w:t>uplink-downlink</w:t>
      </w:r>
      <w:proofErr w:type="gramEnd"/>
      <w:r w:rsidRPr="00BD3DBA">
        <w:rPr>
          <w:b/>
          <w:i/>
        </w:rPr>
        <w:t xml:space="preserve"> configuration 2</w:t>
      </w:r>
      <w:r w:rsidRPr="00BD3DBA">
        <w:t xml:space="preserve"> means an uplink-downlink configuration, as referred to in clause 4.2 of the technical specification, that is consistent with uplink-downlink configuration 2</w:t>
      </w:r>
      <w:r w:rsidR="00F549D6">
        <w:t>, as referred to</w:t>
      </w:r>
      <w:r w:rsidRPr="00BD3DBA">
        <w:t xml:space="preserve"> in Table 4.2-2 of the technical specification.</w:t>
      </w:r>
    </w:p>
    <w:p w14:paraId="2870E9C7" w14:textId="12AAB19E" w:rsidR="006646A5" w:rsidRPr="00BD3DBA" w:rsidRDefault="006646A5" w:rsidP="006646A5">
      <w:pPr>
        <w:pStyle w:val="notetext"/>
      </w:pPr>
      <w:r w:rsidRPr="00BD3DBA">
        <w:t>Note:</w:t>
      </w:r>
      <w:r w:rsidRPr="00BD3DBA">
        <w:tab/>
        <w:t>A number of expressions used in this instrument are defined in the Act, including the following:</w:t>
      </w:r>
    </w:p>
    <w:p w14:paraId="106C2898" w14:textId="54CA939B" w:rsidR="00820D54" w:rsidRDefault="006646A5" w:rsidP="006646A5">
      <w:pPr>
        <w:pStyle w:val="notepara"/>
      </w:pPr>
      <w:r w:rsidRPr="00BD3DBA">
        <w:t>(a)</w:t>
      </w:r>
      <w:r w:rsidRPr="00BD3DBA">
        <w:tab/>
      </w:r>
      <w:r w:rsidR="008F620E" w:rsidRPr="00BD3DBA">
        <w:t>ACMA</w:t>
      </w:r>
      <w:r w:rsidR="00820D54">
        <w:t>;</w:t>
      </w:r>
    </w:p>
    <w:p w14:paraId="0EC552A2" w14:textId="39F708F7" w:rsidR="006646A5" w:rsidRPr="00BD3DBA" w:rsidRDefault="00820D54" w:rsidP="006646A5">
      <w:pPr>
        <w:pStyle w:val="notepara"/>
      </w:pPr>
      <w:r>
        <w:t>(b)</w:t>
      </w:r>
      <w:r>
        <w:tab/>
      </w:r>
      <w:proofErr w:type="spellStart"/>
      <w:proofErr w:type="gramStart"/>
      <w:r>
        <w:t>radiocommunication</w:t>
      </w:r>
      <w:r w:rsidR="00F405B0">
        <w:t>s</w:t>
      </w:r>
      <w:proofErr w:type="spellEnd"/>
      <w:proofErr w:type="gramEnd"/>
      <w:r w:rsidR="00567C2B" w:rsidRPr="00BD3DBA">
        <w:t>.</w:t>
      </w:r>
    </w:p>
    <w:p w14:paraId="4BCC4CB0" w14:textId="77777777" w:rsidR="0045154F" w:rsidRPr="00BD3DBA" w:rsidRDefault="0045154F" w:rsidP="0045154F">
      <w:pPr>
        <w:pStyle w:val="subsection"/>
      </w:pPr>
      <w:bookmarkStart w:id="25" w:name="_Toc454803177"/>
      <w:bookmarkEnd w:id="24"/>
      <w:r w:rsidRPr="00BD3DBA">
        <w:tab/>
        <w:t>(2)</w:t>
      </w:r>
      <w:r w:rsidRPr="00BD3DBA">
        <w:tab/>
        <w:t>In this direction, a reference to a part of the spectrum includes all frequencies that are greater than but not including the lower frequency, up to and including the higher frequency.</w:t>
      </w:r>
    </w:p>
    <w:p w14:paraId="77A6CDE8" w14:textId="77777777" w:rsidR="0045154F" w:rsidRPr="00BD3DBA" w:rsidRDefault="0045154F" w:rsidP="0045154F">
      <w:pPr>
        <w:pStyle w:val="notetext"/>
      </w:pPr>
      <w:r w:rsidRPr="00BD3DBA">
        <w:t>Note:</w:t>
      </w:r>
      <w:r w:rsidRPr="00BD3DBA">
        <w:tab/>
        <w:t>This means the lower number in the reference to a part of the spectrum is not included in the part of the spectrum.</w:t>
      </w:r>
    </w:p>
    <w:p w14:paraId="2DC843B8" w14:textId="47CE175E" w:rsidR="007410BD" w:rsidRDefault="00B50634" w:rsidP="007410BD">
      <w:pPr>
        <w:pStyle w:val="ActHead5"/>
        <w:ind w:left="0" w:firstLine="0"/>
      </w:pPr>
      <w:proofErr w:type="gramStart"/>
      <w:r>
        <w:rPr>
          <w:rStyle w:val="CharSectno"/>
        </w:rPr>
        <w:t>5</w:t>
      </w:r>
      <w:r w:rsidRPr="00BD3DBA">
        <w:t xml:space="preserve">  </w:t>
      </w:r>
      <w:r w:rsidR="007410BD" w:rsidRPr="00BD3DBA">
        <w:t>Direction</w:t>
      </w:r>
      <w:proofErr w:type="gramEnd"/>
      <w:r w:rsidR="007410BD" w:rsidRPr="00BD3DBA">
        <w:t>—</w:t>
      </w:r>
      <w:r w:rsidR="00F94515">
        <w:t>conditions of 3.4 GHz spectrum licences</w:t>
      </w:r>
    </w:p>
    <w:p w14:paraId="2CB67CC8" w14:textId="3B8C041F" w:rsidR="007410BD" w:rsidRDefault="007410BD" w:rsidP="007410BD">
      <w:pPr>
        <w:pStyle w:val="subsection"/>
      </w:pPr>
      <w:r>
        <w:tab/>
        <w:t>(</w:t>
      </w:r>
      <w:r w:rsidR="008547A6">
        <w:t>1</w:t>
      </w:r>
      <w:r>
        <w:t>)</w:t>
      </w:r>
      <w:r>
        <w:tab/>
        <w:t xml:space="preserve">I direct the ACMA to take all reasonable steps to ensure that </w:t>
      </w:r>
      <w:r w:rsidR="00716BD4">
        <w:t>a person</w:t>
      </w:r>
      <w:r w:rsidR="0067606B">
        <w:t xml:space="preserve"> (</w:t>
      </w:r>
      <w:r w:rsidR="00A76010">
        <w:t xml:space="preserve">the </w:t>
      </w:r>
      <w:r w:rsidR="0067606B">
        <w:rPr>
          <w:b/>
          <w:i/>
        </w:rPr>
        <w:t>first person</w:t>
      </w:r>
      <w:r w:rsidR="0067606B">
        <w:t>)</w:t>
      </w:r>
      <w:r w:rsidR="00716BD4">
        <w:t xml:space="preserve"> </w:t>
      </w:r>
      <w:r>
        <w:t xml:space="preserve">operating </w:t>
      </w:r>
      <w:r w:rsidR="00716BD4">
        <w:t xml:space="preserve">a </w:t>
      </w:r>
      <w:proofErr w:type="spellStart"/>
      <w:r w:rsidR="00716BD4">
        <w:t>radiocommunications</w:t>
      </w:r>
      <w:proofErr w:type="spellEnd"/>
      <w:r w:rsidR="00716BD4">
        <w:t xml:space="preserve"> </w:t>
      </w:r>
      <w:r w:rsidR="009500E2">
        <w:t>device</w:t>
      </w:r>
      <w:r w:rsidR="003C4E32">
        <w:t xml:space="preserve"> (</w:t>
      </w:r>
      <w:r w:rsidR="003216AA">
        <w:t xml:space="preserve">the </w:t>
      </w:r>
      <w:r w:rsidR="003C4E32">
        <w:rPr>
          <w:b/>
          <w:i/>
        </w:rPr>
        <w:t>first device</w:t>
      </w:r>
      <w:r w:rsidR="003C4E32">
        <w:t>)</w:t>
      </w:r>
      <w:r>
        <w:t>:</w:t>
      </w:r>
    </w:p>
    <w:p w14:paraId="73BFE31A" w14:textId="77777777" w:rsidR="007410BD" w:rsidRDefault="007410BD" w:rsidP="007410BD">
      <w:pPr>
        <w:pStyle w:val="paragraph"/>
      </w:pPr>
      <w:r>
        <w:tab/>
        <w:t>(a)</w:t>
      </w:r>
      <w:r>
        <w:tab/>
      </w:r>
      <w:proofErr w:type="gramStart"/>
      <w:r>
        <w:t>in</w:t>
      </w:r>
      <w:proofErr w:type="gramEnd"/>
      <w:r>
        <w:t xml:space="preserve"> the 3.4 GHz band; and</w:t>
      </w:r>
    </w:p>
    <w:p w14:paraId="775743BC" w14:textId="0CEF54A4" w:rsidR="00407866" w:rsidRDefault="00407866" w:rsidP="007410BD">
      <w:pPr>
        <w:pStyle w:val="paragraph"/>
      </w:pPr>
      <w:r>
        <w:tab/>
        <w:t>(b)</w:t>
      </w:r>
      <w:r>
        <w:tab/>
      </w:r>
      <w:proofErr w:type="gramStart"/>
      <w:r>
        <w:t>within</w:t>
      </w:r>
      <w:proofErr w:type="gramEnd"/>
      <w:r>
        <w:t xml:space="preserve"> </w:t>
      </w:r>
      <w:r w:rsidR="00C16989">
        <w:t xml:space="preserve">the </w:t>
      </w:r>
      <w:r>
        <w:t>relevant area; and</w:t>
      </w:r>
    </w:p>
    <w:p w14:paraId="6CA4528A" w14:textId="536889DD" w:rsidR="00CD0699" w:rsidRDefault="00716BD4" w:rsidP="007410BD">
      <w:pPr>
        <w:pStyle w:val="paragraph"/>
      </w:pPr>
      <w:r>
        <w:tab/>
        <w:t>(</w:t>
      </w:r>
      <w:r w:rsidR="00407866">
        <w:t>c</w:t>
      </w:r>
      <w:r>
        <w:t>)</w:t>
      </w:r>
      <w:r>
        <w:tab/>
      </w:r>
      <w:proofErr w:type="gramStart"/>
      <w:r>
        <w:t>unde</w:t>
      </w:r>
      <w:r w:rsidR="009E665D">
        <w:t>r</w:t>
      </w:r>
      <w:proofErr w:type="gramEnd"/>
      <w:r w:rsidR="009E665D">
        <w:t xml:space="preserve"> a </w:t>
      </w:r>
      <w:r w:rsidR="00F94515">
        <w:t xml:space="preserve">spectrum </w:t>
      </w:r>
      <w:r w:rsidR="009E665D">
        <w:t>licence; and</w:t>
      </w:r>
    </w:p>
    <w:p w14:paraId="79DEEB67" w14:textId="31EC6258" w:rsidR="007410BD" w:rsidRDefault="007410BD" w:rsidP="007410BD">
      <w:pPr>
        <w:pStyle w:val="paragraph"/>
      </w:pPr>
      <w:r>
        <w:tab/>
        <w:t>(</w:t>
      </w:r>
      <w:r w:rsidR="00407866">
        <w:t>d</w:t>
      </w:r>
      <w:r>
        <w:t>)</w:t>
      </w:r>
      <w:r>
        <w:tab/>
      </w:r>
      <w:proofErr w:type="gramStart"/>
      <w:r>
        <w:t>on</w:t>
      </w:r>
      <w:proofErr w:type="gramEnd"/>
      <w:r>
        <w:t xml:space="preserve"> or after 30 March 2020;</w:t>
      </w:r>
    </w:p>
    <w:p w14:paraId="29FBAD79" w14:textId="3A7B9129" w:rsidR="0059707B" w:rsidRPr="00234607" w:rsidRDefault="00716BD4" w:rsidP="007410BD">
      <w:pPr>
        <w:pStyle w:val="subsection2"/>
      </w:pPr>
      <w:proofErr w:type="gramStart"/>
      <w:r w:rsidRPr="00234607">
        <w:t>is</w:t>
      </w:r>
      <w:proofErr w:type="gramEnd"/>
      <w:r w:rsidRPr="00234607">
        <w:t xml:space="preserve"> </w:t>
      </w:r>
      <w:r w:rsidR="002E6E3F" w:rsidRPr="00234607">
        <w:t>required to</w:t>
      </w:r>
      <w:r w:rsidR="009408BB" w:rsidRPr="00234607">
        <w:t xml:space="preserve"> </w:t>
      </w:r>
      <w:r w:rsidR="009500E2" w:rsidRPr="00234607">
        <w:t xml:space="preserve">manage interference </w:t>
      </w:r>
      <w:r w:rsidR="009162D1">
        <w:t>between</w:t>
      </w:r>
      <w:r w:rsidR="009162D1" w:rsidRPr="00234607">
        <w:t xml:space="preserve"> </w:t>
      </w:r>
      <w:r w:rsidR="00751367">
        <w:t xml:space="preserve">the </w:t>
      </w:r>
      <w:proofErr w:type="spellStart"/>
      <w:r w:rsidR="00751367">
        <w:t>radiocommunications</w:t>
      </w:r>
      <w:proofErr w:type="spellEnd"/>
      <w:r w:rsidR="00751367">
        <w:t xml:space="preserve"> of </w:t>
      </w:r>
      <w:r w:rsidR="009162D1">
        <w:t xml:space="preserve">the first device and of other </w:t>
      </w:r>
      <w:proofErr w:type="spellStart"/>
      <w:r w:rsidR="009500E2" w:rsidRPr="00234607">
        <w:t>radiocommunications</w:t>
      </w:r>
      <w:proofErr w:type="spellEnd"/>
      <w:r w:rsidR="009500E2" w:rsidRPr="00234607">
        <w:t xml:space="preserve"> </w:t>
      </w:r>
      <w:r w:rsidR="0059707B" w:rsidRPr="00234607">
        <w:t>devices</w:t>
      </w:r>
      <w:r w:rsidR="00A76010">
        <w:t xml:space="preserve"> (</w:t>
      </w:r>
      <w:r w:rsidR="00A76010">
        <w:rPr>
          <w:b/>
          <w:i/>
        </w:rPr>
        <w:t>other devices</w:t>
      </w:r>
      <w:r w:rsidR="00A76010">
        <w:t>)</w:t>
      </w:r>
      <w:r w:rsidR="009162D1">
        <w:t xml:space="preserve"> operated</w:t>
      </w:r>
      <w:r w:rsidR="0059707B" w:rsidRPr="00234607">
        <w:t>:</w:t>
      </w:r>
    </w:p>
    <w:p w14:paraId="21A91519" w14:textId="20A35311" w:rsidR="0059707B" w:rsidRDefault="0059707B" w:rsidP="00234607">
      <w:pPr>
        <w:pStyle w:val="paragraph"/>
      </w:pPr>
      <w:r w:rsidRPr="00234607">
        <w:tab/>
        <w:t>(e)</w:t>
      </w:r>
      <w:r w:rsidRPr="00234607">
        <w:tab/>
      </w:r>
      <w:proofErr w:type="gramStart"/>
      <w:r w:rsidRPr="00234607">
        <w:t>in</w:t>
      </w:r>
      <w:proofErr w:type="gramEnd"/>
      <w:r w:rsidRPr="00234607">
        <w:t xml:space="preserve"> the relevant band; and</w:t>
      </w:r>
    </w:p>
    <w:p w14:paraId="7EAC358E" w14:textId="679EA5D8" w:rsidR="00407866" w:rsidRPr="00234607" w:rsidRDefault="00407866" w:rsidP="00234607">
      <w:pPr>
        <w:pStyle w:val="paragraph"/>
      </w:pPr>
      <w:r>
        <w:tab/>
        <w:t>(f)</w:t>
      </w:r>
      <w:r>
        <w:tab/>
      </w:r>
      <w:proofErr w:type="gramStart"/>
      <w:r>
        <w:t>within</w:t>
      </w:r>
      <w:proofErr w:type="gramEnd"/>
      <w:r>
        <w:t xml:space="preserve"> </w:t>
      </w:r>
      <w:r w:rsidR="00C16989">
        <w:t xml:space="preserve">the </w:t>
      </w:r>
      <w:r>
        <w:t>relevant area; and</w:t>
      </w:r>
    </w:p>
    <w:p w14:paraId="70894F06" w14:textId="317C9EEC" w:rsidR="0059707B" w:rsidRPr="00234607" w:rsidRDefault="0059707B" w:rsidP="00453C07">
      <w:pPr>
        <w:pStyle w:val="paragraph"/>
        <w:tabs>
          <w:tab w:val="left" w:pos="2160"/>
          <w:tab w:val="left" w:pos="2834"/>
        </w:tabs>
      </w:pPr>
      <w:r w:rsidRPr="00234607">
        <w:tab/>
        <w:t>(</w:t>
      </w:r>
      <w:r w:rsidR="00407866">
        <w:t>g</w:t>
      </w:r>
      <w:r w:rsidRPr="00234607">
        <w:t>)</w:t>
      </w:r>
      <w:r w:rsidRPr="00234607">
        <w:tab/>
      </w:r>
      <w:proofErr w:type="gramStart"/>
      <w:r w:rsidR="009500E2" w:rsidRPr="00234607">
        <w:t>under</w:t>
      </w:r>
      <w:proofErr w:type="gramEnd"/>
      <w:r w:rsidRPr="00234607">
        <w:t>:</w:t>
      </w:r>
    </w:p>
    <w:p w14:paraId="5BCAD38C" w14:textId="5D5DEA01" w:rsidR="0059707B" w:rsidRPr="00234607" w:rsidRDefault="0059707B" w:rsidP="00234607">
      <w:pPr>
        <w:pStyle w:val="paragraphsub"/>
      </w:pPr>
      <w:r w:rsidRPr="00234607">
        <w:tab/>
        <w:t>(</w:t>
      </w:r>
      <w:proofErr w:type="spellStart"/>
      <w:r w:rsidRPr="00234607">
        <w:t>i</w:t>
      </w:r>
      <w:proofErr w:type="spellEnd"/>
      <w:r w:rsidRPr="00234607">
        <w:t>)</w:t>
      </w:r>
      <w:r w:rsidRPr="00234607">
        <w:tab/>
      </w:r>
      <w:proofErr w:type="gramStart"/>
      <w:r w:rsidR="00A76010">
        <w:t>other</w:t>
      </w:r>
      <w:proofErr w:type="gramEnd"/>
      <w:r w:rsidR="009500E2" w:rsidRPr="00234607">
        <w:t xml:space="preserve"> spectrum licenc</w:t>
      </w:r>
      <w:r w:rsidRPr="00234607">
        <w:t>e</w:t>
      </w:r>
      <w:r w:rsidR="00A76010">
        <w:t>s</w:t>
      </w:r>
      <w:r w:rsidRPr="00234607">
        <w:t>; or</w:t>
      </w:r>
    </w:p>
    <w:p w14:paraId="1D9B3494" w14:textId="172ABDFC" w:rsidR="0059707B" w:rsidRPr="00453C07" w:rsidRDefault="0059707B" w:rsidP="00234607">
      <w:pPr>
        <w:pStyle w:val="paragraphsub"/>
      </w:pPr>
      <w:r w:rsidRPr="00234607">
        <w:tab/>
        <w:t>(ii)</w:t>
      </w:r>
      <w:r w:rsidRPr="00234607">
        <w:tab/>
      </w:r>
      <w:r w:rsidR="00A76010">
        <w:t xml:space="preserve">PTS </w:t>
      </w:r>
      <w:r w:rsidR="00A92F4B">
        <w:t xml:space="preserve">transmitter </w:t>
      </w:r>
      <w:r w:rsidRPr="0059707B">
        <w:t>licence</w:t>
      </w:r>
      <w:r w:rsidR="00A76010">
        <w:t>s</w:t>
      </w:r>
      <w:r w:rsidRPr="0059707B">
        <w:t>;</w:t>
      </w:r>
      <w:r w:rsidR="006555D9">
        <w:t xml:space="preserve"> and</w:t>
      </w:r>
    </w:p>
    <w:p w14:paraId="210930B1" w14:textId="5FBC742E" w:rsidR="0059707B" w:rsidRDefault="0059707B" w:rsidP="0059707B">
      <w:pPr>
        <w:pStyle w:val="paragraph"/>
      </w:pPr>
      <w:r>
        <w:tab/>
        <w:t>(</w:t>
      </w:r>
      <w:r w:rsidR="00407866">
        <w:t>h</w:t>
      </w:r>
      <w:r>
        <w:t>)</w:t>
      </w:r>
      <w:r>
        <w:tab/>
      </w:r>
      <w:proofErr w:type="gramStart"/>
      <w:r>
        <w:t>on</w:t>
      </w:r>
      <w:proofErr w:type="gramEnd"/>
      <w:r>
        <w:t xml:space="preserve"> or after 30 March 2020;</w:t>
      </w:r>
    </w:p>
    <w:p w14:paraId="4F709921" w14:textId="77777777" w:rsidR="002F6FE7" w:rsidRDefault="00A92F4B" w:rsidP="0059707B">
      <w:pPr>
        <w:pStyle w:val="subsection2"/>
      </w:pPr>
      <w:proofErr w:type="gramStart"/>
      <w:r>
        <w:t>where</w:t>
      </w:r>
      <w:proofErr w:type="gramEnd"/>
      <w:r w:rsidR="002F6FE7">
        <w:t>:</w:t>
      </w:r>
    </w:p>
    <w:p w14:paraId="0C98556D" w14:textId="2AD34BD7" w:rsidR="002F6FE7" w:rsidRDefault="002F6FE7" w:rsidP="00453C07">
      <w:pPr>
        <w:pStyle w:val="paragraph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A92F4B">
        <w:t>the</w:t>
      </w:r>
      <w:proofErr w:type="gramEnd"/>
      <w:r w:rsidR="00A92F4B">
        <w:t xml:space="preserve"> level of interference to </w:t>
      </w:r>
      <w:r w:rsidR="009162D1">
        <w:t xml:space="preserve">the first device or </w:t>
      </w:r>
      <w:r w:rsidR="00322161">
        <w:t xml:space="preserve">to </w:t>
      </w:r>
      <w:r w:rsidR="00A92F4B">
        <w:t xml:space="preserve">any of </w:t>
      </w:r>
      <w:r w:rsidR="006555D9">
        <w:t xml:space="preserve">the other </w:t>
      </w:r>
      <w:r w:rsidR="00A92F4B">
        <w:t xml:space="preserve">devices exceeds </w:t>
      </w:r>
      <w:r w:rsidR="006555D9">
        <w:t>the</w:t>
      </w:r>
      <w:r w:rsidR="00A92F4B">
        <w:t xml:space="preserve"> compatibility requirement</w:t>
      </w:r>
      <w:r>
        <w:t>; and</w:t>
      </w:r>
    </w:p>
    <w:p w14:paraId="330C5729" w14:textId="63EB3AA6" w:rsidR="002F6FE7" w:rsidRDefault="002F6FE7" w:rsidP="00453C07">
      <w:pPr>
        <w:pStyle w:val="paragraph"/>
      </w:pPr>
      <w:r>
        <w:lastRenderedPageBreak/>
        <w:tab/>
        <w:t>(j)</w:t>
      </w:r>
      <w:r>
        <w:tab/>
      </w:r>
      <w:proofErr w:type="gramStart"/>
      <w:r w:rsidR="00322161">
        <w:t>the</w:t>
      </w:r>
      <w:proofErr w:type="gramEnd"/>
      <w:r w:rsidR="00322161">
        <w:t xml:space="preserve"> first person and all of the persons operating the other devices have not agreed how to manage the interference</w:t>
      </w:r>
      <w:r>
        <w:t>;</w:t>
      </w:r>
    </w:p>
    <w:p w14:paraId="0DA2101F" w14:textId="38B0C5FA" w:rsidR="009500E2" w:rsidRPr="00453C07" w:rsidRDefault="009500E2">
      <w:pPr>
        <w:pStyle w:val="subsection2"/>
      </w:pPr>
      <w:proofErr w:type="gramStart"/>
      <w:r w:rsidRPr="00453C07">
        <w:t>by</w:t>
      </w:r>
      <w:proofErr w:type="gramEnd"/>
      <w:r w:rsidR="0059707B" w:rsidRPr="00453C07">
        <w:t xml:space="preserve"> ensuring that</w:t>
      </w:r>
      <w:r w:rsidRPr="00453C07">
        <w:t>:</w:t>
      </w:r>
    </w:p>
    <w:p w14:paraId="6236A910" w14:textId="3AEB6774" w:rsidR="007410BD" w:rsidRDefault="009500E2" w:rsidP="00453C07">
      <w:pPr>
        <w:pStyle w:val="paragraph"/>
      </w:pPr>
      <w:r w:rsidRPr="00453C07">
        <w:tab/>
        <w:t>(</w:t>
      </w:r>
      <w:r w:rsidR="002F6FE7">
        <w:t>k</w:t>
      </w:r>
      <w:r w:rsidRPr="00453C07">
        <w:t>)</w:t>
      </w:r>
      <w:r w:rsidRPr="00453C07">
        <w:tab/>
      </w:r>
      <w:r w:rsidR="00716BD4" w:rsidRPr="0059707B">
        <w:t xml:space="preserve">the </w:t>
      </w:r>
      <w:r w:rsidR="003C4E32">
        <w:t>first device</w:t>
      </w:r>
      <w:r w:rsidR="003C4E32" w:rsidRPr="0059707B">
        <w:t xml:space="preserve"> </w:t>
      </w:r>
      <w:r w:rsidR="0059707B" w:rsidRPr="0059707B">
        <w:t xml:space="preserve">is </w:t>
      </w:r>
      <w:r w:rsidR="00B11B0E">
        <w:t xml:space="preserve">either </w:t>
      </w:r>
      <w:r w:rsidR="0059707B" w:rsidRPr="0059707B">
        <w:t xml:space="preserve">operated </w:t>
      </w:r>
      <w:r w:rsidR="00B11B0E">
        <w:t>with</w:t>
      </w:r>
      <w:r w:rsidR="00B11B0E" w:rsidRPr="0059707B">
        <w:t xml:space="preserve"> </w:t>
      </w:r>
      <w:r w:rsidR="0059707B" w:rsidRPr="0067606B">
        <w:t xml:space="preserve">a frame structure </w:t>
      </w:r>
      <w:r w:rsidR="00F549D6">
        <w:t>that uses</w:t>
      </w:r>
      <w:r w:rsidR="008F5A17">
        <w:t xml:space="preserve"> </w:t>
      </w:r>
      <w:r w:rsidR="003216AA">
        <w:t xml:space="preserve">both </w:t>
      </w:r>
      <w:r w:rsidR="007410BD" w:rsidRPr="0067606B">
        <w:t>uplink-downlink configuration 2</w:t>
      </w:r>
      <w:r w:rsidR="00A92F4B">
        <w:t xml:space="preserve"> </w:t>
      </w:r>
      <w:r w:rsidR="003216AA">
        <w:t>and</w:t>
      </w:r>
      <w:r w:rsidR="008F5A17">
        <w:t xml:space="preserve"> </w:t>
      </w:r>
      <w:r w:rsidR="00A92F4B">
        <w:t xml:space="preserve">special </w:t>
      </w:r>
      <w:proofErr w:type="spellStart"/>
      <w:r w:rsidR="00A92F4B">
        <w:t>subframe</w:t>
      </w:r>
      <w:proofErr w:type="spellEnd"/>
      <w:r w:rsidR="00A92F4B">
        <w:t xml:space="preserve"> configuration 6</w:t>
      </w:r>
      <w:r w:rsidR="008F5A17">
        <w:t>, or the device</w:t>
      </w:r>
      <w:r w:rsidR="008714E6">
        <w:t xml:space="preserve"> is operated </w:t>
      </w:r>
      <w:r w:rsidR="00820D54">
        <w:t xml:space="preserve">using a </w:t>
      </w:r>
      <w:r w:rsidR="00D43CB5">
        <w:t>sequence</w:t>
      </w:r>
      <w:r w:rsidR="00FE24D7">
        <w:t xml:space="preserve"> and duration</w:t>
      </w:r>
      <w:r w:rsidR="00D43CB5">
        <w:t xml:space="preserve"> </w:t>
      </w:r>
      <w:r w:rsidR="00820D54">
        <w:t xml:space="preserve">of radio emissions that is </w:t>
      </w:r>
      <w:r w:rsidR="00D43CB5">
        <w:t>consistent with</w:t>
      </w:r>
      <w:r w:rsidR="00453C07">
        <w:t xml:space="preserve"> </w:t>
      </w:r>
      <w:r w:rsidR="008F5A17">
        <w:t>those configurations</w:t>
      </w:r>
      <w:r w:rsidR="008714E6">
        <w:t xml:space="preserve"> (disregarding any time at which the device is not making </w:t>
      </w:r>
      <w:r w:rsidR="00634B93">
        <w:t xml:space="preserve">a </w:t>
      </w:r>
      <w:r w:rsidR="008714E6">
        <w:t>radio emission)</w:t>
      </w:r>
      <w:r w:rsidRPr="0067606B">
        <w:t>;</w:t>
      </w:r>
      <w:r w:rsidR="00485B24">
        <w:t xml:space="preserve"> and</w:t>
      </w:r>
    </w:p>
    <w:p w14:paraId="224C961F" w14:textId="68E1B43B" w:rsidR="0059707B" w:rsidRDefault="0059707B" w:rsidP="00453C07">
      <w:pPr>
        <w:pStyle w:val="paragraph"/>
      </w:pPr>
      <w:r>
        <w:tab/>
        <w:t>(</w:t>
      </w:r>
      <w:r w:rsidR="002F6FE7">
        <w:t>l</w:t>
      </w:r>
      <w:r>
        <w:t>)</w:t>
      </w:r>
      <w:r>
        <w:tab/>
      </w:r>
      <w:proofErr w:type="gramStart"/>
      <w:r>
        <w:t>the</w:t>
      </w:r>
      <w:proofErr w:type="gramEnd"/>
      <w:r>
        <w:t xml:space="preserve"> </w:t>
      </w:r>
      <w:r w:rsidR="003C4E32">
        <w:t xml:space="preserve">timing of the frame structure </w:t>
      </w:r>
      <w:r w:rsidR="004C5A42">
        <w:t xml:space="preserve">or other </w:t>
      </w:r>
      <w:r w:rsidR="00D43CB5">
        <w:t xml:space="preserve">sequence </w:t>
      </w:r>
      <w:r w:rsidR="004C5A42">
        <w:t xml:space="preserve">of radio emissions </w:t>
      </w:r>
      <w:r w:rsidR="00A76010">
        <w:t xml:space="preserve">of the first device </w:t>
      </w:r>
      <w:r>
        <w:t xml:space="preserve">is synchronised with the </w:t>
      </w:r>
      <w:r w:rsidR="003C4E32">
        <w:t>timing of the frame structure</w:t>
      </w:r>
      <w:r w:rsidR="008F5A17">
        <w:t xml:space="preserve"> or other </w:t>
      </w:r>
      <w:r w:rsidR="00D43CB5">
        <w:t xml:space="preserve">sequence </w:t>
      </w:r>
      <w:r w:rsidR="009162D1">
        <w:t>of radio emissions</w:t>
      </w:r>
      <w:r w:rsidR="003C4E32">
        <w:t xml:space="preserve"> of </w:t>
      </w:r>
      <w:r w:rsidR="00A76010">
        <w:t>each of the other devices</w:t>
      </w:r>
      <w:r w:rsidR="00347AC1">
        <w:t xml:space="preserve"> </w:t>
      </w:r>
      <w:r w:rsidR="00634B93">
        <w:t xml:space="preserve">(disregarding any </w:t>
      </w:r>
      <w:r w:rsidR="00347AC1">
        <w:t xml:space="preserve">device </w:t>
      </w:r>
      <w:r w:rsidR="008B4B75">
        <w:t xml:space="preserve">at a time </w:t>
      </w:r>
      <w:r w:rsidR="00F405B0">
        <w:t>it</w:t>
      </w:r>
      <w:r w:rsidR="008B4B75">
        <w:t xml:space="preserve"> </w:t>
      </w:r>
      <w:r w:rsidR="00634B93">
        <w:t>is</w:t>
      </w:r>
      <w:r w:rsidR="00347AC1">
        <w:t xml:space="preserve"> not making </w:t>
      </w:r>
      <w:r w:rsidR="00634B93">
        <w:t xml:space="preserve">a </w:t>
      </w:r>
      <w:r w:rsidR="00347AC1">
        <w:t>radio emission)</w:t>
      </w:r>
      <w:r>
        <w:t>.</w:t>
      </w:r>
    </w:p>
    <w:p w14:paraId="0E79221A" w14:textId="5C9A2B51" w:rsidR="009E665D" w:rsidRDefault="007410BD" w:rsidP="009E665D">
      <w:pPr>
        <w:pStyle w:val="subsection"/>
      </w:pPr>
      <w:r>
        <w:tab/>
        <w:t>(</w:t>
      </w:r>
      <w:r w:rsidR="008547A6">
        <w:t>2</w:t>
      </w:r>
      <w:r>
        <w:t>)</w:t>
      </w:r>
      <w:r>
        <w:tab/>
        <w:t xml:space="preserve">To give effect to </w:t>
      </w:r>
      <w:r w:rsidR="001A79F3">
        <w:t>subsection (</w:t>
      </w:r>
      <w:r w:rsidR="008547A6">
        <w:t>1</w:t>
      </w:r>
      <w:r w:rsidR="001A79F3">
        <w:t>)</w:t>
      </w:r>
      <w:r>
        <w:t>, I direct the ACMA to consider performing its functions and exercising</w:t>
      </w:r>
      <w:r w:rsidR="00372833">
        <w:t xml:space="preserve"> its powers to ensure that each </w:t>
      </w:r>
      <w:r w:rsidR="0067606B">
        <w:t xml:space="preserve">3.4 GHz </w:t>
      </w:r>
      <w:r w:rsidR="00F94515">
        <w:t xml:space="preserve">spectrum </w:t>
      </w:r>
      <w:r w:rsidR="00372833">
        <w:t xml:space="preserve">licence is subject to a condition to </w:t>
      </w:r>
      <w:r w:rsidR="009E5C42">
        <w:t xml:space="preserve">the effect referred to </w:t>
      </w:r>
      <w:r w:rsidR="00372833">
        <w:t xml:space="preserve">in </w:t>
      </w:r>
      <w:r w:rsidR="0067606B">
        <w:t>that subsection</w:t>
      </w:r>
      <w:r w:rsidR="009E665D">
        <w:t>.</w:t>
      </w:r>
    </w:p>
    <w:p w14:paraId="3B8154DD" w14:textId="25BC4655" w:rsidR="00F94515" w:rsidRPr="00BD3DBA" w:rsidRDefault="00F94515" w:rsidP="00F94515">
      <w:pPr>
        <w:pStyle w:val="subsection"/>
      </w:pPr>
      <w:r w:rsidRPr="00BD3DBA">
        <w:tab/>
      </w:r>
      <w:r>
        <w:t>(</w:t>
      </w:r>
      <w:r w:rsidR="008F5A17">
        <w:t>3</w:t>
      </w:r>
      <w:r>
        <w:t>)</w:t>
      </w:r>
      <w:r w:rsidRPr="00BD3DBA">
        <w:tab/>
        <w:t>I direct the ACMA to have regard to the following matters</w:t>
      </w:r>
      <w:r w:rsidR="00F405B0" w:rsidRPr="00F405B0">
        <w:t xml:space="preserve"> </w:t>
      </w:r>
      <w:r w:rsidR="00F405B0">
        <w:t>w</w:t>
      </w:r>
      <w:r w:rsidR="00F405B0" w:rsidRPr="00BD3DBA">
        <w:t xml:space="preserve">hen performing functions or exercising powers in accordance with </w:t>
      </w:r>
      <w:r w:rsidR="00F405B0">
        <w:t>a direction in subsection (1) or (2)</w:t>
      </w:r>
      <w:r w:rsidR="00F405B0" w:rsidRPr="00BD3DBA">
        <w:t>,</w:t>
      </w:r>
      <w:r w:rsidR="009162B0">
        <w:t xml:space="preserve"> and to give significant weight to paragraph (a)</w:t>
      </w:r>
      <w:r w:rsidRPr="00BD3DBA">
        <w:t>:</w:t>
      </w:r>
    </w:p>
    <w:p w14:paraId="6BA1838A" w14:textId="2DCDFB7B" w:rsidR="00F94515" w:rsidRPr="00BD3DBA" w:rsidRDefault="00F94515" w:rsidP="00F94515">
      <w:pPr>
        <w:pStyle w:val="paragraph"/>
      </w:pPr>
      <w:r w:rsidRPr="00BD3DBA">
        <w:tab/>
        <w:t>(a)</w:t>
      </w:r>
      <w:r w:rsidRPr="00BD3DBA">
        <w:tab/>
      </w:r>
      <w:proofErr w:type="gramStart"/>
      <w:r w:rsidRPr="00BD3DBA">
        <w:t>the</w:t>
      </w:r>
      <w:proofErr w:type="gramEnd"/>
      <w:r w:rsidRPr="00BD3DBA">
        <w:t xml:space="preserve"> impact that</w:t>
      </w:r>
      <w:r w:rsidR="008F5A17">
        <w:t xml:space="preserve"> </w:t>
      </w:r>
      <w:r w:rsidR="00453C07">
        <w:t xml:space="preserve">the </w:t>
      </w:r>
      <w:r w:rsidR="00B11B0E">
        <w:t>requirement to manage interference in the manner mentioned in</w:t>
      </w:r>
      <w:r w:rsidR="008F5A17">
        <w:t xml:space="preserve"> subsection (1) </w:t>
      </w:r>
      <w:r w:rsidR="00CF77DB">
        <w:t xml:space="preserve">may </w:t>
      </w:r>
      <w:r w:rsidR="008F5A17">
        <w:t>have on</w:t>
      </w:r>
      <w:r w:rsidRPr="00BD3DBA">
        <w:t>:</w:t>
      </w:r>
    </w:p>
    <w:p w14:paraId="2E403C7F" w14:textId="087AAFB9" w:rsidR="00F94515" w:rsidRPr="00BD3DBA" w:rsidRDefault="00F94515" w:rsidP="00F94515">
      <w:pPr>
        <w:pStyle w:val="paragraphsub"/>
      </w:pPr>
      <w:r w:rsidRPr="00BD3DBA">
        <w:tab/>
        <w:t>(</w:t>
      </w:r>
      <w:proofErr w:type="spellStart"/>
      <w:r w:rsidRPr="00BD3DBA">
        <w:t>i</w:t>
      </w:r>
      <w:proofErr w:type="spellEnd"/>
      <w:r w:rsidRPr="00BD3DBA">
        <w:t>)</w:t>
      </w:r>
      <w:r w:rsidRPr="00BD3DBA">
        <w:tab/>
      </w:r>
      <w:proofErr w:type="gramStart"/>
      <w:r w:rsidRPr="00BD3DBA">
        <w:t>reducing</w:t>
      </w:r>
      <w:proofErr w:type="gramEnd"/>
      <w:r w:rsidRPr="00BD3DBA">
        <w:t xml:space="preserve"> interference </w:t>
      </w:r>
      <w:r>
        <w:t xml:space="preserve">to </w:t>
      </w:r>
      <w:r w:rsidR="00B11B0E">
        <w:t xml:space="preserve">the </w:t>
      </w:r>
      <w:proofErr w:type="spellStart"/>
      <w:r>
        <w:t>radiocommunications</w:t>
      </w:r>
      <w:proofErr w:type="spellEnd"/>
      <w:r>
        <w:t xml:space="preserve"> </w:t>
      </w:r>
      <w:r w:rsidR="008B1B47">
        <w:t xml:space="preserve">carried on by </w:t>
      </w:r>
      <w:r>
        <w:t xml:space="preserve">the </w:t>
      </w:r>
      <w:r w:rsidRPr="00BD3DBA">
        <w:t>users of the relevant band; and</w:t>
      </w:r>
    </w:p>
    <w:p w14:paraId="715D953F" w14:textId="77777777" w:rsidR="00F94515" w:rsidRPr="00BD3DBA" w:rsidRDefault="00F94515" w:rsidP="00F94515">
      <w:pPr>
        <w:pStyle w:val="paragraphsub"/>
      </w:pPr>
      <w:r w:rsidRPr="00BD3DBA">
        <w:tab/>
        <w:t>(ii)</w:t>
      </w:r>
      <w:r w:rsidRPr="00BD3DBA">
        <w:tab/>
      </w:r>
      <w:proofErr w:type="gramStart"/>
      <w:r w:rsidRPr="00BD3DBA">
        <w:t>maximising</w:t>
      </w:r>
      <w:proofErr w:type="gramEnd"/>
      <w:r w:rsidRPr="00BD3DBA">
        <w:t xml:space="preserve"> the overall public benefit derived from using the relevant band by ensuring the efficient allocation and use of the relevant band; and</w:t>
      </w:r>
    </w:p>
    <w:p w14:paraId="760068AE" w14:textId="05280380" w:rsidR="00F94515" w:rsidRPr="00BD3DBA" w:rsidRDefault="00F94515" w:rsidP="00F94515">
      <w:pPr>
        <w:pStyle w:val="paragraph"/>
      </w:pPr>
      <w:r w:rsidRPr="00BD3DBA">
        <w:tab/>
        <w:t>(b)</w:t>
      </w:r>
      <w:r w:rsidRPr="00BD3DBA">
        <w:tab/>
      </w:r>
      <w:proofErr w:type="gramStart"/>
      <w:r w:rsidRPr="00BD3DBA">
        <w:t>any</w:t>
      </w:r>
      <w:proofErr w:type="gramEnd"/>
      <w:r w:rsidRPr="00BD3DBA">
        <w:t xml:space="preserve"> other matter that the ACMA considers relevant.</w:t>
      </w:r>
    </w:p>
    <w:bookmarkEnd w:id="25"/>
    <w:p w14:paraId="34038D22" w14:textId="0D29246D" w:rsidR="006646A5" w:rsidRPr="00BD3DBA" w:rsidRDefault="00B50634" w:rsidP="006646A5">
      <w:pPr>
        <w:pStyle w:val="ActHead5"/>
        <w:ind w:left="0" w:firstLine="0"/>
      </w:pPr>
      <w:proofErr w:type="gramStart"/>
      <w:r>
        <w:rPr>
          <w:rStyle w:val="CharSectno"/>
        </w:rPr>
        <w:t>6</w:t>
      </w:r>
      <w:r w:rsidRPr="00BD3DBA">
        <w:t xml:space="preserve">  </w:t>
      </w:r>
      <w:r w:rsidR="00FE0B45" w:rsidRPr="00BD3DBA">
        <w:t>Direction</w:t>
      </w:r>
      <w:proofErr w:type="gramEnd"/>
      <w:r w:rsidR="00FE0B45" w:rsidRPr="00BD3DBA">
        <w:t>—</w:t>
      </w:r>
      <w:r w:rsidR="00B11B0E">
        <w:t xml:space="preserve">3.4 GHz PTS transmitter </w:t>
      </w:r>
      <w:r w:rsidR="00FE0B45" w:rsidRPr="00BD3DBA">
        <w:t>licence conditions determination</w:t>
      </w:r>
    </w:p>
    <w:p w14:paraId="755AD993" w14:textId="0BA59A5B" w:rsidR="00A76010" w:rsidRDefault="00FB0772" w:rsidP="00FB0772">
      <w:pPr>
        <w:pStyle w:val="subsection"/>
      </w:pPr>
      <w:r w:rsidRPr="00BD3DBA">
        <w:tab/>
      </w:r>
      <w:r w:rsidR="002A2022" w:rsidRPr="00BD3DBA">
        <w:t>(1)</w:t>
      </w:r>
      <w:r w:rsidRPr="00BD3DBA">
        <w:tab/>
        <w:t>I direct the ACMA to</w:t>
      </w:r>
      <w:r w:rsidR="00A76010">
        <w:t>:</w:t>
      </w:r>
    </w:p>
    <w:p w14:paraId="2D6532E2" w14:textId="77777777" w:rsidR="00A76010" w:rsidRDefault="00A76010" w:rsidP="00234607">
      <w:pPr>
        <w:pStyle w:val="paragraph"/>
      </w:pPr>
      <w:r>
        <w:tab/>
        <w:t>(a)</w:t>
      </w:r>
      <w:r>
        <w:tab/>
      </w:r>
      <w:r w:rsidR="00FB0772" w:rsidRPr="00BD3DBA">
        <w:t xml:space="preserve">determine, under paragraph 107(1)(f) of the </w:t>
      </w:r>
      <w:proofErr w:type="spellStart"/>
      <w:r w:rsidR="00FB0772" w:rsidRPr="00BD3DBA">
        <w:rPr>
          <w:i/>
        </w:rPr>
        <w:t>Radiocommunications</w:t>
      </w:r>
      <w:proofErr w:type="spellEnd"/>
      <w:r w:rsidR="00FB0772" w:rsidRPr="00BD3DBA">
        <w:rPr>
          <w:i/>
        </w:rPr>
        <w:t xml:space="preserve"> Act 1992</w:t>
      </w:r>
      <w:r w:rsidR="00FB0772" w:rsidRPr="00BD3DBA">
        <w:t>, a condition to the effect referred to in subsection (2)</w:t>
      </w:r>
      <w:r w:rsidR="002A2022" w:rsidRPr="00BD3DBA">
        <w:t xml:space="preserve"> in relation to the PTS type of transmitter licences</w:t>
      </w:r>
      <w:r>
        <w:t>; and</w:t>
      </w:r>
    </w:p>
    <w:p w14:paraId="79C0A43E" w14:textId="186FB6E1" w:rsidR="00A76010" w:rsidRPr="00BD3DBA" w:rsidRDefault="00A76010" w:rsidP="00234607">
      <w:pPr>
        <w:pStyle w:val="paragraph"/>
      </w:pPr>
      <w:r>
        <w:tab/>
        <w:t>(b)</w:t>
      </w:r>
      <w:r>
        <w:tab/>
      </w:r>
      <w:proofErr w:type="gramStart"/>
      <w:r>
        <w:t>to</w:t>
      </w:r>
      <w:proofErr w:type="gramEnd"/>
      <w:r>
        <w:t xml:space="preserve"> take all reasonable steps to ensure that such a condition </w:t>
      </w:r>
      <w:r w:rsidR="00C67C80">
        <w:t>is</w:t>
      </w:r>
      <w:r>
        <w:t xml:space="preserve"> in force at all times on and after 30 March 2020</w:t>
      </w:r>
      <w:r w:rsidR="00FB0772" w:rsidRPr="00BD3DBA">
        <w:t>.</w:t>
      </w:r>
    </w:p>
    <w:p w14:paraId="7DCFCBED" w14:textId="5592A0A3" w:rsidR="002A2022" w:rsidRPr="00BD3DBA" w:rsidRDefault="00FB0772" w:rsidP="00FB0772">
      <w:pPr>
        <w:pStyle w:val="subsection"/>
      </w:pPr>
      <w:r w:rsidRPr="00BD3DBA">
        <w:tab/>
      </w:r>
      <w:r w:rsidR="002A2022" w:rsidRPr="00BD3DBA">
        <w:t>(2)</w:t>
      </w:r>
      <w:r w:rsidRPr="00BD3DBA">
        <w:tab/>
        <w:t xml:space="preserve">The condition </w:t>
      </w:r>
      <w:r w:rsidR="00567C2B" w:rsidRPr="00F94515">
        <w:t>must</w:t>
      </w:r>
      <w:r w:rsidR="0067606B">
        <w:t xml:space="preserve"> require a person</w:t>
      </w:r>
      <w:r w:rsidR="0067606B" w:rsidRPr="0067606B">
        <w:t xml:space="preserve"> </w:t>
      </w:r>
      <w:r w:rsidR="00A76010">
        <w:t>(</w:t>
      </w:r>
      <w:r w:rsidR="00A76010" w:rsidRPr="00234607">
        <w:t>the</w:t>
      </w:r>
      <w:r w:rsidR="00A76010" w:rsidRPr="00453C07">
        <w:t xml:space="preserve"> </w:t>
      </w:r>
      <w:r w:rsidR="00A76010">
        <w:rPr>
          <w:b/>
          <w:i/>
        </w:rPr>
        <w:t>first person</w:t>
      </w:r>
      <w:r w:rsidR="00A76010">
        <w:t>)</w:t>
      </w:r>
      <w:r w:rsidR="00A76010" w:rsidRPr="00234607">
        <w:t xml:space="preserve"> </w:t>
      </w:r>
      <w:r w:rsidR="0067606B">
        <w:t xml:space="preserve">operating a </w:t>
      </w:r>
      <w:proofErr w:type="spellStart"/>
      <w:r w:rsidR="0067606B">
        <w:t>radiocommunications</w:t>
      </w:r>
      <w:proofErr w:type="spellEnd"/>
      <w:r w:rsidR="0067606B">
        <w:t xml:space="preserve"> device</w:t>
      </w:r>
      <w:r w:rsidR="00A76010">
        <w:t xml:space="preserve"> (the </w:t>
      </w:r>
      <w:r w:rsidR="00A76010">
        <w:rPr>
          <w:b/>
          <w:i/>
        </w:rPr>
        <w:t>first device</w:t>
      </w:r>
      <w:r w:rsidR="00A76010">
        <w:t>)</w:t>
      </w:r>
      <w:r w:rsidR="002A2022" w:rsidRPr="00BD3DBA">
        <w:t>:</w:t>
      </w:r>
    </w:p>
    <w:p w14:paraId="7FA110F2" w14:textId="15B996EF" w:rsidR="00751367" w:rsidRDefault="00EE3C3B" w:rsidP="00EE3C3B">
      <w:pPr>
        <w:pStyle w:val="paragraph"/>
      </w:pPr>
      <w:r w:rsidRPr="00BD3DBA">
        <w:tab/>
        <w:t>(a)</w:t>
      </w:r>
      <w:r w:rsidRPr="00BD3DBA">
        <w:tab/>
      </w:r>
      <w:proofErr w:type="gramStart"/>
      <w:r w:rsidRPr="00BD3DBA">
        <w:t>in</w:t>
      </w:r>
      <w:proofErr w:type="gramEnd"/>
      <w:r w:rsidRPr="00BD3DBA">
        <w:t xml:space="preserve"> the </w:t>
      </w:r>
      <w:r w:rsidR="0045154F" w:rsidRPr="00BD3DBA">
        <w:t>3.4 GHz band</w:t>
      </w:r>
      <w:r w:rsidR="00751367">
        <w:t>;</w:t>
      </w:r>
      <w:r w:rsidR="00407866">
        <w:t xml:space="preserve"> and</w:t>
      </w:r>
    </w:p>
    <w:p w14:paraId="1059AC0F" w14:textId="5B499346" w:rsidR="00407866" w:rsidRDefault="00407866" w:rsidP="00EE3C3B">
      <w:pPr>
        <w:pStyle w:val="paragraph"/>
      </w:pPr>
      <w:r>
        <w:tab/>
        <w:t>(b)</w:t>
      </w:r>
      <w:r>
        <w:tab/>
      </w:r>
      <w:proofErr w:type="gramStart"/>
      <w:r>
        <w:t>within</w:t>
      </w:r>
      <w:proofErr w:type="gramEnd"/>
      <w:r>
        <w:t xml:space="preserve"> </w:t>
      </w:r>
      <w:r w:rsidR="00C16989">
        <w:t xml:space="preserve">the </w:t>
      </w:r>
      <w:r>
        <w:t>relevant area; and</w:t>
      </w:r>
    </w:p>
    <w:p w14:paraId="7CABB4D3" w14:textId="7E672BD5" w:rsidR="00751367" w:rsidRDefault="00751367" w:rsidP="00EE3C3B">
      <w:pPr>
        <w:pStyle w:val="paragraph"/>
      </w:pPr>
      <w:r>
        <w:tab/>
        <w:t>(</w:t>
      </w:r>
      <w:r w:rsidR="00407866">
        <w:t>c</w:t>
      </w:r>
      <w:r>
        <w:t>)</w:t>
      </w:r>
      <w:r>
        <w:tab/>
      </w:r>
      <w:proofErr w:type="gramStart"/>
      <w:r>
        <w:t>under</w:t>
      </w:r>
      <w:proofErr w:type="gramEnd"/>
      <w:r>
        <w:t xml:space="preserve"> a PTS </w:t>
      </w:r>
      <w:r w:rsidR="008F5A17">
        <w:t xml:space="preserve">transmitter </w:t>
      </w:r>
      <w:r>
        <w:t>licence; and</w:t>
      </w:r>
    </w:p>
    <w:p w14:paraId="113691A0" w14:textId="219DE454" w:rsidR="00751367" w:rsidRDefault="00751367" w:rsidP="00EE3C3B">
      <w:pPr>
        <w:pStyle w:val="paragraph"/>
      </w:pPr>
      <w:r>
        <w:lastRenderedPageBreak/>
        <w:tab/>
        <w:t>(</w:t>
      </w:r>
      <w:r w:rsidR="00407866">
        <w:t>d</w:t>
      </w:r>
      <w:r>
        <w:t>)</w:t>
      </w:r>
      <w:r>
        <w:tab/>
      </w:r>
      <w:proofErr w:type="gramStart"/>
      <w:r>
        <w:t>on</w:t>
      </w:r>
      <w:proofErr w:type="gramEnd"/>
      <w:r>
        <w:t xml:space="preserve"> or after 30 March 2020;</w:t>
      </w:r>
    </w:p>
    <w:p w14:paraId="6C2BDE06" w14:textId="241157B2" w:rsidR="00751367" w:rsidRPr="00DA4355" w:rsidRDefault="00751367" w:rsidP="00751367">
      <w:pPr>
        <w:pStyle w:val="subsection2"/>
      </w:pPr>
      <w:proofErr w:type="gramStart"/>
      <w:r w:rsidRPr="00DA4355">
        <w:t>to</w:t>
      </w:r>
      <w:proofErr w:type="gramEnd"/>
      <w:r w:rsidRPr="00DA4355">
        <w:t xml:space="preserve"> manage interference </w:t>
      </w:r>
      <w:r w:rsidR="004D3F06">
        <w:t>between</w:t>
      </w:r>
      <w:r w:rsidR="004D3F06" w:rsidRPr="00DA4355">
        <w:t xml:space="preserve"> </w:t>
      </w:r>
      <w:r>
        <w:t xml:space="preserve">the </w:t>
      </w:r>
      <w:proofErr w:type="spellStart"/>
      <w:r>
        <w:t>radiocommunications</w:t>
      </w:r>
      <w:proofErr w:type="spellEnd"/>
      <w:r>
        <w:t xml:space="preserve"> of </w:t>
      </w:r>
      <w:r w:rsidR="004D3F06">
        <w:t xml:space="preserve">the first </w:t>
      </w:r>
      <w:r w:rsidR="009162D1">
        <w:t>device</w:t>
      </w:r>
      <w:r w:rsidR="004D3F06">
        <w:t xml:space="preserve"> and </w:t>
      </w:r>
      <w:r w:rsidR="009162D1">
        <w:t xml:space="preserve">of </w:t>
      </w:r>
      <w:r w:rsidR="00322161">
        <w:t xml:space="preserve">other </w:t>
      </w:r>
      <w:proofErr w:type="spellStart"/>
      <w:r w:rsidRPr="00DA4355">
        <w:t>radiocommunications</w:t>
      </w:r>
      <w:proofErr w:type="spellEnd"/>
      <w:r w:rsidRPr="00DA4355">
        <w:t xml:space="preserve"> devices</w:t>
      </w:r>
      <w:r w:rsidR="00A76010">
        <w:t xml:space="preserve"> (</w:t>
      </w:r>
      <w:r w:rsidR="00A76010">
        <w:rPr>
          <w:b/>
          <w:i/>
        </w:rPr>
        <w:t>other devices</w:t>
      </w:r>
      <w:r w:rsidR="00A76010">
        <w:t>)</w:t>
      </w:r>
      <w:r w:rsidR="009162D1">
        <w:t xml:space="preserve"> operated</w:t>
      </w:r>
      <w:r w:rsidRPr="00DA4355">
        <w:t>:</w:t>
      </w:r>
    </w:p>
    <w:p w14:paraId="69F17CCB" w14:textId="4A5673E7" w:rsidR="00751367" w:rsidRDefault="00751367" w:rsidP="00751367">
      <w:pPr>
        <w:pStyle w:val="paragraph"/>
      </w:pPr>
      <w:r w:rsidRPr="00DA4355">
        <w:tab/>
        <w:t>(e)</w:t>
      </w:r>
      <w:r w:rsidRPr="00DA4355">
        <w:tab/>
      </w:r>
      <w:proofErr w:type="gramStart"/>
      <w:r w:rsidRPr="00DA4355">
        <w:t>in</w:t>
      </w:r>
      <w:proofErr w:type="gramEnd"/>
      <w:r w:rsidRPr="00DA4355">
        <w:t xml:space="preserve"> the relevant band; and</w:t>
      </w:r>
    </w:p>
    <w:p w14:paraId="04638F74" w14:textId="76E8FB96" w:rsidR="00407866" w:rsidRPr="00DA4355" w:rsidRDefault="00407866" w:rsidP="00751367">
      <w:pPr>
        <w:pStyle w:val="paragraph"/>
      </w:pPr>
      <w:r>
        <w:tab/>
        <w:t>(f)</w:t>
      </w:r>
      <w:r>
        <w:tab/>
      </w:r>
      <w:proofErr w:type="gramStart"/>
      <w:r>
        <w:t>within</w:t>
      </w:r>
      <w:proofErr w:type="gramEnd"/>
      <w:r>
        <w:t xml:space="preserve"> </w:t>
      </w:r>
      <w:r w:rsidR="00C16989">
        <w:t xml:space="preserve">the </w:t>
      </w:r>
      <w:r>
        <w:t>relevant area; and</w:t>
      </w:r>
    </w:p>
    <w:p w14:paraId="704D783F" w14:textId="485E1D62" w:rsidR="00751367" w:rsidRPr="00DA4355" w:rsidRDefault="00751367" w:rsidP="00751367">
      <w:pPr>
        <w:pStyle w:val="paragraph"/>
      </w:pPr>
      <w:r w:rsidRPr="00DA4355">
        <w:tab/>
        <w:t>(</w:t>
      </w:r>
      <w:r w:rsidR="00407866">
        <w:t>g</w:t>
      </w:r>
      <w:r w:rsidRPr="00DA4355">
        <w:t>)</w:t>
      </w:r>
      <w:r w:rsidRPr="00DA4355">
        <w:tab/>
      </w:r>
      <w:proofErr w:type="gramStart"/>
      <w:r w:rsidRPr="00DA4355">
        <w:t>under</w:t>
      </w:r>
      <w:proofErr w:type="gramEnd"/>
      <w:r w:rsidRPr="00DA4355">
        <w:t>:</w:t>
      </w:r>
    </w:p>
    <w:p w14:paraId="670AF66E" w14:textId="2F0A2DC8" w:rsidR="00751367" w:rsidRPr="00DA4355" w:rsidRDefault="00751367" w:rsidP="00751367">
      <w:pPr>
        <w:pStyle w:val="paragraphsub"/>
      </w:pPr>
      <w:r w:rsidRPr="00DA4355">
        <w:tab/>
        <w:t>(</w:t>
      </w:r>
      <w:proofErr w:type="spellStart"/>
      <w:r w:rsidRPr="00DA4355">
        <w:t>i</w:t>
      </w:r>
      <w:proofErr w:type="spellEnd"/>
      <w:r w:rsidRPr="00DA4355">
        <w:t>)</w:t>
      </w:r>
      <w:r w:rsidRPr="00DA4355">
        <w:tab/>
      </w:r>
      <w:proofErr w:type="gramStart"/>
      <w:r w:rsidRPr="00DA4355">
        <w:t>spectrum</w:t>
      </w:r>
      <w:proofErr w:type="gramEnd"/>
      <w:r w:rsidRPr="00DA4355">
        <w:t xml:space="preserve"> licence</w:t>
      </w:r>
      <w:r w:rsidR="00A76010">
        <w:t>s</w:t>
      </w:r>
      <w:r w:rsidRPr="00DA4355">
        <w:t>; or</w:t>
      </w:r>
    </w:p>
    <w:p w14:paraId="2A9CC962" w14:textId="190F3BC2" w:rsidR="00751367" w:rsidRPr="00DA4355" w:rsidRDefault="00751367" w:rsidP="00751367">
      <w:pPr>
        <w:pStyle w:val="paragraphsub"/>
      </w:pPr>
      <w:r w:rsidRPr="00DA4355">
        <w:tab/>
        <w:t>(ii)</w:t>
      </w:r>
      <w:r w:rsidRPr="00DA4355">
        <w:tab/>
      </w:r>
      <w:proofErr w:type="gramStart"/>
      <w:r w:rsidR="00A76010">
        <w:t>other</w:t>
      </w:r>
      <w:proofErr w:type="gramEnd"/>
      <w:r w:rsidR="00A76010">
        <w:t xml:space="preserve"> PTS</w:t>
      </w:r>
      <w:r>
        <w:t xml:space="preserve"> </w:t>
      </w:r>
      <w:r w:rsidR="00407866">
        <w:t xml:space="preserve">transmitter </w:t>
      </w:r>
      <w:r w:rsidRPr="0059707B">
        <w:t>licence</w:t>
      </w:r>
      <w:r w:rsidR="00A76010">
        <w:t>s</w:t>
      </w:r>
      <w:r w:rsidRPr="0059707B">
        <w:t>;</w:t>
      </w:r>
      <w:r w:rsidR="006555D9">
        <w:t xml:space="preserve"> and</w:t>
      </w:r>
    </w:p>
    <w:p w14:paraId="5BE66BE6" w14:textId="7997582B" w:rsidR="00751367" w:rsidRDefault="00751367" w:rsidP="00751367">
      <w:pPr>
        <w:pStyle w:val="paragraph"/>
      </w:pPr>
      <w:r>
        <w:tab/>
        <w:t>(</w:t>
      </w:r>
      <w:r w:rsidR="00407866">
        <w:t>h</w:t>
      </w:r>
      <w:r>
        <w:t>)</w:t>
      </w:r>
      <w:r>
        <w:tab/>
      </w:r>
      <w:proofErr w:type="gramStart"/>
      <w:r>
        <w:t>on</w:t>
      </w:r>
      <w:proofErr w:type="gramEnd"/>
      <w:r>
        <w:t xml:space="preserve"> or after 30 March 2020;</w:t>
      </w:r>
    </w:p>
    <w:p w14:paraId="325A6CBE" w14:textId="520A76E2" w:rsidR="004D3F06" w:rsidRDefault="004D3F06" w:rsidP="00453C07">
      <w:pPr>
        <w:pStyle w:val="subsection2"/>
      </w:pPr>
      <w:proofErr w:type="gramStart"/>
      <w:r>
        <w:t>where</w:t>
      </w:r>
      <w:proofErr w:type="gramEnd"/>
      <w:r>
        <w:t>:</w:t>
      </w:r>
    </w:p>
    <w:p w14:paraId="3C094AB9" w14:textId="77777777" w:rsidR="004D3F06" w:rsidRDefault="004D3F06" w:rsidP="004D3F06">
      <w:pPr>
        <w:pStyle w:val="paragraph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the</w:t>
      </w:r>
      <w:proofErr w:type="gramEnd"/>
      <w:r>
        <w:t xml:space="preserve"> level of interference to the first device or to any of the other devices exceeds the compatibility requirement; and</w:t>
      </w:r>
    </w:p>
    <w:p w14:paraId="2A44A9E8" w14:textId="503319BF" w:rsidR="009162D1" w:rsidRDefault="009162D1" w:rsidP="009162D1">
      <w:pPr>
        <w:pStyle w:val="paragraph"/>
      </w:pPr>
      <w:r>
        <w:tab/>
        <w:t>(j)</w:t>
      </w:r>
      <w:r>
        <w:tab/>
      </w:r>
      <w:proofErr w:type="gramStart"/>
      <w:r w:rsidR="00322161">
        <w:t>the</w:t>
      </w:r>
      <w:proofErr w:type="gramEnd"/>
      <w:r w:rsidR="00322161">
        <w:t xml:space="preserve"> first person and all of the persons operating the other devices have not agreed how to manage the interference</w:t>
      </w:r>
      <w:r>
        <w:t>;</w:t>
      </w:r>
    </w:p>
    <w:p w14:paraId="1B862101" w14:textId="30BA4ACC" w:rsidR="00751367" w:rsidRPr="00DA4355" w:rsidRDefault="00751367" w:rsidP="00751367">
      <w:pPr>
        <w:pStyle w:val="subsection2"/>
      </w:pPr>
      <w:proofErr w:type="gramStart"/>
      <w:r w:rsidRPr="00DA4355">
        <w:t>by</w:t>
      </w:r>
      <w:proofErr w:type="gramEnd"/>
      <w:r w:rsidRPr="00DA4355">
        <w:t xml:space="preserve"> ensuring that:</w:t>
      </w:r>
    </w:p>
    <w:p w14:paraId="4AD8FCE5" w14:textId="6D44C5FB" w:rsidR="00EE3C3B" w:rsidRPr="00BD3DBA" w:rsidRDefault="00EE3C3B" w:rsidP="00EE3C3B">
      <w:pPr>
        <w:pStyle w:val="paragraph"/>
      </w:pPr>
      <w:r w:rsidRPr="00BD3DBA">
        <w:tab/>
        <w:t>(</w:t>
      </w:r>
      <w:r w:rsidR="004D3F06">
        <w:t>k</w:t>
      </w:r>
      <w:r w:rsidRPr="00BD3DBA">
        <w:t>)</w:t>
      </w:r>
      <w:r w:rsidRPr="00BD3DBA">
        <w:tab/>
      </w:r>
      <w:r w:rsidR="00170906" w:rsidRPr="00BD3DBA">
        <w:t xml:space="preserve">the </w:t>
      </w:r>
      <w:r w:rsidR="00A76010">
        <w:t>first device</w:t>
      </w:r>
      <w:r w:rsidR="00A76010" w:rsidRPr="00BD3DBA">
        <w:t xml:space="preserve"> </w:t>
      </w:r>
      <w:r w:rsidR="00751367">
        <w:t xml:space="preserve">is </w:t>
      </w:r>
      <w:r w:rsidR="003216AA">
        <w:t xml:space="preserve">either </w:t>
      </w:r>
      <w:r w:rsidR="00751367">
        <w:t xml:space="preserve">operated </w:t>
      </w:r>
      <w:r w:rsidR="003216AA">
        <w:t xml:space="preserve">with </w:t>
      </w:r>
      <w:r w:rsidR="003C4E32" w:rsidRPr="0067606B">
        <w:t xml:space="preserve">a frame structure </w:t>
      </w:r>
      <w:r w:rsidR="00F549D6">
        <w:t>that uses</w:t>
      </w:r>
      <w:r w:rsidR="00A314C6">
        <w:t xml:space="preserve"> </w:t>
      </w:r>
      <w:r w:rsidR="003216AA">
        <w:t xml:space="preserve">both </w:t>
      </w:r>
      <w:r w:rsidRPr="00BD3DBA">
        <w:t>uplink-downlink configuration 2</w:t>
      </w:r>
      <w:r w:rsidR="00A314C6">
        <w:t xml:space="preserve"> </w:t>
      </w:r>
      <w:r w:rsidR="003216AA">
        <w:t>and</w:t>
      </w:r>
      <w:r w:rsidR="00A314C6">
        <w:t xml:space="preserve"> special </w:t>
      </w:r>
      <w:proofErr w:type="spellStart"/>
      <w:r w:rsidR="00A314C6">
        <w:t>subframe</w:t>
      </w:r>
      <w:proofErr w:type="spellEnd"/>
      <w:r w:rsidR="00A314C6">
        <w:t xml:space="preserve"> configuration </w:t>
      </w:r>
      <w:r w:rsidR="00322161">
        <w:t xml:space="preserve">6, </w:t>
      </w:r>
      <w:r w:rsidR="008714E6">
        <w:t xml:space="preserve">or the device </w:t>
      </w:r>
      <w:r w:rsidR="00820D54">
        <w:t xml:space="preserve">operated using a </w:t>
      </w:r>
      <w:r w:rsidR="005628E7">
        <w:t xml:space="preserve">sequence and duration </w:t>
      </w:r>
      <w:r w:rsidR="00820D54">
        <w:t xml:space="preserve">of radio emissions that is </w:t>
      </w:r>
      <w:r w:rsidR="005628E7">
        <w:t xml:space="preserve">consistent with </w:t>
      </w:r>
      <w:r w:rsidR="00820D54">
        <w:t xml:space="preserve">those configurations (disregarding any times at which the device is not making </w:t>
      </w:r>
      <w:r w:rsidR="005628E7">
        <w:t xml:space="preserve">a </w:t>
      </w:r>
      <w:r w:rsidR="00820D54">
        <w:t>radio emission)</w:t>
      </w:r>
      <w:r w:rsidR="00751367">
        <w:t>; and</w:t>
      </w:r>
    </w:p>
    <w:p w14:paraId="126959F5" w14:textId="04C40ACC" w:rsidR="00751367" w:rsidRDefault="00751367" w:rsidP="00751367">
      <w:pPr>
        <w:pStyle w:val="paragraph"/>
      </w:pPr>
      <w:r>
        <w:tab/>
        <w:t>(</w:t>
      </w:r>
      <w:r w:rsidR="004D3F06">
        <w:t>l</w:t>
      </w:r>
      <w:r>
        <w:t>)</w:t>
      </w:r>
      <w:r>
        <w:tab/>
      </w:r>
      <w:proofErr w:type="gramStart"/>
      <w:r w:rsidR="00A76010">
        <w:t>the</w:t>
      </w:r>
      <w:proofErr w:type="gramEnd"/>
      <w:r w:rsidR="00A76010">
        <w:t xml:space="preserve"> timing of the frame structure </w:t>
      </w:r>
      <w:r w:rsidR="00A314C6">
        <w:t xml:space="preserve">or other </w:t>
      </w:r>
      <w:r w:rsidR="00453C07">
        <w:t xml:space="preserve">sequence </w:t>
      </w:r>
      <w:r w:rsidR="004C5A42">
        <w:t>of radio emissions</w:t>
      </w:r>
      <w:r w:rsidR="00A314C6">
        <w:t xml:space="preserve"> </w:t>
      </w:r>
      <w:r w:rsidR="00A76010">
        <w:t xml:space="preserve">of the first device is synchronised with the timing of the frame structure </w:t>
      </w:r>
      <w:r w:rsidR="00A314C6">
        <w:t xml:space="preserve">or other </w:t>
      </w:r>
      <w:r w:rsidR="00453C07">
        <w:t xml:space="preserve">sequence </w:t>
      </w:r>
      <w:r w:rsidR="00322161">
        <w:t>of radio emissions</w:t>
      </w:r>
      <w:r w:rsidR="00A314C6">
        <w:t xml:space="preserve"> </w:t>
      </w:r>
      <w:r w:rsidR="00A76010">
        <w:t>of each of the other devices</w:t>
      </w:r>
      <w:r w:rsidR="005628E7">
        <w:t xml:space="preserve"> (</w:t>
      </w:r>
      <w:r w:rsidR="008B4B75">
        <w:t xml:space="preserve">disregarding any device at a time </w:t>
      </w:r>
      <w:r w:rsidR="00F405B0">
        <w:t>it</w:t>
      </w:r>
      <w:r w:rsidR="008B4B75">
        <w:t xml:space="preserve"> is not making a radio emission</w:t>
      </w:r>
      <w:r w:rsidR="005628E7">
        <w:t>)</w:t>
      </w:r>
      <w:r w:rsidR="00A76010">
        <w:t>.</w:t>
      </w:r>
    </w:p>
    <w:p w14:paraId="359379B5" w14:textId="238EFEE0" w:rsidR="00567C2B" w:rsidRPr="00BD3DBA" w:rsidRDefault="00B50634" w:rsidP="00567C2B">
      <w:pPr>
        <w:pStyle w:val="ActHead5"/>
        <w:ind w:left="0" w:firstLine="0"/>
      </w:pPr>
      <w:proofErr w:type="gramStart"/>
      <w:r>
        <w:rPr>
          <w:rStyle w:val="CharSectno"/>
        </w:rPr>
        <w:t>7</w:t>
      </w:r>
      <w:r w:rsidRPr="00BD3DBA">
        <w:t xml:space="preserve">  </w:t>
      </w:r>
      <w:r w:rsidR="00567C2B" w:rsidRPr="00BD3DBA">
        <w:t>Consistency</w:t>
      </w:r>
      <w:proofErr w:type="gramEnd"/>
      <w:r w:rsidR="00567C2B" w:rsidRPr="00BD3DBA">
        <w:t xml:space="preserve"> with the </w:t>
      </w:r>
      <w:proofErr w:type="spellStart"/>
      <w:r w:rsidR="00567C2B" w:rsidRPr="00BD3DBA">
        <w:t>Radiocommunications</w:t>
      </w:r>
      <w:proofErr w:type="spellEnd"/>
      <w:r w:rsidR="00567C2B" w:rsidRPr="00BD3DBA">
        <w:t xml:space="preserve"> Act</w:t>
      </w:r>
      <w:r w:rsidR="00692656">
        <w:t xml:space="preserve"> etc.</w:t>
      </w:r>
    </w:p>
    <w:p w14:paraId="75B0DE68" w14:textId="4429FE5B" w:rsidR="00567C2B" w:rsidRDefault="00567C2B" w:rsidP="00567C2B">
      <w:pPr>
        <w:pStyle w:val="subsection"/>
      </w:pPr>
      <w:r w:rsidRPr="00BD3DBA">
        <w:tab/>
      </w:r>
      <w:r w:rsidRPr="00BD3DBA">
        <w:tab/>
        <w:t xml:space="preserve">A direction given </w:t>
      </w:r>
      <w:r w:rsidR="00176FFB" w:rsidRPr="00BD3DBA">
        <w:t xml:space="preserve">in this instrument </w:t>
      </w:r>
      <w:r w:rsidRPr="00BD3DBA">
        <w:t xml:space="preserve">does not require the ACMA to </w:t>
      </w:r>
      <w:r w:rsidR="004C7886" w:rsidRPr="00BD3DBA">
        <w:t xml:space="preserve">perform a function or </w:t>
      </w:r>
      <w:r w:rsidRPr="00BD3DBA">
        <w:t xml:space="preserve">exercise a power </w:t>
      </w:r>
      <w:r w:rsidR="004C7886" w:rsidRPr="00BD3DBA">
        <w:t xml:space="preserve">under </w:t>
      </w:r>
      <w:r w:rsidRPr="00BD3DBA">
        <w:t xml:space="preserve">the </w:t>
      </w:r>
      <w:proofErr w:type="spellStart"/>
      <w:r w:rsidRPr="00BD3DBA">
        <w:rPr>
          <w:i/>
        </w:rPr>
        <w:t>Radiocommunications</w:t>
      </w:r>
      <w:proofErr w:type="spellEnd"/>
      <w:r w:rsidRPr="00BD3DBA">
        <w:rPr>
          <w:i/>
        </w:rPr>
        <w:t xml:space="preserve"> Act 1992</w:t>
      </w:r>
      <w:r w:rsidRPr="00BD3DBA">
        <w:t xml:space="preserve"> in a manner that would be inconsistent with the requirements of that </w:t>
      </w:r>
      <w:r w:rsidR="009162B0">
        <w:t>Act or any other law of the Commonwealth</w:t>
      </w:r>
      <w:r w:rsidRPr="00BD3DBA">
        <w:t>.</w:t>
      </w:r>
    </w:p>
    <w:p w14:paraId="18FC5889" w14:textId="7E64B6BE" w:rsidR="00C16989" w:rsidRPr="00BD3DBA" w:rsidRDefault="00C16989" w:rsidP="00C16989">
      <w:pPr>
        <w:pStyle w:val="ActHead5"/>
        <w:ind w:left="0" w:firstLine="0"/>
      </w:pPr>
      <w:proofErr w:type="gramStart"/>
      <w:r>
        <w:rPr>
          <w:rStyle w:val="CharSectno"/>
        </w:rPr>
        <w:t>8</w:t>
      </w:r>
      <w:r w:rsidRPr="00BD3DBA">
        <w:t xml:space="preserve">  </w:t>
      </w:r>
      <w:r>
        <w:t>Relevant</w:t>
      </w:r>
      <w:proofErr w:type="gramEnd"/>
      <w:r>
        <w:t xml:space="preserve"> area</w:t>
      </w:r>
    </w:p>
    <w:p w14:paraId="06B6F4AE" w14:textId="5EB2B53C" w:rsidR="00C16989" w:rsidRDefault="00C16989" w:rsidP="00C16989">
      <w:pPr>
        <w:pStyle w:val="subsection"/>
      </w:pPr>
      <w:r>
        <w:tab/>
      </w:r>
      <w:r>
        <w:tab/>
        <w:t xml:space="preserve">For the purposes of this instrument, the </w:t>
      </w:r>
      <w:r w:rsidRPr="0056057B">
        <w:rPr>
          <w:b/>
          <w:i/>
        </w:rPr>
        <w:t>relevant area</w:t>
      </w:r>
      <w:r>
        <w:t xml:space="preserve"> is the </w:t>
      </w:r>
      <w:r w:rsidRPr="005874C7">
        <w:t>composite of the areas</w:t>
      </w:r>
      <w:r>
        <w:t>,</w:t>
      </w:r>
      <w:r w:rsidRPr="005874C7">
        <w:t xml:space="preserve"> </w:t>
      </w:r>
      <w:r>
        <w:t>described</w:t>
      </w:r>
      <w:r w:rsidRPr="005874C7">
        <w:t xml:space="preserve"> using </w:t>
      </w:r>
      <w:r>
        <w:t xml:space="preserve">identifiers from the </w:t>
      </w:r>
      <w:r w:rsidRPr="005874C7">
        <w:t>Hierarchical</w:t>
      </w:r>
      <w:r>
        <w:t xml:space="preserve"> Cell Identification Scheme, set out </w:t>
      </w:r>
      <w:r w:rsidRPr="005874C7">
        <w:t>in</w:t>
      </w:r>
      <w:r>
        <w:t xml:space="preserve"> column 1 of item 1 of the following table.</w:t>
      </w:r>
    </w:p>
    <w:p w14:paraId="44E227E1" w14:textId="77777777" w:rsidR="00C16989" w:rsidRPr="005874C7" w:rsidRDefault="00C16989" w:rsidP="00C16989">
      <w:pPr>
        <w:pStyle w:val="notetext"/>
      </w:pPr>
      <w:r w:rsidRPr="005874C7">
        <w:t>Note 1:</w:t>
      </w:r>
      <w:r w:rsidRPr="005874C7">
        <w:tab/>
        <w:t xml:space="preserve">The </w:t>
      </w:r>
      <w:r>
        <w:t>HCIS</w:t>
      </w:r>
      <w:r w:rsidRPr="005874C7">
        <w:t xml:space="preserve"> is a naming convention for </w:t>
      </w:r>
      <w:r>
        <w:t xml:space="preserve">areas on </w:t>
      </w:r>
      <w:r w:rsidRPr="005874C7">
        <w:t>the Australian Spectrum Map Grid</w:t>
      </w:r>
      <w:r>
        <w:t xml:space="preserve"> 2012 (ASMG)</w:t>
      </w:r>
      <w:r w:rsidRPr="005874C7">
        <w:t xml:space="preserve">, which is a system used by the ACMA to define geographic areas for </w:t>
      </w:r>
      <w:proofErr w:type="spellStart"/>
      <w:r w:rsidRPr="005874C7">
        <w:t>radiocommunications</w:t>
      </w:r>
      <w:proofErr w:type="spellEnd"/>
      <w:r w:rsidRPr="005874C7">
        <w:t xml:space="preserve"> licensing. A document describing the ASMG</w:t>
      </w:r>
      <w:r>
        <w:t xml:space="preserve"> and HCIS</w:t>
      </w:r>
      <w:r w:rsidRPr="005874C7">
        <w:t>, as well as spatial datasets describing each HCIS area could</w:t>
      </w:r>
      <w:r>
        <w:t xml:space="preserve">, at the time this instrument was made, </w:t>
      </w:r>
      <w:r w:rsidRPr="005874C7">
        <w:t>be found on the ACMA’s website (http://www.acma.gov.au).</w:t>
      </w:r>
    </w:p>
    <w:p w14:paraId="3320B3E3" w14:textId="51E4BB40" w:rsidR="00C16989" w:rsidRDefault="00C16989" w:rsidP="00C16989">
      <w:pPr>
        <w:pStyle w:val="notetext"/>
      </w:pPr>
      <w:r w:rsidRPr="005874C7">
        <w:lastRenderedPageBreak/>
        <w:t>Note 2:</w:t>
      </w:r>
      <w:r w:rsidRPr="005874C7">
        <w:tab/>
        <w:t xml:space="preserve">A tool to convert lists of HCIS area descriptions, such as the list contained in the below table, into </w:t>
      </w:r>
      <w:proofErr w:type="spellStart"/>
      <w:r w:rsidRPr="005874C7">
        <w:t>Placemark</w:t>
      </w:r>
      <w:proofErr w:type="spellEnd"/>
      <w:r w:rsidRPr="005874C7">
        <w:t xml:space="preserve"> files to allow these areas to be visualised using computer mapping software could</w:t>
      </w:r>
      <w:r>
        <w:t xml:space="preserve">, at the time this instrument was made, </w:t>
      </w:r>
      <w:r w:rsidRPr="005874C7">
        <w:t>be found on the ACMA’s website (</w:t>
      </w:r>
      <w:hyperlink r:id="rId12" w:history="1">
        <w:r w:rsidRPr="008B2F68">
          <w:rPr>
            <w:rStyle w:val="Hyperlink"/>
          </w:rPr>
          <w:t>http://www.acma.gov.au</w:t>
        </w:r>
      </w:hyperlink>
      <w:r w:rsidRPr="005874C7">
        <w:t>).</w:t>
      </w:r>
    </w:p>
    <w:p w14:paraId="488C32F8" w14:textId="77777777" w:rsidR="00C16989" w:rsidRDefault="00C16989" w:rsidP="00C16989">
      <w:pPr>
        <w:pStyle w:val="notetext"/>
      </w:pPr>
    </w:p>
    <w:tbl>
      <w:tblPr>
        <w:tblW w:w="4880" w:type="pct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7346"/>
      </w:tblGrid>
      <w:tr w:rsidR="00C16989" w:rsidRPr="005874C7" w14:paraId="139672B9" w14:textId="77777777" w:rsidTr="0056057B">
        <w:trPr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D189845" w14:textId="3191DAF9" w:rsidR="00C16989" w:rsidRPr="005874C7" w:rsidRDefault="00C16989" w:rsidP="00D323FC">
            <w:pPr>
              <w:pStyle w:val="TableHeading"/>
            </w:pPr>
            <w:r>
              <w:t>Relevant area</w:t>
            </w:r>
          </w:p>
        </w:tc>
      </w:tr>
      <w:tr w:rsidR="00C16989" w:rsidRPr="005874C7" w14:paraId="152C8507" w14:textId="77777777" w:rsidTr="0056057B">
        <w:trPr>
          <w:tblHeader/>
        </w:trPr>
        <w:tc>
          <w:tcPr>
            <w:tcW w:w="47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DBBED04" w14:textId="77777777" w:rsidR="00C16989" w:rsidRPr="005874C7" w:rsidRDefault="00C16989" w:rsidP="00D323FC">
            <w:pPr>
              <w:pStyle w:val="TableHeading"/>
            </w:pPr>
            <w:r w:rsidRPr="005874C7">
              <w:t>Item</w:t>
            </w:r>
          </w:p>
        </w:tc>
        <w:tc>
          <w:tcPr>
            <w:tcW w:w="45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7A38184" w14:textId="4B319074" w:rsidR="00C16989" w:rsidRPr="005874C7" w:rsidRDefault="00C16989" w:rsidP="00D323FC">
            <w:pPr>
              <w:pStyle w:val="TableHeading"/>
            </w:pPr>
            <w:r w:rsidRPr="005874C7">
              <w:t xml:space="preserve">Column </w:t>
            </w:r>
            <w:r>
              <w:t>1</w:t>
            </w:r>
          </w:p>
          <w:p w14:paraId="36AC9067" w14:textId="0DBDA957" w:rsidR="00C16989" w:rsidRPr="005874C7" w:rsidRDefault="00C16989" w:rsidP="00C16989">
            <w:pPr>
              <w:pStyle w:val="TableHeading"/>
            </w:pPr>
            <w:r w:rsidRPr="0098005F">
              <w:t xml:space="preserve">Areas forming the </w:t>
            </w:r>
            <w:r>
              <w:t xml:space="preserve">relevant </w:t>
            </w:r>
            <w:r w:rsidRPr="0098005F">
              <w:t xml:space="preserve">area </w:t>
            </w:r>
            <w:r>
              <w:t>(HCIS Identifiers)</w:t>
            </w:r>
          </w:p>
        </w:tc>
      </w:tr>
      <w:tr w:rsidR="00C16989" w:rsidRPr="005874C7" w14:paraId="5703D5F3" w14:textId="77777777" w:rsidTr="0056057B">
        <w:tc>
          <w:tcPr>
            <w:tcW w:w="47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7F82D90" w14:textId="77777777" w:rsidR="00C16989" w:rsidRPr="005874C7" w:rsidRDefault="00C16989" w:rsidP="00D323FC">
            <w:pPr>
              <w:pStyle w:val="Tabletext"/>
            </w:pPr>
            <w:r w:rsidRPr="005874C7">
              <w:t>1</w:t>
            </w:r>
          </w:p>
        </w:tc>
        <w:tc>
          <w:tcPr>
            <w:tcW w:w="452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6B13325" w14:textId="0279FF25" w:rsidR="00C16989" w:rsidRPr="005874C7" w:rsidRDefault="00C16989" w:rsidP="00D323FC">
            <w:pPr>
              <w:pStyle w:val="Tabletext"/>
            </w:pPr>
            <w:r>
              <w:t>BV, CV, DV, IV, IW, JV, JW, KQ, KV, KW, LR, LV, LW, LX, LY, MS, MT, MU, MV, MW, NT, NU, AU9, AV9, AW3, BU7, BU8, BW1, BW2, BW3, BW5, BW6, CW1, CW2, CW3, CW4, DW1, DW2, DW3, EV1, EV2, EV3, EV4, EV5, EV6, EV7, FV1, FV2, FV3, FV4, FV5, GV1, GV2, GV3, GV6, HV1, HV2, HV3, HV4, HV5, HV6, HV8, HV9, HW3, HW6, JX1, JX2, JX3, JX5, JX6, KO1, KO4, KO5, KO7, KO8, KP1, KP2, KP4, KP5, KP6, KP7, KP8, KP9, KX1, KX2, KX3, KX4, KX5, KX6, KX8, KX9, KY2, KY3, KY6, LP4, LP7, LQ1, LQ2, LQ4, LQ5, LQ7, LQ8, LZ1, LZ2, LZ3, MR1, MR4, MR5, MR7, MR8, MR9, MX1, MX2, MX3, MX4, MX7, MY1, MY4, MY7, MZ1, NS4, NS7, NS8, NS9, NV1, NV2, NV3, NV4, NV5, NV7, NW1, AU6I, AU6J, AU6K, AU6L, AU6M, AU6N, AU6O, AU6P, BU4H, BU4I, BU4J, BU4K, BU4L, BU4M, BU4N, BU4O, BU4P, BU5E, BU5F, BU5G, BU5H, BU5I, BU5J, BU5K, BU5L, BU5M, BU5N, BU5O, BU5P, BU9A, BU9B, BU9E, BU9F, BU9I, BU9J, BU9M, BU9N</w:t>
            </w:r>
          </w:p>
        </w:tc>
      </w:tr>
    </w:tbl>
    <w:p w14:paraId="43972893" w14:textId="03D7EF06" w:rsidR="00C16989" w:rsidRPr="00BD3DBA" w:rsidRDefault="00C16989" w:rsidP="00567C2B">
      <w:pPr>
        <w:pStyle w:val="subsection"/>
      </w:pPr>
    </w:p>
    <w:sectPr w:rsidR="00C16989" w:rsidRPr="00BD3DBA" w:rsidSect="00CB18D2">
      <w:headerReference w:type="even" r:id="rId13"/>
      <w:headerReference w:type="default" r:id="rId14"/>
      <w:footerReference w:type="even" r:id="rId15"/>
      <w:footerReference w:type="default" r:id="rId16"/>
      <w:pgSz w:w="11907" w:h="16839" w:code="9"/>
      <w:pgMar w:top="1673" w:right="1797" w:bottom="1440" w:left="1797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A5520" w14:textId="77777777" w:rsidR="00453C07" w:rsidRDefault="00453C07">
      <w:r>
        <w:separator/>
      </w:r>
    </w:p>
  </w:endnote>
  <w:endnote w:type="continuationSeparator" w:id="0">
    <w:p w14:paraId="45C8AEF8" w14:textId="77777777" w:rsidR="00453C07" w:rsidRDefault="0045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F7F4" w14:textId="77777777" w:rsidR="00453C07" w:rsidRPr="00074661" w:rsidRDefault="00453C07" w:rsidP="00BE2C51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53C07" w14:paraId="5E216823" w14:textId="77777777" w:rsidTr="00FD1DD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C340515" w14:textId="77777777" w:rsidR="00453C07" w:rsidRDefault="00453C07" w:rsidP="007C0B2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554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2B3B199" w14:textId="77777777" w:rsidR="00453C07" w:rsidRDefault="00453C07" w:rsidP="007C0B2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0554E">
            <w:rPr>
              <w:i/>
              <w:noProof/>
              <w:sz w:val="18"/>
            </w:rPr>
            <w:t>Australian Communications and Media Authority (Radiocommunications Licence Conditions—3.4 and 3.6 GHz Bands Interference Management) Direction 2018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2B1128D" w14:textId="77777777" w:rsidR="00453C07" w:rsidRDefault="00453C07" w:rsidP="007C0B29">
          <w:pPr>
            <w:spacing w:line="0" w:lineRule="atLeast"/>
            <w:jc w:val="right"/>
            <w:rPr>
              <w:sz w:val="18"/>
            </w:rPr>
          </w:pPr>
        </w:p>
      </w:tc>
    </w:tr>
  </w:tbl>
  <w:p w14:paraId="56E92311" w14:textId="77777777" w:rsidR="00453C07" w:rsidRDefault="00453C07" w:rsidP="000527F0">
    <w:pPr>
      <w:rPr>
        <w:rFonts w:cs="Times New Roman"/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54D46" w14:textId="77777777" w:rsidR="00453C07" w:rsidRPr="002B0EA5" w:rsidRDefault="00453C07" w:rsidP="00BE2C5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53C07" w14:paraId="79CAA4AE" w14:textId="77777777" w:rsidTr="00FD1DD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B4F312E" w14:textId="77777777" w:rsidR="00453C07" w:rsidRDefault="00453C07" w:rsidP="007C0B2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81E9178" w14:textId="77777777" w:rsidR="00453C07" w:rsidRDefault="00453C07" w:rsidP="007C0B2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0554E">
            <w:rPr>
              <w:i/>
              <w:noProof/>
              <w:sz w:val="18"/>
            </w:rPr>
            <w:t>Australian Communications and Media Authority (Radiocommunications Licence Conditions—3.4 and 3.6 GHz Bands Interference Management) Direction 2018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7BF87D4" w14:textId="77777777" w:rsidR="00453C07" w:rsidRDefault="00453C07" w:rsidP="007C0B2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554E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0AF73A" w14:textId="77777777" w:rsidR="00453C07" w:rsidRDefault="00453C07" w:rsidP="0007466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10200" w14:textId="77777777" w:rsidR="00453C07" w:rsidRDefault="00453C07">
      <w:r>
        <w:separator/>
      </w:r>
    </w:p>
  </w:footnote>
  <w:footnote w:type="continuationSeparator" w:id="0">
    <w:p w14:paraId="31223077" w14:textId="77777777" w:rsidR="00453C07" w:rsidRDefault="00453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7BE39" w14:textId="77777777" w:rsidR="00453C07" w:rsidRDefault="00453C07" w:rsidP="00BE2C5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76971BD" w14:textId="77777777" w:rsidR="00453C07" w:rsidRDefault="00453C07" w:rsidP="00BE2C5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33D4230" w14:textId="77777777" w:rsidR="00453C07" w:rsidRPr="007A1328" w:rsidRDefault="00453C07" w:rsidP="00BE2C5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021262C" w14:textId="77777777" w:rsidR="00453C07" w:rsidRPr="007A1328" w:rsidRDefault="00453C07" w:rsidP="00BE2C51">
    <w:pPr>
      <w:rPr>
        <w:b/>
        <w:sz w:val="24"/>
      </w:rPr>
    </w:pPr>
  </w:p>
  <w:p w14:paraId="52C22DB1" w14:textId="6066C194" w:rsidR="00453C07" w:rsidRPr="007A1328" w:rsidRDefault="00453C07" w:rsidP="004976A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0554E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45701" w14:textId="77777777" w:rsidR="00453C07" w:rsidRPr="007A1328" w:rsidRDefault="00453C07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69A81BB" w14:textId="77777777" w:rsidR="00453C07" w:rsidRPr="007A1328" w:rsidRDefault="00453C07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06F9789" w14:textId="77777777" w:rsidR="00453C07" w:rsidRPr="007A1328" w:rsidRDefault="00453C07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41529E1" w14:textId="77777777" w:rsidR="00453C07" w:rsidRPr="007A1328" w:rsidRDefault="00453C07" w:rsidP="00BE2C51">
    <w:pPr>
      <w:jc w:val="right"/>
      <w:rPr>
        <w:b/>
        <w:sz w:val="24"/>
      </w:rPr>
    </w:pPr>
  </w:p>
  <w:p w14:paraId="0AF45EAE" w14:textId="648E5304" w:rsidR="00453C07" w:rsidRPr="007A1328" w:rsidRDefault="00453C07" w:rsidP="004976A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0554E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41C0935"/>
    <w:multiLevelType w:val="hybridMultilevel"/>
    <w:tmpl w:val="30A0C648"/>
    <w:lvl w:ilvl="0" w:tplc="30E054C2">
      <w:start w:val="7"/>
      <w:numFmt w:val="decimal"/>
      <w:lvlText w:val="%1."/>
      <w:lvlJc w:val="left"/>
      <w:pPr>
        <w:ind w:left="954" w:hanging="360"/>
      </w:pPr>
      <w:rPr>
        <w:rFonts w:ascii="Times New Roman" w:eastAsia="Times New Roman" w:hAnsi="Times New Roman" w:hint="default"/>
        <w:w w:val="101"/>
        <w:sz w:val="21"/>
        <w:szCs w:val="21"/>
      </w:rPr>
    </w:lvl>
    <w:lvl w:ilvl="1" w:tplc="205A7526">
      <w:start w:val="1"/>
      <w:numFmt w:val="lowerLetter"/>
      <w:lvlText w:val="(%2)"/>
      <w:lvlJc w:val="left"/>
      <w:pPr>
        <w:ind w:left="1314" w:hanging="360"/>
      </w:pPr>
      <w:rPr>
        <w:rFonts w:ascii="Times New Roman" w:eastAsia="Times New Roman" w:hAnsi="Times New Roman" w:hint="default"/>
        <w:w w:val="101"/>
        <w:sz w:val="21"/>
        <w:szCs w:val="21"/>
      </w:rPr>
    </w:lvl>
    <w:lvl w:ilvl="2" w:tplc="3E4C7BB4">
      <w:start w:val="1"/>
      <w:numFmt w:val="lowerRoman"/>
      <w:lvlText w:val="(%3)"/>
      <w:lvlJc w:val="left"/>
      <w:pPr>
        <w:ind w:left="2201" w:hanging="360"/>
      </w:pPr>
      <w:rPr>
        <w:rFonts w:ascii="Times New Roman" w:eastAsia="Times New Roman" w:hAnsi="Times New Roman" w:hint="default"/>
        <w:w w:val="101"/>
        <w:sz w:val="21"/>
        <w:szCs w:val="21"/>
      </w:rPr>
    </w:lvl>
    <w:lvl w:ilvl="3" w:tplc="5FDE33F2">
      <w:start w:val="1"/>
      <w:numFmt w:val="bullet"/>
      <w:lvlText w:val="•"/>
      <w:lvlJc w:val="left"/>
      <w:pPr>
        <w:ind w:left="3088" w:hanging="360"/>
      </w:pPr>
      <w:rPr>
        <w:rFonts w:hint="default"/>
      </w:rPr>
    </w:lvl>
    <w:lvl w:ilvl="4" w:tplc="5B265EE8">
      <w:start w:val="1"/>
      <w:numFmt w:val="bullet"/>
      <w:lvlText w:val="•"/>
      <w:lvlJc w:val="left"/>
      <w:pPr>
        <w:ind w:left="3976" w:hanging="360"/>
      </w:pPr>
      <w:rPr>
        <w:rFonts w:hint="default"/>
      </w:rPr>
    </w:lvl>
    <w:lvl w:ilvl="5" w:tplc="74068F6C">
      <w:start w:val="1"/>
      <w:numFmt w:val="bullet"/>
      <w:lvlText w:val="•"/>
      <w:lvlJc w:val="left"/>
      <w:pPr>
        <w:ind w:left="4863" w:hanging="360"/>
      </w:pPr>
      <w:rPr>
        <w:rFonts w:hint="default"/>
      </w:rPr>
    </w:lvl>
    <w:lvl w:ilvl="6" w:tplc="8E2A430A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7" w:tplc="3E688802">
      <w:start w:val="1"/>
      <w:numFmt w:val="bullet"/>
      <w:lvlText w:val="•"/>
      <w:lvlJc w:val="left"/>
      <w:pPr>
        <w:ind w:left="6638" w:hanging="360"/>
      </w:pPr>
      <w:rPr>
        <w:rFonts w:hint="default"/>
      </w:rPr>
    </w:lvl>
    <w:lvl w:ilvl="8" w:tplc="559EEC00">
      <w:start w:val="1"/>
      <w:numFmt w:val="bullet"/>
      <w:lvlText w:val="•"/>
      <w:lvlJc w:val="left"/>
      <w:pPr>
        <w:ind w:left="7525" w:hanging="360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500E7F14"/>
    <w:multiLevelType w:val="hybridMultilevel"/>
    <w:tmpl w:val="C95C54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2A68EC"/>
    <w:multiLevelType w:val="hybridMultilevel"/>
    <w:tmpl w:val="1D7ED334"/>
    <w:lvl w:ilvl="0" w:tplc="36581C1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02957D8"/>
    <w:multiLevelType w:val="hybridMultilevel"/>
    <w:tmpl w:val="A198DCB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E182D6C"/>
    <w:multiLevelType w:val="hybridMultilevel"/>
    <w:tmpl w:val="6CDCA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7"/>
  </w:num>
  <w:num w:numId="16">
    <w:abstractNumId w:val="15"/>
  </w:num>
  <w:num w:numId="17">
    <w:abstractNumId w:val="19"/>
  </w:num>
  <w:num w:numId="18">
    <w:abstractNumId w:val="12"/>
  </w:num>
  <w:num w:numId="19">
    <w:abstractNumId w:val="11"/>
  </w:num>
  <w:num w:numId="20">
    <w:abstractNumId w:val="18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90"/>
    <w:rsid w:val="00001E7A"/>
    <w:rsid w:val="00002328"/>
    <w:rsid w:val="000047FD"/>
    <w:rsid w:val="0000554E"/>
    <w:rsid w:val="000056EE"/>
    <w:rsid w:val="00007819"/>
    <w:rsid w:val="00010203"/>
    <w:rsid w:val="00012A4E"/>
    <w:rsid w:val="00013A38"/>
    <w:rsid w:val="0001739E"/>
    <w:rsid w:val="00020180"/>
    <w:rsid w:val="00021322"/>
    <w:rsid w:val="00022695"/>
    <w:rsid w:val="00023213"/>
    <w:rsid w:val="00023FD2"/>
    <w:rsid w:val="000265BC"/>
    <w:rsid w:val="00031EFC"/>
    <w:rsid w:val="0003434D"/>
    <w:rsid w:val="0003498B"/>
    <w:rsid w:val="00036586"/>
    <w:rsid w:val="0004081D"/>
    <w:rsid w:val="000472C2"/>
    <w:rsid w:val="00050C80"/>
    <w:rsid w:val="000510B9"/>
    <w:rsid w:val="0005136F"/>
    <w:rsid w:val="00051C9B"/>
    <w:rsid w:val="000527F0"/>
    <w:rsid w:val="000551A3"/>
    <w:rsid w:val="00055E25"/>
    <w:rsid w:val="000617C7"/>
    <w:rsid w:val="000620C5"/>
    <w:rsid w:val="00065A0E"/>
    <w:rsid w:val="0006722F"/>
    <w:rsid w:val="00071791"/>
    <w:rsid w:val="000721B0"/>
    <w:rsid w:val="000727F9"/>
    <w:rsid w:val="000729E4"/>
    <w:rsid w:val="00074661"/>
    <w:rsid w:val="00074D5E"/>
    <w:rsid w:val="000753EE"/>
    <w:rsid w:val="00075B3D"/>
    <w:rsid w:val="00076B35"/>
    <w:rsid w:val="00077634"/>
    <w:rsid w:val="00080E25"/>
    <w:rsid w:val="000824EA"/>
    <w:rsid w:val="00083CC7"/>
    <w:rsid w:val="00085877"/>
    <w:rsid w:val="00086090"/>
    <w:rsid w:val="00086E1D"/>
    <w:rsid w:val="00090414"/>
    <w:rsid w:val="0009067F"/>
    <w:rsid w:val="00092802"/>
    <w:rsid w:val="00095CC4"/>
    <w:rsid w:val="000977EA"/>
    <w:rsid w:val="00097B55"/>
    <w:rsid w:val="000A3C52"/>
    <w:rsid w:val="000B0A20"/>
    <w:rsid w:val="000B26C3"/>
    <w:rsid w:val="000B52F3"/>
    <w:rsid w:val="000B68A5"/>
    <w:rsid w:val="000C12AB"/>
    <w:rsid w:val="000C2AB1"/>
    <w:rsid w:val="000C56FE"/>
    <w:rsid w:val="000C5AE2"/>
    <w:rsid w:val="000C7422"/>
    <w:rsid w:val="000C78B5"/>
    <w:rsid w:val="000D112D"/>
    <w:rsid w:val="000D22EC"/>
    <w:rsid w:val="000D363E"/>
    <w:rsid w:val="000D44F8"/>
    <w:rsid w:val="000D7167"/>
    <w:rsid w:val="000D736B"/>
    <w:rsid w:val="000E081D"/>
    <w:rsid w:val="000E0F53"/>
    <w:rsid w:val="000E2BC8"/>
    <w:rsid w:val="000E470D"/>
    <w:rsid w:val="000F140F"/>
    <w:rsid w:val="000F3758"/>
    <w:rsid w:val="00102347"/>
    <w:rsid w:val="00102ADD"/>
    <w:rsid w:val="00110F98"/>
    <w:rsid w:val="0011161E"/>
    <w:rsid w:val="0011172E"/>
    <w:rsid w:val="00111E48"/>
    <w:rsid w:val="0011314E"/>
    <w:rsid w:val="00114286"/>
    <w:rsid w:val="001146B9"/>
    <w:rsid w:val="00114EF6"/>
    <w:rsid w:val="00117290"/>
    <w:rsid w:val="00121B18"/>
    <w:rsid w:val="00122CA1"/>
    <w:rsid w:val="0012560F"/>
    <w:rsid w:val="00126C80"/>
    <w:rsid w:val="00126D00"/>
    <w:rsid w:val="00133419"/>
    <w:rsid w:val="00134204"/>
    <w:rsid w:val="001363F5"/>
    <w:rsid w:val="00137EF4"/>
    <w:rsid w:val="00143B92"/>
    <w:rsid w:val="00145C33"/>
    <w:rsid w:val="0014660D"/>
    <w:rsid w:val="001509A9"/>
    <w:rsid w:val="001510F9"/>
    <w:rsid w:val="00152824"/>
    <w:rsid w:val="00153593"/>
    <w:rsid w:val="001544DD"/>
    <w:rsid w:val="00154AA0"/>
    <w:rsid w:val="00156A5A"/>
    <w:rsid w:val="00157E82"/>
    <w:rsid w:val="00160A6A"/>
    <w:rsid w:val="00160EE0"/>
    <w:rsid w:val="0016552E"/>
    <w:rsid w:val="001661B3"/>
    <w:rsid w:val="00170906"/>
    <w:rsid w:val="0017150E"/>
    <w:rsid w:val="00171A0A"/>
    <w:rsid w:val="0017420C"/>
    <w:rsid w:val="00176457"/>
    <w:rsid w:val="0017669E"/>
    <w:rsid w:val="00176BCE"/>
    <w:rsid w:val="00176C6A"/>
    <w:rsid w:val="00176FFB"/>
    <w:rsid w:val="00180CD3"/>
    <w:rsid w:val="00182100"/>
    <w:rsid w:val="001840EA"/>
    <w:rsid w:val="00190601"/>
    <w:rsid w:val="00190D22"/>
    <w:rsid w:val="00191B57"/>
    <w:rsid w:val="001A062E"/>
    <w:rsid w:val="001A25BD"/>
    <w:rsid w:val="001A26AC"/>
    <w:rsid w:val="001A284D"/>
    <w:rsid w:val="001A2921"/>
    <w:rsid w:val="001A2B82"/>
    <w:rsid w:val="001A455A"/>
    <w:rsid w:val="001A4737"/>
    <w:rsid w:val="001A745A"/>
    <w:rsid w:val="001A79F3"/>
    <w:rsid w:val="001B2B49"/>
    <w:rsid w:val="001B4168"/>
    <w:rsid w:val="001B6479"/>
    <w:rsid w:val="001B680B"/>
    <w:rsid w:val="001B750D"/>
    <w:rsid w:val="001C2D2D"/>
    <w:rsid w:val="001C48B6"/>
    <w:rsid w:val="001C52FA"/>
    <w:rsid w:val="001C5A60"/>
    <w:rsid w:val="001C6C78"/>
    <w:rsid w:val="001C6E23"/>
    <w:rsid w:val="001D1730"/>
    <w:rsid w:val="001D49E7"/>
    <w:rsid w:val="001D7DD2"/>
    <w:rsid w:val="001E1FF9"/>
    <w:rsid w:val="001E551F"/>
    <w:rsid w:val="001E6E32"/>
    <w:rsid w:val="001F0F35"/>
    <w:rsid w:val="001F1819"/>
    <w:rsid w:val="001F204C"/>
    <w:rsid w:val="001F24CF"/>
    <w:rsid w:val="001F3D0A"/>
    <w:rsid w:val="001F4C6D"/>
    <w:rsid w:val="0020253A"/>
    <w:rsid w:val="0020488A"/>
    <w:rsid w:val="0020650F"/>
    <w:rsid w:val="002125DA"/>
    <w:rsid w:val="00220EDA"/>
    <w:rsid w:val="00221EB1"/>
    <w:rsid w:val="00222DA1"/>
    <w:rsid w:val="00223A7F"/>
    <w:rsid w:val="00223F3D"/>
    <w:rsid w:val="002250FB"/>
    <w:rsid w:val="00226223"/>
    <w:rsid w:val="002271DC"/>
    <w:rsid w:val="00230352"/>
    <w:rsid w:val="00234607"/>
    <w:rsid w:val="00236609"/>
    <w:rsid w:val="00240CD1"/>
    <w:rsid w:val="0024502E"/>
    <w:rsid w:val="00245159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190E"/>
    <w:rsid w:val="0027210B"/>
    <w:rsid w:val="00272310"/>
    <w:rsid w:val="0027467B"/>
    <w:rsid w:val="00275065"/>
    <w:rsid w:val="002757D6"/>
    <w:rsid w:val="00283099"/>
    <w:rsid w:val="00286BB1"/>
    <w:rsid w:val="002870C2"/>
    <w:rsid w:val="002937F9"/>
    <w:rsid w:val="00293C63"/>
    <w:rsid w:val="002957A9"/>
    <w:rsid w:val="00296435"/>
    <w:rsid w:val="0029646C"/>
    <w:rsid w:val="00296E69"/>
    <w:rsid w:val="002A2022"/>
    <w:rsid w:val="002A57A4"/>
    <w:rsid w:val="002A7E39"/>
    <w:rsid w:val="002B2A9A"/>
    <w:rsid w:val="002B63A3"/>
    <w:rsid w:val="002C0290"/>
    <w:rsid w:val="002C0E89"/>
    <w:rsid w:val="002C0F7D"/>
    <w:rsid w:val="002C40A0"/>
    <w:rsid w:val="002C42F1"/>
    <w:rsid w:val="002C77BC"/>
    <w:rsid w:val="002C79E4"/>
    <w:rsid w:val="002C7F8D"/>
    <w:rsid w:val="002D35D3"/>
    <w:rsid w:val="002D658C"/>
    <w:rsid w:val="002E2FE3"/>
    <w:rsid w:val="002E3A9B"/>
    <w:rsid w:val="002E4402"/>
    <w:rsid w:val="002E6E3F"/>
    <w:rsid w:val="002F05DB"/>
    <w:rsid w:val="002F0CE6"/>
    <w:rsid w:val="002F11AE"/>
    <w:rsid w:val="002F149C"/>
    <w:rsid w:val="002F5E03"/>
    <w:rsid w:val="002F6FE7"/>
    <w:rsid w:val="002F7F66"/>
    <w:rsid w:val="00302D1D"/>
    <w:rsid w:val="00304F86"/>
    <w:rsid w:val="0030627F"/>
    <w:rsid w:val="00307011"/>
    <w:rsid w:val="003073E4"/>
    <w:rsid w:val="00311701"/>
    <w:rsid w:val="00312BF2"/>
    <w:rsid w:val="003216AA"/>
    <w:rsid w:val="00322161"/>
    <w:rsid w:val="003229AA"/>
    <w:rsid w:val="00323901"/>
    <w:rsid w:val="003242D2"/>
    <w:rsid w:val="00325C10"/>
    <w:rsid w:val="003269CD"/>
    <w:rsid w:val="00327AAB"/>
    <w:rsid w:val="00330DA4"/>
    <w:rsid w:val="0033106A"/>
    <w:rsid w:val="00332345"/>
    <w:rsid w:val="003328BD"/>
    <w:rsid w:val="003332AF"/>
    <w:rsid w:val="00336768"/>
    <w:rsid w:val="003367C2"/>
    <w:rsid w:val="00336865"/>
    <w:rsid w:val="00336E26"/>
    <w:rsid w:val="003412DC"/>
    <w:rsid w:val="00341C71"/>
    <w:rsid w:val="00343A1B"/>
    <w:rsid w:val="00343EA6"/>
    <w:rsid w:val="00344037"/>
    <w:rsid w:val="00346E13"/>
    <w:rsid w:val="00347380"/>
    <w:rsid w:val="00347ABE"/>
    <w:rsid w:val="00347AC1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66F9B"/>
    <w:rsid w:val="003722D5"/>
    <w:rsid w:val="00372833"/>
    <w:rsid w:val="00374DBE"/>
    <w:rsid w:val="0037528D"/>
    <w:rsid w:val="00376918"/>
    <w:rsid w:val="00377C91"/>
    <w:rsid w:val="00382AB6"/>
    <w:rsid w:val="00385A57"/>
    <w:rsid w:val="00386521"/>
    <w:rsid w:val="0038715C"/>
    <w:rsid w:val="00390E65"/>
    <w:rsid w:val="00393A96"/>
    <w:rsid w:val="00395FAC"/>
    <w:rsid w:val="00396732"/>
    <w:rsid w:val="003A0BD7"/>
    <w:rsid w:val="003A0C0D"/>
    <w:rsid w:val="003A271A"/>
    <w:rsid w:val="003A29E3"/>
    <w:rsid w:val="003A3291"/>
    <w:rsid w:val="003A34CC"/>
    <w:rsid w:val="003A358A"/>
    <w:rsid w:val="003A3951"/>
    <w:rsid w:val="003A4C15"/>
    <w:rsid w:val="003B55ED"/>
    <w:rsid w:val="003C1016"/>
    <w:rsid w:val="003C41F2"/>
    <w:rsid w:val="003C4E32"/>
    <w:rsid w:val="003C6D45"/>
    <w:rsid w:val="003C700C"/>
    <w:rsid w:val="003C71FC"/>
    <w:rsid w:val="003D0A16"/>
    <w:rsid w:val="003D1F25"/>
    <w:rsid w:val="003D20DD"/>
    <w:rsid w:val="003D5B35"/>
    <w:rsid w:val="003E0AEF"/>
    <w:rsid w:val="003E1CCB"/>
    <w:rsid w:val="003E5662"/>
    <w:rsid w:val="003E64C5"/>
    <w:rsid w:val="003F18D4"/>
    <w:rsid w:val="003F1A97"/>
    <w:rsid w:val="003F1AF9"/>
    <w:rsid w:val="003F3B63"/>
    <w:rsid w:val="003F594D"/>
    <w:rsid w:val="003F7349"/>
    <w:rsid w:val="00402693"/>
    <w:rsid w:val="00402E52"/>
    <w:rsid w:val="00403373"/>
    <w:rsid w:val="004033E6"/>
    <w:rsid w:val="00403AE4"/>
    <w:rsid w:val="0040581C"/>
    <w:rsid w:val="00405873"/>
    <w:rsid w:val="00406A94"/>
    <w:rsid w:val="004070A9"/>
    <w:rsid w:val="00407866"/>
    <w:rsid w:val="00411455"/>
    <w:rsid w:val="004120B2"/>
    <w:rsid w:val="004134F6"/>
    <w:rsid w:val="00414DE1"/>
    <w:rsid w:val="00416A06"/>
    <w:rsid w:val="004207D7"/>
    <w:rsid w:val="00420E93"/>
    <w:rsid w:val="00423C02"/>
    <w:rsid w:val="00424431"/>
    <w:rsid w:val="0042496B"/>
    <w:rsid w:val="00425581"/>
    <w:rsid w:val="00427249"/>
    <w:rsid w:val="00440DE0"/>
    <w:rsid w:val="00441257"/>
    <w:rsid w:val="00442444"/>
    <w:rsid w:val="00442DED"/>
    <w:rsid w:val="004454CF"/>
    <w:rsid w:val="0044728E"/>
    <w:rsid w:val="00447FF1"/>
    <w:rsid w:val="0045063A"/>
    <w:rsid w:val="0045154F"/>
    <w:rsid w:val="00453C07"/>
    <w:rsid w:val="00454D0B"/>
    <w:rsid w:val="00456454"/>
    <w:rsid w:val="00460549"/>
    <w:rsid w:val="004709E2"/>
    <w:rsid w:val="00471344"/>
    <w:rsid w:val="0047221D"/>
    <w:rsid w:val="004742DF"/>
    <w:rsid w:val="004760A5"/>
    <w:rsid w:val="00477B83"/>
    <w:rsid w:val="00480BB9"/>
    <w:rsid w:val="004825F7"/>
    <w:rsid w:val="00482B0A"/>
    <w:rsid w:val="00485A89"/>
    <w:rsid w:val="00485B24"/>
    <w:rsid w:val="00487A4B"/>
    <w:rsid w:val="004906FD"/>
    <w:rsid w:val="00490E26"/>
    <w:rsid w:val="004920F7"/>
    <w:rsid w:val="00492AF6"/>
    <w:rsid w:val="00495EBA"/>
    <w:rsid w:val="00495FD3"/>
    <w:rsid w:val="004976A6"/>
    <w:rsid w:val="00497DA1"/>
    <w:rsid w:val="004A7D5D"/>
    <w:rsid w:val="004B088C"/>
    <w:rsid w:val="004B0996"/>
    <w:rsid w:val="004B1E60"/>
    <w:rsid w:val="004B3683"/>
    <w:rsid w:val="004B717C"/>
    <w:rsid w:val="004C0190"/>
    <w:rsid w:val="004C3A75"/>
    <w:rsid w:val="004C5A42"/>
    <w:rsid w:val="004C6D83"/>
    <w:rsid w:val="004C7886"/>
    <w:rsid w:val="004D0718"/>
    <w:rsid w:val="004D25B2"/>
    <w:rsid w:val="004D2CCB"/>
    <w:rsid w:val="004D371F"/>
    <w:rsid w:val="004D3F06"/>
    <w:rsid w:val="004D460F"/>
    <w:rsid w:val="004D53AA"/>
    <w:rsid w:val="004E01BE"/>
    <w:rsid w:val="004E1500"/>
    <w:rsid w:val="004E3375"/>
    <w:rsid w:val="004E3516"/>
    <w:rsid w:val="004E58FF"/>
    <w:rsid w:val="004E6561"/>
    <w:rsid w:val="004E6672"/>
    <w:rsid w:val="004E70BA"/>
    <w:rsid w:val="004E74FC"/>
    <w:rsid w:val="004F0A32"/>
    <w:rsid w:val="004F10E6"/>
    <w:rsid w:val="004F586F"/>
    <w:rsid w:val="004F6F63"/>
    <w:rsid w:val="00502C8A"/>
    <w:rsid w:val="00504859"/>
    <w:rsid w:val="005069EE"/>
    <w:rsid w:val="00507B5F"/>
    <w:rsid w:val="00507C08"/>
    <w:rsid w:val="00512C3B"/>
    <w:rsid w:val="005142A9"/>
    <w:rsid w:val="0051543A"/>
    <w:rsid w:val="005160A0"/>
    <w:rsid w:val="005171AD"/>
    <w:rsid w:val="00517E9B"/>
    <w:rsid w:val="0052120B"/>
    <w:rsid w:val="0052196C"/>
    <w:rsid w:val="00521C09"/>
    <w:rsid w:val="00524BE1"/>
    <w:rsid w:val="00524C2B"/>
    <w:rsid w:val="00525F42"/>
    <w:rsid w:val="0052732A"/>
    <w:rsid w:val="00532043"/>
    <w:rsid w:val="0053273C"/>
    <w:rsid w:val="00532F03"/>
    <w:rsid w:val="00535BFA"/>
    <w:rsid w:val="005430FE"/>
    <w:rsid w:val="00553BBD"/>
    <w:rsid w:val="00553CCE"/>
    <w:rsid w:val="005547EB"/>
    <w:rsid w:val="005548F9"/>
    <w:rsid w:val="00555098"/>
    <w:rsid w:val="0056057B"/>
    <w:rsid w:val="00560D28"/>
    <w:rsid w:val="00561460"/>
    <w:rsid w:val="005628E7"/>
    <w:rsid w:val="00564001"/>
    <w:rsid w:val="00564FF3"/>
    <w:rsid w:val="0056559C"/>
    <w:rsid w:val="005665B2"/>
    <w:rsid w:val="00566FFA"/>
    <w:rsid w:val="00567C2B"/>
    <w:rsid w:val="00571FCD"/>
    <w:rsid w:val="005732A7"/>
    <w:rsid w:val="00574A09"/>
    <w:rsid w:val="00574CAE"/>
    <w:rsid w:val="00577475"/>
    <w:rsid w:val="00580E49"/>
    <w:rsid w:val="00581353"/>
    <w:rsid w:val="005818B9"/>
    <w:rsid w:val="00584A71"/>
    <w:rsid w:val="005867F2"/>
    <w:rsid w:val="00590B66"/>
    <w:rsid w:val="005914FF"/>
    <w:rsid w:val="0059382B"/>
    <w:rsid w:val="00594F6A"/>
    <w:rsid w:val="00596B78"/>
    <w:rsid w:val="0059707B"/>
    <w:rsid w:val="005A04A5"/>
    <w:rsid w:val="005A0F53"/>
    <w:rsid w:val="005A2A56"/>
    <w:rsid w:val="005A388A"/>
    <w:rsid w:val="005A5E49"/>
    <w:rsid w:val="005A7398"/>
    <w:rsid w:val="005B045D"/>
    <w:rsid w:val="005B19A9"/>
    <w:rsid w:val="005B2816"/>
    <w:rsid w:val="005B3ADA"/>
    <w:rsid w:val="005C209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E703B"/>
    <w:rsid w:val="005F17D7"/>
    <w:rsid w:val="005F45CC"/>
    <w:rsid w:val="005F5365"/>
    <w:rsid w:val="005F667E"/>
    <w:rsid w:val="005F7A59"/>
    <w:rsid w:val="006045DF"/>
    <w:rsid w:val="0060499E"/>
    <w:rsid w:val="00605DA4"/>
    <w:rsid w:val="006060C4"/>
    <w:rsid w:val="00610690"/>
    <w:rsid w:val="00610CB1"/>
    <w:rsid w:val="00611361"/>
    <w:rsid w:val="00612688"/>
    <w:rsid w:val="006133D2"/>
    <w:rsid w:val="00614B3F"/>
    <w:rsid w:val="0062109B"/>
    <w:rsid w:val="006228F8"/>
    <w:rsid w:val="00625EBE"/>
    <w:rsid w:val="00626972"/>
    <w:rsid w:val="00630C62"/>
    <w:rsid w:val="006334F8"/>
    <w:rsid w:val="00634B93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55D9"/>
    <w:rsid w:val="00657009"/>
    <w:rsid w:val="00657047"/>
    <w:rsid w:val="0065794A"/>
    <w:rsid w:val="006646A5"/>
    <w:rsid w:val="00666109"/>
    <w:rsid w:val="00666B8A"/>
    <w:rsid w:val="006671F5"/>
    <w:rsid w:val="00670D11"/>
    <w:rsid w:val="00672003"/>
    <w:rsid w:val="00672979"/>
    <w:rsid w:val="006753E5"/>
    <w:rsid w:val="00675602"/>
    <w:rsid w:val="00675DB2"/>
    <w:rsid w:val="0067606B"/>
    <w:rsid w:val="00680DF0"/>
    <w:rsid w:val="00686152"/>
    <w:rsid w:val="00686485"/>
    <w:rsid w:val="00691AD5"/>
    <w:rsid w:val="00692656"/>
    <w:rsid w:val="006A1BED"/>
    <w:rsid w:val="006A4638"/>
    <w:rsid w:val="006A4BA5"/>
    <w:rsid w:val="006B09A2"/>
    <w:rsid w:val="006B0CD9"/>
    <w:rsid w:val="006B141F"/>
    <w:rsid w:val="006B28EE"/>
    <w:rsid w:val="006B3F9E"/>
    <w:rsid w:val="006B6FE0"/>
    <w:rsid w:val="006C151C"/>
    <w:rsid w:val="006C31CA"/>
    <w:rsid w:val="006C4BED"/>
    <w:rsid w:val="006C53D2"/>
    <w:rsid w:val="006C795D"/>
    <w:rsid w:val="006D0603"/>
    <w:rsid w:val="006D18DE"/>
    <w:rsid w:val="006D2642"/>
    <w:rsid w:val="006D350D"/>
    <w:rsid w:val="006E1327"/>
    <w:rsid w:val="006E15A7"/>
    <w:rsid w:val="006E23CD"/>
    <w:rsid w:val="006E6AF8"/>
    <w:rsid w:val="006F2504"/>
    <w:rsid w:val="006F4850"/>
    <w:rsid w:val="006F53B0"/>
    <w:rsid w:val="00700F97"/>
    <w:rsid w:val="007014F3"/>
    <w:rsid w:val="0070264A"/>
    <w:rsid w:val="007037DD"/>
    <w:rsid w:val="00703B4D"/>
    <w:rsid w:val="00707B9F"/>
    <w:rsid w:val="00711354"/>
    <w:rsid w:val="00711719"/>
    <w:rsid w:val="00712FD6"/>
    <w:rsid w:val="00714984"/>
    <w:rsid w:val="00715B04"/>
    <w:rsid w:val="00716BD4"/>
    <w:rsid w:val="00717563"/>
    <w:rsid w:val="00725A68"/>
    <w:rsid w:val="00730AB3"/>
    <w:rsid w:val="00732425"/>
    <w:rsid w:val="00732741"/>
    <w:rsid w:val="00733D1E"/>
    <w:rsid w:val="00733ED9"/>
    <w:rsid w:val="0073521A"/>
    <w:rsid w:val="007352EF"/>
    <w:rsid w:val="00735B24"/>
    <w:rsid w:val="0073761F"/>
    <w:rsid w:val="007410BD"/>
    <w:rsid w:val="00741706"/>
    <w:rsid w:val="00742BE4"/>
    <w:rsid w:val="00743F86"/>
    <w:rsid w:val="0074530F"/>
    <w:rsid w:val="007507CB"/>
    <w:rsid w:val="00750F54"/>
    <w:rsid w:val="00751293"/>
    <w:rsid w:val="00751367"/>
    <w:rsid w:val="00755DC6"/>
    <w:rsid w:val="00756918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3980"/>
    <w:rsid w:val="00785DFE"/>
    <w:rsid w:val="00787D5F"/>
    <w:rsid w:val="00787E97"/>
    <w:rsid w:val="00790500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21CD"/>
    <w:rsid w:val="007B5948"/>
    <w:rsid w:val="007C012A"/>
    <w:rsid w:val="007C0378"/>
    <w:rsid w:val="007C0B29"/>
    <w:rsid w:val="007C18C3"/>
    <w:rsid w:val="007C23A0"/>
    <w:rsid w:val="007C27A1"/>
    <w:rsid w:val="007C378E"/>
    <w:rsid w:val="007C49D9"/>
    <w:rsid w:val="007C6BF9"/>
    <w:rsid w:val="007C7ED2"/>
    <w:rsid w:val="007D1730"/>
    <w:rsid w:val="007D2042"/>
    <w:rsid w:val="007D4230"/>
    <w:rsid w:val="007D4D7B"/>
    <w:rsid w:val="007E00D5"/>
    <w:rsid w:val="007E1138"/>
    <w:rsid w:val="007E21C3"/>
    <w:rsid w:val="007E5662"/>
    <w:rsid w:val="007F3623"/>
    <w:rsid w:val="007F6065"/>
    <w:rsid w:val="007F660B"/>
    <w:rsid w:val="007F6B43"/>
    <w:rsid w:val="007F6C80"/>
    <w:rsid w:val="007F77CD"/>
    <w:rsid w:val="00800EE9"/>
    <w:rsid w:val="00802693"/>
    <w:rsid w:val="00804C62"/>
    <w:rsid w:val="00805B1D"/>
    <w:rsid w:val="0081295B"/>
    <w:rsid w:val="00812E73"/>
    <w:rsid w:val="00813B6F"/>
    <w:rsid w:val="008200F1"/>
    <w:rsid w:val="00820D54"/>
    <w:rsid w:val="00820E6A"/>
    <w:rsid w:val="00824F4C"/>
    <w:rsid w:val="00826D3D"/>
    <w:rsid w:val="00830DCB"/>
    <w:rsid w:val="0083232E"/>
    <w:rsid w:val="00833881"/>
    <w:rsid w:val="00834026"/>
    <w:rsid w:val="00836F81"/>
    <w:rsid w:val="00837950"/>
    <w:rsid w:val="008405E8"/>
    <w:rsid w:val="008421EA"/>
    <w:rsid w:val="008469E1"/>
    <w:rsid w:val="008529D0"/>
    <w:rsid w:val="008547A6"/>
    <w:rsid w:val="00855A39"/>
    <w:rsid w:val="00855B7C"/>
    <w:rsid w:val="0086170F"/>
    <w:rsid w:val="00861B2D"/>
    <w:rsid w:val="008621D6"/>
    <w:rsid w:val="00870A16"/>
    <w:rsid w:val="008714E6"/>
    <w:rsid w:val="00871BD1"/>
    <w:rsid w:val="00872D79"/>
    <w:rsid w:val="00872F6C"/>
    <w:rsid w:val="008800E2"/>
    <w:rsid w:val="00880302"/>
    <w:rsid w:val="008847E0"/>
    <w:rsid w:val="00884A91"/>
    <w:rsid w:val="00884AF0"/>
    <w:rsid w:val="00885A66"/>
    <w:rsid w:val="008901CD"/>
    <w:rsid w:val="00890231"/>
    <w:rsid w:val="00890489"/>
    <w:rsid w:val="00890765"/>
    <w:rsid w:val="00890A16"/>
    <w:rsid w:val="008911A6"/>
    <w:rsid w:val="008965FC"/>
    <w:rsid w:val="00896DB8"/>
    <w:rsid w:val="008A0AE3"/>
    <w:rsid w:val="008A0D3A"/>
    <w:rsid w:val="008A0EF2"/>
    <w:rsid w:val="008A1B60"/>
    <w:rsid w:val="008A3D32"/>
    <w:rsid w:val="008A5870"/>
    <w:rsid w:val="008A5DD5"/>
    <w:rsid w:val="008A6DDA"/>
    <w:rsid w:val="008B02F9"/>
    <w:rsid w:val="008B09DB"/>
    <w:rsid w:val="008B1B47"/>
    <w:rsid w:val="008B25E2"/>
    <w:rsid w:val="008B4B75"/>
    <w:rsid w:val="008B7DD7"/>
    <w:rsid w:val="008C117F"/>
    <w:rsid w:val="008C15A7"/>
    <w:rsid w:val="008C1D70"/>
    <w:rsid w:val="008C23F1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D6FBE"/>
    <w:rsid w:val="008E02E5"/>
    <w:rsid w:val="008E0640"/>
    <w:rsid w:val="008E1131"/>
    <w:rsid w:val="008E45F9"/>
    <w:rsid w:val="008E74ED"/>
    <w:rsid w:val="008E7D39"/>
    <w:rsid w:val="008F5A17"/>
    <w:rsid w:val="008F5EC2"/>
    <w:rsid w:val="008F620E"/>
    <w:rsid w:val="00901DA5"/>
    <w:rsid w:val="00902FB5"/>
    <w:rsid w:val="0090335E"/>
    <w:rsid w:val="009042F5"/>
    <w:rsid w:val="00905A06"/>
    <w:rsid w:val="00906D49"/>
    <w:rsid w:val="009070F5"/>
    <w:rsid w:val="00911EFF"/>
    <w:rsid w:val="009123E3"/>
    <w:rsid w:val="009125B8"/>
    <w:rsid w:val="00913ECD"/>
    <w:rsid w:val="009149F1"/>
    <w:rsid w:val="00914CC9"/>
    <w:rsid w:val="00914D92"/>
    <w:rsid w:val="00915994"/>
    <w:rsid w:val="009162B0"/>
    <w:rsid w:val="009162D1"/>
    <w:rsid w:val="00916FDB"/>
    <w:rsid w:val="00922335"/>
    <w:rsid w:val="00923493"/>
    <w:rsid w:val="00924C24"/>
    <w:rsid w:val="0093033C"/>
    <w:rsid w:val="00930C1D"/>
    <w:rsid w:val="009356C5"/>
    <w:rsid w:val="009360BD"/>
    <w:rsid w:val="009408BB"/>
    <w:rsid w:val="00942C0F"/>
    <w:rsid w:val="009437DF"/>
    <w:rsid w:val="00944599"/>
    <w:rsid w:val="00946AE0"/>
    <w:rsid w:val="009500E2"/>
    <w:rsid w:val="00950B11"/>
    <w:rsid w:val="0095322A"/>
    <w:rsid w:val="009553F5"/>
    <w:rsid w:val="00955509"/>
    <w:rsid w:val="00960E91"/>
    <w:rsid w:val="009635A5"/>
    <w:rsid w:val="00966987"/>
    <w:rsid w:val="009669B2"/>
    <w:rsid w:val="00966D2A"/>
    <w:rsid w:val="009676B9"/>
    <w:rsid w:val="00970DE9"/>
    <w:rsid w:val="009746D4"/>
    <w:rsid w:val="009746D8"/>
    <w:rsid w:val="00982FFF"/>
    <w:rsid w:val="00983F35"/>
    <w:rsid w:val="00985B59"/>
    <w:rsid w:val="0098641C"/>
    <w:rsid w:val="00987DF2"/>
    <w:rsid w:val="009901D6"/>
    <w:rsid w:val="00992087"/>
    <w:rsid w:val="00992710"/>
    <w:rsid w:val="00992DAC"/>
    <w:rsid w:val="0099319B"/>
    <w:rsid w:val="009955A7"/>
    <w:rsid w:val="00995E3E"/>
    <w:rsid w:val="00996B0A"/>
    <w:rsid w:val="009A4BDC"/>
    <w:rsid w:val="009A57A5"/>
    <w:rsid w:val="009A595E"/>
    <w:rsid w:val="009B10B3"/>
    <w:rsid w:val="009B242B"/>
    <w:rsid w:val="009B252C"/>
    <w:rsid w:val="009B32D7"/>
    <w:rsid w:val="009B3986"/>
    <w:rsid w:val="009C0C18"/>
    <w:rsid w:val="009E104B"/>
    <w:rsid w:val="009E2539"/>
    <w:rsid w:val="009E3171"/>
    <w:rsid w:val="009E3974"/>
    <w:rsid w:val="009E39CE"/>
    <w:rsid w:val="009E3F0D"/>
    <w:rsid w:val="009E5220"/>
    <w:rsid w:val="009E5C42"/>
    <w:rsid w:val="009E665D"/>
    <w:rsid w:val="009E6F97"/>
    <w:rsid w:val="009F0FAD"/>
    <w:rsid w:val="009F1CC8"/>
    <w:rsid w:val="009F3211"/>
    <w:rsid w:val="009F3F34"/>
    <w:rsid w:val="009F46E7"/>
    <w:rsid w:val="009F61D3"/>
    <w:rsid w:val="00A01333"/>
    <w:rsid w:val="00A01FB2"/>
    <w:rsid w:val="00A07733"/>
    <w:rsid w:val="00A12816"/>
    <w:rsid w:val="00A1281A"/>
    <w:rsid w:val="00A12B40"/>
    <w:rsid w:val="00A143DD"/>
    <w:rsid w:val="00A162E6"/>
    <w:rsid w:val="00A17D1D"/>
    <w:rsid w:val="00A20966"/>
    <w:rsid w:val="00A2158C"/>
    <w:rsid w:val="00A22D2A"/>
    <w:rsid w:val="00A240E5"/>
    <w:rsid w:val="00A26EC4"/>
    <w:rsid w:val="00A30816"/>
    <w:rsid w:val="00A30A15"/>
    <w:rsid w:val="00A314C6"/>
    <w:rsid w:val="00A31BE9"/>
    <w:rsid w:val="00A33BCC"/>
    <w:rsid w:val="00A3491E"/>
    <w:rsid w:val="00A37E7E"/>
    <w:rsid w:val="00A40509"/>
    <w:rsid w:val="00A40923"/>
    <w:rsid w:val="00A41806"/>
    <w:rsid w:val="00A420BB"/>
    <w:rsid w:val="00A42213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72DDC"/>
    <w:rsid w:val="00A7414F"/>
    <w:rsid w:val="00A76010"/>
    <w:rsid w:val="00A91F48"/>
    <w:rsid w:val="00A92A3F"/>
    <w:rsid w:val="00A92F4B"/>
    <w:rsid w:val="00A939BC"/>
    <w:rsid w:val="00A9492D"/>
    <w:rsid w:val="00A955D9"/>
    <w:rsid w:val="00A9738F"/>
    <w:rsid w:val="00AA04DF"/>
    <w:rsid w:val="00AA097C"/>
    <w:rsid w:val="00AA2200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60E"/>
    <w:rsid w:val="00AC2749"/>
    <w:rsid w:val="00AC3EF3"/>
    <w:rsid w:val="00AC4206"/>
    <w:rsid w:val="00AC5561"/>
    <w:rsid w:val="00AC6723"/>
    <w:rsid w:val="00AC7CC2"/>
    <w:rsid w:val="00AD1409"/>
    <w:rsid w:val="00AD2C1D"/>
    <w:rsid w:val="00AD2FDA"/>
    <w:rsid w:val="00AD318A"/>
    <w:rsid w:val="00AD3862"/>
    <w:rsid w:val="00AD3BA7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3D36"/>
    <w:rsid w:val="00B07A73"/>
    <w:rsid w:val="00B07D2B"/>
    <w:rsid w:val="00B11B0E"/>
    <w:rsid w:val="00B11FF4"/>
    <w:rsid w:val="00B121B3"/>
    <w:rsid w:val="00B1270A"/>
    <w:rsid w:val="00B12ACE"/>
    <w:rsid w:val="00B15265"/>
    <w:rsid w:val="00B20DCA"/>
    <w:rsid w:val="00B23D22"/>
    <w:rsid w:val="00B25390"/>
    <w:rsid w:val="00B267A3"/>
    <w:rsid w:val="00B2730F"/>
    <w:rsid w:val="00B30277"/>
    <w:rsid w:val="00B312AC"/>
    <w:rsid w:val="00B32109"/>
    <w:rsid w:val="00B341F1"/>
    <w:rsid w:val="00B35329"/>
    <w:rsid w:val="00B37210"/>
    <w:rsid w:val="00B4067E"/>
    <w:rsid w:val="00B41A08"/>
    <w:rsid w:val="00B423E1"/>
    <w:rsid w:val="00B425A5"/>
    <w:rsid w:val="00B4372D"/>
    <w:rsid w:val="00B440EB"/>
    <w:rsid w:val="00B44A30"/>
    <w:rsid w:val="00B50634"/>
    <w:rsid w:val="00B50B2D"/>
    <w:rsid w:val="00B534EC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0432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0419"/>
    <w:rsid w:val="00B91BFB"/>
    <w:rsid w:val="00B922ED"/>
    <w:rsid w:val="00B947B5"/>
    <w:rsid w:val="00B94967"/>
    <w:rsid w:val="00BA0D5A"/>
    <w:rsid w:val="00BA2D69"/>
    <w:rsid w:val="00BA3AA3"/>
    <w:rsid w:val="00BA454E"/>
    <w:rsid w:val="00BA4CD6"/>
    <w:rsid w:val="00BA4E2C"/>
    <w:rsid w:val="00BA56DA"/>
    <w:rsid w:val="00BA5A9A"/>
    <w:rsid w:val="00BA61EE"/>
    <w:rsid w:val="00BA761C"/>
    <w:rsid w:val="00BA7815"/>
    <w:rsid w:val="00BB3E75"/>
    <w:rsid w:val="00BB4AFF"/>
    <w:rsid w:val="00BB626D"/>
    <w:rsid w:val="00BC3295"/>
    <w:rsid w:val="00BC3D9E"/>
    <w:rsid w:val="00BC63F3"/>
    <w:rsid w:val="00BD0739"/>
    <w:rsid w:val="00BD12AB"/>
    <w:rsid w:val="00BD1A10"/>
    <w:rsid w:val="00BD3DBA"/>
    <w:rsid w:val="00BD3F1E"/>
    <w:rsid w:val="00BD4BF4"/>
    <w:rsid w:val="00BD7EE4"/>
    <w:rsid w:val="00BE2C51"/>
    <w:rsid w:val="00BE63CA"/>
    <w:rsid w:val="00BF039D"/>
    <w:rsid w:val="00BF12B8"/>
    <w:rsid w:val="00BF16D1"/>
    <w:rsid w:val="00BF45FB"/>
    <w:rsid w:val="00BF65E6"/>
    <w:rsid w:val="00BF6D49"/>
    <w:rsid w:val="00C00E04"/>
    <w:rsid w:val="00C01793"/>
    <w:rsid w:val="00C01E41"/>
    <w:rsid w:val="00C02DBF"/>
    <w:rsid w:val="00C03332"/>
    <w:rsid w:val="00C040AB"/>
    <w:rsid w:val="00C0430D"/>
    <w:rsid w:val="00C06014"/>
    <w:rsid w:val="00C071C9"/>
    <w:rsid w:val="00C0799B"/>
    <w:rsid w:val="00C07B1D"/>
    <w:rsid w:val="00C13C8E"/>
    <w:rsid w:val="00C143E8"/>
    <w:rsid w:val="00C16989"/>
    <w:rsid w:val="00C1732D"/>
    <w:rsid w:val="00C17668"/>
    <w:rsid w:val="00C2242E"/>
    <w:rsid w:val="00C24C71"/>
    <w:rsid w:val="00C24D82"/>
    <w:rsid w:val="00C25CE4"/>
    <w:rsid w:val="00C26338"/>
    <w:rsid w:val="00C2651E"/>
    <w:rsid w:val="00C321EA"/>
    <w:rsid w:val="00C329BA"/>
    <w:rsid w:val="00C336B8"/>
    <w:rsid w:val="00C33891"/>
    <w:rsid w:val="00C33E69"/>
    <w:rsid w:val="00C34B2A"/>
    <w:rsid w:val="00C35C14"/>
    <w:rsid w:val="00C47091"/>
    <w:rsid w:val="00C47468"/>
    <w:rsid w:val="00C50FB8"/>
    <w:rsid w:val="00C5123D"/>
    <w:rsid w:val="00C5142A"/>
    <w:rsid w:val="00C534C8"/>
    <w:rsid w:val="00C54244"/>
    <w:rsid w:val="00C55B9C"/>
    <w:rsid w:val="00C5685E"/>
    <w:rsid w:val="00C56C15"/>
    <w:rsid w:val="00C60711"/>
    <w:rsid w:val="00C63BD4"/>
    <w:rsid w:val="00C63FE9"/>
    <w:rsid w:val="00C65016"/>
    <w:rsid w:val="00C67C80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87D72"/>
    <w:rsid w:val="00C91719"/>
    <w:rsid w:val="00C92281"/>
    <w:rsid w:val="00C92CDA"/>
    <w:rsid w:val="00C93150"/>
    <w:rsid w:val="00C9472B"/>
    <w:rsid w:val="00C9554D"/>
    <w:rsid w:val="00C95A4E"/>
    <w:rsid w:val="00C96597"/>
    <w:rsid w:val="00C969F3"/>
    <w:rsid w:val="00C97211"/>
    <w:rsid w:val="00C97B8B"/>
    <w:rsid w:val="00CA12A7"/>
    <w:rsid w:val="00CA1EB2"/>
    <w:rsid w:val="00CA2653"/>
    <w:rsid w:val="00CA2747"/>
    <w:rsid w:val="00CB18D2"/>
    <w:rsid w:val="00CB2099"/>
    <w:rsid w:val="00CB418B"/>
    <w:rsid w:val="00CC0028"/>
    <w:rsid w:val="00CC0106"/>
    <w:rsid w:val="00CC0728"/>
    <w:rsid w:val="00CC1069"/>
    <w:rsid w:val="00CC1B36"/>
    <w:rsid w:val="00CC4EF4"/>
    <w:rsid w:val="00CC5842"/>
    <w:rsid w:val="00CC5A7E"/>
    <w:rsid w:val="00CC60E7"/>
    <w:rsid w:val="00CC7753"/>
    <w:rsid w:val="00CD0141"/>
    <w:rsid w:val="00CD0699"/>
    <w:rsid w:val="00CD0C0E"/>
    <w:rsid w:val="00CD11C3"/>
    <w:rsid w:val="00CD2143"/>
    <w:rsid w:val="00CD22C1"/>
    <w:rsid w:val="00CD5C01"/>
    <w:rsid w:val="00CD6AB4"/>
    <w:rsid w:val="00CE142D"/>
    <w:rsid w:val="00CE233A"/>
    <w:rsid w:val="00CF2F05"/>
    <w:rsid w:val="00CF4708"/>
    <w:rsid w:val="00CF5D22"/>
    <w:rsid w:val="00CF60F8"/>
    <w:rsid w:val="00CF689A"/>
    <w:rsid w:val="00CF77DB"/>
    <w:rsid w:val="00D035FA"/>
    <w:rsid w:val="00D061BC"/>
    <w:rsid w:val="00D06F31"/>
    <w:rsid w:val="00D10555"/>
    <w:rsid w:val="00D1206A"/>
    <w:rsid w:val="00D14B60"/>
    <w:rsid w:val="00D222D8"/>
    <w:rsid w:val="00D27473"/>
    <w:rsid w:val="00D27EAA"/>
    <w:rsid w:val="00D30298"/>
    <w:rsid w:val="00D304D1"/>
    <w:rsid w:val="00D33DA9"/>
    <w:rsid w:val="00D34D9F"/>
    <w:rsid w:val="00D358ED"/>
    <w:rsid w:val="00D36966"/>
    <w:rsid w:val="00D40E4E"/>
    <w:rsid w:val="00D42354"/>
    <w:rsid w:val="00D4327E"/>
    <w:rsid w:val="00D43C47"/>
    <w:rsid w:val="00D43CB5"/>
    <w:rsid w:val="00D4502B"/>
    <w:rsid w:val="00D467F6"/>
    <w:rsid w:val="00D50462"/>
    <w:rsid w:val="00D50A88"/>
    <w:rsid w:val="00D50AA7"/>
    <w:rsid w:val="00D50D04"/>
    <w:rsid w:val="00D51A6A"/>
    <w:rsid w:val="00D52499"/>
    <w:rsid w:val="00D52833"/>
    <w:rsid w:val="00D53BE1"/>
    <w:rsid w:val="00D608D7"/>
    <w:rsid w:val="00D61C41"/>
    <w:rsid w:val="00D62311"/>
    <w:rsid w:val="00D62BB9"/>
    <w:rsid w:val="00D67BFF"/>
    <w:rsid w:val="00D72203"/>
    <w:rsid w:val="00D72818"/>
    <w:rsid w:val="00D72D29"/>
    <w:rsid w:val="00D72EAE"/>
    <w:rsid w:val="00D74F65"/>
    <w:rsid w:val="00D75BF5"/>
    <w:rsid w:val="00D76D58"/>
    <w:rsid w:val="00D81D67"/>
    <w:rsid w:val="00D85BB3"/>
    <w:rsid w:val="00D86D2A"/>
    <w:rsid w:val="00D873E7"/>
    <w:rsid w:val="00D93293"/>
    <w:rsid w:val="00D9415C"/>
    <w:rsid w:val="00D9574F"/>
    <w:rsid w:val="00D96034"/>
    <w:rsid w:val="00D96FAA"/>
    <w:rsid w:val="00D97C6A"/>
    <w:rsid w:val="00D97F3C"/>
    <w:rsid w:val="00DA24B3"/>
    <w:rsid w:val="00DA39B1"/>
    <w:rsid w:val="00DA47F9"/>
    <w:rsid w:val="00DB1780"/>
    <w:rsid w:val="00DB2833"/>
    <w:rsid w:val="00DB3B4C"/>
    <w:rsid w:val="00DB6AD2"/>
    <w:rsid w:val="00DB6EFB"/>
    <w:rsid w:val="00DB78AA"/>
    <w:rsid w:val="00DB7978"/>
    <w:rsid w:val="00DC13C7"/>
    <w:rsid w:val="00DC2F75"/>
    <w:rsid w:val="00DC686D"/>
    <w:rsid w:val="00DC7046"/>
    <w:rsid w:val="00DD0F30"/>
    <w:rsid w:val="00DD355A"/>
    <w:rsid w:val="00DD3616"/>
    <w:rsid w:val="00DE0A50"/>
    <w:rsid w:val="00DE0B13"/>
    <w:rsid w:val="00DE2A58"/>
    <w:rsid w:val="00DE6E03"/>
    <w:rsid w:val="00DF5C3D"/>
    <w:rsid w:val="00DF6D67"/>
    <w:rsid w:val="00DF7A67"/>
    <w:rsid w:val="00E00CCB"/>
    <w:rsid w:val="00E0170F"/>
    <w:rsid w:val="00E01972"/>
    <w:rsid w:val="00E046CD"/>
    <w:rsid w:val="00E06384"/>
    <w:rsid w:val="00E076F5"/>
    <w:rsid w:val="00E115EE"/>
    <w:rsid w:val="00E12D64"/>
    <w:rsid w:val="00E1335F"/>
    <w:rsid w:val="00E147C5"/>
    <w:rsid w:val="00E14C28"/>
    <w:rsid w:val="00E212D0"/>
    <w:rsid w:val="00E21C9C"/>
    <w:rsid w:val="00E22161"/>
    <w:rsid w:val="00E2352B"/>
    <w:rsid w:val="00E2378E"/>
    <w:rsid w:val="00E24263"/>
    <w:rsid w:val="00E26242"/>
    <w:rsid w:val="00E26CDE"/>
    <w:rsid w:val="00E26F1E"/>
    <w:rsid w:val="00E3021A"/>
    <w:rsid w:val="00E30BFD"/>
    <w:rsid w:val="00E326F4"/>
    <w:rsid w:val="00E34B83"/>
    <w:rsid w:val="00E36DF4"/>
    <w:rsid w:val="00E371BB"/>
    <w:rsid w:val="00E42448"/>
    <w:rsid w:val="00E42DB0"/>
    <w:rsid w:val="00E476B6"/>
    <w:rsid w:val="00E479CD"/>
    <w:rsid w:val="00E47D47"/>
    <w:rsid w:val="00E51B0C"/>
    <w:rsid w:val="00E51FF8"/>
    <w:rsid w:val="00E529BC"/>
    <w:rsid w:val="00E537B4"/>
    <w:rsid w:val="00E61DD6"/>
    <w:rsid w:val="00E62BED"/>
    <w:rsid w:val="00E73966"/>
    <w:rsid w:val="00E73A1B"/>
    <w:rsid w:val="00E76310"/>
    <w:rsid w:val="00E7672E"/>
    <w:rsid w:val="00E83CB5"/>
    <w:rsid w:val="00E85474"/>
    <w:rsid w:val="00E876A1"/>
    <w:rsid w:val="00E87CFE"/>
    <w:rsid w:val="00E91A76"/>
    <w:rsid w:val="00E924EE"/>
    <w:rsid w:val="00E94FEE"/>
    <w:rsid w:val="00E95A6B"/>
    <w:rsid w:val="00EA0056"/>
    <w:rsid w:val="00EA14B9"/>
    <w:rsid w:val="00EB00FD"/>
    <w:rsid w:val="00EB0254"/>
    <w:rsid w:val="00EB0B7B"/>
    <w:rsid w:val="00EB1707"/>
    <w:rsid w:val="00EB256F"/>
    <w:rsid w:val="00EB31CA"/>
    <w:rsid w:val="00EB4BEE"/>
    <w:rsid w:val="00EB5B57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3C3B"/>
    <w:rsid w:val="00EE54A3"/>
    <w:rsid w:val="00EE6926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055"/>
    <w:rsid w:val="00F10548"/>
    <w:rsid w:val="00F126D4"/>
    <w:rsid w:val="00F1343A"/>
    <w:rsid w:val="00F13B15"/>
    <w:rsid w:val="00F1449F"/>
    <w:rsid w:val="00F157AC"/>
    <w:rsid w:val="00F15ED1"/>
    <w:rsid w:val="00F17941"/>
    <w:rsid w:val="00F21027"/>
    <w:rsid w:val="00F27877"/>
    <w:rsid w:val="00F3058D"/>
    <w:rsid w:val="00F33606"/>
    <w:rsid w:val="00F35903"/>
    <w:rsid w:val="00F3623A"/>
    <w:rsid w:val="00F3797F"/>
    <w:rsid w:val="00F37E3B"/>
    <w:rsid w:val="00F405B0"/>
    <w:rsid w:val="00F41EA3"/>
    <w:rsid w:val="00F4594E"/>
    <w:rsid w:val="00F45A0E"/>
    <w:rsid w:val="00F46935"/>
    <w:rsid w:val="00F4771F"/>
    <w:rsid w:val="00F504C6"/>
    <w:rsid w:val="00F5332E"/>
    <w:rsid w:val="00F549D6"/>
    <w:rsid w:val="00F54B0B"/>
    <w:rsid w:val="00F54EC9"/>
    <w:rsid w:val="00F55371"/>
    <w:rsid w:val="00F57858"/>
    <w:rsid w:val="00F60524"/>
    <w:rsid w:val="00F60AAA"/>
    <w:rsid w:val="00F61562"/>
    <w:rsid w:val="00F72662"/>
    <w:rsid w:val="00F738AB"/>
    <w:rsid w:val="00F7544B"/>
    <w:rsid w:val="00F7748A"/>
    <w:rsid w:val="00F77F9B"/>
    <w:rsid w:val="00F8004D"/>
    <w:rsid w:val="00F80AF7"/>
    <w:rsid w:val="00F81BE7"/>
    <w:rsid w:val="00F8464C"/>
    <w:rsid w:val="00F85736"/>
    <w:rsid w:val="00F8632C"/>
    <w:rsid w:val="00F87B42"/>
    <w:rsid w:val="00F94515"/>
    <w:rsid w:val="00F94F72"/>
    <w:rsid w:val="00F96701"/>
    <w:rsid w:val="00FA2260"/>
    <w:rsid w:val="00FA33E4"/>
    <w:rsid w:val="00FA61AA"/>
    <w:rsid w:val="00FA6DE7"/>
    <w:rsid w:val="00FB0772"/>
    <w:rsid w:val="00FB2A3E"/>
    <w:rsid w:val="00FB4763"/>
    <w:rsid w:val="00FB515C"/>
    <w:rsid w:val="00FC1CF1"/>
    <w:rsid w:val="00FD0E8A"/>
    <w:rsid w:val="00FD189C"/>
    <w:rsid w:val="00FD1DD2"/>
    <w:rsid w:val="00FD212A"/>
    <w:rsid w:val="00FD3D32"/>
    <w:rsid w:val="00FD41B2"/>
    <w:rsid w:val="00FD4915"/>
    <w:rsid w:val="00FD4B3A"/>
    <w:rsid w:val="00FD4C92"/>
    <w:rsid w:val="00FE03CA"/>
    <w:rsid w:val="00FE0B45"/>
    <w:rsid w:val="00FE24D7"/>
    <w:rsid w:val="00FE6284"/>
    <w:rsid w:val="00FE79D3"/>
    <w:rsid w:val="00FF0611"/>
    <w:rsid w:val="00FF16E6"/>
    <w:rsid w:val="00FF20D1"/>
    <w:rsid w:val="00FF3C93"/>
    <w:rsid w:val="00FF5B0A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oNotEmbedSmartTags/>
  <w:decimalSymbol w:val="."/>
  <w:listSeparator w:val=","/>
  <w14:docId w14:val="4C6A4755"/>
  <w15:docId w15:val="{8D04D14D-E26A-4E3A-9CB1-8FEF14AB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53B0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F53B0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6F53B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uiPriority w:val="99"/>
    <w:rsid w:val="00772F15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6F53B0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521C09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F53B0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772F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uiPriority w:val="1"/>
    <w:qFormat/>
    <w:rsid w:val="006F53B0"/>
  </w:style>
  <w:style w:type="character" w:customStyle="1" w:styleId="CharAmSchText">
    <w:name w:val="CharAmSchText"/>
    <w:basedOn w:val="OPCCharBase"/>
    <w:uiPriority w:val="1"/>
    <w:qFormat/>
    <w:rsid w:val="006F53B0"/>
  </w:style>
  <w:style w:type="character" w:customStyle="1" w:styleId="CharChapNo">
    <w:name w:val="CharChapNo"/>
    <w:basedOn w:val="OPCCharBase"/>
    <w:qFormat/>
    <w:rsid w:val="006F53B0"/>
  </w:style>
  <w:style w:type="character" w:customStyle="1" w:styleId="CharChapText">
    <w:name w:val="CharChapText"/>
    <w:basedOn w:val="OPCCharBase"/>
    <w:qFormat/>
    <w:rsid w:val="006F53B0"/>
  </w:style>
  <w:style w:type="character" w:customStyle="1" w:styleId="CharDivNo">
    <w:name w:val="CharDivNo"/>
    <w:basedOn w:val="OPCCharBase"/>
    <w:qFormat/>
    <w:rsid w:val="006F53B0"/>
  </w:style>
  <w:style w:type="character" w:customStyle="1" w:styleId="CharDivText">
    <w:name w:val="CharDivText"/>
    <w:basedOn w:val="OPCCharBase"/>
    <w:qFormat/>
    <w:rsid w:val="006F53B0"/>
  </w:style>
  <w:style w:type="character" w:customStyle="1" w:styleId="CharPartNo">
    <w:name w:val="CharPartNo"/>
    <w:basedOn w:val="OPCCharBase"/>
    <w:qFormat/>
    <w:rsid w:val="006F53B0"/>
  </w:style>
  <w:style w:type="character" w:customStyle="1" w:styleId="CharPartText">
    <w:name w:val="CharPartText"/>
    <w:basedOn w:val="OPCCharBase"/>
    <w:qFormat/>
    <w:rsid w:val="006F53B0"/>
  </w:style>
  <w:style w:type="character" w:customStyle="1" w:styleId="OPCCharBase">
    <w:name w:val="OPCCharBase"/>
    <w:uiPriority w:val="1"/>
    <w:qFormat/>
    <w:rsid w:val="006F53B0"/>
  </w:style>
  <w:style w:type="paragraph" w:customStyle="1" w:styleId="OPCParaBase">
    <w:name w:val="OPCParaBase"/>
    <w:qFormat/>
    <w:rsid w:val="006F53B0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F53B0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6F53B0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6F53B0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6F53B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6F53B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86BB1"/>
    <w:pPr>
      <w:keepLines/>
      <w:tabs>
        <w:tab w:val="right" w:leader="dot" w:pos="708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6F53B0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6F53B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6F53B0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6F53B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53B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53B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53B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53B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53B0"/>
  </w:style>
  <w:style w:type="paragraph" w:customStyle="1" w:styleId="Blocks">
    <w:name w:val="Blocks"/>
    <w:aliases w:val="bb"/>
    <w:basedOn w:val="OPCParaBase"/>
    <w:qFormat/>
    <w:rsid w:val="006F53B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53B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53B0"/>
    <w:rPr>
      <w:i/>
    </w:rPr>
  </w:style>
  <w:style w:type="paragraph" w:customStyle="1" w:styleId="BoxList">
    <w:name w:val="BoxList"/>
    <w:aliases w:val="bl"/>
    <w:basedOn w:val="BoxText"/>
    <w:qFormat/>
    <w:rsid w:val="006F53B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53B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53B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53B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F53B0"/>
  </w:style>
  <w:style w:type="character" w:customStyle="1" w:styleId="CharAmPartText">
    <w:name w:val="CharAmPartText"/>
    <w:basedOn w:val="OPCCharBase"/>
    <w:uiPriority w:val="1"/>
    <w:qFormat/>
    <w:rsid w:val="006F53B0"/>
  </w:style>
  <w:style w:type="character" w:customStyle="1" w:styleId="CharBoldItalic">
    <w:name w:val="CharBoldItalic"/>
    <w:basedOn w:val="OPCCharBase"/>
    <w:uiPriority w:val="1"/>
    <w:qFormat/>
    <w:rsid w:val="006F53B0"/>
    <w:rPr>
      <w:b/>
      <w:i/>
    </w:rPr>
  </w:style>
  <w:style w:type="character" w:customStyle="1" w:styleId="CharItalic">
    <w:name w:val="CharItalic"/>
    <w:basedOn w:val="OPCCharBase"/>
    <w:uiPriority w:val="1"/>
    <w:qFormat/>
    <w:rsid w:val="006F53B0"/>
    <w:rPr>
      <w:i/>
    </w:rPr>
  </w:style>
  <w:style w:type="character" w:customStyle="1" w:styleId="CharSubdNo">
    <w:name w:val="CharSubdNo"/>
    <w:basedOn w:val="OPCCharBase"/>
    <w:uiPriority w:val="1"/>
    <w:qFormat/>
    <w:rsid w:val="006F53B0"/>
  </w:style>
  <w:style w:type="character" w:customStyle="1" w:styleId="CharSubdText">
    <w:name w:val="CharSubdText"/>
    <w:basedOn w:val="OPCCharBase"/>
    <w:uiPriority w:val="1"/>
    <w:qFormat/>
    <w:rsid w:val="006F53B0"/>
  </w:style>
  <w:style w:type="paragraph" w:customStyle="1" w:styleId="CTA--">
    <w:name w:val="CTA --"/>
    <w:basedOn w:val="OPCParaBase"/>
    <w:next w:val="Normal"/>
    <w:rsid w:val="006F53B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53B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53B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53B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53B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53B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53B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53B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53B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53B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53B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53B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53B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F53B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53B0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6F53B0"/>
    <w:rPr>
      <w:sz w:val="16"/>
    </w:rPr>
  </w:style>
  <w:style w:type="paragraph" w:customStyle="1" w:styleId="House">
    <w:name w:val="House"/>
    <w:basedOn w:val="OPCParaBase"/>
    <w:rsid w:val="006F53B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53B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53B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53B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53B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53B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F53B0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53B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6F53B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F53B0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F53B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53B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53B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53B0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53B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53B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53B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53B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53B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53B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53B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53B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53B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53B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53B0"/>
    <w:pPr>
      <w:numPr>
        <w:numId w:val="16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53B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53B0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F53B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53B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53B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53B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53B0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521C09"/>
    <w:pPr>
      <w:numPr>
        <w:numId w:val="18"/>
      </w:numPr>
    </w:pPr>
  </w:style>
  <w:style w:type="paragraph" w:customStyle="1" w:styleId="noteToPara">
    <w:name w:val="noteToPara"/>
    <w:aliases w:val="ntp"/>
    <w:basedOn w:val="OPCParaBase"/>
    <w:rsid w:val="006F53B0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F53B0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53B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EndNotespara">
    <w:name w:val="EndNotes(para)"/>
    <w:aliases w:val="eta"/>
    <w:basedOn w:val="OPCParaBase"/>
    <w:next w:val="EndNotessubpara"/>
    <w:rsid w:val="006F53B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53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53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53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table" w:customStyle="1" w:styleId="CFlag">
    <w:name w:val="CFlag"/>
    <w:basedOn w:val="TableNormal"/>
    <w:uiPriority w:val="99"/>
    <w:rsid w:val="006F53B0"/>
    <w:tblPr/>
  </w:style>
  <w:style w:type="paragraph" w:customStyle="1" w:styleId="InstNo">
    <w:name w:val="InstNo"/>
    <w:basedOn w:val="OPCParaBase"/>
    <w:next w:val="Normal"/>
    <w:rsid w:val="006F53B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F53B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F53B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53B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F53B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6F53B0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6F53B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F53B0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Normal"/>
    <w:rsid w:val="006F53B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53B0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6F53B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6F53B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F53B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53B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F53B0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6F53B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6F53B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F53B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53B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53B0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6F53B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53B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F53B0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6F53B0"/>
  </w:style>
  <w:style w:type="character" w:customStyle="1" w:styleId="CharSubPartNoCASA">
    <w:name w:val="CharSubPartNo(CASA)"/>
    <w:basedOn w:val="OPCCharBase"/>
    <w:uiPriority w:val="1"/>
    <w:rsid w:val="006F53B0"/>
  </w:style>
  <w:style w:type="paragraph" w:customStyle="1" w:styleId="ENoteTTIndentHeadingSub">
    <w:name w:val="ENoteTTIndentHeadingSub"/>
    <w:aliases w:val="enTTHis"/>
    <w:basedOn w:val="OPCParaBase"/>
    <w:rsid w:val="006F53B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53B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53B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53B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976A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11361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611361"/>
    <w:rPr>
      <w:sz w:val="18"/>
    </w:rPr>
  </w:style>
  <w:style w:type="paragraph" w:customStyle="1" w:styleId="Normla">
    <w:name w:val="Normla"/>
    <w:basedOn w:val="Header"/>
    <w:rsid w:val="00566FFA"/>
    <w:rPr>
      <w:sz w:val="28"/>
    </w:rPr>
  </w:style>
  <w:style w:type="character" w:customStyle="1" w:styleId="CommentTextChar">
    <w:name w:val="Comment Text Char"/>
    <w:basedOn w:val="DefaultParagraphFont"/>
    <w:link w:val="CommentText"/>
    <w:rsid w:val="00DA24B3"/>
    <w:rPr>
      <w:rFonts w:eastAsia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CF77DB"/>
    <w:pPr>
      <w:spacing w:line="240" w:lineRule="auto"/>
      <w:ind w:left="720"/>
    </w:pPr>
    <w:rPr>
      <w:rFonts w:ascii="Calibri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cma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4843205835740A90BE4F6AA1145B5" ma:contentTypeVersion="0" ma:contentTypeDescription="Create a new document." ma:contentTypeScope="" ma:versionID="629fdeb0ba6153cf2763765019e838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FE9E6-3452-4D36-A366-26F40E45CF0D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AFC774F-E266-43E8-9F9D-E0B3F922F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102D4-0F6E-4741-A0FD-B4CF80C9C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D18A4B-5BC5-4681-8522-43CCC6ACE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4</TotalTime>
  <Pages>5</Pages>
  <Words>1540</Words>
  <Characters>8778</Characters>
  <Application>Microsoft Office Word</Application>
  <DocSecurity>0</DocSecurity>
  <PresentationFormat/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10298</CharactersWithSpaces>
  <SharedDoc>false</SharedDoc>
  <HyperlinkBase/>
  <HLinks>
    <vt:vector size="6" baseType="variant"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Greenaway, Marie-Claire</dc:creator>
  <cp:keywords/>
  <dc:description/>
  <cp:lastModifiedBy>Cowell, Alexandra</cp:lastModifiedBy>
  <cp:revision>3</cp:revision>
  <cp:lastPrinted>2012-12-05T04:21:00Z</cp:lastPrinted>
  <dcterms:created xsi:type="dcterms:W3CDTF">2018-07-19T05:21:00Z</dcterms:created>
  <dcterms:modified xsi:type="dcterms:W3CDTF">2018-07-19T05:25:00Z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0</vt:lpwstr>
  </property>
  <property fmtid="{D5CDD505-2E9C-101B-9397-08002B2CF9AE}" pid="3" name="IndexMatter">
    <vt:lpwstr> </vt:lpwstr>
  </property>
  <property fmtid="{D5CDD505-2E9C-101B-9397-08002B2CF9AE}" pid="4" name="Converted">
    <vt:bool>true</vt:bool>
  </property>
  <property fmtid="{D5CDD505-2E9C-101B-9397-08002B2CF9AE}" pid="5" name="Classification">
    <vt:lpwstr> </vt:lpwstr>
  </property>
  <property fmtid="{D5CDD505-2E9C-101B-9397-08002B2CF9AE}" pid="6" name="Header">
    <vt:lpwstr>Section</vt:lpwstr>
  </property>
  <property fmtid="{D5CDD505-2E9C-101B-9397-08002B2CF9AE}" pid="7" name="ActNo">
    <vt:lpwstr> </vt:lpwstr>
  </property>
  <property fmtid="{D5CDD505-2E9C-101B-9397-08002B2CF9AE}" pid="8" name="ShortT">
    <vt:lpwstr> </vt:lpwstr>
  </property>
  <property fmtid="{D5CDD505-2E9C-101B-9397-08002B2CF9AE}" pid="9" name="Class">
    <vt:lpwstr> </vt:lpwstr>
  </property>
  <property fmtid="{D5CDD505-2E9C-101B-9397-08002B2CF9AE}" pid="10" name="Type">
    <vt:lpwstr> </vt:lpwstr>
  </property>
  <property fmtid="{D5CDD505-2E9C-101B-9397-08002B2CF9AE}" pid="11" name="DocType">
    <vt:lpwstr>NEW</vt:lpwstr>
  </property>
  <property fmtid="{D5CDD505-2E9C-101B-9397-08002B2CF9AE}" pid="12" name="Exco">
    <vt:lpwstr>No</vt:lpwstr>
  </property>
  <property fmtid="{D5CDD505-2E9C-101B-9397-08002B2CF9AE}" pid="13" name="Authority">
    <vt:lpwstr/>
  </property>
  <property fmtid="{D5CDD505-2E9C-101B-9397-08002B2CF9AE}" pid="14" name="DateMade">
    <vt:lpwstr> </vt:lpwstr>
  </property>
  <property fmtid="{D5CDD505-2E9C-101B-9397-08002B2CF9AE}" pid="15" name="ID">
    <vt:lpwstr> </vt:lpwstr>
  </property>
  <property fmtid="{D5CDD505-2E9C-101B-9397-08002B2CF9AE}" pid="16" name="CounterSign">
    <vt:lpwstr/>
  </property>
  <property fmtid="{D5CDD505-2E9C-101B-9397-08002B2CF9AE}" pid="17" name="ExcoDate">
    <vt:lpwstr> </vt:lpwstr>
  </property>
  <property fmtid="{D5CDD505-2E9C-101B-9397-08002B2CF9AE}" pid="18" name="ContentTypeId">
    <vt:lpwstr>0x010100EA74843205835740A90BE4F6AA1145B5</vt:lpwstr>
  </property>
  <property fmtid="{D5CDD505-2E9C-101B-9397-08002B2CF9AE}" pid="19" name="TrimRevisionNumber">
    <vt:i4>6</vt:i4>
  </property>
</Properties>
</file>