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98F26" w14:textId="25140F52" w:rsidR="00367C8F" w:rsidRPr="00152F4F" w:rsidRDefault="00D02E3A" w:rsidP="00367C8F">
      <w:pPr>
        <w:jc w:val="right"/>
      </w:pPr>
      <w:r w:rsidRPr="00152F4F">
        <w:rPr>
          <w:color w:val="A6A6A6" w:themeColor="background1" w:themeShade="A6"/>
        </w:rPr>
        <w:t>Attachment B</w:t>
      </w:r>
    </w:p>
    <w:p w14:paraId="7DC98F27" w14:textId="77777777" w:rsidR="00AD7B28" w:rsidRDefault="00D02E3A" w:rsidP="00AD7B28">
      <w:pPr>
        <w:jc w:val="center"/>
        <w:rPr>
          <w:u w:val="single"/>
        </w:rPr>
      </w:pPr>
      <w:r>
        <w:rPr>
          <w:u w:val="single"/>
        </w:rPr>
        <w:t>EXPLANATORY STATEMENT</w:t>
      </w:r>
    </w:p>
    <w:p w14:paraId="7DC98F28" w14:textId="77777777" w:rsidR="00AD7B28" w:rsidRDefault="00AD7B28" w:rsidP="00AD7B28">
      <w:pPr>
        <w:rPr>
          <w:u w:val="single"/>
        </w:rPr>
      </w:pPr>
    </w:p>
    <w:p w14:paraId="7DC98F29" w14:textId="77777777" w:rsidR="00AD7B28" w:rsidRPr="00EB1578" w:rsidRDefault="00D02E3A" w:rsidP="00AD7B28">
      <w:pPr>
        <w:shd w:val="clear" w:color="auto" w:fill="FFFFFF"/>
        <w:spacing w:before="100" w:beforeAutospacing="1" w:after="100" w:afterAutospacing="1"/>
        <w:ind w:right="91"/>
        <w:jc w:val="center"/>
        <w:rPr>
          <w:lang w:val="en-US"/>
        </w:rPr>
      </w:pPr>
      <w:r w:rsidRPr="00EB1578">
        <w:rPr>
          <w:b/>
          <w:bCs/>
          <w:i/>
          <w:iCs/>
        </w:rPr>
        <w:t>Aged Care Act 1997</w:t>
      </w:r>
    </w:p>
    <w:p w14:paraId="7DC98F2A" w14:textId="77777777" w:rsidR="00AD7B28" w:rsidRDefault="00AD7B28" w:rsidP="00AD7B28"/>
    <w:p w14:paraId="7DC98F2B" w14:textId="77777777" w:rsidR="00AD7B28" w:rsidRPr="00FF6C8F" w:rsidRDefault="00D02E3A" w:rsidP="00AD7B28">
      <w:pPr>
        <w:pStyle w:val="ShortT"/>
        <w:jc w:val="center"/>
        <w:rPr>
          <w:b w:val="0"/>
          <w:i/>
          <w:sz w:val="24"/>
          <w:szCs w:val="24"/>
        </w:rPr>
      </w:pPr>
      <w:r w:rsidRPr="00FF6C8F">
        <w:rPr>
          <w:b w:val="0"/>
          <w:i/>
          <w:sz w:val="24"/>
          <w:szCs w:val="24"/>
        </w:rPr>
        <w:t>Aged Care Legislation Amendment (Financial Reporting) Principles 2018</w:t>
      </w:r>
    </w:p>
    <w:p w14:paraId="7DC98F2C" w14:textId="77777777" w:rsidR="00AD7B28" w:rsidRDefault="00AD7B28" w:rsidP="00AD7B28">
      <w:pPr>
        <w:jc w:val="center"/>
      </w:pPr>
    </w:p>
    <w:p w14:paraId="7DC98F2D" w14:textId="77777777" w:rsidR="00AD7B28" w:rsidRDefault="00AD7B28" w:rsidP="00AD7B28">
      <w:pPr>
        <w:jc w:val="center"/>
      </w:pPr>
    </w:p>
    <w:p w14:paraId="7DC98F2E" w14:textId="77777777" w:rsidR="00AD7B28" w:rsidRPr="0076755D" w:rsidRDefault="00D02E3A" w:rsidP="00AD7B28">
      <w:pPr>
        <w:rPr>
          <w:rFonts w:cs="Arial"/>
        </w:rPr>
      </w:pPr>
      <w:r w:rsidRPr="0076755D">
        <w:rPr>
          <w:rFonts w:cs="Arial"/>
          <w:u w:val="single"/>
        </w:rPr>
        <w:t>Authority</w:t>
      </w:r>
      <w:r w:rsidRPr="0076755D">
        <w:rPr>
          <w:rFonts w:cs="Arial"/>
        </w:rPr>
        <w:t xml:space="preserve"> </w:t>
      </w:r>
    </w:p>
    <w:p w14:paraId="7DC98F2F" w14:textId="77777777" w:rsidR="00AD7B28" w:rsidRPr="0076755D" w:rsidRDefault="00D02E3A" w:rsidP="00AD7B28">
      <w:pPr>
        <w:shd w:val="clear" w:color="auto" w:fill="FFFFFF"/>
        <w:spacing w:before="100" w:beforeAutospacing="1" w:after="100" w:afterAutospacing="1"/>
        <w:rPr>
          <w:rFonts w:cs="Arial"/>
          <w:lang w:val="en-US"/>
        </w:rPr>
      </w:pPr>
      <w:r w:rsidRPr="0076755D">
        <w:rPr>
          <w:rFonts w:cs="Arial"/>
        </w:rPr>
        <w:t xml:space="preserve">Item 1 in the table to section 96-1 of the </w:t>
      </w:r>
      <w:r w:rsidRPr="0076755D">
        <w:rPr>
          <w:rFonts w:cs="Arial"/>
          <w:i/>
          <w:iCs/>
        </w:rPr>
        <w:t>Aged Care Act 1997</w:t>
      </w:r>
      <w:r w:rsidRPr="0076755D">
        <w:rPr>
          <w:rFonts w:cs="Arial"/>
        </w:rPr>
        <w:t xml:space="preserve"> (the Act) provides that the Minister may make Accountability Principles providing for matters required or permitted by Part 4.3 of that Act.</w:t>
      </w:r>
    </w:p>
    <w:p w14:paraId="7DC98F30" w14:textId="77777777" w:rsidR="00AD7B28" w:rsidRPr="0076755D" w:rsidRDefault="00D02E3A" w:rsidP="00AD7B28">
      <w:pPr>
        <w:shd w:val="clear" w:color="auto" w:fill="FFFFFF"/>
        <w:spacing w:before="100" w:beforeAutospacing="1" w:after="100" w:afterAutospacing="1"/>
        <w:rPr>
          <w:rFonts w:cs="Arial"/>
          <w:lang w:val="en-US"/>
        </w:rPr>
      </w:pPr>
      <w:r w:rsidRPr="0076755D">
        <w:rPr>
          <w:rFonts w:cs="Arial"/>
        </w:rPr>
        <w:t>Item 14A in the table to section 96-1 of the Act provides that the Minister may make Fees and Payments Principles providing for matters required or permitted by Parts 3A.1, 3A.2 and 3A.3 of that Act.</w:t>
      </w:r>
    </w:p>
    <w:p w14:paraId="7DC98F31" w14:textId="77777777" w:rsidR="00AD7B28" w:rsidRPr="0076755D" w:rsidRDefault="00D02E3A" w:rsidP="00AD7B28">
      <w:pPr>
        <w:rPr>
          <w:rFonts w:cs="Arial"/>
          <w:u w:val="single"/>
        </w:rPr>
      </w:pPr>
      <w:r w:rsidRPr="0076755D">
        <w:rPr>
          <w:rFonts w:cs="Arial"/>
          <w:u w:val="single"/>
        </w:rPr>
        <w:t>Purpose</w:t>
      </w:r>
    </w:p>
    <w:p w14:paraId="7DC98F32" w14:textId="1EBEA473" w:rsidR="00AD7B28" w:rsidRPr="0076755D" w:rsidRDefault="00D02E3A" w:rsidP="00AD7B28">
      <w:pPr>
        <w:rPr>
          <w:rFonts w:cs="Arial"/>
        </w:rPr>
      </w:pPr>
      <w:r w:rsidRPr="0076755D">
        <w:rPr>
          <w:rFonts w:cs="Arial"/>
        </w:rPr>
        <w:t xml:space="preserve">The purpose of the </w:t>
      </w:r>
      <w:r w:rsidRPr="00E26E9D">
        <w:rPr>
          <w:rFonts w:cs="Arial"/>
          <w:i/>
        </w:rPr>
        <w:t>Aged Care Legislation Amendment (Financial Reporting) Principles 2018</w:t>
      </w:r>
      <w:r w:rsidRPr="0076755D">
        <w:rPr>
          <w:rFonts w:cs="Arial"/>
        </w:rPr>
        <w:t xml:space="preserve"> is to amend the </w:t>
      </w:r>
      <w:r w:rsidRPr="00E26E9D">
        <w:rPr>
          <w:rFonts w:cs="Arial"/>
          <w:i/>
        </w:rPr>
        <w:t>Accountability Principles 2014</w:t>
      </w:r>
      <w:r w:rsidRPr="0076755D">
        <w:rPr>
          <w:rFonts w:cs="Arial"/>
        </w:rPr>
        <w:t xml:space="preserve"> and the </w:t>
      </w:r>
      <w:r w:rsidRPr="00E26E9D">
        <w:rPr>
          <w:rFonts w:cs="Arial"/>
          <w:i/>
        </w:rPr>
        <w:t>Fees and Payments Principles 2014 (No. 2)</w:t>
      </w:r>
      <w:r w:rsidRPr="0076755D">
        <w:rPr>
          <w:rFonts w:cs="Arial"/>
        </w:rPr>
        <w:t xml:space="preserve"> to implement changes to the </w:t>
      </w:r>
      <w:r w:rsidR="005E7BCF">
        <w:rPr>
          <w:rFonts w:cs="Arial"/>
        </w:rPr>
        <w:t>f</w:t>
      </w:r>
      <w:r w:rsidRPr="0076755D">
        <w:rPr>
          <w:rFonts w:cs="Arial"/>
        </w:rPr>
        <w:t xml:space="preserve">inancial </w:t>
      </w:r>
      <w:r w:rsidR="005E7BCF">
        <w:rPr>
          <w:rFonts w:cs="Arial"/>
        </w:rPr>
        <w:t>r</w:t>
      </w:r>
      <w:r w:rsidRPr="0076755D">
        <w:rPr>
          <w:rFonts w:cs="Arial"/>
        </w:rPr>
        <w:t>eporting requirements</w:t>
      </w:r>
      <w:r w:rsidR="005E7BCF">
        <w:rPr>
          <w:rFonts w:cs="Arial"/>
        </w:rPr>
        <w:t xml:space="preserve"> for approved providers of aged care</w:t>
      </w:r>
      <w:r w:rsidRPr="0076755D">
        <w:rPr>
          <w:rFonts w:cs="Arial"/>
        </w:rPr>
        <w:t xml:space="preserve">.  </w:t>
      </w:r>
    </w:p>
    <w:p w14:paraId="7DC98F33" w14:textId="77777777" w:rsidR="00AD7B28" w:rsidRPr="0076755D" w:rsidRDefault="00AD7B28" w:rsidP="00AD7B28">
      <w:pPr>
        <w:rPr>
          <w:rFonts w:cs="Arial"/>
          <w:i/>
        </w:rPr>
      </w:pPr>
    </w:p>
    <w:p w14:paraId="7DC98F34" w14:textId="77777777" w:rsidR="00AD7B28" w:rsidRPr="0076755D" w:rsidRDefault="00D02E3A" w:rsidP="00AD7B28">
      <w:pPr>
        <w:rPr>
          <w:rFonts w:cs="Arial"/>
          <w:u w:val="single"/>
        </w:rPr>
      </w:pPr>
      <w:r w:rsidRPr="0076755D">
        <w:rPr>
          <w:rFonts w:cs="Arial"/>
          <w:u w:val="single"/>
        </w:rPr>
        <w:t>Background</w:t>
      </w:r>
    </w:p>
    <w:p w14:paraId="7DC98F35" w14:textId="77777777" w:rsidR="00AD7B28" w:rsidRPr="0076755D" w:rsidRDefault="00D02E3A" w:rsidP="00AD7B28">
      <w:pPr>
        <w:rPr>
          <w:rFonts w:cs="Arial"/>
        </w:rPr>
      </w:pPr>
      <w:r w:rsidRPr="0076755D">
        <w:rPr>
          <w:rFonts w:cs="Arial"/>
        </w:rPr>
        <w:t>Reporting issues</w:t>
      </w:r>
    </w:p>
    <w:p w14:paraId="7DC98F36" w14:textId="61A0BC7B" w:rsidR="00AD7B28" w:rsidRPr="003C7611" w:rsidRDefault="00D02E3A" w:rsidP="003C7611">
      <w:pPr>
        <w:pStyle w:val="ListNumber"/>
        <w:numPr>
          <w:ilvl w:val="0"/>
          <w:numId w:val="15"/>
        </w:numPr>
        <w:spacing w:after="120"/>
        <w:rPr>
          <w:rFonts w:eastAsia="MS Mincho" w:cs="Arial"/>
          <w:lang w:eastAsia="en-AU"/>
        </w:rPr>
      </w:pPr>
      <w:r w:rsidRPr="003C7611">
        <w:rPr>
          <w:rFonts w:eastAsia="MS Mincho" w:cs="Arial"/>
          <w:lang w:eastAsia="en-AU"/>
        </w:rPr>
        <w:t xml:space="preserve">The </w:t>
      </w:r>
      <w:r w:rsidR="005E7BCF">
        <w:rPr>
          <w:rFonts w:eastAsia="MS Mincho" w:cs="Arial"/>
          <w:lang w:eastAsia="en-AU"/>
        </w:rPr>
        <w:t>Aged Care Financial Report (</w:t>
      </w:r>
      <w:r w:rsidRPr="003C7611">
        <w:rPr>
          <w:rFonts w:eastAsia="MS Mincho" w:cs="Arial"/>
          <w:lang w:eastAsia="en-AU"/>
        </w:rPr>
        <w:t>ACFR</w:t>
      </w:r>
      <w:r w:rsidR="005E7BCF">
        <w:rPr>
          <w:rFonts w:eastAsia="MS Mincho" w:cs="Arial"/>
          <w:lang w:eastAsia="en-AU"/>
        </w:rPr>
        <w:t>)</w:t>
      </w:r>
      <w:r w:rsidRPr="003C7611">
        <w:rPr>
          <w:rFonts w:eastAsia="MS Mincho" w:cs="Arial"/>
          <w:lang w:eastAsia="en-AU"/>
        </w:rPr>
        <w:t xml:space="preserve"> was introduced from July 2017. This new reporting format introduced new mandatory line items into the Income Statement, Balance Sheet, Cash Flow Statement and notes to the financial statements.</w:t>
      </w:r>
    </w:p>
    <w:p w14:paraId="7DC98F37" w14:textId="5C3D25FB" w:rsidR="00AD7B28" w:rsidRPr="0076755D" w:rsidRDefault="00D02E3A" w:rsidP="00AD7B28">
      <w:pPr>
        <w:pStyle w:val="ListNumber"/>
        <w:spacing w:after="120"/>
        <w:rPr>
          <w:rFonts w:eastAsia="MS Mincho" w:cs="Arial"/>
          <w:lang w:eastAsia="en-AU"/>
        </w:rPr>
      </w:pPr>
      <w:r w:rsidRPr="0076755D">
        <w:rPr>
          <w:rFonts w:eastAsia="MS Mincho" w:cs="Arial"/>
          <w:lang w:eastAsia="en-AU"/>
        </w:rPr>
        <w:t xml:space="preserve">To assist with the completion of these new mandatory items, providers were given the flexibility to complete each of the approved provider and residential segment financial statements in either their </w:t>
      </w:r>
      <w:r w:rsidR="00204E23">
        <w:rPr>
          <w:rFonts w:eastAsia="MS Mincho" w:cs="Arial"/>
          <w:lang w:eastAsia="en-AU"/>
        </w:rPr>
        <w:t xml:space="preserve">audited </w:t>
      </w:r>
      <w:r w:rsidR="005E7BCF">
        <w:rPr>
          <w:rFonts w:eastAsia="MS Mincho" w:cs="Arial"/>
          <w:lang w:eastAsia="en-AU"/>
        </w:rPr>
        <w:t>General Purpose Financial Report (</w:t>
      </w:r>
      <w:r w:rsidRPr="0076755D">
        <w:rPr>
          <w:rFonts w:eastAsia="MS Mincho" w:cs="Arial"/>
          <w:lang w:eastAsia="en-AU"/>
        </w:rPr>
        <w:t>GPFR</w:t>
      </w:r>
      <w:r w:rsidR="005E7BCF">
        <w:rPr>
          <w:rFonts w:eastAsia="MS Mincho" w:cs="Arial"/>
          <w:lang w:eastAsia="en-AU"/>
        </w:rPr>
        <w:t>)</w:t>
      </w:r>
      <w:r w:rsidRPr="0076755D">
        <w:rPr>
          <w:rFonts w:eastAsia="MS Mincho" w:cs="Arial"/>
          <w:lang w:eastAsia="en-AU"/>
        </w:rPr>
        <w:t xml:space="preserve"> or ACFR.</w:t>
      </w:r>
    </w:p>
    <w:p w14:paraId="7DC98F3B" w14:textId="574B12C5" w:rsidR="00AD7B28" w:rsidRDefault="00D02E3A" w:rsidP="00AD7B28">
      <w:pPr>
        <w:pStyle w:val="ListNumber"/>
        <w:rPr>
          <w:rFonts w:eastAsia="MS Mincho" w:cs="Arial"/>
          <w:lang w:eastAsia="en-AU"/>
        </w:rPr>
      </w:pPr>
      <w:r w:rsidRPr="00FC15C5">
        <w:rPr>
          <w:rFonts w:eastAsia="MS Mincho" w:cs="Arial"/>
          <w:lang w:eastAsia="en-AU"/>
        </w:rPr>
        <w:t>Some approved providers were confused by this change and as a result provided incomplete information.</w:t>
      </w:r>
      <w:r w:rsidR="00FC15C5">
        <w:rPr>
          <w:rFonts w:eastAsia="MS Mincho" w:cs="Arial"/>
          <w:lang w:eastAsia="en-AU"/>
        </w:rPr>
        <w:t xml:space="preserve"> </w:t>
      </w:r>
      <w:r w:rsidRPr="00FC15C5">
        <w:rPr>
          <w:rFonts w:eastAsia="MS Mincho" w:cs="Arial"/>
          <w:lang w:eastAsia="en-AU"/>
        </w:rPr>
        <w:t xml:space="preserve">This resulted in approximately 300 providers (out of approximately 900) </w:t>
      </w:r>
      <w:r w:rsidR="00FC15C5">
        <w:rPr>
          <w:rFonts w:eastAsia="MS Mincho" w:cs="Arial"/>
          <w:lang w:eastAsia="en-AU"/>
        </w:rPr>
        <w:t xml:space="preserve">being required </w:t>
      </w:r>
      <w:r w:rsidRPr="00FC15C5">
        <w:rPr>
          <w:rFonts w:eastAsia="MS Mincho" w:cs="Arial"/>
          <w:lang w:eastAsia="en-AU"/>
        </w:rPr>
        <w:t xml:space="preserve">to correct the errors and/or omissions. </w:t>
      </w:r>
    </w:p>
    <w:p w14:paraId="1508C0D6" w14:textId="77777777" w:rsidR="00E73D8A" w:rsidRPr="00FC15C5" w:rsidRDefault="00E73D8A" w:rsidP="00E73D8A">
      <w:pPr>
        <w:pStyle w:val="ListNumber"/>
        <w:numPr>
          <w:ilvl w:val="0"/>
          <w:numId w:val="0"/>
        </w:numPr>
        <w:ind w:left="369"/>
        <w:rPr>
          <w:rFonts w:eastAsia="MS Mincho" w:cs="Arial"/>
          <w:lang w:eastAsia="en-AU"/>
        </w:rPr>
      </w:pPr>
    </w:p>
    <w:p w14:paraId="7DC98F3C" w14:textId="77777777" w:rsidR="00AD7B28" w:rsidRPr="0076755D" w:rsidRDefault="00D02E3A" w:rsidP="00AD7B28">
      <w:pPr>
        <w:pStyle w:val="ListNumber"/>
        <w:rPr>
          <w:rFonts w:eastAsia="MS Mincho" w:cs="Arial"/>
          <w:lang w:eastAsia="en-AU"/>
        </w:rPr>
      </w:pPr>
      <w:r w:rsidRPr="0076755D">
        <w:rPr>
          <w:rFonts w:eastAsia="MS Mincho" w:cs="Arial"/>
          <w:lang w:eastAsia="en-AU"/>
        </w:rPr>
        <w:lastRenderedPageBreak/>
        <w:t>In most cases this involved significant re-work and re-submissions by approved providers, which in turn caused delays for the Department receiving appropriate financial data.</w:t>
      </w:r>
    </w:p>
    <w:p w14:paraId="7DC98F3E" w14:textId="432EB910" w:rsidR="00AD7B28" w:rsidRPr="00FC15C5" w:rsidRDefault="00D02E3A" w:rsidP="00AD7B28">
      <w:pPr>
        <w:pStyle w:val="ListNumber"/>
        <w:rPr>
          <w:rFonts w:eastAsia="MS Mincho" w:cs="Arial"/>
          <w:lang w:eastAsia="en-AU"/>
        </w:rPr>
      </w:pPr>
      <w:r w:rsidRPr="006B2A07">
        <w:rPr>
          <w:rFonts w:eastAsia="MS Mincho" w:cs="Arial"/>
          <w:lang w:eastAsia="en-AU"/>
        </w:rPr>
        <w:t xml:space="preserve">It is proposed that a minor </w:t>
      </w:r>
      <w:r w:rsidR="006B2A07">
        <w:rPr>
          <w:rFonts w:eastAsia="MS Mincho" w:cs="Arial"/>
          <w:lang w:eastAsia="en-AU"/>
        </w:rPr>
        <w:t>amendment</w:t>
      </w:r>
      <w:r w:rsidR="006B2A07" w:rsidRPr="006B2A07">
        <w:rPr>
          <w:rFonts w:eastAsia="MS Mincho" w:cs="Arial"/>
          <w:lang w:eastAsia="en-AU"/>
        </w:rPr>
        <w:t xml:space="preserve"> </w:t>
      </w:r>
      <w:r w:rsidRPr="006B2A07">
        <w:rPr>
          <w:rFonts w:eastAsia="MS Mincho" w:cs="Arial"/>
          <w:lang w:eastAsia="en-AU"/>
        </w:rPr>
        <w:t xml:space="preserve">be made to the </w:t>
      </w:r>
      <w:r w:rsidRPr="00D12A52">
        <w:rPr>
          <w:rFonts w:eastAsia="MS Mincho" w:cs="Arial"/>
          <w:i/>
          <w:lang w:eastAsia="en-AU"/>
        </w:rPr>
        <w:t>Accountability Principles 2014</w:t>
      </w:r>
      <w:r w:rsidRPr="006B2A07">
        <w:rPr>
          <w:rFonts w:eastAsia="MS Mincho" w:cs="Arial"/>
          <w:lang w:eastAsia="en-AU"/>
        </w:rPr>
        <w:t xml:space="preserve"> </w:t>
      </w:r>
      <w:r w:rsidR="00204E23" w:rsidRPr="006C52CB">
        <w:rPr>
          <w:rFonts w:eastAsia="MS Mincho" w:cs="Arial"/>
          <w:lang w:eastAsia="en-AU"/>
        </w:rPr>
        <w:t>to remove the option to provide financial data in either the approved provider’s audited GPFR or ACFR</w:t>
      </w:r>
      <w:r w:rsidRPr="00FC15C5">
        <w:rPr>
          <w:rFonts w:eastAsia="MS Mincho" w:cs="Arial"/>
          <w:lang w:eastAsia="en-AU"/>
        </w:rPr>
        <w:t>.</w:t>
      </w:r>
      <w:r w:rsidRPr="006B2A07">
        <w:rPr>
          <w:rFonts w:eastAsia="MS Mincho" w:cs="Arial"/>
          <w:lang w:eastAsia="en-AU"/>
        </w:rPr>
        <w:t xml:space="preserve"> This change will provide clear direction </w:t>
      </w:r>
      <w:r w:rsidR="00204E23" w:rsidRPr="00643844">
        <w:rPr>
          <w:rFonts w:eastAsia="MS Mincho" w:cs="Arial"/>
          <w:lang w:eastAsia="en-AU"/>
        </w:rPr>
        <w:t xml:space="preserve">to approved providers </w:t>
      </w:r>
      <w:r w:rsidRPr="006C52CB">
        <w:rPr>
          <w:rFonts w:eastAsia="MS Mincho" w:cs="Arial"/>
          <w:lang w:eastAsia="en-AU"/>
        </w:rPr>
        <w:t>on how to report the mandatory financial data items in their ACFR.</w:t>
      </w:r>
    </w:p>
    <w:p w14:paraId="7DC98F3F" w14:textId="77777777" w:rsidR="00AD7B28" w:rsidRPr="0076755D" w:rsidRDefault="00D02E3A" w:rsidP="00AD7B28">
      <w:pPr>
        <w:rPr>
          <w:rFonts w:cs="Arial"/>
        </w:rPr>
      </w:pPr>
      <w:r w:rsidRPr="0076755D">
        <w:rPr>
          <w:rFonts w:cs="Arial"/>
        </w:rPr>
        <w:t>Fees and charges</w:t>
      </w:r>
    </w:p>
    <w:p w14:paraId="7DC98F40" w14:textId="154B5E92" w:rsidR="00AD7B28" w:rsidRPr="0076755D" w:rsidRDefault="006B2A07" w:rsidP="00AD7B28">
      <w:pPr>
        <w:pStyle w:val="ListNumber"/>
        <w:spacing w:after="120"/>
        <w:rPr>
          <w:rFonts w:eastAsia="MS Mincho" w:cs="Arial"/>
          <w:lang w:eastAsia="en-AU"/>
        </w:rPr>
      </w:pPr>
      <w:r>
        <w:rPr>
          <w:rFonts w:eastAsia="MS Mincho" w:cs="Arial"/>
          <w:lang w:eastAsia="en-AU"/>
        </w:rPr>
        <w:t>Approved p</w:t>
      </w:r>
      <w:r w:rsidR="00D02E3A" w:rsidRPr="0076755D">
        <w:rPr>
          <w:rFonts w:eastAsia="MS Mincho" w:cs="Arial"/>
          <w:lang w:eastAsia="en-AU"/>
        </w:rPr>
        <w:t>roviders</w:t>
      </w:r>
      <w:r>
        <w:rPr>
          <w:rFonts w:eastAsia="MS Mincho" w:cs="Arial"/>
          <w:lang w:eastAsia="en-AU"/>
        </w:rPr>
        <w:t xml:space="preserve"> of residential aged care</w:t>
      </w:r>
      <w:r w:rsidR="00D02E3A" w:rsidRPr="0076755D">
        <w:rPr>
          <w:rFonts w:eastAsia="MS Mincho" w:cs="Arial"/>
          <w:lang w:eastAsia="en-AU"/>
        </w:rPr>
        <w:t xml:space="preserve"> report their management and expenditure of the Refundable Accommodation Deposits </w:t>
      </w:r>
      <w:r>
        <w:rPr>
          <w:rFonts w:eastAsia="MS Mincho" w:cs="Arial"/>
          <w:lang w:eastAsia="en-AU"/>
        </w:rPr>
        <w:t xml:space="preserve">(RADs) </w:t>
      </w:r>
      <w:r w:rsidR="00D02E3A" w:rsidRPr="0076755D">
        <w:rPr>
          <w:rFonts w:eastAsia="MS Mincho" w:cs="Arial"/>
          <w:lang w:eastAsia="en-AU"/>
        </w:rPr>
        <w:t xml:space="preserve">received from </w:t>
      </w:r>
      <w:r>
        <w:rPr>
          <w:rFonts w:eastAsia="MS Mincho" w:cs="Arial"/>
          <w:lang w:eastAsia="en-AU"/>
        </w:rPr>
        <w:t>care recipients</w:t>
      </w:r>
      <w:r w:rsidRPr="0076755D">
        <w:rPr>
          <w:rFonts w:eastAsia="MS Mincho" w:cs="Arial"/>
          <w:lang w:eastAsia="en-AU"/>
        </w:rPr>
        <w:t xml:space="preserve"> </w:t>
      </w:r>
      <w:r w:rsidR="00D02E3A" w:rsidRPr="0076755D">
        <w:rPr>
          <w:rFonts w:eastAsia="MS Mincho" w:cs="Arial"/>
          <w:lang w:eastAsia="en-AU"/>
        </w:rPr>
        <w:t>in their Annual Prudential Compliance Statement</w:t>
      </w:r>
      <w:r>
        <w:rPr>
          <w:rFonts w:eastAsia="MS Mincho" w:cs="Arial"/>
          <w:lang w:eastAsia="en-AU"/>
        </w:rPr>
        <w:t xml:space="preserve"> (APCS)</w:t>
      </w:r>
      <w:r w:rsidR="00D02E3A" w:rsidRPr="0076755D">
        <w:rPr>
          <w:rFonts w:eastAsia="MS Mincho" w:cs="Arial"/>
          <w:lang w:eastAsia="en-AU"/>
        </w:rPr>
        <w:t xml:space="preserve">.  The statement does not currently report on other fees and/or charges imposed on </w:t>
      </w:r>
      <w:r>
        <w:rPr>
          <w:rFonts w:eastAsia="MS Mincho" w:cs="Arial"/>
          <w:lang w:eastAsia="en-AU"/>
        </w:rPr>
        <w:t>care recipients</w:t>
      </w:r>
      <w:r w:rsidR="00D02E3A" w:rsidRPr="0076755D">
        <w:rPr>
          <w:rFonts w:eastAsia="MS Mincho" w:cs="Arial"/>
          <w:lang w:eastAsia="en-AU"/>
        </w:rPr>
        <w:t>.</w:t>
      </w:r>
    </w:p>
    <w:p w14:paraId="7DC98F42" w14:textId="1D1D9724" w:rsidR="00AD7B28" w:rsidRPr="00643844" w:rsidRDefault="00D02E3A" w:rsidP="006B2A07">
      <w:pPr>
        <w:pStyle w:val="ListNumber"/>
        <w:spacing w:after="120"/>
        <w:rPr>
          <w:rFonts w:eastAsia="MS Mincho" w:cs="Arial"/>
          <w:lang w:eastAsia="en-AU"/>
        </w:rPr>
      </w:pPr>
      <w:r w:rsidRPr="006B2A07">
        <w:rPr>
          <w:rFonts w:eastAsia="MS Mincho" w:cs="Arial"/>
          <w:lang w:eastAsia="en-AU"/>
        </w:rPr>
        <w:t>On 2 March 2018, the Federal Court ruled that ‘asset replacement charges’ (and sim</w:t>
      </w:r>
      <w:r w:rsidRPr="006C52CB">
        <w:rPr>
          <w:rFonts w:eastAsia="MS Mincho" w:cs="Arial"/>
          <w:lang w:eastAsia="en-AU"/>
        </w:rPr>
        <w:t>ilar fees</w:t>
      </w:r>
      <w:r w:rsidRPr="001B74E6">
        <w:rPr>
          <w:rFonts w:eastAsia="MS Mincho" w:cs="Arial"/>
          <w:lang w:eastAsia="en-AU"/>
        </w:rPr>
        <w:t xml:space="preserve"> and charges) are not allowed under </w:t>
      </w:r>
      <w:r w:rsidR="006B2A07" w:rsidRPr="006B2A07">
        <w:rPr>
          <w:rFonts w:eastAsia="MS Mincho" w:cs="Arial"/>
          <w:lang w:eastAsia="en-AU"/>
        </w:rPr>
        <w:t xml:space="preserve">the </w:t>
      </w:r>
      <w:r w:rsidRPr="006B2A07">
        <w:rPr>
          <w:rFonts w:eastAsia="MS Mincho" w:cs="Arial"/>
          <w:lang w:eastAsia="en-AU"/>
        </w:rPr>
        <w:t>aged care legislation</w:t>
      </w:r>
      <w:r w:rsidR="006B2A07">
        <w:rPr>
          <w:rFonts w:eastAsia="MS Mincho" w:cs="Arial"/>
          <w:lang w:eastAsia="en-AU"/>
        </w:rPr>
        <w:t xml:space="preserve">, and that the </w:t>
      </w:r>
      <w:r w:rsidRPr="00D12A52">
        <w:rPr>
          <w:rFonts w:eastAsia="MS Mincho" w:cs="Arial"/>
          <w:i/>
          <w:lang w:eastAsia="en-AU"/>
        </w:rPr>
        <w:t xml:space="preserve">Aged </w:t>
      </w:r>
      <w:r w:rsidR="006B2A07" w:rsidRPr="00D12A52">
        <w:rPr>
          <w:rFonts w:eastAsia="MS Mincho" w:cs="Arial"/>
          <w:i/>
          <w:lang w:eastAsia="en-AU"/>
        </w:rPr>
        <w:t>Care Act 1997</w:t>
      </w:r>
      <w:r w:rsidR="006B2A07">
        <w:rPr>
          <w:rFonts w:eastAsia="MS Mincho" w:cs="Arial"/>
          <w:lang w:eastAsia="en-AU"/>
        </w:rPr>
        <w:t xml:space="preserve"> sets out</w:t>
      </w:r>
      <w:r w:rsidRPr="00643844">
        <w:rPr>
          <w:rFonts w:eastAsia="MS Mincho" w:cs="Arial"/>
          <w:lang w:eastAsia="en-AU"/>
        </w:rPr>
        <w:t xml:space="preserve"> an exhaustive scheme of all fees and charges that </w:t>
      </w:r>
      <w:r w:rsidR="006B2A07">
        <w:rPr>
          <w:rFonts w:eastAsia="MS Mincho" w:cs="Arial"/>
          <w:lang w:eastAsia="en-AU"/>
        </w:rPr>
        <w:t xml:space="preserve">approved </w:t>
      </w:r>
      <w:r w:rsidRPr="006B2A07">
        <w:rPr>
          <w:rFonts w:eastAsia="MS Mincho" w:cs="Arial"/>
          <w:lang w:eastAsia="en-AU"/>
        </w:rPr>
        <w:t xml:space="preserve">providers can charge </w:t>
      </w:r>
      <w:r w:rsidR="006B2A07">
        <w:rPr>
          <w:rFonts w:eastAsia="MS Mincho" w:cs="Arial"/>
          <w:lang w:eastAsia="en-AU"/>
        </w:rPr>
        <w:t>to care recipients</w:t>
      </w:r>
      <w:r w:rsidRPr="006B2A07">
        <w:rPr>
          <w:rFonts w:eastAsia="MS Mincho" w:cs="Arial"/>
          <w:lang w:eastAsia="en-AU"/>
        </w:rPr>
        <w:t>.</w:t>
      </w:r>
    </w:p>
    <w:p w14:paraId="7DC98F44" w14:textId="3D315BDD" w:rsidR="00AD7B28" w:rsidRPr="0076755D" w:rsidRDefault="00D02E3A" w:rsidP="00AD7B28">
      <w:pPr>
        <w:pStyle w:val="ListNumber"/>
        <w:spacing w:after="120"/>
        <w:rPr>
          <w:rFonts w:eastAsia="MS Mincho" w:cs="Arial"/>
          <w:lang w:eastAsia="en-AU"/>
        </w:rPr>
      </w:pPr>
      <w:r w:rsidRPr="0076755D">
        <w:rPr>
          <w:rFonts w:eastAsia="MS Mincho" w:cs="Arial"/>
          <w:lang w:eastAsia="en-AU"/>
        </w:rPr>
        <w:t xml:space="preserve">In order to gain transparency over the charging of these fees in the sector, it is proposed to change the </w:t>
      </w:r>
      <w:r w:rsidR="006B2A07">
        <w:rPr>
          <w:rFonts w:eastAsia="MS Mincho" w:cs="Arial"/>
          <w:lang w:eastAsia="en-AU"/>
        </w:rPr>
        <w:t>legislative requirements regarding the APCS</w:t>
      </w:r>
      <w:r w:rsidRPr="0076755D">
        <w:rPr>
          <w:rFonts w:eastAsia="MS Mincho" w:cs="Arial"/>
          <w:lang w:eastAsia="en-AU"/>
        </w:rPr>
        <w:t xml:space="preserve">, </w:t>
      </w:r>
      <w:r w:rsidR="006B2A07">
        <w:rPr>
          <w:rFonts w:eastAsia="MS Mincho" w:cs="Arial"/>
          <w:lang w:eastAsia="en-AU"/>
        </w:rPr>
        <w:t xml:space="preserve">to </w:t>
      </w:r>
      <w:r w:rsidRPr="0076755D">
        <w:rPr>
          <w:rFonts w:eastAsia="MS Mincho" w:cs="Arial"/>
          <w:lang w:eastAsia="en-AU"/>
        </w:rPr>
        <w:t>requir</w:t>
      </w:r>
      <w:r w:rsidR="006B2A07">
        <w:rPr>
          <w:rFonts w:eastAsia="MS Mincho" w:cs="Arial"/>
          <w:lang w:eastAsia="en-AU"/>
        </w:rPr>
        <w:t>e</w:t>
      </w:r>
      <w:r w:rsidRPr="0076755D">
        <w:rPr>
          <w:rFonts w:eastAsia="MS Mincho" w:cs="Arial"/>
          <w:lang w:eastAsia="en-AU"/>
        </w:rPr>
        <w:t xml:space="preserve"> all approved providers to self-report their charging of fees and charges</w:t>
      </w:r>
      <w:r w:rsidR="006B2A07">
        <w:rPr>
          <w:rFonts w:eastAsia="MS Mincho" w:cs="Arial"/>
          <w:lang w:eastAsia="en-AU"/>
        </w:rPr>
        <w:t xml:space="preserve"> which are not provided for in the Act</w:t>
      </w:r>
      <w:r w:rsidRPr="0076755D">
        <w:rPr>
          <w:rFonts w:eastAsia="MS Mincho" w:cs="Arial"/>
          <w:lang w:eastAsia="en-AU"/>
        </w:rPr>
        <w:t>.  The additional information sought should have minimal impact on reporting obligations</w:t>
      </w:r>
      <w:r w:rsidR="006B2A07">
        <w:rPr>
          <w:rFonts w:eastAsia="MS Mincho" w:cs="Arial"/>
          <w:lang w:eastAsia="en-AU"/>
        </w:rPr>
        <w:t xml:space="preserve"> for approved providers of residential aged care. The legislation will require approved providers to report</w:t>
      </w:r>
      <w:r w:rsidRPr="0076755D">
        <w:rPr>
          <w:rFonts w:eastAsia="MS Mincho" w:cs="Arial"/>
          <w:lang w:eastAsia="en-AU"/>
        </w:rPr>
        <w:t>:</w:t>
      </w:r>
    </w:p>
    <w:p w14:paraId="7DC98F45" w14:textId="77777777" w:rsidR="00AD7B28" w:rsidRPr="0076755D" w:rsidRDefault="00D02E3A" w:rsidP="0076755D">
      <w:pPr>
        <w:pStyle w:val="ListNumber"/>
        <w:numPr>
          <w:ilvl w:val="0"/>
          <w:numId w:val="9"/>
        </w:numPr>
        <w:spacing w:after="0" w:line="240" w:lineRule="auto"/>
        <w:rPr>
          <w:rFonts w:eastAsia="MS Mincho" w:cs="Arial"/>
          <w:lang w:eastAsia="en-AU"/>
        </w:rPr>
      </w:pPr>
      <w:r w:rsidRPr="0076755D">
        <w:rPr>
          <w:rFonts w:eastAsia="MS Mincho" w:cs="Arial"/>
          <w:lang w:eastAsia="en-AU"/>
        </w:rPr>
        <w:t>What fees, if any, the provider charges other than resident fees or accommodation payments;</w:t>
      </w:r>
    </w:p>
    <w:p w14:paraId="7DC98F46" w14:textId="77777777" w:rsidR="00AD7B28" w:rsidRPr="0076755D" w:rsidRDefault="00D02E3A" w:rsidP="0076755D">
      <w:pPr>
        <w:pStyle w:val="ListNumber"/>
        <w:numPr>
          <w:ilvl w:val="0"/>
          <w:numId w:val="9"/>
        </w:numPr>
        <w:spacing w:after="0" w:line="240" w:lineRule="auto"/>
        <w:rPr>
          <w:rFonts w:eastAsia="MS Mincho" w:cs="Arial"/>
          <w:lang w:eastAsia="en-AU"/>
        </w:rPr>
      </w:pPr>
      <w:r w:rsidRPr="0076755D">
        <w:rPr>
          <w:rFonts w:eastAsia="MS Mincho" w:cs="Arial"/>
          <w:lang w:eastAsia="en-AU"/>
        </w:rPr>
        <w:t>The amount of such fees; and</w:t>
      </w:r>
    </w:p>
    <w:p w14:paraId="7DC98F47" w14:textId="77777777" w:rsidR="00AD7B28" w:rsidRPr="0076755D" w:rsidRDefault="00D02E3A" w:rsidP="0076755D">
      <w:pPr>
        <w:pStyle w:val="ListNumber"/>
        <w:numPr>
          <w:ilvl w:val="0"/>
          <w:numId w:val="9"/>
        </w:numPr>
        <w:spacing w:after="0" w:line="240" w:lineRule="auto"/>
        <w:rPr>
          <w:rFonts w:eastAsia="MS Mincho" w:cs="Arial"/>
          <w:lang w:eastAsia="en-AU"/>
        </w:rPr>
      </w:pPr>
      <w:r w:rsidRPr="0076755D">
        <w:rPr>
          <w:rFonts w:eastAsia="MS Mincho" w:cs="Arial"/>
          <w:lang w:eastAsia="en-AU"/>
        </w:rPr>
        <w:t>What those fees purport to cover.</w:t>
      </w:r>
      <w:r w:rsidRPr="0076755D">
        <w:rPr>
          <w:rFonts w:eastAsia="MS Mincho" w:cs="Arial"/>
          <w:lang w:eastAsia="en-AU"/>
        </w:rPr>
        <w:br/>
      </w:r>
    </w:p>
    <w:p w14:paraId="7DC98F48" w14:textId="167AEEA2" w:rsidR="00AD7B28" w:rsidRDefault="00D02E3A" w:rsidP="00AD7B28">
      <w:pPr>
        <w:pStyle w:val="ListNumber"/>
        <w:rPr>
          <w:rFonts w:eastAsia="MS Mincho" w:cs="Arial"/>
          <w:lang w:eastAsia="en-AU"/>
        </w:rPr>
      </w:pPr>
      <w:r w:rsidRPr="0076755D">
        <w:rPr>
          <w:rFonts w:eastAsia="MS Mincho" w:cs="Arial"/>
          <w:lang w:eastAsia="en-AU"/>
        </w:rPr>
        <w:t xml:space="preserve">This change will require minor </w:t>
      </w:r>
      <w:r w:rsidR="006B2A07">
        <w:rPr>
          <w:rFonts w:eastAsia="MS Mincho" w:cs="Arial"/>
          <w:lang w:eastAsia="en-AU"/>
        </w:rPr>
        <w:t>amendments</w:t>
      </w:r>
      <w:r w:rsidR="006B2A07" w:rsidRPr="0076755D">
        <w:rPr>
          <w:rFonts w:eastAsia="MS Mincho" w:cs="Arial"/>
          <w:lang w:eastAsia="en-AU"/>
        </w:rPr>
        <w:t xml:space="preserve"> </w:t>
      </w:r>
      <w:r w:rsidRPr="0076755D">
        <w:rPr>
          <w:rFonts w:eastAsia="MS Mincho" w:cs="Arial"/>
          <w:lang w:eastAsia="en-AU"/>
        </w:rPr>
        <w:t xml:space="preserve">to the </w:t>
      </w:r>
      <w:r w:rsidRPr="00D12A52">
        <w:rPr>
          <w:rFonts w:eastAsia="MS Mincho" w:cs="Arial"/>
          <w:i/>
          <w:lang w:eastAsia="en-AU"/>
        </w:rPr>
        <w:t>Fees and Payments Principles 2014 (No. 2)</w:t>
      </w:r>
      <w:r w:rsidRPr="0076755D">
        <w:rPr>
          <w:rFonts w:eastAsia="MS Mincho" w:cs="Arial"/>
          <w:lang w:eastAsia="en-AU"/>
        </w:rPr>
        <w:t xml:space="preserve"> under the Act.</w:t>
      </w:r>
    </w:p>
    <w:p w14:paraId="20462904" w14:textId="3EA037B3" w:rsidR="00695F56" w:rsidRPr="0076755D" w:rsidRDefault="00695F56" w:rsidP="00AD7B28">
      <w:pPr>
        <w:pStyle w:val="ListNumber"/>
        <w:rPr>
          <w:rFonts w:eastAsia="MS Mincho" w:cs="Arial"/>
          <w:lang w:eastAsia="en-AU"/>
        </w:rPr>
      </w:pPr>
      <w:r>
        <w:rPr>
          <w:rFonts w:eastAsia="MS Mincho" w:cs="Arial"/>
          <w:lang w:eastAsia="en-AU"/>
        </w:rPr>
        <w:t>These changes are intended to apply to reporting for the 2017-18 financial year.</w:t>
      </w:r>
    </w:p>
    <w:p w14:paraId="7DC98F49" w14:textId="77777777" w:rsidR="00AD7B28" w:rsidRPr="0076755D" w:rsidRDefault="00AD7B28" w:rsidP="00AD7B28">
      <w:pPr>
        <w:rPr>
          <w:rFonts w:cs="Arial"/>
        </w:rPr>
      </w:pPr>
    </w:p>
    <w:p w14:paraId="7DC98F4A" w14:textId="77777777" w:rsidR="003C7611" w:rsidRDefault="00D02E3A">
      <w:pPr>
        <w:spacing w:after="0" w:line="240" w:lineRule="auto"/>
        <w:rPr>
          <w:rFonts w:cs="Arial"/>
          <w:u w:val="single"/>
        </w:rPr>
      </w:pPr>
      <w:r>
        <w:rPr>
          <w:rFonts w:cs="Arial"/>
          <w:u w:val="single"/>
        </w:rPr>
        <w:br w:type="page"/>
      </w:r>
    </w:p>
    <w:p w14:paraId="7DC98F4B" w14:textId="77777777" w:rsidR="00AD7B28" w:rsidRPr="0076755D" w:rsidRDefault="00D02E3A" w:rsidP="00AD7B28">
      <w:pPr>
        <w:rPr>
          <w:rFonts w:cs="Arial"/>
          <w:u w:val="single"/>
        </w:rPr>
      </w:pPr>
      <w:r w:rsidRPr="0076755D">
        <w:rPr>
          <w:rFonts w:cs="Arial"/>
          <w:u w:val="single"/>
        </w:rPr>
        <w:lastRenderedPageBreak/>
        <w:t>Consultation</w:t>
      </w:r>
    </w:p>
    <w:p w14:paraId="7DC98F4E" w14:textId="4E8B25F6" w:rsidR="00AD7B28" w:rsidRDefault="00695F56" w:rsidP="0076755D">
      <w:pPr>
        <w:pStyle w:val="ListNumber"/>
        <w:numPr>
          <w:ilvl w:val="0"/>
          <w:numId w:val="0"/>
        </w:numPr>
        <w:tabs>
          <w:tab w:val="left" w:pos="142"/>
        </w:tabs>
        <w:spacing w:after="0" w:line="240" w:lineRule="auto"/>
        <w:rPr>
          <w:rFonts w:cs="Arial"/>
        </w:rPr>
      </w:pPr>
      <w:r>
        <w:rPr>
          <w:rFonts w:eastAsia="MS Mincho" w:cs="Arial"/>
          <w:lang w:eastAsia="en-AU"/>
        </w:rPr>
        <w:t xml:space="preserve">The introduction of the ACFR in 2017 occurred in consultation with the aged care industry. </w:t>
      </w:r>
      <w:r w:rsidR="00D02E3A" w:rsidRPr="0076755D">
        <w:rPr>
          <w:rFonts w:cs="Arial"/>
        </w:rPr>
        <w:t xml:space="preserve">Consultation with </w:t>
      </w:r>
      <w:r w:rsidR="006B2A07">
        <w:rPr>
          <w:rFonts w:cs="Arial"/>
        </w:rPr>
        <w:t>peak bodies in the aged care sector (Aged &amp; Community Services Australia</w:t>
      </w:r>
      <w:r w:rsidR="00D02E3A" w:rsidRPr="0076755D">
        <w:rPr>
          <w:rFonts w:cs="Arial"/>
        </w:rPr>
        <w:t xml:space="preserve">, </w:t>
      </w:r>
      <w:r w:rsidR="006B2A07">
        <w:rPr>
          <w:rFonts w:cs="Arial"/>
        </w:rPr>
        <w:t>Leading Age Services Australia</w:t>
      </w:r>
      <w:r w:rsidR="006B2A07" w:rsidRPr="0076755D">
        <w:rPr>
          <w:rFonts w:cs="Arial"/>
        </w:rPr>
        <w:t xml:space="preserve"> </w:t>
      </w:r>
      <w:r w:rsidR="00D02E3A" w:rsidRPr="0076755D">
        <w:rPr>
          <w:rFonts w:cs="Arial"/>
        </w:rPr>
        <w:t xml:space="preserve">and the </w:t>
      </w:r>
      <w:r w:rsidR="006B2A07">
        <w:rPr>
          <w:rFonts w:cs="Arial"/>
        </w:rPr>
        <w:t xml:space="preserve">Aged Care </w:t>
      </w:r>
      <w:r w:rsidR="00D02E3A" w:rsidRPr="0076755D">
        <w:rPr>
          <w:rFonts w:cs="Arial"/>
        </w:rPr>
        <w:t>Guild</w:t>
      </w:r>
      <w:r w:rsidR="006B2A07">
        <w:rPr>
          <w:rFonts w:cs="Arial"/>
        </w:rPr>
        <w:t>)</w:t>
      </w:r>
      <w:r w:rsidR="00D02E3A" w:rsidRPr="0076755D">
        <w:rPr>
          <w:rFonts w:cs="Arial"/>
        </w:rPr>
        <w:t xml:space="preserve"> on the ACFR reporting change resulted in no significant objections being raised with the proposal. It was noted that there might be some additional work for a small number of providers in correctly completing their GPFR data, depending on what level of detail that they decide to report. Consultation comments agreed that the option to report in either the ACFR or GPFR was confusing and poorly understood by providers. </w:t>
      </w:r>
    </w:p>
    <w:p w14:paraId="7DC98F4F" w14:textId="77777777" w:rsidR="0076755D" w:rsidRPr="0076755D" w:rsidRDefault="0076755D" w:rsidP="0076755D">
      <w:pPr>
        <w:pStyle w:val="ListNumber"/>
        <w:numPr>
          <w:ilvl w:val="0"/>
          <w:numId w:val="0"/>
        </w:numPr>
        <w:tabs>
          <w:tab w:val="left" w:pos="142"/>
        </w:tabs>
        <w:spacing w:after="0" w:line="240" w:lineRule="auto"/>
        <w:rPr>
          <w:rFonts w:cs="Arial"/>
        </w:rPr>
      </w:pPr>
    </w:p>
    <w:p w14:paraId="7DC98F50" w14:textId="7AA45A84" w:rsidR="00AD7B28" w:rsidRPr="0076755D" w:rsidRDefault="00D02E3A" w:rsidP="0076755D">
      <w:pPr>
        <w:pStyle w:val="Heading2"/>
        <w:spacing w:after="0" w:line="240" w:lineRule="auto"/>
        <w:rPr>
          <w:rFonts w:eastAsia="MS Mincho"/>
          <w:b w:val="0"/>
          <w:lang w:eastAsia="en-AU"/>
        </w:rPr>
      </w:pPr>
      <w:bookmarkStart w:id="0" w:name="_Toc256000069"/>
      <w:bookmarkStart w:id="1" w:name="_Toc256000057"/>
      <w:bookmarkStart w:id="2" w:name="_Toc256000045"/>
      <w:bookmarkStart w:id="3" w:name="_Toc256000033"/>
      <w:r w:rsidRPr="0076755D">
        <w:rPr>
          <w:rFonts w:eastAsia="MS Mincho"/>
          <w:b w:val="0"/>
          <w:lang w:eastAsia="en-AU"/>
        </w:rPr>
        <w:t>StewartBrown</w:t>
      </w:r>
      <w:r w:rsidR="00643844">
        <w:rPr>
          <w:rFonts w:eastAsia="MS Mincho"/>
          <w:b w:val="0"/>
          <w:lang w:eastAsia="en-AU"/>
        </w:rPr>
        <w:t xml:space="preserve"> (an accounting firm specialising in aged care)</w:t>
      </w:r>
      <w:r w:rsidRPr="0076755D">
        <w:rPr>
          <w:rFonts w:eastAsia="MS Mincho"/>
          <w:b w:val="0"/>
          <w:lang w:eastAsia="en-AU"/>
        </w:rPr>
        <w:t xml:space="preserve"> were also consulted and </w:t>
      </w:r>
      <w:r w:rsidR="00643844">
        <w:rPr>
          <w:rFonts w:eastAsia="MS Mincho"/>
          <w:b w:val="0"/>
          <w:lang w:eastAsia="en-AU"/>
        </w:rPr>
        <w:t>we</w:t>
      </w:r>
      <w:r w:rsidRPr="0076755D">
        <w:rPr>
          <w:rFonts w:eastAsia="MS Mincho"/>
          <w:b w:val="0"/>
          <w:lang w:eastAsia="en-AU"/>
        </w:rPr>
        <w:t xml:space="preserve">re supportive of the </w:t>
      </w:r>
      <w:r w:rsidR="00695F56">
        <w:rPr>
          <w:rFonts w:eastAsia="MS Mincho"/>
          <w:b w:val="0"/>
          <w:lang w:eastAsia="en-AU"/>
        </w:rPr>
        <w:t>change</w:t>
      </w:r>
      <w:r w:rsidRPr="0076755D">
        <w:rPr>
          <w:rFonts w:eastAsia="MS Mincho"/>
          <w:b w:val="0"/>
          <w:lang w:eastAsia="en-AU"/>
        </w:rPr>
        <w:t>, noting that this would best occur before the collection of the 2017-18 data commences in July 2018.</w:t>
      </w:r>
      <w:bookmarkEnd w:id="0"/>
      <w:bookmarkEnd w:id="1"/>
      <w:bookmarkEnd w:id="2"/>
      <w:bookmarkEnd w:id="3"/>
      <w:r w:rsidRPr="0076755D">
        <w:rPr>
          <w:rFonts w:eastAsia="MS Mincho"/>
          <w:b w:val="0"/>
          <w:lang w:eastAsia="en-AU"/>
        </w:rPr>
        <w:t xml:space="preserve">  </w:t>
      </w:r>
    </w:p>
    <w:p w14:paraId="7DC98F51" w14:textId="77777777" w:rsidR="0076755D" w:rsidRDefault="0076755D" w:rsidP="0076755D">
      <w:pPr>
        <w:spacing w:after="0" w:line="240" w:lineRule="auto"/>
        <w:rPr>
          <w:rFonts w:cs="Arial"/>
        </w:rPr>
      </w:pPr>
    </w:p>
    <w:p w14:paraId="23859F2D" w14:textId="58385052" w:rsidR="00695F56" w:rsidRPr="00D12A52" w:rsidRDefault="00695F56" w:rsidP="0076755D">
      <w:pPr>
        <w:spacing w:after="0" w:line="240" w:lineRule="auto"/>
        <w:rPr>
          <w:rFonts w:cs="Arial"/>
          <w:u w:val="single"/>
        </w:rPr>
      </w:pPr>
      <w:r>
        <w:rPr>
          <w:rFonts w:cs="Arial"/>
          <w:u w:val="single"/>
        </w:rPr>
        <w:t>Commencement</w:t>
      </w:r>
    </w:p>
    <w:p w14:paraId="7DC98F52" w14:textId="2F5ED950" w:rsidR="00AD7B28" w:rsidRPr="0076755D" w:rsidRDefault="00D02E3A" w:rsidP="0076755D">
      <w:pPr>
        <w:spacing w:after="0" w:line="240" w:lineRule="auto"/>
        <w:rPr>
          <w:rFonts w:cs="Arial"/>
        </w:rPr>
      </w:pPr>
      <w:r w:rsidRPr="0076755D">
        <w:rPr>
          <w:rFonts w:cs="Arial"/>
        </w:rPr>
        <w:t xml:space="preserve">This instrument commences </w:t>
      </w:r>
      <w:r w:rsidR="00695F56">
        <w:rPr>
          <w:rFonts w:cs="Arial"/>
        </w:rPr>
        <w:t>on 1 July 2018</w:t>
      </w:r>
      <w:r w:rsidRPr="0076755D">
        <w:rPr>
          <w:rFonts w:cs="Arial"/>
        </w:rPr>
        <w:t xml:space="preserve">. </w:t>
      </w:r>
    </w:p>
    <w:p w14:paraId="7DC98F53" w14:textId="77777777" w:rsidR="00AD7B28" w:rsidRPr="0076755D" w:rsidRDefault="00AD7B28" w:rsidP="0076755D">
      <w:pPr>
        <w:spacing w:after="0" w:line="240" w:lineRule="auto"/>
        <w:rPr>
          <w:rFonts w:cs="Arial"/>
          <w:highlight w:val="yellow"/>
        </w:rPr>
      </w:pPr>
    </w:p>
    <w:p w14:paraId="7DC98F54" w14:textId="77777777" w:rsidR="00AD7B28" w:rsidRPr="0076755D" w:rsidRDefault="00D02E3A" w:rsidP="0076755D">
      <w:pPr>
        <w:spacing w:after="0" w:line="240" w:lineRule="auto"/>
        <w:rPr>
          <w:rFonts w:cs="Arial"/>
          <w:i/>
        </w:rPr>
      </w:pPr>
      <w:r w:rsidRPr="0076755D">
        <w:rPr>
          <w:rFonts w:cs="Arial"/>
        </w:rPr>
        <w:t xml:space="preserve">This instrument is a legislative instrument for the purposes of the </w:t>
      </w:r>
      <w:r w:rsidRPr="0076755D">
        <w:rPr>
          <w:rFonts w:cs="Arial"/>
          <w:i/>
        </w:rPr>
        <w:t>Legislation Act 2003.</w:t>
      </w:r>
    </w:p>
    <w:p w14:paraId="7DC98F55" w14:textId="77777777" w:rsidR="00AD7B28" w:rsidRPr="0076755D" w:rsidRDefault="00AD7B28" w:rsidP="00AD7B28">
      <w:pPr>
        <w:rPr>
          <w:rFonts w:cs="Arial"/>
          <w:i/>
        </w:rPr>
      </w:pPr>
    </w:p>
    <w:p w14:paraId="7DC98F56" w14:textId="77777777" w:rsidR="00AD7B28" w:rsidRPr="0076755D" w:rsidRDefault="00D02E3A" w:rsidP="00AD7B28">
      <w:pPr>
        <w:rPr>
          <w:rFonts w:cs="Arial"/>
          <w:i/>
          <w:u w:val="single"/>
        </w:rPr>
      </w:pPr>
      <w:r w:rsidRPr="0076755D">
        <w:rPr>
          <w:rFonts w:cs="Arial"/>
          <w:i/>
        </w:rPr>
        <w:br w:type="page"/>
      </w:r>
    </w:p>
    <w:p w14:paraId="7DC98F57" w14:textId="77777777" w:rsidR="00AD7B28" w:rsidRPr="0076755D" w:rsidRDefault="00AD7B28" w:rsidP="00AD7B28">
      <w:pPr>
        <w:jc w:val="right"/>
        <w:rPr>
          <w:rFonts w:cs="Arial"/>
          <w:b/>
        </w:rPr>
      </w:pPr>
    </w:p>
    <w:p w14:paraId="7DC98F58" w14:textId="77777777" w:rsidR="00AD7B28" w:rsidRPr="0076755D" w:rsidRDefault="00D02E3A" w:rsidP="00AD7B28">
      <w:pPr>
        <w:spacing w:after="0" w:line="240" w:lineRule="auto"/>
        <w:rPr>
          <w:rFonts w:cs="Arial"/>
          <w:b/>
          <w:i/>
          <w:u w:val="single"/>
        </w:rPr>
      </w:pPr>
      <w:r w:rsidRPr="0076755D">
        <w:rPr>
          <w:rFonts w:cs="Arial"/>
          <w:b/>
          <w:u w:val="single"/>
        </w:rPr>
        <w:t xml:space="preserve">Details of the </w:t>
      </w:r>
      <w:r w:rsidRPr="0076755D">
        <w:rPr>
          <w:rFonts w:cs="Arial"/>
          <w:b/>
          <w:i/>
          <w:u w:val="single"/>
        </w:rPr>
        <w:t>Aged Care Legislation Amendment (Financial Reporting) Principles 2018</w:t>
      </w:r>
    </w:p>
    <w:p w14:paraId="7DC98F59" w14:textId="77777777" w:rsidR="00AD7B28" w:rsidRPr="0076755D" w:rsidRDefault="00AD7B28" w:rsidP="00AD7B28">
      <w:pPr>
        <w:spacing w:after="0" w:line="240" w:lineRule="auto"/>
        <w:rPr>
          <w:rFonts w:cs="Arial"/>
          <w:i/>
          <w:u w:val="single"/>
        </w:rPr>
      </w:pPr>
    </w:p>
    <w:p w14:paraId="7DC98F5A" w14:textId="77777777" w:rsidR="00AD7B28" w:rsidRPr="0076755D" w:rsidRDefault="00D02E3A" w:rsidP="0076755D">
      <w:pPr>
        <w:numPr>
          <w:ilvl w:val="0"/>
          <w:numId w:val="11"/>
        </w:numPr>
        <w:tabs>
          <w:tab w:val="clear" w:pos="1080"/>
        </w:tabs>
        <w:spacing w:after="0" w:line="240" w:lineRule="auto"/>
        <w:ind w:left="0" w:firstLine="0"/>
        <w:rPr>
          <w:rFonts w:cs="Arial"/>
          <w:b/>
        </w:rPr>
      </w:pPr>
      <w:r w:rsidRPr="0076755D">
        <w:rPr>
          <w:rFonts w:cs="Arial"/>
          <w:b/>
        </w:rPr>
        <w:t xml:space="preserve">Name </w:t>
      </w:r>
    </w:p>
    <w:p w14:paraId="7DC98F5B" w14:textId="77777777" w:rsidR="0076755D" w:rsidRPr="0076755D" w:rsidRDefault="0076755D" w:rsidP="0076755D">
      <w:pPr>
        <w:spacing w:after="0" w:line="240" w:lineRule="auto"/>
        <w:rPr>
          <w:rFonts w:cs="Arial"/>
          <w:b/>
        </w:rPr>
      </w:pPr>
    </w:p>
    <w:p w14:paraId="7DC98F5C" w14:textId="77777777" w:rsidR="00AD7B28" w:rsidRPr="0076755D" w:rsidRDefault="00D02E3A" w:rsidP="00AD7B28">
      <w:pPr>
        <w:spacing w:after="0" w:line="240" w:lineRule="auto"/>
        <w:rPr>
          <w:rFonts w:cs="Arial"/>
        </w:rPr>
      </w:pPr>
      <w:r w:rsidRPr="0076755D">
        <w:rPr>
          <w:rFonts w:cs="Arial"/>
        </w:rPr>
        <w:t xml:space="preserve">Section 1 states that the name of the instrument is the </w:t>
      </w:r>
      <w:r w:rsidR="002A5795">
        <w:rPr>
          <w:rFonts w:cs="Arial"/>
          <w:i/>
        </w:rPr>
        <w:t xml:space="preserve">Aged Care Legislation </w:t>
      </w:r>
      <w:r w:rsidRPr="0076755D">
        <w:rPr>
          <w:rFonts w:cs="Arial"/>
          <w:i/>
        </w:rPr>
        <w:t>Amendment (Financial Reporting) Principles 2018</w:t>
      </w:r>
      <w:r w:rsidRPr="0076755D">
        <w:rPr>
          <w:rFonts w:cs="Arial"/>
        </w:rPr>
        <w:t xml:space="preserve">.   </w:t>
      </w:r>
    </w:p>
    <w:p w14:paraId="7DC98F5D" w14:textId="77777777" w:rsidR="00AD7B28" w:rsidRPr="0076755D" w:rsidRDefault="00AD7B28" w:rsidP="00AD7B28">
      <w:pPr>
        <w:spacing w:after="0" w:line="240" w:lineRule="auto"/>
        <w:rPr>
          <w:rFonts w:cs="Arial"/>
        </w:rPr>
      </w:pPr>
    </w:p>
    <w:p w14:paraId="7DC98F5E" w14:textId="77777777" w:rsidR="00AD7B28" w:rsidRPr="0076755D" w:rsidRDefault="00D02E3A" w:rsidP="0076755D">
      <w:pPr>
        <w:numPr>
          <w:ilvl w:val="0"/>
          <w:numId w:val="11"/>
        </w:numPr>
        <w:tabs>
          <w:tab w:val="clear" w:pos="1080"/>
        </w:tabs>
        <w:spacing w:after="0" w:line="240" w:lineRule="auto"/>
        <w:ind w:left="0" w:firstLine="0"/>
        <w:rPr>
          <w:rFonts w:cs="Arial"/>
          <w:b/>
        </w:rPr>
      </w:pPr>
      <w:r w:rsidRPr="0076755D">
        <w:rPr>
          <w:rFonts w:cs="Arial"/>
          <w:b/>
        </w:rPr>
        <w:t>Commencement</w:t>
      </w:r>
    </w:p>
    <w:p w14:paraId="7DC98F5F" w14:textId="77777777" w:rsidR="0076755D" w:rsidRPr="0076755D" w:rsidRDefault="0076755D" w:rsidP="0076755D">
      <w:pPr>
        <w:spacing w:after="0" w:line="240" w:lineRule="auto"/>
        <w:rPr>
          <w:rFonts w:cs="Arial"/>
          <w:b/>
        </w:rPr>
      </w:pPr>
    </w:p>
    <w:p w14:paraId="7DC98F60" w14:textId="40989814" w:rsidR="00AD7B28" w:rsidRPr="0076755D" w:rsidRDefault="00D02E3A" w:rsidP="00AD7B28">
      <w:pPr>
        <w:spacing w:after="0" w:line="240" w:lineRule="auto"/>
        <w:rPr>
          <w:rFonts w:cs="Arial"/>
        </w:rPr>
      </w:pPr>
      <w:r w:rsidRPr="0076755D">
        <w:rPr>
          <w:rFonts w:cs="Arial"/>
        </w:rPr>
        <w:t xml:space="preserve">Section 2 states that these amendments commence on </w:t>
      </w:r>
      <w:r w:rsidR="00695F56">
        <w:rPr>
          <w:rFonts w:cs="Arial"/>
        </w:rPr>
        <w:t>1 July 2018</w:t>
      </w:r>
      <w:r w:rsidRPr="0076755D">
        <w:rPr>
          <w:rFonts w:cs="Arial"/>
        </w:rPr>
        <w:t xml:space="preserve">. </w:t>
      </w:r>
    </w:p>
    <w:p w14:paraId="7DC98F61" w14:textId="77777777" w:rsidR="00AD7B28" w:rsidRPr="0076755D" w:rsidRDefault="00AD7B28" w:rsidP="00AD7B28">
      <w:pPr>
        <w:spacing w:after="0" w:line="240" w:lineRule="auto"/>
        <w:rPr>
          <w:rFonts w:cs="Arial"/>
        </w:rPr>
      </w:pPr>
    </w:p>
    <w:p w14:paraId="7DC98F62" w14:textId="77777777" w:rsidR="00AD7B28" w:rsidRPr="0076755D" w:rsidRDefault="00D02E3A" w:rsidP="0076755D">
      <w:pPr>
        <w:numPr>
          <w:ilvl w:val="0"/>
          <w:numId w:val="11"/>
        </w:numPr>
        <w:tabs>
          <w:tab w:val="clear" w:pos="1080"/>
        </w:tabs>
        <w:spacing w:after="0" w:line="240" w:lineRule="auto"/>
        <w:ind w:left="0" w:firstLine="0"/>
        <w:rPr>
          <w:rFonts w:cs="Arial"/>
          <w:b/>
        </w:rPr>
      </w:pPr>
      <w:r w:rsidRPr="0076755D">
        <w:rPr>
          <w:rFonts w:cs="Arial"/>
          <w:b/>
        </w:rPr>
        <w:t>Authority</w:t>
      </w:r>
    </w:p>
    <w:p w14:paraId="7DC98F63" w14:textId="77777777" w:rsidR="0076755D" w:rsidRPr="0076755D" w:rsidRDefault="0076755D" w:rsidP="0076755D">
      <w:pPr>
        <w:spacing w:after="0" w:line="240" w:lineRule="auto"/>
        <w:rPr>
          <w:rFonts w:cs="Arial"/>
          <w:b/>
        </w:rPr>
      </w:pPr>
    </w:p>
    <w:p w14:paraId="7DC98F64" w14:textId="77777777" w:rsidR="00AD7B28" w:rsidRPr="0076755D" w:rsidRDefault="00D02E3A" w:rsidP="00AD7B28">
      <w:pPr>
        <w:spacing w:after="0" w:line="240" w:lineRule="auto"/>
        <w:rPr>
          <w:rFonts w:cs="Arial"/>
        </w:rPr>
      </w:pPr>
      <w:r w:rsidRPr="0076755D">
        <w:rPr>
          <w:rFonts w:cs="Arial"/>
        </w:rPr>
        <w:t xml:space="preserve">Section 3 states that this instrument is made under the </w:t>
      </w:r>
      <w:r w:rsidRPr="0076755D">
        <w:rPr>
          <w:rFonts w:cs="Arial"/>
          <w:i/>
        </w:rPr>
        <w:t xml:space="preserve">Aged Care Act 1997 </w:t>
      </w:r>
      <w:r w:rsidRPr="0076755D">
        <w:rPr>
          <w:rFonts w:cs="Arial"/>
        </w:rPr>
        <w:t xml:space="preserve">(the Act). </w:t>
      </w:r>
    </w:p>
    <w:p w14:paraId="7DC98F65" w14:textId="77777777" w:rsidR="00AD7B28" w:rsidRPr="0076755D" w:rsidRDefault="00AD7B28" w:rsidP="00AD7B28">
      <w:pPr>
        <w:spacing w:after="0" w:line="240" w:lineRule="auto"/>
        <w:rPr>
          <w:rFonts w:cs="Arial"/>
        </w:rPr>
      </w:pPr>
    </w:p>
    <w:p w14:paraId="7DC98F66" w14:textId="77777777" w:rsidR="00AD7B28" w:rsidRPr="0076755D" w:rsidRDefault="00D02E3A" w:rsidP="0076755D">
      <w:pPr>
        <w:numPr>
          <w:ilvl w:val="0"/>
          <w:numId w:val="11"/>
        </w:numPr>
        <w:tabs>
          <w:tab w:val="clear" w:pos="1080"/>
        </w:tabs>
        <w:spacing w:after="0" w:line="240" w:lineRule="auto"/>
        <w:ind w:left="0" w:firstLine="0"/>
        <w:rPr>
          <w:rFonts w:cs="Arial"/>
          <w:b/>
          <w:i/>
        </w:rPr>
      </w:pPr>
      <w:r w:rsidRPr="0076755D">
        <w:rPr>
          <w:rFonts w:cs="Arial"/>
          <w:b/>
        </w:rPr>
        <w:t>Schedules</w:t>
      </w:r>
    </w:p>
    <w:p w14:paraId="7DC98F67" w14:textId="77777777" w:rsidR="0076755D" w:rsidRPr="0076755D" w:rsidRDefault="0076755D" w:rsidP="00AD7B28">
      <w:pPr>
        <w:spacing w:after="0" w:line="240" w:lineRule="auto"/>
        <w:rPr>
          <w:rFonts w:cs="Arial"/>
        </w:rPr>
      </w:pPr>
    </w:p>
    <w:p w14:paraId="7DC98F68" w14:textId="77777777" w:rsidR="00AD7B28" w:rsidRPr="0076755D" w:rsidRDefault="00D02E3A" w:rsidP="00AD7B28">
      <w:pPr>
        <w:spacing w:after="0" w:line="240" w:lineRule="auto"/>
        <w:rPr>
          <w:rFonts w:cs="Arial"/>
        </w:rPr>
      </w:pPr>
      <w:r w:rsidRPr="0076755D">
        <w:rPr>
          <w:rFonts w:cs="Arial"/>
        </w:rPr>
        <w:t>This section provides that each instrument that is specified in a Schedule to this instrument is amended or repealed as set out in the applicable items in the Schedule concerned, and any other item in a Schedule to this instrument has effect according to its term</w:t>
      </w:r>
    </w:p>
    <w:p w14:paraId="7DC98F69" w14:textId="77777777" w:rsidR="00AD7B28" w:rsidRPr="0076755D" w:rsidRDefault="00AD7B28" w:rsidP="00AD7B28">
      <w:pPr>
        <w:spacing w:after="0" w:line="240" w:lineRule="auto"/>
        <w:rPr>
          <w:rFonts w:cs="Arial"/>
        </w:rPr>
      </w:pPr>
    </w:p>
    <w:p w14:paraId="7DC98F6A" w14:textId="77777777" w:rsidR="00AD7B28" w:rsidRPr="0076755D" w:rsidRDefault="00D02E3A" w:rsidP="00AD7B28">
      <w:pPr>
        <w:spacing w:after="0" w:line="240" w:lineRule="auto"/>
        <w:rPr>
          <w:rFonts w:cs="Arial"/>
          <w:b/>
        </w:rPr>
      </w:pPr>
      <w:r w:rsidRPr="0076755D">
        <w:rPr>
          <w:rFonts w:cs="Arial"/>
          <w:b/>
        </w:rPr>
        <w:t xml:space="preserve">Schedule 1 </w:t>
      </w:r>
      <w:r w:rsidRPr="0076755D">
        <w:rPr>
          <w:rFonts w:cs="Arial"/>
          <w:b/>
        </w:rPr>
        <w:tab/>
        <w:t>Amendments</w:t>
      </w:r>
    </w:p>
    <w:p w14:paraId="7DC98F6B" w14:textId="77777777" w:rsidR="0076755D" w:rsidRPr="0076755D" w:rsidRDefault="0076755D" w:rsidP="00AD7B28">
      <w:pPr>
        <w:spacing w:after="0" w:line="240" w:lineRule="auto"/>
        <w:rPr>
          <w:rFonts w:cs="Arial"/>
        </w:rPr>
      </w:pPr>
    </w:p>
    <w:p w14:paraId="7DC98F74" w14:textId="77777777" w:rsidR="00AD7B28" w:rsidRPr="0076755D" w:rsidRDefault="00D02E3A" w:rsidP="00AD7B28">
      <w:pPr>
        <w:spacing w:after="0" w:line="240" w:lineRule="auto"/>
        <w:rPr>
          <w:rFonts w:cs="Arial"/>
          <w:i/>
          <w:u w:val="single"/>
        </w:rPr>
      </w:pPr>
      <w:r w:rsidRPr="0076755D">
        <w:rPr>
          <w:rFonts w:cs="Arial"/>
          <w:i/>
          <w:u w:val="single"/>
        </w:rPr>
        <w:t>Accountability Principles 2014</w:t>
      </w:r>
    </w:p>
    <w:p w14:paraId="7DC98F75" w14:textId="77777777" w:rsidR="0076755D" w:rsidRPr="0076755D" w:rsidRDefault="0076755D" w:rsidP="00AD7B28">
      <w:pPr>
        <w:spacing w:after="0" w:line="240" w:lineRule="auto"/>
        <w:rPr>
          <w:rFonts w:cs="Arial"/>
          <w:i/>
          <w:u w:val="single"/>
        </w:rPr>
      </w:pPr>
    </w:p>
    <w:p w14:paraId="7DC98F76" w14:textId="77777777" w:rsidR="00AD7B28" w:rsidRPr="0076755D" w:rsidRDefault="00D02E3A" w:rsidP="00AD7B28">
      <w:pPr>
        <w:spacing w:after="0" w:line="240" w:lineRule="auto"/>
        <w:rPr>
          <w:rFonts w:cs="Arial"/>
          <w:b/>
        </w:rPr>
      </w:pPr>
      <w:r w:rsidRPr="0076755D">
        <w:rPr>
          <w:rFonts w:cs="Arial"/>
          <w:b/>
        </w:rPr>
        <w:t>Item 1: Paragraph 35(4)(a)</w:t>
      </w:r>
    </w:p>
    <w:p w14:paraId="7DC98F77" w14:textId="77777777" w:rsidR="0076755D" w:rsidRPr="0076755D" w:rsidRDefault="0076755D" w:rsidP="00AD7B28">
      <w:pPr>
        <w:spacing w:after="0" w:line="240" w:lineRule="auto"/>
        <w:rPr>
          <w:rFonts w:cs="Arial"/>
        </w:rPr>
      </w:pPr>
    </w:p>
    <w:p w14:paraId="7DC98F78" w14:textId="71CAA048" w:rsidR="00AD7B28" w:rsidRPr="0076755D" w:rsidRDefault="00D02E3A" w:rsidP="00AD7B28">
      <w:pPr>
        <w:spacing w:after="0" w:line="240" w:lineRule="auto"/>
        <w:rPr>
          <w:rFonts w:cs="Arial"/>
        </w:rPr>
      </w:pPr>
      <w:r w:rsidRPr="0076755D">
        <w:rPr>
          <w:rFonts w:cs="Arial"/>
        </w:rPr>
        <w:t xml:space="preserve">Item 1 omits </w:t>
      </w:r>
      <w:r w:rsidRPr="0076755D">
        <w:rPr>
          <w:rFonts w:cs="Arial"/>
          <w:lang w:eastAsia="ja-JP"/>
        </w:rPr>
        <w:t xml:space="preserve">the phrase ‘(subject to subsection (5))’ </w:t>
      </w:r>
      <w:r w:rsidRPr="0076755D">
        <w:rPr>
          <w:rFonts w:cs="Arial"/>
        </w:rPr>
        <w:t>from paragraph 35(4)(a). The phrase is no longer required as subsection 5 is being repealed</w:t>
      </w:r>
      <w:r w:rsidR="00695F56">
        <w:rPr>
          <w:rFonts w:cs="Arial"/>
        </w:rPr>
        <w:t xml:space="preserve"> by item 2 below</w:t>
      </w:r>
      <w:r w:rsidRPr="0076755D">
        <w:rPr>
          <w:rFonts w:cs="Arial"/>
        </w:rPr>
        <w:t xml:space="preserve">. </w:t>
      </w:r>
    </w:p>
    <w:p w14:paraId="7DC98F79" w14:textId="77777777" w:rsidR="0076755D" w:rsidRPr="0076755D" w:rsidRDefault="0076755D" w:rsidP="00AD7B28">
      <w:pPr>
        <w:spacing w:after="0" w:line="240" w:lineRule="auto"/>
        <w:rPr>
          <w:rFonts w:cs="Arial"/>
        </w:rPr>
      </w:pPr>
    </w:p>
    <w:p w14:paraId="7DC98F7A" w14:textId="77777777" w:rsidR="00AD7B28" w:rsidRPr="0076755D" w:rsidRDefault="00D02E3A" w:rsidP="00AD7B28">
      <w:pPr>
        <w:spacing w:after="0" w:line="240" w:lineRule="auto"/>
        <w:rPr>
          <w:rFonts w:cs="Arial"/>
          <w:b/>
        </w:rPr>
      </w:pPr>
      <w:r w:rsidRPr="0076755D">
        <w:rPr>
          <w:rFonts w:cs="Arial"/>
          <w:b/>
        </w:rPr>
        <w:t xml:space="preserve">Item 2: Subsection 35(5) </w:t>
      </w:r>
    </w:p>
    <w:p w14:paraId="7DC98F7B" w14:textId="77777777" w:rsidR="0076755D" w:rsidRPr="0076755D" w:rsidRDefault="0076755D" w:rsidP="00AD7B28">
      <w:pPr>
        <w:spacing w:after="0" w:line="240" w:lineRule="auto"/>
        <w:rPr>
          <w:rFonts w:cs="Arial"/>
        </w:rPr>
      </w:pPr>
    </w:p>
    <w:p w14:paraId="7DC98F7C" w14:textId="11F62347" w:rsidR="00AD7B28" w:rsidRDefault="00D02E3A" w:rsidP="00AD7B28">
      <w:pPr>
        <w:spacing w:after="0" w:line="240" w:lineRule="auto"/>
        <w:rPr>
          <w:rFonts w:cs="Arial"/>
        </w:rPr>
      </w:pPr>
      <w:r w:rsidRPr="0076755D">
        <w:rPr>
          <w:rFonts w:cs="Arial"/>
        </w:rPr>
        <w:t xml:space="preserve">Item 2 repeals </w:t>
      </w:r>
      <w:r w:rsidR="00695F56">
        <w:rPr>
          <w:rFonts w:cs="Arial"/>
        </w:rPr>
        <w:t>s</w:t>
      </w:r>
      <w:r w:rsidRPr="0076755D">
        <w:rPr>
          <w:rFonts w:cs="Arial"/>
        </w:rPr>
        <w:t>ubsection 35(5)</w:t>
      </w:r>
      <w:r w:rsidR="00695F56">
        <w:rPr>
          <w:rFonts w:cs="Arial"/>
        </w:rPr>
        <w:t>,</w:t>
      </w:r>
      <w:r w:rsidRPr="0076755D">
        <w:rPr>
          <w:rFonts w:cs="Arial"/>
        </w:rPr>
        <w:t xml:space="preserve"> which </w:t>
      </w:r>
      <w:r w:rsidR="00695F56">
        <w:rPr>
          <w:rFonts w:cs="Arial"/>
        </w:rPr>
        <w:t xml:space="preserve">currently </w:t>
      </w:r>
      <w:r w:rsidRPr="0076755D">
        <w:rPr>
          <w:rFonts w:cs="Arial"/>
        </w:rPr>
        <w:t xml:space="preserve">specifies that </w:t>
      </w:r>
      <w:r w:rsidR="00695F56">
        <w:rPr>
          <w:rFonts w:cs="Arial"/>
        </w:rPr>
        <w:t xml:space="preserve">approved </w:t>
      </w:r>
      <w:r w:rsidRPr="0076755D">
        <w:rPr>
          <w:rFonts w:cs="Arial"/>
        </w:rPr>
        <w:t>providers can include the financial information required by the Aged Care Financial Report (ACFR) in either the ACFR or the provider’s General Purpose Financial Report (GPFR).</w:t>
      </w:r>
    </w:p>
    <w:p w14:paraId="0573EE2F" w14:textId="77777777" w:rsidR="00695F56" w:rsidRPr="0076755D" w:rsidRDefault="00695F56" w:rsidP="00AD7B28">
      <w:pPr>
        <w:spacing w:after="0" w:line="240" w:lineRule="auto"/>
        <w:rPr>
          <w:rFonts w:cs="Arial"/>
        </w:rPr>
      </w:pPr>
    </w:p>
    <w:p w14:paraId="7DC98F7D" w14:textId="3E872B39" w:rsidR="00AD7B28" w:rsidRPr="0076755D" w:rsidRDefault="00D02E3A" w:rsidP="00AD7B28">
      <w:pPr>
        <w:spacing w:after="0" w:line="240" w:lineRule="auto"/>
        <w:rPr>
          <w:rFonts w:cs="Arial"/>
        </w:rPr>
      </w:pPr>
      <w:r w:rsidRPr="0076755D">
        <w:rPr>
          <w:rFonts w:cs="Arial"/>
        </w:rPr>
        <w:t xml:space="preserve">Previously residential aged care providers were able to complete the approved provider and residential segment financial statements required by the ACFR in either the ACFR or the provider’s GPFR. Commencing with the submission of the </w:t>
      </w:r>
      <w:r w:rsidR="00695F56">
        <w:rPr>
          <w:rFonts w:cs="Arial"/>
        </w:rPr>
        <w:t xml:space="preserve">GPFR and ACFR for the </w:t>
      </w:r>
      <w:r w:rsidRPr="0076755D">
        <w:rPr>
          <w:rFonts w:cs="Arial"/>
        </w:rPr>
        <w:t xml:space="preserve">2017-18 </w:t>
      </w:r>
      <w:r w:rsidR="00695F56">
        <w:rPr>
          <w:rFonts w:cs="Arial"/>
        </w:rPr>
        <w:t>financial year</w:t>
      </w:r>
      <w:r w:rsidRPr="0076755D">
        <w:rPr>
          <w:rFonts w:cs="Arial"/>
        </w:rPr>
        <w:t xml:space="preserve">, this option has been removed with all financial statement information required by the ACFR needing to be completed in the ACFR regardless of whether the information is also contained in the GPFR.   </w:t>
      </w:r>
    </w:p>
    <w:p w14:paraId="7DC98F7E" w14:textId="77777777" w:rsidR="00AD7B28" w:rsidRDefault="00AD7B28" w:rsidP="00AD7B28">
      <w:pPr>
        <w:spacing w:after="0" w:line="240" w:lineRule="auto"/>
        <w:rPr>
          <w:rFonts w:cs="Arial"/>
        </w:rPr>
      </w:pPr>
    </w:p>
    <w:p w14:paraId="7DC98F7F" w14:textId="77777777" w:rsidR="002A5795" w:rsidRPr="0076755D" w:rsidRDefault="002A5795" w:rsidP="00AD7B28">
      <w:pPr>
        <w:spacing w:after="0" w:line="240" w:lineRule="auto"/>
        <w:rPr>
          <w:rFonts w:cs="Arial"/>
        </w:rPr>
      </w:pPr>
    </w:p>
    <w:p w14:paraId="7DC98F81" w14:textId="77777777" w:rsidR="00AD7B28" w:rsidRPr="0076755D" w:rsidRDefault="00D02E3A" w:rsidP="00AD7B28">
      <w:pPr>
        <w:spacing w:after="0" w:line="240" w:lineRule="auto"/>
        <w:rPr>
          <w:rFonts w:cs="Arial"/>
          <w:i/>
          <w:u w:val="single"/>
        </w:rPr>
      </w:pPr>
      <w:r w:rsidRPr="0076755D">
        <w:rPr>
          <w:rFonts w:cs="Arial"/>
          <w:i/>
          <w:u w:val="single"/>
        </w:rPr>
        <w:t xml:space="preserve">Fees and Payments Principles 2014 (No. 2)   </w:t>
      </w:r>
    </w:p>
    <w:p w14:paraId="7DC98F82" w14:textId="77777777" w:rsidR="0076755D" w:rsidRPr="0076755D" w:rsidRDefault="0076755D" w:rsidP="00AD7B28">
      <w:pPr>
        <w:spacing w:after="0" w:line="240" w:lineRule="auto"/>
        <w:rPr>
          <w:rFonts w:cs="Arial"/>
          <w:b/>
        </w:rPr>
      </w:pPr>
    </w:p>
    <w:p w14:paraId="7DC98F83" w14:textId="7EF4EA96" w:rsidR="00AD7B28" w:rsidRPr="0076755D" w:rsidRDefault="00D02E3A" w:rsidP="00AD7B28">
      <w:pPr>
        <w:spacing w:after="0" w:line="240" w:lineRule="auto"/>
        <w:rPr>
          <w:rFonts w:cs="Arial"/>
        </w:rPr>
      </w:pPr>
      <w:r w:rsidRPr="0076755D">
        <w:rPr>
          <w:rFonts w:cs="Arial"/>
          <w:b/>
        </w:rPr>
        <w:t xml:space="preserve">Item 3: </w:t>
      </w:r>
      <w:r w:rsidR="00695F56">
        <w:rPr>
          <w:rFonts w:cs="Arial"/>
          <w:b/>
        </w:rPr>
        <w:t>After p</w:t>
      </w:r>
      <w:r w:rsidRPr="0076755D">
        <w:rPr>
          <w:rFonts w:cs="Arial"/>
          <w:b/>
        </w:rPr>
        <w:t>aragraph 51(1)(c)</w:t>
      </w:r>
    </w:p>
    <w:p w14:paraId="7DC98F84" w14:textId="77777777" w:rsidR="0076755D" w:rsidRPr="0076755D" w:rsidRDefault="0076755D" w:rsidP="00AD7B28">
      <w:pPr>
        <w:spacing w:after="0" w:line="240" w:lineRule="auto"/>
        <w:rPr>
          <w:rFonts w:cs="Arial"/>
        </w:rPr>
      </w:pPr>
    </w:p>
    <w:p w14:paraId="7DC98F85" w14:textId="79C60ED2" w:rsidR="00AD7B28" w:rsidRPr="0076755D" w:rsidRDefault="00D02E3A" w:rsidP="00AD7B28">
      <w:pPr>
        <w:spacing w:after="0" w:line="240" w:lineRule="auto"/>
        <w:rPr>
          <w:rFonts w:cs="Arial"/>
        </w:rPr>
      </w:pPr>
      <w:r w:rsidRPr="0076755D">
        <w:rPr>
          <w:rFonts w:cs="Arial"/>
        </w:rPr>
        <w:t xml:space="preserve">Item 3 inserts a </w:t>
      </w:r>
      <w:r w:rsidR="00695F56">
        <w:rPr>
          <w:rFonts w:cs="Arial"/>
        </w:rPr>
        <w:t>new paragraph (ca) into subsection 51(1),</w:t>
      </w:r>
      <w:r w:rsidR="00695F56" w:rsidRPr="0076755D">
        <w:rPr>
          <w:rFonts w:cs="Arial"/>
        </w:rPr>
        <w:t xml:space="preserve"> </w:t>
      </w:r>
      <w:r w:rsidRPr="0076755D">
        <w:rPr>
          <w:rFonts w:cs="Arial"/>
        </w:rPr>
        <w:t>which specifies that approved providers must include information in their Annual Prudential Compliance Statement regarding other fees that will be listed in section 54A.</w:t>
      </w:r>
    </w:p>
    <w:p w14:paraId="7DC98F86" w14:textId="77777777" w:rsidR="0076755D" w:rsidRPr="0076755D" w:rsidRDefault="0076755D" w:rsidP="00AD7B28">
      <w:pPr>
        <w:spacing w:after="0" w:line="240" w:lineRule="auto"/>
        <w:rPr>
          <w:rFonts w:cs="Arial"/>
          <w:b/>
        </w:rPr>
      </w:pPr>
    </w:p>
    <w:p w14:paraId="45EE10CE" w14:textId="77777777" w:rsidR="00935B6E" w:rsidRDefault="00935B6E" w:rsidP="00AD7B28">
      <w:pPr>
        <w:spacing w:after="0" w:line="240" w:lineRule="auto"/>
        <w:rPr>
          <w:rFonts w:cs="Arial"/>
          <w:b/>
        </w:rPr>
      </w:pPr>
    </w:p>
    <w:p w14:paraId="7DC98F87" w14:textId="148682B2" w:rsidR="00AD7B28" w:rsidRPr="0076755D" w:rsidRDefault="00D02E3A" w:rsidP="00AD7B28">
      <w:pPr>
        <w:spacing w:after="0" w:line="240" w:lineRule="auto"/>
        <w:rPr>
          <w:rFonts w:cs="Arial"/>
          <w:b/>
        </w:rPr>
      </w:pPr>
      <w:bookmarkStart w:id="4" w:name="_GoBack"/>
      <w:bookmarkEnd w:id="4"/>
      <w:r w:rsidRPr="0076755D">
        <w:rPr>
          <w:rFonts w:cs="Arial"/>
          <w:b/>
        </w:rPr>
        <w:lastRenderedPageBreak/>
        <w:t xml:space="preserve">Item 4: </w:t>
      </w:r>
      <w:r w:rsidR="00E45250">
        <w:rPr>
          <w:rFonts w:cs="Arial"/>
          <w:b/>
        </w:rPr>
        <w:t xml:space="preserve">After </w:t>
      </w:r>
      <w:r w:rsidRPr="0076755D">
        <w:rPr>
          <w:rFonts w:cs="Arial"/>
          <w:b/>
        </w:rPr>
        <w:t>section 54</w:t>
      </w:r>
    </w:p>
    <w:p w14:paraId="7DC98F88" w14:textId="77777777" w:rsidR="0076755D" w:rsidRPr="0076755D" w:rsidRDefault="0076755D" w:rsidP="00AD7B28">
      <w:pPr>
        <w:spacing w:after="0" w:line="240" w:lineRule="auto"/>
        <w:rPr>
          <w:rFonts w:cs="Arial"/>
        </w:rPr>
      </w:pPr>
    </w:p>
    <w:p w14:paraId="7DC98F89" w14:textId="3E339875" w:rsidR="00AD7B28" w:rsidRDefault="00D02E3A" w:rsidP="00AD7B28">
      <w:pPr>
        <w:spacing w:after="0" w:line="240" w:lineRule="auto"/>
        <w:rPr>
          <w:rFonts w:cs="Arial"/>
        </w:rPr>
      </w:pPr>
      <w:r w:rsidRPr="0076755D">
        <w:rPr>
          <w:rFonts w:cs="Arial"/>
        </w:rPr>
        <w:t xml:space="preserve">Item 3 inserts a </w:t>
      </w:r>
      <w:r w:rsidR="00E45250">
        <w:rPr>
          <w:rFonts w:cs="Arial"/>
        </w:rPr>
        <w:t>new provision, section 54A,</w:t>
      </w:r>
      <w:r w:rsidR="00E45250" w:rsidRPr="0076755D">
        <w:rPr>
          <w:rFonts w:cs="Arial"/>
        </w:rPr>
        <w:t xml:space="preserve"> </w:t>
      </w:r>
      <w:r w:rsidRPr="0076755D">
        <w:rPr>
          <w:rFonts w:cs="Arial"/>
        </w:rPr>
        <w:t xml:space="preserve">which specifies that approved providers need to provide information in their Annual Prudential Compliance Statement specifically regarding </w:t>
      </w:r>
      <w:r w:rsidR="00E45250">
        <w:rPr>
          <w:rFonts w:cs="Arial"/>
        </w:rPr>
        <w:t xml:space="preserve">what </w:t>
      </w:r>
      <w:r w:rsidRPr="0076755D">
        <w:rPr>
          <w:rFonts w:cs="Arial"/>
        </w:rPr>
        <w:t>fees (if any) other than resident fees, accommodation payments and accommodation contributions that the approved provider charged to care recipients during the financial year. Specifically approved providers are asked to provide</w:t>
      </w:r>
      <w:r w:rsidR="00E45250">
        <w:rPr>
          <w:rFonts w:cs="Arial"/>
        </w:rPr>
        <w:t xml:space="preserve"> details of</w:t>
      </w:r>
      <w:r w:rsidRPr="0076755D">
        <w:rPr>
          <w:rFonts w:cs="Arial"/>
        </w:rPr>
        <w:t>:</w:t>
      </w:r>
    </w:p>
    <w:p w14:paraId="7DC98F8A" w14:textId="77777777" w:rsidR="0076755D" w:rsidRPr="0076755D" w:rsidRDefault="0076755D" w:rsidP="00AD7B28">
      <w:pPr>
        <w:spacing w:after="0" w:line="240" w:lineRule="auto"/>
        <w:rPr>
          <w:rFonts w:cs="Arial"/>
        </w:rPr>
      </w:pPr>
    </w:p>
    <w:p w14:paraId="7DC98F8B" w14:textId="70CF5E85" w:rsidR="00AD7B28" w:rsidRPr="0076755D" w:rsidRDefault="00D02E3A" w:rsidP="0076755D">
      <w:pPr>
        <w:pStyle w:val="paragraph"/>
        <w:numPr>
          <w:ilvl w:val="0"/>
          <w:numId w:val="14"/>
        </w:numPr>
        <w:spacing w:before="0"/>
        <w:rPr>
          <w:rFonts w:ascii="Arial" w:eastAsia="MS Mincho" w:hAnsi="Arial" w:cs="Arial"/>
          <w:szCs w:val="22"/>
        </w:rPr>
      </w:pPr>
      <w:r w:rsidRPr="0076755D">
        <w:rPr>
          <w:rFonts w:ascii="Arial" w:eastAsia="MS Mincho" w:hAnsi="Arial" w:cs="Arial"/>
          <w:szCs w:val="22"/>
        </w:rPr>
        <w:t xml:space="preserve">The fees </w:t>
      </w:r>
      <w:r w:rsidR="00E45250">
        <w:rPr>
          <w:rFonts w:ascii="Arial" w:eastAsia="MS Mincho" w:hAnsi="Arial" w:cs="Arial"/>
          <w:szCs w:val="22"/>
        </w:rPr>
        <w:t>(</w:t>
      </w:r>
      <w:r w:rsidRPr="0076755D">
        <w:rPr>
          <w:rFonts w:ascii="Arial" w:eastAsia="MS Mincho" w:hAnsi="Arial" w:cs="Arial"/>
          <w:szCs w:val="22"/>
        </w:rPr>
        <w:t>if any</w:t>
      </w:r>
      <w:r w:rsidR="00E45250">
        <w:rPr>
          <w:rFonts w:ascii="Arial" w:eastAsia="MS Mincho" w:hAnsi="Arial" w:cs="Arial"/>
          <w:szCs w:val="22"/>
        </w:rPr>
        <w:t>)</w:t>
      </w:r>
      <w:r w:rsidRPr="0076755D">
        <w:rPr>
          <w:rFonts w:ascii="Arial" w:eastAsia="MS Mincho" w:hAnsi="Arial" w:cs="Arial"/>
          <w:szCs w:val="22"/>
        </w:rPr>
        <w:t xml:space="preserve"> that were charged</w:t>
      </w:r>
      <w:r w:rsidR="00E45250">
        <w:rPr>
          <w:rFonts w:ascii="Arial" w:eastAsia="MS Mincho" w:hAnsi="Arial" w:cs="Arial"/>
          <w:szCs w:val="22"/>
        </w:rPr>
        <w:t>;</w:t>
      </w:r>
    </w:p>
    <w:p w14:paraId="7DC98F8C" w14:textId="5E6A1468" w:rsidR="00AD7B28" w:rsidRPr="0076755D" w:rsidRDefault="00D02E3A" w:rsidP="0076755D">
      <w:pPr>
        <w:pStyle w:val="paragraph"/>
        <w:numPr>
          <w:ilvl w:val="0"/>
          <w:numId w:val="14"/>
        </w:numPr>
        <w:spacing w:before="0"/>
        <w:rPr>
          <w:rFonts w:ascii="Arial" w:eastAsia="MS Mincho" w:hAnsi="Arial" w:cs="Arial"/>
          <w:szCs w:val="22"/>
        </w:rPr>
      </w:pPr>
      <w:r w:rsidRPr="0076755D">
        <w:rPr>
          <w:rFonts w:ascii="Arial" w:eastAsia="MS Mincho" w:hAnsi="Arial" w:cs="Arial"/>
          <w:szCs w:val="22"/>
        </w:rPr>
        <w:t>the total value of each such fee charged by the approved provider during the financial year;</w:t>
      </w:r>
      <w:r w:rsidR="00E45250">
        <w:rPr>
          <w:rFonts w:ascii="Arial" w:eastAsia="MS Mincho" w:hAnsi="Arial" w:cs="Arial"/>
          <w:szCs w:val="22"/>
        </w:rPr>
        <w:t xml:space="preserve"> and</w:t>
      </w:r>
    </w:p>
    <w:p w14:paraId="7DC98F8D" w14:textId="77777777" w:rsidR="00AD7B28" w:rsidRPr="0076755D" w:rsidRDefault="00D02E3A" w:rsidP="0076755D">
      <w:pPr>
        <w:pStyle w:val="paragraph"/>
        <w:numPr>
          <w:ilvl w:val="0"/>
          <w:numId w:val="14"/>
        </w:numPr>
        <w:spacing w:before="0"/>
        <w:rPr>
          <w:rFonts w:ascii="Arial" w:eastAsia="MS Mincho" w:hAnsi="Arial" w:cs="Arial"/>
          <w:szCs w:val="22"/>
        </w:rPr>
      </w:pPr>
      <w:r w:rsidRPr="0076755D">
        <w:rPr>
          <w:rFonts w:ascii="Arial" w:eastAsia="MS Mincho" w:hAnsi="Arial" w:cs="Arial"/>
          <w:szCs w:val="22"/>
        </w:rPr>
        <w:t>what each such fee purports to cover.</w:t>
      </w:r>
    </w:p>
    <w:p w14:paraId="7DC98F8E" w14:textId="77777777" w:rsidR="00AD7B28" w:rsidRPr="0076755D" w:rsidRDefault="00AD7B28" w:rsidP="00AD7B28">
      <w:pPr>
        <w:spacing w:after="0" w:line="240" w:lineRule="auto"/>
        <w:rPr>
          <w:rFonts w:cs="Arial"/>
        </w:rPr>
      </w:pPr>
    </w:p>
    <w:p w14:paraId="7DC98F8F" w14:textId="269DB439" w:rsidR="00AD7B28" w:rsidRPr="0076755D" w:rsidRDefault="00D02E3A" w:rsidP="00AD7B28">
      <w:pPr>
        <w:spacing w:after="0" w:line="240" w:lineRule="auto"/>
        <w:rPr>
          <w:rFonts w:cs="Arial"/>
          <w:b/>
        </w:rPr>
      </w:pPr>
      <w:r w:rsidRPr="0076755D">
        <w:rPr>
          <w:rFonts w:cs="Arial"/>
          <w:b/>
        </w:rPr>
        <w:t xml:space="preserve">Item 5: </w:t>
      </w:r>
      <w:r w:rsidR="00E45250">
        <w:rPr>
          <w:rFonts w:cs="Arial"/>
          <w:b/>
        </w:rPr>
        <w:t xml:space="preserve">After </w:t>
      </w:r>
      <w:r w:rsidRPr="0076755D">
        <w:rPr>
          <w:rFonts w:cs="Arial"/>
          <w:b/>
        </w:rPr>
        <w:t>paragraph 55(a)</w:t>
      </w:r>
    </w:p>
    <w:p w14:paraId="7DC98F90" w14:textId="77777777" w:rsidR="00AD7B28" w:rsidRPr="0076755D" w:rsidRDefault="00AD7B28" w:rsidP="00AD7B28">
      <w:pPr>
        <w:spacing w:after="0" w:line="240" w:lineRule="auto"/>
        <w:rPr>
          <w:rFonts w:cs="Arial"/>
          <w:b/>
        </w:rPr>
      </w:pPr>
    </w:p>
    <w:p w14:paraId="7DC98F91" w14:textId="3437B5A1" w:rsidR="00AD7B28" w:rsidRPr="0076755D" w:rsidRDefault="00D02E3A" w:rsidP="00AD7B28">
      <w:pPr>
        <w:spacing w:after="0" w:line="240" w:lineRule="auto"/>
        <w:rPr>
          <w:rFonts w:cs="Arial"/>
        </w:rPr>
      </w:pPr>
      <w:r w:rsidRPr="0076755D">
        <w:rPr>
          <w:rFonts w:cs="Arial"/>
        </w:rPr>
        <w:t xml:space="preserve">Item 5 inserts a </w:t>
      </w:r>
      <w:r w:rsidR="00E45250">
        <w:rPr>
          <w:rFonts w:cs="Arial"/>
        </w:rPr>
        <w:t>new paragraph (aa) into section 55, which will require</w:t>
      </w:r>
      <w:r w:rsidRPr="0076755D">
        <w:rPr>
          <w:rFonts w:cs="Arial"/>
        </w:rPr>
        <w:t xml:space="preserve"> the approved provider to provide a statement in their Annual Prudential Compliance Statement </w:t>
      </w:r>
      <w:r w:rsidR="00E45250">
        <w:rPr>
          <w:rFonts w:cs="Arial"/>
        </w:rPr>
        <w:t>about why the provider has not complied with the Liquidity Standard (</w:t>
      </w:r>
      <w:r w:rsidRPr="0076755D">
        <w:rPr>
          <w:rFonts w:cs="Arial"/>
        </w:rPr>
        <w:t xml:space="preserve">if </w:t>
      </w:r>
      <w:r w:rsidR="00E45250">
        <w:rPr>
          <w:rFonts w:cs="Arial"/>
        </w:rPr>
        <w:t>the provider has</w:t>
      </w:r>
      <w:r w:rsidRPr="0076755D">
        <w:rPr>
          <w:rFonts w:cs="Arial"/>
        </w:rPr>
        <w:t xml:space="preserve"> not complied with the </w:t>
      </w:r>
      <w:r w:rsidR="00E45250">
        <w:rPr>
          <w:rFonts w:cs="Arial"/>
        </w:rPr>
        <w:t>L</w:t>
      </w:r>
      <w:r w:rsidRPr="0076755D">
        <w:rPr>
          <w:rFonts w:cs="Arial"/>
        </w:rPr>
        <w:t xml:space="preserve">iquidity </w:t>
      </w:r>
      <w:r w:rsidR="00E45250">
        <w:rPr>
          <w:rFonts w:cs="Arial"/>
        </w:rPr>
        <w:t>S</w:t>
      </w:r>
      <w:r w:rsidRPr="0076755D">
        <w:rPr>
          <w:rFonts w:cs="Arial"/>
        </w:rPr>
        <w:t>tandard</w:t>
      </w:r>
      <w:r w:rsidR="00E45250">
        <w:rPr>
          <w:rFonts w:cs="Arial"/>
        </w:rPr>
        <w:t>)</w:t>
      </w:r>
      <w:r w:rsidRPr="0076755D">
        <w:rPr>
          <w:rFonts w:cs="Arial"/>
        </w:rPr>
        <w:t>.</w:t>
      </w:r>
      <w:r w:rsidR="00E45250">
        <w:rPr>
          <w:rFonts w:cs="Arial"/>
        </w:rPr>
        <w:t xml:space="preserve"> This change is intended to ensure consistency with the current requirements in paragraphs 55(c)</w:t>
      </w:r>
      <w:r w:rsidR="006C52CB">
        <w:rPr>
          <w:rFonts w:cs="Arial"/>
        </w:rPr>
        <w:t xml:space="preserve"> and 55(d), which require an approved provider to specify a reason why the provider has not complied with the Governance Standard and Disclosure Standard.</w:t>
      </w:r>
    </w:p>
    <w:p w14:paraId="7DC98F92" w14:textId="77777777" w:rsidR="00AD7B28" w:rsidRPr="0076755D" w:rsidRDefault="00AD7B28" w:rsidP="00AD7B28">
      <w:pPr>
        <w:spacing w:after="0" w:line="240" w:lineRule="auto"/>
        <w:rPr>
          <w:rFonts w:cs="Arial"/>
          <w:b/>
        </w:rPr>
      </w:pPr>
    </w:p>
    <w:p w14:paraId="7DC98F93" w14:textId="4B896317" w:rsidR="00AD7B28" w:rsidRPr="0076755D" w:rsidRDefault="00D02E3A" w:rsidP="00AD7B28">
      <w:pPr>
        <w:spacing w:after="0" w:line="240" w:lineRule="auto"/>
        <w:rPr>
          <w:rFonts w:cs="Arial"/>
          <w:b/>
        </w:rPr>
      </w:pPr>
      <w:r w:rsidRPr="0076755D">
        <w:rPr>
          <w:rFonts w:cs="Arial"/>
          <w:b/>
        </w:rPr>
        <w:t xml:space="preserve">Item 6: </w:t>
      </w:r>
      <w:r w:rsidR="006C52CB">
        <w:rPr>
          <w:rFonts w:cs="Arial"/>
          <w:b/>
        </w:rPr>
        <w:t xml:space="preserve">After </w:t>
      </w:r>
      <w:r w:rsidRPr="0076755D">
        <w:rPr>
          <w:rFonts w:cs="Arial"/>
          <w:b/>
        </w:rPr>
        <w:t>paragraph 55(e)</w:t>
      </w:r>
    </w:p>
    <w:p w14:paraId="7DC98F94" w14:textId="77777777" w:rsidR="00AD7B28" w:rsidRPr="0076755D" w:rsidRDefault="00AD7B28" w:rsidP="00AD7B28">
      <w:pPr>
        <w:spacing w:after="0" w:line="240" w:lineRule="auto"/>
        <w:rPr>
          <w:rFonts w:cs="Arial"/>
          <w:b/>
        </w:rPr>
      </w:pPr>
    </w:p>
    <w:p w14:paraId="7DC98F95" w14:textId="0A0419A1" w:rsidR="00AD7B28" w:rsidRPr="0076755D" w:rsidRDefault="00D02E3A" w:rsidP="00AD7B28">
      <w:pPr>
        <w:spacing w:after="0" w:line="240" w:lineRule="auto"/>
        <w:rPr>
          <w:rFonts w:cs="Arial"/>
        </w:rPr>
      </w:pPr>
      <w:r w:rsidRPr="0076755D">
        <w:rPr>
          <w:rFonts w:cs="Arial"/>
        </w:rPr>
        <w:t xml:space="preserve">Item 6 inserts a </w:t>
      </w:r>
      <w:r w:rsidR="004E2123">
        <w:rPr>
          <w:rFonts w:cs="Arial"/>
        </w:rPr>
        <w:t>new paragraph (ea) into section 55, which will require</w:t>
      </w:r>
      <w:r w:rsidRPr="0076755D">
        <w:rPr>
          <w:rFonts w:cs="Arial"/>
        </w:rPr>
        <w:t xml:space="preserve"> the approved provider to provide a date when their liquidity management strategy was last modified or replaced.</w:t>
      </w:r>
      <w:r w:rsidR="004E2123">
        <w:rPr>
          <w:rFonts w:cs="Arial"/>
        </w:rPr>
        <w:t xml:space="preserve"> This is consistent with the current requirement in paragraph 44(2)(b), that an approved provider must ensure that the provider’s liquidity management strategy is kept up-to-date.</w:t>
      </w:r>
    </w:p>
    <w:p w14:paraId="7DC98FA3" w14:textId="1A937BA5" w:rsidR="001B74E6" w:rsidRDefault="001B74E6">
      <w:pPr>
        <w:spacing w:after="0" w:line="240" w:lineRule="auto"/>
        <w:rPr>
          <w:rFonts w:cs="Arial"/>
        </w:rPr>
      </w:pPr>
      <w:r>
        <w:rPr>
          <w:rFonts w:cs="Arial"/>
        </w:rPr>
        <w:br w:type="page"/>
      </w:r>
    </w:p>
    <w:p w14:paraId="26FB3B97" w14:textId="77777777" w:rsidR="00AD7B28" w:rsidRPr="0076755D" w:rsidRDefault="00AD7B28" w:rsidP="00AD7B28">
      <w:pPr>
        <w:rPr>
          <w:rFonts w:cs="Arial"/>
        </w:rPr>
      </w:pPr>
    </w:p>
    <w:p w14:paraId="7DC98FA4" w14:textId="77777777" w:rsidR="00AD7B28" w:rsidRPr="0076755D" w:rsidRDefault="00D02E3A" w:rsidP="00AD7B28">
      <w:pPr>
        <w:jc w:val="center"/>
        <w:rPr>
          <w:rFonts w:cs="Arial"/>
          <w:b/>
        </w:rPr>
      </w:pPr>
      <w:r w:rsidRPr="0076755D">
        <w:rPr>
          <w:rFonts w:cs="Arial"/>
          <w:b/>
        </w:rPr>
        <w:t>Statement of Compatibility with Human Rights</w:t>
      </w:r>
    </w:p>
    <w:p w14:paraId="7DC98FA5" w14:textId="77777777" w:rsidR="00AD7B28" w:rsidRPr="0076755D" w:rsidRDefault="00D02E3A" w:rsidP="00AD7B28">
      <w:pPr>
        <w:jc w:val="center"/>
        <w:rPr>
          <w:rFonts w:cs="Arial"/>
          <w:i/>
        </w:rPr>
      </w:pPr>
      <w:r w:rsidRPr="0076755D">
        <w:rPr>
          <w:rFonts w:cs="Arial"/>
          <w:i/>
        </w:rPr>
        <w:t>Prepared in accordance with Part 3 of the Human Rights (Parliamentary Scrutiny) Act 2011</w:t>
      </w:r>
    </w:p>
    <w:p w14:paraId="7DC98FA6" w14:textId="77777777" w:rsidR="00AD7B28" w:rsidRPr="0076755D" w:rsidRDefault="00D02E3A" w:rsidP="00AD7B28">
      <w:pPr>
        <w:rPr>
          <w:rFonts w:cs="Arial"/>
          <w:b/>
        </w:rPr>
      </w:pPr>
      <w:r w:rsidRPr="0076755D">
        <w:rPr>
          <w:rFonts w:cs="Arial"/>
          <w:b/>
        </w:rPr>
        <w:t>Aged Care Legislation Amendment (Financial Reporting) Principles 2018</w:t>
      </w:r>
    </w:p>
    <w:p w14:paraId="7DC98FA7" w14:textId="77777777" w:rsidR="00AD7B28" w:rsidRPr="0076755D" w:rsidRDefault="00D02E3A" w:rsidP="00AD7B28">
      <w:pPr>
        <w:rPr>
          <w:rFonts w:cs="Arial"/>
        </w:rPr>
      </w:pPr>
      <w:r w:rsidRPr="0076755D">
        <w:rPr>
          <w:rFonts w:cs="Arial"/>
        </w:rPr>
        <w:t xml:space="preserve">The </w:t>
      </w:r>
      <w:r w:rsidRPr="0076755D">
        <w:rPr>
          <w:rFonts w:cs="Arial"/>
          <w:i/>
        </w:rPr>
        <w:t xml:space="preserve">Aged Care Legislation Amendment (Financial Reporting) Principles 2018 </w:t>
      </w:r>
      <w:r w:rsidRPr="0076755D">
        <w:rPr>
          <w:rFonts w:cs="Arial"/>
        </w:rPr>
        <w:t>are compatible with the human rights and freedoms recognised or declared in the international instruments listed in section 3 of the Human Rights (Parliamentary Scrutiny) Act 2011.</w:t>
      </w:r>
    </w:p>
    <w:p w14:paraId="7DC98FA8" w14:textId="77777777" w:rsidR="00AD7B28" w:rsidRPr="0076755D" w:rsidRDefault="00AD7B28" w:rsidP="00AD7B28">
      <w:pPr>
        <w:rPr>
          <w:rFonts w:cs="Arial"/>
          <w:b/>
        </w:rPr>
      </w:pPr>
    </w:p>
    <w:p w14:paraId="7DC98FA9" w14:textId="77777777" w:rsidR="00AD7B28" w:rsidRPr="0076755D" w:rsidRDefault="00D02E3A" w:rsidP="00AD7B28">
      <w:pPr>
        <w:rPr>
          <w:rFonts w:cs="Arial"/>
          <w:b/>
        </w:rPr>
      </w:pPr>
      <w:r w:rsidRPr="0076755D">
        <w:rPr>
          <w:rFonts w:cs="Arial"/>
          <w:b/>
        </w:rPr>
        <w:t>Overview of the Legislation</w:t>
      </w:r>
    </w:p>
    <w:p w14:paraId="7DC98FAA" w14:textId="77777777" w:rsidR="00AD7B28" w:rsidRPr="0076755D" w:rsidRDefault="00D02E3A" w:rsidP="00AD7B28">
      <w:pPr>
        <w:rPr>
          <w:rFonts w:cs="Arial"/>
        </w:rPr>
      </w:pPr>
      <w:r w:rsidRPr="0076755D">
        <w:rPr>
          <w:rFonts w:cs="Arial"/>
        </w:rPr>
        <w:t>The legislative instrument amends the following principles:</w:t>
      </w:r>
    </w:p>
    <w:p w14:paraId="7DC98FAB" w14:textId="77777777" w:rsidR="00AD7B28" w:rsidRPr="0076755D" w:rsidRDefault="00D02E3A" w:rsidP="0076755D">
      <w:pPr>
        <w:numPr>
          <w:ilvl w:val="0"/>
          <w:numId w:val="13"/>
        </w:numPr>
        <w:spacing w:after="0" w:line="240" w:lineRule="auto"/>
        <w:rPr>
          <w:rFonts w:cs="Arial"/>
        </w:rPr>
      </w:pPr>
      <w:r w:rsidRPr="0076755D">
        <w:rPr>
          <w:rFonts w:cs="Arial"/>
          <w:i/>
        </w:rPr>
        <w:t xml:space="preserve">Accountability Principles 2014 </w:t>
      </w:r>
      <w:r w:rsidRPr="0076755D">
        <w:rPr>
          <w:rFonts w:cs="Arial"/>
        </w:rPr>
        <w:t>to provide for changes to the financial reporting obligations for residential aged care.</w:t>
      </w:r>
    </w:p>
    <w:p w14:paraId="7DC98FAC" w14:textId="77777777" w:rsidR="00AD7B28" w:rsidRPr="0076755D" w:rsidRDefault="00D02E3A" w:rsidP="0076755D">
      <w:pPr>
        <w:numPr>
          <w:ilvl w:val="0"/>
          <w:numId w:val="13"/>
        </w:numPr>
        <w:spacing w:after="0" w:line="240" w:lineRule="auto"/>
        <w:rPr>
          <w:rFonts w:cs="Arial"/>
        </w:rPr>
      </w:pPr>
      <w:r w:rsidRPr="0076755D">
        <w:rPr>
          <w:rFonts w:cs="Arial"/>
          <w:i/>
        </w:rPr>
        <w:t xml:space="preserve">Fees and Payments Principles 2014 (No. 2) </w:t>
      </w:r>
      <w:r w:rsidRPr="0076755D">
        <w:rPr>
          <w:rFonts w:cs="Arial"/>
        </w:rPr>
        <w:t>to provide for changes to the prudential reporting obligations for residential aged care providers.</w:t>
      </w:r>
    </w:p>
    <w:p w14:paraId="7DC98FAD" w14:textId="77777777" w:rsidR="00AD7B28" w:rsidRPr="0076755D" w:rsidRDefault="00AD7B28" w:rsidP="00AD7B28">
      <w:pPr>
        <w:rPr>
          <w:rFonts w:cs="Arial"/>
          <w:b/>
        </w:rPr>
      </w:pPr>
    </w:p>
    <w:p w14:paraId="7DC98FAE" w14:textId="77777777" w:rsidR="00AD7B28" w:rsidRPr="0076755D" w:rsidRDefault="00D02E3A" w:rsidP="00AD7B28">
      <w:pPr>
        <w:rPr>
          <w:rFonts w:cs="Arial"/>
          <w:b/>
        </w:rPr>
      </w:pPr>
      <w:r w:rsidRPr="0076755D">
        <w:rPr>
          <w:rFonts w:cs="Arial"/>
          <w:b/>
        </w:rPr>
        <w:t>Human rights implications</w:t>
      </w:r>
    </w:p>
    <w:p w14:paraId="7DC98FAF" w14:textId="77777777" w:rsidR="00AD7B28" w:rsidRPr="0076755D" w:rsidRDefault="00D02E3A" w:rsidP="00AD7B28">
      <w:pPr>
        <w:shd w:val="clear" w:color="auto" w:fill="FFFFFF"/>
        <w:spacing w:before="100" w:beforeAutospacing="1" w:after="100" w:afterAutospacing="1"/>
        <w:rPr>
          <w:rFonts w:cs="Arial"/>
        </w:rPr>
      </w:pPr>
      <w:r w:rsidRPr="0076755D">
        <w:rPr>
          <w:rFonts w:cs="Arial"/>
        </w:rPr>
        <w:t>This legislative instrument is compatible with the right to an adequate standard of living and the right to the enjoyment of the highest attainable standard of health and well-being as contained in article 11(1) and article 12(1) of the International Covenant on Economic, Social and Cultural Rights, and article 25 and article 28 of the Convention on the Rights of Persons with Disabilities.</w:t>
      </w:r>
    </w:p>
    <w:p w14:paraId="7DC98FB0" w14:textId="77777777" w:rsidR="00AD7B28" w:rsidRPr="0076755D" w:rsidRDefault="00D02E3A" w:rsidP="00AD7B28">
      <w:pPr>
        <w:rPr>
          <w:rFonts w:cs="Arial"/>
        </w:rPr>
      </w:pPr>
      <w:r w:rsidRPr="0076755D">
        <w:rPr>
          <w:rFonts w:cs="Arial"/>
        </w:rPr>
        <w:t>This legislative instrument concerns the financial and prudential reporting obligations of approved providers that provide care and services to people with a condition of frailty or disability who require assistance, to achieve and maintain the highest attainable standard of physical and mental health.</w:t>
      </w:r>
    </w:p>
    <w:p w14:paraId="7DC98FB1" w14:textId="77777777" w:rsidR="00AD7B28" w:rsidRPr="0076755D" w:rsidRDefault="00AD7B28" w:rsidP="00AD7B28">
      <w:pPr>
        <w:rPr>
          <w:rFonts w:cs="Arial"/>
        </w:rPr>
      </w:pPr>
    </w:p>
    <w:p w14:paraId="7DC98FB2" w14:textId="77777777" w:rsidR="00AD7B28" w:rsidRPr="0076755D" w:rsidRDefault="00D02E3A" w:rsidP="00AD7B28">
      <w:pPr>
        <w:rPr>
          <w:rFonts w:cs="Arial"/>
          <w:b/>
        </w:rPr>
      </w:pPr>
      <w:r w:rsidRPr="0076755D">
        <w:rPr>
          <w:rFonts w:cs="Arial"/>
          <w:b/>
        </w:rPr>
        <w:t>Conclusion</w:t>
      </w:r>
    </w:p>
    <w:p w14:paraId="7DC98FB3" w14:textId="77777777" w:rsidR="00AD7B28" w:rsidRPr="0076755D" w:rsidRDefault="00D02E3A" w:rsidP="00AD7B28">
      <w:pPr>
        <w:rPr>
          <w:rFonts w:cs="Arial"/>
        </w:rPr>
      </w:pPr>
      <w:r w:rsidRPr="0076755D">
        <w:rPr>
          <w:rFonts w:cs="Arial"/>
        </w:rPr>
        <w:t>This legislative instrument is compatible with human rights as it promotes the human right to an adequate standard of living and the highest attainable standard of physical and mental health.</w:t>
      </w:r>
    </w:p>
    <w:p w14:paraId="7DC98FB4" w14:textId="77777777" w:rsidR="00AD7B28" w:rsidRPr="0076755D" w:rsidRDefault="00D02E3A" w:rsidP="00AD7B28">
      <w:pPr>
        <w:shd w:val="clear" w:color="auto" w:fill="FFFFFF"/>
        <w:spacing w:before="100" w:beforeAutospacing="1" w:after="100" w:afterAutospacing="1"/>
        <w:rPr>
          <w:rFonts w:cs="Arial"/>
          <w:lang w:val="en-US"/>
        </w:rPr>
      </w:pPr>
      <w:r w:rsidRPr="0076755D">
        <w:rPr>
          <w:rFonts w:cs="Arial"/>
        </w:rPr>
        <w:t> </w:t>
      </w:r>
    </w:p>
    <w:p w14:paraId="7DC98FB5" w14:textId="77777777" w:rsidR="00AD7B28" w:rsidRPr="0076755D" w:rsidRDefault="00D02E3A" w:rsidP="00AD7B28">
      <w:pPr>
        <w:shd w:val="clear" w:color="auto" w:fill="FFFFFF"/>
        <w:spacing w:before="120" w:after="120"/>
        <w:jc w:val="center"/>
        <w:rPr>
          <w:rFonts w:cs="Arial"/>
          <w:lang w:val="en-US"/>
        </w:rPr>
      </w:pPr>
      <w:r w:rsidRPr="0076755D">
        <w:rPr>
          <w:rFonts w:cs="Arial"/>
          <w:b/>
          <w:bCs/>
        </w:rPr>
        <w:t>The Hon Ken Wyatt</w:t>
      </w:r>
    </w:p>
    <w:p w14:paraId="7DC98FB6" w14:textId="77777777" w:rsidR="00AD7B28" w:rsidRPr="0076755D" w:rsidRDefault="00D02E3A" w:rsidP="00AD7B28">
      <w:pPr>
        <w:shd w:val="clear" w:color="auto" w:fill="FFFFFF"/>
        <w:spacing w:before="120" w:after="120"/>
        <w:jc w:val="center"/>
        <w:rPr>
          <w:rFonts w:cs="Arial"/>
          <w:lang w:val="en-US"/>
        </w:rPr>
      </w:pPr>
      <w:r w:rsidRPr="0076755D">
        <w:rPr>
          <w:rFonts w:cs="Arial"/>
          <w:b/>
          <w:bCs/>
        </w:rPr>
        <w:t>Minister for Aged Care</w:t>
      </w:r>
    </w:p>
    <w:p w14:paraId="7DC98FB7" w14:textId="77777777" w:rsidR="00AD7B28" w:rsidRPr="0076755D" w:rsidRDefault="00D02E3A" w:rsidP="00AD7B28">
      <w:pPr>
        <w:shd w:val="clear" w:color="auto" w:fill="FFFFFF"/>
        <w:spacing w:before="120" w:after="120"/>
        <w:jc w:val="center"/>
        <w:rPr>
          <w:rFonts w:cs="Arial"/>
          <w:lang w:val="en-US"/>
        </w:rPr>
      </w:pPr>
      <w:r w:rsidRPr="0076755D">
        <w:rPr>
          <w:rFonts w:cs="Arial"/>
          <w:b/>
          <w:bCs/>
        </w:rPr>
        <w:t>Minister for Indigenous Health</w:t>
      </w:r>
    </w:p>
    <w:p w14:paraId="7DC98FB8" w14:textId="77777777" w:rsidR="00AD7B28" w:rsidRPr="0076755D" w:rsidRDefault="00AD7B28" w:rsidP="00AD7B28">
      <w:pPr>
        <w:rPr>
          <w:rFonts w:cs="Arial"/>
        </w:rPr>
      </w:pPr>
    </w:p>
    <w:sectPr w:rsidR="00AD7B28" w:rsidRPr="0076755D" w:rsidSect="00AD7B28">
      <w:footerReference w:type="default" r:id="rId12"/>
      <w:pgSz w:w="11906" w:h="16838"/>
      <w:pgMar w:top="962" w:right="1800"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66095" w14:textId="77777777" w:rsidR="00263D1E" w:rsidRDefault="00263D1E">
      <w:pPr>
        <w:spacing w:after="0" w:line="240" w:lineRule="auto"/>
      </w:pPr>
      <w:r>
        <w:separator/>
      </w:r>
    </w:p>
  </w:endnote>
  <w:endnote w:type="continuationSeparator" w:id="0">
    <w:p w14:paraId="42AF5CB6" w14:textId="77777777" w:rsidR="00263D1E" w:rsidRDefault="00263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98FF9" w14:textId="1904646F" w:rsidR="00E45250" w:rsidRPr="00152F4F" w:rsidRDefault="00E45250" w:rsidP="00152F4F">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C4820" w14:textId="77777777" w:rsidR="00263D1E" w:rsidRDefault="00263D1E">
      <w:pPr>
        <w:spacing w:after="0" w:line="240" w:lineRule="auto"/>
      </w:pPr>
      <w:r>
        <w:separator/>
      </w:r>
    </w:p>
  </w:footnote>
  <w:footnote w:type="continuationSeparator" w:id="0">
    <w:p w14:paraId="2AC55B0C" w14:textId="77777777" w:rsidR="00263D1E" w:rsidRDefault="00263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1F2513E"/>
    <w:multiLevelType w:val="hybridMultilevel"/>
    <w:tmpl w:val="E02C7470"/>
    <w:lvl w:ilvl="0" w:tplc="DCCAEE48">
      <w:start w:val="1"/>
      <w:numFmt w:val="bullet"/>
      <w:lvlText w:val=""/>
      <w:lvlJc w:val="left"/>
      <w:pPr>
        <w:ind w:left="720" w:hanging="360"/>
      </w:pPr>
      <w:rPr>
        <w:rFonts w:ascii="Symbol" w:hAnsi="Symbol" w:hint="default"/>
      </w:rPr>
    </w:lvl>
    <w:lvl w:ilvl="1" w:tplc="06647742" w:tentative="1">
      <w:start w:val="1"/>
      <w:numFmt w:val="bullet"/>
      <w:lvlText w:val="o"/>
      <w:lvlJc w:val="left"/>
      <w:pPr>
        <w:ind w:left="1440" w:hanging="360"/>
      </w:pPr>
      <w:rPr>
        <w:rFonts w:ascii="Courier New" w:hAnsi="Courier New" w:cs="Courier New" w:hint="default"/>
      </w:rPr>
    </w:lvl>
    <w:lvl w:ilvl="2" w:tplc="9EE06E40" w:tentative="1">
      <w:start w:val="1"/>
      <w:numFmt w:val="bullet"/>
      <w:lvlText w:val=""/>
      <w:lvlJc w:val="left"/>
      <w:pPr>
        <w:ind w:left="2160" w:hanging="360"/>
      </w:pPr>
      <w:rPr>
        <w:rFonts w:ascii="Wingdings" w:hAnsi="Wingdings" w:hint="default"/>
      </w:rPr>
    </w:lvl>
    <w:lvl w:ilvl="3" w:tplc="2C5C2D44" w:tentative="1">
      <w:start w:val="1"/>
      <w:numFmt w:val="bullet"/>
      <w:lvlText w:val=""/>
      <w:lvlJc w:val="left"/>
      <w:pPr>
        <w:ind w:left="2880" w:hanging="360"/>
      </w:pPr>
      <w:rPr>
        <w:rFonts w:ascii="Symbol" w:hAnsi="Symbol" w:hint="default"/>
      </w:rPr>
    </w:lvl>
    <w:lvl w:ilvl="4" w:tplc="17520974" w:tentative="1">
      <w:start w:val="1"/>
      <w:numFmt w:val="bullet"/>
      <w:lvlText w:val="o"/>
      <w:lvlJc w:val="left"/>
      <w:pPr>
        <w:ind w:left="3600" w:hanging="360"/>
      </w:pPr>
      <w:rPr>
        <w:rFonts w:ascii="Courier New" w:hAnsi="Courier New" w:cs="Courier New" w:hint="default"/>
      </w:rPr>
    </w:lvl>
    <w:lvl w:ilvl="5" w:tplc="00FAF9C6" w:tentative="1">
      <w:start w:val="1"/>
      <w:numFmt w:val="bullet"/>
      <w:lvlText w:val=""/>
      <w:lvlJc w:val="left"/>
      <w:pPr>
        <w:ind w:left="4320" w:hanging="360"/>
      </w:pPr>
      <w:rPr>
        <w:rFonts w:ascii="Wingdings" w:hAnsi="Wingdings" w:hint="default"/>
      </w:rPr>
    </w:lvl>
    <w:lvl w:ilvl="6" w:tplc="C4D6E760" w:tentative="1">
      <w:start w:val="1"/>
      <w:numFmt w:val="bullet"/>
      <w:lvlText w:val=""/>
      <w:lvlJc w:val="left"/>
      <w:pPr>
        <w:ind w:left="5040" w:hanging="360"/>
      </w:pPr>
      <w:rPr>
        <w:rFonts w:ascii="Symbol" w:hAnsi="Symbol" w:hint="default"/>
      </w:rPr>
    </w:lvl>
    <w:lvl w:ilvl="7" w:tplc="ED6A892C" w:tentative="1">
      <w:start w:val="1"/>
      <w:numFmt w:val="bullet"/>
      <w:lvlText w:val="o"/>
      <w:lvlJc w:val="left"/>
      <w:pPr>
        <w:ind w:left="5760" w:hanging="360"/>
      </w:pPr>
      <w:rPr>
        <w:rFonts w:ascii="Courier New" w:hAnsi="Courier New" w:cs="Courier New" w:hint="default"/>
      </w:rPr>
    </w:lvl>
    <w:lvl w:ilvl="8" w:tplc="CB7C07E0" w:tentative="1">
      <w:start w:val="1"/>
      <w:numFmt w:val="bullet"/>
      <w:lvlText w:val=""/>
      <w:lvlJc w:val="left"/>
      <w:pPr>
        <w:ind w:left="6480" w:hanging="360"/>
      </w:pPr>
      <w:rPr>
        <w:rFonts w:ascii="Wingdings" w:hAnsi="Wingdings" w:hint="default"/>
      </w:rPr>
    </w:lvl>
  </w:abstractNum>
  <w:abstractNum w:abstractNumId="2">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7110DD"/>
    <w:multiLevelType w:val="hybridMultilevel"/>
    <w:tmpl w:val="04F23344"/>
    <w:lvl w:ilvl="0" w:tplc="F73A0EFA">
      <w:start w:val="1"/>
      <w:numFmt w:val="decimal"/>
      <w:lvlText w:val="%1."/>
      <w:lvlJc w:val="left"/>
      <w:pPr>
        <w:ind w:left="720" w:hanging="360"/>
      </w:pPr>
      <w:rPr>
        <w:rFonts w:hint="default"/>
      </w:rPr>
    </w:lvl>
    <w:lvl w:ilvl="1" w:tplc="DC2AF250" w:tentative="1">
      <w:start w:val="1"/>
      <w:numFmt w:val="lowerLetter"/>
      <w:lvlText w:val="%2."/>
      <w:lvlJc w:val="left"/>
      <w:pPr>
        <w:ind w:left="1440" w:hanging="360"/>
      </w:pPr>
    </w:lvl>
    <w:lvl w:ilvl="2" w:tplc="9E20BBFE" w:tentative="1">
      <w:start w:val="1"/>
      <w:numFmt w:val="lowerRoman"/>
      <w:lvlText w:val="%3."/>
      <w:lvlJc w:val="right"/>
      <w:pPr>
        <w:ind w:left="2160" w:hanging="180"/>
      </w:pPr>
    </w:lvl>
    <w:lvl w:ilvl="3" w:tplc="926A6A4A" w:tentative="1">
      <w:start w:val="1"/>
      <w:numFmt w:val="decimal"/>
      <w:lvlText w:val="%4."/>
      <w:lvlJc w:val="left"/>
      <w:pPr>
        <w:ind w:left="2880" w:hanging="360"/>
      </w:pPr>
    </w:lvl>
    <w:lvl w:ilvl="4" w:tplc="084ED386" w:tentative="1">
      <w:start w:val="1"/>
      <w:numFmt w:val="lowerLetter"/>
      <w:lvlText w:val="%5."/>
      <w:lvlJc w:val="left"/>
      <w:pPr>
        <w:ind w:left="3600" w:hanging="360"/>
      </w:pPr>
    </w:lvl>
    <w:lvl w:ilvl="5" w:tplc="515A39E0" w:tentative="1">
      <w:start w:val="1"/>
      <w:numFmt w:val="lowerRoman"/>
      <w:lvlText w:val="%6."/>
      <w:lvlJc w:val="right"/>
      <w:pPr>
        <w:ind w:left="4320" w:hanging="180"/>
      </w:pPr>
    </w:lvl>
    <w:lvl w:ilvl="6" w:tplc="CD0E48E6" w:tentative="1">
      <w:start w:val="1"/>
      <w:numFmt w:val="decimal"/>
      <w:lvlText w:val="%7."/>
      <w:lvlJc w:val="left"/>
      <w:pPr>
        <w:ind w:left="5040" w:hanging="360"/>
      </w:pPr>
    </w:lvl>
    <w:lvl w:ilvl="7" w:tplc="09928FB4" w:tentative="1">
      <w:start w:val="1"/>
      <w:numFmt w:val="lowerLetter"/>
      <w:lvlText w:val="%8."/>
      <w:lvlJc w:val="left"/>
      <w:pPr>
        <w:ind w:left="5760" w:hanging="360"/>
      </w:pPr>
    </w:lvl>
    <w:lvl w:ilvl="8" w:tplc="62DAE28C" w:tentative="1">
      <w:start w:val="1"/>
      <w:numFmt w:val="lowerRoman"/>
      <w:lvlText w:val="%9."/>
      <w:lvlJc w:val="right"/>
      <w:pPr>
        <w:ind w:left="6480" w:hanging="180"/>
      </w:pPr>
    </w:lvl>
  </w:abstractNum>
  <w:abstractNum w:abstractNumId="4">
    <w:nsid w:val="1F745BC2"/>
    <w:multiLevelType w:val="multilevel"/>
    <w:tmpl w:val="E5E89F92"/>
    <w:numStyleLink w:val="BulletList"/>
  </w:abstractNum>
  <w:abstractNum w:abstractNumId="5">
    <w:nsid w:val="2D490F2D"/>
    <w:multiLevelType w:val="hybridMultilevel"/>
    <w:tmpl w:val="CA6E8C26"/>
    <w:lvl w:ilvl="0" w:tplc="EAE62CB6">
      <w:start w:val="1"/>
      <w:numFmt w:val="bullet"/>
      <w:lvlText w:val=""/>
      <w:lvlJc w:val="left"/>
      <w:pPr>
        <w:ind w:left="1089" w:hanging="360"/>
      </w:pPr>
      <w:rPr>
        <w:rFonts w:ascii="Symbol" w:hAnsi="Symbol" w:hint="default"/>
      </w:rPr>
    </w:lvl>
    <w:lvl w:ilvl="1" w:tplc="A9246080" w:tentative="1">
      <w:start w:val="1"/>
      <w:numFmt w:val="bullet"/>
      <w:lvlText w:val="o"/>
      <w:lvlJc w:val="left"/>
      <w:pPr>
        <w:ind w:left="1809" w:hanging="360"/>
      </w:pPr>
      <w:rPr>
        <w:rFonts w:ascii="Courier New" w:hAnsi="Courier New" w:cs="Courier New" w:hint="default"/>
      </w:rPr>
    </w:lvl>
    <w:lvl w:ilvl="2" w:tplc="6BFC1674" w:tentative="1">
      <w:start w:val="1"/>
      <w:numFmt w:val="bullet"/>
      <w:lvlText w:val=""/>
      <w:lvlJc w:val="left"/>
      <w:pPr>
        <w:ind w:left="2529" w:hanging="360"/>
      </w:pPr>
      <w:rPr>
        <w:rFonts w:ascii="Wingdings" w:hAnsi="Wingdings" w:hint="default"/>
      </w:rPr>
    </w:lvl>
    <w:lvl w:ilvl="3" w:tplc="BB1228FE" w:tentative="1">
      <w:start w:val="1"/>
      <w:numFmt w:val="bullet"/>
      <w:lvlText w:val=""/>
      <w:lvlJc w:val="left"/>
      <w:pPr>
        <w:ind w:left="3249" w:hanging="360"/>
      </w:pPr>
      <w:rPr>
        <w:rFonts w:ascii="Symbol" w:hAnsi="Symbol" w:hint="default"/>
      </w:rPr>
    </w:lvl>
    <w:lvl w:ilvl="4" w:tplc="DD045B3C" w:tentative="1">
      <w:start w:val="1"/>
      <w:numFmt w:val="bullet"/>
      <w:lvlText w:val="o"/>
      <w:lvlJc w:val="left"/>
      <w:pPr>
        <w:ind w:left="3969" w:hanging="360"/>
      </w:pPr>
      <w:rPr>
        <w:rFonts w:ascii="Courier New" w:hAnsi="Courier New" w:cs="Courier New" w:hint="default"/>
      </w:rPr>
    </w:lvl>
    <w:lvl w:ilvl="5" w:tplc="97181AE2" w:tentative="1">
      <w:start w:val="1"/>
      <w:numFmt w:val="bullet"/>
      <w:lvlText w:val=""/>
      <w:lvlJc w:val="left"/>
      <w:pPr>
        <w:ind w:left="4689" w:hanging="360"/>
      </w:pPr>
      <w:rPr>
        <w:rFonts w:ascii="Wingdings" w:hAnsi="Wingdings" w:hint="default"/>
      </w:rPr>
    </w:lvl>
    <w:lvl w:ilvl="6" w:tplc="9AC05AE4" w:tentative="1">
      <w:start w:val="1"/>
      <w:numFmt w:val="bullet"/>
      <w:lvlText w:val=""/>
      <w:lvlJc w:val="left"/>
      <w:pPr>
        <w:ind w:left="5409" w:hanging="360"/>
      </w:pPr>
      <w:rPr>
        <w:rFonts w:ascii="Symbol" w:hAnsi="Symbol" w:hint="default"/>
      </w:rPr>
    </w:lvl>
    <w:lvl w:ilvl="7" w:tplc="4FB43B06" w:tentative="1">
      <w:start w:val="1"/>
      <w:numFmt w:val="bullet"/>
      <w:lvlText w:val="o"/>
      <w:lvlJc w:val="left"/>
      <w:pPr>
        <w:ind w:left="6129" w:hanging="360"/>
      </w:pPr>
      <w:rPr>
        <w:rFonts w:ascii="Courier New" w:hAnsi="Courier New" w:cs="Courier New" w:hint="default"/>
      </w:rPr>
    </w:lvl>
    <w:lvl w:ilvl="8" w:tplc="CCC42720" w:tentative="1">
      <w:start w:val="1"/>
      <w:numFmt w:val="bullet"/>
      <w:lvlText w:val=""/>
      <w:lvlJc w:val="left"/>
      <w:pPr>
        <w:ind w:left="6849" w:hanging="360"/>
      </w:pPr>
      <w:rPr>
        <w:rFonts w:ascii="Wingdings" w:hAnsi="Wingdings" w:hint="default"/>
      </w:rPr>
    </w:lvl>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35E61AC"/>
    <w:multiLevelType w:val="hybridMultilevel"/>
    <w:tmpl w:val="6BF654AC"/>
    <w:lvl w:ilvl="0" w:tplc="7348F1C2">
      <w:start w:val="1"/>
      <w:numFmt w:val="bullet"/>
      <w:lvlText w:val=""/>
      <w:lvlJc w:val="left"/>
      <w:pPr>
        <w:ind w:left="360" w:hanging="360"/>
      </w:pPr>
      <w:rPr>
        <w:rFonts w:ascii="Symbol" w:hAnsi="Symbol" w:hint="default"/>
      </w:rPr>
    </w:lvl>
    <w:lvl w:ilvl="1" w:tplc="3246EFCA" w:tentative="1">
      <w:start w:val="1"/>
      <w:numFmt w:val="bullet"/>
      <w:lvlText w:val="o"/>
      <w:lvlJc w:val="left"/>
      <w:pPr>
        <w:ind w:left="1080" w:hanging="360"/>
      </w:pPr>
      <w:rPr>
        <w:rFonts w:ascii="Courier New" w:hAnsi="Courier New" w:cs="Courier New" w:hint="default"/>
      </w:rPr>
    </w:lvl>
    <w:lvl w:ilvl="2" w:tplc="C2EEAE5A" w:tentative="1">
      <w:start w:val="1"/>
      <w:numFmt w:val="bullet"/>
      <w:lvlText w:val=""/>
      <w:lvlJc w:val="left"/>
      <w:pPr>
        <w:ind w:left="1800" w:hanging="360"/>
      </w:pPr>
      <w:rPr>
        <w:rFonts w:ascii="Wingdings" w:hAnsi="Wingdings" w:hint="default"/>
      </w:rPr>
    </w:lvl>
    <w:lvl w:ilvl="3" w:tplc="4076657C" w:tentative="1">
      <w:start w:val="1"/>
      <w:numFmt w:val="bullet"/>
      <w:lvlText w:val=""/>
      <w:lvlJc w:val="left"/>
      <w:pPr>
        <w:ind w:left="2520" w:hanging="360"/>
      </w:pPr>
      <w:rPr>
        <w:rFonts w:ascii="Symbol" w:hAnsi="Symbol" w:hint="default"/>
      </w:rPr>
    </w:lvl>
    <w:lvl w:ilvl="4" w:tplc="C0A873DC" w:tentative="1">
      <w:start w:val="1"/>
      <w:numFmt w:val="bullet"/>
      <w:lvlText w:val="o"/>
      <w:lvlJc w:val="left"/>
      <w:pPr>
        <w:ind w:left="3240" w:hanging="360"/>
      </w:pPr>
      <w:rPr>
        <w:rFonts w:ascii="Courier New" w:hAnsi="Courier New" w:cs="Courier New" w:hint="default"/>
      </w:rPr>
    </w:lvl>
    <w:lvl w:ilvl="5" w:tplc="61E0275A" w:tentative="1">
      <w:start w:val="1"/>
      <w:numFmt w:val="bullet"/>
      <w:lvlText w:val=""/>
      <w:lvlJc w:val="left"/>
      <w:pPr>
        <w:ind w:left="3960" w:hanging="360"/>
      </w:pPr>
      <w:rPr>
        <w:rFonts w:ascii="Wingdings" w:hAnsi="Wingdings" w:hint="default"/>
      </w:rPr>
    </w:lvl>
    <w:lvl w:ilvl="6" w:tplc="EA1CC99A" w:tentative="1">
      <w:start w:val="1"/>
      <w:numFmt w:val="bullet"/>
      <w:lvlText w:val=""/>
      <w:lvlJc w:val="left"/>
      <w:pPr>
        <w:ind w:left="4680" w:hanging="360"/>
      </w:pPr>
      <w:rPr>
        <w:rFonts w:ascii="Symbol" w:hAnsi="Symbol" w:hint="default"/>
      </w:rPr>
    </w:lvl>
    <w:lvl w:ilvl="7" w:tplc="CF84ADF6" w:tentative="1">
      <w:start w:val="1"/>
      <w:numFmt w:val="bullet"/>
      <w:lvlText w:val="o"/>
      <w:lvlJc w:val="left"/>
      <w:pPr>
        <w:ind w:left="5400" w:hanging="360"/>
      </w:pPr>
      <w:rPr>
        <w:rFonts w:ascii="Courier New" w:hAnsi="Courier New" w:cs="Courier New" w:hint="default"/>
      </w:rPr>
    </w:lvl>
    <w:lvl w:ilvl="8" w:tplc="624C9D1E" w:tentative="1">
      <w:start w:val="1"/>
      <w:numFmt w:val="bullet"/>
      <w:lvlText w:val=""/>
      <w:lvlJc w:val="left"/>
      <w:pPr>
        <w:ind w:left="6120" w:hanging="360"/>
      </w:pPr>
      <w:rPr>
        <w:rFonts w:ascii="Wingdings" w:hAnsi="Wingdings" w:hint="default"/>
      </w:rPr>
    </w:lvl>
  </w:abstractNum>
  <w:abstractNum w:abstractNumId="9">
    <w:nsid w:val="65456429"/>
    <w:multiLevelType w:val="multilevel"/>
    <w:tmpl w:val="8E32AB7A"/>
    <w:lvl w:ilvl="0">
      <w:start w:val="2"/>
      <w:numFmt w:val="decimal"/>
      <w:pStyle w:val="ListNumber"/>
      <w:lvlText w:val="%1."/>
      <w:lvlJc w:val="left"/>
      <w:pPr>
        <w:ind w:left="369" w:hanging="369"/>
      </w:pPr>
      <w:rPr>
        <w:rFonts w:ascii="Times New Roman" w:hAnsi="Times New Roman" w:cs="Times New Roman" w:hint="default"/>
        <w:b w:val="0"/>
        <w:i w:val="0"/>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726D16B2"/>
    <w:multiLevelType w:val="hybridMultilevel"/>
    <w:tmpl w:val="D3A4F60E"/>
    <w:lvl w:ilvl="0" w:tplc="EE249002">
      <w:start w:val="1"/>
      <w:numFmt w:val="bullet"/>
      <w:lvlText w:val=""/>
      <w:lvlJc w:val="left"/>
      <w:pPr>
        <w:ind w:left="1800" w:hanging="360"/>
      </w:pPr>
      <w:rPr>
        <w:rFonts w:ascii="Symbol" w:hAnsi="Symbol" w:hint="default"/>
      </w:rPr>
    </w:lvl>
    <w:lvl w:ilvl="1" w:tplc="00ECA86A" w:tentative="1">
      <w:start w:val="1"/>
      <w:numFmt w:val="bullet"/>
      <w:lvlText w:val="o"/>
      <w:lvlJc w:val="left"/>
      <w:pPr>
        <w:ind w:left="2520" w:hanging="360"/>
      </w:pPr>
      <w:rPr>
        <w:rFonts w:ascii="Courier New" w:hAnsi="Courier New" w:cs="Courier New" w:hint="default"/>
      </w:rPr>
    </w:lvl>
    <w:lvl w:ilvl="2" w:tplc="5C42B5F8" w:tentative="1">
      <w:start w:val="1"/>
      <w:numFmt w:val="bullet"/>
      <w:lvlText w:val=""/>
      <w:lvlJc w:val="left"/>
      <w:pPr>
        <w:ind w:left="3240" w:hanging="360"/>
      </w:pPr>
      <w:rPr>
        <w:rFonts w:ascii="Wingdings" w:hAnsi="Wingdings" w:hint="default"/>
      </w:rPr>
    </w:lvl>
    <w:lvl w:ilvl="3" w:tplc="8938B950" w:tentative="1">
      <w:start w:val="1"/>
      <w:numFmt w:val="bullet"/>
      <w:lvlText w:val=""/>
      <w:lvlJc w:val="left"/>
      <w:pPr>
        <w:ind w:left="3960" w:hanging="360"/>
      </w:pPr>
      <w:rPr>
        <w:rFonts w:ascii="Symbol" w:hAnsi="Symbol" w:hint="default"/>
      </w:rPr>
    </w:lvl>
    <w:lvl w:ilvl="4" w:tplc="A87E6FC8" w:tentative="1">
      <w:start w:val="1"/>
      <w:numFmt w:val="bullet"/>
      <w:lvlText w:val="o"/>
      <w:lvlJc w:val="left"/>
      <w:pPr>
        <w:ind w:left="4680" w:hanging="360"/>
      </w:pPr>
      <w:rPr>
        <w:rFonts w:ascii="Courier New" w:hAnsi="Courier New" w:cs="Courier New" w:hint="default"/>
      </w:rPr>
    </w:lvl>
    <w:lvl w:ilvl="5" w:tplc="AF64071C" w:tentative="1">
      <w:start w:val="1"/>
      <w:numFmt w:val="bullet"/>
      <w:lvlText w:val=""/>
      <w:lvlJc w:val="left"/>
      <w:pPr>
        <w:ind w:left="5400" w:hanging="360"/>
      </w:pPr>
      <w:rPr>
        <w:rFonts w:ascii="Wingdings" w:hAnsi="Wingdings" w:hint="default"/>
      </w:rPr>
    </w:lvl>
    <w:lvl w:ilvl="6" w:tplc="3DD0D6DE" w:tentative="1">
      <w:start w:val="1"/>
      <w:numFmt w:val="bullet"/>
      <w:lvlText w:val=""/>
      <w:lvlJc w:val="left"/>
      <w:pPr>
        <w:ind w:left="6120" w:hanging="360"/>
      </w:pPr>
      <w:rPr>
        <w:rFonts w:ascii="Symbol" w:hAnsi="Symbol" w:hint="default"/>
      </w:rPr>
    </w:lvl>
    <w:lvl w:ilvl="7" w:tplc="9CA622DA" w:tentative="1">
      <w:start w:val="1"/>
      <w:numFmt w:val="bullet"/>
      <w:lvlText w:val="o"/>
      <w:lvlJc w:val="left"/>
      <w:pPr>
        <w:ind w:left="6840" w:hanging="360"/>
      </w:pPr>
      <w:rPr>
        <w:rFonts w:ascii="Courier New" w:hAnsi="Courier New" w:cs="Courier New" w:hint="default"/>
      </w:rPr>
    </w:lvl>
    <w:lvl w:ilvl="8" w:tplc="893EB4A4" w:tentative="1">
      <w:start w:val="1"/>
      <w:numFmt w:val="bullet"/>
      <w:lvlText w:val=""/>
      <w:lvlJc w:val="left"/>
      <w:pPr>
        <w:ind w:left="7560" w:hanging="360"/>
      </w:pPr>
      <w:rPr>
        <w:rFonts w:ascii="Wingdings" w:hAnsi="Wingdings" w:hint="default"/>
      </w:rPr>
    </w:lvl>
  </w:abstractNum>
  <w:abstractNum w:abstractNumId="11">
    <w:nsid w:val="74582E3C"/>
    <w:multiLevelType w:val="hybridMultilevel"/>
    <w:tmpl w:val="1EE8F1A6"/>
    <w:lvl w:ilvl="0" w:tplc="AA0AB160">
      <w:start w:val="1"/>
      <w:numFmt w:val="decimal"/>
      <w:lvlText w:val="%1"/>
      <w:lvlJc w:val="left"/>
      <w:pPr>
        <w:tabs>
          <w:tab w:val="num" w:pos="1080"/>
        </w:tabs>
        <w:ind w:left="1080" w:hanging="720"/>
      </w:pPr>
      <w:rPr>
        <w:rFonts w:hint="default"/>
        <w:i w:val="0"/>
      </w:rPr>
    </w:lvl>
    <w:lvl w:ilvl="1" w:tplc="4EC8DA0A" w:tentative="1">
      <w:start w:val="1"/>
      <w:numFmt w:val="lowerLetter"/>
      <w:lvlText w:val="%2."/>
      <w:lvlJc w:val="left"/>
      <w:pPr>
        <w:tabs>
          <w:tab w:val="num" w:pos="1440"/>
        </w:tabs>
        <w:ind w:left="1440" w:hanging="360"/>
      </w:pPr>
    </w:lvl>
    <w:lvl w:ilvl="2" w:tplc="4EB49EEE" w:tentative="1">
      <w:start w:val="1"/>
      <w:numFmt w:val="lowerRoman"/>
      <w:lvlText w:val="%3."/>
      <w:lvlJc w:val="right"/>
      <w:pPr>
        <w:tabs>
          <w:tab w:val="num" w:pos="2160"/>
        </w:tabs>
        <w:ind w:left="2160" w:hanging="180"/>
      </w:pPr>
    </w:lvl>
    <w:lvl w:ilvl="3" w:tplc="96E8AF34" w:tentative="1">
      <w:start w:val="1"/>
      <w:numFmt w:val="decimal"/>
      <w:lvlText w:val="%4."/>
      <w:lvlJc w:val="left"/>
      <w:pPr>
        <w:tabs>
          <w:tab w:val="num" w:pos="2880"/>
        </w:tabs>
        <w:ind w:left="2880" w:hanging="360"/>
      </w:pPr>
    </w:lvl>
    <w:lvl w:ilvl="4" w:tplc="102CEB94" w:tentative="1">
      <w:start w:val="1"/>
      <w:numFmt w:val="lowerLetter"/>
      <w:lvlText w:val="%5."/>
      <w:lvlJc w:val="left"/>
      <w:pPr>
        <w:tabs>
          <w:tab w:val="num" w:pos="3600"/>
        </w:tabs>
        <w:ind w:left="3600" w:hanging="360"/>
      </w:pPr>
    </w:lvl>
    <w:lvl w:ilvl="5" w:tplc="26863D1A" w:tentative="1">
      <w:start w:val="1"/>
      <w:numFmt w:val="lowerRoman"/>
      <w:lvlText w:val="%6."/>
      <w:lvlJc w:val="right"/>
      <w:pPr>
        <w:tabs>
          <w:tab w:val="num" w:pos="4320"/>
        </w:tabs>
        <w:ind w:left="4320" w:hanging="180"/>
      </w:pPr>
    </w:lvl>
    <w:lvl w:ilvl="6" w:tplc="87A2D0F0" w:tentative="1">
      <w:start w:val="1"/>
      <w:numFmt w:val="decimal"/>
      <w:lvlText w:val="%7."/>
      <w:lvlJc w:val="left"/>
      <w:pPr>
        <w:tabs>
          <w:tab w:val="num" w:pos="5040"/>
        </w:tabs>
        <w:ind w:left="5040" w:hanging="360"/>
      </w:pPr>
    </w:lvl>
    <w:lvl w:ilvl="7" w:tplc="2E62C776" w:tentative="1">
      <w:start w:val="1"/>
      <w:numFmt w:val="lowerLetter"/>
      <w:lvlText w:val="%8."/>
      <w:lvlJc w:val="left"/>
      <w:pPr>
        <w:tabs>
          <w:tab w:val="num" w:pos="5760"/>
        </w:tabs>
        <w:ind w:left="5760" w:hanging="360"/>
      </w:pPr>
    </w:lvl>
    <w:lvl w:ilvl="8" w:tplc="A2AC3528" w:tentative="1">
      <w:start w:val="1"/>
      <w:numFmt w:val="lowerRoman"/>
      <w:lvlText w:val="%9."/>
      <w:lvlJc w:val="right"/>
      <w:pPr>
        <w:tabs>
          <w:tab w:val="num" w:pos="6480"/>
        </w:tabs>
        <w:ind w:left="6480" w:hanging="180"/>
      </w:pPr>
    </w:lvl>
  </w:abstractNum>
  <w:abstractNum w:abstractNumId="12">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2"/>
  </w:num>
  <w:num w:numId="2">
    <w:abstractNumId w:val="0"/>
  </w:num>
  <w:num w:numId="3">
    <w:abstractNumId w:val="7"/>
  </w:num>
  <w:num w:numId="4">
    <w:abstractNumId w:val="6"/>
  </w:num>
  <w:num w:numId="5">
    <w:abstractNumId w:val="4"/>
    <w:lvlOverride w:ilvl="0">
      <w:lvl w:ilvl="0">
        <w:start w:val="1"/>
        <w:numFmt w:val="bullet"/>
        <w:pStyle w:val="ListBullet"/>
        <w:lvlText w:val=""/>
        <w:lvlJc w:val="left"/>
        <w:pPr>
          <w:ind w:left="369" w:hanging="369"/>
        </w:pPr>
        <w:rPr>
          <w:rFonts w:ascii="Symbol" w:hAnsi="Symbol" w:hint="default"/>
          <w:color w:val="auto"/>
        </w:rPr>
      </w:lvl>
    </w:lvlOverride>
  </w:num>
  <w:num w:numId="6">
    <w:abstractNumId w:val="9"/>
  </w:num>
  <w:num w:numId="7">
    <w:abstractNumId w:val="3"/>
  </w:num>
  <w:num w:numId="8">
    <w:abstractNumId w:val="2"/>
  </w:num>
  <w:num w:numId="9">
    <w:abstractNumId w:val="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8"/>
  </w:num>
  <w:num w:numId="14">
    <w:abstractNumId w:val="10"/>
  </w:num>
  <w:num w:numId="15">
    <w:abstractNumId w:val="9"/>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EB794A"/>
    <w:rsid w:val="00001341"/>
    <w:rsid w:val="00001865"/>
    <w:rsid w:val="00002F14"/>
    <w:rsid w:val="00004AEE"/>
    <w:rsid w:val="00005CAA"/>
    <w:rsid w:val="00010210"/>
    <w:rsid w:val="0001025A"/>
    <w:rsid w:val="00014060"/>
    <w:rsid w:val="000145C1"/>
    <w:rsid w:val="00015ADA"/>
    <w:rsid w:val="00017BB8"/>
    <w:rsid w:val="00020C99"/>
    <w:rsid w:val="000260F8"/>
    <w:rsid w:val="0002707B"/>
    <w:rsid w:val="00031219"/>
    <w:rsid w:val="00050234"/>
    <w:rsid w:val="0005148E"/>
    <w:rsid w:val="0005270A"/>
    <w:rsid w:val="00055C7C"/>
    <w:rsid w:val="00062F4E"/>
    <w:rsid w:val="00063AF2"/>
    <w:rsid w:val="000642C0"/>
    <w:rsid w:val="000671E8"/>
    <w:rsid w:val="00067EF2"/>
    <w:rsid w:val="000759E5"/>
    <w:rsid w:val="000776E3"/>
    <w:rsid w:val="00080A47"/>
    <w:rsid w:val="0008410F"/>
    <w:rsid w:val="00084AC6"/>
    <w:rsid w:val="00085C49"/>
    <w:rsid w:val="00091608"/>
    <w:rsid w:val="0009257B"/>
    <w:rsid w:val="0009333C"/>
    <w:rsid w:val="000947CE"/>
    <w:rsid w:val="00095316"/>
    <w:rsid w:val="000962E7"/>
    <w:rsid w:val="0009704F"/>
    <w:rsid w:val="000A0F11"/>
    <w:rsid w:val="000A125A"/>
    <w:rsid w:val="000A57CD"/>
    <w:rsid w:val="000B3758"/>
    <w:rsid w:val="000B460E"/>
    <w:rsid w:val="000B7681"/>
    <w:rsid w:val="000B7B42"/>
    <w:rsid w:val="000C02B7"/>
    <w:rsid w:val="000C0739"/>
    <w:rsid w:val="000C45A2"/>
    <w:rsid w:val="000C5342"/>
    <w:rsid w:val="000C5DFC"/>
    <w:rsid w:val="000C63ED"/>
    <w:rsid w:val="000C6BB6"/>
    <w:rsid w:val="000C706A"/>
    <w:rsid w:val="000D24BA"/>
    <w:rsid w:val="000D2887"/>
    <w:rsid w:val="000D35F3"/>
    <w:rsid w:val="000D61D0"/>
    <w:rsid w:val="000D6D63"/>
    <w:rsid w:val="000E0081"/>
    <w:rsid w:val="000E07CF"/>
    <w:rsid w:val="000E5B13"/>
    <w:rsid w:val="0010543C"/>
    <w:rsid w:val="0011498E"/>
    <w:rsid w:val="00117A45"/>
    <w:rsid w:val="00120FE7"/>
    <w:rsid w:val="001219EE"/>
    <w:rsid w:val="001224AE"/>
    <w:rsid w:val="001337D4"/>
    <w:rsid w:val="00134F41"/>
    <w:rsid w:val="00135AC3"/>
    <w:rsid w:val="001400A5"/>
    <w:rsid w:val="00142B4A"/>
    <w:rsid w:val="00143480"/>
    <w:rsid w:val="00146ED2"/>
    <w:rsid w:val="00147C12"/>
    <w:rsid w:val="00152507"/>
    <w:rsid w:val="001527A1"/>
    <w:rsid w:val="00152F4F"/>
    <w:rsid w:val="001530DC"/>
    <w:rsid w:val="001539E4"/>
    <w:rsid w:val="00154989"/>
    <w:rsid w:val="00155A9F"/>
    <w:rsid w:val="00160262"/>
    <w:rsid w:val="00164727"/>
    <w:rsid w:val="0016780A"/>
    <w:rsid w:val="00172346"/>
    <w:rsid w:val="00173EBF"/>
    <w:rsid w:val="0017593F"/>
    <w:rsid w:val="00177486"/>
    <w:rsid w:val="0018112F"/>
    <w:rsid w:val="001842A2"/>
    <w:rsid w:val="00187FA8"/>
    <w:rsid w:val="0019168F"/>
    <w:rsid w:val="00191C5D"/>
    <w:rsid w:val="00192F5E"/>
    <w:rsid w:val="00197772"/>
    <w:rsid w:val="001A0C3F"/>
    <w:rsid w:val="001A51C8"/>
    <w:rsid w:val="001A76BB"/>
    <w:rsid w:val="001B22C1"/>
    <w:rsid w:val="001B4CA8"/>
    <w:rsid w:val="001B6413"/>
    <w:rsid w:val="001B74E6"/>
    <w:rsid w:val="001C06DB"/>
    <w:rsid w:val="001C1D95"/>
    <w:rsid w:val="001C2668"/>
    <w:rsid w:val="001C4F3D"/>
    <w:rsid w:val="001C562D"/>
    <w:rsid w:val="001D0CDC"/>
    <w:rsid w:val="001D1D82"/>
    <w:rsid w:val="001E0274"/>
    <w:rsid w:val="001E1182"/>
    <w:rsid w:val="001E1CE4"/>
    <w:rsid w:val="001E1DF5"/>
    <w:rsid w:val="001E25B3"/>
    <w:rsid w:val="001E5053"/>
    <w:rsid w:val="001F2ADA"/>
    <w:rsid w:val="00200091"/>
    <w:rsid w:val="00202C90"/>
    <w:rsid w:val="00204E23"/>
    <w:rsid w:val="00213DE8"/>
    <w:rsid w:val="00214B4E"/>
    <w:rsid w:val="00216118"/>
    <w:rsid w:val="002177F4"/>
    <w:rsid w:val="002209AB"/>
    <w:rsid w:val="00220A0C"/>
    <w:rsid w:val="002251E3"/>
    <w:rsid w:val="00226F5F"/>
    <w:rsid w:val="00227A95"/>
    <w:rsid w:val="00231397"/>
    <w:rsid w:val="00234753"/>
    <w:rsid w:val="002364BA"/>
    <w:rsid w:val="00242548"/>
    <w:rsid w:val="002473FC"/>
    <w:rsid w:val="0025060F"/>
    <w:rsid w:val="00252E3C"/>
    <w:rsid w:val="00262198"/>
    <w:rsid w:val="00263D1E"/>
    <w:rsid w:val="00264BCC"/>
    <w:rsid w:val="00266AE7"/>
    <w:rsid w:val="00274751"/>
    <w:rsid w:val="00280C0C"/>
    <w:rsid w:val="00285F1B"/>
    <w:rsid w:val="0029092E"/>
    <w:rsid w:val="00292B81"/>
    <w:rsid w:val="00292BB9"/>
    <w:rsid w:val="00295DED"/>
    <w:rsid w:val="0029667D"/>
    <w:rsid w:val="002A11A4"/>
    <w:rsid w:val="002A1FE8"/>
    <w:rsid w:val="002A2830"/>
    <w:rsid w:val="002A2AD2"/>
    <w:rsid w:val="002A4EF8"/>
    <w:rsid w:val="002A5795"/>
    <w:rsid w:val="002A6400"/>
    <w:rsid w:val="002B18AE"/>
    <w:rsid w:val="002B27BE"/>
    <w:rsid w:val="002B3674"/>
    <w:rsid w:val="002B5C3C"/>
    <w:rsid w:val="002C1C93"/>
    <w:rsid w:val="002C2FB1"/>
    <w:rsid w:val="002C5066"/>
    <w:rsid w:val="002D419A"/>
    <w:rsid w:val="002D4AAC"/>
    <w:rsid w:val="002D55D4"/>
    <w:rsid w:val="002E278B"/>
    <w:rsid w:val="002E3BAF"/>
    <w:rsid w:val="002E5D24"/>
    <w:rsid w:val="002F045A"/>
    <w:rsid w:val="002F18F8"/>
    <w:rsid w:val="0030039D"/>
    <w:rsid w:val="00300684"/>
    <w:rsid w:val="0030171F"/>
    <w:rsid w:val="00302B2F"/>
    <w:rsid w:val="0030326F"/>
    <w:rsid w:val="00303601"/>
    <w:rsid w:val="00304541"/>
    <w:rsid w:val="003065E5"/>
    <w:rsid w:val="00310701"/>
    <w:rsid w:val="00311948"/>
    <w:rsid w:val="00311F16"/>
    <w:rsid w:val="00315980"/>
    <w:rsid w:val="00316F7F"/>
    <w:rsid w:val="00320DFB"/>
    <w:rsid w:val="00321639"/>
    <w:rsid w:val="003218E8"/>
    <w:rsid w:val="00321EC5"/>
    <w:rsid w:val="003244B0"/>
    <w:rsid w:val="00330DCE"/>
    <w:rsid w:val="00331E11"/>
    <w:rsid w:val="003341FA"/>
    <w:rsid w:val="00334761"/>
    <w:rsid w:val="00335A95"/>
    <w:rsid w:val="00337BED"/>
    <w:rsid w:val="00341DCD"/>
    <w:rsid w:val="00344897"/>
    <w:rsid w:val="00345066"/>
    <w:rsid w:val="0034563E"/>
    <w:rsid w:val="003518D6"/>
    <w:rsid w:val="00351E50"/>
    <w:rsid w:val="0035460C"/>
    <w:rsid w:val="003554B8"/>
    <w:rsid w:val="003556BD"/>
    <w:rsid w:val="0035774D"/>
    <w:rsid w:val="00365147"/>
    <w:rsid w:val="00367C8F"/>
    <w:rsid w:val="0037016E"/>
    <w:rsid w:val="00371E03"/>
    <w:rsid w:val="003727B1"/>
    <w:rsid w:val="00372908"/>
    <w:rsid w:val="00377900"/>
    <w:rsid w:val="00383020"/>
    <w:rsid w:val="00387BC1"/>
    <w:rsid w:val="003968BA"/>
    <w:rsid w:val="00396D6E"/>
    <w:rsid w:val="003975FD"/>
    <w:rsid w:val="00397966"/>
    <w:rsid w:val="003A0F88"/>
    <w:rsid w:val="003A1BF5"/>
    <w:rsid w:val="003B6068"/>
    <w:rsid w:val="003B60CC"/>
    <w:rsid w:val="003B7F1A"/>
    <w:rsid w:val="003C2443"/>
    <w:rsid w:val="003C5DA3"/>
    <w:rsid w:val="003C6CB3"/>
    <w:rsid w:val="003C7611"/>
    <w:rsid w:val="003D3342"/>
    <w:rsid w:val="003D4BCD"/>
    <w:rsid w:val="003D5140"/>
    <w:rsid w:val="003D65F2"/>
    <w:rsid w:val="003D6F1B"/>
    <w:rsid w:val="003E2100"/>
    <w:rsid w:val="003E4BB7"/>
    <w:rsid w:val="003E56EB"/>
    <w:rsid w:val="003F02E7"/>
    <w:rsid w:val="003F1AA5"/>
    <w:rsid w:val="003F6F5B"/>
    <w:rsid w:val="0040342D"/>
    <w:rsid w:val="0041192D"/>
    <w:rsid w:val="00413B10"/>
    <w:rsid w:val="00413D8E"/>
    <w:rsid w:val="00413EE1"/>
    <w:rsid w:val="00416246"/>
    <w:rsid w:val="0041759B"/>
    <w:rsid w:val="00420B76"/>
    <w:rsid w:val="0042128E"/>
    <w:rsid w:val="00421FEC"/>
    <w:rsid w:val="00425F20"/>
    <w:rsid w:val="004271D7"/>
    <w:rsid w:val="00430252"/>
    <w:rsid w:val="004318E1"/>
    <w:rsid w:val="004321F9"/>
    <w:rsid w:val="00432B60"/>
    <w:rsid w:val="00434A49"/>
    <w:rsid w:val="00436E9A"/>
    <w:rsid w:val="0044026D"/>
    <w:rsid w:val="00440698"/>
    <w:rsid w:val="00451E73"/>
    <w:rsid w:val="004540E2"/>
    <w:rsid w:val="00454E11"/>
    <w:rsid w:val="00455A78"/>
    <w:rsid w:val="00460D29"/>
    <w:rsid w:val="0046116B"/>
    <w:rsid w:val="00461449"/>
    <w:rsid w:val="0046173C"/>
    <w:rsid w:val="00464F0B"/>
    <w:rsid w:val="00465A3C"/>
    <w:rsid w:val="004712A5"/>
    <w:rsid w:val="0047266F"/>
    <w:rsid w:val="00476D6B"/>
    <w:rsid w:val="00481B63"/>
    <w:rsid w:val="0048364F"/>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020C"/>
    <w:rsid w:val="004C1141"/>
    <w:rsid w:val="004C1823"/>
    <w:rsid w:val="004C3EA0"/>
    <w:rsid w:val="004E2123"/>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134A6"/>
    <w:rsid w:val="00514C8E"/>
    <w:rsid w:val="00517516"/>
    <w:rsid w:val="0052681E"/>
    <w:rsid w:val="0052742A"/>
    <w:rsid w:val="00527851"/>
    <w:rsid w:val="00531DBF"/>
    <w:rsid w:val="00545759"/>
    <w:rsid w:val="00545BE0"/>
    <w:rsid w:val="00557E06"/>
    <w:rsid w:val="00562E85"/>
    <w:rsid w:val="0056332F"/>
    <w:rsid w:val="00564B00"/>
    <w:rsid w:val="00576720"/>
    <w:rsid w:val="00581C39"/>
    <w:rsid w:val="00585198"/>
    <w:rsid w:val="00585B8C"/>
    <w:rsid w:val="00586CB3"/>
    <w:rsid w:val="005903B6"/>
    <w:rsid w:val="005931E7"/>
    <w:rsid w:val="005A0247"/>
    <w:rsid w:val="005B0610"/>
    <w:rsid w:val="005B140D"/>
    <w:rsid w:val="005B4B5E"/>
    <w:rsid w:val="005B517A"/>
    <w:rsid w:val="005C1481"/>
    <w:rsid w:val="005C1FEA"/>
    <w:rsid w:val="005C2672"/>
    <w:rsid w:val="005C3495"/>
    <w:rsid w:val="005C3EDC"/>
    <w:rsid w:val="005D7C4A"/>
    <w:rsid w:val="005E3DFC"/>
    <w:rsid w:val="005E436A"/>
    <w:rsid w:val="005E5D52"/>
    <w:rsid w:val="005E60AF"/>
    <w:rsid w:val="005E7BCF"/>
    <w:rsid w:val="005F1388"/>
    <w:rsid w:val="005F1DEA"/>
    <w:rsid w:val="005F607D"/>
    <w:rsid w:val="0060436B"/>
    <w:rsid w:val="0060462F"/>
    <w:rsid w:val="00605432"/>
    <w:rsid w:val="00607FC9"/>
    <w:rsid w:val="0061002D"/>
    <w:rsid w:val="0061701C"/>
    <w:rsid w:val="006212A6"/>
    <w:rsid w:val="00622FE1"/>
    <w:rsid w:val="0062521C"/>
    <w:rsid w:val="00630A2B"/>
    <w:rsid w:val="00632DC7"/>
    <w:rsid w:val="00634999"/>
    <w:rsid w:val="00634D4D"/>
    <w:rsid w:val="006357FB"/>
    <w:rsid w:val="00635C5E"/>
    <w:rsid w:val="006406FC"/>
    <w:rsid w:val="00643844"/>
    <w:rsid w:val="00643B47"/>
    <w:rsid w:val="00645CB8"/>
    <w:rsid w:val="0065303D"/>
    <w:rsid w:val="00653E16"/>
    <w:rsid w:val="00653F7B"/>
    <w:rsid w:val="00654D8A"/>
    <w:rsid w:val="00657220"/>
    <w:rsid w:val="00657ABF"/>
    <w:rsid w:val="00657C1E"/>
    <w:rsid w:val="0066104B"/>
    <w:rsid w:val="00663F3A"/>
    <w:rsid w:val="006655EE"/>
    <w:rsid w:val="00667C10"/>
    <w:rsid w:val="00667EF4"/>
    <w:rsid w:val="00671066"/>
    <w:rsid w:val="00673292"/>
    <w:rsid w:val="00673991"/>
    <w:rsid w:val="00676A79"/>
    <w:rsid w:val="00676FCA"/>
    <w:rsid w:val="00677177"/>
    <w:rsid w:val="00684B33"/>
    <w:rsid w:val="00685897"/>
    <w:rsid w:val="0068612E"/>
    <w:rsid w:val="00687C92"/>
    <w:rsid w:val="0069039D"/>
    <w:rsid w:val="006948FE"/>
    <w:rsid w:val="0069534E"/>
    <w:rsid w:val="00695F56"/>
    <w:rsid w:val="0069669C"/>
    <w:rsid w:val="006A074A"/>
    <w:rsid w:val="006A1200"/>
    <w:rsid w:val="006A1AE4"/>
    <w:rsid w:val="006A4F4E"/>
    <w:rsid w:val="006B0745"/>
    <w:rsid w:val="006B14DB"/>
    <w:rsid w:val="006B1FFD"/>
    <w:rsid w:val="006B21C4"/>
    <w:rsid w:val="006B2A07"/>
    <w:rsid w:val="006B3F65"/>
    <w:rsid w:val="006B4FD2"/>
    <w:rsid w:val="006C1A92"/>
    <w:rsid w:val="006C356D"/>
    <w:rsid w:val="006C4A1A"/>
    <w:rsid w:val="006C52CB"/>
    <w:rsid w:val="006D0393"/>
    <w:rsid w:val="006D1A83"/>
    <w:rsid w:val="006D285D"/>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50CE"/>
    <w:rsid w:val="00706D2B"/>
    <w:rsid w:val="00711ED5"/>
    <w:rsid w:val="00713FA2"/>
    <w:rsid w:val="00716663"/>
    <w:rsid w:val="007167C0"/>
    <w:rsid w:val="00720481"/>
    <w:rsid w:val="00720E46"/>
    <w:rsid w:val="00732910"/>
    <w:rsid w:val="00732E31"/>
    <w:rsid w:val="00733193"/>
    <w:rsid w:val="00736757"/>
    <w:rsid w:val="00736E2C"/>
    <w:rsid w:val="00744429"/>
    <w:rsid w:val="007470BF"/>
    <w:rsid w:val="0074752F"/>
    <w:rsid w:val="00751C97"/>
    <w:rsid w:val="00751E6F"/>
    <w:rsid w:val="00752DA7"/>
    <w:rsid w:val="007540AA"/>
    <w:rsid w:val="00754FB9"/>
    <w:rsid w:val="007550E9"/>
    <w:rsid w:val="0075732A"/>
    <w:rsid w:val="00757539"/>
    <w:rsid w:val="00760262"/>
    <w:rsid w:val="0076310C"/>
    <w:rsid w:val="0076744F"/>
    <w:rsid w:val="0076755D"/>
    <w:rsid w:val="00767BCE"/>
    <w:rsid w:val="007707DE"/>
    <w:rsid w:val="00770B5D"/>
    <w:rsid w:val="007752F1"/>
    <w:rsid w:val="00776768"/>
    <w:rsid w:val="007777C1"/>
    <w:rsid w:val="007858EB"/>
    <w:rsid w:val="00785B13"/>
    <w:rsid w:val="00792AC6"/>
    <w:rsid w:val="00794D0F"/>
    <w:rsid w:val="007953DA"/>
    <w:rsid w:val="007978A3"/>
    <w:rsid w:val="00797D01"/>
    <w:rsid w:val="007A1328"/>
    <w:rsid w:val="007A2573"/>
    <w:rsid w:val="007A570A"/>
    <w:rsid w:val="007A6863"/>
    <w:rsid w:val="007A6A1A"/>
    <w:rsid w:val="007B106C"/>
    <w:rsid w:val="007B1380"/>
    <w:rsid w:val="007B1A4E"/>
    <w:rsid w:val="007B3D05"/>
    <w:rsid w:val="007C0C81"/>
    <w:rsid w:val="007C1328"/>
    <w:rsid w:val="007D14B4"/>
    <w:rsid w:val="007D1B17"/>
    <w:rsid w:val="007D2191"/>
    <w:rsid w:val="007D2FC3"/>
    <w:rsid w:val="007D4A1E"/>
    <w:rsid w:val="007D5962"/>
    <w:rsid w:val="007E24F6"/>
    <w:rsid w:val="007E70FA"/>
    <w:rsid w:val="007F044F"/>
    <w:rsid w:val="007F48ED"/>
    <w:rsid w:val="007F78B5"/>
    <w:rsid w:val="00800F64"/>
    <w:rsid w:val="00802F0B"/>
    <w:rsid w:val="00804366"/>
    <w:rsid w:val="00810A67"/>
    <w:rsid w:val="0081565D"/>
    <w:rsid w:val="00821A31"/>
    <w:rsid w:val="00830B62"/>
    <w:rsid w:val="008316C6"/>
    <w:rsid w:val="00833CF7"/>
    <w:rsid w:val="008358FE"/>
    <w:rsid w:val="00841013"/>
    <w:rsid w:val="008416BA"/>
    <w:rsid w:val="00843089"/>
    <w:rsid w:val="008434F6"/>
    <w:rsid w:val="00845601"/>
    <w:rsid w:val="008472FE"/>
    <w:rsid w:val="008519B5"/>
    <w:rsid w:val="00855C5C"/>
    <w:rsid w:val="008636D2"/>
    <w:rsid w:val="00867005"/>
    <w:rsid w:val="00870755"/>
    <w:rsid w:val="00872368"/>
    <w:rsid w:val="008724CF"/>
    <w:rsid w:val="00883898"/>
    <w:rsid w:val="00885D98"/>
    <w:rsid w:val="00891776"/>
    <w:rsid w:val="008A2B4A"/>
    <w:rsid w:val="008A3080"/>
    <w:rsid w:val="008A3C96"/>
    <w:rsid w:val="008B4019"/>
    <w:rsid w:val="008B65C9"/>
    <w:rsid w:val="008C18A4"/>
    <w:rsid w:val="008C2D4A"/>
    <w:rsid w:val="008D3900"/>
    <w:rsid w:val="008D45BD"/>
    <w:rsid w:val="008D6E1D"/>
    <w:rsid w:val="008E2107"/>
    <w:rsid w:val="008E6A5D"/>
    <w:rsid w:val="008F2A1A"/>
    <w:rsid w:val="008F39B4"/>
    <w:rsid w:val="008F4162"/>
    <w:rsid w:val="008F63A9"/>
    <w:rsid w:val="00903E02"/>
    <w:rsid w:val="0090552C"/>
    <w:rsid w:val="00913175"/>
    <w:rsid w:val="00914F81"/>
    <w:rsid w:val="00916EDB"/>
    <w:rsid w:val="0091758F"/>
    <w:rsid w:val="009224E4"/>
    <w:rsid w:val="009240A6"/>
    <w:rsid w:val="009242EF"/>
    <w:rsid w:val="00925FDF"/>
    <w:rsid w:val="009267EB"/>
    <w:rsid w:val="00930C41"/>
    <w:rsid w:val="00932291"/>
    <w:rsid w:val="0093408E"/>
    <w:rsid w:val="00935B6E"/>
    <w:rsid w:val="0094523D"/>
    <w:rsid w:val="00947CBC"/>
    <w:rsid w:val="009521CC"/>
    <w:rsid w:val="00952DDF"/>
    <w:rsid w:val="00957481"/>
    <w:rsid w:val="00961517"/>
    <w:rsid w:val="0096170E"/>
    <w:rsid w:val="009675F7"/>
    <w:rsid w:val="00976E4A"/>
    <w:rsid w:val="00977E13"/>
    <w:rsid w:val="009841FD"/>
    <w:rsid w:val="009852E6"/>
    <w:rsid w:val="00985F31"/>
    <w:rsid w:val="00992DD6"/>
    <w:rsid w:val="0099575B"/>
    <w:rsid w:val="009B0B9F"/>
    <w:rsid w:val="009B2B6E"/>
    <w:rsid w:val="009B38BE"/>
    <w:rsid w:val="009C0791"/>
    <w:rsid w:val="009C333F"/>
    <w:rsid w:val="009C3D0F"/>
    <w:rsid w:val="009C5989"/>
    <w:rsid w:val="009D2FDC"/>
    <w:rsid w:val="009E16A5"/>
    <w:rsid w:val="009E2913"/>
    <w:rsid w:val="009F35E2"/>
    <w:rsid w:val="009F3E3B"/>
    <w:rsid w:val="009F5BEB"/>
    <w:rsid w:val="009F65F9"/>
    <w:rsid w:val="009F68BA"/>
    <w:rsid w:val="009F7C99"/>
    <w:rsid w:val="00A06277"/>
    <w:rsid w:val="00A079DC"/>
    <w:rsid w:val="00A111C2"/>
    <w:rsid w:val="00A136F5"/>
    <w:rsid w:val="00A16619"/>
    <w:rsid w:val="00A16A92"/>
    <w:rsid w:val="00A2124F"/>
    <w:rsid w:val="00A2411C"/>
    <w:rsid w:val="00A246CA"/>
    <w:rsid w:val="00A27314"/>
    <w:rsid w:val="00A31445"/>
    <w:rsid w:val="00A338E7"/>
    <w:rsid w:val="00A342B2"/>
    <w:rsid w:val="00A343B2"/>
    <w:rsid w:val="00A359A2"/>
    <w:rsid w:val="00A35CAA"/>
    <w:rsid w:val="00A36E7F"/>
    <w:rsid w:val="00A37E9D"/>
    <w:rsid w:val="00A40A20"/>
    <w:rsid w:val="00A41E65"/>
    <w:rsid w:val="00A43E0A"/>
    <w:rsid w:val="00A45450"/>
    <w:rsid w:val="00A52486"/>
    <w:rsid w:val="00A539B1"/>
    <w:rsid w:val="00A55F5B"/>
    <w:rsid w:val="00A60185"/>
    <w:rsid w:val="00A613F4"/>
    <w:rsid w:val="00A64538"/>
    <w:rsid w:val="00A65340"/>
    <w:rsid w:val="00A65959"/>
    <w:rsid w:val="00A661B4"/>
    <w:rsid w:val="00A661EA"/>
    <w:rsid w:val="00A717FA"/>
    <w:rsid w:val="00A7213B"/>
    <w:rsid w:val="00A75310"/>
    <w:rsid w:val="00A80B33"/>
    <w:rsid w:val="00A830E5"/>
    <w:rsid w:val="00A86CDD"/>
    <w:rsid w:val="00A87135"/>
    <w:rsid w:val="00A93280"/>
    <w:rsid w:val="00A961C4"/>
    <w:rsid w:val="00AA2548"/>
    <w:rsid w:val="00AA46D7"/>
    <w:rsid w:val="00AA58C4"/>
    <w:rsid w:val="00AA7469"/>
    <w:rsid w:val="00AB0813"/>
    <w:rsid w:val="00AB11C8"/>
    <w:rsid w:val="00AB5B50"/>
    <w:rsid w:val="00AB60CF"/>
    <w:rsid w:val="00AC08A8"/>
    <w:rsid w:val="00AC4900"/>
    <w:rsid w:val="00AC73E5"/>
    <w:rsid w:val="00AD24E8"/>
    <w:rsid w:val="00AD4559"/>
    <w:rsid w:val="00AD56C8"/>
    <w:rsid w:val="00AD58F2"/>
    <w:rsid w:val="00AD5BA0"/>
    <w:rsid w:val="00AD7B28"/>
    <w:rsid w:val="00AE02CA"/>
    <w:rsid w:val="00AE20A8"/>
    <w:rsid w:val="00AE2711"/>
    <w:rsid w:val="00AE3900"/>
    <w:rsid w:val="00AF6BBB"/>
    <w:rsid w:val="00B00313"/>
    <w:rsid w:val="00B00493"/>
    <w:rsid w:val="00B01599"/>
    <w:rsid w:val="00B0197B"/>
    <w:rsid w:val="00B0529F"/>
    <w:rsid w:val="00B10470"/>
    <w:rsid w:val="00B1418B"/>
    <w:rsid w:val="00B16119"/>
    <w:rsid w:val="00B21195"/>
    <w:rsid w:val="00B24B22"/>
    <w:rsid w:val="00B25310"/>
    <w:rsid w:val="00B3135E"/>
    <w:rsid w:val="00B32F8F"/>
    <w:rsid w:val="00B37075"/>
    <w:rsid w:val="00B37C14"/>
    <w:rsid w:val="00B404DC"/>
    <w:rsid w:val="00B41035"/>
    <w:rsid w:val="00B4799B"/>
    <w:rsid w:val="00B54DE9"/>
    <w:rsid w:val="00B553EC"/>
    <w:rsid w:val="00B55E3D"/>
    <w:rsid w:val="00B62B98"/>
    <w:rsid w:val="00B632CF"/>
    <w:rsid w:val="00B644BA"/>
    <w:rsid w:val="00B65E27"/>
    <w:rsid w:val="00B67D8D"/>
    <w:rsid w:val="00B707D9"/>
    <w:rsid w:val="00B70ED4"/>
    <w:rsid w:val="00B770A2"/>
    <w:rsid w:val="00B8023B"/>
    <w:rsid w:val="00B807C8"/>
    <w:rsid w:val="00B8309E"/>
    <w:rsid w:val="00B93DD0"/>
    <w:rsid w:val="00B97265"/>
    <w:rsid w:val="00B97732"/>
    <w:rsid w:val="00B97D89"/>
    <w:rsid w:val="00BA65A8"/>
    <w:rsid w:val="00BA6D19"/>
    <w:rsid w:val="00BA7461"/>
    <w:rsid w:val="00BA7DA9"/>
    <w:rsid w:val="00BC4215"/>
    <w:rsid w:val="00BD0E9E"/>
    <w:rsid w:val="00BD1A6F"/>
    <w:rsid w:val="00BD5F54"/>
    <w:rsid w:val="00BE033E"/>
    <w:rsid w:val="00BE1E78"/>
    <w:rsid w:val="00BE3401"/>
    <w:rsid w:val="00BE4871"/>
    <w:rsid w:val="00BE60BC"/>
    <w:rsid w:val="00BE6D3C"/>
    <w:rsid w:val="00BE7852"/>
    <w:rsid w:val="00BF2520"/>
    <w:rsid w:val="00BF3F7C"/>
    <w:rsid w:val="00BF671B"/>
    <w:rsid w:val="00BF7CEE"/>
    <w:rsid w:val="00C01F2C"/>
    <w:rsid w:val="00C03880"/>
    <w:rsid w:val="00C07E9C"/>
    <w:rsid w:val="00C10879"/>
    <w:rsid w:val="00C132E3"/>
    <w:rsid w:val="00C135CF"/>
    <w:rsid w:val="00C16721"/>
    <w:rsid w:val="00C173B0"/>
    <w:rsid w:val="00C17F88"/>
    <w:rsid w:val="00C229F2"/>
    <w:rsid w:val="00C22E15"/>
    <w:rsid w:val="00C2683F"/>
    <w:rsid w:val="00C269D8"/>
    <w:rsid w:val="00C3184D"/>
    <w:rsid w:val="00C36534"/>
    <w:rsid w:val="00C37779"/>
    <w:rsid w:val="00C4714E"/>
    <w:rsid w:val="00C5256D"/>
    <w:rsid w:val="00C5366B"/>
    <w:rsid w:val="00C547F1"/>
    <w:rsid w:val="00C5504F"/>
    <w:rsid w:val="00C63376"/>
    <w:rsid w:val="00C634DE"/>
    <w:rsid w:val="00C66861"/>
    <w:rsid w:val="00C748E5"/>
    <w:rsid w:val="00C74F97"/>
    <w:rsid w:val="00C8276E"/>
    <w:rsid w:val="00C842AC"/>
    <w:rsid w:val="00C85444"/>
    <w:rsid w:val="00C854A4"/>
    <w:rsid w:val="00C865F9"/>
    <w:rsid w:val="00C86DC8"/>
    <w:rsid w:val="00C87191"/>
    <w:rsid w:val="00CA0723"/>
    <w:rsid w:val="00CA1D10"/>
    <w:rsid w:val="00CA23D2"/>
    <w:rsid w:val="00CA61AB"/>
    <w:rsid w:val="00CB1690"/>
    <w:rsid w:val="00CB66D3"/>
    <w:rsid w:val="00CB6FB4"/>
    <w:rsid w:val="00CB734F"/>
    <w:rsid w:val="00CC1AE6"/>
    <w:rsid w:val="00CC4365"/>
    <w:rsid w:val="00CD0AA9"/>
    <w:rsid w:val="00CD11B0"/>
    <w:rsid w:val="00CD34A9"/>
    <w:rsid w:val="00CD3A95"/>
    <w:rsid w:val="00CD78DB"/>
    <w:rsid w:val="00CE06E7"/>
    <w:rsid w:val="00CE4818"/>
    <w:rsid w:val="00CE71C2"/>
    <w:rsid w:val="00CF35E1"/>
    <w:rsid w:val="00CF3FCD"/>
    <w:rsid w:val="00CF42D5"/>
    <w:rsid w:val="00CF4EDA"/>
    <w:rsid w:val="00CF598F"/>
    <w:rsid w:val="00CF59A0"/>
    <w:rsid w:val="00CF7DEA"/>
    <w:rsid w:val="00D021CB"/>
    <w:rsid w:val="00D02E3A"/>
    <w:rsid w:val="00D0562E"/>
    <w:rsid w:val="00D10F1A"/>
    <w:rsid w:val="00D116F8"/>
    <w:rsid w:val="00D11EE7"/>
    <w:rsid w:val="00D12A52"/>
    <w:rsid w:val="00D15410"/>
    <w:rsid w:val="00D17596"/>
    <w:rsid w:val="00D2323D"/>
    <w:rsid w:val="00D26D3A"/>
    <w:rsid w:val="00D30DD0"/>
    <w:rsid w:val="00D312A7"/>
    <w:rsid w:val="00D32889"/>
    <w:rsid w:val="00D330FA"/>
    <w:rsid w:val="00D34DA3"/>
    <w:rsid w:val="00D3508B"/>
    <w:rsid w:val="00D4099C"/>
    <w:rsid w:val="00D40F87"/>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5E55"/>
    <w:rsid w:val="00D86BA5"/>
    <w:rsid w:val="00D873D1"/>
    <w:rsid w:val="00D93C39"/>
    <w:rsid w:val="00DA1B12"/>
    <w:rsid w:val="00DA54C9"/>
    <w:rsid w:val="00DA6739"/>
    <w:rsid w:val="00DA6CAE"/>
    <w:rsid w:val="00DB1A9E"/>
    <w:rsid w:val="00DB31D6"/>
    <w:rsid w:val="00DB4005"/>
    <w:rsid w:val="00DC34EB"/>
    <w:rsid w:val="00DC4893"/>
    <w:rsid w:val="00DC781A"/>
    <w:rsid w:val="00DD6DE6"/>
    <w:rsid w:val="00DE098A"/>
    <w:rsid w:val="00DE633A"/>
    <w:rsid w:val="00DF1E5B"/>
    <w:rsid w:val="00DF2275"/>
    <w:rsid w:val="00DF3F5E"/>
    <w:rsid w:val="00DF7421"/>
    <w:rsid w:val="00DF7BCD"/>
    <w:rsid w:val="00E0596E"/>
    <w:rsid w:val="00E06F66"/>
    <w:rsid w:val="00E07B9A"/>
    <w:rsid w:val="00E1007B"/>
    <w:rsid w:val="00E138B9"/>
    <w:rsid w:val="00E17090"/>
    <w:rsid w:val="00E216DA"/>
    <w:rsid w:val="00E22AD5"/>
    <w:rsid w:val="00E26E9D"/>
    <w:rsid w:val="00E33C1C"/>
    <w:rsid w:val="00E356E5"/>
    <w:rsid w:val="00E35F2D"/>
    <w:rsid w:val="00E36F81"/>
    <w:rsid w:val="00E44648"/>
    <w:rsid w:val="00E45250"/>
    <w:rsid w:val="00E452FA"/>
    <w:rsid w:val="00E45765"/>
    <w:rsid w:val="00E45E10"/>
    <w:rsid w:val="00E5098C"/>
    <w:rsid w:val="00E5418E"/>
    <w:rsid w:val="00E54E05"/>
    <w:rsid w:val="00E55C8A"/>
    <w:rsid w:val="00E57A1F"/>
    <w:rsid w:val="00E60213"/>
    <w:rsid w:val="00E63FF2"/>
    <w:rsid w:val="00E72014"/>
    <w:rsid w:val="00E73D8A"/>
    <w:rsid w:val="00E74D29"/>
    <w:rsid w:val="00E8150C"/>
    <w:rsid w:val="00E83C74"/>
    <w:rsid w:val="00E83CEE"/>
    <w:rsid w:val="00E8776C"/>
    <w:rsid w:val="00E912F9"/>
    <w:rsid w:val="00E91736"/>
    <w:rsid w:val="00E9226D"/>
    <w:rsid w:val="00E923D6"/>
    <w:rsid w:val="00E94E48"/>
    <w:rsid w:val="00E97334"/>
    <w:rsid w:val="00E9757A"/>
    <w:rsid w:val="00EA1318"/>
    <w:rsid w:val="00EA2C7B"/>
    <w:rsid w:val="00EA337A"/>
    <w:rsid w:val="00EA3647"/>
    <w:rsid w:val="00EA5941"/>
    <w:rsid w:val="00EA6BA4"/>
    <w:rsid w:val="00EB08DD"/>
    <w:rsid w:val="00EB1578"/>
    <w:rsid w:val="00EB1594"/>
    <w:rsid w:val="00EB21B0"/>
    <w:rsid w:val="00EB4974"/>
    <w:rsid w:val="00EB4DFB"/>
    <w:rsid w:val="00EB60CE"/>
    <w:rsid w:val="00EB60F9"/>
    <w:rsid w:val="00EB71D9"/>
    <w:rsid w:val="00EB794A"/>
    <w:rsid w:val="00EB7D53"/>
    <w:rsid w:val="00EC50D6"/>
    <w:rsid w:val="00ED148E"/>
    <w:rsid w:val="00ED79B6"/>
    <w:rsid w:val="00EE1E28"/>
    <w:rsid w:val="00EE25B7"/>
    <w:rsid w:val="00EE3146"/>
    <w:rsid w:val="00EE765D"/>
    <w:rsid w:val="00EF0409"/>
    <w:rsid w:val="00EF317D"/>
    <w:rsid w:val="00EF50BB"/>
    <w:rsid w:val="00EF746E"/>
    <w:rsid w:val="00EF7DAD"/>
    <w:rsid w:val="00F00192"/>
    <w:rsid w:val="00F01DF6"/>
    <w:rsid w:val="00F0340D"/>
    <w:rsid w:val="00F04ADC"/>
    <w:rsid w:val="00F177FE"/>
    <w:rsid w:val="00F216AF"/>
    <w:rsid w:val="00F21E88"/>
    <w:rsid w:val="00F23756"/>
    <w:rsid w:val="00F2523A"/>
    <w:rsid w:val="00F25FFA"/>
    <w:rsid w:val="00F27207"/>
    <w:rsid w:val="00F30514"/>
    <w:rsid w:val="00F310D2"/>
    <w:rsid w:val="00F31790"/>
    <w:rsid w:val="00F36F3D"/>
    <w:rsid w:val="00F45097"/>
    <w:rsid w:val="00F45C5B"/>
    <w:rsid w:val="00F477BD"/>
    <w:rsid w:val="00F52791"/>
    <w:rsid w:val="00F53491"/>
    <w:rsid w:val="00F60DC0"/>
    <w:rsid w:val="00F61C26"/>
    <w:rsid w:val="00F6414F"/>
    <w:rsid w:val="00F6587C"/>
    <w:rsid w:val="00F65A1C"/>
    <w:rsid w:val="00F66F50"/>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457F"/>
    <w:rsid w:val="00FA61AA"/>
    <w:rsid w:val="00FA62B5"/>
    <w:rsid w:val="00FA6499"/>
    <w:rsid w:val="00FA69A4"/>
    <w:rsid w:val="00FB1279"/>
    <w:rsid w:val="00FB1495"/>
    <w:rsid w:val="00FB1BDC"/>
    <w:rsid w:val="00FB3895"/>
    <w:rsid w:val="00FB66AF"/>
    <w:rsid w:val="00FC15C5"/>
    <w:rsid w:val="00FC2047"/>
    <w:rsid w:val="00FC6254"/>
    <w:rsid w:val="00FC779B"/>
    <w:rsid w:val="00FD1694"/>
    <w:rsid w:val="00FD2FE0"/>
    <w:rsid w:val="00FD61C4"/>
    <w:rsid w:val="00FD7636"/>
    <w:rsid w:val="00FE3229"/>
    <w:rsid w:val="00FE74C3"/>
    <w:rsid w:val="00FF215C"/>
    <w:rsid w:val="00FF31E2"/>
    <w:rsid w:val="00FF49E8"/>
    <w:rsid w:val="00FF6223"/>
    <w:rsid w:val="00FF6349"/>
    <w:rsid w:val="00FF639D"/>
    <w:rsid w:val="00FF672F"/>
    <w:rsid w:val="00FF6C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4974"/>
    <w:pPr>
      <w:tabs>
        <w:tab w:val="center" w:pos="4513"/>
        <w:tab w:val="right" w:pos="9026"/>
      </w:tabs>
      <w:jc w:val="center"/>
    </w:pPr>
    <w:rPr>
      <w:b/>
    </w:rPr>
  </w:style>
  <w:style w:type="character" w:customStyle="1" w:styleId="HeaderChar">
    <w:name w:val="Header Char"/>
    <w:basedOn w:val="DefaultParagraphFont"/>
    <w:link w:val="Header"/>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091608"/>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rsid w:val="00C229F2"/>
    <w:rPr>
      <w:color w:val="808080"/>
    </w:rPr>
  </w:style>
  <w:style w:type="paragraph" w:customStyle="1" w:styleId="Bullet">
    <w:name w:val="Bullet"/>
    <w:basedOn w:val="Normal"/>
    <w:rsid w:val="006C356D"/>
    <w:pPr>
      <w:numPr>
        <w:numId w:val="8"/>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8"/>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8"/>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paragraph" w:customStyle="1" w:styleId="ShortT">
    <w:name w:val="ShortT"/>
    <w:basedOn w:val="Normal"/>
    <w:next w:val="Normal"/>
    <w:qFormat/>
    <w:rsid w:val="009841FD"/>
    <w:pPr>
      <w:spacing w:after="0" w:line="240" w:lineRule="auto"/>
    </w:pPr>
    <w:rPr>
      <w:rFonts w:ascii="Times New Roman" w:eastAsia="Times New Roman" w:hAnsi="Times New Roman"/>
      <w:b/>
      <w:sz w:val="40"/>
      <w:szCs w:val="20"/>
      <w:lang w:eastAsia="en-AU"/>
    </w:rPr>
  </w:style>
  <w:style w:type="paragraph" w:customStyle="1" w:styleId="ActHead5">
    <w:name w:val="ActHead 5"/>
    <w:aliases w:val="s"/>
    <w:basedOn w:val="Normal"/>
    <w:next w:val="subsection"/>
    <w:qFormat/>
    <w:rsid w:val="009841FD"/>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ActHead6">
    <w:name w:val="ActHead 6"/>
    <w:aliases w:val="as"/>
    <w:basedOn w:val="Normal"/>
    <w:next w:val="Normal"/>
    <w:qFormat/>
    <w:rsid w:val="009841FD"/>
    <w:pPr>
      <w:keepNext/>
      <w:keepLines/>
      <w:spacing w:after="0" w:line="240" w:lineRule="auto"/>
      <w:ind w:left="1134" w:hanging="1134"/>
      <w:outlineLvl w:val="5"/>
    </w:pPr>
    <w:rPr>
      <w:rFonts w:eastAsia="Times New Roman"/>
      <w:b/>
      <w:kern w:val="28"/>
      <w:sz w:val="32"/>
      <w:szCs w:val="20"/>
      <w:lang w:eastAsia="en-AU"/>
    </w:rPr>
  </w:style>
  <w:style w:type="paragraph" w:customStyle="1" w:styleId="ActHead9">
    <w:name w:val="ActHead 9"/>
    <w:aliases w:val="aat"/>
    <w:basedOn w:val="Normal"/>
    <w:next w:val="ItemHead"/>
    <w:qFormat/>
    <w:rsid w:val="009841FD"/>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character" w:customStyle="1" w:styleId="CharAmPartNo">
    <w:name w:val="CharAmPartNo"/>
    <w:basedOn w:val="DefaultParagraphFont"/>
    <w:qFormat/>
    <w:rsid w:val="009841FD"/>
  </w:style>
  <w:style w:type="character" w:customStyle="1" w:styleId="CharAmPartText">
    <w:name w:val="CharAmPartText"/>
    <w:basedOn w:val="DefaultParagraphFont"/>
    <w:qFormat/>
    <w:rsid w:val="009841FD"/>
  </w:style>
  <w:style w:type="character" w:customStyle="1" w:styleId="CharAmSchNo">
    <w:name w:val="CharAmSchNo"/>
    <w:basedOn w:val="DefaultParagraphFont"/>
    <w:qFormat/>
    <w:rsid w:val="009841FD"/>
  </w:style>
  <w:style w:type="character" w:customStyle="1" w:styleId="CharAmSchText">
    <w:name w:val="CharAmSchText"/>
    <w:basedOn w:val="DefaultParagraphFont"/>
    <w:qFormat/>
    <w:rsid w:val="009841FD"/>
  </w:style>
  <w:style w:type="character" w:customStyle="1" w:styleId="CharSectno">
    <w:name w:val="CharSectno"/>
    <w:basedOn w:val="DefaultParagraphFont"/>
    <w:qFormat/>
    <w:rsid w:val="009841FD"/>
  </w:style>
  <w:style w:type="paragraph" w:customStyle="1" w:styleId="subsection">
    <w:name w:val="subsection"/>
    <w:aliases w:val="Subsection,ss"/>
    <w:basedOn w:val="Normal"/>
    <w:link w:val="subsectionChar"/>
    <w:rsid w:val="009841FD"/>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Item">
    <w:name w:val="Item"/>
    <w:aliases w:val="i"/>
    <w:basedOn w:val="Normal"/>
    <w:next w:val="ItemHead"/>
    <w:rsid w:val="009841FD"/>
    <w:pPr>
      <w:keepLines/>
      <w:spacing w:before="80" w:after="0" w:line="240" w:lineRule="auto"/>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9841FD"/>
    <w:pPr>
      <w:keepNext/>
      <w:keepLines/>
      <w:spacing w:before="220" w:after="0" w:line="240" w:lineRule="auto"/>
      <w:ind w:left="709" w:hanging="709"/>
    </w:pPr>
    <w:rPr>
      <w:rFonts w:eastAsia="Times New Roman"/>
      <w:b/>
      <w:kern w:val="28"/>
      <w:sz w:val="24"/>
      <w:szCs w:val="20"/>
      <w:lang w:eastAsia="en-AU"/>
    </w:rPr>
  </w:style>
  <w:style w:type="paragraph" w:customStyle="1" w:styleId="paragraph">
    <w:name w:val="paragraph"/>
    <w:aliases w:val="a"/>
    <w:basedOn w:val="Normal"/>
    <w:rsid w:val="009841FD"/>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Tabletext0">
    <w:name w:val="Tabletext"/>
    <w:aliases w:val="tt"/>
    <w:basedOn w:val="Normal"/>
    <w:rsid w:val="009841FD"/>
    <w:pPr>
      <w:spacing w:before="60" w:after="0" w:line="240" w:lineRule="atLeast"/>
    </w:pPr>
    <w:rPr>
      <w:rFonts w:ascii="Times New Roman" w:eastAsia="Times New Roman" w:hAnsi="Times New Roman"/>
      <w:sz w:val="20"/>
      <w:szCs w:val="20"/>
      <w:lang w:eastAsia="en-AU"/>
    </w:rPr>
  </w:style>
  <w:style w:type="paragraph" w:styleId="TOC5">
    <w:name w:val="toc 5"/>
    <w:basedOn w:val="Normal"/>
    <w:next w:val="Normal"/>
    <w:uiPriority w:val="39"/>
    <w:unhideWhenUsed/>
    <w:rsid w:val="009841FD"/>
    <w:pPr>
      <w:keepLines/>
      <w:tabs>
        <w:tab w:val="right" w:leader="dot" w:pos="8278"/>
      </w:tabs>
      <w:spacing w:before="40" w:after="0" w:line="240" w:lineRule="auto"/>
      <w:ind w:left="2098" w:right="567" w:hanging="680"/>
    </w:pPr>
    <w:rPr>
      <w:rFonts w:ascii="Times New Roman" w:eastAsia="Times New Roman" w:hAnsi="Times New Roman"/>
      <w:kern w:val="28"/>
      <w:sz w:val="18"/>
      <w:szCs w:val="20"/>
      <w:lang w:eastAsia="en-AU"/>
    </w:rPr>
  </w:style>
  <w:style w:type="paragraph" w:styleId="TOC6">
    <w:name w:val="toc 6"/>
    <w:basedOn w:val="Normal"/>
    <w:next w:val="Normal"/>
    <w:uiPriority w:val="39"/>
    <w:unhideWhenUsed/>
    <w:rsid w:val="009841FD"/>
    <w:pPr>
      <w:keepLines/>
      <w:tabs>
        <w:tab w:val="right" w:pos="8278"/>
      </w:tabs>
      <w:spacing w:before="120" w:after="0" w:line="240" w:lineRule="auto"/>
      <w:ind w:left="1344" w:right="567" w:hanging="1344"/>
    </w:pPr>
    <w:rPr>
      <w:rFonts w:ascii="Times New Roman" w:eastAsia="Times New Roman" w:hAnsi="Times New Roman"/>
      <w:b/>
      <w:kern w:val="28"/>
      <w:sz w:val="24"/>
      <w:szCs w:val="20"/>
      <w:lang w:eastAsia="en-AU"/>
    </w:rPr>
  </w:style>
  <w:style w:type="paragraph" w:styleId="TOC9">
    <w:name w:val="toc 9"/>
    <w:basedOn w:val="Normal"/>
    <w:next w:val="Normal"/>
    <w:uiPriority w:val="39"/>
    <w:unhideWhenUsed/>
    <w:rsid w:val="009841FD"/>
    <w:pPr>
      <w:keepLines/>
      <w:tabs>
        <w:tab w:val="right" w:pos="8278"/>
      </w:tabs>
      <w:spacing w:before="80" w:after="0" w:line="240" w:lineRule="auto"/>
      <w:ind w:left="851" w:right="567"/>
    </w:pPr>
    <w:rPr>
      <w:rFonts w:ascii="Times New Roman" w:eastAsia="Times New Roman" w:hAnsi="Times New Roman"/>
      <w:i/>
      <w:kern w:val="28"/>
      <w:sz w:val="20"/>
      <w:szCs w:val="20"/>
      <w:lang w:eastAsia="en-AU"/>
    </w:rPr>
  </w:style>
  <w:style w:type="paragraph" w:customStyle="1" w:styleId="SignCoverPageEnd">
    <w:name w:val="SignCoverPageEnd"/>
    <w:basedOn w:val="Normal"/>
    <w:next w:val="Normal"/>
    <w:rsid w:val="009841FD"/>
    <w:pPr>
      <w:keepNext/>
      <w:pBdr>
        <w:bottom w:val="single" w:sz="4" w:space="12" w:color="auto"/>
      </w:pBdr>
      <w:tabs>
        <w:tab w:val="left" w:pos="3402"/>
      </w:tabs>
      <w:spacing w:after="0" w:line="300" w:lineRule="atLeast"/>
      <w:ind w:right="397"/>
    </w:pPr>
    <w:rPr>
      <w:rFonts w:ascii="Times New Roman" w:eastAsia="Times New Roman" w:hAnsi="Times New Roman"/>
      <w:szCs w:val="20"/>
      <w:lang w:eastAsia="en-AU"/>
    </w:rPr>
  </w:style>
  <w:style w:type="paragraph" w:customStyle="1" w:styleId="SignCoverPageStart">
    <w:name w:val="SignCoverPageStart"/>
    <w:basedOn w:val="Normal"/>
    <w:next w:val="Normal"/>
    <w:rsid w:val="009841FD"/>
    <w:pPr>
      <w:pBdr>
        <w:top w:val="single" w:sz="4" w:space="1" w:color="auto"/>
      </w:pBdr>
      <w:spacing w:before="360" w:after="0" w:line="260" w:lineRule="atLeast"/>
      <w:ind w:right="397"/>
      <w:jc w:val="both"/>
    </w:pPr>
    <w:rPr>
      <w:rFonts w:ascii="Times New Roman" w:eastAsia="Times New Roman" w:hAnsi="Times New Roman"/>
      <w:szCs w:val="20"/>
      <w:lang w:eastAsia="en-AU"/>
    </w:rPr>
  </w:style>
  <w:style w:type="paragraph" w:customStyle="1" w:styleId="notetext">
    <w:name w:val="note(text)"/>
    <w:aliases w:val="n"/>
    <w:basedOn w:val="Normal"/>
    <w:link w:val="notetextChar"/>
    <w:rsid w:val="009841FD"/>
    <w:pPr>
      <w:spacing w:before="122" w:after="0" w:line="240" w:lineRule="auto"/>
      <w:ind w:left="1985" w:hanging="851"/>
    </w:pPr>
    <w:rPr>
      <w:rFonts w:ascii="Times New Roman" w:eastAsia="Times New Roman" w:hAnsi="Times New Roman"/>
      <w:sz w:val="18"/>
      <w:szCs w:val="20"/>
      <w:lang w:eastAsia="en-AU"/>
    </w:rPr>
  </w:style>
  <w:style w:type="paragraph" w:customStyle="1" w:styleId="TableHeading">
    <w:name w:val="TableHeading"/>
    <w:aliases w:val="th"/>
    <w:basedOn w:val="Normal"/>
    <w:next w:val="Tabletext0"/>
    <w:rsid w:val="009841FD"/>
    <w:pPr>
      <w:keepNext/>
      <w:spacing w:before="60" w:after="0" w:line="240" w:lineRule="atLeast"/>
    </w:pPr>
    <w:rPr>
      <w:rFonts w:ascii="Times New Roman" w:eastAsia="Times New Roman" w:hAnsi="Times New Roman"/>
      <w:b/>
      <w:sz w:val="20"/>
      <w:szCs w:val="20"/>
      <w:lang w:eastAsia="en-AU"/>
    </w:rPr>
  </w:style>
  <w:style w:type="character" w:customStyle="1" w:styleId="subsectionChar">
    <w:name w:val="subsection Char"/>
    <w:aliases w:val="ss Char"/>
    <w:basedOn w:val="DefaultParagraphFont"/>
    <w:link w:val="subsection"/>
    <w:locked/>
    <w:rsid w:val="009841FD"/>
    <w:rPr>
      <w:rFonts w:ascii="Times New Roman" w:eastAsia="Times New Roman" w:hAnsi="Times New Roman"/>
      <w:szCs w:val="20"/>
    </w:rPr>
  </w:style>
  <w:style w:type="character" w:customStyle="1" w:styleId="notetextChar">
    <w:name w:val="note(text) Char"/>
    <w:aliases w:val="n Char"/>
    <w:basedOn w:val="DefaultParagraphFont"/>
    <w:link w:val="notetext"/>
    <w:rsid w:val="009841FD"/>
    <w:rPr>
      <w:rFonts w:ascii="Times New Roman" w:eastAsia="Times New Roman" w:hAnsi="Times New Roman"/>
      <w:sz w:val="18"/>
      <w:szCs w:val="20"/>
    </w:rPr>
  </w:style>
  <w:style w:type="paragraph" w:styleId="TOC2">
    <w:name w:val="toc 2"/>
    <w:basedOn w:val="Normal"/>
    <w:next w:val="Normal"/>
    <w:autoRedefine/>
    <w:rsid w:val="00805BCE"/>
    <w:pPr>
      <w:ind w:left="240"/>
    </w:pPr>
  </w:style>
  <w:style w:type="character" w:styleId="CommentReference">
    <w:name w:val="annotation reference"/>
    <w:rsid w:val="00AD7B28"/>
    <w:rPr>
      <w:sz w:val="16"/>
      <w:szCs w:val="16"/>
    </w:rPr>
  </w:style>
  <w:style w:type="paragraph" w:styleId="CommentSubject">
    <w:name w:val="annotation subject"/>
    <w:basedOn w:val="CommentText"/>
    <w:next w:val="CommentText"/>
    <w:link w:val="CommentSubjectChar"/>
    <w:uiPriority w:val="99"/>
    <w:semiHidden/>
    <w:unhideWhenUsed/>
    <w:rsid w:val="006B2A07"/>
    <w:pPr>
      <w:spacing w:after="200"/>
    </w:pPr>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6B2A07"/>
    <w:rPr>
      <w:rFonts w:ascii="Times New Roman" w:eastAsia="Times New Roman" w:hAnsi="Times New Roman"/>
      <w:b/>
      <w:bCs/>
      <w:sz w:val="20"/>
      <w:szCs w:val="20"/>
      <w:lang w:eastAsia="en-US"/>
    </w:rPr>
  </w:style>
  <w:style w:type="paragraph" w:styleId="Revision">
    <w:name w:val="Revision"/>
    <w:hidden/>
    <w:uiPriority w:val="99"/>
    <w:semiHidden/>
    <w:rsid w:val="00D12A5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uiPriority="11"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4974"/>
    <w:pPr>
      <w:tabs>
        <w:tab w:val="center" w:pos="4513"/>
        <w:tab w:val="right" w:pos="9026"/>
      </w:tabs>
      <w:jc w:val="center"/>
    </w:pPr>
    <w:rPr>
      <w:b/>
    </w:rPr>
  </w:style>
  <w:style w:type="character" w:customStyle="1" w:styleId="HeaderChar">
    <w:name w:val="Header Char"/>
    <w:basedOn w:val="DefaultParagraphFont"/>
    <w:link w:val="Header"/>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091608"/>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rsid w:val="00C229F2"/>
    <w:rPr>
      <w:color w:val="808080"/>
    </w:rPr>
  </w:style>
  <w:style w:type="paragraph" w:customStyle="1" w:styleId="Bullet">
    <w:name w:val="Bullet"/>
    <w:basedOn w:val="Normal"/>
    <w:rsid w:val="006C356D"/>
    <w:pPr>
      <w:numPr>
        <w:numId w:val="8"/>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8"/>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8"/>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paragraph" w:customStyle="1" w:styleId="ShortT">
    <w:name w:val="ShortT"/>
    <w:basedOn w:val="Normal"/>
    <w:next w:val="Normal"/>
    <w:qFormat/>
    <w:rsid w:val="009841FD"/>
    <w:pPr>
      <w:spacing w:after="0" w:line="240" w:lineRule="auto"/>
    </w:pPr>
    <w:rPr>
      <w:rFonts w:ascii="Times New Roman" w:eastAsia="Times New Roman" w:hAnsi="Times New Roman"/>
      <w:b/>
      <w:sz w:val="40"/>
      <w:szCs w:val="20"/>
      <w:lang w:eastAsia="en-AU"/>
    </w:rPr>
  </w:style>
  <w:style w:type="paragraph" w:customStyle="1" w:styleId="ActHead5">
    <w:name w:val="ActHead 5"/>
    <w:aliases w:val="s"/>
    <w:basedOn w:val="Normal"/>
    <w:next w:val="subsection"/>
    <w:qFormat/>
    <w:rsid w:val="009841FD"/>
    <w:pPr>
      <w:keepNext/>
      <w:keepLines/>
      <w:spacing w:before="280" w:after="0" w:line="240" w:lineRule="auto"/>
      <w:ind w:left="1134" w:hanging="1134"/>
      <w:outlineLvl w:val="4"/>
    </w:pPr>
    <w:rPr>
      <w:rFonts w:ascii="Times New Roman" w:eastAsia="Times New Roman" w:hAnsi="Times New Roman"/>
      <w:b/>
      <w:kern w:val="28"/>
      <w:sz w:val="24"/>
      <w:szCs w:val="20"/>
      <w:lang w:eastAsia="en-AU"/>
    </w:rPr>
  </w:style>
  <w:style w:type="paragraph" w:customStyle="1" w:styleId="ActHead6">
    <w:name w:val="ActHead 6"/>
    <w:aliases w:val="as"/>
    <w:basedOn w:val="Normal"/>
    <w:next w:val="Normal"/>
    <w:qFormat/>
    <w:rsid w:val="009841FD"/>
    <w:pPr>
      <w:keepNext/>
      <w:keepLines/>
      <w:spacing w:after="0" w:line="240" w:lineRule="auto"/>
      <w:ind w:left="1134" w:hanging="1134"/>
      <w:outlineLvl w:val="5"/>
    </w:pPr>
    <w:rPr>
      <w:rFonts w:eastAsia="Times New Roman"/>
      <w:b/>
      <w:kern w:val="28"/>
      <w:sz w:val="32"/>
      <w:szCs w:val="20"/>
      <w:lang w:eastAsia="en-AU"/>
    </w:rPr>
  </w:style>
  <w:style w:type="paragraph" w:customStyle="1" w:styleId="ActHead9">
    <w:name w:val="ActHead 9"/>
    <w:aliases w:val="aat"/>
    <w:basedOn w:val="Normal"/>
    <w:next w:val="ItemHead"/>
    <w:qFormat/>
    <w:rsid w:val="009841FD"/>
    <w:pPr>
      <w:keepNext/>
      <w:keepLines/>
      <w:spacing w:before="280" w:after="0" w:line="240" w:lineRule="auto"/>
      <w:ind w:left="1134" w:hanging="1134"/>
      <w:outlineLvl w:val="8"/>
    </w:pPr>
    <w:rPr>
      <w:rFonts w:ascii="Times New Roman" w:eastAsia="Times New Roman" w:hAnsi="Times New Roman"/>
      <w:b/>
      <w:i/>
      <w:kern w:val="28"/>
      <w:sz w:val="28"/>
      <w:szCs w:val="20"/>
      <w:lang w:eastAsia="en-AU"/>
    </w:rPr>
  </w:style>
  <w:style w:type="character" w:customStyle="1" w:styleId="CharAmPartNo">
    <w:name w:val="CharAmPartNo"/>
    <w:basedOn w:val="DefaultParagraphFont"/>
    <w:qFormat/>
    <w:rsid w:val="009841FD"/>
  </w:style>
  <w:style w:type="character" w:customStyle="1" w:styleId="CharAmPartText">
    <w:name w:val="CharAmPartText"/>
    <w:basedOn w:val="DefaultParagraphFont"/>
    <w:qFormat/>
    <w:rsid w:val="009841FD"/>
  </w:style>
  <w:style w:type="character" w:customStyle="1" w:styleId="CharAmSchNo">
    <w:name w:val="CharAmSchNo"/>
    <w:basedOn w:val="DefaultParagraphFont"/>
    <w:qFormat/>
    <w:rsid w:val="009841FD"/>
  </w:style>
  <w:style w:type="character" w:customStyle="1" w:styleId="CharAmSchText">
    <w:name w:val="CharAmSchText"/>
    <w:basedOn w:val="DefaultParagraphFont"/>
    <w:qFormat/>
    <w:rsid w:val="009841FD"/>
  </w:style>
  <w:style w:type="character" w:customStyle="1" w:styleId="CharSectno">
    <w:name w:val="CharSectno"/>
    <w:basedOn w:val="DefaultParagraphFont"/>
    <w:qFormat/>
    <w:rsid w:val="009841FD"/>
  </w:style>
  <w:style w:type="paragraph" w:customStyle="1" w:styleId="subsection">
    <w:name w:val="subsection"/>
    <w:aliases w:val="Subsection,ss"/>
    <w:basedOn w:val="Normal"/>
    <w:link w:val="subsectionChar"/>
    <w:rsid w:val="009841FD"/>
    <w:pPr>
      <w:tabs>
        <w:tab w:val="right" w:pos="1021"/>
      </w:tabs>
      <w:spacing w:before="180" w:after="0" w:line="240" w:lineRule="auto"/>
      <w:ind w:left="1134" w:hanging="1134"/>
    </w:pPr>
    <w:rPr>
      <w:rFonts w:ascii="Times New Roman" w:eastAsia="Times New Roman" w:hAnsi="Times New Roman"/>
      <w:szCs w:val="20"/>
      <w:lang w:eastAsia="en-AU"/>
    </w:rPr>
  </w:style>
  <w:style w:type="paragraph" w:customStyle="1" w:styleId="Item">
    <w:name w:val="Item"/>
    <w:aliases w:val="i"/>
    <w:basedOn w:val="Normal"/>
    <w:next w:val="ItemHead"/>
    <w:rsid w:val="009841FD"/>
    <w:pPr>
      <w:keepLines/>
      <w:spacing w:before="80" w:after="0" w:line="240" w:lineRule="auto"/>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9841FD"/>
    <w:pPr>
      <w:keepNext/>
      <w:keepLines/>
      <w:spacing w:before="220" w:after="0" w:line="240" w:lineRule="auto"/>
      <w:ind w:left="709" w:hanging="709"/>
    </w:pPr>
    <w:rPr>
      <w:rFonts w:eastAsia="Times New Roman"/>
      <w:b/>
      <w:kern w:val="28"/>
      <w:sz w:val="24"/>
      <w:szCs w:val="20"/>
      <w:lang w:eastAsia="en-AU"/>
    </w:rPr>
  </w:style>
  <w:style w:type="paragraph" w:customStyle="1" w:styleId="paragraph">
    <w:name w:val="paragraph"/>
    <w:aliases w:val="a"/>
    <w:basedOn w:val="Normal"/>
    <w:rsid w:val="009841FD"/>
    <w:pPr>
      <w:tabs>
        <w:tab w:val="right" w:pos="1531"/>
      </w:tabs>
      <w:spacing w:before="40" w:after="0" w:line="240" w:lineRule="auto"/>
      <w:ind w:left="1644" w:hanging="1644"/>
    </w:pPr>
    <w:rPr>
      <w:rFonts w:ascii="Times New Roman" w:eastAsia="Times New Roman" w:hAnsi="Times New Roman"/>
      <w:szCs w:val="20"/>
      <w:lang w:eastAsia="en-AU"/>
    </w:rPr>
  </w:style>
  <w:style w:type="paragraph" w:customStyle="1" w:styleId="Tabletext0">
    <w:name w:val="Tabletext"/>
    <w:aliases w:val="tt"/>
    <w:basedOn w:val="Normal"/>
    <w:rsid w:val="009841FD"/>
    <w:pPr>
      <w:spacing w:before="60" w:after="0" w:line="240" w:lineRule="atLeast"/>
    </w:pPr>
    <w:rPr>
      <w:rFonts w:ascii="Times New Roman" w:eastAsia="Times New Roman" w:hAnsi="Times New Roman"/>
      <w:sz w:val="20"/>
      <w:szCs w:val="20"/>
      <w:lang w:eastAsia="en-AU"/>
    </w:rPr>
  </w:style>
  <w:style w:type="paragraph" w:styleId="TOC5">
    <w:name w:val="toc 5"/>
    <w:basedOn w:val="Normal"/>
    <w:next w:val="Normal"/>
    <w:uiPriority w:val="39"/>
    <w:unhideWhenUsed/>
    <w:rsid w:val="009841FD"/>
    <w:pPr>
      <w:keepLines/>
      <w:tabs>
        <w:tab w:val="right" w:leader="dot" w:pos="8278"/>
      </w:tabs>
      <w:spacing w:before="40" w:after="0" w:line="240" w:lineRule="auto"/>
      <w:ind w:left="2098" w:right="567" w:hanging="680"/>
    </w:pPr>
    <w:rPr>
      <w:rFonts w:ascii="Times New Roman" w:eastAsia="Times New Roman" w:hAnsi="Times New Roman"/>
      <w:kern w:val="28"/>
      <w:sz w:val="18"/>
      <w:szCs w:val="20"/>
      <w:lang w:eastAsia="en-AU"/>
    </w:rPr>
  </w:style>
  <w:style w:type="paragraph" w:styleId="TOC6">
    <w:name w:val="toc 6"/>
    <w:basedOn w:val="Normal"/>
    <w:next w:val="Normal"/>
    <w:uiPriority w:val="39"/>
    <w:unhideWhenUsed/>
    <w:rsid w:val="009841FD"/>
    <w:pPr>
      <w:keepLines/>
      <w:tabs>
        <w:tab w:val="right" w:pos="8278"/>
      </w:tabs>
      <w:spacing w:before="120" w:after="0" w:line="240" w:lineRule="auto"/>
      <w:ind w:left="1344" w:right="567" w:hanging="1344"/>
    </w:pPr>
    <w:rPr>
      <w:rFonts w:ascii="Times New Roman" w:eastAsia="Times New Roman" w:hAnsi="Times New Roman"/>
      <w:b/>
      <w:kern w:val="28"/>
      <w:sz w:val="24"/>
      <w:szCs w:val="20"/>
      <w:lang w:eastAsia="en-AU"/>
    </w:rPr>
  </w:style>
  <w:style w:type="paragraph" w:styleId="TOC9">
    <w:name w:val="toc 9"/>
    <w:basedOn w:val="Normal"/>
    <w:next w:val="Normal"/>
    <w:uiPriority w:val="39"/>
    <w:unhideWhenUsed/>
    <w:rsid w:val="009841FD"/>
    <w:pPr>
      <w:keepLines/>
      <w:tabs>
        <w:tab w:val="right" w:pos="8278"/>
      </w:tabs>
      <w:spacing w:before="80" w:after="0" w:line="240" w:lineRule="auto"/>
      <w:ind w:left="851" w:right="567"/>
    </w:pPr>
    <w:rPr>
      <w:rFonts w:ascii="Times New Roman" w:eastAsia="Times New Roman" w:hAnsi="Times New Roman"/>
      <w:i/>
      <w:kern w:val="28"/>
      <w:sz w:val="20"/>
      <w:szCs w:val="20"/>
      <w:lang w:eastAsia="en-AU"/>
    </w:rPr>
  </w:style>
  <w:style w:type="paragraph" w:customStyle="1" w:styleId="SignCoverPageEnd">
    <w:name w:val="SignCoverPageEnd"/>
    <w:basedOn w:val="Normal"/>
    <w:next w:val="Normal"/>
    <w:rsid w:val="009841FD"/>
    <w:pPr>
      <w:keepNext/>
      <w:pBdr>
        <w:bottom w:val="single" w:sz="4" w:space="12" w:color="auto"/>
      </w:pBdr>
      <w:tabs>
        <w:tab w:val="left" w:pos="3402"/>
      </w:tabs>
      <w:spacing w:after="0" w:line="300" w:lineRule="atLeast"/>
      <w:ind w:right="397"/>
    </w:pPr>
    <w:rPr>
      <w:rFonts w:ascii="Times New Roman" w:eastAsia="Times New Roman" w:hAnsi="Times New Roman"/>
      <w:szCs w:val="20"/>
      <w:lang w:eastAsia="en-AU"/>
    </w:rPr>
  </w:style>
  <w:style w:type="paragraph" w:customStyle="1" w:styleId="SignCoverPageStart">
    <w:name w:val="SignCoverPageStart"/>
    <w:basedOn w:val="Normal"/>
    <w:next w:val="Normal"/>
    <w:rsid w:val="009841FD"/>
    <w:pPr>
      <w:pBdr>
        <w:top w:val="single" w:sz="4" w:space="1" w:color="auto"/>
      </w:pBdr>
      <w:spacing w:before="360" w:after="0" w:line="260" w:lineRule="atLeast"/>
      <w:ind w:right="397"/>
      <w:jc w:val="both"/>
    </w:pPr>
    <w:rPr>
      <w:rFonts w:ascii="Times New Roman" w:eastAsia="Times New Roman" w:hAnsi="Times New Roman"/>
      <w:szCs w:val="20"/>
      <w:lang w:eastAsia="en-AU"/>
    </w:rPr>
  </w:style>
  <w:style w:type="paragraph" w:customStyle="1" w:styleId="notetext">
    <w:name w:val="note(text)"/>
    <w:aliases w:val="n"/>
    <w:basedOn w:val="Normal"/>
    <w:link w:val="notetextChar"/>
    <w:rsid w:val="009841FD"/>
    <w:pPr>
      <w:spacing w:before="122" w:after="0" w:line="240" w:lineRule="auto"/>
      <w:ind w:left="1985" w:hanging="851"/>
    </w:pPr>
    <w:rPr>
      <w:rFonts w:ascii="Times New Roman" w:eastAsia="Times New Roman" w:hAnsi="Times New Roman"/>
      <w:sz w:val="18"/>
      <w:szCs w:val="20"/>
      <w:lang w:eastAsia="en-AU"/>
    </w:rPr>
  </w:style>
  <w:style w:type="paragraph" w:customStyle="1" w:styleId="TableHeading">
    <w:name w:val="TableHeading"/>
    <w:aliases w:val="th"/>
    <w:basedOn w:val="Normal"/>
    <w:next w:val="Tabletext0"/>
    <w:rsid w:val="009841FD"/>
    <w:pPr>
      <w:keepNext/>
      <w:spacing w:before="60" w:after="0" w:line="240" w:lineRule="atLeast"/>
    </w:pPr>
    <w:rPr>
      <w:rFonts w:ascii="Times New Roman" w:eastAsia="Times New Roman" w:hAnsi="Times New Roman"/>
      <w:b/>
      <w:sz w:val="20"/>
      <w:szCs w:val="20"/>
      <w:lang w:eastAsia="en-AU"/>
    </w:rPr>
  </w:style>
  <w:style w:type="character" w:customStyle="1" w:styleId="subsectionChar">
    <w:name w:val="subsection Char"/>
    <w:aliases w:val="ss Char"/>
    <w:basedOn w:val="DefaultParagraphFont"/>
    <w:link w:val="subsection"/>
    <w:locked/>
    <w:rsid w:val="009841FD"/>
    <w:rPr>
      <w:rFonts w:ascii="Times New Roman" w:eastAsia="Times New Roman" w:hAnsi="Times New Roman"/>
      <w:szCs w:val="20"/>
    </w:rPr>
  </w:style>
  <w:style w:type="character" w:customStyle="1" w:styleId="notetextChar">
    <w:name w:val="note(text) Char"/>
    <w:aliases w:val="n Char"/>
    <w:basedOn w:val="DefaultParagraphFont"/>
    <w:link w:val="notetext"/>
    <w:rsid w:val="009841FD"/>
    <w:rPr>
      <w:rFonts w:ascii="Times New Roman" w:eastAsia="Times New Roman" w:hAnsi="Times New Roman"/>
      <w:sz w:val="18"/>
      <w:szCs w:val="20"/>
    </w:rPr>
  </w:style>
  <w:style w:type="paragraph" w:styleId="TOC2">
    <w:name w:val="toc 2"/>
    <w:basedOn w:val="Normal"/>
    <w:next w:val="Normal"/>
    <w:autoRedefine/>
    <w:rsid w:val="00805BCE"/>
    <w:pPr>
      <w:ind w:left="240"/>
    </w:pPr>
  </w:style>
  <w:style w:type="character" w:styleId="CommentReference">
    <w:name w:val="annotation reference"/>
    <w:rsid w:val="00AD7B28"/>
    <w:rPr>
      <w:sz w:val="16"/>
      <w:szCs w:val="16"/>
    </w:rPr>
  </w:style>
  <w:style w:type="paragraph" w:styleId="CommentSubject">
    <w:name w:val="annotation subject"/>
    <w:basedOn w:val="CommentText"/>
    <w:next w:val="CommentText"/>
    <w:link w:val="CommentSubjectChar"/>
    <w:uiPriority w:val="99"/>
    <w:semiHidden/>
    <w:unhideWhenUsed/>
    <w:rsid w:val="006B2A07"/>
    <w:pPr>
      <w:spacing w:after="200"/>
    </w:pPr>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6B2A07"/>
    <w:rPr>
      <w:rFonts w:ascii="Times New Roman" w:eastAsia="Times New Roman" w:hAnsi="Times New Roman"/>
      <w:b/>
      <w:bCs/>
      <w:sz w:val="20"/>
      <w:szCs w:val="20"/>
      <w:lang w:eastAsia="en-US"/>
    </w:rPr>
  </w:style>
  <w:style w:type="paragraph" w:styleId="Revision">
    <w:name w:val="Revision"/>
    <w:hidden/>
    <w:uiPriority w:val="99"/>
    <w:semiHidden/>
    <w:rsid w:val="00D12A5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9A77295C2E97438029C4E1E2177B1B" ma:contentTypeVersion="" ma:contentTypeDescription="PDMS Document Site Content Type" ma:contentTypeScope="" ma:versionID="b794eeffb6804823b63b9777f2abdcac">
  <xsd:schema xmlns:xsd="http://www.w3.org/2001/XMLSchema" xmlns:xs="http://www.w3.org/2001/XMLSchema" xmlns:p="http://schemas.microsoft.com/office/2006/metadata/properties" xmlns:ns2="7E284AAB-BA2E-4856-AC7D-CFD7E4C6C07C" targetNamespace="http://schemas.microsoft.com/office/2006/metadata/properties" ma:root="true" ma:fieldsID="bb8cfb8ae1a335b4b9bdd074065db624" ns2:_="">
    <xsd:import namespace="7E284AAB-BA2E-4856-AC7D-CFD7E4C6C07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84AAB-BA2E-4856-AC7D-CFD7E4C6C07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7E284AAB-BA2E-4856-AC7D-CFD7E4C6C07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67692-9FF6-41A7-9916-543FF1036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84AAB-BA2E-4856-AC7D-CFD7E4C6C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3.xml><?xml version="1.0" encoding="utf-8"?>
<ds:datastoreItem xmlns:ds="http://schemas.openxmlformats.org/officeDocument/2006/customXml" ds:itemID="{B98186CA-2BB6-4C79-BFBB-7D7DB76DEE6E}">
  <ds:schemaRefs>
    <ds:schemaRef ds:uri="http://schemas.microsoft.com/office/2006/metadata/properties"/>
    <ds:schemaRef ds:uri="7E284AAB-BA2E-4856-AC7D-CFD7E4C6C07C"/>
  </ds:schemaRefs>
</ds:datastoreItem>
</file>

<file path=customXml/itemProps4.xml><?xml version="1.0" encoding="utf-8"?>
<ds:datastoreItem xmlns:ds="http://schemas.openxmlformats.org/officeDocument/2006/customXml" ds:itemID="{809C803E-61A1-41A0-9FC1-773D2477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MS - Minister Wyatt submission template</vt:lpstr>
    </vt:vector>
  </TitlesOfParts>
  <Company>DEWHA</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Minister Wyatt submission template</dc:title>
  <dc:subject>Changes to the Aged Care Financial Report and the Annual Prudential Compliance Statement</dc:subject>
  <dc:creator>URBINA, Jesus</dc:creator>
  <cp:lastModifiedBy>ARMSTRONG, Lauren</cp:lastModifiedBy>
  <cp:revision>7</cp:revision>
  <cp:lastPrinted>2018-06-28T06:33:00Z</cp:lastPrinted>
  <dcterms:created xsi:type="dcterms:W3CDTF">2018-07-26T06:04:00Z</dcterms:created>
  <dcterms:modified xsi:type="dcterms:W3CDTF">2018-07-26T23:24:00Z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25 June 2018</vt:lpwstr>
  </property>
  <property fmtid="{D5CDD505-2E9C-101B-9397-08002B2CF9AE}" pid="3" name="ClearanceDueDate">
    <vt:lpwstr/>
  </property>
  <property fmtid="{D5CDD505-2E9C-101B-9397-08002B2CF9AE}" pid="4" name="ContentTypeId">
    <vt:lpwstr>0x010100266966F133664895A6EE3632470D45F50200BC495BE580C09D4DBB9579E794C7419E</vt:lpwstr>
  </property>
  <property fmtid="{D5CDD505-2E9C-101B-9397-08002B2CF9AE}" pid="5" name="LastClearingOfficer">
    <vt:lpwstr>GEORGINA MCGRATH</vt:lpwstr>
  </property>
  <property fmtid="{D5CDD505-2E9C-101B-9397-08002B2CF9AE}" pid="6" name="Publishing Section">
    <vt:lpwstr>Information Management Division</vt:lpwstr>
  </property>
</Properties>
</file>