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039D5" w14:textId="7142928A" w:rsidR="002B0ACA" w:rsidRPr="009C35C5" w:rsidRDefault="00DA1022" w:rsidP="00E51800">
      <w:pPr>
        <w:jc w:val="center"/>
        <w:rPr>
          <w:rFonts w:ascii="Arial" w:hAnsi="Arial" w:cs="Arial"/>
          <w:b/>
          <w:sz w:val="20"/>
          <w:szCs w:val="20"/>
        </w:rPr>
      </w:pPr>
      <w:r w:rsidRPr="009C35C5">
        <w:rPr>
          <w:rFonts w:ascii="Arial" w:hAnsi="Arial" w:cs="Arial"/>
          <w:b/>
          <w:sz w:val="20"/>
          <w:szCs w:val="20"/>
        </w:rPr>
        <w:t xml:space="preserve">EXPLANATORY </w:t>
      </w:r>
      <w:r w:rsidR="003541E8" w:rsidRPr="009C35C5">
        <w:rPr>
          <w:rFonts w:ascii="Arial" w:hAnsi="Arial" w:cs="Arial"/>
          <w:b/>
          <w:sz w:val="20"/>
          <w:szCs w:val="20"/>
        </w:rPr>
        <w:t>STATEMENT</w:t>
      </w:r>
    </w:p>
    <w:p w14:paraId="259039D6" w14:textId="77777777" w:rsidR="002B0ACA" w:rsidRPr="009C35C5" w:rsidRDefault="002B0ACA" w:rsidP="00E51800">
      <w:pPr>
        <w:jc w:val="center"/>
        <w:rPr>
          <w:rFonts w:ascii="Arial" w:hAnsi="Arial" w:cs="Arial"/>
          <w:i/>
          <w:sz w:val="20"/>
          <w:szCs w:val="20"/>
        </w:rPr>
      </w:pPr>
    </w:p>
    <w:p w14:paraId="259039D7" w14:textId="77777777" w:rsidR="002B0ACA" w:rsidRPr="009C35C5" w:rsidRDefault="002B0ACA" w:rsidP="00E51800">
      <w:pPr>
        <w:jc w:val="center"/>
        <w:rPr>
          <w:rFonts w:ascii="Arial" w:hAnsi="Arial" w:cs="Arial"/>
          <w:i/>
          <w:sz w:val="20"/>
          <w:szCs w:val="20"/>
        </w:rPr>
      </w:pPr>
    </w:p>
    <w:p w14:paraId="259039D8" w14:textId="388E4445" w:rsidR="002B0ACA" w:rsidRPr="009C35C5" w:rsidRDefault="006E2555" w:rsidP="00E51800">
      <w:pPr>
        <w:jc w:val="center"/>
        <w:rPr>
          <w:rFonts w:ascii="Arial" w:hAnsi="Arial" w:cs="Arial"/>
          <w:sz w:val="20"/>
          <w:szCs w:val="20"/>
        </w:rPr>
      </w:pPr>
      <w:r>
        <w:rPr>
          <w:rFonts w:ascii="Arial" w:hAnsi="Arial" w:cs="Arial"/>
          <w:sz w:val="20"/>
          <w:szCs w:val="20"/>
        </w:rPr>
        <w:t>Approved</w:t>
      </w:r>
      <w:r w:rsidRPr="009C35C5">
        <w:rPr>
          <w:rFonts w:ascii="Arial" w:hAnsi="Arial" w:cs="Arial"/>
          <w:sz w:val="20"/>
          <w:szCs w:val="20"/>
        </w:rPr>
        <w:t xml:space="preserve"> </w:t>
      </w:r>
      <w:r w:rsidR="001A730C" w:rsidRPr="009C35C5">
        <w:rPr>
          <w:rFonts w:ascii="Arial" w:hAnsi="Arial" w:cs="Arial"/>
          <w:sz w:val="20"/>
          <w:szCs w:val="20"/>
        </w:rPr>
        <w:t>by the Australian Communications and Media Authority</w:t>
      </w:r>
    </w:p>
    <w:p w14:paraId="259039D9" w14:textId="77777777" w:rsidR="002B0ACA" w:rsidRPr="009C35C5" w:rsidRDefault="002B0ACA" w:rsidP="00E51800">
      <w:pPr>
        <w:jc w:val="center"/>
        <w:rPr>
          <w:rFonts w:ascii="Arial" w:hAnsi="Arial" w:cs="Arial"/>
          <w:i/>
          <w:sz w:val="20"/>
          <w:szCs w:val="20"/>
        </w:rPr>
      </w:pPr>
    </w:p>
    <w:p w14:paraId="259039DA" w14:textId="72072562" w:rsidR="002B0ACA" w:rsidRPr="009C35C5" w:rsidRDefault="009C35C5" w:rsidP="00E51800">
      <w:pPr>
        <w:jc w:val="center"/>
        <w:rPr>
          <w:rFonts w:ascii="Arial" w:hAnsi="Arial" w:cs="Arial"/>
          <w:i/>
          <w:sz w:val="20"/>
          <w:szCs w:val="20"/>
        </w:rPr>
      </w:pPr>
      <w:r w:rsidRPr="009C35C5">
        <w:rPr>
          <w:rFonts w:ascii="Arial" w:hAnsi="Arial" w:cs="Arial"/>
          <w:i/>
          <w:sz w:val="20"/>
          <w:szCs w:val="20"/>
        </w:rPr>
        <w:t>Radiocommunications – 3.4 GHz Band Omnibus Variation 2018 (No.1)</w:t>
      </w:r>
    </w:p>
    <w:p w14:paraId="259039DB" w14:textId="77777777" w:rsidR="002B0ACA" w:rsidRPr="009C35C5" w:rsidRDefault="002B0ACA" w:rsidP="00E51800">
      <w:pPr>
        <w:jc w:val="center"/>
        <w:rPr>
          <w:rFonts w:ascii="Arial" w:hAnsi="Arial" w:cs="Arial"/>
          <w:sz w:val="20"/>
          <w:szCs w:val="20"/>
        </w:rPr>
      </w:pPr>
    </w:p>
    <w:p w14:paraId="259039DC" w14:textId="77777777" w:rsidR="002B0ACA" w:rsidRPr="00593518" w:rsidRDefault="001A730C" w:rsidP="00E51800">
      <w:pPr>
        <w:jc w:val="center"/>
        <w:rPr>
          <w:rFonts w:ascii="Arial" w:hAnsi="Arial" w:cs="Arial"/>
          <w:b/>
          <w:i/>
          <w:sz w:val="20"/>
          <w:szCs w:val="20"/>
        </w:rPr>
      </w:pPr>
      <w:bookmarkStart w:id="0" w:name="OLE_LINK1"/>
      <w:bookmarkStart w:id="1" w:name="OLE_LINK2"/>
      <w:r w:rsidRPr="00593518">
        <w:rPr>
          <w:rFonts w:ascii="Arial" w:hAnsi="Arial" w:cs="Arial"/>
          <w:b/>
          <w:i/>
          <w:sz w:val="20"/>
          <w:szCs w:val="20"/>
        </w:rPr>
        <w:t xml:space="preserve">Radiocommunications Act </w:t>
      </w:r>
      <w:bookmarkEnd w:id="0"/>
      <w:bookmarkEnd w:id="1"/>
      <w:r w:rsidRPr="00593518">
        <w:rPr>
          <w:rFonts w:ascii="Arial" w:hAnsi="Arial" w:cs="Arial"/>
          <w:b/>
          <w:i/>
          <w:sz w:val="20"/>
          <w:szCs w:val="20"/>
        </w:rPr>
        <w:t>1992</w:t>
      </w:r>
    </w:p>
    <w:p w14:paraId="259039DD" w14:textId="77777777" w:rsidR="002B0ACA" w:rsidRPr="009C35C5" w:rsidRDefault="002B0ACA" w:rsidP="00E51800">
      <w:pPr>
        <w:jc w:val="both"/>
        <w:rPr>
          <w:rFonts w:ascii="Arial" w:hAnsi="Arial" w:cs="Arial"/>
          <w:sz w:val="20"/>
          <w:szCs w:val="20"/>
        </w:rPr>
      </w:pPr>
    </w:p>
    <w:p w14:paraId="4D5D8512" w14:textId="236CDD15" w:rsidR="001951C5" w:rsidRPr="00641710" w:rsidRDefault="001951C5" w:rsidP="00641710">
      <w:pPr>
        <w:spacing w:after="120"/>
        <w:jc w:val="both"/>
        <w:rPr>
          <w:rFonts w:ascii="Arial" w:hAnsi="Arial" w:cs="Arial"/>
          <w:b/>
          <w:sz w:val="20"/>
          <w:szCs w:val="20"/>
        </w:rPr>
      </w:pPr>
      <w:r>
        <w:rPr>
          <w:rFonts w:ascii="Arial" w:hAnsi="Arial" w:cs="Arial"/>
          <w:b/>
          <w:sz w:val="20"/>
          <w:szCs w:val="20"/>
        </w:rPr>
        <w:t>Authority</w:t>
      </w:r>
    </w:p>
    <w:p w14:paraId="450A8E2F" w14:textId="26081F30" w:rsidR="001951C5" w:rsidRPr="009C35C5" w:rsidRDefault="001951C5" w:rsidP="00641710">
      <w:pPr>
        <w:spacing w:after="120"/>
        <w:rPr>
          <w:rFonts w:ascii="Arial" w:hAnsi="Arial" w:cs="Arial"/>
          <w:sz w:val="20"/>
        </w:rPr>
      </w:pPr>
      <w:r w:rsidRPr="009C35C5">
        <w:rPr>
          <w:rFonts w:ascii="Arial" w:hAnsi="Arial" w:cs="Arial"/>
          <w:sz w:val="20"/>
        </w:rPr>
        <w:t>The Australian Communications and Media Authority (</w:t>
      </w:r>
      <w:r w:rsidRPr="003436F1">
        <w:rPr>
          <w:rFonts w:ascii="Arial" w:hAnsi="Arial" w:cs="Arial"/>
          <w:b/>
          <w:sz w:val="20"/>
        </w:rPr>
        <w:t>ACMA</w:t>
      </w:r>
      <w:r w:rsidRPr="009C35C5">
        <w:rPr>
          <w:rFonts w:ascii="Arial" w:hAnsi="Arial" w:cs="Arial"/>
          <w:sz w:val="20"/>
        </w:rPr>
        <w:t xml:space="preserve">) </w:t>
      </w:r>
      <w:r w:rsidR="00056548">
        <w:rPr>
          <w:rFonts w:ascii="Arial" w:hAnsi="Arial" w:cs="Arial"/>
          <w:sz w:val="20"/>
        </w:rPr>
        <w:t xml:space="preserve">has made the </w:t>
      </w:r>
      <w:r w:rsidR="00056548">
        <w:rPr>
          <w:rFonts w:ascii="Arial" w:hAnsi="Arial" w:cs="Arial"/>
          <w:i/>
          <w:sz w:val="20"/>
        </w:rPr>
        <w:t xml:space="preserve">Radiocommunications – 3.4 GHz Band Omnibus Variation 2018 (No. 1) </w:t>
      </w:r>
      <w:r w:rsidR="00056548">
        <w:rPr>
          <w:rFonts w:ascii="Arial" w:hAnsi="Arial" w:cs="Arial"/>
          <w:sz w:val="20"/>
        </w:rPr>
        <w:t xml:space="preserve">(the </w:t>
      </w:r>
      <w:r w:rsidR="00056548" w:rsidRPr="003436F1">
        <w:rPr>
          <w:rFonts w:ascii="Arial" w:hAnsi="Arial" w:cs="Arial"/>
          <w:b/>
          <w:sz w:val="20"/>
        </w:rPr>
        <w:t>Variation Instrument</w:t>
      </w:r>
      <w:r w:rsidR="00056548">
        <w:rPr>
          <w:rFonts w:ascii="Arial" w:hAnsi="Arial" w:cs="Arial"/>
          <w:sz w:val="20"/>
        </w:rPr>
        <w:t xml:space="preserve">) under </w:t>
      </w:r>
      <w:r w:rsidRPr="009C35C5">
        <w:rPr>
          <w:rFonts w:ascii="Arial" w:hAnsi="Arial" w:cs="Arial"/>
          <w:sz w:val="20"/>
        </w:rPr>
        <w:t xml:space="preserve">section 88, subsection 145(4) and section 262 of the </w:t>
      </w:r>
      <w:r w:rsidRPr="009C35C5">
        <w:rPr>
          <w:rFonts w:ascii="Arial" w:hAnsi="Arial" w:cs="Arial"/>
          <w:i/>
          <w:sz w:val="20"/>
        </w:rPr>
        <w:t>Radiocommunications Act 1992</w:t>
      </w:r>
      <w:r w:rsidRPr="009C35C5">
        <w:rPr>
          <w:rFonts w:ascii="Arial" w:hAnsi="Arial" w:cs="Arial"/>
          <w:sz w:val="20"/>
        </w:rPr>
        <w:t xml:space="preserve"> (the Act) and in accordance with subsection 33(3) of the</w:t>
      </w:r>
      <w:r w:rsidRPr="009C35C5">
        <w:rPr>
          <w:rFonts w:ascii="Arial" w:hAnsi="Arial" w:cs="Arial"/>
          <w:i/>
          <w:iCs/>
          <w:sz w:val="20"/>
        </w:rPr>
        <w:t xml:space="preserve"> Acts Interpretation Act 1901</w:t>
      </w:r>
      <w:r w:rsidRPr="009C35C5">
        <w:rPr>
          <w:rFonts w:ascii="Arial" w:hAnsi="Arial" w:cs="Arial"/>
          <w:sz w:val="20"/>
        </w:rPr>
        <w:t xml:space="preserve"> (the AIA).</w:t>
      </w:r>
    </w:p>
    <w:p w14:paraId="570AF88F" w14:textId="20A12F2F" w:rsidR="001951C5" w:rsidRPr="00641710" w:rsidRDefault="001951C5" w:rsidP="00641710">
      <w:pPr>
        <w:spacing w:after="120"/>
        <w:rPr>
          <w:rFonts w:ascii="Arial" w:hAnsi="Arial" w:cs="Arial"/>
          <w:sz w:val="20"/>
          <w:szCs w:val="20"/>
        </w:rPr>
      </w:pPr>
      <w:r w:rsidRPr="009C35C5">
        <w:rPr>
          <w:rFonts w:ascii="Arial" w:hAnsi="Arial" w:cs="Arial"/>
          <w:sz w:val="20"/>
          <w:szCs w:val="20"/>
        </w:rPr>
        <w:t xml:space="preserve">Section 88 of the Act provides that the </w:t>
      </w:r>
      <w:r w:rsidRPr="003436F1">
        <w:rPr>
          <w:rFonts w:ascii="Arial" w:hAnsi="Arial" w:cs="Arial"/>
          <w:bCs/>
          <w:sz w:val="20"/>
          <w:szCs w:val="20"/>
        </w:rPr>
        <w:t>ACMA</w:t>
      </w:r>
      <w:r w:rsidRPr="009C35C5">
        <w:rPr>
          <w:rFonts w:ascii="Arial" w:hAnsi="Arial" w:cs="Arial"/>
          <w:sz w:val="20"/>
          <w:szCs w:val="20"/>
        </w:rPr>
        <w:t xml:space="preserve"> may determine rules for the assignment of spectrum licences and the circumstances in which licences can be varied, issued or cancelled as the result of an assignment.</w:t>
      </w:r>
    </w:p>
    <w:p w14:paraId="07140C17" w14:textId="629BE122" w:rsidR="001951C5" w:rsidRPr="009C35C5" w:rsidRDefault="001951C5" w:rsidP="00641710">
      <w:pPr>
        <w:spacing w:after="120"/>
        <w:rPr>
          <w:rFonts w:ascii="Arial" w:hAnsi="Arial" w:cs="Arial"/>
          <w:sz w:val="20"/>
        </w:rPr>
      </w:pPr>
      <w:r w:rsidRPr="009C35C5">
        <w:rPr>
          <w:rFonts w:ascii="Arial" w:hAnsi="Arial" w:cs="Arial"/>
          <w:sz w:val="20"/>
        </w:rPr>
        <w:t>Section 145 of the Act provides that the ACMA may refuse to include details of a radiocommunications transmitter that is proposed to be operated under a spectrum licence on the Register of Radiocommunications Licences</w:t>
      </w:r>
      <w:r w:rsidR="00024BD3">
        <w:rPr>
          <w:rFonts w:ascii="Arial" w:hAnsi="Arial" w:cs="Arial"/>
          <w:sz w:val="20"/>
        </w:rPr>
        <w:t>, maintained by the ACMA under Part 3.5 of the Act,</w:t>
      </w:r>
      <w:r w:rsidRPr="009C35C5">
        <w:rPr>
          <w:rFonts w:ascii="Arial" w:hAnsi="Arial" w:cs="Arial"/>
          <w:sz w:val="20"/>
        </w:rPr>
        <w:t xml:space="preserve"> if the ACMA is satisfied that </w:t>
      </w:r>
      <w:r>
        <w:rPr>
          <w:rFonts w:ascii="Arial" w:hAnsi="Arial" w:cs="Arial"/>
          <w:sz w:val="20"/>
        </w:rPr>
        <w:t>t</w:t>
      </w:r>
      <w:r w:rsidRPr="009C35C5">
        <w:rPr>
          <w:rFonts w:ascii="Arial" w:hAnsi="Arial" w:cs="Arial"/>
          <w:sz w:val="20"/>
        </w:rPr>
        <w:t xml:space="preserve">he transmitter could cause an unacceptable level of interference to the operation of other radiocommunications devices under that spectrum licence or any other licence. </w:t>
      </w:r>
    </w:p>
    <w:p w14:paraId="275AC072" w14:textId="14B850DB" w:rsidR="001951C5" w:rsidRPr="009C35C5" w:rsidRDefault="001951C5" w:rsidP="00641710">
      <w:pPr>
        <w:spacing w:after="120"/>
        <w:rPr>
          <w:rFonts w:ascii="Arial" w:hAnsi="Arial" w:cs="Arial"/>
          <w:sz w:val="20"/>
        </w:rPr>
      </w:pPr>
      <w:r w:rsidRPr="009C35C5">
        <w:rPr>
          <w:rFonts w:ascii="Arial" w:hAnsi="Arial" w:cs="Arial"/>
          <w:sz w:val="20"/>
        </w:rPr>
        <w:t>Subsection 145(4) of the Act provides that the ACMA may determine, by written instrument, what are unacceptable levels of interference for the purposes of section 145</w:t>
      </w:r>
      <w:r w:rsidR="006A497E">
        <w:rPr>
          <w:rFonts w:ascii="Arial" w:hAnsi="Arial" w:cs="Arial"/>
          <w:sz w:val="20"/>
        </w:rPr>
        <w:t xml:space="preserve"> of the Act</w:t>
      </w:r>
      <w:r w:rsidRPr="009C35C5">
        <w:rPr>
          <w:rFonts w:ascii="Arial" w:hAnsi="Arial" w:cs="Arial"/>
          <w:sz w:val="20"/>
        </w:rPr>
        <w:t xml:space="preserve">. </w:t>
      </w:r>
    </w:p>
    <w:p w14:paraId="0AD334E9" w14:textId="7E4A36D6" w:rsidR="001951C5" w:rsidRPr="00641710" w:rsidRDefault="001951C5" w:rsidP="00641710">
      <w:pPr>
        <w:spacing w:after="120"/>
        <w:rPr>
          <w:rFonts w:ascii="Arial" w:hAnsi="Arial" w:cs="Arial"/>
          <w:sz w:val="20"/>
        </w:rPr>
      </w:pPr>
      <w:r w:rsidRPr="009C35C5">
        <w:rPr>
          <w:rFonts w:ascii="Arial" w:hAnsi="Arial" w:cs="Arial"/>
          <w:sz w:val="20"/>
        </w:rPr>
        <w:t xml:space="preserve">Section 262 of the Act provides that the ACMA may make written advisory guidelines about any aspect of radiocommunications or radio emissions. </w:t>
      </w:r>
    </w:p>
    <w:p w14:paraId="5E554A5C" w14:textId="0026A589" w:rsidR="00E41156" w:rsidRDefault="001951C5" w:rsidP="00641710">
      <w:pPr>
        <w:spacing w:after="120"/>
        <w:rPr>
          <w:rFonts w:ascii="Arial" w:hAnsi="Arial" w:cs="Arial"/>
          <w:sz w:val="20"/>
        </w:rPr>
      </w:pPr>
      <w:r w:rsidRPr="009C35C5">
        <w:rPr>
          <w:rFonts w:ascii="Arial" w:hAnsi="Arial" w:cs="Arial"/>
          <w:sz w:val="20"/>
        </w:rPr>
        <w:t xml:space="preserve">Under subsection 33(3) of the AIA, where an Act confers a power to make, grant or issue any instrument of a legislative character, the power shall be construed as including a power exercisable in the like manner and subject to the like conditions (if any) to repeal, rescind, revoke, amend, or vary any such instrument.  </w:t>
      </w:r>
    </w:p>
    <w:p w14:paraId="2752A438" w14:textId="65A91A8F" w:rsidR="00E41156" w:rsidRDefault="00E41156" w:rsidP="00641710">
      <w:pPr>
        <w:spacing w:after="120"/>
        <w:rPr>
          <w:rFonts w:ascii="Arial" w:hAnsi="Arial" w:cs="Arial"/>
          <w:sz w:val="20"/>
        </w:rPr>
      </w:pPr>
      <w:r>
        <w:rPr>
          <w:rFonts w:ascii="Arial" w:hAnsi="Arial" w:cs="Arial"/>
          <w:sz w:val="20"/>
        </w:rPr>
        <w:t xml:space="preserve">The instrument is a </w:t>
      </w:r>
      <w:r w:rsidR="00654CF0">
        <w:rPr>
          <w:rFonts w:ascii="Arial" w:hAnsi="Arial" w:cs="Arial"/>
          <w:sz w:val="20"/>
        </w:rPr>
        <w:t xml:space="preserve">disallowable </w:t>
      </w:r>
      <w:r>
        <w:rPr>
          <w:rFonts w:ascii="Arial" w:hAnsi="Arial" w:cs="Arial"/>
          <w:sz w:val="20"/>
        </w:rPr>
        <w:t xml:space="preserve">legislative </w:t>
      </w:r>
      <w:r w:rsidR="00CB1413">
        <w:rPr>
          <w:rFonts w:ascii="Arial" w:hAnsi="Arial" w:cs="Arial"/>
          <w:sz w:val="20"/>
        </w:rPr>
        <w:t xml:space="preserve">instrument </w:t>
      </w:r>
      <w:r>
        <w:rPr>
          <w:rFonts w:ascii="Arial" w:hAnsi="Arial" w:cs="Arial"/>
          <w:sz w:val="20"/>
        </w:rPr>
        <w:t xml:space="preserve">for the purposes of the </w:t>
      </w:r>
      <w:r>
        <w:rPr>
          <w:rFonts w:ascii="Arial" w:hAnsi="Arial" w:cs="Arial"/>
          <w:i/>
          <w:sz w:val="20"/>
        </w:rPr>
        <w:t>Legislation Act 2003</w:t>
      </w:r>
      <w:r>
        <w:rPr>
          <w:rFonts w:ascii="Arial" w:hAnsi="Arial" w:cs="Arial"/>
          <w:sz w:val="20"/>
        </w:rPr>
        <w:t xml:space="preserve"> (</w:t>
      </w:r>
      <w:r w:rsidRPr="003436F1">
        <w:rPr>
          <w:rFonts w:ascii="Arial" w:hAnsi="Arial" w:cs="Arial"/>
          <w:b/>
          <w:sz w:val="20"/>
        </w:rPr>
        <w:t>the LA</w:t>
      </w:r>
      <w:r>
        <w:rPr>
          <w:rFonts w:ascii="Arial" w:hAnsi="Arial" w:cs="Arial"/>
          <w:sz w:val="20"/>
        </w:rPr>
        <w:t>).</w:t>
      </w:r>
    </w:p>
    <w:p w14:paraId="1BB1A68E" w14:textId="094F5428" w:rsidR="00BC4203" w:rsidRPr="009C35C5" w:rsidRDefault="00BC4203" w:rsidP="00641710">
      <w:pPr>
        <w:spacing w:after="120"/>
        <w:rPr>
          <w:rFonts w:ascii="Arial" w:hAnsi="Arial" w:cs="Arial"/>
          <w:sz w:val="20"/>
        </w:rPr>
      </w:pPr>
      <w:r>
        <w:rPr>
          <w:rFonts w:ascii="Arial" w:hAnsi="Arial" w:cs="Arial"/>
          <w:sz w:val="20"/>
        </w:rPr>
        <w:t xml:space="preserve">A provision-by-provision description of the instrument is set out in the notes at </w:t>
      </w:r>
      <w:r w:rsidRPr="003436F1">
        <w:rPr>
          <w:rFonts w:ascii="Arial" w:hAnsi="Arial" w:cs="Arial"/>
          <w:b/>
          <w:sz w:val="20"/>
        </w:rPr>
        <w:t>Attachment A</w:t>
      </w:r>
      <w:r>
        <w:rPr>
          <w:rFonts w:ascii="Arial" w:hAnsi="Arial" w:cs="Arial"/>
          <w:sz w:val="20"/>
        </w:rPr>
        <w:t>.</w:t>
      </w:r>
    </w:p>
    <w:p w14:paraId="48AA52AC" w14:textId="77777777" w:rsidR="001951C5" w:rsidRDefault="001951C5" w:rsidP="00641710">
      <w:pPr>
        <w:spacing w:after="120"/>
        <w:jc w:val="both"/>
        <w:rPr>
          <w:rFonts w:ascii="Arial" w:hAnsi="Arial" w:cs="Arial"/>
          <w:b/>
          <w:sz w:val="20"/>
          <w:szCs w:val="20"/>
        </w:rPr>
      </w:pPr>
    </w:p>
    <w:p w14:paraId="259039DF" w14:textId="226A3D88" w:rsidR="002B0ACA" w:rsidRPr="00641710" w:rsidRDefault="00776FB8" w:rsidP="00641710">
      <w:pPr>
        <w:spacing w:after="120"/>
        <w:jc w:val="both"/>
        <w:rPr>
          <w:rFonts w:ascii="Arial" w:hAnsi="Arial" w:cs="Arial"/>
          <w:b/>
          <w:sz w:val="20"/>
          <w:szCs w:val="20"/>
        </w:rPr>
      </w:pPr>
      <w:r w:rsidRPr="009C35C5">
        <w:rPr>
          <w:rFonts w:ascii="Arial" w:hAnsi="Arial" w:cs="Arial"/>
          <w:b/>
          <w:sz w:val="20"/>
          <w:szCs w:val="20"/>
        </w:rPr>
        <w:t>Purpose</w:t>
      </w:r>
      <w:r w:rsidR="001951C5">
        <w:rPr>
          <w:rFonts w:ascii="Arial" w:hAnsi="Arial" w:cs="Arial"/>
          <w:b/>
          <w:sz w:val="20"/>
          <w:szCs w:val="20"/>
        </w:rPr>
        <w:t xml:space="preserve"> and operation of the instrument</w:t>
      </w:r>
    </w:p>
    <w:p w14:paraId="259039E1" w14:textId="60C74825" w:rsidR="003E64B7" w:rsidRPr="009C35C5" w:rsidRDefault="00776FB8" w:rsidP="00641710">
      <w:pPr>
        <w:spacing w:after="120"/>
        <w:rPr>
          <w:rFonts w:ascii="Arial" w:hAnsi="Arial" w:cs="Arial"/>
          <w:sz w:val="20"/>
          <w:szCs w:val="20"/>
        </w:rPr>
      </w:pPr>
      <w:r w:rsidRPr="009C35C5">
        <w:rPr>
          <w:rFonts w:ascii="Arial" w:hAnsi="Arial" w:cs="Arial"/>
          <w:sz w:val="20"/>
          <w:szCs w:val="20"/>
        </w:rPr>
        <w:t xml:space="preserve">The purpose of </w:t>
      </w:r>
      <w:r w:rsidR="00744673" w:rsidRPr="003436F1">
        <w:rPr>
          <w:rFonts w:ascii="Arial" w:hAnsi="Arial" w:cs="Arial"/>
          <w:sz w:val="20"/>
          <w:szCs w:val="20"/>
        </w:rPr>
        <w:t xml:space="preserve">the </w:t>
      </w:r>
      <w:r w:rsidR="00FF3D20" w:rsidRPr="003436F1">
        <w:rPr>
          <w:rFonts w:ascii="Arial" w:hAnsi="Arial" w:cs="Arial"/>
          <w:sz w:val="20"/>
          <w:szCs w:val="20"/>
        </w:rPr>
        <w:t>Variation Instrument</w:t>
      </w:r>
      <w:r w:rsidR="00DE60FB" w:rsidRPr="009C35C5">
        <w:rPr>
          <w:rFonts w:ascii="Arial" w:hAnsi="Arial" w:cs="Arial"/>
          <w:sz w:val="20"/>
          <w:szCs w:val="20"/>
        </w:rPr>
        <w:t xml:space="preserve"> </w:t>
      </w:r>
      <w:r w:rsidR="00C37838" w:rsidRPr="009C35C5">
        <w:rPr>
          <w:rFonts w:ascii="Arial" w:hAnsi="Arial" w:cs="Arial"/>
          <w:sz w:val="20"/>
          <w:szCs w:val="20"/>
        </w:rPr>
        <w:t xml:space="preserve">is </w:t>
      </w:r>
      <w:r w:rsidRPr="009C35C5">
        <w:rPr>
          <w:rFonts w:ascii="Arial" w:hAnsi="Arial" w:cs="Arial"/>
          <w:sz w:val="20"/>
          <w:szCs w:val="20"/>
        </w:rPr>
        <w:t xml:space="preserve">to </w:t>
      </w:r>
      <w:r w:rsidR="00FF3D20" w:rsidRPr="009C35C5">
        <w:rPr>
          <w:rFonts w:ascii="Arial" w:hAnsi="Arial" w:cs="Arial"/>
          <w:sz w:val="20"/>
          <w:szCs w:val="20"/>
        </w:rPr>
        <w:t>amend the</w:t>
      </w:r>
      <w:r w:rsidR="003E64B7" w:rsidRPr="009C35C5">
        <w:rPr>
          <w:rFonts w:ascii="Arial" w:hAnsi="Arial" w:cs="Arial"/>
          <w:sz w:val="20"/>
          <w:szCs w:val="20"/>
        </w:rPr>
        <w:t xml:space="preserve"> following instruments</w:t>
      </w:r>
      <w:r w:rsidR="00FF3D20" w:rsidRPr="009C35C5">
        <w:rPr>
          <w:rFonts w:ascii="Arial" w:hAnsi="Arial" w:cs="Arial"/>
          <w:sz w:val="20"/>
          <w:szCs w:val="20"/>
        </w:rPr>
        <w:t xml:space="preserve"> </w:t>
      </w:r>
      <w:r w:rsidR="003E64B7" w:rsidRPr="009C35C5">
        <w:rPr>
          <w:rFonts w:ascii="Arial" w:hAnsi="Arial" w:cs="Arial"/>
          <w:sz w:val="20"/>
          <w:szCs w:val="20"/>
        </w:rPr>
        <w:t xml:space="preserve">that apply to </w:t>
      </w:r>
      <w:r w:rsidR="00FF3D20" w:rsidRPr="009C35C5">
        <w:rPr>
          <w:rFonts w:ascii="Arial" w:hAnsi="Arial" w:cs="Arial"/>
          <w:sz w:val="20"/>
          <w:szCs w:val="20"/>
        </w:rPr>
        <w:t xml:space="preserve">the </w:t>
      </w:r>
      <w:r w:rsidR="009C35C5" w:rsidRPr="009C35C5">
        <w:rPr>
          <w:rFonts w:ascii="Arial" w:hAnsi="Arial" w:cs="Arial"/>
          <w:sz w:val="20"/>
          <w:szCs w:val="20"/>
        </w:rPr>
        <w:t>3.4 GHz</w:t>
      </w:r>
      <w:r w:rsidR="00FF3D20" w:rsidRPr="009C35C5">
        <w:rPr>
          <w:rFonts w:ascii="Arial" w:hAnsi="Arial" w:cs="Arial"/>
          <w:sz w:val="20"/>
          <w:szCs w:val="20"/>
        </w:rPr>
        <w:t xml:space="preserve"> spectrum licence</w:t>
      </w:r>
      <w:r w:rsidR="00593518">
        <w:rPr>
          <w:rFonts w:ascii="Arial" w:hAnsi="Arial" w:cs="Arial"/>
          <w:sz w:val="20"/>
          <w:szCs w:val="20"/>
        </w:rPr>
        <w:t>d</w:t>
      </w:r>
      <w:r w:rsidR="00FF3D20" w:rsidRPr="009C35C5">
        <w:rPr>
          <w:rFonts w:ascii="Arial" w:hAnsi="Arial" w:cs="Arial"/>
          <w:sz w:val="20"/>
          <w:szCs w:val="20"/>
        </w:rPr>
        <w:t xml:space="preserve"> band</w:t>
      </w:r>
      <w:r w:rsidR="003E64B7" w:rsidRPr="009C35C5">
        <w:rPr>
          <w:rFonts w:ascii="Arial" w:hAnsi="Arial" w:cs="Arial"/>
          <w:sz w:val="20"/>
          <w:szCs w:val="20"/>
        </w:rPr>
        <w:t>:</w:t>
      </w:r>
    </w:p>
    <w:p w14:paraId="183AB3F7" w14:textId="4A0E39AD" w:rsidR="009C35C5" w:rsidRPr="009C35C5" w:rsidRDefault="009C35C5" w:rsidP="003E64B7">
      <w:pPr>
        <w:pStyle w:val="ListParagraph"/>
        <w:numPr>
          <w:ilvl w:val="0"/>
          <w:numId w:val="34"/>
        </w:numPr>
        <w:jc w:val="both"/>
        <w:rPr>
          <w:rFonts w:ascii="Arial" w:hAnsi="Arial" w:cs="Arial"/>
          <w:sz w:val="20"/>
          <w:szCs w:val="20"/>
        </w:rPr>
      </w:pPr>
      <w:r w:rsidRPr="009C35C5">
        <w:rPr>
          <w:rFonts w:ascii="Arial" w:hAnsi="Arial" w:cs="Arial"/>
          <w:i/>
          <w:sz w:val="20"/>
          <w:szCs w:val="20"/>
        </w:rPr>
        <w:t>Radiocommunications (Trading Rules for Spectrum Licences) Determination 2012</w:t>
      </w:r>
      <w:r w:rsidRPr="009C35C5">
        <w:rPr>
          <w:rFonts w:ascii="Arial" w:hAnsi="Arial" w:cs="Arial"/>
          <w:sz w:val="20"/>
          <w:szCs w:val="20"/>
        </w:rPr>
        <w:t xml:space="preserve"> (</w:t>
      </w:r>
      <w:r w:rsidRPr="009C35C5">
        <w:rPr>
          <w:rFonts w:ascii="Arial" w:hAnsi="Arial" w:cs="Arial"/>
          <w:b/>
          <w:sz w:val="20"/>
          <w:szCs w:val="20"/>
        </w:rPr>
        <w:t xml:space="preserve">the </w:t>
      </w:r>
      <w:r w:rsidR="00654CF0">
        <w:rPr>
          <w:rFonts w:ascii="Arial" w:hAnsi="Arial" w:cs="Arial"/>
          <w:b/>
          <w:sz w:val="20"/>
          <w:szCs w:val="20"/>
        </w:rPr>
        <w:t>T</w:t>
      </w:r>
      <w:r w:rsidRPr="009C35C5">
        <w:rPr>
          <w:rFonts w:ascii="Arial" w:hAnsi="Arial" w:cs="Arial"/>
          <w:b/>
          <w:sz w:val="20"/>
          <w:szCs w:val="20"/>
        </w:rPr>
        <w:t xml:space="preserve">rading </w:t>
      </w:r>
      <w:r w:rsidR="00654CF0">
        <w:rPr>
          <w:rFonts w:ascii="Arial" w:hAnsi="Arial" w:cs="Arial"/>
          <w:b/>
          <w:sz w:val="20"/>
          <w:szCs w:val="20"/>
        </w:rPr>
        <w:t>R</w:t>
      </w:r>
      <w:r w:rsidRPr="009C35C5">
        <w:rPr>
          <w:rFonts w:ascii="Arial" w:hAnsi="Arial" w:cs="Arial"/>
          <w:b/>
          <w:sz w:val="20"/>
          <w:szCs w:val="20"/>
        </w:rPr>
        <w:t xml:space="preserve">ules </w:t>
      </w:r>
      <w:r w:rsidR="00654CF0">
        <w:rPr>
          <w:rFonts w:ascii="Arial" w:hAnsi="Arial" w:cs="Arial"/>
          <w:b/>
          <w:sz w:val="20"/>
          <w:szCs w:val="20"/>
        </w:rPr>
        <w:t>D</w:t>
      </w:r>
      <w:r w:rsidRPr="009C35C5">
        <w:rPr>
          <w:rFonts w:ascii="Arial" w:hAnsi="Arial" w:cs="Arial"/>
          <w:b/>
          <w:sz w:val="20"/>
          <w:szCs w:val="20"/>
        </w:rPr>
        <w:t>etermination</w:t>
      </w:r>
      <w:r w:rsidRPr="009C35C5">
        <w:rPr>
          <w:rFonts w:ascii="Arial" w:hAnsi="Arial" w:cs="Arial"/>
          <w:sz w:val="20"/>
          <w:szCs w:val="20"/>
        </w:rPr>
        <w:t xml:space="preserve">) </w:t>
      </w:r>
    </w:p>
    <w:p w14:paraId="5712805F" w14:textId="4607E5E3" w:rsidR="009C35C5" w:rsidRPr="009C35C5" w:rsidRDefault="009C35C5" w:rsidP="009C35C5">
      <w:pPr>
        <w:pStyle w:val="ListParagraph"/>
        <w:numPr>
          <w:ilvl w:val="0"/>
          <w:numId w:val="34"/>
        </w:numPr>
        <w:jc w:val="both"/>
        <w:rPr>
          <w:rFonts w:ascii="Arial" w:hAnsi="Arial" w:cs="Arial"/>
          <w:sz w:val="20"/>
          <w:szCs w:val="20"/>
        </w:rPr>
      </w:pPr>
      <w:r w:rsidRPr="009C35C5">
        <w:rPr>
          <w:rFonts w:ascii="Arial" w:hAnsi="Arial" w:cs="Arial"/>
          <w:i/>
          <w:sz w:val="20"/>
          <w:szCs w:val="20"/>
        </w:rPr>
        <w:t xml:space="preserve">Radiocommunications (Unacceptable Levels of Interference – 3.4 GHz Band) Determination 2015 </w:t>
      </w:r>
      <w:r w:rsidRPr="009C35C5">
        <w:rPr>
          <w:rFonts w:ascii="Arial" w:hAnsi="Arial" w:cs="Arial"/>
          <w:sz w:val="20"/>
          <w:szCs w:val="20"/>
        </w:rPr>
        <w:t>(</w:t>
      </w:r>
      <w:r w:rsidRPr="009C35C5">
        <w:rPr>
          <w:rFonts w:ascii="Arial" w:hAnsi="Arial" w:cs="Arial"/>
          <w:b/>
          <w:sz w:val="20"/>
          <w:szCs w:val="20"/>
        </w:rPr>
        <w:t xml:space="preserve">the </w:t>
      </w:r>
      <w:r w:rsidR="00654CF0">
        <w:rPr>
          <w:rFonts w:ascii="Arial" w:hAnsi="Arial" w:cs="Arial"/>
          <w:b/>
          <w:sz w:val="20"/>
          <w:szCs w:val="20"/>
        </w:rPr>
        <w:t xml:space="preserve">ULI </w:t>
      </w:r>
      <w:r w:rsidRPr="009C35C5">
        <w:rPr>
          <w:rFonts w:ascii="Arial" w:hAnsi="Arial" w:cs="Arial"/>
          <w:b/>
          <w:sz w:val="20"/>
          <w:szCs w:val="20"/>
        </w:rPr>
        <w:t>Determination</w:t>
      </w:r>
      <w:r w:rsidRPr="009C35C5">
        <w:rPr>
          <w:rFonts w:ascii="Arial" w:hAnsi="Arial" w:cs="Arial"/>
          <w:sz w:val="20"/>
          <w:szCs w:val="20"/>
        </w:rPr>
        <w:t>)</w:t>
      </w:r>
    </w:p>
    <w:p w14:paraId="259039E3" w14:textId="35A28D57" w:rsidR="003E64B7" w:rsidRPr="009C35C5" w:rsidRDefault="003E64B7" w:rsidP="003E64B7">
      <w:pPr>
        <w:pStyle w:val="ListParagraph"/>
        <w:numPr>
          <w:ilvl w:val="0"/>
          <w:numId w:val="34"/>
        </w:numPr>
        <w:jc w:val="both"/>
        <w:rPr>
          <w:rFonts w:ascii="Arial" w:hAnsi="Arial" w:cs="Arial"/>
          <w:sz w:val="20"/>
          <w:szCs w:val="20"/>
        </w:rPr>
      </w:pPr>
      <w:r w:rsidRPr="009C35C5">
        <w:rPr>
          <w:rFonts w:ascii="Arial" w:hAnsi="Arial" w:cs="Arial"/>
          <w:i/>
          <w:sz w:val="20"/>
          <w:szCs w:val="20"/>
        </w:rPr>
        <w:t xml:space="preserve">Radiocommunications Advisory Guidelines (Managing Interference to Spectrum Licensed Receivers </w:t>
      </w:r>
      <w:r w:rsidR="009C35C5" w:rsidRPr="009C35C5">
        <w:rPr>
          <w:rFonts w:ascii="Arial" w:hAnsi="Arial" w:cs="Arial"/>
          <w:i/>
          <w:sz w:val="20"/>
          <w:szCs w:val="20"/>
        </w:rPr>
        <w:t>–</w:t>
      </w:r>
      <w:r w:rsidRPr="009C35C5">
        <w:rPr>
          <w:rFonts w:ascii="Arial" w:hAnsi="Arial" w:cs="Arial"/>
          <w:i/>
          <w:sz w:val="20"/>
          <w:szCs w:val="20"/>
        </w:rPr>
        <w:t xml:space="preserve"> </w:t>
      </w:r>
      <w:r w:rsidR="009C35C5" w:rsidRPr="009C35C5">
        <w:rPr>
          <w:rFonts w:ascii="Arial" w:hAnsi="Arial" w:cs="Arial"/>
          <w:i/>
          <w:sz w:val="20"/>
          <w:szCs w:val="20"/>
        </w:rPr>
        <w:t>3.4 GHz Band) 2015</w:t>
      </w:r>
      <w:r w:rsidRPr="009C35C5">
        <w:rPr>
          <w:rFonts w:ascii="Arial" w:hAnsi="Arial" w:cs="Arial"/>
          <w:i/>
          <w:sz w:val="20"/>
          <w:szCs w:val="20"/>
        </w:rPr>
        <w:t xml:space="preserve"> </w:t>
      </w:r>
      <w:r w:rsidRPr="009C35C5">
        <w:rPr>
          <w:rFonts w:ascii="Arial" w:hAnsi="Arial" w:cs="Arial"/>
          <w:sz w:val="20"/>
          <w:szCs w:val="20"/>
        </w:rPr>
        <w:t>(</w:t>
      </w:r>
      <w:r w:rsidRPr="009C35C5">
        <w:rPr>
          <w:rFonts w:ascii="Arial" w:hAnsi="Arial" w:cs="Arial"/>
          <w:b/>
          <w:sz w:val="20"/>
          <w:szCs w:val="20"/>
        </w:rPr>
        <w:t>the RAG Rx</w:t>
      </w:r>
      <w:r w:rsidRPr="009C35C5">
        <w:rPr>
          <w:rFonts w:ascii="Arial" w:hAnsi="Arial" w:cs="Arial"/>
          <w:sz w:val="20"/>
          <w:szCs w:val="20"/>
        </w:rPr>
        <w:t>)</w:t>
      </w:r>
    </w:p>
    <w:p w14:paraId="259039E4" w14:textId="380B221D" w:rsidR="003E64B7" w:rsidRPr="009C35C5" w:rsidRDefault="003E64B7" w:rsidP="00641710">
      <w:pPr>
        <w:pStyle w:val="ListParagraph"/>
        <w:numPr>
          <w:ilvl w:val="0"/>
          <w:numId w:val="34"/>
        </w:numPr>
        <w:spacing w:after="120"/>
        <w:jc w:val="both"/>
        <w:rPr>
          <w:rFonts w:ascii="Arial" w:hAnsi="Arial" w:cs="Arial"/>
          <w:sz w:val="20"/>
          <w:szCs w:val="20"/>
        </w:rPr>
      </w:pPr>
      <w:r w:rsidRPr="009C35C5">
        <w:rPr>
          <w:rFonts w:ascii="Arial" w:hAnsi="Arial" w:cs="Arial"/>
          <w:i/>
          <w:sz w:val="20"/>
          <w:szCs w:val="20"/>
        </w:rPr>
        <w:t>Radiocommunications Advisory Guidelines (Managing Interference from Spectrum Licensed Tr</w:t>
      </w:r>
      <w:r w:rsidR="009C35C5" w:rsidRPr="009C35C5">
        <w:rPr>
          <w:rFonts w:ascii="Arial" w:hAnsi="Arial" w:cs="Arial"/>
          <w:i/>
          <w:sz w:val="20"/>
          <w:szCs w:val="20"/>
        </w:rPr>
        <w:t>ansmitters – 3</w:t>
      </w:r>
      <w:r w:rsidR="00353C25">
        <w:rPr>
          <w:rFonts w:ascii="Arial" w:hAnsi="Arial" w:cs="Arial"/>
          <w:i/>
          <w:sz w:val="20"/>
          <w:szCs w:val="20"/>
        </w:rPr>
        <w:t>.</w:t>
      </w:r>
      <w:r w:rsidR="009C35C5" w:rsidRPr="009C35C5">
        <w:rPr>
          <w:rFonts w:ascii="Arial" w:hAnsi="Arial" w:cs="Arial"/>
          <w:i/>
          <w:sz w:val="20"/>
          <w:szCs w:val="20"/>
        </w:rPr>
        <w:t>4 GHz Band) 2015</w:t>
      </w:r>
      <w:r w:rsidRPr="009C35C5">
        <w:rPr>
          <w:rFonts w:ascii="Arial" w:hAnsi="Arial" w:cs="Arial"/>
          <w:i/>
          <w:sz w:val="20"/>
          <w:szCs w:val="20"/>
        </w:rPr>
        <w:t xml:space="preserve"> </w:t>
      </w:r>
      <w:r w:rsidRPr="009C35C5">
        <w:rPr>
          <w:rFonts w:ascii="Arial" w:hAnsi="Arial" w:cs="Arial"/>
          <w:sz w:val="20"/>
          <w:szCs w:val="20"/>
        </w:rPr>
        <w:t>(</w:t>
      </w:r>
      <w:r w:rsidRPr="009C35C5">
        <w:rPr>
          <w:rFonts w:ascii="Arial" w:hAnsi="Arial" w:cs="Arial"/>
          <w:b/>
          <w:sz w:val="20"/>
          <w:szCs w:val="20"/>
        </w:rPr>
        <w:t>the RAG Tx</w:t>
      </w:r>
      <w:r w:rsidRPr="009C35C5">
        <w:rPr>
          <w:rFonts w:ascii="Arial" w:hAnsi="Arial" w:cs="Arial"/>
          <w:sz w:val="20"/>
          <w:szCs w:val="20"/>
        </w:rPr>
        <w:t>)</w:t>
      </w:r>
      <w:r w:rsidR="00654CF0">
        <w:rPr>
          <w:rFonts w:ascii="Arial" w:hAnsi="Arial" w:cs="Arial"/>
          <w:sz w:val="20"/>
          <w:szCs w:val="20"/>
        </w:rPr>
        <w:t>.</w:t>
      </w:r>
    </w:p>
    <w:p w14:paraId="259039E7" w14:textId="704B6A99" w:rsidR="00FF3D20" w:rsidRDefault="007F1698" w:rsidP="00641710">
      <w:pPr>
        <w:spacing w:after="120"/>
        <w:jc w:val="both"/>
        <w:rPr>
          <w:rFonts w:ascii="Arial" w:hAnsi="Arial" w:cs="Arial"/>
          <w:sz w:val="20"/>
          <w:szCs w:val="20"/>
        </w:rPr>
      </w:pPr>
      <w:r>
        <w:rPr>
          <w:rFonts w:ascii="Arial" w:hAnsi="Arial" w:cs="Arial"/>
          <w:sz w:val="20"/>
          <w:szCs w:val="20"/>
        </w:rPr>
        <w:t>The 3575-3700 MHz (</w:t>
      </w:r>
      <w:r w:rsidRPr="00EA31CF">
        <w:rPr>
          <w:rFonts w:ascii="Arial" w:hAnsi="Arial" w:cs="Arial"/>
          <w:b/>
          <w:sz w:val="20"/>
          <w:szCs w:val="20"/>
        </w:rPr>
        <w:t>3.6 GHz</w:t>
      </w:r>
      <w:r>
        <w:rPr>
          <w:rFonts w:ascii="Arial" w:hAnsi="Arial" w:cs="Arial"/>
          <w:sz w:val="20"/>
          <w:szCs w:val="20"/>
        </w:rPr>
        <w:t>)</w:t>
      </w:r>
      <w:r w:rsidRPr="007F1698">
        <w:rPr>
          <w:rFonts w:ascii="Arial" w:hAnsi="Arial" w:cs="Arial"/>
          <w:sz w:val="20"/>
          <w:szCs w:val="20"/>
        </w:rPr>
        <w:t xml:space="preserve"> band has recently been made available for re-allocation in various geographic areas of Australia, pursuant to three re-allocation declarations made by the Minister</w:t>
      </w:r>
      <w:r w:rsidR="006A497E">
        <w:rPr>
          <w:rFonts w:ascii="Arial" w:hAnsi="Arial" w:cs="Arial"/>
          <w:sz w:val="20"/>
          <w:szCs w:val="20"/>
        </w:rPr>
        <w:t xml:space="preserve"> </w:t>
      </w:r>
      <w:r w:rsidR="00DA66CD">
        <w:rPr>
          <w:rFonts w:ascii="Arial" w:hAnsi="Arial" w:cs="Arial"/>
          <w:sz w:val="20"/>
          <w:szCs w:val="20"/>
        </w:rPr>
        <w:t>for</w:t>
      </w:r>
      <w:r w:rsidR="006A497E">
        <w:rPr>
          <w:rFonts w:ascii="Arial" w:hAnsi="Arial" w:cs="Arial"/>
          <w:sz w:val="20"/>
          <w:szCs w:val="20"/>
        </w:rPr>
        <w:t xml:space="preserve"> Communications</w:t>
      </w:r>
      <w:r w:rsidRPr="007F1698">
        <w:rPr>
          <w:rFonts w:ascii="Arial" w:hAnsi="Arial" w:cs="Arial"/>
          <w:sz w:val="20"/>
          <w:szCs w:val="20"/>
        </w:rPr>
        <w:t>. Consequently</w:t>
      </w:r>
      <w:r w:rsidR="00654CF0">
        <w:rPr>
          <w:rFonts w:ascii="Arial" w:hAnsi="Arial" w:cs="Arial"/>
          <w:sz w:val="20"/>
          <w:szCs w:val="20"/>
        </w:rPr>
        <w:t>,</w:t>
      </w:r>
      <w:r w:rsidRPr="007F1698">
        <w:rPr>
          <w:rFonts w:ascii="Arial" w:hAnsi="Arial" w:cs="Arial"/>
          <w:sz w:val="20"/>
          <w:szCs w:val="20"/>
        </w:rPr>
        <w:t xml:space="preserve"> the ACMA will soon be allocating spectrum licences in this part of </w:t>
      </w:r>
      <w:r w:rsidRPr="007F1698">
        <w:rPr>
          <w:rFonts w:ascii="Arial" w:hAnsi="Arial" w:cs="Arial"/>
          <w:sz w:val="20"/>
          <w:szCs w:val="20"/>
        </w:rPr>
        <w:lastRenderedPageBreak/>
        <w:t xml:space="preserve">the band and </w:t>
      </w:r>
      <w:r w:rsidR="00654CF0">
        <w:rPr>
          <w:rFonts w:ascii="Arial" w:hAnsi="Arial" w:cs="Arial"/>
          <w:sz w:val="20"/>
          <w:szCs w:val="20"/>
        </w:rPr>
        <w:t>so has</w:t>
      </w:r>
      <w:r w:rsidRPr="007F1698">
        <w:rPr>
          <w:rFonts w:ascii="Arial" w:hAnsi="Arial" w:cs="Arial"/>
          <w:sz w:val="20"/>
          <w:szCs w:val="20"/>
        </w:rPr>
        <w:t xml:space="preserve"> expand</w:t>
      </w:r>
      <w:r w:rsidR="00654CF0">
        <w:rPr>
          <w:rFonts w:ascii="Arial" w:hAnsi="Arial" w:cs="Arial"/>
          <w:sz w:val="20"/>
          <w:szCs w:val="20"/>
        </w:rPr>
        <w:t>ed</w:t>
      </w:r>
      <w:r w:rsidRPr="007F1698">
        <w:rPr>
          <w:rFonts w:ascii="Arial" w:hAnsi="Arial" w:cs="Arial"/>
          <w:sz w:val="20"/>
          <w:szCs w:val="20"/>
        </w:rPr>
        <w:t xml:space="preserve"> and extend</w:t>
      </w:r>
      <w:r w:rsidR="00654CF0">
        <w:rPr>
          <w:rFonts w:ascii="Arial" w:hAnsi="Arial" w:cs="Arial"/>
          <w:sz w:val="20"/>
          <w:szCs w:val="20"/>
        </w:rPr>
        <w:t>ed</w:t>
      </w:r>
      <w:r w:rsidRPr="007F1698">
        <w:rPr>
          <w:rFonts w:ascii="Arial" w:hAnsi="Arial" w:cs="Arial"/>
          <w:sz w:val="20"/>
          <w:szCs w:val="20"/>
        </w:rPr>
        <w:t xml:space="preserve"> the technical framework that currently applies to existing </w:t>
      </w:r>
      <w:r w:rsidR="00630A6C">
        <w:rPr>
          <w:rFonts w:ascii="Arial" w:hAnsi="Arial" w:cs="Arial"/>
          <w:sz w:val="20"/>
          <w:szCs w:val="20"/>
        </w:rPr>
        <w:t>3425-3492.5 MHz and 3542.5-3575 MHz</w:t>
      </w:r>
      <w:r w:rsidR="006A497E">
        <w:rPr>
          <w:rFonts w:ascii="Arial" w:hAnsi="Arial" w:cs="Arial"/>
          <w:sz w:val="20"/>
          <w:szCs w:val="20"/>
        </w:rPr>
        <w:t xml:space="preserve"> (</w:t>
      </w:r>
      <w:r w:rsidR="006A497E" w:rsidRPr="00EA31CF">
        <w:rPr>
          <w:rFonts w:ascii="Arial" w:hAnsi="Arial" w:cs="Arial"/>
          <w:b/>
          <w:sz w:val="20"/>
          <w:szCs w:val="20"/>
        </w:rPr>
        <w:t>3.4 GHz</w:t>
      </w:r>
      <w:r w:rsidR="006A497E">
        <w:rPr>
          <w:rFonts w:ascii="Arial" w:hAnsi="Arial" w:cs="Arial"/>
          <w:sz w:val="20"/>
          <w:szCs w:val="20"/>
        </w:rPr>
        <w:t>)</w:t>
      </w:r>
      <w:r w:rsidR="00630A6C">
        <w:rPr>
          <w:rFonts w:ascii="Arial" w:hAnsi="Arial" w:cs="Arial"/>
          <w:sz w:val="20"/>
          <w:szCs w:val="20"/>
        </w:rPr>
        <w:t xml:space="preserve"> </w:t>
      </w:r>
      <w:r w:rsidR="006A497E">
        <w:rPr>
          <w:rFonts w:ascii="Arial" w:hAnsi="Arial" w:cs="Arial"/>
          <w:sz w:val="20"/>
          <w:szCs w:val="20"/>
        </w:rPr>
        <w:t xml:space="preserve">band </w:t>
      </w:r>
      <w:r w:rsidRPr="007F1698">
        <w:rPr>
          <w:rFonts w:ascii="Arial" w:hAnsi="Arial" w:cs="Arial"/>
          <w:sz w:val="20"/>
          <w:szCs w:val="20"/>
        </w:rPr>
        <w:t>spectrum licences to spectrum licenses that may be issued in the 3.6 GHz band</w:t>
      </w:r>
      <w:r w:rsidR="00630A6C">
        <w:rPr>
          <w:rFonts w:ascii="Arial" w:hAnsi="Arial" w:cs="Arial"/>
          <w:sz w:val="20"/>
          <w:szCs w:val="20"/>
        </w:rPr>
        <w:t>. A</w:t>
      </w:r>
      <w:r w:rsidR="00FF3D20" w:rsidRPr="009C35C5">
        <w:rPr>
          <w:rFonts w:ascii="Arial" w:hAnsi="Arial" w:cs="Arial"/>
          <w:sz w:val="20"/>
          <w:szCs w:val="20"/>
        </w:rPr>
        <w:t xml:space="preserve">mendments </w:t>
      </w:r>
      <w:r w:rsidR="00654CF0">
        <w:rPr>
          <w:rFonts w:ascii="Arial" w:hAnsi="Arial" w:cs="Arial"/>
          <w:sz w:val="20"/>
          <w:szCs w:val="20"/>
        </w:rPr>
        <w:t>have</w:t>
      </w:r>
      <w:r w:rsidR="00654CF0" w:rsidRPr="009C35C5">
        <w:rPr>
          <w:rFonts w:ascii="Arial" w:hAnsi="Arial" w:cs="Arial"/>
          <w:sz w:val="20"/>
          <w:szCs w:val="20"/>
        </w:rPr>
        <w:t xml:space="preserve"> </w:t>
      </w:r>
      <w:r w:rsidR="00630A6C">
        <w:rPr>
          <w:rFonts w:ascii="Arial" w:hAnsi="Arial" w:cs="Arial"/>
          <w:sz w:val="20"/>
          <w:szCs w:val="20"/>
        </w:rPr>
        <w:t>also</w:t>
      </w:r>
      <w:r w:rsidR="00654CF0">
        <w:rPr>
          <w:rFonts w:ascii="Arial" w:hAnsi="Arial" w:cs="Arial"/>
          <w:sz w:val="20"/>
          <w:szCs w:val="20"/>
        </w:rPr>
        <w:t xml:space="preserve"> been</w:t>
      </w:r>
      <w:r w:rsidR="00630A6C">
        <w:rPr>
          <w:rFonts w:ascii="Arial" w:hAnsi="Arial" w:cs="Arial"/>
          <w:sz w:val="20"/>
          <w:szCs w:val="20"/>
        </w:rPr>
        <w:t xml:space="preserve"> </w:t>
      </w:r>
      <w:r w:rsidR="00FF3D20" w:rsidRPr="009C35C5">
        <w:rPr>
          <w:rFonts w:ascii="Arial" w:hAnsi="Arial" w:cs="Arial"/>
          <w:sz w:val="20"/>
          <w:szCs w:val="20"/>
        </w:rPr>
        <w:t xml:space="preserve">made to support the </w:t>
      </w:r>
      <w:r w:rsidR="009C35C5" w:rsidRPr="009C35C5">
        <w:rPr>
          <w:rFonts w:ascii="Arial" w:hAnsi="Arial" w:cs="Arial"/>
          <w:sz w:val="20"/>
          <w:szCs w:val="20"/>
        </w:rPr>
        <w:t xml:space="preserve">deployment of next generation </w:t>
      </w:r>
      <w:r w:rsidR="00FF3D20" w:rsidRPr="009C35C5">
        <w:rPr>
          <w:rFonts w:ascii="Arial" w:hAnsi="Arial" w:cs="Arial"/>
          <w:sz w:val="20"/>
          <w:szCs w:val="20"/>
        </w:rPr>
        <w:t xml:space="preserve">fixed </w:t>
      </w:r>
      <w:r w:rsidR="009C35C5" w:rsidRPr="009C35C5">
        <w:rPr>
          <w:rFonts w:ascii="Arial" w:hAnsi="Arial" w:cs="Arial"/>
          <w:sz w:val="20"/>
          <w:szCs w:val="20"/>
        </w:rPr>
        <w:t xml:space="preserve">and mobile broadband </w:t>
      </w:r>
      <w:r w:rsidR="00FF3D20" w:rsidRPr="009C35C5">
        <w:rPr>
          <w:rFonts w:ascii="Arial" w:hAnsi="Arial" w:cs="Arial"/>
          <w:sz w:val="20"/>
          <w:szCs w:val="20"/>
        </w:rPr>
        <w:t>services</w:t>
      </w:r>
      <w:r w:rsidR="00630A6C">
        <w:rPr>
          <w:rFonts w:ascii="Arial" w:hAnsi="Arial" w:cs="Arial"/>
          <w:sz w:val="20"/>
          <w:szCs w:val="20"/>
        </w:rPr>
        <w:t xml:space="preserve"> as well as </w:t>
      </w:r>
      <w:r w:rsidR="00C461B0">
        <w:rPr>
          <w:rFonts w:ascii="Arial" w:hAnsi="Arial" w:cs="Arial"/>
          <w:sz w:val="20"/>
          <w:szCs w:val="20"/>
        </w:rPr>
        <w:t xml:space="preserve">to </w:t>
      </w:r>
      <w:r w:rsidR="00FF3D20" w:rsidRPr="009C35C5">
        <w:rPr>
          <w:rFonts w:ascii="Arial" w:hAnsi="Arial" w:cs="Arial"/>
          <w:sz w:val="20"/>
          <w:szCs w:val="20"/>
        </w:rPr>
        <w:t xml:space="preserve">define </w:t>
      </w:r>
      <w:r w:rsidR="00183454">
        <w:rPr>
          <w:rFonts w:ascii="Arial" w:hAnsi="Arial" w:cs="Arial"/>
          <w:sz w:val="20"/>
          <w:szCs w:val="20"/>
        </w:rPr>
        <w:t xml:space="preserve">interference management criteria with other </w:t>
      </w:r>
      <w:r w:rsidR="00FF3D20" w:rsidRPr="009C35C5">
        <w:rPr>
          <w:rFonts w:ascii="Arial" w:hAnsi="Arial" w:cs="Arial"/>
          <w:sz w:val="20"/>
          <w:szCs w:val="20"/>
        </w:rPr>
        <w:t>licensed services</w:t>
      </w:r>
      <w:r w:rsidR="009C35C5" w:rsidRPr="009C35C5">
        <w:rPr>
          <w:rFonts w:ascii="Arial" w:hAnsi="Arial" w:cs="Arial"/>
          <w:sz w:val="20"/>
          <w:szCs w:val="20"/>
        </w:rPr>
        <w:t xml:space="preserve"> operating in and adjacent to the </w:t>
      </w:r>
      <w:r>
        <w:rPr>
          <w:rFonts w:ascii="Arial" w:hAnsi="Arial" w:cs="Arial"/>
          <w:sz w:val="20"/>
          <w:szCs w:val="20"/>
        </w:rPr>
        <w:t>3.6 GHz</w:t>
      </w:r>
      <w:r w:rsidR="009C35C5" w:rsidRPr="009C35C5">
        <w:rPr>
          <w:rFonts w:ascii="Arial" w:hAnsi="Arial" w:cs="Arial"/>
          <w:sz w:val="20"/>
          <w:szCs w:val="20"/>
        </w:rPr>
        <w:t xml:space="preserve"> band</w:t>
      </w:r>
      <w:r w:rsidR="00FF3D20" w:rsidRPr="009C35C5">
        <w:rPr>
          <w:rFonts w:ascii="Arial" w:hAnsi="Arial" w:cs="Arial"/>
          <w:sz w:val="20"/>
          <w:szCs w:val="20"/>
        </w:rPr>
        <w:t>.</w:t>
      </w:r>
    </w:p>
    <w:p w14:paraId="55937BFD" w14:textId="77777777" w:rsidR="00E41156" w:rsidRDefault="00E41156" w:rsidP="00641710">
      <w:pPr>
        <w:spacing w:after="120"/>
        <w:jc w:val="both"/>
        <w:rPr>
          <w:rFonts w:ascii="Arial" w:hAnsi="Arial" w:cs="Arial"/>
          <w:sz w:val="20"/>
          <w:szCs w:val="20"/>
        </w:rPr>
      </w:pPr>
    </w:p>
    <w:p w14:paraId="6519C99B" w14:textId="2D88FCF1" w:rsidR="00E41156" w:rsidRDefault="00E41156" w:rsidP="00641710">
      <w:pPr>
        <w:spacing w:after="120"/>
        <w:jc w:val="both"/>
        <w:rPr>
          <w:rFonts w:ascii="Arial" w:hAnsi="Arial" w:cs="Arial"/>
          <w:sz w:val="20"/>
          <w:szCs w:val="20"/>
        </w:rPr>
      </w:pPr>
      <w:r>
        <w:rPr>
          <w:rFonts w:ascii="Arial" w:hAnsi="Arial" w:cs="Arial"/>
          <w:sz w:val="20"/>
          <w:szCs w:val="20"/>
        </w:rPr>
        <w:t xml:space="preserve">The </w:t>
      </w:r>
      <w:r w:rsidR="0021298B">
        <w:rPr>
          <w:rFonts w:ascii="Arial" w:hAnsi="Arial" w:cs="Arial"/>
          <w:sz w:val="20"/>
          <w:szCs w:val="20"/>
        </w:rPr>
        <w:t>T</w:t>
      </w:r>
      <w:r>
        <w:rPr>
          <w:rFonts w:ascii="Arial" w:hAnsi="Arial" w:cs="Arial"/>
          <w:sz w:val="20"/>
          <w:szCs w:val="20"/>
        </w:rPr>
        <w:t xml:space="preserve">rading </w:t>
      </w:r>
      <w:r w:rsidR="0021298B">
        <w:rPr>
          <w:rFonts w:ascii="Arial" w:hAnsi="Arial" w:cs="Arial"/>
          <w:sz w:val="20"/>
          <w:szCs w:val="20"/>
        </w:rPr>
        <w:t>R</w:t>
      </w:r>
      <w:r>
        <w:rPr>
          <w:rFonts w:ascii="Arial" w:hAnsi="Arial" w:cs="Arial"/>
          <w:sz w:val="20"/>
          <w:szCs w:val="20"/>
        </w:rPr>
        <w:t xml:space="preserve">ules </w:t>
      </w:r>
      <w:r w:rsidR="0021298B">
        <w:rPr>
          <w:rFonts w:ascii="Arial" w:hAnsi="Arial" w:cs="Arial"/>
          <w:sz w:val="20"/>
          <w:szCs w:val="20"/>
        </w:rPr>
        <w:t>D</w:t>
      </w:r>
      <w:r>
        <w:rPr>
          <w:rFonts w:ascii="Arial" w:hAnsi="Arial" w:cs="Arial"/>
          <w:sz w:val="20"/>
          <w:szCs w:val="20"/>
        </w:rPr>
        <w:t xml:space="preserve">etermination sets out the rules for the trading of spectrum licences. The ACMA specifies the </w:t>
      </w:r>
      <w:r w:rsidR="009C57B8">
        <w:rPr>
          <w:rFonts w:ascii="Arial" w:hAnsi="Arial" w:cs="Arial"/>
          <w:sz w:val="20"/>
          <w:szCs w:val="20"/>
        </w:rPr>
        <w:t>minimum contiguous bandwidth (</w:t>
      </w:r>
      <w:r>
        <w:rPr>
          <w:rFonts w:ascii="Arial" w:hAnsi="Arial" w:cs="Arial"/>
          <w:sz w:val="20"/>
          <w:szCs w:val="20"/>
        </w:rPr>
        <w:t>MCB</w:t>
      </w:r>
      <w:r w:rsidR="009C57B8">
        <w:rPr>
          <w:rFonts w:ascii="Arial" w:hAnsi="Arial" w:cs="Arial"/>
          <w:sz w:val="20"/>
          <w:szCs w:val="20"/>
        </w:rPr>
        <w:t>)</w:t>
      </w:r>
      <w:r>
        <w:rPr>
          <w:rFonts w:ascii="Arial" w:hAnsi="Arial" w:cs="Arial"/>
          <w:sz w:val="20"/>
          <w:szCs w:val="20"/>
        </w:rPr>
        <w:t xml:space="preserve"> in the </w:t>
      </w:r>
      <w:r w:rsidR="0021298B">
        <w:rPr>
          <w:rFonts w:ascii="Arial" w:hAnsi="Arial" w:cs="Arial"/>
          <w:sz w:val="20"/>
          <w:szCs w:val="20"/>
        </w:rPr>
        <w:t>T</w:t>
      </w:r>
      <w:r>
        <w:rPr>
          <w:rFonts w:ascii="Arial" w:hAnsi="Arial" w:cs="Arial"/>
          <w:sz w:val="20"/>
          <w:szCs w:val="20"/>
        </w:rPr>
        <w:t xml:space="preserve">rading </w:t>
      </w:r>
      <w:r w:rsidR="0021298B">
        <w:rPr>
          <w:rFonts w:ascii="Arial" w:hAnsi="Arial" w:cs="Arial"/>
          <w:sz w:val="20"/>
          <w:szCs w:val="20"/>
        </w:rPr>
        <w:t>R</w:t>
      </w:r>
      <w:r>
        <w:rPr>
          <w:rFonts w:ascii="Arial" w:hAnsi="Arial" w:cs="Arial"/>
          <w:sz w:val="20"/>
          <w:szCs w:val="20"/>
        </w:rPr>
        <w:t xml:space="preserve">ules </w:t>
      </w:r>
      <w:r w:rsidR="0021298B">
        <w:rPr>
          <w:rFonts w:ascii="Arial" w:hAnsi="Arial" w:cs="Arial"/>
          <w:sz w:val="20"/>
          <w:szCs w:val="20"/>
        </w:rPr>
        <w:t>D</w:t>
      </w:r>
      <w:r>
        <w:rPr>
          <w:rFonts w:ascii="Arial" w:hAnsi="Arial" w:cs="Arial"/>
          <w:sz w:val="20"/>
          <w:szCs w:val="20"/>
        </w:rPr>
        <w:t xml:space="preserve">etermination as the smallest contiguous bandwidth that </w:t>
      </w:r>
      <w:r w:rsidR="007F1698">
        <w:rPr>
          <w:rFonts w:ascii="Arial" w:hAnsi="Arial" w:cs="Arial"/>
          <w:sz w:val="20"/>
          <w:szCs w:val="20"/>
        </w:rPr>
        <w:t xml:space="preserve">must be held in a geographic area after a trade has </w:t>
      </w:r>
      <w:r w:rsidR="00630A6C">
        <w:rPr>
          <w:rFonts w:ascii="Arial" w:hAnsi="Arial" w:cs="Arial"/>
          <w:sz w:val="20"/>
          <w:szCs w:val="20"/>
        </w:rPr>
        <w:t>occurred</w:t>
      </w:r>
      <w:r w:rsidR="007F1698">
        <w:rPr>
          <w:rFonts w:ascii="Arial" w:hAnsi="Arial" w:cs="Arial"/>
          <w:sz w:val="20"/>
          <w:szCs w:val="20"/>
        </w:rPr>
        <w:t xml:space="preserve">. This </w:t>
      </w:r>
      <w:r>
        <w:rPr>
          <w:rFonts w:ascii="Arial" w:hAnsi="Arial" w:cs="Arial"/>
          <w:sz w:val="20"/>
          <w:szCs w:val="20"/>
        </w:rPr>
        <w:t>ensures that the potential for fragmentation in the various spectrum bands is reduced.</w:t>
      </w:r>
    </w:p>
    <w:p w14:paraId="35592680" w14:textId="7B5C74C7" w:rsidR="00E41156" w:rsidRPr="009C35C5" w:rsidRDefault="00E41156" w:rsidP="00641710">
      <w:pPr>
        <w:spacing w:after="120"/>
        <w:jc w:val="both"/>
        <w:rPr>
          <w:rFonts w:ascii="Arial" w:hAnsi="Arial" w:cs="Arial"/>
          <w:sz w:val="20"/>
          <w:szCs w:val="20"/>
        </w:rPr>
      </w:pPr>
      <w:r w:rsidRPr="009C35C5">
        <w:rPr>
          <w:rFonts w:ascii="Arial" w:hAnsi="Arial" w:cs="Arial"/>
          <w:sz w:val="20"/>
          <w:szCs w:val="20"/>
        </w:rPr>
        <w:t xml:space="preserve">The RAG Rx and RAG Tx provide guidance on the management of interference to and from radiocommunications devices operating under spectrum licences in the </w:t>
      </w:r>
      <w:r>
        <w:rPr>
          <w:rFonts w:ascii="Arial" w:hAnsi="Arial" w:cs="Arial"/>
          <w:sz w:val="20"/>
          <w:szCs w:val="20"/>
        </w:rPr>
        <w:t>3.4 GHz</w:t>
      </w:r>
      <w:r w:rsidRPr="009C35C5">
        <w:rPr>
          <w:rFonts w:ascii="Arial" w:hAnsi="Arial" w:cs="Arial"/>
          <w:sz w:val="20"/>
          <w:szCs w:val="20"/>
        </w:rPr>
        <w:t xml:space="preserve"> band with </w:t>
      </w:r>
      <w:r>
        <w:rPr>
          <w:rFonts w:ascii="Arial" w:hAnsi="Arial" w:cs="Arial"/>
          <w:sz w:val="20"/>
          <w:szCs w:val="20"/>
        </w:rPr>
        <w:t xml:space="preserve">other licensed </w:t>
      </w:r>
      <w:r w:rsidRPr="009C35C5">
        <w:rPr>
          <w:rFonts w:ascii="Arial" w:hAnsi="Arial" w:cs="Arial"/>
          <w:sz w:val="20"/>
          <w:szCs w:val="20"/>
        </w:rPr>
        <w:t xml:space="preserve">radiocommunications devices. The ACMA </w:t>
      </w:r>
      <w:r>
        <w:rPr>
          <w:rFonts w:ascii="Arial" w:hAnsi="Arial" w:cs="Arial"/>
          <w:sz w:val="20"/>
          <w:szCs w:val="20"/>
        </w:rPr>
        <w:t>take</w:t>
      </w:r>
      <w:r w:rsidR="00630A6C">
        <w:rPr>
          <w:rFonts w:ascii="Arial" w:hAnsi="Arial" w:cs="Arial"/>
          <w:sz w:val="20"/>
          <w:szCs w:val="20"/>
        </w:rPr>
        <w:t>s</w:t>
      </w:r>
      <w:r w:rsidRPr="009C35C5">
        <w:rPr>
          <w:rFonts w:ascii="Arial" w:hAnsi="Arial" w:cs="Arial"/>
          <w:sz w:val="20"/>
          <w:szCs w:val="20"/>
        </w:rPr>
        <w:t xml:space="preserve"> the</w:t>
      </w:r>
      <w:r>
        <w:rPr>
          <w:rFonts w:ascii="Arial" w:hAnsi="Arial" w:cs="Arial"/>
          <w:sz w:val="20"/>
          <w:szCs w:val="20"/>
        </w:rPr>
        <w:t>se</w:t>
      </w:r>
      <w:r w:rsidRPr="009C35C5">
        <w:rPr>
          <w:rFonts w:ascii="Arial" w:hAnsi="Arial" w:cs="Arial"/>
          <w:sz w:val="20"/>
          <w:szCs w:val="20"/>
        </w:rPr>
        <w:t xml:space="preserve"> Advisory Guidelines into account when determining whether </w:t>
      </w:r>
      <w:r>
        <w:rPr>
          <w:rFonts w:ascii="Arial" w:hAnsi="Arial" w:cs="Arial"/>
          <w:sz w:val="20"/>
          <w:szCs w:val="20"/>
        </w:rPr>
        <w:t xml:space="preserve">interference is being caused to or from </w:t>
      </w:r>
      <w:r w:rsidRPr="009C35C5">
        <w:rPr>
          <w:rFonts w:ascii="Arial" w:hAnsi="Arial" w:cs="Arial"/>
          <w:sz w:val="20"/>
          <w:szCs w:val="20"/>
        </w:rPr>
        <w:t xml:space="preserve">a </w:t>
      </w:r>
      <w:r>
        <w:rPr>
          <w:rFonts w:ascii="Arial" w:hAnsi="Arial" w:cs="Arial"/>
          <w:sz w:val="20"/>
          <w:szCs w:val="20"/>
        </w:rPr>
        <w:t>device operating under a 3.4 GHz band spectrum licenc</w:t>
      </w:r>
      <w:r w:rsidRPr="009C35C5">
        <w:rPr>
          <w:rFonts w:ascii="Arial" w:hAnsi="Arial" w:cs="Arial"/>
          <w:sz w:val="20"/>
          <w:szCs w:val="20"/>
        </w:rPr>
        <w:t>e</w:t>
      </w:r>
      <w:r w:rsidR="009C57B8">
        <w:rPr>
          <w:rFonts w:ascii="Arial" w:hAnsi="Arial" w:cs="Arial"/>
          <w:sz w:val="20"/>
          <w:szCs w:val="20"/>
        </w:rPr>
        <w:t xml:space="preserve"> and how that interference may be managed</w:t>
      </w:r>
      <w:r>
        <w:rPr>
          <w:rFonts w:ascii="Arial" w:hAnsi="Arial" w:cs="Arial"/>
          <w:sz w:val="20"/>
          <w:szCs w:val="20"/>
        </w:rPr>
        <w:t xml:space="preserve">. </w:t>
      </w:r>
      <w:r w:rsidRPr="009C35C5">
        <w:rPr>
          <w:rFonts w:ascii="Arial" w:hAnsi="Arial" w:cs="Arial"/>
          <w:sz w:val="20"/>
          <w:szCs w:val="20"/>
        </w:rPr>
        <w:t xml:space="preserve"> </w:t>
      </w:r>
    </w:p>
    <w:p w14:paraId="3826D883" w14:textId="6F9C8627" w:rsidR="00E41156" w:rsidRPr="009C35C5" w:rsidRDefault="00E41156" w:rsidP="00641710">
      <w:pPr>
        <w:spacing w:after="120"/>
        <w:jc w:val="both"/>
        <w:rPr>
          <w:rFonts w:ascii="Arial" w:hAnsi="Arial" w:cs="Arial"/>
          <w:sz w:val="20"/>
          <w:szCs w:val="20"/>
        </w:rPr>
      </w:pPr>
      <w:r w:rsidRPr="009C35C5">
        <w:rPr>
          <w:rFonts w:ascii="Arial" w:hAnsi="Arial" w:cs="Arial"/>
          <w:sz w:val="20"/>
          <w:szCs w:val="20"/>
        </w:rPr>
        <w:t xml:space="preserve">Under subsection 145(1) of the Act, the ACMA may, if it is satisfied that the operation of a radiocommunications transmitter could cause an unacceptable level of interference to other radiocommunications devices, refuse to register the transmitter. The </w:t>
      </w:r>
      <w:r w:rsidR="0021298B">
        <w:rPr>
          <w:rFonts w:ascii="Arial" w:hAnsi="Arial" w:cs="Arial"/>
          <w:sz w:val="20"/>
          <w:szCs w:val="20"/>
        </w:rPr>
        <w:t xml:space="preserve">ULI </w:t>
      </w:r>
      <w:r w:rsidRPr="009C35C5">
        <w:rPr>
          <w:rFonts w:ascii="Arial" w:hAnsi="Arial" w:cs="Arial"/>
          <w:sz w:val="20"/>
          <w:szCs w:val="20"/>
        </w:rPr>
        <w:t xml:space="preserve">Determination sets out what is meant by an ‘unacceptable level of interference’ in relation to a radiocommunications transmitter operated under a spectrum licence issued in the </w:t>
      </w:r>
      <w:r>
        <w:rPr>
          <w:rFonts w:ascii="Arial" w:hAnsi="Arial" w:cs="Arial"/>
          <w:sz w:val="20"/>
          <w:szCs w:val="20"/>
        </w:rPr>
        <w:t>3.4 GHz</w:t>
      </w:r>
      <w:r w:rsidRPr="009C35C5">
        <w:rPr>
          <w:rFonts w:ascii="Arial" w:hAnsi="Arial" w:cs="Arial"/>
          <w:sz w:val="20"/>
          <w:szCs w:val="20"/>
        </w:rPr>
        <w:t xml:space="preserve"> band.</w:t>
      </w:r>
    </w:p>
    <w:p w14:paraId="259039F6" w14:textId="77777777" w:rsidR="00C37838" w:rsidRPr="009C35C5" w:rsidRDefault="00C37838" w:rsidP="00641710">
      <w:pPr>
        <w:spacing w:after="120"/>
        <w:jc w:val="both"/>
        <w:rPr>
          <w:rFonts w:ascii="Arial" w:hAnsi="Arial" w:cs="Arial"/>
          <w:sz w:val="20"/>
          <w:szCs w:val="20"/>
        </w:rPr>
      </w:pPr>
    </w:p>
    <w:p w14:paraId="10ABC2B0" w14:textId="24F8DE38" w:rsidR="0021298B" w:rsidRPr="00641710" w:rsidRDefault="009C7347" w:rsidP="00641710">
      <w:pPr>
        <w:keepNext/>
        <w:spacing w:after="120"/>
        <w:jc w:val="both"/>
        <w:outlineLvl w:val="0"/>
        <w:rPr>
          <w:rFonts w:ascii="Arial" w:hAnsi="Arial" w:cs="Arial"/>
          <w:b/>
          <w:sz w:val="20"/>
          <w:szCs w:val="20"/>
        </w:rPr>
      </w:pPr>
      <w:r w:rsidRPr="009C35C5">
        <w:rPr>
          <w:rFonts w:ascii="Arial" w:hAnsi="Arial" w:cs="Arial"/>
          <w:b/>
          <w:sz w:val="20"/>
          <w:szCs w:val="20"/>
        </w:rPr>
        <w:t>Background</w:t>
      </w:r>
    </w:p>
    <w:p w14:paraId="259039FA" w14:textId="7A71E1C8" w:rsidR="00E97B8C" w:rsidRPr="009C35C5" w:rsidRDefault="009C7347" w:rsidP="00641710">
      <w:pPr>
        <w:spacing w:after="120"/>
        <w:jc w:val="both"/>
        <w:rPr>
          <w:rFonts w:ascii="Arial" w:hAnsi="Arial" w:cs="Arial"/>
          <w:sz w:val="20"/>
          <w:szCs w:val="20"/>
        </w:rPr>
      </w:pPr>
      <w:r w:rsidRPr="009C35C5">
        <w:rPr>
          <w:rFonts w:ascii="Arial" w:hAnsi="Arial" w:cs="Arial"/>
          <w:sz w:val="20"/>
          <w:szCs w:val="20"/>
        </w:rPr>
        <w:t xml:space="preserve">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geographic boundaries, and out-of-band interference across frequency boundaries. Interference can also occur between spectrum licensed services and services operating under apparatus </w:t>
      </w:r>
      <w:r w:rsidR="009C57B8">
        <w:rPr>
          <w:rFonts w:ascii="Arial" w:hAnsi="Arial" w:cs="Arial"/>
          <w:sz w:val="20"/>
          <w:szCs w:val="20"/>
        </w:rPr>
        <w:t xml:space="preserve">licences </w:t>
      </w:r>
      <w:r w:rsidRPr="009C35C5">
        <w:rPr>
          <w:rFonts w:ascii="Arial" w:hAnsi="Arial" w:cs="Arial"/>
          <w:sz w:val="20"/>
          <w:szCs w:val="20"/>
        </w:rPr>
        <w:t>and class licensing arrangements</w:t>
      </w:r>
      <w:r w:rsidR="008A2EAE" w:rsidRPr="009C35C5">
        <w:rPr>
          <w:rFonts w:ascii="Arial" w:hAnsi="Arial" w:cs="Arial"/>
          <w:sz w:val="20"/>
          <w:szCs w:val="20"/>
        </w:rPr>
        <w:t>.</w:t>
      </w:r>
      <w:r w:rsidRPr="009C35C5">
        <w:rPr>
          <w:rFonts w:ascii="Arial" w:hAnsi="Arial" w:cs="Arial"/>
          <w:sz w:val="20"/>
          <w:szCs w:val="20"/>
        </w:rPr>
        <w:t xml:space="preserve">  </w:t>
      </w:r>
    </w:p>
    <w:p w14:paraId="21B1BB4E" w14:textId="636869A9" w:rsidR="00F63616" w:rsidRDefault="00E97B8C" w:rsidP="00641710">
      <w:pPr>
        <w:spacing w:after="120"/>
        <w:jc w:val="both"/>
        <w:rPr>
          <w:rFonts w:ascii="Arial" w:hAnsi="Arial" w:cs="Arial"/>
          <w:sz w:val="20"/>
          <w:szCs w:val="20"/>
        </w:rPr>
      </w:pPr>
      <w:r w:rsidRPr="009C35C5">
        <w:rPr>
          <w:rFonts w:ascii="Arial" w:hAnsi="Arial" w:cs="Arial"/>
          <w:sz w:val="20"/>
          <w:szCs w:val="20"/>
        </w:rPr>
        <w:t xml:space="preserve">The Act provides a number of means by which the ACMA may manage interference </w:t>
      </w:r>
      <w:r w:rsidR="00630A6C">
        <w:rPr>
          <w:rFonts w:ascii="Arial" w:hAnsi="Arial" w:cs="Arial"/>
          <w:sz w:val="20"/>
          <w:szCs w:val="20"/>
        </w:rPr>
        <w:t xml:space="preserve">to and </w:t>
      </w:r>
      <w:r w:rsidRPr="009C35C5">
        <w:rPr>
          <w:rFonts w:ascii="Arial" w:hAnsi="Arial" w:cs="Arial"/>
          <w:sz w:val="20"/>
          <w:szCs w:val="20"/>
        </w:rPr>
        <w:t>from radiocommunications transmitter</w:t>
      </w:r>
      <w:r w:rsidR="006A497E">
        <w:rPr>
          <w:rFonts w:ascii="Arial" w:hAnsi="Arial" w:cs="Arial"/>
          <w:sz w:val="20"/>
          <w:szCs w:val="20"/>
        </w:rPr>
        <w:t>s</w:t>
      </w:r>
      <w:r w:rsidRPr="009C35C5">
        <w:rPr>
          <w:rFonts w:ascii="Arial" w:hAnsi="Arial" w:cs="Arial"/>
          <w:sz w:val="20"/>
          <w:szCs w:val="20"/>
        </w:rPr>
        <w:t xml:space="preserve"> </w:t>
      </w:r>
      <w:r w:rsidR="00630A6C">
        <w:rPr>
          <w:rFonts w:ascii="Arial" w:hAnsi="Arial" w:cs="Arial"/>
          <w:sz w:val="20"/>
          <w:szCs w:val="20"/>
        </w:rPr>
        <w:t xml:space="preserve">and receivers operating </w:t>
      </w:r>
      <w:r w:rsidRPr="009C35C5">
        <w:rPr>
          <w:rFonts w:ascii="Arial" w:hAnsi="Arial" w:cs="Arial"/>
          <w:sz w:val="20"/>
          <w:szCs w:val="20"/>
        </w:rPr>
        <w:t>under a spectrum licence</w:t>
      </w:r>
      <w:r w:rsidR="007D270B">
        <w:rPr>
          <w:rFonts w:ascii="Arial" w:hAnsi="Arial" w:cs="Arial"/>
          <w:sz w:val="20"/>
          <w:szCs w:val="20"/>
        </w:rPr>
        <w:t xml:space="preserve">. </w:t>
      </w:r>
      <w:r w:rsidRPr="009C35C5">
        <w:rPr>
          <w:rFonts w:ascii="Arial" w:hAnsi="Arial" w:cs="Arial"/>
          <w:sz w:val="20"/>
          <w:szCs w:val="20"/>
        </w:rPr>
        <w:t xml:space="preserve">These include the ability to make advisory guidelines under section 262 of the Act about interference management and </w:t>
      </w:r>
      <w:r w:rsidR="007D270B">
        <w:rPr>
          <w:rFonts w:ascii="Arial" w:hAnsi="Arial" w:cs="Arial"/>
          <w:sz w:val="20"/>
          <w:szCs w:val="20"/>
        </w:rPr>
        <w:t xml:space="preserve">to </w:t>
      </w:r>
      <w:r w:rsidR="00761597" w:rsidRPr="009C35C5">
        <w:rPr>
          <w:rFonts w:ascii="Arial" w:hAnsi="Arial" w:cs="Arial"/>
          <w:sz w:val="20"/>
          <w:szCs w:val="20"/>
        </w:rPr>
        <w:t xml:space="preserve">determine by written instrument what constitutes an unacceptable level of interference under </w:t>
      </w:r>
      <w:r w:rsidR="007D270B">
        <w:rPr>
          <w:rFonts w:ascii="Arial" w:hAnsi="Arial" w:cs="Arial"/>
          <w:sz w:val="20"/>
          <w:szCs w:val="20"/>
        </w:rPr>
        <w:t>sub</w:t>
      </w:r>
      <w:r w:rsidR="00761597" w:rsidRPr="009C35C5">
        <w:rPr>
          <w:rFonts w:ascii="Arial" w:hAnsi="Arial" w:cs="Arial"/>
          <w:sz w:val="20"/>
          <w:szCs w:val="20"/>
        </w:rPr>
        <w:t>section 145(4) for the purpose of registering transmitters</w:t>
      </w:r>
      <w:r w:rsidRPr="009C35C5">
        <w:rPr>
          <w:rFonts w:ascii="Arial" w:hAnsi="Arial" w:cs="Arial"/>
          <w:sz w:val="20"/>
          <w:szCs w:val="20"/>
        </w:rPr>
        <w:t>.</w:t>
      </w:r>
      <w:r w:rsidR="00F63616">
        <w:rPr>
          <w:rFonts w:ascii="Arial" w:hAnsi="Arial" w:cs="Arial"/>
          <w:sz w:val="20"/>
          <w:szCs w:val="20"/>
        </w:rPr>
        <w:t xml:space="preserve"> Along with the conditions on a spectrum licence, these form the technical framework for a spectrum licence</w:t>
      </w:r>
      <w:r w:rsidR="00353C25">
        <w:rPr>
          <w:rFonts w:ascii="Arial" w:hAnsi="Arial" w:cs="Arial"/>
          <w:sz w:val="20"/>
          <w:szCs w:val="20"/>
        </w:rPr>
        <w:t>d</w:t>
      </w:r>
      <w:r w:rsidR="00F63616">
        <w:rPr>
          <w:rFonts w:ascii="Arial" w:hAnsi="Arial" w:cs="Arial"/>
          <w:sz w:val="20"/>
          <w:szCs w:val="20"/>
        </w:rPr>
        <w:t xml:space="preserve"> band.</w:t>
      </w:r>
    </w:p>
    <w:p w14:paraId="12C26959" w14:textId="338C87AC" w:rsidR="00253653" w:rsidRDefault="00F63616" w:rsidP="00641710">
      <w:pPr>
        <w:spacing w:after="120"/>
        <w:jc w:val="both"/>
        <w:rPr>
          <w:rFonts w:ascii="Arial" w:hAnsi="Arial" w:cs="Arial"/>
          <w:sz w:val="20"/>
          <w:szCs w:val="20"/>
        </w:rPr>
      </w:pPr>
      <w:r>
        <w:rPr>
          <w:rFonts w:ascii="Arial" w:hAnsi="Arial" w:cs="Arial"/>
          <w:sz w:val="20"/>
          <w:szCs w:val="20"/>
        </w:rPr>
        <w:t xml:space="preserve">The </w:t>
      </w:r>
      <w:r w:rsidR="00630A6C">
        <w:rPr>
          <w:rFonts w:ascii="Arial" w:hAnsi="Arial" w:cs="Arial"/>
          <w:sz w:val="20"/>
          <w:szCs w:val="20"/>
        </w:rPr>
        <w:t>3.4 GHz</w:t>
      </w:r>
      <w:r w:rsidR="006A497E">
        <w:rPr>
          <w:rFonts w:ascii="Arial" w:hAnsi="Arial" w:cs="Arial"/>
          <w:sz w:val="20"/>
          <w:szCs w:val="20"/>
        </w:rPr>
        <w:t xml:space="preserve"> band</w:t>
      </w:r>
      <w:r w:rsidR="00630A6C">
        <w:rPr>
          <w:rFonts w:ascii="Arial" w:hAnsi="Arial" w:cs="Arial"/>
          <w:sz w:val="20"/>
          <w:szCs w:val="20"/>
        </w:rPr>
        <w:t xml:space="preserve"> </w:t>
      </w:r>
      <w:r w:rsidR="00BC73CE">
        <w:rPr>
          <w:rFonts w:ascii="Arial" w:hAnsi="Arial" w:cs="Arial"/>
          <w:sz w:val="20"/>
          <w:szCs w:val="20"/>
        </w:rPr>
        <w:t xml:space="preserve">was originally made available for </w:t>
      </w:r>
      <w:r>
        <w:rPr>
          <w:rFonts w:ascii="Arial" w:hAnsi="Arial" w:cs="Arial"/>
          <w:sz w:val="20"/>
          <w:szCs w:val="20"/>
        </w:rPr>
        <w:t>re-allocat</w:t>
      </w:r>
      <w:r w:rsidR="00BC73CE">
        <w:rPr>
          <w:rFonts w:ascii="Arial" w:hAnsi="Arial" w:cs="Arial"/>
          <w:sz w:val="20"/>
          <w:szCs w:val="20"/>
        </w:rPr>
        <w:t xml:space="preserve">ion by way of the </w:t>
      </w:r>
      <w:r>
        <w:rPr>
          <w:rFonts w:ascii="Arial" w:hAnsi="Arial" w:cs="Arial"/>
          <w:sz w:val="20"/>
          <w:szCs w:val="20"/>
        </w:rPr>
        <w:t>issue of spectrum licences in April 2000</w:t>
      </w:r>
      <w:r w:rsidR="00BC73CE">
        <w:rPr>
          <w:rFonts w:ascii="Arial" w:hAnsi="Arial" w:cs="Arial"/>
          <w:sz w:val="20"/>
          <w:szCs w:val="20"/>
        </w:rPr>
        <w:t xml:space="preserve">. Licences issued as a result of that re-allocation process were, largely, re-issued in 2015, and further spectrum licences in unallocated spectrum in the band were </w:t>
      </w:r>
      <w:r w:rsidR="00416F67">
        <w:rPr>
          <w:rFonts w:ascii="Arial" w:hAnsi="Arial" w:cs="Arial"/>
          <w:sz w:val="20"/>
          <w:szCs w:val="20"/>
        </w:rPr>
        <w:t xml:space="preserve">allocated through </w:t>
      </w:r>
      <w:r w:rsidR="00BC73CE">
        <w:rPr>
          <w:rFonts w:ascii="Arial" w:hAnsi="Arial" w:cs="Arial"/>
          <w:sz w:val="20"/>
          <w:szCs w:val="20"/>
        </w:rPr>
        <w:t xml:space="preserve">an auction process pursuant to the </w:t>
      </w:r>
      <w:r w:rsidR="00BC73CE" w:rsidRPr="003436F1">
        <w:rPr>
          <w:rFonts w:ascii="Arial" w:hAnsi="Arial" w:cs="Arial"/>
          <w:i/>
          <w:sz w:val="20"/>
          <w:szCs w:val="20"/>
        </w:rPr>
        <w:t>Radiocommunications (Spectrum Licence Allocation – Multi-band Auction) Determination 2017</w:t>
      </w:r>
      <w:r w:rsidR="00416F67">
        <w:rPr>
          <w:rFonts w:ascii="Arial" w:hAnsi="Arial" w:cs="Arial"/>
          <w:i/>
          <w:sz w:val="20"/>
          <w:szCs w:val="20"/>
        </w:rPr>
        <w:t>.</w:t>
      </w:r>
      <w:r w:rsidR="00BC73CE" w:rsidRPr="00BC73CE">
        <w:rPr>
          <w:rFonts w:ascii="Arial" w:hAnsi="Arial" w:cs="Arial"/>
          <w:sz w:val="20"/>
          <w:szCs w:val="20"/>
        </w:rPr>
        <w:t xml:space="preserve"> </w:t>
      </w:r>
      <w:r w:rsidR="0021298B">
        <w:rPr>
          <w:rFonts w:ascii="Arial" w:hAnsi="Arial" w:cs="Arial"/>
          <w:sz w:val="20"/>
          <w:szCs w:val="20"/>
        </w:rPr>
        <w:t>T</w:t>
      </w:r>
      <w:r>
        <w:rPr>
          <w:rFonts w:ascii="Arial" w:hAnsi="Arial" w:cs="Arial"/>
          <w:sz w:val="20"/>
          <w:szCs w:val="20"/>
        </w:rPr>
        <w:t xml:space="preserve">he ACMA has a technical framework in place </w:t>
      </w:r>
      <w:r w:rsidR="00630A6C">
        <w:rPr>
          <w:rFonts w:ascii="Arial" w:hAnsi="Arial" w:cs="Arial"/>
          <w:sz w:val="20"/>
          <w:szCs w:val="20"/>
        </w:rPr>
        <w:t>that covers these frequency ranges</w:t>
      </w:r>
      <w:r>
        <w:rPr>
          <w:rFonts w:ascii="Arial" w:hAnsi="Arial" w:cs="Arial"/>
          <w:sz w:val="20"/>
          <w:szCs w:val="20"/>
        </w:rPr>
        <w:t xml:space="preserve">. Spectrum licences </w:t>
      </w:r>
      <w:r w:rsidR="00416F67">
        <w:rPr>
          <w:rFonts w:ascii="Arial" w:hAnsi="Arial" w:cs="Arial"/>
          <w:sz w:val="20"/>
          <w:szCs w:val="20"/>
        </w:rPr>
        <w:t xml:space="preserve">within </w:t>
      </w:r>
      <w:r w:rsidR="00630A6C">
        <w:rPr>
          <w:rFonts w:ascii="Arial" w:hAnsi="Arial" w:cs="Arial"/>
          <w:sz w:val="20"/>
          <w:szCs w:val="20"/>
        </w:rPr>
        <w:t xml:space="preserve">these frequency ranges </w:t>
      </w:r>
      <w:r>
        <w:rPr>
          <w:rFonts w:ascii="Arial" w:hAnsi="Arial" w:cs="Arial"/>
          <w:sz w:val="20"/>
          <w:szCs w:val="20"/>
        </w:rPr>
        <w:t xml:space="preserve">are issued </w:t>
      </w:r>
      <w:r w:rsidR="007D270B">
        <w:rPr>
          <w:rFonts w:ascii="Arial" w:hAnsi="Arial" w:cs="Arial"/>
          <w:sz w:val="20"/>
          <w:szCs w:val="20"/>
        </w:rPr>
        <w:t>for use in</w:t>
      </w:r>
      <w:r>
        <w:rPr>
          <w:rFonts w:ascii="Arial" w:hAnsi="Arial" w:cs="Arial"/>
          <w:sz w:val="20"/>
          <w:szCs w:val="20"/>
        </w:rPr>
        <w:t xml:space="preserve"> various metropolitan, major regional centres and regional areas of Australia. </w:t>
      </w:r>
    </w:p>
    <w:p w14:paraId="1056FDD4" w14:textId="2812613B" w:rsidR="00253653" w:rsidRPr="009C35C5" w:rsidRDefault="00253653" w:rsidP="00641710">
      <w:pPr>
        <w:spacing w:after="120"/>
        <w:jc w:val="both"/>
        <w:rPr>
          <w:rFonts w:ascii="Arial" w:hAnsi="Arial" w:cs="Arial"/>
          <w:sz w:val="20"/>
          <w:szCs w:val="20"/>
        </w:rPr>
      </w:pPr>
      <w:r w:rsidRPr="009C35C5">
        <w:rPr>
          <w:rFonts w:ascii="Arial" w:hAnsi="Arial" w:cs="Arial"/>
          <w:sz w:val="20"/>
          <w:szCs w:val="20"/>
        </w:rPr>
        <w:t xml:space="preserve">The set of legal instruments that </w:t>
      </w:r>
      <w:r>
        <w:rPr>
          <w:rFonts w:ascii="Arial" w:hAnsi="Arial" w:cs="Arial"/>
          <w:sz w:val="20"/>
          <w:szCs w:val="20"/>
        </w:rPr>
        <w:t>for</w:t>
      </w:r>
      <w:r w:rsidR="00586DC0">
        <w:rPr>
          <w:rFonts w:ascii="Arial" w:hAnsi="Arial" w:cs="Arial"/>
          <w:sz w:val="20"/>
          <w:szCs w:val="20"/>
        </w:rPr>
        <w:t>m</w:t>
      </w:r>
      <w:r>
        <w:rPr>
          <w:rFonts w:ascii="Arial" w:hAnsi="Arial" w:cs="Arial"/>
          <w:sz w:val="20"/>
          <w:szCs w:val="20"/>
        </w:rPr>
        <w:t xml:space="preserve"> the technical framework for</w:t>
      </w:r>
      <w:r w:rsidRPr="009C35C5">
        <w:rPr>
          <w:rFonts w:ascii="Arial" w:hAnsi="Arial" w:cs="Arial"/>
          <w:sz w:val="20"/>
          <w:szCs w:val="20"/>
        </w:rPr>
        <w:t xml:space="preserve"> the </w:t>
      </w:r>
      <w:r>
        <w:rPr>
          <w:rFonts w:ascii="Arial" w:hAnsi="Arial" w:cs="Arial"/>
          <w:sz w:val="20"/>
          <w:szCs w:val="20"/>
        </w:rPr>
        <w:t>3.4 GHz</w:t>
      </w:r>
      <w:r w:rsidRPr="009C35C5">
        <w:rPr>
          <w:rFonts w:ascii="Arial" w:hAnsi="Arial" w:cs="Arial"/>
          <w:sz w:val="20"/>
          <w:szCs w:val="20"/>
        </w:rPr>
        <w:t xml:space="preserve"> band are the </w:t>
      </w:r>
      <w:r w:rsidRPr="009C35C5">
        <w:rPr>
          <w:rFonts w:ascii="Arial" w:hAnsi="Arial" w:cs="Arial"/>
          <w:i/>
          <w:sz w:val="20"/>
          <w:szCs w:val="20"/>
        </w:rPr>
        <w:t xml:space="preserve">Radiocommunications Advisory Guidelines (Managing Interference from Spectrum Licensed Transmitters – </w:t>
      </w:r>
      <w:r>
        <w:rPr>
          <w:rFonts w:ascii="Arial" w:hAnsi="Arial" w:cs="Arial"/>
          <w:i/>
          <w:sz w:val="20"/>
          <w:szCs w:val="20"/>
        </w:rPr>
        <w:t>3.4 GHz</w:t>
      </w:r>
      <w:r w:rsidRPr="009C35C5">
        <w:rPr>
          <w:rFonts w:ascii="Arial" w:hAnsi="Arial" w:cs="Arial"/>
          <w:i/>
          <w:sz w:val="20"/>
          <w:szCs w:val="20"/>
        </w:rPr>
        <w:t xml:space="preserve"> Band) 201</w:t>
      </w:r>
      <w:r>
        <w:rPr>
          <w:rFonts w:ascii="Arial" w:hAnsi="Arial" w:cs="Arial"/>
          <w:i/>
          <w:sz w:val="20"/>
          <w:szCs w:val="20"/>
        </w:rPr>
        <w:t>5</w:t>
      </w:r>
      <w:r w:rsidRPr="009C35C5">
        <w:rPr>
          <w:rFonts w:ascii="Arial" w:hAnsi="Arial" w:cs="Arial"/>
          <w:sz w:val="20"/>
          <w:szCs w:val="20"/>
        </w:rPr>
        <w:t xml:space="preserve">, </w:t>
      </w:r>
      <w:r w:rsidRPr="009C35C5">
        <w:rPr>
          <w:rFonts w:ascii="Arial" w:hAnsi="Arial" w:cs="Arial"/>
          <w:i/>
          <w:sz w:val="20"/>
          <w:szCs w:val="20"/>
        </w:rPr>
        <w:t xml:space="preserve">Radiocommunications Advisory Guidelines (Managing Interference to Spectrum Licensed Receivers – </w:t>
      </w:r>
      <w:r>
        <w:rPr>
          <w:rFonts w:ascii="Arial" w:hAnsi="Arial" w:cs="Arial"/>
          <w:i/>
          <w:sz w:val="20"/>
          <w:szCs w:val="20"/>
        </w:rPr>
        <w:t>3.4 GHz Band) 2015</w:t>
      </w:r>
      <w:r w:rsidRPr="009C35C5">
        <w:rPr>
          <w:rFonts w:ascii="Arial" w:hAnsi="Arial" w:cs="Arial"/>
          <w:i/>
          <w:sz w:val="20"/>
          <w:szCs w:val="20"/>
        </w:rPr>
        <w:t xml:space="preserve"> </w:t>
      </w:r>
      <w:r w:rsidRPr="00F4028F">
        <w:rPr>
          <w:rFonts w:ascii="Arial" w:hAnsi="Arial" w:cs="Arial"/>
          <w:sz w:val="20"/>
          <w:szCs w:val="20"/>
        </w:rPr>
        <w:t>and the</w:t>
      </w:r>
      <w:r w:rsidRPr="009C35C5">
        <w:rPr>
          <w:rFonts w:ascii="Arial" w:hAnsi="Arial" w:cs="Arial"/>
          <w:i/>
          <w:sz w:val="20"/>
          <w:szCs w:val="20"/>
        </w:rPr>
        <w:t xml:space="preserve"> Radiocommunications (Unacceptable Levels of Interference – </w:t>
      </w:r>
      <w:r>
        <w:rPr>
          <w:rFonts w:ascii="Arial" w:hAnsi="Arial" w:cs="Arial"/>
          <w:i/>
          <w:sz w:val="20"/>
          <w:szCs w:val="20"/>
        </w:rPr>
        <w:t>3.4 GHz Band) Determination 2015</w:t>
      </w:r>
      <w:r w:rsidRPr="009C35C5">
        <w:rPr>
          <w:rFonts w:ascii="Arial" w:hAnsi="Arial" w:cs="Arial"/>
          <w:i/>
          <w:sz w:val="20"/>
          <w:szCs w:val="20"/>
        </w:rPr>
        <w:t>.</w:t>
      </w:r>
    </w:p>
    <w:p w14:paraId="5C39460E" w14:textId="77777777" w:rsidR="00F4028F" w:rsidRDefault="00F4028F" w:rsidP="00641710">
      <w:pPr>
        <w:spacing w:after="120"/>
        <w:jc w:val="both"/>
        <w:rPr>
          <w:rFonts w:ascii="Arial" w:hAnsi="Arial" w:cs="Arial"/>
          <w:sz w:val="20"/>
          <w:szCs w:val="20"/>
        </w:rPr>
      </w:pPr>
    </w:p>
    <w:p w14:paraId="72E8800E" w14:textId="11E421D9" w:rsidR="00F63616" w:rsidRDefault="00F63616" w:rsidP="00641710">
      <w:pPr>
        <w:spacing w:after="120"/>
        <w:jc w:val="both"/>
        <w:rPr>
          <w:rFonts w:ascii="Arial" w:hAnsi="Arial" w:cs="Arial"/>
          <w:sz w:val="20"/>
          <w:szCs w:val="20"/>
        </w:rPr>
      </w:pPr>
      <w:r>
        <w:rPr>
          <w:rFonts w:ascii="Arial" w:hAnsi="Arial" w:cs="Arial"/>
          <w:sz w:val="20"/>
          <w:szCs w:val="20"/>
        </w:rPr>
        <w:lastRenderedPageBreak/>
        <w:t>On</w:t>
      </w:r>
      <w:r w:rsidRPr="00E5072F">
        <w:rPr>
          <w:rFonts w:ascii="Arial" w:hAnsi="Arial" w:cs="Arial"/>
          <w:sz w:val="20"/>
          <w:szCs w:val="20"/>
        </w:rPr>
        <w:t xml:space="preserve"> 5 March 2018, the Minister for Communications made </w:t>
      </w:r>
      <w:r>
        <w:rPr>
          <w:rFonts w:ascii="Arial" w:hAnsi="Arial" w:cs="Arial"/>
          <w:sz w:val="20"/>
          <w:szCs w:val="20"/>
        </w:rPr>
        <w:t>the following</w:t>
      </w:r>
      <w:r w:rsidRPr="00E5072F">
        <w:rPr>
          <w:rFonts w:ascii="Arial" w:hAnsi="Arial" w:cs="Arial"/>
          <w:sz w:val="20"/>
          <w:szCs w:val="20"/>
        </w:rPr>
        <w:t xml:space="preserve"> re-allocation declarations</w:t>
      </w:r>
      <w:r>
        <w:rPr>
          <w:rFonts w:ascii="Arial" w:hAnsi="Arial" w:cs="Arial"/>
          <w:sz w:val="20"/>
          <w:szCs w:val="20"/>
        </w:rPr>
        <w:t xml:space="preserve"> (</w:t>
      </w:r>
      <w:r w:rsidRPr="002977F1">
        <w:rPr>
          <w:rFonts w:ascii="Arial" w:hAnsi="Arial" w:cs="Arial"/>
          <w:sz w:val="20"/>
          <w:szCs w:val="20"/>
        </w:rPr>
        <w:t xml:space="preserve">the </w:t>
      </w:r>
      <w:r w:rsidRPr="00E5072F">
        <w:rPr>
          <w:rFonts w:ascii="Arial" w:hAnsi="Arial" w:cs="Arial"/>
          <w:b/>
          <w:sz w:val="20"/>
          <w:szCs w:val="20"/>
        </w:rPr>
        <w:t>Declarations</w:t>
      </w:r>
      <w:r>
        <w:rPr>
          <w:rFonts w:ascii="Arial" w:hAnsi="Arial" w:cs="Arial"/>
          <w:sz w:val="20"/>
          <w:szCs w:val="20"/>
        </w:rPr>
        <w:t>):</w:t>
      </w:r>
      <w:r w:rsidRPr="00E5072F">
        <w:rPr>
          <w:rFonts w:ascii="Arial" w:hAnsi="Arial" w:cs="Arial"/>
          <w:sz w:val="20"/>
          <w:szCs w:val="20"/>
        </w:rPr>
        <w:t xml:space="preserve"> </w:t>
      </w:r>
    </w:p>
    <w:p w14:paraId="5C859A7C" w14:textId="77777777" w:rsidR="00F63616" w:rsidRPr="003436F1" w:rsidRDefault="00EA31CF" w:rsidP="00F63616">
      <w:pPr>
        <w:pStyle w:val="ListBullet"/>
        <w:rPr>
          <w:i/>
        </w:rPr>
      </w:pPr>
      <w:hyperlink r:id="rId13" w:history="1">
        <w:r w:rsidR="00F63616" w:rsidRPr="003436F1">
          <w:rPr>
            <w:rStyle w:val="Hyperlink"/>
            <w:i/>
          </w:rPr>
          <w:t>Radiocommunications (Spectrum Re-allocation—3.6 GHz Band for Adelaide and Eastern Metropolitan Australia) Declaration 2018</w:t>
        </w:r>
      </w:hyperlink>
    </w:p>
    <w:p w14:paraId="0C847B90" w14:textId="77777777" w:rsidR="00F63616" w:rsidRPr="003436F1" w:rsidRDefault="00EA31CF" w:rsidP="00F63616">
      <w:pPr>
        <w:pStyle w:val="ListBullet"/>
        <w:rPr>
          <w:i/>
        </w:rPr>
      </w:pPr>
      <w:hyperlink r:id="rId14" w:history="1">
        <w:r w:rsidR="00F63616" w:rsidRPr="003436F1">
          <w:rPr>
            <w:rStyle w:val="Hyperlink"/>
            <w:i/>
          </w:rPr>
          <w:t>Radiocommunications (Spectrum Re-allocation—3.6 GHz Band for Perth) Declaration 2018</w:t>
        </w:r>
      </w:hyperlink>
    </w:p>
    <w:p w14:paraId="51850819" w14:textId="242D747C" w:rsidR="00F63616" w:rsidRPr="003436F1" w:rsidRDefault="00122CFC" w:rsidP="00F63616">
      <w:pPr>
        <w:pStyle w:val="ListBulletLast"/>
        <w:rPr>
          <w:i/>
        </w:rPr>
      </w:pPr>
      <w:hyperlink r:id="rId15" w:history="1">
        <w:r w:rsidR="00F63616" w:rsidRPr="003436F1">
          <w:rPr>
            <w:rStyle w:val="Hyperlink"/>
            <w:i/>
          </w:rPr>
          <w:t>Radiocommunications (Spectrum Re-allocation—3.6 GHz Band for Regional Australia) Declaration 2018</w:t>
        </w:r>
      </w:hyperlink>
    </w:p>
    <w:p w14:paraId="52F55BFB" w14:textId="0FFBB260" w:rsidR="00F63616" w:rsidRDefault="00F63616" w:rsidP="00641710">
      <w:pPr>
        <w:spacing w:after="120"/>
        <w:rPr>
          <w:rFonts w:ascii="Arial" w:hAnsi="Arial" w:cs="Arial"/>
          <w:sz w:val="20"/>
          <w:szCs w:val="20"/>
        </w:rPr>
      </w:pPr>
      <w:r w:rsidRPr="00E5072F">
        <w:rPr>
          <w:rFonts w:ascii="Arial" w:hAnsi="Arial" w:cs="Arial"/>
          <w:sz w:val="20"/>
          <w:szCs w:val="20"/>
        </w:rPr>
        <w:t xml:space="preserve">The </w:t>
      </w:r>
      <w:r w:rsidR="00AF3D0B">
        <w:rPr>
          <w:rFonts w:ascii="Arial" w:hAnsi="Arial" w:cs="Arial"/>
          <w:sz w:val="20"/>
          <w:szCs w:val="20"/>
        </w:rPr>
        <w:t>D</w:t>
      </w:r>
      <w:r w:rsidRPr="00E5072F">
        <w:rPr>
          <w:rFonts w:ascii="Arial" w:hAnsi="Arial" w:cs="Arial"/>
          <w:sz w:val="20"/>
          <w:szCs w:val="20"/>
        </w:rPr>
        <w:t xml:space="preserve">eclarations provide that the spectrum in frequency ranges </w:t>
      </w:r>
      <w:r w:rsidRPr="00EA31CF">
        <w:rPr>
          <w:rFonts w:ascii="Arial" w:hAnsi="Arial" w:cs="Arial"/>
          <w:sz w:val="20"/>
          <w:szCs w:val="20"/>
        </w:rPr>
        <w:t>3.6 GHz band</w:t>
      </w:r>
      <w:r w:rsidRPr="00E5072F">
        <w:rPr>
          <w:rFonts w:ascii="Arial" w:hAnsi="Arial" w:cs="Arial"/>
          <w:sz w:val="20"/>
          <w:szCs w:val="20"/>
        </w:rPr>
        <w:t xml:space="preserve"> is to be reallo</w:t>
      </w:r>
      <w:bookmarkStart w:id="2" w:name="_GoBack"/>
      <w:bookmarkEnd w:id="2"/>
      <w:r w:rsidRPr="00E5072F">
        <w:rPr>
          <w:rFonts w:ascii="Arial" w:hAnsi="Arial" w:cs="Arial"/>
          <w:sz w:val="20"/>
          <w:szCs w:val="20"/>
        </w:rPr>
        <w:t>cated by issue of spectrum licences</w:t>
      </w:r>
      <w:r>
        <w:rPr>
          <w:rFonts w:ascii="Arial" w:hAnsi="Arial" w:cs="Arial"/>
          <w:sz w:val="20"/>
          <w:szCs w:val="20"/>
        </w:rPr>
        <w:t xml:space="preserve"> </w:t>
      </w:r>
      <w:r w:rsidRPr="00E5072F">
        <w:rPr>
          <w:rFonts w:ascii="Arial" w:hAnsi="Arial" w:cs="Arial"/>
          <w:sz w:val="20"/>
          <w:szCs w:val="20"/>
        </w:rPr>
        <w:t xml:space="preserve">in </w:t>
      </w:r>
      <w:r w:rsidR="00416F67">
        <w:rPr>
          <w:rFonts w:ascii="Arial" w:hAnsi="Arial" w:cs="Arial"/>
          <w:sz w:val="20"/>
          <w:szCs w:val="20"/>
        </w:rPr>
        <w:t xml:space="preserve">specified </w:t>
      </w:r>
      <w:r w:rsidRPr="00E5072F">
        <w:rPr>
          <w:rFonts w:ascii="Arial" w:hAnsi="Arial" w:cs="Arial"/>
          <w:sz w:val="20"/>
          <w:szCs w:val="20"/>
        </w:rPr>
        <w:t>metropolitan and regional areas</w:t>
      </w:r>
      <w:r w:rsidR="00416F67">
        <w:rPr>
          <w:rFonts w:ascii="Arial" w:hAnsi="Arial" w:cs="Arial"/>
          <w:sz w:val="20"/>
          <w:szCs w:val="20"/>
        </w:rPr>
        <w:t xml:space="preserve"> defined in the Declarations</w:t>
      </w:r>
      <w:r w:rsidRPr="00E5072F">
        <w:rPr>
          <w:rFonts w:ascii="Arial" w:hAnsi="Arial" w:cs="Arial"/>
          <w:sz w:val="20"/>
          <w:szCs w:val="20"/>
        </w:rPr>
        <w:t>.</w:t>
      </w:r>
      <w:r>
        <w:rPr>
          <w:rFonts w:ascii="Arial" w:hAnsi="Arial" w:cs="Arial"/>
          <w:sz w:val="20"/>
          <w:szCs w:val="20"/>
        </w:rPr>
        <w:t xml:space="preserve"> </w:t>
      </w:r>
    </w:p>
    <w:p w14:paraId="56D5BD9D" w14:textId="4B6A45AD" w:rsidR="00253653" w:rsidRDefault="00F63616" w:rsidP="00641710">
      <w:pPr>
        <w:spacing w:after="120"/>
        <w:jc w:val="both"/>
        <w:rPr>
          <w:rFonts w:ascii="Arial" w:hAnsi="Arial" w:cs="Arial"/>
          <w:sz w:val="20"/>
          <w:szCs w:val="20"/>
        </w:rPr>
      </w:pPr>
      <w:r>
        <w:rPr>
          <w:rFonts w:ascii="Arial" w:hAnsi="Arial" w:cs="Arial"/>
          <w:sz w:val="20"/>
          <w:szCs w:val="20"/>
        </w:rPr>
        <w:t>The 3542.5-3575 MHz</w:t>
      </w:r>
      <w:r w:rsidR="00380E0A">
        <w:rPr>
          <w:rFonts w:ascii="Arial" w:hAnsi="Arial" w:cs="Arial"/>
          <w:sz w:val="20"/>
          <w:szCs w:val="20"/>
        </w:rPr>
        <w:t xml:space="preserve"> </w:t>
      </w:r>
      <w:r w:rsidR="003436F1">
        <w:rPr>
          <w:rFonts w:ascii="Arial" w:hAnsi="Arial" w:cs="Arial"/>
          <w:sz w:val="20"/>
          <w:szCs w:val="20"/>
        </w:rPr>
        <w:t>segment</w:t>
      </w:r>
      <w:r w:rsidR="00380E0A">
        <w:rPr>
          <w:rFonts w:ascii="Arial" w:hAnsi="Arial" w:cs="Arial"/>
          <w:sz w:val="20"/>
          <w:szCs w:val="20"/>
        </w:rPr>
        <w:t xml:space="preserve"> of the </w:t>
      </w:r>
      <w:r w:rsidR="00630A6C">
        <w:rPr>
          <w:rFonts w:ascii="Arial" w:hAnsi="Arial" w:cs="Arial"/>
          <w:sz w:val="20"/>
          <w:szCs w:val="20"/>
        </w:rPr>
        <w:t>3.4 GHz</w:t>
      </w:r>
      <w:r>
        <w:rPr>
          <w:rFonts w:ascii="Arial" w:hAnsi="Arial" w:cs="Arial"/>
          <w:sz w:val="20"/>
          <w:szCs w:val="20"/>
        </w:rPr>
        <w:t xml:space="preserve"> </w:t>
      </w:r>
      <w:r w:rsidR="00380E0A">
        <w:rPr>
          <w:rFonts w:ascii="Arial" w:hAnsi="Arial" w:cs="Arial"/>
          <w:sz w:val="20"/>
          <w:szCs w:val="20"/>
        </w:rPr>
        <w:t xml:space="preserve">band </w:t>
      </w:r>
      <w:r>
        <w:rPr>
          <w:rFonts w:ascii="Arial" w:hAnsi="Arial" w:cs="Arial"/>
          <w:sz w:val="20"/>
          <w:szCs w:val="20"/>
        </w:rPr>
        <w:t>and</w:t>
      </w:r>
      <w:r w:rsidR="0021298B">
        <w:rPr>
          <w:rFonts w:ascii="Arial" w:hAnsi="Arial" w:cs="Arial"/>
          <w:sz w:val="20"/>
          <w:szCs w:val="20"/>
        </w:rPr>
        <w:t xml:space="preserve"> the</w:t>
      </w:r>
      <w:r>
        <w:rPr>
          <w:rFonts w:ascii="Arial" w:hAnsi="Arial" w:cs="Arial"/>
          <w:sz w:val="20"/>
          <w:szCs w:val="20"/>
        </w:rPr>
        <w:t xml:space="preserve"> 3.6 GHz band are directly adjacent to each other and </w:t>
      </w:r>
      <w:r w:rsidR="00380E0A">
        <w:rPr>
          <w:rFonts w:ascii="Arial" w:hAnsi="Arial" w:cs="Arial"/>
          <w:sz w:val="20"/>
          <w:szCs w:val="20"/>
        </w:rPr>
        <w:t xml:space="preserve">spectrum in the 3.4 GHz and 3.6 GHz bands </w:t>
      </w:r>
      <w:r w:rsidR="00C461B0">
        <w:rPr>
          <w:rFonts w:ascii="Arial" w:hAnsi="Arial" w:cs="Arial"/>
          <w:sz w:val="20"/>
          <w:szCs w:val="20"/>
        </w:rPr>
        <w:t>is</w:t>
      </w:r>
      <w:r w:rsidR="00380E0A">
        <w:rPr>
          <w:rFonts w:ascii="Arial" w:hAnsi="Arial" w:cs="Arial"/>
          <w:sz w:val="20"/>
          <w:szCs w:val="20"/>
        </w:rPr>
        <w:t xml:space="preserve"> </w:t>
      </w:r>
      <w:r>
        <w:rPr>
          <w:rFonts w:ascii="Arial" w:hAnsi="Arial" w:cs="Arial"/>
          <w:sz w:val="20"/>
          <w:szCs w:val="20"/>
        </w:rPr>
        <w:t>considered substitutable</w:t>
      </w:r>
      <w:r w:rsidR="00E55645">
        <w:rPr>
          <w:rFonts w:ascii="Arial" w:hAnsi="Arial" w:cs="Arial"/>
          <w:sz w:val="20"/>
          <w:szCs w:val="20"/>
        </w:rPr>
        <w:t xml:space="preserve"> from an economic perspective</w:t>
      </w:r>
      <w:r>
        <w:rPr>
          <w:rFonts w:ascii="Arial" w:hAnsi="Arial" w:cs="Arial"/>
          <w:sz w:val="20"/>
          <w:szCs w:val="20"/>
        </w:rPr>
        <w:t xml:space="preserve">. For this reason </w:t>
      </w:r>
      <w:r w:rsidR="00F4028F">
        <w:rPr>
          <w:rFonts w:ascii="Arial" w:hAnsi="Arial" w:cs="Arial"/>
          <w:sz w:val="20"/>
          <w:szCs w:val="20"/>
        </w:rPr>
        <w:t xml:space="preserve">it was decided to incorporate the 3.6 GHz band into the existing technical framework for the </w:t>
      </w:r>
      <w:r w:rsidR="00380E0A">
        <w:rPr>
          <w:rFonts w:ascii="Arial" w:hAnsi="Arial" w:cs="Arial"/>
          <w:sz w:val="20"/>
          <w:szCs w:val="20"/>
        </w:rPr>
        <w:t>3.4 GHz</w:t>
      </w:r>
      <w:r w:rsidR="00F4028F">
        <w:rPr>
          <w:rFonts w:ascii="Arial" w:hAnsi="Arial" w:cs="Arial"/>
          <w:sz w:val="20"/>
          <w:szCs w:val="20"/>
        </w:rPr>
        <w:t xml:space="preserve"> band</w:t>
      </w:r>
      <w:r w:rsidR="00380E0A">
        <w:rPr>
          <w:rFonts w:ascii="Arial" w:hAnsi="Arial" w:cs="Arial"/>
          <w:sz w:val="20"/>
          <w:szCs w:val="20"/>
        </w:rPr>
        <w:t>.</w:t>
      </w:r>
      <w:r w:rsidR="00F4028F">
        <w:rPr>
          <w:rFonts w:ascii="Arial" w:hAnsi="Arial" w:cs="Arial"/>
          <w:sz w:val="20"/>
          <w:szCs w:val="20"/>
        </w:rPr>
        <w:t xml:space="preserve"> It is </w:t>
      </w:r>
      <w:r w:rsidR="00380E0A">
        <w:rPr>
          <w:rFonts w:ascii="Arial" w:hAnsi="Arial" w:cs="Arial"/>
          <w:sz w:val="20"/>
          <w:szCs w:val="20"/>
        </w:rPr>
        <w:t xml:space="preserve">also </w:t>
      </w:r>
      <w:r w:rsidR="00F4028F">
        <w:rPr>
          <w:rFonts w:ascii="Arial" w:hAnsi="Arial" w:cs="Arial"/>
          <w:sz w:val="20"/>
          <w:szCs w:val="20"/>
        </w:rPr>
        <w:t xml:space="preserve">considered that a single </w:t>
      </w:r>
      <w:r w:rsidR="00416F67">
        <w:rPr>
          <w:rFonts w:ascii="Arial" w:hAnsi="Arial" w:cs="Arial"/>
          <w:sz w:val="20"/>
          <w:szCs w:val="20"/>
        </w:rPr>
        <w:t xml:space="preserve">technical </w:t>
      </w:r>
      <w:r w:rsidR="00F4028F">
        <w:rPr>
          <w:rFonts w:ascii="Arial" w:hAnsi="Arial" w:cs="Arial"/>
          <w:sz w:val="20"/>
          <w:szCs w:val="20"/>
        </w:rPr>
        <w:t xml:space="preserve">framework will </w:t>
      </w:r>
      <w:r w:rsidR="00F4028F" w:rsidRPr="00F4028F">
        <w:rPr>
          <w:rFonts w:ascii="Arial" w:hAnsi="Arial" w:cs="Arial"/>
          <w:sz w:val="20"/>
          <w:szCs w:val="20"/>
        </w:rPr>
        <w:t xml:space="preserve">simplify network design for any licensees </w:t>
      </w:r>
      <w:r w:rsidR="00F4028F">
        <w:rPr>
          <w:rFonts w:ascii="Arial" w:hAnsi="Arial" w:cs="Arial"/>
          <w:sz w:val="20"/>
          <w:szCs w:val="20"/>
        </w:rPr>
        <w:t xml:space="preserve">that </w:t>
      </w:r>
      <w:r w:rsidR="00416F67">
        <w:rPr>
          <w:rFonts w:ascii="Arial" w:hAnsi="Arial" w:cs="Arial"/>
          <w:sz w:val="20"/>
          <w:szCs w:val="20"/>
        </w:rPr>
        <w:t xml:space="preserve">may acquire holdings of </w:t>
      </w:r>
      <w:r w:rsidR="00F4028F">
        <w:rPr>
          <w:rFonts w:ascii="Arial" w:hAnsi="Arial" w:cs="Arial"/>
          <w:sz w:val="20"/>
          <w:szCs w:val="20"/>
        </w:rPr>
        <w:t xml:space="preserve">spectrum across any segment of the </w:t>
      </w:r>
      <w:r w:rsidR="00380E0A">
        <w:rPr>
          <w:rFonts w:ascii="Arial" w:hAnsi="Arial" w:cs="Arial"/>
          <w:sz w:val="20"/>
          <w:szCs w:val="20"/>
        </w:rPr>
        <w:t>3.4 GHz</w:t>
      </w:r>
      <w:r w:rsidR="00E55645">
        <w:rPr>
          <w:rFonts w:ascii="Arial" w:hAnsi="Arial" w:cs="Arial"/>
          <w:sz w:val="20"/>
          <w:szCs w:val="20"/>
        </w:rPr>
        <w:t xml:space="preserve"> and 3.6 GHz bands </w:t>
      </w:r>
      <w:r w:rsidR="00F4028F">
        <w:rPr>
          <w:rFonts w:ascii="Arial" w:hAnsi="Arial" w:cs="Arial"/>
          <w:sz w:val="20"/>
          <w:szCs w:val="20"/>
        </w:rPr>
        <w:t>and will</w:t>
      </w:r>
      <w:r w:rsidR="00F4028F" w:rsidRPr="00F4028F">
        <w:rPr>
          <w:rFonts w:ascii="Arial" w:hAnsi="Arial" w:cs="Arial"/>
          <w:sz w:val="20"/>
          <w:szCs w:val="20"/>
        </w:rPr>
        <w:t xml:space="preserve"> help to reduce the complexity of any future defragmentation of spectrum holdings in the broader 3400–3700 MHz band.</w:t>
      </w:r>
    </w:p>
    <w:p w14:paraId="5C64014B" w14:textId="46FFE4E0" w:rsidR="00C86861" w:rsidRDefault="00253653" w:rsidP="00641710">
      <w:pPr>
        <w:spacing w:after="120"/>
        <w:jc w:val="both"/>
        <w:rPr>
          <w:rFonts w:ascii="Arial" w:hAnsi="Arial" w:cs="Arial"/>
          <w:sz w:val="20"/>
          <w:szCs w:val="20"/>
        </w:rPr>
      </w:pPr>
      <w:r>
        <w:rPr>
          <w:rFonts w:ascii="Arial" w:hAnsi="Arial" w:cs="Arial"/>
          <w:sz w:val="20"/>
          <w:szCs w:val="20"/>
        </w:rPr>
        <w:t>In March 2018, the ACMA established a Technical Liaison Group (</w:t>
      </w:r>
      <w:r>
        <w:rPr>
          <w:rFonts w:ascii="Arial" w:hAnsi="Arial" w:cs="Arial"/>
          <w:b/>
          <w:bCs/>
          <w:sz w:val="20"/>
          <w:szCs w:val="20"/>
        </w:rPr>
        <w:t>TLG</w:t>
      </w:r>
      <w:r>
        <w:rPr>
          <w:rFonts w:ascii="Arial" w:hAnsi="Arial" w:cs="Arial"/>
          <w:sz w:val="20"/>
          <w:szCs w:val="20"/>
        </w:rPr>
        <w:t xml:space="preserve">) to </w:t>
      </w:r>
      <w:r w:rsidR="004949D4">
        <w:rPr>
          <w:rFonts w:ascii="Arial" w:hAnsi="Arial" w:cs="Arial"/>
          <w:sz w:val="20"/>
          <w:szCs w:val="20"/>
        </w:rPr>
        <w:t>provide advice on</w:t>
      </w:r>
      <w:r>
        <w:rPr>
          <w:rFonts w:ascii="Arial" w:hAnsi="Arial" w:cs="Arial"/>
          <w:sz w:val="20"/>
          <w:szCs w:val="20"/>
        </w:rPr>
        <w:t xml:space="preserve"> what changes should be made to the 3.4 GHz band technical framework</w:t>
      </w:r>
      <w:r w:rsidR="004949D4">
        <w:rPr>
          <w:rFonts w:ascii="Arial" w:hAnsi="Arial" w:cs="Arial"/>
          <w:sz w:val="20"/>
          <w:szCs w:val="20"/>
        </w:rPr>
        <w:t xml:space="preserve"> to accommodate the </w:t>
      </w:r>
      <w:r w:rsidR="00416F67">
        <w:rPr>
          <w:rFonts w:ascii="Arial" w:hAnsi="Arial" w:cs="Arial"/>
          <w:sz w:val="20"/>
          <w:szCs w:val="20"/>
        </w:rPr>
        <w:t xml:space="preserve">allocation and issue of spectrum licences in the </w:t>
      </w:r>
      <w:r w:rsidR="004949D4">
        <w:rPr>
          <w:rFonts w:ascii="Arial" w:hAnsi="Arial" w:cs="Arial"/>
          <w:sz w:val="20"/>
          <w:szCs w:val="20"/>
        </w:rPr>
        <w:t>3.6 GHz band and emerging technologies</w:t>
      </w:r>
      <w:r>
        <w:rPr>
          <w:rFonts w:ascii="Arial" w:hAnsi="Arial" w:cs="Arial"/>
          <w:sz w:val="20"/>
          <w:szCs w:val="20"/>
        </w:rPr>
        <w:t xml:space="preserve">. </w:t>
      </w:r>
      <w:r w:rsidR="00E55645">
        <w:rPr>
          <w:rFonts w:ascii="Arial" w:hAnsi="Arial" w:cs="Arial"/>
          <w:sz w:val="20"/>
          <w:szCs w:val="20"/>
        </w:rPr>
        <w:t xml:space="preserve">In addition to changes to the 3.4 GHz band technical framework, the </w:t>
      </w:r>
      <w:r w:rsidR="002977F1">
        <w:rPr>
          <w:rFonts w:ascii="Arial" w:hAnsi="Arial" w:cs="Arial"/>
          <w:sz w:val="20"/>
          <w:szCs w:val="20"/>
        </w:rPr>
        <w:t xml:space="preserve">TLG </w:t>
      </w:r>
      <w:r w:rsidR="00E55645">
        <w:rPr>
          <w:rFonts w:ascii="Arial" w:hAnsi="Arial" w:cs="Arial"/>
          <w:sz w:val="20"/>
          <w:szCs w:val="20"/>
        </w:rPr>
        <w:t xml:space="preserve">also proposed </w:t>
      </w:r>
      <w:r w:rsidR="002977F1">
        <w:rPr>
          <w:rFonts w:ascii="Arial" w:hAnsi="Arial" w:cs="Arial"/>
          <w:sz w:val="20"/>
          <w:szCs w:val="20"/>
        </w:rPr>
        <w:t xml:space="preserve">updating the </w:t>
      </w:r>
      <w:r w:rsidR="0021298B">
        <w:rPr>
          <w:rFonts w:ascii="Arial" w:hAnsi="Arial" w:cs="Arial"/>
          <w:iCs/>
          <w:sz w:val="20"/>
          <w:szCs w:val="20"/>
        </w:rPr>
        <w:t>T</w:t>
      </w:r>
      <w:r w:rsidR="00035136">
        <w:rPr>
          <w:rFonts w:ascii="Arial" w:hAnsi="Arial" w:cs="Arial"/>
          <w:iCs/>
          <w:sz w:val="20"/>
          <w:szCs w:val="20"/>
        </w:rPr>
        <w:t xml:space="preserve">rading </w:t>
      </w:r>
      <w:r w:rsidR="0021298B">
        <w:rPr>
          <w:rFonts w:ascii="Arial" w:hAnsi="Arial" w:cs="Arial"/>
          <w:iCs/>
          <w:sz w:val="20"/>
          <w:szCs w:val="20"/>
        </w:rPr>
        <w:t>R</w:t>
      </w:r>
      <w:r w:rsidR="00035136">
        <w:rPr>
          <w:rFonts w:ascii="Arial" w:hAnsi="Arial" w:cs="Arial"/>
          <w:iCs/>
          <w:sz w:val="20"/>
          <w:szCs w:val="20"/>
        </w:rPr>
        <w:t xml:space="preserve">ules </w:t>
      </w:r>
      <w:r w:rsidR="0021298B">
        <w:rPr>
          <w:rFonts w:ascii="Arial" w:hAnsi="Arial" w:cs="Arial"/>
          <w:iCs/>
          <w:sz w:val="20"/>
          <w:szCs w:val="20"/>
        </w:rPr>
        <w:t>D</w:t>
      </w:r>
      <w:r w:rsidR="00035136">
        <w:rPr>
          <w:rFonts w:ascii="Arial" w:hAnsi="Arial" w:cs="Arial"/>
          <w:iCs/>
          <w:sz w:val="20"/>
          <w:szCs w:val="20"/>
        </w:rPr>
        <w:t>etermination</w:t>
      </w:r>
      <w:r w:rsidR="002977F1">
        <w:rPr>
          <w:rFonts w:ascii="Arial" w:hAnsi="Arial" w:cs="Arial"/>
          <w:sz w:val="20"/>
          <w:szCs w:val="20"/>
        </w:rPr>
        <w:t xml:space="preserve"> to </w:t>
      </w:r>
      <w:r w:rsidR="00416F67">
        <w:rPr>
          <w:rFonts w:ascii="Arial" w:hAnsi="Arial" w:cs="Arial"/>
          <w:sz w:val="20"/>
          <w:szCs w:val="20"/>
        </w:rPr>
        <w:t xml:space="preserve">ensure it extends to the trading of spectrum licences in the </w:t>
      </w:r>
      <w:r w:rsidR="002977F1">
        <w:rPr>
          <w:rFonts w:ascii="Arial" w:hAnsi="Arial" w:cs="Arial"/>
          <w:sz w:val="20"/>
          <w:szCs w:val="20"/>
        </w:rPr>
        <w:t xml:space="preserve">3.6 GHz band.  </w:t>
      </w:r>
    </w:p>
    <w:p w14:paraId="3B48F29D" w14:textId="45F6CB11" w:rsidR="00C86861" w:rsidRDefault="00C86861" w:rsidP="00641710">
      <w:pPr>
        <w:spacing w:after="120"/>
        <w:jc w:val="both"/>
        <w:rPr>
          <w:rFonts w:ascii="Arial" w:hAnsi="Arial" w:cs="Arial"/>
          <w:sz w:val="20"/>
          <w:szCs w:val="20"/>
        </w:rPr>
      </w:pPr>
      <w:r>
        <w:rPr>
          <w:rFonts w:ascii="Arial" w:hAnsi="Arial" w:cs="Arial"/>
          <w:sz w:val="20"/>
          <w:szCs w:val="20"/>
        </w:rPr>
        <w:t xml:space="preserve">It was also identified that the </w:t>
      </w:r>
      <w:r w:rsidR="00C461B0">
        <w:rPr>
          <w:rFonts w:ascii="Arial" w:hAnsi="Arial" w:cs="Arial"/>
          <w:sz w:val="20"/>
          <w:szCs w:val="20"/>
        </w:rPr>
        <w:t>T</w:t>
      </w:r>
      <w:r>
        <w:rPr>
          <w:rFonts w:ascii="Arial" w:hAnsi="Arial" w:cs="Arial"/>
          <w:sz w:val="20"/>
          <w:szCs w:val="20"/>
        </w:rPr>
        <w:t xml:space="preserve">rading </w:t>
      </w:r>
      <w:r w:rsidR="00C461B0">
        <w:rPr>
          <w:rFonts w:ascii="Arial" w:hAnsi="Arial" w:cs="Arial"/>
          <w:sz w:val="20"/>
          <w:szCs w:val="20"/>
        </w:rPr>
        <w:t>R</w:t>
      </w:r>
      <w:r>
        <w:rPr>
          <w:rFonts w:ascii="Arial" w:hAnsi="Arial" w:cs="Arial"/>
          <w:sz w:val="20"/>
          <w:szCs w:val="20"/>
        </w:rPr>
        <w:t xml:space="preserve">ules </w:t>
      </w:r>
      <w:r w:rsidR="00C461B0">
        <w:rPr>
          <w:rFonts w:ascii="Arial" w:hAnsi="Arial" w:cs="Arial"/>
          <w:sz w:val="20"/>
          <w:szCs w:val="20"/>
        </w:rPr>
        <w:t>D</w:t>
      </w:r>
      <w:r>
        <w:rPr>
          <w:rFonts w:ascii="Arial" w:hAnsi="Arial" w:cs="Arial"/>
          <w:sz w:val="20"/>
          <w:szCs w:val="20"/>
        </w:rPr>
        <w:t>eterminatio</w:t>
      </w:r>
      <w:r w:rsidR="004949D4">
        <w:rPr>
          <w:rFonts w:ascii="Arial" w:hAnsi="Arial" w:cs="Arial"/>
          <w:sz w:val="20"/>
          <w:szCs w:val="20"/>
        </w:rPr>
        <w:t>n still include</w:t>
      </w:r>
      <w:r w:rsidR="00C461B0">
        <w:rPr>
          <w:rFonts w:ascii="Arial" w:hAnsi="Arial" w:cs="Arial"/>
          <w:sz w:val="20"/>
          <w:szCs w:val="20"/>
        </w:rPr>
        <w:t>d</w:t>
      </w:r>
      <w:r w:rsidR="004949D4">
        <w:rPr>
          <w:rFonts w:ascii="Arial" w:hAnsi="Arial" w:cs="Arial"/>
          <w:sz w:val="20"/>
          <w:szCs w:val="20"/>
        </w:rPr>
        <w:t xml:space="preserve"> a definition for a</w:t>
      </w:r>
      <w:r>
        <w:rPr>
          <w:rFonts w:ascii="Arial" w:hAnsi="Arial" w:cs="Arial"/>
          <w:sz w:val="20"/>
          <w:szCs w:val="20"/>
        </w:rPr>
        <w:t xml:space="preserve"> </w:t>
      </w:r>
      <w:r w:rsidR="00122198">
        <w:rPr>
          <w:rFonts w:ascii="Arial" w:hAnsi="Arial" w:cs="Arial"/>
          <w:sz w:val="20"/>
          <w:szCs w:val="20"/>
        </w:rPr>
        <w:t>minimum contiguous bandwidth (</w:t>
      </w:r>
      <w:r>
        <w:rPr>
          <w:rFonts w:ascii="Arial" w:hAnsi="Arial" w:cs="Arial"/>
          <w:sz w:val="20"/>
          <w:szCs w:val="20"/>
        </w:rPr>
        <w:t>MCB</w:t>
      </w:r>
      <w:r w:rsidR="00122198">
        <w:rPr>
          <w:rFonts w:ascii="Arial" w:hAnsi="Arial" w:cs="Arial"/>
          <w:sz w:val="20"/>
          <w:szCs w:val="20"/>
        </w:rPr>
        <w:t>)</w:t>
      </w:r>
      <w:r>
        <w:rPr>
          <w:rFonts w:ascii="Arial" w:hAnsi="Arial" w:cs="Arial"/>
          <w:sz w:val="20"/>
          <w:szCs w:val="20"/>
        </w:rPr>
        <w:t xml:space="preserve"> </w:t>
      </w:r>
      <w:r w:rsidR="004949D4">
        <w:rPr>
          <w:rFonts w:ascii="Arial" w:hAnsi="Arial" w:cs="Arial"/>
          <w:sz w:val="20"/>
          <w:szCs w:val="20"/>
        </w:rPr>
        <w:t xml:space="preserve">in </w:t>
      </w:r>
      <w:r w:rsidR="002A62DD">
        <w:rPr>
          <w:rFonts w:ascii="Arial" w:hAnsi="Arial" w:cs="Arial"/>
          <w:sz w:val="20"/>
          <w:szCs w:val="20"/>
        </w:rPr>
        <w:t xml:space="preserve">the 26500-27500 </w:t>
      </w:r>
      <w:r w:rsidR="006A497E">
        <w:rPr>
          <w:rFonts w:ascii="Arial" w:hAnsi="Arial" w:cs="Arial"/>
          <w:sz w:val="20"/>
          <w:szCs w:val="20"/>
        </w:rPr>
        <w:t>M</w:t>
      </w:r>
      <w:r w:rsidR="002A62DD">
        <w:rPr>
          <w:rFonts w:ascii="Arial" w:hAnsi="Arial" w:cs="Arial"/>
          <w:sz w:val="20"/>
          <w:szCs w:val="20"/>
        </w:rPr>
        <w:t>Hz (27 GHz) band</w:t>
      </w:r>
      <w:r>
        <w:rPr>
          <w:rFonts w:ascii="Arial" w:hAnsi="Arial" w:cs="Arial"/>
          <w:sz w:val="20"/>
          <w:szCs w:val="20"/>
        </w:rPr>
        <w:t>. The 27 GHz band was</w:t>
      </w:r>
      <w:r w:rsidR="004949D4">
        <w:rPr>
          <w:rFonts w:ascii="Arial" w:hAnsi="Arial" w:cs="Arial"/>
          <w:sz w:val="20"/>
          <w:szCs w:val="20"/>
        </w:rPr>
        <w:t>,</w:t>
      </w:r>
      <w:r>
        <w:rPr>
          <w:rFonts w:ascii="Arial" w:hAnsi="Arial" w:cs="Arial"/>
          <w:sz w:val="20"/>
          <w:szCs w:val="20"/>
        </w:rPr>
        <w:t xml:space="preserve"> until January 2017, subject to spectrum licensing. However, upon licence expiry the licences were not re-issued. The band is now subject to apparatus licensing. </w:t>
      </w:r>
      <w:r w:rsidR="002A62DD">
        <w:rPr>
          <w:rFonts w:ascii="Arial" w:hAnsi="Arial" w:cs="Arial"/>
          <w:sz w:val="20"/>
          <w:szCs w:val="20"/>
        </w:rPr>
        <w:t xml:space="preserve">The MCB definition for the 27 GHz band is therefore no longer required. </w:t>
      </w:r>
    </w:p>
    <w:p w14:paraId="25903A0C" w14:textId="77777777" w:rsidR="00231AAB" w:rsidRPr="009C35C5" w:rsidRDefault="00231AAB" w:rsidP="00641710">
      <w:pPr>
        <w:spacing w:after="120"/>
        <w:jc w:val="both"/>
        <w:rPr>
          <w:rFonts w:ascii="Arial" w:hAnsi="Arial" w:cs="Arial"/>
          <w:sz w:val="20"/>
          <w:szCs w:val="20"/>
        </w:rPr>
      </w:pPr>
    </w:p>
    <w:p w14:paraId="25903A0E" w14:textId="61FC35D9" w:rsidR="002B0ACA" w:rsidRPr="009C35C5" w:rsidRDefault="00B53B24" w:rsidP="00641710">
      <w:pPr>
        <w:spacing w:after="120"/>
        <w:jc w:val="both"/>
        <w:outlineLvl w:val="0"/>
        <w:rPr>
          <w:rFonts w:ascii="Arial" w:hAnsi="Arial" w:cs="Arial"/>
          <w:b/>
          <w:sz w:val="20"/>
          <w:szCs w:val="20"/>
        </w:rPr>
      </w:pPr>
      <w:r w:rsidRPr="009C35C5">
        <w:rPr>
          <w:rFonts w:ascii="Arial" w:hAnsi="Arial" w:cs="Arial"/>
          <w:b/>
          <w:sz w:val="20"/>
          <w:szCs w:val="20"/>
        </w:rPr>
        <w:t>Consultation</w:t>
      </w:r>
    </w:p>
    <w:p w14:paraId="28FC86C7" w14:textId="23AAA2D2" w:rsidR="00416F67" w:rsidRDefault="00416F67" w:rsidP="00641710">
      <w:pPr>
        <w:spacing w:after="120"/>
        <w:jc w:val="both"/>
        <w:rPr>
          <w:rFonts w:ascii="Arial" w:hAnsi="Arial" w:cs="Arial"/>
          <w:sz w:val="20"/>
          <w:szCs w:val="20"/>
        </w:rPr>
      </w:pPr>
      <w:r>
        <w:rPr>
          <w:rFonts w:ascii="Arial" w:hAnsi="Arial" w:cs="Arial"/>
          <w:sz w:val="20"/>
          <w:szCs w:val="20"/>
        </w:rPr>
        <w:t xml:space="preserve">Before the Variation Instrument was made, the ACMA was satisfied that consultation was undertaken to the extent appropriate and reasonably practicable, in accordance with section 17 of the LA. </w:t>
      </w:r>
    </w:p>
    <w:p w14:paraId="25903A10" w14:textId="643515B9" w:rsidR="002B0ACA" w:rsidRPr="009C35C5" w:rsidRDefault="009C7347" w:rsidP="00641710">
      <w:pPr>
        <w:spacing w:after="120"/>
        <w:jc w:val="both"/>
        <w:rPr>
          <w:rFonts w:ascii="Arial" w:hAnsi="Arial" w:cs="Arial"/>
          <w:sz w:val="20"/>
          <w:szCs w:val="20"/>
        </w:rPr>
      </w:pPr>
      <w:r w:rsidRPr="009C35C5">
        <w:rPr>
          <w:rFonts w:ascii="Arial" w:hAnsi="Arial" w:cs="Arial"/>
          <w:sz w:val="20"/>
          <w:szCs w:val="20"/>
        </w:rPr>
        <w:t xml:space="preserve">The ACMA has consulted extensively with stakeholders about the </w:t>
      </w:r>
      <w:r w:rsidR="00D868D1" w:rsidRPr="009C35C5">
        <w:rPr>
          <w:rFonts w:ascii="Arial" w:hAnsi="Arial" w:cs="Arial"/>
          <w:sz w:val="20"/>
          <w:szCs w:val="20"/>
        </w:rPr>
        <w:t xml:space="preserve">updates to the </w:t>
      </w:r>
      <w:r w:rsidR="0021298B">
        <w:rPr>
          <w:rFonts w:ascii="Arial" w:hAnsi="Arial" w:cs="Arial"/>
          <w:sz w:val="20"/>
          <w:szCs w:val="20"/>
        </w:rPr>
        <w:t>T</w:t>
      </w:r>
      <w:r w:rsidR="00DE30BE">
        <w:rPr>
          <w:rFonts w:ascii="Arial" w:hAnsi="Arial" w:cs="Arial"/>
          <w:sz w:val="20"/>
          <w:szCs w:val="20"/>
        </w:rPr>
        <w:t xml:space="preserve">rading </w:t>
      </w:r>
      <w:r w:rsidR="0021298B">
        <w:rPr>
          <w:rFonts w:ascii="Arial" w:hAnsi="Arial" w:cs="Arial"/>
          <w:sz w:val="20"/>
          <w:szCs w:val="20"/>
        </w:rPr>
        <w:t>R</w:t>
      </w:r>
      <w:r w:rsidR="00DE30BE">
        <w:rPr>
          <w:rFonts w:ascii="Arial" w:hAnsi="Arial" w:cs="Arial"/>
          <w:sz w:val="20"/>
          <w:szCs w:val="20"/>
        </w:rPr>
        <w:t>ules</w:t>
      </w:r>
      <w:r w:rsidR="0021298B">
        <w:rPr>
          <w:rFonts w:ascii="Arial" w:hAnsi="Arial" w:cs="Arial"/>
          <w:sz w:val="20"/>
          <w:szCs w:val="20"/>
        </w:rPr>
        <w:t xml:space="preserve"> Determination</w:t>
      </w:r>
      <w:r w:rsidR="00DE30BE">
        <w:rPr>
          <w:rFonts w:ascii="Arial" w:hAnsi="Arial" w:cs="Arial"/>
          <w:sz w:val="20"/>
          <w:szCs w:val="20"/>
        </w:rPr>
        <w:t xml:space="preserve">, </w:t>
      </w:r>
      <w:r w:rsidR="00D868D1" w:rsidRPr="009C35C5">
        <w:rPr>
          <w:rFonts w:ascii="Arial" w:hAnsi="Arial" w:cs="Arial"/>
          <w:sz w:val="20"/>
          <w:szCs w:val="20"/>
        </w:rPr>
        <w:t xml:space="preserve">RAG Rx, RAG Tx and the </w:t>
      </w:r>
      <w:r w:rsidR="0021298B">
        <w:rPr>
          <w:rFonts w:ascii="Arial" w:hAnsi="Arial" w:cs="Arial"/>
          <w:sz w:val="20"/>
          <w:szCs w:val="20"/>
        </w:rPr>
        <w:t xml:space="preserve">ULI </w:t>
      </w:r>
      <w:r w:rsidR="00D868D1" w:rsidRPr="009C35C5">
        <w:rPr>
          <w:rFonts w:ascii="Arial" w:hAnsi="Arial" w:cs="Arial"/>
          <w:sz w:val="20"/>
          <w:szCs w:val="20"/>
        </w:rPr>
        <w:t>Determination</w:t>
      </w:r>
      <w:r w:rsidRPr="009C35C5">
        <w:rPr>
          <w:rFonts w:ascii="Arial" w:hAnsi="Arial" w:cs="Arial"/>
          <w:sz w:val="20"/>
          <w:szCs w:val="20"/>
        </w:rPr>
        <w:t>.</w:t>
      </w:r>
      <w:r w:rsidR="004546A4" w:rsidRPr="009C35C5">
        <w:rPr>
          <w:rFonts w:ascii="Arial" w:hAnsi="Arial" w:cs="Arial"/>
          <w:sz w:val="20"/>
          <w:szCs w:val="20"/>
        </w:rPr>
        <w:t xml:space="preserve"> </w:t>
      </w:r>
    </w:p>
    <w:p w14:paraId="04A9A76A" w14:textId="638F4654" w:rsidR="00DE30BE" w:rsidRDefault="00BA56E5" w:rsidP="00641710">
      <w:pPr>
        <w:spacing w:after="120"/>
        <w:jc w:val="both"/>
        <w:rPr>
          <w:rFonts w:ascii="Arial" w:hAnsi="Arial" w:cs="Arial"/>
          <w:sz w:val="20"/>
          <w:szCs w:val="20"/>
        </w:rPr>
      </w:pPr>
      <w:r w:rsidRPr="009C35C5">
        <w:rPr>
          <w:rFonts w:ascii="Arial" w:hAnsi="Arial" w:cs="Arial"/>
          <w:sz w:val="20"/>
          <w:szCs w:val="20"/>
        </w:rPr>
        <w:t xml:space="preserve">In </w:t>
      </w:r>
      <w:r w:rsidR="00DE30BE">
        <w:rPr>
          <w:rFonts w:ascii="Arial" w:hAnsi="Arial" w:cs="Arial"/>
          <w:sz w:val="20"/>
          <w:szCs w:val="20"/>
        </w:rPr>
        <w:t>March 2018</w:t>
      </w:r>
      <w:r w:rsidR="009C7347" w:rsidRPr="009C35C5">
        <w:rPr>
          <w:rFonts w:ascii="Arial" w:hAnsi="Arial" w:cs="Arial"/>
          <w:sz w:val="20"/>
          <w:szCs w:val="20"/>
        </w:rPr>
        <w:t xml:space="preserve">, the ACMA established </w:t>
      </w:r>
      <w:r w:rsidR="00A07678">
        <w:rPr>
          <w:rFonts w:ascii="Arial" w:hAnsi="Arial" w:cs="Arial"/>
          <w:sz w:val="20"/>
          <w:szCs w:val="20"/>
        </w:rPr>
        <w:t xml:space="preserve">the </w:t>
      </w:r>
      <w:r w:rsidR="00DE30BE">
        <w:rPr>
          <w:rFonts w:ascii="Arial" w:hAnsi="Arial" w:cs="Arial"/>
          <w:sz w:val="20"/>
          <w:szCs w:val="20"/>
        </w:rPr>
        <w:t>TLG</w:t>
      </w:r>
      <w:r w:rsidR="009C7347" w:rsidRPr="009C35C5">
        <w:rPr>
          <w:rFonts w:ascii="Arial" w:hAnsi="Arial" w:cs="Arial"/>
          <w:sz w:val="20"/>
          <w:szCs w:val="20"/>
        </w:rPr>
        <w:t xml:space="preserve">. Incumbent </w:t>
      </w:r>
      <w:r w:rsidR="00DE30BE">
        <w:rPr>
          <w:rFonts w:ascii="Arial" w:hAnsi="Arial" w:cs="Arial"/>
          <w:sz w:val="20"/>
          <w:szCs w:val="20"/>
        </w:rPr>
        <w:t xml:space="preserve">spectrum and apparatus </w:t>
      </w:r>
      <w:r w:rsidR="009C7347" w:rsidRPr="009C35C5">
        <w:rPr>
          <w:rFonts w:ascii="Arial" w:hAnsi="Arial" w:cs="Arial"/>
          <w:sz w:val="20"/>
          <w:szCs w:val="20"/>
        </w:rPr>
        <w:t>licensees</w:t>
      </w:r>
      <w:r w:rsidR="00DE30BE">
        <w:rPr>
          <w:rFonts w:ascii="Arial" w:hAnsi="Arial" w:cs="Arial"/>
          <w:sz w:val="20"/>
          <w:szCs w:val="20"/>
        </w:rPr>
        <w:t>, manufacturers</w:t>
      </w:r>
      <w:r w:rsidR="009C7347" w:rsidRPr="009C35C5">
        <w:rPr>
          <w:rFonts w:ascii="Arial" w:hAnsi="Arial" w:cs="Arial"/>
          <w:sz w:val="20"/>
          <w:szCs w:val="20"/>
        </w:rPr>
        <w:t xml:space="preserve"> </w:t>
      </w:r>
      <w:r w:rsidR="00D868D1" w:rsidRPr="009C35C5">
        <w:rPr>
          <w:rFonts w:ascii="Arial" w:hAnsi="Arial" w:cs="Arial"/>
          <w:sz w:val="20"/>
          <w:szCs w:val="20"/>
        </w:rPr>
        <w:t xml:space="preserve">and other interested stakeholders </w:t>
      </w:r>
      <w:r w:rsidR="009C7347" w:rsidRPr="009C35C5">
        <w:rPr>
          <w:rFonts w:ascii="Arial" w:hAnsi="Arial" w:cs="Arial"/>
          <w:sz w:val="20"/>
          <w:szCs w:val="20"/>
        </w:rPr>
        <w:t xml:space="preserve">for the </w:t>
      </w:r>
      <w:r w:rsidR="00DE30BE">
        <w:rPr>
          <w:rFonts w:ascii="Arial" w:hAnsi="Arial" w:cs="Arial"/>
          <w:sz w:val="20"/>
          <w:szCs w:val="20"/>
        </w:rPr>
        <w:t xml:space="preserve">3.4 GHz </w:t>
      </w:r>
      <w:r w:rsidR="004949D4">
        <w:rPr>
          <w:rFonts w:ascii="Arial" w:hAnsi="Arial" w:cs="Arial"/>
          <w:sz w:val="20"/>
          <w:szCs w:val="20"/>
        </w:rPr>
        <w:t xml:space="preserve">and 3.6 GHz bands </w:t>
      </w:r>
      <w:r w:rsidR="009C7347" w:rsidRPr="009C35C5">
        <w:rPr>
          <w:rFonts w:ascii="Arial" w:hAnsi="Arial" w:cs="Arial"/>
          <w:sz w:val="20"/>
          <w:szCs w:val="20"/>
        </w:rPr>
        <w:t xml:space="preserve">were invited to participate in the TLG process. The </w:t>
      </w:r>
      <w:r w:rsidR="004546A4" w:rsidRPr="009C35C5">
        <w:rPr>
          <w:rFonts w:ascii="Arial" w:hAnsi="Arial" w:cs="Arial"/>
          <w:sz w:val="20"/>
          <w:szCs w:val="20"/>
        </w:rPr>
        <w:t xml:space="preserve">role of the </w:t>
      </w:r>
      <w:r w:rsidR="009C7347" w:rsidRPr="009C35C5">
        <w:rPr>
          <w:rFonts w:ascii="Arial" w:hAnsi="Arial" w:cs="Arial"/>
          <w:sz w:val="20"/>
          <w:szCs w:val="20"/>
        </w:rPr>
        <w:t xml:space="preserve">TLG was to consider and provide advice to the ACMA on </w:t>
      </w:r>
      <w:r w:rsidR="00D868D1" w:rsidRPr="009C35C5">
        <w:rPr>
          <w:rFonts w:ascii="Arial" w:hAnsi="Arial" w:cs="Arial"/>
          <w:sz w:val="20"/>
          <w:szCs w:val="20"/>
        </w:rPr>
        <w:t>updates</w:t>
      </w:r>
      <w:r w:rsidR="009C7347" w:rsidRPr="009C35C5">
        <w:rPr>
          <w:rFonts w:ascii="Arial" w:hAnsi="Arial" w:cs="Arial"/>
          <w:sz w:val="20"/>
          <w:szCs w:val="20"/>
        </w:rPr>
        <w:t xml:space="preserve"> required </w:t>
      </w:r>
      <w:r w:rsidR="00D868D1" w:rsidRPr="009C35C5">
        <w:rPr>
          <w:rFonts w:ascii="Arial" w:hAnsi="Arial" w:cs="Arial"/>
          <w:sz w:val="20"/>
          <w:szCs w:val="20"/>
        </w:rPr>
        <w:t>to ensure that the technical framework</w:t>
      </w:r>
      <w:r w:rsidR="00DE30BE">
        <w:rPr>
          <w:rFonts w:ascii="Arial" w:hAnsi="Arial" w:cs="Arial"/>
          <w:sz w:val="20"/>
          <w:szCs w:val="20"/>
        </w:rPr>
        <w:t>:</w:t>
      </w:r>
      <w:r w:rsidR="00D868D1" w:rsidRPr="009C35C5">
        <w:rPr>
          <w:rFonts w:ascii="Arial" w:hAnsi="Arial" w:cs="Arial"/>
          <w:sz w:val="20"/>
          <w:szCs w:val="20"/>
        </w:rPr>
        <w:t xml:space="preserve"> </w:t>
      </w:r>
    </w:p>
    <w:p w14:paraId="55C4AC31" w14:textId="2CE72AF5" w:rsidR="00DE30BE" w:rsidRDefault="004949D4" w:rsidP="00641710">
      <w:pPr>
        <w:pStyle w:val="ListParagraph"/>
        <w:numPr>
          <w:ilvl w:val="0"/>
          <w:numId w:val="47"/>
        </w:numPr>
        <w:jc w:val="both"/>
        <w:rPr>
          <w:rFonts w:ascii="Arial" w:hAnsi="Arial" w:cs="Arial"/>
          <w:sz w:val="20"/>
          <w:szCs w:val="20"/>
        </w:rPr>
      </w:pPr>
      <w:r>
        <w:rPr>
          <w:rFonts w:ascii="Arial" w:hAnsi="Arial" w:cs="Arial"/>
          <w:sz w:val="20"/>
          <w:szCs w:val="20"/>
        </w:rPr>
        <w:t>incorporates</w:t>
      </w:r>
      <w:r w:rsidR="00DE30BE" w:rsidRPr="00DE30BE">
        <w:rPr>
          <w:rFonts w:ascii="Arial" w:hAnsi="Arial" w:cs="Arial"/>
          <w:sz w:val="20"/>
          <w:szCs w:val="20"/>
        </w:rPr>
        <w:t xml:space="preserve"> t</w:t>
      </w:r>
      <w:r>
        <w:rPr>
          <w:rFonts w:ascii="Arial" w:hAnsi="Arial" w:cs="Arial"/>
          <w:sz w:val="20"/>
          <w:szCs w:val="20"/>
        </w:rPr>
        <w:t>he 3.6 GHz band;</w:t>
      </w:r>
    </w:p>
    <w:p w14:paraId="79410017" w14:textId="4215CD11" w:rsidR="00DE30BE" w:rsidRDefault="00DE30BE" w:rsidP="00641710">
      <w:pPr>
        <w:pStyle w:val="ListParagraph"/>
        <w:numPr>
          <w:ilvl w:val="0"/>
          <w:numId w:val="47"/>
        </w:numPr>
        <w:jc w:val="both"/>
        <w:rPr>
          <w:rFonts w:ascii="Arial" w:hAnsi="Arial" w:cs="Arial"/>
          <w:sz w:val="20"/>
          <w:szCs w:val="20"/>
        </w:rPr>
      </w:pPr>
      <w:r>
        <w:rPr>
          <w:rFonts w:ascii="Arial" w:hAnsi="Arial" w:cs="Arial"/>
          <w:sz w:val="20"/>
          <w:szCs w:val="20"/>
        </w:rPr>
        <w:t xml:space="preserve">includes </w:t>
      </w:r>
      <w:r w:rsidRPr="00DE30BE">
        <w:rPr>
          <w:rFonts w:ascii="Arial" w:hAnsi="Arial" w:cs="Arial"/>
          <w:sz w:val="20"/>
          <w:szCs w:val="20"/>
        </w:rPr>
        <w:t xml:space="preserve">interference management requirements with </w:t>
      </w:r>
      <w:r>
        <w:rPr>
          <w:rFonts w:ascii="Arial" w:hAnsi="Arial" w:cs="Arial"/>
          <w:sz w:val="20"/>
          <w:szCs w:val="20"/>
        </w:rPr>
        <w:t xml:space="preserve">all </w:t>
      </w:r>
      <w:r w:rsidRPr="00DE30BE">
        <w:rPr>
          <w:rFonts w:ascii="Arial" w:hAnsi="Arial" w:cs="Arial"/>
          <w:sz w:val="20"/>
          <w:szCs w:val="20"/>
        </w:rPr>
        <w:t>relevant services</w:t>
      </w:r>
      <w:r>
        <w:rPr>
          <w:rFonts w:ascii="Arial" w:hAnsi="Arial" w:cs="Arial"/>
          <w:sz w:val="20"/>
          <w:szCs w:val="20"/>
        </w:rPr>
        <w:t xml:space="preserve"> in and adjacent to the 3.6 GHz band;</w:t>
      </w:r>
      <w:r w:rsidRPr="00DE30BE">
        <w:rPr>
          <w:rFonts w:ascii="Arial" w:hAnsi="Arial" w:cs="Arial"/>
          <w:sz w:val="20"/>
          <w:szCs w:val="20"/>
        </w:rPr>
        <w:t xml:space="preserve"> </w:t>
      </w:r>
      <w:r>
        <w:rPr>
          <w:rFonts w:ascii="Arial" w:hAnsi="Arial" w:cs="Arial"/>
          <w:sz w:val="20"/>
          <w:szCs w:val="20"/>
        </w:rPr>
        <w:t>and</w:t>
      </w:r>
    </w:p>
    <w:p w14:paraId="25903A12" w14:textId="291C0342" w:rsidR="002B0ACA" w:rsidRPr="00641710" w:rsidRDefault="00DE30BE" w:rsidP="00641710">
      <w:pPr>
        <w:pStyle w:val="ListParagraph"/>
        <w:numPr>
          <w:ilvl w:val="0"/>
          <w:numId w:val="47"/>
        </w:numPr>
        <w:jc w:val="both"/>
        <w:rPr>
          <w:rFonts w:ascii="Arial" w:hAnsi="Arial" w:cs="Arial"/>
          <w:sz w:val="20"/>
          <w:szCs w:val="20"/>
        </w:rPr>
      </w:pPr>
      <w:r>
        <w:rPr>
          <w:rFonts w:ascii="Arial" w:hAnsi="Arial" w:cs="Arial"/>
          <w:sz w:val="20"/>
          <w:szCs w:val="20"/>
        </w:rPr>
        <w:t>accommodate</w:t>
      </w:r>
      <w:r w:rsidR="00A07678">
        <w:rPr>
          <w:rFonts w:ascii="Arial" w:hAnsi="Arial" w:cs="Arial"/>
          <w:sz w:val="20"/>
          <w:szCs w:val="20"/>
        </w:rPr>
        <w:t>s</w:t>
      </w:r>
      <w:r>
        <w:rPr>
          <w:rFonts w:ascii="Arial" w:hAnsi="Arial" w:cs="Arial"/>
          <w:sz w:val="20"/>
          <w:szCs w:val="20"/>
        </w:rPr>
        <w:t xml:space="preserve"> new technologies such as active antenna systems. </w:t>
      </w:r>
    </w:p>
    <w:p w14:paraId="25903A14" w14:textId="32B5B75F" w:rsidR="00BA56E5" w:rsidRPr="009C35C5" w:rsidRDefault="00DE30BE" w:rsidP="00EA31CF">
      <w:pPr>
        <w:spacing w:before="120" w:after="120"/>
        <w:jc w:val="both"/>
        <w:rPr>
          <w:rFonts w:ascii="Arial" w:hAnsi="Arial" w:cs="Arial"/>
          <w:sz w:val="20"/>
          <w:szCs w:val="20"/>
        </w:rPr>
      </w:pPr>
      <w:r>
        <w:rPr>
          <w:rFonts w:ascii="Arial" w:hAnsi="Arial" w:cs="Arial"/>
          <w:sz w:val="20"/>
          <w:szCs w:val="20"/>
        </w:rPr>
        <w:t xml:space="preserve">The outcomes of the TLG are </w:t>
      </w:r>
      <w:r w:rsidR="00BA56E5" w:rsidRPr="009C35C5">
        <w:rPr>
          <w:rFonts w:ascii="Arial" w:hAnsi="Arial" w:cs="Arial"/>
          <w:sz w:val="20"/>
          <w:szCs w:val="20"/>
        </w:rPr>
        <w:t xml:space="preserve">available on the ACMA website at </w:t>
      </w:r>
      <w:hyperlink r:id="rId16" w:history="1">
        <w:r w:rsidR="00301DC6" w:rsidRPr="009C35C5">
          <w:rPr>
            <w:rStyle w:val="Hyperlink"/>
            <w:rFonts w:ascii="Arial" w:hAnsi="Arial" w:cs="Arial"/>
            <w:sz w:val="20"/>
            <w:szCs w:val="20"/>
          </w:rPr>
          <w:t>www.acma.gov.au</w:t>
        </w:r>
      </w:hyperlink>
      <w:r w:rsidR="00BA56E5" w:rsidRPr="009C35C5">
        <w:rPr>
          <w:rFonts w:ascii="Arial" w:hAnsi="Arial" w:cs="Arial"/>
          <w:sz w:val="20"/>
          <w:szCs w:val="20"/>
        </w:rPr>
        <w:t>.</w:t>
      </w:r>
    </w:p>
    <w:p w14:paraId="472F26A6" w14:textId="00487A6D" w:rsidR="00722C89" w:rsidRDefault="00BA56E5" w:rsidP="00641710">
      <w:pPr>
        <w:spacing w:after="120"/>
        <w:jc w:val="both"/>
        <w:rPr>
          <w:rFonts w:ascii="Arial" w:hAnsi="Arial" w:cs="Arial"/>
          <w:sz w:val="20"/>
          <w:szCs w:val="20"/>
        </w:rPr>
      </w:pPr>
      <w:r w:rsidRPr="009C35C5">
        <w:rPr>
          <w:rFonts w:ascii="Arial" w:hAnsi="Arial" w:cs="Arial"/>
          <w:sz w:val="20"/>
          <w:szCs w:val="20"/>
        </w:rPr>
        <w:t xml:space="preserve">The ACMA took into account the views expressed by </w:t>
      </w:r>
      <w:r w:rsidR="00A07678">
        <w:rPr>
          <w:rFonts w:ascii="Arial" w:hAnsi="Arial" w:cs="Arial"/>
          <w:sz w:val="20"/>
          <w:szCs w:val="20"/>
        </w:rPr>
        <w:t xml:space="preserve">the </w:t>
      </w:r>
      <w:r w:rsidRPr="009C35C5">
        <w:rPr>
          <w:rFonts w:ascii="Arial" w:hAnsi="Arial" w:cs="Arial"/>
          <w:sz w:val="20"/>
          <w:szCs w:val="20"/>
        </w:rPr>
        <w:t xml:space="preserve">TLG when preparing </w:t>
      </w:r>
      <w:r w:rsidR="00DE30BE">
        <w:rPr>
          <w:rFonts w:ascii="Arial" w:hAnsi="Arial" w:cs="Arial"/>
          <w:sz w:val="20"/>
          <w:szCs w:val="20"/>
        </w:rPr>
        <w:t xml:space="preserve">variations to </w:t>
      </w:r>
      <w:r w:rsidR="00FA0729" w:rsidRPr="009C35C5">
        <w:rPr>
          <w:rFonts w:ascii="Arial" w:hAnsi="Arial" w:cs="Arial"/>
          <w:sz w:val="20"/>
          <w:szCs w:val="20"/>
        </w:rPr>
        <w:t>the</w:t>
      </w:r>
      <w:r w:rsidR="00DE30BE">
        <w:rPr>
          <w:rFonts w:ascii="Arial" w:hAnsi="Arial" w:cs="Arial"/>
          <w:sz w:val="20"/>
          <w:szCs w:val="20"/>
        </w:rPr>
        <w:t xml:space="preserve"> </w:t>
      </w:r>
      <w:r w:rsidR="0021298B">
        <w:rPr>
          <w:rFonts w:ascii="Arial" w:hAnsi="Arial" w:cs="Arial"/>
          <w:sz w:val="20"/>
          <w:szCs w:val="20"/>
        </w:rPr>
        <w:t>T</w:t>
      </w:r>
      <w:r w:rsidR="00DE30BE">
        <w:rPr>
          <w:rFonts w:ascii="Arial" w:hAnsi="Arial" w:cs="Arial"/>
          <w:sz w:val="20"/>
          <w:szCs w:val="20"/>
        </w:rPr>
        <w:t xml:space="preserve">rading </w:t>
      </w:r>
      <w:r w:rsidR="0021298B">
        <w:rPr>
          <w:rFonts w:ascii="Arial" w:hAnsi="Arial" w:cs="Arial"/>
          <w:sz w:val="20"/>
          <w:szCs w:val="20"/>
        </w:rPr>
        <w:t>R</w:t>
      </w:r>
      <w:r w:rsidR="00DE30BE">
        <w:rPr>
          <w:rFonts w:ascii="Arial" w:hAnsi="Arial" w:cs="Arial"/>
          <w:sz w:val="20"/>
          <w:szCs w:val="20"/>
        </w:rPr>
        <w:t>ules</w:t>
      </w:r>
      <w:r w:rsidR="0021298B">
        <w:rPr>
          <w:rFonts w:ascii="Arial" w:hAnsi="Arial" w:cs="Arial"/>
          <w:sz w:val="20"/>
          <w:szCs w:val="20"/>
        </w:rPr>
        <w:t xml:space="preserve"> Determination</w:t>
      </w:r>
      <w:r w:rsidR="00D868D1" w:rsidRPr="009C35C5">
        <w:rPr>
          <w:rFonts w:ascii="Arial" w:hAnsi="Arial" w:cs="Arial"/>
          <w:sz w:val="20"/>
          <w:szCs w:val="20"/>
        </w:rPr>
        <w:t xml:space="preserve">, RAG Rx, RAG Tx and the </w:t>
      </w:r>
      <w:r w:rsidR="0021298B">
        <w:rPr>
          <w:rFonts w:ascii="Arial" w:hAnsi="Arial" w:cs="Arial"/>
          <w:sz w:val="20"/>
          <w:szCs w:val="20"/>
        </w:rPr>
        <w:t xml:space="preserve">ULI </w:t>
      </w:r>
      <w:r w:rsidR="00D868D1" w:rsidRPr="009C35C5">
        <w:rPr>
          <w:rFonts w:ascii="Arial" w:hAnsi="Arial" w:cs="Arial"/>
          <w:sz w:val="20"/>
          <w:szCs w:val="20"/>
        </w:rPr>
        <w:t>Determination.</w:t>
      </w:r>
      <w:r w:rsidRPr="009C35C5">
        <w:rPr>
          <w:rFonts w:ascii="Arial" w:hAnsi="Arial" w:cs="Arial"/>
          <w:sz w:val="20"/>
          <w:szCs w:val="20"/>
        </w:rPr>
        <w:t xml:space="preserve"> The </w:t>
      </w:r>
      <w:r w:rsidR="00DE30BE">
        <w:rPr>
          <w:rFonts w:ascii="Arial" w:hAnsi="Arial" w:cs="Arial"/>
          <w:sz w:val="20"/>
          <w:szCs w:val="20"/>
        </w:rPr>
        <w:t>AC</w:t>
      </w:r>
      <w:r w:rsidR="004949D4">
        <w:rPr>
          <w:rFonts w:ascii="Arial" w:hAnsi="Arial" w:cs="Arial"/>
          <w:sz w:val="20"/>
          <w:szCs w:val="20"/>
        </w:rPr>
        <w:t xml:space="preserve">MA </w:t>
      </w:r>
      <w:r w:rsidR="00416F67">
        <w:rPr>
          <w:rFonts w:ascii="Arial" w:hAnsi="Arial" w:cs="Arial"/>
          <w:sz w:val="20"/>
          <w:szCs w:val="20"/>
        </w:rPr>
        <w:t xml:space="preserve">also </w:t>
      </w:r>
      <w:r w:rsidR="004949D4">
        <w:rPr>
          <w:rFonts w:ascii="Arial" w:hAnsi="Arial" w:cs="Arial"/>
          <w:sz w:val="20"/>
          <w:szCs w:val="20"/>
        </w:rPr>
        <w:t>publically consulted on the</w:t>
      </w:r>
      <w:r w:rsidR="00DE30BE">
        <w:rPr>
          <w:rFonts w:ascii="Arial" w:hAnsi="Arial" w:cs="Arial"/>
          <w:sz w:val="20"/>
          <w:szCs w:val="20"/>
        </w:rPr>
        <w:t xml:space="preserve"> draft variations </w:t>
      </w:r>
      <w:r w:rsidR="00416F67">
        <w:rPr>
          <w:rFonts w:ascii="Arial" w:hAnsi="Arial" w:cs="Arial"/>
          <w:sz w:val="20"/>
          <w:szCs w:val="20"/>
        </w:rPr>
        <w:t xml:space="preserve">proposed to be made to those instruments </w:t>
      </w:r>
      <w:r w:rsidRPr="009C35C5">
        <w:rPr>
          <w:rFonts w:ascii="Arial" w:hAnsi="Arial" w:cs="Arial"/>
          <w:sz w:val="20"/>
          <w:szCs w:val="20"/>
        </w:rPr>
        <w:t xml:space="preserve">from </w:t>
      </w:r>
      <w:r w:rsidR="00DE30BE">
        <w:rPr>
          <w:rFonts w:ascii="Arial" w:hAnsi="Arial" w:cs="Arial"/>
          <w:sz w:val="20"/>
          <w:szCs w:val="20"/>
        </w:rPr>
        <w:t xml:space="preserve">18 May </w:t>
      </w:r>
      <w:r w:rsidR="00D868D1" w:rsidRPr="009C35C5">
        <w:rPr>
          <w:rFonts w:ascii="Arial" w:hAnsi="Arial" w:cs="Arial"/>
          <w:sz w:val="20"/>
          <w:szCs w:val="20"/>
        </w:rPr>
        <w:t xml:space="preserve">to </w:t>
      </w:r>
      <w:r w:rsidR="00DE30BE">
        <w:rPr>
          <w:rFonts w:ascii="Arial" w:hAnsi="Arial" w:cs="Arial"/>
          <w:sz w:val="20"/>
          <w:szCs w:val="20"/>
        </w:rPr>
        <w:lastRenderedPageBreak/>
        <w:t>15</w:t>
      </w:r>
      <w:r w:rsidR="00D868D1" w:rsidRPr="009C35C5">
        <w:rPr>
          <w:rFonts w:ascii="Arial" w:hAnsi="Arial" w:cs="Arial"/>
          <w:sz w:val="20"/>
          <w:szCs w:val="20"/>
        </w:rPr>
        <w:t xml:space="preserve"> </w:t>
      </w:r>
      <w:r w:rsidR="00DE30BE">
        <w:rPr>
          <w:rFonts w:ascii="Arial" w:hAnsi="Arial" w:cs="Arial"/>
          <w:sz w:val="20"/>
          <w:szCs w:val="20"/>
        </w:rPr>
        <w:t>June 2018</w:t>
      </w:r>
      <w:r w:rsidRPr="009C35C5">
        <w:rPr>
          <w:rFonts w:ascii="Arial" w:hAnsi="Arial" w:cs="Arial"/>
          <w:sz w:val="20"/>
          <w:szCs w:val="20"/>
        </w:rPr>
        <w:t xml:space="preserve"> in order to give all interested parties a</w:t>
      </w:r>
      <w:r w:rsidR="007E0FFE">
        <w:rPr>
          <w:rFonts w:ascii="Arial" w:hAnsi="Arial" w:cs="Arial"/>
          <w:sz w:val="20"/>
          <w:szCs w:val="20"/>
        </w:rPr>
        <w:t>n</w:t>
      </w:r>
      <w:r w:rsidRPr="009C35C5">
        <w:rPr>
          <w:rFonts w:ascii="Arial" w:hAnsi="Arial" w:cs="Arial"/>
          <w:sz w:val="20"/>
          <w:szCs w:val="20"/>
        </w:rPr>
        <w:t xml:space="preserve"> opportunity to comment on</w:t>
      </w:r>
      <w:r w:rsidR="007E0FFE">
        <w:rPr>
          <w:rFonts w:ascii="Arial" w:hAnsi="Arial" w:cs="Arial"/>
          <w:sz w:val="20"/>
          <w:szCs w:val="20"/>
        </w:rPr>
        <w:t xml:space="preserve"> the proposed changes</w:t>
      </w:r>
      <w:r w:rsidRPr="009C35C5">
        <w:rPr>
          <w:rFonts w:ascii="Arial" w:hAnsi="Arial" w:cs="Arial"/>
          <w:sz w:val="20"/>
          <w:szCs w:val="20"/>
        </w:rPr>
        <w:t xml:space="preserve">.  </w:t>
      </w:r>
    </w:p>
    <w:p w14:paraId="0FDA9A3E" w14:textId="778D62F0" w:rsidR="00434BB1" w:rsidRDefault="00722C89" w:rsidP="00641710">
      <w:pPr>
        <w:spacing w:after="120"/>
        <w:jc w:val="both"/>
        <w:rPr>
          <w:rFonts w:ascii="Arial" w:hAnsi="Arial" w:cs="Arial"/>
          <w:sz w:val="20"/>
          <w:szCs w:val="20"/>
        </w:rPr>
      </w:pPr>
      <w:r>
        <w:rPr>
          <w:rFonts w:ascii="Arial" w:hAnsi="Arial" w:cs="Arial"/>
          <w:sz w:val="20"/>
          <w:szCs w:val="20"/>
        </w:rPr>
        <w:t>Three technical framework options where included in the public consultation</w:t>
      </w:r>
      <w:r w:rsidR="003B68B4">
        <w:rPr>
          <w:rFonts w:ascii="Arial" w:hAnsi="Arial" w:cs="Arial"/>
          <w:sz w:val="20"/>
          <w:szCs w:val="20"/>
        </w:rPr>
        <w:t>. A summary of the major difference between these options follows</w:t>
      </w:r>
      <w:r>
        <w:rPr>
          <w:rFonts w:ascii="Arial" w:hAnsi="Arial" w:cs="Arial"/>
          <w:sz w:val="20"/>
          <w:szCs w:val="20"/>
        </w:rPr>
        <w:t xml:space="preserve">: </w:t>
      </w:r>
    </w:p>
    <w:p w14:paraId="76EA8358" w14:textId="2640185D" w:rsidR="00722C89" w:rsidRDefault="00722C89" w:rsidP="00641710">
      <w:pPr>
        <w:pStyle w:val="ListParagraph"/>
        <w:numPr>
          <w:ilvl w:val="0"/>
          <w:numId w:val="47"/>
        </w:numPr>
        <w:spacing w:after="120"/>
        <w:jc w:val="both"/>
        <w:rPr>
          <w:rFonts w:ascii="Arial" w:hAnsi="Arial" w:cs="Arial"/>
          <w:sz w:val="20"/>
          <w:szCs w:val="20"/>
        </w:rPr>
      </w:pPr>
      <w:r>
        <w:rPr>
          <w:rFonts w:ascii="Arial" w:hAnsi="Arial" w:cs="Arial"/>
          <w:sz w:val="20"/>
          <w:szCs w:val="20"/>
        </w:rPr>
        <w:t>Option 1</w:t>
      </w:r>
      <w:r w:rsidR="003B68B4">
        <w:rPr>
          <w:rFonts w:ascii="Arial" w:hAnsi="Arial" w:cs="Arial"/>
          <w:sz w:val="20"/>
          <w:szCs w:val="20"/>
        </w:rPr>
        <w:t>: Applied</w:t>
      </w:r>
      <w:r w:rsidRPr="00722C89">
        <w:rPr>
          <w:rFonts w:ascii="Arial" w:hAnsi="Arial" w:cs="Arial"/>
          <w:sz w:val="20"/>
          <w:szCs w:val="20"/>
        </w:rPr>
        <w:t xml:space="preserve"> a mandated synchronisation fall-back condition to manage interference between 3.4 GHz and 3.6 GHz spectrum licences (synchronisation requirement)</w:t>
      </w:r>
      <w:r>
        <w:rPr>
          <w:rFonts w:ascii="Arial" w:hAnsi="Arial" w:cs="Arial"/>
          <w:sz w:val="20"/>
          <w:szCs w:val="20"/>
        </w:rPr>
        <w:t>. It also considered different dates for the synchronisation requirement to commence under two separate sub-options;</w:t>
      </w:r>
    </w:p>
    <w:p w14:paraId="14A84C28" w14:textId="55BB79C8" w:rsidR="00722C89" w:rsidRDefault="00722C89" w:rsidP="003436F1">
      <w:pPr>
        <w:pStyle w:val="ListParagraph"/>
        <w:numPr>
          <w:ilvl w:val="0"/>
          <w:numId w:val="47"/>
        </w:numPr>
        <w:jc w:val="both"/>
        <w:rPr>
          <w:rFonts w:ascii="Arial" w:hAnsi="Arial" w:cs="Arial"/>
          <w:sz w:val="20"/>
          <w:szCs w:val="20"/>
        </w:rPr>
      </w:pPr>
      <w:r>
        <w:rPr>
          <w:rFonts w:ascii="Arial" w:hAnsi="Arial" w:cs="Arial"/>
          <w:sz w:val="20"/>
          <w:szCs w:val="20"/>
        </w:rPr>
        <w:t>Option 2</w:t>
      </w:r>
      <w:r w:rsidR="003B68B4">
        <w:rPr>
          <w:rFonts w:ascii="Arial" w:hAnsi="Arial" w:cs="Arial"/>
          <w:sz w:val="20"/>
          <w:szCs w:val="20"/>
        </w:rPr>
        <w:t>: O</w:t>
      </w:r>
      <w:r>
        <w:rPr>
          <w:rFonts w:ascii="Arial" w:hAnsi="Arial" w:cs="Arial"/>
          <w:sz w:val="20"/>
          <w:szCs w:val="20"/>
        </w:rPr>
        <w:t xml:space="preserve">nly </w:t>
      </w:r>
      <w:r w:rsidR="003B68B4">
        <w:rPr>
          <w:rFonts w:ascii="Arial" w:hAnsi="Arial" w:cs="Arial"/>
          <w:sz w:val="20"/>
          <w:szCs w:val="20"/>
        </w:rPr>
        <w:t>mandated</w:t>
      </w:r>
      <w:r>
        <w:rPr>
          <w:rFonts w:ascii="Arial" w:hAnsi="Arial" w:cs="Arial"/>
          <w:sz w:val="20"/>
          <w:szCs w:val="20"/>
        </w:rPr>
        <w:t xml:space="preserve"> a synchronisation requirement in the 3.6 GHz band. S</w:t>
      </w:r>
      <w:r w:rsidRPr="00722C89">
        <w:rPr>
          <w:rFonts w:ascii="Arial" w:hAnsi="Arial" w:cs="Arial"/>
          <w:sz w:val="20"/>
          <w:szCs w:val="20"/>
        </w:rPr>
        <w:t>tricter out-of-band emission</w:t>
      </w:r>
      <w:r>
        <w:rPr>
          <w:rFonts w:ascii="Arial" w:hAnsi="Arial" w:cs="Arial"/>
          <w:sz w:val="20"/>
          <w:szCs w:val="20"/>
        </w:rPr>
        <w:t xml:space="preserve"> limits </w:t>
      </w:r>
      <w:r w:rsidR="00434BB1">
        <w:rPr>
          <w:rFonts w:ascii="Arial" w:hAnsi="Arial" w:cs="Arial"/>
          <w:sz w:val="20"/>
          <w:szCs w:val="20"/>
        </w:rPr>
        <w:t xml:space="preserve">applied between 3.4 GHz licences and between 3.4 GHz and </w:t>
      </w:r>
      <w:r w:rsidR="00434BB1" w:rsidRPr="00722C89">
        <w:rPr>
          <w:rFonts w:ascii="Arial" w:hAnsi="Arial" w:cs="Arial"/>
          <w:sz w:val="20"/>
          <w:szCs w:val="20"/>
        </w:rPr>
        <w:t>3.6 GHz band licences</w:t>
      </w:r>
      <w:r>
        <w:rPr>
          <w:rFonts w:ascii="Arial" w:hAnsi="Arial" w:cs="Arial"/>
          <w:sz w:val="20"/>
          <w:szCs w:val="20"/>
        </w:rPr>
        <w:t xml:space="preserve"> </w:t>
      </w:r>
      <w:r w:rsidR="00434BB1">
        <w:rPr>
          <w:rFonts w:ascii="Arial" w:hAnsi="Arial" w:cs="Arial"/>
          <w:sz w:val="20"/>
          <w:szCs w:val="20"/>
        </w:rPr>
        <w:t xml:space="preserve">when needed </w:t>
      </w:r>
      <w:r>
        <w:rPr>
          <w:rFonts w:ascii="Arial" w:hAnsi="Arial" w:cs="Arial"/>
          <w:sz w:val="20"/>
          <w:szCs w:val="20"/>
        </w:rPr>
        <w:t>to manage interference;</w:t>
      </w:r>
      <w:r w:rsidRPr="00722C89">
        <w:rPr>
          <w:rFonts w:ascii="Arial" w:hAnsi="Arial" w:cs="Arial"/>
          <w:sz w:val="20"/>
          <w:szCs w:val="20"/>
        </w:rPr>
        <w:t xml:space="preserve"> </w:t>
      </w:r>
      <w:r>
        <w:rPr>
          <w:rFonts w:ascii="Arial" w:hAnsi="Arial" w:cs="Arial"/>
          <w:sz w:val="20"/>
          <w:szCs w:val="20"/>
        </w:rPr>
        <w:t xml:space="preserve"> </w:t>
      </w:r>
    </w:p>
    <w:p w14:paraId="026CF49F" w14:textId="46463E8E" w:rsidR="00722C89" w:rsidRPr="009C35C5" w:rsidRDefault="003B68B4" w:rsidP="003436F1">
      <w:pPr>
        <w:pStyle w:val="ListParagraph"/>
        <w:numPr>
          <w:ilvl w:val="0"/>
          <w:numId w:val="47"/>
        </w:numPr>
        <w:jc w:val="both"/>
        <w:rPr>
          <w:rFonts w:ascii="Arial" w:hAnsi="Arial" w:cs="Arial"/>
          <w:sz w:val="20"/>
          <w:szCs w:val="20"/>
        </w:rPr>
      </w:pPr>
      <w:r>
        <w:rPr>
          <w:rFonts w:ascii="Arial" w:hAnsi="Arial" w:cs="Arial"/>
          <w:sz w:val="20"/>
          <w:szCs w:val="20"/>
        </w:rPr>
        <w:t>Option 3</w:t>
      </w:r>
      <w:r w:rsidR="00434BB1">
        <w:rPr>
          <w:rFonts w:ascii="Arial" w:hAnsi="Arial" w:cs="Arial"/>
          <w:sz w:val="20"/>
          <w:szCs w:val="20"/>
        </w:rPr>
        <w:t>:</w:t>
      </w:r>
      <w:r>
        <w:rPr>
          <w:rFonts w:ascii="Arial" w:hAnsi="Arial" w:cs="Arial"/>
          <w:sz w:val="20"/>
          <w:szCs w:val="20"/>
        </w:rPr>
        <w:t xml:space="preserve"> </w:t>
      </w:r>
      <w:r w:rsidR="00434BB1">
        <w:rPr>
          <w:rFonts w:ascii="Arial" w:hAnsi="Arial" w:cs="Arial"/>
          <w:sz w:val="20"/>
          <w:szCs w:val="20"/>
        </w:rPr>
        <w:t>M</w:t>
      </w:r>
      <w:r>
        <w:rPr>
          <w:rFonts w:ascii="Arial" w:hAnsi="Arial" w:cs="Arial"/>
          <w:sz w:val="20"/>
          <w:szCs w:val="20"/>
        </w:rPr>
        <w:t xml:space="preserve">aintained the existing 3.4 GHz band technical framework and created a new one for the 3.6 GHz band. </w:t>
      </w:r>
      <w:r w:rsidR="00434BB1">
        <w:rPr>
          <w:rFonts w:ascii="Arial" w:hAnsi="Arial" w:cs="Arial"/>
          <w:sz w:val="20"/>
          <w:szCs w:val="20"/>
        </w:rPr>
        <w:t>S</w:t>
      </w:r>
      <w:r w:rsidR="00434BB1" w:rsidRPr="00722C89">
        <w:rPr>
          <w:rFonts w:ascii="Arial" w:hAnsi="Arial" w:cs="Arial"/>
          <w:sz w:val="20"/>
          <w:szCs w:val="20"/>
        </w:rPr>
        <w:t>tricter out-of-band emission</w:t>
      </w:r>
      <w:r w:rsidR="00434BB1">
        <w:rPr>
          <w:rFonts w:ascii="Arial" w:hAnsi="Arial" w:cs="Arial"/>
          <w:sz w:val="20"/>
          <w:szCs w:val="20"/>
        </w:rPr>
        <w:t xml:space="preserve"> limits applied between </w:t>
      </w:r>
      <w:r>
        <w:rPr>
          <w:rFonts w:ascii="Arial" w:hAnsi="Arial" w:cs="Arial"/>
          <w:sz w:val="20"/>
          <w:szCs w:val="20"/>
        </w:rPr>
        <w:t xml:space="preserve">3.4 GHz and 3.6 GHz band licences </w:t>
      </w:r>
      <w:r w:rsidR="00434BB1">
        <w:rPr>
          <w:rFonts w:ascii="Arial" w:hAnsi="Arial" w:cs="Arial"/>
          <w:sz w:val="20"/>
          <w:szCs w:val="20"/>
        </w:rPr>
        <w:t>when required to manage interference</w:t>
      </w:r>
      <w:r>
        <w:rPr>
          <w:rFonts w:ascii="Arial" w:hAnsi="Arial" w:cs="Arial"/>
          <w:sz w:val="20"/>
          <w:szCs w:val="20"/>
        </w:rPr>
        <w:t>.</w:t>
      </w:r>
    </w:p>
    <w:p w14:paraId="25903A16" w14:textId="77777777" w:rsidR="002B0ACA" w:rsidRPr="009C35C5" w:rsidRDefault="002B0ACA" w:rsidP="00E51800">
      <w:pPr>
        <w:jc w:val="both"/>
        <w:rPr>
          <w:rFonts w:ascii="Arial" w:hAnsi="Arial" w:cs="Arial"/>
          <w:sz w:val="20"/>
          <w:szCs w:val="20"/>
        </w:rPr>
      </w:pPr>
    </w:p>
    <w:p w14:paraId="25903A19" w14:textId="27D91BE0" w:rsidR="00231AAB" w:rsidRDefault="00416F67" w:rsidP="00641710">
      <w:pPr>
        <w:spacing w:after="120"/>
        <w:jc w:val="both"/>
        <w:rPr>
          <w:rFonts w:ascii="Arial" w:hAnsi="Arial" w:cs="Arial"/>
          <w:sz w:val="20"/>
          <w:szCs w:val="20"/>
        </w:rPr>
      </w:pPr>
      <w:r>
        <w:rPr>
          <w:rFonts w:ascii="Arial" w:hAnsi="Arial" w:cs="Arial"/>
          <w:sz w:val="20"/>
          <w:szCs w:val="20"/>
        </w:rPr>
        <w:t>Eleven</w:t>
      </w:r>
      <w:r w:rsidR="00934D14" w:rsidRPr="009C35C5">
        <w:rPr>
          <w:rFonts w:ascii="Arial" w:hAnsi="Arial" w:cs="Arial"/>
          <w:sz w:val="20"/>
          <w:szCs w:val="20"/>
        </w:rPr>
        <w:t xml:space="preserve"> </w:t>
      </w:r>
      <w:r w:rsidR="009C7347" w:rsidRPr="009C35C5">
        <w:rPr>
          <w:rFonts w:ascii="Arial" w:hAnsi="Arial" w:cs="Arial"/>
          <w:sz w:val="20"/>
          <w:szCs w:val="20"/>
        </w:rPr>
        <w:t>submission</w:t>
      </w:r>
      <w:r w:rsidR="00A869A8" w:rsidRPr="009C35C5">
        <w:rPr>
          <w:rFonts w:ascii="Arial" w:hAnsi="Arial" w:cs="Arial"/>
          <w:sz w:val="20"/>
          <w:szCs w:val="20"/>
        </w:rPr>
        <w:t>s</w:t>
      </w:r>
      <w:r w:rsidR="009C7347" w:rsidRPr="009C35C5">
        <w:rPr>
          <w:rFonts w:ascii="Arial" w:hAnsi="Arial" w:cs="Arial"/>
          <w:sz w:val="20"/>
          <w:szCs w:val="20"/>
        </w:rPr>
        <w:t xml:space="preserve"> </w:t>
      </w:r>
      <w:r w:rsidR="00DE60FB" w:rsidRPr="009C35C5">
        <w:rPr>
          <w:rFonts w:ascii="Arial" w:hAnsi="Arial" w:cs="Arial"/>
          <w:sz w:val="20"/>
          <w:szCs w:val="20"/>
        </w:rPr>
        <w:t xml:space="preserve">were </w:t>
      </w:r>
      <w:r w:rsidR="009C7347" w:rsidRPr="009C35C5">
        <w:rPr>
          <w:rFonts w:ascii="Arial" w:hAnsi="Arial" w:cs="Arial"/>
          <w:sz w:val="20"/>
          <w:szCs w:val="20"/>
        </w:rPr>
        <w:t xml:space="preserve">received during </w:t>
      </w:r>
      <w:r>
        <w:rPr>
          <w:rFonts w:ascii="Arial" w:hAnsi="Arial" w:cs="Arial"/>
          <w:sz w:val="20"/>
          <w:szCs w:val="20"/>
        </w:rPr>
        <w:t xml:space="preserve">the </w:t>
      </w:r>
      <w:r w:rsidR="009C7347" w:rsidRPr="009C35C5">
        <w:rPr>
          <w:rFonts w:ascii="Arial" w:hAnsi="Arial" w:cs="Arial"/>
          <w:sz w:val="20"/>
          <w:szCs w:val="20"/>
        </w:rPr>
        <w:t xml:space="preserve">public consultation </w:t>
      </w:r>
      <w:r>
        <w:rPr>
          <w:rFonts w:ascii="Arial" w:hAnsi="Arial" w:cs="Arial"/>
          <w:sz w:val="20"/>
          <w:szCs w:val="20"/>
        </w:rPr>
        <w:t>period</w:t>
      </w:r>
      <w:r w:rsidR="0007071C" w:rsidRPr="009C35C5">
        <w:rPr>
          <w:rFonts w:ascii="Arial" w:hAnsi="Arial" w:cs="Arial"/>
          <w:sz w:val="20"/>
          <w:szCs w:val="20"/>
        </w:rPr>
        <w:t xml:space="preserve">. </w:t>
      </w:r>
      <w:r w:rsidR="003B68B4">
        <w:rPr>
          <w:rFonts w:ascii="Arial" w:hAnsi="Arial" w:cs="Arial"/>
          <w:sz w:val="20"/>
          <w:szCs w:val="20"/>
        </w:rPr>
        <w:t xml:space="preserve">Most submissions were in favour of Option 1 and having the synchronisation requirement start when any 3.6 GHz band spectrum licences issued via auction commence on 30 March 2020. This approach was adopted by the ACMA. </w:t>
      </w:r>
      <w:r w:rsidR="002D0D4B" w:rsidRPr="009C35C5">
        <w:rPr>
          <w:rFonts w:ascii="Arial" w:hAnsi="Arial" w:cs="Arial"/>
          <w:sz w:val="20"/>
          <w:szCs w:val="20"/>
        </w:rPr>
        <w:t>As a result of the public consultation</w:t>
      </w:r>
      <w:r w:rsidR="00AB2B20">
        <w:rPr>
          <w:rFonts w:ascii="Arial" w:hAnsi="Arial" w:cs="Arial"/>
          <w:sz w:val="20"/>
          <w:szCs w:val="20"/>
        </w:rPr>
        <w:t xml:space="preserve"> no additional changes were </w:t>
      </w:r>
      <w:r>
        <w:rPr>
          <w:rFonts w:ascii="Arial" w:hAnsi="Arial" w:cs="Arial"/>
          <w:sz w:val="20"/>
          <w:szCs w:val="20"/>
        </w:rPr>
        <w:t xml:space="preserve">proposed to be </w:t>
      </w:r>
      <w:r w:rsidR="00AB2B20">
        <w:rPr>
          <w:rFonts w:ascii="Arial" w:hAnsi="Arial" w:cs="Arial"/>
          <w:sz w:val="20"/>
          <w:szCs w:val="20"/>
        </w:rPr>
        <w:t xml:space="preserve">made to the </w:t>
      </w:r>
      <w:r w:rsidR="00C461B0">
        <w:rPr>
          <w:rFonts w:ascii="Arial" w:hAnsi="Arial" w:cs="Arial"/>
          <w:sz w:val="20"/>
          <w:szCs w:val="20"/>
        </w:rPr>
        <w:t>T</w:t>
      </w:r>
      <w:r w:rsidR="00AB2B20">
        <w:rPr>
          <w:rFonts w:ascii="Arial" w:hAnsi="Arial" w:cs="Arial"/>
          <w:sz w:val="20"/>
          <w:szCs w:val="20"/>
        </w:rPr>
        <w:t xml:space="preserve">rading </w:t>
      </w:r>
      <w:r w:rsidR="00C461B0">
        <w:rPr>
          <w:rFonts w:ascii="Arial" w:hAnsi="Arial" w:cs="Arial"/>
          <w:sz w:val="20"/>
          <w:szCs w:val="20"/>
        </w:rPr>
        <w:t>R</w:t>
      </w:r>
      <w:r w:rsidR="00AB2B20">
        <w:rPr>
          <w:rFonts w:ascii="Arial" w:hAnsi="Arial" w:cs="Arial"/>
          <w:sz w:val="20"/>
          <w:szCs w:val="20"/>
        </w:rPr>
        <w:t>ules</w:t>
      </w:r>
      <w:r>
        <w:rPr>
          <w:rFonts w:ascii="Arial" w:hAnsi="Arial" w:cs="Arial"/>
          <w:sz w:val="20"/>
          <w:szCs w:val="20"/>
        </w:rPr>
        <w:t xml:space="preserve"> </w:t>
      </w:r>
      <w:r w:rsidR="00C461B0">
        <w:rPr>
          <w:rFonts w:ascii="Arial" w:hAnsi="Arial" w:cs="Arial"/>
          <w:sz w:val="20"/>
          <w:szCs w:val="20"/>
        </w:rPr>
        <w:t>D</w:t>
      </w:r>
      <w:r>
        <w:rPr>
          <w:rFonts w:ascii="Arial" w:hAnsi="Arial" w:cs="Arial"/>
          <w:sz w:val="20"/>
          <w:szCs w:val="20"/>
        </w:rPr>
        <w:t>etermination</w:t>
      </w:r>
      <w:r w:rsidR="00AB2B20">
        <w:rPr>
          <w:rFonts w:ascii="Arial" w:hAnsi="Arial" w:cs="Arial"/>
          <w:sz w:val="20"/>
          <w:szCs w:val="20"/>
        </w:rPr>
        <w:t xml:space="preserve">. However, </w:t>
      </w:r>
      <w:r w:rsidR="00380E0A">
        <w:rPr>
          <w:rFonts w:ascii="Arial" w:hAnsi="Arial" w:cs="Arial"/>
          <w:sz w:val="20"/>
          <w:szCs w:val="20"/>
        </w:rPr>
        <w:t>a number of</w:t>
      </w:r>
      <w:r w:rsidR="00AB2B20">
        <w:rPr>
          <w:rFonts w:ascii="Arial" w:hAnsi="Arial" w:cs="Arial"/>
          <w:sz w:val="20"/>
          <w:szCs w:val="20"/>
        </w:rPr>
        <w:t xml:space="preserve"> changes </w:t>
      </w:r>
      <w:r w:rsidR="00E64EF6">
        <w:rPr>
          <w:rFonts w:ascii="Arial" w:hAnsi="Arial" w:cs="Arial"/>
          <w:sz w:val="20"/>
          <w:szCs w:val="20"/>
        </w:rPr>
        <w:t xml:space="preserve">to the other instruments to be varied </w:t>
      </w:r>
      <w:r w:rsidR="00AB2B20">
        <w:rPr>
          <w:rFonts w:ascii="Arial" w:hAnsi="Arial" w:cs="Arial"/>
          <w:sz w:val="20"/>
          <w:szCs w:val="20"/>
        </w:rPr>
        <w:t xml:space="preserve">were </w:t>
      </w:r>
      <w:r>
        <w:rPr>
          <w:rFonts w:ascii="Arial" w:hAnsi="Arial" w:cs="Arial"/>
          <w:sz w:val="20"/>
          <w:szCs w:val="20"/>
        </w:rPr>
        <w:t xml:space="preserve">identified </w:t>
      </w:r>
      <w:r w:rsidR="00E64EF6">
        <w:rPr>
          <w:rFonts w:ascii="Arial" w:hAnsi="Arial" w:cs="Arial"/>
          <w:sz w:val="20"/>
          <w:szCs w:val="20"/>
        </w:rPr>
        <w:t>and have been incorporated into the V</w:t>
      </w:r>
      <w:r w:rsidR="00AB2B20">
        <w:rPr>
          <w:rFonts w:ascii="Arial" w:hAnsi="Arial" w:cs="Arial"/>
          <w:sz w:val="20"/>
          <w:szCs w:val="20"/>
        </w:rPr>
        <w:t xml:space="preserve">ariation </w:t>
      </w:r>
      <w:r w:rsidR="0021298B">
        <w:rPr>
          <w:rFonts w:ascii="Arial" w:hAnsi="Arial" w:cs="Arial"/>
          <w:sz w:val="20"/>
          <w:szCs w:val="20"/>
        </w:rPr>
        <w:t>Instrument</w:t>
      </w:r>
      <w:r w:rsidR="00380E0A">
        <w:rPr>
          <w:rFonts w:ascii="Arial" w:hAnsi="Arial" w:cs="Arial"/>
          <w:sz w:val="20"/>
          <w:szCs w:val="20"/>
        </w:rPr>
        <w:t xml:space="preserve">. Many of these were minor in nature and were </w:t>
      </w:r>
      <w:r w:rsidR="00380E0A" w:rsidRPr="00380E0A">
        <w:rPr>
          <w:rFonts w:ascii="Arial" w:hAnsi="Arial" w:cs="Arial"/>
          <w:sz w:val="20"/>
          <w:szCs w:val="20"/>
        </w:rPr>
        <w:t>made in order to clarify the proposed operation of the technical framework across the band and to correct minor errors.</w:t>
      </w:r>
      <w:r w:rsidR="00380E0A">
        <w:rPr>
          <w:rFonts w:ascii="Arial" w:hAnsi="Arial" w:cs="Arial"/>
          <w:sz w:val="20"/>
          <w:szCs w:val="20"/>
        </w:rPr>
        <w:t xml:space="preserve"> The most significant change was to the </w:t>
      </w:r>
      <w:r w:rsidR="0021298B">
        <w:rPr>
          <w:rFonts w:ascii="Arial" w:hAnsi="Arial" w:cs="Arial"/>
          <w:sz w:val="20"/>
          <w:szCs w:val="20"/>
        </w:rPr>
        <w:t xml:space="preserve">ULI </w:t>
      </w:r>
      <w:r w:rsidR="00380E0A">
        <w:rPr>
          <w:rFonts w:ascii="Arial" w:hAnsi="Arial" w:cs="Arial"/>
          <w:sz w:val="20"/>
          <w:szCs w:val="20"/>
        </w:rPr>
        <w:t xml:space="preserve">Determination. This involved the inclusion of a new </w:t>
      </w:r>
      <w:r w:rsidR="0021298B">
        <w:rPr>
          <w:rFonts w:ascii="Arial" w:hAnsi="Arial" w:cs="Arial"/>
          <w:sz w:val="20"/>
          <w:szCs w:val="20"/>
        </w:rPr>
        <w:t xml:space="preserve">subsection </w:t>
      </w:r>
      <w:r w:rsidR="00380E0A">
        <w:rPr>
          <w:rFonts w:ascii="Arial" w:hAnsi="Arial" w:cs="Arial"/>
          <w:sz w:val="20"/>
          <w:szCs w:val="20"/>
        </w:rPr>
        <w:t>9(4) that states</w:t>
      </w:r>
      <w:r w:rsidR="0021298B">
        <w:rPr>
          <w:rFonts w:ascii="Arial" w:hAnsi="Arial" w:cs="Arial"/>
          <w:sz w:val="20"/>
          <w:szCs w:val="20"/>
        </w:rPr>
        <w:t xml:space="preserve"> that</w:t>
      </w:r>
      <w:r w:rsidR="00380E0A">
        <w:rPr>
          <w:rFonts w:ascii="Arial" w:hAnsi="Arial" w:cs="Arial"/>
          <w:sz w:val="20"/>
          <w:szCs w:val="20"/>
        </w:rPr>
        <w:t xml:space="preserve"> sections of the device boundary that </w:t>
      </w:r>
      <w:r w:rsidR="00380E0A" w:rsidRPr="00777A82">
        <w:rPr>
          <w:rFonts w:ascii="Arial" w:hAnsi="Arial" w:cs="Arial"/>
          <w:sz w:val="20"/>
          <w:szCs w:val="20"/>
        </w:rPr>
        <w:t xml:space="preserve">extend beyond </w:t>
      </w:r>
      <w:r w:rsidR="00380E0A">
        <w:rPr>
          <w:rFonts w:ascii="Arial" w:hAnsi="Arial" w:cs="Arial"/>
          <w:sz w:val="20"/>
          <w:szCs w:val="20"/>
        </w:rPr>
        <w:t xml:space="preserve">a </w:t>
      </w:r>
      <w:r w:rsidR="00380E0A" w:rsidRPr="00777A82">
        <w:rPr>
          <w:rFonts w:ascii="Arial" w:hAnsi="Arial" w:cs="Arial"/>
          <w:sz w:val="20"/>
          <w:szCs w:val="20"/>
        </w:rPr>
        <w:t xml:space="preserve">licence area </w:t>
      </w:r>
      <w:r w:rsidR="00380E0A">
        <w:rPr>
          <w:rFonts w:ascii="Arial" w:hAnsi="Arial" w:cs="Arial"/>
          <w:sz w:val="20"/>
          <w:szCs w:val="20"/>
        </w:rPr>
        <w:t xml:space="preserve">and </w:t>
      </w:r>
      <w:r w:rsidR="00380E0A" w:rsidRPr="00777A82">
        <w:rPr>
          <w:rFonts w:ascii="Arial" w:hAnsi="Arial" w:cs="Arial"/>
          <w:sz w:val="20"/>
          <w:szCs w:val="20"/>
        </w:rPr>
        <w:t>only pass over water</w:t>
      </w:r>
      <w:r w:rsidR="00380E0A">
        <w:rPr>
          <w:rFonts w:ascii="Arial" w:hAnsi="Arial" w:cs="Arial"/>
          <w:sz w:val="20"/>
          <w:szCs w:val="20"/>
        </w:rPr>
        <w:t xml:space="preserve"> are not considered to fail the device boundary criteria. </w:t>
      </w:r>
      <w:r w:rsidR="00434BB1">
        <w:rPr>
          <w:rFonts w:ascii="Arial" w:hAnsi="Arial" w:cs="Arial"/>
          <w:sz w:val="20"/>
          <w:szCs w:val="20"/>
        </w:rPr>
        <w:t xml:space="preserve">The possible inclusion of this subclause </w:t>
      </w:r>
      <w:r w:rsidR="00380E0A">
        <w:rPr>
          <w:rFonts w:ascii="Arial" w:hAnsi="Arial" w:cs="Arial"/>
          <w:sz w:val="20"/>
          <w:szCs w:val="20"/>
        </w:rPr>
        <w:t xml:space="preserve">was </w:t>
      </w:r>
      <w:r w:rsidR="00434BB1">
        <w:rPr>
          <w:rFonts w:ascii="Arial" w:hAnsi="Arial" w:cs="Arial"/>
          <w:sz w:val="20"/>
          <w:szCs w:val="20"/>
        </w:rPr>
        <w:t xml:space="preserve">included </w:t>
      </w:r>
      <w:r w:rsidR="00380E0A">
        <w:rPr>
          <w:rFonts w:ascii="Arial" w:hAnsi="Arial" w:cs="Arial"/>
          <w:sz w:val="20"/>
          <w:szCs w:val="20"/>
        </w:rPr>
        <w:t>in the consultation paper</w:t>
      </w:r>
      <w:r w:rsidR="00434BB1">
        <w:rPr>
          <w:rFonts w:ascii="Arial" w:hAnsi="Arial" w:cs="Arial"/>
          <w:sz w:val="20"/>
          <w:szCs w:val="20"/>
        </w:rPr>
        <w:t xml:space="preserve">. All submissions that </w:t>
      </w:r>
      <w:r w:rsidR="00045061">
        <w:rPr>
          <w:rFonts w:ascii="Arial" w:hAnsi="Arial" w:cs="Arial"/>
          <w:sz w:val="20"/>
          <w:szCs w:val="20"/>
        </w:rPr>
        <w:t xml:space="preserve">addressed the matter </w:t>
      </w:r>
      <w:r w:rsidR="00434BB1">
        <w:rPr>
          <w:rFonts w:ascii="Arial" w:hAnsi="Arial" w:cs="Arial"/>
          <w:sz w:val="20"/>
          <w:szCs w:val="20"/>
        </w:rPr>
        <w:t xml:space="preserve">supported </w:t>
      </w:r>
      <w:r w:rsidR="00045061">
        <w:rPr>
          <w:rFonts w:ascii="Arial" w:hAnsi="Arial" w:cs="Arial"/>
          <w:sz w:val="20"/>
          <w:szCs w:val="20"/>
        </w:rPr>
        <w:t>the inclusion of this new provision</w:t>
      </w:r>
      <w:r w:rsidR="00380E0A">
        <w:rPr>
          <w:rFonts w:ascii="Arial" w:hAnsi="Arial" w:cs="Arial"/>
          <w:sz w:val="20"/>
          <w:szCs w:val="20"/>
        </w:rPr>
        <w:t xml:space="preserve">. </w:t>
      </w:r>
    </w:p>
    <w:p w14:paraId="6C37874D" w14:textId="77777777" w:rsidR="00641710" w:rsidRPr="00641710" w:rsidRDefault="00641710" w:rsidP="00641710">
      <w:pPr>
        <w:spacing w:after="120"/>
        <w:jc w:val="both"/>
        <w:rPr>
          <w:rFonts w:ascii="Arial" w:hAnsi="Arial" w:cs="Arial"/>
          <w:sz w:val="20"/>
          <w:szCs w:val="20"/>
        </w:rPr>
      </w:pPr>
    </w:p>
    <w:p w14:paraId="25903A1B" w14:textId="294E78DB" w:rsidR="002B0ACA" w:rsidRPr="00641710" w:rsidRDefault="001B79DD" w:rsidP="00641710">
      <w:pPr>
        <w:spacing w:after="120"/>
        <w:jc w:val="both"/>
        <w:rPr>
          <w:rFonts w:ascii="Arial" w:hAnsi="Arial" w:cs="Arial"/>
          <w:b/>
          <w:sz w:val="20"/>
          <w:szCs w:val="20"/>
        </w:rPr>
      </w:pPr>
      <w:r w:rsidRPr="009C35C5">
        <w:rPr>
          <w:rFonts w:ascii="Arial" w:hAnsi="Arial" w:cs="Arial"/>
          <w:b/>
          <w:sz w:val="20"/>
          <w:szCs w:val="20"/>
        </w:rPr>
        <w:t xml:space="preserve">Regulatory </w:t>
      </w:r>
      <w:r w:rsidR="009859BF" w:rsidRPr="009C35C5">
        <w:rPr>
          <w:rFonts w:ascii="Arial" w:hAnsi="Arial" w:cs="Arial"/>
          <w:b/>
          <w:sz w:val="20"/>
          <w:szCs w:val="20"/>
        </w:rPr>
        <w:t>i</w:t>
      </w:r>
      <w:r w:rsidRPr="009C35C5">
        <w:rPr>
          <w:rFonts w:ascii="Arial" w:hAnsi="Arial" w:cs="Arial"/>
          <w:b/>
          <w:sz w:val="20"/>
          <w:szCs w:val="20"/>
        </w:rPr>
        <w:t xml:space="preserve">mpact </w:t>
      </w:r>
    </w:p>
    <w:p w14:paraId="25903A1C" w14:textId="47E45F52" w:rsidR="002B0ACA" w:rsidRPr="009C35C5" w:rsidRDefault="000E36AE" w:rsidP="00641710">
      <w:pPr>
        <w:spacing w:after="120"/>
        <w:jc w:val="both"/>
        <w:rPr>
          <w:rFonts w:ascii="Arial" w:hAnsi="Arial" w:cs="Arial"/>
          <w:sz w:val="20"/>
          <w:szCs w:val="20"/>
        </w:rPr>
      </w:pPr>
      <w:r w:rsidRPr="009C35C5">
        <w:rPr>
          <w:rFonts w:ascii="Arial" w:hAnsi="Arial" w:cs="Arial"/>
          <w:sz w:val="20"/>
          <w:szCs w:val="20"/>
        </w:rPr>
        <w:t>T</w:t>
      </w:r>
      <w:r w:rsidR="00765927" w:rsidRPr="009C35C5">
        <w:rPr>
          <w:rFonts w:ascii="Arial" w:hAnsi="Arial" w:cs="Arial"/>
          <w:sz w:val="20"/>
          <w:szCs w:val="20"/>
        </w:rPr>
        <w:t xml:space="preserve">he ACMA consulted with the Office of Best Practice Regulation (the </w:t>
      </w:r>
      <w:r w:rsidR="00765927" w:rsidRPr="009C35C5">
        <w:rPr>
          <w:rFonts w:ascii="Arial" w:hAnsi="Arial" w:cs="Arial"/>
          <w:b/>
          <w:sz w:val="20"/>
          <w:szCs w:val="20"/>
        </w:rPr>
        <w:t>OBPR</w:t>
      </w:r>
      <w:r w:rsidR="00765927" w:rsidRPr="009C35C5">
        <w:rPr>
          <w:rFonts w:ascii="Arial" w:hAnsi="Arial" w:cs="Arial"/>
          <w:sz w:val="20"/>
          <w:szCs w:val="20"/>
        </w:rPr>
        <w:t xml:space="preserve">) on the requirement for a </w:t>
      </w:r>
      <w:r w:rsidR="00C37838" w:rsidRPr="009C35C5">
        <w:rPr>
          <w:rFonts w:ascii="Arial" w:hAnsi="Arial" w:cs="Arial"/>
          <w:sz w:val="20"/>
          <w:szCs w:val="20"/>
        </w:rPr>
        <w:t>R</w:t>
      </w:r>
      <w:r w:rsidR="00765927" w:rsidRPr="009C35C5">
        <w:rPr>
          <w:rFonts w:ascii="Arial" w:hAnsi="Arial" w:cs="Arial"/>
          <w:sz w:val="20"/>
          <w:szCs w:val="20"/>
        </w:rPr>
        <w:t xml:space="preserve">egulation </w:t>
      </w:r>
      <w:r w:rsidR="00C37838" w:rsidRPr="009C35C5">
        <w:rPr>
          <w:rFonts w:ascii="Arial" w:hAnsi="Arial" w:cs="Arial"/>
          <w:sz w:val="20"/>
          <w:szCs w:val="20"/>
        </w:rPr>
        <w:t>Impact S</w:t>
      </w:r>
      <w:r w:rsidR="00765927" w:rsidRPr="009C35C5">
        <w:rPr>
          <w:rFonts w:ascii="Arial" w:hAnsi="Arial" w:cs="Arial"/>
          <w:sz w:val="20"/>
          <w:szCs w:val="20"/>
        </w:rPr>
        <w:t>tatement (</w:t>
      </w:r>
      <w:r w:rsidR="00765927" w:rsidRPr="009C35C5">
        <w:rPr>
          <w:rFonts w:ascii="Arial" w:hAnsi="Arial" w:cs="Arial"/>
          <w:b/>
          <w:sz w:val="20"/>
          <w:szCs w:val="20"/>
        </w:rPr>
        <w:t>RIS</w:t>
      </w:r>
      <w:r w:rsidR="00765927" w:rsidRPr="009C35C5">
        <w:rPr>
          <w:rFonts w:ascii="Arial" w:hAnsi="Arial" w:cs="Arial"/>
          <w:sz w:val="20"/>
          <w:szCs w:val="20"/>
        </w:rPr>
        <w:t>). The OBPR advised that th</w:t>
      </w:r>
      <w:r w:rsidR="00505924" w:rsidRPr="009C35C5">
        <w:rPr>
          <w:rFonts w:ascii="Arial" w:hAnsi="Arial" w:cs="Arial"/>
          <w:sz w:val="20"/>
          <w:szCs w:val="20"/>
        </w:rPr>
        <w:t>e</w:t>
      </w:r>
      <w:r w:rsidR="00765927" w:rsidRPr="009C35C5">
        <w:rPr>
          <w:rFonts w:ascii="Arial" w:hAnsi="Arial" w:cs="Arial"/>
          <w:sz w:val="20"/>
          <w:szCs w:val="20"/>
        </w:rPr>
        <w:t xml:space="preserve"> </w:t>
      </w:r>
      <w:r w:rsidR="00FA0729" w:rsidRPr="009C35C5">
        <w:rPr>
          <w:rFonts w:ascii="Arial" w:hAnsi="Arial" w:cs="Arial"/>
          <w:sz w:val="20"/>
          <w:szCs w:val="20"/>
        </w:rPr>
        <w:t>Variation Instrument does</w:t>
      </w:r>
      <w:r w:rsidR="00765927" w:rsidRPr="009C35C5">
        <w:rPr>
          <w:rFonts w:ascii="Arial" w:hAnsi="Arial" w:cs="Arial"/>
          <w:sz w:val="20"/>
          <w:szCs w:val="20"/>
        </w:rPr>
        <w:t xml:space="preserve"> not warrant the preparation of a RIS</w:t>
      </w:r>
      <w:r w:rsidR="009A4967" w:rsidRPr="009C35C5">
        <w:rPr>
          <w:rFonts w:ascii="Arial" w:hAnsi="Arial" w:cs="Arial"/>
          <w:sz w:val="20"/>
          <w:szCs w:val="20"/>
        </w:rPr>
        <w:t xml:space="preserve"> because the instrument is likely to have </w:t>
      </w:r>
      <w:r w:rsidR="000D2159" w:rsidRPr="009C35C5">
        <w:rPr>
          <w:rFonts w:ascii="Arial" w:hAnsi="Arial" w:cs="Arial"/>
          <w:sz w:val="20"/>
          <w:szCs w:val="20"/>
        </w:rPr>
        <w:t xml:space="preserve">only </w:t>
      </w:r>
      <w:r w:rsidR="009A4967" w:rsidRPr="009C35C5">
        <w:rPr>
          <w:rFonts w:ascii="Arial" w:hAnsi="Arial" w:cs="Arial"/>
          <w:sz w:val="20"/>
          <w:szCs w:val="20"/>
        </w:rPr>
        <w:t>minor and machinery impacts. The reference</w:t>
      </w:r>
      <w:r w:rsidR="00CB4B61" w:rsidRPr="009C35C5">
        <w:rPr>
          <w:rFonts w:ascii="Arial" w:hAnsi="Arial" w:cs="Arial"/>
          <w:sz w:val="20"/>
          <w:szCs w:val="20"/>
        </w:rPr>
        <w:t xml:space="preserve"> number </w:t>
      </w:r>
      <w:r w:rsidR="009A4967" w:rsidRPr="009C35C5">
        <w:rPr>
          <w:rFonts w:ascii="Arial" w:hAnsi="Arial" w:cs="Arial"/>
          <w:sz w:val="20"/>
          <w:szCs w:val="20"/>
        </w:rPr>
        <w:t xml:space="preserve">for the OBPR’s assessment is </w:t>
      </w:r>
      <w:r w:rsidR="00B53B24" w:rsidRPr="009C35C5">
        <w:rPr>
          <w:rFonts w:ascii="Arial" w:hAnsi="Arial" w:cs="Arial"/>
          <w:sz w:val="20"/>
          <w:szCs w:val="20"/>
        </w:rPr>
        <w:t xml:space="preserve">OBPR ID </w:t>
      </w:r>
      <w:r w:rsidR="007E0FFE" w:rsidRPr="007E0FFE">
        <w:rPr>
          <w:rFonts w:ascii="Arial" w:hAnsi="Arial" w:cs="Arial"/>
          <w:sz w:val="20"/>
          <w:szCs w:val="20"/>
        </w:rPr>
        <w:t>23648</w:t>
      </w:r>
      <w:r w:rsidR="0067397E" w:rsidRPr="009C35C5">
        <w:rPr>
          <w:rFonts w:ascii="Arial" w:hAnsi="Arial" w:cs="Arial"/>
          <w:sz w:val="20"/>
          <w:szCs w:val="20"/>
        </w:rPr>
        <w:t>.</w:t>
      </w:r>
    </w:p>
    <w:p w14:paraId="25903A1E" w14:textId="77777777" w:rsidR="00231AAB" w:rsidRPr="009C35C5" w:rsidRDefault="00231AAB" w:rsidP="00641710">
      <w:pPr>
        <w:spacing w:after="120"/>
        <w:jc w:val="both"/>
        <w:rPr>
          <w:rFonts w:ascii="Arial" w:hAnsi="Arial" w:cs="Arial"/>
          <w:b/>
          <w:sz w:val="20"/>
          <w:szCs w:val="20"/>
        </w:rPr>
      </w:pPr>
    </w:p>
    <w:p w14:paraId="25903A20" w14:textId="427F21FB" w:rsidR="003F0808" w:rsidRPr="00641710" w:rsidRDefault="009859BF" w:rsidP="00641710">
      <w:pPr>
        <w:spacing w:after="120"/>
        <w:jc w:val="both"/>
        <w:rPr>
          <w:rFonts w:ascii="Arial" w:hAnsi="Arial" w:cs="Arial"/>
          <w:b/>
          <w:sz w:val="20"/>
          <w:szCs w:val="20"/>
        </w:rPr>
      </w:pPr>
      <w:r w:rsidRPr="009C35C5">
        <w:rPr>
          <w:rFonts w:ascii="Arial" w:hAnsi="Arial" w:cs="Arial"/>
          <w:b/>
          <w:sz w:val="20"/>
          <w:szCs w:val="20"/>
        </w:rPr>
        <w:t>Document</w:t>
      </w:r>
      <w:r w:rsidR="002D48B8">
        <w:rPr>
          <w:rFonts w:ascii="Arial" w:hAnsi="Arial" w:cs="Arial"/>
          <w:b/>
          <w:sz w:val="20"/>
          <w:szCs w:val="20"/>
        </w:rPr>
        <w:t>s</w:t>
      </w:r>
      <w:r w:rsidRPr="009C35C5">
        <w:rPr>
          <w:rFonts w:ascii="Arial" w:hAnsi="Arial" w:cs="Arial"/>
          <w:b/>
          <w:sz w:val="20"/>
          <w:szCs w:val="20"/>
        </w:rPr>
        <w:t xml:space="preserve"> i</w:t>
      </w:r>
      <w:r w:rsidR="00776FB8" w:rsidRPr="009C35C5">
        <w:rPr>
          <w:rFonts w:ascii="Arial" w:hAnsi="Arial" w:cs="Arial"/>
          <w:b/>
          <w:sz w:val="20"/>
          <w:szCs w:val="20"/>
        </w:rPr>
        <w:t xml:space="preserve">ncorporated by </w:t>
      </w:r>
      <w:r w:rsidRPr="009C35C5">
        <w:rPr>
          <w:rFonts w:ascii="Arial" w:hAnsi="Arial" w:cs="Arial"/>
          <w:b/>
          <w:sz w:val="20"/>
          <w:szCs w:val="20"/>
        </w:rPr>
        <w:t>r</w:t>
      </w:r>
      <w:r w:rsidR="00776FB8" w:rsidRPr="009C35C5">
        <w:rPr>
          <w:rFonts w:ascii="Arial" w:hAnsi="Arial" w:cs="Arial"/>
          <w:b/>
          <w:sz w:val="20"/>
          <w:szCs w:val="20"/>
        </w:rPr>
        <w:t>eference</w:t>
      </w:r>
    </w:p>
    <w:p w14:paraId="45256541" w14:textId="22476B68" w:rsidR="007E0FFE" w:rsidRPr="00641710" w:rsidRDefault="00E64EF6" w:rsidP="00641710">
      <w:pPr>
        <w:spacing w:after="120"/>
        <w:jc w:val="both"/>
        <w:rPr>
          <w:rFonts w:ascii="Arial" w:hAnsi="Arial" w:cs="Arial"/>
          <w:sz w:val="20"/>
          <w:szCs w:val="20"/>
        </w:rPr>
      </w:pPr>
      <w:r>
        <w:rPr>
          <w:rFonts w:ascii="Arial" w:hAnsi="Arial" w:cs="Arial"/>
          <w:sz w:val="20"/>
          <w:szCs w:val="20"/>
        </w:rPr>
        <w:t xml:space="preserve">The Variation Instrument incorporates </w:t>
      </w:r>
      <w:r w:rsidR="00712A1C">
        <w:rPr>
          <w:rFonts w:ascii="Arial" w:hAnsi="Arial" w:cs="Arial"/>
          <w:sz w:val="20"/>
          <w:szCs w:val="20"/>
        </w:rPr>
        <w:t xml:space="preserve">the following instruments and documents made by the ACMA by reference, or otherwise refers to them: </w:t>
      </w:r>
    </w:p>
    <w:p w14:paraId="65D09691" w14:textId="731D98C2" w:rsidR="00712A1C" w:rsidRDefault="00712A1C" w:rsidP="00641710">
      <w:pPr>
        <w:numPr>
          <w:ilvl w:val="0"/>
          <w:numId w:val="18"/>
        </w:numPr>
        <w:jc w:val="both"/>
        <w:rPr>
          <w:rFonts w:ascii="Arial" w:hAnsi="Arial" w:cs="Arial"/>
          <w:sz w:val="20"/>
          <w:szCs w:val="20"/>
        </w:rPr>
      </w:pPr>
      <w:r>
        <w:rPr>
          <w:rFonts w:ascii="Arial" w:hAnsi="Arial" w:cs="Arial"/>
          <w:sz w:val="20"/>
          <w:szCs w:val="20"/>
        </w:rPr>
        <w:t>The Australian Spectrum Map Grid 2012 (ASMG);</w:t>
      </w:r>
    </w:p>
    <w:p w14:paraId="7C29D5E1" w14:textId="5DFDD673" w:rsidR="006D1F57" w:rsidRDefault="006D1F57" w:rsidP="00641710">
      <w:pPr>
        <w:numPr>
          <w:ilvl w:val="0"/>
          <w:numId w:val="18"/>
        </w:numPr>
        <w:jc w:val="both"/>
        <w:rPr>
          <w:rFonts w:ascii="Arial" w:hAnsi="Arial" w:cs="Arial"/>
          <w:sz w:val="20"/>
          <w:szCs w:val="20"/>
        </w:rPr>
      </w:pPr>
      <w:r>
        <w:rPr>
          <w:rFonts w:ascii="Arial" w:hAnsi="Arial" w:cs="Arial"/>
          <w:sz w:val="20"/>
          <w:szCs w:val="20"/>
        </w:rPr>
        <w:t>The Radiocommunications Assignment and Licensing Instruction No. FX 14, Point to Multi-point Fixed Services in Specified Parts of the 3.4 – 3.5 GHz Band (RALI FX 14);</w:t>
      </w:r>
    </w:p>
    <w:p w14:paraId="701B2F98" w14:textId="57FEF4CF" w:rsidR="006D1F57" w:rsidRDefault="006D1F57" w:rsidP="00641710">
      <w:pPr>
        <w:numPr>
          <w:ilvl w:val="0"/>
          <w:numId w:val="18"/>
        </w:numPr>
        <w:jc w:val="both"/>
        <w:rPr>
          <w:rFonts w:ascii="Arial" w:hAnsi="Arial" w:cs="Arial"/>
          <w:sz w:val="20"/>
          <w:szCs w:val="20"/>
        </w:rPr>
      </w:pPr>
      <w:r>
        <w:rPr>
          <w:rFonts w:ascii="Arial" w:hAnsi="Arial" w:cs="Arial"/>
          <w:sz w:val="20"/>
          <w:szCs w:val="20"/>
        </w:rPr>
        <w:t xml:space="preserve">The Radiocommunications Assignment and Licensing Instruction No. FX 19, </w:t>
      </w:r>
      <w:r w:rsidRPr="006D1F57">
        <w:rPr>
          <w:rFonts w:ascii="Arial" w:hAnsi="Arial" w:cs="Arial"/>
          <w:sz w:val="20"/>
          <w:szCs w:val="20"/>
        </w:rPr>
        <w:t>Frequency Coordination and Licensing Procedures for Apparatus Licensed Broadband Wireless Access Services in the 1900–1920 MHz and 3575–3700 MHz Bands</w:t>
      </w:r>
      <w:r>
        <w:rPr>
          <w:rFonts w:ascii="Arial" w:hAnsi="Arial" w:cs="Arial"/>
          <w:sz w:val="20"/>
          <w:szCs w:val="20"/>
        </w:rPr>
        <w:t xml:space="preserve"> (RALI FX 19);</w:t>
      </w:r>
    </w:p>
    <w:p w14:paraId="517A4954" w14:textId="14A3E978" w:rsidR="00712A1C" w:rsidRDefault="00712A1C" w:rsidP="00641710">
      <w:pPr>
        <w:numPr>
          <w:ilvl w:val="0"/>
          <w:numId w:val="18"/>
        </w:numPr>
        <w:jc w:val="both"/>
        <w:rPr>
          <w:rFonts w:ascii="Arial" w:hAnsi="Arial" w:cs="Arial"/>
          <w:sz w:val="20"/>
          <w:szCs w:val="20"/>
        </w:rPr>
      </w:pPr>
      <w:r>
        <w:rPr>
          <w:rFonts w:ascii="Arial" w:hAnsi="Arial" w:cs="Arial"/>
          <w:sz w:val="20"/>
          <w:szCs w:val="20"/>
        </w:rPr>
        <w:t>The Radiocommunications Assignment and Licensing Instruction No. MS 39, Frequency Coordination and Licensing Procedures for Apparatus Licensed Public Telecommunication Services in the 3.5 GHz Band (RALI MS 39);</w:t>
      </w:r>
    </w:p>
    <w:p w14:paraId="5B59514D" w14:textId="3FCDF6E3" w:rsidR="00AB2B20" w:rsidRPr="009C35C5" w:rsidRDefault="00AB2B20" w:rsidP="00641710">
      <w:pPr>
        <w:numPr>
          <w:ilvl w:val="0"/>
          <w:numId w:val="18"/>
        </w:numPr>
        <w:spacing w:after="120"/>
        <w:jc w:val="both"/>
        <w:rPr>
          <w:rFonts w:ascii="Arial" w:hAnsi="Arial" w:cs="Arial"/>
          <w:sz w:val="20"/>
          <w:szCs w:val="20"/>
        </w:rPr>
      </w:pPr>
      <w:r w:rsidRPr="009C35C5">
        <w:rPr>
          <w:rFonts w:ascii="Arial" w:hAnsi="Arial" w:cs="Arial"/>
          <w:sz w:val="20"/>
          <w:szCs w:val="20"/>
        </w:rPr>
        <w:t xml:space="preserve">The </w:t>
      </w:r>
      <w:r w:rsidRPr="003436F1">
        <w:rPr>
          <w:rFonts w:ascii="Arial" w:hAnsi="Arial" w:cs="Arial"/>
          <w:sz w:val="20"/>
          <w:szCs w:val="20"/>
        </w:rPr>
        <w:t xml:space="preserve">Radiocommunications Assignment and Licensing Instruction </w:t>
      </w:r>
      <w:r w:rsidR="00712A1C" w:rsidRPr="003436F1">
        <w:rPr>
          <w:rFonts w:ascii="Arial" w:hAnsi="Arial" w:cs="Arial"/>
          <w:sz w:val="20"/>
          <w:szCs w:val="20"/>
        </w:rPr>
        <w:t xml:space="preserve">No. </w:t>
      </w:r>
      <w:r w:rsidRPr="003436F1">
        <w:rPr>
          <w:rFonts w:ascii="Arial" w:hAnsi="Arial" w:cs="Arial"/>
          <w:sz w:val="20"/>
          <w:szCs w:val="20"/>
        </w:rPr>
        <w:t>MS 44, Frequency Coordination Procedures for the Earth Station Protection Zones</w:t>
      </w:r>
      <w:r w:rsidR="00712A1C">
        <w:rPr>
          <w:rFonts w:ascii="Arial" w:hAnsi="Arial" w:cs="Arial"/>
          <w:i/>
          <w:sz w:val="20"/>
          <w:szCs w:val="20"/>
        </w:rPr>
        <w:t xml:space="preserve"> </w:t>
      </w:r>
      <w:r w:rsidR="00712A1C">
        <w:rPr>
          <w:rFonts w:ascii="Arial" w:hAnsi="Arial" w:cs="Arial"/>
          <w:sz w:val="20"/>
          <w:szCs w:val="20"/>
        </w:rPr>
        <w:t>(RALI MS 44)</w:t>
      </w:r>
      <w:r w:rsidR="00045061">
        <w:rPr>
          <w:rFonts w:ascii="Arial" w:hAnsi="Arial" w:cs="Arial"/>
          <w:sz w:val="20"/>
          <w:szCs w:val="20"/>
        </w:rPr>
        <w:t>.</w:t>
      </w:r>
    </w:p>
    <w:p w14:paraId="180FDE0C" w14:textId="018A511D" w:rsidR="006D1F57" w:rsidRDefault="006D1F57" w:rsidP="007E0FFE">
      <w:pPr>
        <w:spacing w:after="120"/>
        <w:jc w:val="both"/>
        <w:rPr>
          <w:rFonts w:ascii="Arial" w:hAnsi="Arial" w:cs="Arial"/>
          <w:sz w:val="20"/>
          <w:szCs w:val="20"/>
        </w:rPr>
      </w:pPr>
      <w:r>
        <w:rPr>
          <w:rFonts w:ascii="Arial" w:hAnsi="Arial" w:cs="Arial"/>
          <w:sz w:val="20"/>
          <w:szCs w:val="20"/>
        </w:rPr>
        <w:lastRenderedPageBreak/>
        <w:t xml:space="preserve">Each of these documents and instruments made by the ACMA </w:t>
      </w:r>
      <w:r w:rsidR="00045061">
        <w:rPr>
          <w:rFonts w:ascii="Arial" w:hAnsi="Arial" w:cs="Arial"/>
          <w:sz w:val="20"/>
          <w:szCs w:val="20"/>
        </w:rPr>
        <w:t xml:space="preserve">is </w:t>
      </w:r>
      <w:r>
        <w:rPr>
          <w:rFonts w:ascii="Arial" w:hAnsi="Arial" w:cs="Arial"/>
          <w:sz w:val="20"/>
          <w:szCs w:val="20"/>
        </w:rPr>
        <w:t xml:space="preserve">incorporated as existing from time to time, as permitted by subsection 314A(2) of the Act. Copies of the documents and instruments are published on the ACMA’s website at </w:t>
      </w:r>
      <w:hyperlink r:id="rId17" w:history="1">
        <w:r w:rsidRPr="00741182">
          <w:rPr>
            <w:rStyle w:val="Hyperlink"/>
            <w:rFonts w:ascii="Arial" w:hAnsi="Arial" w:cs="Arial"/>
            <w:sz w:val="20"/>
            <w:szCs w:val="20"/>
          </w:rPr>
          <w:t>www.acma.gov.au</w:t>
        </w:r>
      </w:hyperlink>
      <w:r>
        <w:rPr>
          <w:rFonts w:ascii="Arial" w:hAnsi="Arial" w:cs="Arial"/>
          <w:sz w:val="20"/>
          <w:szCs w:val="20"/>
        </w:rPr>
        <w:t>.</w:t>
      </w:r>
    </w:p>
    <w:p w14:paraId="4D982B51" w14:textId="06EDE814" w:rsidR="002D48B8" w:rsidRDefault="006D1F57" w:rsidP="003436F1">
      <w:pPr>
        <w:spacing w:after="120"/>
        <w:rPr>
          <w:rFonts w:ascii="Arial" w:hAnsi="Arial" w:cs="Arial"/>
          <w:sz w:val="20"/>
          <w:szCs w:val="20"/>
        </w:rPr>
      </w:pPr>
      <w:r>
        <w:rPr>
          <w:rFonts w:ascii="Arial" w:hAnsi="Arial" w:cs="Arial"/>
          <w:sz w:val="20"/>
          <w:szCs w:val="20"/>
        </w:rPr>
        <w:t xml:space="preserve">The Variation Instrument also </w:t>
      </w:r>
      <w:r w:rsidR="002D48B8">
        <w:rPr>
          <w:rFonts w:ascii="Arial" w:hAnsi="Arial" w:cs="Arial"/>
          <w:sz w:val="20"/>
          <w:szCs w:val="20"/>
        </w:rPr>
        <w:t xml:space="preserve">incorporates, or otherwise refers to, several International Telecommunication Union (ITU) Recommendations (ITU-R Recommendations). </w:t>
      </w:r>
      <w:r w:rsidRPr="006D1F57">
        <w:rPr>
          <w:rFonts w:ascii="Arial" w:hAnsi="Arial" w:cs="Arial"/>
          <w:sz w:val="20"/>
          <w:szCs w:val="20"/>
        </w:rPr>
        <w:t>The ITU describes itself as the United Nations’ specialised agency for information and communication technologies, and</w:t>
      </w:r>
      <w:r w:rsidR="002D48B8">
        <w:rPr>
          <w:rFonts w:ascii="Arial" w:hAnsi="Arial" w:cs="Arial"/>
          <w:sz w:val="20"/>
          <w:szCs w:val="20"/>
        </w:rPr>
        <w:t xml:space="preserve"> the ITU-R Recommendations constitute </w:t>
      </w:r>
      <w:r w:rsidR="002D48B8" w:rsidRPr="002D48B8">
        <w:rPr>
          <w:rFonts w:ascii="Arial" w:hAnsi="Arial" w:cs="Arial"/>
          <w:sz w:val="20"/>
          <w:szCs w:val="20"/>
        </w:rPr>
        <w:t xml:space="preserve">a set of international technical standards developed by the Radiocommunication Sector of the ITU. </w:t>
      </w:r>
      <w:r w:rsidR="002D48B8">
        <w:rPr>
          <w:rFonts w:ascii="Arial" w:hAnsi="Arial" w:cs="Arial"/>
          <w:sz w:val="20"/>
          <w:szCs w:val="20"/>
        </w:rPr>
        <w:t xml:space="preserve">They are available to be downloaded for free from the ITU’s website at </w:t>
      </w:r>
      <w:hyperlink r:id="rId18" w:history="1">
        <w:r w:rsidR="002D48B8" w:rsidRPr="00741182">
          <w:rPr>
            <w:rStyle w:val="Hyperlink"/>
            <w:rFonts w:ascii="Arial" w:hAnsi="Arial" w:cs="Arial"/>
            <w:sz w:val="20"/>
            <w:szCs w:val="20"/>
          </w:rPr>
          <w:t>www.itu.int</w:t>
        </w:r>
      </w:hyperlink>
      <w:r w:rsidR="002D48B8">
        <w:rPr>
          <w:rFonts w:ascii="Arial" w:hAnsi="Arial" w:cs="Arial"/>
          <w:sz w:val="20"/>
          <w:szCs w:val="20"/>
        </w:rPr>
        <w:t xml:space="preserve">. The ITU-R Recommendations are incorporated as existing from time to time, as permitted by subsection 314A(2) of the Act. </w:t>
      </w:r>
    </w:p>
    <w:p w14:paraId="6D65FC57" w14:textId="77777777" w:rsidR="00C461B0" w:rsidRDefault="002D48B8" w:rsidP="00045061">
      <w:pPr>
        <w:spacing w:after="120"/>
        <w:rPr>
          <w:rFonts w:ascii="Arial" w:hAnsi="Arial" w:cs="Arial"/>
          <w:sz w:val="20"/>
          <w:szCs w:val="20"/>
        </w:rPr>
      </w:pPr>
      <w:r w:rsidRPr="00045061">
        <w:rPr>
          <w:rFonts w:ascii="Arial" w:hAnsi="Arial" w:cs="Arial"/>
          <w:sz w:val="20"/>
          <w:szCs w:val="20"/>
        </w:rPr>
        <w:t>The Variation Instrument also incorporates the following legislative instruments, or otherwise refers to them:</w:t>
      </w:r>
      <w:r w:rsidR="001F634F" w:rsidRPr="00045061">
        <w:rPr>
          <w:rFonts w:ascii="Arial" w:hAnsi="Arial" w:cs="Arial"/>
          <w:sz w:val="20"/>
          <w:szCs w:val="20"/>
        </w:rPr>
        <w:t xml:space="preserve"> </w:t>
      </w:r>
    </w:p>
    <w:p w14:paraId="7D51D9A2" w14:textId="7C8E92A8" w:rsidR="002D48B8" w:rsidRPr="00045061" w:rsidRDefault="002D48B8" w:rsidP="00CB44BA">
      <w:pPr>
        <w:pStyle w:val="ListParagraph"/>
        <w:numPr>
          <w:ilvl w:val="0"/>
          <w:numId w:val="51"/>
        </w:numPr>
        <w:spacing w:after="120"/>
        <w:rPr>
          <w:rFonts w:ascii="Arial" w:hAnsi="Arial" w:cs="Arial"/>
          <w:i/>
          <w:sz w:val="20"/>
          <w:szCs w:val="20"/>
        </w:rPr>
      </w:pPr>
      <w:r w:rsidRPr="00045061">
        <w:rPr>
          <w:rFonts w:ascii="Arial" w:hAnsi="Arial" w:cs="Arial"/>
          <w:i/>
          <w:sz w:val="20"/>
          <w:szCs w:val="20"/>
        </w:rPr>
        <w:t xml:space="preserve">Radiocommunications (Spectrum Re-allocation—3.6 GHz Band for Adelaide and Eastern Metropolitan Australia) Declaration 2018; </w:t>
      </w:r>
    </w:p>
    <w:p w14:paraId="2044A8BE" w14:textId="77777777" w:rsidR="002D48B8" w:rsidRPr="003436F1" w:rsidRDefault="002D48B8" w:rsidP="003436F1">
      <w:pPr>
        <w:pStyle w:val="ListParagraph"/>
        <w:numPr>
          <w:ilvl w:val="0"/>
          <w:numId w:val="51"/>
        </w:numPr>
        <w:spacing w:after="120"/>
        <w:rPr>
          <w:rFonts w:ascii="Arial" w:hAnsi="Arial" w:cs="Arial"/>
          <w:i/>
          <w:sz w:val="20"/>
          <w:szCs w:val="20"/>
        </w:rPr>
      </w:pPr>
      <w:r w:rsidRPr="003436F1">
        <w:rPr>
          <w:rFonts w:ascii="Arial" w:hAnsi="Arial" w:cs="Arial"/>
          <w:i/>
          <w:sz w:val="20"/>
          <w:szCs w:val="20"/>
        </w:rPr>
        <w:t>Radiocommunications (Spectrum Re-allocation—3.6 GHz Band for Perth) Declaration 2018; and</w:t>
      </w:r>
    </w:p>
    <w:p w14:paraId="03F4D40E" w14:textId="050A3CF8" w:rsidR="002D48B8" w:rsidRDefault="002D48B8" w:rsidP="003436F1">
      <w:pPr>
        <w:pStyle w:val="ListParagraph"/>
        <w:numPr>
          <w:ilvl w:val="0"/>
          <w:numId w:val="51"/>
        </w:numPr>
        <w:spacing w:after="120"/>
        <w:rPr>
          <w:rFonts w:ascii="Arial" w:hAnsi="Arial" w:cs="Arial"/>
          <w:i/>
          <w:sz w:val="20"/>
          <w:szCs w:val="20"/>
        </w:rPr>
      </w:pPr>
      <w:r w:rsidRPr="003436F1">
        <w:rPr>
          <w:rFonts w:ascii="Arial" w:hAnsi="Arial" w:cs="Arial"/>
          <w:i/>
          <w:sz w:val="20"/>
          <w:szCs w:val="20"/>
        </w:rPr>
        <w:t>Radiocommunications (Spectrum Re-allocation—3.6 GHz Band for Regional Australia) Declaration 2018.</w:t>
      </w:r>
    </w:p>
    <w:p w14:paraId="74D1B58E" w14:textId="756D9DB7" w:rsidR="002D48B8" w:rsidRDefault="002D48B8" w:rsidP="003436F1">
      <w:pPr>
        <w:spacing w:after="120"/>
        <w:rPr>
          <w:rFonts w:ascii="Arial" w:hAnsi="Arial" w:cs="Arial"/>
          <w:sz w:val="20"/>
          <w:szCs w:val="20"/>
        </w:rPr>
      </w:pPr>
      <w:r w:rsidRPr="002D48B8">
        <w:rPr>
          <w:rFonts w:ascii="Arial" w:hAnsi="Arial" w:cs="Arial"/>
          <w:sz w:val="20"/>
          <w:szCs w:val="20"/>
        </w:rPr>
        <w:t>The legislative instruments listed above may be obtained from the Federal Register of Legislation (</w:t>
      </w:r>
      <w:hyperlink r:id="rId19" w:history="1">
        <w:r w:rsidR="00CB758C" w:rsidRPr="00D92230">
          <w:rPr>
            <w:rStyle w:val="Hyperlink"/>
            <w:rFonts w:ascii="Arial" w:hAnsi="Arial" w:cs="Arial"/>
            <w:sz w:val="20"/>
            <w:szCs w:val="20"/>
          </w:rPr>
          <w:t>www.legislation.gov.au</w:t>
        </w:r>
      </w:hyperlink>
      <w:r w:rsidRPr="002D48B8">
        <w:rPr>
          <w:rFonts w:ascii="Arial" w:hAnsi="Arial" w:cs="Arial"/>
          <w:sz w:val="20"/>
          <w:szCs w:val="20"/>
        </w:rPr>
        <w:t>). The legislative instruments listed above are incorporated as in force from time to time, in accordance with subsection 14(1) of the LA.</w:t>
      </w:r>
    </w:p>
    <w:p w14:paraId="29EF8ED9" w14:textId="6D2B8A54" w:rsidR="00F71E75" w:rsidRPr="003436F1" w:rsidRDefault="00F71E75" w:rsidP="003436F1">
      <w:pPr>
        <w:spacing w:after="120"/>
        <w:rPr>
          <w:rFonts w:ascii="Arial" w:hAnsi="Arial" w:cs="Arial"/>
          <w:sz w:val="20"/>
          <w:szCs w:val="20"/>
        </w:rPr>
      </w:pPr>
      <w:r>
        <w:rPr>
          <w:rFonts w:ascii="Arial" w:hAnsi="Arial" w:cs="Arial"/>
          <w:sz w:val="20"/>
          <w:szCs w:val="20"/>
        </w:rPr>
        <w:t xml:space="preserve">The Variation Instrument also refers to the Geoscience Australia website accessible at </w:t>
      </w:r>
      <w:hyperlink r:id="rId20" w:history="1">
        <w:r w:rsidRPr="003B008F">
          <w:rPr>
            <w:rStyle w:val="Hyperlink"/>
            <w:rFonts w:ascii="Arial" w:hAnsi="Arial" w:cs="Arial"/>
            <w:sz w:val="20"/>
            <w:szCs w:val="20"/>
          </w:rPr>
          <w:t>www.ga.gov.au</w:t>
        </w:r>
      </w:hyperlink>
      <w:r>
        <w:rPr>
          <w:rFonts w:ascii="Arial" w:hAnsi="Arial" w:cs="Arial"/>
          <w:sz w:val="20"/>
          <w:szCs w:val="20"/>
        </w:rPr>
        <w:t xml:space="preserve">, and the Register of Radiocommunications Licensees accessible at </w:t>
      </w:r>
      <w:hyperlink r:id="rId21" w:history="1">
        <w:r w:rsidRPr="003B008F">
          <w:rPr>
            <w:rStyle w:val="Hyperlink"/>
            <w:rFonts w:ascii="Arial" w:hAnsi="Arial" w:cs="Arial"/>
            <w:sz w:val="20"/>
            <w:szCs w:val="20"/>
          </w:rPr>
          <w:t>www.acma.gov.au</w:t>
        </w:r>
      </w:hyperlink>
      <w:r>
        <w:rPr>
          <w:rFonts w:ascii="Arial" w:hAnsi="Arial" w:cs="Arial"/>
          <w:sz w:val="20"/>
          <w:szCs w:val="20"/>
        </w:rPr>
        <w:t xml:space="preserve">. </w:t>
      </w:r>
    </w:p>
    <w:p w14:paraId="25903A26" w14:textId="77777777" w:rsidR="00FA0729" w:rsidRPr="00CB758C" w:rsidRDefault="00FA0729" w:rsidP="00CB758C"/>
    <w:p w14:paraId="2E63BA8A" w14:textId="256F8229" w:rsidR="007A5A97" w:rsidRPr="00641710" w:rsidRDefault="00744673" w:rsidP="00641710">
      <w:pPr>
        <w:spacing w:after="120"/>
        <w:jc w:val="both"/>
        <w:outlineLvl w:val="0"/>
        <w:rPr>
          <w:rFonts w:ascii="Arial" w:hAnsi="Arial" w:cs="Arial"/>
          <w:b/>
          <w:sz w:val="20"/>
          <w:szCs w:val="20"/>
        </w:rPr>
      </w:pPr>
      <w:r w:rsidRPr="009C35C5">
        <w:rPr>
          <w:rFonts w:ascii="Arial" w:hAnsi="Arial" w:cs="Arial"/>
          <w:b/>
          <w:sz w:val="20"/>
          <w:szCs w:val="20"/>
        </w:rPr>
        <w:t>Statement of compatibility with human rights</w:t>
      </w:r>
    </w:p>
    <w:p w14:paraId="53018161" w14:textId="28F04ABA" w:rsidR="0009642C" w:rsidRDefault="0009642C" w:rsidP="00641710">
      <w:pPr>
        <w:spacing w:after="120"/>
        <w:jc w:val="both"/>
        <w:rPr>
          <w:rFonts w:ascii="Arial" w:hAnsi="Arial" w:cs="Arial"/>
          <w:sz w:val="20"/>
          <w:szCs w:val="20"/>
        </w:rPr>
      </w:pPr>
      <w:r w:rsidRPr="009C35C5">
        <w:rPr>
          <w:rFonts w:ascii="Arial" w:hAnsi="Arial" w:cs="Arial"/>
          <w:sz w:val="20"/>
          <w:szCs w:val="20"/>
        </w:rPr>
        <w:t xml:space="preserve">Subsection 9(1) of the </w:t>
      </w:r>
      <w:r w:rsidRPr="009C35C5">
        <w:rPr>
          <w:rFonts w:ascii="Arial" w:hAnsi="Arial" w:cs="Arial"/>
          <w:i/>
          <w:sz w:val="20"/>
          <w:szCs w:val="20"/>
        </w:rPr>
        <w:t>Human Rights (Parliamentary Scrutiny) Act 2011</w:t>
      </w:r>
      <w:r w:rsidRPr="009C35C5">
        <w:rPr>
          <w:rFonts w:ascii="Arial" w:hAnsi="Arial" w:cs="Arial"/>
          <w:sz w:val="20"/>
          <w:szCs w:val="20"/>
        </w:rPr>
        <w:t xml:space="preserve"> requires the rule-maker in relation to a legislative instrument to which section 42 (disallowance) of the </w:t>
      </w:r>
      <w:r w:rsidR="002D48B8">
        <w:rPr>
          <w:rFonts w:ascii="Arial" w:hAnsi="Arial" w:cs="Arial"/>
          <w:sz w:val="20"/>
          <w:szCs w:val="20"/>
        </w:rPr>
        <w:t>LA</w:t>
      </w:r>
      <w:r w:rsidRPr="009C35C5">
        <w:rPr>
          <w:rFonts w:ascii="Arial" w:hAnsi="Arial" w:cs="Arial"/>
          <w:sz w:val="20"/>
          <w:szCs w:val="20"/>
        </w:rPr>
        <w:t xml:space="preserve"> applies to cause a statement of compatibility with human rights to be prepared in respect of that legislative instrument.</w:t>
      </w:r>
    </w:p>
    <w:p w14:paraId="585146BE" w14:textId="4113D1F2" w:rsidR="00C81ABC" w:rsidRDefault="00C81ABC" w:rsidP="00641710">
      <w:pPr>
        <w:spacing w:after="120"/>
        <w:jc w:val="both"/>
        <w:rPr>
          <w:rFonts w:ascii="Arial" w:hAnsi="Arial" w:cs="Arial"/>
          <w:sz w:val="20"/>
          <w:szCs w:val="20"/>
        </w:rPr>
      </w:pPr>
      <w:r>
        <w:rPr>
          <w:rFonts w:ascii="Arial" w:hAnsi="Arial" w:cs="Arial"/>
          <w:sz w:val="20"/>
          <w:szCs w:val="20"/>
        </w:rPr>
        <w:t>The statement of compatibility set out below has been prepared to meet that requirement.</w:t>
      </w:r>
    </w:p>
    <w:p w14:paraId="7BCD56A1" w14:textId="77777777" w:rsidR="0009642C" w:rsidRPr="009C35C5" w:rsidRDefault="0009642C" w:rsidP="00641710">
      <w:pPr>
        <w:spacing w:after="120"/>
        <w:jc w:val="both"/>
        <w:rPr>
          <w:rFonts w:ascii="Arial" w:hAnsi="Arial" w:cs="Arial"/>
          <w:sz w:val="20"/>
          <w:szCs w:val="20"/>
        </w:rPr>
      </w:pPr>
    </w:p>
    <w:p w14:paraId="6E0121BD" w14:textId="41E12866" w:rsidR="0009642C" w:rsidRPr="009C35C5" w:rsidRDefault="0009642C" w:rsidP="00641710">
      <w:pPr>
        <w:spacing w:after="120"/>
        <w:jc w:val="both"/>
        <w:rPr>
          <w:rFonts w:ascii="Arial" w:hAnsi="Arial" w:cs="Arial"/>
          <w:sz w:val="20"/>
          <w:szCs w:val="20"/>
        </w:rPr>
      </w:pPr>
      <w:r w:rsidRPr="009C35C5">
        <w:rPr>
          <w:rFonts w:ascii="Arial" w:hAnsi="Arial" w:cs="Arial"/>
          <w:b/>
          <w:sz w:val="20"/>
          <w:szCs w:val="20"/>
        </w:rPr>
        <w:t xml:space="preserve">Overview of the </w:t>
      </w:r>
      <w:r w:rsidR="00C81ABC">
        <w:rPr>
          <w:rFonts w:ascii="Arial" w:hAnsi="Arial" w:cs="Arial"/>
          <w:b/>
          <w:sz w:val="20"/>
          <w:szCs w:val="20"/>
        </w:rPr>
        <w:t xml:space="preserve">Variation Instrument </w:t>
      </w:r>
    </w:p>
    <w:p w14:paraId="6D914F22" w14:textId="75D7B229" w:rsidR="0009642C" w:rsidRPr="00641710" w:rsidRDefault="0009642C" w:rsidP="00641710">
      <w:pPr>
        <w:spacing w:after="120"/>
        <w:rPr>
          <w:rFonts w:ascii="Arial" w:hAnsi="Arial" w:cs="Arial"/>
          <w:sz w:val="20"/>
          <w:szCs w:val="20"/>
        </w:rPr>
      </w:pPr>
      <w:r>
        <w:rPr>
          <w:rFonts w:ascii="Arial" w:hAnsi="Arial" w:cs="Arial"/>
          <w:sz w:val="20"/>
          <w:szCs w:val="20"/>
        </w:rPr>
        <w:t xml:space="preserve">Section 88 of the </w:t>
      </w:r>
      <w:r>
        <w:rPr>
          <w:rFonts w:ascii="Arial" w:hAnsi="Arial" w:cs="Arial"/>
          <w:i/>
          <w:iCs/>
          <w:sz w:val="20"/>
          <w:szCs w:val="20"/>
        </w:rPr>
        <w:t>Radiocommunications Act 1992</w:t>
      </w:r>
      <w:r>
        <w:rPr>
          <w:rFonts w:ascii="Arial" w:hAnsi="Arial" w:cs="Arial"/>
          <w:sz w:val="20"/>
          <w:szCs w:val="20"/>
        </w:rPr>
        <w:t xml:space="preserve"> </w:t>
      </w:r>
      <w:r w:rsidR="00C81ABC" w:rsidRPr="003436F1">
        <w:rPr>
          <w:rFonts w:ascii="Arial" w:hAnsi="Arial" w:cs="Arial"/>
          <w:sz w:val="20"/>
          <w:szCs w:val="20"/>
        </w:rPr>
        <w:t>(the Act)</w:t>
      </w:r>
      <w:r w:rsidR="00C81ABC">
        <w:rPr>
          <w:rFonts w:ascii="Arial" w:hAnsi="Arial" w:cs="Arial"/>
          <w:i/>
          <w:sz w:val="20"/>
          <w:szCs w:val="20"/>
        </w:rPr>
        <w:t xml:space="preserve"> </w:t>
      </w:r>
      <w:r>
        <w:rPr>
          <w:rFonts w:ascii="Arial" w:hAnsi="Arial" w:cs="Arial"/>
          <w:sz w:val="20"/>
          <w:szCs w:val="20"/>
        </w:rPr>
        <w:t>provides that the ACMA may determine rules for the assignment of spectrum licences and the circumstances in which licences can be varied, issued or cancelled as the result of an assignment.</w:t>
      </w:r>
    </w:p>
    <w:p w14:paraId="5BE623FD" w14:textId="6EDAB851" w:rsidR="0009642C" w:rsidRPr="009C35C5" w:rsidRDefault="0009642C" w:rsidP="00641710">
      <w:pPr>
        <w:spacing w:after="120"/>
        <w:rPr>
          <w:rFonts w:ascii="Arial" w:hAnsi="Arial" w:cs="Arial"/>
          <w:sz w:val="20"/>
        </w:rPr>
      </w:pPr>
      <w:r w:rsidRPr="009C35C5">
        <w:rPr>
          <w:rFonts w:ascii="Arial" w:hAnsi="Arial" w:cs="Arial"/>
          <w:sz w:val="20"/>
        </w:rPr>
        <w:t xml:space="preserve">Section 145 of the Act provides that the Australian Communications and Media Authority (ACMA) may refuse to include details of a radiocommunications transmitter that is proposed to be operated under a spectrum licence on the Register of Radiocommunications Licences if the ACMA is satisfied that </w:t>
      </w:r>
      <w:r w:rsidR="00C461B0">
        <w:rPr>
          <w:rFonts w:ascii="Arial" w:hAnsi="Arial" w:cs="Arial"/>
          <w:sz w:val="20"/>
        </w:rPr>
        <w:t>t</w:t>
      </w:r>
      <w:r w:rsidRPr="009C35C5">
        <w:rPr>
          <w:rFonts w:ascii="Arial" w:hAnsi="Arial" w:cs="Arial"/>
          <w:sz w:val="20"/>
        </w:rPr>
        <w:t xml:space="preserve">he transmitter could cause an unacceptable level of interference to the operation of other radiocommunications devices under that or any other spectrum licence, or any other licence. </w:t>
      </w:r>
    </w:p>
    <w:p w14:paraId="354544B2" w14:textId="57DDEB25" w:rsidR="0009642C" w:rsidRPr="00641710" w:rsidRDefault="0009642C" w:rsidP="00641710">
      <w:pPr>
        <w:spacing w:after="120"/>
        <w:rPr>
          <w:rFonts w:ascii="Arial" w:hAnsi="Arial" w:cs="Arial"/>
          <w:sz w:val="20"/>
        </w:rPr>
      </w:pPr>
      <w:r w:rsidRPr="009C35C5">
        <w:rPr>
          <w:rFonts w:ascii="Arial" w:hAnsi="Arial" w:cs="Arial"/>
          <w:sz w:val="20"/>
        </w:rPr>
        <w:t xml:space="preserve">Subsection 145(4) of the Act provides that the ACMA may determine, by written instrument, what are unacceptable levels of interference for the purposes of section 145. </w:t>
      </w:r>
    </w:p>
    <w:p w14:paraId="05F99AF1" w14:textId="7792BDAF" w:rsidR="0009642C" w:rsidRPr="009C35C5" w:rsidRDefault="0009642C" w:rsidP="00641710">
      <w:pPr>
        <w:spacing w:after="120"/>
        <w:jc w:val="both"/>
        <w:rPr>
          <w:rFonts w:ascii="Arial" w:hAnsi="Arial" w:cs="Arial"/>
          <w:sz w:val="20"/>
          <w:szCs w:val="20"/>
        </w:rPr>
      </w:pPr>
      <w:r w:rsidRPr="009C35C5">
        <w:rPr>
          <w:rFonts w:ascii="Arial" w:hAnsi="Arial" w:cs="Arial"/>
          <w:sz w:val="20"/>
          <w:szCs w:val="20"/>
        </w:rPr>
        <w:t xml:space="preserve">Section 262 of the </w:t>
      </w:r>
      <w:r w:rsidR="00F71E75" w:rsidRPr="00CB44BA">
        <w:rPr>
          <w:rFonts w:ascii="Arial" w:hAnsi="Arial" w:cs="Arial"/>
          <w:sz w:val="20"/>
          <w:szCs w:val="20"/>
        </w:rPr>
        <w:t>Act</w:t>
      </w:r>
      <w:r w:rsidRPr="009C35C5">
        <w:rPr>
          <w:rFonts w:ascii="Arial" w:hAnsi="Arial" w:cs="Arial"/>
          <w:i/>
          <w:sz w:val="20"/>
          <w:szCs w:val="20"/>
        </w:rPr>
        <w:t xml:space="preserve"> </w:t>
      </w:r>
      <w:r w:rsidRPr="009C35C5">
        <w:rPr>
          <w:rFonts w:ascii="Arial" w:hAnsi="Arial" w:cs="Arial"/>
          <w:sz w:val="20"/>
          <w:szCs w:val="20"/>
        </w:rPr>
        <w:t xml:space="preserve">permits the ACMA to make advisory guidelines about any aspect of radiocommunication or radio emissions.  </w:t>
      </w:r>
    </w:p>
    <w:p w14:paraId="15F7D230" w14:textId="5383DB35" w:rsidR="0009642C" w:rsidRPr="00641710" w:rsidRDefault="0009642C" w:rsidP="00641710">
      <w:pPr>
        <w:spacing w:after="120"/>
        <w:rPr>
          <w:rFonts w:ascii="Arial" w:hAnsi="Arial" w:cs="Arial"/>
          <w:i/>
          <w:sz w:val="20"/>
          <w:szCs w:val="20"/>
        </w:rPr>
      </w:pPr>
      <w:r w:rsidRPr="009C35C5">
        <w:rPr>
          <w:rFonts w:ascii="Arial" w:hAnsi="Arial" w:cs="Arial"/>
          <w:sz w:val="20"/>
          <w:szCs w:val="20"/>
        </w:rPr>
        <w:lastRenderedPageBreak/>
        <w:t xml:space="preserve">The purpose of the </w:t>
      </w:r>
      <w:r w:rsidRPr="009C35C5">
        <w:rPr>
          <w:rFonts w:ascii="Arial" w:hAnsi="Arial" w:cs="Arial"/>
          <w:i/>
          <w:sz w:val="20"/>
          <w:szCs w:val="20"/>
        </w:rPr>
        <w:t>Radiocommunications – 3.4 GHz Band Omnibus Variation 2018 (No.1)</w:t>
      </w:r>
      <w:r w:rsidRPr="009C35C5">
        <w:rPr>
          <w:rFonts w:ascii="Arial" w:hAnsi="Arial" w:cs="Arial"/>
          <w:sz w:val="20"/>
          <w:szCs w:val="20"/>
        </w:rPr>
        <w:t xml:space="preserve"> (the Variation Instrument) is to amend the following instruments:</w:t>
      </w:r>
    </w:p>
    <w:p w14:paraId="5F4730DC" w14:textId="77777777" w:rsidR="0009642C" w:rsidRPr="009C35C5" w:rsidRDefault="0009642C" w:rsidP="0009642C">
      <w:pPr>
        <w:pStyle w:val="ListParagraph"/>
        <w:numPr>
          <w:ilvl w:val="0"/>
          <w:numId w:val="34"/>
        </w:numPr>
        <w:jc w:val="both"/>
        <w:rPr>
          <w:rFonts w:ascii="Arial" w:hAnsi="Arial" w:cs="Arial"/>
          <w:sz w:val="20"/>
          <w:szCs w:val="20"/>
        </w:rPr>
      </w:pPr>
      <w:r w:rsidRPr="009C35C5">
        <w:rPr>
          <w:rFonts w:ascii="Arial" w:hAnsi="Arial" w:cs="Arial"/>
          <w:i/>
          <w:sz w:val="20"/>
          <w:szCs w:val="20"/>
        </w:rPr>
        <w:t>Radiocommunications (Trading Rules for Spectrum Licences) Determination 2012</w:t>
      </w:r>
      <w:r w:rsidRPr="009C35C5">
        <w:rPr>
          <w:rFonts w:ascii="Arial" w:hAnsi="Arial" w:cs="Arial"/>
          <w:sz w:val="20"/>
          <w:szCs w:val="20"/>
        </w:rPr>
        <w:t xml:space="preserve"> </w:t>
      </w:r>
    </w:p>
    <w:p w14:paraId="492A5551" w14:textId="77777777" w:rsidR="0009642C" w:rsidRPr="009C35C5" w:rsidRDefault="0009642C" w:rsidP="0009642C">
      <w:pPr>
        <w:pStyle w:val="ListParagraph"/>
        <w:numPr>
          <w:ilvl w:val="0"/>
          <w:numId w:val="34"/>
        </w:numPr>
        <w:jc w:val="both"/>
        <w:rPr>
          <w:rFonts w:ascii="Arial" w:hAnsi="Arial" w:cs="Arial"/>
          <w:sz w:val="20"/>
          <w:szCs w:val="20"/>
        </w:rPr>
      </w:pPr>
      <w:r w:rsidRPr="009C35C5">
        <w:rPr>
          <w:rFonts w:ascii="Arial" w:hAnsi="Arial" w:cs="Arial"/>
          <w:i/>
          <w:sz w:val="20"/>
          <w:szCs w:val="20"/>
        </w:rPr>
        <w:t xml:space="preserve">Radiocommunications (Unacceptable Levels of Interference – 3.4 GHz Band) Determination 2015 </w:t>
      </w:r>
    </w:p>
    <w:p w14:paraId="7817E5C1" w14:textId="77777777" w:rsidR="0009642C" w:rsidRPr="009C35C5" w:rsidRDefault="0009642C" w:rsidP="0009642C">
      <w:pPr>
        <w:pStyle w:val="ListParagraph"/>
        <w:numPr>
          <w:ilvl w:val="0"/>
          <w:numId w:val="34"/>
        </w:numPr>
        <w:jc w:val="both"/>
        <w:rPr>
          <w:rFonts w:ascii="Arial" w:hAnsi="Arial" w:cs="Arial"/>
          <w:sz w:val="20"/>
          <w:szCs w:val="20"/>
        </w:rPr>
      </w:pPr>
      <w:r w:rsidRPr="009C35C5">
        <w:rPr>
          <w:rFonts w:ascii="Arial" w:hAnsi="Arial" w:cs="Arial"/>
          <w:i/>
          <w:sz w:val="20"/>
          <w:szCs w:val="20"/>
        </w:rPr>
        <w:t xml:space="preserve">Radiocommunications Advisory Guidelines (Managing Interference to Spectrum Licensed Receivers – 3.4 GHz Band) 2015 </w:t>
      </w:r>
    </w:p>
    <w:p w14:paraId="7BE7A17A" w14:textId="62F593E4" w:rsidR="0009642C" w:rsidRPr="00641710" w:rsidRDefault="0009642C" w:rsidP="00641710">
      <w:pPr>
        <w:pStyle w:val="ListParagraph"/>
        <w:numPr>
          <w:ilvl w:val="0"/>
          <w:numId w:val="34"/>
        </w:numPr>
        <w:spacing w:after="120"/>
        <w:jc w:val="both"/>
        <w:rPr>
          <w:rFonts w:ascii="Arial" w:hAnsi="Arial" w:cs="Arial"/>
          <w:sz w:val="20"/>
          <w:szCs w:val="20"/>
        </w:rPr>
      </w:pPr>
      <w:r w:rsidRPr="009C35C5">
        <w:rPr>
          <w:rFonts w:ascii="Arial" w:hAnsi="Arial" w:cs="Arial"/>
          <w:i/>
          <w:sz w:val="20"/>
          <w:szCs w:val="20"/>
        </w:rPr>
        <w:t>Radiocommunications Advisory Guidelines (Managing Interference from Spectrum Licensed Transmitters – 3,4 GHz Band) 2015</w:t>
      </w:r>
      <w:r w:rsidR="00F71E75">
        <w:rPr>
          <w:rFonts w:ascii="Arial" w:hAnsi="Arial" w:cs="Arial"/>
          <w:i/>
          <w:sz w:val="20"/>
          <w:szCs w:val="20"/>
        </w:rPr>
        <w:t>.</w:t>
      </w:r>
      <w:r w:rsidRPr="009C35C5">
        <w:rPr>
          <w:rFonts w:ascii="Arial" w:hAnsi="Arial" w:cs="Arial"/>
          <w:i/>
          <w:sz w:val="20"/>
          <w:szCs w:val="20"/>
        </w:rPr>
        <w:t xml:space="preserve"> </w:t>
      </w:r>
    </w:p>
    <w:p w14:paraId="002AC6F3" w14:textId="648E471F" w:rsidR="0009642C" w:rsidRPr="009C35C5" w:rsidRDefault="0009642C" w:rsidP="0009642C">
      <w:pPr>
        <w:jc w:val="both"/>
        <w:rPr>
          <w:rFonts w:ascii="Arial" w:hAnsi="Arial" w:cs="Arial"/>
          <w:sz w:val="20"/>
          <w:szCs w:val="20"/>
        </w:rPr>
      </w:pPr>
      <w:r w:rsidRPr="009C35C5">
        <w:rPr>
          <w:rFonts w:ascii="Arial" w:hAnsi="Arial" w:cs="Arial"/>
          <w:sz w:val="20"/>
          <w:szCs w:val="20"/>
        </w:rPr>
        <w:t xml:space="preserve">These amendments are made to expand the definition of the 3.4 GHz band to include the </w:t>
      </w:r>
      <w:r w:rsidR="002C68AE">
        <w:rPr>
          <w:rFonts w:ascii="Arial" w:hAnsi="Arial" w:cs="Arial"/>
          <w:sz w:val="20"/>
          <w:szCs w:val="20"/>
        </w:rPr>
        <w:t>3.6 GHz</w:t>
      </w:r>
      <w:r w:rsidRPr="009C35C5">
        <w:rPr>
          <w:rFonts w:ascii="Arial" w:hAnsi="Arial" w:cs="Arial"/>
          <w:sz w:val="20"/>
          <w:szCs w:val="20"/>
        </w:rPr>
        <w:t xml:space="preserve"> band and support the </w:t>
      </w:r>
      <w:r w:rsidR="00C81ABC">
        <w:rPr>
          <w:rFonts w:ascii="Arial" w:hAnsi="Arial" w:cs="Arial"/>
          <w:sz w:val="20"/>
          <w:szCs w:val="20"/>
        </w:rPr>
        <w:t xml:space="preserve">allocation of spectrum licences in the </w:t>
      </w:r>
      <w:r w:rsidR="002C68AE">
        <w:rPr>
          <w:rFonts w:ascii="Arial" w:hAnsi="Arial" w:cs="Arial"/>
          <w:sz w:val="20"/>
          <w:szCs w:val="20"/>
        </w:rPr>
        <w:t>band</w:t>
      </w:r>
      <w:r w:rsidR="00C81ABC">
        <w:rPr>
          <w:rFonts w:ascii="Arial" w:hAnsi="Arial" w:cs="Arial"/>
          <w:sz w:val="20"/>
          <w:szCs w:val="20"/>
        </w:rPr>
        <w:t xml:space="preserve"> and </w:t>
      </w:r>
      <w:r w:rsidRPr="009C35C5">
        <w:rPr>
          <w:rFonts w:ascii="Arial" w:hAnsi="Arial" w:cs="Arial"/>
          <w:sz w:val="20"/>
          <w:szCs w:val="20"/>
        </w:rPr>
        <w:t xml:space="preserve">deployment of next generation fixed and mobile broadband services. The amendments also define protection requirements for apparatus licensed services operating in and adjacent to the </w:t>
      </w:r>
      <w:r w:rsidR="002C68AE">
        <w:rPr>
          <w:rFonts w:ascii="Arial" w:hAnsi="Arial" w:cs="Arial"/>
          <w:sz w:val="20"/>
          <w:szCs w:val="20"/>
        </w:rPr>
        <w:t>3.6 GHz</w:t>
      </w:r>
      <w:r w:rsidRPr="009C35C5">
        <w:rPr>
          <w:rFonts w:ascii="Arial" w:hAnsi="Arial" w:cs="Arial"/>
          <w:sz w:val="20"/>
          <w:szCs w:val="20"/>
        </w:rPr>
        <w:t xml:space="preserve"> band.</w:t>
      </w:r>
    </w:p>
    <w:p w14:paraId="37772CC0" w14:textId="77777777" w:rsidR="0009642C" w:rsidRPr="009C35C5" w:rsidRDefault="0009642C" w:rsidP="0009642C">
      <w:pPr>
        <w:jc w:val="both"/>
        <w:rPr>
          <w:rFonts w:ascii="Arial" w:hAnsi="Arial" w:cs="Arial"/>
          <w:sz w:val="20"/>
          <w:szCs w:val="20"/>
        </w:rPr>
      </w:pPr>
    </w:p>
    <w:p w14:paraId="42135931" w14:textId="023777CF" w:rsidR="0009642C" w:rsidRPr="00641710" w:rsidRDefault="0009642C" w:rsidP="00641710">
      <w:pPr>
        <w:spacing w:after="120"/>
        <w:jc w:val="both"/>
        <w:rPr>
          <w:rFonts w:ascii="Arial" w:hAnsi="Arial" w:cs="Arial"/>
          <w:b/>
          <w:sz w:val="20"/>
          <w:szCs w:val="20"/>
        </w:rPr>
      </w:pPr>
      <w:r w:rsidRPr="009C35C5">
        <w:rPr>
          <w:rFonts w:ascii="Arial" w:hAnsi="Arial" w:cs="Arial"/>
          <w:b/>
          <w:sz w:val="20"/>
          <w:szCs w:val="20"/>
        </w:rPr>
        <w:t>Human Rights Implications</w:t>
      </w:r>
    </w:p>
    <w:p w14:paraId="7B51812B" w14:textId="6FBAAF38" w:rsidR="0009642C" w:rsidRPr="007A5A97" w:rsidRDefault="0009642C" w:rsidP="0009642C">
      <w:pPr>
        <w:spacing w:after="240"/>
        <w:jc w:val="both"/>
        <w:outlineLvl w:val="0"/>
        <w:rPr>
          <w:rFonts w:ascii="Arial" w:hAnsi="Arial" w:cs="Arial"/>
          <w:sz w:val="20"/>
          <w:szCs w:val="20"/>
        </w:rPr>
      </w:pPr>
      <w:r w:rsidRPr="007A5A97">
        <w:rPr>
          <w:rFonts w:ascii="Arial" w:hAnsi="Arial" w:cs="Arial"/>
          <w:sz w:val="20"/>
          <w:szCs w:val="20"/>
        </w:rPr>
        <w:t xml:space="preserve">The ACMA has assessed whether the </w:t>
      </w:r>
      <w:r w:rsidR="00C461B0">
        <w:rPr>
          <w:rFonts w:ascii="Arial" w:hAnsi="Arial" w:cs="Arial"/>
          <w:sz w:val="20"/>
          <w:szCs w:val="20"/>
        </w:rPr>
        <w:t>V</w:t>
      </w:r>
      <w:r>
        <w:rPr>
          <w:rFonts w:ascii="Arial" w:hAnsi="Arial" w:cs="Arial"/>
          <w:sz w:val="20"/>
          <w:szCs w:val="20"/>
        </w:rPr>
        <w:t xml:space="preserve">ariation </w:t>
      </w:r>
      <w:r w:rsidR="00C461B0">
        <w:rPr>
          <w:rFonts w:ascii="Arial" w:hAnsi="Arial" w:cs="Arial"/>
          <w:sz w:val="20"/>
          <w:szCs w:val="20"/>
        </w:rPr>
        <w:t>I</w:t>
      </w:r>
      <w:r>
        <w:rPr>
          <w:rFonts w:ascii="Arial" w:hAnsi="Arial" w:cs="Arial"/>
          <w:sz w:val="20"/>
          <w:szCs w:val="20"/>
        </w:rPr>
        <w:t xml:space="preserve">nstrument </w:t>
      </w:r>
      <w:r w:rsidRPr="007A5A97">
        <w:rPr>
          <w:rFonts w:ascii="Arial" w:hAnsi="Arial" w:cs="Arial"/>
          <w:sz w:val="20"/>
          <w:szCs w:val="20"/>
        </w:rPr>
        <w:t xml:space="preserve">is compatible with human rights, being the rights and freedoms recognised or declared by the international instruments listed in subsection 3(1) of the </w:t>
      </w:r>
      <w:r w:rsidRPr="003436F1">
        <w:rPr>
          <w:rFonts w:ascii="Arial" w:hAnsi="Arial" w:cs="Arial"/>
          <w:i/>
          <w:sz w:val="20"/>
          <w:szCs w:val="20"/>
        </w:rPr>
        <w:t>Human Rights (Parliamentary Scrutiny) Act 2011</w:t>
      </w:r>
      <w:r w:rsidRPr="007A5A97">
        <w:rPr>
          <w:rFonts w:ascii="Arial" w:hAnsi="Arial" w:cs="Arial"/>
          <w:sz w:val="20"/>
          <w:szCs w:val="20"/>
        </w:rPr>
        <w:t xml:space="preserve"> as they apply to Australia. </w:t>
      </w:r>
    </w:p>
    <w:p w14:paraId="00D553B3" w14:textId="67E0EC01" w:rsidR="0009642C" w:rsidRDefault="0009642C" w:rsidP="0009642C">
      <w:pPr>
        <w:jc w:val="both"/>
        <w:rPr>
          <w:rFonts w:ascii="Arial" w:hAnsi="Arial" w:cs="Arial"/>
          <w:sz w:val="20"/>
          <w:szCs w:val="20"/>
        </w:rPr>
      </w:pPr>
      <w:r w:rsidRPr="007A5A97">
        <w:rPr>
          <w:rFonts w:ascii="Arial" w:hAnsi="Arial" w:cs="Arial"/>
          <w:sz w:val="20"/>
          <w:szCs w:val="20"/>
        </w:rPr>
        <w:t xml:space="preserve">Having considered the likely impact of the instrument and the nature of the applicable rights and freedoms, the ACMA has formed the view that the </w:t>
      </w:r>
      <w:r w:rsidR="00F71E75">
        <w:rPr>
          <w:rFonts w:ascii="Arial" w:hAnsi="Arial" w:cs="Arial"/>
          <w:sz w:val="20"/>
          <w:szCs w:val="20"/>
        </w:rPr>
        <w:t>Variation Instrument</w:t>
      </w:r>
      <w:r w:rsidRPr="007A5A97">
        <w:rPr>
          <w:rFonts w:ascii="Arial" w:hAnsi="Arial" w:cs="Arial"/>
          <w:sz w:val="20"/>
          <w:szCs w:val="20"/>
        </w:rPr>
        <w:t xml:space="preserve"> does not engage any of those rights or freedoms.</w:t>
      </w:r>
    </w:p>
    <w:p w14:paraId="12F89DEC" w14:textId="77777777" w:rsidR="0009642C" w:rsidRPr="009C35C5" w:rsidRDefault="0009642C" w:rsidP="0009642C">
      <w:pPr>
        <w:jc w:val="both"/>
        <w:rPr>
          <w:rFonts w:ascii="Arial" w:hAnsi="Arial" w:cs="Arial"/>
          <w:sz w:val="20"/>
          <w:szCs w:val="20"/>
        </w:rPr>
      </w:pPr>
    </w:p>
    <w:p w14:paraId="32360667" w14:textId="24FBFBD8" w:rsidR="0009642C" w:rsidRPr="00641710" w:rsidRDefault="0009642C" w:rsidP="0009642C">
      <w:pPr>
        <w:jc w:val="both"/>
        <w:rPr>
          <w:rFonts w:ascii="Arial" w:hAnsi="Arial" w:cs="Arial"/>
          <w:b/>
          <w:sz w:val="20"/>
          <w:szCs w:val="20"/>
        </w:rPr>
      </w:pPr>
      <w:r w:rsidRPr="009C35C5">
        <w:rPr>
          <w:rFonts w:ascii="Arial" w:hAnsi="Arial" w:cs="Arial"/>
          <w:b/>
          <w:sz w:val="20"/>
          <w:szCs w:val="20"/>
        </w:rPr>
        <w:t>Conclusion</w:t>
      </w:r>
    </w:p>
    <w:p w14:paraId="25903A2B" w14:textId="43FFC474" w:rsidR="00231AAB" w:rsidRPr="009C35C5" w:rsidRDefault="0009642C" w:rsidP="00641710">
      <w:pPr>
        <w:jc w:val="both"/>
        <w:rPr>
          <w:rFonts w:ascii="Arial" w:hAnsi="Arial" w:cs="Arial"/>
          <w:b/>
          <w:sz w:val="20"/>
          <w:szCs w:val="20"/>
        </w:rPr>
      </w:pPr>
      <w:r w:rsidRPr="009C35C5">
        <w:rPr>
          <w:rFonts w:ascii="Arial" w:hAnsi="Arial" w:cs="Arial"/>
          <w:sz w:val="20"/>
          <w:szCs w:val="20"/>
        </w:rPr>
        <w:t>The Variation Instrument is compatible with human rights as it does not raise any human rights issues.</w:t>
      </w:r>
      <w:r w:rsidR="00231AAB" w:rsidRPr="009C35C5">
        <w:rPr>
          <w:rFonts w:ascii="Arial" w:hAnsi="Arial" w:cs="Arial"/>
          <w:b/>
          <w:sz w:val="20"/>
          <w:szCs w:val="20"/>
        </w:rPr>
        <w:br w:type="page"/>
      </w:r>
    </w:p>
    <w:p w14:paraId="25903A2C" w14:textId="77777777" w:rsidR="00231AAB" w:rsidRPr="009C35C5" w:rsidRDefault="00231AAB" w:rsidP="00231AAB">
      <w:pPr>
        <w:jc w:val="both"/>
        <w:rPr>
          <w:rFonts w:ascii="Arial" w:hAnsi="Arial" w:cs="Arial"/>
          <w:b/>
          <w:bCs/>
          <w:sz w:val="20"/>
          <w:szCs w:val="20"/>
          <w:lang w:eastAsia="en-AU"/>
        </w:rPr>
      </w:pPr>
      <w:r w:rsidRPr="009C35C5">
        <w:rPr>
          <w:rFonts w:ascii="Arial" w:hAnsi="Arial" w:cs="Arial"/>
          <w:b/>
          <w:bCs/>
          <w:sz w:val="20"/>
          <w:szCs w:val="20"/>
          <w:lang w:eastAsia="en-AU"/>
        </w:rPr>
        <w:lastRenderedPageBreak/>
        <w:t>ATTACHMENT A</w:t>
      </w:r>
    </w:p>
    <w:p w14:paraId="25903A2E" w14:textId="77777777" w:rsidR="00231AAB" w:rsidRPr="009C35C5" w:rsidRDefault="00231AAB" w:rsidP="00231AAB">
      <w:pPr>
        <w:jc w:val="both"/>
        <w:rPr>
          <w:rFonts w:ascii="Arial" w:hAnsi="Arial" w:cs="Arial"/>
          <w:b/>
          <w:sz w:val="20"/>
          <w:szCs w:val="20"/>
        </w:rPr>
      </w:pPr>
    </w:p>
    <w:p w14:paraId="25903A2F" w14:textId="77777777" w:rsidR="002B0ACA" w:rsidRPr="009C35C5" w:rsidRDefault="00776FB8" w:rsidP="00641710">
      <w:pPr>
        <w:spacing w:after="120"/>
        <w:jc w:val="both"/>
        <w:rPr>
          <w:rFonts w:ascii="Arial" w:hAnsi="Arial" w:cs="Arial"/>
          <w:sz w:val="20"/>
          <w:szCs w:val="20"/>
        </w:rPr>
      </w:pPr>
      <w:r w:rsidRPr="009C35C5">
        <w:rPr>
          <w:rFonts w:ascii="Arial" w:hAnsi="Arial" w:cs="Arial"/>
          <w:b/>
          <w:sz w:val="20"/>
          <w:szCs w:val="20"/>
        </w:rPr>
        <w:t xml:space="preserve">Detailed </w:t>
      </w:r>
      <w:r w:rsidR="00084468" w:rsidRPr="009C35C5">
        <w:rPr>
          <w:rFonts w:ascii="Arial" w:hAnsi="Arial" w:cs="Arial"/>
          <w:b/>
          <w:sz w:val="20"/>
          <w:szCs w:val="20"/>
        </w:rPr>
        <w:t>description of the i</w:t>
      </w:r>
      <w:r w:rsidRPr="009C35C5">
        <w:rPr>
          <w:rFonts w:ascii="Arial" w:hAnsi="Arial" w:cs="Arial"/>
          <w:b/>
          <w:sz w:val="20"/>
          <w:szCs w:val="20"/>
        </w:rPr>
        <w:t>nstrument</w:t>
      </w:r>
    </w:p>
    <w:p w14:paraId="25903A31" w14:textId="77777777" w:rsidR="00231AAB" w:rsidRPr="009C35C5" w:rsidRDefault="00231AAB" w:rsidP="00641710">
      <w:pPr>
        <w:spacing w:after="120"/>
        <w:jc w:val="both"/>
        <w:rPr>
          <w:rFonts w:ascii="Arial" w:hAnsi="Arial" w:cs="Arial"/>
          <w:b/>
          <w:sz w:val="20"/>
          <w:szCs w:val="20"/>
        </w:rPr>
      </w:pPr>
    </w:p>
    <w:p w14:paraId="25903A35" w14:textId="22B22AAB" w:rsidR="002B0ACA" w:rsidRPr="009C35C5" w:rsidRDefault="00E52488" w:rsidP="00641710">
      <w:pPr>
        <w:spacing w:after="120"/>
        <w:jc w:val="both"/>
        <w:rPr>
          <w:rFonts w:ascii="Arial" w:hAnsi="Arial" w:cs="Arial"/>
          <w:b/>
          <w:sz w:val="20"/>
          <w:szCs w:val="20"/>
        </w:rPr>
      </w:pPr>
      <w:r>
        <w:rPr>
          <w:rFonts w:ascii="Arial" w:hAnsi="Arial" w:cs="Arial"/>
          <w:b/>
          <w:sz w:val="20"/>
          <w:szCs w:val="20"/>
        </w:rPr>
        <w:t xml:space="preserve">Section 1 </w:t>
      </w:r>
      <w:r>
        <w:rPr>
          <w:rFonts w:ascii="Arial" w:hAnsi="Arial" w:cs="Arial"/>
          <w:b/>
          <w:sz w:val="20"/>
          <w:szCs w:val="20"/>
        </w:rPr>
        <w:tab/>
      </w:r>
      <w:r w:rsidR="002D0747" w:rsidRPr="009C35C5">
        <w:rPr>
          <w:rFonts w:ascii="Arial" w:hAnsi="Arial" w:cs="Arial"/>
          <w:b/>
          <w:sz w:val="20"/>
          <w:szCs w:val="20"/>
        </w:rPr>
        <w:t xml:space="preserve">Name </w:t>
      </w:r>
    </w:p>
    <w:p w14:paraId="25903A36" w14:textId="22573B2A" w:rsidR="002B0ACA" w:rsidRPr="009C35C5" w:rsidRDefault="00FA330F" w:rsidP="00641710">
      <w:pPr>
        <w:spacing w:after="120"/>
        <w:jc w:val="both"/>
        <w:rPr>
          <w:rFonts w:ascii="Arial" w:hAnsi="Arial" w:cs="Arial"/>
          <w:i/>
          <w:sz w:val="20"/>
          <w:szCs w:val="20"/>
        </w:rPr>
      </w:pPr>
      <w:r w:rsidRPr="009C35C5">
        <w:rPr>
          <w:rFonts w:ascii="Arial" w:hAnsi="Arial" w:cs="Arial"/>
          <w:sz w:val="20"/>
          <w:szCs w:val="20"/>
        </w:rPr>
        <w:t xml:space="preserve">This section provides </w:t>
      </w:r>
      <w:r w:rsidR="003F4F2E">
        <w:rPr>
          <w:rFonts w:ascii="Arial" w:hAnsi="Arial" w:cs="Arial"/>
          <w:sz w:val="20"/>
          <w:szCs w:val="20"/>
        </w:rPr>
        <w:t>for</w:t>
      </w:r>
      <w:r w:rsidRPr="009C35C5">
        <w:rPr>
          <w:rFonts w:ascii="Arial" w:hAnsi="Arial" w:cs="Arial"/>
          <w:sz w:val="20"/>
          <w:szCs w:val="20"/>
        </w:rPr>
        <w:t xml:space="preserve"> the </w:t>
      </w:r>
      <w:r w:rsidR="00B10B4A" w:rsidRPr="009C35C5">
        <w:rPr>
          <w:rFonts w:ascii="Arial" w:hAnsi="Arial" w:cs="Arial"/>
          <w:sz w:val="20"/>
          <w:szCs w:val="20"/>
        </w:rPr>
        <w:t>instrument</w:t>
      </w:r>
      <w:r w:rsidRPr="009C35C5">
        <w:rPr>
          <w:rFonts w:ascii="Arial" w:hAnsi="Arial" w:cs="Arial"/>
          <w:sz w:val="20"/>
          <w:szCs w:val="20"/>
        </w:rPr>
        <w:t xml:space="preserve"> </w:t>
      </w:r>
      <w:r w:rsidR="003F4F2E">
        <w:rPr>
          <w:rFonts w:ascii="Arial" w:hAnsi="Arial" w:cs="Arial"/>
          <w:sz w:val="20"/>
          <w:szCs w:val="20"/>
        </w:rPr>
        <w:t>to be cited as</w:t>
      </w:r>
      <w:r w:rsidRPr="009C35C5">
        <w:rPr>
          <w:rFonts w:ascii="Arial" w:hAnsi="Arial" w:cs="Arial"/>
          <w:sz w:val="20"/>
          <w:szCs w:val="20"/>
        </w:rPr>
        <w:t xml:space="preserve"> the </w:t>
      </w:r>
      <w:r w:rsidR="00E52488" w:rsidRPr="00E52488">
        <w:rPr>
          <w:rFonts w:ascii="Arial" w:hAnsi="Arial" w:cs="Arial"/>
          <w:i/>
          <w:sz w:val="20"/>
          <w:szCs w:val="20"/>
        </w:rPr>
        <w:t>Radiocommunications – 3.4 GHz Band Omnibus Variation 2018 (No.1)</w:t>
      </w:r>
      <w:r w:rsidR="003F0808" w:rsidRPr="009C35C5">
        <w:rPr>
          <w:rFonts w:ascii="Arial" w:hAnsi="Arial" w:cs="Arial"/>
          <w:i/>
          <w:sz w:val="20"/>
          <w:szCs w:val="20"/>
        </w:rPr>
        <w:t>.</w:t>
      </w:r>
    </w:p>
    <w:p w14:paraId="25903A37" w14:textId="77777777" w:rsidR="002B0ACA" w:rsidRPr="009C35C5" w:rsidRDefault="002B0ACA" w:rsidP="00641710">
      <w:pPr>
        <w:spacing w:after="120"/>
        <w:jc w:val="both"/>
        <w:rPr>
          <w:rFonts w:ascii="Arial" w:hAnsi="Arial" w:cs="Arial"/>
          <w:sz w:val="20"/>
          <w:szCs w:val="20"/>
        </w:rPr>
      </w:pPr>
    </w:p>
    <w:p w14:paraId="25903A39" w14:textId="281B9B38" w:rsidR="002B0ACA" w:rsidRPr="009C35C5" w:rsidRDefault="00CC333D" w:rsidP="00641710">
      <w:pPr>
        <w:spacing w:after="120"/>
        <w:jc w:val="both"/>
        <w:rPr>
          <w:rFonts w:ascii="Arial" w:hAnsi="Arial" w:cs="Arial"/>
          <w:b/>
          <w:sz w:val="20"/>
          <w:szCs w:val="20"/>
        </w:rPr>
      </w:pPr>
      <w:r>
        <w:rPr>
          <w:rFonts w:ascii="Arial" w:hAnsi="Arial" w:cs="Arial"/>
          <w:b/>
          <w:sz w:val="20"/>
          <w:szCs w:val="20"/>
        </w:rPr>
        <w:t>Section</w:t>
      </w:r>
      <w:r w:rsidRPr="009C35C5">
        <w:rPr>
          <w:rFonts w:ascii="Arial" w:hAnsi="Arial" w:cs="Arial"/>
          <w:b/>
          <w:sz w:val="20"/>
          <w:szCs w:val="20"/>
        </w:rPr>
        <w:t xml:space="preserve"> </w:t>
      </w:r>
      <w:r w:rsidR="005C6A6C" w:rsidRPr="009C35C5">
        <w:rPr>
          <w:rFonts w:ascii="Arial" w:hAnsi="Arial" w:cs="Arial"/>
          <w:b/>
          <w:sz w:val="20"/>
          <w:szCs w:val="20"/>
        </w:rPr>
        <w:t>2</w:t>
      </w:r>
      <w:r w:rsidR="002D0747" w:rsidRPr="009C35C5">
        <w:rPr>
          <w:rFonts w:ascii="Arial" w:hAnsi="Arial" w:cs="Arial"/>
          <w:b/>
          <w:sz w:val="20"/>
          <w:szCs w:val="20"/>
        </w:rPr>
        <w:t xml:space="preserve"> </w:t>
      </w:r>
      <w:r w:rsidR="00E52488">
        <w:rPr>
          <w:rFonts w:ascii="Arial" w:hAnsi="Arial" w:cs="Arial"/>
          <w:b/>
          <w:sz w:val="20"/>
          <w:szCs w:val="20"/>
        </w:rPr>
        <w:tab/>
      </w:r>
      <w:r w:rsidR="002D0747" w:rsidRPr="009C35C5">
        <w:rPr>
          <w:rFonts w:ascii="Arial" w:hAnsi="Arial" w:cs="Arial"/>
          <w:b/>
          <w:sz w:val="20"/>
          <w:szCs w:val="20"/>
        </w:rPr>
        <w:t xml:space="preserve">Commencement </w:t>
      </w:r>
    </w:p>
    <w:p w14:paraId="25903A3A" w14:textId="3ACADB86" w:rsidR="002B0ACA" w:rsidRDefault="001B30AB" w:rsidP="00641710">
      <w:pPr>
        <w:spacing w:after="120"/>
        <w:jc w:val="both"/>
        <w:rPr>
          <w:rFonts w:ascii="Arial" w:hAnsi="Arial" w:cs="Arial"/>
          <w:sz w:val="20"/>
          <w:szCs w:val="20"/>
        </w:rPr>
      </w:pPr>
      <w:r w:rsidRPr="009C35C5">
        <w:rPr>
          <w:rFonts w:ascii="Arial" w:hAnsi="Arial" w:cs="Arial"/>
          <w:sz w:val="20"/>
          <w:szCs w:val="20"/>
        </w:rPr>
        <w:t xml:space="preserve">This section provides </w:t>
      </w:r>
      <w:r w:rsidR="002D0747" w:rsidRPr="009C35C5">
        <w:rPr>
          <w:rFonts w:ascii="Arial" w:hAnsi="Arial" w:cs="Arial"/>
          <w:sz w:val="20"/>
          <w:szCs w:val="20"/>
        </w:rPr>
        <w:t>that the</w:t>
      </w:r>
      <w:r w:rsidR="005C6A6C" w:rsidRPr="009C35C5">
        <w:rPr>
          <w:rFonts w:ascii="Arial" w:hAnsi="Arial" w:cs="Arial"/>
          <w:sz w:val="20"/>
          <w:szCs w:val="20"/>
        </w:rPr>
        <w:t xml:space="preserve"> </w:t>
      </w:r>
      <w:r w:rsidR="003F4F2E">
        <w:rPr>
          <w:rFonts w:ascii="Arial" w:hAnsi="Arial" w:cs="Arial"/>
          <w:sz w:val="20"/>
          <w:szCs w:val="20"/>
        </w:rPr>
        <w:t>i</w:t>
      </w:r>
      <w:r w:rsidR="005C6A6C" w:rsidRPr="009C35C5">
        <w:rPr>
          <w:rFonts w:ascii="Arial" w:hAnsi="Arial" w:cs="Arial"/>
          <w:sz w:val="20"/>
          <w:szCs w:val="20"/>
        </w:rPr>
        <w:t xml:space="preserve">nstrument </w:t>
      </w:r>
      <w:r w:rsidR="002036F3" w:rsidRPr="009C35C5">
        <w:rPr>
          <w:rFonts w:ascii="Arial" w:hAnsi="Arial" w:cs="Arial"/>
          <w:sz w:val="20"/>
          <w:szCs w:val="20"/>
        </w:rPr>
        <w:t>commence</w:t>
      </w:r>
      <w:r w:rsidR="005C6A6C" w:rsidRPr="009C35C5">
        <w:rPr>
          <w:rFonts w:ascii="Arial" w:hAnsi="Arial" w:cs="Arial"/>
          <w:sz w:val="20"/>
          <w:szCs w:val="20"/>
        </w:rPr>
        <w:t>s</w:t>
      </w:r>
      <w:r w:rsidR="002036F3" w:rsidRPr="009C35C5">
        <w:rPr>
          <w:rFonts w:ascii="Arial" w:hAnsi="Arial" w:cs="Arial"/>
          <w:sz w:val="20"/>
          <w:szCs w:val="20"/>
        </w:rPr>
        <w:t xml:space="preserve"> on </w:t>
      </w:r>
      <w:r w:rsidR="005C6A6C" w:rsidRPr="009C35C5">
        <w:rPr>
          <w:rFonts w:ascii="Arial" w:hAnsi="Arial" w:cs="Arial"/>
          <w:sz w:val="20"/>
          <w:szCs w:val="20"/>
        </w:rPr>
        <w:t xml:space="preserve">the day after it </w:t>
      </w:r>
      <w:r w:rsidR="003F4F2E">
        <w:rPr>
          <w:rFonts w:ascii="Arial" w:hAnsi="Arial" w:cs="Arial"/>
          <w:sz w:val="20"/>
          <w:szCs w:val="20"/>
        </w:rPr>
        <w:t>i</w:t>
      </w:r>
      <w:r w:rsidR="005C6A6C" w:rsidRPr="009C35C5">
        <w:rPr>
          <w:rFonts w:ascii="Arial" w:hAnsi="Arial" w:cs="Arial"/>
          <w:sz w:val="20"/>
          <w:szCs w:val="20"/>
        </w:rPr>
        <w:t>s registered</w:t>
      </w:r>
      <w:r w:rsidR="003F4F2E">
        <w:rPr>
          <w:rFonts w:ascii="Arial" w:hAnsi="Arial" w:cs="Arial"/>
          <w:sz w:val="20"/>
          <w:szCs w:val="20"/>
        </w:rPr>
        <w:t xml:space="preserve"> on the Federal Register of Legislation</w:t>
      </w:r>
      <w:r w:rsidR="002036F3" w:rsidRPr="009C35C5">
        <w:rPr>
          <w:rFonts w:ascii="Arial" w:hAnsi="Arial" w:cs="Arial"/>
          <w:sz w:val="20"/>
          <w:szCs w:val="20"/>
        </w:rPr>
        <w:t>.</w:t>
      </w:r>
    </w:p>
    <w:p w14:paraId="4CE4891E" w14:textId="73931248" w:rsidR="00E52488" w:rsidRDefault="00E52488" w:rsidP="00641710">
      <w:pPr>
        <w:spacing w:after="120"/>
        <w:jc w:val="both"/>
        <w:rPr>
          <w:rFonts w:ascii="Arial" w:hAnsi="Arial" w:cs="Arial"/>
          <w:sz w:val="20"/>
          <w:szCs w:val="20"/>
        </w:rPr>
      </w:pPr>
    </w:p>
    <w:p w14:paraId="6A14134C" w14:textId="461E768E" w:rsidR="00E52488" w:rsidRPr="009C35C5" w:rsidRDefault="00CC333D" w:rsidP="00641710">
      <w:pPr>
        <w:spacing w:after="120"/>
        <w:jc w:val="both"/>
        <w:rPr>
          <w:rFonts w:ascii="Arial" w:hAnsi="Arial" w:cs="Arial"/>
          <w:b/>
          <w:sz w:val="20"/>
          <w:szCs w:val="20"/>
        </w:rPr>
      </w:pPr>
      <w:r>
        <w:rPr>
          <w:rFonts w:ascii="Arial" w:hAnsi="Arial" w:cs="Arial"/>
          <w:b/>
          <w:sz w:val="20"/>
          <w:szCs w:val="20"/>
        </w:rPr>
        <w:t xml:space="preserve">Section </w:t>
      </w:r>
      <w:r w:rsidR="00E52488">
        <w:rPr>
          <w:rFonts w:ascii="Arial" w:hAnsi="Arial" w:cs="Arial"/>
          <w:b/>
          <w:sz w:val="20"/>
          <w:szCs w:val="20"/>
        </w:rPr>
        <w:t>3</w:t>
      </w:r>
      <w:r w:rsidR="00E52488" w:rsidRPr="009C35C5">
        <w:rPr>
          <w:rFonts w:ascii="Arial" w:hAnsi="Arial" w:cs="Arial"/>
          <w:b/>
          <w:sz w:val="20"/>
          <w:szCs w:val="20"/>
        </w:rPr>
        <w:t xml:space="preserve"> </w:t>
      </w:r>
      <w:r w:rsidR="00E52488">
        <w:rPr>
          <w:rFonts w:ascii="Arial" w:hAnsi="Arial" w:cs="Arial"/>
          <w:b/>
          <w:sz w:val="20"/>
          <w:szCs w:val="20"/>
        </w:rPr>
        <w:tab/>
        <w:t>Authority</w:t>
      </w:r>
      <w:r w:rsidR="00E52488" w:rsidRPr="009C35C5">
        <w:rPr>
          <w:rFonts w:ascii="Arial" w:hAnsi="Arial" w:cs="Arial"/>
          <w:b/>
          <w:sz w:val="20"/>
          <w:szCs w:val="20"/>
        </w:rPr>
        <w:t xml:space="preserve"> </w:t>
      </w:r>
    </w:p>
    <w:p w14:paraId="1F352F51" w14:textId="04B08965" w:rsidR="00E52488" w:rsidRPr="009C35C5" w:rsidRDefault="00E52488" w:rsidP="00641710">
      <w:pPr>
        <w:spacing w:after="120"/>
        <w:jc w:val="both"/>
        <w:rPr>
          <w:rFonts w:ascii="Arial" w:hAnsi="Arial" w:cs="Arial"/>
          <w:sz w:val="20"/>
          <w:szCs w:val="20"/>
        </w:rPr>
      </w:pPr>
      <w:r w:rsidRPr="009C35C5">
        <w:rPr>
          <w:rFonts w:ascii="Arial" w:hAnsi="Arial" w:cs="Arial"/>
          <w:sz w:val="20"/>
          <w:szCs w:val="20"/>
        </w:rPr>
        <w:t>This section</w:t>
      </w:r>
      <w:r>
        <w:rPr>
          <w:rFonts w:ascii="Arial" w:hAnsi="Arial" w:cs="Arial"/>
          <w:sz w:val="20"/>
          <w:szCs w:val="20"/>
        </w:rPr>
        <w:t xml:space="preserve"> </w:t>
      </w:r>
      <w:r w:rsidR="00FC7C7E">
        <w:rPr>
          <w:rFonts w:ascii="Arial" w:hAnsi="Arial" w:cs="Arial"/>
          <w:sz w:val="20"/>
          <w:szCs w:val="20"/>
        </w:rPr>
        <w:t>identifies the provisions that authorise the making of the instrument, namely sections 88 and 262</w:t>
      </w:r>
      <w:r w:rsidR="00F83F40">
        <w:rPr>
          <w:rFonts w:ascii="Arial" w:hAnsi="Arial" w:cs="Arial"/>
          <w:sz w:val="20"/>
          <w:szCs w:val="20"/>
        </w:rPr>
        <w:t>, and subsection 145(4),</w:t>
      </w:r>
      <w:r w:rsidR="00FC7C7E">
        <w:rPr>
          <w:rFonts w:ascii="Arial" w:hAnsi="Arial" w:cs="Arial"/>
          <w:sz w:val="20"/>
          <w:szCs w:val="20"/>
        </w:rPr>
        <w:t xml:space="preserve"> of the </w:t>
      </w:r>
      <w:r w:rsidR="00FC7C7E" w:rsidRPr="003436F1">
        <w:rPr>
          <w:rFonts w:ascii="Arial" w:hAnsi="Arial" w:cs="Arial"/>
          <w:i/>
          <w:sz w:val="20"/>
          <w:szCs w:val="20"/>
        </w:rPr>
        <w:t>Radiocommunications Act 1992</w:t>
      </w:r>
      <w:r>
        <w:rPr>
          <w:rFonts w:ascii="Arial" w:hAnsi="Arial" w:cs="Arial"/>
          <w:sz w:val="20"/>
          <w:szCs w:val="20"/>
        </w:rPr>
        <w:t xml:space="preserve">. </w:t>
      </w:r>
      <w:r w:rsidRPr="009C35C5">
        <w:rPr>
          <w:rFonts w:ascii="Arial" w:hAnsi="Arial" w:cs="Arial"/>
          <w:sz w:val="20"/>
          <w:szCs w:val="20"/>
        </w:rPr>
        <w:t xml:space="preserve"> </w:t>
      </w:r>
    </w:p>
    <w:p w14:paraId="7422BBFF" w14:textId="77777777" w:rsidR="00E52488" w:rsidRPr="009C35C5" w:rsidRDefault="00E52488" w:rsidP="00641710">
      <w:pPr>
        <w:spacing w:after="120"/>
        <w:jc w:val="both"/>
        <w:rPr>
          <w:rFonts w:ascii="Arial" w:hAnsi="Arial" w:cs="Arial"/>
          <w:sz w:val="20"/>
          <w:szCs w:val="20"/>
        </w:rPr>
      </w:pPr>
    </w:p>
    <w:p w14:paraId="1211BEB7" w14:textId="19B6FCCE" w:rsidR="00E52488" w:rsidRPr="00641710" w:rsidRDefault="00CC333D" w:rsidP="00641710">
      <w:pPr>
        <w:spacing w:after="120"/>
        <w:jc w:val="both"/>
        <w:rPr>
          <w:rFonts w:ascii="Arial" w:hAnsi="Arial" w:cs="Arial"/>
          <w:b/>
          <w:i/>
          <w:sz w:val="20"/>
          <w:szCs w:val="20"/>
        </w:rPr>
      </w:pPr>
      <w:r>
        <w:rPr>
          <w:rFonts w:ascii="Arial" w:hAnsi="Arial" w:cs="Arial"/>
          <w:b/>
          <w:sz w:val="20"/>
          <w:szCs w:val="20"/>
        </w:rPr>
        <w:t xml:space="preserve">Section </w:t>
      </w:r>
      <w:r w:rsidR="00E52488">
        <w:rPr>
          <w:rFonts w:ascii="Arial" w:hAnsi="Arial" w:cs="Arial"/>
          <w:b/>
          <w:sz w:val="20"/>
          <w:szCs w:val="20"/>
        </w:rPr>
        <w:t xml:space="preserve">4 </w:t>
      </w:r>
      <w:r w:rsidR="00E52488">
        <w:rPr>
          <w:rFonts w:ascii="Arial" w:hAnsi="Arial" w:cs="Arial"/>
          <w:b/>
          <w:sz w:val="20"/>
          <w:szCs w:val="20"/>
        </w:rPr>
        <w:tab/>
        <w:t xml:space="preserve">Variation </w:t>
      </w:r>
      <w:r w:rsidR="00E52488" w:rsidRPr="009C35C5">
        <w:rPr>
          <w:rFonts w:ascii="Arial" w:hAnsi="Arial" w:cs="Arial"/>
          <w:b/>
          <w:sz w:val="20"/>
          <w:szCs w:val="20"/>
        </w:rPr>
        <w:t>–</w:t>
      </w:r>
      <w:r w:rsidR="00E52488">
        <w:rPr>
          <w:rFonts w:ascii="Arial" w:hAnsi="Arial" w:cs="Arial"/>
          <w:b/>
          <w:sz w:val="20"/>
          <w:szCs w:val="20"/>
        </w:rPr>
        <w:t xml:space="preserve"> </w:t>
      </w:r>
      <w:r w:rsidR="00E52488" w:rsidRPr="00E52488">
        <w:rPr>
          <w:rFonts w:ascii="Arial" w:hAnsi="Arial" w:cs="Arial"/>
          <w:b/>
          <w:i/>
          <w:sz w:val="20"/>
          <w:szCs w:val="20"/>
        </w:rPr>
        <w:t>Radiocommunications (Trading Rules for Spectrum Licences) Determination 2012</w:t>
      </w:r>
    </w:p>
    <w:p w14:paraId="4DCE2163" w14:textId="4C3CBD29" w:rsidR="00E52488" w:rsidRPr="00E52488" w:rsidRDefault="00E52488" w:rsidP="00641710">
      <w:pPr>
        <w:spacing w:after="120"/>
        <w:jc w:val="both"/>
        <w:rPr>
          <w:rFonts w:ascii="Arial" w:hAnsi="Arial" w:cs="Arial"/>
          <w:sz w:val="20"/>
          <w:szCs w:val="20"/>
        </w:rPr>
      </w:pPr>
      <w:r w:rsidRPr="009C35C5">
        <w:rPr>
          <w:rFonts w:ascii="Arial" w:hAnsi="Arial" w:cs="Arial"/>
          <w:sz w:val="20"/>
          <w:szCs w:val="20"/>
        </w:rPr>
        <w:t xml:space="preserve">This section provides that </w:t>
      </w:r>
      <w:r>
        <w:rPr>
          <w:rFonts w:ascii="Arial" w:hAnsi="Arial" w:cs="Arial"/>
          <w:sz w:val="20"/>
          <w:szCs w:val="20"/>
        </w:rPr>
        <w:t>Schedule 1</w:t>
      </w:r>
      <w:r w:rsidRPr="009C35C5">
        <w:rPr>
          <w:rFonts w:ascii="Arial" w:hAnsi="Arial" w:cs="Arial"/>
          <w:sz w:val="20"/>
          <w:szCs w:val="20"/>
        </w:rPr>
        <w:t xml:space="preserve"> varies the </w:t>
      </w:r>
      <w:r w:rsidRPr="00E52488">
        <w:rPr>
          <w:rFonts w:ascii="Arial" w:hAnsi="Arial" w:cs="Arial"/>
          <w:i/>
          <w:sz w:val="20"/>
          <w:szCs w:val="20"/>
        </w:rPr>
        <w:t>Radiocommunications (Trading Rules for Spectrum Licences) Determination 2012</w:t>
      </w:r>
      <w:r>
        <w:rPr>
          <w:rFonts w:ascii="Arial" w:hAnsi="Arial" w:cs="Arial"/>
          <w:sz w:val="20"/>
          <w:szCs w:val="20"/>
        </w:rPr>
        <w:t>.</w:t>
      </w:r>
    </w:p>
    <w:p w14:paraId="0CD5A2D1" w14:textId="77777777" w:rsidR="00E52488" w:rsidRDefault="00E52488" w:rsidP="00641710">
      <w:pPr>
        <w:spacing w:after="120"/>
        <w:jc w:val="both"/>
        <w:rPr>
          <w:rFonts w:ascii="Arial" w:hAnsi="Arial" w:cs="Arial"/>
          <w:b/>
          <w:sz w:val="20"/>
          <w:szCs w:val="20"/>
        </w:rPr>
      </w:pPr>
    </w:p>
    <w:p w14:paraId="48B56EE3" w14:textId="1C0D2ECC" w:rsidR="00E52488" w:rsidRPr="009C35C5" w:rsidRDefault="00CC333D" w:rsidP="00641710">
      <w:pPr>
        <w:spacing w:after="120"/>
        <w:jc w:val="both"/>
        <w:rPr>
          <w:rFonts w:ascii="Arial" w:hAnsi="Arial" w:cs="Arial"/>
          <w:b/>
          <w:sz w:val="20"/>
          <w:szCs w:val="20"/>
        </w:rPr>
      </w:pPr>
      <w:r>
        <w:rPr>
          <w:rFonts w:ascii="Arial" w:hAnsi="Arial" w:cs="Arial"/>
          <w:b/>
          <w:sz w:val="20"/>
          <w:szCs w:val="20"/>
        </w:rPr>
        <w:t xml:space="preserve">Section </w:t>
      </w:r>
      <w:r w:rsidR="00E52488">
        <w:rPr>
          <w:rFonts w:ascii="Arial" w:hAnsi="Arial" w:cs="Arial"/>
          <w:b/>
          <w:sz w:val="20"/>
          <w:szCs w:val="20"/>
        </w:rPr>
        <w:t>5</w:t>
      </w:r>
      <w:r w:rsidR="00E52488" w:rsidRPr="009C35C5">
        <w:rPr>
          <w:rFonts w:ascii="Arial" w:hAnsi="Arial" w:cs="Arial"/>
          <w:b/>
          <w:sz w:val="20"/>
          <w:szCs w:val="20"/>
        </w:rPr>
        <w:t xml:space="preserve"> </w:t>
      </w:r>
      <w:r w:rsidR="00E52488">
        <w:rPr>
          <w:rFonts w:ascii="Arial" w:hAnsi="Arial" w:cs="Arial"/>
          <w:b/>
          <w:sz w:val="20"/>
          <w:szCs w:val="20"/>
        </w:rPr>
        <w:tab/>
      </w:r>
      <w:r w:rsidR="00E52488" w:rsidRPr="009C35C5">
        <w:rPr>
          <w:rFonts w:ascii="Arial" w:hAnsi="Arial" w:cs="Arial"/>
          <w:b/>
          <w:sz w:val="20"/>
          <w:szCs w:val="20"/>
        </w:rPr>
        <w:t>Variation –</w:t>
      </w:r>
      <w:r w:rsidR="00E52488">
        <w:rPr>
          <w:rFonts w:ascii="Arial" w:hAnsi="Arial" w:cs="Arial"/>
          <w:b/>
          <w:sz w:val="20"/>
          <w:szCs w:val="20"/>
        </w:rPr>
        <w:t xml:space="preserve"> </w:t>
      </w:r>
      <w:r w:rsidR="00E52488" w:rsidRPr="00E52488">
        <w:rPr>
          <w:rFonts w:ascii="Arial" w:hAnsi="Arial" w:cs="Arial"/>
          <w:b/>
          <w:i/>
          <w:sz w:val="20"/>
          <w:szCs w:val="20"/>
        </w:rPr>
        <w:t>Radiocommunications (Unacceptable Levels of Interference – 3.4 GHz Band) Determination 2015</w:t>
      </w:r>
    </w:p>
    <w:p w14:paraId="736BCEFB" w14:textId="2D67D1EA" w:rsidR="00E52488" w:rsidRPr="009C35C5" w:rsidRDefault="00E52488" w:rsidP="00641710">
      <w:pPr>
        <w:spacing w:after="120"/>
        <w:jc w:val="both"/>
        <w:rPr>
          <w:rFonts w:ascii="Arial" w:hAnsi="Arial" w:cs="Arial"/>
          <w:i/>
          <w:sz w:val="20"/>
          <w:szCs w:val="20"/>
        </w:rPr>
      </w:pPr>
      <w:r w:rsidRPr="009C35C5">
        <w:rPr>
          <w:rFonts w:ascii="Arial" w:hAnsi="Arial" w:cs="Arial"/>
          <w:sz w:val="20"/>
          <w:szCs w:val="20"/>
        </w:rPr>
        <w:t xml:space="preserve">This section provides that </w:t>
      </w:r>
      <w:r>
        <w:rPr>
          <w:rFonts w:ascii="Arial" w:hAnsi="Arial" w:cs="Arial"/>
          <w:sz w:val="20"/>
          <w:szCs w:val="20"/>
        </w:rPr>
        <w:t>Schedule 2</w:t>
      </w:r>
      <w:r w:rsidRPr="009C35C5">
        <w:rPr>
          <w:rFonts w:ascii="Arial" w:hAnsi="Arial" w:cs="Arial"/>
          <w:sz w:val="20"/>
          <w:szCs w:val="20"/>
        </w:rPr>
        <w:t xml:space="preserve"> varies the </w:t>
      </w:r>
      <w:r w:rsidRPr="00E52488">
        <w:rPr>
          <w:rFonts w:ascii="Arial" w:hAnsi="Arial" w:cs="Arial"/>
          <w:i/>
          <w:sz w:val="20"/>
          <w:szCs w:val="20"/>
        </w:rPr>
        <w:t>Radiocommunications (Unacceptable Levels of Interference – 3.4 GHz Band) Determination 2015</w:t>
      </w:r>
      <w:r>
        <w:rPr>
          <w:rFonts w:ascii="Arial" w:hAnsi="Arial" w:cs="Arial"/>
          <w:sz w:val="20"/>
          <w:szCs w:val="20"/>
        </w:rPr>
        <w:t>.</w:t>
      </w:r>
    </w:p>
    <w:p w14:paraId="25903A3B" w14:textId="77777777" w:rsidR="002B0ACA" w:rsidRPr="009C35C5" w:rsidRDefault="002B0ACA" w:rsidP="00641710">
      <w:pPr>
        <w:spacing w:after="120"/>
        <w:jc w:val="both"/>
        <w:rPr>
          <w:rFonts w:ascii="Arial" w:hAnsi="Arial" w:cs="Arial"/>
          <w:sz w:val="20"/>
          <w:szCs w:val="20"/>
        </w:rPr>
      </w:pPr>
    </w:p>
    <w:p w14:paraId="25903A43" w14:textId="40C91848" w:rsidR="005C6A6C" w:rsidRPr="00641710" w:rsidRDefault="00CC333D" w:rsidP="00641710">
      <w:pPr>
        <w:spacing w:after="120"/>
        <w:jc w:val="both"/>
        <w:rPr>
          <w:rFonts w:ascii="Arial" w:hAnsi="Arial" w:cs="Arial"/>
          <w:b/>
          <w:i/>
          <w:sz w:val="20"/>
          <w:szCs w:val="20"/>
        </w:rPr>
      </w:pPr>
      <w:r>
        <w:rPr>
          <w:rFonts w:ascii="Arial" w:hAnsi="Arial" w:cs="Arial"/>
          <w:b/>
          <w:sz w:val="20"/>
          <w:szCs w:val="20"/>
        </w:rPr>
        <w:t xml:space="preserve">Section </w:t>
      </w:r>
      <w:r w:rsidR="00E52488">
        <w:rPr>
          <w:rFonts w:ascii="Arial" w:hAnsi="Arial" w:cs="Arial"/>
          <w:b/>
          <w:sz w:val="20"/>
          <w:szCs w:val="20"/>
        </w:rPr>
        <w:t>6</w:t>
      </w:r>
      <w:r w:rsidR="005C6A6C" w:rsidRPr="009C35C5">
        <w:rPr>
          <w:rFonts w:ascii="Arial" w:hAnsi="Arial" w:cs="Arial"/>
          <w:b/>
          <w:sz w:val="20"/>
          <w:szCs w:val="20"/>
        </w:rPr>
        <w:t xml:space="preserve"> </w:t>
      </w:r>
      <w:r w:rsidR="00E52488">
        <w:rPr>
          <w:rFonts w:ascii="Arial" w:hAnsi="Arial" w:cs="Arial"/>
          <w:b/>
          <w:sz w:val="20"/>
          <w:szCs w:val="20"/>
        </w:rPr>
        <w:tab/>
      </w:r>
      <w:r w:rsidR="00B24AC3" w:rsidRPr="009C35C5">
        <w:rPr>
          <w:rFonts w:ascii="Arial" w:hAnsi="Arial" w:cs="Arial"/>
          <w:b/>
          <w:sz w:val="20"/>
          <w:szCs w:val="20"/>
        </w:rPr>
        <w:t xml:space="preserve">Variation </w:t>
      </w:r>
      <w:r w:rsidR="00E52488" w:rsidRPr="009C35C5">
        <w:rPr>
          <w:rFonts w:ascii="Arial" w:hAnsi="Arial" w:cs="Arial"/>
          <w:b/>
          <w:sz w:val="20"/>
          <w:szCs w:val="20"/>
        </w:rPr>
        <w:t>–</w:t>
      </w:r>
      <w:r w:rsidR="00E52488">
        <w:rPr>
          <w:rFonts w:ascii="Arial" w:hAnsi="Arial" w:cs="Arial"/>
          <w:b/>
          <w:sz w:val="20"/>
          <w:szCs w:val="20"/>
        </w:rPr>
        <w:t xml:space="preserve"> </w:t>
      </w:r>
      <w:r w:rsidR="00E52488" w:rsidRPr="00E52488">
        <w:rPr>
          <w:rFonts w:ascii="Arial" w:hAnsi="Arial" w:cs="Arial"/>
          <w:b/>
          <w:i/>
          <w:sz w:val="20"/>
          <w:szCs w:val="20"/>
        </w:rPr>
        <w:t>Radiocommunications Advisory Guidelines (Managing Interference to Spectrum Licensed Receivers – 3.4 GHz Band) 2015</w:t>
      </w:r>
    </w:p>
    <w:p w14:paraId="25903A44" w14:textId="1EAAA50D" w:rsidR="005C6A6C" w:rsidRPr="009C35C5" w:rsidRDefault="005C6A6C" w:rsidP="00641710">
      <w:pPr>
        <w:spacing w:after="120"/>
        <w:jc w:val="both"/>
        <w:rPr>
          <w:rFonts w:ascii="Arial" w:hAnsi="Arial" w:cs="Arial"/>
          <w:i/>
          <w:sz w:val="20"/>
          <w:szCs w:val="20"/>
        </w:rPr>
      </w:pPr>
      <w:r w:rsidRPr="009C35C5">
        <w:rPr>
          <w:rFonts w:ascii="Arial" w:hAnsi="Arial" w:cs="Arial"/>
          <w:sz w:val="20"/>
          <w:szCs w:val="20"/>
        </w:rPr>
        <w:t xml:space="preserve">This section provides that </w:t>
      </w:r>
      <w:r w:rsidR="00E52488">
        <w:rPr>
          <w:rFonts w:ascii="Arial" w:hAnsi="Arial" w:cs="Arial"/>
          <w:sz w:val="20"/>
          <w:szCs w:val="20"/>
        </w:rPr>
        <w:t>Schedule 3</w:t>
      </w:r>
      <w:r w:rsidR="00B24AC3" w:rsidRPr="009C35C5">
        <w:rPr>
          <w:rFonts w:ascii="Arial" w:hAnsi="Arial" w:cs="Arial"/>
          <w:sz w:val="20"/>
          <w:szCs w:val="20"/>
        </w:rPr>
        <w:t xml:space="preserve"> varies the </w:t>
      </w:r>
      <w:r w:rsidR="00E52488" w:rsidRPr="00E52488">
        <w:rPr>
          <w:rFonts w:ascii="Arial" w:hAnsi="Arial" w:cs="Arial"/>
          <w:i/>
          <w:sz w:val="20"/>
          <w:szCs w:val="20"/>
        </w:rPr>
        <w:t>Radiocommunications Advisory Guidelines (Managing Interference to Spectrum Licensed Receivers – 3.4 GHz Band) 2015</w:t>
      </w:r>
      <w:r w:rsidR="00E52488">
        <w:rPr>
          <w:rFonts w:ascii="Arial" w:hAnsi="Arial" w:cs="Arial"/>
          <w:i/>
          <w:sz w:val="20"/>
          <w:szCs w:val="20"/>
        </w:rPr>
        <w:t>.</w:t>
      </w:r>
    </w:p>
    <w:p w14:paraId="25903A45" w14:textId="77777777" w:rsidR="005C6A6C" w:rsidRPr="009C35C5" w:rsidRDefault="005C6A6C" w:rsidP="00641710">
      <w:pPr>
        <w:spacing w:after="120"/>
        <w:jc w:val="both"/>
        <w:rPr>
          <w:rFonts w:ascii="Arial" w:hAnsi="Arial" w:cs="Arial"/>
          <w:sz w:val="20"/>
          <w:szCs w:val="20"/>
        </w:rPr>
      </w:pPr>
    </w:p>
    <w:p w14:paraId="25903A47" w14:textId="7DB569A1" w:rsidR="005C6A6C" w:rsidRPr="009C35C5" w:rsidRDefault="00CC333D" w:rsidP="00641710">
      <w:pPr>
        <w:spacing w:after="120"/>
        <w:jc w:val="both"/>
        <w:rPr>
          <w:rFonts w:ascii="Arial" w:hAnsi="Arial" w:cs="Arial"/>
          <w:b/>
          <w:sz w:val="20"/>
          <w:szCs w:val="20"/>
        </w:rPr>
      </w:pPr>
      <w:r>
        <w:rPr>
          <w:rFonts w:ascii="Arial" w:hAnsi="Arial" w:cs="Arial"/>
          <w:b/>
          <w:sz w:val="20"/>
          <w:szCs w:val="20"/>
        </w:rPr>
        <w:t xml:space="preserve">Section </w:t>
      </w:r>
      <w:r w:rsidR="00E52488">
        <w:rPr>
          <w:rFonts w:ascii="Arial" w:hAnsi="Arial" w:cs="Arial"/>
          <w:b/>
          <w:sz w:val="20"/>
          <w:szCs w:val="20"/>
        </w:rPr>
        <w:t>7</w:t>
      </w:r>
      <w:r w:rsidR="005C6A6C" w:rsidRPr="009C35C5">
        <w:rPr>
          <w:rFonts w:ascii="Arial" w:hAnsi="Arial" w:cs="Arial"/>
          <w:b/>
          <w:sz w:val="20"/>
          <w:szCs w:val="20"/>
        </w:rPr>
        <w:t xml:space="preserve"> </w:t>
      </w:r>
      <w:r w:rsidR="00E52488">
        <w:rPr>
          <w:rFonts w:ascii="Arial" w:hAnsi="Arial" w:cs="Arial"/>
          <w:b/>
          <w:sz w:val="20"/>
          <w:szCs w:val="20"/>
        </w:rPr>
        <w:tab/>
      </w:r>
      <w:r w:rsidR="00B24AC3" w:rsidRPr="009C35C5">
        <w:rPr>
          <w:rFonts w:ascii="Arial" w:hAnsi="Arial" w:cs="Arial"/>
          <w:b/>
          <w:sz w:val="20"/>
          <w:szCs w:val="20"/>
        </w:rPr>
        <w:t xml:space="preserve">Variation </w:t>
      </w:r>
      <w:r w:rsidR="00E52488" w:rsidRPr="009C35C5">
        <w:rPr>
          <w:rFonts w:ascii="Arial" w:hAnsi="Arial" w:cs="Arial"/>
          <w:b/>
          <w:sz w:val="20"/>
          <w:szCs w:val="20"/>
        </w:rPr>
        <w:t xml:space="preserve">– </w:t>
      </w:r>
      <w:r w:rsidR="00E52488" w:rsidRPr="00E52488">
        <w:rPr>
          <w:rFonts w:ascii="Arial" w:hAnsi="Arial" w:cs="Arial"/>
          <w:b/>
          <w:i/>
          <w:sz w:val="20"/>
          <w:szCs w:val="20"/>
        </w:rPr>
        <w:t>Radiocommunications Advisory Guidelines (Managing Interference from Spectrum Licensed Transmitters – 3.4 GHz Band) 2015</w:t>
      </w:r>
    </w:p>
    <w:p w14:paraId="25903A48" w14:textId="705DDEE3" w:rsidR="005C6A6C" w:rsidRPr="009C35C5" w:rsidRDefault="005C6A6C" w:rsidP="00641710">
      <w:pPr>
        <w:spacing w:after="120"/>
        <w:jc w:val="both"/>
        <w:rPr>
          <w:rFonts w:ascii="Arial" w:hAnsi="Arial" w:cs="Arial"/>
          <w:i/>
          <w:sz w:val="20"/>
          <w:szCs w:val="20"/>
        </w:rPr>
      </w:pPr>
      <w:r w:rsidRPr="009C35C5">
        <w:rPr>
          <w:rFonts w:ascii="Arial" w:hAnsi="Arial" w:cs="Arial"/>
          <w:sz w:val="20"/>
          <w:szCs w:val="20"/>
        </w:rPr>
        <w:t xml:space="preserve">This section provides that </w:t>
      </w:r>
      <w:r w:rsidR="00E52488">
        <w:rPr>
          <w:rFonts w:ascii="Arial" w:hAnsi="Arial" w:cs="Arial"/>
          <w:sz w:val="20"/>
          <w:szCs w:val="20"/>
        </w:rPr>
        <w:t>Schedule 4</w:t>
      </w:r>
      <w:r w:rsidR="00B24AC3" w:rsidRPr="009C35C5">
        <w:rPr>
          <w:rFonts w:ascii="Arial" w:hAnsi="Arial" w:cs="Arial"/>
          <w:sz w:val="20"/>
          <w:szCs w:val="20"/>
        </w:rPr>
        <w:t xml:space="preserve"> varies the </w:t>
      </w:r>
      <w:r w:rsidR="00E52488" w:rsidRPr="00E52488">
        <w:rPr>
          <w:rFonts w:ascii="Arial" w:hAnsi="Arial" w:cs="Arial"/>
          <w:i/>
          <w:sz w:val="20"/>
          <w:szCs w:val="20"/>
        </w:rPr>
        <w:t>Radiocommunications Advisory Guidelines (Managing Interference from Spectrum Licensed Transmitters – 3.4 GHz Band) 2015</w:t>
      </w:r>
      <w:r w:rsidR="00E52488">
        <w:rPr>
          <w:rFonts w:ascii="Arial" w:hAnsi="Arial" w:cs="Arial"/>
          <w:sz w:val="20"/>
          <w:szCs w:val="20"/>
        </w:rPr>
        <w:t>.</w:t>
      </w:r>
    </w:p>
    <w:p w14:paraId="25903A4D" w14:textId="77777777" w:rsidR="005C6A6C" w:rsidRPr="009C35C5" w:rsidRDefault="005C6A6C" w:rsidP="00641710">
      <w:pPr>
        <w:spacing w:after="120"/>
        <w:jc w:val="both"/>
        <w:rPr>
          <w:rFonts w:ascii="Arial" w:hAnsi="Arial" w:cs="Arial"/>
          <w:sz w:val="20"/>
          <w:szCs w:val="20"/>
        </w:rPr>
      </w:pPr>
    </w:p>
    <w:p w14:paraId="6A1E60AE" w14:textId="33A23FC6" w:rsidR="00CB44BA" w:rsidRDefault="00CB44BA" w:rsidP="00641710">
      <w:pPr>
        <w:spacing w:after="120"/>
        <w:jc w:val="both"/>
        <w:rPr>
          <w:rFonts w:ascii="Arial" w:hAnsi="Arial" w:cs="Arial"/>
          <w:b/>
          <w:color w:val="000000"/>
          <w:sz w:val="20"/>
          <w:szCs w:val="20"/>
        </w:rPr>
      </w:pPr>
      <w:r>
        <w:rPr>
          <w:rFonts w:ascii="Arial" w:hAnsi="Arial" w:cs="Arial"/>
          <w:b/>
          <w:color w:val="000000"/>
          <w:sz w:val="20"/>
          <w:szCs w:val="20"/>
        </w:rPr>
        <w:t xml:space="preserve">Section 8 </w:t>
      </w:r>
      <w:r>
        <w:rPr>
          <w:rFonts w:ascii="Arial" w:hAnsi="Arial" w:cs="Arial"/>
          <w:b/>
          <w:color w:val="000000"/>
          <w:sz w:val="20"/>
          <w:szCs w:val="20"/>
        </w:rPr>
        <w:tab/>
        <w:t>References to other instruments</w:t>
      </w:r>
    </w:p>
    <w:p w14:paraId="4430685E" w14:textId="77777777" w:rsidR="00CB44BA" w:rsidRPr="00CB44BA" w:rsidRDefault="00CB44BA" w:rsidP="00641710">
      <w:pPr>
        <w:spacing w:after="120"/>
        <w:rPr>
          <w:rFonts w:ascii="Arial" w:hAnsi="Arial" w:cs="Arial"/>
          <w:sz w:val="20"/>
          <w:szCs w:val="20"/>
        </w:rPr>
      </w:pPr>
      <w:r w:rsidRPr="00CB44BA">
        <w:rPr>
          <w:rFonts w:ascii="Arial" w:hAnsi="Arial" w:cs="Arial"/>
          <w:sz w:val="20"/>
          <w:szCs w:val="20"/>
        </w:rPr>
        <w:t>This section provides that in the instrument, unless the contrary intention appears:</w:t>
      </w:r>
    </w:p>
    <w:p w14:paraId="1020BCA3" w14:textId="77777777" w:rsidR="00CB44BA" w:rsidRPr="00CB44BA" w:rsidRDefault="00CB44BA" w:rsidP="00641710">
      <w:pPr>
        <w:pStyle w:val="ListParagraph"/>
        <w:numPr>
          <w:ilvl w:val="0"/>
          <w:numId w:val="52"/>
        </w:numPr>
        <w:spacing w:after="120" w:line="259" w:lineRule="auto"/>
        <w:contextualSpacing/>
        <w:rPr>
          <w:rFonts w:ascii="Arial" w:hAnsi="Arial" w:cs="Arial"/>
          <w:sz w:val="20"/>
          <w:szCs w:val="20"/>
        </w:rPr>
      </w:pPr>
      <w:r w:rsidRPr="00CB44BA">
        <w:rPr>
          <w:rFonts w:ascii="Arial" w:hAnsi="Arial" w:cs="Arial"/>
          <w:sz w:val="20"/>
          <w:szCs w:val="20"/>
        </w:rPr>
        <w:t>a reference to any other legislative instrument is a reference to that other legislative instrument as in force from time to time; and</w:t>
      </w:r>
    </w:p>
    <w:p w14:paraId="21B7D3C1" w14:textId="414B52CB" w:rsidR="00CB44BA" w:rsidRPr="00CB44BA" w:rsidRDefault="00CB44BA" w:rsidP="00641710">
      <w:pPr>
        <w:pStyle w:val="ListParagraph"/>
        <w:numPr>
          <w:ilvl w:val="0"/>
          <w:numId w:val="52"/>
        </w:numPr>
        <w:spacing w:after="120" w:line="259" w:lineRule="auto"/>
        <w:contextualSpacing/>
        <w:jc w:val="both"/>
        <w:rPr>
          <w:rFonts w:ascii="Arial" w:hAnsi="Arial" w:cs="Arial"/>
          <w:b/>
          <w:color w:val="000000"/>
          <w:sz w:val="20"/>
          <w:szCs w:val="20"/>
        </w:rPr>
      </w:pPr>
      <w:r w:rsidRPr="00CB44BA">
        <w:rPr>
          <w:rFonts w:ascii="Arial" w:hAnsi="Arial" w:cs="Arial"/>
          <w:sz w:val="20"/>
          <w:szCs w:val="20"/>
        </w:rPr>
        <w:t>a reference to any other kind of instrument is a reference to that other instrument as in force from time to time.</w:t>
      </w:r>
    </w:p>
    <w:p w14:paraId="41C1DC90" w14:textId="77777777" w:rsidR="00CB44BA" w:rsidRDefault="00CB44BA" w:rsidP="00E51800">
      <w:pPr>
        <w:jc w:val="both"/>
        <w:rPr>
          <w:rFonts w:ascii="Arial" w:hAnsi="Arial" w:cs="Arial"/>
          <w:b/>
          <w:color w:val="000000"/>
          <w:sz w:val="20"/>
          <w:szCs w:val="20"/>
        </w:rPr>
      </w:pPr>
    </w:p>
    <w:p w14:paraId="25903A4F" w14:textId="1E6A0EC6" w:rsidR="00D22332" w:rsidRPr="00641710" w:rsidRDefault="00E250D1" w:rsidP="00641710">
      <w:pPr>
        <w:spacing w:after="120"/>
        <w:jc w:val="both"/>
        <w:rPr>
          <w:rFonts w:ascii="Arial" w:hAnsi="Arial" w:cs="Arial"/>
          <w:b/>
          <w:color w:val="000000"/>
          <w:sz w:val="20"/>
          <w:szCs w:val="20"/>
        </w:rPr>
      </w:pPr>
      <w:r w:rsidRPr="009C35C5">
        <w:rPr>
          <w:rFonts w:ascii="Arial" w:hAnsi="Arial" w:cs="Arial"/>
          <w:b/>
          <w:color w:val="000000"/>
          <w:sz w:val="20"/>
          <w:szCs w:val="20"/>
        </w:rPr>
        <w:t xml:space="preserve">Schedule 1 – </w:t>
      </w:r>
      <w:r w:rsidR="00E52488">
        <w:rPr>
          <w:rFonts w:ascii="Arial" w:hAnsi="Arial" w:cs="Arial"/>
          <w:b/>
          <w:color w:val="000000"/>
          <w:sz w:val="20"/>
          <w:szCs w:val="20"/>
        </w:rPr>
        <w:t>Amendments</w:t>
      </w:r>
      <w:r w:rsidR="005C6A6C" w:rsidRPr="009C35C5">
        <w:rPr>
          <w:rFonts w:ascii="Arial" w:hAnsi="Arial" w:cs="Arial"/>
          <w:b/>
          <w:color w:val="000000"/>
          <w:sz w:val="20"/>
          <w:szCs w:val="20"/>
        </w:rPr>
        <w:t xml:space="preserve"> </w:t>
      </w:r>
    </w:p>
    <w:p w14:paraId="25903A51" w14:textId="65C57D45" w:rsidR="00B24AC3" w:rsidRPr="009C35C5" w:rsidRDefault="00C202E5" w:rsidP="00641710">
      <w:pPr>
        <w:spacing w:after="120"/>
        <w:jc w:val="both"/>
        <w:rPr>
          <w:rFonts w:ascii="Arial" w:hAnsi="Arial" w:cs="Arial"/>
          <w:b/>
          <w:sz w:val="20"/>
          <w:szCs w:val="20"/>
        </w:rPr>
      </w:pPr>
      <w:r w:rsidRPr="009C35C5">
        <w:rPr>
          <w:rFonts w:ascii="Arial" w:hAnsi="Arial" w:cs="Arial"/>
          <w:b/>
          <w:sz w:val="20"/>
          <w:szCs w:val="20"/>
        </w:rPr>
        <w:t>Item</w:t>
      </w:r>
      <w:r w:rsidR="00B24AC3" w:rsidRPr="009C35C5">
        <w:rPr>
          <w:rFonts w:ascii="Arial" w:hAnsi="Arial" w:cs="Arial"/>
          <w:b/>
          <w:sz w:val="20"/>
          <w:szCs w:val="20"/>
        </w:rPr>
        <w:t xml:space="preserve"> 1 – </w:t>
      </w:r>
      <w:r w:rsidR="00CC333D">
        <w:rPr>
          <w:rFonts w:ascii="Arial" w:hAnsi="Arial" w:cs="Arial"/>
          <w:b/>
          <w:sz w:val="20"/>
          <w:szCs w:val="20"/>
        </w:rPr>
        <w:t>Schedule 1 (item 13)</w:t>
      </w:r>
    </w:p>
    <w:p w14:paraId="25903A52" w14:textId="14EBE97D" w:rsidR="00B24AC3" w:rsidRDefault="000555B7" w:rsidP="00641710">
      <w:pPr>
        <w:spacing w:after="120"/>
        <w:jc w:val="both"/>
        <w:rPr>
          <w:rFonts w:ascii="Arial" w:hAnsi="Arial" w:cs="Arial"/>
          <w:iCs/>
          <w:color w:val="000000"/>
          <w:sz w:val="20"/>
          <w:szCs w:val="20"/>
          <w:lang w:val="en-US"/>
        </w:rPr>
      </w:pPr>
      <w:r>
        <w:rPr>
          <w:rFonts w:ascii="Arial" w:hAnsi="Arial" w:cs="Arial"/>
          <w:sz w:val="20"/>
          <w:szCs w:val="20"/>
        </w:rPr>
        <w:t>The t</w:t>
      </w:r>
      <w:r w:rsidR="00CC333D">
        <w:rPr>
          <w:rFonts w:ascii="Arial" w:hAnsi="Arial" w:cs="Arial"/>
          <w:sz w:val="20"/>
          <w:szCs w:val="20"/>
        </w:rPr>
        <w:t xml:space="preserve">able in Schedule 1 to the </w:t>
      </w:r>
      <w:r w:rsidR="00C461B0">
        <w:rPr>
          <w:rFonts w:ascii="Arial" w:hAnsi="Arial" w:cs="Arial"/>
          <w:iCs/>
          <w:color w:val="000000"/>
          <w:sz w:val="20"/>
          <w:szCs w:val="20"/>
          <w:lang w:val="en-US"/>
        </w:rPr>
        <w:t>T</w:t>
      </w:r>
      <w:r w:rsidR="00A96FCE" w:rsidRPr="00A96FCE">
        <w:rPr>
          <w:rFonts w:ascii="Arial" w:hAnsi="Arial" w:cs="Arial"/>
          <w:iCs/>
          <w:color w:val="000000"/>
          <w:sz w:val="20"/>
          <w:szCs w:val="20"/>
          <w:lang w:val="en-US"/>
        </w:rPr>
        <w:t xml:space="preserve">rading </w:t>
      </w:r>
      <w:r w:rsidR="00C461B0">
        <w:rPr>
          <w:rFonts w:ascii="Arial" w:hAnsi="Arial" w:cs="Arial"/>
          <w:iCs/>
          <w:color w:val="000000"/>
          <w:sz w:val="20"/>
          <w:szCs w:val="20"/>
          <w:lang w:val="en-US"/>
        </w:rPr>
        <w:t>R</w:t>
      </w:r>
      <w:r w:rsidR="00A96FCE" w:rsidRPr="00A96FCE">
        <w:rPr>
          <w:rFonts w:ascii="Arial" w:hAnsi="Arial" w:cs="Arial"/>
          <w:iCs/>
          <w:color w:val="000000"/>
          <w:sz w:val="20"/>
          <w:szCs w:val="20"/>
          <w:lang w:val="en-US"/>
        </w:rPr>
        <w:t xml:space="preserve">ules </w:t>
      </w:r>
      <w:r w:rsidR="00C461B0">
        <w:rPr>
          <w:rFonts w:ascii="Arial" w:hAnsi="Arial" w:cs="Arial"/>
          <w:iCs/>
          <w:color w:val="000000"/>
          <w:sz w:val="20"/>
          <w:szCs w:val="20"/>
          <w:lang w:val="en-US"/>
        </w:rPr>
        <w:t>D</w:t>
      </w:r>
      <w:r w:rsidR="00A96FCE" w:rsidRPr="00A96FCE">
        <w:rPr>
          <w:rFonts w:ascii="Arial" w:hAnsi="Arial" w:cs="Arial"/>
          <w:iCs/>
          <w:color w:val="000000"/>
          <w:sz w:val="20"/>
          <w:szCs w:val="20"/>
          <w:lang w:val="en-US"/>
        </w:rPr>
        <w:t>etermination</w:t>
      </w:r>
      <w:r w:rsidR="00A96FCE">
        <w:rPr>
          <w:rFonts w:ascii="Arial" w:hAnsi="Arial" w:cs="Arial"/>
          <w:i/>
          <w:iCs/>
          <w:color w:val="000000"/>
          <w:sz w:val="20"/>
          <w:szCs w:val="20"/>
          <w:lang w:val="en-US"/>
        </w:rPr>
        <w:t xml:space="preserve"> </w:t>
      </w:r>
      <w:r w:rsidR="00CC333D">
        <w:rPr>
          <w:rFonts w:ascii="Arial" w:hAnsi="Arial" w:cs="Arial"/>
          <w:iCs/>
          <w:color w:val="000000"/>
          <w:sz w:val="20"/>
          <w:szCs w:val="20"/>
          <w:lang w:val="en-US"/>
        </w:rPr>
        <w:t>defines the MCB for different spectrum licen</w:t>
      </w:r>
      <w:r w:rsidR="00C461B0">
        <w:rPr>
          <w:rFonts w:ascii="Arial" w:hAnsi="Arial" w:cs="Arial"/>
          <w:iCs/>
          <w:color w:val="000000"/>
          <w:sz w:val="20"/>
          <w:szCs w:val="20"/>
          <w:lang w:val="en-US"/>
        </w:rPr>
        <w:t>c</w:t>
      </w:r>
      <w:r w:rsidR="00CC333D">
        <w:rPr>
          <w:rFonts w:ascii="Arial" w:hAnsi="Arial" w:cs="Arial"/>
          <w:iCs/>
          <w:color w:val="000000"/>
          <w:sz w:val="20"/>
          <w:szCs w:val="20"/>
          <w:lang w:val="en-US"/>
        </w:rPr>
        <w:t xml:space="preserve">e bands. The frequency range </w:t>
      </w:r>
      <w:r w:rsidR="00807FA9">
        <w:rPr>
          <w:rFonts w:ascii="Arial" w:hAnsi="Arial" w:cs="Arial"/>
          <w:iCs/>
          <w:color w:val="000000"/>
          <w:sz w:val="20"/>
          <w:szCs w:val="20"/>
          <w:lang w:val="en-US"/>
        </w:rPr>
        <w:t>in item 13</w:t>
      </w:r>
      <w:r w:rsidR="00CC333D">
        <w:rPr>
          <w:rFonts w:ascii="Arial" w:hAnsi="Arial" w:cs="Arial"/>
          <w:iCs/>
          <w:color w:val="000000"/>
          <w:sz w:val="20"/>
          <w:szCs w:val="20"/>
          <w:lang w:val="en-US"/>
        </w:rPr>
        <w:t xml:space="preserve"> has been extended to incorporate the 3.6 GHz band. </w:t>
      </w:r>
    </w:p>
    <w:p w14:paraId="5CF291CA" w14:textId="77777777" w:rsidR="00CC333D" w:rsidRDefault="00CC333D" w:rsidP="00641710">
      <w:pPr>
        <w:spacing w:after="120"/>
        <w:jc w:val="both"/>
        <w:rPr>
          <w:rFonts w:ascii="Arial" w:hAnsi="Arial" w:cs="Arial"/>
          <w:iCs/>
          <w:color w:val="000000"/>
          <w:sz w:val="20"/>
          <w:szCs w:val="20"/>
          <w:lang w:val="en-US"/>
        </w:rPr>
      </w:pPr>
    </w:p>
    <w:p w14:paraId="575D305B" w14:textId="47CBEAF1" w:rsidR="00CC333D" w:rsidRPr="009C35C5" w:rsidRDefault="00CC333D" w:rsidP="00641710">
      <w:pPr>
        <w:keepNext/>
        <w:spacing w:after="120"/>
        <w:jc w:val="both"/>
        <w:rPr>
          <w:rFonts w:ascii="Arial" w:hAnsi="Arial" w:cs="Arial"/>
          <w:b/>
          <w:sz w:val="20"/>
          <w:szCs w:val="20"/>
        </w:rPr>
      </w:pPr>
      <w:r w:rsidRPr="009C35C5">
        <w:rPr>
          <w:rFonts w:ascii="Arial" w:hAnsi="Arial" w:cs="Arial"/>
          <w:b/>
          <w:sz w:val="20"/>
          <w:szCs w:val="20"/>
        </w:rPr>
        <w:t xml:space="preserve">Item </w:t>
      </w:r>
      <w:r w:rsidR="00C461B0">
        <w:rPr>
          <w:rFonts w:ascii="Arial" w:hAnsi="Arial" w:cs="Arial"/>
          <w:b/>
          <w:sz w:val="20"/>
          <w:szCs w:val="20"/>
        </w:rPr>
        <w:t>2</w:t>
      </w:r>
      <w:r w:rsidRPr="009C35C5">
        <w:rPr>
          <w:rFonts w:ascii="Arial" w:hAnsi="Arial" w:cs="Arial"/>
          <w:b/>
          <w:sz w:val="20"/>
          <w:szCs w:val="20"/>
        </w:rPr>
        <w:t xml:space="preserve"> –</w:t>
      </w:r>
      <w:r w:rsidR="00641710">
        <w:rPr>
          <w:rFonts w:ascii="Arial" w:hAnsi="Arial" w:cs="Arial"/>
          <w:b/>
          <w:sz w:val="20"/>
          <w:szCs w:val="20"/>
        </w:rPr>
        <w:t xml:space="preserve"> </w:t>
      </w:r>
      <w:r>
        <w:rPr>
          <w:rFonts w:ascii="Arial" w:hAnsi="Arial" w:cs="Arial"/>
          <w:b/>
          <w:sz w:val="20"/>
          <w:szCs w:val="20"/>
        </w:rPr>
        <w:t>Schedule 1 (item 14)</w:t>
      </w:r>
    </w:p>
    <w:p w14:paraId="2D14F537" w14:textId="108A18F4" w:rsidR="00CC333D" w:rsidRPr="00CC333D" w:rsidRDefault="00CC333D" w:rsidP="00641710">
      <w:pPr>
        <w:spacing w:after="120"/>
        <w:jc w:val="both"/>
        <w:rPr>
          <w:rFonts w:ascii="Arial" w:hAnsi="Arial" w:cs="Arial"/>
          <w:iCs/>
          <w:color w:val="000000"/>
          <w:sz w:val="20"/>
          <w:szCs w:val="20"/>
          <w:lang w:val="en-US"/>
        </w:rPr>
      </w:pPr>
      <w:r>
        <w:rPr>
          <w:rFonts w:ascii="Arial" w:hAnsi="Arial" w:cs="Arial"/>
          <w:iCs/>
          <w:color w:val="000000"/>
          <w:sz w:val="20"/>
          <w:szCs w:val="20"/>
          <w:lang w:val="en-US"/>
        </w:rPr>
        <w:t>Item 14 of the table in Schedule</w:t>
      </w:r>
      <w:r w:rsidR="00A96FCE">
        <w:rPr>
          <w:rFonts w:ascii="Arial" w:hAnsi="Arial" w:cs="Arial"/>
          <w:iCs/>
          <w:color w:val="000000"/>
          <w:sz w:val="20"/>
          <w:szCs w:val="20"/>
          <w:lang w:val="en-US"/>
        </w:rPr>
        <w:t xml:space="preserve"> 1 has been</w:t>
      </w:r>
      <w:r>
        <w:rPr>
          <w:rFonts w:ascii="Arial" w:hAnsi="Arial" w:cs="Arial"/>
          <w:iCs/>
          <w:color w:val="000000"/>
          <w:sz w:val="20"/>
          <w:szCs w:val="20"/>
          <w:lang w:val="en-US"/>
        </w:rPr>
        <w:t xml:space="preserve"> deleted</w:t>
      </w:r>
      <w:r w:rsidR="000555B7">
        <w:rPr>
          <w:rFonts w:ascii="Arial" w:hAnsi="Arial" w:cs="Arial"/>
          <w:iCs/>
          <w:color w:val="000000"/>
          <w:sz w:val="20"/>
          <w:szCs w:val="20"/>
          <w:lang w:val="en-US"/>
        </w:rPr>
        <w:t xml:space="preserve"> as</w:t>
      </w:r>
      <w:r>
        <w:rPr>
          <w:rFonts w:ascii="Arial" w:hAnsi="Arial" w:cs="Arial"/>
          <w:iCs/>
          <w:color w:val="000000"/>
          <w:sz w:val="20"/>
          <w:szCs w:val="20"/>
          <w:lang w:val="en-US"/>
        </w:rPr>
        <w:t xml:space="preserve"> the 27 GHz band is no longer subject to spectrum licensing</w:t>
      </w:r>
      <w:r w:rsidR="000555B7">
        <w:rPr>
          <w:rFonts w:ascii="Arial" w:hAnsi="Arial" w:cs="Arial"/>
          <w:iCs/>
          <w:color w:val="000000"/>
          <w:sz w:val="20"/>
          <w:szCs w:val="20"/>
          <w:lang w:val="en-US"/>
        </w:rPr>
        <w:t>. Accordingly, the</w:t>
      </w:r>
      <w:r>
        <w:rPr>
          <w:rFonts w:ascii="Arial" w:hAnsi="Arial" w:cs="Arial"/>
          <w:iCs/>
          <w:color w:val="000000"/>
          <w:sz w:val="20"/>
          <w:szCs w:val="20"/>
          <w:lang w:val="en-US"/>
        </w:rPr>
        <w:t xml:space="preserve"> </w:t>
      </w:r>
      <w:r w:rsidR="00A96FCE">
        <w:rPr>
          <w:rFonts w:ascii="Arial" w:hAnsi="Arial" w:cs="Arial"/>
          <w:iCs/>
          <w:color w:val="000000"/>
          <w:sz w:val="20"/>
          <w:szCs w:val="20"/>
          <w:lang w:val="en-US"/>
        </w:rPr>
        <w:t>definition of an</w:t>
      </w:r>
      <w:r>
        <w:rPr>
          <w:rFonts w:ascii="Arial" w:hAnsi="Arial" w:cs="Arial"/>
          <w:iCs/>
          <w:color w:val="000000"/>
          <w:sz w:val="20"/>
          <w:szCs w:val="20"/>
          <w:lang w:val="en-US"/>
        </w:rPr>
        <w:t xml:space="preserve"> MCB is no longer required. </w:t>
      </w:r>
    </w:p>
    <w:p w14:paraId="25903A53" w14:textId="77777777" w:rsidR="00B24AC3" w:rsidRPr="009C35C5" w:rsidRDefault="00B24AC3" w:rsidP="00641710">
      <w:pPr>
        <w:spacing w:after="120"/>
        <w:jc w:val="both"/>
        <w:rPr>
          <w:rFonts w:ascii="Arial" w:hAnsi="Arial" w:cs="Arial"/>
          <w:sz w:val="20"/>
          <w:szCs w:val="20"/>
        </w:rPr>
      </w:pPr>
    </w:p>
    <w:p w14:paraId="25903A55" w14:textId="4322858B" w:rsidR="00D22332" w:rsidRPr="00641710" w:rsidRDefault="00E250D1" w:rsidP="00641710">
      <w:pPr>
        <w:tabs>
          <w:tab w:val="left" w:pos="6345"/>
        </w:tabs>
        <w:spacing w:after="120"/>
        <w:jc w:val="both"/>
        <w:rPr>
          <w:rFonts w:ascii="Arial" w:hAnsi="Arial" w:cs="Arial"/>
          <w:b/>
          <w:i/>
          <w:color w:val="000000"/>
          <w:sz w:val="20"/>
          <w:szCs w:val="20"/>
        </w:rPr>
      </w:pPr>
      <w:r w:rsidRPr="009C35C5">
        <w:rPr>
          <w:rFonts w:ascii="Arial" w:hAnsi="Arial" w:cs="Arial"/>
          <w:b/>
          <w:color w:val="000000"/>
          <w:sz w:val="20"/>
          <w:szCs w:val="20"/>
        </w:rPr>
        <w:t xml:space="preserve">Schedule 2 – </w:t>
      </w:r>
      <w:r w:rsidR="00111891">
        <w:rPr>
          <w:rFonts w:ascii="Arial" w:hAnsi="Arial" w:cs="Arial"/>
          <w:b/>
          <w:color w:val="000000"/>
          <w:sz w:val="20"/>
          <w:szCs w:val="20"/>
        </w:rPr>
        <w:t>Amendments</w:t>
      </w:r>
      <w:r w:rsidR="00923867" w:rsidRPr="002F347C">
        <w:rPr>
          <w:rFonts w:ascii="Arial" w:hAnsi="Arial" w:cs="Arial"/>
          <w:b/>
          <w:i/>
          <w:color w:val="000000"/>
          <w:sz w:val="20"/>
          <w:szCs w:val="20"/>
        </w:rPr>
        <w:tab/>
      </w:r>
    </w:p>
    <w:p w14:paraId="25903A57" w14:textId="789D3C62" w:rsidR="00A32B61" w:rsidRPr="002F347C" w:rsidRDefault="00C202E5" w:rsidP="00641710">
      <w:pPr>
        <w:spacing w:after="120"/>
        <w:jc w:val="both"/>
        <w:rPr>
          <w:rFonts w:ascii="Arial" w:hAnsi="Arial" w:cs="Arial"/>
          <w:b/>
          <w:sz w:val="20"/>
          <w:szCs w:val="20"/>
        </w:rPr>
      </w:pPr>
      <w:r w:rsidRPr="002F347C">
        <w:rPr>
          <w:rFonts w:ascii="Arial" w:hAnsi="Arial" w:cs="Arial"/>
          <w:b/>
          <w:sz w:val="20"/>
          <w:szCs w:val="20"/>
        </w:rPr>
        <w:t>Item</w:t>
      </w:r>
      <w:r w:rsidR="00A32B61" w:rsidRPr="002F347C">
        <w:rPr>
          <w:rFonts w:ascii="Arial" w:hAnsi="Arial" w:cs="Arial"/>
          <w:b/>
          <w:sz w:val="20"/>
          <w:szCs w:val="20"/>
        </w:rPr>
        <w:t xml:space="preserve"> 1</w:t>
      </w:r>
      <w:r w:rsidR="00A32B61" w:rsidRPr="002F347C">
        <w:rPr>
          <w:rFonts w:ascii="Arial" w:hAnsi="Arial" w:cs="Arial"/>
          <w:b/>
          <w:sz w:val="20"/>
          <w:szCs w:val="20"/>
        </w:rPr>
        <w:tab/>
      </w:r>
      <w:r w:rsidR="002F347C" w:rsidRPr="002F347C">
        <w:rPr>
          <w:rFonts w:ascii="Arial" w:hAnsi="Arial" w:cs="Arial"/>
          <w:b/>
          <w:sz w:val="20"/>
          <w:szCs w:val="20"/>
        </w:rPr>
        <w:t xml:space="preserve">Subsection 5(1) (definition of </w:t>
      </w:r>
      <w:r w:rsidR="002F347C" w:rsidRPr="003436F1">
        <w:rPr>
          <w:rFonts w:ascii="Arial" w:hAnsi="Arial" w:cs="Arial"/>
          <w:b/>
          <w:i/>
          <w:sz w:val="20"/>
          <w:szCs w:val="20"/>
        </w:rPr>
        <w:t>3.4 GHz band</w:t>
      </w:r>
      <w:r w:rsidR="002F347C" w:rsidRPr="002F347C">
        <w:rPr>
          <w:rFonts w:ascii="Arial" w:hAnsi="Arial" w:cs="Arial"/>
          <w:b/>
          <w:sz w:val="20"/>
          <w:szCs w:val="20"/>
        </w:rPr>
        <w:t>)</w:t>
      </w:r>
    </w:p>
    <w:p w14:paraId="25903A58" w14:textId="47F9C2F7" w:rsidR="002B0ACA" w:rsidRPr="002F347C" w:rsidRDefault="002F347C" w:rsidP="00641710">
      <w:pPr>
        <w:spacing w:after="120"/>
        <w:rPr>
          <w:rFonts w:ascii="Arial" w:hAnsi="Arial" w:cs="Arial"/>
          <w:sz w:val="20"/>
          <w:szCs w:val="20"/>
        </w:rPr>
      </w:pPr>
      <w:r w:rsidRPr="002F347C">
        <w:rPr>
          <w:rFonts w:ascii="Arial" w:hAnsi="Arial" w:cs="Arial"/>
          <w:sz w:val="20"/>
          <w:szCs w:val="20"/>
        </w:rPr>
        <w:t xml:space="preserve">The definition of the </w:t>
      </w:r>
      <w:r w:rsidRPr="003436F1">
        <w:rPr>
          <w:rFonts w:ascii="Arial" w:hAnsi="Arial" w:cs="Arial"/>
          <w:b/>
          <w:i/>
          <w:sz w:val="20"/>
          <w:szCs w:val="20"/>
        </w:rPr>
        <w:t>3.4 GHz band</w:t>
      </w:r>
      <w:r w:rsidRPr="002F347C">
        <w:rPr>
          <w:rFonts w:ascii="Arial" w:hAnsi="Arial" w:cs="Arial"/>
          <w:sz w:val="20"/>
          <w:szCs w:val="20"/>
        </w:rPr>
        <w:t xml:space="preserve"> </w:t>
      </w:r>
      <w:r w:rsidR="006D2DF4">
        <w:rPr>
          <w:rFonts w:ascii="Arial" w:hAnsi="Arial" w:cs="Arial"/>
          <w:sz w:val="20"/>
          <w:szCs w:val="20"/>
        </w:rPr>
        <w:t xml:space="preserve">in the </w:t>
      </w:r>
      <w:r w:rsidR="00C461B0">
        <w:rPr>
          <w:rFonts w:ascii="Arial" w:hAnsi="Arial" w:cs="Arial"/>
          <w:sz w:val="20"/>
          <w:szCs w:val="20"/>
        </w:rPr>
        <w:t xml:space="preserve">ULI </w:t>
      </w:r>
      <w:r w:rsidR="006D2DF4">
        <w:rPr>
          <w:rFonts w:ascii="Arial" w:hAnsi="Arial" w:cs="Arial"/>
          <w:sz w:val="20"/>
          <w:szCs w:val="20"/>
        </w:rPr>
        <w:t xml:space="preserve">Determination </w:t>
      </w:r>
      <w:r w:rsidRPr="002F347C">
        <w:rPr>
          <w:rFonts w:ascii="Arial" w:hAnsi="Arial" w:cs="Arial"/>
          <w:sz w:val="20"/>
          <w:szCs w:val="20"/>
        </w:rPr>
        <w:t xml:space="preserve">has been extended to include the 3.6 GHz band. </w:t>
      </w:r>
    </w:p>
    <w:p w14:paraId="25903A59" w14:textId="77777777" w:rsidR="002B0ACA" w:rsidRPr="002F347C" w:rsidRDefault="002B0ACA" w:rsidP="00641710">
      <w:pPr>
        <w:spacing w:after="120"/>
        <w:jc w:val="both"/>
        <w:rPr>
          <w:rFonts w:ascii="Arial" w:hAnsi="Arial" w:cs="Arial"/>
          <w:b/>
          <w:color w:val="000000"/>
          <w:sz w:val="20"/>
          <w:szCs w:val="20"/>
        </w:rPr>
      </w:pPr>
    </w:p>
    <w:p w14:paraId="25903A5B" w14:textId="5A292C81" w:rsidR="00AF2B7F" w:rsidRPr="00641710" w:rsidRDefault="00C202E5" w:rsidP="00641710">
      <w:pPr>
        <w:spacing w:after="120"/>
        <w:jc w:val="both"/>
        <w:rPr>
          <w:rFonts w:ascii="Arial" w:hAnsi="Arial" w:cs="Arial"/>
          <w:b/>
          <w:sz w:val="20"/>
          <w:szCs w:val="20"/>
        </w:rPr>
      </w:pPr>
      <w:r w:rsidRPr="002F347C">
        <w:rPr>
          <w:rFonts w:ascii="Arial" w:hAnsi="Arial" w:cs="Arial"/>
          <w:b/>
          <w:sz w:val="20"/>
          <w:szCs w:val="20"/>
        </w:rPr>
        <w:t>Item</w:t>
      </w:r>
      <w:r w:rsidR="00AF2B7F" w:rsidRPr="002F347C">
        <w:rPr>
          <w:rFonts w:ascii="Arial" w:hAnsi="Arial" w:cs="Arial"/>
          <w:b/>
          <w:sz w:val="20"/>
          <w:szCs w:val="20"/>
        </w:rPr>
        <w:t xml:space="preserve"> 2</w:t>
      </w:r>
      <w:r w:rsidR="00AF2B7F" w:rsidRPr="002F347C">
        <w:rPr>
          <w:rFonts w:ascii="Arial" w:hAnsi="Arial" w:cs="Arial"/>
          <w:b/>
          <w:sz w:val="20"/>
          <w:szCs w:val="20"/>
        </w:rPr>
        <w:tab/>
      </w:r>
      <w:r w:rsidR="002F347C" w:rsidRPr="002F347C">
        <w:rPr>
          <w:rFonts w:ascii="Arial" w:hAnsi="Arial" w:cs="Arial"/>
          <w:b/>
          <w:sz w:val="20"/>
          <w:szCs w:val="20"/>
        </w:rPr>
        <w:t xml:space="preserve">Subsection 5(1) (after the definition of </w:t>
      </w:r>
      <w:r w:rsidR="002F347C" w:rsidRPr="003436F1">
        <w:rPr>
          <w:rFonts w:ascii="Arial" w:hAnsi="Arial" w:cs="Arial"/>
          <w:b/>
          <w:i/>
          <w:sz w:val="20"/>
          <w:szCs w:val="20"/>
        </w:rPr>
        <w:t>geographic area</w:t>
      </w:r>
      <w:r w:rsidR="002F347C" w:rsidRPr="002F347C">
        <w:rPr>
          <w:rFonts w:ascii="Arial" w:hAnsi="Arial" w:cs="Arial"/>
          <w:b/>
          <w:sz w:val="20"/>
          <w:szCs w:val="20"/>
        </w:rPr>
        <w:t>)</w:t>
      </w:r>
    </w:p>
    <w:p w14:paraId="25903A5C" w14:textId="1CFFD686" w:rsidR="00AF2B7F" w:rsidRPr="002F347C" w:rsidRDefault="00F83F40" w:rsidP="00641710">
      <w:pPr>
        <w:spacing w:after="120"/>
        <w:jc w:val="both"/>
        <w:rPr>
          <w:rFonts w:ascii="Arial" w:hAnsi="Arial" w:cs="Arial"/>
          <w:sz w:val="20"/>
          <w:szCs w:val="20"/>
        </w:rPr>
      </w:pPr>
      <w:r>
        <w:rPr>
          <w:rFonts w:ascii="Arial" w:hAnsi="Arial" w:cs="Arial"/>
          <w:sz w:val="20"/>
          <w:szCs w:val="20"/>
        </w:rPr>
        <w:t xml:space="preserve">New </w:t>
      </w:r>
      <w:r w:rsidR="002F347C" w:rsidRPr="002F347C">
        <w:rPr>
          <w:rFonts w:ascii="Arial" w:hAnsi="Arial" w:cs="Arial"/>
          <w:sz w:val="20"/>
          <w:szCs w:val="20"/>
        </w:rPr>
        <w:t>definition</w:t>
      </w:r>
      <w:r w:rsidR="000555B7">
        <w:rPr>
          <w:rFonts w:ascii="Arial" w:hAnsi="Arial" w:cs="Arial"/>
          <w:sz w:val="20"/>
          <w:szCs w:val="20"/>
        </w:rPr>
        <w:t>s</w:t>
      </w:r>
      <w:r w:rsidR="002F347C" w:rsidRPr="002F347C">
        <w:rPr>
          <w:rFonts w:ascii="Arial" w:hAnsi="Arial" w:cs="Arial"/>
          <w:sz w:val="20"/>
          <w:szCs w:val="20"/>
        </w:rPr>
        <w:t xml:space="preserve"> </w:t>
      </w:r>
      <w:r w:rsidR="002F347C" w:rsidRPr="003436F1">
        <w:rPr>
          <w:rFonts w:ascii="Arial" w:hAnsi="Arial" w:cs="Arial"/>
          <w:b/>
          <w:i/>
          <w:sz w:val="20"/>
          <w:szCs w:val="20"/>
        </w:rPr>
        <w:t>HCIS identifier</w:t>
      </w:r>
      <w:r w:rsidR="002F347C" w:rsidRPr="002F347C">
        <w:rPr>
          <w:rFonts w:ascii="Arial" w:hAnsi="Arial" w:cs="Arial"/>
          <w:sz w:val="20"/>
          <w:szCs w:val="20"/>
        </w:rPr>
        <w:t xml:space="preserve"> and </w:t>
      </w:r>
      <w:r>
        <w:rPr>
          <w:rFonts w:ascii="Arial" w:hAnsi="Arial" w:cs="Arial"/>
          <w:b/>
          <w:i/>
          <w:sz w:val="20"/>
          <w:szCs w:val="20"/>
        </w:rPr>
        <w:t>h</w:t>
      </w:r>
      <w:r w:rsidR="002F347C" w:rsidRPr="003436F1">
        <w:rPr>
          <w:rFonts w:ascii="Arial" w:hAnsi="Arial" w:cs="Arial"/>
          <w:b/>
          <w:i/>
          <w:sz w:val="20"/>
          <w:szCs w:val="20"/>
        </w:rPr>
        <w:t xml:space="preserve">ierarchical </w:t>
      </w:r>
      <w:r>
        <w:rPr>
          <w:rFonts w:ascii="Arial" w:hAnsi="Arial" w:cs="Arial"/>
          <w:b/>
          <w:i/>
          <w:sz w:val="20"/>
          <w:szCs w:val="20"/>
        </w:rPr>
        <w:t>c</w:t>
      </w:r>
      <w:r w:rsidR="002F347C" w:rsidRPr="003436F1">
        <w:rPr>
          <w:rFonts w:ascii="Arial" w:hAnsi="Arial" w:cs="Arial"/>
          <w:b/>
          <w:i/>
          <w:sz w:val="20"/>
          <w:szCs w:val="20"/>
        </w:rPr>
        <w:t xml:space="preserve">ell </w:t>
      </w:r>
      <w:r>
        <w:rPr>
          <w:rFonts w:ascii="Arial" w:hAnsi="Arial" w:cs="Arial"/>
          <w:b/>
          <w:i/>
          <w:sz w:val="20"/>
          <w:szCs w:val="20"/>
        </w:rPr>
        <w:t>i</w:t>
      </w:r>
      <w:r w:rsidR="002F347C" w:rsidRPr="003436F1">
        <w:rPr>
          <w:rFonts w:ascii="Arial" w:hAnsi="Arial" w:cs="Arial"/>
          <w:b/>
          <w:i/>
          <w:sz w:val="20"/>
          <w:szCs w:val="20"/>
        </w:rPr>
        <w:t xml:space="preserve">dentification </w:t>
      </w:r>
      <w:r>
        <w:rPr>
          <w:rFonts w:ascii="Arial" w:hAnsi="Arial" w:cs="Arial"/>
          <w:b/>
          <w:i/>
          <w:sz w:val="20"/>
          <w:szCs w:val="20"/>
        </w:rPr>
        <w:t>s</w:t>
      </w:r>
      <w:r w:rsidR="002F347C" w:rsidRPr="003436F1">
        <w:rPr>
          <w:rFonts w:ascii="Arial" w:hAnsi="Arial" w:cs="Arial"/>
          <w:b/>
          <w:i/>
          <w:sz w:val="20"/>
          <w:szCs w:val="20"/>
        </w:rPr>
        <w:t xml:space="preserve">cheme </w:t>
      </w:r>
      <w:r>
        <w:rPr>
          <w:rFonts w:ascii="Arial" w:hAnsi="Arial" w:cs="Arial"/>
          <w:sz w:val="20"/>
          <w:szCs w:val="20"/>
        </w:rPr>
        <w:t xml:space="preserve">or </w:t>
      </w:r>
      <w:r w:rsidR="002F347C" w:rsidRPr="003436F1">
        <w:rPr>
          <w:rFonts w:ascii="Arial" w:hAnsi="Arial" w:cs="Arial"/>
          <w:b/>
          <w:i/>
          <w:sz w:val="20"/>
          <w:szCs w:val="20"/>
        </w:rPr>
        <w:t>(HCIS)</w:t>
      </w:r>
      <w:r w:rsidR="002F347C" w:rsidRPr="002F347C">
        <w:rPr>
          <w:rFonts w:ascii="Arial" w:hAnsi="Arial" w:cs="Arial"/>
          <w:sz w:val="20"/>
          <w:szCs w:val="20"/>
        </w:rPr>
        <w:t xml:space="preserve"> have been </w:t>
      </w:r>
      <w:r>
        <w:rPr>
          <w:rFonts w:ascii="Arial" w:hAnsi="Arial" w:cs="Arial"/>
          <w:sz w:val="20"/>
          <w:szCs w:val="20"/>
        </w:rPr>
        <w:t>added</w:t>
      </w:r>
      <w:r w:rsidR="002F347C" w:rsidRPr="002F347C">
        <w:rPr>
          <w:rFonts w:ascii="Arial" w:hAnsi="Arial" w:cs="Arial"/>
          <w:sz w:val="20"/>
          <w:szCs w:val="20"/>
        </w:rPr>
        <w:t>. This is due to the inclusion of a new Schedule 4</w:t>
      </w:r>
      <w:r w:rsidR="00115356">
        <w:rPr>
          <w:rFonts w:ascii="Arial" w:hAnsi="Arial" w:cs="Arial"/>
          <w:sz w:val="20"/>
          <w:szCs w:val="20"/>
        </w:rPr>
        <w:t xml:space="preserve"> in</w:t>
      </w:r>
      <w:r w:rsidR="006D2DF4">
        <w:rPr>
          <w:rFonts w:ascii="Arial" w:hAnsi="Arial" w:cs="Arial"/>
          <w:sz w:val="20"/>
          <w:szCs w:val="20"/>
        </w:rPr>
        <w:t xml:space="preserve"> the </w:t>
      </w:r>
      <w:r w:rsidR="00C461B0">
        <w:rPr>
          <w:rFonts w:ascii="Arial" w:hAnsi="Arial" w:cs="Arial"/>
          <w:sz w:val="20"/>
          <w:szCs w:val="20"/>
        </w:rPr>
        <w:t xml:space="preserve">ULI </w:t>
      </w:r>
      <w:r w:rsidR="006D2DF4">
        <w:rPr>
          <w:rFonts w:ascii="Arial" w:hAnsi="Arial" w:cs="Arial"/>
          <w:sz w:val="20"/>
          <w:szCs w:val="20"/>
        </w:rPr>
        <w:t>Determination</w:t>
      </w:r>
      <w:r w:rsidR="002F347C" w:rsidRPr="002F347C">
        <w:rPr>
          <w:rFonts w:ascii="Arial" w:hAnsi="Arial" w:cs="Arial"/>
          <w:sz w:val="20"/>
          <w:szCs w:val="20"/>
        </w:rPr>
        <w:t xml:space="preserve"> which uses these terms. </w:t>
      </w:r>
    </w:p>
    <w:p w14:paraId="25903A5D" w14:textId="77777777" w:rsidR="00A32B61" w:rsidRPr="002F347C" w:rsidRDefault="00A32B61" w:rsidP="00641710">
      <w:pPr>
        <w:spacing w:after="120"/>
        <w:jc w:val="both"/>
        <w:rPr>
          <w:rFonts w:ascii="Arial" w:hAnsi="Arial" w:cs="Arial"/>
          <w:b/>
          <w:color w:val="000000"/>
          <w:sz w:val="20"/>
          <w:szCs w:val="20"/>
        </w:rPr>
      </w:pPr>
    </w:p>
    <w:p w14:paraId="25903A5F" w14:textId="2924C93F" w:rsidR="00AF2B7F" w:rsidRPr="00641710" w:rsidRDefault="00C202E5" w:rsidP="00641710">
      <w:pPr>
        <w:spacing w:after="120"/>
        <w:jc w:val="both"/>
        <w:rPr>
          <w:rFonts w:ascii="Arial" w:hAnsi="Arial" w:cs="Arial"/>
          <w:b/>
          <w:sz w:val="20"/>
          <w:szCs w:val="20"/>
        </w:rPr>
      </w:pPr>
      <w:r w:rsidRPr="002F347C">
        <w:rPr>
          <w:rFonts w:ascii="Arial" w:hAnsi="Arial" w:cs="Arial"/>
          <w:b/>
          <w:sz w:val="20"/>
          <w:szCs w:val="20"/>
        </w:rPr>
        <w:t>Item</w:t>
      </w:r>
      <w:r w:rsidR="00AF2B7F" w:rsidRPr="002F347C">
        <w:rPr>
          <w:rFonts w:ascii="Arial" w:hAnsi="Arial" w:cs="Arial"/>
          <w:b/>
          <w:sz w:val="20"/>
          <w:szCs w:val="20"/>
        </w:rPr>
        <w:t xml:space="preserve"> 3</w:t>
      </w:r>
      <w:r w:rsidR="00AF2B7F" w:rsidRPr="002F347C">
        <w:rPr>
          <w:rFonts w:ascii="Arial" w:hAnsi="Arial" w:cs="Arial"/>
          <w:b/>
          <w:sz w:val="20"/>
          <w:szCs w:val="20"/>
        </w:rPr>
        <w:tab/>
      </w:r>
      <w:r w:rsidR="002F347C" w:rsidRPr="002F347C">
        <w:rPr>
          <w:rFonts w:ascii="Arial" w:hAnsi="Arial" w:cs="Arial"/>
          <w:b/>
          <w:sz w:val="20"/>
          <w:szCs w:val="20"/>
        </w:rPr>
        <w:t xml:space="preserve">Subsection 5(1) (after the definition of </w:t>
      </w:r>
      <w:r w:rsidR="002F347C" w:rsidRPr="00CB44BA">
        <w:rPr>
          <w:rFonts w:ascii="Arial" w:hAnsi="Arial" w:cs="Arial"/>
          <w:b/>
          <w:i/>
          <w:sz w:val="20"/>
          <w:szCs w:val="20"/>
        </w:rPr>
        <w:t>Recommendation ITU-R P.526-13</w:t>
      </w:r>
      <w:r w:rsidR="002F347C" w:rsidRPr="002F347C">
        <w:rPr>
          <w:rFonts w:ascii="Arial" w:hAnsi="Arial" w:cs="Arial"/>
          <w:b/>
          <w:sz w:val="20"/>
          <w:szCs w:val="20"/>
        </w:rPr>
        <w:t>)</w:t>
      </w:r>
    </w:p>
    <w:p w14:paraId="25903A72" w14:textId="58C9A730" w:rsidR="00377FB9" w:rsidRPr="006D2DF4" w:rsidRDefault="000555B7" w:rsidP="00641710">
      <w:pPr>
        <w:spacing w:after="120"/>
        <w:jc w:val="both"/>
        <w:rPr>
          <w:rFonts w:ascii="Arial" w:hAnsi="Arial" w:cs="Arial"/>
          <w:sz w:val="20"/>
          <w:szCs w:val="20"/>
        </w:rPr>
      </w:pPr>
      <w:r>
        <w:rPr>
          <w:rFonts w:ascii="Arial" w:hAnsi="Arial" w:cs="Arial"/>
          <w:sz w:val="20"/>
          <w:szCs w:val="20"/>
        </w:rPr>
        <w:t>A</w:t>
      </w:r>
      <w:r w:rsidRPr="006D2DF4">
        <w:rPr>
          <w:rFonts w:ascii="Arial" w:hAnsi="Arial" w:cs="Arial"/>
          <w:sz w:val="20"/>
          <w:szCs w:val="20"/>
        </w:rPr>
        <w:t xml:space="preserve"> </w:t>
      </w:r>
      <w:r w:rsidR="002F347C" w:rsidRPr="006D2DF4">
        <w:rPr>
          <w:rFonts w:ascii="Arial" w:hAnsi="Arial" w:cs="Arial"/>
          <w:sz w:val="20"/>
          <w:szCs w:val="20"/>
        </w:rPr>
        <w:t xml:space="preserve">definition of </w:t>
      </w:r>
      <w:r w:rsidR="002F347C" w:rsidRPr="003436F1">
        <w:rPr>
          <w:rFonts w:ascii="Arial" w:hAnsi="Arial" w:cs="Arial"/>
          <w:b/>
          <w:i/>
          <w:sz w:val="20"/>
          <w:szCs w:val="20"/>
        </w:rPr>
        <w:t>total radiated power</w:t>
      </w:r>
      <w:r w:rsidR="002F347C" w:rsidRPr="006D2DF4">
        <w:rPr>
          <w:rFonts w:ascii="Arial" w:hAnsi="Arial" w:cs="Arial"/>
          <w:sz w:val="20"/>
          <w:szCs w:val="20"/>
        </w:rPr>
        <w:t xml:space="preserve"> has been included. </w:t>
      </w:r>
      <w:r w:rsidR="006D2DF4" w:rsidRPr="006D2DF4">
        <w:rPr>
          <w:rFonts w:ascii="Arial" w:hAnsi="Arial" w:cs="Arial"/>
          <w:sz w:val="20"/>
          <w:szCs w:val="20"/>
        </w:rPr>
        <w:t xml:space="preserve">This </w:t>
      </w:r>
      <w:r w:rsidR="00F83F40">
        <w:rPr>
          <w:rFonts w:ascii="Arial" w:hAnsi="Arial" w:cs="Arial"/>
          <w:sz w:val="20"/>
          <w:szCs w:val="20"/>
        </w:rPr>
        <w:t xml:space="preserve">term is referenced in a </w:t>
      </w:r>
      <w:r w:rsidR="006D2DF4" w:rsidRPr="006D2DF4">
        <w:rPr>
          <w:rFonts w:ascii="Arial" w:hAnsi="Arial" w:cs="Arial"/>
          <w:sz w:val="20"/>
          <w:szCs w:val="20"/>
        </w:rPr>
        <w:t xml:space="preserve">new note </w:t>
      </w:r>
      <w:r w:rsidR="00F83F40">
        <w:rPr>
          <w:rFonts w:ascii="Arial" w:hAnsi="Arial" w:cs="Arial"/>
          <w:sz w:val="20"/>
          <w:szCs w:val="20"/>
        </w:rPr>
        <w:t xml:space="preserve">inserted </w:t>
      </w:r>
      <w:r w:rsidR="006D2DF4" w:rsidRPr="006D2DF4">
        <w:rPr>
          <w:rFonts w:ascii="Arial" w:hAnsi="Arial" w:cs="Arial"/>
          <w:sz w:val="20"/>
          <w:szCs w:val="20"/>
        </w:rPr>
        <w:t xml:space="preserve">in Part 2, paragraph 1 of Schedule 2 </w:t>
      </w:r>
      <w:r w:rsidR="00115356">
        <w:rPr>
          <w:rFonts w:ascii="Arial" w:hAnsi="Arial" w:cs="Arial"/>
          <w:sz w:val="20"/>
          <w:szCs w:val="20"/>
        </w:rPr>
        <w:t>of</w:t>
      </w:r>
      <w:r w:rsidR="006D2DF4">
        <w:rPr>
          <w:rFonts w:ascii="Arial" w:hAnsi="Arial" w:cs="Arial"/>
          <w:sz w:val="20"/>
          <w:szCs w:val="20"/>
        </w:rPr>
        <w:t xml:space="preserve"> the </w:t>
      </w:r>
      <w:r w:rsidR="00C461B0">
        <w:rPr>
          <w:rFonts w:ascii="Arial" w:hAnsi="Arial" w:cs="Arial"/>
          <w:sz w:val="20"/>
          <w:szCs w:val="20"/>
        </w:rPr>
        <w:t xml:space="preserve">ULI </w:t>
      </w:r>
      <w:r w:rsidR="006D2DF4">
        <w:rPr>
          <w:rFonts w:ascii="Arial" w:hAnsi="Arial" w:cs="Arial"/>
          <w:sz w:val="20"/>
          <w:szCs w:val="20"/>
        </w:rPr>
        <w:t xml:space="preserve">Determination </w:t>
      </w:r>
      <w:r w:rsidR="008A3487">
        <w:rPr>
          <w:rFonts w:ascii="Arial" w:hAnsi="Arial" w:cs="Arial"/>
          <w:sz w:val="20"/>
          <w:szCs w:val="20"/>
        </w:rPr>
        <w:t xml:space="preserve">by item </w:t>
      </w:r>
      <w:r w:rsidR="00C461B0">
        <w:rPr>
          <w:rFonts w:ascii="Arial" w:hAnsi="Arial" w:cs="Arial"/>
          <w:sz w:val="20"/>
          <w:szCs w:val="20"/>
        </w:rPr>
        <w:t>7</w:t>
      </w:r>
      <w:r w:rsidR="008A3487">
        <w:rPr>
          <w:rFonts w:ascii="Arial" w:hAnsi="Arial" w:cs="Arial"/>
          <w:sz w:val="20"/>
          <w:szCs w:val="20"/>
        </w:rPr>
        <w:t xml:space="preserve"> of the instrument</w:t>
      </w:r>
      <w:r w:rsidR="006D2DF4" w:rsidRPr="006D2DF4">
        <w:rPr>
          <w:rFonts w:ascii="Arial" w:hAnsi="Arial" w:cs="Arial"/>
          <w:sz w:val="20"/>
          <w:szCs w:val="20"/>
        </w:rPr>
        <w:t xml:space="preserve">. </w:t>
      </w:r>
    </w:p>
    <w:p w14:paraId="25903A74" w14:textId="4FF15E1A" w:rsidR="00FE745F" w:rsidRPr="00111891" w:rsidRDefault="00FE745F" w:rsidP="00641710">
      <w:pPr>
        <w:spacing w:after="120"/>
        <w:jc w:val="both"/>
        <w:rPr>
          <w:rFonts w:ascii="Arial" w:hAnsi="Arial" w:cs="Arial"/>
          <w:b/>
          <w:color w:val="000000"/>
          <w:sz w:val="20"/>
          <w:szCs w:val="20"/>
          <w:highlight w:val="yellow"/>
        </w:rPr>
      </w:pPr>
    </w:p>
    <w:p w14:paraId="60F4BD39" w14:textId="13BF336E" w:rsidR="008A3487" w:rsidRDefault="008A3487" w:rsidP="00641710">
      <w:pPr>
        <w:spacing w:after="120"/>
        <w:jc w:val="both"/>
        <w:rPr>
          <w:rFonts w:ascii="Arial" w:hAnsi="Arial" w:cs="Arial"/>
          <w:b/>
          <w:sz w:val="20"/>
          <w:szCs w:val="20"/>
        </w:rPr>
      </w:pPr>
      <w:r>
        <w:rPr>
          <w:rFonts w:ascii="Arial" w:hAnsi="Arial" w:cs="Arial"/>
          <w:b/>
          <w:sz w:val="20"/>
          <w:szCs w:val="20"/>
        </w:rPr>
        <w:t>Item 4</w:t>
      </w:r>
      <w:r>
        <w:rPr>
          <w:rFonts w:ascii="Arial" w:hAnsi="Arial" w:cs="Arial"/>
          <w:b/>
          <w:sz w:val="20"/>
          <w:szCs w:val="20"/>
        </w:rPr>
        <w:tab/>
        <w:t>Paragraph 9(1)(b)</w:t>
      </w:r>
    </w:p>
    <w:p w14:paraId="280C22AD" w14:textId="3B1DBDFE" w:rsidR="008A3487" w:rsidRPr="003436F1" w:rsidRDefault="008A3487" w:rsidP="00641710">
      <w:pPr>
        <w:spacing w:after="120"/>
        <w:jc w:val="both"/>
        <w:rPr>
          <w:rFonts w:ascii="Arial" w:hAnsi="Arial" w:cs="Arial"/>
          <w:sz w:val="20"/>
          <w:szCs w:val="20"/>
        </w:rPr>
      </w:pPr>
      <w:r>
        <w:rPr>
          <w:rFonts w:ascii="Arial" w:hAnsi="Arial" w:cs="Arial"/>
          <w:sz w:val="20"/>
          <w:szCs w:val="20"/>
        </w:rPr>
        <w:t>This item adds the new subsections 9(3) and (4) (inserted by item 5 below) as exceptions that may apply to the general statement in paragraph 9(1)(b)</w:t>
      </w:r>
      <w:r w:rsidR="00EB6D81">
        <w:rPr>
          <w:rFonts w:ascii="Arial" w:hAnsi="Arial" w:cs="Arial"/>
          <w:sz w:val="20"/>
          <w:szCs w:val="20"/>
        </w:rPr>
        <w:t xml:space="preserve"> that</w:t>
      </w:r>
      <w:r>
        <w:rPr>
          <w:rFonts w:ascii="Arial" w:hAnsi="Arial" w:cs="Arial"/>
          <w:sz w:val="20"/>
          <w:szCs w:val="20"/>
        </w:rPr>
        <w:t xml:space="preserve"> interference caused by a radiocommunications transmitter operated under a 3.4 GHz spectrum licence will be deemed to be unacceptable if any part of the device boundary of the transmitter lies outside of the geographic area of the licence.</w:t>
      </w:r>
    </w:p>
    <w:p w14:paraId="0C27F937" w14:textId="77777777" w:rsidR="008A3487" w:rsidRDefault="008A3487" w:rsidP="00641710">
      <w:pPr>
        <w:spacing w:after="120"/>
        <w:jc w:val="both"/>
        <w:rPr>
          <w:rFonts w:ascii="Arial" w:hAnsi="Arial" w:cs="Arial"/>
          <w:b/>
          <w:sz w:val="20"/>
          <w:szCs w:val="20"/>
        </w:rPr>
      </w:pPr>
    </w:p>
    <w:p w14:paraId="25903A76" w14:textId="79B583CE" w:rsidR="00AF2B7F" w:rsidRPr="00641710" w:rsidRDefault="00FE745F" w:rsidP="00641710">
      <w:pPr>
        <w:spacing w:after="120"/>
        <w:jc w:val="both"/>
        <w:rPr>
          <w:rFonts w:ascii="Arial" w:hAnsi="Arial" w:cs="Arial"/>
          <w:b/>
          <w:sz w:val="20"/>
          <w:szCs w:val="20"/>
        </w:rPr>
      </w:pPr>
      <w:r w:rsidRPr="006D2DF4">
        <w:rPr>
          <w:rFonts w:ascii="Arial" w:hAnsi="Arial" w:cs="Arial"/>
          <w:b/>
          <w:sz w:val="20"/>
          <w:szCs w:val="20"/>
        </w:rPr>
        <w:t>Item</w:t>
      </w:r>
      <w:r w:rsidR="00AF2B7F" w:rsidRPr="006D2DF4">
        <w:rPr>
          <w:rFonts w:ascii="Arial" w:hAnsi="Arial" w:cs="Arial"/>
          <w:b/>
          <w:sz w:val="20"/>
          <w:szCs w:val="20"/>
        </w:rPr>
        <w:t xml:space="preserve"> </w:t>
      </w:r>
      <w:r w:rsidR="008A3487">
        <w:rPr>
          <w:rFonts w:ascii="Arial" w:hAnsi="Arial" w:cs="Arial"/>
          <w:b/>
          <w:sz w:val="20"/>
          <w:szCs w:val="20"/>
        </w:rPr>
        <w:t>5</w:t>
      </w:r>
      <w:r w:rsidR="00AF2B7F" w:rsidRPr="006D2DF4">
        <w:rPr>
          <w:rFonts w:ascii="Arial" w:hAnsi="Arial" w:cs="Arial"/>
          <w:b/>
          <w:sz w:val="20"/>
          <w:szCs w:val="20"/>
        </w:rPr>
        <w:tab/>
      </w:r>
      <w:r w:rsidR="006D2DF4" w:rsidRPr="006D2DF4">
        <w:rPr>
          <w:rFonts w:ascii="Arial" w:hAnsi="Arial" w:cs="Arial"/>
          <w:b/>
          <w:sz w:val="20"/>
          <w:szCs w:val="20"/>
        </w:rPr>
        <w:t>Subsection 9(2)</w:t>
      </w:r>
    </w:p>
    <w:p w14:paraId="5FAD4482" w14:textId="438E6435" w:rsidR="00AE1AAD" w:rsidRDefault="00AE1AAD" w:rsidP="00641710">
      <w:pPr>
        <w:spacing w:after="120"/>
        <w:jc w:val="both"/>
        <w:rPr>
          <w:rFonts w:ascii="Arial" w:hAnsi="Arial" w:cs="Arial"/>
          <w:sz w:val="20"/>
          <w:szCs w:val="20"/>
        </w:rPr>
      </w:pPr>
      <w:r>
        <w:rPr>
          <w:rFonts w:ascii="Arial" w:hAnsi="Arial" w:cs="Arial"/>
          <w:sz w:val="20"/>
          <w:szCs w:val="20"/>
        </w:rPr>
        <w:t>New subsections 9(3) and 9(4) have been added after sub</w:t>
      </w:r>
      <w:r w:rsidR="00C24A38">
        <w:rPr>
          <w:rFonts w:ascii="Arial" w:hAnsi="Arial" w:cs="Arial"/>
          <w:sz w:val="20"/>
          <w:szCs w:val="20"/>
        </w:rPr>
        <w:t>section</w:t>
      </w:r>
      <w:r>
        <w:rPr>
          <w:rFonts w:ascii="Arial" w:hAnsi="Arial" w:cs="Arial"/>
          <w:sz w:val="20"/>
          <w:szCs w:val="20"/>
        </w:rPr>
        <w:t xml:space="preserve"> 9(2). </w:t>
      </w:r>
    </w:p>
    <w:p w14:paraId="0A8AAD41" w14:textId="48A70E29" w:rsidR="00AE1AAD" w:rsidRDefault="00AE1AAD" w:rsidP="00641710">
      <w:pPr>
        <w:spacing w:after="120"/>
        <w:jc w:val="both"/>
        <w:rPr>
          <w:rFonts w:ascii="Arial" w:hAnsi="Arial" w:cs="Arial"/>
          <w:sz w:val="20"/>
          <w:szCs w:val="20"/>
        </w:rPr>
      </w:pPr>
      <w:r>
        <w:rPr>
          <w:rFonts w:ascii="Arial" w:hAnsi="Arial" w:cs="Arial"/>
          <w:sz w:val="20"/>
          <w:szCs w:val="20"/>
        </w:rPr>
        <w:t>Sub</w:t>
      </w:r>
      <w:r w:rsidR="00C24A38">
        <w:rPr>
          <w:rFonts w:ascii="Arial" w:hAnsi="Arial" w:cs="Arial"/>
          <w:sz w:val="20"/>
          <w:szCs w:val="20"/>
        </w:rPr>
        <w:t>section</w:t>
      </w:r>
      <w:r>
        <w:rPr>
          <w:rFonts w:ascii="Arial" w:hAnsi="Arial" w:cs="Arial"/>
          <w:sz w:val="20"/>
          <w:szCs w:val="20"/>
        </w:rPr>
        <w:t xml:space="preserve"> 9(3) </w:t>
      </w:r>
      <w:r w:rsidRPr="006D2DF4">
        <w:rPr>
          <w:rFonts w:ascii="Arial" w:hAnsi="Arial" w:cs="Arial"/>
          <w:sz w:val="20"/>
          <w:szCs w:val="20"/>
        </w:rPr>
        <w:t>has been included so that</w:t>
      </w:r>
      <w:r>
        <w:rPr>
          <w:rFonts w:ascii="Arial" w:hAnsi="Arial" w:cs="Arial"/>
          <w:sz w:val="20"/>
          <w:szCs w:val="20"/>
        </w:rPr>
        <w:t xml:space="preserve"> assessment of the</w:t>
      </w:r>
      <w:r w:rsidRPr="006D2DF4">
        <w:rPr>
          <w:rFonts w:ascii="Arial" w:hAnsi="Arial" w:cs="Arial"/>
          <w:sz w:val="20"/>
          <w:szCs w:val="20"/>
        </w:rPr>
        <w:t xml:space="preserve"> device boundary criteria defined in Schedule 2 of the Determination </w:t>
      </w:r>
      <w:r>
        <w:rPr>
          <w:rFonts w:ascii="Arial" w:hAnsi="Arial" w:cs="Arial"/>
          <w:sz w:val="20"/>
          <w:szCs w:val="20"/>
        </w:rPr>
        <w:t>is not required within</w:t>
      </w:r>
      <w:r w:rsidRPr="006D2DF4">
        <w:rPr>
          <w:rFonts w:ascii="Arial" w:hAnsi="Arial" w:cs="Arial"/>
          <w:sz w:val="20"/>
          <w:szCs w:val="20"/>
        </w:rPr>
        <w:t xml:space="preserve"> defined earth station protection zones (</w:t>
      </w:r>
      <w:r w:rsidRPr="006D2DF4">
        <w:rPr>
          <w:rFonts w:ascii="Arial" w:hAnsi="Arial" w:cs="Arial"/>
          <w:b/>
          <w:sz w:val="20"/>
          <w:szCs w:val="20"/>
        </w:rPr>
        <w:t>ESPZs</w:t>
      </w:r>
      <w:r w:rsidRPr="006D2DF4">
        <w:rPr>
          <w:rFonts w:ascii="Arial" w:hAnsi="Arial" w:cs="Arial"/>
          <w:sz w:val="20"/>
          <w:szCs w:val="20"/>
        </w:rPr>
        <w:t>) in Schedule 4 of the Determination. Interference management into ESPZs is managed via alternate means</w:t>
      </w:r>
      <w:r>
        <w:rPr>
          <w:rFonts w:ascii="Arial" w:hAnsi="Arial" w:cs="Arial"/>
          <w:sz w:val="20"/>
          <w:szCs w:val="20"/>
        </w:rPr>
        <w:t xml:space="preserve"> as defined in the RAG Tx</w:t>
      </w:r>
      <w:r w:rsidRPr="006D2DF4">
        <w:rPr>
          <w:rFonts w:ascii="Arial" w:hAnsi="Arial" w:cs="Arial"/>
          <w:sz w:val="20"/>
          <w:szCs w:val="20"/>
        </w:rPr>
        <w:t xml:space="preserve">. </w:t>
      </w:r>
    </w:p>
    <w:p w14:paraId="25903A78" w14:textId="7F0E9103" w:rsidR="00CC44C0" w:rsidRDefault="00AE1AAD" w:rsidP="00641710">
      <w:pPr>
        <w:spacing w:after="120"/>
        <w:jc w:val="both"/>
        <w:rPr>
          <w:rFonts w:ascii="Arial" w:hAnsi="Arial" w:cs="Arial"/>
          <w:sz w:val="20"/>
          <w:szCs w:val="20"/>
        </w:rPr>
      </w:pPr>
      <w:r>
        <w:rPr>
          <w:rFonts w:ascii="Arial" w:hAnsi="Arial" w:cs="Arial"/>
          <w:sz w:val="20"/>
          <w:szCs w:val="20"/>
        </w:rPr>
        <w:t>Sub</w:t>
      </w:r>
      <w:r w:rsidR="00C24A38">
        <w:rPr>
          <w:rFonts w:ascii="Arial" w:hAnsi="Arial" w:cs="Arial"/>
          <w:sz w:val="20"/>
          <w:szCs w:val="20"/>
        </w:rPr>
        <w:t>section</w:t>
      </w:r>
      <w:r>
        <w:rPr>
          <w:rFonts w:ascii="Arial" w:hAnsi="Arial" w:cs="Arial"/>
          <w:sz w:val="20"/>
          <w:szCs w:val="20"/>
        </w:rPr>
        <w:t xml:space="preserve"> 9(4) </w:t>
      </w:r>
      <w:r w:rsidRPr="006D2DF4">
        <w:rPr>
          <w:rFonts w:ascii="Arial" w:hAnsi="Arial" w:cs="Arial"/>
          <w:sz w:val="20"/>
          <w:szCs w:val="20"/>
        </w:rPr>
        <w:t>has been included so that</w:t>
      </w:r>
      <w:r>
        <w:rPr>
          <w:rFonts w:ascii="Arial" w:hAnsi="Arial" w:cs="Arial"/>
          <w:sz w:val="20"/>
          <w:szCs w:val="20"/>
        </w:rPr>
        <w:t xml:space="preserve"> any radials </w:t>
      </w:r>
      <w:r w:rsidRPr="00777A82">
        <w:rPr>
          <w:rFonts w:ascii="Arial" w:hAnsi="Arial" w:cs="Arial"/>
          <w:sz w:val="20"/>
          <w:szCs w:val="20"/>
        </w:rPr>
        <w:t xml:space="preserve">that extend beyond the licence area that only pass over </w:t>
      </w:r>
      <w:r w:rsidR="00E74CE6">
        <w:rPr>
          <w:rFonts w:ascii="Arial" w:hAnsi="Arial" w:cs="Arial"/>
          <w:sz w:val="20"/>
          <w:szCs w:val="20"/>
        </w:rPr>
        <w:t>the Australian territorial sea baseline</w:t>
      </w:r>
      <w:r>
        <w:rPr>
          <w:rFonts w:ascii="Arial" w:hAnsi="Arial" w:cs="Arial"/>
          <w:sz w:val="20"/>
          <w:szCs w:val="20"/>
        </w:rPr>
        <w:t xml:space="preserve"> are not considered to fail the device boundary criteria. The exception</w:t>
      </w:r>
      <w:r w:rsidR="00EB6D81">
        <w:rPr>
          <w:rFonts w:ascii="Arial" w:hAnsi="Arial" w:cs="Arial"/>
          <w:sz w:val="20"/>
          <w:szCs w:val="20"/>
        </w:rPr>
        <w:t>s</w:t>
      </w:r>
      <w:r>
        <w:rPr>
          <w:rFonts w:ascii="Arial" w:hAnsi="Arial" w:cs="Arial"/>
          <w:sz w:val="20"/>
          <w:szCs w:val="20"/>
        </w:rPr>
        <w:t xml:space="preserve"> to this are radials that cross defined sections of the Gulf of St Vincent and Bass Strait</w:t>
      </w:r>
      <w:r w:rsidR="00BC1E62">
        <w:rPr>
          <w:rFonts w:ascii="Arial" w:hAnsi="Arial" w:cs="Arial"/>
          <w:sz w:val="20"/>
          <w:szCs w:val="20"/>
        </w:rPr>
        <w:t xml:space="preserve"> (as defined by the HCIS identifiers </w:t>
      </w:r>
      <w:r w:rsidR="00BC1E62" w:rsidRPr="00BC1E62">
        <w:rPr>
          <w:rFonts w:ascii="Arial" w:hAnsi="Arial" w:cs="Arial"/>
          <w:sz w:val="20"/>
          <w:szCs w:val="20"/>
        </w:rPr>
        <w:t xml:space="preserve">IW3E, IW3I, IW3M, IW6A, IW6E, KX9, LX7, LX8, </w:t>
      </w:r>
      <w:r w:rsidR="00BC1E62" w:rsidRPr="00BC1E62">
        <w:rPr>
          <w:rFonts w:ascii="Arial" w:hAnsi="Arial" w:cs="Arial"/>
          <w:sz w:val="20"/>
          <w:szCs w:val="20"/>
        </w:rPr>
        <w:lastRenderedPageBreak/>
        <w:t>LX9</w:t>
      </w:r>
      <w:r w:rsidR="00BC1E62">
        <w:rPr>
          <w:rFonts w:ascii="Arial" w:hAnsi="Arial" w:cs="Arial"/>
          <w:sz w:val="20"/>
          <w:szCs w:val="20"/>
        </w:rPr>
        <w:t>)</w:t>
      </w:r>
      <w:r>
        <w:rPr>
          <w:rFonts w:ascii="Arial" w:hAnsi="Arial" w:cs="Arial"/>
          <w:sz w:val="20"/>
          <w:szCs w:val="20"/>
        </w:rPr>
        <w:t xml:space="preserve">. This is because </w:t>
      </w:r>
      <w:r w:rsidRPr="00777A82">
        <w:rPr>
          <w:rFonts w:ascii="Arial" w:hAnsi="Arial" w:cs="Arial"/>
          <w:sz w:val="20"/>
          <w:szCs w:val="20"/>
        </w:rPr>
        <w:t>there is a strong risk of interference to and from services deployed in Adelaide and Yorke Peninsula, as well as, between Victoria and Tasmania due to frequent and long periods of ducting.</w:t>
      </w:r>
    </w:p>
    <w:p w14:paraId="717A07C7" w14:textId="77777777" w:rsidR="00C24A38" w:rsidRPr="00111891" w:rsidRDefault="00C24A38" w:rsidP="00641710">
      <w:pPr>
        <w:spacing w:after="120"/>
        <w:jc w:val="both"/>
        <w:rPr>
          <w:rFonts w:ascii="Arial" w:hAnsi="Arial" w:cs="Arial"/>
          <w:sz w:val="20"/>
          <w:szCs w:val="20"/>
          <w:highlight w:val="yellow"/>
        </w:rPr>
      </w:pPr>
    </w:p>
    <w:p w14:paraId="0DE18564" w14:textId="44FB59EC" w:rsidR="006D2DF4" w:rsidRPr="00641710" w:rsidRDefault="006D2DF4" w:rsidP="00641710">
      <w:pPr>
        <w:spacing w:after="120"/>
        <w:jc w:val="both"/>
        <w:rPr>
          <w:rFonts w:ascii="Arial" w:hAnsi="Arial" w:cs="Arial"/>
          <w:b/>
          <w:sz w:val="20"/>
          <w:szCs w:val="20"/>
        </w:rPr>
      </w:pPr>
      <w:r w:rsidRPr="006D2DF4">
        <w:rPr>
          <w:rFonts w:ascii="Arial" w:hAnsi="Arial" w:cs="Arial"/>
          <w:b/>
          <w:sz w:val="20"/>
          <w:szCs w:val="20"/>
        </w:rPr>
        <w:t>Item</w:t>
      </w:r>
      <w:r>
        <w:rPr>
          <w:rFonts w:ascii="Arial" w:hAnsi="Arial" w:cs="Arial"/>
          <w:b/>
          <w:sz w:val="20"/>
          <w:szCs w:val="20"/>
        </w:rPr>
        <w:t xml:space="preserve"> </w:t>
      </w:r>
      <w:r w:rsidR="00E74CE6">
        <w:rPr>
          <w:rFonts w:ascii="Arial" w:hAnsi="Arial" w:cs="Arial"/>
          <w:b/>
          <w:sz w:val="20"/>
          <w:szCs w:val="20"/>
        </w:rPr>
        <w:t>6</w:t>
      </w:r>
      <w:r w:rsidRPr="006D2DF4">
        <w:rPr>
          <w:rFonts w:ascii="Arial" w:hAnsi="Arial" w:cs="Arial"/>
          <w:b/>
          <w:sz w:val="20"/>
          <w:szCs w:val="20"/>
        </w:rPr>
        <w:tab/>
        <w:t>Schedule 2 (Part 1, paragraph 1)</w:t>
      </w:r>
    </w:p>
    <w:p w14:paraId="25903A79" w14:textId="4BD70A9E" w:rsidR="00CC44C0" w:rsidRPr="00641710" w:rsidRDefault="006D2DF4" w:rsidP="00641710">
      <w:pPr>
        <w:spacing w:after="120"/>
        <w:jc w:val="both"/>
        <w:rPr>
          <w:rFonts w:ascii="Arial" w:hAnsi="Arial" w:cs="Arial"/>
          <w:sz w:val="20"/>
          <w:szCs w:val="20"/>
        </w:rPr>
      </w:pPr>
      <w:r w:rsidRPr="006D2DF4">
        <w:rPr>
          <w:rFonts w:ascii="Arial" w:hAnsi="Arial" w:cs="Arial"/>
          <w:sz w:val="20"/>
          <w:szCs w:val="20"/>
        </w:rPr>
        <w:t xml:space="preserve">This </w:t>
      </w:r>
      <w:r>
        <w:rPr>
          <w:rFonts w:ascii="Arial" w:hAnsi="Arial" w:cs="Arial"/>
          <w:sz w:val="20"/>
          <w:szCs w:val="20"/>
        </w:rPr>
        <w:t xml:space="preserve">section has been updated to reduce the minimum step size of the device boundary from 500 metres to 250 metres. This change along with the change in the level of protection used for the device boundary also requires an amendment to the maximum number of increments ‘m’ for each radial of the device boundary. The </w:t>
      </w:r>
      <w:r w:rsidR="00AB6E18">
        <w:rPr>
          <w:rFonts w:ascii="Arial" w:hAnsi="Arial" w:cs="Arial"/>
          <w:sz w:val="20"/>
          <w:szCs w:val="20"/>
        </w:rPr>
        <w:t xml:space="preserve">new maximum value of ‘m’ is calculated by determining the distance required for the horizontally radiated power from a transmitter operating at the maximum in-band radiated power permitted by a 3.4 GHz spectrum licence to drop below the level of protection defined in Part 2 of Schedule 2 of the </w:t>
      </w:r>
      <w:r w:rsidR="00EB6D81">
        <w:rPr>
          <w:rFonts w:ascii="Arial" w:hAnsi="Arial" w:cs="Arial"/>
          <w:sz w:val="20"/>
          <w:szCs w:val="20"/>
        </w:rPr>
        <w:t xml:space="preserve">ULI </w:t>
      </w:r>
      <w:r w:rsidR="00AB6E18">
        <w:rPr>
          <w:rFonts w:ascii="Arial" w:hAnsi="Arial" w:cs="Arial"/>
          <w:sz w:val="20"/>
          <w:szCs w:val="20"/>
        </w:rPr>
        <w:t>Determination</w:t>
      </w:r>
      <w:r w:rsidR="00115356">
        <w:rPr>
          <w:rFonts w:ascii="Arial" w:hAnsi="Arial" w:cs="Arial"/>
          <w:sz w:val="20"/>
          <w:szCs w:val="20"/>
        </w:rPr>
        <w:t>. S</w:t>
      </w:r>
      <w:r w:rsidR="00AB6E18">
        <w:rPr>
          <w:rFonts w:ascii="Arial" w:hAnsi="Arial" w:cs="Arial"/>
          <w:sz w:val="20"/>
          <w:szCs w:val="20"/>
        </w:rPr>
        <w:t>mooth earth propagation</w:t>
      </w:r>
      <w:r w:rsidR="00115356">
        <w:rPr>
          <w:rFonts w:ascii="Arial" w:hAnsi="Arial" w:cs="Arial"/>
          <w:sz w:val="20"/>
          <w:szCs w:val="20"/>
        </w:rPr>
        <w:t xml:space="preserve"> is assumed in calculations</w:t>
      </w:r>
      <w:r w:rsidR="00AB6E18">
        <w:rPr>
          <w:rFonts w:ascii="Arial" w:hAnsi="Arial" w:cs="Arial"/>
          <w:sz w:val="20"/>
          <w:szCs w:val="20"/>
        </w:rPr>
        <w:t xml:space="preserve">. For the purpose of the calculation the victim receiver is assumed to have the receiver characteristics defined in Schedule 2 of the </w:t>
      </w:r>
      <w:r w:rsidR="00EB6D81">
        <w:rPr>
          <w:rFonts w:ascii="Arial" w:hAnsi="Arial" w:cs="Arial"/>
          <w:sz w:val="20"/>
          <w:szCs w:val="20"/>
        </w:rPr>
        <w:t xml:space="preserve">ULI </w:t>
      </w:r>
      <w:r w:rsidR="00AB6E18">
        <w:rPr>
          <w:rFonts w:ascii="Arial" w:hAnsi="Arial" w:cs="Arial"/>
          <w:sz w:val="20"/>
          <w:szCs w:val="20"/>
        </w:rPr>
        <w:t xml:space="preserve">Determination. </w:t>
      </w:r>
    </w:p>
    <w:p w14:paraId="47C42E33" w14:textId="6050CB0C" w:rsidR="00AB6E18" w:rsidRPr="00AB6E18" w:rsidRDefault="00AB6E18" w:rsidP="00641710">
      <w:pPr>
        <w:spacing w:after="120"/>
        <w:jc w:val="both"/>
        <w:rPr>
          <w:rFonts w:ascii="Arial" w:hAnsi="Arial" w:cs="Arial"/>
          <w:sz w:val="20"/>
          <w:szCs w:val="20"/>
        </w:rPr>
      </w:pPr>
      <w:r w:rsidRPr="00AB6E18">
        <w:rPr>
          <w:rFonts w:ascii="Arial" w:hAnsi="Arial" w:cs="Arial"/>
          <w:sz w:val="20"/>
          <w:szCs w:val="20"/>
        </w:rPr>
        <w:t xml:space="preserve">For the scenario defined </w:t>
      </w:r>
      <w:r w:rsidR="00115356">
        <w:rPr>
          <w:rFonts w:ascii="Arial" w:hAnsi="Arial" w:cs="Arial"/>
          <w:sz w:val="20"/>
          <w:szCs w:val="20"/>
        </w:rPr>
        <w:t xml:space="preserve">above </w:t>
      </w:r>
      <w:r w:rsidRPr="00AB6E18">
        <w:rPr>
          <w:rFonts w:ascii="Arial" w:hAnsi="Arial" w:cs="Arial"/>
          <w:sz w:val="20"/>
          <w:szCs w:val="20"/>
        </w:rPr>
        <w:t xml:space="preserve">a distance of 108 km was determined. This equates to 432 increments </w:t>
      </w:r>
      <w:r w:rsidR="00E75BD6">
        <w:rPr>
          <w:rFonts w:ascii="Arial" w:hAnsi="Arial" w:cs="Arial"/>
          <w:sz w:val="20"/>
          <w:szCs w:val="20"/>
        </w:rPr>
        <w:t xml:space="preserve">of length </w:t>
      </w:r>
      <w:r w:rsidRPr="00AB6E18">
        <w:rPr>
          <w:rFonts w:ascii="Arial" w:hAnsi="Arial" w:cs="Arial"/>
          <w:sz w:val="20"/>
          <w:szCs w:val="20"/>
        </w:rPr>
        <w:t xml:space="preserve">250 metres. </w:t>
      </w:r>
      <w:r w:rsidR="00E75BD6">
        <w:rPr>
          <w:rFonts w:ascii="Arial" w:hAnsi="Arial" w:cs="Arial"/>
          <w:sz w:val="20"/>
          <w:szCs w:val="20"/>
        </w:rPr>
        <w:t>Therefore the maximum value of ‘m’ is set at 432.</w:t>
      </w:r>
    </w:p>
    <w:p w14:paraId="7B429CA7" w14:textId="71DF6A68" w:rsidR="006D2DF4" w:rsidRDefault="006D2DF4" w:rsidP="00315C2D">
      <w:pPr>
        <w:jc w:val="both"/>
        <w:rPr>
          <w:rFonts w:ascii="Arial" w:hAnsi="Arial" w:cs="Arial"/>
          <w:sz w:val="20"/>
          <w:szCs w:val="20"/>
          <w:highlight w:val="yellow"/>
        </w:rPr>
      </w:pPr>
    </w:p>
    <w:p w14:paraId="3AB50B09" w14:textId="4DF82DA1" w:rsidR="00E75BD6" w:rsidRPr="00641710" w:rsidRDefault="00E75BD6" w:rsidP="00641710">
      <w:pPr>
        <w:spacing w:after="120"/>
        <w:jc w:val="both"/>
        <w:rPr>
          <w:rFonts w:ascii="Arial" w:hAnsi="Arial" w:cs="Arial"/>
          <w:b/>
          <w:sz w:val="20"/>
          <w:szCs w:val="20"/>
        </w:rPr>
      </w:pPr>
      <w:r w:rsidRPr="006D2DF4">
        <w:rPr>
          <w:rFonts w:ascii="Arial" w:hAnsi="Arial" w:cs="Arial"/>
          <w:b/>
          <w:sz w:val="20"/>
          <w:szCs w:val="20"/>
        </w:rPr>
        <w:t>Item</w:t>
      </w:r>
      <w:r>
        <w:rPr>
          <w:rFonts w:ascii="Arial" w:hAnsi="Arial" w:cs="Arial"/>
          <w:b/>
          <w:sz w:val="20"/>
          <w:szCs w:val="20"/>
        </w:rPr>
        <w:t xml:space="preserve"> </w:t>
      </w:r>
      <w:r w:rsidR="00E74CE6">
        <w:rPr>
          <w:rFonts w:ascii="Arial" w:hAnsi="Arial" w:cs="Arial"/>
          <w:b/>
          <w:sz w:val="20"/>
          <w:szCs w:val="20"/>
        </w:rPr>
        <w:t>7</w:t>
      </w:r>
      <w:r w:rsidRPr="006D2DF4">
        <w:rPr>
          <w:rFonts w:ascii="Arial" w:hAnsi="Arial" w:cs="Arial"/>
          <w:b/>
          <w:sz w:val="20"/>
          <w:szCs w:val="20"/>
        </w:rPr>
        <w:tab/>
      </w:r>
      <w:r w:rsidRPr="00E75BD6">
        <w:rPr>
          <w:rFonts w:ascii="Arial" w:hAnsi="Arial" w:cs="Arial"/>
          <w:b/>
          <w:sz w:val="20"/>
          <w:szCs w:val="20"/>
        </w:rPr>
        <w:t>Schedule 2 (Part 2, paragraph 1, after the definition of RP)</w:t>
      </w:r>
    </w:p>
    <w:p w14:paraId="74F2D9FF" w14:textId="742CC4B9" w:rsidR="00E75BD6" w:rsidRDefault="00E75BD6" w:rsidP="00641710">
      <w:pPr>
        <w:spacing w:after="120"/>
        <w:jc w:val="both"/>
        <w:rPr>
          <w:rFonts w:ascii="Arial" w:hAnsi="Arial" w:cs="Arial"/>
          <w:sz w:val="20"/>
          <w:szCs w:val="20"/>
        </w:rPr>
      </w:pPr>
      <w:r>
        <w:rPr>
          <w:rFonts w:ascii="Arial" w:hAnsi="Arial" w:cs="Arial"/>
          <w:sz w:val="20"/>
          <w:szCs w:val="20"/>
        </w:rPr>
        <w:t xml:space="preserve">A new note has been added to provide guidance to licensees on how to determine the device boundary for transmitters with active antenna systems. </w:t>
      </w:r>
    </w:p>
    <w:p w14:paraId="7483DA4D" w14:textId="77777777" w:rsidR="00E75BD6" w:rsidRDefault="00E75BD6" w:rsidP="00641710">
      <w:pPr>
        <w:spacing w:after="120"/>
        <w:jc w:val="both"/>
        <w:rPr>
          <w:rFonts w:ascii="Arial" w:hAnsi="Arial" w:cs="Arial"/>
          <w:sz w:val="20"/>
          <w:szCs w:val="20"/>
        </w:rPr>
      </w:pPr>
    </w:p>
    <w:p w14:paraId="07FAC780" w14:textId="145CFA3A" w:rsidR="00E75BD6" w:rsidRPr="00641710" w:rsidRDefault="00E75BD6" w:rsidP="00641710">
      <w:pPr>
        <w:spacing w:after="120"/>
        <w:jc w:val="both"/>
        <w:rPr>
          <w:rFonts w:ascii="Arial" w:hAnsi="Arial" w:cs="Arial"/>
          <w:b/>
          <w:sz w:val="20"/>
          <w:szCs w:val="20"/>
        </w:rPr>
      </w:pPr>
      <w:r w:rsidRPr="006D2DF4">
        <w:rPr>
          <w:rFonts w:ascii="Arial" w:hAnsi="Arial" w:cs="Arial"/>
          <w:b/>
          <w:sz w:val="20"/>
          <w:szCs w:val="20"/>
        </w:rPr>
        <w:t>Item</w:t>
      </w:r>
      <w:r>
        <w:rPr>
          <w:rFonts w:ascii="Arial" w:hAnsi="Arial" w:cs="Arial"/>
          <w:b/>
          <w:sz w:val="20"/>
          <w:szCs w:val="20"/>
        </w:rPr>
        <w:t xml:space="preserve"> </w:t>
      </w:r>
      <w:r w:rsidR="00E74CE6">
        <w:rPr>
          <w:rFonts w:ascii="Arial" w:hAnsi="Arial" w:cs="Arial"/>
          <w:b/>
          <w:sz w:val="20"/>
          <w:szCs w:val="20"/>
        </w:rPr>
        <w:t>8</w:t>
      </w:r>
      <w:r w:rsidRPr="006D2DF4">
        <w:rPr>
          <w:rFonts w:ascii="Arial" w:hAnsi="Arial" w:cs="Arial"/>
          <w:b/>
          <w:sz w:val="20"/>
          <w:szCs w:val="20"/>
        </w:rPr>
        <w:tab/>
      </w:r>
      <w:r w:rsidRPr="00E75BD6">
        <w:rPr>
          <w:rFonts w:ascii="Arial" w:hAnsi="Arial" w:cs="Arial"/>
          <w:b/>
          <w:sz w:val="20"/>
          <w:szCs w:val="20"/>
        </w:rPr>
        <w:t>Schedule 2 (Part 2, paragraph 1, in the definition of LOP))</w:t>
      </w:r>
    </w:p>
    <w:p w14:paraId="3AC4209D" w14:textId="75D275E8" w:rsidR="00E75BD6" w:rsidRDefault="00E75BD6" w:rsidP="00641710">
      <w:pPr>
        <w:spacing w:after="120"/>
        <w:jc w:val="both"/>
        <w:rPr>
          <w:rFonts w:ascii="Arial" w:hAnsi="Arial" w:cs="Arial"/>
          <w:sz w:val="20"/>
          <w:szCs w:val="20"/>
        </w:rPr>
      </w:pPr>
      <w:r>
        <w:rPr>
          <w:rFonts w:ascii="Arial" w:hAnsi="Arial" w:cs="Arial"/>
          <w:sz w:val="20"/>
          <w:szCs w:val="20"/>
        </w:rPr>
        <w:t xml:space="preserve">The level of protection that the device boundary criteria is assessed against has been increased from </w:t>
      </w:r>
      <w:r w:rsidRPr="00E75BD6">
        <w:rPr>
          <w:rFonts w:ascii="Arial" w:hAnsi="Arial" w:cs="Arial"/>
          <w:sz w:val="20"/>
          <w:szCs w:val="20"/>
        </w:rPr>
        <w:t>–111 dBm per MHz</w:t>
      </w:r>
      <w:r>
        <w:rPr>
          <w:rFonts w:ascii="Arial" w:hAnsi="Arial" w:cs="Arial"/>
          <w:sz w:val="20"/>
          <w:szCs w:val="20"/>
        </w:rPr>
        <w:t xml:space="preserve"> to –98</w:t>
      </w:r>
      <w:r w:rsidRPr="00E75BD6">
        <w:rPr>
          <w:rFonts w:ascii="Arial" w:hAnsi="Arial" w:cs="Arial"/>
          <w:sz w:val="20"/>
          <w:szCs w:val="20"/>
        </w:rPr>
        <w:t xml:space="preserve"> dBm per MHz</w:t>
      </w:r>
      <w:r>
        <w:rPr>
          <w:rFonts w:ascii="Arial" w:hAnsi="Arial" w:cs="Arial"/>
          <w:sz w:val="20"/>
          <w:szCs w:val="20"/>
        </w:rPr>
        <w:t xml:space="preserve">. This is intended to support the deployment of services closer to the geographical boundary of spectrum licences. </w:t>
      </w:r>
    </w:p>
    <w:p w14:paraId="015AA7CC" w14:textId="77777777" w:rsidR="00E75BD6" w:rsidRDefault="00E75BD6" w:rsidP="00641710">
      <w:pPr>
        <w:spacing w:after="120"/>
        <w:jc w:val="both"/>
        <w:rPr>
          <w:rFonts w:ascii="Arial" w:hAnsi="Arial" w:cs="Arial"/>
          <w:sz w:val="20"/>
          <w:szCs w:val="20"/>
          <w:highlight w:val="yellow"/>
        </w:rPr>
      </w:pPr>
    </w:p>
    <w:p w14:paraId="5779EE18" w14:textId="22222E75" w:rsidR="00E75BD6" w:rsidRPr="00641710" w:rsidRDefault="00E75BD6" w:rsidP="00641710">
      <w:pPr>
        <w:spacing w:after="120"/>
        <w:jc w:val="both"/>
        <w:rPr>
          <w:rFonts w:ascii="Arial" w:hAnsi="Arial" w:cs="Arial"/>
          <w:b/>
          <w:sz w:val="20"/>
          <w:szCs w:val="20"/>
        </w:rPr>
      </w:pPr>
      <w:r w:rsidRPr="006D2DF4">
        <w:rPr>
          <w:rFonts w:ascii="Arial" w:hAnsi="Arial" w:cs="Arial"/>
          <w:b/>
          <w:sz w:val="20"/>
          <w:szCs w:val="20"/>
        </w:rPr>
        <w:t>Item</w:t>
      </w:r>
      <w:r>
        <w:rPr>
          <w:rFonts w:ascii="Arial" w:hAnsi="Arial" w:cs="Arial"/>
          <w:b/>
          <w:sz w:val="20"/>
          <w:szCs w:val="20"/>
        </w:rPr>
        <w:t xml:space="preserve"> </w:t>
      </w:r>
      <w:r w:rsidR="00E74CE6">
        <w:rPr>
          <w:rFonts w:ascii="Arial" w:hAnsi="Arial" w:cs="Arial"/>
          <w:b/>
          <w:sz w:val="20"/>
          <w:szCs w:val="20"/>
        </w:rPr>
        <w:t>9</w:t>
      </w:r>
      <w:r w:rsidRPr="006D2DF4">
        <w:rPr>
          <w:rFonts w:ascii="Arial" w:hAnsi="Arial" w:cs="Arial"/>
          <w:b/>
          <w:sz w:val="20"/>
          <w:szCs w:val="20"/>
        </w:rPr>
        <w:tab/>
      </w:r>
      <w:r w:rsidRPr="00E75BD6">
        <w:rPr>
          <w:rFonts w:ascii="Arial" w:hAnsi="Arial" w:cs="Arial"/>
          <w:b/>
          <w:sz w:val="20"/>
          <w:szCs w:val="20"/>
        </w:rPr>
        <w:t>Schedule 2 (Part 3, paragraph 3)</w:t>
      </w:r>
    </w:p>
    <w:p w14:paraId="36BEB6BB" w14:textId="1331572F" w:rsidR="00115356" w:rsidRDefault="00115356" w:rsidP="00641710">
      <w:pPr>
        <w:spacing w:after="120"/>
        <w:jc w:val="both"/>
        <w:rPr>
          <w:rFonts w:ascii="Arial" w:hAnsi="Arial" w:cs="Arial"/>
          <w:sz w:val="20"/>
          <w:szCs w:val="20"/>
        </w:rPr>
      </w:pPr>
      <w:r>
        <w:rPr>
          <w:rFonts w:ascii="Arial" w:hAnsi="Arial" w:cs="Arial"/>
          <w:sz w:val="20"/>
          <w:szCs w:val="20"/>
        </w:rPr>
        <w:t>The changes to this section are to mirror the reduction in the step size of the device boundary made in other sections from 500 metres to 250 metres.</w:t>
      </w:r>
    </w:p>
    <w:p w14:paraId="377A4F09" w14:textId="77777777" w:rsidR="00E75BD6" w:rsidRDefault="00E75BD6" w:rsidP="00641710">
      <w:pPr>
        <w:spacing w:after="120"/>
        <w:jc w:val="both"/>
        <w:rPr>
          <w:rFonts w:ascii="Arial" w:hAnsi="Arial" w:cs="Arial"/>
          <w:sz w:val="20"/>
          <w:szCs w:val="20"/>
          <w:highlight w:val="yellow"/>
        </w:rPr>
      </w:pPr>
    </w:p>
    <w:p w14:paraId="70C0C394" w14:textId="0B539FB2" w:rsidR="00212A15" w:rsidRPr="00641710" w:rsidRDefault="00212A15" w:rsidP="00641710">
      <w:pPr>
        <w:spacing w:after="120"/>
        <w:jc w:val="both"/>
        <w:rPr>
          <w:rFonts w:ascii="Arial" w:hAnsi="Arial" w:cs="Arial"/>
          <w:b/>
          <w:sz w:val="20"/>
          <w:szCs w:val="20"/>
        </w:rPr>
      </w:pPr>
      <w:r w:rsidRPr="006D2DF4">
        <w:rPr>
          <w:rFonts w:ascii="Arial" w:hAnsi="Arial" w:cs="Arial"/>
          <w:b/>
          <w:sz w:val="20"/>
          <w:szCs w:val="20"/>
        </w:rPr>
        <w:t>Item</w:t>
      </w:r>
      <w:r>
        <w:rPr>
          <w:rFonts w:ascii="Arial" w:hAnsi="Arial" w:cs="Arial"/>
          <w:b/>
          <w:sz w:val="20"/>
          <w:szCs w:val="20"/>
        </w:rPr>
        <w:t xml:space="preserve"> </w:t>
      </w:r>
      <w:r w:rsidR="00E74CE6">
        <w:rPr>
          <w:rFonts w:ascii="Arial" w:hAnsi="Arial" w:cs="Arial"/>
          <w:b/>
          <w:sz w:val="20"/>
          <w:szCs w:val="20"/>
        </w:rPr>
        <w:t>10</w:t>
      </w:r>
      <w:r w:rsidRPr="006D2DF4">
        <w:rPr>
          <w:rFonts w:ascii="Arial" w:hAnsi="Arial" w:cs="Arial"/>
          <w:b/>
          <w:sz w:val="20"/>
          <w:szCs w:val="20"/>
        </w:rPr>
        <w:tab/>
      </w:r>
      <w:r w:rsidRPr="00212A15">
        <w:rPr>
          <w:rFonts w:ascii="Arial" w:hAnsi="Arial" w:cs="Arial"/>
          <w:b/>
          <w:sz w:val="20"/>
          <w:szCs w:val="20"/>
        </w:rPr>
        <w:t>Schedule 3 (Part 3, paragraph 1)</w:t>
      </w:r>
    </w:p>
    <w:p w14:paraId="2E1BF9CE" w14:textId="7C9EB470" w:rsidR="00212A15" w:rsidRDefault="00212A15" w:rsidP="00641710">
      <w:pPr>
        <w:spacing w:after="120"/>
        <w:jc w:val="both"/>
        <w:rPr>
          <w:rFonts w:ascii="Arial" w:hAnsi="Arial" w:cs="Arial"/>
          <w:sz w:val="20"/>
          <w:szCs w:val="20"/>
        </w:rPr>
      </w:pPr>
      <w:r>
        <w:rPr>
          <w:rFonts w:ascii="Arial" w:hAnsi="Arial" w:cs="Arial"/>
          <w:sz w:val="20"/>
          <w:szCs w:val="20"/>
        </w:rPr>
        <w:t>The changes to this section mirror the reduction in the step size of the device boundary from 500 metres to 250 metres.</w:t>
      </w:r>
    </w:p>
    <w:p w14:paraId="4FCC0852" w14:textId="77777777" w:rsidR="00212A15" w:rsidRDefault="00212A15" w:rsidP="00641710">
      <w:pPr>
        <w:spacing w:after="120"/>
        <w:jc w:val="both"/>
        <w:rPr>
          <w:rFonts w:ascii="Arial" w:hAnsi="Arial" w:cs="Arial"/>
          <w:sz w:val="20"/>
          <w:szCs w:val="20"/>
          <w:highlight w:val="yellow"/>
        </w:rPr>
      </w:pPr>
    </w:p>
    <w:p w14:paraId="6289A559" w14:textId="55BB3E58" w:rsidR="00212A15" w:rsidRPr="00641710" w:rsidRDefault="00212A15" w:rsidP="00641710">
      <w:pPr>
        <w:spacing w:after="120"/>
        <w:jc w:val="both"/>
        <w:rPr>
          <w:rFonts w:ascii="Arial" w:hAnsi="Arial" w:cs="Arial"/>
          <w:b/>
          <w:sz w:val="20"/>
          <w:szCs w:val="20"/>
        </w:rPr>
      </w:pPr>
      <w:r w:rsidRPr="006D2DF4">
        <w:rPr>
          <w:rFonts w:ascii="Arial" w:hAnsi="Arial" w:cs="Arial"/>
          <w:b/>
          <w:sz w:val="20"/>
          <w:szCs w:val="20"/>
        </w:rPr>
        <w:t>Item</w:t>
      </w:r>
      <w:r>
        <w:rPr>
          <w:rFonts w:ascii="Arial" w:hAnsi="Arial" w:cs="Arial"/>
          <w:b/>
          <w:sz w:val="20"/>
          <w:szCs w:val="20"/>
        </w:rPr>
        <w:t xml:space="preserve"> 1</w:t>
      </w:r>
      <w:r w:rsidR="00E74CE6">
        <w:rPr>
          <w:rFonts w:ascii="Arial" w:hAnsi="Arial" w:cs="Arial"/>
          <w:b/>
          <w:sz w:val="20"/>
          <w:szCs w:val="20"/>
        </w:rPr>
        <w:t>1</w:t>
      </w:r>
      <w:r w:rsidRPr="006D2DF4">
        <w:rPr>
          <w:rFonts w:ascii="Arial" w:hAnsi="Arial" w:cs="Arial"/>
          <w:b/>
          <w:sz w:val="20"/>
          <w:szCs w:val="20"/>
        </w:rPr>
        <w:tab/>
      </w:r>
      <w:r w:rsidRPr="00212A15">
        <w:rPr>
          <w:rFonts w:ascii="Arial" w:hAnsi="Arial" w:cs="Arial"/>
          <w:b/>
          <w:sz w:val="20"/>
          <w:szCs w:val="20"/>
        </w:rPr>
        <w:t>After Schedule 3</w:t>
      </w:r>
    </w:p>
    <w:p w14:paraId="5599261E" w14:textId="190EA856" w:rsidR="00212A15" w:rsidRDefault="00115356" w:rsidP="00641710">
      <w:pPr>
        <w:spacing w:after="120"/>
        <w:jc w:val="both"/>
        <w:rPr>
          <w:rFonts w:ascii="Arial" w:hAnsi="Arial" w:cs="Arial"/>
          <w:sz w:val="20"/>
          <w:szCs w:val="20"/>
        </w:rPr>
      </w:pPr>
      <w:r>
        <w:rPr>
          <w:rFonts w:ascii="Arial" w:hAnsi="Arial" w:cs="Arial"/>
          <w:sz w:val="20"/>
          <w:szCs w:val="20"/>
        </w:rPr>
        <w:t>A n</w:t>
      </w:r>
      <w:r w:rsidR="00212A15">
        <w:rPr>
          <w:rFonts w:ascii="Arial" w:hAnsi="Arial" w:cs="Arial"/>
          <w:sz w:val="20"/>
          <w:szCs w:val="20"/>
        </w:rPr>
        <w:t>ew Schedule 4 has been inserted into the Determination</w:t>
      </w:r>
      <w:r>
        <w:rPr>
          <w:rFonts w:ascii="Arial" w:hAnsi="Arial" w:cs="Arial"/>
          <w:sz w:val="20"/>
          <w:szCs w:val="20"/>
        </w:rPr>
        <w:t xml:space="preserve">. It </w:t>
      </w:r>
      <w:r w:rsidR="00212A15">
        <w:rPr>
          <w:rFonts w:ascii="Arial" w:hAnsi="Arial" w:cs="Arial"/>
          <w:sz w:val="20"/>
          <w:szCs w:val="20"/>
        </w:rPr>
        <w:t>define</w:t>
      </w:r>
      <w:r w:rsidR="003C105B">
        <w:rPr>
          <w:rFonts w:ascii="Arial" w:hAnsi="Arial" w:cs="Arial"/>
          <w:sz w:val="20"/>
          <w:szCs w:val="20"/>
        </w:rPr>
        <w:t>s</w:t>
      </w:r>
      <w:r w:rsidR="00212A15">
        <w:rPr>
          <w:rFonts w:ascii="Arial" w:hAnsi="Arial" w:cs="Arial"/>
          <w:sz w:val="20"/>
          <w:szCs w:val="20"/>
        </w:rPr>
        <w:t xml:space="preserve"> </w:t>
      </w:r>
      <w:r>
        <w:rPr>
          <w:rFonts w:ascii="Arial" w:hAnsi="Arial" w:cs="Arial"/>
          <w:sz w:val="20"/>
          <w:szCs w:val="20"/>
        </w:rPr>
        <w:t xml:space="preserve">the geographical area of </w:t>
      </w:r>
      <w:r w:rsidR="00E74CE6">
        <w:rPr>
          <w:rFonts w:ascii="Arial" w:hAnsi="Arial" w:cs="Arial"/>
          <w:sz w:val="20"/>
          <w:szCs w:val="20"/>
        </w:rPr>
        <w:t>earth station protection zones (</w:t>
      </w:r>
      <w:r w:rsidR="00212A15">
        <w:rPr>
          <w:rFonts w:ascii="Arial" w:hAnsi="Arial" w:cs="Arial"/>
          <w:sz w:val="20"/>
          <w:szCs w:val="20"/>
        </w:rPr>
        <w:t>ESPZ</w:t>
      </w:r>
      <w:r w:rsidR="00E74CE6">
        <w:rPr>
          <w:rFonts w:ascii="Arial" w:hAnsi="Arial" w:cs="Arial"/>
          <w:sz w:val="20"/>
          <w:szCs w:val="20"/>
        </w:rPr>
        <w:t>s)</w:t>
      </w:r>
      <w:r w:rsidR="00212A15">
        <w:rPr>
          <w:rFonts w:ascii="Arial" w:hAnsi="Arial" w:cs="Arial"/>
          <w:sz w:val="20"/>
          <w:szCs w:val="20"/>
        </w:rPr>
        <w:t>. It is intended that the device boundary criteria</w:t>
      </w:r>
      <w:r>
        <w:rPr>
          <w:rFonts w:ascii="Arial" w:hAnsi="Arial" w:cs="Arial"/>
          <w:sz w:val="20"/>
          <w:szCs w:val="20"/>
        </w:rPr>
        <w:t xml:space="preserve"> </w:t>
      </w:r>
      <w:r w:rsidR="00EB6D81">
        <w:rPr>
          <w:rFonts w:ascii="Arial" w:hAnsi="Arial" w:cs="Arial"/>
          <w:sz w:val="20"/>
          <w:szCs w:val="20"/>
        </w:rPr>
        <w:t>are</w:t>
      </w:r>
      <w:r>
        <w:rPr>
          <w:rFonts w:ascii="Arial" w:hAnsi="Arial" w:cs="Arial"/>
          <w:sz w:val="20"/>
          <w:szCs w:val="20"/>
        </w:rPr>
        <w:t xml:space="preserve"> not deemed to fail within these areas provided the offending radial does not also cross the geographical boundary of another spectrum licence. </w:t>
      </w:r>
    </w:p>
    <w:p w14:paraId="3E97C8AB" w14:textId="77777777" w:rsidR="00212A15" w:rsidRPr="00111891" w:rsidRDefault="00212A15" w:rsidP="00641710">
      <w:pPr>
        <w:spacing w:after="120"/>
        <w:jc w:val="both"/>
        <w:rPr>
          <w:rFonts w:ascii="Arial" w:hAnsi="Arial" w:cs="Arial"/>
          <w:sz w:val="20"/>
          <w:szCs w:val="20"/>
          <w:highlight w:val="yellow"/>
        </w:rPr>
      </w:pPr>
    </w:p>
    <w:p w14:paraId="25903A7B" w14:textId="75A1A81C" w:rsidR="00CC44C0" w:rsidRPr="00641710" w:rsidRDefault="00CC44C0" w:rsidP="00641710">
      <w:pPr>
        <w:tabs>
          <w:tab w:val="left" w:pos="6345"/>
        </w:tabs>
        <w:spacing w:after="120"/>
        <w:jc w:val="both"/>
        <w:rPr>
          <w:rFonts w:ascii="Arial" w:hAnsi="Arial" w:cs="Arial"/>
          <w:b/>
          <w:color w:val="000000"/>
          <w:sz w:val="20"/>
          <w:szCs w:val="20"/>
        </w:rPr>
      </w:pPr>
      <w:r w:rsidRPr="00212A15">
        <w:rPr>
          <w:rFonts w:ascii="Arial" w:hAnsi="Arial" w:cs="Arial"/>
          <w:b/>
          <w:color w:val="000000"/>
          <w:sz w:val="20"/>
          <w:szCs w:val="20"/>
        </w:rPr>
        <w:t xml:space="preserve">Schedule 3 – </w:t>
      </w:r>
      <w:r w:rsidR="00212A15" w:rsidRPr="00212A15">
        <w:rPr>
          <w:rFonts w:ascii="Arial" w:hAnsi="Arial" w:cs="Arial"/>
          <w:b/>
          <w:color w:val="000000"/>
          <w:sz w:val="20"/>
          <w:szCs w:val="20"/>
        </w:rPr>
        <w:t xml:space="preserve">Amendments </w:t>
      </w:r>
    </w:p>
    <w:p w14:paraId="25903A7D" w14:textId="648C4E38" w:rsidR="00CC44C0" w:rsidRPr="00641710" w:rsidRDefault="00FE745F" w:rsidP="00641710">
      <w:pPr>
        <w:spacing w:after="120"/>
        <w:jc w:val="both"/>
        <w:rPr>
          <w:rFonts w:ascii="Arial" w:hAnsi="Arial" w:cs="Arial"/>
          <w:b/>
          <w:sz w:val="20"/>
          <w:szCs w:val="20"/>
        </w:rPr>
      </w:pPr>
      <w:r w:rsidRPr="00212A15">
        <w:rPr>
          <w:rFonts w:ascii="Arial" w:hAnsi="Arial" w:cs="Arial"/>
          <w:b/>
          <w:sz w:val="20"/>
          <w:szCs w:val="20"/>
        </w:rPr>
        <w:t>Item</w:t>
      </w:r>
      <w:r w:rsidR="00CC44C0" w:rsidRPr="00212A15">
        <w:rPr>
          <w:rFonts w:ascii="Arial" w:hAnsi="Arial" w:cs="Arial"/>
          <w:b/>
          <w:sz w:val="20"/>
          <w:szCs w:val="20"/>
        </w:rPr>
        <w:t xml:space="preserve"> 1</w:t>
      </w:r>
      <w:r w:rsidR="00CC44C0" w:rsidRPr="00212A15">
        <w:rPr>
          <w:rFonts w:ascii="Arial" w:hAnsi="Arial" w:cs="Arial"/>
          <w:b/>
          <w:sz w:val="20"/>
          <w:szCs w:val="20"/>
        </w:rPr>
        <w:tab/>
      </w:r>
      <w:r w:rsidR="00212A15" w:rsidRPr="00212A15">
        <w:rPr>
          <w:rFonts w:ascii="Arial" w:hAnsi="Arial" w:cs="Arial"/>
          <w:b/>
          <w:sz w:val="20"/>
          <w:szCs w:val="20"/>
        </w:rPr>
        <w:t xml:space="preserve">Subsection 1.4(1) (definition of </w:t>
      </w:r>
      <w:r w:rsidR="00212A15" w:rsidRPr="00CB44BA">
        <w:rPr>
          <w:rFonts w:ascii="Arial" w:hAnsi="Arial" w:cs="Arial"/>
          <w:b/>
          <w:i/>
          <w:sz w:val="20"/>
          <w:szCs w:val="20"/>
        </w:rPr>
        <w:t>3.4 GHz band</w:t>
      </w:r>
      <w:r w:rsidR="00212A15" w:rsidRPr="00212A15">
        <w:rPr>
          <w:rFonts w:ascii="Arial" w:hAnsi="Arial" w:cs="Arial"/>
          <w:b/>
          <w:sz w:val="20"/>
          <w:szCs w:val="20"/>
        </w:rPr>
        <w:t>)</w:t>
      </w:r>
    </w:p>
    <w:p w14:paraId="3259CA6C" w14:textId="171E5CFB" w:rsidR="00212A15" w:rsidRPr="002F347C" w:rsidRDefault="00212A15" w:rsidP="00641710">
      <w:pPr>
        <w:spacing w:after="120"/>
        <w:jc w:val="both"/>
        <w:rPr>
          <w:rFonts w:ascii="Arial" w:hAnsi="Arial" w:cs="Arial"/>
          <w:sz w:val="20"/>
          <w:szCs w:val="20"/>
        </w:rPr>
      </w:pPr>
      <w:r w:rsidRPr="002F347C">
        <w:rPr>
          <w:rFonts w:ascii="Arial" w:hAnsi="Arial" w:cs="Arial"/>
          <w:sz w:val="20"/>
          <w:szCs w:val="20"/>
        </w:rPr>
        <w:lastRenderedPageBreak/>
        <w:t xml:space="preserve">The definition of the </w:t>
      </w:r>
      <w:r w:rsidRPr="003436F1">
        <w:rPr>
          <w:rFonts w:ascii="Arial" w:hAnsi="Arial" w:cs="Arial"/>
          <w:b/>
          <w:i/>
          <w:sz w:val="20"/>
          <w:szCs w:val="20"/>
        </w:rPr>
        <w:t>3.4 GHz band</w:t>
      </w:r>
      <w:r w:rsidRPr="002F347C">
        <w:rPr>
          <w:rFonts w:ascii="Arial" w:hAnsi="Arial" w:cs="Arial"/>
          <w:sz w:val="20"/>
          <w:szCs w:val="20"/>
        </w:rPr>
        <w:t xml:space="preserve"> </w:t>
      </w:r>
      <w:r>
        <w:rPr>
          <w:rFonts w:ascii="Arial" w:hAnsi="Arial" w:cs="Arial"/>
          <w:sz w:val="20"/>
          <w:szCs w:val="20"/>
        </w:rPr>
        <w:t xml:space="preserve">in the RAG Rx </w:t>
      </w:r>
      <w:r w:rsidRPr="002F347C">
        <w:rPr>
          <w:rFonts w:ascii="Arial" w:hAnsi="Arial" w:cs="Arial"/>
          <w:sz w:val="20"/>
          <w:szCs w:val="20"/>
        </w:rPr>
        <w:t xml:space="preserve">has been extended to include the 3.6 GHz band. </w:t>
      </w:r>
    </w:p>
    <w:p w14:paraId="25903A81" w14:textId="77777777" w:rsidR="00481D32" w:rsidRPr="00111891" w:rsidRDefault="00481D32" w:rsidP="00641710">
      <w:pPr>
        <w:spacing w:after="120"/>
        <w:jc w:val="both"/>
        <w:rPr>
          <w:rFonts w:ascii="Arial" w:hAnsi="Arial" w:cs="Arial"/>
          <w:sz w:val="20"/>
          <w:szCs w:val="20"/>
          <w:highlight w:val="yellow"/>
        </w:rPr>
      </w:pPr>
    </w:p>
    <w:p w14:paraId="4549BCAE" w14:textId="79F91AF6" w:rsidR="00212A15" w:rsidRPr="00641710" w:rsidRDefault="00212A15"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2</w:t>
      </w:r>
      <w:r w:rsidRPr="00212A15">
        <w:rPr>
          <w:rFonts w:ascii="Arial" w:hAnsi="Arial" w:cs="Arial"/>
          <w:b/>
          <w:sz w:val="20"/>
          <w:szCs w:val="20"/>
        </w:rPr>
        <w:tab/>
      </w:r>
      <w:r w:rsidRPr="00273A8E">
        <w:rPr>
          <w:rFonts w:ascii="Arial" w:hAnsi="Arial" w:cs="Arial"/>
          <w:b/>
          <w:sz w:val="20"/>
          <w:szCs w:val="20"/>
        </w:rPr>
        <w:t xml:space="preserve">Subsection 1.4(1) (after the definition of </w:t>
      </w:r>
      <w:r w:rsidRPr="00CB44BA">
        <w:rPr>
          <w:rFonts w:ascii="Arial" w:hAnsi="Arial" w:cs="Arial"/>
          <w:b/>
          <w:i/>
          <w:sz w:val="20"/>
          <w:szCs w:val="20"/>
        </w:rPr>
        <w:t>Act</w:t>
      </w:r>
      <w:r w:rsidRPr="00273A8E">
        <w:rPr>
          <w:rFonts w:ascii="Arial" w:hAnsi="Arial" w:cs="Arial"/>
          <w:b/>
          <w:sz w:val="20"/>
          <w:szCs w:val="20"/>
        </w:rPr>
        <w:t>)</w:t>
      </w:r>
    </w:p>
    <w:p w14:paraId="1A59AB2A" w14:textId="6DF95211" w:rsidR="00212A15" w:rsidRPr="006D2DF4" w:rsidRDefault="000555B7" w:rsidP="00641710">
      <w:pPr>
        <w:spacing w:after="120"/>
        <w:jc w:val="both"/>
        <w:rPr>
          <w:rFonts w:ascii="Arial" w:hAnsi="Arial" w:cs="Arial"/>
          <w:sz w:val="20"/>
          <w:szCs w:val="20"/>
        </w:rPr>
      </w:pPr>
      <w:r>
        <w:rPr>
          <w:rFonts w:ascii="Arial" w:hAnsi="Arial" w:cs="Arial"/>
          <w:sz w:val="20"/>
          <w:szCs w:val="20"/>
        </w:rPr>
        <w:t>A</w:t>
      </w:r>
      <w:r w:rsidR="00212A15" w:rsidRPr="006D2DF4">
        <w:rPr>
          <w:rFonts w:ascii="Arial" w:hAnsi="Arial" w:cs="Arial"/>
          <w:sz w:val="20"/>
          <w:szCs w:val="20"/>
        </w:rPr>
        <w:t xml:space="preserve"> definition of </w:t>
      </w:r>
      <w:r w:rsidR="00212A15">
        <w:rPr>
          <w:rFonts w:ascii="Arial" w:hAnsi="Arial" w:cs="Arial"/>
          <w:sz w:val="20"/>
          <w:szCs w:val="20"/>
        </w:rPr>
        <w:t xml:space="preserve">an </w:t>
      </w:r>
      <w:r w:rsidR="00212A15" w:rsidRPr="003436F1">
        <w:rPr>
          <w:rFonts w:ascii="Arial" w:hAnsi="Arial" w:cs="Arial"/>
          <w:b/>
          <w:i/>
          <w:sz w:val="20"/>
          <w:szCs w:val="20"/>
        </w:rPr>
        <w:t>active antenna system</w:t>
      </w:r>
      <w:r w:rsidR="00212A15">
        <w:rPr>
          <w:rFonts w:ascii="Arial" w:hAnsi="Arial" w:cs="Arial"/>
          <w:sz w:val="20"/>
          <w:szCs w:val="20"/>
        </w:rPr>
        <w:t xml:space="preserve"> </w:t>
      </w:r>
      <w:r w:rsidR="00212A15" w:rsidRPr="006D2DF4">
        <w:rPr>
          <w:rFonts w:ascii="Arial" w:hAnsi="Arial" w:cs="Arial"/>
          <w:sz w:val="20"/>
          <w:szCs w:val="20"/>
        </w:rPr>
        <w:t xml:space="preserve">has been included. This is due to the </w:t>
      </w:r>
      <w:r w:rsidR="00273A8E">
        <w:rPr>
          <w:rFonts w:ascii="Arial" w:hAnsi="Arial" w:cs="Arial"/>
          <w:sz w:val="20"/>
          <w:szCs w:val="20"/>
        </w:rPr>
        <w:t xml:space="preserve">use of the term in an </w:t>
      </w:r>
      <w:r w:rsidR="00E74CE6">
        <w:rPr>
          <w:rFonts w:ascii="Arial" w:hAnsi="Arial" w:cs="Arial"/>
          <w:sz w:val="20"/>
          <w:szCs w:val="20"/>
        </w:rPr>
        <w:t xml:space="preserve">amendment </w:t>
      </w:r>
      <w:r w:rsidR="00273A8E">
        <w:rPr>
          <w:rFonts w:ascii="Arial" w:hAnsi="Arial" w:cs="Arial"/>
          <w:sz w:val="20"/>
          <w:szCs w:val="20"/>
        </w:rPr>
        <w:t>to Schedule 3 of the RAG Rx</w:t>
      </w:r>
      <w:r w:rsidR="00E74CE6">
        <w:rPr>
          <w:rFonts w:ascii="Arial" w:hAnsi="Arial" w:cs="Arial"/>
          <w:sz w:val="20"/>
          <w:szCs w:val="20"/>
        </w:rPr>
        <w:t xml:space="preserve"> made by the instrument</w:t>
      </w:r>
      <w:r w:rsidR="00273A8E">
        <w:rPr>
          <w:rFonts w:ascii="Arial" w:hAnsi="Arial" w:cs="Arial"/>
          <w:sz w:val="20"/>
          <w:szCs w:val="20"/>
        </w:rPr>
        <w:t>.</w:t>
      </w:r>
      <w:r w:rsidR="00212A15" w:rsidRPr="006D2DF4">
        <w:rPr>
          <w:rFonts w:ascii="Arial" w:hAnsi="Arial" w:cs="Arial"/>
          <w:sz w:val="20"/>
          <w:szCs w:val="20"/>
        </w:rPr>
        <w:t xml:space="preserve"> </w:t>
      </w:r>
    </w:p>
    <w:p w14:paraId="4AABA351" w14:textId="77777777" w:rsidR="00212A15" w:rsidRDefault="00212A15" w:rsidP="00641710">
      <w:pPr>
        <w:spacing w:after="120"/>
        <w:jc w:val="both"/>
        <w:rPr>
          <w:rFonts w:ascii="Arial" w:hAnsi="Arial" w:cs="Arial"/>
          <w:b/>
          <w:sz w:val="20"/>
          <w:szCs w:val="20"/>
          <w:highlight w:val="yellow"/>
        </w:rPr>
      </w:pPr>
    </w:p>
    <w:p w14:paraId="11A8274F" w14:textId="695B9892" w:rsidR="00273A8E" w:rsidRPr="00641710" w:rsidRDefault="00273A8E"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w:t>
      </w:r>
      <w:r w:rsidR="003C105B">
        <w:rPr>
          <w:rFonts w:ascii="Arial" w:hAnsi="Arial" w:cs="Arial"/>
          <w:b/>
          <w:sz w:val="20"/>
          <w:szCs w:val="20"/>
        </w:rPr>
        <w:t>3</w:t>
      </w:r>
      <w:r w:rsidRPr="00212A15">
        <w:rPr>
          <w:rFonts w:ascii="Arial" w:hAnsi="Arial" w:cs="Arial"/>
          <w:b/>
          <w:sz w:val="20"/>
          <w:szCs w:val="20"/>
        </w:rPr>
        <w:tab/>
      </w:r>
      <w:r w:rsidRPr="00273A8E">
        <w:rPr>
          <w:rFonts w:ascii="Arial" w:hAnsi="Arial" w:cs="Arial"/>
          <w:b/>
          <w:sz w:val="20"/>
          <w:szCs w:val="20"/>
        </w:rPr>
        <w:t xml:space="preserve">Subsection 1.4(1) (after the definition of </w:t>
      </w:r>
      <w:r w:rsidRPr="00273A8E">
        <w:rPr>
          <w:rFonts w:ascii="Arial" w:hAnsi="Arial" w:cs="Arial"/>
          <w:b/>
          <w:i/>
          <w:sz w:val="20"/>
          <w:szCs w:val="20"/>
        </w:rPr>
        <w:t>subsection 145(4) determination</w:t>
      </w:r>
      <w:r w:rsidRPr="00273A8E">
        <w:rPr>
          <w:rFonts w:ascii="Arial" w:hAnsi="Arial" w:cs="Arial"/>
          <w:b/>
          <w:sz w:val="20"/>
          <w:szCs w:val="20"/>
        </w:rPr>
        <w:t>)</w:t>
      </w:r>
    </w:p>
    <w:p w14:paraId="7AF8BACB" w14:textId="72957B46" w:rsidR="00273A8E" w:rsidRPr="006D2DF4" w:rsidRDefault="00D036B4" w:rsidP="00641710">
      <w:pPr>
        <w:spacing w:after="120"/>
        <w:jc w:val="both"/>
        <w:rPr>
          <w:rFonts w:ascii="Arial" w:hAnsi="Arial" w:cs="Arial"/>
          <w:sz w:val="20"/>
          <w:szCs w:val="20"/>
        </w:rPr>
      </w:pPr>
      <w:r>
        <w:rPr>
          <w:rFonts w:ascii="Arial" w:hAnsi="Arial" w:cs="Arial"/>
          <w:sz w:val="20"/>
          <w:szCs w:val="20"/>
        </w:rPr>
        <w:t>A</w:t>
      </w:r>
      <w:r w:rsidRPr="006D2DF4">
        <w:rPr>
          <w:rFonts w:ascii="Arial" w:hAnsi="Arial" w:cs="Arial"/>
          <w:sz w:val="20"/>
          <w:szCs w:val="20"/>
        </w:rPr>
        <w:t xml:space="preserve"> </w:t>
      </w:r>
      <w:r w:rsidR="00273A8E">
        <w:rPr>
          <w:rFonts w:ascii="Arial" w:hAnsi="Arial" w:cs="Arial"/>
          <w:sz w:val="20"/>
          <w:szCs w:val="20"/>
        </w:rPr>
        <w:t xml:space="preserve">definition of </w:t>
      </w:r>
      <w:r w:rsidR="00273A8E" w:rsidRPr="003436F1">
        <w:rPr>
          <w:rFonts w:ascii="Arial" w:hAnsi="Arial" w:cs="Arial"/>
          <w:b/>
          <w:i/>
          <w:sz w:val="20"/>
          <w:szCs w:val="20"/>
        </w:rPr>
        <w:t>unwanted emission</w:t>
      </w:r>
      <w:r w:rsidR="00EB6D81">
        <w:rPr>
          <w:rFonts w:ascii="Arial" w:hAnsi="Arial" w:cs="Arial"/>
          <w:b/>
          <w:i/>
          <w:sz w:val="20"/>
          <w:szCs w:val="20"/>
        </w:rPr>
        <w:t>s</w:t>
      </w:r>
      <w:r w:rsidR="00273A8E">
        <w:rPr>
          <w:rFonts w:ascii="Arial" w:hAnsi="Arial" w:cs="Arial"/>
          <w:sz w:val="20"/>
          <w:szCs w:val="20"/>
        </w:rPr>
        <w:t xml:space="preserve"> </w:t>
      </w:r>
      <w:r w:rsidR="00273A8E" w:rsidRPr="006D2DF4">
        <w:rPr>
          <w:rFonts w:ascii="Arial" w:hAnsi="Arial" w:cs="Arial"/>
          <w:sz w:val="20"/>
          <w:szCs w:val="20"/>
        </w:rPr>
        <w:t>has been included. This</w:t>
      </w:r>
      <w:r w:rsidR="00115356">
        <w:rPr>
          <w:rFonts w:ascii="Arial" w:hAnsi="Arial" w:cs="Arial"/>
          <w:sz w:val="20"/>
          <w:szCs w:val="20"/>
        </w:rPr>
        <w:t xml:space="preserve"> term is intended to replace</w:t>
      </w:r>
      <w:r w:rsidR="00273A8E">
        <w:rPr>
          <w:rFonts w:ascii="Arial" w:hAnsi="Arial" w:cs="Arial"/>
          <w:sz w:val="20"/>
          <w:szCs w:val="20"/>
        </w:rPr>
        <w:t xml:space="preserve"> the terms spurious</w:t>
      </w:r>
      <w:r w:rsidR="00115356">
        <w:rPr>
          <w:rFonts w:ascii="Arial" w:hAnsi="Arial" w:cs="Arial"/>
          <w:sz w:val="20"/>
          <w:szCs w:val="20"/>
        </w:rPr>
        <w:t xml:space="preserve"> and out-of-band</w:t>
      </w:r>
      <w:r w:rsidR="00273A8E">
        <w:rPr>
          <w:rFonts w:ascii="Arial" w:hAnsi="Arial" w:cs="Arial"/>
          <w:sz w:val="20"/>
          <w:szCs w:val="20"/>
        </w:rPr>
        <w:t xml:space="preserve"> emissions in the RAG Rx.</w:t>
      </w:r>
      <w:r w:rsidR="00273A8E" w:rsidRPr="006D2DF4">
        <w:rPr>
          <w:rFonts w:ascii="Arial" w:hAnsi="Arial" w:cs="Arial"/>
          <w:sz w:val="20"/>
          <w:szCs w:val="20"/>
        </w:rPr>
        <w:t xml:space="preserve"> </w:t>
      </w:r>
    </w:p>
    <w:p w14:paraId="4E082DCC" w14:textId="77777777" w:rsidR="00273A8E" w:rsidRDefault="00273A8E" w:rsidP="00641710">
      <w:pPr>
        <w:spacing w:after="120"/>
        <w:jc w:val="both"/>
        <w:rPr>
          <w:rFonts w:ascii="Arial" w:hAnsi="Arial" w:cs="Arial"/>
          <w:b/>
          <w:sz w:val="20"/>
          <w:szCs w:val="20"/>
          <w:highlight w:val="yellow"/>
        </w:rPr>
      </w:pPr>
    </w:p>
    <w:p w14:paraId="25CCAC72" w14:textId="24E11126" w:rsidR="00273A8E" w:rsidRPr="00641710" w:rsidRDefault="00273A8E"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w:t>
      </w:r>
      <w:r w:rsidR="003C105B">
        <w:rPr>
          <w:rFonts w:ascii="Arial" w:hAnsi="Arial" w:cs="Arial"/>
          <w:b/>
          <w:sz w:val="20"/>
          <w:szCs w:val="20"/>
        </w:rPr>
        <w:t>4</w:t>
      </w:r>
      <w:r w:rsidRPr="00212A15">
        <w:rPr>
          <w:rFonts w:ascii="Arial" w:hAnsi="Arial" w:cs="Arial"/>
          <w:b/>
          <w:sz w:val="20"/>
          <w:szCs w:val="20"/>
        </w:rPr>
        <w:tab/>
      </w:r>
      <w:r w:rsidRPr="00273A8E">
        <w:rPr>
          <w:rFonts w:ascii="Arial" w:hAnsi="Arial" w:cs="Arial"/>
          <w:b/>
          <w:sz w:val="20"/>
          <w:szCs w:val="20"/>
        </w:rPr>
        <w:t>Part 3</w:t>
      </w:r>
    </w:p>
    <w:p w14:paraId="2E4A0A55" w14:textId="0403E7D2" w:rsidR="00273A8E" w:rsidRDefault="00BC30DF" w:rsidP="00641710">
      <w:pPr>
        <w:spacing w:after="120"/>
        <w:jc w:val="both"/>
        <w:rPr>
          <w:rFonts w:ascii="Arial" w:hAnsi="Arial" w:cs="Arial"/>
          <w:sz w:val="20"/>
          <w:szCs w:val="20"/>
        </w:rPr>
      </w:pPr>
      <w:r>
        <w:rPr>
          <w:rFonts w:ascii="Arial" w:hAnsi="Arial" w:cs="Arial"/>
          <w:sz w:val="20"/>
          <w:szCs w:val="20"/>
        </w:rPr>
        <w:t xml:space="preserve">The following </w:t>
      </w:r>
      <w:r w:rsidR="0021278B">
        <w:rPr>
          <w:rFonts w:ascii="Arial" w:hAnsi="Arial" w:cs="Arial"/>
          <w:sz w:val="20"/>
          <w:szCs w:val="20"/>
        </w:rPr>
        <w:t xml:space="preserve">key </w:t>
      </w:r>
      <w:r>
        <w:rPr>
          <w:rFonts w:ascii="Arial" w:hAnsi="Arial" w:cs="Arial"/>
          <w:sz w:val="20"/>
          <w:szCs w:val="20"/>
        </w:rPr>
        <w:t xml:space="preserve">changes to </w:t>
      </w:r>
      <w:r w:rsidR="00273A8E">
        <w:rPr>
          <w:rFonts w:ascii="Arial" w:hAnsi="Arial" w:cs="Arial"/>
          <w:sz w:val="20"/>
          <w:szCs w:val="20"/>
        </w:rPr>
        <w:t>Part 3 of the RAG Rx</w:t>
      </w:r>
      <w:r>
        <w:rPr>
          <w:rFonts w:ascii="Arial" w:hAnsi="Arial" w:cs="Arial"/>
          <w:sz w:val="20"/>
          <w:szCs w:val="20"/>
        </w:rPr>
        <w:t xml:space="preserve"> have been made</w:t>
      </w:r>
      <w:r w:rsidR="0021278B">
        <w:rPr>
          <w:rFonts w:ascii="Arial" w:hAnsi="Arial" w:cs="Arial"/>
          <w:sz w:val="20"/>
          <w:szCs w:val="20"/>
        </w:rPr>
        <w:t xml:space="preserve"> by substituting that Part</w:t>
      </w:r>
      <w:r w:rsidR="00273A8E">
        <w:rPr>
          <w:rFonts w:ascii="Arial" w:hAnsi="Arial" w:cs="Arial"/>
          <w:sz w:val="20"/>
          <w:szCs w:val="20"/>
        </w:rPr>
        <w:t>:</w:t>
      </w:r>
    </w:p>
    <w:p w14:paraId="18781767" w14:textId="74F15C5F" w:rsidR="00BC30DF" w:rsidRDefault="00BC30DF" w:rsidP="00641710">
      <w:pPr>
        <w:pStyle w:val="ListParagraph"/>
        <w:numPr>
          <w:ilvl w:val="0"/>
          <w:numId w:val="48"/>
        </w:numPr>
        <w:spacing w:after="120"/>
        <w:rPr>
          <w:rFonts w:ascii="Arial" w:hAnsi="Arial" w:cs="Arial"/>
          <w:sz w:val="20"/>
          <w:szCs w:val="20"/>
        </w:rPr>
      </w:pPr>
      <w:r>
        <w:rPr>
          <w:rFonts w:ascii="Arial" w:hAnsi="Arial" w:cs="Arial"/>
          <w:sz w:val="20"/>
          <w:szCs w:val="20"/>
        </w:rPr>
        <w:t>Subsection 3.1</w:t>
      </w:r>
      <w:r w:rsidR="000E706B">
        <w:rPr>
          <w:rFonts w:ascii="Arial" w:hAnsi="Arial" w:cs="Arial"/>
          <w:sz w:val="20"/>
          <w:szCs w:val="20"/>
        </w:rPr>
        <w:t>(1) has been amended to provide</w:t>
      </w:r>
      <w:r>
        <w:rPr>
          <w:rFonts w:ascii="Arial" w:hAnsi="Arial" w:cs="Arial"/>
          <w:sz w:val="20"/>
          <w:szCs w:val="20"/>
        </w:rPr>
        <w:t xml:space="preserve"> guidance on how in-band interference is managed between spectrum licences that have a </w:t>
      </w:r>
      <w:r w:rsidR="009010D9">
        <w:rPr>
          <w:rFonts w:ascii="Arial" w:hAnsi="Arial" w:cs="Arial"/>
          <w:sz w:val="20"/>
          <w:szCs w:val="20"/>
        </w:rPr>
        <w:t>condition included on their spectrum licence requiring them to synchronise with other spectrum licensees in the 3.4 GHz and 3.6 GHz band (</w:t>
      </w:r>
      <w:r w:rsidRPr="003436F1">
        <w:rPr>
          <w:rFonts w:ascii="Arial" w:hAnsi="Arial" w:cs="Arial"/>
          <w:b/>
          <w:i/>
          <w:sz w:val="20"/>
          <w:szCs w:val="20"/>
        </w:rPr>
        <w:t>synchronisation requirement</w:t>
      </w:r>
      <w:r w:rsidR="009010D9">
        <w:rPr>
          <w:rFonts w:ascii="Arial" w:hAnsi="Arial" w:cs="Arial"/>
          <w:sz w:val="20"/>
          <w:szCs w:val="20"/>
        </w:rPr>
        <w:t>)</w:t>
      </w:r>
      <w:r w:rsidR="000E706B">
        <w:rPr>
          <w:rFonts w:ascii="Arial" w:hAnsi="Arial" w:cs="Arial"/>
          <w:sz w:val="20"/>
          <w:szCs w:val="20"/>
        </w:rPr>
        <w:t>;</w:t>
      </w:r>
    </w:p>
    <w:p w14:paraId="7E6C2922" w14:textId="6A7191A2" w:rsidR="00BC30DF" w:rsidRPr="00BC30DF" w:rsidRDefault="00BC30DF" w:rsidP="00641710">
      <w:pPr>
        <w:pStyle w:val="ListParagraph"/>
        <w:numPr>
          <w:ilvl w:val="0"/>
          <w:numId w:val="48"/>
        </w:numPr>
        <w:spacing w:after="120"/>
        <w:rPr>
          <w:rFonts w:ascii="Arial" w:hAnsi="Arial" w:cs="Arial"/>
          <w:sz w:val="20"/>
          <w:szCs w:val="20"/>
        </w:rPr>
      </w:pPr>
      <w:r>
        <w:rPr>
          <w:rFonts w:ascii="Arial" w:hAnsi="Arial" w:cs="Arial"/>
          <w:sz w:val="20"/>
          <w:szCs w:val="20"/>
        </w:rPr>
        <w:t xml:space="preserve">Subsections 3.1(2) </w:t>
      </w:r>
      <w:r w:rsidR="009010D9">
        <w:rPr>
          <w:rFonts w:ascii="Arial" w:hAnsi="Arial" w:cs="Arial"/>
          <w:sz w:val="20"/>
          <w:szCs w:val="20"/>
        </w:rPr>
        <w:t>and</w:t>
      </w:r>
      <w:r>
        <w:rPr>
          <w:rFonts w:ascii="Arial" w:hAnsi="Arial" w:cs="Arial"/>
          <w:sz w:val="20"/>
          <w:szCs w:val="20"/>
        </w:rPr>
        <w:t xml:space="preserve"> (5) have been amended </w:t>
      </w:r>
      <w:r w:rsidRPr="00BC30DF">
        <w:rPr>
          <w:rFonts w:ascii="Arial" w:hAnsi="Arial" w:cs="Arial"/>
          <w:sz w:val="20"/>
          <w:szCs w:val="20"/>
        </w:rPr>
        <w:t xml:space="preserve">to include </w:t>
      </w:r>
      <w:r>
        <w:rPr>
          <w:rFonts w:ascii="Arial" w:hAnsi="Arial" w:cs="Arial"/>
          <w:sz w:val="20"/>
          <w:szCs w:val="20"/>
        </w:rPr>
        <w:t>guidance on</w:t>
      </w:r>
      <w:r w:rsidRPr="00BC30DF">
        <w:rPr>
          <w:rFonts w:ascii="Arial" w:hAnsi="Arial" w:cs="Arial"/>
          <w:sz w:val="20"/>
          <w:szCs w:val="20"/>
        </w:rPr>
        <w:t xml:space="preserve"> </w:t>
      </w:r>
      <w:r w:rsidR="000E706B">
        <w:rPr>
          <w:rFonts w:ascii="Arial" w:hAnsi="Arial" w:cs="Arial"/>
          <w:sz w:val="20"/>
          <w:szCs w:val="20"/>
        </w:rPr>
        <w:t xml:space="preserve">how </w:t>
      </w:r>
      <w:r w:rsidRPr="00BC30DF">
        <w:rPr>
          <w:rFonts w:ascii="Arial" w:hAnsi="Arial" w:cs="Arial"/>
          <w:sz w:val="20"/>
          <w:szCs w:val="20"/>
        </w:rPr>
        <w:t xml:space="preserve">in-band interference from apparatus licences </w:t>
      </w:r>
      <w:r>
        <w:rPr>
          <w:rFonts w:ascii="Arial" w:hAnsi="Arial" w:cs="Arial"/>
          <w:sz w:val="20"/>
          <w:szCs w:val="20"/>
        </w:rPr>
        <w:t xml:space="preserve">in the </w:t>
      </w:r>
      <w:r w:rsidRPr="00BC30DF">
        <w:rPr>
          <w:rFonts w:ascii="Arial" w:hAnsi="Arial" w:cs="Arial"/>
          <w:sz w:val="20"/>
          <w:szCs w:val="20"/>
        </w:rPr>
        <w:t>3575-3700 MHz band</w:t>
      </w:r>
      <w:r>
        <w:rPr>
          <w:rFonts w:ascii="Arial" w:hAnsi="Arial" w:cs="Arial"/>
          <w:sz w:val="20"/>
          <w:szCs w:val="20"/>
        </w:rPr>
        <w:t xml:space="preserve"> is managed</w:t>
      </w:r>
      <w:r w:rsidR="000E706B">
        <w:rPr>
          <w:rFonts w:ascii="Arial" w:hAnsi="Arial" w:cs="Arial"/>
          <w:sz w:val="20"/>
          <w:szCs w:val="20"/>
        </w:rPr>
        <w:t xml:space="preserve">; </w:t>
      </w:r>
    </w:p>
    <w:p w14:paraId="49E9B581" w14:textId="0EA387F5" w:rsidR="00BC30DF" w:rsidRPr="00BC30DF" w:rsidRDefault="00BC30DF" w:rsidP="00641710">
      <w:pPr>
        <w:pStyle w:val="ListParagraph"/>
        <w:numPr>
          <w:ilvl w:val="0"/>
          <w:numId w:val="48"/>
        </w:numPr>
        <w:spacing w:after="120"/>
        <w:jc w:val="both"/>
        <w:rPr>
          <w:rFonts w:ascii="Arial" w:hAnsi="Arial" w:cs="Arial"/>
          <w:sz w:val="20"/>
          <w:szCs w:val="20"/>
        </w:rPr>
      </w:pPr>
      <w:r>
        <w:rPr>
          <w:rFonts w:ascii="Arial" w:hAnsi="Arial" w:cs="Arial"/>
          <w:sz w:val="20"/>
          <w:szCs w:val="20"/>
        </w:rPr>
        <w:t>Subs</w:t>
      </w:r>
      <w:r w:rsidRPr="00BC30DF">
        <w:rPr>
          <w:rFonts w:ascii="Arial" w:hAnsi="Arial" w:cs="Arial"/>
          <w:sz w:val="20"/>
          <w:szCs w:val="20"/>
        </w:rPr>
        <w:t xml:space="preserve">ection 3.1(4) </w:t>
      </w:r>
      <w:r>
        <w:rPr>
          <w:rFonts w:ascii="Arial" w:hAnsi="Arial" w:cs="Arial"/>
          <w:sz w:val="20"/>
          <w:szCs w:val="20"/>
        </w:rPr>
        <w:t>has been amended to reference the new subsection 3.2(4) that provides</w:t>
      </w:r>
      <w:r w:rsidRPr="00BC30DF">
        <w:rPr>
          <w:rFonts w:ascii="Arial" w:hAnsi="Arial" w:cs="Arial"/>
          <w:sz w:val="20"/>
          <w:szCs w:val="20"/>
        </w:rPr>
        <w:t xml:space="preserve"> additional guidance </w:t>
      </w:r>
      <w:r>
        <w:rPr>
          <w:rFonts w:ascii="Arial" w:hAnsi="Arial" w:cs="Arial"/>
          <w:sz w:val="20"/>
          <w:szCs w:val="20"/>
        </w:rPr>
        <w:t xml:space="preserve">to spectrum licensees </w:t>
      </w:r>
      <w:r w:rsidRPr="00BC30DF">
        <w:rPr>
          <w:rFonts w:ascii="Arial" w:hAnsi="Arial" w:cs="Arial"/>
          <w:sz w:val="20"/>
          <w:szCs w:val="20"/>
        </w:rPr>
        <w:t>on managing interfere</w:t>
      </w:r>
      <w:r w:rsidR="000E706B">
        <w:rPr>
          <w:rFonts w:ascii="Arial" w:hAnsi="Arial" w:cs="Arial"/>
          <w:sz w:val="20"/>
          <w:szCs w:val="20"/>
        </w:rPr>
        <w:t>nce from radio</w:t>
      </w:r>
      <w:r w:rsidR="0021278B">
        <w:rPr>
          <w:rFonts w:ascii="Arial" w:hAnsi="Arial" w:cs="Arial"/>
          <w:sz w:val="20"/>
          <w:szCs w:val="20"/>
        </w:rPr>
        <w:t>determination</w:t>
      </w:r>
      <w:r w:rsidR="000E706B">
        <w:rPr>
          <w:rFonts w:ascii="Arial" w:hAnsi="Arial" w:cs="Arial"/>
          <w:sz w:val="20"/>
          <w:szCs w:val="20"/>
        </w:rPr>
        <w:t xml:space="preserve"> service;</w:t>
      </w:r>
    </w:p>
    <w:p w14:paraId="38006915" w14:textId="32A37E2C" w:rsidR="00273A8E" w:rsidRPr="00BC30DF" w:rsidRDefault="00BC30DF" w:rsidP="00641710">
      <w:pPr>
        <w:pStyle w:val="ListParagraph"/>
        <w:numPr>
          <w:ilvl w:val="0"/>
          <w:numId w:val="48"/>
        </w:numPr>
        <w:spacing w:after="120"/>
        <w:jc w:val="both"/>
        <w:rPr>
          <w:rFonts w:ascii="Arial" w:hAnsi="Arial" w:cs="Arial"/>
          <w:sz w:val="20"/>
          <w:szCs w:val="20"/>
        </w:rPr>
      </w:pPr>
      <w:r>
        <w:rPr>
          <w:rFonts w:ascii="Arial" w:hAnsi="Arial" w:cs="Arial"/>
          <w:sz w:val="20"/>
          <w:szCs w:val="20"/>
        </w:rPr>
        <w:t>A n</w:t>
      </w:r>
      <w:r w:rsidRPr="00BC30DF">
        <w:rPr>
          <w:rFonts w:ascii="Arial" w:hAnsi="Arial" w:cs="Arial"/>
          <w:sz w:val="20"/>
          <w:szCs w:val="20"/>
        </w:rPr>
        <w:t xml:space="preserve">ew </w:t>
      </w:r>
      <w:r w:rsidR="00D036B4">
        <w:rPr>
          <w:rFonts w:ascii="Arial" w:hAnsi="Arial" w:cs="Arial"/>
          <w:sz w:val="20"/>
          <w:szCs w:val="20"/>
        </w:rPr>
        <w:t>sub</w:t>
      </w:r>
      <w:r w:rsidRPr="00BC30DF">
        <w:rPr>
          <w:rFonts w:ascii="Arial" w:hAnsi="Arial" w:cs="Arial"/>
          <w:sz w:val="20"/>
          <w:szCs w:val="20"/>
        </w:rPr>
        <w:t xml:space="preserve">section 3.2(4) </w:t>
      </w:r>
      <w:r>
        <w:rPr>
          <w:rFonts w:ascii="Arial" w:hAnsi="Arial" w:cs="Arial"/>
          <w:sz w:val="20"/>
          <w:szCs w:val="20"/>
        </w:rPr>
        <w:t>has been included to provide</w:t>
      </w:r>
      <w:r w:rsidRPr="00BC30DF">
        <w:rPr>
          <w:rFonts w:ascii="Arial" w:hAnsi="Arial" w:cs="Arial"/>
          <w:sz w:val="20"/>
          <w:szCs w:val="20"/>
        </w:rPr>
        <w:t xml:space="preserve"> advice and guidance </w:t>
      </w:r>
      <w:r>
        <w:rPr>
          <w:rFonts w:ascii="Arial" w:hAnsi="Arial" w:cs="Arial"/>
          <w:sz w:val="20"/>
          <w:szCs w:val="20"/>
        </w:rPr>
        <w:t xml:space="preserve">to spectrum licensees </w:t>
      </w:r>
      <w:r w:rsidRPr="00BC30DF">
        <w:rPr>
          <w:rFonts w:ascii="Arial" w:hAnsi="Arial" w:cs="Arial"/>
          <w:sz w:val="20"/>
          <w:szCs w:val="20"/>
        </w:rPr>
        <w:t xml:space="preserve">on managing interference </w:t>
      </w:r>
      <w:r>
        <w:rPr>
          <w:rFonts w:ascii="Arial" w:hAnsi="Arial" w:cs="Arial"/>
          <w:sz w:val="20"/>
          <w:szCs w:val="20"/>
        </w:rPr>
        <w:t>with</w:t>
      </w:r>
      <w:r w:rsidRPr="00BC30DF">
        <w:rPr>
          <w:rFonts w:ascii="Arial" w:hAnsi="Arial" w:cs="Arial"/>
          <w:sz w:val="20"/>
          <w:szCs w:val="20"/>
        </w:rPr>
        <w:t xml:space="preserve"> radio</w:t>
      </w:r>
      <w:r w:rsidR="0021278B">
        <w:rPr>
          <w:rFonts w:ascii="Arial" w:hAnsi="Arial" w:cs="Arial"/>
          <w:sz w:val="20"/>
          <w:szCs w:val="20"/>
        </w:rPr>
        <w:t>determination</w:t>
      </w:r>
      <w:r w:rsidRPr="00BC30DF">
        <w:rPr>
          <w:rFonts w:ascii="Arial" w:hAnsi="Arial" w:cs="Arial"/>
          <w:sz w:val="20"/>
          <w:szCs w:val="20"/>
        </w:rPr>
        <w:t xml:space="preserve"> services.</w:t>
      </w:r>
    </w:p>
    <w:p w14:paraId="2ECBDE02" w14:textId="4CE605E6" w:rsidR="00212A15" w:rsidRDefault="00212A15" w:rsidP="00641710">
      <w:pPr>
        <w:spacing w:after="120"/>
        <w:jc w:val="both"/>
        <w:rPr>
          <w:rFonts w:ascii="Arial" w:hAnsi="Arial" w:cs="Arial"/>
          <w:b/>
          <w:sz w:val="20"/>
          <w:szCs w:val="20"/>
          <w:highlight w:val="yellow"/>
        </w:rPr>
      </w:pPr>
    </w:p>
    <w:p w14:paraId="3182FE8D" w14:textId="3DCD31FF" w:rsidR="00BC30DF" w:rsidRPr="00641710" w:rsidRDefault="00BC30DF"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w:t>
      </w:r>
      <w:r w:rsidR="003C105B">
        <w:rPr>
          <w:rFonts w:ascii="Arial" w:hAnsi="Arial" w:cs="Arial"/>
          <w:b/>
          <w:sz w:val="20"/>
          <w:szCs w:val="20"/>
        </w:rPr>
        <w:t>5</w:t>
      </w:r>
      <w:r w:rsidRPr="00212A15">
        <w:rPr>
          <w:rFonts w:ascii="Arial" w:hAnsi="Arial" w:cs="Arial"/>
          <w:b/>
          <w:sz w:val="20"/>
          <w:szCs w:val="20"/>
        </w:rPr>
        <w:tab/>
      </w:r>
      <w:r w:rsidR="00BA2201" w:rsidRPr="00BA2201">
        <w:rPr>
          <w:rFonts w:ascii="Arial" w:hAnsi="Arial" w:cs="Arial"/>
          <w:b/>
          <w:sz w:val="20"/>
          <w:szCs w:val="20"/>
        </w:rPr>
        <w:t>Subsection 4.1(1)</w:t>
      </w:r>
    </w:p>
    <w:p w14:paraId="096C2E7C" w14:textId="31CD4BEC" w:rsidR="00BC30DF" w:rsidRPr="006D2DF4" w:rsidRDefault="00BC30DF" w:rsidP="00641710">
      <w:pPr>
        <w:spacing w:after="120"/>
        <w:jc w:val="both"/>
        <w:rPr>
          <w:rFonts w:ascii="Arial" w:hAnsi="Arial" w:cs="Arial"/>
          <w:sz w:val="20"/>
          <w:szCs w:val="20"/>
        </w:rPr>
      </w:pPr>
      <w:r w:rsidRPr="006D2DF4">
        <w:rPr>
          <w:rFonts w:ascii="Arial" w:hAnsi="Arial" w:cs="Arial"/>
          <w:sz w:val="20"/>
          <w:szCs w:val="20"/>
        </w:rPr>
        <w:t>The</w:t>
      </w:r>
      <w:r w:rsidR="00BA2201">
        <w:rPr>
          <w:rFonts w:ascii="Arial" w:hAnsi="Arial" w:cs="Arial"/>
          <w:sz w:val="20"/>
          <w:szCs w:val="20"/>
        </w:rPr>
        <w:t xml:space="preserve"> term ‘out</w:t>
      </w:r>
      <w:r w:rsidR="0021278B">
        <w:rPr>
          <w:rFonts w:ascii="Arial" w:hAnsi="Arial" w:cs="Arial"/>
          <w:sz w:val="20"/>
          <w:szCs w:val="20"/>
        </w:rPr>
        <w:t>-</w:t>
      </w:r>
      <w:r w:rsidR="00BA2201">
        <w:rPr>
          <w:rFonts w:ascii="Arial" w:hAnsi="Arial" w:cs="Arial"/>
          <w:sz w:val="20"/>
          <w:szCs w:val="20"/>
        </w:rPr>
        <w:t>of</w:t>
      </w:r>
      <w:r w:rsidR="0021278B">
        <w:rPr>
          <w:rFonts w:ascii="Arial" w:hAnsi="Arial" w:cs="Arial"/>
          <w:sz w:val="20"/>
          <w:szCs w:val="20"/>
        </w:rPr>
        <w:t>-</w:t>
      </w:r>
      <w:r w:rsidR="00BA2201">
        <w:rPr>
          <w:rFonts w:ascii="Arial" w:hAnsi="Arial" w:cs="Arial"/>
          <w:sz w:val="20"/>
          <w:szCs w:val="20"/>
        </w:rPr>
        <w:t xml:space="preserve">band’ emissions is replaced with the </w:t>
      </w:r>
      <w:r w:rsidR="0021278B">
        <w:rPr>
          <w:rFonts w:ascii="Arial" w:hAnsi="Arial" w:cs="Arial"/>
          <w:sz w:val="20"/>
          <w:szCs w:val="20"/>
        </w:rPr>
        <w:t>broader</w:t>
      </w:r>
      <w:r w:rsidR="00BA2201">
        <w:rPr>
          <w:rFonts w:ascii="Arial" w:hAnsi="Arial" w:cs="Arial"/>
          <w:sz w:val="20"/>
          <w:szCs w:val="20"/>
        </w:rPr>
        <w:t xml:space="preserve"> term</w:t>
      </w:r>
      <w:r>
        <w:rPr>
          <w:rFonts w:ascii="Arial" w:hAnsi="Arial" w:cs="Arial"/>
          <w:sz w:val="20"/>
          <w:szCs w:val="20"/>
        </w:rPr>
        <w:t xml:space="preserve"> </w:t>
      </w:r>
      <w:r w:rsidR="00BA2201">
        <w:rPr>
          <w:rFonts w:ascii="Arial" w:hAnsi="Arial" w:cs="Arial"/>
          <w:sz w:val="20"/>
          <w:szCs w:val="20"/>
        </w:rPr>
        <w:t>‘</w:t>
      </w:r>
      <w:r>
        <w:rPr>
          <w:rFonts w:ascii="Arial" w:hAnsi="Arial" w:cs="Arial"/>
          <w:sz w:val="20"/>
          <w:szCs w:val="20"/>
        </w:rPr>
        <w:t>unwanted</w:t>
      </w:r>
      <w:r w:rsidR="00BA2201">
        <w:rPr>
          <w:rFonts w:ascii="Arial" w:hAnsi="Arial" w:cs="Arial"/>
          <w:sz w:val="20"/>
          <w:szCs w:val="20"/>
        </w:rPr>
        <w:t>’</w:t>
      </w:r>
      <w:r>
        <w:rPr>
          <w:rFonts w:ascii="Arial" w:hAnsi="Arial" w:cs="Arial"/>
          <w:sz w:val="20"/>
          <w:szCs w:val="20"/>
        </w:rPr>
        <w:t xml:space="preserve"> emission</w:t>
      </w:r>
      <w:r w:rsidR="00BA2201">
        <w:rPr>
          <w:rFonts w:ascii="Arial" w:hAnsi="Arial" w:cs="Arial"/>
          <w:sz w:val="20"/>
          <w:szCs w:val="20"/>
        </w:rPr>
        <w:t>.</w:t>
      </w:r>
      <w:r>
        <w:rPr>
          <w:rFonts w:ascii="Arial" w:hAnsi="Arial" w:cs="Arial"/>
          <w:sz w:val="20"/>
          <w:szCs w:val="20"/>
        </w:rPr>
        <w:t xml:space="preserve"> </w:t>
      </w:r>
    </w:p>
    <w:p w14:paraId="163FF48F" w14:textId="77777777" w:rsidR="00BC30DF" w:rsidRDefault="00BC30DF" w:rsidP="00641710">
      <w:pPr>
        <w:spacing w:after="120"/>
        <w:jc w:val="both"/>
        <w:rPr>
          <w:rFonts w:ascii="Arial" w:hAnsi="Arial" w:cs="Arial"/>
          <w:b/>
          <w:sz w:val="20"/>
          <w:szCs w:val="20"/>
          <w:highlight w:val="yellow"/>
        </w:rPr>
      </w:pPr>
    </w:p>
    <w:p w14:paraId="1D840232" w14:textId="2ECE5CDC" w:rsidR="00F442CB" w:rsidRPr="00641710" w:rsidRDefault="00F442CB"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w:t>
      </w:r>
      <w:r w:rsidR="003C105B">
        <w:rPr>
          <w:rFonts w:ascii="Arial" w:hAnsi="Arial" w:cs="Arial"/>
          <w:b/>
          <w:sz w:val="20"/>
          <w:szCs w:val="20"/>
        </w:rPr>
        <w:t>6</w:t>
      </w:r>
      <w:r w:rsidRPr="00212A15">
        <w:rPr>
          <w:rFonts w:ascii="Arial" w:hAnsi="Arial" w:cs="Arial"/>
          <w:b/>
          <w:sz w:val="20"/>
          <w:szCs w:val="20"/>
        </w:rPr>
        <w:tab/>
      </w:r>
      <w:r w:rsidRPr="00F442CB">
        <w:rPr>
          <w:rFonts w:ascii="Arial" w:hAnsi="Arial" w:cs="Arial"/>
          <w:b/>
          <w:sz w:val="20"/>
          <w:szCs w:val="20"/>
        </w:rPr>
        <w:t>Subsection 5.1(3)</w:t>
      </w:r>
    </w:p>
    <w:p w14:paraId="6C54ED23" w14:textId="01B40A1F" w:rsidR="00F442CB" w:rsidRPr="006D2DF4" w:rsidRDefault="00F442CB" w:rsidP="00641710">
      <w:pPr>
        <w:spacing w:after="120"/>
        <w:jc w:val="both"/>
        <w:rPr>
          <w:rFonts w:ascii="Arial" w:hAnsi="Arial" w:cs="Arial"/>
          <w:sz w:val="20"/>
          <w:szCs w:val="20"/>
        </w:rPr>
      </w:pPr>
      <w:r>
        <w:rPr>
          <w:rFonts w:ascii="Arial" w:hAnsi="Arial" w:cs="Arial"/>
          <w:sz w:val="20"/>
          <w:szCs w:val="20"/>
        </w:rPr>
        <w:t>Subsection 5.1(3)</w:t>
      </w:r>
      <w:r w:rsidR="00425892">
        <w:rPr>
          <w:rFonts w:ascii="Arial" w:hAnsi="Arial" w:cs="Arial"/>
          <w:sz w:val="20"/>
          <w:szCs w:val="20"/>
        </w:rPr>
        <w:t xml:space="preserve">, including the note, </w:t>
      </w:r>
      <w:r>
        <w:rPr>
          <w:rFonts w:ascii="Arial" w:hAnsi="Arial" w:cs="Arial"/>
          <w:sz w:val="20"/>
          <w:szCs w:val="20"/>
        </w:rPr>
        <w:t xml:space="preserve">has been </w:t>
      </w:r>
      <w:r w:rsidR="0021278B">
        <w:rPr>
          <w:rFonts w:ascii="Arial" w:hAnsi="Arial" w:cs="Arial"/>
          <w:sz w:val="20"/>
          <w:szCs w:val="20"/>
        </w:rPr>
        <w:t xml:space="preserve">replaced </w:t>
      </w:r>
      <w:r>
        <w:rPr>
          <w:rFonts w:ascii="Arial" w:hAnsi="Arial" w:cs="Arial"/>
          <w:sz w:val="20"/>
          <w:szCs w:val="20"/>
        </w:rPr>
        <w:t xml:space="preserve">to provide </w:t>
      </w:r>
      <w:r w:rsidR="0021278B">
        <w:rPr>
          <w:rFonts w:ascii="Arial" w:hAnsi="Arial" w:cs="Arial"/>
          <w:sz w:val="20"/>
          <w:szCs w:val="20"/>
        </w:rPr>
        <w:t xml:space="preserve">new </w:t>
      </w:r>
      <w:r>
        <w:rPr>
          <w:rFonts w:ascii="Arial" w:hAnsi="Arial" w:cs="Arial"/>
          <w:sz w:val="20"/>
          <w:szCs w:val="20"/>
        </w:rPr>
        <w:t xml:space="preserve">guidance on how adjacent band interference is managed between spectrum licensees.  </w:t>
      </w:r>
    </w:p>
    <w:p w14:paraId="0C344920" w14:textId="77777777" w:rsidR="00273A8E" w:rsidRDefault="00273A8E" w:rsidP="00641710">
      <w:pPr>
        <w:spacing w:after="120"/>
        <w:jc w:val="both"/>
        <w:rPr>
          <w:rFonts w:ascii="Arial" w:hAnsi="Arial" w:cs="Arial"/>
          <w:b/>
          <w:sz w:val="20"/>
          <w:szCs w:val="20"/>
          <w:highlight w:val="yellow"/>
        </w:rPr>
      </w:pPr>
    </w:p>
    <w:p w14:paraId="0BF77176" w14:textId="24D587FB" w:rsidR="00F442CB" w:rsidRPr="00641710" w:rsidRDefault="00F442CB"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w:t>
      </w:r>
      <w:r w:rsidR="003C105B">
        <w:rPr>
          <w:rFonts w:ascii="Arial" w:hAnsi="Arial" w:cs="Arial"/>
          <w:b/>
          <w:sz w:val="20"/>
          <w:szCs w:val="20"/>
        </w:rPr>
        <w:t>7</w:t>
      </w:r>
      <w:r w:rsidRPr="00212A15">
        <w:rPr>
          <w:rFonts w:ascii="Arial" w:hAnsi="Arial" w:cs="Arial"/>
          <w:b/>
          <w:sz w:val="20"/>
          <w:szCs w:val="20"/>
        </w:rPr>
        <w:tab/>
      </w:r>
      <w:r>
        <w:rPr>
          <w:rFonts w:ascii="Arial" w:hAnsi="Arial" w:cs="Arial"/>
          <w:b/>
          <w:sz w:val="20"/>
          <w:szCs w:val="20"/>
        </w:rPr>
        <w:t>Subsection 5.1(4</w:t>
      </w:r>
      <w:r w:rsidRPr="00F442CB">
        <w:rPr>
          <w:rFonts w:ascii="Arial" w:hAnsi="Arial" w:cs="Arial"/>
          <w:b/>
          <w:sz w:val="20"/>
          <w:szCs w:val="20"/>
        </w:rPr>
        <w:t>)</w:t>
      </w:r>
    </w:p>
    <w:p w14:paraId="2EC87603" w14:textId="6B866326" w:rsidR="00F442CB" w:rsidRDefault="00F442CB" w:rsidP="00641710">
      <w:pPr>
        <w:spacing w:after="120"/>
        <w:jc w:val="both"/>
        <w:rPr>
          <w:rFonts w:ascii="Arial" w:hAnsi="Arial" w:cs="Arial"/>
          <w:sz w:val="20"/>
          <w:szCs w:val="20"/>
        </w:rPr>
      </w:pPr>
      <w:r>
        <w:rPr>
          <w:rFonts w:ascii="Arial" w:hAnsi="Arial" w:cs="Arial"/>
          <w:sz w:val="20"/>
          <w:szCs w:val="20"/>
        </w:rPr>
        <w:t xml:space="preserve">Subsection 5.1(4) has been repealed </w:t>
      </w:r>
      <w:r w:rsidR="003A3342">
        <w:rPr>
          <w:rFonts w:ascii="Arial" w:hAnsi="Arial" w:cs="Arial"/>
          <w:sz w:val="20"/>
          <w:szCs w:val="20"/>
        </w:rPr>
        <w:t xml:space="preserve">as the restricted block is no longer in use. It is replaced with </w:t>
      </w:r>
      <w:r>
        <w:rPr>
          <w:rFonts w:ascii="Arial" w:hAnsi="Arial" w:cs="Arial"/>
          <w:sz w:val="20"/>
          <w:szCs w:val="20"/>
        </w:rPr>
        <w:t xml:space="preserve">the </w:t>
      </w:r>
      <w:r w:rsidR="003A3342">
        <w:rPr>
          <w:rFonts w:ascii="Arial" w:hAnsi="Arial" w:cs="Arial"/>
          <w:sz w:val="20"/>
          <w:szCs w:val="20"/>
        </w:rPr>
        <w:t xml:space="preserve">text from the </w:t>
      </w:r>
      <w:r>
        <w:rPr>
          <w:rFonts w:ascii="Arial" w:hAnsi="Arial" w:cs="Arial"/>
          <w:sz w:val="20"/>
          <w:szCs w:val="20"/>
        </w:rPr>
        <w:t>previous subsection 5.1(5</w:t>
      </w:r>
      <w:r w:rsidR="00C66637">
        <w:rPr>
          <w:rFonts w:ascii="Arial" w:hAnsi="Arial" w:cs="Arial"/>
          <w:sz w:val="20"/>
          <w:szCs w:val="20"/>
        </w:rPr>
        <w:t>).</w:t>
      </w:r>
    </w:p>
    <w:p w14:paraId="7C77AE6D" w14:textId="77777777" w:rsidR="00C66637" w:rsidRDefault="00C66637" w:rsidP="00641710">
      <w:pPr>
        <w:spacing w:after="120"/>
        <w:jc w:val="both"/>
        <w:rPr>
          <w:rFonts w:ascii="Arial" w:hAnsi="Arial" w:cs="Arial"/>
          <w:sz w:val="20"/>
          <w:szCs w:val="20"/>
        </w:rPr>
      </w:pPr>
    </w:p>
    <w:p w14:paraId="25653B0F" w14:textId="2CA08330" w:rsidR="00F442CB" w:rsidRPr="00641710" w:rsidRDefault="00F442CB"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w:t>
      </w:r>
      <w:r w:rsidR="003C105B">
        <w:rPr>
          <w:rFonts w:ascii="Arial" w:hAnsi="Arial" w:cs="Arial"/>
          <w:b/>
          <w:sz w:val="20"/>
          <w:szCs w:val="20"/>
        </w:rPr>
        <w:t>8</w:t>
      </w:r>
      <w:r w:rsidRPr="00212A15">
        <w:rPr>
          <w:rFonts w:ascii="Arial" w:hAnsi="Arial" w:cs="Arial"/>
          <w:b/>
          <w:sz w:val="20"/>
          <w:szCs w:val="20"/>
        </w:rPr>
        <w:tab/>
      </w:r>
      <w:r>
        <w:rPr>
          <w:rFonts w:ascii="Arial" w:hAnsi="Arial" w:cs="Arial"/>
          <w:b/>
          <w:sz w:val="20"/>
          <w:szCs w:val="20"/>
        </w:rPr>
        <w:t>Subsection 5.1(5</w:t>
      </w:r>
      <w:r w:rsidRPr="00F442CB">
        <w:rPr>
          <w:rFonts w:ascii="Arial" w:hAnsi="Arial" w:cs="Arial"/>
          <w:b/>
          <w:sz w:val="20"/>
          <w:szCs w:val="20"/>
        </w:rPr>
        <w:t>)</w:t>
      </w:r>
    </w:p>
    <w:p w14:paraId="6717F9A1" w14:textId="40D160E2" w:rsidR="00C66637" w:rsidRDefault="00C66637" w:rsidP="00641710">
      <w:pPr>
        <w:spacing w:after="120"/>
        <w:jc w:val="both"/>
        <w:rPr>
          <w:rFonts w:ascii="Arial" w:hAnsi="Arial" w:cs="Arial"/>
          <w:sz w:val="20"/>
          <w:szCs w:val="20"/>
        </w:rPr>
      </w:pPr>
      <w:r>
        <w:rPr>
          <w:rFonts w:ascii="Arial" w:hAnsi="Arial" w:cs="Arial"/>
          <w:sz w:val="20"/>
          <w:szCs w:val="20"/>
        </w:rPr>
        <w:t>Subsection 5.1(5) has been repealed as the corresponding text has been moved to subsection 5.1(4). It is replaced with the text from</w:t>
      </w:r>
      <w:r w:rsidR="003A3342">
        <w:rPr>
          <w:rFonts w:ascii="Arial" w:hAnsi="Arial" w:cs="Arial"/>
          <w:sz w:val="20"/>
          <w:szCs w:val="20"/>
        </w:rPr>
        <w:t xml:space="preserve"> the previous</w:t>
      </w:r>
      <w:r>
        <w:rPr>
          <w:rFonts w:ascii="Arial" w:hAnsi="Arial" w:cs="Arial"/>
          <w:sz w:val="20"/>
          <w:szCs w:val="20"/>
        </w:rPr>
        <w:t xml:space="preserve"> subsection 5.1(6).</w:t>
      </w:r>
      <w:r w:rsidR="005E4016">
        <w:rPr>
          <w:rFonts w:ascii="Arial" w:hAnsi="Arial" w:cs="Arial"/>
          <w:sz w:val="20"/>
          <w:szCs w:val="20"/>
        </w:rPr>
        <w:t xml:space="preserve"> A note has been added providing guidance on how devices with </w:t>
      </w:r>
      <w:r w:rsidR="009010D9">
        <w:rPr>
          <w:rFonts w:ascii="Arial" w:hAnsi="Arial" w:cs="Arial"/>
          <w:sz w:val="20"/>
          <w:szCs w:val="20"/>
        </w:rPr>
        <w:t>a</w:t>
      </w:r>
      <w:r w:rsidR="009010D9" w:rsidRPr="009010D9">
        <w:rPr>
          <w:rFonts w:ascii="Arial" w:hAnsi="Arial" w:cs="Arial"/>
          <w:sz w:val="20"/>
          <w:szCs w:val="20"/>
        </w:rPr>
        <w:t>ctive antenna system (</w:t>
      </w:r>
      <w:r w:rsidR="005E4016">
        <w:rPr>
          <w:rFonts w:ascii="Arial" w:hAnsi="Arial" w:cs="Arial"/>
          <w:sz w:val="20"/>
          <w:szCs w:val="20"/>
        </w:rPr>
        <w:t>AAS</w:t>
      </w:r>
      <w:r w:rsidR="009010D9">
        <w:rPr>
          <w:rFonts w:ascii="Arial" w:hAnsi="Arial" w:cs="Arial"/>
          <w:sz w:val="20"/>
          <w:szCs w:val="20"/>
        </w:rPr>
        <w:t>)</w:t>
      </w:r>
      <w:r w:rsidR="005E4016">
        <w:rPr>
          <w:rFonts w:ascii="Arial" w:hAnsi="Arial" w:cs="Arial"/>
          <w:sz w:val="20"/>
          <w:szCs w:val="20"/>
        </w:rPr>
        <w:t xml:space="preserve"> </w:t>
      </w:r>
      <w:r w:rsidR="0021278B">
        <w:rPr>
          <w:rFonts w:ascii="Arial" w:hAnsi="Arial" w:cs="Arial"/>
          <w:sz w:val="20"/>
          <w:szCs w:val="20"/>
        </w:rPr>
        <w:t xml:space="preserve">are dealt with </w:t>
      </w:r>
      <w:r w:rsidR="005E4016">
        <w:rPr>
          <w:rFonts w:ascii="Arial" w:hAnsi="Arial" w:cs="Arial"/>
          <w:sz w:val="20"/>
          <w:szCs w:val="20"/>
        </w:rPr>
        <w:t>for the purposes of managing interference.</w:t>
      </w:r>
    </w:p>
    <w:p w14:paraId="36D08498" w14:textId="77777777" w:rsidR="00F442CB" w:rsidRPr="006D2DF4" w:rsidRDefault="00F442CB" w:rsidP="00641710">
      <w:pPr>
        <w:spacing w:after="120"/>
        <w:jc w:val="both"/>
        <w:rPr>
          <w:rFonts w:ascii="Arial" w:hAnsi="Arial" w:cs="Arial"/>
          <w:sz w:val="20"/>
          <w:szCs w:val="20"/>
        </w:rPr>
      </w:pPr>
    </w:p>
    <w:p w14:paraId="1BC76278" w14:textId="7236EC5A" w:rsidR="00F442CB" w:rsidRPr="00641710" w:rsidRDefault="00F442CB"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w:t>
      </w:r>
      <w:r w:rsidR="003C105B">
        <w:rPr>
          <w:rFonts w:ascii="Arial" w:hAnsi="Arial" w:cs="Arial"/>
          <w:b/>
          <w:sz w:val="20"/>
          <w:szCs w:val="20"/>
        </w:rPr>
        <w:t>9</w:t>
      </w:r>
      <w:r w:rsidRPr="00212A15">
        <w:rPr>
          <w:rFonts w:ascii="Arial" w:hAnsi="Arial" w:cs="Arial"/>
          <w:b/>
          <w:sz w:val="20"/>
          <w:szCs w:val="20"/>
        </w:rPr>
        <w:tab/>
      </w:r>
      <w:r>
        <w:rPr>
          <w:rFonts w:ascii="Arial" w:hAnsi="Arial" w:cs="Arial"/>
          <w:b/>
          <w:sz w:val="20"/>
          <w:szCs w:val="20"/>
        </w:rPr>
        <w:t>Subsection 5.1(6</w:t>
      </w:r>
      <w:r w:rsidRPr="00F442CB">
        <w:rPr>
          <w:rFonts w:ascii="Arial" w:hAnsi="Arial" w:cs="Arial"/>
          <w:b/>
          <w:sz w:val="20"/>
          <w:szCs w:val="20"/>
        </w:rPr>
        <w:t>)</w:t>
      </w:r>
    </w:p>
    <w:p w14:paraId="13184EC9" w14:textId="602D6085" w:rsidR="00273A8E" w:rsidRDefault="00C66637" w:rsidP="00641710">
      <w:pPr>
        <w:spacing w:after="120"/>
        <w:jc w:val="both"/>
        <w:rPr>
          <w:rFonts w:ascii="Arial" w:hAnsi="Arial" w:cs="Arial"/>
          <w:b/>
          <w:sz w:val="20"/>
          <w:szCs w:val="20"/>
          <w:highlight w:val="yellow"/>
        </w:rPr>
      </w:pPr>
      <w:r>
        <w:rPr>
          <w:rFonts w:ascii="Arial" w:hAnsi="Arial" w:cs="Arial"/>
          <w:sz w:val="20"/>
          <w:szCs w:val="20"/>
        </w:rPr>
        <w:t>Subsection 5.1(6) has been repealed as the corresponding text has been moved to subsection 5.1(5)</w:t>
      </w:r>
    </w:p>
    <w:p w14:paraId="349FBFBC" w14:textId="18E77F42" w:rsidR="00F442CB" w:rsidRDefault="00F442CB" w:rsidP="00641710">
      <w:pPr>
        <w:spacing w:after="120"/>
        <w:jc w:val="both"/>
        <w:rPr>
          <w:rFonts w:ascii="Arial" w:hAnsi="Arial" w:cs="Arial"/>
          <w:b/>
          <w:sz w:val="20"/>
          <w:szCs w:val="20"/>
          <w:highlight w:val="yellow"/>
        </w:rPr>
      </w:pPr>
    </w:p>
    <w:p w14:paraId="159ACDD9" w14:textId="4B32AD80" w:rsidR="003A3342" w:rsidRPr="00641710" w:rsidRDefault="003A3342"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1</w:t>
      </w:r>
      <w:r w:rsidR="003C105B">
        <w:rPr>
          <w:rFonts w:ascii="Arial" w:hAnsi="Arial" w:cs="Arial"/>
          <w:b/>
          <w:sz w:val="20"/>
          <w:szCs w:val="20"/>
        </w:rPr>
        <w:t>0</w:t>
      </w:r>
      <w:r w:rsidRPr="00212A15">
        <w:rPr>
          <w:rFonts w:ascii="Arial" w:hAnsi="Arial" w:cs="Arial"/>
          <w:b/>
          <w:sz w:val="20"/>
          <w:szCs w:val="20"/>
        </w:rPr>
        <w:tab/>
      </w:r>
      <w:r w:rsidRPr="003A3342">
        <w:rPr>
          <w:rFonts w:ascii="Arial" w:hAnsi="Arial" w:cs="Arial"/>
          <w:b/>
          <w:sz w:val="20"/>
          <w:szCs w:val="20"/>
        </w:rPr>
        <w:t>Schedule 1 (paragraph (3))</w:t>
      </w:r>
    </w:p>
    <w:p w14:paraId="6ED7B354" w14:textId="11D03A73" w:rsidR="003A3342" w:rsidRDefault="003A3342" w:rsidP="00641710">
      <w:pPr>
        <w:spacing w:after="120"/>
        <w:jc w:val="both"/>
        <w:rPr>
          <w:rFonts w:ascii="Arial" w:hAnsi="Arial" w:cs="Arial"/>
          <w:b/>
          <w:sz w:val="20"/>
          <w:szCs w:val="20"/>
          <w:highlight w:val="yellow"/>
        </w:rPr>
      </w:pPr>
      <w:r>
        <w:rPr>
          <w:rFonts w:ascii="Arial" w:hAnsi="Arial" w:cs="Arial"/>
          <w:sz w:val="20"/>
          <w:szCs w:val="20"/>
        </w:rPr>
        <w:t xml:space="preserve">The adjacent channel selectivity of the notional receiver has been updated to account for larger bandwidth systems typically associated with </w:t>
      </w:r>
      <w:r w:rsidR="00E33AE9">
        <w:rPr>
          <w:rFonts w:ascii="Arial" w:hAnsi="Arial" w:cs="Arial"/>
          <w:sz w:val="20"/>
          <w:szCs w:val="20"/>
        </w:rPr>
        <w:t>next generation fixed and mobile wireless broadband systems</w:t>
      </w:r>
      <w:r>
        <w:rPr>
          <w:rFonts w:ascii="Arial" w:hAnsi="Arial" w:cs="Arial"/>
          <w:sz w:val="20"/>
          <w:szCs w:val="20"/>
        </w:rPr>
        <w:t>.</w:t>
      </w:r>
      <w:r w:rsidR="00EA425B">
        <w:rPr>
          <w:rFonts w:ascii="Arial" w:hAnsi="Arial" w:cs="Arial"/>
          <w:sz w:val="20"/>
          <w:szCs w:val="20"/>
        </w:rPr>
        <w:t xml:space="preserve"> </w:t>
      </w:r>
    </w:p>
    <w:p w14:paraId="3CD6DDC0" w14:textId="77777777" w:rsidR="003A3342" w:rsidRDefault="003A3342" w:rsidP="00641710">
      <w:pPr>
        <w:spacing w:after="120"/>
        <w:rPr>
          <w:rFonts w:ascii="Arial" w:hAnsi="Arial" w:cs="Arial"/>
          <w:b/>
          <w:bCs/>
          <w:sz w:val="20"/>
          <w:szCs w:val="20"/>
          <w:lang w:eastAsia="en-AU"/>
        </w:rPr>
      </w:pPr>
    </w:p>
    <w:p w14:paraId="659481BC" w14:textId="386664B8" w:rsidR="003A3342" w:rsidRPr="00641710" w:rsidRDefault="003A3342"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1</w:t>
      </w:r>
      <w:r w:rsidR="003C105B">
        <w:rPr>
          <w:rFonts w:ascii="Arial" w:hAnsi="Arial" w:cs="Arial"/>
          <w:b/>
          <w:sz w:val="20"/>
          <w:szCs w:val="20"/>
        </w:rPr>
        <w:t>1</w:t>
      </w:r>
      <w:r w:rsidRPr="00212A15">
        <w:rPr>
          <w:rFonts w:ascii="Arial" w:hAnsi="Arial" w:cs="Arial"/>
          <w:b/>
          <w:sz w:val="20"/>
          <w:szCs w:val="20"/>
        </w:rPr>
        <w:tab/>
      </w:r>
      <w:r>
        <w:rPr>
          <w:rFonts w:ascii="Arial" w:hAnsi="Arial" w:cs="Arial"/>
          <w:b/>
          <w:sz w:val="20"/>
          <w:szCs w:val="20"/>
        </w:rPr>
        <w:t>Schedule 1 (paragraph (5</w:t>
      </w:r>
      <w:r w:rsidRPr="003A3342">
        <w:rPr>
          <w:rFonts w:ascii="Arial" w:hAnsi="Arial" w:cs="Arial"/>
          <w:b/>
          <w:sz w:val="20"/>
          <w:szCs w:val="20"/>
        </w:rPr>
        <w:t>))</w:t>
      </w:r>
    </w:p>
    <w:p w14:paraId="0D42066E" w14:textId="66C249A0" w:rsidR="003A3342" w:rsidRDefault="003A3342" w:rsidP="00641710">
      <w:pPr>
        <w:spacing w:after="120"/>
        <w:jc w:val="both"/>
        <w:rPr>
          <w:rFonts w:ascii="Arial" w:hAnsi="Arial" w:cs="Arial"/>
          <w:b/>
          <w:sz w:val="20"/>
          <w:szCs w:val="20"/>
          <w:highlight w:val="yellow"/>
        </w:rPr>
      </w:pPr>
      <w:r>
        <w:rPr>
          <w:rFonts w:ascii="Arial" w:hAnsi="Arial" w:cs="Arial"/>
          <w:sz w:val="20"/>
          <w:szCs w:val="20"/>
        </w:rPr>
        <w:t xml:space="preserve">The receiver blocking requirement of the notional receiver has been updated to account for larger bandwidth systems typically associated with </w:t>
      </w:r>
      <w:r w:rsidR="00E33AE9">
        <w:rPr>
          <w:rFonts w:ascii="Arial" w:hAnsi="Arial" w:cs="Arial"/>
          <w:sz w:val="20"/>
          <w:szCs w:val="20"/>
        </w:rPr>
        <w:t>next generation fixed and mobile wireless broadband systems</w:t>
      </w:r>
      <w:r>
        <w:rPr>
          <w:rFonts w:ascii="Arial" w:hAnsi="Arial" w:cs="Arial"/>
          <w:sz w:val="20"/>
          <w:szCs w:val="20"/>
        </w:rPr>
        <w:t>.</w:t>
      </w:r>
    </w:p>
    <w:p w14:paraId="59972DCD" w14:textId="40162544" w:rsidR="003A3342" w:rsidRDefault="003A3342" w:rsidP="00641710">
      <w:pPr>
        <w:spacing w:after="120"/>
        <w:rPr>
          <w:rFonts w:ascii="Arial" w:hAnsi="Arial" w:cs="Arial"/>
          <w:b/>
          <w:bCs/>
          <w:sz w:val="20"/>
          <w:szCs w:val="20"/>
          <w:lang w:eastAsia="en-AU"/>
        </w:rPr>
      </w:pPr>
    </w:p>
    <w:p w14:paraId="0F2B9B23" w14:textId="6EEDEB3D" w:rsidR="003A3342" w:rsidRPr="00641710" w:rsidRDefault="003A3342"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1</w:t>
      </w:r>
      <w:r w:rsidR="003C105B">
        <w:rPr>
          <w:rFonts w:ascii="Arial" w:hAnsi="Arial" w:cs="Arial"/>
          <w:b/>
          <w:sz w:val="20"/>
          <w:szCs w:val="20"/>
        </w:rPr>
        <w:t>2</w:t>
      </w:r>
      <w:r w:rsidRPr="00212A15">
        <w:rPr>
          <w:rFonts w:ascii="Arial" w:hAnsi="Arial" w:cs="Arial"/>
          <w:b/>
          <w:sz w:val="20"/>
          <w:szCs w:val="20"/>
        </w:rPr>
        <w:tab/>
      </w:r>
      <w:r>
        <w:rPr>
          <w:rFonts w:ascii="Arial" w:hAnsi="Arial" w:cs="Arial"/>
          <w:b/>
          <w:sz w:val="20"/>
          <w:szCs w:val="20"/>
        </w:rPr>
        <w:t>Schedule 3</w:t>
      </w:r>
    </w:p>
    <w:p w14:paraId="16EB4756" w14:textId="7F18DE89" w:rsidR="003A3342" w:rsidRDefault="003A3342" w:rsidP="00641710">
      <w:pPr>
        <w:spacing w:after="120"/>
        <w:jc w:val="both"/>
        <w:rPr>
          <w:rFonts w:ascii="Arial" w:hAnsi="Arial" w:cs="Arial"/>
          <w:sz w:val="20"/>
          <w:szCs w:val="20"/>
        </w:rPr>
      </w:pPr>
      <w:r>
        <w:rPr>
          <w:rFonts w:ascii="Arial" w:hAnsi="Arial" w:cs="Arial"/>
          <w:sz w:val="20"/>
          <w:szCs w:val="20"/>
        </w:rPr>
        <w:t xml:space="preserve">Schedule 3 has been repealed because it is no longer required to manage adjacent band interference. This is done via the mechanisms </w:t>
      </w:r>
      <w:r w:rsidR="0021278B">
        <w:rPr>
          <w:rFonts w:ascii="Arial" w:hAnsi="Arial" w:cs="Arial"/>
          <w:sz w:val="20"/>
          <w:szCs w:val="20"/>
        </w:rPr>
        <w:t xml:space="preserve">referred to </w:t>
      </w:r>
      <w:r>
        <w:rPr>
          <w:rFonts w:ascii="Arial" w:hAnsi="Arial" w:cs="Arial"/>
          <w:sz w:val="20"/>
          <w:szCs w:val="20"/>
        </w:rPr>
        <w:t xml:space="preserve">in the </w:t>
      </w:r>
      <w:r w:rsidR="000E706B">
        <w:rPr>
          <w:rFonts w:ascii="Arial" w:hAnsi="Arial" w:cs="Arial"/>
          <w:sz w:val="20"/>
          <w:szCs w:val="20"/>
        </w:rPr>
        <w:t>amended</w:t>
      </w:r>
      <w:r>
        <w:rPr>
          <w:rFonts w:ascii="Arial" w:hAnsi="Arial" w:cs="Arial"/>
          <w:sz w:val="20"/>
          <w:szCs w:val="20"/>
        </w:rPr>
        <w:t xml:space="preserve"> subsection 5.1(3) of RAG Rx.</w:t>
      </w:r>
    </w:p>
    <w:p w14:paraId="618C4548" w14:textId="77777777" w:rsidR="002E2A8D" w:rsidRDefault="002E2A8D" w:rsidP="00641710">
      <w:pPr>
        <w:spacing w:after="120"/>
        <w:rPr>
          <w:rFonts w:ascii="Arial" w:hAnsi="Arial" w:cs="Arial"/>
          <w:b/>
          <w:bCs/>
          <w:sz w:val="20"/>
          <w:szCs w:val="20"/>
          <w:lang w:eastAsia="en-AU"/>
        </w:rPr>
      </w:pPr>
    </w:p>
    <w:p w14:paraId="64D5100B" w14:textId="34C1E71E" w:rsidR="002E2A8D" w:rsidRPr="00641710" w:rsidRDefault="002E2A8D" w:rsidP="00641710">
      <w:pPr>
        <w:keepNext/>
        <w:tabs>
          <w:tab w:val="left" w:pos="6345"/>
        </w:tabs>
        <w:spacing w:after="120"/>
        <w:jc w:val="both"/>
        <w:rPr>
          <w:rFonts w:ascii="Arial" w:hAnsi="Arial" w:cs="Arial"/>
          <w:b/>
          <w:color w:val="000000"/>
          <w:sz w:val="20"/>
          <w:szCs w:val="20"/>
        </w:rPr>
      </w:pPr>
      <w:r>
        <w:rPr>
          <w:rFonts w:ascii="Arial" w:hAnsi="Arial" w:cs="Arial"/>
          <w:b/>
          <w:color w:val="000000"/>
          <w:sz w:val="20"/>
          <w:szCs w:val="20"/>
        </w:rPr>
        <w:t>Schedule 4</w:t>
      </w:r>
      <w:r w:rsidRPr="00212A15">
        <w:rPr>
          <w:rFonts w:ascii="Arial" w:hAnsi="Arial" w:cs="Arial"/>
          <w:b/>
          <w:color w:val="000000"/>
          <w:sz w:val="20"/>
          <w:szCs w:val="20"/>
        </w:rPr>
        <w:t xml:space="preserve"> – Amendments</w:t>
      </w:r>
    </w:p>
    <w:p w14:paraId="031BE01A" w14:textId="0DCC3A86" w:rsidR="002E2A8D" w:rsidRPr="00641710" w:rsidRDefault="002E2A8D" w:rsidP="00641710">
      <w:pPr>
        <w:spacing w:after="120"/>
        <w:jc w:val="both"/>
        <w:rPr>
          <w:rFonts w:ascii="Arial" w:hAnsi="Arial" w:cs="Arial"/>
          <w:b/>
          <w:sz w:val="20"/>
          <w:szCs w:val="20"/>
        </w:rPr>
      </w:pPr>
      <w:r w:rsidRPr="00212A15">
        <w:rPr>
          <w:rFonts w:ascii="Arial" w:hAnsi="Arial" w:cs="Arial"/>
          <w:b/>
          <w:sz w:val="20"/>
          <w:szCs w:val="20"/>
        </w:rPr>
        <w:t>Item 1</w:t>
      </w:r>
      <w:r w:rsidRPr="00212A15">
        <w:rPr>
          <w:rFonts w:ascii="Arial" w:hAnsi="Arial" w:cs="Arial"/>
          <w:b/>
          <w:sz w:val="20"/>
          <w:szCs w:val="20"/>
        </w:rPr>
        <w:tab/>
        <w:t>Subsection 1.</w:t>
      </w:r>
      <w:r w:rsidR="00E31B78">
        <w:rPr>
          <w:rFonts w:ascii="Arial" w:hAnsi="Arial" w:cs="Arial"/>
          <w:b/>
          <w:sz w:val="20"/>
          <w:szCs w:val="20"/>
        </w:rPr>
        <w:t>5</w:t>
      </w:r>
      <w:r w:rsidRPr="00212A15">
        <w:rPr>
          <w:rFonts w:ascii="Arial" w:hAnsi="Arial" w:cs="Arial"/>
          <w:b/>
          <w:sz w:val="20"/>
          <w:szCs w:val="20"/>
        </w:rPr>
        <w:t>(1) (definition of</w:t>
      </w:r>
      <w:r w:rsidRPr="00CB44BA">
        <w:rPr>
          <w:rFonts w:ascii="Arial" w:hAnsi="Arial" w:cs="Arial"/>
          <w:b/>
          <w:i/>
          <w:sz w:val="20"/>
          <w:szCs w:val="20"/>
        </w:rPr>
        <w:t xml:space="preserve"> 3.4 GHz band</w:t>
      </w:r>
      <w:r w:rsidRPr="00212A15">
        <w:rPr>
          <w:rFonts w:ascii="Arial" w:hAnsi="Arial" w:cs="Arial"/>
          <w:b/>
          <w:sz w:val="20"/>
          <w:szCs w:val="20"/>
        </w:rPr>
        <w:t>)</w:t>
      </w:r>
    </w:p>
    <w:p w14:paraId="5F70F3F9" w14:textId="33102126" w:rsidR="002E2A8D" w:rsidRPr="002F347C" w:rsidRDefault="002E2A8D" w:rsidP="00641710">
      <w:pPr>
        <w:spacing w:after="120"/>
        <w:jc w:val="both"/>
        <w:rPr>
          <w:rFonts w:ascii="Arial" w:hAnsi="Arial" w:cs="Arial"/>
          <w:sz w:val="20"/>
          <w:szCs w:val="20"/>
        </w:rPr>
      </w:pPr>
      <w:r w:rsidRPr="002F347C">
        <w:rPr>
          <w:rFonts w:ascii="Arial" w:hAnsi="Arial" w:cs="Arial"/>
          <w:sz w:val="20"/>
          <w:szCs w:val="20"/>
        </w:rPr>
        <w:t xml:space="preserve">The definition of the </w:t>
      </w:r>
      <w:r w:rsidRPr="003436F1">
        <w:rPr>
          <w:rFonts w:ascii="Arial" w:hAnsi="Arial" w:cs="Arial"/>
          <w:b/>
          <w:i/>
          <w:sz w:val="20"/>
          <w:szCs w:val="20"/>
        </w:rPr>
        <w:t>3.4 GHz band</w:t>
      </w:r>
      <w:r w:rsidRPr="002F347C">
        <w:rPr>
          <w:rFonts w:ascii="Arial" w:hAnsi="Arial" w:cs="Arial"/>
          <w:sz w:val="20"/>
          <w:szCs w:val="20"/>
        </w:rPr>
        <w:t xml:space="preserve"> </w:t>
      </w:r>
      <w:r w:rsidR="00A902CE">
        <w:rPr>
          <w:rFonts w:ascii="Arial" w:hAnsi="Arial" w:cs="Arial"/>
          <w:sz w:val="20"/>
          <w:szCs w:val="20"/>
        </w:rPr>
        <w:t>in the RAG T</w:t>
      </w:r>
      <w:r>
        <w:rPr>
          <w:rFonts w:ascii="Arial" w:hAnsi="Arial" w:cs="Arial"/>
          <w:sz w:val="20"/>
          <w:szCs w:val="20"/>
        </w:rPr>
        <w:t xml:space="preserve">x </w:t>
      </w:r>
      <w:r w:rsidRPr="002F347C">
        <w:rPr>
          <w:rFonts w:ascii="Arial" w:hAnsi="Arial" w:cs="Arial"/>
          <w:sz w:val="20"/>
          <w:szCs w:val="20"/>
        </w:rPr>
        <w:t xml:space="preserve">has been extended to include the 3.6 GHz band. </w:t>
      </w:r>
    </w:p>
    <w:p w14:paraId="0B4C8FF3" w14:textId="77777777" w:rsidR="002E2A8D" w:rsidRPr="00111891" w:rsidRDefault="002E2A8D" w:rsidP="00641710">
      <w:pPr>
        <w:spacing w:after="120"/>
        <w:jc w:val="both"/>
        <w:rPr>
          <w:rFonts w:ascii="Arial" w:hAnsi="Arial" w:cs="Arial"/>
          <w:sz w:val="20"/>
          <w:szCs w:val="20"/>
          <w:highlight w:val="yellow"/>
        </w:rPr>
      </w:pPr>
    </w:p>
    <w:p w14:paraId="4334374F" w14:textId="7050FF99" w:rsidR="009010D9" w:rsidRPr="00641710" w:rsidRDefault="009010D9" w:rsidP="00641710">
      <w:pPr>
        <w:spacing w:after="120"/>
        <w:jc w:val="both"/>
        <w:rPr>
          <w:rFonts w:ascii="Arial" w:hAnsi="Arial" w:cs="Arial"/>
          <w:b/>
          <w:sz w:val="20"/>
          <w:szCs w:val="20"/>
          <w:highlight w:val="yellow"/>
        </w:rPr>
      </w:pPr>
      <w:r w:rsidRPr="00212A15">
        <w:rPr>
          <w:rFonts w:ascii="Arial" w:hAnsi="Arial" w:cs="Arial"/>
          <w:b/>
          <w:sz w:val="20"/>
          <w:szCs w:val="20"/>
        </w:rPr>
        <w:t>Item</w:t>
      </w:r>
      <w:r>
        <w:rPr>
          <w:rFonts w:ascii="Arial" w:hAnsi="Arial" w:cs="Arial"/>
          <w:b/>
          <w:sz w:val="20"/>
          <w:szCs w:val="20"/>
        </w:rPr>
        <w:t xml:space="preserve"> 2</w:t>
      </w:r>
      <w:r w:rsidRPr="00212A15">
        <w:rPr>
          <w:rFonts w:ascii="Arial" w:hAnsi="Arial" w:cs="Arial"/>
          <w:b/>
          <w:sz w:val="20"/>
          <w:szCs w:val="20"/>
        </w:rPr>
        <w:tab/>
      </w:r>
      <w:r w:rsidRPr="00A902CE">
        <w:rPr>
          <w:rFonts w:ascii="Arial" w:hAnsi="Arial" w:cs="Arial"/>
          <w:b/>
          <w:sz w:val="20"/>
          <w:szCs w:val="20"/>
        </w:rPr>
        <w:t xml:space="preserve">Subsection 1.5(1) (definition of </w:t>
      </w:r>
      <w:r w:rsidRPr="00CB44BA">
        <w:rPr>
          <w:rFonts w:ascii="Arial" w:hAnsi="Arial" w:cs="Arial"/>
          <w:b/>
          <w:i/>
          <w:sz w:val="20"/>
          <w:szCs w:val="20"/>
        </w:rPr>
        <w:t>RALI FX19</w:t>
      </w:r>
      <w:r w:rsidRPr="00A902CE">
        <w:rPr>
          <w:rFonts w:ascii="Arial" w:hAnsi="Arial" w:cs="Arial"/>
          <w:b/>
          <w:sz w:val="20"/>
          <w:szCs w:val="20"/>
        </w:rPr>
        <w:t>)</w:t>
      </w:r>
    </w:p>
    <w:p w14:paraId="453AA2D9" w14:textId="77777777" w:rsidR="009010D9" w:rsidRPr="006D2DF4" w:rsidRDefault="009010D9" w:rsidP="00641710">
      <w:pPr>
        <w:spacing w:after="120"/>
        <w:jc w:val="both"/>
        <w:rPr>
          <w:rFonts w:ascii="Arial" w:hAnsi="Arial" w:cs="Arial"/>
          <w:sz w:val="20"/>
          <w:szCs w:val="20"/>
        </w:rPr>
      </w:pPr>
      <w:r>
        <w:rPr>
          <w:rFonts w:ascii="Arial" w:hAnsi="Arial" w:cs="Arial"/>
          <w:sz w:val="20"/>
          <w:szCs w:val="20"/>
        </w:rPr>
        <w:t>The title of RALI FX19 has been updated to reflect the removal of the 2010-2025 MHz band from the RALI.</w:t>
      </w:r>
    </w:p>
    <w:p w14:paraId="32C66F7A" w14:textId="77777777" w:rsidR="009010D9" w:rsidRDefault="009010D9" w:rsidP="00641710">
      <w:pPr>
        <w:spacing w:after="120"/>
        <w:jc w:val="both"/>
        <w:rPr>
          <w:rFonts w:ascii="Arial" w:hAnsi="Arial" w:cs="Arial"/>
          <w:b/>
          <w:sz w:val="20"/>
          <w:szCs w:val="20"/>
        </w:rPr>
      </w:pPr>
    </w:p>
    <w:p w14:paraId="5A24431F" w14:textId="3DA14E98" w:rsidR="002E2A8D" w:rsidRPr="00641710" w:rsidRDefault="002E2A8D" w:rsidP="00641710">
      <w:pPr>
        <w:spacing w:after="120"/>
        <w:jc w:val="both"/>
        <w:rPr>
          <w:rFonts w:ascii="Arial" w:hAnsi="Arial" w:cs="Arial"/>
          <w:b/>
          <w:sz w:val="20"/>
          <w:szCs w:val="20"/>
        </w:rPr>
      </w:pPr>
      <w:r w:rsidRPr="00212A15">
        <w:rPr>
          <w:rFonts w:ascii="Arial" w:hAnsi="Arial" w:cs="Arial"/>
          <w:b/>
          <w:sz w:val="20"/>
          <w:szCs w:val="20"/>
        </w:rPr>
        <w:t>Item</w:t>
      </w:r>
      <w:r>
        <w:rPr>
          <w:rFonts w:ascii="Arial" w:hAnsi="Arial" w:cs="Arial"/>
          <w:b/>
          <w:sz w:val="20"/>
          <w:szCs w:val="20"/>
        </w:rPr>
        <w:t xml:space="preserve"> </w:t>
      </w:r>
      <w:r w:rsidR="009010D9">
        <w:rPr>
          <w:rFonts w:ascii="Arial" w:hAnsi="Arial" w:cs="Arial"/>
          <w:b/>
          <w:sz w:val="20"/>
          <w:szCs w:val="20"/>
        </w:rPr>
        <w:t>3</w:t>
      </w:r>
      <w:r w:rsidRPr="00212A15">
        <w:rPr>
          <w:rFonts w:ascii="Arial" w:hAnsi="Arial" w:cs="Arial"/>
          <w:b/>
          <w:sz w:val="20"/>
          <w:szCs w:val="20"/>
        </w:rPr>
        <w:tab/>
      </w:r>
      <w:r w:rsidR="00A902CE" w:rsidRPr="00A902CE">
        <w:rPr>
          <w:rFonts w:ascii="Arial" w:hAnsi="Arial" w:cs="Arial"/>
          <w:b/>
          <w:sz w:val="20"/>
          <w:szCs w:val="20"/>
        </w:rPr>
        <w:t xml:space="preserve">Subsection 1.5(1) (after the definition of </w:t>
      </w:r>
      <w:r w:rsidR="009010D9" w:rsidRPr="003436F1">
        <w:rPr>
          <w:rFonts w:ascii="Arial" w:hAnsi="Arial" w:cs="Arial"/>
          <w:b/>
          <w:i/>
          <w:sz w:val="20"/>
          <w:szCs w:val="20"/>
        </w:rPr>
        <w:t>RALI MS 39</w:t>
      </w:r>
      <w:r w:rsidR="009010D9" w:rsidRPr="00A902CE" w:rsidDel="009010D9">
        <w:rPr>
          <w:rFonts w:ascii="Arial" w:hAnsi="Arial" w:cs="Arial"/>
          <w:b/>
          <w:i/>
          <w:sz w:val="20"/>
          <w:szCs w:val="20"/>
        </w:rPr>
        <w:t xml:space="preserve"> </w:t>
      </w:r>
      <w:r w:rsidR="00A902CE" w:rsidRPr="00A902CE">
        <w:rPr>
          <w:rFonts w:ascii="Arial" w:hAnsi="Arial" w:cs="Arial"/>
          <w:b/>
          <w:sz w:val="20"/>
          <w:szCs w:val="20"/>
        </w:rPr>
        <w:t>)</w:t>
      </w:r>
    </w:p>
    <w:p w14:paraId="083DE785" w14:textId="532D0E45" w:rsidR="00A902CE" w:rsidRPr="002F347C" w:rsidRDefault="00EA425B" w:rsidP="00641710">
      <w:pPr>
        <w:spacing w:after="120"/>
        <w:jc w:val="both"/>
        <w:rPr>
          <w:rFonts w:ascii="Arial" w:hAnsi="Arial" w:cs="Arial"/>
          <w:sz w:val="20"/>
          <w:szCs w:val="20"/>
        </w:rPr>
      </w:pPr>
      <w:r>
        <w:rPr>
          <w:rFonts w:ascii="Arial" w:hAnsi="Arial" w:cs="Arial"/>
          <w:sz w:val="20"/>
          <w:szCs w:val="20"/>
        </w:rPr>
        <w:t>A</w:t>
      </w:r>
      <w:r w:rsidRPr="002F347C">
        <w:rPr>
          <w:rFonts w:ascii="Arial" w:hAnsi="Arial" w:cs="Arial"/>
          <w:sz w:val="20"/>
          <w:szCs w:val="20"/>
        </w:rPr>
        <w:t xml:space="preserve"> </w:t>
      </w:r>
      <w:r w:rsidR="00A902CE" w:rsidRPr="002F347C">
        <w:rPr>
          <w:rFonts w:ascii="Arial" w:hAnsi="Arial" w:cs="Arial"/>
          <w:sz w:val="20"/>
          <w:szCs w:val="20"/>
        </w:rPr>
        <w:t xml:space="preserve">definition of </w:t>
      </w:r>
      <w:r w:rsidR="00A902CE" w:rsidRPr="003436F1">
        <w:rPr>
          <w:rFonts w:ascii="Arial" w:hAnsi="Arial" w:cs="Arial"/>
          <w:b/>
          <w:i/>
          <w:sz w:val="20"/>
          <w:szCs w:val="20"/>
        </w:rPr>
        <w:t>RALI MS</w:t>
      </w:r>
      <w:r w:rsidR="002C68AE">
        <w:rPr>
          <w:rFonts w:ascii="Arial" w:hAnsi="Arial" w:cs="Arial"/>
          <w:b/>
          <w:i/>
          <w:sz w:val="20"/>
          <w:szCs w:val="20"/>
        </w:rPr>
        <w:t xml:space="preserve"> </w:t>
      </w:r>
      <w:r w:rsidR="00A902CE" w:rsidRPr="003436F1">
        <w:rPr>
          <w:rFonts w:ascii="Arial" w:hAnsi="Arial" w:cs="Arial"/>
          <w:b/>
          <w:i/>
          <w:sz w:val="20"/>
          <w:szCs w:val="20"/>
        </w:rPr>
        <w:t>44</w:t>
      </w:r>
      <w:r w:rsidR="00A902CE">
        <w:rPr>
          <w:rFonts w:ascii="Arial" w:hAnsi="Arial" w:cs="Arial"/>
          <w:sz w:val="20"/>
          <w:szCs w:val="20"/>
        </w:rPr>
        <w:t xml:space="preserve"> has been included. </w:t>
      </w:r>
      <w:r w:rsidR="00A902CE" w:rsidRPr="002F347C">
        <w:rPr>
          <w:rFonts w:ascii="Arial" w:hAnsi="Arial" w:cs="Arial"/>
          <w:sz w:val="20"/>
          <w:szCs w:val="20"/>
        </w:rPr>
        <w:t xml:space="preserve">This is </w:t>
      </w:r>
      <w:r w:rsidR="00A902CE">
        <w:rPr>
          <w:rFonts w:ascii="Arial" w:hAnsi="Arial" w:cs="Arial"/>
          <w:sz w:val="20"/>
          <w:szCs w:val="20"/>
        </w:rPr>
        <w:t xml:space="preserve">because it is referenced in new Parts 9 and 10 of the RAG Tx. </w:t>
      </w:r>
    </w:p>
    <w:p w14:paraId="1059A7EE" w14:textId="77777777" w:rsidR="002E2A8D" w:rsidRDefault="002E2A8D" w:rsidP="00641710">
      <w:pPr>
        <w:spacing w:after="120"/>
        <w:jc w:val="both"/>
        <w:rPr>
          <w:rFonts w:ascii="Arial" w:hAnsi="Arial" w:cs="Arial"/>
          <w:b/>
          <w:sz w:val="20"/>
          <w:szCs w:val="20"/>
          <w:highlight w:val="yellow"/>
        </w:rPr>
      </w:pPr>
    </w:p>
    <w:p w14:paraId="1F4B08AB" w14:textId="27A8D536" w:rsidR="00A902CE" w:rsidRPr="00641710" w:rsidRDefault="00A902CE" w:rsidP="00641710">
      <w:pPr>
        <w:keepNext/>
        <w:spacing w:after="120"/>
        <w:jc w:val="both"/>
        <w:rPr>
          <w:rFonts w:ascii="Arial" w:hAnsi="Arial" w:cs="Arial"/>
          <w:b/>
          <w:sz w:val="20"/>
          <w:szCs w:val="20"/>
          <w:highlight w:val="yellow"/>
        </w:rPr>
      </w:pPr>
      <w:r w:rsidRPr="00212A15">
        <w:rPr>
          <w:rFonts w:ascii="Arial" w:hAnsi="Arial" w:cs="Arial"/>
          <w:b/>
          <w:sz w:val="20"/>
          <w:szCs w:val="20"/>
        </w:rPr>
        <w:t>Item</w:t>
      </w:r>
      <w:r>
        <w:rPr>
          <w:rFonts w:ascii="Arial" w:hAnsi="Arial" w:cs="Arial"/>
          <w:b/>
          <w:sz w:val="20"/>
          <w:szCs w:val="20"/>
        </w:rPr>
        <w:t xml:space="preserve"> 4</w:t>
      </w:r>
      <w:r w:rsidRPr="00212A15">
        <w:rPr>
          <w:rFonts w:ascii="Arial" w:hAnsi="Arial" w:cs="Arial"/>
          <w:b/>
          <w:sz w:val="20"/>
          <w:szCs w:val="20"/>
        </w:rPr>
        <w:tab/>
      </w:r>
      <w:r w:rsidRPr="00A902CE">
        <w:rPr>
          <w:rFonts w:ascii="Arial" w:hAnsi="Arial" w:cs="Arial"/>
          <w:b/>
          <w:sz w:val="20"/>
          <w:szCs w:val="20"/>
        </w:rPr>
        <w:t>Section 2.3 (first dot point)</w:t>
      </w:r>
    </w:p>
    <w:p w14:paraId="1C985CF1" w14:textId="06E96B88" w:rsidR="00A902CE" w:rsidRPr="006D2DF4" w:rsidRDefault="00A902CE" w:rsidP="00641710">
      <w:pPr>
        <w:spacing w:after="120"/>
        <w:jc w:val="both"/>
        <w:rPr>
          <w:rFonts w:ascii="Arial" w:hAnsi="Arial" w:cs="Arial"/>
          <w:sz w:val="20"/>
          <w:szCs w:val="20"/>
        </w:rPr>
      </w:pPr>
      <w:r>
        <w:rPr>
          <w:rFonts w:ascii="Arial" w:hAnsi="Arial" w:cs="Arial"/>
          <w:sz w:val="20"/>
          <w:szCs w:val="20"/>
        </w:rPr>
        <w:t>With the extension of the definition of the 3.4 GHz band to include the 3.6 GHz band</w:t>
      </w:r>
      <w:r w:rsidR="00681ED2">
        <w:rPr>
          <w:rFonts w:ascii="Arial" w:hAnsi="Arial" w:cs="Arial"/>
          <w:sz w:val="20"/>
          <w:szCs w:val="20"/>
        </w:rPr>
        <w:t>,</w:t>
      </w:r>
      <w:r>
        <w:rPr>
          <w:rFonts w:ascii="Arial" w:hAnsi="Arial" w:cs="Arial"/>
          <w:sz w:val="20"/>
          <w:szCs w:val="20"/>
        </w:rPr>
        <w:t xml:space="preserve"> fixed links now also operate within the 3.4 GHz band, not just adjacent to it. Section 2.3 has been amended to reflect this. </w:t>
      </w:r>
    </w:p>
    <w:p w14:paraId="78A6A2F5" w14:textId="77777777" w:rsidR="00A902CE" w:rsidRDefault="00A902CE" w:rsidP="00641710">
      <w:pPr>
        <w:spacing w:after="120"/>
        <w:rPr>
          <w:rFonts w:ascii="Arial" w:hAnsi="Arial" w:cs="Arial"/>
          <w:b/>
          <w:bCs/>
          <w:sz w:val="20"/>
          <w:szCs w:val="20"/>
          <w:lang w:eastAsia="en-AU"/>
        </w:rPr>
      </w:pPr>
    </w:p>
    <w:p w14:paraId="3B0ED05E" w14:textId="5FE6787A" w:rsidR="001E6AD7" w:rsidRPr="00641710" w:rsidRDefault="001E6AD7" w:rsidP="00641710">
      <w:pPr>
        <w:spacing w:after="120"/>
        <w:jc w:val="both"/>
        <w:rPr>
          <w:rFonts w:ascii="Arial" w:hAnsi="Arial" w:cs="Arial"/>
          <w:b/>
          <w:sz w:val="20"/>
          <w:szCs w:val="20"/>
          <w:highlight w:val="yellow"/>
        </w:rPr>
      </w:pPr>
      <w:r w:rsidRPr="00212A15">
        <w:rPr>
          <w:rFonts w:ascii="Arial" w:hAnsi="Arial" w:cs="Arial"/>
          <w:b/>
          <w:sz w:val="20"/>
          <w:szCs w:val="20"/>
        </w:rPr>
        <w:t>Item</w:t>
      </w:r>
      <w:r>
        <w:rPr>
          <w:rFonts w:ascii="Arial" w:hAnsi="Arial" w:cs="Arial"/>
          <w:b/>
          <w:sz w:val="20"/>
          <w:szCs w:val="20"/>
        </w:rPr>
        <w:t xml:space="preserve"> 5</w:t>
      </w:r>
      <w:r w:rsidRPr="00212A15">
        <w:rPr>
          <w:rFonts w:ascii="Arial" w:hAnsi="Arial" w:cs="Arial"/>
          <w:b/>
          <w:sz w:val="20"/>
          <w:szCs w:val="20"/>
        </w:rPr>
        <w:tab/>
      </w:r>
      <w:r w:rsidRPr="001E6AD7">
        <w:rPr>
          <w:rFonts w:ascii="Arial" w:hAnsi="Arial" w:cs="Arial"/>
          <w:b/>
          <w:sz w:val="20"/>
          <w:szCs w:val="20"/>
        </w:rPr>
        <w:t>Section 2.3 (fifth dot point)</w:t>
      </w:r>
    </w:p>
    <w:p w14:paraId="425C8469" w14:textId="318306B3" w:rsidR="001E6AD7" w:rsidRPr="006D2DF4" w:rsidRDefault="001E6AD7" w:rsidP="00641710">
      <w:pPr>
        <w:spacing w:after="120"/>
        <w:jc w:val="both"/>
        <w:rPr>
          <w:rFonts w:ascii="Arial" w:hAnsi="Arial" w:cs="Arial"/>
          <w:sz w:val="20"/>
          <w:szCs w:val="20"/>
        </w:rPr>
      </w:pPr>
      <w:r>
        <w:rPr>
          <w:rFonts w:ascii="Arial" w:hAnsi="Arial" w:cs="Arial"/>
          <w:sz w:val="20"/>
          <w:szCs w:val="20"/>
        </w:rPr>
        <w:t>Section 2.3 has been updated to include reference</w:t>
      </w:r>
      <w:r w:rsidR="00EA425B">
        <w:rPr>
          <w:rFonts w:ascii="Arial" w:hAnsi="Arial" w:cs="Arial"/>
          <w:sz w:val="20"/>
          <w:szCs w:val="20"/>
        </w:rPr>
        <w:t>s</w:t>
      </w:r>
      <w:r>
        <w:rPr>
          <w:rFonts w:ascii="Arial" w:hAnsi="Arial" w:cs="Arial"/>
          <w:sz w:val="20"/>
          <w:szCs w:val="20"/>
        </w:rPr>
        <w:t xml:space="preserve"> to new Parts 9 and 10.</w:t>
      </w:r>
      <w:r w:rsidR="005E4016">
        <w:rPr>
          <w:rFonts w:ascii="Arial" w:hAnsi="Arial" w:cs="Arial"/>
          <w:sz w:val="20"/>
          <w:szCs w:val="20"/>
        </w:rPr>
        <w:t xml:space="preserve"> A note has been added providing guidance on how devices with AAS </w:t>
      </w:r>
      <w:r w:rsidR="005D6345">
        <w:rPr>
          <w:rFonts w:ascii="Arial" w:hAnsi="Arial" w:cs="Arial"/>
          <w:sz w:val="20"/>
          <w:szCs w:val="20"/>
        </w:rPr>
        <w:t xml:space="preserve">are dealt with </w:t>
      </w:r>
      <w:r w:rsidR="005E4016">
        <w:rPr>
          <w:rFonts w:ascii="Arial" w:hAnsi="Arial" w:cs="Arial"/>
          <w:sz w:val="20"/>
          <w:szCs w:val="20"/>
        </w:rPr>
        <w:t>for the purposes of managing interference.</w:t>
      </w:r>
    </w:p>
    <w:p w14:paraId="33B64556" w14:textId="77777777" w:rsidR="001E6AD7" w:rsidRDefault="001E6AD7" w:rsidP="00641710">
      <w:pPr>
        <w:spacing w:after="120"/>
        <w:rPr>
          <w:rFonts w:ascii="Arial" w:hAnsi="Arial" w:cs="Arial"/>
          <w:b/>
          <w:bCs/>
          <w:sz w:val="20"/>
          <w:szCs w:val="20"/>
          <w:lang w:eastAsia="en-AU"/>
        </w:rPr>
      </w:pPr>
    </w:p>
    <w:p w14:paraId="67B37945" w14:textId="130839E2" w:rsidR="001E6AD7" w:rsidRPr="00641710" w:rsidRDefault="001E6AD7" w:rsidP="00641710">
      <w:pPr>
        <w:spacing w:after="120"/>
        <w:jc w:val="both"/>
        <w:rPr>
          <w:rFonts w:ascii="Arial" w:hAnsi="Arial" w:cs="Arial"/>
          <w:b/>
          <w:sz w:val="20"/>
          <w:szCs w:val="20"/>
          <w:highlight w:val="yellow"/>
        </w:rPr>
      </w:pPr>
      <w:r w:rsidRPr="00212A15">
        <w:rPr>
          <w:rFonts w:ascii="Arial" w:hAnsi="Arial" w:cs="Arial"/>
          <w:b/>
          <w:sz w:val="20"/>
          <w:szCs w:val="20"/>
        </w:rPr>
        <w:t>Item</w:t>
      </w:r>
      <w:r>
        <w:rPr>
          <w:rFonts w:ascii="Arial" w:hAnsi="Arial" w:cs="Arial"/>
          <w:b/>
          <w:sz w:val="20"/>
          <w:szCs w:val="20"/>
        </w:rPr>
        <w:t xml:space="preserve"> 6</w:t>
      </w:r>
      <w:r w:rsidRPr="00212A15">
        <w:rPr>
          <w:rFonts w:ascii="Arial" w:hAnsi="Arial" w:cs="Arial"/>
          <w:b/>
          <w:sz w:val="20"/>
          <w:szCs w:val="20"/>
        </w:rPr>
        <w:tab/>
      </w:r>
      <w:r w:rsidRPr="001E6AD7">
        <w:rPr>
          <w:rFonts w:ascii="Arial" w:hAnsi="Arial" w:cs="Arial"/>
          <w:b/>
          <w:sz w:val="20"/>
          <w:szCs w:val="20"/>
        </w:rPr>
        <w:t>Subsection 3.1(1)</w:t>
      </w:r>
    </w:p>
    <w:p w14:paraId="5D0383CD" w14:textId="1BC0D785" w:rsidR="001E6AD7" w:rsidRPr="006D2DF4" w:rsidRDefault="001E6AD7" w:rsidP="00641710">
      <w:pPr>
        <w:spacing w:after="120"/>
        <w:jc w:val="both"/>
        <w:rPr>
          <w:rFonts w:ascii="Arial" w:hAnsi="Arial" w:cs="Arial"/>
          <w:sz w:val="20"/>
          <w:szCs w:val="20"/>
        </w:rPr>
      </w:pPr>
      <w:r>
        <w:rPr>
          <w:rFonts w:ascii="Arial" w:hAnsi="Arial" w:cs="Arial"/>
          <w:sz w:val="20"/>
          <w:szCs w:val="20"/>
        </w:rPr>
        <w:t xml:space="preserve">With the extension of the definition of the 3.4 GHz band to include the 3.6 GHz band fixed links now also operate within the </w:t>
      </w:r>
      <w:r w:rsidR="00EA425B">
        <w:rPr>
          <w:rFonts w:ascii="Arial" w:hAnsi="Arial" w:cs="Arial"/>
          <w:sz w:val="20"/>
          <w:szCs w:val="20"/>
        </w:rPr>
        <w:t xml:space="preserve">redefined </w:t>
      </w:r>
      <w:r>
        <w:rPr>
          <w:rFonts w:ascii="Arial" w:hAnsi="Arial" w:cs="Arial"/>
          <w:sz w:val="20"/>
          <w:szCs w:val="20"/>
        </w:rPr>
        <w:t xml:space="preserve">3.4 GHz band, not just adjacent to it. Subsection 3.1(1) has been amended to reflect this. </w:t>
      </w:r>
    </w:p>
    <w:p w14:paraId="3E000F0B" w14:textId="77777777" w:rsidR="001E6AD7" w:rsidRDefault="001E6AD7" w:rsidP="00641710">
      <w:pPr>
        <w:spacing w:after="120"/>
        <w:jc w:val="both"/>
        <w:rPr>
          <w:rFonts w:ascii="Arial" w:hAnsi="Arial" w:cs="Arial"/>
          <w:b/>
          <w:bCs/>
          <w:sz w:val="20"/>
          <w:szCs w:val="20"/>
          <w:lang w:eastAsia="en-AU"/>
        </w:rPr>
      </w:pPr>
    </w:p>
    <w:p w14:paraId="234DF250" w14:textId="44186857" w:rsidR="001E6AD7" w:rsidRPr="00F43259" w:rsidRDefault="001E6AD7" w:rsidP="00641710">
      <w:pPr>
        <w:spacing w:after="120"/>
        <w:rPr>
          <w:b/>
          <w:lang w:eastAsia="en-AU"/>
        </w:rPr>
      </w:pPr>
      <w:r w:rsidRPr="00212A15">
        <w:rPr>
          <w:rFonts w:ascii="Arial" w:hAnsi="Arial" w:cs="Arial"/>
          <w:b/>
          <w:sz w:val="20"/>
          <w:szCs w:val="20"/>
        </w:rPr>
        <w:t>Item</w:t>
      </w:r>
      <w:r>
        <w:rPr>
          <w:rFonts w:ascii="Arial" w:hAnsi="Arial" w:cs="Arial"/>
          <w:b/>
          <w:sz w:val="20"/>
          <w:szCs w:val="20"/>
        </w:rPr>
        <w:t xml:space="preserve"> </w:t>
      </w:r>
      <w:r w:rsidR="004B3CDB">
        <w:rPr>
          <w:rFonts w:ascii="Arial" w:hAnsi="Arial" w:cs="Arial"/>
          <w:b/>
          <w:sz w:val="20"/>
          <w:szCs w:val="20"/>
        </w:rPr>
        <w:t>7</w:t>
      </w:r>
      <w:r w:rsidRPr="00212A15">
        <w:rPr>
          <w:rFonts w:ascii="Arial" w:hAnsi="Arial" w:cs="Arial"/>
          <w:b/>
          <w:sz w:val="20"/>
          <w:szCs w:val="20"/>
        </w:rPr>
        <w:tab/>
      </w:r>
      <w:r w:rsidRPr="001E6AD7">
        <w:rPr>
          <w:rFonts w:ascii="Arial" w:hAnsi="Arial" w:cs="Arial"/>
          <w:b/>
          <w:sz w:val="20"/>
          <w:szCs w:val="20"/>
        </w:rPr>
        <w:t>Subsection 4.2 (3) (second sentence)</w:t>
      </w:r>
    </w:p>
    <w:p w14:paraId="0055AE53" w14:textId="5EAA8BC6" w:rsidR="001E6AD7" w:rsidRPr="006D2DF4" w:rsidRDefault="005D6345" w:rsidP="00641710">
      <w:pPr>
        <w:spacing w:after="120"/>
        <w:jc w:val="both"/>
        <w:rPr>
          <w:rFonts w:ascii="Arial" w:hAnsi="Arial" w:cs="Arial"/>
          <w:sz w:val="20"/>
          <w:szCs w:val="20"/>
        </w:rPr>
      </w:pPr>
      <w:r>
        <w:rPr>
          <w:rFonts w:ascii="Arial" w:hAnsi="Arial" w:cs="Arial"/>
          <w:sz w:val="20"/>
          <w:szCs w:val="20"/>
        </w:rPr>
        <w:t xml:space="preserve">A </w:t>
      </w:r>
      <w:r w:rsidR="001E6AD7">
        <w:rPr>
          <w:rFonts w:ascii="Arial" w:hAnsi="Arial" w:cs="Arial"/>
          <w:sz w:val="20"/>
          <w:szCs w:val="20"/>
        </w:rPr>
        <w:t xml:space="preserve">spelling </w:t>
      </w:r>
      <w:r>
        <w:rPr>
          <w:rFonts w:ascii="Arial" w:hAnsi="Arial" w:cs="Arial"/>
          <w:sz w:val="20"/>
          <w:szCs w:val="20"/>
        </w:rPr>
        <w:t xml:space="preserve">error </w:t>
      </w:r>
      <w:r w:rsidR="001E6AD7">
        <w:rPr>
          <w:rFonts w:ascii="Arial" w:hAnsi="Arial" w:cs="Arial"/>
          <w:sz w:val="20"/>
          <w:szCs w:val="20"/>
        </w:rPr>
        <w:t xml:space="preserve">has been corrected. </w:t>
      </w:r>
    </w:p>
    <w:p w14:paraId="4895F05D" w14:textId="77777777" w:rsidR="001E6AD7" w:rsidRDefault="001E6AD7" w:rsidP="00641710">
      <w:pPr>
        <w:spacing w:after="120"/>
        <w:rPr>
          <w:rFonts w:ascii="Arial" w:hAnsi="Arial" w:cs="Arial"/>
          <w:b/>
          <w:bCs/>
          <w:sz w:val="20"/>
          <w:szCs w:val="20"/>
          <w:lang w:eastAsia="en-AU"/>
        </w:rPr>
      </w:pPr>
    </w:p>
    <w:p w14:paraId="3B32FE1F" w14:textId="3F029BA6" w:rsidR="001E6AD7" w:rsidRPr="00F43259" w:rsidRDefault="001E6AD7" w:rsidP="00641710">
      <w:pPr>
        <w:spacing w:after="120"/>
        <w:rPr>
          <w:b/>
          <w:lang w:eastAsia="en-AU"/>
        </w:rPr>
      </w:pPr>
      <w:r w:rsidRPr="00212A15">
        <w:rPr>
          <w:rFonts w:ascii="Arial" w:hAnsi="Arial" w:cs="Arial"/>
          <w:b/>
          <w:sz w:val="20"/>
          <w:szCs w:val="20"/>
        </w:rPr>
        <w:t>Item</w:t>
      </w:r>
      <w:r>
        <w:rPr>
          <w:rFonts w:ascii="Arial" w:hAnsi="Arial" w:cs="Arial"/>
          <w:b/>
          <w:sz w:val="20"/>
          <w:szCs w:val="20"/>
        </w:rPr>
        <w:t xml:space="preserve"> </w:t>
      </w:r>
      <w:r w:rsidR="004B3CDB">
        <w:rPr>
          <w:rFonts w:ascii="Arial" w:hAnsi="Arial" w:cs="Arial"/>
          <w:b/>
          <w:sz w:val="20"/>
          <w:szCs w:val="20"/>
        </w:rPr>
        <w:t>8</w:t>
      </w:r>
      <w:r w:rsidRPr="00212A15">
        <w:rPr>
          <w:rFonts w:ascii="Arial" w:hAnsi="Arial" w:cs="Arial"/>
          <w:b/>
          <w:sz w:val="20"/>
          <w:szCs w:val="20"/>
        </w:rPr>
        <w:tab/>
      </w:r>
      <w:r w:rsidRPr="001E6AD7">
        <w:rPr>
          <w:rFonts w:ascii="Arial" w:hAnsi="Arial" w:cs="Arial"/>
          <w:b/>
          <w:sz w:val="20"/>
          <w:szCs w:val="20"/>
        </w:rPr>
        <w:t>Section 4.3</w:t>
      </w:r>
    </w:p>
    <w:p w14:paraId="6C1AF9CF" w14:textId="2FBCEA12" w:rsidR="001E6AD7" w:rsidRDefault="001E6AD7" w:rsidP="001E6AD7">
      <w:pPr>
        <w:jc w:val="both"/>
        <w:rPr>
          <w:rFonts w:ascii="Arial" w:hAnsi="Arial" w:cs="Arial"/>
          <w:sz w:val="20"/>
          <w:szCs w:val="20"/>
        </w:rPr>
      </w:pPr>
      <w:r>
        <w:rPr>
          <w:rFonts w:ascii="Arial" w:hAnsi="Arial" w:cs="Arial"/>
          <w:sz w:val="20"/>
          <w:szCs w:val="20"/>
        </w:rPr>
        <w:t>The protection requirements for earth stations operating in the 3600-4200 MHz band in section 4.3 have been amended. The major changes to section 4.3 are:</w:t>
      </w:r>
    </w:p>
    <w:p w14:paraId="1AD2C7A4" w14:textId="77777777" w:rsidR="001E6AD7" w:rsidRPr="006D2DF4" w:rsidRDefault="001E6AD7" w:rsidP="001E6AD7">
      <w:pPr>
        <w:jc w:val="both"/>
        <w:rPr>
          <w:rFonts w:ascii="Arial" w:hAnsi="Arial" w:cs="Arial"/>
          <w:sz w:val="20"/>
          <w:szCs w:val="20"/>
        </w:rPr>
      </w:pPr>
    </w:p>
    <w:p w14:paraId="291B962E" w14:textId="72C4BF4F" w:rsidR="001E6AD7" w:rsidRDefault="00F96A5D" w:rsidP="001E6AD7">
      <w:pPr>
        <w:pStyle w:val="ListParagraph"/>
        <w:numPr>
          <w:ilvl w:val="0"/>
          <w:numId w:val="49"/>
        </w:numPr>
        <w:rPr>
          <w:rFonts w:ascii="Arial" w:hAnsi="Arial" w:cs="Arial"/>
          <w:bCs/>
          <w:sz w:val="20"/>
          <w:szCs w:val="20"/>
          <w:lang w:eastAsia="en-AU"/>
        </w:rPr>
      </w:pPr>
      <w:r>
        <w:rPr>
          <w:rFonts w:ascii="Arial" w:hAnsi="Arial" w:cs="Arial"/>
          <w:bCs/>
          <w:sz w:val="20"/>
          <w:szCs w:val="20"/>
          <w:lang w:eastAsia="en-AU"/>
        </w:rPr>
        <w:t>i</w:t>
      </w:r>
      <w:r w:rsidR="001E6AD7" w:rsidRPr="001E6AD7">
        <w:rPr>
          <w:rFonts w:ascii="Arial" w:hAnsi="Arial" w:cs="Arial"/>
          <w:bCs/>
          <w:sz w:val="20"/>
          <w:szCs w:val="20"/>
          <w:lang w:eastAsia="en-AU"/>
        </w:rPr>
        <w:t xml:space="preserve">nclusion of coordination criteria to manage co-channel interference into earth </w:t>
      </w:r>
      <w:r w:rsidR="001E6AD7">
        <w:rPr>
          <w:rFonts w:ascii="Arial" w:hAnsi="Arial" w:cs="Arial"/>
          <w:bCs/>
          <w:sz w:val="20"/>
          <w:szCs w:val="20"/>
          <w:lang w:eastAsia="en-AU"/>
        </w:rPr>
        <w:t xml:space="preserve">receiver </w:t>
      </w:r>
      <w:r w:rsidR="001E6AD7" w:rsidRPr="001E6AD7">
        <w:rPr>
          <w:rFonts w:ascii="Arial" w:hAnsi="Arial" w:cs="Arial"/>
          <w:bCs/>
          <w:sz w:val="20"/>
          <w:szCs w:val="20"/>
          <w:lang w:eastAsia="en-AU"/>
        </w:rPr>
        <w:t>station</w:t>
      </w:r>
      <w:r w:rsidR="002C68AE">
        <w:rPr>
          <w:rFonts w:ascii="Arial" w:hAnsi="Arial" w:cs="Arial"/>
          <w:bCs/>
          <w:sz w:val="20"/>
          <w:szCs w:val="20"/>
          <w:lang w:eastAsia="en-AU"/>
        </w:rPr>
        <w:t>s</w:t>
      </w:r>
      <w:r w:rsidR="001E6AD7" w:rsidRPr="001E6AD7">
        <w:rPr>
          <w:rFonts w:ascii="Arial" w:hAnsi="Arial" w:cs="Arial"/>
          <w:bCs/>
          <w:sz w:val="20"/>
          <w:szCs w:val="20"/>
          <w:lang w:eastAsia="en-AU"/>
        </w:rPr>
        <w:t xml:space="preserve"> operating in the</w:t>
      </w:r>
      <w:r w:rsidR="001E6AD7">
        <w:rPr>
          <w:rFonts w:ascii="Arial" w:hAnsi="Arial" w:cs="Arial"/>
          <w:bCs/>
          <w:sz w:val="20"/>
          <w:szCs w:val="20"/>
          <w:lang w:eastAsia="en-AU"/>
        </w:rPr>
        <w:t xml:space="preserve"> 3600-3700 MHz band</w:t>
      </w:r>
      <w:r w:rsidR="001E6AD7" w:rsidRPr="001E6AD7">
        <w:rPr>
          <w:rFonts w:ascii="Arial" w:hAnsi="Arial" w:cs="Arial"/>
          <w:bCs/>
          <w:sz w:val="20"/>
          <w:szCs w:val="20"/>
          <w:lang w:eastAsia="en-AU"/>
        </w:rPr>
        <w:t>;</w:t>
      </w:r>
    </w:p>
    <w:p w14:paraId="65DE5BC3" w14:textId="0F6D8DC2" w:rsidR="005E4016" w:rsidRDefault="00F96A5D" w:rsidP="001E6AD7">
      <w:pPr>
        <w:pStyle w:val="ListParagraph"/>
        <w:numPr>
          <w:ilvl w:val="0"/>
          <w:numId w:val="49"/>
        </w:numPr>
        <w:rPr>
          <w:rFonts w:ascii="Arial" w:hAnsi="Arial" w:cs="Arial"/>
          <w:bCs/>
          <w:sz w:val="20"/>
          <w:szCs w:val="20"/>
          <w:lang w:eastAsia="en-AU"/>
        </w:rPr>
      </w:pPr>
      <w:r>
        <w:rPr>
          <w:rFonts w:ascii="Arial" w:hAnsi="Arial" w:cs="Arial"/>
          <w:bCs/>
          <w:sz w:val="20"/>
          <w:szCs w:val="20"/>
          <w:lang w:eastAsia="en-AU"/>
        </w:rPr>
        <w:t>inserting a d</w:t>
      </w:r>
      <w:r w:rsidR="00DD119A">
        <w:rPr>
          <w:rFonts w:ascii="Arial" w:hAnsi="Arial" w:cs="Arial"/>
          <w:bCs/>
          <w:sz w:val="20"/>
          <w:szCs w:val="20"/>
          <w:lang w:eastAsia="en-AU"/>
        </w:rPr>
        <w:t>efinition of a new radiofrequency filter for use in coordination;</w:t>
      </w:r>
      <w:r>
        <w:rPr>
          <w:rFonts w:ascii="Arial" w:hAnsi="Arial" w:cs="Arial"/>
          <w:bCs/>
          <w:sz w:val="20"/>
          <w:szCs w:val="20"/>
          <w:lang w:eastAsia="en-AU"/>
        </w:rPr>
        <w:t xml:space="preserve"> </w:t>
      </w:r>
    </w:p>
    <w:p w14:paraId="757DE36A" w14:textId="6219F450" w:rsidR="00DD119A" w:rsidRDefault="005E4016" w:rsidP="001E6AD7">
      <w:pPr>
        <w:pStyle w:val="ListParagraph"/>
        <w:numPr>
          <w:ilvl w:val="0"/>
          <w:numId w:val="49"/>
        </w:numPr>
        <w:rPr>
          <w:rFonts w:ascii="Arial" w:hAnsi="Arial" w:cs="Arial"/>
          <w:bCs/>
          <w:sz w:val="20"/>
          <w:szCs w:val="20"/>
          <w:lang w:eastAsia="en-AU"/>
        </w:rPr>
      </w:pPr>
      <w:r>
        <w:rPr>
          <w:rFonts w:ascii="Arial" w:hAnsi="Arial" w:cs="Arial"/>
          <w:bCs/>
          <w:sz w:val="20"/>
          <w:szCs w:val="20"/>
          <w:lang w:eastAsia="en-AU"/>
        </w:rPr>
        <w:t>including a note below Table 1 of Part 4 clarifying how the RF filter applies to an antenna with multiple earth station receive licen</w:t>
      </w:r>
      <w:r w:rsidR="005D6345">
        <w:rPr>
          <w:rFonts w:ascii="Arial" w:hAnsi="Arial" w:cs="Arial"/>
          <w:bCs/>
          <w:sz w:val="20"/>
          <w:szCs w:val="20"/>
          <w:lang w:eastAsia="en-AU"/>
        </w:rPr>
        <w:t>c</w:t>
      </w:r>
      <w:r>
        <w:rPr>
          <w:rFonts w:ascii="Arial" w:hAnsi="Arial" w:cs="Arial"/>
          <w:bCs/>
          <w:sz w:val="20"/>
          <w:szCs w:val="20"/>
          <w:lang w:eastAsia="en-AU"/>
        </w:rPr>
        <w:t xml:space="preserve">es </w:t>
      </w:r>
      <w:r w:rsidR="005D6345">
        <w:rPr>
          <w:rFonts w:ascii="Arial" w:hAnsi="Arial" w:cs="Arial"/>
          <w:bCs/>
          <w:sz w:val="20"/>
          <w:szCs w:val="20"/>
          <w:lang w:eastAsia="en-AU"/>
        </w:rPr>
        <w:t xml:space="preserve">operating </w:t>
      </w:r>
      <w:r>
        <w:rPr>
          <w:rFonts w:ascii="Arial" w:hAnsi="Arial" w:cs="Arial"/>
          <w:bCs/>
          <w:sz w:val="20"/>
          <w:szCs w:val="20"/>
          <w:lang w:eastAsia="en-AU"/>
        </w:rPr>
        <w:t xml:space="preserve">on it; </w:t>
      </w:r>
      <w:r w:rsidR="00F96A5D">
        <w:rPr>
          <w:rFonts w:ascii="Arial" w:hAnsi="Arial" w:cs="Arial"/>
          <w:bCs/>
          <w:sz w:val="20"/>
          <w:szCs w:val="20"/>
          <w:lang w:eastAsia="en-AU"/>
        </w:rPr>
        <w:t>and</w:t>
      </w:r>
    </w:p>
    <w:p w14:paraId="7BDDB29F" w14:textId="78E40817" w:rsidR="00DD119A" w:rsidRPr="001E6AD7" w:rsidRDefault="00F96A5D" w:rsidP="00DD119A">
      <w:pPr>
        <w:pStyle w:val="ListParagraph"/>
        <w:numPr>
          <w:ilvl w:val="0"/>
          <w:numId w:val="49"/>
        </w:numPr>
        <w:rPr>
          <w:rFonts w:ascii="Arial" w:hAnsi="Arial" w:cs="Arial"/>
          <w:bCs/>
          <w:sz w:val="20"/>
          <w:szCs w:val="20"/>
          <w:lang w:eastAsia="en-AU"/>
        </w:rPr>
      </w:pPr>
      <w:r>
        <w:rPr>
          <w:rFonts w:ascii="Arial" w:hAnsi="Arial" w:cs="Arial"/>
          <w:bCs/>
          <w:sz w:val="20"/>
          <w:szCs w:val="20"/>
          <w:lang w:eastAsia="en-AU"/>
        </w:rPr>
        <w:t>adding a</w:t>
      </w:r>
      <w:r w:rsidR="00DD119A">
        <w:rPr>
          <w:rFonts w:ascii="Arial" w:hAnsi="Arial" w:cs="Arial"/>
          <w:bCs/>
          <w:sz w:val="20"/>
          <w:szCs w:val="20"/>
          <w:lang w:eastAsia="en-AU"/>
        </w:rPr>
        <w:t xml:space="preserve"> requirement for spectrum licensees to </w:t>
      </w:r>
      <w:r w:rsidR="00DD119A" w:rsidRPr="00DD119A">
        <w:rPr>
          <w:rFonts w:ascii="Arial" w:hAnsi="Arial" w:cs="Arial"/>
          <w:bCs/>
          <w:sz w:val="20"/>
          <w:szCs w:val="20"/>
          <w:lang w:eastAsia="en-AU"/>
        </w:rPr>
        <w:t xml:space="preserve">notify affected earth </w:t>
      </w:r>
      <w:r w:rsidR="00DD119A">
        <w:rPr>
          <w:rFonts w:ascii="Arial" w:hAnsi="Arial" w:cs="Arial"/>
          <w:bCs/>
          <w:sz w:val="20"/>
          <w:szCs w:val="20"/>
          <w:lang w:eastAsia="en-AU"/>
        </w:rPr>
        <w:t xml:space="preserve">receive </w:t>
      </w:r>
      <w:r w:rsidR="00DD119A" w:rsidRPr="00DD119A">
        <w:rPr>
          <w:rFonts w:ascii="Arial" w:hAnsi="Arial" w:cs="Arial"/>
          <w:bCs/>
          <w:sz w:val="20"/>
          <w:szCs w:val="20"/>
          <w:lang w:eastAsia="en-AU"/>
        </w:rPr>
        <w:t xml:space="preserve">licensees of any new systems to ensure they have </w:t>
      </w:r>
      <w:r w:rsidR="00DD119A">
        <w:rPr>
          <w:rFonts w:ascii="Arial" w:hAnsi="Arial" w:cs="Arial"/>
          <w:bCs/>
          <w:sz w:val="20"/>
          <w:szCs w:val="20"/>
          <w:lang w:eastAsia="en-AU"/>
        </w:rPr>
        <w:t xml:space="preserve">a </w:t>
      </w:r>
      <w:r w:rsidR="00DD119A" w:rsidRPr="00DD119A">
        <w:rPr>
          <w:rFonts w:ascii="Arial" w:hAnsi="Arial" w:cs="Arial"/>
          <w:bCs/>
          <w:sz w:val="20"/>
          <w:szCs w:val="20"/>
          <w:lang w:eastAsia="en-AU"/>
        </w:rPr>
        <w:t xml:space="preserve">suitable </w:t>
      </w:r>
      <w:r w:rsidR="00DD119A">
        <w:rPr>
          <w:rFonts w:ascii="Arial" w:hAnsi="Arial" w:cs="Arial"/>
          <w:bCs/>
          <w:sz w:val="20"/>
          <w:szCs w:val="20"/>
          <w:lang w:eastAsia="en-AU"/>
        </w:rPr>
        <w:t>radiofrequency</w:t>
      </w:r>
      <w:r w:rsidR="00DD119A" w:rsidRPr="00DD119A">
        <w:rPr>
          <w:rFonts w:ascii="Arial" w:hAnsi="Arial" w:cs="Arial"/>
          <w:bCs/>
          <w:sz w:val="20"/>
          <w:szCs w:val="20"/>
          <w:lang w:eastAsia="en-AU"/>
        </w:rPr>
        <w:t xml:space="preserve"> filters installed</w:t>
      </w:r>
      <w:r w:rsidR="00DD119A">
        <w:rPr>
          <w:rFonts w:ascii="Arial" w:hAnsi="Arial" w:cs="Arial"/>
          <w:bCs/>
          <w:sz w:val="20"/>
          <w:szCs w:val="20"/>
          <w:lang w:eastAsia="en-AU"/>
        </w:rPr>
        <w:t>.</w:t>
      </w:r>
    </w:p>
    <w:p w14:paraId="556B6C0A" w14:textId="77777777" w:rsidR="00DD119A" w:rsidRDefault="00DD119A" w:rsidP="00DD119A">
      <w:pPr>
        <w:rPr>
          <w:rFonts w:ascii="Arial" w:hAnsi="Arial" w:cs="Arial"/>
          <w:b/>
          <w:bCs/>
          <w:sz w:val="20"/>
          <w:szCs w:val="20"/>
          <w:lang w:eastAsia="en-AU"/>
        </w:rPr>
      </w:pPr>
    </w:p>
    <w:p w14:paraId="151CA582" w14:textId="18BE8612" w:rsidR="00DD119A" w:rsidRDefault="00DD119A" w:rsidP="00DD119A">
      <w:pPr>
        <w:jc w:val="both"/>
        <w:rPr>
          <w:rFonts w:ascii="Arial" w:hAnsi="Arial" w:cs="Arial"/>
          <w:sz w:val="20"/>
          <w:szCs w:val="20"/>
        </w:rPr>
      </w:pPr>
      <w:r>
        <w:rPr>
          <w:rFonts w:ascii="Arial" w:hAnsi="Arial" w:cs="Arial"/>
          <w:sz w:val="20"/>
          <w:szCs w:val="20"/>
        </w:rPr>
        <w:t>In addition to the changes to section 4.3, a new section 4.4 has been include</w:t>
      </w:r>
      <w:r w:rsidR="005D6345">
        <w:rPr>
          <w:rFonts w:ascii="Arial" w:hAnsi="Arial" w:cs="Arial"/>
          <w:sz w:val="20"/>
          <w:szCs w:val="20"/>
        </w:rPr>
        <w:t>d</w:t>
      </w:r>
      <w:r>
        <w:rPr>
          <w:rFonts w:ascii="Arial" w:hAnsi="Arial" w:cs="Arial"/>
          <w:sz w:val="20"/>
          <w:szCs w:val="20"/>
        </w:rPr>
        <w:t xml:space="preserve"> to provide guidance on how to manage interference to incumbent earth receiver stations operating in the 3600-3700 MHz band.</w:t>
      </w:r>
    </w:p>
    <w:p w14:paraId="6788D63C" w14:textId="77777777" w:rsidR="00DD119A" w:rsidRDefault="00DD119A" w:rsidP="00DD119A">
      <w:pPr>
        <w:rPr>
          <w:rFonts w:ascii="Arial" w:hAnsi="Arial" w:cs="Arial"/>
          <w:b/>
          <w:bCs/>
          <w:sz w:val="20"/>
          <w:szCs w:val="20"/>
          <w:lang w:eastAsia="en-AU"/>
        </w:rPr>
      </w:pPr>
    </w:p>
    <w:p w14:paraId="078FAF91" w14:textId="602A0E52" w:rsidR="00DD119A" w:rsidRPr="00F43259" w:rsidRDefault="00DD119A" w:rsidP="00641710">
      <w:pPr>
        <w:spacing w:after="120"/>
        <w:rPr>
          <w:b/>
          <w:lang w:eastAsia="en-AU"/>
        </w:rPr>
      </w:pPr>
      <w:r w:rsidRPr="00212A15">
        <w:rPr>
          <w:rFonts w:ascii="Arial" w:hAnsi="Arial" w:cs="Arial"/>
          <w:b/>
          <w:sz w:val="20"/>
          <w:szCs w:val="20"/>
        </w:rPr>
        <w:t>Item</w:t>
      </w:r>
      <w:r>
        <w:rPr>
          <w:rFonts w:ascii="Arial" w:hAnsi="Arial" w:cs="Arial"/>
          <w:b/>
          <w:sz w:val="20"/>
          <w:szCs w:val="20"/>
        </w:rPr>
        <w:t xml:space="preserve"> </w:t>
      </w:r>
      <w:r w:rsidR="004B3CDB">
        <w:rPr>
          <w:rFonts w:ascii="Arial" w:hAnsi="Arial" w:cs="Arial"/>
          <w:b/>
          <w:sz w:val="20"/>
          <w:szCs w:val="20"/>
        </w:rPr>
        <w:t>9</w:t>
      </w:r>
      <w:r w:rsidRPr="00212A15">
        <w:rPr>
          <w:rFonts w:ascii="Arial" w:hAnsi="Arial" w:cs="Arial"/>
          <w:b/>
          <w:sz w:val="20"/>
          <w:szCs w:val="20"/>
        </w:rPr>
        <w:tab/>
      </w:r>
      <w:r w:rsidRPr="001E6AD7">
        <w:rPr>
          <w:rFonts w:ascii="Arial" w:hAnsi="Arial" w:cs="Arial"/>
          <w:b/>
          <w:sz w:val="20"/>
          <w:szCs w:val="20"/>
        </w:rPr>
        <w:t xml:space="preserve">Section </w:t>
      </w:r>
      <w:r>
        <w:rPr>
          <w:rFonts w:ascii="Arial" w:hAnsi="Arial" w:cs="Arial"/>
          <w:b/>
          <w:sz w:val="20"/>
          <w:szCs w:val="20"/>
        </w:rPr>
        <w:t>5.1</w:t>
      </w:r>
    </w:p>
    <w:p w14:paraId="2E4EF324" w14:textId="2DB9C853" w:rsidR="00DD119A" w:rsidRDefault="005D6345" w:rsidP="00641710">
      <w:pPr>
        <w:spacing w:after="120"/>
        <w:jc w:val="both"/>
        <w:rPr>
          <w:rFonts w:ascii="Arial" w:hAnsi="Arial" w:cs="Arial"/>
          <w:sz w:val="20"/>
          <w:szCs w:val="20"/>
        </w:rPr>
      </w:pPr>
      <w:r>
        <w:rPr>
          <w:rFonts w:ascii="Arial" w:hAnsi="Arial" w:cs="Arial"/>
          <w:sz w:val="20"/>
          <w:szCs w:val="20"/>
        </w:rPr>
        <w:t>A</w:t>
      </w:r>
      <w:r w:rsidR="00DD119A">
        <w:rPr>
          <w:rFonts w:ascii="Arial" w:hAnsi="Arial" w:cs="Arial"/>
          <w:sz w:val="20"/>
          <w:szCs w:val="20"/>
        </w:rPr>
        <w:t xml:space="preserve"> spelling </w:t>
      </w:r>
      <w:r>
        <w:rPr>
          <w:rFonts w:ascii="Arial" w:hAnsi="Arial" w:cs="Arial"/>
          <w:sz w:val="20"/>
          <w:szCs w:val="20"/>
        </w:rPr>
        <w:t xml:space="preserve">error </w:t>
      </w:r>
      <w:r w:rsidR="00DD119A">
        <w:rPr>
          <w:rFonts w:ascii="Arial" w:hAnsi="Arial" w:cs="Arial"/>
          <w:sz w:val="20"/>
          <w:szCs w:val="20"/>
        </w:rPr>
        <w:t>has been corrected</w:t>
      </w:r>
      <w:r w:rsidR="004B3CDB">
        <w:rPr>
          <w:rFonts w:ascii="Arial" w:hAnsi="Arial" w:cs="Arial"/>
          <w:sz w:val="20"/>
          <w:szCs w:val="20"/>
        </w:rPr>
        <w:t>.</w:t>
      </w:r>
    </w:p>
    <w:p w14:paraId="25D27F07" w14:textId="77777777" w:rsidR="00DD119A" w:rsidRPr="006D2DF4" w:rsidRDefault="00DD119A" w:rsidP="00641710">
      <w:pPr>
        <w:spacing w:after="120"/>
        <w:jc w:val="both"/>
        <w:rPr>
          <w:rFonts w:ascii="Arial" w:hAnsi="Arial" w:cs="Arial"/>
          <w:sz w:val="20"/>
          <w:szCs w:val="20"/>
        </w:rPr>
      </w:pPr>
    </w:p>
    <w:p w14:paraId="175FE5F2" w14:textId="295C1CD0" w:rsidR="00DD119A" w:rsidRPr="00F43259" w:rsidRDefault="00DD119A" w:rsidP="00641710">
      <w:pPr>
        <w:spacing w:after="120"/>
        <w:rPr>
          <w:b/>
          <w:lang w:eastAsia="en-AU"/>
        </w:rPr>
      </w:pPr>
      <w:r w:rsidRPr="00212A15">
        <w:rPr>
          <w:rFonts w:ascii="Arial" w:hAnsi="Arial" w:cs="Arial"/>
          <w:b/>
          <w:sz w:val="20"/>
          <w:szCs w:val="20"/>
        </w:rPr>
        <w:t>Item</w:t>
      </w:r>
      <w:r>
        <w:rPr>
          <w:rFonts w:ascii="Arial" w:hAnsi="Arial" w:cs="Arial"/>
          <w:b/>
          <w:sz w:val="20"/>
          <w:szCs w:val="20"/>
        </w:rPr>
        <w:t xml:space="preserve"> 1</w:t>
      </w:r>
      <w:r w:rsidR="004B3CDB">
        <w:rPr>
          <w:rFonts w:ascii="Arial" w:hAnsi="Arial" w:cs="Arial"/>
          <w:b/>
          <w:sz w:val="20"/>
          <w:szCs w:val="20"/>
        </w:rPr>
        <w:t>0</w:t>
      </w:r>
      <w:r w:rsidRPr="00212A15">
        <w:rPr>
          <w:rFonts w:ascii="Arial" w:hAnsi="Arial" w:cs="Arial"/>
          <w:b/>
          <w:sz w:val="20"/>
          <w:szCs w:val="20"/>
        </w:rPr>
        <w:tab/>
      </w:r>
      <w:r w:rsidRPr="001E6AD7">
        <w:rPr>
          <w:rFonts w:ascii="Arial" w:hAnsi="Arial" w:cs="Arial"/>
          <w:b/>
          <w:sz w:val="20"/>
          <w:szCs w:val="20"/>
        </w:rPr>
        <w:t xml:space="preserve">Section </w:t>
      </w:r>
      <w:r>
        <w:rPr>
          <w:rFonts w:ascii="Arial" w:hAnsi="Arial" w:cs="Arial"/>
          <w:b/>
          <w:sz w:val="20"/>
          <w:szCs w:val="20"/>
        </w:rPr>
        <w:t>5.2</w:t>
      </w:r>
      <w:r w:rsidR="002C68AE">
        <w:rPr>
          <w:rFonts w:ascii="Arial" w:hAnsi="Arial" w:cs="Arial"/>
          <w:b/>
          <w:sz w:val="20"/>
          <w:szCs w:val="20"/>
        </w:rPr>
        <w:t>(2)</w:t>
      </w:r>
    </w:p>
    <w:p w14:paraId="55052372" w14:textId="6B5F8FD1" w:rsidR="00DD119A" w:rsidRDefault="00DD119A" w:rsidP="00641710">
      <w:pPr>
        <w:spacing w:after="120"/>
        <w:jc w:val="both"/>
        <w:rPr>
          <w:rFonts w:ascii="Arial" w:hAnsi="Arial" w:cs="Arial"/>
          <w:sz w:val="20"/>
          <w:szCs w:val="20"/>
        </w:rPr>
      </w:pPr>
      <w:r>
        <w:rPr>
          <w:rFonts w:ascii="Arial" w:hAnsi="Arial" w:cs="Arial"/>
          <w:sz w:val="20"/>
          <w:szCs w:val="20"/>
        </w:rPr>
        <w:t xml:space="preserve">Section 5.2 has been amended to remove the additional </w:t>
      </w:r>
      <w:r w:rsidR="00B14786">
        <w:rPr>
          <w:rFonts w:ascii="Arial" w:hAnsi="Arial" w:cs="Arial"/>
          <w:sz w:val="20"/>
          <w:szCs w:val="20"/>
        </w:rPr>
        <w:t>unwanted</w:t>
      </w:r>
      <w:r w:rsidR="000E706B">
        <w:rPr>
          <w:rFonts w:ascii="Arial" w:hAnsi="Arial" w:cs="Arial"/>
          <w:sz w:val="20"/>
          <w:szCs w:val="20"/>
        </w:rPr>
        <w:t xml:space="preserve"> emission</w:t>
      </w:r>
      <w:r w:rsidR="00B14786">
        <w:rPr>
          <w:rFonts w:ascii="Arial" w:hAnsi="Arial" w:cs="Arial"/>
          <w:sz w:val="20"/>
          <w:szCs w:val="20"/>
        </w:rPr>
        <w:t xml:space="preserve"> limit</w:t>
      </w:r>
      <w:r>
        <w:rPr>
          <w:rFonts w:ascii="Arial" w:hAnsi="Arial" w:cs="Arial"/>
          <w:sz w:val="20"/>
          <w:szCs w:val="20"/>
        </w:rPr>
        <w:t xml:space="preserve"> requirement for </w:t>
      </w:r>
      <w:r w:rsidR="000E706B">
        <w:rPr>
          <w:rFonts w:ascii="Arial" w:hAnsi="Arial" w:cs="Arial"/>
          <w:sz w:val="20"/>
          <w:szCs w:val="20"/>
        </w:rPr>
        <w:t>devices operating under a spectrum licence</w:t>
      </w:r>
      <w:r>
        <w:rPr>
          <w:rFonts w:ascii="Arial" w:hAnsi="Arial" w:cs="Arial"/>
          <w:sz w:val="20"/>
          <w:szCs w:val="20"/>
        </w:rPr>
        <w:t xml:space="preserve"> when managing adjacent band interference with apparatus licen</w:t>
      </w:r>
      <w:r w:rsidR="005D6345">
        <w:rPr>
          <w:rFonts w:ascii="Arial" w:hAnsi="Arial" w:cs="Arial"/>
          <w:sz w:val="20"/>
          <w:szCs w:val="20"/>
        </w:rPr>
        <w:t>c</w:t>
      </w:r>
      <w:r>
        <w:rPr>
          <w:rFonts w:ascii="Arial" w:hAnsi="Arial" w:cs="Arial"/>
          <w:sz w:val="20"/>
          <w:szCs w:val="20"/>
        </w:rPr>
        <w:t>es. Adjacent band interference is now managed on a first-in-time basis as per the protection criteria specified in the relevant</w:t>
      </w:r>
      <w:r w:rsidR="00F96A5D">
        <w:rPr>
          <w:rFonts w:ascii="Arial" w:hAnsi="Arial" w:cs="Arial"/>
          <w:sz w:val="20"/>
          <w:szCs w:val="20"/>
        </w:rPr>
        <w:t xml:space="preserve"> Radiocommunications Assignment and Licensing Instructions</w:t>
      </w:r>
      <w:r>
        <w:rPr>
          <w:rFonts w:ascii="Arial" w:hAnsi="Arial" w:cs="Arial"/>
          <w:sz w:val="20"/>
          <w:szCs w:val="20"/>
        </w:rPr>
        <w:t xml:space="preserve"> </w:t>
      </w:r>
      <w:r w:rsidR="00F96A5D">
        <w:rPr>
          <w:rFonts w:ascii="Arial" w:hAnsi="Arial" w:cs="Arial"/>
          <w:sz w:val="20"/>
          <w:szCs w:val="20"/>
        </w:rPr>
        <w:t>(</w:t>
      </w:r>
      <w:r>
        <w:rPr>
          <w:rFonts w:ascii="Arial" w:hAnsi="Arial" w:cs="Arial"/>
          <w:sz w:val="20"/>
          <w:szCs w:val="20"/>
        </w:rPr>
        <w:t>RALI</w:t>
      </w:r>
      <w:r w:rsidR="00F96A5D">
        <w:rPr>
          <w:rFonts w:ascii="Arial" w:hAnsi="Arial" w:cs="Arial"/>
          <w:sz w:val="20"/>
          <w:szCs w:val="20"/>
        </w:rPr>
        <w:t>)</w:t>
      </w:r>
      <w:r>
        <w:rPr>
          <w:rFonts w:ascii="Arial" w:hAnsi="Arial" w:cs="Arial"/>
          <w:sz w:val="20"/>
          <w:szCs w:val="20"/>
        </w:rPr>
        <w:t xml:space="preserve">.  Clarification has </w:t>
      </w:r>
      <w:r w:rsidR="00B14786">
        <w:rPr>
          <w:rFonts w:ascii="Arial" w:hAnsi="Arial" w:cs="Arial"/>
          <w:sz w:val="20"/>
          <w:szCs w:val="20"/>
        </w:rPr>
        <w:t xml:space="preserve">also </w:t>
      </w:r>
      <w:r>
        <w:rPr>
          <w:rFonts w:ascii="Arial" w:hAnsi="Arial" w:cs="Arial"/>
          <w:sz w:val="20"/>
          <w:szCs w:val="20"/>
        </w:rPr>
        <w:t xml:space="preserve">been </w:t>
      </w:r>
      <w:r w:rsidR="005D6345">
        <w:rPr>
          <w:rFonts w:ascii="Arial" w:hAnsi="Arial" w:cs="Arial"/>
          <w:sz w:val="20"/>
          <w:szCs w:val="20"/>
        </w:rPr>
        <w:t>included as to</w:t>
      </w:r>
      <w:r>
        <w:rPr>
          <w:rFonts w:ascii="Arial" w:hAnsi="Arial" w:cs="Arial"/>
          <w:sz w:val="20"/>
          <w:szCs w:val="20"/>
        </w:rPr>
        <w:t xml:space="preserve"> who is responsible for bearing costs when managing interference with apparatus licences.  </w:t>
      </w:r>
    </w:p>
    <w:p w14:paraId="2E450CF4" w14:textId="77777777" w:rsidR="00DD119A" w:rsidRDefault="00DD119A" w:rsidP="00641710">
      <w:pPr>
        <w:spacing w:after="120"/>
        <w:jc w:val="both"/>
        <w:rPr>
          <w:rFonts w:ascii="Arial" w:hAnsi="Arial" w:cs="Arial"/>
          <w:sz w:val="20"/>
          <w:szCs w:val="20"/>
        </w:rPr>
      </w:pPr>
    </w:p>
    <w:p w14:paraId="1317F769" w14:textId="4C1D310C" w:rsidR="00DD119A" w:rsidRPr="00F43259" w:rsidRDefault="00DD119A" w:rsidP="00641710">
      <w:pPr>
        <w:keepNext/>
        <w:spacing w:after="120"/>
        <w:rPr>
          <w:b/>
          <w:lang w:eastAsia="en-AU"/>
        </w:rPr>
      </w:pPr>
      <w:r w:rsidRPr="00212A15">
        <w:rPr>
          <w:rFonts w:ascii="Arial" w:hAnsi="Arial" w:cs="Arial"/>
          <w:b/>
          <w:sz w:val="20"/>
          <w:szCs w:val="20"/>
        </w:rPr>
        <w:t>Item</w:t>
      </w:r>
      <w:r>
        <w:rPr>
          <w:rFonts w:ascii="Arial" w:hAnsi="Arial" w:cs="Arial"/>
          <w:b/>
          <w:sz w:val="20"/>
          <w:szCs w:val="20"/>
        </w:rPr>
        <w:t xml:space="preserve"> 1</w:t>
      </w:r>
      <w:r w:rsidR="004B3CDB">
        <w:rPr>
          <w:rFonts w:ascii="Arial" w:hAnsi="Arial" w:cs="Arial"/>
          <w:b/>
          <w:sz w:val="20"/>
          <w:szCs w:val="20"/>
        </w:rPr>
        <w:t>1</w:t>
      </w:r>
      <w:r w:rsidRPr="00212A15">
        <w:rPr>
          <w:rFonts w:ascii="Arial" w:hAnsi="Arial" w:cs="Arial"/>
          <w:b/>
          <w:sz w:val="20"/>
          <w:szCs w:val="20"/>
        </w:rPr>
        <w:tab/>
      </w:r>
      <w:r w:rsidRPr="001E6AD7">
        <w:rPr>
          <w:rFonts w:ascii="Arial" w:hAnsi="Arial" w:cs="Arial"/>
          <w:b/>
          <w:sz w:val="20"/>
          <w:szCs w:val="20"/>
        </w:rPr>
        <w:t xml:space="preserve">Section </w:t>
      </w:r>
      <w:r w:rsidR="00F52598">
        <w:rPr>
          <w:rFonts w:ascii="Arial" w:hAnsi="Arial" w:cs="Arial"/>
          <w:b/>
          <w:sz w:val="20"/>
          <w:szCs w:val="20"/>
        </w:rPr>
        <w:t>6.1</w:t>
      </w:r>
    </w:p>
    <w:p w14:paraId="197B3E1B" w14:textId="0330BAE5" w:rsidR="00DD119A" w:rsidRDefault="00F52598" w:rsidP="00641710">
      <w:pPr>
        <w:spacing w:after="120"/>
        <w:jc w:val="both"/>
        <w:rPr>
          <w:rFonts w:ascii="Arial" w:hAnsi="Arial" w:cs="Arial"/>
          <w:sz w:val="20"/>
          <w:szCs w:val="20"/>
        </w:rPr>
      </w:pPr>
      <w:r>
        <w:rPr>
          <w:rFonts w:ascii="Arial" w:hAnsi="Arial" w:cs="Arial"/>
          <w:sz w:val="20"/>
          <w:szCs w:val="20"/>
        </w:rPr>
        <w:t xml:space="preserve">The frequency range of operation for radiolocation services has been extended from 3300-3400 MHz to 3100-3400 MHz to reflect current and proposed use. </w:t>
      </w:r>
    </w:p>
    <w:p w14:paraId="2A0EC13D" w14:textId="77777777" w:rsidR="00DD119A" w:rsidRDefault="00DD119A" w:rsidP="00641710">
      <w:pPr>
        <w:spacing w:after="120"/>
        <w:jc w:val="both"/>
        <w:rPr>
          <w:rFonts w:ascii="Arial" w:hAnsi="Arial" w:cs="Arial"/>
          <w:sz w:val="20"/>
          <w:szCs w:val="20"/>
        </w:rPr>
      </w:pPr>
    </w:p>
    <w:p w14:paraId="52CEDDCC" w14:textId="16EF7766" w:rsidR="00F52598" w:rsidRPr="00F43259" w:rsidRDefault="00F52598" w:rsidP="00641710">
      <w:pPr>
        <w:keepNext/>
        <w:spacing w:after="120"/>
        <w:rPr>
          <w:b/>
          <w:lang w:eastAsia="en-AU"/>
        </w:rPr>
      </w:pPr>
      <w:r w:rsidRPr="00212A15">
        <w:rPr>
          <w:rFonts w:ascii="Arial" w:hAnsi="Arial" w:cs="Arial"/>
          <w:b/>
          <w:sz w:val="20"/>
          <w:szCs w:val="20"/>
        </w:rPr>
        <w:t>Item</w:t>
      </w:r>
      <w:r>
        <w:rPr>
          <w:rFonts w:ascii="Arial" w:hAnsi="Arial" w:cs="Arial"/>
          <w:b/>
          <w:sz w:val="20"/>
          <w:szCs w:val="20"/>
        </w:rPr>
        <w:t xml:space="preserve"> 1</w:t>
      </w:r>
      <w:r w:rsidR="004B3CDB">
        <w:rPr>
          <w:rFonts w:ascii="Arial" w:hAnsi="Arial" w:cs="Arial"/>
          <w:b/>
          <w:sz w:val="20"/>
          <w:szCs w:val="20"/>
        </w:rPr>
        <w:t>2</w:t>
      </w:r>
      <w:r w:rsidRPr="00212A15">
        <w:rPr>
          <w:rFonts w:ascii="Arial" w:hAnsi="Arial" w:cs="Arial"/>
          <w:b/>
          <w:sz w:val="20"/>
          <w:szCs w:val="20"/>
        </w:rPr>
        <w:tab/>
      </w:r>
      <w:r w:rsidRPr="001E6AD7">
        <w:rPr>
          <w:rFonts w:ascii="Arial" w:hAnsi="Arial" w:cs="Arial"/>
          <w:b/>
          <w:sz w:val="20"/>
          <w:szCs w:val="20"/>
        </w:rPr>
        <w:t xml:space="preserve">Section </w:t>
      </w:r>
      <w:r>
        <w:rPr>
          <w:rFonts w:ascii="Arial" w:hAnsi="Arial" w:cs="Arial"/>
          <w:b/>
          <w:sz w:val="20"/>
          <w:szCs w:val="20"/>
        </w:rPr>
        <w:t>6.2</w:t>
      </w:r>
    </w:p>
    <w:p w14:paraId="651FB851" w14:textId="77777777" w:rsidR="00F52598" w:rsidRDefault="00F52598" w:rsidP="00641710">
      <w:pPr>
        <w:spacing w:after="120"/>
        <w:jc w:val="both"/>
        <w:rPr>
          <w:rFonts w:ascii="Arial" w:hAnsi="Arial" w:cs="Arial"/>
          <w:sz w:val="20"/>
          <w:szCs w:val="20"/>
        </w:rPr>
      </w:pPr>
      <w:r>
        <w:rPr>
          <w:rFonts w:ascii="Arial" w:hAnsi="Arial" w:cs="Arial"/>
          <w:sz w:val="20"/>
          <w:szCs w:val="20"/>
        </w:rPr>
        <w:t xml:space="preserve">The frequency range of operation for radiolocation services has been extended from 3300-3400 MHz to 3100-3400 MHz to reflect current and proposed use. </w:t>
      </w:r>
    </w:p>
    <w:p w14:paraId="412D9E89" w14:textId="77777777" w:rsidR="00DD119A" w:rsidRPr="006D2DF4" w:rsidRDefault="00DD119A" w:rsidP="00DD119A">
      <w:pPr>
        <w:jc w:val="both"/>
        <w:rPr>
          <w:rFonts w:ascii="Arial" w:hAnsi="Arial" w:cs="Arial"/>
          <w:sz w:val="20"/>
          <w:szCs w:val="20"/>
        </w:rPr>
      </w:pPr>
    </w:p>
    <w:p w14:paraId="31DCB579" w14:textId="7BC435F4" w:rsidR="00F52598" w:rsidRPr="00F43259" w:rsidRDefault="00F52598" w:rsidP="00641710">
      <w:pPr>
        <w:spacing w:after="120"/>
        <w:rPr>
          <w:b/>
          <w:lang w:eastAsia="en-AU"/>
        </w:rPr>
      </w:pPr>
      <w:r w:rsidRPr="00212A15">
        <w:rPr>
          <w:rFonts w:ascii="Arial" w:hAnsi="Arial" w:cs="Arial"/>
          <w:b/>
          <w:sz w:val="20"/>
          <w:szCs w:val="20"/>
        </w:rPr>
        <w:t>Item</w:t>
      </w:r>
      <w:r>
        <w:rPr>
          <w:rFonts w:ascii="Arial" w:hAnsi="Arial" w:cs="Arial"/>
          <w:b/>
          <w:sz w:val="20"/>
          <w:szCs w:val="20"/>
        </w:rPr>
        <w:t xml:space="preserve"> 1</w:t>
      </w:r>
      <w:r w:rsidR="004B3CDB">
        <w:rPr>
          <w:rFonts w:ascii="Arial" w:hAnsi="Arial" w:cs="Arial"/>
          <w:b/>
          <w:sz w:val="20"/>
          <w:szCs w:val="20"/>
        </w:rPr>
        <w:t>3</w:t>
      </w:r>
      <w:r w:rsidRPr="00212A15">
        <w:rPr>
          <w:rFonts w:ascii="Arial" w:hAnsi="Arial" w:cs="Arial"/>
          <w:b/>
          <w:sz w:val="20"/>
          <w:szCs w:val="20"/>
        </w:rPr>
        <w:tab/>
      </w:r>
      <w:r w:rsidRPr="001E6AD7">
        <w:rPr>
          <w:rFonts w:ascii="Arial" w:hAnsi="Arial" w:cs="Arial"/>
          <w:b/>
          <w:sz w:val="20"/>
          <w:szCs w:val="20"/>
        </w:rPr>
        <w:t xml:space="preserve">Section </w:t>
      </w:r>
      <w:r>
        <w:rPr>
          <w:rFonts w:ascii="Arial" w:hAnsi="Arial" w:cs="Arial"/>
          <w:b/>
          <w:sz w:val="20"/>
          <w:szCs w:val="20"/>
        </w:rPr>
        <w:t>7.1</w:t>
      </w:r>
    </w:p>
    <w:p w14:paraId="7B2AA9B0" w14:textId="1539FED1" w:rsidR="00F52598" w:rsidRDefault="00F52598" w:rsidP="00641710">
      <w:pPr>
        <w:spacing w:after="120"/>
        <w:jc w:val="both"/>
        <w:rPr>
          <w:rFonts w:ascii="Arial" w:hAnsi="Arial" w:cs="Arial"/>
          <w:sz w:val="20"/>
          <w:szCs w:val="20"/>
        </w:rPr>
      </w:pPr>
      <w:r>
        <w:rPr>
          <w:rFonts w:ascii="Arial" w:hAnsi="Arial" w:cs="Arial"/>
          <w:sz w:val="20"/>
          <w:szCs w:val="20"/>
        </w:rPr>
        <w:lastRenderedPageBreak/>
        <w:t xml:space="preserve">The frequency range for devices operated under a class licence </w:t>
      </w:r>
      <w:r w:rsidR="002C68AE">
        <w:rPr>
          <w:rFonts w:ascii="Arial" w:hAnsi="Arial" w:cs="Arial"/>
          <w:sz w:val="20"/>
          <w:szCs w:val="20"/>
        </w:rPr>
        <w:t xml:space="preserve">has </w:t>
      </w:r>
      <w:r>
        <w:rPr>
          <w:rFonts w:ascii="Arial" w:hAnsi="Arial" w:cs="Arial"/>
          <w:sz w:val="20"/>
          <w:szCs w:val="20"/>
        </w:rPr>
        <w:t xml:space="preserve">been extended to include the 3.6 GHz band. </w:t>
      </w:r>
    </w:p>
    <w:p w14:paraId="5E916136" w14:textId="77777777" w:rsidR="00F52598" w:rsidRDefault="00F52598" w:rsidP="00641710">
      <w:pPr>
        <w:spacing w:after="120"/>
        <w:rPr>
          <w:rFonts w:ascii="Arial" w:hAnsi="Arial" w:cs="Arial"/>
          <w:b/>
          <w:bCs/>
          <w:sz w:val="20"/>
          <w:szCs w:val="20"/>
          <w:lang w:eastAsia="en-AU"/>
        </w:rPr>
      </w:pPr>
    </w:p>
    <w:p w14:paraId="0A4B3487" w14:textId="6A94DF06" w:rsidR="00F52598" w:rsidRPr="00F43259" w:rsidRDefault="00F52598" w:rsidP="00641710">
      <w:pPr>
        <w:spacing w:after="120"/>
        <w:rPr>
          <w:b/>
          <w:lang w:eastAsia="en-AU"/>
        </w:rPr>
      </w:pPr>
      <w:r w:rsidRPr="00212A15">
        <w:rPr>
          <w:rFonts w:ascii="Arial" w:hAnsi="Arial" w:cs="Arial"/>
          <w:b/>
          <w:sz w:val="20"/>
          <w:szCs w:val="20"/>
        </w:rPr>
        <w:t>Item</w:t>
      </w:r>
      <w:r>
        <w:rPr>
          <w:rFonts w:ascii="Arial" w:hAnsi="Arial" w:cs="Arial"/>
          <w:b/>
          <w:sz w:val="20"/>
          <w:szCs w:val="20"/>
        </w:rPr>
        <w:t xml:space="preserve"> 1</w:t>
      </w:r>
      <w:r w:rsidR="004B3CDB">
        <w:rPr>
          <w:rFonts w:ascii="Arial" w:hAnsi="Arial" w:cs="Arial"/>
          <w:b/>
          <w:sz w:val="20"/>
          <w:szCs w:val="20"/>
        </w:rPr>
        <w:t>4</w:t>
      </w:r>
      <w:r w:rsidRPr="00212A15">
        <w:rPr>
          <w:rFonts w:ascii="Arial" w:hAnsi="Arial" w:cs="Arial"/>
          <w:b/>
          <w:sz w:val="20"/>
          <w:szCs w:val="20"/>
        </w:rPr>
        <w:tab/>
      </w:r>
      <w:r w:rsidR="00852145">
        <w:rPr>
          <w:rFonts w:ascii="Arial" w:hAnsi="Arial" w:cs="Arial"/>
          <w:b/>
          <w:sz w:val="20"/>
          <w:szCs w:val="20"/>
        </w:rPr>
        <w:t>Note after subs</w:t>
      </w:r>
      <w:r w:rsidRPr="001E6AD7">
        <w:rPr>
          <w:rFonts w:ascii="Arial" w:hAnsi="Arial" w:cs="Arial"/>
          <w:b/>
          <w:sz w:val="20"/>
          <w:szCs w:val="20"/>
        </w:rPr>
        <w:t xml:space="preserve">ection </w:t>
      </w:r>
      <w:r>
        <w:rPr>
          <w:rFonts w:ascii="Arial" w:hAnsi="Arial" w:cs="Arial"/>
          <w:b/>
          <w:sz w:val="20"/>
          <w:szCs w:val="20"/>
        </w:rPr>
        <w:t>8.2(2)</w:t>
      </w:r>
    </w:p>
    <w:p w14:paraId="022AE5B4" w14:textId="6C3CDCDE" w:rsidR="00F52598" w:rsidRDefault="005D6345" w:rsidP="00641710">
      <w:pPr>
        <w:spacing w:after="120"/>
        <w:jc w:val="both"/>
        <w:rPr>
          <w:rFonts w:ascii="Arial" w:hAnsi="Arial" w:cs="Arial"/>
          <w:sz w:val="20"/>
          <w:szCs w:val="20"/>
        </w:rPr>
      </w:pPr>
      <w:r>
        <w:rPr>
          <w:rFonts w:ascii="Arial" w:hAnsi="Arial" w:cs="Arial"/>
          <w:sz w:val="20"/>
          <w:szCs w:val="20"/>
        </w:rPr>
        <w:t xml:space="preserve">A spelling error </w:t>
      </w:r>
      <w:r w:rsidR="00F52598">
        <w:rPr>
          <w:rFonts w:ascii="Arial" w:hAnsi="Arial" w:cs="Arial"/>
          <w:sz w:val="20"/>
          <w:szCs w:val="20"/>
        </w:rPr>
        <w:t xml:space="preserve">has been corrected.  </w:t>
      </w:r>
    </w:p>
    <w:p w14:paraId="42BAE8E2" w14:textId="77777777" w:rsidR="00F52598" w:rsidRDefault="00F52598" w:rsidP="00641710">
      <w:pPr>
        <w:spacing w:after="120"/>
        <w:rPr>
          <w:rFonts w:ascii="Arial" w:hAnsi="Arial" w:cs="Arial"/>
          <w:b/>
          <w:bCs/>
          <w:sz w:val="20"/>
          <w:szCs w:val="20"/>
          <w:lang w:eastAsia="en-AU"/>
        </w:rPr>
      </w:pPr>
    </w:p>
    <w:p w14:paraId="4CA906E0" w14:textId="75F21BDE" w:rsidR="005E4016" w:rsidRPr="00F43259" w:rsidRDefault="005E4016" w:rsidP="00641710">
      <w:pPr>
        <w:spacing w:after="120"/>
        <w:rPr>
          <w:b/>
          <w:lang w:eastAsia="en-AU"/>
        </w:rPr>
      </w:pPr>
      <w:r w:rsidRPr="00212A15">
        <w:rPr>
          <w:rFonts w:ascii="Arial" w:hAnsi="Arial" w:cs="Arial"/>
          <w:b/>
          <w:sz w:val="20"/>
          <w:szCs w:val="20"/>
        </w:rPr>
        <w:t>Item</w:t>
      </w:r>
      <w:r>
        <w:rPr>
          <w:rFonts w:ascii="Arial" w:hAnsi="Arial" w:cs="Arial"/>
          <w:b/>
          <w:sz w:val="20"/>
          <w:szCs w:val="20"/>
        </w:rPr>
        <w:t xml:space="preserve"> 1</w:t>
      </w:r>
      <w:r w:rsidR="004B3CDB">
        <w:rPr>
          <w:rFonts w:ascii="Arial" w:hAnsi="Arial" w:cs="Arial"/>
          <w:b/>
          <w:sz w:val="20"/>
          <w:szCs w:val="20"/>
        </w:rPr>
        <w:t>5</w:t>
      </w:r>
      <w:r w:rsidRPr="00212A15">
        <w:rPr>
          <w:rFonts w:ascii="Arial" w:hAnsi="Arial" w:cs="Arial"/>
          <w:b/>
          <w:sz w:val="20"/>
          <w:szCs w:val="20"/>
        </w:rPr>
        <w:tab/>
      </w:r>
      <w:r w:rsidRPr="00F52598">
        <w:rPr>
          <w:rFonts w:ascii="Arial" w:hAnsi="Arial" w:cs="Arial"/>
          <w:b/>
          <w:sz w:val="20"/>
          <w:szCs w:val="20"/>
        </w:rPr>
        <w:t xml:space="preserve">After </w:t>
      </w:r>
      <w:r w:rsidR="00852145">
        <w:rPr>
          <w:rFonts w:ascii="Arial" w:hAnsi="Arial" w:cs="Arial"/>
          <w:b/>
          <w:sz w:val="20"/>
          <w:szCs w:val="20"/>
        </w:rPr>
        <w:t>s</w:t>
      </w:r>
      <w:r>
        <w:rPr>
          <w:rFonts w:ascii="Arial" w:hAnsi="Arial" w:cs="Arial"/>
          <w:b/>
          <w:sz w:val="20"/>
          <w:szCs w:val="20"/>
        </w:rPr>
        <w:t>ubsection</w:t>
      </w:r>
      <w:r w:rsidRPr="00F52598">
        <w:rPr>
          <w:rFonts w:ascii="Arial" w:hAnsi="Arial" w:cs="Arial"/>
          <w:b/>
          <w:sz w:val="20"/>
          <w:szCs w:val="20"/>
        </w:rPr>
        <w:t xml:space="preserve"> 8</w:t>
      </w:r>
      <w:r>
        <w:rPr>
          <w:rFonts w:ascii="Arial" w:hAnsi="Arial" w:cs="Arial"/>
          <w:b/>
          <w:sz w:val="20"/>
          <w:szCs w:val="20"/>
        </w:rPr>
        <w:t>.2(3)</w:t>
      </w:r>
    </w:p>
    <w:p w14:paraId="52B2A7C1" w14:textId="647AAD1B" w:rsidR="005E4016" w:rsidRDefault="005E4016" w:rsidP="00641710">
      <w:pPr>
        <w:spacing w:after="120"/>
        <w:jc w:val="both"/>
        <w:rPr>
          <w:rFonts w:ascii="Arial" w:hAnsi="Arial" w:cs="Arial"/>
          <w:sz w:val="20"/>
          <w:szCs w:val="20"/>
        </w:rPr>
      </w:pPr>
      <w:r>
        <w:rPr>
          <w:rFonts w:ascii="Arial" w:hAnsi="Arial" w:cs="Arial"/>
          <w:sz w:val="20"/>
          <w:szCs w:val="20"/>
        </w:rPr>
        <w:t xml:space="preserve">A new subsection 8.2(4) has been </w:t>
      </w:r>
      <w:r w:rsidR="00852145">
        <w:rPr>
          <w:rFonts w:ascii="Arial" w:hAnsi="Arial" w:cs="Arial"/>
          <w:sz w:val="20"/>
          <w:szCs w:val="20"/>
        </w:rPr>
        <w:t>added</w:t>
      </w:r>
      <w:r>
        <w:rPr>
          <w:rFonts w:ascii="Arial" w:hAnsi="Arial" w:cs="Arial"/>
          <w:sz w:val="20"/>
          <w:szCs w:val="20"/>
        </w:rPr>
        <w:t xml:space="preserve"> to provide guidance on how cross border interference is managed between spectrum licensees in lieu of other arrangements being agreed to.  A note has also been included to provide guidance on how devices with AAS can be considered for the purposes of managing interference.</w:t>
      </w:r>
    </w:p>
    <w:p w14:paraId="514FCB76" w14:textId="77777777" w:rsidR="00641710" w:rsidRPr="00641710" w:rsidRDefault="00641710" w:rsidP="00641710">
      <w:pPr>
        <w:spacing w:after="120"/>
        <w:jc w:val="both"/>
        <w:rPr>
          <w:rFonts w:ascii="Arial" w:hAnsi="Arial" w:cs="Arial"/>
          <w:sz w:val="20"/>
          <w:szCs w:val="20"/>
        </w:rPr>
      </w:pPr>
    </w:p>
    <w:p w14:paraId="1784EC51" w14:textId="64241127" w:rsidR="00F52598" w:rsidRPr="00F43259" w:rsidRDefault="00F52598" w:rsidP="00641710">
      <w:pPr>
        <w:spacing w:after="120"/>
        <w:rPr>
          <w:b/>
          <w:lang w:eastAsia="en-AU"/>
        </w:rPr>
      </w:pPr>
      <w:r w:rsidRPr="00212A15">
        <w:rPr>
          <w:rFonts w:ascii="Arial" w:hAnsi="Arial" w:cs="Arial"/>
          <w:b/>
          <w:sz w:val="20"/>
          <w:szCs w:val="20"/>
        </w:rPr>
        <w:t>Item</w:t>
      </w:r>
      <w:r>
        <w:rPr>
          <w:rFonts w:ascii="Arial" w:hAnsi="Arial" w:cs="Arial"/>
          <w:b/>
          <w:sz w:val="20"/>
          <w:szCs w:val="20"/>
        </w:rPr>
        <w:t xml:space="preserve"> 1</w:t>
      </w:r>
      <w:r w:rsidR="004B3CDB">
        <w:rPr>
          <w:rFonts w:ascii="Arial" w:hAnsi="Arial" w:cs="Arial"/>
          <w:b/>
          <w:sz w:val="20"/>
          <w:szCs w:val="20"/>
        </w:rPr>
        <w:t>6</w:t>
      </w:r>
      <w:r w:rsidRPr="00212A15">
        <w:rPr>
          <w:rFonts w:ascii="Arial" w:hAnsi="Arial" w:cs="Arial"/>
          <w:b/>
          <w:sz w:val="20"/>
          <w:szCs w:val="20"/>
        </w:rPr>
        <w:tab/>
      </w:r>
      <w:r w:rsidRPr="00F52598">
        <w:rPr>
          <w:rFonts w:ascii="Arial" w:hAnsi="Arial" w:cs="Arial"/>
          <w:b/>
          <w:sz w:val="20"/>
          <w:szCs w:val="20"/>
        </w:rPr>
        <w:t>After Part 8</w:t>
      </w:r>
    </w:p>
    <w:p w14:paraId="616A8B1B" w14:textId="56B2E899" w:rsidR="00F52598" w:rsidRDefault="00F52598" w:rsidP="00641710">
      <w:pPr>
        <w:spacing w:after="120"/>
        <w:jc w:val="both"/>
        <w:rPr>
          <w:rFonts w:ascii="Arial" w:hAnsi="Arial" w:cs="Arial"/>
          <w:sz w:val="20"/>
          <w:szCs w:val="20"/>
        </w:rPr>
      </w:pPr>
      <w:r>
        <w:rPr>
          <w:rFonts w:ascii="Arial" w:hAnsi="Arial" w:cs="Arial"/>
          <w:sz w:val="20"/>
          <w:szCs w:val="20"/>
        </w:rPr>
        <w:t xml:space="preserve">New Parts 9 and 10 have been inserted into the RAG Tx. New Part 9 provides </w:t>
      </w:r>
      <w:r w:rsidRPr="00F52598">
        <w:rPr>
          <w:rFonts w:ascii="Arial" w:hAnsi="Arial" w:cs="Arial"/>
          <w:sz w:val="20"/>
          <w:szCs w:val="20"/>
        </w:rPr>
        <w:t>guidance on how to manage interference with ESPZ</w:t>
      </w:r>
      <w:r>
        <w:rPr>
          <w:rFonts w:ascii="Arial" w:hAnsi="Arial" w:cs="Arial"/>
          <w:sz w:val="20"/>
          <w:szCs w:val="20"/>
        </w:rPr>
        <w:t>s</w:t>
      </w:r>
      <w:r w:rsidRPr="00F52598">
        <w:rPr>
          <w:rFonts w:ascii="Arial" w:hAnsi="Arial" w:cs="Arial"/>
          <w:sz w:val="20"/>
          <w:szCs w:val="20"/>
        </w:rPr>
        <w:t>.</w:t>
      </w:r>
      <w:r>
        <w:rPr>
          <w:rFonts w:ascii="Arial" w:hAnsi="Arial" w:cs="Arial"/>
          <w:sz w:val="20"/>
          <w:szCs w:val="20"/>
        </w:rPr>
        <w:t xml:space="preserve"> New Part 10 provides guidance on </w:t>
      </w:r>
      <w:r w:rsidRPr="00F52598">
        <w:rPr>
          <w:rFonts w:ascii="Arial" w:hAnsi="Arial" w:cs="Arial"/>
          <w:sz w:val="20"/>
          <w:szCs w:val="20"/>
        </w:rPr>
        <w:t xml:space="preserve">how to </w:t>
      </w:r>
      <w:r>
        <w:rPr>
          <w:rFonts w:ascii="Arial" w:hAnsi="Arial" w:cs="Arial"/>
          <w:sz w:val="20"/>
          <w:szCs w:val="20"/>
        </w:rPr>
        <w:t>manage interference into</w:t>
      </w:r>
      <w:r w:rsidRPr="00F52598">
        <w:rPr>
          <w:rFonts w:ascii="Arial" w:hAnsi="Arial" w:cs="Arial"/>
          <w:sz w:val="20"/>
          <w:szCs w:val="20"/>
        </w:rPr>
        <w:t xml:space="preserve"> the earth station facility operated near Uralla (NSW).</w:t>
      </w:r>
    </w:p>
    <w:p w14:paraId="25903ABC" w14:textId="72EBC710" w:rsidR="002B0ACA" w:rsidRPr="009C35C5" w:rsidRDefault="002B0ACA" w:rsidP="00641710">
      <w:pPr>
        <w:spacing w:after="120"/>
        <w:jc w:val="both"/>
        <w:rPr>
          <w:rFonts w:ascii="Arial" w:hAnsi="Arial" w:cs="Arial"/>
          <w:sz w:val="20"/>
          <w:szCs w:val="20"/>
        </w:rPr>
      </w:pPr>
    </w:p>
    <w:sectPr w:rsidR="002B0ACA" w:rsidRPr="009C35C5" w:rsidSect="000907DE">
      <w:headerReference w:type="even" r:id="rId22"/>
      <w:footerReference w:type="defaul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03ABF" w14:textId="77777777" w:rsidR="007F1698" w:rsidRDefault="007F1698">
      <w:r>
        <w:separator/>
      </w:r>
    </w:p>
  </w:endnote>
  <w:endnote w:type="continuationSeparator" w:id="0">
    <w:p w14:paraId="25903AC0" w14:textId="77777777" w:rsidR="007F1698" w:rsidRDefault="007F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Franklin Gothic Dem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63AA7" w14:textId="77777777" w:rsidR="00641710" w:rsidRDefault="0021298B" w:rsidP="00641710">
    <w:pPr>
      <w:pBdr>
        <w:top w:val="single" w:sz="4" w:space="1" w:color="auto"/>
      </w:pBdr>
      <w:jc w:val="center"/>
      <w:rPr>
        <w:rFonts w:ascii="Arial" w:hAnsi="Arial" w:cs="Arial"/>
        <w:i/>
        <w:sz w:val="20"/>
        <w:szCs w:val="20"/>
      </w:rPr>
    </w:pPr>
    <w:r w:rsidRPr="00641710">
      <w:rPr>
        <w:rFonts w:ascii="Arial" w:hAnsi="Arial" w:cs="Arial"/>
        <w:i/>
        <w:sz w:val="20"/>
        <w:szCs w:val="20"/>
      </w:rPr>
      <w:t>Explanatory Statement</w:t>
    </w:r>
    <w:r w:rsidR="00641710" w:rsidRPr="00641710">
      <w:rPr>
        <w:rFonts w:ascii="Arial" w:hAnsi="Arial" w:cs="Arial"/>
        <w:i/>
        <w:sz w:val="20"/>
        <w:szCs w:val="20"/>
      </w:rPr>
      <w:t xml:space="preserve"> to the </w:t>
    </w:r>
    <w:r w:rsidRPr="00641710">
      <w:rPr>
        <w:rFonts w:ascii="Arial" w:hAnsi="Arial" w:cs="Arial"/>
        <w:i/>
        <w:sz w:val="20"/>
        <w:szCs w:val="20"/>
      </w:rPr>
      <w:t xml:space="preserve">Radiocommunications – 3.4 GHz Band </w:t>
    </w:r>
  </w:p>
  <w:p w14:paraId="25903AC6" w14:textId="6618EA6D" w:rsidR="007F1698" w:rsidRDefault="0021298B" w:rsidP="00641710">
    <w:pPr>
      <w:jc w:val="center"/>
      <w:rPr>
        <w:rFonts w:ascii="Arial" w:hAnsi="Arial" w:cs="Arial"/>
        <w:i/>
        <w:sz w:val="20"/>
        <w:szCs w:val="20"/>
      </w:rPr>
    </w:pPr>
    <w:r w:rsidRPr="00641710">
      <w:rPr>
        <w:rFonts w:ascii="Arial" w:hAnsi="Arial" w:cs="Arial"/>
        <w:i/>
        <w:sz w:val="20"/>
        <w:szCs w:val="20"/>
      </w:rPr>
      <w:t>Omnibus Variation 2018 (No.1)</w:t>
    </w:r>
  </w:p>
  <w:p w14:paraId="45C72A8D" w14:textId="50B5B621" w:rsidR="00641710" w:rsidRPr="00641710" w:rsidRDefault="00641710" w:rsidP="00641710">
    <w:pPr>
      <w:jc w:val="right"/>
      <w:rPr>
        <w:rFonts w:ascii="Arial" w:hAnsi="Arial" w:cs="Arial"/>
        <w:sz w:val="20"/>
        <w:szCs w:val="20"/>
      </w:rPr>
    </w:pPr>
    <w:r w:rsidRPr="00641710">
      <w:rPr>
        <w:rFonts w:ascii="Arial" w:hAnsi="Arial" w:cs="Arial"/>
        <w:sz w:val="20"/>
        <w:szCs w:val="20"/>
      </w:rPr>
      <w:fldChar w:fldCharType="begin"/>
    </w:r>
    <w:r w:rsidRPr="00641710">
      <w:rPr>
        <w:rFonts w:ascii="Arial" w:hAnsi="Arial" w:cs="Arial"/>
        <w:sz w:val="20"/>
        <w:szCs w:val="20"/>
      </w:rPr>
      <w:instrText xml:space="preserve"> PAGE   \* MERGEFORMAT </w:instrText>
    </w:r>
    <w:r w:rsidRPr="00641710">
      <w:rPr>
        <w:rFonts w:ascii="Arial" w:hAnsi="Arial" w:cs="Arial"/>
        <w:sz w:val="20"/>
        <w:szCs w:val="20"/>
      </w:rPr>
      <w:fldChar w:fldCharType="separate"/>
    </w:r>
    <w:r w:rsidR="00EA31CF">
      <w:rPr>
        <w:rFonts w:ascii="Arial" w:hAnsi="Arial" w:cs="Arial"/>
        <w:noProof/>
        <w:sz w:val="20"/>
        <w:szCs w:val="20"/>
      </w:rPr>
      <w:t>11</w:t>
    </w:r>
    <w:r w:rsidRPr="00641710">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3AC7" w14:textId="77777777" w:rsidR="007F1698" w:rsidRDefault="007F1698" w:rsidP="00B32F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03ABD" w14:textId="77777777" w:rsidR="007F1698" w:rsidRDefault="007F1698">
      <w:r>
        <w:separator/>
      </w:r>
    </w:p>
  </w:footnote>
  <w:footnote w:type="continuationSeparator" w:id="0">
    <w:p w14:paraId="25903ABE" w14:textId="77777777" w:rsidR="007F1698" w:rsidRDefault="007F1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3AC1" w14:textId="77777777" w:rsidR="007F1698" w:rsidRDefault="007F1698" w:rsidP="00A844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903AC2" w14:textId="77777777" w:rsidR="007F1698" w:rsidRDefault="007F1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BC83468"/>
    <w:lvl w:ilvl="0">
      <w:start w:val="1"/>
      <w:numFmt w:val="bullet"/>
      <w:pStyle w:val="ListBullet"/>
      <w:lvlText w:val="&gt;"/>
      <w:lvlJc w:val="left"/>
      <w:pPr>
        <w:tabs>
          <w:tab w:val="num" w:pos="295"/>
        </w:tabs>
        <w:ind w:left="295" w:hanging="295"/>
      </w:pPr>
      <w:rPr>
        <w:rFonts w:ascii="HelveticaNeueLT Std Lt" w:hAnsi="HelveticaNeueLT Std Lt" w:hint="default"/>
        <w:color w:val="auto"/>
        <w:sz w:val="20"/>
      </w:rPr>
    </w:lvl>
  </w:abstractNum>
  <w:abstractNum w:abstractNumId="1">
    <w:nsid w:val="FFFFFFFE"/>
    <w:multiLevelType w:val="singleLevel"/>
    <w:tmpl w:val="35B85848"/>
    <w:lvl w:ilvl="0">
      <w:numFmt w:val="bullet"/>
      <w:lvlText w:val="*"/>
      <w:lvlJc w:val="left"/>
    </w:lvl>
  </w:abstractNum>
  <w:abstractNum w:abstractNumId="2">
    <w:nsid w:val="01485B19"/>
    <w:multiLevelType w:val="hybridMultilevel"/>
    <w:tmpl w:val="30E6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543054"/>
    <w:multiLevelType w:val="hybridMultilevel"/>
    <w:tmpl w:val="71D0A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753BD7"/>
    <w:multiLevelType w:val="hybridMultilevel"/>
    <w:tmpl w:val="B4D0127A"/>
    <w:lvl w:ilvl="0" w:tplc="FE9EAA6A">
      <w:start w:val="1"/>
      <w:numFmt w:val="bullet"/>
      <w:lvlText w:val="&gt;"/>
      <w:lvlJc w:val="left"/>
      <w:pPr>
        <w:ind w:left="930" w:hanging="57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FF5F48"/>
    <w:multiLevelType w:val="hybridMultilevel"/>
    <w:tmpl w:val="224E6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721B58"/>
    <w:multiLevelType w:val="hybridMultilevel"/>
    <w:tmpl w:val="F900403E"/>
    <w:lvl w:ilvl="0" w:tplc="7CF2ED16">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E94416"/>
    <w:multiLevelType w:val="hybridMultilevel"/>
    <w:tmpl w:val="A7222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E4C2FCA"/>
    <w:multiLevelType w:val="hybridMultilevel"/>
    <w:tmpl w:val="D0D4EE14"/>
    <w:lvl w:ilvl="0" w:tplc="EA229830">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7D7D8C"/>
    <w:multiLevelType w:val="hybridMultilevel"/>
    <w:tmpl w:val="4D78748E"/>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A211B0C"/>
    <w:multiLevelType w:val="hybridMultilevel"/>
    <w:tmpl w:val="C30C4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7A7BBC"/>
    <w:multiLevelType w:val="hybridMultilevel"/>
    <w:tmpl w:val="41083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3745099"/>
    <w:multiLevelType w:val="hybridMultilevel"/>
    <w:tmpl w:val="8E2CB28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56963CE"/>
    <w:multiLevelType w:val="hybridMultilevel"/>
    <w:tmpl w:val="C470AEA8"/>
    <w:lvl w:ilvl="0" w:tplc="015EAC18">
      <w:start w:val="1"/>
      <w:numFmt w:val="lowerLetter"/>
      <w:lvlText w:val="(%1)"/>
      <w:lvlJc w:val="left"/>
      <w:pPr>
        <w:ind w:left="1140" w:hanging="5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1">
    <w:nsid w:val="29933657"/>
    <w:multiLevelType w:val="hybridMultilevel"/>
    <w:tmpl w:val="EB34D8BC"/>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91377B"/>
    <w:multiLevelType w:val="hybridMultilevel"/>
    <w:tmpl w:val="6E12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03E00E1"/>
    <w:multiLevelType w:val="hybridMultilevel"/>
    <w:tmpl w:val="AE603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0573EEC"/>
    <w:multiLevelType w:val="hybridMultilevel"/>
    <w:tmpl w:val="4A8098DE"/>
    <w:lvl w:ilvl="0" w:tplc="220A420C">
      <w:numFmt w:val="bullet"/>
      <w:lvlText w:val=""/>
      <w:lvlJc w:val="left"/>
      <w:pPr>
        <w:ind w:left="930" w:hanging="57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C93731"/>
    <w:multiLevelType w:val="hybridMultilevel"/>
    <w:tmpl w:val="FD52E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0BF1906"/>
    <w:multiLevelType w:val="hybridMultilevel"/>
    <w:tmpl w:val="7BCA96A6"/>
    <w:lvl w:ilvl="0" w:tplc="55F2986E">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nsid w:val="481A499B"/>
    <w:multiLevelType w:val="hybridMultilevel"/>
    <w:tmpl w:val="10D63E88"/>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8844504"/>
    <w:multiLevelType w:val="hybridMultilevel"/>
    <w:tmpl w:val="CD5001B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2F6067"/>
    <w:multiLevelType w:val="hybridMultilevel"/>
    <w:tmpl w:val="590E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F0953DF"/>
    <w:multiLevelType w:val="hybridMultilevel"/>
    <w:tmpl w:val="C614A660"/>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6A6699B"/>
    <w:multiLevelType w:val="hybridMultilevel"/>
    <w:tmpl w:val="EE8C2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A7A359D"/>
    <w:multiLevelType w:val="hybridMultilevel"/>
    <w:tmpl w:val="12DE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AAE2163"/>
    <w:multiLevelType w:val="hybridMultilevel"/>
    <w:tmpl w:val="366E8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CAE3D93"/>
    <w:multiLevelType w:val="hybridMultilevel"/>
    <w:tmpl w:val="CCFC7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25E6CA1"/>
    <w:multiLevelType w:val="hybridMultilevel"/>
    <w:tmpl w:val="4EE4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36F7434"/>
    <w:multiLevelType w:val="hybridMultilevel"/>
    <w:tmpl w:val="69A2D4FC"/>
    <w:lvl w:ilvl="0" w:tplc="0C090001">
      <w:start w:val="1"/>
      <w:numFmt w:val="bullet"/>
      <w:lvlText w:val=""/>
      <w:lvlJc w:val="left"/>
      <w:pPr>
        <w:ind w:left="720" w:hanging="360"/>
      </w:pPr>
      <w:rPr>
        <w:rFonts w:ascii="Symbol" w:hAnsi="Symbol"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6F92ECA"/>
    <w:multiLevelType w:val="hybridMultilevel"/>
    <w:tmpl w:val="D46826E8"/>
    <w:lvl w:ilvl="0" w:tplc="375E905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6">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31077D3"/>
    <w:multiLevelType w:val="hybridMultilevel"/>
    <w:tmpl w:val="6AF239A4"/>
    <w:lvl w:ilvl="0" w:tplc="55F2986E">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9">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A931CEB"/>
    <w:multiLevelType w:val="hybridMultilevel"/>
    <w:tmpl w:val="2740411C"/>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7"/>
  </w:num>
  <w:num w:numId="2">
    <w:abstractNumId w:val="35"/>
  </w:num>
  <w:num w:numId="3">
    <w:abstractNumId w:val="41"/>
  </w:num>
  <w:num w:numId="4">
    <w:abstractNumId w:val="5"/>
  </w:num>
  <w:num w:numId="5">
    <w:abstractNumId w:val="36"/>
  </w:num>
  <w:num w:numId="6">
    <w:abstractNumId w:val="1"/>
    <w:lvlOverride w:ilvl="0">
      <w:lvl w:ilvl="0">
        <w:numFmt w:val="bullet"/>
        <w:lvlText w:val="•"/>
        <w:legacy w:legacy="1" w:legacySpace="0" w:legacyIndent="0"/>
        <w:lvlJc w:val="left"/>
        <w:rPr>
          <w:rFonts w:ascii="Helv" w:hAnsi="Helv" w:hint="default"/>
        </w:rPr>
      </w:lvl>
    </w:lvlOverride>
  </w:num>
  <w:num w:numId="7">
    <w:abstractNumId w:val="44"/>
  </w:num>
  <w:num w:numId="8">
    <w:abstractNumId w:val="27"/>
  </w:num>
  <w:num w:numId="9">
    <w:abstractNumId w:val="28"/>
  </w:num>
  <w:num w:numId="10">
    <w:abstractNumId w:val="12"/>
  </w:num>
  <w:num w:numId="11">
    <w:abstractNumId w:val="23"/>
  </w:num>
  <w:num w:numId="12">
    <w:abstractNumId w:val="49"/>
  </w:num>
  <w:num w:numId="13">
    <w:abstractNumId w:val="33"/>
  </w:num>
  <w:num w:numId="14">
    <w:abstractNumId w:val="8"/>
  </w:num>
  <w:num w:numId="15">
    <w:abstractNumId w:val="13"/>
  </w:num>
  <w:num w:numId="16">
    <w:abstractNumId w:val="46"/>
  </w:num>
  <w:num w:numId="17">
    <w:abstractNumId w:val="11"/>
  </w:num>
  <w:num w:numId="18">
    <w:abstractNumId w:val="17"/>
  </w:num>
  <w:num w:numId="19">
    <w:abstractNumId w:val="31"/>
  </w:num>
  <w:num w:numId="20">
    <w:abstractNumId w:val="10"/>
  </w:num>
  <w:num w:numId="21">
    <w:abstractNumId w:val="2"/>
  </w:num>
  <w:num w:numId="22">
    <w:abstractNumId w:val="15"/>
  </w:num>
  <w:num w:numId="23">
    <w:abstractNumId w:val="24"/>
  </w:num>
  <w:num w:numId="24">
    <w:abstractNumId w:val="9"/>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7"/>
  </w:num>
  <w:num w:numId="28">
    <w:abstractNumId w:val="20"/>
  </w:num>
  <w:num w:numId="29">
    <w:abstractNumId w:val="18"/>
  </w:num>
  <w:num w:numId="30">
    <w:abstractNumId w:val="45"/>
  </w:num>
  <w:num w:numId="31">
    <w:abstractNumId w:val="16"/>
  </w:num>
  <w:num w:numId="32">
    <w:abstractNumId w:val="39"/>
  </w:num>
  <w:num w:numId="33">
    <w:abstractNumId w:val="6"/>
  </w:num>
  <w:num w:numId="34">
    <w:abstractNumId w:val="42"/>
  </w:num>
  <w:num w:numId="35">
    <w:abstractNumId w:val="32"/>
  </w:num>
  <w:num w:numId="36">
    <w:abstractNumId w:val="25"/>
  </w:num>
  <w:num w:numId="37">
    <w:abstractNumId w:val="4"/>
  </w:num>
  <w:num w:numId="38">
    <w:abstractNumId w:val="34"/>
  </w:num>
  <w:num w:numId="39">
    <w:abstractNumId w:val="43"/>
  </w:num>
  <w:num w:numId="40">
    <w:abstractNumId w:val="3"/>
  </w:num>
  <w:num w:numId="41">
    <w:abstractNumId w:val="7"/>
  </w:num>
  <w:num w:numId="42">
    <w:abstractNumId w:val="30"/>
  </w:num>
  <w:num w:numId="43">
    <w:abstractNumId w:val="26"/>
  </w:num>
  <w:num w:numId="44">
    <w:abstractNumId w:val="40"/>
  </w:num>
  <w:num w:numId="45">
    <w:abstractNumId w:val="0"/>
  </w:num>
  <w:num w:numId="46">
    <w:abstractNumId w:val="14"/>
  </w:num>
  <w:num w:numId="47">
    <w:abstractNumId w:val="50"/>
  </w:num>
  <w:num w:numId="48">
    <w:abstractNumId w:val="29"/>
  </w:num>
  <w:num w:numId="49">
    <w:abstractNumId w:val="48"/>
  </w:num>
  <w:num w:numId="50">
    <w:abstractNumId w:val="21"/>
  </w:num>
  <w:num w:numId="51">
    <w:abstractNumId w:val="22"/>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xtjQxNLQwNzcyM7JU0lEKTi0uzszPAykwrQUA50B3dywAAAA="/>
  </w:docVars>
  <w:rsids>
    <w:rsidRoot w:val="00DA1022"/>
    <w:rsid w:val="0000300B"/>
    <w:rsid w:val="0000334E"/>
    <w:rsid w:val="00005643"/>
    <w:rsid w:val="00007C8D"/>
    <w:rsid w:val="00011F32"/>
    <w:rsid w:val="00016BA2"/>
    <w:rsid w:val="000208D2"/>
    <w:rsid w:val="00023C08"/>
    <w:rsid w:val="00024BD3"/>
    <w:rsid w:val="00025D13"/>
    <w:rsid w:val="0003025D"/>
    <w:rsid w:val="00032B32"/>
    <w:rsid w:val="00035136"/>
    <w:rsid w:val="00036086"/>
    <w:rsid w:val="00040B05"/>
    <w:rsid w:val="0004274A"/>
    <w:rsid w:val="00042D4C"/>
    <w:rsid w:val="00045061"/>
    <w:rsid w:val="00045264"/>
    <w:rsid w:val="000460F8"/>
    <w:rsid w:val="00051A91"/>
    <w:rsid w:val="00051F7A"/>
    <w:rsid w:val="00052DB6"/>
    <w:rsid w:val="0005491A"/>
    <w:rsid w:val="000555B7"/>
    <w:rsid w:val="00056548"/>
    <w:rsid w:val="000609D9"/>
    <w:rsid w:val="00061A05"/>
    <w:rsid w:val="00063BB4"/>
    <w:rsid w:val="00065340"/>
    <w:rsid w:val="0007071C"/>
    <w:rsid w:val="00070A52"/>
    <w:rsid w:val="00072306"/>
    <w:rsid w:val="00072549"/>
    <w:rsid w:val="000727E2"/>
    <w:rsid w:val="00073B86"/>
    <w:rsid w:val="00074CB2"/>
    <w:rsid w:val="00084468"/>
    <w:rsid w:val="00084D8E"/>
    <w:rsid w:val="000907DE"/>
    <w:rsid w:val="00091A07"/>
    <w:rsid w:val="00095E28"/>
    <w:rsid w:val="0009642C"/>
    <w:rsid w:val="00096FB8"/>
    <w:rsid w:val="000A0E4B"/>
    <w:rsid w:val="000A2AE5"/>
    <w:rsid w:val="000A3641"/>
    <w:rsid w:val="000A3F47"/>
    <w:rsid w:val="000A4D28"/>
    <w:rsid w:val="000A5293"/>
    <w:rsid w:val="000A59BE"/>
    <w:rsid w:val="000A6A9B"/>
    <w:rsid w:val="000A7A3F"/>
    <w:rsid w:val="000B1051"/>
    <w:rsid w:val="000B193B"/>
    <w:rsid w:val="000B2131"/>
    <w:rsid w:val="000B3A34"/>
    <w:rsid w:val="000B3F4F"/>
    <w:rsid w:val="000B6B77"/>
    <w:rsid w:val="000C0552"/>
    <w:rsid w:val="000C14FE"/>
    <w:rsid w:val="000C2BDB"/>
    <w:rsid w:val="000C2DC3"/>
    <w:rsid w:val="000C3067"/>
    <w:rsid w:val="000C489F"/>
    <w:rsid w:val="000C7244"/>
    <w:rsid w:val="000D00A5"/>
    <w:rsid w:val="000D02FC"/>
    <w:rsid w:val="000D1326"/>
    <w:rsid w:val="000D2159"/>
    <w:rsid w:val="000D432B"/>
    <w:rsid w:val="000D4BB5"/>
    <w:rsid w:val="000D4FF8"/>
    <w:rsid w:val="000D68D5"/>
    <w:rsid w:val="000D797B"/>
    <w:rsid w:val="000E312C"/>
    <w:rsid w:val="000E36AE"/>
    <w:rsid w:val="000E3954"/>
    <w:rsid w:val="000E44D2"/>
    <w:rsid w:val="000E706B"/>
    <w:rsid w:val="000E7520"/>
    <w:rsid w:val="000E7688"/>
    <w:rsid w:val="000E7BC7"/>
    <w:rsid w:val="000F13E8"/>
    <w:rsid w:val="000F145B"/>
    <w:rsid w:val="000F1F80"/>
    <w:rsid w:val="000F3B8E"/>
    <w:rsid w:val="000F3FFA"/>
    <w:rsid w:val="000F66BE"/>
    <w:rsid w:val="000F6A00"/>
    <w:rsid w:val="000F7B2C"/>
    <w:rsid w:val="000F7DDD"/>
    <w:rsid w:val="001002A8"/>
    <w:rsid w:val="001019FD"/>
    <w:rsid w:val="001037A5"/>
    <w:rsid w:val="001040ED"/>
    <w:rsid w:val="00105943"/>
    <w:rsid w:val="00107C2D"/>
    <w:rsid w:val="00107C9C"/>
    <w:rsid w:val="00110856"/>
    <w:rsid w:val="00111891"/>
    <w:rsid w:val="00111D3B"/>
    <w:rsid w:val="001127B6"/>
    <w:rsid w:val="00112BE2"/>
    <w:rsid w:val="001130BC"/>
    <w:rsid w:val="00113FC2"/>
    <w:rsid w:val="0011424C"/>
    <w:rsid w:val="00115356"/>
    <w:rsid w:val="00122198"/>
    <w:rsid w:val="00122CFC"/>
    <w:rsid w:val="00122FA0"/>
    <w:rsid w:val="0012342D"/>
    <w:rsid w:val="001240A3"/>
    <w:rsid w:val="001244AE"/>
    <w:rsid w:val="00124A67"/>
    <w:rsid w:val="00125A68"/>
    <w:rsid w:val="001264EA"/>
    <w:rsid w:val="00126CE7"/>
    <w:rsid w:val="00130229"/>
    <w:rsid w:val="00131856"/>
    <w:rsid w:val="0013459A"/>
    <w:rsid w:val="00134A4B"/>
    <w:rsid w:val="001358C8"/>
    <w:rsid w:val="00137EBF"/>
    <w:rsid w:val="001403E4"/>
    <w:rsid w:val="00144202"/>
    <w:rsid w:val="00147015"/>
    <w:rsid w:val="00147E05"/>
    <w:rsid w:val="00150898"/>
    <w:rsid w:val="00151660"/>
    <w:rsid w:val="001522E5"/>
    <w:rsid w:val="00152BF9"/>
    <w:rsid w:val="00153F0C"/>
    <w:rsid w:val="00156998"/>
    <w:rsid w:val="00157201"/>
    <w:rsid w:val="001611E0"/>
    <w:rsid w:val="001617F2"/>
    <w:rsid w:val="00161DE7"/>
    <w:rsid w:val="00161FB2"/>
    <w:rsid w:val="001631C5"/>
    <w:rsid w:val="00165E54"/>
    <w:rsid w:val="00170D27"/>
    <w:rsid w:val="00171504"/>
    <w:rsid w:val="001716D9"/>
    <w:rsid w:val="00175C89"/>
    <w:rsid w:val="00175F46"/>
    <w:rsid w:val="001767FA"/>
    <w:rsid w:val="00176E4D"/>
    <w:rsid w:val="00177AFD"/>
    <w:rsid w:val="001802A8"/>
    <w:rsid w:val="001802C0"/>
    <w:rsid w:val="0018129A"/>
    <w:rsid w:val="00181E1C"/>
    <w:rsid w:val="00183454"/>
    <w:rsid w:val="001847A6"/>
    <w:rsid w:val="00185301"/>
    <w:rsid w:val="001856DC"/>
    <w:rsid w:val="001901D9"/>
    <w:rsid w:val="00191769"/>
    <w:rsid w:val="00191948"/>
    <w:rsid w:val="00193000"/>
    <w:rsid w:val="001939F0"/>
    <w:rsid w:val="00193CCB"/>
    <w:rsid w:val="00193EB6"/>
    <w:rsid w:val="001951C5"/>
    <w:rsid w:val="00195CA3"/>
    <w:rsid w:val="00195F6C"/>
    <w:rsid w:val="001A0B8E"/>
    <w:rsid w:val="001A0C51"/>
    <w:rsid w:val="001A2609"/>
    <w:rsid w:val="001A5D71"/>
    <w:rsid w:val="001A730C"/>
    <w:rsid w:val="001B1F63"/>
    <w:rsid w:val="001B30AB"/>
    <w:rsid w:val="001B466C"/>
    <w:rsid w:val="001B58E7"/>
    <w:rsid w:val="001B5A54"/>
    <w:rsid w:val="001B700D"/>
    <w:rsid w:val="001B79DD"/>
    <w:rsid w:val="001C06FE"/>
    <w:rsid w:val="001C262D"/>
    <w:rsid w:val="001C2ADA"/>
    <w:rsid w:val="001C2D26"/>
    <w:rsid w:val="001C7822"/>
    <w:rsid w:val="001D0811"/>
    <w:rsid w:val="001D3D7B"/>
    <w:rsid w:val="001D41EE"/>
    <w:rsid w:val="001E11A4"/>
    <w:rsid w:val="001E2827"/>
    <w:rsid w:val="001E4C38"/>
    <w:rsid w:val="001E504A"/>
    <w:rsid w:val="001E5EF2"/>
    <w:rsid w:val="001E6AD7"/>
    <w:rsid w:val="001F0D48"/>
    <w:rsid w:val="001F1B3D"/>
    <w:rsid w:val="001F375E"/>
    <w:rsid w:val="001F634F"/>
    <w:rsid w:val="001F645C"/>
    <w:rsid w:val="001F6F5B"/>
    <w:rsid w:val="002036F3"/>
    <w:rsid w:val="00203DB1"/>
    <w:rsid w:val="002041C8"/>
    <w:rsid w:val="002104D9"/>
    <w:rsid w:val="002108C7"/>
    <w:rsid w:val="0021278B"/>
    <w:rsid w:val="0021298B"/>
    <w:rsid w:val="00212A15"/>
    <w:rsid w:val="00212BDC"/>
    <w:rsid w:val="002137F6"/>
    <w:rsid w:val="00214F91"/>
    <w:rsid w:val="0021591E"/>
    <w:rsid w:val="0021629C"/>
    <w:rsid w:val="002170B0"/>
    <w:rsid w:val="002171A9"/>
    <w:rsid w:val="00221320"/>
    <w:rsid w:val="00221DD3"/>
    <w:rsid w:val="00224650"/>
    <w:rsid w:val="00224F56"/>
    <w:rsid w:val="002259F9"/>
    <w:rsid w:val="00225E40"/>
    <w:rsid w:val="00231AAB"/>
    <w:rsid w:val="00232983"/>
    <w:rsid w:val="00234EF2"/>
    <w:rsid w:val="00236BB5"/>
    <w:rsid w:val="00237298"/>
    <w:rsid w:val="002378FB"/>
    <w:rsid w:val="002406D2"/>
    <w:rsid w:val="002419E7"/>
    <w:rsid w:val="00242911"/>
    <w:rsid w:val="00242A7B"/>
    <w:rsid w:val="00245D33"/>
    <w:rsid w:val="00246998"/>
    <w:rsid w:val="002520E1"/>
    <w:rsid w:val="00253653"/>
    <w:rsid w:val="002546FC"/>
    <w:rsid w:val="00257897"/>
    <w:rsid w:val="00260D08"/>
    <w:rsid w:val="00262777"/>
    <w:rsid w:val="002631B5"/>
    <w:rsid w:val="0026726C"/>
    <w:rsid w:val="00272042"/>
    <w:rsid w:val="00272394"/>
    <w:rsid w:val="00272903"/>
    <w:rsid w:val="00273A8E"/>
    <w:rsid w:val="00275CCC"/>
    <w:rsid w:val="00276EAE"/>
    <w:rsid w:val="00277A54"/>
    <w:rsid w:val="00277B95"/>
    <w:rsid w:val="002806E5"/>
    <w:rsid w:val="002815AE"/>
    <w:rsid w:val="00281C06"/>
    <w:rsid w:val="00281E6D"/>
    <w:rsid w:val="00282007"/>
    <w:rsid w:val="002840DE"/>
    <w:rsid w:val="00286284"/>
    <w:rsid w:val="0029141C"/>
    <w:rsid w:val="00293E33"/>
    <w:rsid w:val="00293EA0"/>
    <w:rsid w:val="0029459F"/>
    <w:rsid w:val="00294E1F"/>
    <w:rsid w:val="00296E82"/>
    <w:rsid w:val="002977F1"/>
    <w:rsid w:val="002A1427"/>
    <w:rsid w:val="002A23F8"/>
    <w:rsid w:val="002A4EDD"/>
    <w:rsid w:val="002A60CE"/>
    <w:rsid w:val="002A62DD"/>
    <w:rsid w:val="002A6D08"/>
    <w:rsid w:val="002B0ACA"/>
    <w:rsid w:val="002B2544"/>
    <w:rsid w:val="002B33EF"/>
    <w:rsid w:val="002B3894"/>
    <w:rsid w:val="002B4583"/>
    <w:rsid w:val="002B5972"/>
    <w:rsid w:val="002B79CE"/>
    <w:rsid w:val="002B7A07"/>
    <w:rsid w:val="002C0058"/>
    <w:rsid w:val="002C0956"/>
    <w:rsid w:val="002C1EB2"/>
    <w:rsid w:val="002C247B"/>
    <w:rsid w:val="002C2653"/>
    <w:rsid w:val="002C5DFB"/>
    <w:rsid w:val="002C68AE"/>
    <w:rsid w:val="002D0747"/>
    <w:rsid w:val="002D0D4B"/>
    <w:rsid w:val="002D48B8"/>
    <w:rsid w:val="002D6B3F"/>
    <w:rsid w:val="002E0C0E"/>
    <w:rsid w:val="002E1AB3"/>
    <w:rsid w:val="002E1DCA"/>
    <w:rsid w:val="002E1E61"/>
    <w:rsid w:val="002E2A8D"/>
    <w:rsid w:val="002E37B6"/>
    <w:rsid w:val="002E4BAD"/>
    <w:rsid w:val="002E77CA"/>
    <w:rsid w:val="002E7F5F"/>
    <w:rsid w:val="002F0A41"/>
    <w:rsid w:val="002F0B29"/>
    <w:rsid w:val="002F283D"/>
    <w:rsid w:val="002F347C"/>
    <w:rsid w:val="002F482C"/>
    <w:rsid w:val="002F4D69"/>
    <w:rsid w:val="002F5478"/>
    <w:rsid w:val="002F63FE"/>
    <w:rsid w:val="002F7391"/>
    <w:rsid w:val="00301425"/>
    <w:rsid w:val="003017BE"/>
    <w:rsid w:val="0030187D"/>
    <w:rsid w:val="00301DC6"/>
    <w:rsid w:val="00301E9E"/>
    <w:rsid w:val="00303130"/>
    <w:rsid w:val="00304947"/>
    <w:rsid w:val="003057AE"/>
    <w:rsid w:val="00305928"/>
    <w:rsid w:val="00311E45"/>
    <w:rsid w:val="0031334B"/>
    <w:rsid w:val="003142A5"/>
    <w:rsid w:val="003144F6"/>
    <w:rsid w:val="00314563"/>
    <w:rsid w:val="003148D4"/>
    <w:rsid w:val="00315BFD"/>
    <w:rsid w:val="00315C2D"/>
    <w:rsid w:val="003164B0"/>
    <w:rsid w:val="00317C32"/>
    <w:rsid w:val="00322075"/>
    <w:rsid w:val="00326BE5"/>
    <w:rsid w:val="0032742D"/>
    <w:rsid w:val="003274A8"/>
    <w:rsid w:val="00327D8A"/>
    <w:rsid w:val="0033118F"/>
    <w:rsid w:val="00334F05"/>
    <w:rsid w:val="0033639D"/>
    <w:rsid w:val="00336434"/>
    <w:rsid w:val="00337EE5"/>
    <w:rsid w:val="00340EA6"/>
    <w:rsid w:val="00340F08"/>
    <w:rsid w:val="00342B33"/>
    <w:rsid w:val="00343425"/>
    <w:rsid w:val="003436F1"/>
    <w:rsid w:val="00343921"/>
    <w:rsid w:val="0034407A"/>
    <w:rsid w:val="00344282"/>
    <w:rsid w:val="0034610D"/>
    <w:rsid w:val="0034741A"/>
    <w:rsid w:val="00351C52"/>
    <w:rsid w:val="00353C25"/>
    <w:rsid w:val="003541E8"/>
    <w:rsid w:val="00354A22"/>
    <w:rsid w:val="00357E8B"/>
    <w:rsid w:val="00362134"/>
    <w:rsid w:val="003634DD"/>
    <w:rsid w:val="00363579"/>
    <w:rsid w:val="00363C72"/>
    <w:rsid w:val="00367786"/>
    <w:rsid w:val="00370393"/>
    <w:rsid w:val="00370DB5"/>
    <w:rsid w:val="0037141B"/>
    <w:rsid w:val="0037224D"/>
    <w:rsid w:val="00374AF5"/>
    <w:rsid w:val="00376093"/>
    <w:rsid w:val="00377FB9"/>
    <w:rsid w:val="0038035D"/>
    <w:rsid w:val="00380E0A"/>
    <w:rsid w:val="00382D1E"/>
    <w:rsid w:val="0038369F"/>
    <w:rsid w:val="00383D7C"/>
    <w:rsid w:val="003879DF"/>
    <w:rsid w:val="00390D0A"/>
    <w:rsid w:val="003955FC"/>
    <w:rsid w:val="00397C1B"/>
    <w:rsid w:val="003A0F7D"/>
    <w:rsid w:val="003A3342"/>
    <w:rsid w:val="003A346C"/>
    <w:rsid w:val="003A6993"/>
    <w:rsid w:val="003A6B26"/>
    <w:rsid w:val="003B0803"/>
    <w:rsid w:val="003B0A1E"/>
    <w:rsid w:val="003B0E76"/>
    <w:rsid w:val="003B125F"/>
    <w:rsid w:val="003B1670"/>
    <w:rsid w:val="003B1A98"/>
    <w:rsid w:val="003B324C"/>
    <w:rsid w:val="003B3402"/>
    <w:rsid w:val="003B3D41"/>
    <w:rsid w:val="003B61D0"/>
    <w:rsid w:val="003B68B4"/>
    <w:rsid w:val="003B767A"/>
    <w:rsid w:val="003C0792"/>
    <w:rsid w:val="003C105B"/>
    <w:rsid w:val="003C23DE"/>
    <w:rsid w:val="003C24D0"/>
    <w:rsid w:val="003D1955"/>
    <w:rsid w:val="003D3E11"/>
    <w:rsid w:val="003D4EA5"/>
    <w:rsid w:val="003D5948"/>
    <w:rsid w:val="003D629D"/>
    <w:rsid w:val="003D7D4A"/>
    <w:rsid w:val="003E0537"/>
    <w:rsid w:val="003E1E77"/>
    <w:rsid w:val="003E225E"/>
    <w:rsid w:val="003E22FC"/>
    <w:rsid w:val="003E24EC"/>
    <w:rsid w:val="003E64B7"/>
    <w:rsid w:val="003E7254"/>
    <w:rsid w:val="003F0808"/>
    <w:rsid w:val="003F2116"/>
    <w:rsid w:val="003F2693"/>
    <w:rsid w:val="003F448A"/>
    <w:rsid w:val="003F4F2E"/>
    <w:rsid w:val="003F68EA"/>
    <w:rsid w:val="003F6C2D"/>
    <w:rsid w:val="0040129F"/>
    <w:rsid w:val="00402C1C"/>
    <w:rsid w:val="00402CED"/>
    <w:rsid w:val="00403F51"/>
    <w:rsid w:val="00404E95"/>
    <w:rsid w:val="00405050"/>
    <w:rsid w:val="00406A3E"/>
    <w:rsid w:val="00407B92"/>
    <w:rsid w:val="00411188"/>
    <w:rsid w:val="00415928"/>
    <w:rsid w:val="00416F67"/>
    <w:rsid w:val="00425892"/>
    <w:rsid w:val="004261DB"/>
    <w:rsid w:val="004273B8"/>
    <w:rsid w:val="00427D2E"/>
    <w:rsid w:val="0043191F"/>
    <w:rsid w:val="00434BB1"/>
    <w:rsid w:val="00437CBA"/>
    <w:rsid w:val="004437B3"/>
    <w:rsid w:val="004471CE"/>
    <w:rsid w:val="00450357"/>
    <w:rsid w:val="00452BEB"/>
    <w:rsid w:val="00453A54"/>
    <w:rsid w:val="00454284"/>
    <w:rsid w:val="004546A4"/>
    <w:rsid w:val="004551BE"/>
    <w:rsid w:val="00456404"/>
    <w:rsid w:val="0045700F"/>
    <w:rsid w:val="00464707"/>
    <w:rsid w:val="0046505B"/>
    <w:rsid w:val="00466743"/>
    <w:rsid w:val="00467644"/>
    <w:rsid w:val="00471F3C"/>
    <w:rsid w:val="00476F8B"/>
    <w:rsid w:val="0048134B"/>
    <w:rsid w:val="00481707"/>
    <w:rsid w:val="00481D32"/>
    <w:rsid w:val="004829D0"/>
    <w:rsid w:val="00483852"/>
    <w:rsid w:val="00484221"/>
    <w:rsid w:val="00485136"/>
    <w:rsid w:val="0048765D"/>
    <w:rsid w:val="00491998"/>
    <w:rsid w:val="00491FE4"/>
    <w:rsid w:val="00493C8E"/>
    <w:rsid w:val="004949D4"/>
    <w:rsid w:val="004A054B"/>
    <w:rsid w:val="004A0D98"/>
    <w:rsid w:val="004A19A3"/>
    <w:rsid w:val="004A1DBB"/>
    <w:rsid w:val="004A2487"/>
    <w:rsid w:val="004A3F8C"/>
    <w:rsid w:val="004A41A0"/>
    <w:rsid w:val="004A59D9"/>
    <w:rsid w:val="004A68DF"/>
    <w:rsid w:val="004A69DF"/>
    <w:rsid w:val="004A789E"/>
    <w:rsid w:val="004B0659"/>
    <w:rsid w:val="004B2D77"/>
    <w:rsid w:val="004B3CDB"/>
    <w:rsid w:val="004C24D3"/>
    <w:rsid w:val="004C2506"/>
    <w:rsid w:val="004C27D3"/>
    <w:rsid w:val="004C3CE8"/>
    <w:rsid w:val="004C3FD6"/>
    <w:rsid w:val="004C53EF"/>
    <w:rsid w:val="004C61EA"/>
    <w:rsid w:val="004D08CC"/>
    <w:rsid w:val="004D1D4C"/>
    <w:rsid w:val="004D2DA3"/>
    <w:rsid w:val="004D372D"/>
    <w:rsid w:val="004D52E9"/>
    <w:rsid w:val="004E0192"/>
    <w:rsid w:val="004E025A"/>
    <w:rsid w:val="004E094F"/>
    <w:rsid w:val="004E35A3"/>
    <w:rsid w:val="004E6C7A"/>
    <w:rsid w:val="004E6E14"/>
    <w:rsid w:val="004F0808"/>
    <w:rsid w:val="004F12D6"/>
    <w:rsid w:val="004F2FDE"/>
    <w:rsid w:val="004F3FEF"/>
    <w:rsid w:val="004F4155"/>
    <w:rsid w:val="004F4BF8"/>
    <w:rsid w:val="004F5088"/>
    <w:rsid w:val="004F5BAE"/>
    <w:rsid w:val="004F641F"/>
    <w:rsid w:val="004F6459"/>
    <w:rsid w:val="004F6821"/>
    <w:rsid w:val="004F6A6B"/>
    <w:rsid w:val="004F72F7"/>
    <w:rsid w:val="00500782"/>
    <w:rsid w:val="00503BDE"/>
    <w:rsid w:val="00503F64"/>
    <w:rsid w:val="00505924"/>
    <w:rsid w:val="00505C16"/>
    <w:rsid w:val="00505DBA"/>
    <w:rsid w:val="00506943"/>
    <w:rsid w:val="00507010"/>
    <w:rsid w:val="00511097"/>
    <w:rsid w:val="00511181"/>
    <w:rsid w:val="00513CDE"/>
    <w:rsid w:val="00514C44"/>
    <w:rsid w:val="00514F0E"/>
    <w:rsid w:val="0052206D"/>
    <w:rsid w:val="0052263F"/>
    <w:rsid w:val="00522C7C"/>
    <w:rsid w:val="00522DC5"/>
    <w:rsid w:val="00522E3D"/>
    <w:rsid w:val="0052325C"/>
    <w:rsid w:val="00524A35"/>
    <w:rsid w:val="00524A47"/>
    <w:rsid w:val="00525AF3"/>
    <w:rsid w:val="00526B39"/>
    <w:rsid w:val="00531B55"/>
    <w:rsid w:val="0053278B"/>
    <w:rsid w:val="0054025E"/>
    <w:rsid w:val="00540F63"/>
    <w:rsid w:val="00540F75"/>
    <w:rsid w:val="0054110B"/>
    <w:rsid w:val="0054415C"/>
    <w:rsid w:val="0054416C"/>
    <w:rsid w:val="00544701"/>
    <w:rsid w:val="00551EE5"/>
    <w:rsid w:val="00554C6C"/>
    <w:rsid w:val="00557A8F"/>
    <w:rsid w:val="005614D6"/>
    <w:rsid w:val="00562BBE"/>
    <w:rsid w:val="00562DAE"/>
    <w:rsid w:val="00564E0D"/>
    <w:rsid w:val="00570FC1"/>
    <w:rsid w:val="005721C5"/>
    <w:rsid w:val="00573732"/>
    <w:rsid w:val="0057385A"/>
    <w:rsid w:val="00574A19"/>
    <w:rsid w:val="00574E59"/>
    <w:rsid w:val="00574F26"/>
    <w:rsid w:val="00576D51"/>
    <w:rsid w:val="0057710E"/>
    <w:rsid w:val="00580AC1"/>
    <w:rsid w:val="00581992"/>
    <w:rsid w:val="005836CC"/>
    <w:rsid w:val="005842A4"/>
    <w:rsid w:val="005845F3"/>
    <w:rsid w:val="005855E7"/>
    <w:rsid w:val="005861E6"/>
    <w:rsid w:val="00586DC0"/>
    <w:rsid w:val="005908D2"/>
    <w:rsid w:val="00591C99"/>
    <w:rsid w:val="00592092"/>
    <w:rsid w:val="00593518"/>
    <w:rsid w:val="00593959"/>
    <w:rsid w:val="005939A7"/>
    <w:rsid w:val="00593AB5"/>
    <w:rsid w:val="005958C1"/>
    <w:rsid w:val="00595E64"/>
    <w:rsid w:val="00597470"/>
    <w:rsid w:val="005A1292"/>
    <w:rsid w:val="005A1FF2"/>
    <w:rsid w:val="005A599B"/>
    <w:rsid w:val="005A64F7"/>
    <w:rsid w:val="005B31FD"/>
    <w:rsid w:val="005C201C"/>
    <w:rsid w:val="005C3AB7"/>
    <w:rsid w:val="005C51F7"/>
    <w:rsid w:val="005C6A6C"/>
    <w:rsid w:val="005D1812"/>
    <w:rsid w:val="005D206A"/>
    <w:rsid w:val="005D456F"/>
    <w:rsid w:val="005D48CA"/>
    <w:rsid w:val="005D5A16"/>
    <w:rsid w:val="005D6345"/>
    <w:rsid w:val="005D7632"/>
    <w:rsid w:val="005E0661"/>
    <w:rsid w:val="005E09F7"/>
    <w:rsid w:val="005E306B"/>
    <w:rsid w:val="005E4016"/>
    <w:rsid w:val="005E4329"/>
    <w:rsid w:val="005E6B15"/>
    <w:rsid w:val="005F0138"/>
    <w:rsid w:val="005F1118"/>
    <w:rsid w:val="005F23D4"/>
    <w:rsid w:val="005F3083"/>
    <w:rsid w:val="005F4643"/>
    <w:rsid w:val="005F5D29"/>
    <w:rsid w:val="005F68AC"/>
    <w:rsid w:val="005F7F10"/>
    <w:rsid w:val="006009AE"/>
    <w:rsid w:val="00601D0E"/>
    <w:rsid w:val="00602868"/>
    <w:rsid w:val="006046F8"/>
    <w:rsid w:val="00604ECF"/>
    <w:rsid w:val="00605EEE"/>
    <w:rsid w:val="006065D3"/>
    <w:rsid w:val="00606889"/>
    <w:rsid w:val="00607B24"/>
    <w:rsid w:val="006103E3"/>
    <w:rsid w:val="0061493C"/>
    <w:rsid w:val="00615237"/>
    <w:rsid w:val="00617543"/>
    <w:rsid w:val="00621713"/>
    <w:rsid w:val="00624047"/>
    <w:rsid w:val="00626085"/>
    <w:rsid w:val="00626DE6"/>
    <w:rsid w:val="00627040"/>
    <w:rsid w:val="00627621"/>
    <w:rsid w:val="006300DE"/>
    <w:rsid w:val="0063048A"/>
    <w:rsid w:val="00630A6C"/>
    <w:rsid w:val="00631A55"/>
    <w:rsid w:val="00635547"/>
    <w:rsid w:val="0063614D"/>
    <w:rsid w:val="00640477"/>
    <w:rsid w:val="00641710"/>
    <w:rsid w:val="0064391C"/>
    <w:rsid w:val="006445AD"/>
    <w:rsid w:val="0064732F"/>
    <w:rsid w:val="00647418"/>
    <w:rsid w:val="006502AC"/>
    <w:rsid w:val="00650D31"/>
    <w:rsid w:val="0065257F"/>
    <w:rsid w:val="00652F81"/>
    <w:rsid w:val="006534C6"/>
    <w:rsid w:val="00654CF0"/>
    <w:rsid w:val="006623F2"/>
    <w:rsid w:val="00662DD9"/>
    <w:rsid w:val="006636A6"/>
    <w:rsid w:val="00663CBD"/>
    <w:rsid w:val="00664DC3"/>
    <w:rsid w:val="00665C05"/>
    <w:rsid w:val="0066629F"/>
    <w:rsid w:val="00667ADE"/>
    <w:rsid w:val="0067397E"/>
    <w:rsid w:val="00675410"/>
    <w:rsid w:val="00681ADC"/>
    <w:rsid w:val="00681ED2"/>
    <w:rsid w:val="006846A9"/>
    <w:rsid w:val="00687704"/>
    <w:rsid w:val="006A1904"/>
    <w:rsid w:val="006A32AA"/>
    <w:rsid w:val="006A37C3"/>
    <w:rsid w:val="006A44C1"/>
    <w:rsid w:val="006A497E"/>
    <w:rsid w:val="006A4999"/>
    <w:rsid w:val="006A5F06"/>
    <w:rsid w:val="006A727F"/>
    <w:rsid w:val="006B28C4"/>
    <w:rsid w:val="006B2F38"/>
    <w:rsid w:val="006B7C97"/>
    <w:rsid w:val="006C60D1"/>
    <w:rsid w:val="006C7D95"/>
    <w:rsid w:val="006D0B5D"/>
    <w:rsid w:val="006D1F57"/>
    <w:rsid w:val="006D2DF4"/>
    <w:rsid w:val="006D5E01"/>
    <w:rsid w:val="006D71DB"/>
    <w:rsid w:val="006D749A"/>
    <w:rsid w:val="006E00EA"/>
    <w:rsid w:val="006E0975"/>
    <w:rsid w:val="006E0AC6"/>
    <w:rsid w:val="006E1935"/>
    <w:rsid w:val="006E2555"/>
    <w:rsid w:val="006E39EC"/>
    <w:rsid w:val="006E5F02"/>
    <w:rsid w:val="006E7459"/>
    <w:rsid w:val="006F011A"/>
    <w:rsid w:val="006F1564"/>
    <w:rsid w:val="006F4C8C"/>
    <w:rsid w:val="006F4D67"/>
    <w:rsid w:val="006F6F0D"/>
    <w:rsid w:val="006F778E"/>
    <w:rsid w:val="006F7A60"/>
    <w:rsid w:val="006F7DE6"/>
    <w:rsid w:val="00700626"/>
    <w:rsid w:val="007022CD"/>
    <w:rsid w:val="00703B41"/>
    <w:rsid w:val="007045F7"/>
    <w:rsid w:val="007055F7"/>
    <w:rsid w:val="00707DCF"/>
    <w:rsid w:val="00707FEF"/>
    <w:rsid w:val="00712A1C"/>
    <w:rsid w:val="00713A6E"/>
    <w:rsid w:val="00715FD8"/>
    <w:rsid w:val="00717714"/>
    <w:rsid w:val="00720E89"/>
    <w:rsid w:val="00722C89"/>
    <w:rsid w:val="00725AA7"/>
    <w:rsid w:val="007273F0"/>
    <w:rsid w:val="00730FDF"/>
    <w:rsid w:val="00732357"/>
    <w:rsid w:val="00735B89"/>
    <w:rsid w:val="007424D8"/>
    <w:rsid w:val="00742EA5"/>
    <w:rsid w:val="00742F88"/>
    <w:rsid w:val="00744673"/>
    <w:rsid w:val="00744FCB"/>
    <w:rsid w:val="00745491"/>
    <w:rsid w:val="00745527"/>
    <w:rsid w:val="007460C3"/>
    <w:rsid w:val="00746205"/>
    <w:rsid w:val="007506D8"/>
    <w:rsid w:val="00750DB6"/>
    <w:rsid w:val="0075392B"/>
    <w:rsid w:val="00755E64"/>
    <w:rsid w:val="00756BEE"/>
    <w:rsid w:val="00757531"/>
    <w:rsid w:val="00760F83"/>
    <w:rsid w:val="00761597"/>
    <w:rsid w:val="00761C8D"/>
    <w:rsid w:val="00764418"/>
    <w:rsid w:val="007645CC"/>
    <w:rsid w:val="00765927"/>
    <w:rsid w:val="007745AD"/>
    <w:rsid w:val="00774617"/>
    <w:rsid w:val="0077543C"/>
    <w:rsid w:val="00775828"/>
    <w:rsid w:val="007762B8"/>
    <w:rsid w:val="00776FB8"/>
    <w:rsid w:val="007800DD"/>
    <w:rsid w:val="00780E42"/>
    <w:rsid w:val="00783639"/>
    <w:rsid w:val="00784997"/>
    <w:rsid w:val="00785F15"/>
    <w:rsid w:val="00787679"/>
    <w:rsid w:val="0079221C"/>
    <w:rsid w:val="007937E7"/>
    <w:rsid w:val="00795990"/>
    <w:rsid w:val="00796B12"/>
    <w:rsid w:val="007A0937"/>
    <w:rsid w:val="007A23D2"/>
    <w:rsid w:val="007A3C29"/>
    <w:rsid w:val="007A5674"/>
    <w:rsid w:val="007A5A97"/>
    <w:rsid w:val="007A6995"/>
    <w:rsid w:val="007A72F5"/>
    <w:rsid w:val="007B4CDE"/>
    <w:rsid w:val="007C03C6"/>
    <w:rsid w:val="007C08A7"/>
    <w:rsid w:val="007C213F"/>
    <w:rsid w:val="007C2742"/>
    <w:rsid w:val="007C4108"/>
    <w:rsid w:val="007C50ED"/>
    <w:rsid w:val="007C6F48"/>
    <w:rsid w:val="007C75DA"/>
    <w:rsid w:val="007C7864"/>
    <w:rsid w:val="007C79D1"/>
    <w:rsid w:val="007D0224"/>
    <w:rsid w:val="007D270B"/>
    <w:rsid w:val="007D3506"/>
    <w:rsid w:val="007E0FFE"/>
    <w:rsid w:val="007E2540"/>
    <w:rsid w:val="007E42E6"/>
    <w:rsid w:val="007E5088"/>
    <w:rsid w:val="007E79B6"/>
    <w:rsid w:val="007F0969"/>
    <w:rsid w:val="007F0F50"/>
    <w:rsid w:val="007F11DC"/>
    <w:rsid w:val="007F1698"/>
    <w:rsid w:val="007F504F"/>
    <w:rsid w:val="007F6C6C"/>
    <w:rsid w:val="00800903"/>
    <w:rsid w:val="0080190D"/>
    <w:rsid w:val="00803443"/>
    <w:rsid w:val="00807704"/>
    <w:rsid w:val="00807FA9"/>
    <w:rsid w:val="00810038"/>
    <w:rsid w:val="00811EA3"/>
    <w:rsid w:val="0081505B"/>
    <w:rsid w:val="008160F0"/>
    <w:rsid w:val="008207A6"/>
    <w:rsid w:val="00821D09"/>
    <w:rsid w:val="0082440D"/>
    <w:rsid w:val="00824C21"/>
    <w:rsid w:val="00825324"/>
    <w:rsid w:val="00833ACD"/>
    <w:rsid w:val="00834D8C"/>
    <w:rsid w:val="00840056"/>
    <w:rsid w:val="008424C7"/>
    <w:rsid w:val="008427C5"/>
    <w:rsid w:val="0084448C"/>
    <w:rsid w:val="00846186"/>
    <w:rsid w:val="00852145"/>
    <w:rsid w:val="00852E1F"/>
    <w:rsid w:val="00854A74"/>
    <w:rsid w:val="00854E1C"/>
    <w:rsid w:val="00855664"/>
    <w:rsid w:val="008565A7"/>
    <w:rsid w:val="008579AF"/>
    <w:rsid w:val="00860498"/>
    <w:rsid w:val="0086194A"/>
    <w:rsid w:val="00861FE4"/>
    <w:rsid w:val="0086440B"/>
    <w:rsid w:val="0086502F"/>
    <w:rsid w:val="00866026"/>
    <w:rsid w:val="008664BE"/>
    <w:rsid w:val="0087052C"/>
    <w:rsid w:val="00870DA8"/>
    <w:rsid w:val="008735CD"/>
    <w:rsid w:val="00875E54"/>
    <w:rsid w:val="00875F47"/>
    <w:rsid w:val="00876233"/>
    <w:rsid w:val="008767B2"/>
    <w:rsid w:val="00887248"/>
    <w:rsid w:val="008872C6"/>
    <w:rsid w:val="00887CC1"/>
    <w:rsid w:val="00890895"/>
    <w:rsid w:val="00892E16"/>
    <w:rsid w:val="00893253"/>
    <w:rsid w:val="008965FB"/>
    <w:rsid w:val="00897680"/>
    <w:rsid w:val="008A0FB0"/>
    <w:rsid w:val="008A16B3"/>
    <w:rsid w:val="008A1D78"/>
    <w:rsid w:val="008A2813"/>
    <w:rsid w:val="008A2EAE"/>
    <w:rsid w:val="008A3487"/>
    <w:rsid w:val="008A40F0"/>
    <w:rsid w:val="008A7A77"/>
    <w:rsid w:val="008B006E"/>
    <w:rsid w:val="008B608B"/>
    <w:rsid w:val="008B68A6"/>
    <w:rsid w:val="008C39BD"/>
    <w:rsid w:val="008D0BFC"/>
    <w:rsid w:val="008D1340"/>
    <w:rsid w:val="008D20E8"/>
    <w:rsid w:val="008D70C8"/>
    <w:rsid w:val="008D7AC0"/>
    <w:rsid w:val="008E3968"/>
    <w:rsid w:val="008E49A5"/>
    <w:rsid w:val="008E658A"/>
    <w:rsid w:val="008F0A2F"/>
    <w:rsid w:val="008F0AA0"/>
    <w:rsid w:val="008F1A30"/>
    <w:rsid w:val="008F265A"/>
    <w:rsid w:val="008F268F"/>
    <w:rsid w:val="008F3515"/>
    <w:rsid w:val="008F3CE5"/>
    <w:rsid w:val="009003FF"/>
    <w:rsid w:val="009007A8"/>
    <w:rsid w:val="009010D9"/>
    <w:rsid w:val="0090366E"/>
    <w:rsid w:val="00904EB8"/>
    <w:rsid w:val="00910EC7"/>
    <w:rsid w:val="009156BD"/>
    <w:rsid w:val="00916D7D"/>
    <w:rsid w:val="009175FE"/>
    <w:rsid w:val="009178F5"/>
    <w:rsid w:val="009216F8"/>
    <w:rsid w:val="00923867"/>
    <w:rsid w:val="009252EE"/>
    <w:rsid w:val="00926FB5"/>
    <w:rsid w:val="0092727E"/>
    <w:rsid w:val="009279BC"/>
    <w:rsid w:val="009319D8"/>
    <w:rsid w:val="009333A1"/>
    <w:rsid w:val="00933FDC"/>
    <w:rsid w:val="0093421D"/>
    <w:rsid w:val="009345AD"/>
    <w:rsid w:val="00934AC5"/>
    <w:rsid w:val="00934D14"/>
    <w:rsid w:val="00935C10"/>
    <w:rsid w:val="0093648C"/>
    <w:rsid w:val="009365B2"/>
    <w:rsid w:val="00944A58"/>
    <w:rsid w:val="009457DE"/>
    <w:rsid w:val="00946CB6"/>
    <w:rsid w:val="00947063"/>
    <w:rsid w:val="00947EF9"/>
    <w:rsid w:val="00952071"/>
    <w:rsid w:val="009551D2"/>
    <w:rsid w:val="00955E9C"/>
    <w:rsid w:val="00956080"/>
    <w:rsid w:val="0095731A"/>
    <w:rsid w:val="00957BDA"/>
    <w:rsid w:val="00962D6A"/>
    <w:rsid w:val="00963C52"/>
    <w:rsid w:val="009660FA"/>
    <w:rsid w:val="00966614"/>
    <w:rsid w:val="00967803"/>
    <w:rsid w:val="00970DA6"/>
    <w:rsid w:val="009726C9"/>
    <w:rsid w:val="009726DE"/>
    <w:rsid w:val="00975726"/>
    <w:rsid w:val="00980615"/>
    <w:rsid w:val="00981EB4"/>
    <w:rsid w:val="00982211"/>
    <w:rsid w:val="009824A5"/>
    <w:rsid w:val="0098262A"/>
    <w:rsid w:val="00983973"/>
    <w:rsid w:val="00984950"/>
    <w:rsid w:val="009859BF"/>
    <w:rsid w:val="009861A4"/>
    <w:rsid w:val="00986FA1"/>
    <w:rsid w:val="00986FAA"/>
    <w:rsid w:val="00987A1A"/>
    <w:rsid w:val="00990EDA"/>
    <w:rsid w:val="0099442B"/>
    <w:rsid w:val="0099465D"/>
    <w:rsid w:val="0099662E"/>
    <w:rsid w:val="00997E2E"/>
    <w:rsid w:val="009A0C9C"/>
    <w:rsid w:val="009A3374"/>
    <w:rsid w:val="009A3E5C"/>
    <w:rsid w:val="009A4967"/>
    <w:rsid w:val="009A7686"/>
    <w:rsid w:val="009A776B"/>
    <w:rsid w:val="009A7F77"/>
    <w:rsid w:val="009B47B3"/>
    <w:rsid w:val="009B5C59"/>
    <w:rsid w:val="009C0ABD"/>
    <w:rsid w:val="009C0B38"/>
    <w:rsid w:val="009C35C5"/>
    <w:rsid w:val="009C3B95"/>
    <w:rsid w:val="009C57B8"/>
    <w:rsid w:val="009C6A28"/>
    <w:rsid w:val="009C6FF8"/>
    <w:rsid w:val="009C7347"/>
    <w:rsid w:val="009D092A"/>
    <w:rsid w:val="009D25B7"/>
    <w:rsid w:val="009D31C6"/>
    <w:rsid w:val="009D3892"/>
    <w:rsid w:val="009D5AC4"/>
    <w:rsid w:val="009D67B7"/>
    <w:rsid w:val="009E0739"/>
    <w:rsid w:val="009E1DD5"/>
    <w:rsid w:val="009E2171"/>
    <w:rsid w:val="009E5237"/>
    <w:rsid w:val="009E6A92"/>
    <w:rsid w:val="009E7C58"/>
    <w:rsid w:val="009F016C"/>
    <w:rsid w:val="009F28F0"/>
    <w:rsid w:val="009F33FC"/>
    <w:rsid w:val="009F3690"/>
    <w:rsid w:val="009F4413"/>
    <w:rsid w:val="009F734F"/>
    <w:rsid w:val="00A00FC6"/>
    <w:rsid w:val="00A02C02"/>
    <w:rsid w:val="00A03B39"/>
    <w:rsid w:val="00A067FA"/>
    <w:rsid w:val="00A07678"/>
    <w:rsid w:val="00A10361"/>
    <w:rsid w:val="00A11461"/>
    <w:rsid w:val="00A11F92"/>
    <w:rsid w:val="00A129C2"/>
    <w:rsid w:val="00A1343A"/>
    <w:rsid w:val="00A139DE"/>
    <w:rsid w:val="00A13ACB"/>
    <w:rsid w:val="00A13E1F"/>
    <w:rsid w:val="00A14B5D"/>
    <w:rsid w:val="00A16E47"/>
    <w:rsid w:val="00A2098B"/>
    <w:rsid w:val="00A25216"/>
    <w:rsid w:val="00A257B5"/>
    <w:rsid w:val="00A25DCA"/>
    <w:rsid w:val="00A32B61"/>
    <w:rsid w:val="00A34833"/>
    <w:rsid w:val="00A36EA1"/>
    <w:rsid w:val="00A37D63"/>
    <w:rsid w:val="00A4198D"/>
    <w:rsid w:val="00A444FB"/>
    <w:rsid w:val="00A4495C"/>
    <w:rsid w:val="00A45F0C"/>
    <w:rsid w:val="00A47D57"/>
    <w:rsid w:val="00A508D7"/>
    <w:rsid w:val="00A50ABE"/>
    <w:rsid w:val="00A5181E"/>
    <w:rsid w:val="00A52CC1"/>
    <w:rsid w:val="00A577B8"/>
    <w:rsid w:val="00A620CC"/>
    <w:rsid w:val="00A658A9"/>
    <w:rsid w:val="00A66403"/>
    <w:rsid w:val="00A6721C"/>
    <w:rsid w:val="00A67531"/>
    <w:rsid w:val="00A7100B"/>
    <w:rsid w:val="00A7120D"/>
    <w:rsid w:val="00A71AE7"/>
    <w:rsid w:val="00A749D9"/>
    <w:rsid w:val="00A80301"/>
    <w:rsid w:val="00A806FE"/>
    <w:rsid w:val="00A81ABD"/>
    <w:rsid w:val="00A844EF"/>
    <w:rsid w:val="00A868CB"/>
    <w:rsid w:val="00A869A8"/>
    <w:rsid w:val="00A87974"/>
    <w:rsid w:val="00A902CE"/>
    <w:rsid w:val="00A91E45"/>
    <w:rsid w:val="00A94AEF"/>
    <w:rsid w:val="00A9565C"/>
    <w:rsid w:val="00A96FCE"/>
    <w:rsid w:val="00A9794D"/>
    <w:rsid w:val="00AA09DF"/>
    <w:rsid w:val="00AA141F"/>
    <w:rsid w:val="00AA2FE2"/>
    <w:rsid w:val="00AA3188"/>
    <w:rsid w:val="00AA4283"/>
    <w:rsid w:val="00AA4E6A"/>
    <w:rsid w:val="00AA4FD0"/>
    <w:rsid w:val="00AA575B"/>
    <w:rsid w:val="00AA7BC0"/>
    <w:rsid w:val="00AB2B20"/>
    <w:rsid w:val="00AB3890"/>
    <w:rsid w:val="00AB45DE"/>
    <w:rsid w:val="00AB6870"/>
    <w:rsid w:val="00AB6E18"/>
    <w:rsid w:val="00AC5241"/>
    <w:rsid w:val="00AC58A1"/>
    <w:rsid w:val="00AC6B3A"/>
    <w:rsid w:val="00AD17F1"/>
    <w:rsid w:val="00AD38E2"/>
    <w:rsid w:val="00AD62F6"/>
    <w:rsid w:val="00AD7C61"/>
    <w:rsid w:val="00AD7CEB"/>
    <w:rsid w:val="00AE09E2"/>
    <w:rsid w:val="00AE1898"/>
    <w:rsid w:val="00AE1AAD"/>
    <w:rsid w:val="00AE25E4"/>
    <w:rsid w:val="00AE3CB2"/>
    <w:rsid w:val="00AE4B10"/>
    <w:rsid w:val="00AE6F79"/>
    <w:rsid w:val="00AE7951"/>
    <w:rsid w:val="00AF0EF3"/>
    <w:rsid w:val="00AF2B7F"/>
    <w:rsid w:val="00AF38F4"/>
    <w:rsid w:val="00AF3D0B"/>
    <w:rsid w:val="00AF616A"/>
    <w:rsid w:val="00B014D6"/>
    <w:rsid w:val="00B017CE"/>
    <w:rsid w:val="00B028E2"/>
    <w:rsid w:val="00B07BA5"/>
    <w:rsid w:val="00B109EF"/>
    <w:rsid w:val="00B10B4A"/>
    <w:rsid w:val="00B1234C"/>
    <w:rsid w:val="00B126AC"/>
    <w:rsid w:val="00B127E3"/>
    <w:rsid w:val="00B13B74"/>
    <w:rsid w:val="00B1472D"/>
    <w:rsid w:val="00B14786"/>
    <w:rsid w:val="00B15208"/>
    <w:rsid w:val="00B160C7"/>
    <w:rsid w:val="00B162D8"/>
    <w:rsid w:val="00B17A81"/>
    <w:rsid w:val="00B17E76"/>
    <w:rsid w:val="00B22411"/>
    <w:rsid w:val="00B24AC3"/>
    <w:rsid w:val="00B30AB5"/>
    <w:rsid w:val="00B32862"/>
    <w:rsid w:val="00B32F28"/>
    <w:rsid w:val="00B3381D"/>
    <w:rsid w:val="00B341C6"/>
    <w:rsid w:val="00B35434"/>
    <w:rsid w:val="00B35C7A"/>
    <w:rsid w:val="00B36053"/>
    <w:rsid w:val="00B36865"/>
    <w:rsid w:val="00B368F1"/>
    <w:rsid w:val="00B37065"/>
    <w:rsid w:val="00B37372"/>
    <w:rsid w:val="00B40709"/>
    <w:rsid w:val="00B41ED8"/>
    <w:rsid w:val="00B42036"/>
    <w:rsid w:val="00B435D9"/>
    <w:rsid w:val="00B45ADD"/>
    <w:rsid w:val="00B473D3"/>
    <w:rsid w:val="00B51A0F"/>
    <w:rsid w:val="00B52B94"/>
    <w:rsid w:val="00B53B24"/>
    <w:rsid w:val="00B53CB9"/>
    <w:rsid w:val="00B54342"/>
    <w:rsid w:val="00B6044D"/>
    <w:rsid w:val="00B61244"/>
    <w:rsid w:val="00B62EE0"/>
    <w:rsid w:val="00B63516"/>
    <w:rsid w:val="00B64C3C"/>
    <w:rsid w:val="00B6650E"/>
    <w:rsid w:val="00B66D17"/>
    <w:rsid w:val="00B722BF"/>
    <w:rsid w:val="00B7383F"/>
    <w:rsid w:val="00B749E4"/>
    <w:rsid w:val="00B75132"/>
    <w:rsid w:val="00B756EB"/>
    <w:rsid w:val="00B76D62"/>
    <w:rsid w:val="00B81E65"/>
    <w:rsid w:val="00B84901"/>
    <w:rsid w:val="00B91A15"/>
    <w:rsid w:val="00B92274"/>
    <w:rsid w:val="00B94237"/>
    <w:rsid w:val="00B946C1"/>
    <w:rsid w:val="00B94910"/>
    <w:rsid w:val="00B9609D"/>
    <w:rsid w:val="00B97AC5"/>
    <w:rsid w:val="00BA2201"/>
    <w:rsid w:val="00BA4990"/>
    <w:rsid w:val="00BA56E5"/>
    <w:rsid w:val="00BA5F93"/>
    <w:rsid w:val="00BB19EC"/>
    <w:rsid w:val="00BB3078"/>
    <w:rsid w:val="00BB74A1"/>
    <w:rsid w:val="00BB77D0"/>
    <w:rsid w:val="00BC1E62"/>
    <w:rsid w:val="00BC30DF"/>
    <w:rsid w:val="00BC4203"/>
    <w:rsid w:val="00BC51E6"/>
    <w:rsid w:val="00BC557B"/>
    <w:rsid w:val="00BC5704"/>
    <w:rsid w:val="00BC5BB1"/>
    <w:rsid w:val="00BC6486"/>
    <w:rsid w:val="00BC73CE"/>
    <w:rsid w:val="00BD1172"/>
    <w:rsid w:val="00BD11CB"/>
    <w:rsid w:val="00BD1D09"/>
    <w:rsid w:val="00BD1E0C"/>
    <w:rsid w:val="00BD24F6"/>
    <w:rsid w:val="00BD2BC7"/>
    <w:rsid w:val="00BD2F8F"/>
    <w:rsid w:val="00BD327C"/>
    <w:rsid w:val="00BD4A1A"/>
    <w:rsid w:val="00BD570B"/>
    <w:rsid w:val="00BD5718"/>
    <w:rsid w:val="00BD5858"/>
    <w:rsid w:val="00BD7469"/>
    <w:rsid w:val="00BE09E5"/>
    <w:rsid w:val="00BE1682"/>
    <w:rsid w:val="00BE22C8"/>
    <w:rsid w:val="00BE4635"/>
    <w:rsid w:val="00BE6B53"/>
    <w:rsid w:val="00BF1852"/>
    <w:rsid w:val="00BF5DF2"/>
    <w:rsid w:val="00BF7EB1"/>
    <w:rsid w:val="00C01C1D"/>
    <w:rsid w:val="00C02081"/>
    <w:rsid w:val="00C03098"/>
    <w:rsid w:val="00C03E0E"/>
    <w:rsid w:val="00C04739"/>
    <w:rsid w:val="00C04BFF"/>
    <w:rsid w:val="00C06AFA"/>
    <w:rsid w:val="00C13808"/>
    <w:rsid w:val="00C17032"/>
    <w:rsid w:val="00C1716C"/>
    <w:rsid w:val="00C171D8"/>
    <w:rsid w:val="00C202E5"/>
    <w:rsid w:val="00C20C78"/>
    <w:rsid w:val="00C212C0"/>
    <w:rsid w:val="00C219E8"/>
    <w:rsid w:val="00C229E7"/>
    <w:rsid w:val="00C24A38"/>
    <w:rsid w:val="00C27FE8"/>
    <w:rsid w:val="00C309F5"/>
    <w:rsid w:val="00C33E7E"/>
    <w:rsid w:val="00C355E4"/>
    <w:rsid w:val="00C37838"/>
    <w:rsid w:val="00C40793"/>
    <w:rsid w:val="00C40D4F"/>
    <w:rsid w:val="00C419A2"/>
    <w:rsid w:val="00C44FBC"/>
    <w:rsid w:val="00C461B0"/>
    <w:rsid w:val="00C51491"/>
    <w:rsid w:val="00C51656"/>
    <w:rsid w:val="00C52FD1"/>
    <w:rsid w:val="00C55818"/>
    <w:rsid w:val="00C57060"/>
    <w:rsid w:val="00C57FF2"/>
    <w:rsid w:val="00C60269"/>
    <w:rsid w:val="00C63213"/>
    <w:rsid w:val="00C63969"/>
    <w:rsid w:val="00C65AB2"/>
    <w:rsid w:val="00C66637"/>
    <w:rsid w:val="00C67823"/>
    <w:rsid w:val="00C718DD"/>
    <w:rsid w:val="00C72A6C"/>
    <w:rsid w:val="00C72FA7"/>
    <w:rsid w:val="00C76BC1"/>
    <w:rsid w:val="00C81ABC"/>
    <w:rsid w:val="00C86861"/>
    <w:rsid w:val="00C911FE"/>
    <w:rsid w:val="00C92443"/>
    <w:rsid w:val="00C95251"/>
    <w:rsid w:val="00C960D9"/>
    <w:rsid w:val="00C972FE"/>
    <w:rsid w:val="00CA326E"/>
    <w:rsid w:val="00CA4725"/>
    <w:rsid w:val="00CA552C"/>
    <w:rsid w:val="00CA5E11"/>
    <w:rsid w:val="00CB1413"/>
    <w:rsid w:val="00CB14CD"/>
    <w:rsid w:val="00CB1EA4"/>
    <w:rsid w:val="00CB3163"/>
    <w:rsid w:val="00CB433D"/>
    <w:rsid w:val="00CB44BA"/>
    <w:rsid w:val="00CB4B61"/>
    <w:rsid w:val="00CB4CA0"/>
    <w:rsid w:val="00CB5D88"/>
    <w:rsid w:val="00CB758C"/>
    <w:rsid w:val="00CB79F9"/>
    <w:rsid w:val="00CC00E8"/>
    <w:rsid w:val="00CC0D17"/>
    <w:rsid w:val="00CC283F"/>
    <w:rsid w:val="00CC333D"/>
    <w:rsid w:val="00CC44C0"/>
    <w:rsid w:val="00CC47D9"/>
    <w:rsid w:val="00CC6BE1"/>
    <w:rsid w:val="00CC7339"/>
    <w:rsid w:val="00CD0A96"/>
    <w:rsid w:val="00CD2207"/>
    <w:rsid w:val="00CD2E1C"/>
    <w:rsid w:val="00CD441A"/>
    <w:rsid w:val="00CD4446"/>
    <w:rsid w:val="00CE0E62"/>
    <w:rsid w:val="00CE12E8"/>
    <w:rsid w:val="00CE1D15"/>
    <w:rsid w:val="00CE3604"/>
    <w:rsid w:val="00CE3C7C"/>
    <w:rsid w:val="00CE4095"/>
    <w:rsid w:val="00CE6D23"/>
    <w:rsid w:val="00CE6F37"/>
    <w:rsid w:val="00CE7C33"/>
    <w:rsid w:val="00CF26D1"/>
    <w:rsid w:val="00CF660B"/>
    <w:rsid w:val="00D00163"/>
    <w:rsid w:val="00D01A58"/>
    <w:rsid w:val="00D01FCD"/>
    <w:rsid w:val="00D025DE"/>
    <w:rsid w:val="00D02F76"/>
    <w:rsid w:val="00D036B4"/>
    <w:rsid w:val="00D067E0"/>
    <w:rsid w:val="00D07ECD"/>
    <w:rsid w:val="00D12417"/>
    <w:rsid w:val="00D12A02"/>
    <w:rsid w:val="00D12B1B"/>
    <w:rsid w:val="00D13F71"/>
    <w:rsid w:val="00D16197"/>
    <w:rsid w:val="00D16EF0"/>
    <w:rsid w:val="00D17517"/>
    <w:rsid w:val="00D20F1F"/>
    <w:rsid w:val="00D20F3B"/>
    <w:rsid w:val="00D2106C"/>
    <w:rsid w:val="00D22332"/>
    <w:rsid w:val="00D22CE4"/>
    <w:rsid w:val="00D24557"/>
    <w:rsid w:val="00D248EE"/>
    <w:rsid w:val="00D314FA"/>
    <w:rsid w:val="00D33A91"/>
    <w:rsid w:val="00D35180"/>
    <w:rsid w:val="00D35DFF"/>
    <w:rsid w:val="00D36A0F"/>
    <w:rsid w:val="00D3729D"/>
    <w:rsid w:val="00D40F8C"/>
    <w:rsid w:val="00D43617"/>
    <w:rsid w:val="00D44663"/>
    <w:rsid w:val="00D45C19"/>
    <w:rsid w:val="00D462B6"/>
    <w:rsid w:val="00D474BB"/>
    <w:rsid w:val="00D47623"/>
    <w:rsid w:val="00D532BE"/>
    <w:rsid w:val="00D570D8"/>
    <w:rsid w:val="00D60913"/>
    <w:rsid w:val="00D61D65"/>
    <w:rsid w:val="00D65717"/>
    <w:rsid w:val="00D66EA5"/>
    <w:rsid w:val="00D76247"/>
    <w:rsid w:val="00D77E3E"/>
    <w:rsid w:val="00D806F1"/>
    <w:rsid w:val="00D8089E"/>
    <w:rsid w:val="00D80A44"/>
    <w:rsid w:val="00D80AAB"/>
    <w:rsid w:val="00D813B5"/>
    <w:rsid w:val="00D82EAF"/>
    <w:rsid w:val="00D84186"/>
    <w:rsid w:val="00D850C2"/>
    <w:rsid w:val="00D868D1"/>
    <w:rsid w:val="00D95309"/>
    <w:rsid w:val="00DA005B"/>
    <w:rsid w:val="00DA0381"/>
    <w:rsid w:val="00DA1022"/>
    <w:rsid w:val="00DA11FA"/>
    <w:rsid w:val="00DA2715"/>
    <w:rsid w:val="00DA2886"/>
    <w:rsid w:val="00DA2FE2"/>
    <w:rsid w:val="00DA66CD"/>
    <w:rsid w:val="00DB0F56"/>
    <w:rsid w:val="00DB1BD2"/>
    <w:rsid w:val="00DB3913"/>
    <w:rsid w:val="00DB4BEF"/>
    <w:rsid w:val="00DB4D62"/>
    <w:rsid w:val="00DB4DB2"/>
    <w:rsid w:val="00DB5037"/>
    <w:rsid w:val="00DB5C77"/>
    <w:rsid w:val="00DB7543"/>
    <w:rsid w:val="00DC05AC"/>
    <w:rsid w:val="00DC14A5"/>
    <w:rsid w:val="00DC14B1"/>
    <w:rsid w:val="00DC14D4"/>
    <w:rsid w:val="00DC219D"/>
    <w:rsid w:val="00DC6183"/>
    <w:rsid w:val="00DD0BE4"/>
    <w:rsid w:val="00DD119A"/>
    <w:rsid w:val="00DD1C7E"/>
    <w:rsid w:val="00DD2B38"/>
    <w:rsid w:val="00DD41C4"/>
    <w:rsid w:val="00DD4FD4"/>
    <w:rsid w:val="00DD6ACF"/>
    <w:rsid w:val="00DD7248"/>
    <w:rsid w:val="00DE0285"/>
    <w:rsid w:val="00DE15F8"/>
    <w:rsid w:val="00DE1E6E"/>
    <w:rsid w:val="00DE2CAB"/>
    <w:rsid w:val="00DE30BE"/>
    <w:rsid w:val="00DE4570"/>
    <w:rsid w:val="00DE58D0"/>
    <w:rsid w:val="00DE5B5A"/>
    <w:rsid w:val="00DE5D6C"/>
    <w:rsid w:val="00DE60FB"/>
    <w:rsid w:val="00DE72C3"/>
    <w:rsid w:val="00DE7BA3"/>
    <w:rsid w:val="00DF1BDF"/>
    <w:rsid w:val="00DF2BA6"/>
    <w:rsid w:val="00DF3711"/>
    <w:rsid w:val="00DF3738"/>
    <w:rsid w:val="00DF6782"/>
    <w:rsid w:val="00E00877"/>
    <w:rsid w:val="00E04C55"/>
    <w:rsid w:val="00E04E2B"/>
    <w:rsid w:val="00E0736D"/>
    <w:rsid w:val="00E0791A"/>
    <w:rsid w:val="00E10A07"/>
    <w:rsid w:val="00E11BE4"/>
    <w:rsid w:val="00E1200C"/>
    <w:rsid w:val="00E12F94"/>
    <w:rsid w:val="00E14D88"/>
    <w:rsid w:val="00E15786"/>
    <w:rsid w:val="00E21332"/>
    <w:rsid w:val="00E21770"/>
    <w:rsid w:val="00E22C97"/>
    <w:rsid w:val="00E250D1"/>
    <w:rsid w:val="00E2764E"/>
    <w:rsid w:val="00E278CE"/>
    <w:rsid w:val="00E31B78"/>
    <w:rsid w:val="00E3280A"/>
    <w:rsid w:val="00E33AE9"/>
    <w:rsid w:val="00E3413E"/>
    <w:rsid w:val="00E34BF5"/>
    <w:rsid w:val="00E36EC8"/>
    <w:rsid w:val="00E4020A"/>
    <w:rsid w:val="00E40E95"/>
    <w:rsid w:val="00E41156"/>
    <w:rsid w:val="00E41AC9"/>
    <w:rsid w:val="00E42EFF"/>
    <w:rsid w:val="00E4362F"/>
    <w:rsid w:val="00E47E91"/>
    <w:rsid w:val="00E5072F"/>
    <w:rsid w:val="00E51800"/>
    <w:rsid w:val="00E52488"/>
    <w:rsid w:val="00E52AFE"/>
    <w:rsid w:val="00E54BAA"/>
    <w:rsid w:val="00E54E24"/>
    <w:rsid w:val="00E55645"/>
    <w:rsid w:val="00E5658A"/>
    <w:rsid w:val="00E576F5"/>
    <w:rsid w:val="00E60415"/>
    <w:rsid w:val="00E60527"/>
    <w:rsid w:val="00E6103C"/>
    <w:rsid w:val="00E63FFA"/>
    <w:rsid w:val="00E64EF6"/>
    <w:rsid w:val="00E662FB"/>
    <w:rsid w:val="00E70E4E"/>
    <w:rsid w:val="00E72F2E"/>
    <w:rsid w:val="00E74CE6"/>
    <w:rsid w:val="00E756E6"/>
    <w:rsid w:val="00E75BD6"/>
    <w:rsid w:val="00E81264"/>
    <w:rsid w:val="00E82C4E"/>
    <w:rsid w:val="00E83561"/>
    <w:rsid w:val="00E866AA"/>
    <w:rsid w:val="00E87933"/>
    <w:rsid w:val="00E87A30"/>
    <w:rsid w:val="00E90100"/>
    <w:rsid w:val="00E905DC"/>
    <w:rsid w:val="00E9703B"/>
    <w:rsid w:val="00E97B8C"/>
    <w:rsid w:val="00EA0D64"/>
    <w:rsid w:val="00EA0E31"/>
    <w:rsid w:val="00EA1919"/>
    <w:rsid w:val="00EA312C"/>
    <w:rsid w:val="00EA31CF"/>
    <w:rsid w:val="00EA425B"/>
    <w:rsid w:val="00EA4397"/>
    <w:rsid w:val="00EB48A9"/>
    <w:rsid w:val="00EB5FEC"/>
    <w:rsid w:val="00EB6D81"/>
    <w:rsid w:val="00EC373A"/>
    <w:rsid w:val="00EC3F4B"/>
    <w:rsid w:val="00EC40C8"/>
    <w:rsid w:val="00EC4C90"/>
    <w:rsid w:val="00EC4D12"/>
    <w:rsid w:val="00ED0E9E"/>
    <w:rsid w:val="00ED1445"/>
    <w:rsid w:val="00ED3559"/>
    <w:rsid w:val="00ED567C"/>
    <w:rsid w:val="00ED6B7D"/>
    <w:rsid w:val="00ED77DC"/>
    <w:rsid w:val="00EE0527"/>
    <w:rsid w:val="00EE24FA"/>
    <w:rsid w:val="00EE4AAA"/>
    <w:rsid w:val="00EE7CF9"/>
    <w:rsid w:val="00EF03BC"/>
    <w:rsid w:val="00EF0449"/>
    <w:rsid w:val="00EF0A1D"/>
    <w:rsid w:val="00EF1399"/>
    <w:rsid w:val="00EF250F"/>
    <w:rsid w:val="00EF32C1"/>
    <w:rsid w:val="00F02CBE"/>
    <w:rsid w:val="00F03AFB"/>
    <w:rsid w:val="00F04A9B"/>
    <w:rsid w:val="00F05F4C"/>
    <w:rsid w:val="00F06050"/>
    <w:rsid w:val="00F06C13"/>
    <w:rsid w:val="00F10653"/>
    <w:rsid w:val="00F10801"/>
    <w:rsid w:val="00F14961"/>
    <w:rsid w:val="00F2449E"/>
    <w:rsid w:val="00F24DF5"/>
    <w:rsid w:val="00F24EB6"/>
    <w:rsid w:val="00F2642E"/>
    <w:rsid w:val="00F26F86"/>
    <w:rsid w:val="00F27F77"/>
    <w:rsid w:val="00F31155"/>
    <w:rsid w:val="00F31BBD"/>
    <w:rsid w:val="00F328F7"/>
    <w:rsid w:val="00F3380E"/>
    <w:rsid w:val="00F350BF"/>
    <w:rsid w:val="00F35950"/>
    <w:rsid w:val="00F368EF"/>
    <w:rsid w:val="00F37D14"/>
    <w:rsid w:val="00F4028F"/>
    <w:rsid w:val="00F40B4E"/>
    <w:rsid w:val="00F41820"/>
    <w:rsid w:val="00F4301F"/>
    <w:rsid w:val="00F440DE"/>
    <w:rsid w:val="00F442CB"/>
    <w:rsid w:val="00F46B38"/>
    <w:rsid w:val="00F47C44"/>
    <w:rsid w:val="00F47E98"/>
    <w:rsid w:val="00F5066A"/>
    <w:rsid w:val="00F50A85"/>
    <w:rsid w:val="00F50B22"/>
    <w:rsid w:val="00F52598"/>
    <w:rsid w:val="00F55166"/>
    <w:rsid w:val="00F55365"/>
    <w:rsid w:val="00F57F95"/>
    <w:rsid w:val="00F63616"/>
    <w:rsid w:val="00F64025"/>
    <w:rsid w:val="00F64C76"/>
    <w:rsid w:val="00F71AFC"/>
    <w:rsid w:val="00F71E75"/>
    <w:rsid w:val="00F736CD"/>
    <w:rsid w:val="00F73971"/>
    <w:rsid w:val="00F73BD3"/>
    <w:rsid w:val="00F74E29"/>
    <w:rsid w:val="00F76034"/>
    <w:rsid w:val="00F831F6"/>
    <w:rsid w:val="00F83F40"/>
    <w:rsid w:val="00F83F5F"/>
    <w:rsid w:val="00F84074"/>
    <w:rsid w:val="00F847D4"/>
    <w:rsid w:val="00F86637"/>
    <w:rsid w:val="00F90FDD"/>
    <w:rsid w:val="00F91121"/>
    <w:rsid w:val="00F9120B"/>
    <w:rsid w:val="00F91255"/>
    <w:rsid w:val="00F92C4E"/>
    <w:rsid w:val="00F936D9"/>
    <w:rsid w:val="00F93F58"/>
    <w:rsid w:val="00F96A5D"/>
    <w:rsid w:val="00FA0729"/>
    <w:rsid w:val="00FA088B"/>
    <w:rsid w:val="00FA095E"/>
    <w:rsid w:val="00FA1EB3"/>
    <w:rsid w:val="00FA2250"/>
    <w:rsid w:val="00FA2973"/>
    <w:rsid w:val="00FA2CAC"/>
    <w:rsid w:val="00FA30AD"/>
    <w:rsid w:val="00FA330F"/>
    <w:rsid w:val="00FA5F1D"/>
    <w:rsid w:val="00FB208A"/>
    <w:rsid w:val="00FB3DD1"/>
    <w:rsid w:val="00FB50DC"/>
    <w:rsid w:val="00FB661B"/>
    <w:rsid w:val="00FB6EED"/>
    <w:rsid w:val="00FC1E04"/>
    <w:rsid w:val="00FC32CF"/>
    <w:rsid w:val="00FC344E"/>
    <w:rsid w:val="00FC64A9"/>
    <w:rsid w:val="00FC72C2"/>
    <w:rsid w:val="00FC7C7E"/>
    <w:rsid w:val="00FE0745"/>
    <w:rsid w:val="00FE11E2"/>
    <w:rsid w:val="00FE28FA"/>
    <w:rsid w:val="00FE2F4F"/>
    <w:rsid w:val="00FE4A1B"/>
    <w:rsid w:val="00FE6196"/>
    <w:rsid w:val="00FE745F"/>
    <w:rsid w:val="00FE756C"/>
    <w:rsid w:val="00FE7D07"/>
    <w:rsid w:val="00FF012B"/>
    <w:rsid w:val="00FF3D20"/>
    <w:rsid w:val="00FF3F96"/>
    <w:rsid w:val="00FF4A5E"/>
    <w:rsid w:val="00FF5FB4"/>
    <w:rsid w:val="00FF7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039D5"/>
  <w15:docId w15:val="{9009A6A9-0FDB-44D8-9767-2C63D02F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9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semiHidden/>
    <w:rsid w:val="00E72F2E"/>
    <w:rPr>
      <w:sz w:val="16"/>
      <w:szCs w:val="16"/>
    </w:rPr>
  </w:style>
  <w:style w:type="paragraph" w:styleId="CommentText">
    <w:name w:val="annotation text"/>
    <w:basedOn w:val="Normal"/>
    <w:link w:val="CommentTextChar"/>
    <w:semiHidden/>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link w:val="Footer"/>
    <w:rsid w:val="003C0792"/>
    <w:rPr>
      <w:sz w:val="24"/>
      <w:szCs w:val="24"/>
      <w:lang w:val="en-US" w:eastAsia="en-US" w:bidi="ar-SA"/>
    </w:rPr>
  </w:style>
  <w:style w:type="paragraph" w:customStyle="1" w:styleId="ACMAHeading3">
    <w:name w:val="ACMA Heading 3"/>
    <w:next w:val="Normal"/>
    <w:uiPriority w:val="99"/>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eastAsia="en-AU"/>
    </w:rPr>
  </w:style>
  <w:style w:type="paragraph" w:styleId="ListParagraph">
    <w:name w:val="List Paragraph"/>
    <w:basedOn w:val="Normal"/>
    <w:uiPriority w:val="34"/>
    <w:qFormat/>
    <w:rsid w:val="00DF1BDF"/>
    <w:pPr>
      <w:ind w:left="720"/>
    </w:pPr>
  </w:style>
  <w:style w:type="character" w:styleId="Hyperlink">
    <w:name w:val="Hyperlink"/>
    <w:uiPriority w:val="99"/>
    <w:unhideWhenUsed/>
    <w:qFormat/>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uiPriority w:val="99"/>
    <w:semiHidden/>
    <w:unhideWhenUsed/>
    <w:rsid w:val="00AC5241"/>
    <w:rPr>
      <w:color w:val="800080"/>
      <w:u w:val="single"/>
    </w:rPr>
  </w:style>
  <w:style w:type="character" w:customStyle="1" w:styleId="ACMABodyTextChar1">
    <w:name w:val="ACMA Body Text Char1"/>
    <w:link w:val="ACMABodyText"/>
    <w:rsid w:val="00AA141F"/>
    <w:rPr>
      <w:snapToGrid w:val="0"/>
      <w:sz w:val="24"/>
      <w:lang w:val="en-AU" w:eastAsia="en-US" w:bidi="ar-SA"/>
    </w:rPr>
  </w:style>
  <w:style w:type="character" w:customStyle="1" w:styleId="CommentTextChar">
    <w:name w:val="Comment Text Char"/>
    <w:link w:val="CommentText"/>
    <w:semiHidden/>
    <w:rsid w:val="000D00A5"/>
    <w:rPr>
      <w:lang w:val="en-US" w:eastAsia="en-US"/>
    </w:rPr>
  </w:style>
  <w:style w:type="character" w:customStyle="1" w:styleId="FootnoteTextChar">
    <w:name w:val="Footnote Text Char"/>
    <w:link w:val="FootnoteText"/>
    <w:semiHidden/>
    <w:rsid w:val="00B53B24"/>
    <w:rPr>
      <w:lang w:val="en-US" w:eastAsia="en-US"/>
    </w:rPr>
  </w:style>
  <w:style w:type="character" w:customStyle="1" w:styleId="HelpTextChar">
    <w:name w:val="Help Text Char"/>
    <w:link w:val="HelpText"/>
    <w:locked/>
    <w:rsid w:val="00B53B24"/>
    <w:rPr>
      <w:rFonts w:ascii="Arial" w:hAnsi="Arial" w:cs="Arial"/>
      <w:vanish/>
      <w:color w:val="008000"/>
      <w:sz w:val="18"/>
    </w:rPr>
  </w:style>
  <w:style w:type="paragraph" w:customStyle="1" w:styleId="HelpText">
    <w:name w:val="Help Text"/>
    <w:basedOn w:val="Normal"/>
    <w:link w:val="HelpTextChar"/>
    <w:rsid w:val="00B53B24"/>
    <w:pPr>
      <w:overflowPunct w:val="0"/>
      <w:autoSpaceDE w:val="0"/>
      <w:autoSpaceDN w:val="0"/>
      <w:adjustRightInd w:val="0"/>
      <w:spacing w:before="120" w:after="120"/>
    </w:pPr>
    <w:rPr>
      <w:rFonts w:ascii="Arial" w:hAnsi="Arial" w:cs="Arial"/>
      <w:vanish/>
      <w:color w:val="008000"/>
      <w:sz w:val="18"/>
      <w:szCs w:val="20"/>
      <w:lang w:eastAsia="en-AU"/>
    </w:rPr>
  </w:style>
  <w:style w:type="paragraph" w:styleId="Revision">
    <w:name w:val="Revision"/>
    <w:hidden/>
    <w:uiPriority w:val="99"/>
    <w:semiHidden/>
    <w:rsid w:val="00C229E7"/>
    <w:rPr>
      <w:sz w:val="24"/>
      <w:szCs w:val="24"/>
      <w:lang w:val="en-US" w:eastAsia="en-US"/>
    </w:rPr>
  </w:style>
  <w:style w:type="paragraph" w:styleId="ListBullet">
    <w:name w:val="List Bullet"/>
    <w:basedOn w:val="Normal"/>
    <w:qFormat/>
    <w:rsid w:val="00E5072F"/>
    <w:pPr>
      <w:numPr>
        <w:numId w:val="45"/>
      </w:numPr>
      <w:spacing w:after="80" w:line="240" w:lineRule="atLeast"/>
    </w:pPr>
    <w:rPr>
      <w:rFonts w:ascii="Arial" w:hAnsi="Arial"/>
      <w:sz w:val="20"/>
      <w:lang w:eastAsia="en-AU"/>
    </w:rPr>
  </w:style>
  <w:style w:type="paragraph" w:customStyle="1" w:styleId="ListBulletLast">
    <w:name w:val="List Bullet Last"/>
    <w:basedOn w:val="ListBullet"/>
    <w:qFormat/>
    <w:rsid w:val="00E5072F"/>
    <w:pPr>
      <w:spacing w:after="240"/>
    </w:pPr>
    <w:rPr>
      <w:rFonts w:cs="Arial"/>
    </w:rPr>
  </w:style>
  <w:style w:type="character" w:customStyle="1" w:styleId="HeaderChar">
    <w:name w:val="Header Char"/>
    <w:basedOn w:val="DefaultParagraphFont"/>
    <w:link w:val="Header"/>
    <w:uiPriority w:val="99"/>
    <w:rsid w:val="00852145"/>
    <w:rPr>
      <w:sz w:val="24"/>
      <w:szCs w:val="24"/>
      <w:lang w:eastAsia="en-US"/>
    </w:rPr>
  </w:style>
  <w:style w:type="character" w:customStyle="1" w:styleId="UnresolvedMention">
    <w:name w:val="Unresolved Mention"/>
    <w:basedOn w:val="DefaultParagraphFont"/>
    <w:uiPriority w:val="99"/>
    <w:semiHidden/>
    <w:unhideWhenUsed/>
    <w:rsid w:val="00CB7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332640">
      <w:bodyDiv w:val="1"/>
      <w:marLeft w:val="0"/>
      <w:marRight w:val="0"/>
      <w:marTop w:val="0"/>
      <w:marBottom w:val="0"/>
      <w:divBdr>
        <w:top w:val="none" w:sz="0" w:space="0" w:color="auto"/>
        <w:left w:val="none" w:sz="0" w:space="0" w:color="auto"/>
        <w:bottom w:val="none" w:sz="0" w:space="0" w:color="auto"/>
        <w:right w:val="none" w:sz="0" w:space="0" w:color="auto"/>
      </w:divBdr>
    </w:div>
    <w:div w:id="813370447">
      <w:bodyDiv w:val="1"/>
      <w:marLeft w:val="0"/>
      <w:marRight w:val="0"/>
      <w:marTop w:val="0"/>
      <w:marBottom w:val="0"/>
      <w:divBdr>
        <w:top w:val="none" w:sz="0" w:space="0" w:color="auto"/>
        <w:left w:val="none" w:sz="0" w:space="0" w:color="auto"/>
        <w:bottom w:val="none" w:sz="0" w:space="0" w:color="auto"/>
        <w:right w:val="none" w:sz="0" w:space="0" w:color="auto"/>
      </w:divBdr>
    </w:div>
    <w:div w:id="1350376628">
      <w:bodyDiv w:val="1"/>
      <w:marLeft w:val="0"/>
      <w:marRight w:val="0"/>
      <w:marTop w:val="0"/>
      <w:marBottom w:val="0"/>
      <w:divBdr>
        <w:top w:val="none" w:sz="0" w:space="0" w:color="auto"/>
        <w:left w:val="none" w:sz="0" w:space="0" w:color="auto"/>
        <w:bottom w:val="none" w:sz="0" w:space="0" w:color="auto"/>
        <w:right w:val="none" w:sz="0" w:space="0" w:color="auto"/>
      </w:divBdr>
    </w:div>
    <w:div w:id="178349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au/Details/F2018L00225" TargetMode="External"/><Relationship Id="rId18" Type="http://schemas.openxmlformats.org/officeDocument/2006/relationships/hyperlink" Target="http://www.itu.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cma.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cma.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yperlink" Target="http://www.ga.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legislation.gov.au/Details/F2018L00222"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Details/F2018L0022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C2C2A64A8885141944B53CDF664F12F" ma:contentTypeVersion="2" ma:contentTypeDescription="Create a new document." ma:contentTypeScope="" ma:versionID="6622cf11ebecbfe006971168e107eb3d">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1d983eb4-33f7-44b0-aea1-cbdcf0c55136">3NE2HDV7HD6D-31086508-635</_dlc_DocId>
    <_dlc_DocIdUrl xmlns="1d983eb4-33f7-44b0-aea1-cbdcf0c55136">
      <Url>http://collaboration/organisation/cid/RPB/MSAS/lib/_layouts/15/DocIdRedir.aspx?ID=3NE2HDV7HD6D-31086508-635</Url>
      <Description>3NE2HDV7HD6D-31086508-635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8B6C-964B-428C-9281-C3DEC16D076F}">
  <ds:schemaRefs>
    <ds:schemaRef ds:uri="http://schemas.microsoft.com/sharepoint/events"/>
  </ds:schemaRefs>
</ds:datastoreItem>
</file>

<file path=customXml/itemProps2.xml><?xml version="1.0" encoding="utf-8"?>
<ds:datastoreItem xmlns:ds="http://schemas.openxmlformats.org/officeDocument/2006/customXml" ds:itemID="{0D80A6BF-CEBB-4B23-AE42-5F4B161F7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B70E7-D7A2-4B27-8BB3-E9F4526CE102}">
  <ds:schemaRef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1d983eb4-33f7-44b0-aea1-cbdcf0c55136"/>
    <ds:schemaRef ds:uri="http://schemas.microsoft.com/office/2006/metadata/properties"/>
  </ds:schemaRefs>
</ds:datastoreItem>
</file>

<file path=customXml/itemProps4.xml><?xml version="1.0" encoding="utf-8"?>
<ds:datastoreItem xmlns:ds="http://schemas.openxmlformats.org/officeDocument/2006/customXml" ds:itemID="{77A934A5-8B57-45F1-8563-580B84A88B82}">
  <ds:schemaRefs>
    <ds:schemaRef ds:uri="http://schemas.microsoft.com/sharepoint/v3/contenttype/forms"/>
  </ds:schemaRefs>
</ds:datastoreItem>
</file>

<file path=customXml/itemProps5.xml><?xml version="1.0" encoding="utf-8"?>
<ds:datastoreItem xmlns:ds="http://schemas.openxmlformats.org/officeDocument/2006/customXml" ds:itemID="{7A634A9F-497F-4C80-B07B-E41D203ACBC0}">
  <ds:schemaRefs>
    <ds:schemaRef ds:uri="http://schemas.microsoft.com/office/2006/metadata/longProperties"/>
  </ds:schemaRefs>
</ds:datastoreItem>
</file>

<file path=customXml/itemProps6.xml><?xml version="1.0" encoding="utf-8"?>
<ds:datastoreItem xmlns:ds="http://schemas.openxmlformats.org/officeDocument/2006/customXml" ds:itemID="{C4218453-1BCE-4A0A-BF66-1271BAED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5068</Words>
  <Characters>28237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33239</CharactersWithSpaces>
  <SharedDoc>false</SharedDoc>
  <HLinks>
    <vt:vector size="12" baseType="variant">
      <vt:variant>
        <vt:i4>6160468</vt:i4>
      </vt:variant>
      <vt:variant>
        <vt:i4>3</vt:i4>
      </vt:variant>
      <vt:variant>
        <vt:i4>0</vt:i4>
      </vt:variant>
      <vt:variant>
        <vt:i4>5</vt:i4>
      </vt:variant>
      <vt:variant>
        <vt:lpwstr>http://www.comlaw.gov.au/</vt:lpwstr>
      </vt:variant>
      <vt:variant>
        <vt:lpwstr/>
      </vt:variant>
      <vt:variant>
        <vt:i4>7864390</vt:i4>
      </vt:variant>
      <vt:variant>
        <vt:i4>0</vt:i4>
      </vt:variant>
      <vt:variant>
        <vt:i4>0</vt:i4>
      </vt:variant>
      <vt:variant>
        <vt:i4>5</vt:i4>
      </vt:variant>
      <vt:variant>
        <vt:lpwstr>http://www.acma.gov.au/WEB/STANDARD/pc=PC_410046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Alison Jermey</dc:creator>
  <cp:lastModifiedBy>Stephen Jones</cp:lastModifiedBy>
  <cp:revision>3</cp:revision>
  <cp:lastPrinted>2010-06-25T00:30:00Z</cp:lastPrinted>
  <dcterms:created xsi:type="dcterms:W3CDTF">2018-07-25T00:30:00Z</dcterms:created>
  <dcterms:modified xsi:type="dcterms:W3CDTF">2018-07-25T00:50:00Z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3fea7a83-4021-4a54-9360-dfb6089efafa</vt:lpwstr>
  </property>
  <property fmtid="{D5CDD505-2E9C-101B-9397-08002B2CF9AE}" pid="4" name="ContentTypeId">
    <vt:lpwstr>0x0101008C2C2A64A8885141944B53CDF664F12F</vt:lpwstr>
  </property>
  <property fmtid="{D5CDD505-2E9C-101B-9397-08002B2CF9AE}" pid="5" name="_dlc_DocId">
    <vt:lpwstr>KNAH4PPFC442-1229-623</vt:lpwstr>
  </property>
  <property fmtid="{D5CDD505-2E9C-101B-9397-08002B2CF9AE}" pid="6" name="_dlc_DocIdUrl">
    <vt:lpwstr>http://collaboration/organisation/CID/IRB/SORS/_layouts/DocIdRedir.aspx?ID=KNAH4PPFC442-1229-623, KNAH4PPFC442-1229-623</vt:lpwstr>
  </property>
  <property fmtid="{D5CDD505-2E9C-101B-9397-08002B2CF9AE}" pid="7" name="_NewReviewCycle">
    <vt:lpwstr/>
  </property>
  <property fmtid="{D5CDD505-2E9C-101B-9397-08002B2CF9AE}" pid="8" name="RecordPoint_SubmissionDate">
    <vt:lpwstr/>
  </property>
  <property fmtid="{D5CDD505-2E9C-101B-9397-08002B2CF9AE}" pid="9" name="RecordPoint_ActiveItemSiteId">
    <vt:lpwstr>{7ba5f3c1-1ab9-4cc3-a7c0-334d2b0aec73}</vt:lpwstr>
  </property>
  <property fmtid="{D5CDD505-2E9C-101B-9397-08002B2CF9AE}" pid="10" name="RecordPoint_ActiveItemListId">
    <vt:lpwstr>{8083d662-5655-451c-b4b0-0301a4bcae58}</vt:lpwstr>
  </property>
  <property fmtid="{D5CDD505-2E9C-101B-9397-08002B2CF9AE}" pid="11" name="RecordPoint_SubmissionCompleted">
    <vt:lpwstr/>
  </property>
  <property fmtid="{D5CDD505-2E9C-101B-9397-08002B2CF9AE}" pid="12" name="RecordPoint_ActiveItemMoved">
    <vt:lpwstr/>
  </property>
  <property fmtid="{D5CDD505-2E9C-101B-9397-08002B2CF9AE}" pid="13" name="RecordPoint_ActiveItemUniqueId">
    <vt:lpwstr>{8f9ccfe2-303d-47cc-888f-9eb6fd5b8e80}</vt:lpwstr>
  </property>
  <property fmtid="{D5CDD505-2E9C-101B-9397-08002B2CF9AE}" pid="14" name="RecordPoint_RecordFormat">
    <vt:lpwstr/>
  </property>
  <property fmtid="{D5CDD505-2E9C-101B-9397-08002B2CF9AE}" pid="15" name="RecordPoint_ActiveItemWebId">
    <vt:lpwstr>{e61cc4da-a431-400f-9f48-bf2ba12a7e9a}</vt:lpwstr>
  </property>
  <property fmtid="{D5CDD505-2E9C-101B-9397-08002B2CF9AE}" pid="16" name="RecordPoint_WorkflowType">
    <vt:lpwstr>ActiveSubmitStub</vt:lpwstr>
  </property>
</Properties>
</file>