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02C2" w:rsidRDefault="00AC02C2">
      <w:pPr>
        <w:pStyle w:val="Title"/>
      </w:pPr>
      <w:bookmarkStart w:id="0" w:name="_GoBack"/>
      <w:bookmarkEnd w:id="0"/>
    </w:p>
    <w:p w:rsidR="00AC02C2" w:rsidRDefault="00AC02C2">
      <w:pPr>
        <w:pStyle w:val="Title"/>
      </w:pPr>
    </w:p>
    <w:p w:rsidR="005B0E3A" w:rsidRDefault="005B0E3A" w:rsidP="005B0E3A">
      <w:pPr>
        <w:spacing w:before="63" w:line="479" w:lineRule="auto"/>
        <w:jc w:val="center"/>
        <w:rPr>
          <w:sz w:val="28"/>
          <w:szCs w:val="28"/>
        </w:rPr>
      </w:pPr>
      <w:r>
        <w:rPr>
          <w:b/>
          <w:color w:val="000000"/>
          <w:sz w:val="28"/>
        </w:rPr>
        <w:t>EXPLANATORY</w:t>
      </w:r>
      <w:r>
        <w:rPr>
          <w:b/>
          <w:color w:val="000000"/>
          <w:spacing w:val="-39"/>
          <w:sz w:val="28"/>
        </w:rPr>
        <w:t xml:space="preserve"> </w:t>
      </w:r>
      <w:r>
        <w:rPr>
          <w:b/>
          <w:color w:val="000000"/>
          <w:spacing w:val="-1"/>
          <w:sz w:val="28"/>
        </w:rPr>
        <w:t xml:space="preserve">STATEMENT for </w:t>
      </w:r>
      <w:r>
        <w:rPr>
          <w:b/>
          <w:color w:val="000000"/>
          <w:spacing w:val="-1"/>
          <w:sz w:val="28"/>
        </w:rPr>
        <w:br/>
      </w:r>
      <w:r w:rsidR="005624F1">
        <w:rPr>
          <w:b/>
          <w:color w:val="000000"/>
          <w:spacing w:val="-1"/>
          <w:sz w:val="28"/>
        </w:rPr>
        <w:t>ASIC Corporations (Banking Code of Practice) Instrument 2018/</w:t>
      </w:r>
      <w:r w:rsidR="00D770DD">
        <w:rPr>
          <w:b/>
          <w:color w:val="000000"/>
          <w:spacing w:val="-1"/>
          <w:sz w:val="28"/>
        </w:rPr>
        <w:t>700</w:t>
      </w:r>
    </w:p>
    <w:p w:rsidR="005B0E3A" w:rsidRDefault="005B0E3A" w:rsidP="005B0E3A">
      <w:pPr>
        <w:pStyle w:val="BodyText"/>
        <w:jc w:val="center"/>
      </w:pPr>
      <w:r>
        <w:t>Prepared by the Australian Securities and Investments Commission</w:t>
      </w:r>
    </w:p>
    <w:p w:rsidR="005B0E3A" w:rsidRDefault="005B0E3A" w:rsidP="005B0E3A">
      <w:pPr>
        <w:spacing w:before="4" w:line="220" w:lineRule="exact"/>
        <w:jc w:val="center"/>
      </w:pPr>
    </w:p>
    <w:p w:rsidR="005B0E3A" w:rsidRDefault="005B0E3A" w:rsidP="005B0E3A">
      <w:pPr>
        <w:jc w:val="center"/>
        <w:rPr>
          <w:sz w:val="24"/>
          <w:szCs w:val="24"/>
        </w:rPr>
      </w:pPr>
      <w:r>
        <w:rPr>
          <w:i/>
          <w:sz w:val="24"/>
        </w:rPr>
        <w:t>Corporations Act 2001</w:t>
      </w:r>
    </w:p>
    <w:p w:rsidR="005B0E3A" w:rsidRDefault="005B0E3A" w:rsidP="005B0E3A">
      <w:pPr>
        <w:spacing w:before="3" w:line="220" w:lineRule="exact"/>
      </w:pPr>
    </w:p>
    <w:p w:rsidR="005B0E3A" w:rsidRDefault="005B0E3A" w:rsidP="005B0E3A">
      <w:pPr>
        <w:pStyle w:val="BodyText"/>
        <w:spacing w:line="261" w:lineRule="auto"/>
        <w:rPr>
          <w:spacing w:val="-1"/>
        </w:rPr>
      </w:pPr>
      <w:r>
        <w:t xml:space="preserve">The Australian Securities and </w:t>
      </w:r>
      <w:r>
        <w:rPr>
          <w:spacing w:val="-1"/>
        </w:rPr>
        <w:t>Investments</w:t>
      </w:r>
      <w:r>
        <w:t xml:space="preserve"> </w:t>
      </w:r>
      <w:r>
        <w:rPr>
          <w:spacing w:val="-1"/>
        </w:rPr>
        <w:t>Commission</w:t>
      </w:r>
      <w:r>
        <w:t xml:space="preserve"> (ASIC) </w:t>
      </w:r>
      <w:r>
        <w:rPr>
          <w:spacing w:val="-1"/>
        </w:rPr>
        <w:t>makes</w:t>
      </w:r>
      <w:r w:rsidR="00162E72">
        <w:rPr>
          <w:spacing w:val="-1"/>
        </w:rPr>
        <w:t xml:space="preserve"> </w:t>
      </w:r>
      <w:r w:rsidR="00162E72">
        <w:rPr>
          <w:i/>
          <w:spacing w:val="-1"/>
        </w:rPr>
        <w:t>ASIC Corporations (Banking Code of Practice) Instrument 2018/</w:t>
      </w:r>
      <w:r w:rsidR="00D770DD">
        <w:rPr>
          <w:i/>
          <w:spacing w:val="-1"/>
        </w:rPr>
        <w:t>700</w:t>
      </w:r>
      <w:r w:rsidR="00162E72">
        <w:rPr>
          <w:i/>
          <w:spacing w:val="-1"/>
        </w:rPr>
        <w:t xml:space="preserve"> </w:t>
      </w:r>
      <w:r w:rsidR="00AE61FD" w:rsidRPr="00AE61FD">
        <w:rPr>
          <w:spacing w:val="-1"/>
        </w:rPr>
        <w:t xml:space="preserve">(the Instrument) </w:t>
      </w:r>
      <w:r w:rsidR="00162E72">
        <w:rPr>
          <w:spacing w:val="-1"/>
        </w:rPr>
        <w:t xml:space="preserve">under subsection 1101A(1) of the </w:t>
      </w:r>
      <w:r w:rsidR="00162E72">
        <w:rPr>
          <w:i/>
          <w:spacing w:val="-1"/>
        </w:rPr>
        <w:t xml:space="preserve">Corporations Act 2001 </w:t>
      </w:r>
      <w:r w:rsidR="00162E72">
        <w:rPr>
          <w:spacing w:val="-1"/>
        </w:rPr>
        <w:t>(the Corporations Act).</w:t>
      </w:r>
    </w:p>
    <w:p w:rsidR="00D1471B" w:rsidRDefault="00162E72" w:rsidP="00D1471B">
      <w:pPr>
        <w:pStyle w:val="BodyText"/>
        <w:spacing w:line="261" w:lineRule="auto"/>
        <w:rPr>
          <w:spacing w:val="-1"/>
        </w:rPr>
      </w:pPr>
      <w:r>
        <w:rPr>
          <w:spacing w:val="-1"/>
        </w:rPr>
        <w:t>Subsection 1101A(1) of the Corporations Act provides that ASIC may, on application, approve codes of conduct that relate to any aspect of the activities of financial services licensees, authorised representatives of financial services licensees, or issuers of financial products, being activities in relation to which ASIC has a regulatory responsibility. The approval must be in writing.</w:t>
      </w:r>
    </w:p>
    <w:p w:rsidR="00D1471B" w:rsidRPr="00D1471B" w:rsidRDefault="00D1471B" w:rsidP="00D1471B">
      <w:pPr>
        <w:pStyle w:val="BodyText"/>
        <w:spacing w:line="261" w:lineRule="auto"/>
        <w:rPr>
          <w:spacing w:val="-1"/>
        </w:rPr>
      </w:pPr>
    </w:p>
    <w:p w:rsidR="005B0E3A" w:rsidRPr="00162E72" w:rsidRDefault="005B0E3A" w:rsidP="00D1471B">
      <w:pPr>
        <w:widowControl w:val="0"/>
        <w:numPr>
          <w:ilvl w:val="0"/>
          <w:numId w:val="7"/>
        </w:numPr>
        <w:tabs>
          <w:tab w:val="left" w:pos="1592"/>
        </w:tabs>
        <w:spacing w:after="0"/>
        <w:ind w:left="0" w:firstLine="0"/>
        <w:rPr>
          <w:rFonts w:ascii="Arial" w:eastAsia="Arial" w:hAnsi="Arial" w:cs="Arial"/>
          <w:sz w:val="24"/>
          <w:szCs w:val="24"/>
        </w:rPr>
      </w:pPr>
      <w:bookmarkStart w:id="1" w:name="1._Background"/>
      <w:bookmarkEnd w:id="1"/>
      <w:r>
        <w:rPr>
          <w:rFonts w:ascii="Arial"/>
          <w:b/>
          <w:spacing w:val="-1"/>
          <w:sz w:val="24"/>
        </w:rPr>
        <w:t>Background</w:t>
      </w:r>
    </w:p>
    <w:p w:rsidR="00162E72" w:rsidRPr="00162E72" w:rsidRDefault="00162E72" w:rsidP="00162E72">
      <w:pPr>
        <w:pStyle w:val="BodyText"/>
        <w:spacing w:line="261" w:lineRule="auto"/>
        <w:rPr>
          <w:i/>
          <w:spacing w:val="-1"/>
        </w:rPr>
      </w:pPr>
      <w:r w:rsidRPr="00162E72">
        <w:rPr>
          <w:i/>
          <w:spacing w:val="-1"/>
        </w:rPr>
        <w:t>ASIC’s code approval power</w:t>
      </w:r>
    </w:p>
    <w:p w:rsidR="0055045D" w:rsidRDefault="0055045D" w:rsidP="00162E72">
      <w:pPr>
        <w:pStyle w:val="BodyText"/>
        <w:spacing w:line="261" w:lineRule="auto"/>
        <w:rPr>
          <w:spacing w:val="-1"/>
        </w:rPr>
      </w:pPr>
      <w:r>
        <w:rPr>
          <w:spacing w:val="-1"/>
        </w:rPr>
        <w:t xml:space="preserve">ASIC must not approve a code of conduct </w:t>
      </w:r>
      <w:r w:rsidR="001D5B79">
        <w:rPr>
          <w:spacing w:val="-1"/>
        </w:rPr>
        <w:t>under s</w:t>
      </w:r>
      <w:r w:rsidR="00365099">
        <w:rPr>
          <w:spacing w:val="-1"/>
        </w:rPr>
        <w:t xml:space="preserve">ection </w:t>
      </w:r>
      <w:r w:rsidR="001D5B79">
        <w:rPr>
          <w:spacing w:val="-1"/>
        </w:rPr>
        <w:t xml:space="preserve">1101A </w:t>
      </w:r>
      <w:r>
        <w:rPr>
          <w:spacing w:val="-1"/>
        </w:rPr>
        <w:t>unless it is satisfied that:</w:t>
      </w:r>
    </w:p>
    <w:p w:rsidR="0055045D" w:rsidRDefault="0055045D" w:rsidP="0055045D">
      <w:pPr>
        <w:pStyle w:val="BodyText"/>
        <w:numPr>
          <w:ilvl w:val="0"/>
          <w:numId w:val="16"/>
        </w:numPr>
        <w:spacing w:line="261" w:lineRule="auto"/>
        <w:rPr>
          <w:spacing w:val="-1"/>
        </w:rPr>
      </w:pPr>
      <w:r>
        <w:rPr>
          <w:spacing w:val="-1"/>
        </w:rPr>
        <w:t>the code is not inconsistent with the Corporations Act or any other law of the Commonwealth under which ASIC has regulatory responsibilities; and</w:t>
      </w:r>
    </w:p>
    <w:p w:rsidR="0055045D" w:rsidRDefault="0055045D" w:rsidP="0055045D">
      <w:pPr>
        <w:pStyle w:val="BodyText"/>
        <w:numPr>
          <w:ilvl w:val="0"/>
          <w:numId w:val="16"/>
        </w:numPr>
        <w:spacing w:line="261" w:lineRule="auto"/>
        <w:rPr>
          <w:spacing w:val="-1"/>
        </w:rPr>
      </w:pPr>
      <w:r>
        <w:rPr>
          <w:spacing w:val="-1"/>
        </w:rPr>
        <w:t>it is appropriate to approve the code, having regard to the following matters, and to any other matters that ASIC considers are relevant:</w:t>
      </w:r>
    </w:p>
    <w:p w:rsidR="0055045D" w:rsidRDefault="0055045D" w:rsidP="0055045D">
      <w:pPr>
        <w:pStyle w:val="BodyText"/>
        <w:numPr>
          <w:ilvl w:val="0"/>
          <w:numId w:val="17"/>
        </w:numPr>
        <w:spacing w:line="261" w:lineRule="auto"/>
        <w:rPr>
          <w:spacing w:val="-1"/>
        </w:rPr>
      </w:pPr>
      <w:r>
        <w:rPr>
          <w:spacing w:val="-1"/>
        </w:rPr>
        <w:t>the ability of the applicant to ensure that persons who hold out that they comply with the code will comply with the code as in force from time to time; and</w:t>
      </w:r>
    </w:p>
    <w:p w:rsidR="0055045D" w:rsidRDefault="0055045D" w:rsidP="0055045D">
      <w:pPr>
        <w:pStyle w:val="BodyText"/>
        <w:numPr>
          <w:ilvl w:val="0"/>
          <w:numId w:val="17"/>
        </w:numPr>
        <w:spacing w:line="261" w:lineRule="auto"/>
        <w:rPr>
          <w:spacing w:val="-1"/>
        </w:rPr>
      </w:pPr>
      <w:r>
        <w:rPr>
          <w:spacing w:val="-1"/>
        </w:rPr>
        <w:t>the desirability of codes of conduct being harmonised to the greatest extent possible.</w:t>
      </w:r>
    </w:p>
    <w:p w:rsidR="0055045D" w:rsidRDefault="00D1471B" w:rsidP="0055045D">
      <w:pPr>
        <w:pStyle w:val="BodyText"/>
        <w:spacing w:line="261" w:lineRule="auto"/>
        <w:rPr>
          <w:i/>
          <w:spacing w:val="-1"/>
        </w:rPr>
      </w:pPr>
      <w:r>
        <w:rPr>
          <w:i/>
          <w:spacing w:val="-1"/>
        </w:rPr>
        <w:t>Australian Banking Association</w:t>
      </w:r>
    </w:p>
    <w:p w:rsidR="00D1471B" w:rsidRDefault="00D1471B" w:rsidP="00D1471B">
      <w:pPr>
        <w:pStyle w:val="BodyText"/>
        <w:spacing w:line="261" w:lineRule="auto"/>
        <w:rPr>
          <w:spacing w:val="-1"/>
        </w:rPr>
      </w:pPr>
      <w:r>
        <w:rPr>
          <w:spacing w:val="-1"/>
        </w:rPr>
        <w:t>The Australian Banking Association</w:t>
      </w:r>
      <w:r w:rsidR="00B36B55">
        <w:rPr>
          <w:spacing w:val="-1"/>
        </w:rPr>
        <w:t xml:space="preserve"> </w:t>
      </w:r>
      <w:r w:rsidR="00AE61FD">
        <w:rPr>
          <w:spacing w:val="-1"/>
        </w:rPr>
        <w:t xml:space="preserve">(ABA) </w:t>
      </w:r>
      <w:r>
        <w:rPr>
          <w:spacing w:val="-1"/>
        </w:rPr>
        <w:t>applied to ASIC for approval of its Banking Code of Practice</w:t>
      </w:r>
      <w:r w:rsidR="009E6248">
        <w:rPr>
          <w:spacing w:val="-1"/>
        </w:rPr>
        <w:t xml:space="preserve"> </w:t>
      </w:r>
      <w:r w:rsidR="001D5B79">
        <w:rPr>
          <w:spacing w:val="-1"/>
        </w:rPr>
        <w:t>under</w:t>
      </w:r>
      <w:r>
        <w:rPr>
          <w:spacing w:val="-1"/>
        </w:rPr>
        <w:t xml:space="preserve"> s</w:t>
      </w:r>
      <w:r w:rsidR="00867EF4">
        <w:rPr>
          <w:spacing w:val="-1"/>
        </w:rPr>
        <w:t xml:space="preserve">ection </w:t>
      </w:r>
      <w:r>
        <w:rPr>
          <w:spacing w:val="-1"/>
        </w:rPr>
        <w:t>1101A of the Corporations Act.</w:t>
      </w:r>
    </w:p>
    <w:p w:rsidR="00D1471B" w:rsidRPr="00D1471B" w:rsidRDefault="00D1471B" w:rsidP="00D1471B">
      <w:pPr>
        <w:pStyle w:val="BodyText"/>
        <w:spacing w:line="261" w:lineRule="auto"/>
        <w:rPr>
          <w:spacing w:val="-1"/>
        </w:rPr>
      </w:pPr>
    </w:p>
    <w:p w:rsidR="00D1471B" w:rsidRDefault="005B0E3A" w:rsidP="00D1471B">
      <w:pPr>
        <w:pStyle w:val="Heading3"/>
        <w:keepNext w:val="0"/>
        <w:widowControl w:val="0"/>
        <w:numPr>
          <w:ilvl w:val="0"/>
          <w:numId w:val="7"/>
        </w:numPr>
        <w:tabs>
          <w:tab w:val="left" w:pos="1592"/>
        </w:tabs>
        <w:spacing w:after="0" w:line="240" w:lineRule="auto"/>
        <w:ind w:left="0" w:firstLine="0"/>
        <w:jc w:val="left"/>
        <w:rPr>
          <w:rFonts w:ascii="Arial" w:hAnsi="Arial" w:cs="Arial"/>
          <w:b/>
          <w:spacing w:val="-1"/>
          <w:sz w:val="24"/>
          <w:szCs w:val="24"/>
        </w:rPr>
      </w:pPr>
      <w:bookmarkStart w:id="2" w:name="2._Purpose_of_the_class_order_"/>
      <w:bookmarkEnd w:id="2"/>
      <w:r w:rsidRPr="00D1471B">
        <w:rPr>
          <w:rFonts w:ascii="Arial" w:hAnsi="Arial" w:cs="Arial"/>
          <w:b/>
          <w:spacing w:val="-1"/>
          <w:sz w:val="24"/>
          <w:szCs w:val="24"/>
        </w:rPr>
        <w:lastRenderedPageBreak/>
        <w:t>Purpose</w:t>
      </w:r>
      <w:r w:rsidRPr="00D1471B">
        <w:rPr>
          <w:rFonts w:ascii="Arial" w:hAnsi="Arial" w:cs="Arial"/>
          <w:b/>
          <w:sz w:val="24"/>
          <w:szCs w:val="24"/>
        </w:rPr>
        <w:t xml:space="preserve"> of </w:t>
      </w:r>
      <w:r w:rsidRPr="00D1471B">
        <w:rPr>
          <w:rFonts w:ascii="Arial" w:hAnsi="Arial" w:cs="Arial"/>
          <w:b/>
          <w:spacing w:val="-1"/>
          <w:sz w:val="24"/>
          <w:szCs w:val="24"/>
        </w:rPr>
        <w:t>the</w:t>
      </w:r>
      <w:r w:rsidRPr="00D1471B">
        <w:rPr>
          <w:rFonts w:ascii="Arial" w:hAnsi="Arial" w:cs="Arial"/>
          <w:b/>
          <w:sz w:val="24"/>
          <w:szCs w:val="24"/>
        </w:rPr>
        <w:t xml:space="preserve"> </w:t>
      </w:r>
      <w:r w:rsidRPr="00D1471B">
        <w:rPr>
          <w:rFonts w:ascii="Arial" w:hAnsi="Arial" w:cs="Arial"/>
          <w:b/>
          <w:spacing w:val="-1"/>
          <w:sz w:val="24"/>
          <w:szCs w:val="24"/>
        </w:rPr>
        <w:t>instrument</w:t>
      </w:r>
    </w:p>
    <w:p w:rsidR="00D1471B" w:rsidRDefault="00D1471B" w:rsidP="00D1471B">
      <w:pPr>
        <w:spacing w:after="0"/>
        <w:rPr>
          <w:rFonts w:eastAsia="Arial"/>
        </w:rPr>
      </w:pPr>
    </w:p>
    <w:p w:rsidR="00AE61FD" w:rsidRDefault="00D1471B" w:rsidP="00D1471B">
      <w:pPr>
        <w:pStyle w:val="BodyText"/>
        <w:spacing w:before="0" w:line="261" w:lineRule="auto"/>
        <w:rPr>
          <w:spacing w:val="-1"/>
        </w:rPr>
      </w:pPr>
      <w:r>
        <w:rPr>
          <w:spacing w:val="-1"/>
        </w:rPr>
        <w:t>The purpose of</w:t>
      </w:r>
      <w:r w:rsidR="00AE61FD">
        <w:rPr>
          <w:spacing w:val="-1"/>
        </w:rPr>
        <w:t xml:space="preserve"> the Instrument</w:t>
      </w:r>
      <w:r>
        <w:rPr>
          <w:i/>
          <w:spacing w:val="-1"/>
        </w:rPr>
        <w:t xml:space="preserve"> </w:t>
      </w:r>
      <w:r>
        <w:rPr>
          <w:spacing w:val="-1"/>
        </w:rPr>
        <w:t xml:space="preserve">is to provide ASIC’s approval of the </w:t>
      </w:r>
      <w:r w:rsidR="00AE61FD">
        <w:rPr>
          <w:spacing w:val="-1"/>
        </w:rPr>
        <w:t>ABA</w:t>
      </w:r>
      <w:r>
        <w:rPr>
          <w:spacing w:val="-1"/>
        </w:rPr>
        <w:t>’s Banking Code of Practice</w:t>
      </w:r>
      <w:r w:rsidR="00B36B55">
        <w:rPr>
          <w:spacing w:val="-1"/>
        </w:rPr>
        <w:t>, published in August 2018 by</w:t>
      </w:r>
      <w:r w:rsidR="00AE61FD">
        <w:rPr>
          <w:spacing w:val="-1"/>
        </w:rPr>
        <w:t xml:space="preserve"> the ABA, as </w:t>
      </w:r>
      <w:r w:rsidR="00B36B55">
        <w:rPr>
          <w:spacing w:val="-1"/>
        </w:rPr>
        <w:t xml:space="preserve">existing </w:t>
      </w:r>
      <w:r w:rsidR="00AE61FD">
        <w:rPr>
          <w:spacing w:val="-1"/>
        </w:rPr>
        <w:t xml:space="preserve">at the date of </w:t>
      </w:r>
      <w:r w:rsidR="00365099">
        <w:rPr>
          <w:spacing w:val="-1"/>
        </w:rPr>
        <w:t>the I</w:t>
      </w:r>
      <w:r w:rsidR="00AE61FD">
        <w:rPr>
          <w:spacing w:val="-1"/>
        </w:rPr>
        <w:t>nstrument.</w:t>
      </w:r>
    </w:p>
    <w:p w:rsidR="00AE61FD" w:rsidRDefault="00AE61FD" w:rsidP="00D1471B">
      <w:pPr>
        <w:pStyle w:val="BodyText"/>
        <w:spacing w:before="0" w:line="261" w:lineRule="auto"/>
        <w:rPr>
          <w:spacing w:val="-1"/>
        </w:rPr>
      </w:pPr>
    </w:p>
    <w:p w:rsidR="00AE61FD" w:rsidRDefault="00AE61FD" w:rsidP="00D1471B">
      <w:pPr>
        <w:pStyle w:val="BodyText"/>
        <w:spacing w:before="0" w:line="261" w:lineRule="auto"/>
        <w:rPr>
          <w:spacing w:val="-1"/>
        </w:rPr>
      </w:pPr>
      <w:r>
        <w:rPr>
          <w:spacing w:val="-1"/>
        </w:rPr>
        <w:t>ASIC has assessed the</w:t>
      </w:r>
      <w:r w:rsidR="009E6248">
        <w:rPr>
          <w:spacing w:val="-1"/>
        </w:rPr>
        <w:t xml:space="preserve"> Banking</w:t>
      </w:r>
      <w:r>
        <w:rPr>
          <w:spacing w:val="-1"/>
        </w:rPr>
        <w:t xml:space="preserve"> </w:t>
      </w:r>
      <w:r w:rsidR="009E6248">
        <w:rPr>
          <w:spacing w:val="-1"/>
        </w:rPr>
        <w:t xml:space="preserve">Code of Practice </w:t>
      </w:r>
      <w:r>
        <w:rPr>
          <w:spacing w:val="-1"/>
        </w:rPr>
        <w:t xml:space="preserve">and </w:t>
      </w:r>
      <w:r w:rsidR="00365099">
        <w:rPr>
          <w:spacing w:val="-1"/>
        </w:rPr>
        <w:t xml:space="preserve">is satisfied </w:t>
      </w:r>
      <w:r>
        <w:rPr>
          <w:spacing w:val="-1"/>
        </w:rPr>
        <w:t>that i</w:t>
      </w:r>
      <w:r w:rsidR="00365099">
        <w:rPr>
          <w:spacing w:val="-1"/>
        </w:rPr>
        <w:t>t</w:t>
      </w:r>
      <w:r>
        <w:rPr>
          <w:spacing w:val="-1"/>
        </w:rPr>
        <w:t xml:space="preserve"> meets the requirements of s</w:t>
      </w:r>
      <w:r w:rsidR="00365099">
        <w:rPr>
          <w:spacing w:val="-1"/>
        </w:rPr>
        <w:t xml:space="preserve">ubsection </w:t>
      </w:r>
      <w:r>
        <w:rPr>
          <w:spacing w:val="-1"/>
        </w:rPr>
        <w:t>1101A</w:t>
      </w:r>
      <w:r w:rsidR="00365099">
        <w:rPr>
          <w:spacing w:val="-1"/>
        </w:rPr>
        <w:t>(3)</w:t>
      </w:r>
      <w:r>
        <w:rPr>
          <w:spacing w:val="-1"/>
        </w:rPr>
        <w:t xml:space="preserve"> of the Corporations Act</w:t>
      </w:r>
      <w:r w:rsidR="00365099">
        <w:rPr>
          <w:spacing w:val="-1"/>
        </w:rPr>
        <w:t>.</w:t>
      </w:r>
    </w:p>
    <w:p w:rsidR="00AE61FD" w:rsidRDefault="00AE61FD" w:rsidP="00D1471B">
      <w:pPr>
        <w:pStyle w:val="BodyText"/>
        <w:spacing w:before="0" w:line="261" w:lineRule="auto"/>
        <w:rPr>
          <w:spacing w:val="-1"/>
        </w:rPr>
      </w:pPr>
    </w:p>
    <w:p w:rsidR="005B0E3A" w:rsidRDefault="005B0E3A" w:rsidP="005B0E3A">
      <w:pPr>
        <w:spacing w:line="240" w:lineRule="exact"/>
        <w:rPr>
          <w:sz w:val="24"/>
          <w:szCs w:val="24"/>
        </w:rPr>
      </w:pPr>
    </w:p>
    <w:p w:rsidR="005B0E3A" w:rsidRDefault="005B0E3A" w:rsidP="005B0E3A">
      <w:pPr>
        <w:pStyle w:val="Heading3"/>
        <w:keepNext w:val="0"/>
        <w:widowControl w:val="0"/>
        <w:numPr>
          <w:ilvl w:val="0"/>
          <w:numId w:val="7"/>
        </w:numPr>
        <w:tabs>
          <w:tab w:val="left" w:pos="1593"/>
        </w:tabs>
        <w:spacing w:after="0" w:line="240" w:lineRule="auto"/>
        <w:ind w:left="0" w:firstLine="0"/>
        <w:jc w:val="left"/>
        <w:rPr>
          <w:rFonts w:ascii="Arial" w:hAnsi="Arial" w:cs="Arial"/>
          <w:b/>
          <w:sz w:val="24"/>
          <w:szCs w:val="24"/>
        </w:rPr>
      </w:pPr>
      <w:bookmarkStart w:id="3" w:name="3._Operation_of_the_class_order_"/>
      <w:bookmarkEnd w:id="3"/>
      <w:r w:rsidRPr="00AE61FD">
        <w:rPr>
          <w:rFonts w:ascii="Arial" w:hAnsi="Arial" w:cs="Arial"/>
          <w:b/>
          <w:spacing w:val="-1"/>
          <w:sz w:val="24"/>
          <w:szCs w:val="24"/>
        </w:rPr>
        <w:t>Operation</w:t>
      </w:r>
      <w:r w:rsidRPr="00AE61FD">
        <w:rPr>
          <w:rFonts w:ascii="Arial" w:hAnsi="Arial" w:cs="Arial"/>
          <w:b/>
          <w:sz w:val="24"/>
          <w:szCs w:val="24"/>
        </w:rPr>
        <w:t xml:space="preserve"> </w:t>
      </w:r>
      <w:r w:rsidRPr="00AE61FD">
        <w:rPr>
          <w:rFonts w:ascii="Arial" w:hAnsi="Arial" w:cs="Arial"/>
          <w:b/>
          <w:spacing w:val="-1"/>
          <w:sz w:val="24"/>
          <w:szCs w:val="24"/>
        </w:rPr>
        <w:t>of</w:t>
      </w:r>
      <w:r w:rsidRPr="00AE61FD">
        <w:rPr>
          <w:rFonts w:ascii="Arial" w:hAnsi="Arial" w:cs="Arial"/>
          <w:b/>
          <w:sz w:val="24"/>
          <w:szCs w:val="24"/>
        </w:rPr>
        <w:t xml:space="preserve"> </w:t>
      </w:r>
      <w:r w:rsidRPr="00AE61FD">
        <w:rPr>
          <w:rFonts w:ascii="Arial" w:hAnsi="Arial" w:cs="Arial"/>
          <w:b/>
          <w:spacing w:val="-1"/>
          <w:sz w:val="24"/>
          <w:szCs w:val="24"/>
        </w:rPr>
        <w:t>the</w:t>
      </w:r>
      <w:r w:rsidRPr="00AE61FD">
        <w:rPr>
          <w:rFonts w:ascii="Arial" w:hAnsi="Arial" w:cs="Arial"/>
          <w:b/>
          <w:sz w:val="24"/>
          <w:szCs w:val="24"/>
        </w:rPr>
        <w:t xml:space="preserve"> instrument</w:t>
      </w:r>
    </w:p>
    <w:p w:rsidR="00AE61FD" w:rsidRDefault="00365099" w:rsidP="00AE61FD">
      <w:pPr>
        <w:spacing w:before="240"/>
        <w:rPr>
          <w:rFonts w:eastAsia="Arial"/>
          <w:sz w:val="24"/>
          <w:szCs w:val="24"/>
        </w:rPr>
      </w:pPr>
      <w:r>
        <w:rPr>
          <w:rFonts w:eastAsia="Arial"/>
          <w:sz w:val="24"/>
          <w:szCs w:val="24"/>
        </w:rPr>
        <w:t>Section</w:t>
      </w:r>
      <w:r w:rsidRPr="00AE61FD">
        <w:rPr>
          <w:rFonts w:eastAsia="Arial"/>
          <w:sz w:val="24"/>
          <w:szCs w:val="24"/>
        </w:rPr>
        <w:t xml:space="preserve"> </w:t>
      </w:r>
      <w:r w:rsidR="005624F1">
        <w:rPr>
          <w:rFonts w:eastAsia="Arial"/>
          <w:sz w:val="24"/>
          <w:szCs w:val="24"/>
        </w:rPr>
        <w:t>2</w:t>
      </w:r>
      <w:r w:rsidR="00AE61FD">
        <w:rPr>
          <w:rFonts w:eastAsia="Arial"/>
          <w:sz w:val="24"/>
          <w:szCs w:val="24"/>
        </w:rPr>
        <w:t xml:space="preserve"> of th</w:t>
      </w:r>
      <w:r w:rsidR="009E6248">
        <w:rPr>
          <w:rFonts w:eastAsia="Arial"/>
          <w:sz w:val="24"/>
          <w:szCs w:val="24"/>
        </w:rPr>
        <w:t>e Instrument provides that the I</w:t>
      </w:r>
      <w:r w:rsidR="00AE61FD">
        <w:rPr>
          <w:rFonts w:eastAsia="Arial"/>
          <w:sz w:val="24"/>
          <w:szCs w:val="24"/>
        </w:rPr>
        <w:t xml:space="preserve">nstrument commences on </w:t>
      </w:r>
      <w:r w:rsidR="00B36B55">
        <w:rPr>
          <w:rFonts w:eastAsia="Arial"/>
          <w:sz w:val="24"/>
          <w:szCs w:val="24"/>
        </w:rPr>
        <w:t>the day after it is registered on the Federal Register of Legislation</w:t>
      </w:r>
      <w:r w:rsidR="00AE61FD" w:rsidRPr="00B36B55">
        <w:rPr>
          <w:rFonts w:eastAsia="Arial"/>
          <w:sz w:val="24"/>
          <w:szCs w:val="24"/>
        </w:rPr>
        <w:t>.</w:t>
      </w:r>
    </w:p>
    <w:p w:rsidR="005B0E3A" w:rsidRDefault="00365099" w:rsidP="00AE61FD">
      <w:pPr>
        <w:spacing w:before="240" w:after="0"/>
        <w:rPr>
          <w:rFonts w:eastAsia="Arial"/>
          <w:sz w:val="24"/>
          <w:szCs w:val="24"/>
        </w:rPr>
      </w:pPr>
      <w:r>
        <w:rPr>
          <w:rFonts w:eastAsia="Arial"/>
          <w:sz w:val="24"/>
          <w:szCs w:val="24"/>
        </w:rPr>
        <w:t xml:space="preserve">Section </w:t>
      </w:r>
      <w:r w:rsidR="005624F1">
        <w:rPr>
          <w:rFonts w:eastAsia="Arial"/>
          <w:sz w:val="24"/>
          <w:szCs w:val="24"/>
        </w:rPr>
        <w:t>5</w:t>
      </w:r>
      <w:r w:rsidR="00AE61FD">
        <w:rPr>
          <w:rFonts w:eastAsia="Arial"/>
          <w:sz w:val="24"/>
          <w:szCs w:val="24"/>
        </w:rPr>
        <w:t xml:space="preserve"> of the Instrument approves the </w:t>
      </w:r>
      <w:r w:rsidR="009E6248">
        <w:rPr>
          <w:rFonts w:eastAsia="Arial"/>
          <w:sz w:val="24"/>
          <w:szCs w:val="24"/>
        </w:rPr>
        <w:t xml:space="preserve">Banking </w:t>
      </w:r>
      <w:r w:rsidR="00AE61FD">
        <w:rPr>
          <w:rFonts w:eastAsia="Arial"/>
          <w:sz w:val="24"/>
          <w:szCs w:val="24"/>
        </w:rPr>
        <w:t xml:space="preserve">Code </w:t>
      </w:r>
      <w:r w:rsidR="009E6248">
        <w:rPr>
          <w:rFonts w:eastAsia="Arial"/>
          <w:sz w:val="24"/>
          <w:szCs w:val="24"/>
        </w:rPr>
        <w:t xml:space="preserve">of Practice </w:t>
      </w:r>
      <w:r w:rsidR="00AE61FD">
        <w:rPr>
          <w:rFonts w:eastAsia="Arial"/>
          <w:sz w:val="24"/>
          <w:szCs w:val="24"/>
        </w:rPr>
        <w:t>for the purpose</w:t>
      </w:r>
      <w:r>
        <w:rPr>
          <w:rFonts w:eastAsia="Arial"/>
          <w:sz w:val="24"/>
          <w:szCs w:val="24"/>
        </w:rPr>
        <w:t>s</w:t>
      </w:r>
      <w:r w:rsidR="00AE61FD">
        <w:rPr>
          <w:rFonts w:eastAsia="Arial"/>
          <w:sz w:val="24"/>
          <w:szCs w:val="24"/>
        </w:rPr>
        <w:t xml:space="preserve"> of s</w:t>
      </w:r>
      <w:r w:rsidR="00867EF4">
        <w:rPr>
          <w:rFonts w:eastAsia="Arial"/>
          <w:sz w:val="24"/>
          <w:szCs w:val="24"/>
        </w:rPr>
        <w:t xml:space="preserve">ection </w:t>
      </w:r>
      <w:r w:rsidR="00AE61FD">
        <w:rPr>
          <w:rFonts w:eastAsia="Arial"/>
          <w:sz w:val="24"/>
          <w:szCs w:val="24"/>
        </w:rPr>
        <w:t>1101A of the Corporations Act.</w:t>
      </w:r>
    </w:p>
    <w:p w:rsidR="00AE61FD" w:rsidRPr="00AE61FD" w:rsidRDefault="00AE61FD" w:rsidP="00AE61FD">
      <w:pPr>
        <w:spacing w:after="0"/>
        <w:rPr>
          <w:rFonts w:eastAsia="Arial"/>
          <w:sz w:val="24"/>
          <w:szCs w:val="24"/>
        </w:rPr>
      </w:pPr>
    </w:p>
    <w:p w:rsidR="005B0E3A" w:rsidRPr="00AE61FD" w:rsidRDefault="005B0E3A" w:rsidP="00AE61FD">
      <w:pPr>
        <w:pStyle w:val="Heading3"/>
        <w:keepNext w:val="0"/>
        <w:widowControl w:val="0"/>
        <w:numPr>
          <w:ilvl w:val="0"/>
          <w:numId w:val="7"/>
        </w:numPr>
        <w:tabs>
          <w:tab w:val="left" w:pos="1593"/>
        </w:tabs>
        <w:spacing w:before="240" w:after="0" w:line="240" w:lineRule="auto"/>
        <w:ind w:left="0" w:firstLine="0"/>
        <w:jc w:val="left"/>
        <w:rPr>
          <w:rFonts w:ascii="Arial" w:eastAsia="Arial" w:hAnsi="Arial" w:cs="Arial"/>
          <w:b/>
          <w:bCs/>
          <w:sz w:val="24"/>
          <w:szCs w:val="24"/>
        </w:rPr>
      </w:pPr>
      <w:bookmarkStart w:id="4" w:name="4._Documents_incorporated_by_reference"/>
      <w:bookmarkEnd w:id="4"/>
      <w:r w:rsidRPr="00AE61FD">
        <w:rPr>
          <w:rFonts w:ascii="Arial" w:hAnsi="Arial" w:cs="Arial"/>
          <w:b/>
          <w:spacing w:val="-1"/>
          <w:sz w:val="24"/>
          <w:szCs w:val="24"/>
        </w:rPr>
        <w:t>Documents</w:t>
      </w:r>
      <w:r w:rsidRPr="00AE61FD">
        <w:rPr>
          <w:rFonts w:ascii="Arial" w:hAnsi="Arial" w:cs="Arial"/>
          <w:b/>
          <w:sz w:val="24"/>
          <w:szCs w:val="24"/>
        </w:rPr>
        <w:t xml:space="preserve"> </w:t>
      </w:r>
      <w:r w:rsidRPr="00AE61FD">
        <w:rPr>
          <w:rFonts w:ascii="Arial" w:hAnsi="Arial" w:cs="Arial"/>
          <w:b/>
          <w:spacing w:val="-1"/>
          <w:sz w:val="24"/>
          <w:szCs w:val="24"/>
        </w:rPr>
        <w:t>incorporated</w:t>
      </w:r>
      <w:r w:rsidRPr="00AE61FD">
        <w:rPr>
          <w:rFonts w:ascii="Arial" w:hAnsi="Arial" w:cs="Arial"/>
          <w:b/>
          <w:sz w:val="24"/>
          <w:szCs w:val="24"/>
        </w:rPr>
        <w:t xml:space="preserve"> by</w:t>
      </w:r>
      <w:r w:rsidRPr="00AE61FD">
        <w:rPr>
          <w:rFonts w:ascii="Arial" w:hAnsi="Arial" w:cs="Arial"/>
          <w:b/>
          <w:spacing w:val="-3"/>
          <w:sz w:val="24"/>
          <w:szCs w:val="24"/>
        </w:rPr>
        <w:t xml:space="preserve"> </w:t>
      </w:r>
      <w:r w:rsidRPr="00AE61FD">
        <w:rPr>
          <w:rFonts w:ascii="Arial" w:hAnsi="Arial" w:cs="Arial"/>
          <w:b/>
          <w:spacing w:val="-1"/>
          <w:sz w:val="24"/>
          <w:szCs w:val="24"/>
        </w:rPr>
        <w:t>reference</w:t>
      </w:r>
    </w:p>
    <w:p w:rsidR="005B0E3A" w:rsidRDefault="005B0E3A" w:rsidP="005B0E3A">
      <w:pPr>
        <w:spacing w:before="4" w:line="220" w:lineRule="exact"/>
      </w:pPr>
    </w:p>
    <w:p w:rsidR="005B0E3A" w:rsidRDefault="009D1711" w:rsidP="005B0E3A">
      <w:pPr>
        <w:pStyle w:val="BodyText"/>
        <w:spacing w:before="198"/>
      </w:pPr>
      <w:r>
        <w:t>The Instrument incorporates by refere</w:t>
      </w:r>
      <w:r w:rsidR="009E6248">
        <w:t>nce the Banking Code of Practice</w:t>
      </w:r>
      <w:r>
        <w:t>.</w:t>
      </w:r>
    </w:p>
    <w:p w:rsidR="009D1711" w:rsidRDefault="009D1711" w:rsidP="005B0E3A">
      <w:pPr>
        <w:pStyle w:val="BodyText"/>
        <w:spacing w:before="198"/>
      </w:pPr>
      <w:r>
        <w:t xml:space="preserve">This document is available at </w:t>
      </w:r>
      <w:hyperlink r:id="rId11" w:history="1">
        <w:r w:rsidR="00365099" w:rsidRPr="00F76162">
          <w:rPr>
            <w:rStyle w:val="Hyperlink"/>
          </w:rPr>
          <w:t>http://www.ausbanking.org.au</w:t>
        </w:r>
      </w:hyperlink>
      <w:r w:rsidR="00F6617A">
        <w:t>.</w:t>
      </w:r>
    </w:p>
    <w:p w:rsidR="005B0E3A" w:rsidRPr="005268F2" w:rsidRDefault="00771F0D" w:rsidP="005268F2">
      <w:pPr>
        <w:pStyle w:val="BodyText"/>
        <w:spacing w:before="198"/>
      </w:pPr>
      <w:r>
        <w:t xml:space="preserve">The </w:t>
      </w:r>
      <w:r w:rsidR="009E6248">
        <w:t xml:space="preserve">Banking </w:t>
      </w:r>
      <w:r w:rsidR="00B36B55">
        <w:t>Code</w:t>
      </w:r>
      <w:r w:rsidR="009E6248">
        <w:t xml:space="preserve"> of Practice (the Code) </w:t>
      </w:r>
      <w:r w:rsidR="003F3FAC">
        <w:t xml:space="preserve">is a self-regulatory document created by the banking industry, as represented by the ABA, and is </w:t>
      </w:r>
      <w:r w:rsidR="00B66A3D">
        <w:t>administered by an independent C</w:t>
      </w:r>
      <w:r w:rsidR="003F3FAC">
        <w:t>ode monitoring body. The</w:t>
      </w:r>
      <w:r w:rsidR="009E6248">
        <w:t xml:space="preserve"> </w:t>
      </w:r>
      <w:r w:rsidR="003F3FAC">
        <w:t xml:space="preserve">Code </w:t>
      </w:r>
      <w:r w:rsidR="00B36B55">
        <w:t>sets out standards of practice and service in the Australian banking industry for individual and small business customers, and their guarantors. ASIC</w:t>
      </w:r>
      <w:r w:rsidR="003F3FAC">
        <w:t xml:space="preserve"> does not administer the Code.</w:t>
      </w:r>
    </w:p>
    <w:p w:rsidR="005B0E3A" w:rsidRDefault="005B0E3A" w:rsidP="005B0E3A">
      <w:pPr>
        <w:spacing w:line="240" w:lineRule="exact"/>
        <w:rPr>
          <w:sz w:val="24"/>
          <w:szCs w:val="24"/>
        </w:rPr>
      </w:pPr>
    </w:p>
    <w:p w:rsidR="005B0E3A" w:rsidRPr="00BF5640" w:rsidRDefault="005B0E3A" w:rsidP="005B0E3A">
      <w:pPr>
        <w:pStyle w:val="Heading3"/>
        <w:keepNext w:val="0"/>
        <w:widowControl w:val="0"/>
        <w:numPr>
          <w:ilvl w:val="0"/>
          <w:numId w:val="7"/>
        </w:numPr>
        <w:tabs>
          <w:tab w:val="left" w:pos="1593"/>
        </w:tabs>
        <w:spacing w:after="0" w:line="240" w:lineRule="auto"/>
        <w:ind w:left="0" w:firstLine="0"/>
        <w:jc w:val="left"/>
        <w:rPr>
          <w:rFonts w:ascii="Arial" w:eastAsia="Arial" w:hAnsi="Arial" w:cs="Arial"/>
          <w:b/>
          <w:bCs/>
          <w:sz w:val="24"/>
          <w:szCs w:val="24"/>
        </w:rPr>
      </w:pPr>
      <w:bookmarkStart w:id="5" w:name="5._Consultation"/>
      <w:bookmarkEnd w:id="5"/>
      <w:r w:rsidRPr="00BF5640">
        <w:rPr>
          <w:rFonts w:ascii="Arial" w:hAnsi="Arial" w:cs="Arial"/>
          <w:b/>
          <w:sz w:val="24"/>
          <w:szCs w:val="24"/>
        </w:rPr>
        <w:t>Consultation</w:t>
      </w:r>
    </w:p>
    <w:p w:rsidR="005B0E3A" w:rsidRDefault="005B0E3A" w:rsidP="005B0E3A">
      <w:pPr>
        <w:spacing w:before="4" w:line="220" w:lineRule="exact"/>
      </w:pPr>
    </w:p>
    <w:p w:rsidR="00612052" w:rsidRDefault="00F87C1C" w:rsidP="00F87C1C">
      <w:pPr>
        <w:pStyle w:val="Bodytextplain"/>
        <w:ind w:left="0"/>
        <w:rPr>
          <w:sz w:val="24"/>
          <w:szCs w:val="24"/>
        </w:rPr>
      </w:pPr>
      <w:r>
        <w:rPr>
          <w:sz w:val="24"/>
          <w:szCs w:val="24"/>
        </w:rPr>
        <w:t>ASIC engaged with a targeted range of stakeholders to invite their feedback on the content of the draft Banking Code of Practice and on the adequacy and transparency of the ABA’s consultation process in developing the Code. Stakeholders with whom ASIC engaged included consumer and small business representatives, various industry peak bodies, ombudsmen and the Code monitoring body.</w:t>
      </w:r>
    </w:p>
    <w:p w:rsidR="005B0E3A" w:rsidRPr="00F87C1C" w:rsidRDefault="00612052" w:rsidP="00F87C1C">
      <w:pPr>
        <w:pStyle w:val="Bodytextplain"/>
        <w:ind w:left="0"/>
        <w:rPr>
          <w:sz w:val="24"/>
          <w:szCs w:val="24"/>
        </w:rPr>
        <w:sectPr w:rsidR="005B0E3A" w:rsidRPr="00F87C1C" w:rsidSect="00162E72">
          <w:headerReference w:type="even" r:id="rId12"/>
          <w:footerReference w:type="even" r:id="rId13"/>
          <w:footerReference w:type="default" r:id="rId14"/>
          <w:headerReference w:type="first" r:id="rId15"/>
          <w:pgSz w:w="11906" w:h="16838" w:code="9"/>
          <w:pgMar w:top="1644" w:right="1418" w:bottom="1418" w:left="1418" w:header="567" w:footer="567" w:gutter="0"/>
          <w:cols w:space="720"/>
          <w:docGrid w:linePitch="299"/>
        </w:sectPr>
      </w:pPr>
      <w:r>
        <w:rPr>
          <w:sz w:val="24"/>
          <w:szCs w:val="24"/>
        </w:rPr>
        <w:t>The ABA undertook a substantial stakeholder consultation process a</w:t>
      </w:r>
      <w:r w:rsidR="00B66A3D">
        <w:rPr>
          <w:sz w:val="24"/>
          <w:szCs w:val="24"/>
        </w:rPr>
        <w:t>s part of the development of the</w:t>
      </w:r>
      <w:r>
        <w:rPr>
          <w:sz w:val="24"/>
          <w:szCs w:val="24"/>
        </w:rPr>
        <w:t xml:space="preserve"> Code.</w:t>
      </w:r>
    </w:p>
    <w:p w:rsidR="000076D6" w:rsidRDefault="000076D6">
      <w:r>
        <w:rPr>
          <w:noProof/>
        </w:rPr>
        <w:lastRenderedPageBreak/>
        <mc:AlternateContent>
          <mc:Choice Requires="wps">
            <w:drawing>
              <wp:anchor distT="0" distB="0" distL="114300" distR="114300" simplePos="0" relativeHeight="251659264" behindDoc="0" locked="0" layoutInCell="1" allowOverlap="1" wp14:anchorId="5BCB85DC" wp14:editId="29DB32B9">
                <wp:simplePos x="0" y="0"/>
                <wp:positionH relativeFrom="column">
                  <wp:posOffset>19050</wp:posOffset>
                </wp:positionH>
                <wp:positionV relativeFrom="paragraph">
                  <wp:posOffset>492760</wp:posOffset>
                </wp:positionV>
                <wp:extent cx="5311140" cy="6791325"/>
                <wp:effectExtent l="38100" t="38100" r="41910" b="476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6791325"/>
                        </a:xfrm>
                        <a:prstGeom prst="rect">
                          <a:avLst/>
                        </a:prstGeom>
                        <a:solidFill>
                          <a:srgbClr val="FFFFFF"/>
                        </a:solidFill>
                        <a:ln w="76200" cmpd="tri">
                          <a:solidFill>
                            <a:srgbClr val="000000"/>
                          </a:solidFill>
                          <a:miter lim="800000"/>
                          <a:headEnd/>
                          <a:tailEnd/>
                        </a:ln>
                      </wps:spPr>
                      <wps:txbx>
                        <w:txbxContent>
                          <w:p w:rsidR="005624F1" w:rsidRPr="00834797" w:rsidRDefault="005624F1" w:rsidP="000076D6">
                            <w:pPr>
                              <w:spacing w:before="360" w:after="120"/>
                              <w:jc w:val="center"/>
                              <w:rPr>
                                <w:b/>
                              </w:rPr>
                            </w:pPr>
                            <w:r w:rsidRPr="00834797">
                              <w:rPr>
                                <w:b/>
                              </w:rPr>
                              <w:t>Statement of Compatibility with Human Rights</w:t>
                            </w:r>
                          </w:p>
                          <w:p w:rsidR="005624F1" w:rsidRPr="00247F54" w:rsidRDefault="005624F1" w:rsidP="000076D6">
                            <w:pPr>
                              <w:spacing w:before="120" w:after="120"/>
                              <w:jc w:val="center"/>
                            </w:pPr>
                            <w:r w:rsidRPr="00247F54">
                              <w:rPr>
                                <w:i/>
                              </w:rPr>
                              <w:t>Prepared in accordance with Part 3 of the Human Rights (Parliamentary Scrutiny) Act 2011</w:t>
                            </w:r>
                          </w:p>
                          <w:p w:rsidR="005624F1" w:rsidRPr="00247F54" w:rsidRDefault="005624F1" w:rsidP="000076D6">
                            <w:pPr>
                              <w:spacing w:before="120" w:after="120"/>
                              <w:jc w:val="center"/>
                            </w:pPr>
                          </w:p>
                          <w:p w:rsidR="005624F1" w:rsidRPr="00247F54" w:rsidRDefault="005624F1" w:rsidP="000076D6">
                            <w:pPr>
                              <w:spacing w:before="120" w:after="120"/>
                              <w:jc w:val="center"/>
                              <w:rPr>
                                <w:b/>
                              </w:rPr>
                            </w:pPr>
                            <w:r>
                              <w:rPr>
                                <w:b/>
                              </w:rPr>
                              <w:t>ASIC Corporations (Banking Code of Practice) Instrument 2018/</w:t>
                            </w:r>
                            <w:r w:rsidR="00D770DD">
                              <w:rPr>
                                <w:b/>
                              </w:rPr>
                              <w:t>700</w:t>
                            </w:r>
                            <w:r w:rsidRPr="00247F54">
                              <w:rPr>
                                <w:b/>
                              </w:rPr>
                              <w:t xml:space="preserve"> </w:t>
                            </w:r>
                          </w:p>
                          <w:p w:rsidR="005624F1" w:rsidRPr="00247F54" w:rsidRDefault="005624F1" w:rsidP="000076D6">
                            <w:pPr>
                              <w:spacing w:before="120" w:after="120"/>
                              <w:jc w:val="center"/>
                            </w:pPr>
                          </w:p>
                          <w:p w:rsidR="005624F1" w:rsidRPr="00247F54" w:rsidRDefault="005624F1" w:rsidP="000076D6">
                            <w:pPr>
                              <w:spacing w:before="120" w:after="120"/>
                              <w:jc w:val="center"/>
                            </w:pPr>
                            <w:r>
                              <w:t>ASIC Corporations (Banking Code of Practice) Instrument 2018/</w:t>
                            </w:r>
                            <w:r w:rsidR="00D770DD">
                              <w:t>700</w:t>
                            </w:r>
                            <w:r>
                              <w:t xml:space="preserve"> </w:t>
                            </w:r>
                            <w:r w:rsidR="00365099">
                              <w:t xml:space="preserve">(the </w:t>
                            </w:r>
                            <w:r w:rsidR="00365099" w:rsidRPr="0058639E">
                              <w:rPr>
                                <w:b/>
                                <w:i/>
                              </w:rPr>
                              <w:t>Instrument</w:t>
                            </w:r>
                            <w:r w:rsidR="00365099">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5624F1" w:rsidRPr="00247F54" w:rsidRDefault="005624F1" w:rsidP="000076D6">
                            <w:pPr>
                              <w:spacing w:before="120" w:after="120"/>
                              <w:jc w:val="center"/>
                            </w:pPr>
                          </w:p>
                          <w:p w:rsidR="005624F1" w:rsidRPr="00247F54" w:rsidRDefault="005624F1" w:rsidP="000076D6">
                            <w:pPr>
                              <w:spacing w:before="120" w:after="120"/>
                              <w:jc w:val="center"/>
                            </w:pPr>
                          </w:p>
                          <w:p w:rsidR="005624F1" w:rsidRPr="00247F54" w:rsidRDefault="005624F1" w:rsidP="000076D6">
                            <w:pPr>
                              <w:spacing w:before="120" w:after="120"/>
                              <w:jc w:val="both"/>
                              <w:rPr>
                                <w:b/>
                              </w:rPr>
                            </w:pPr>
                            <w:r w:rsidRPr="00247F54">
                              <w:rPr>
                                <w:b/>
                              </w:rPr>
                              <w:t>Overview</w:t>
                            </w:r>
                          </w:p>
                          <w:p w:rsidR="005624F1" w:rsidRDefault="003F3FAC" w:rsidP="000076D6">
                            <w:pPr>
                              <w:spacing w:before="120" w:after="120"/>
                            </w:pPr>
                            <w:r>
                              <w:t>The</w:t>
                            </w:r>
                            <w:r w:rsidR="005624F1">
                              <w:t xml:space="preserve"> Instrument approves the Banking Code of Practice</w:t>
                            </w:r>
                            <w:r w:rsidR="0058639E">
                              <w:t xml:space="preserve">, published in </w:t>
                            </w:r>
                            <w:r w:rsidR="0058639E" w:rsidRPr="008744A0">
                              <w:t>August 2018</w:t>
                            </w:r>
                            <w:r w:rsidR="005624F1" w:rsidRPr="008744A0">
                              <w:t xml:space="preserve"> by</w:t>
                            </w:r>
                            <w:r w:rsidR="008744A0" w:rsidRPr="008744A0">
                              <w:t xml:space="preserve"> </w:t>
                            </w:r>
                            <w:r w:rsidR="005624F1" w:rsidRPr="008744A0">
                              <w:t>the Australian Banking Association</w:t>
                            </w:r>
                            <w:r w:rsidR="00BA27D9">
                              <w:t xml:space="preserve"> Incorporated</w:t>
                            </w:r>
                            <w:r w:rsidR="005624F1" w:rsidRPr="008744A0">
                              <w:t xml:space="preserve">, as </w:t>
                            </w:r>
                            <w:r w:rsidR="008744A0" w:rsidRPr="008744A0">
                              <w:t>existing</w:t>
                            </w:r>
                            <w:r w:rsidR="005624F1" w:rsidRPr="008744A0">
                              <w:t xml:space="preserve"> at the date of th</w:t>
                            </w:r>
                            <w:r w:rsidR="00365099" w:rsidRPr="008744A0">
                              <w:t>e</w:t>
                            </w:r>
                            <w:r w:rsidR="005624F1" w:rsidRPr="008744A0">
                              <w:t xml:space="preserve"> </w:t>
                            </w:r>
                            <w:r w:rsidR="00365099" w:rsidRPr="008744A0">
                              <w:t>I</w:t>
                            </w:r>
                            <w:r w:rsidR="005624F1" w:rsidRPr="008744A0">
                              <w:t>nstrument.</w:t>
                            </w:r>
                          </w:p>
                          <w:p w:rsidR="005624F1" w:rsidRDefault="005624F1" w:rsidP="000076D6">
                            <w:pPr>
                              <w:spacing w:before="120" w:after="120"/>
                              <w:rPr>
                                <w:b/>
                              </w:rPr>
                            </w:pPr>
                          </w:p>
                          <w:p w:rsidR="005624F1" w:rsidRPr="00247F54" w:rsidRDefault="005624F1" w:rsidP="000076D6">
                            <w:pPr>
                              <w:spacing w:before="120" w:after="120"/>
                              <w:rPr>
                                <w:b/>
                              </w:rPr>
                            </w:pPr>
                            <w:r w:rsidRPr="00247F54">
                              <w:rPr>
                                <w:b/>
                              </w:rPr>
                              <w:t>Human rights implications</w:t>
                            </w:r>
                          </w:p>
                          <w:p w:rsidR="005624F1" w:rsidRPr="00247F54" w:rsidRDefault="00365099" w:rsidP="000076D6">
                            <w:pPr>
                              <w:spacing w:before="120" w:after="120"/>
                            </w:pPr>
                            <w:r>
                              <w:t>The</w:t>
                            </w:r>
                            <w:r w:rsidR="005624F1" w:rsidRPr="00247F54">
                              <w:t xml:space="preserve"> </w:t>
                            </w:r>
                            <w:r>
                              <w:t>I</w:t>
                            </w:r>
                            <w:r w:rsidR="005624F1" w:rsidRPr="00247F54">
                              <w:t>nstrument does not engage any of the applicable rights or freedoms.</w:t>
                            </w:r>
                          </w:p>
                          <w:p w:rsidR="005624F1" w:rsidRPr="00247F54" w:rsidRDefault="005624F1" w:rsidP="000076D6">
                            <w:pPr>
                              <w:spacing w:before="120" w:after="120"/>
                            </w:pPr>
                          </w:p>
                          <w:p w:rsidR="005624F1" w:rsidRPr="00247F54" w:rsidRDefault="005624F1" w:rsidP="000076D6">
                            <w:pPr>
                              <w:spacing w:before="120" w:after="120"/>
                              <w:rPr>
                                <w:b/>
                              </w:rPr>
                            </w:pPr>
                            <w:r w:rsidRPr="00247F54">
                              <w:rPr>
                                <w:b/>
                              </w:rPr>
                              <w:t>Conclusion</w:t>
                            </w:r>
                          </w:p>
                          <w:p w:rsidR="005624F1" w:rsidRPr="00247F54" w:rsidRDefault="00365099" w:rsidP="000076D6">
                            <w:pPr>
                              <w:spacing w:before="120" w:after="120"/>
                            </w:pPr>
                            <w:r>
                              <w:t>The</w:t>
                            </w:r>
                            <w:r w:rsidR="005624F1" w:rsidRPr="00247F54">
                              <w:t xml:space="preserve"> </w:t>
                            </w:r>
                            <w:r>
                              <w:t>I</w:t>
                            </w:r>
                            <w:r w:rsidR="005624F1" w:rsidRPr="00247F54">
                              <w:t>nstrument is compatible with human rights as it does not raise any human rights issues.</w:t>
                            </w:r>
                          </w:p>
                          <w:p w:rsidR="005624F1" w:rsidRPr="00E4135E" w:rsidRDefault="005624F1" w:rsidP="000076D6">
                            <w:pPr>
                              <w:spacing w:before="120" w:after="120"/>
                              <w:jc w:val="center"/>
                            </w:pPr>
                          </w:p>
                          <w:p w:rsidR="005624F1" w:rsidRPr="00E4135E" w:rsidRDefault="005624F1" w:rsidP="000076D6">
                            <w:pPr>
                              <w:spacing w:before="120" w:after="120"/>
                              <w:jc w:val="center"/>
                            </w:pPr>
                            <w:r>
                              <w:rPr>
                                <w:b/>
                              </w:rPr>
                              <w:t>Australian Securities and Investments Commission</w:t>
                            </w:r>
                          </w:p>
                        </w:txbxContent>
                      </wps:txbx>
                      <wps:bodyPr rot="0" vert="horz" wrap="square" lIns="180000" tIns="45720" rIns="18000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CB85DC" id="Rectangle 2" o:spid="_x0000_s1026" style="position:absolute;margin-left:1.5pt;margin-top:38.8pt;width:418.2pt;height:5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" strokeweight="6pt">
                <v:stroke linestyle="thickBetweenThin"/>
                <v:textbox inset="5mm,,5mm">
                  <w:txbxContent>
                    <w:p w:rsidR="005624F1" w:rsidRPr="00834797" w:rsidRDefault="005624F1" w:rsidP="000076D6">
                      <w:pPr>
                        <w:spacing w:before="360" w:after="120"/>
                        <w:jc w:val="center"/>
                        <w:rPr>
                          <w:b/>
                        </w:rPr>
                      </w:pPr>
                      <w:r w:rsidRPr="00834797">
                        <w:rPr>
                          <w:b/>
                        </w:rPr>
                        <w:t>Statement of Compatibility with Human Rights</w:t>
                      </w:r>
                    </w:p>
                    <w:p w:rsidR="005624F1" w:rsidRPr="00247F54" w:rsidRDefault="005624F1" w:rsidP="000076D6">
                      <w:pPr>
                        <w:spacing w:before="120" w:after="120"/>
                        <w:jc w:val="center"/>
                      </w:pPr>
                      <w:r w:rsidRPr="00247F54">
                        <w:rPr>
                          <w:i/>
                        </w:rPr>
                        <w:t>Prepared in accordance with Part 3 of the Human Rights (Parliamentary Scrutiny) Act 2011</w:t>
                      </w:r>
                    </w:p>
                    <w:p w:rsidR="005624F1" w:rsidRPr="00247F54" w:rsidRDefault="005624F1" w:rsidP="000076D6">
                      <w:pPr>
                        <w:spacing w:before="120" w:after="120"/>
                        <w:jc w:val="center"/>
                      </w:pPr>
                    </w:p>
                    <w:p w:rsidR="005624F1" w:rsidRPr="00247F54" w:rsidRDefault="005624F1" w:rsidP="000076D6">
                      <w:pPr>
                        <w:spacing w:before="120" w:after="120"/>
                        <w:jc w:val="center"/>
                        <w:rPr>
                          <w:b/>
                        </w:rPr>
                      </w:pPr>
                      <w:r>
                        <w:rPr>
                          <w:b/>
                        </w:rPr>
                        <w:t>ASIC Corporations (Banking Code of Practice) Instrument 2018/</w:t>
                      </w:r>
                      <w:r w:rsidR="00D770DD">
                        <w:rPr>
                          <w:b/>
                        </w:rPr>
                        <w:t>700</w:t>
                      </w:r>
                      <w:r w:rsidRPr="00247F54">
                        <w:rPr>
                          <w:b/>
                        </w:rPr>
                        <w:t xml:space="preserve"> </w:t>
                      </w:r>
                    </w:p>
                    <w:p w:rsidR="005624F1" w:rsidRPr="00247F54" w:rsidRDefault="005624F1" w:rsidP="000076D6">
                      <w:pPr>
                        <w:spacing w:before="120" w:after="120"/>
                        <w:jc w:val="center"/>
                      </w:pPr>
                    </w:p>
                    <w:p w:rsidR="005624F1" w:rsidRPr="00247F54" w:rsidRDefault="005624F1" w:rsidP="000076D6">
                      <w:pPr>
                        <w:spacing w:before="120" w:after="120"/>
                        <w:jc w:val="center"/>
                      </w:pPr>
                      <w:r>
                        <w:t>ASIC Corporations (Banking Code of Practice) Instrument 2018/</w:t>
                      </w:r>
                      <w:r w:rsidR="00D770DD">
                        <w:t>700</w:t>
                      </w:r>
                      <w:r>
                        <w:t xml:space="preserve"> </w:t>
                      </w:r>
                      <w:r w:rsidR="00365099">
                        <w:t xml:space="preserve">(the </w:t>
                      </w:r>
                      <w:r w:rsidR="00365099" w:rsidRPr="0058639E">
                        <w:rPr>
                          <w:b/>
                          <w:i/>
                        </w:rPr>
                        <w:t>Instrument</w:t>
                      </w:r>
                      <w:r w:rsidR="00365099">
                        <w:t xml:space="preserve">) </w:t>
                      </w:r>
                      <w:r w:rsidRPr="00247F54">
                        <w:t xml:space="preserve">is compatible with the human rights and freedoms recognised or declared in the international instruments listed in section 3 of the </w:t>
                      </w:r>
                      <w:r w:rsidRPr="00247F54">
                        <w:rPr>
                          <w:i/>
                        </w:rPr>
                        <w:t>Human Rights (Parliamentary Scrutiny) Act 2011</w:t>
                      </w:r>
                      <w:r w:rsidRPr="00247F54">
                        <w:t>.</w:t>
                      </w:r>
                    </w:p>
                    <w:p w:rsidR="005624F1" w:rsidRPr="00247F54" w:rsidRDefault="005624F1" w:rsidP="000076D6">
                      <w:pPr>
                        <w:spacing w:before="120" w:after="120"/>
                        <w:jc w:val="center"/>
                      </w:pPr>
                    </w:p>
                    <w:p w:rsidR="005624F1" w:rsidRPr="00247F54" w:rsidRDefault="005624F1" w:rsidP="000076D6">
                      <w:pPr>
                        <w:spacing w:before="120" w:after="120"/>
                        <w:jc w:val="center"/>
                      </w:pPr>
                    </w:p>
                    <w:p w:rsidR="005624F1" w:rsidRPr="00247F54" w:rsidRDefault="005624F1" w:rsidP="000076D6">
                      <w:pPr>
                        <w:spacing w:before="120" w:after="120"/>
                        <w:jc w:val="both"/>
                        <w:rPr>
                          <w:b/>
                        </w:rPr>
                      </w:pPr>
                      <w:r w:rsidRPr="00247F54">
                        <w:rPr>
                          <w:b/>
                        </w:rPr>
                        <w:t>Overview</w:t>
                      </w:r>
                    </w:p>
                    <w:p w:rsidR="005624F1" w:rsidRDefault="003F3FAC" w:rsidP="000076D6">
                      <w:pPr>
                        <w:spacing w:before="120" w:after="120"/>
                      </w:pPr>
                      <w:r>
                        <w:t>The</w:t>
                      </w:r>
                      <w:r w:rsidR="005624F1">
                        <w:t xml:space="preserve"> Instrument approves the Banking Code of Practice</w:t>
                      </w:r>
                      <w:r w:rsidR="0058639E">
                        <w:t xml:space="preserve">, published in </w:t>
                      </w:r>
                      <w:r w:rsidR="0058639E" w:rsidRPr="008744A0">
                        <w:t>August 2018</w:t>
                      </w:r>
                      <w:r w:rsidR="005624F1" w:rsidRPr="008744A0">
                        <w:t xml:space="preserve"> by</w:t>
                      </w:r>
                      <w:r w:rsidR="008744A0" w:rsidRPr="008744A0">
                        <w:t xml:space="preserve"> </w:t>
                      </w:r>
                      <w:r w:rsidR="005624F1" w:rsidRPr="008744A0">
                        <w:t>the Australian Banking Association</w:t>
                      </w:r>
                      <w:r w:rsidR="00BA27D9">
                        <w:t xml:space="preserve"> Incorporated</w:t>
                      </w:r>
                      <w:r w:rsidR="005624F1" w:rsidRPr="008744A0">
                        <w:t xml:space="preserve">, as </w:t>
                      </w:r>
                      <w:r w:rsidR="008744A0" w:rsidRPr="008744A0">
                        <w:t>existing</w:t>
                      </w:r>
                      <w:r w:rsidR="005624F1" w:rsidRPr="008744A0">
                        <w:t xml:space="preserve"> at the date of th</w:t>
                      </w:r>
                      <w:r w:rsidR="00365099" w:rsidRPr="008744A0">
                        <w:t>e</w:t>
                      </w:r>
                      <w:r w:rsidR="005624F1" w:rsidRPr="008744A0">
                        <w:t xml:space="preserve"> </w:t>
                      </w:r>
                      <w:r w:rsidR="00365099" w:rsidRPr="008744A0">
                        <w:t>I</w:t>
                      </w:r>
                      <w:r w:rsidR="005624F1" w:rsidRPr="008744A0">
                        <w:t>nstrument.</w:t>
                      </w:r>
                    </w:p>
                    <w:p w:rsidR="005624F1" w:rsidRDefault="005624F1" w:rsidP="000076D6">
                      <w:pPr>
                        <w:spacing w:before="120" w:after="120"/>
                        <w:rPr>
                          <w:b/>
                        </w:rPr>
                      </w:pPr>
                    </w:p>
                    <w:p w:rsidR="005624F1" w:rsidRPr="00247F54" w:rsidRDefault="005624F1" w:rsidP="000076D6">
                      <w:pPr>
                        <w:spacing w:before="120" w:after="120"/>
                        <w:rPr>
                          <w:b/>
                        </w:rPr>
                      </w:pPr>
                      <w:r w:rsidRPr="00247F54">
                        <w:rPr>
                          <w:b/>
                        </w:rPr>
                        <w:t>Human rights implications</w:t>
                      </w:r>
                    </w:p>
                    <w:p w:rsidR="005624F1" w:rsidRPr="00247F54" w:rsidRDefault="00365099" w:rsidP="000076D6">
                      <w:pPr>
                        <w:spacing w:before="120" w:after="120"/>
                      </w:pPr>
                      <w:r>
                        <w:t>The</w:t>
                      </w:r>
                      <w:r w:rsidR="005624F1" w:rsidRPr="00247F54">
                        <w:t xml:space="preserve"> </w:t>
                      </w:r>
                      <w:r>
                        <w:t>I</w:t>
                      </w:r>
                      <w:r w:rsidR="005624F1" w:rsidRPr="00247F54">
                        <w:t>nstrument does not engage any of the applicable rights or freedoms.</w:t>
                      </w:r>
                    </w:p>
                    <w:p w:rsidR="005624F1" w:rsidRPr="00247F54" w:rsidRDefault="005624F1" w:rsidP="000076D6">
                      <w:pPr>
                        <w:spacing w:before="120" w:after="120"/>
                      </w:pPr>
                    </w:p>
                    <w:p w:rsidR="005624F1" w:rsidRPr="00247F54" w:rsidRDefault="005624F1" w:rsidP="000076D6">
                      <w:pPr>
                        <w:spacing w:before="120" w:after="120"/>
                        <w:rPr>
                          <w:b/>
                        </w:rPr>
                      </w:pPr>
                      <w:r w:rsidRPr="00247F54">
                        <w:rPr>
                          <w:b/>
                        </w:rPr>
                        <w:t>Conclusion</w:t>
                      </w:r>
                    </w:p>
                    <w:p w:rsidR="005624F1" w:rsidRPr="00247F54" w:rsidRDefault="00365099" w:rsidP="000076D6">
                      <w:pPr>
                        <w:spacing w:before="120" w:after="120"/>
                      </w:pPr>
                      <w:r>
                        <w:t>The</w:t>
                      </w:r>
                      <w:r w:rsidR="005624F1" w:rsidRPr="00247F54">
                        <w:t xml:space="preserve"> </w:t>
                      </w:r>
                      <w:r>
                        <w:t>I</w:t>
                      </w:r>
                      <w:r w:rsidR="005624F1" w:rsidRPr="00247F54">
                        <w:t>nstrument is compatible with human rights as it does not raise any human rights issues.</w:t>
                      </w:r>
                    </w:p>
                    <w:p w:rsidR="005624F1" w:rsidRPr="00E4135E" w:rsidRDefault="005624F1" w:rsidP="000076D6">
                      <w:pPr>
                        <w:spacing w:before="120" w:after="120"/>
                        <w:jc w:val="center"/>
                      </w:pPr>
                    </w:p>
                    <w:p w:rsidR="005624F1" w:rsidRPr="00E4135E" w:rsidRDefault="005624F1" w:rsidP="000076D6">
                      <w:pPr>
                        <w:spacing w:before="120" w:after="120"/>
                        <w:jc w:val="center"/>
                      </w:pPr>
                      <w:r>
                        <w:rPr>
                          <w:b/>
                        </w:rPr>
                        <w:t>Australian Securities and Investments Commission</w:t>
                      </w:r>
                    </w:p>
                  </w:txbxContent>
                </v:textbox>
              </v:rect>
            </w:pict>
          </mc:Fallback>
        </mc:AlternateContent>
      </w:r>
    </w:p>
    <w:sectPr w:rsidR="000076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BB9" w:rsidRDefault="002A4BB9">
      <w:pPr>
        <w:spacing w:after="0"/>
      </w:pPr>
      <w:r>
        <w:separator/>
      </w:r>
    </w:p>
  </w:endnote>
  <w:endnote w:type="continuationSeparator" w:id="0">
    <w:p w:rsidR="002A4BB9" w:rsidRDefault="002A4B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F1" w:rsidRDefault="005624F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5624F1" w:rsidRDefault="005624F1">
    <w:pPr>
      <w:pStyle w:val="Footer"/>
      <w:ind w:right="360"/>
    </w:pPr>
  </w:p>
  <w:p w:rsidR="005624F1" w:rsidRDefault="005624F1"/>
  <w:p w:rsidR="005624F1" w:rsidRDefault="005624F1"/>
  <w:p w:rsidR="005624F1" w:rsidRDefault="005624F1"/>
  <w:p w:rsidR="005624F1" w:rsidRDefault="005624F1"/>
  <w:p w:rsidR="005624F1" w:rsidRDefault="005624F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F1" w:rsidRDefault="005624F1">
    <w:pPr>
      <w:pStyle w:val="Footer"/>
      <w:pBdr>
        <w:top w:val="single" w:sz="4" w:space="1" w:color="117DC7"/>
      </w:pBdr>
      <w:rPr>
        <w:b/>
        <w:color w:val="117DC7"/>
      </w:rPr>
    </w:pPr>
    <w:r>
      <w:rPr>
        <w:noProof/>
        <w:color w:val="117DC7"/>
        <w:sz w:val="20"/>
      </w:rPr>
      <mc:AlternateContent>
        <mc:Choice Requires="wps">
          <w:drawing>
            <wp:anchor distT="0" distB="0" distL="114300" distR="114300" simplePos="0" relativeHeight="251657216" behindDoc="0" locked="1" layoutInCell="1" allowOverlap="1" wp14:anchorId="301D4BB8" wp14:editId="3AC160E9">
              <wp:simplePos x="0" y="0"/>
              <wp:positionH relativeFrom="rightMargin">
                <wp:posOffset>-648335</wp:posOffset>
              </wp:positionH>
              <wp:positionV relativeFrom="paragraph">
                <wp:posOffset>36195</wp:posOffset>
              </wp:positionV>
              <wp:extent cx="657860" cy="158750"/>
              <wp:effectExtent l="1270" t="254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860" cy="15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24F1" w:rsidRPr="008F541E" w:rsidRDefault="005624F1" w:rsidP="00162E7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1D4BB8" id="_x0000_t202" coordsize="21600,21600" o:spt="202" path="m,l,21600r21600,l21600,xe">
              <v:stroke joinstyle="miter"/>
              <v:path gradientshapeok="t" o:connecttype="rect"/>
            </v:shapetype>
            <v:shape id="Text Box 12" o:spid="_x0000_s1027" type="#_x0000_t202" style="position:absolute;margin-left:-51.05pt;margin-top:2.85pt;width:51.8pt;height:12.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" stroked="f">
              <v:textbox inset="0,0,0,0">
                <w:txbxContent>
                  <w:p w:rsidR="005624F1" w:rsidRPr="008F541E" w:rsidRDefault="005624F1" w:rsidP="00162E72">
                    <w:pPr>
                      <w:jc w:val="right"/>
                      <w:rPr>
                        <w:rFonts w:ascii="Arial" w:hAnsi="Arial" w:cs="Arial"/>
                        <w:sz w:val="16"/>
                        <w:szCs w:val="16"/>
                      </w:rPr>
                    </w:pPr>
                    <w:r w:rsidRPr="008F541E">
                      <w:rPr>
                        <w:rFonts w:ascii="Arial" w:hAnsi="Arial" w:cs="Arial"/>
                        <w:color w:val="117DC7"/>
                        <w:sz w:val="16"/>
                        <w:szCs w:val="16"/>
                      </w:rPr>
                      <w:t xml:space="preserve">Page </w:t>
                    </w:r>
                    <w:r w:rsidRPr="008F541E">
                      <w:rPr>
                        <w:rStyle w:val="PageNumber"/>
                        <w:rFonts w:ascii="Arial" w:hAnsi="Arial" w:cs="Arial"/>
                        <w:color w:val="117DC7"/>
                        <w:sz w:val="16"/>
                        <w:szCs w:val="16"/>
                      </w:rPr>
                      <w:fldChar w:fldCharType="begin"/>
                    </w:r>
                    <w:r w:rsidRPr="008F541E">
                      <w:rPr>
                        <w:rStyle w:val="PageNumber"/>
                        <w:rFonts w:ascii="Arial" w:hAnsi="Arial" w:cs="Arial"/>
                        <w:color w:val="117DC7"/>
                        <w:sz w:val="16"/>
                        <w:szCs w:val="16"/>
                      </w:rPr>
                      <w:instrText xml:space="preserve"> PAGE </w:instrText>
                    </w:r>
                    <w:r w:rsidRPr="008F541E">
                      <w:rPr>
                        <w:rStyle w:val="PageNumber"/>
                        <w:rFonts w:ascii="Arial" w:hAnsi="Arial" w:cs="Arial"/>
                        <w:color w:val="117DC7"/>
                        <w:sz w:val="16"/>
                        <w:szCs w:val="16"/>
                      </w:rPr>
                      <w:fldChar w:fldCharType="separate"/>
                    </w:r>
                    <w:r>
                      <w:rPr>
                        <w:rStyle w:val="PageNumber"/>
                        <w:rFonts w:ascii="Arial" w:hAnsi="Arial" w:cs="Arial"/>
                        <w:noProof/>
                        <w:color w:val="117DC7"/>
                        <w:sz w:val="16"/>
                        <w:szCs w:val="16"/>
                      </w:rPr>
                      <w:t>2</w:t>
                    </w:r>
                    <w:r w:rsidRPr="008F541E">
                      <w:rPr>
                        <w:rStyle w:val="PageNumber"/>
                        <w:rFonts w:ascii="Arial" w:hAnsi="Arial" w:cs="Arial"/>
                        <w:color w:val="117DC7"/>
                        <w:sz w:val="16"/>
                        <w:szCs w:val="16"/>
                      </w:rPr>
                      <w:fldChar w:fldCharType="end"/>
                    </w:r>
                  </w:p>
                </w:txbxContent>
              </v:textbox>
              <w10:wrap anchorx="margin"/>
              <w10:anchorlock/>
            </v:shape>
          </w:pict>
        </mc:Fallback>
      </mc:AlternateContent>
    </w:r>
    <w:r>
      <w:rPr>
        <w:color w:val="117DC7"/>
      </w:rPr>
      <w:t>© Australian Securities and Investments Commission</w:t>
    </w:r>
    <w:r>
      <w:rPr>
        <w:color w:val="117DC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4BB9" w:rsidRDefault="002A4BB9">
      <w:pPr>
        <w:spacing w:after="0"/>
      </w:pPr>
      <w:r>
        <w:separator/>
      </w:r>
    </w:p>
  </w:footnote>
  <w:footnote w:type="continuationSeparator" w:id="0">
    <w:p w:rsidR="002A4BB9" w:rsidRDefault="002A4BB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F1" w:rsidRDefault="005624F1"/>
  <w:p w:rsidR="005624F1" w:rsidRDefault="005624F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4F1" w:rsidRDefault="005624F1">
    <w:pPr>
      <w:pStyle w:val="Header"/>
      <w:pBdr>
        <w:bottom w:val="none" w:sz="0" w:space="0" w:color="auto"/>
      </w:pBdr>
      <w:jc w:val="center"/>
      <w:rPr>
        <w:b/>
        <w:bCs/>
        <w:color w:val="C0C0C0"/>
        <w:sz w:val="48"/>
        <w:lang w:val="en-US"/>
      </w:rPr>
    </w:pPr>
    <w:r>
      <w:rPr>
        <w:b/>
        <w:bCs/>
        <w:color w:val="C0C0C0"/>
        <w:sz w:val="48"/>
        <w:lang w:val="en-US"/>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6FB"/>
    <w:multiLevelType w:val="hybridMultilevel"/>
    <w:tmpl w:val="0914A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957CCC"/>
    <w:multiLevelType w:val="hybridMultilevel"/>
    <w:tmpl w:val="DC38FDD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953580"/>
    <w:multiLevelType w:val="hybridMultilevel"/>
    <w:tmpl w:val="6F36FAF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9D5EBF"/>
    <w:multiLevelType w:val="hybridMultilevel"/>
    <w:tmpl w:val="02AE4EDA"/>
    <w:lvl w:ilvl="0" w:tplc="4DAE7A48">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8E413DE"/>
    <w:multiLevelType w:val="hybridMultilevel"/>
    <w:tmpl w:val="4D3E9ACA"/>
    <w:lvl w:ilvl="0" w:tplc="7F765A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E0C6808"/>
    <w:multiLevelType w:val="multilevel"/>
    <w:tmpl w:val="A044F19C"/>
    <w:lvl w:ilvl="0">
      <w:start w:val="1"/>
      <w:numFmt w:val="decimal"/>
      <w:lvlText w:val="%1"/>
      <w:lvlJc w:val="left"/>
      <w:pPr>
        <w:tabs>
          <w:tab w:val="num" w:pos="1134"/>
        </w:tabs>
        <w:ind w:left="1134" w:hanging="1134"/>
      </w:pPr>
      <w:rPr>
        <w:rFonts w:hint="default"/>
        <w:b w:val="0"/>
        <w:i w:val="0"/>
        <w:color w:val="auto"/>
        <w:sz w:val="18"/>
        <w:szCs w:val="18"/>
      </w:rPr>
    </w:lvl>
    <w:lvl w:ilvl="1">
      <w:start w:val="1"/>
      <w:numFmt w:val="lowerLetter"/>
      <w:lvlText w:val="(%2)"/>
      <w:lvlJc w:val="left"/>
      <w:pPr>
        <w:tabs>
          <w:tab w:val="num" w:pos="2693"/>
        </w:tabs>
        <w:ind w:left="2693" w:hanging="425"/>
      </w:pPr>
      <w:rPr>
        <w:rFonts w:hint="default"/>
        <w:b w:val="0"/>
        <w:i w:val="0"/>
        <w:color w:val="auto"/>
        <w:sz w:val="18"/>
        <w:szCs w:val="18"/>
      </w:rPr>
    </w:lvl>
    <w:lvl w:ilvl="2">
      <w:start w:val="1"/>
      <w:numFmt w:val="lowerRoman"/>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8"/>
        <w:szCs w:val="1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544"/>
        </w:tabs>
        <w:ind w:left="3544" w:hanging="425"/>
      </w:pPr>
      <w:rPr>
        <w:rFonts w:hint="default"/>
        <w:sz w:val="16"/>
        <w:szCs w:val="16"/>
      </w:rPr>
    </w:lvl>
    <w:lvl w:ilvl="4">
      <w:start w:val="1"/>
      <w:numFmt w:val="upperRoman"/>
      <w:lvlText w:val="(%5)"/>
      <w:lvlJc w:val="left"/>
      <w:pPr>
        <w:tabs>
          <w:tab w:val="num" w:pos="3969"/>
        </w:tabs>
        <w:ind w:left="3969" w:hanging="425"/>
      </w:pPr>
      <w:rPr>
        <w:rFonts w:hint="default"/>
        <w:sz w:val="16"/>
        <w:szCs w:val="16"/>
      </w:rPr>
    </w:lvl>
    <w:lvl w:ilvl="5">
      <w:start w:val="1"/>
      <w:numFmt w:val="none"/>
      <w:lvlText w:val=""/>
      <w:lvlJc w:val="left"/>
      <w:pPr>
        <w:tabs>
          <w:tab w:val="num" w:pos="3960"/>
        </w:tabs>
        <w:ind w:left="2736" w:hanging="936"/>
      </w:pPr>
      <w:rPr>
        <w:rFonts w:hint="default"/>
      </w:rPr>
    </w:lvl>
    <w:lvl w:ilvl="6">
      <w:start w:val="1"/>
      <w:numFmt w:val="none"/>
      <w:lvlText w:val=""/>
      <w:lvlJc w:val="left"/>
      <w:pPr>
        <w:tabs>
          <w:tab w:val="num" w:pos="4320"/>
        </w:tabs>
        <w:ind w:left="3240" w:hanging="1080"/>
      </w:pPr>
      <w:rPr>
        <w:rFonts w:hint="default"/>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6" w15:restartNumberingAfterBreak="0">
    <w:nsid w:val="22543765"/>
    <w:multiLevelType w:val="hybridMultilevel"/>
    <w:tmpl w:val="E85EEF38"/>
    <w:lvl w:ilvl="0" w:tplc="73EA783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43B1A7D"/>
    <w:multiLevelType w:val="multilevel"/>
    <w:tmpl w:val="2BF2360A"/>
    <w:name w:val="ASIC proposal"/>
    <w:lvl w:ilvl="0">
      <w:start w:val="1"/>
      <w:numFmt w:val="upperLetter"/>
      <w:lvlText w:val="%1"/>
      <w:lvlJc w:val="left"/>
      <w:pPr>
        <w:tabs>
          <w:tab w:val="num" w:pos="851"/>
        </w:tabs>
        <w:ind w:left="851" w:hanging="851"/>
      </w:pPr>
      <w:rPr>
        <w:rFonts w:hint="default"/>
        <w:b/>
        <w:i w:val="0"/>
        <w:color w:val="117DC7"/>
        <w:sz w:val="36"/>
        <w:szCs w:val="72"/>
      </w:rPr>
    </w:lvl>
    <w:lvl w:ilvl="1">
      <w:start w:val="1"/>
      <w:numFmt w:val="decimal"/>
      <w:lvlText w:val="%1%2"/>
      <w:lvlJc w:val="left"/>
      <w:pPr>
        <w:tabs>
          <w:tab w:val="num" w:pos="2693"/>
        </w:tabs>
        <w:ind w:left="2693" w:hanging="425"/>
      </w:pPr>
      <w:rPr>
        <w:rFonts w:hint="default"/>
        <w:b/>
        <w:i w:val="0"/>
        <w:color w:val="auto"/>
        <w:sz w:val="16"/>
        <w:szCs w:val="16"/>
      </w:rPr>
    </w:lvl>
    <w:lvl w:ilvl="2">
      <w:start w:val="1"/>
      <w:numFmt w:val="lowerLetter"/>
      <w:lvlText w:val="(%3)"/>
      <w:lvlJc w:val="left"/>
      <w:pPr>
        <w:tabs>
          <w:tab w:val="num" w:pos="3119"/>
        </w:tabs>
        <w:ind w:left="3119" w:hanging="426"/>
      </w:pPr>
      <w:rPr>
        <w:rFonts w:cs="Times New Roman" w:hint="default"/>
        <w:b w:val="0"/>
        <w:bCs w:val="0"/>
        <w:i w:val="0"/>
        <w:iCs w:val="0"/>
        <w:caps w:val="0"/>
        <w:strike w:val="0"/>
        <w:dstrike w:val="0"/>
        <w:vanish w:val="0"/>
        <w:color w:val="auto"/>
        <w:spacing w:val="0"/>
        <w:kern w:val="0"/>
        <w:position w:val="0"/>
        <w:sz w:val="16"/>
        <w:szCs w:val="16"/>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3544"/>
        </w:tabs>
        <w:ind w:left="3544" w:hanging="425"/>
      </w:pPr>
      <w:rPr>
        <w:rFonts w:hint="default"/>
        <w:sz w:val="18"/>
        <w:szCs w:val="18"/>
      </w:rPr>
    </w:lvl>
    <w:lvl w:ilvl="4">
      <w:start w:val="1"/>
      <w:numFmt w:val="decimal"/>
      <w:lvlText w:val="%1%2Q%5"/>
      <w:lvlJc w:val="left"/>
      <w:pPr>
        <w:tabs>
          <w:tab w:val="num" w:pos="3799"/>
        </w:tabs>
        <w:ind w:left="3799" w:hanging="567"/>
      </w:pPr>
      <w:rPr>
        <w:rFonts w:hint="default"/>
        <w:sz w:val="16"/>
        <w:szCs w:val="16"/>
      </w:rPr>
    </w:lvl>
    <w:lvl w:ilvl="5">
      <w:start w:val="1"/>
      <w:numFmt w:val="lowerLetter"/>
      <w:lvlText w:val="             (%6)"/>
      <w:lvlJc w:val="left"/>
      <w:pPr>
        <w:tabs>
          <w:tab w:val="num" w:pos="4139"/>
        </w:tabs>
        <w:ind w:left="4139" w:hanging="907"/>
      </w:pPr>
      <w:rPr>
        <w:rFonts w:hint="default"/>
        <w:sz w:val="16"/>
        <w:szCs w:val="16"/>
      </w:rPr>
    </w:lvl>
    <w:lvl w:ilvl="6">
      <w:start w:val="1"/>
      <w:numFmt w:val="lowerRoman"/>
      <w:lvlText w:val="                    (%7)"/>
      <w:lvlJc w:val="left"/>
      <w:pPr>
        <w:tabs>
          <w:tab w:val="num" w:pos="4423"/>
        </w:tabs>
        <w:ind w:left="4423" w:hanging="1191"/>
      </w:pPr>
      <w:rPr>
        <w:rFonts w:hint="default"/>
        <w:sz w:val="16"/>
        <w:szCs w:val="16"/>
      </w:rPr>
    </w:lvl>
    <w:lvl w:ilvl="7">
      <w:start w:val="1"/>
      <w:numFmt w:val="none"/>
      <w:lvlText w:val=""/>
      <w:lvlJc w:val="left"/>
      <w:pPr>
        <w:tabs>
          <w:tab w:val="num" w:pos="5040"/>
        </w:tabs>
        <w:ind w:left="3744" w:hanging="1224"/>
      </w:pPr>
      <w:rPr>
        <w:rFonts w:hint="default"/>
      </w:rPr>
    </w:lvl>
    <w:lvl w:ilvl="8">
      <w:start w:val="1"/>
      <w:numFmt w:val="none"/>
      <w:lvlText w:val=""/>
      <w:lvlJc w:val="left"/>
      <w:pPr>
        <w:tabs>
          <w:tab w:val="num" w:pos="5760"/>
        </w:tabs>
        <w:ind w:left="4320" w:hanging="1440"/>
      </w:pPr>
      <w:rPr>
        <w:rFonts w:hint="default"/>
      </w:rPr>
    </w:lvl>
  </w:abstractNum>
  <w:abstractNum w:abstractNumId="8" w15:restartNumberingAfterBreak="0">
    <w:nsid w:val="26D1652F"/>
    <w:multiLevelType w:val="hybridMultilevel"/>
    <w:tmpl w:val="2A2AD262"/>
    <w:lvl w:ilvl="0" w:tplc="0C090009">
      <w:start w:val="1"/>
      <w:numFmt w:val="bullet"/>
      <w:lvlText w:val=""/>
      <w:lvlJc w:val="left"/>
      <w:pPr>
        <w:ind w:left="1210" w:hanging="360"/>
      </w:pPr>
      <w:rPr>
        <w:rFonts w:ascii="Wingdings" w:hAnsi="Wingdings" w:hint="default"/>
      </w:rPr>
    </w:lvl>
    <w:lvl w:ilvl="1" w:tplc="0C090003" w:tentative="1">
      <w:start w:val="1"/>
      <w:numFmt w:val="bullet"/>
      <w:lvlText w:val="o"/>
      <w:lvlJc w:val="left"/>
      <w:pPr>
        <w:ind w:left="1930" w:hanging="360"/>
      </w:pPr>
      <w:rPr>
        <w:rFonts w:ascii="Courier New" w:hAnsi="Courier New" w:cs="Courier New" w:hint="default"/>
      </w:rPr>
    </w:lvl>
    <w:lvl w:ilvl="2" w:tplc="0C090005" w:tentative="1">
      <w:start w:val="1"/>
      <w:numFmt w:val="bullet"/>
      <w:lvlText w:val=""/>
      <w:lvlJc w:val="left"/>
      <w:pPr>
        <w:ind w:left="2650" w:hanging="360"/>
      </w:pPr>
      <w:rPr>
        <w:rFonts w:ascii="Wingdings" w:hAnsi="Wingdings" w:hint="default"/>
      </w:rPr>
    </w:lvl>
    <w:lvl w:ilvl="3" w:tplc="0C090001" w:tentative="1">
      <w:start w:val="1"/>
      <w:numFmt w:val="bullet"/>
      <w:lvlText w:val=""/>
      <w:lvlJc w:val="left"/>
      <w:pPr>
        <w:ind w:left="3370" w:hanging="360"/>
      </w:pPr>
      <w:rPr>
        <w:rFonts w:ascii="Symbol" w:hAnsi="Symbol" w:hint="default"/>
      </w:rPr>
    </w:lvl>
    <w:lvl w:ilvl="4" w:tplc="0C090003" w:tentative="1">
      <w:start w:val="1"/>
      <w:numFmt w:val="bullet"/>
      <w:lvlText w:val="o"/>
      <w:lvlJc w:val="left"/>
      <w:pPr>
        <w:ind w:left="4090" w:hanging="360"/>
      </w:pPr>
      <w:rPr>
        <w:rFonts w:ascii="Courier New" w:hAnsi="Courier New" w:cs="Courier New" w:hint="default"/>
      </w:rPr>
    </w:lvl>
    <w:lvl w:ilvl="5" w:tplc="0C090005" w:tentative="1">
      <w:start w:val="1"/>
      <w:numFmt w:val="bullet"/>
      <w:lvlText w:val=""/>
      <w:lvlJc w:val="left"/>
      <w:pPr>
        <w:ind w:left="4810" w:hanging="360"/>
      </w:pPr>
      <w:rPr>
        <w:rFonts w:ascii="Wingdings" w:hAnsi="Wingdings" w:hint="default"/>
      </w:rPr>
    </w:lvl>
    <w:lvl w:ilvl="6" w:tplc="0C090001" w:tentative="1">
      <w:start w:val="1"/>
      <w:numFmt w:val="bullet"/>
      <w:lvlText w:val=""/>
      <w:lvlJc w:val="left"/>
      <w:pPr>
        <w:ind w:left="5530" w:hanging="360"/>
      </w:pPr>
      <w:rPr>
        <w:rFonts w:ascii="Symbol" w:hAnsi="Symbol" w:hint="default"/>
      </w:rPr>
    </w:lvl>
    <w:lvl w:ilvl="7" w:tplc="0C090003" w:tentative="1">
      <w:start w:val="1"/>
      <w:numFmt w:val="bullet"/>
      <w:lvlText w:val="o"/>
      <w:lvlJc w:val="left"/>
      <w:pPr>
        <w:ind w:left="6250" w:hanging="360"/>
      </w:pPr>
      <w:rPr>
        <w:rFonts w:ascii="Courier New" w:hAnsi="Courier New" w:cs="Courier New" w:hint="default"/>
      </w:rPr>
    </w:lvl>
    <w:lvl w:ilvl="8" w:tplc="0C090005" w:tentative="1">
      <w:start w:val="1"/>
      <w:numFmt w:val="bullet"/>
      <w:lvlText w:val=""/>
      <w:lvlJc w:val="left"/>
      <w:pPr>
        <w:ind w:left="6970" w:hanging="360"/>
      </w:pPr>
      <w:rPr>
        <w:rFonts w:ascii="Wingdings" w:hAnsi="Wingdings" w:hint="default"/>
      </w:rPr>
    </w:lvl>
  </w:abstractNum>
  <w:abstractNum w:abstractNumId="9" w15:restartNumberingAfterBreak="0">
    <w:nsid w:val="34B84359"/>
    <w:multiLevelType w:val="hybridMultilevel"/>
    <w:tmpl w:val="FA8EC35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333E7B"/>
    <w:multiLevelType w:val="hybridMultilevel"/>
    <w:tmpl w:val="480E8D74"/>
    <w:lvl w:ilvl="0" w:tplc="230AAAF4">
      <w:start w:val="1"/>
      <w:numFmt w:val="decimal"/>
      <w:lvlText w:val="%1."/>
      <w:lvlJc w:val="left"/>
      <w:pPr>
        <w:ind w:left="1591" w:hanging="720"/>
      </w:pPr>
      <w:rPr>
        <w:rFonts w:ascii="Arial" w:eastAsia="Arial" w:hAnsi="Arial" w:hint="default"/>
        <w:b/>
        <w:bCs/>
        <w:spacing w:val="-1"/>
        <w:sz w:val="24"/>
        <w:szCs w:val="24"/>
      </w:rPr>
    </w:lvl>
    <w:lvl w:ilvl="1" w:tplc="EBDE478C">
      <w:start w:val="1"/>
      <w:numFmt w:val="bullet"/>
      <w:lvlText w:val="•"/>
      <w:lvlJc w:val="left"/>
      <w:pPr>
        <w:ind w:left="2324" w:hanging="720"/>
      </w:pPr>
      <w:rPr>
        <w:rFonts w:hint="default"/>
      </w:rPr>
    </w:lvl>
    <w:lvl w:ilvl="2" w:tplc="32C2B520">
      <w:start w:val="1"/>
      <w:numFmt w:val="bullet"/>
      <w:lvlText w:val="•"/>
      <w:lvlJc w:val="left"/>
      <w:pPr>
        <w:ind w:left="3057" w:hanging="720"/>
      </w:pPr>
      <w:rPr>
        <w:rFonts w:hint="default"/>
      </w:rPr>
    </w:lvl>
    <w:lvl w:ilvl="3" w:tplc="349E1F8C">
      <w:start w:val="1"/>
      <w:numFmt w:val="bullet"/>
      <w:lvlText w:val="•"/>
      <w:lvlJc w:val="left"/>
      <w:pPr>
        <w:ind w:left="3790" w:hanging="720"/>
      </w:pPr>
      <w:rPr>
        <w:rFonts w:hint="default"/>
      </w:rPr>
    </w:lvl>
    <w:lvl w:ilvl="4" w:tplc="8CB208BC">
      <w:start w:val="1"/>
      <w:numFmt w:val="bullet"/>
      <w:lvlText w:val="•"/>
      <w:lvlJc w:val="left"/>
      <w:pPr>
        <w:ind w:left="4523" w:hanging="720"/>
      </w:pPr>
      <w:rPr>
        <w:rFonts w:hint="default"/>
      </w:rPr>
    </w:lvl>
    <w:lvl w:ilvl="5" w:tplc="6CBE2404">
      <w:start w:val="1"/>
      <w:numFmt w:val="bullet"/>
      <w:lvlText w:val="•"/>
      <w:lvlJc w:val="left"/>
      <w:pPr>
        <w:ind w:left="5255" w:hanging="720"/>
      </w:pPr>
      <w:rPr>
        <w:rFonts w:hint="default"/>
      </w:rPr>
    </w:lvl>
    <w:lvl w:ilvl="6" w:tplc="122C6A98">
      <w:start w:val="1"/>
      <w:numFmt w:val="bullet"/>
      <w:lvlText w:val="•"/>
      <w:lvlJc w:val="left"/>
      <w:pPr>
        <w:ind w:left="5988" w:hanging="720"/>
      </w:pPr>
      <w:rPr>
        <w:rFonts w:hint="default"/>
      </w:rPr>
    </w:lvl>
    <w:lvl w:ilvl="7" w:tplc="B3AA378A">
      <w:start w:val="1"/>
      <w:numFmt w:val="bullet"/>
      <w:lvlText w:val="•"/>
      <w:lvlJc w:val="left"/>
      <w:pPr>
        <w:ind w:left="6721" w:hanging="720"/>
      </w:pPr>
      <w:rPr>
        <w:rFonts w:hint="default"/>
      </w:rPr>
    </w:lvl>
    <w:lvl w:ilvl="8" w:tplc="1C92557E">
      <w:start w:val="1"/>
      <w:numFmt w:val="bullet"/>
      <w:lvlText w:val="•"/>
      <w:lvlJc w:val="left"/>
      <w:pPr>
        <w:ind w:left="7454" w:hanging="720"/>
      </w:pPr>
      <w:rPr>
        <w:rFonts w:hint="default"/>
      </w:rPr>
    </w:lvl>
  </w:abstractNum>
  <w:abstractNum w:abstractNumId="11" w15:restartNumberingAfterBreak="0">
    <w:nsid w:val="44E12992"/>
    <w:multiLevelType w:val="hybridMultilevel"/>
    <w:tmpl w:val="40046D04"/>
    <w:lvl w:ilvl="0" w:tplc="9D02CC36">
      <w:start w:val="1"/>
      <w:numFmt w:val="lowerRoman"/>
      <w:pStyle w:val="Subsubpara"/>
      <w:lvlText w:val="(%1)"/>
      <w:lvlJc w:val="left"/>
      <w:pPr>
        <w:tabs>
          <w:tab w:val="num" w:pos="1799"/>
        </w:tabs>
        <w:ind w:left="1259"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FE72A03"/>
    <w:multiLevelType w:val="hybridMultilevel"/>
    <w:tmpl w:val="C070255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73168A"/>
    <w:multiLevelType w:val="hybridMultilevel"/>
    <w:tmpl w:val="CA4EBF94"/>
    <w:lvl w:ilvl="0" w:tplc="E6E0D8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B9B5C87"/>
    <w:multiLevelType w:val="hybridMultilevel"/>
    <w:tmpl w:val="E11C976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BF4407C"/>
    <w:multiLevelType w:val="multilevel"/>
    <w:tmpl w:val="F14EEEC6"/>
    <w:name w:val="CEI legal numbering"/>
    <w:lvl w:ilvl="0">
      <w:start w:val="1"/>
      <w:numFmt w:val="decimal"/>
      <w:isLgl/>
      <w:lvlText w:val="CEI %1"/>
      <w:lvlJc w:val="left"/>
      <w:pPr>
        <w:tabs>
          <w:tab w:val="num" w:pos="851"/>
        </w:tabs>
        <w:ind w:left="851" w:hanging="851"/>
      </w:pPr>
      <w:rPr>
        <w:rFonts w:hint="default"/>
        <w:sz w:val="20"/>
        <w:szCs w:val="20"/>
        <w:lang w:val="en-ZW"/>
      </w:rPr>
    </w:lvl>
    <w:lvl w:ilvl="1">
      <w:start w:val="1"/>
      <w:numFmt w:val="lowerLetter"/>
      <w:lvlText w:val="(%2)"/>
      <w:lvlJc w:val="left"/>
      <w:pPr>
        <w:tabs>
          <w:tab w:val="num" w:pos="1276"/>
        </w:tabs>
        <w:ind w:left="1276" w:hanging="425"/>
      </w:pPr>
      <w:rPr>
        <w:rFonts w:hint="default"/>
      </w:rPr>
    </w:lvl>
    <w:lvl w:ilvl="2">
      <w:start w:val="1"/>
      <w:numFmt w:val="lowerRoman"/>
      <w:lvlText w:val="(%3)"/>
      <w:lvlJc w:val="left"/>
      <w:pPr>
        <w:tabs>
          <w:tab w:val="num" w:pos="1701"/>
        </w:tabs>
        <w:ind w:left="1701" w:hanging="425"/>
      </w:pPr>
      <w:rPr>
        <w:rFonts w:hint="default"/>
      </w:rPr>
    </w:lvl>
    <w:lvl w:ilvl="3">
      <w:start w:val="1"/>
      <w:numFmt w:val="decimal"/>
      <w:lvlText w:val="%1.%2.%3.%4."/>
      <w:lvlJc w:val="left"/>
      <w:pPr>
        <w:tabs>
          <w:tab w:val="num" w:pos="2095"/>
        </w:tabs>
        <w:ind w:left="1303" w:hanging="648"/>
      </w:pPr>
      <w:rPr>
        <w:rFonts w:hint="default"/>
      </w:rPr>
    </w:lvl>
    <w:lvl w:ilvl="4">
      <w:start w:val="1"/>
      <w:numFmt w:val="decimal"/>
      <w:lvlText w:val="%1.%2.%3.%4.%5."/>
      <w:lvlJc w:val="left"/>
      <w:pPr>
        <w:tabs>
          <w:tab w:val="num" w:pos="2815"/>
        </w:tabs>
        <w:ind w:left="1807" w:hanging="792"/>
      </w:pPr>
      <w:rPr>
        <w:rFonts w:hint="default"/>
      </w:rPr>
    </w:lvl>
    <w:lvl w:ilvl="5">
      <w:start w:val="1"/>
      <w:numFmt w:val="decimal"/>
      <w:lvlText w:val="%1.%2.%3.%4.%5.%6."/>
      <w:lvlJc w:val="left"/>
      <w:pPr>
        <w:tabs>
          <w:tab w:val="num" w:pos="3535"/>
        </w:tabs>
        <w:ind w:left="2311" w:hanging="936"/>
      </w:pPr>
      <w:rPr>
        <w:rFonts w:hint="default"/>
      </w:rPr>
    </w:lvl>
    <w:lvl w:ilvl="6">
      <w:start w:val="1"/>
      <w:numFmt w:val="decimal"/>
      <w:lvlText w:val="%1.%2.%3.%4.%5.%6.%7."/>
      <w:lvlJc w:val="left"/>
      <w:pPr>
        <w:tabs>
          <w:tab w:val="num" w:pos="3895"/>
        </w:tabs>
        <w:ind w:left="2815" w:hanging="1080"/>
      </w:pPr>
      <w:rPr>
        <w:rFonts w:hint="default"/>
      </w:rPr>
    </w:lvl>
    <w:lvl w:ilvl="7">
      <w:start w:val="1"/>
      <w:numFmt w:val="decimal"/>
      <w:lvlText w:val="%1.%2.%3.%4.%5.%6.%7.%8."/>
      <w:lvlJc w:val="left"/>
      <w:pPr>
        <w:tabs>
          <w:tab w:val="num" w:pos="4615"/>
        </w:tabs>
        <w:ind w:left="3319" w:hanging="1224"/>
      </w:pPr>
      <w:rPr>
        <w:rFonts w:hint="default"/>
      </w:rPr>
    </w:lvl>
    <w:lvl w:ilvl="8">
      <w:start w:val="1"/>
      <w:numFmt w:val="decimal"/>
      <w:lvlText w:val="%1.%2.%3.%4.%5.%6.%7.%8.%9."/>
      <w:lvlJc w:val="left"/>
      <w:pPr>
        <w:tabs>
          <w:tab w:val="num" w:pos="5335"/>
        </w:tabs>
        <w:ind w:left="3895" w:hanging="1440"/>
      </w:pPr>
      <w:rPr>
        <w:rFonts w:hint="default"/>
      </w:rPr>
    </w:lvl>
  </w:abstractNum>
  <w:abstractNum w:abstractNumId="16" w15:restartNumberingAfterBreak="0">
    <w:nsid w:val="77857696"/>
    <w:multiLevelType w:val="hybridMultilevel"/>
    <w:tmpl w:val="4E6618A8"/>
    <w:lvl w:ilvl="0" w:tplc="5726AC30">
      <w:start w:val="1"/>
      <w:numFmt w:val="lowerLetter"/>
      <w:pStyle w:val="Subpara"/>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6"/>
  </w:num>
  <w:num w:numId="3">
    <w:abstractNumId w:val="11"/>
  </w:num>
  <w:num w:numId="4">
    <w:abstractNumId w:val="15"/>
  </w:num>
  <w:num w:numId="5">
    <w:abstractNumId w:val="7"/>
  </w:num>
  <w:num w:numId="6">
    <w:abstractNumId w:val="5"/>
  </w:num>
  <w:num w:numId="7">
    <w:abstractNumId w:val="10"/>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 w:numId="16">
    <w:abstractNumId w:val="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B9"/>
    <w:rsid w:val="000076D6"/>
    <w:rsid w:val="00162E72"/>
    <w:rsid w:val="001949D9"/>
    <w:rsid w:val="001D5B79"/>
    <w:rsid w:val="002A4BB9"/>
    <w:rsid w:val="00365099"/>
    <w:rsid w:val="003C116D"/>
    <w:rsid w:val="003F3FAC"/>
    <w:rsid w:val="005268F2"/>
    <w:rsid w:val="0055045D"/>
    <w:rsid w:val="005624F1"/>
    <w:rsid w:val="0058639E"/>
    <w:rsid w:val="005B0E3A"/>
    <w:rsid w:val="00612052"/>
    <w:rsid w:val="006D395B"/>
    <w:rsid w:val="00771F0D"/>
    <w:rsid w:val="00867EF4"/>
    <w:rsid w:val="008744A0"/>
    <w:rsid w:val="00927E51"/>
    <w:rsid w:val="009D1711"/>
    <w:rsid w:val="009E6248"/>
    <w:rsid w:val="00AC02C2"/>
    <w:rsid w:val="00AE61FD"/>
    <w:rsid w:val="00B36B55"/>
    <w:rsid w:val="00B66A3D"/>
    <w:rsid w:val="00BA27D9"/>
    <w:rsid w:val="00BC5354"/>
    <w:rsid w:val="00BF5640"/>
    <w:rsid w:val="00C14A73"/>
    <w:rsid w:val="00D1471B"/>
    <w:rsid w:val="00D770DD"/>
    <w:rsid w:val="00DD66B4"/>
    <w:rsid w:val="00F6617A"/>
    <w:rsid w:val="00F87C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3C7C79"/>
  <w15:docId w15:val="{806E2B61-895D-4381-A0EC-4544703E4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0E3A"/>
    <w:pPr>
      <w:spacing w:after="240"/>
    </w:pPr>
    <w:rPr>
      <w:sz w:val="22"/>
    </w:rPr>
  </w:style>
  <w:style w:type="paragraph" w:styleId="Heading1">
    <w:name w:val="heading 1"/>
    <w:aliases w:val="h1,header 1"/>
    <w:next w:val="CommentText"/>
    <w:qFormat/>
    <w:pPr>
      <w:keepNext/>
      <w:tabs>
        <w:tab w:val="left" w:pos="879"/>
      </w:tabs>
      <w:overflowPunct w:val="0"/>
      <w:autoSpaceDE w:val="0"/>
      <w:autoSpaceDN w:val="0"/>
      <w:adjustRightInd w:val="0"/>
      <w:spacing w:before="360" w:after="120" w:line="340" w:lineRule="atLeast"/>
      <w:textAlignment w:val="baseline"/>
      <w:outlineLvl w:val="0"/>
    </w:pPr>
    <w:rPr>
      <w:rFonts w:ascii="Arial" w:hAnsi="Arial"/>
      <w:b/>
      <w:kern w:val="28"/>
      <w:sz w:val="40"/>
      <w:lang w:eastAsia="en-US"/>
    </w:rPr>
  </w:style>
  <w:style w:type="paragraph" w:styleId="Heading2">
    <w:name w:val="heading 2"/>
    <w:next w:val="BodyText"/>
    <w:qFormat/>
    <w:pPr>
      <w:keepNext/>
      <w:overflowPunct w:val="0"/>
      <w:autoSpaceDE w:val="0"/>
      <w:autoSpaceDN w:val="0"/>
      <w:adjustRightInd w:val="0"/>
      <w:spacing w:before="120" w:after="80"/>
      <w:textAlignment w:val="baseline"/>
      <w:outlineLvl w:val="1"/>
    </w:pPr>
    <w:rPr>
      <w:rFonts w:ascii="Arial" w:hAnsi="Arial"/>
      <w:b/>
      <w:sz w:val="32"/>
      <w:lang w:eastAsia="en-US"/>
    </w:rPr>
  </w:style>
  <w:style w:type="paragraph" w:styleId="Heading3">
    <w:name w:val="heading 3"/>
    <w:basedOn w:val="Normal"/>
    <w:next w:val="Normal"/>
    <w:qFormat/>
    <w:pPr>
      <w:keepNext/>
      <w:spacing w:line="240" w:lineRule="atLeast"/>
      <w:ind w:left="357"/>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tabs>
        <w:tab w:val="left" w:pos="567"/>
        <w:tab w:val="left" w:pos="680"/>
      </w:tabs>
      <w:overflowPunct w:val="0"/>
      <w:autoSpaceDE w:val="0"/>
      <w:autoSpaceDN w:val="0"/>
      <w:adjustRightInd w:val="0"/>
      <w:spacing w:before="200" w:line="300" w:lineRule="atLeast"/>
      <w:textAlignment w:val="baseline"/>
    </w:pPr>
    <w:rPr>
      <w:sz w:val="24"/>
      <w:lang w:eastAsia="en-US"/>
    </w:rPr>
  </w:style>
  <w:style w:type="paragraph" w:styleId="Title">
    <w:name w:val="Title"/>
    <w:basedOn w:val="Normal"/>
    <w:qFormat/>
    <w:pPr>
      <w:overflowPunct w:val="0"/>
      <w:autoSpaceDE w:val="0"/>
      <w:autoSpaceDN w:val="0"/>
      <w:adjustRightInd w:val="0"/>
      <w:ind w:left="567" w:hanging="567"/>
      <w:jc w:val="center"/>
      <w:textAlignment w:val="baseline"/>
    </w:pPr>
    <w:rPr>
      <w:b/>
      <w:bCs/>
      <w:sz w:val="28"/>
    </w:rPr>
  </w:style>
  <w:style w:type="paragraph" w:customStyle="1" w:styleId="BodyTextcentreditals">
    <w:name w:val="Body Text centred itals"/>
    <w:basedOn w:val="BodyText"/>
    <w:pPr>
      <w:jc w:val="center"/>
    </w:pPr>
    <w:rPr>
      <w:i/>
      <w:iCs/>
    </w:rPr>
  </w:style>
  <w:style w:type="paragraph" w:customStyle="1" w:styleId="BodyTextcentred">
    <w:name w:val="Body Text centred"/>
    <w:basedOn w:val="BodyText"/>
    <w:pPr>
      <w:jc w:val="center"/>
    </w:pPr>
  </w:style>
  <w:style w:type="paragraph" w:customStyle="1" w:styleId="Subsubpara">
    <w:name w:val="Sub sub para"/>
    <w:basedOn w:val="Normal"/>
    <w:pPr>
      <w:numPr>
        <w:numId w:val="3"/>
      </w:numPr>
      <w:tabs>
        <w:tab w:val="left" w:pos="540"/>
      </w:tabs>
      <w:spacing w:before="100" w:line="300" w:lineRule="exact"/>
    </w:pPr>
  </w:style>
  <w:style w:type="paragraph" w:customStyle="1" w:styleId="Subpara">
    <w:name w:val="Sub para"/>
    <w:basedOn w:val="BodyText"/>
    <w:pPr>
      <w:numPr>
        <w:numId w:val="2"/>
      </w:numPr>
      <w:tabs>
        <w:tab w:val="clear" w:pos="567"/>
        <w:tab w:val="clear" w:pos="680"/>
        <w:tab w:val="clear" w:pos="1440"/>
        <w:tab w:val="num" w:pos="540"/>
      </w:tabs>
      <w:spacing w:before="100"/>
      <w:ind w:hanging="1440"/>
    </w:pPr>
  </w:style>
  <w:style w:type="paragraph" w:styleId="CommentText">
    <w:name w:val="annotation text"/>
    <w:basedOn w:val="Normal"/>
    <w:link w:val="CommentTextChar"/>
    <w:semiHidden/>
    <w:rPr>
      <w:sz w:val="20"/>
    </w:rPr>
  </w:style>
  <w:style w:type="paragraph" w:styleId="Footer">
    <w:name w:val="footer"/>
    <w:basedOn w:val="Normal"/>
    <w:link w:val="FooterChar"/>
    <w:rsid w:val="005B0E3A"/>
    <w:pPr>
      <w:tabs>
        <w:tab w:val="right" w:pos="9070"/>
      </w:tabs>
      <w:spacing w:after="0"/>
    </w:pPr>
    <w:rPr>
      <w:rFonts w:ascii="Arial" w:hAnsi="Arial"/>
      <w:sz w:val="16"/>
      <w:szCs w:val="16"/>
    </w:rPr>
  </w:style>
  <w:style w:type="character" w:customStyle="1" w:styleId="FooterChar">
    <w:name w:val="Footer Char"/>
    <w:basedOn w:val="DefaultParagraphFont"/>
    <w:link w:val="Footer"/>
    <w:rsid w:val="005B0E3A"/>
    <w:rPr>
      <w:rFonts w:ascii="Arial" w:hAnsi="Arial"/>
      <w:sz w:val="16"/>
      <w:szCs w:val="16"/>
    </w:rPr>
  </w:style>
  <w:style w:type="character" w:styleId="PageNumber">
    <w:name w:val="page number"/>
    <w:basedOn w:val="DefaultParagraphFont"/>
    <w:rsid w:val="005B0E3A"/>
    <w:rPr>
      <w:b/>
      <w:sz w:val="20"/>
    </w:rPr>
  </w:style>
  <w:style w:type="paragraph" w:styleId="Header">
    <w:name w:val="header"/>
    <w:basedOn w:val="Normal"/>
    <w:link w:val="HeaderChar"/>
    <w:uiPriority w:val="99"/>
    <w:rsid w:val="005B0E3A"/>
    <w:pPr>
      <w:pBdr>
        <w:bottom w:val="single" w:sz="4" w:space="1" w:color="008291"/>
      </w:pBdr>
      <w:tabs>
        <w:tab w:val="right" w:pos="9356"/>
      </w:tabs>
      <w:spacing w:after="0"/>
      <w:ind w:left="-85"/>
    </w:pPr>
    <w:rPr>
      <w:rFonts w:ascii="Arial" w:hAnsi="Arial" w:cs="Arial"/>
      <w:caps/>
      <w:color w:val="008291"/>
      <w:sz w:val="16"/>
      <w:szCs w:val="16"/>
    </w:rPr>
  </w:style>
  <w:style w:type="character" w:customStyle="1" w:styleId="HeaderChar">
    <w:name w:val="Header Char"/>
    <w:basedOn w:val="DefaultParagraphFont"/>
    <w:link w:val="Header"/>
    <w:uiPriority w:val="99"/>
    <w:rsid w:val="005B0E3A"/>
    <w:rPr>
      <w:rFonts w:ascii="Arial" w:hAnsi="Arial" w:cs="Arial"/>
      <w:caps/>
      <w:color w:val="008291"/>
      <w:sz w:val="16"/>
      <w:szCs w:val="16"/>
    </w:rPr>
  </w:style>
  <w:style w:type="paragraph" w:customStyle="1" w:styleId="Bodytextplain">
    <w:name w:val="Body text plain"/>
    <w:basedOn w:val="BodyText"/>
    <w:rsid w:val="005B0E3A"/>
    <w:pPr>
      <w:tabs>
        <w:tab w:val="clear" w:pos="567"/>
        <w:tab w:val="clear" w:pos="680"/>
      </w:tabs>
      <w:overflowPunct/>
      <w:autoSpaceDE/>
      <w:autoSpaceDN/>
      <w:adjustRightInd/>
      <w:ind w:left="2268"/>
      <w:textAlignment w:val="auto"/>
    </w:pPr>
    <w:rPr>
      <w:sz w:val="22"/>
      <w:szCs w:val="22"/>
      <w:lang w:eastAsia="en-AU"/>
    </w:rPr>
  </w:style>
  <w:style w:type="paragraph" w:customStyle="1" w:styleId="subparaa">
    <w:name w:val="sub para (a)"/>
    <w:basedOn w:val="BodyText"/>
    <w:rsid w:val="005B0E3A"/>
    <w:pPr>
      <w:tabs>
        <w:tab w:val="clear" w:pos="567"/>
        <w:tab w:val="clear" w:pos="680"/>
        <w:tab w:val="num" w:pos="2693"/>
      </w:tabs>
      <w:overflowPunct/>
      <w:autoSpaceDE/>
      <w:autoSpaceDN/>
      <w:adjustRightInd/>
      <w:spacing w:before="100"/>
      <w:ind w:left="2693" w:hanging="425"/>
      <w:textAlignment w:val="auto"/>
    </w:pPr>
    <w:rPr>
      <w:sz w:val="22"/>
      <w:szCs w:val="22"/>
      <w:lang w:eastAsia="en-AU"/>
    </w:rPr>
  </w:style>
  <w:style w:type="paragraph" w:customStyle="1" w:styleId="Feedbackquestion">
    <w:name w:val="Feedback question"/>
    <w:basedOn w:val="Normal"/>
    <w:rsid w:val="005B0E3A"/>
    <w:pPr>
      <w:keepLines/>
      <w:pBdr>
        <w:left w:val="single" w:sz="6" w:space="2" w:color="117DC7"/>
      </w:pBdr>
      <w:tabs>
        <w:tab w:val="num" w:pos="3799"/>
      </w:tabs>
      <w:spacing w:before="100" w:after="0" w:line="260" w:lineRule="atLeast"/>
      <w:ind w:left="3799" w:hanging="567"/>
    </w:pPr>
    <w:rPr>
      <w:rFonts w:ascii="Arial" w:hAnsi="Arial" w:cs="Arial"/>
      <w:sz w:val="20"/>
    </w:rPr>
  </w:style>
  <w:style w:type="paragraph" w:customStyle="1" w:styleId="Feedbacksubquestion">
    <w:name w:val="Feedback subquestion"/>
    <w:basedOn w:val="Feedbackquestion"/>
    <w:rsid w:val="005B0E3A"/>
    <w:pPr>
      <w:tabs>
        <w:tab w:val="clear" w:pos="3799"/>
        <w:tab w:val="num" w:pos="4139"/>
      </w:tabs>
      <w:ind w:left="4139" w:hanging="907"/>
    </w:pPr>
  </w:style>
  <w:style w:type="paragraph" w:customStyle="1" w:styleId="subsubparai">
    <w:name w:val="sub sub para (i)"/>
    <w:basedOn w:val="subparaa"/>
    <w:rsid w:val="005B0E3A"/>
    <w:pPr>
      <w:tabs>
        <w:tab w:val="clear" w:pos="2693"/>
        <w:tab w:val="num" w:pos="3119"/>
      </w:tabs>
      <w:ind w:left="3119" w:hanging="426"/>
    </w:pPr>
  </w:style>
  <w:style w:type="paragraph" w:customStyle="1" w:styleId="Proposaltext">
    <w:name w:val="Proposal text"/>
    <w:basedOn w:val="Bodytextplain"/>
    <w:rsid w:val="005B0E3A"/>
    <w:pPr>
      <w:tabs>
        <w:tab w:val="num" w:pos="425"/>
      </w:tabs>
      <w:spacing w:line="260" w:lineRule="atLeast"/>
      <w:ind w:left="2693" w:hanging="425"/>
    </w:pPr>
    <w:rPr>
      <w:rFonts w:ascii="Arial" w:hAnsi="Arial" w:cs="Arial"/>
      <w:sz w:val="20"/>
      <w:szCs w:val="20"/>
    </w:rPr>
  </w:style>
  <w:style w:type="paragraph" w:customStyle="1" w:styleId="Proposalsubpara">
    <w:name w:val="Proposal sub para"/>
    <w:basedOn w:val="Proposaltext"/>
    <w:rsid w:val="005B0E3A"/>
    <w:pPr>
      <w:tabs>
        <w:tab w:val="clear" w:pos="425"/>
        <w:tab w:val="num" w:pos="3119"/>
      </w:tabs>
      <w:spacing w:before="100"/>
      <w:ind w:left="3119" w:hanging="426"/>
    </w:pPr>
  </w:style>
  <w:style w:type="paragraph" w:customStyle="1" w:styleId="Proposalsubsubpara">
    <w:name w:val="Proposal sub sub para"/>
    <w:basedOn w:val="Proposaltext"/>
    <w:rsid w:val="005B0E3A"/>
    <w:pPr>
      <w:tabs>
        <w:tab w:val="clear" w:pos="425"/>
        <w:tab w:val="num" w:pos="3544"/>
      </w:tabs>
      <w:spacing w:before="100"/>
      <w:ind w:left="3544"/>
    </w:pPr>
  </w:style>
  <w:style w:type="paragraph" w:customStyle="1" w:styleId="sub3paraA">
    <w:name w:val="sub3para (A)"/>
    <w:basedOn w:val="subsubparai"/>
    <w:qFormat/>
    <w:rsid w:val="005B0E3A"/>
    <w:pPr>
      <w:tabs>
        <w:tab w:val="clear" w:pos="3119"/>
        <w:tab w:val="num" w:pos="3544"/>
      </w:tabs>
      <w:ind w:left="3544" w:hanging="425"/>
    </w:pPr>
  </w:style>
  <w:style w:type="paragraph" w:customStyle="1" w:styleId="sub4paraI">
    <w:name w:val="sub4para (I)"/>
    <w:basedOn w:val="subsubparai"/>
    <w:qFormat/>
    <w:rsid w:val="005B0E3A"/>
    <w:pPr>
      <w:tabs>
        <w:tab w:val="clear" w:pos="3119"/>
        <w:tab w:val="num" w:pos="3969"/>
      </w:tabs>
      <w:ind w:left="3969" w:hanging="425"/>
    </w:pPr>
  </w:style>
  <w:style w:type="paragraph" w:customStyle="1" w:styleId="Feedbacksubsubquestion">
    <w:name w:val="Feedback subsubquestion"/>
    <w:basedOn w:val="Feedbacksubquestion"/>
    <w:qFormat/>
    <w:rsid w:val="005B0E3A"/>
    <w:pPr>
      <w:tabs>
        <w:tab w:val="clear" w:pos="4139"/>
        <w:tab w:val="num" w:pos="4423"/>
      </w:tabs>
      <w:ind w:left="4423" w:hanging="1191"/>
    </w:pPr>
  </w:style>
  <w:style w:type="paragraph" w:styleId="ListParagraph">
    <w:name w:val="List Paragraph"/>
    <w:basedOn w:val="Normal"/>
    <w:uiPriority w:val="34"/>
    <w:qFormat/>
    <w:rsid w:val="005B0E3A"/>
    <w:pPr>
      <w:ind w:left="720"/>
      <w:contextualSpacing/>
    </w:pPr>
  </w:style>
  <w:style w:type="character" w:styleId="CommentReference">
    <w:name w:val="annotation reference"/>
    <w:basedOn w:val="DefaultParagraphFont"/>
    <w:uiPriority w:val="99"/>
    <w:semiHidden/>
    <w:unhideWhenUsed/>
    <w:rsid w:val="00F87C1C"/>
    <w:rPr>
      <w:sz w:val="16"/>
      <w:szCs w:val="16"/>
    </w:rPr>
  </w:style>
  <w:style w:type="paragraph" w:styleId="CommentSubject">
    <w:name w:val="annotation subject"/>
    <w:basedOn w:val="CommentText"/>
    <w:next w:val="CommentText"/>
    <w:link w:val="CommentSubjectChar"/>
    <w:uiPriority w:val="99"/>
    <w:semiHidden/>
    <w:unhideWhenUsed/>
    <w:rsid w:val="00F87C1C"/>
    <w:rPr>
      <w:b/>
      <w:bCs/>
    </w:rPr>
  </w:style>
  <w:style w:type="character" w:customStyle="1" w:styleId="CommentTextChar">
    <w:name w:val="Comment Text Char"/>
    <w:basedOn w:val="DefaultParagraphFont"/>
    <w:link w:val="CommentText"/>
    <w:semiHidden/>
    <w:rsid w:val="00F87C1C"/>
  </w:style>
  <w:style w:type="character" w:customStyle="1" w:styleId="CommentSubjectChar">
    <w:name w:val="Comment Subject Char"/>
    <w:basedOn w:val="CommentTextChar"/>
    <w:link w:val="CommentSubject"/>
    <w:uiPriority w:val="99"/>
    <w:semiHidden/>
    <w:rsid w:val="00F87C1C"/>
    <w:rPr>
      <w:b/>
      <w:bCs/>
    </w:rPr>
  </w:style>
  <w:style w:type="paragraph" w:styleId="BalloonText">
    <w:name w:val="Balloon Text"/>
    <w:basedOn w:val="Normal"/>
    <w:link w:val="BalloonTextChar"/>
    <w:uiPriority w:val="99"/>
    <w:semiHidden/>
    <w:unhideWhenUsed/>
    <w:rsid w:val="00F87C1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C1C"/>
    <w:rPr>
      <w:rFonts w:ascii="Segoe UI" w:hAnsi="Segoe UI" w:cs="Segoe UI"/>
      <w:sz w:val="18"/>
      <w:szCs w:val="18"/>
    </w:rPr>
  </w:style>
  <w:style w:type="character" w:styleId="Hyperlink">
    <w:name w:val="Hyperlink"/>
    <w:basedOn w:val="DefaultParagraphFont"/>
    <w:uiPriority w:val="99"/>
    <w:unhideWhenUsed/>
    <w:rsid w:val="00365099"/>
    <w:rPr>
      <w:color w:val="0000FF" w:themeColor="hyperlink"/>
      <w:u w:val="single"/>
    </w:rPr>
  </w:style>
  <w:style w:type="character" w:styleId="UnresolvedMention">
    <w:name w:val="Unresolved Mention"/>
    <w:basedOn w:val="DefaultParagraphFont"/>
    <w:uiPriority w:val="99"/>
    <w:semiHidden/>
    <w:unhideWhenUsed/>
    <w:rsid w:val="0036509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usbanking.org.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Y~1.CHA\AppData\Local\Temp\notes024392\20180809%20-%20Banking%20Code%20-%20Explanatory%20Statement%20(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94e46f-8a31-44fb-a5d1-46121b3a81e6">
      <Value>6</Value>
    </TaxCatchAll>
    <bb4973703421488e858af43c024ffb3c xmlns="5e94e46f-8a31-44fb-a5d1-46121b3a81e6">
      <Terms xmlns="http://schemas.microsoft.com/office/infopath/2007/PartnerControls"/>
    </bb4973703421488e858af43c024ffb3c>
    <RecordNumber xmlns="da7a9ac0-bc47-4684-84e6-3a8e9ac80c12">R20180000759085</RecordNumber>
    <f03834e546ff4f91bb643cefe7f72353 xmlns="5e94e46f-8a31-44fb-a5d1-46121b3a81e6">
      <Terms xmlns="http://schemas.microsoft.com/office/infopath/2007/PartnerControls">
        <TermInfo xmlns="http://schemas.microsoft.com/office/infopath/2007/PartnerControls">
          <TermName xmlns="http://schemas.microsoft.com/office/infopath/2007/PartnerControls">Protected</TermName>
          <TermId xmlns="http://schemas.microsoft.com/office/infopath/2007/PartnerControls">0fdd1a11-afcd-482b-8e90-e57051455132</TermId>
        </TermInfo>
      </Terms>
    </f03834e546ff4f91bb643cefe7f72353>
    <DCI_x0020_Status xmlns="5e94e46f-8a31-44fb-a5d1-46121b3a81e6">Open</DCI_x0020_Status>
    <ObjectiveID xmlns="da7a9ac0-bc47-4684-84e6-3a8e9ac80c12" xsi:nil="true"/>
    <aac6b9abfac14f7285a142d118c2281e xmlns="da7a9ac0-bc47-4684-84e6-3a8e9ac80c12" xsi:nil="true"/>
    <IconOverlay xmlns="http://schemas.microsoft.com/sharepoint/v4" xsi:nil="true"/>
    <l2677784b7b3437ebb08c75827173fef xmlns="5e94e46f-8a31-44fb-a5d1-46121b3a81e6">
      <Terms xmlns="http://schemas.microsoft.com/office/infopath/2007/PartnerControls"/>
    </l2677784b7b3437ebb08c75827173fef>
    <SignificantFlag xmlns="da7a9ac0-bc47-4684-84e6-3a8e9ac80c12">false</SignificantFlag>
    <SenateOrder12 xmlns="da7a9ac0-bc47-4684-84e6-3a8e9ac80c12">false</SenateOrder12>
    <mb9a6403184e4fa5a21132c41d83c8e5 xmlns="5e94e46f-8a31-44fb-a5d1-46121b3a81e6">
      <Terms xmlns="http://schemas.microsoft.com/office/infopath/2007/PartnerControls"/>
    </mb9a6403184e4fa5a21132c41d83c8e5>
    <ded95d7ab059406991d558011d18c177 xmlns="da7a9ac0-bc47-4684-84e6-3a8e9ac80c12" xsi:nil="true"/>
    <Approvers xmlns="17f478ab-373e-4295-9ff0-9b833ad01319">
      <UserInfo>
        <DisplayName/>
        <AccountId xsi:nil="true"/>
        <AccountType/>
      </UserInfo>
    </Approvers>
    <Reviewers xmlns="17f478ab-373e-4295-9ff0-9b833ad01319">
      <UserInfo>
        <DisplayName/>
        <AccountId xsi:nil="true"/>
        <AccountType/>
      </UserInfo>
    </Reviewers>
    <SignificantReason xmlns="da7a9ac0-bc47-4684-84e6-3a8e9ac80c12" xsi:nil="true"/>
    <NotesLinks xmlns="da7a9ac0-bc47-4684-84e6-3a8e9ac80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CI Application Document" ma:contentTypeID="0x010100B5F685A1365F544391EF8C813B164F3A1800EAA8D76B5DC66D4CBCA9D4F70C73673F" ma:contentTypeVersion="31" ma:contentTypeDescription="" ma:contentTypeScope="" ma:versionID="7357b608d72f1eb4be1d09bd61599bdd">
  <xsd:schema xmlns:xsd="http://www.w3.org/2001/XMLSchema" xmlns:xs="http://www.w3.org/2001/XMLSchema" xmlns:p="http://schemas.microsoft.com/office/2006/metadata/properties" xmlns:ns2="da7a9ac0-bc47-4684-84e6-3a8e9ac80c12" xmlns:ns3="5e94e46f-8a31-44fb-a5d1-46121b3a81e6" xmlns:ns5="17f478ab-373e-4295-9ff0-9b833ad01319" xmlns:ns6="http://schemas.microsoft.com/sharepoint/v4" targetNamespace="http://schemas.microsoft.com/office/2006/metadata/properties" ma:root="true" ma:fieldsID="cccd9a65cf7350f7aee9851ebc4f7fa8" ns2:_="" ns3:_="" ns5:_="" ns6:_="">
    <xsd:import namespace="da7a9ac0-bc47-4684-84e6-3a8e9ac80c12"/>
    <xsd:import namespace="5e94e46f-8a31-44fb-a5d1-46121b3a81e6"/>
    <xsd:import namespace="17f478ab-373e-4295-9ff0-9b833ad01319"/>
    <xsd:import namespace="http://schemas.microsoft.com/sharepoint/v4"/>
    <xsd:element name="properties">
      <xsd:complexType>
        <xsd:sequence>
          <xsd:element name="documentManagement">
            <xsd:complexType>
              <xsd:all>
                <xsd:element ref="ns2:RecordNumber" minOccurs="0"/>
                <xsd:element ref="ns2:ObjectiveID" minOccurs="0"/>
                <xsd:element ref="ns2:SenateOrder12" minOccurs="0"/>
                <xsd:element ref="ns2:SignificantFlag" minOccurs="0"/>
                <xsd:element ref="ns2:SignificantReason" minOccurs="0"/>
                <xsd:element ref="ns3:TaxCatchAll" minOccurs="0"/>
                <xsd:element ref="ns3:TaxCatchAllLabel" minOccurs="0"/>
                <xsd:element ref="ns2:ded95d7ab059406991d558011d18c177" minOccurs="0"/>
                <xsd:element ref="ns2:aac6b9abfac14f7285a142d118c2281e" minOccurs="0"/>
                <xsd:element ref="ns3:l2677784b7b3437ebb08c75827173fef" minOccurs="0"/>
                <xsd:element ref="ns3:f03834e546ff4f91bb643cefe7f72353" minOccurs="0"/>
                <xsd:element ref="ns2:NotesLinks" minOccurs="0"/>
                <xsd:element ref="ns5:Reviewers" minOccurs="0"/>
                <xsd:element ref="ns5:Approvers" minOccurs="0"/>
                <xsd:element ref="ns6:IconOverlay" minOccurs="0"/>
                <xsd:element ref="ns3:bb4973703421488e858af43c024ffb3c" minOccurs="0"/>
                <xsd:element ref="ns3:DCI_x0020_Status" minOccurs="0"/>
                <xsd:element ref="ns3:mb9a6403184e4fa5a21132c41d83c8e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a9ac0-bc47-4684-84e6-3a8e9ac80c12" elementFormDefault="qualified">
    <xsd:import namespace="http://schemas.microsoft.com/office/2006/documentManagement/types"/>
    <xsd:import namespace="http://schemas.microsoft.com/office/infopath/2007/PartnerControls"/>
    <xsd:element name="RecordNumber" ma:index="1" nillable="true" ma:displayName="Document ID" ma:hidden="true" ma:internalName="RecordNumber">
      <xsd:simpleType>
        <xsd:restriction base="dms:Text">
          <xsd:maxLength value="255"/>
        </xsd:restriction>
      </xsd:simpleType>
    </xsd:element>
    <xsd:element name="ObjectiveID" ma:index="3" nillable="true" ma:displayName="Objective ID" ma:hidden="true" ma:internalName="ObjectiveID">
      <xsd:simpleType>
        <xsd:restriction base="dms:Text">
          <xsd:maxLength value="255"/>
        </xsd:restriction>
      </xsd:simpleType>
    </xsd:element>
    <xsd:element name="SenateOrder12" ma:index="4" nillable="true" ma:displayName="Senate Order #12" ma:default="0" ma:hidden="true" ma:internalName="SenateOrder12">
      <xsd:simpleType>
        <xsd:restriction base="dms:Boolean"/>
      </xsd:simpleType>
    </xsd:element>
    <xsd:element name="SignificantFlag" ma:index="5" nillable="true" ma:displayName="Significant Flag" ma:default="0" ma:hidden="true" ma:internalName="SignificantFlag">
      <xsd:simpleType>
        <xsd:restriction base="dms:Boolean"/>
      </xsd:simpleType>
    </xsd:element>
    <xsd:element name="SignificantReason" ma:index="6" nillable="true" ma:displayName="Significant Reason" ma:hidden="true" ma:internalName="SignificantReason">
      <xsd:simpleType>
        <xsd:restriction base="dms:Text">
          <xsd:maxLength value="255"/>
        </xsd:restriction>
      </xsd:simpleType>
    </xsd:element>
    <xsd:element name="ded95d7ab059406991d558011d18c177" ma:index="15" nillable="true" ma:displayName="SecurityClassification_0" ma:hidden="true" ma:internalName="ded95d7ab059406991d558011d18c177" ma:readOnly="false">
      <xsd:simpleType>
        <xsd:restriction base="dms:Note"/>
      </xsd:simpleType>
    </xsd:element>
    <xsd:element name="aac6b9abfac14f7285a142d118c2281e" ma:index="17" nillable="true" ma:displayName="DCIApplicationDocumentType_0" ma:hidden="true" ma:internalName="aac6b9abfac14f7285a142d118c2281e" ma:readOnly="false">
      <xsd:simpleType>
        <xsd:restriction base="dms:Note"/>
      </xsd:simpleType>
    </xsd:element>
    <xsd:element name="NotesLinks" ma:index="22" nillable="true" ma:displayName="Notes &amp; Links" ma:description="Use this field to enter relevant document/site hyperlinks and/or notes." ma:internalName="NotesLink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4e46f-8a31-44fb-a5d1-46121b3a81e6" elementFormDefault="qualified">
    <xsd:import namespace="http://schemas.microsoft.com/office/2006/documentManagement/types"/>
    <xsd:import namespace="http://schemas.microsoft.com/office/infopath/2007/PartnerControls"/>
    <xsd:element name="TaxCatchAll" ma:index="7" nillable="true" ma:displayName="Taxonomy Catch All Column" ma:hidden="true" ma:list="{a2c2220a-0bdb-4614-9a2f-02155a413710}" ma:internalName="TaxCatchAll" ma:showField="CatchAllData" ma:web="5e94e46f-8a31-44fb-a5d1-46121b3a81e6">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a2c2220a-0bdb-4614-9a2f-02155a413710}" ma:internalName="TaxCatchAllLabel" ma:readOnly="true" ma:showField="CatchAllDataLabel" ma:web="5e94e46f-8a31-44fb-a5d1-46121b3a81e6">
      <xsd:complexType>
        <xsd:complexContent>
          <xsd:extension base="dms:MultiChoiceLookup">
            <xsd:sequence>
              <xsd:element name="Value" type="dms:Lookup" maxOccurs="unbounded" minOccurs="0" nillable="true"/>
            </xsd:sequence>
          </xsd:extension>
        </xsd:complexContent>
      </xsd:complexType>
    </xsd:element>
    <xsd:element name="l2677784b7b3437ebb08c75827173fef" ma:index="19" nillable="true" ma:taxonomy="true" ma:internalName="l2677784b7b3437ebb08c75827173fef" ma:taxonomyFieldName="DCIApplicationDocumentType" ma:displayName="DCI Application Document Type" ma:fieldId="{52677784-b7b3-437e-bb08-c75827173fef}" ma:sspId="b38671ba-7d76-46f8-b8a5-5fc3a7d6229d" ma:termSetId="d78bde33-96d5-43ad-a7b4-89d91fd11609" ma:anchorId="00000000-0000-0000-0000-000000000000" ma:open="false" ma:isKeyword="false">
      <xsd:complexType>
        <xsd:sequence>
          <xsd:element ref="pc:Terms" minOccurs="0" maxOccurs="1"/>
        </xsd:sequence>
      </xsd:complexType>
    </xsd:element>
    <xsd:element name="f03834e546ff4f91bb643cefe7f72353" ma:index="20" ma:taxonomy="true" ma:internalName="f03834e546ff4f91bb643cefe7f72353" ma:taxonomyFieldName="SecurityClassification" ma:displayName="Security Classification" ma:default="6;#Protected|0fdd1a11-afcd-482b-8e90-e57051455132" ma:fieldId="{f03834e5-46ff-4f91-bb64-3cefe7f72353}" ma:sspId="b38671ba-7d76-46f8-b8a5-5fc3a7d6229d" ma:termSetId="1d2f2699-c9ac-44b7-aa84-d64945e6f0bf" ma:anchorId="00000000-0000-0000-0000-000000000000" ma:open="false" ma:isKeyword="false">
      <xsd:complexType>
        <xsd:sequence>
          <xsd:element ref="pc:Terms" minOccurs="0" maxOccurs="1"/>
        </xsd:sequence>
      </xsd:complexType>
    </xsd:element>
    <xsd:element name="bb4973703421488e858af43c024ffb3c" ma:index="27" nillable="true" ma:taxonomy="true" ma:internalName="bb4973703421488e858af43c024ffb3c" ma:taxonomyFieldName="DCI_x0020_Application_x0020__x0026__x0020_Licensing_x0020_Category" ma:displayName="DCI Application &amp; Licensing Category" ma:default="" ma:fieldId="{bb497370-3421-488e-858a-f43c024ffb3c}" ma:sspId="b38671ba-7d76-46f8-b8a5-5fc3a7d6229d" ma:termSetId="30853767-692e-4344-b86f-a94dc98757c6" ma:anchorId="00000000-0000-0000-0000-000000000000" ma:open="false" ma:isKeyword="false">
      <xsd:complexType>
        <xsd:sequence>
          <xsd:element ref="pc:Terms" minOccurs="0" maxOccurs="1"/>
        </xsd:sequence>
      </xsd:complexType>
    </xsd:element>
    <xsd:element name="DCI_x0020_Status" ma:index="28" nillable="true" ma:displayName="DCI Status" ma:default="Open" ma:internalName="DCI_x0020_Status">
      <xsd:simpleType>
        <xsd:restriction base="dms:Unknown">
          <xsd:enumeration value="Open"/>
          <xsd:enumeration value="Closed"/>
        </xsd:restriction>
      </xsd:simpleType>
    </xsd:element>
    <xsd:element name="mb9a6403184e4fa5a21132c41d83c8e5" ma:index="30" nillable="true" ma:taxonomy="true" ma:internalName="mb9a6403184e4fa5a21132c41d83c8e5" ma:taxonomyFieldName="Entity" ma:displayName="Entity" ma:default="" ma:fieldId="{6b9a6403-184e-4fa5-a211-32c41d83c8e5}" ma:sspId="b38671ba-7d76-46f8-b8a5-5fc3a7d6229d" ma:termSetId="29904673-02a0-47f7-a426-ad49d82a0177"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f478ab-373e-4295-9ff0-9b833ad01319" elementFormDefault="qualified">
    <xsd:import namespace="http://schemas.microsoft.com/office/2006/documentManagement/types"/>
    <xsd:import namespace="http://schemas.microsoft.com/office/infopath/2007/PartnerControls"/>
    <xsd:element name="Reviewers" ma:index="23" nillable="true" ma:displayName="Reviewers" ma:list="UserInfo" ma:SharePointGroup="0" ma:internalName="Review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s" ma:index="24" nillable="true" ma:displayName="Approvers" ma:list="UserInfo" ma:SharePointGroup="0" ma:internalName="Approv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61B1B-C030-4E9A-A7BF-4842B86E3BDF}">
  <ds:schemaRefs>
    <ds:schemaRef ds:uri="da7a9ac0-bc47-4684-84e6-3a8e9ac80c12"/>
    <ds:schemaRef ds:uri="http://schemas.microsoft.com/office/2006/documentManagement/types"/>
    <ds:schemaRef ds:uri="5e94e46f-8a31-44fb-a5d1-46121b3a81e6"/>
    <ds:schemaRef ds:uri="http://schemas.microsoft.com/sharepoint/v4"/>
    <ds:schemaRef ds:uri="http://schemas.microsoft.com/office/2006/metadata/properties"/>
    <ds:schemaRef ds:uri="http://purl.org/dc/terms/"/>
    <ds:schemaRef ds:uri="http://schemas.microsoft.com/office/infopath/2007/PartnerControls"/>
    <ds:schemaRef ds:uri="http://purl.org/dc/dcmitype/"/>
    <ds:schemaRef ds:uri="http://purl.org/dc/elements/1.1/"/>
    <ds:schemaRef ds:uri="http://schemas.openxmlformats.org/package/2006/metadata/core-properties"/>
    <ds:schemaRef ds:uri="17f478ab-373e-4295-9ff0-9b833ad01319"/>
    <ds:schemaRef ds:uri="http://www.w3.org/XML/1998/namespace"/>
  </ds:schemaRefs>
</ds:datastoreItem>
</file>

<file path=customXml/itemProps2.xml><?xml version="1.0" encoding="utf-8"?>
<ds:datastoreItem xmlns:ds="http://schemas.openxmlformats.org/officeDocument/2006/customXml" ds:itemID="{B74C2277-DA1E-4F14-9184-7F6F36C32426}">
  <ds:schemaRefs>
    <ds:schemaRef ds:uri="http://schemas.microsoft.com/sharepoint/v3/contenttype/forms"/>
  </ds:schemaRefs>
</ds:datastoreItem>
</file>

<file path=customXml/itemProps3.xml><?xml version="1.0" encoding="utf-8"?>
<ds:datastoreItem xmlns:ds="http://schemas.openxmlformats.org/officeDocument/2006/customXml" ds:itemID="{8B53B677-3C9E-4584-AF87-7343EE037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a9ac0-bc47-4684-84e6-3a8e9ac80c12"/>
    <ds:schemaRef ds:uri="5e94e46f-8a31-44fb-a5d1-46121b3a81e6"/>
    <ds:schemaRef ds:uri="17f478ab-373e-4295-9ff0-9b833ad013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3784C5-FE6E-4176-AE26-55C316E7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20180809 - Banking Code - Explanatory Statement (Word).dotx</Template>
  <TotalTime>1</TotalTime>
  <Pages>3</Pages>
  <Words>504</Words>
  <Characters>2875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ASIC CLASS ORDER [CO xx/xxx]</vt:lpstr>
    </vt:vector>
  </TitlesOfParts>
  <Company>ASIC</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ASIC CLASS ORDER [CO xx/xxx]</dc:title>
  <dc:creator>lucy.chadszinow</dc:creator>
  <cp:lastModifiedBy>Lucy Chadszinow</cp:lastModifiedBy>
  <cp:revision>1</cp:revision>
  <cp:lastPrinted>2018-08-08T07:23:00Z</cp:lastPrinted>
  <dcterms:created xsi:type="dcterms:W3CDTF">2018-08-09T04:07:00Z</dcterms:created>
  <dcterms:modified xsi:type="dcterms:W3CDTF">2018-08-09T04:08:00Z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A4331450</vt:lpwstr>
  </property>
  <property fmtid="{D5CDD505-2E9C-101B-9397-08002B2CF9AE}" pid="4" name="Objective-Title">
    <vt:lpwstr>ASIC CLASS ORDER EXPLANATORY STATEMENT TEMPLATE</vt:lpwstr>
  </property>
  <property fmtid="{D5CDD505-2E9C-101B-9397-08002B2CF9AE}" pid="5" name="Objective-Comment">
    <vt:lpwstr>
    </vt:lpwstr>
  </property>
  <property fmtid="{D5CDD505-2E9C-101B-9397-08002B2CF9AE}" pid="6" name="Objective-CreationStamp">
    <vt:filetime>2014-11-20T00:23:54Z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vt:lpwstr>
  </property>
  <property fmtid="{D5CDD505-2E9C-101B-9397-08002B2CF9AE}" pid="10" name="Objective-ModificationStamp">
    <vt:filetime>2014-11-20T00:54:25Z</vt:filetime>
  </property>
  <property fmtid="{D5CDD505-2E9C-101B-9397-08002B2CF9AE}" pid="11" name="Objective-Owner">
    <vt:lpwstr>Gillian Kreuiter</vt:lpwstr>
  </property>
  <property fmtid="{D5CDD505-2E9C-101B-9397-08002B2CF9AE}" pid="12" name="Objective-Path">
    <vt:lpwstr>ASIC BCS:POLICY &amp; REGULATORY FRAMEWORK:Policy Development:Technical Updates &amp; Other:Sunsetting Class Orders Project:Sunsetting of legislative instruments:Project Management:Training:</vt:lpwstr>
  </property>
  <property fmtid="{D5CDD505-2E9C-101B-9397-08002B2CF9AE}" pid="13" name="Objective-Parent">
    <vt:lpwstr>Training</vt:lpwstr>
  </property>
  <property fmtid="{D5CDD505-2E9C-101B-9397-08002B2CF9AE}" pid="14" name="Objective-State">
    <vt:lpwstr>Being Edited</vt:lpwstr>
  </property>
  <property fmtid="{D5CDD505-2E9C-101B-9397-08002B2CF9AE}" pid="15" name="Objective-Version">
    <vt:lpwstr>0.4</vt:lpwstr>
  </property>
  <property fmtid="{D5CDD505-2E9C-101B-9397-08002B2CF9AE}" pid="16" name="Objective-VersionNumber">
    <vt:i4>4</vt:i4>
  </property>
  <property fmtid="{D5CDD505-2E9C-101B-9397-08002B2CF9AE}" pid="17" name="Objective-VersionComment">
    <vt:lpwstr>
    </vt:lpwstr>
  </property>
  <property fmtid="{D5CDD505-2E9C-101B-9397-08002B2CF9AE}" pid="18" name="Objective-FileNumber">
    <vt:lpwstr>2012 - 002402</vt:lpwstr>
  </property>
  <property fmtid="{D5CDD505-2E9C-101B-9397-08002B2CF9AE}" pid="19" name="Objective-Classification">
    <vt:lpwstr>[Inherited - IN-CONFIDENCE]</vt:lpwstr>
  </property>
  <property fmtid="{D5CDD505-2E9C-101B-9397-08002B2CF9AE}" pid="20" name="Objective-Caveats">
    <vt:lpwstr>
    </vt:lpwstr>
  </property>
  <property fmtid="{D5CDD505-2E9C-101B-9397-08002B2CF9AE}" pid="21" name="Objective-Category [system]">
    <vt:lpwstr>
    </vt:lpwstr>
  </property>
  <property fmtid="{D5CDD505-2E9C-101B-9397-08002B2CF9AE}" pid="22" name="ContentTypeId">
    <vt:lpwstr>0x010100B5F685A1365F544391EF8C813B164F3A1800EAA8D76B5DC66D4CBCA9D4F70C73673F</vt:lpwstr>
  </property>
  <property fmtid="{D5CDD505-2E9C-101B-9397-08002B2CF9AE}" pid="23" name="DCIApplicationDocumentType">
    <vt:lpwstr/>
  </property>
  <property fmtid="{D5CDD505-2E9C-101B-9397-08002B2CF9AE}" pid="24" name="DCI Application &amp; Licensing Category">
    <vt:lpwstr/>
  </property>
  <property fmtid="{D5CDD505-2E9C-101B-9397-08002B2CF9AE}" pid="25" name="Entity">
    <vt:lpwstr/>
  </property>
  <property fmtid="{D5CDD505-2E9C-101B-9397-08002B2CF9AE}" pid="26" name="SecurityClassification">
    <vt:lpwstr>6;#Protected|0fdd1a11-afcd-482b-8e90-e57051455132</vt:lpwstr>
  </property>
  <property fmtid="{D5CDD505-2E9C-101B-9397-08002B2CF9AE}" pid="27" name="RecordPoint_WorkflowType">
    <vt:lpwstr>ActiveSubmitStub</vt:lpwstr>
  </property>
  <property fmtid="{D5CDD505-2E9C-101B-9397-08002B2CF9AE}" pid="28" name="RecordPoint_ActiveItemUniqueId">
    <vt:lpwstr>{09899c50-f378-4602-bd29-80d6fce95d91}</vt:lpwstr>
  </property>
  <property fmtid="{D5CDD505-2E9C-101B-9397-08002B2CF9AE}" pid="29" name="RecordPoint_SubmissionCompleted">
    <vt:lpwstr>2018-08-09T04:12:07.0278341+10:00</vt:lpwstr>
  </property>
  <property fmtid="{D5CDD505-2E9C-101B-9397-08002B2CF9AE}" pid="30" name="RecordPoint_ActiveItemWebId">
    <vt:lpwstr>{5e94e46f-8a31-44fb-a5d1-46121b3a81e6}</vt:lpwstr>
  </property>
  <property fmtid="{D5CDD505-2E9C-101B-9397-08002B2CF9AE}" pid="31" name="RecordPoint_ActiveItemSiteId">
    <vt:lpwstr>{e8bbcff8-49a3-498e-b3e4-eb382cab6a9b}</vt:lpwstr>
  </property>
  <property fmtid="{D5CDD505-2E9C-101B-9397-08002B2CF9AE}" pid="32" name="RecordPoint_ActiveItemListId">
    <vt:lpwstr>{f705d5f0-59b8-49e8-91b6-b836bc6fee20}</vt:lpwstr>
  </property>
  <property fmtid="{D5CDD505-2E9C-101B-9397-08002B2CF9AE}" pid="33" name="RecordPoint_RecordNumberSubmitted">
    <vt:lpwstr>R20180000759085</vt:lpwstr>
  </property>
</Properties>
</file>