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534B5" w14:textId="77777777" w:rsidR="002B1DB3" w:rsidRPr="005D1ABF" w:rsidRDefault="001813AC" w:rsidP="005D1ABF">
      <w:pPr>
        <w:spacing w:after="0" w:line="240" w:lineRule="auto"/>
        <w:jc w:val="center"/>
        <w:rPr>
          <w:rFonts w:ascii="Times New Roman" w:hAnsi="Times New Roman" w:cs="Times New Roman"/>
          <w:b/>
          <w:caps/>
          <w:sz w:val="24"/>
          <w:szCs w:val="24"/>
          <w:u w:val="single"/>
        </w:rPr>
      </w:pPr>
      <w:r w:rsidRPr="005D1ABF">
        <w:rPr>
          <w:rFonts w:ascii="Times New Roman" w:hAnsi="Times New Roman" w:cs="Times New Roman"/>
          <w:b/>
          <w:caps/>
          <w:sz w:val="24"/>
          <w:szCs w:val="24"/>
          <w:u w:val="single"/>
        </w:rPr>
        <w:t>Explanatory Statement</w:t>
      </w:r>
    </w:p>
    <w:p w14:paraId="69A3F259" w14:textId="77777777" w:rsidR="005D1ABF" w:rsidRPr="005D1ABF" w:rsidRDefault="005D1ABF" w:rsidP="005D1ABF">
      <w:pPr>
        <w:spacing w:after="0" w:line="240" w:lineRule="auto"/>
        <w:jc w:val="center"/>
        <w:rPr>
          <w:rFonts w:ascii="Times New Roman" w:hAnsi="Times New Roman" w:cs="Times New Roman"/>
          <w:b/>
          <w:caps/>
          <w:sz w:val="24"/>
          <w:szCs w:val="24"/>
          <w:u w:val="single"/>
        </w:rPr>
      </w:pPr>
    </w:p>
    <w:p w14:paraId="51951E11" w14:textId="77777777" w:rsidR="002B1DB3" w:rsidRDefault="002B1DB3" w:rsidP="005D1ABF">
      <w:pPr>
        <w:spacing w:after="0" w:line="240" w:lineRule="auto"/>
        <w:jc w:val="center"/>
        <w:rPr>
          <w:rFonts w:ascii="Times New Roman" w:hAnsi="Times New Roman" w:cs="Times New Roman"/>
          <w:sz w:val="24"/>
          <w:szCs w:val="24"/>
          <w:u w:val="single"/>
        </w:rPr>
      </w:pPr>
      <w:r w:rsidRPr="005D1ABF">
        <w:rPr>
          <w:rFonts w:ascii="Times New Roman" w:hAnsi="Times New Roman" w:cs="Times New Roman"/>
          <w:sz w:val="24"/>
          <w:szCs w:val="24"/>
          <w:u w:val="single"/>
        </w:rPr>
        <w:t xml:space="preserve">Issued by Authority of the </w:t>
      </w:r>
      <w:r w:rsidR="00470AE8">
        <w:rPr>
          <w:rFonts w:ascii="Times New Roman" w:hAnsi="Times New Roman" w:cs="Times New Roman"/>
          <w:sz w:val="24"/>
          <w:szCs w:val="24"/>
          <w:u w:val="single"/>
        </w:rPr>
        <w:t>Minister for Agriculture and</w:t>
      </w:r>
      <w:r w:rsidR="00113C4E" w:rsidRPr="001C09FB">
        <w:rPr>
          <w:rFonts w:ascii="Times New Roman" w:hAnsi="Times New Roman" w:cs="Times New Roman"/>
          <w:sz w:val="24"/>
          <w:szCs w:val="24"/>
          <w:u w:val="single"/>
        </w:rPr>
        <w:t xml:space="preserve"> Water Resources</w:t>
      </w:r>
    </w:p>
    <w:p w14:paraId="60AF54EE" w14:textId="77777777" w:rsidR="006C7F82" w:rsidRPr="005D1ABF" w:rsidRDefault="006C7F82" w:rsidP="005D1ABF">
      <w:pPr>
        <w:spacing w:after="0" w:line="240" w:lineRule="auto"/>
        <w:jc w:val="center"/>
        <w:rPr>
          <w:rFonts w:ascii="Times New Roman" w:hAnsi="Times New Roman" w:cs="Times New Roman"/>
          <w:sz w:val="24"/>
          <w:szCs w:val="24"/>
        </w:rPr>
      </w:pPr>
    </w:p>
    <w:p w14:paraId="415A17BC" w14:textId="77777777" w:rsidR="006C7F82" w:rsidRPr="002520F9" w:rsidRDefault="006C7F82" w:rsidP="006C7F82">
      <w:pPr>
        <w:spacing w:after="0" w:line="240" w:lineRule="auto"/>
        <w:jc w:val="center"/>
        <w:rPr>
          <w:rFonts w:ascii="Times New Roman" w:hAnsi="Times New Roman" w:cs="Times New Roman"/>
          <w:i/>
          <w:snapToGrid w:val="0"/>
          <w:color w:val="000000" w:themeColor="text1"/>
          <w:sz w:val="24"/>
          <w:szCs w:val="24"/>
          <w:u w:val="single"/>
        </w:rPr>
      </w:pPr>
      <w:r w:rsidRPr="002520F9">
        <w:rPr>
          <w:rFonts w:ascii="Times New Roman" w:hAnsi="Times New Roman" w:cs="Times New Roman"/>
          <w:i/>
          <w:snapToGrid w:val="0"/>
          <w:color w:val="000000" w:themeColor="text1"/>
          <w:sz w:val="24"/>
          <w:szCs w:val="24"/>
          <w:u w:val="single"/>
        </w:rPr>
        <w:t>Biosecurity Act 2015</w:t>
      </w:r>
    </w:p>
    <w:p w14:paraId="384D6901" w14:textId="77777777" w:rsidR="006C7F82" w:rsidRPr="002520F9" w:rsidRDefault="006C7F82" w:rsidP="006C7F82">
      <w:pPr>
        <w:spacing w:after="0" w:line="240" w:lineRule="auto"/>
        <w:jc w:val="center"/>
        <w:rPr>
          <w:rFonts w:ascii="Times New Roman" w:hAnsi="Times New Roman" w:cs="Times New Roman"/>
          <w:i/>
          <w:snapToGrid w:val="0"/>
          <w:color w:val="000000" w:themeColor="text1"/>
          <w:sz w:val="24"/>
          <w:szCs w:val="24"/>
          <w:u w:val="single"/>
        </w:rPr>
      </w:pPr>
    </w:p>
    <w:p w14:paraId="0CC21FD0" w14:textId="77777777" w:rsidR="002B1DB3" w:rsidRPr="002520F9" w:rsidRDefault="006C7F82" w:rsidP="006C7F82">
      <w:pPr>
        <w:spacing w:after="0" w:line="240" w:lineRule="auto"/>
        <w:jc w:val="center"/>
        <w:rPr>
          <w:rFonts w:ascii="Times New Roman" w:hAnsi="Times New Roman" w:cs="Times New Roman"/>
          <w:i/>
          <w:color w:val="000000" w:themeColor="text1"/>
          <w:sz w:val="24"/>
          <w:szCs w:val="24"/>
        </w:rPr>
      </w:pPr>
      <w:r w:rsidRPr="002520F9">
        <w:rPr>
          <w:rFonts w:ascii="Times New Roman" w:hAnsi="Times New Roman" w:cs="Times New Roman"/>
          <w:i/>
          <w:snapToGrid w:val="0"/>
          <w:color w:val="000000" w:themeColor="text1"/>
          <w:sz w:val="24"/>
          <w:szCs w:val="24"/>
          <w:u w:val="single"/>
        </w:rPr>
        <w:t>Biosecurity Amendment (Approved Arrangements) Regulations 2018</w:t>
      </w:r>
    </w:p>
    <w:p w14:paraId="0E4B16E1" w14:textId="77777777" w:rsidR="001C09FB" w:rsidRPr="002520F9" w:rsidRDefault="001C09FB" w:rsidP="005D1ABF">
      <w:pPr>
        <w:spacing w:after="0" w:line="240" w:lineRule="auto"/>
        <w:jc w:val="center"/>
        <w:rPr>
          <w:rFonts w:ascii="Times New Roman" w:hAnsi="Times New Roman" w:cs="Times New Roman"/>
          <w:i/>
          <w:color w:val="000000" w:themeColor="text1"/>
          <w:sz w:val="24"/>
          <w:szCs w:val="24"/>
        </w:rPr>
      </w:pPr>
    </w:p>
    <w:p w14:paraId="71B95E92" w14:textId="77777777" w:rsidR="002B1DB3" w:rsidRPr="002520F9" w:rsidRDefault="002B1DB3" w:rsidP="005D1ABF">
      <w:pPr>
        <w:tabs>
          <w:tab w:val="left" w:pos="1701"/>
          <w:tab w:val="right" w:pos="9072"/>
        </w:tabs>
        <w:spacing w:after="0" w:line="240" w:lineRule="auto"/>
        <w:rPr>
          <w:rFonts w:ascii="Times New Roman" w:hAnsi="Times New Roman" w:cs="Times New Roman"/>
          <w:color w:val="000000" w:themeColor="text1"/>
          <w:sz w:val="24"/>
          <w:szCs w:val="24"/>
        </w:rPr>
      </w:pPr>
      <w:r w:rsidRPr="002520F9">
        <w:rPr>
          <w:rFonts w:ascii="Times New Roman" w:hAnsi="Times New Roman" w:cs="Times New Roman"/>
          <w:b/>
          <w:color w:val="000000" w:themeColor="text1"/>
          <w:sz w:val="24"/>
          <w:szCs w:val="24"/>
        </w:rPr>
        <w:t>Legislative Authority</w:t>
      </w:r>
    </w:p>
    <w:p w14:paraId="6F6E0704" w14:textId="77777777" w:rsidR="002B1DB3" w:rsidRDefault="002B1DB3" w:rsidP="005D1ABF">
      <w:pPr>
        <w:tabs>
          <w:tab w:val="right" w:pos="9072"/>
        </w:tabs>
        <w:spacing w:after="0" w:line="240" w:lineRule="auto"/>
        <w:rPr>
          <w:rFonts w:ascii="Times New Roman" w:hAnsi="Times New Roman" w:cs="Times New Roman"/>
          <w:color w:val="FF0000"/>
          <w:sz w:val="24"/>
          <w:szCs w:val="24"/>
        </w:rPr>
      </w:pPr>
    </w:p>
    <w:p w14:paraId="6B100795" w14:textId="77777777" w:rsidR="001D5B29" w:rsidRPr="00C15A5E" w:rsidRDefault="001D5B29" w:rsidP="001D5B29">
      <w:pPr>
        <w:tabs>
          <w:tab w:val="right" w:pos="9072"/>
        </w:tabs>
        <w:spacing w:after="0" w:line="24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The </w:t>
      </w:r>
      <w:r>
        <w:rPr>
          <w:rFonts w:ascii="Times New Roman" w:hAnsi="Times New Roman" w:cs="Times New Roman"/>
          <w:i/>
          <w:color w:val="000000" w:themeColor="text1"/>
          <w:sz w:val="24"/>
        </w:rPr>
        <w:t xml:space="preserve">Biosecurity Act 2015 </w:t>
      </w:r>
      <w:r>
        <w:rPr>
          <w:rFonts w:ascii="Times New Roman" w:hAnsi="Times New Roman" w:cs="Times New Roman"/>
          <w:color w:val="000000" w:themeColor="text1"/>
          <w:sz w:val="24"/>
        </w:rPr>
        <w:t>(the Act) provides for the management of diseases and pests that may cause harm to human, animal or plant health or the environment.</w:t>
      </w:r>
    </w:p>
    <w:p w14:paraId="60FFC4F4" w14:textId="77777777" w:rsidR="001D5B29" w:rsidRDefault="001D5B29" w:rsidP="005D1ABF">
      <w:pPr>
        <w:tabs>
          <w:tab w:val="right" w:pos="9072"/>
        </w:tabs>
        <w:spacing w:after="0" w:line="240" w:lineRule="auto"/>
        <w:rPr>
          <w:rFonts w:ascii="Times New Roman" w:hAnsi="Times New Roman" w:cs="Times New Roman"/>
          <w:color w:val="FF0000"/>
          <w:sz w:val="24"/>
          <w:szCs w:val="24"/>
        </w:rPr>
      </w:pPr>
    </w:p>
    <w:p w14:paraId="4F33BF26" w14:textId="77777777" w:rsidR="001D5B29" w:rsidRDefault="001D5B29" w:rsidP="001D5B29">
      <w:pPr>
        <w:tabs>
          <w:tab w:val="right" w:pos="9072"/>
        </w:tabs>
        <w:spacing w:after="0" w:line="240" w:lineRule="auto"/>
        <w:rPr>
          <w:rFonts w:ascii="Times New Roman" w:hAnsi="Times New Roman" w:cs="Times New Roman"/>
          <w:color w:val="000000" w:themeColor="text1"/>
          <w:sz w:val="24"/>
        </w:rPr>
      </w:pPr>
      <w:r w:rsidRPr="00074270">
        <w:rPr>
          <w:rFonts w:ascii="Times New Roman" w:hAnsi="Times New Roman"/>
          <w:color w:val="000000" w:themeColor="text1"/>
          <w:sz w:val="24"/>
        </w:rPr>
        <w:t xml:space="preserve">Section </w:t>
      </w:r>
      <w:r>
        <w:rPr>
          <w:rFonts w:ascii="Times New Roman" w:hAnsi="Times New Roman" w:cs="Times New Roman"/>
          <w:color w:val="000000" w:themeColor="text1"/>
          <w:sz w:val="24"/>
        </w:rPr>
        <w:t xml:space="preserve">645 of the Act provides that the </w:t>
      </w:r>
      <w:r w:rsidRPr="00ED7763">
        <w:rPr>
          <w:rFonts w:ascii="Times New Roman" w:hAnsi="Times New Roman" w:cs="Times New Roman"/>
          <w:color w:val="000000" w:themeColor="text1"/>
          <w:sz w:val="24"/>
        </w:rPr>
        <w:t>Governor-General may make regulations prescribing matters required or permitted to be prescribed by the Act, or necessary or convenient to be prescribed for carrying out or giving effect to the Act</w:t>
      </w:r>
      <w:r>
        <w:rPr>
          <w:rFonts w:ascii="Times New Roman" w:hAnsi="Times New Roman" w:cs="Times New Roman"/>
          <w:color w:val="000000" w:themeColor="text1"/>
          <w:sz w:val="24"/>
        </w:rPr>
        <w:t>.</w:t>
      </w:r>
    </w:p>
    <w:p w14:paraId="0F38EDF9" w14:textId="77777777" w:rsidR="001D5B29" w:rsidRDefault="001D5B29" w:rsidP="005D1ABF">
      <w:pPr>
        <w:tabs>
          <w:tab w:val="right" w:pos="9072"/>
        </w:tabs>
        <w:spacing w:after="0" w:line="240" w:lineRule="auto"/>
        <w:rPr>
          <w:rFonts w:ascii="Times New Roman" w:hAnsi="Times New Roman" w:cs="Times New Roman"/>
          <w:color w:val="FF0000"/>
          <w:sz w:val="24"/>
          <w:szCs w:val="24"/>
        </w:rPr>
      </w:pPr>
    </w:p>
    <w:p w14:paraId="160E22C8" w14:textId="1666071C" w:rsidR="00D74299" w:rsidRPr="005E2C39" w:rsidRDefault="00EE1E15" w:rsidP="00D74299">
      <w:pPr>
        <w:tabs>
          <w:tab w:val="right" w:pos="9072"/>
        </w:tabs>
        <w:spacing w:after="0" w:line="240" w:lineRule="auto"/>
        <w:rPr>
          <w:rFonts w:ascii="Times New Roman" w:hAnsi="Times New Roman" w:cs="Times New Roman"/>
          <w:sz w:val="24"/>
        </w:rPr>
      </w:pPr>
      <w:r>
        <w:rPr>
          <w:rFonts w:ascii="Times New Roman" w:hAnsi="Times New Roman"/>
          <w:sz w:val="24"/>
          <w:szCs w:val="24"/>
          <w:lang w:eastAsia="en-AU"/>
        </w:rPr>
        <w:t>Section</w:t>
      </w:r>
      <w:r w:rsidR="00D74299" w:rsidRPr="005E2C39">
        <w:rPr>
          <w:rFonts w:ascii="Times New Roman" w:hAnsi="Times New Roman"/>
          <w:sz w:val="24"/>
          <w:szCs w:val="24"/>
          <w:lang w:eastAsia="en-AU"/>
        </w:rPr>
        <w:t xml:space="preserve"> 593 of the </w:t>
      </w:r>
      <w:r w:rsidR="00D74299" w:rsidRPr="002520F9">
        <w:rPr>
          <w:rFonts w:ascii="Times New Roman" w:hAnsi="Times New Roman"/>
          <w:sz w:val="24"/>
          <w:szCs w:val="24"/>
          <w:lang w:eastAsia="en-AU"/>
        </w:rPr>
        <w:t>Act </w:t>
      </w:r>
      <w:r w:rsidR="00D74299" w:rsidRPr="005E2C39">
        <w:rPr>
          <w:rFonts w:ascii="Times New Roman" w:hAnsi="Times New Roman"/>
          <w:sz w:val="24"/>
          <w:szCs w:val="24"/>
          <w:lang w:eastAsia="en-AU"/>
        </w:rPr>
        <w:t xml:space="preserve">provides that the </w:t>
      </w:r>
      <w:r w:rsidR="00D74299">
        <w:rPr>
          <w:rFonts w:ascii="Times New Roman" w:hAnsi="Times New Roman"/>
          <w:sz w:val="24"/>
          <w:szCs w:val="24"/>
          <w:lang w:eastAsia="en-AU"/>
        </w:rPr>
        <w:t>r</w:t>
      </w:r>
      <w:r w:rsidR="00D74299" w:rsidRPr="005E2C39">
        <w:rPr>
          <w:rFonts w:ascii="Times New Roman" w:hAnsi="Times New Roman"/>
          <w:sz w:val="24"/>
          <w:szCs w:val="24"/>
          <w:lang w:eastAsia="en-AU"/>
        </w:rPr>
        <w:t>egulations may prescribe persons who are liable to pay a specified cost recovery charge. S</w:t>
      </w:r>
      <w:r w:rsidR="00D74299">
        <w:rPr>
          <w:rFonts w:ascii="Times New Roman" w:hAnsi="Times New Roman"/>
          <w:sz w:val="24"/>
          <w:szCs w:val="24"/>
          <w:lang w:eastAsia="en-AU"/>
        </w:rPr>
        <w:t>ubs</w:t>
      </w:r>
      <w:r w:rsidR="00D74299" w:rsidRPr="005E2C39">
        <w:rPr>
          <w:rFonts w:ascii="Times New Roman" w:hAnsi="Times New Roman"/>
          <w:sz w:val="24"/>
          <w:szCs w:val="24"/>
          <w:lang w:eastAsia="en-AU"/>
        </w:rPr>
        <w:t xml:space="preserve">ection 109(4) of the </w:t>
      </w:r>
      <w:r w:rsidR="00D74299" w:rsidRPr="005E2C39">
        <w:rPr>
          <w:rFonts w:ascii="Times New Roman" w:hAnsi="Times New Roman"/>
          <w:i/>
          <w:sz w:val="24"/>
          <w:szCs w:val="24"/>
          <w:lang w:eastAsia="en-AU"/>
        </w:rPr>
        <w:t>Biosecurity Regulation 2016</w:t>
      </w:r>
      <w:r w:rsidR="00D74299">
        <w:rPr>
          <w:rFonts w:ascii="Times New Roman" w:hAnsi="Times New Roman"/>
          <w:i/>
          <w:sz w:val="24"/>
          <w:szCs w:val="24"/>
          <w:lang w:eastAsia="en-AU"/>
        </w:rPr>
        <w:t xml:space="preserve"> </w:t>
      </w:r>
      <w:r w:rsidR="00D74299">
        <w:rPr>
          <w:rFonts w:ascii="Times New Roman" w:hAnsi="Times New Roman"/>
          <w:sz w:val="24"/>
          <w:szCs w:val="24"/>
          <w:lang w:eastAsia="en-AU"/>
        </w:rPr>
        <w:t>(the Biosecurity Regulation)</w:t>
      </w:r>
      <w:r w:rsidR="00D74299" w:rsidRPr="005E2C39">
        <w:rPr>
          <w:rFonts w:ascii="Times New Roman" w:hAnsi="Times New Roman"/>
          <w:i/>
          <w:sz w:val="24"/>
          <w:szCs w:val="24"/>
          <w:lang w:eastAsia="en-AU"/>
        </w:rPr>
        <w:t xml:space="preserve"> </w:t>
      </w:r>
      <w:r w:rsidR="00D74299" w:rsidRPr="005E2C39">
        <w:rPr>
          <w:rFonts w:ascii="Times New Roman" w:hAnsi="Times New Roman" w:cs="Times New Roman"/>
          <w:sz w:val="24"/>
        </w:rPr>
        <w:t xml:space="preserve">specifies the persons who will be liable to pay each of the charges in relation to a biosecurity matter prescribed </w:t>
      </w:r>
      <w:r w:rsidR="00D74299">
        <w:rPr>
          <w:rFonts w:ascii="Times New Roman" w:hAnsi="Times New Roman" w:cs="Times New Roman"/>
          <w:sz w:val="24"/>
        </w:rPr>
        <w:t>by</w:t>
      </w:r>
      <w:r w:rsidR="00D74299" w:rsidRPr="005E2C39">
        <w:rPr>
          <w:rFonts w:ascii="Times New Roman" w:hAnsi="Times New Roman" w:cs="Times New Roman"/>
          <w:sz w:val="24"/>
        </w:rPr>
        <w:t xml:space="preserve"> the table in section 9 of the </w:t>
      </w:r>
      <w:r w:rsidR="00D74299" w:rsidRPr="005E2C39">
        <w:rPr>
          <w:rFonts w:ascii="Times New Roman" w:hAnsi="Times New Roman" w:cs="Times New Roman"/>
          <w:i/>
          <w:sz w:val="24"/>
        </w:rPr>
        <w:t>Biosecurity Charges Imposition (General) Regulation 2016</w:t>
      </w:r>
      <w:r w:rsidR="00D74299" w:rsidRPr="005E2C39">
        <w:rPr>
          <w:rFonts w:ascii="Times New Roman" w:hAnsi="Times New Roman" w:cs="Times New Roman"/>
          <w:sz w:val="24"/>
        </w:rPr>
        <w:t xml:space="preserve"> </w:t>
      </w:r>
      <w:r w:rsidR="00D74299">
        <w:rPr>
          <w:rFonts w:ascii="Times New Roman" w:hAnsi="Times New Roman" w:cs="Times New Roman"/>
          <w:sz w:val="24"/>
        </w:rPr>
        <w:t xml:space="preserve">(General Regulation) </w:t>
      </w:r>
      <w:r w:rsidR="00D74299" w:rsidRPr="005E2C39">
        <w:rPr>
          <w:rFonts w:ascii="Times New Roman" w:hAnsi="Times New Roman" w:cs="Times New Roman"/>
          <w:sz w:val="24"/>
        </w:rPr>
        <w:t>or the table in section 9 of the</w:t>
      </w:r>
      <w:r w:rsidR="00D74299" w:rsidRPr="005E2C39">
        <w:rPr>
          <w:rFonts w:ascii="Times New Roman" w:hAnsi="Times New Roman" w:cs="Times New Roman"/>
          <w:i/>
          <w:sz w:val="24"/>
        </w:rPr>
        <w:t xml:space="preserve"> Biosecurity Charges Imposition (</w:t>
      </w:r>
      <w:r w:rsidR="00D74299">
        <w:rPr>
          <w:rFonts w:ascii="Times New Roman" w:hAnsi="Times New Roman" w:cs="Times New Roman"/>
          <w:i/>
          <w:sz w:val="24"/>
        </w:rPr>
        <w:t>C</w:t>
      </w:r>
      <w:r w:rsidR="00D74299" w:rsidRPr="005E2C39">
        <w:rPr>
          <w:rFonts w:ascii="Times New Roman" w:hAnsi="Times New Roman" w:cs="Times New Roman"/>
          <w:i/>
          <w:sz w:val="24"/>
        </w:rPr>
        <w:t>ustoms) Regulation 2016</w:t>
      </w:r>
      <w:r w:rsidR="00D74299">
        <w:rPr>
          <w:rFonts w:ascii="Times New Roman" w:hAnsi="Times New Roman" w:cs="Times New Roman"/>
          <w:sz w:val="24"/>
        </w:rPr>
        <w:t xml:space="preserve"> (Customs Regulation).</w:t>
      </w:r>
      <w:r w:rsidR="00D74299" w:rsidRPr="005E2C39">
        <w:rPr>
          <w:rFonts w:ascii="Times New Roman" w:hAnsi="Times New Roman" w:cs="Times New Roman"/>
          <w:sz w:val="24"/>
        </w:rPr>
        <w:t xml:space="preserve"> </w:t>
      </w:r>
    </w:p>
    <w:p w14:paraId="37590469" w14:textId="77777777" w:rsidR="00D74299" w:rsidRPr="002520F9" w:rsidRDefault="00D74299" w:rsidP="005D1ABF">
      <w:pPr>
        <w:tabs>
          <w:tab w:val="right" w:pos="9072"/>
        </w:tabs>
        <w:spacing w:after="0" w:line="240" w:lineRule="auto"/>
        <w:rPr>
          <w:rFonts w:ascii="Times New Roman" w:hAnsi="Times New Roman" w:cs="Times New Roman"/>
          <w:color w:val="000000" w:themeColor="text1"/>
          <w:sz w:val="24"/>
          <w:szCs w:val="24"/>
        </w:rPr>
      </w:pPr>
    </w:p>
    <w:p w14:paraId="6D0AFAFF" w14:textId="77777777" w:rsidR="00D74299" w:rsidRPr="002520F9" w:rsidRDefault="00D74299" w:rsidP="00D74299">
      <w:pPr>
        <w:tabs>
          <w:tab w:val="left" w:pos="1701"/>
          <w:tab w:val="right" w:pos="9072"/>
        </w:tabs>
        <w:spacing w:after="0" w:line="240" w:lineRule="auto"/>
        <w:rPr>
          <w:rFonts w:ascii="Times New Roman" w:hAnsi="Times New Roman" w:cs="Times New Roman"/>
          <w:b/>
          <w:color w:val="000000" w:themeColor="text1"/>
          <w:sz w:val="24"/>
          <w:szCs w:val="24"/>
        </w:rPr>
      </w:pPr>
      <w:r w:rsidRPr="002520F9">
        <w:rPr>
          <w:rFonts w:ascii="Times New Roman" w:hAnsi="Times New Roman" w:cs="Times New Roman"/>
          <w:b/>
          <w:color w:val="000000" w:themeColor="text1"/>
          <w:sz w:val="24"/>
          <w:szCs w:val="24"/>
        </w:rPr>
        <w:t>Purpose</w:t>
      </w:r>
    </w:p>
    <w:p w14:paraId="594BF415" w14:textId="77777777" w:rsidR="00D74299" w:rsidRPr="001C09FB" w:rsidRDefault="00D74299" w:rsidP="00D74299">
      <w:pPr>
        <w:tabs>
          <w:tab w:val="right" w:pos="9072"/>
        </w:tabs>
        <w:spacing w:after="0" w:line="240" w:lineRule="auto"/>
        <w:rPr>
          <w:rFonts w:ascii="Times New Roman" w:hAnsi="Times New Roman" w:cs="Times New Roman"/>
          <w:color w:val="FF0000"/>
          <w:sz w:val="24"/>
          <w:szCs w:val="24"/>
        </w:rPr>
      </w:pPr>
    </w:p>
    <w:p w14:paraId="51DFB5C0" w14:textId="77777777" w:rsidR="00D74299" w:rsidRDefault="00D74299" w:rsidP="00D74299">
      <w:pPr>
        <w:tabs>
          <w:tab w:val="left" w:pos="1701"/>
          <w:tab w:val="right" w:pos="9072"/>
        </w:tabs>
        <w:spacing w:after="0" w:line="240" w:lineRule="auto"/>
        <w:rPr>
          <w:rFonts w:ascii="Times New Roman" w:hAnsi="Times New Roman" w:cs="Times New Roman"/>
          <w:sz w:val="24"/>
        </w:rPr>
      </w:pPr>
      <w:r w:rsidRPr="003C4F03">
        <w:rPr>
          <w:rFonts w:ascii="Times New Roman" w:hAnsi="Times New Roman" w:cs="Times New Roman"/>
          <w:color w:val="000000" w:themeColor="text1"/>
          <w:sz w:val="24"/>
          <w:szCs w:val="24"/>
        </w:rPr>
        <w:t xml:space="preserve">The purpose of the </w:t>
      </w:r>
      <w:r w:rsidRPr="00EE1E15">
        <w:rPr>
          <w:rFonts w:ascii="Times New Roman" w:hAnsi="Times New Roman" w:cs="Times New Roman"/>
          <w:i/>
          <w:color w:val="000000" w:themeColor="text1"/>
          <w:sz w:val="24"/>
          <w:szCs w:val="24"/>
        </w:rPr>
        <w:t>Biosecurity Amendment (Approved Arrangements) Regulations 2018</w:t>
      </w:r>
      <w:r w:rsidRPr="003C4F0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 Amendment Regulations) </w:t>
      </w:r>
      <w:r w:rsidRPr="003C4F03">
        <w:rPr>
          <w:rFonts w:ascii="Times New Roman" w:hAnsi="Times New Roman" w:cs="Times New Roman"/>
          <w:color w:val="000000" w:themeColor="text1"/>
          <w:sz w:val="24"/>
          <w:szCs w:val="24"/>
        </w:rPr>
        <w:t xml:space="preserve">is to </w:t>
      </w:r>
      <w:r>
        <w:rPr>
          <w:rFonts w:ascii="Times New Roman" w:hAnsi="Times New Roman" w:cs="Times New Roman"/>
          <w:color w:val="000000" w:themeColor="text1"/>
          <w:sz w:val="24"/>
          <w:szCs w:val="24"/>
        </w:rPr>
        <w:t>amend the Biosecurity Regulation to</w:t>
      </w:r>
      <w:r w:rsidRPr="003C4F03">
        <w:rPr>
          <w:rFonts w:ascii="Times New Roman" w:hAnsi="Times New Roman" w:cs="Times New Roman"/>
          <w:sz w:val="24"/>
        </w:rPr>
        <w:t xml:space="preserve"> specify the persons who are liable to pay the </w:t>
      </w:r>
      <w:r>
        <w:rPr>
          <w:rFonts w:ascii="Times New Roman" w:hAnsi="Times New Roman" w:cs="Times New Roman"/>
          <w:sz w:val="24"/>
        </w:rPr>
        <w:t xml:space="preserve">proposed charge in relation to a biosecurity matter prescribed by item 13A in the table in section 9 of the General Regulation and item 13A in the table in section 9 of the Customs Regulation. The Amendment Regulation adds a new paragraph, paragraph 109(4)(da), to specify that the person who is liable to pay the charge in relation to these items is the person covered by an approved arrangement who made the entry of information to which the charge relates. </w:t>
      </w:r>
    </w:p>
    <w:p w14:paraId="0E4C64B7" w14:textId="77777777" w:rsidR="00D74299" w:rsidRDefault="00D74299" w:rsidP="00D74299">
      <w:pPr>
        <w:tabs>
          <w:tab w:val="left" w:pos="1701"/>
          <w:tab w:val="right" w:pos="9072"/>
        </w:tabs>
        <w:spacing w:after="0" w:line="240" w:lineRule="auto"/>
        <w:rPr>
          <w:rFonts w:ascii="Times New Roman" w:hAnsi="Times New Roman" w:cs="Times New Roman"/>
          <w:sz w:val="24"/>
        </w:rPr>
      </w:pPr>
    </w:p>
    <w:p w14:paraId="23C06B6B" w14:textId="77777777" w:rsidR="00D74299" w:rsidRDefault="00D74299" w:rsidP="00D74299">
      <w:pPr>
        <w:tabs>
          <w:tab w:val="right" w:pos="9072"/>
        </w:tabs>
        <w:spacing w:after="0" w:line="240" w:lineRule="auto"/>
        <w:rPr>
          <w:rFonts w:ascii="Times New Roman" w:hAnsi="Times New Roman" w:cs="Times New Roman"/>
          <w:sz w:val="24"/>
        </w:rPr>
      </w:pPr>
      <w:r>
        <w:rPr>
          <w:rFonts w:ascii="Times New Roman" w:hAnsi="Times New Roman" w:cs="Times New Roman"/>
          <w:sz w:val="24"/>
        </w:rPr>
        <w:t>Items 13A in the tables in section 9 of both the General Regulation and the Customs Regulation prescribe a charge in relation to the entry of information into the automated entry processing system, by a person covered by an approved arrangement, about goods to be brought or imported into Australian territory –</w:t>
      </w:r>
      <w:r w:rsidRPr="00093F84">
        <w:rPr>
          <w:rFonts w:ascii="Times New Roman" w:hAnsi="Times New Roman" w:cs="Times New Roman"/>
          <w:sz w:val="24"/>
        </w:rPr>
        <w:t xml:space="preserve"> </w:t>
      </w:r>
      <w:r>
        <w:rPr>
          <w:rFonts w:ascii="Times New Roman" w:hAnsi="Times New Roman" w:cs="Times New Roman"/>
          <w:sz w:val="24"/>
        </w:rPr>
        <w:t xml:space="preserve">the new </w:t>
      </w:r>
      <w:r w:rsidRPr="0065578A">
        <w:rPr>
          <w:rFonts w:ascii="Times New Roman" w:hAnsi="Times New Roman" w:cs="Times New Roman"/>
          <w:sz w:val="24"/>
        </w:rPr>
        <w:t>biosecurity approved arrangement throughput charge</w:t>
      </w:r>
      <w:r>
        <w:rPr>
          <w:rFonts w:ascii="Times New Roman" w:hAnsi="Times New Roman" w:cs="Times New Roman"/>
          <w:sz w:val="24"/>
        </w:rPr>
        <w:t xml:space="preserve">. These items were added to the Customs Regulation and the General Regulation by the </w:t>
      </w:r>
      <w:r w:rsidRPr="00781885">
        <w:rPr>
          <w:rFonts w:ascii="Times New Roman" w:hAnsi="Times New Roman" w:cs="Times New Roman"/>
          <w:i/>
          <w:sz w:val="24"/>
        </w:rPr>
        <w:t>Biosecurity Charges Imposition (General) Amendment (Approved Arrangements) Regulations 2018</w:t>
      </w:r>
      <w:r>
        <w:rPr>
          <w:rFonts w:ascii="Times New Roman" w:hAnsi="Times New Roman" w:cs="Times New Roman"/>
          <w:sz w:val="24"/>
        </w:rPr>
        <w:t xml:space="preserve"> and the </w:t>
      </w:r>
      <w:r w:rsidRPr="00781885">
        <w:rPr>
          <w:rFonts w:ascii="Times New Roman" w:hAnsi="Times New Roman" w:cs="Times New Roman"/>
          <w:i/>
          <w:sz w:val="24"/>
        </w:rPr>
        <w:t>Biosecurity Charges Impositions (Customs) Amendment (Approved Arrangements) Regulations 2018</w:t>
      </w:r>
      <w:r>
        <w:rPr>
          <w:rFonts w:ascii="Times New Roman" w:hAnsi="Times New Roman" w:cs="Times New Roman"/>
          <w:sz w:val="24"/>
        </w:rPr>
        <w:t xml:space="preserve">.  </w:t>
      </w:r>
    </w:p>
    <w:p w14:paraId="27E59E6C" w14:textId="77777777" w:rsidR="00D74299" w:rsidRDefault="00D74299" w:rsidP="00D74299">
      <w:pPr>
        <w:tabs>
          <w:tab w:val="left" w:pos="1701"/>
          <w:tab w:val="right" w:pos="9072"/>
        </w:tabs>
        <w:spacing w:after="0" w:line="240" w:lineRule="auto"/>
        <w:rPr>
          <w:rFonts w:ascii="Times New Roman" w:hAnsi="Times New Roman" w:cs="Times New Roman"/>
          <w:sz w:val="24"/>
        </w:rPr>
      </w:pPr>
    </w:p>
    <w:p w14:paraId="2EFB51B4" w14:textId="77777777" w:rsidR="00D74299" w:rsidRDefault="00D74299" w:rsidP="00D74299">
      <w:pPr>
        <w:tabs>
          <w:tab w:val="left" w:pos="1701"/>
          <w:tab w:val="right" w:pos="9072"/>
        </w:tabs>
        <w:spacing w:after="0" w:line="240" w:lineRule="auto"/>
        <w:rPr>
          <w:rFonts w:ascii="Times New Roman" w:hAnsi="Times New Roman" w:cs="Times New Roman"/>
          <w:sz w:val="24"/>
        </w:rPr>
      </w:pPr>
      <w:r w:rsidRPr="003C4F03">
        <w:rPr>
          <w:rFonts w:ascii="Times New Roman" w:hAnsi="Times New Roman" w:cs="Times New Roman"/>
          <w:sz w:val="24"/>
        </w:rPr>
        <w:t xml:space="preserve">The new throughput charge </w:t>
      </w:r>
      <w:r w:rsidR="00B43366">
        <w:rPr>
          <w:rFonts w:ascii="Times New Roman" w:hAnsi="Times New Roman" w:cs="Times New Roman"/>
          <w:sz w:val="24"/>
        </w:rPr>
        <w:t>is</w:t>
      </w:r>
      <w:r w:rsidRPr="003C4F03">
        <w:rPr>
          <w:rFonts w:ascii="Times New Roman" w:hAnsi="Times New Roman" w:cs="Times New Roman"/>
          <w:sz w:val="24"/>
        </w:rPr>
        <w:t xml:space="preserve"> payable by the person covered by an approved arrangement who made the entry of information to which the charge relates.</w:t>
      </w:r>
    </w:p>
    <w:p w14:paraId="7A7A3044" w14:textId="77777777" w:rsidR="001D5B29" w:rsidRDefault="001D5B29" w:rsidP="00303794">
      <w:pPr>
        <w:tabs>
          <w:tab w:val="right" w:pos="9072"/>
        </w:tabs>
        <w:spacing w:after="0" w:line="240" w:lineRule="auto"/>
        <w:rPr>
          <w:rFonts w:ascii="Times New Roman" w:hAnsi="Times New Roman" w:cs="Times New Roman"/>
          <w:color w:val="000000" w:themeColor="text1"/>
          <w:sz w:val="24"/>
        </w:rPr>
      </w:pPr>
    </w:p>
    <w:p w14:paraId="3C9AA4A7" w14:textId="77777777" w:rsidR="002520F9" w:rsidRDefault="002520F9" w:rsidP="00D74299">
      <w:pPr>
        <w:tabs>
          <w:tab w:val="left" w:pos="1701"/>
          <w:tab w:val="right" w:pos="9072"/>
        </w:tabs>
        <w:spacing w:after="0" w:line="240" w:lineRule="auto"/>
        <w:rPr>
          <w:rFonts w:ascii="Times New Roman" w:hAnsi="Times New Roman" w:cs="Times New Roman"/>
          <w:b/>
          <w:color w:val="000000" w:themeColor="text1"/>
          <w:sz w:val="24"/>
          <w:szCs w:val="24"/>
        </w:rPr>
      </w:pPr>
    </w:p>
    <w:p w14:paraId="13AB6F91" w14:textId="77777777" w:rsidR="002520F9" w:rsidRDefault="002520F9" w:rsidP="00D74299">
      <w:pPr>
        <w:tabs>
          <w:tab w:val="left" w:pos="1701"/>
          <w:tab w:val="right" w:pos="9072"/>
        </w:tabs>
        <w:spacing w:after="0" w:line="240" w:lineRule="auto"/>
        <w:rPr>
          <w:rFonts w:ascii="Times New Roman" w:hAnsi="Times New Roman" w:cs="Times New Roman"/>
          <w:b/>
          <w:color w:val="000000" w:themeColor="text1"/>
          <w:sz w:val="24"/>
          <w:szCs w:val="24"/>
        </w:rPr>
      </w:pPr>
    </w:p>
    <w:p w14:paraId="32E3B96F" w14:textId="77777777" w:rsidR="00D74299" w:rsidRPr="002520F9" w:rsidRDefault="00D74299" w:rsidP="00D74299">
      <w:pPr>
        <w:tabs>
          <w:tab w:val="left" w:pos="1701"/>
          <w:tab w:val="right" w:pos="9072"/>
        </w:tabs>
        <w:spacing w:after="0" w:line="240" w:lineRule="auto"/>
        <w:rPr>
          <w:rFonts w:ascii="Times New Roman" w:hAnsi="Times New Roman" w:cs="Times New Roman"/>
          <w:b/>
          <w:color w:val="000000" w:themeColor="text1"/>
          <w:sz w:val="24"/>
          <w:szCs w:val="24"/>
        </w:rPr>
      </w:pPr>
      <w:r w:rsidRPr="002520F9">
        <w:rPr>
          <w:rFonts w:ascii="Times New Roman" w:hAnsi="Times New Roman" w:cs="Times New Roman"/>
          <w:b/>
          <w:color w:val="000000" w:themeColor="text1"/>
          <w:sz w:val="24"/>
          <w:szCs w:val="24"/>
        </w:rPr>
        <w:lastRenderedPageBreak/>
        <w:t>Background</w:t>
      </w:r>
    </w:p>
    <w:p w14:paraId="654DB429" w14:textId="77777777" w:rsidR="00D74299" w:rsidRDefault="00D74299" w:rsidP="00303794">
      <w:pPr>
        <w:tabs>
          <w:tab w:val="right" w:pos="9072"/>
        </w:tabs>
        <w:spacing w:after="0" w:line="240" w:lineRule="auto"/>
        <w:rPr>
          <w:rFonts w:ascii="Times New Roman" w:hAnsi="Times New Roman" w:cs="Times New Roman"/>
          <w:color w:val="000000" w:themeColor="text1"/>
          <w:sz w:val="24"/>
        </w:rPr>
      </w:pPr>
    </w:p>
    <w:p w14:paraId="710564C1" w14:textId="77777777" w:rsidR="00303794" w:rsidRPr="008D06B3" w:rsidRDefault="00303794" w:rsidP="00303794">
      <w:pPr>
        <w:tabs>
          <w:tab w:val="right" w:pos="9072"/>
        </w:tabs>
        <w:spacing w:after="0" w:line="240" w:lineRule="auto"/>
        <w:rPr>
          <w:rFonts w:ascii="Times New Roman" w:hAnsi="Times New Roman" w:cs="Times New Roman"/>
          <w:color w:val="000000" w:themeColor="text1"/>
          <w:sz w:val="24"/>
        </w:rPr>
      </w:pPr>
      <w:r w:rsidRPr="008D06B3">
        <w:rPr>
          <w:rFonts w:ascii="Times New Roman" w:hAnsi="Times New Roman" w:cs="Times New Roman"/>
          <w:color w:val="000000" w:themeColor="text1"/>
          <w:sz w:val="24"/>
        </w:rPr>
        <w:t xml:space="preserve">The </w:t>
      </w:r>
      <w:r w:rsidR="0050168F">
        <w:rPr>
          <w:rFonts w:ascii="Times New Roman" w:hAnsi="Times New Roman" w:cs="Times New Roman"/>
          <w:color w:val="000000" w:themeColor="text1"/>
          <w:sz w:val="24"/>
        </w:rPr>
        <w:t>Department of Agriculture and Water Resources (</w:t>
      </w:r>
      <w:r w:rsidRPr="008D06B3">
        <w:rPr>
          <w:rFonts w:ascii="Times New Roman" w:hAnsi="Times New Roman" w:cs="Times New Roman"/>
          <w:color w:val="000000" w:themeColor="text1"/>
          <w:sz w:val="24"/>
        </w:rPr>
        <w:t>department</w:t>
      </w:r>
      <w:r w:rsidR="0050168F">
        <w:rPr>
          <w:rFonts w:ascii="Times New Roman" w:hAnsi="Times New Roman" w:cs="Times New Roman"/>
          <w:color w:val="000000" w:themeColor="text1"/>
          <w:sz w:val="24"/>
        </w:rPr>
        <w:t>)</w:t>
      </w:r>
      <w:r w:rsidRPr="008D06B3">
        <w:rPr>
          <w:rFonts w:ascii="Times New Roman" w:hAnsi="Times New Roman" w:cs="Times New Roman"/>
          <w:color w:val="000000" w:themeColor="text1"/>
          <w:sz w:val="24"/>
        </w:rPr>
        <w:t xml:space="preserve"> provides biosecurity services under the Act through cost recovered arrangements. A proportion of costs are recovered through fees and charges, imposed in accordance with the Australian Government Charging Framework and the Australian Government Cost Recovery Guidelines.</w:t>
      </w:r>
    </w:p>
    <w:p w14:paraId="76F73479" w14:textId="77777777" w:rsidR="00303794" w:rsidRPr="008D06B3" w:rsidRDefault="00303794" w:rsidP="00303794">
      <w:pPr>
        <w:tabs>
          <w:tab w:val="right" w:pos="9072"/>
        </w:tabs>
        <w:spacing w:after="0" w:line="240" w:lineRule="auto"/>
        <w:rPr>
          <w:rFonts w:ascii="Times New Roman" w:hAnsi="Times New Roman" w:cs="Times New Roman"/>
          <w:color w:val="000000" w:themeColor="text1"/>
          <w:sz w:val="24"/>
        </w:rPr>
      </w:pPr>
    </w:p>
    <w:p w14:paraId="04A5099C" w14:textId="77777777" w:rsidR="00303794" w:rsidRPr="008D06B3" w:rsidRDefault="00303794" w:rsidP="00303794">
      <w:pPr>
        <w:tabs>
          <w:tab w:val="right" w:pos="9072"/>
        </w:tabs>
        <w:spacing w:after="0" w:line="240" w:lineRule="auto"/>
        <w:rPr>
          <w:rFonts w:ascii="Times New Roman" w:hAnsi="Times New Roman" w:cs="Times New Roman"/>
          <w:color w:val="000000" w:themeColor="text1"/>
          <w:sz w:val="24"/>
        </w:rPr>
      </w:pPr>
      <w:r w:rsidRPr="008D06B3">
        <w:rPr>
          <w:rFonts w:ascii="Times New Roman" w:hAnsi="Times New Roman" w:cs="Times New Roman"/>
          <w:color w:val="000000" w:themeColor="text1"/>
          <w:sz w:val="24"/>
        </w:rPr>
        <w:t xml:space="preserve">Charging is undertaken under the </w:t>
      </w:r>
      <w:r w:rsidRPr="008D06B3">
        <w:rPr>
          <w:rFonts w:ascii="Times New Roman" w:hAnsi="Times New Roman" w:cs="Times New Roman"/>
          <w:i/>
          <w:color w:val="000000" w:themeColor="text1"/>
          <w:sz w:val="24"/>
        </w:rPr>
        <w:t>Biosecurity Charges Imposition (Customs) Act 2015</w:t>
      </w:r>
      <w:r w:rsidRPr="008D06B3">
        <w:rPr>
          <w:rFonts w:ascii="Times New Roman" w:hAnsi="Times New Roman" w:cs="Times New Roman"/>
          <w:color w:val="000000" w:themeColor="text1"/>
          <w:sz w:val="24"/>
        </w:rPr>
        <w:t xml:space="preserve">, the </w:t>
      </w:r>
      <w:r w:rsidRPr="008D06B3">
        <w:rPr>
          <w:rFonts w:ascii="Times New Roman" w:hAnsi="Times New Roman" w:cs="Times New Roman"/>
          <w:i/>
          <w:color w:val="000000" w:themeColor="text1"/>
          <w:sz w:val="24"/>
        </w:rPr>
        <w:t>Biosecurity Charges Imposition (Excise) Act 2015</w:t>
      </w:r>
      <w:r w:rsidRPr="008D06B3">
        <w:rPr>
          <w:rFonts w:ascii="Times New Roman" w:hAnsi="Times New Roman" w:cs="Times New Roman"/>
          <w:color w:val="000000" w:themeColor="text1"/>
          <w:sz w:val="24"/>
        </w:rPr>
        <w:t xml:space="preserve"> and the </w:t>
      </w:r>
      <w:r w:rsidRPr="008D06B3">
        <w:rPr>
          <w:rFonts w:ascii="Times New Roman" w:hAnsi="Times New Roman" w:cs="Times New Roman"/>
          <w:i/>
          <w:color w:val="000000" w:themeColor="text1"/>
          <w:sz w:val="24"/>
        </w:rPr>
        <w:t>Biosecurity Charges Imposition (General) Act 2015</w:t>
      </w:r>
      <w:r w:rsidRPr="008D06B3">
        <w:rPr>
          <w:rFonts w:ascii="Times New Roman" w:hAnsi="Times New Roman" w:cs="Times New Roman"/>
          <w:color w:val="000000" w:themeColor="text1"/>
          <w:sz w:val="24"/>
        </w:rPr>
        <w:t>. These Acts provide the taxing legislation framework necessary to support cost recovery charges.</w:t>
      </w:r>
    </w:p>
    <w:p w14:paraId="4A6E5EB1" w14:textId="77777777" w:rsidR="00303794" w:rsidRPr="008D06B3" w:rsidRDefault="00303794" w:rsidP="00303794">
      <w:pPr>
        <w:tabs>
          <w:tab w:val="right" w:pos="9072"/>
        </w:tabs>
        <w:spacing w:after="0" w:line="240" w:lineRule="auto"/>
        <w:rPr>
          <w:rFonts w:ascii="Times New Roman" w:hAnsi="Times New Roman" w:cs="Times New Roman"/>
          <w:color w:val="000000" w:themeColor="text1"/>
          <w:sz w:val="24"/>
        </w:rPr>
      </w:pPr>
    </w:p>
    <w:p w14:paraId="07338EE9" w14:textId="77777777" w:rsidR="002520F9" w:rsidRDefault="000B72F5" w:rsidP="00A94733">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color w:val="000000" w:themeColor="text1"/>
          <w:sz w:val="24"/>
        </w:rPr>
        <w:t>S</w:t>
      </w:r>
      <w:r w:rsidR="00303794" w:rsidRPr="008D06B3">
        <w:rPr>
          <w:rFonts w:ascii="Times New Roman" w:hAnsi="Times New Roman" w:cs="Times New Roman"/>
          <w:color w:val="000000" w:themeColor="text1"/>
          <w:sz w:val="24"/>
        </w:rPr>
        <w:t xml:space="preserve">pecific charges are </w:t>
      </w:r>
      <w:r>
        <w:rPr>
          <w:rFonts w:ascii="Times New Roman" w:hAnsi="Times New Roman" w:cs="Times New Roman"/>
          <w:color w:val="000000" w:themeColor="text1"/>
          <w:sz w:val="24"/>
        </w:rPr>
        <w:t>prescribed</w:t>
      </w:r>
      <w:r w:rsidR="00303794" w:rsidRPr="008D06B3">
        <w:rPr>
          <w:rFonts w:ascii="Times New Roman" w:hAnsi="Times New Roman" w:cs="Times New Roman"/>
          <w:color w:val="000000" w:themeColor="text1"/>
          <w:sz w:val="24"/>
        </w:rPr>
        <w:t xml:space="preserve"> in</w:t>
      </w:r>
      <w:r>
        <w:rPr>
          <w:rFonts w:ascii="Times New Roman" w:hAnsi="Times New Roman" w:cs="Times New Roman"/>
          <w:color w:val="000000" w:themeColor="text1"/>
          <w:sz w:val="24"/>
        </w:rPr>
        <w:t xml:space="preserve"> the</w:t>
      </w:r>
      <w:r w:rsidR="00303794" w:rsidRPr="008D06B3">
        <w:rPr>
          <w:rFonts w:ascii="Times New Roman" w:hAnsi="Times New Roman" w:cs="Times New Roman"/>
          <w:color w:val="000000" w:themeColor="text1"/>
          <w:sz w:val="24"/>
        </w:rPr>
        <w:t xml:space="preserve"> </w:t>
      </w:r>
      <w:r w:rsidR="00303794" w:rsidRPr="002520F9">
        <w:rPr>
          <w:rFonts w:ascii="Times New Roman" w:hAnsi="Times New Roman" w:cs="Times New Roman"/>
          <w:color w:val="000000" w:themeColor="text1"/>
          <w:sz w:val="24"/>
        </w:rPr>
        <w:t>Customs Regulation</w:t>
      </w:r>
      <w:r w:rsidR="00303794" w:rsidRPr="008D06B3">
        <w:rPr>
          <w:rFonts w:ascii="Times New Roman" w:hAnsi="Times New Roman" w:cs="Times New Roman"/>
          <w:color w:val="000000" w:themeColor="text1"/>
          <w:sz w:val="24"/>
        </w:rPr>
        <w:t xml:space="preserve"> and the </w:t>
      </w:r>
      <w:r w:rsidR="00303794" w:rsidRPr="002520F9">
        <w:rPr>
          <w:rFonts w:ascii="Times New Roman" w:hAnsi="Times New Roman" w:cs="Times New Roman"/>
          <w:color w:val="000000" w:themeColor="text1"/>
          <w:sz w:val="24"/>
        </w:rPr>
        <w:t>General Regulation</w:t>
      </w:r>
      <w:r w:rsidR="00303794" w:rsidRPr="008D06B3">
        <w:rPr>
          <w:rFonts w:ascii="Times New Roman" w:hAnsi="Times New Roman" w:cs="Times New Roman"/>
          <w:color w:val="000000" w:themeColor="text1"/>
          <w:sz w:val="24"/>
        </w:rPr>
        <w:t>.</w:t>
      </w:r>
      <w:r w:rsidR="00303794">
        <w:rPr>
          <w:rFonts w:ascii="Times New Roman" w:hAnsi="Times New Roman" w:cs="Times New Roman"/>
          <w:sz w:val="24"/>
        </w:rPr>
        <w:t xml:space="preserve"> </w:t>
      </w:r>
    </w:p>
    <w:p w14:paraId="5FFE359E" w14:textId="77777777" w:rsidR="002520F9" w:rsidRDefault="002520F9" w:rsidP="00A94733">
      <w:pPr>
        <w:tabs>
          <w:tab w:val="left" w:pos="1701"/>
          <w:tab w:val="right" w:pos="9072"/>
        </w:tabs>
        <w:spacing w:after="0" w:line="240" w:lineRule="auto"/>
        <w:rPr>
          <w:rFonts w:ascii="Times New Roman" w:hAnsi="Times New Roman" w:cs="Times New Roman"/>
          <w:sz w:val="24"/>
        </w:rPr>
      </w:pPr>
    </w:p>
    <w:p w14:paraId="365BD859" w14:textId="77777777" w:rsidR="00A94733" w:rsidRPr="002520F9" w:rsidRDefault="00A94733" w:rsidP="00A94733">
      <w:pPr>
        <w:tabs>
          <w:tab w:val="left" w:pos="1701"/>
          <w:tab w:val="right" w:pos="9072"/>
        </w:tabs>
        <w:spacing w:after="0" w:line="240" w:lineRule="auto"/>
        <w:rPr>
          <w:rFonts w:ascii="Times New Roman" w:hAnsi="Times New Roman" w:cs="Times New Roman"/>
          <w:b/>
          <w:color w:val="000000" w:themeColor="text1"/>
          <w:sz w:val="24"/>
          <w:szCs w:val="24"/>
        </w:rPr>
      </w:pPr>
      <w:r w:rsidRPr="002520F9">
        <w:rPr>
          <w:rFonts w:ascii="Times New Roman" w:hAnsi="Times New Roman" w:cs="Times New Roman"/>
          <w:b/>
          <w:color w:val="000000" w:themeColor="text1"/>
          <w:sz w:val="24"/>
          <w:szCs w:val="24"/>
        </w:rPr>
        <w:t>Impact and Effect</w:t>
      </w:r>
    </w:p>
    <w:p w14:paraId="7C87A206" w14:textId="77777777" w:rsidR="009966B9" w:rsidRPr="005E2C39" w:rsidRDefault="009966B9" w:rsidP="009966B9">
      <w:pPr>
        <w:tabs>
          <w:tab w:val="right" w:pos="9072"/>
        </w:tabs>
        <w:spacing w:after="0" w:line="240" w:lineRule="auto"/>
        <w:rPr>
          <w:rFonts w:ascii="Times New Roman" w:hAnsi="Times New Roman" w:cs="Times New Roman"/>
          <w:sz w:val="24"/>
        </w:rPr>
      </w:pPr>
    </w:p>
    <w:p w14:paraId="7A5FBC42" w14:textId="77777777" w:rsidR="00F13CA2" w:rsidRDefault="005E2C39" w:rsidP="00303794">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The new paragraph inserted by this regulation, parag</w:t>
      </w:r>
      <w:r w:rsidR="000B72F5">
        <w:rPr>
          <w:rFonts w:ascii="Times New Roman" w:hAnsi="Times New Roman" w:cs="Times New Roman"/>
          <w:sz w:val="24"/>
        </w:rPr>
        <w:t xml:space="preserve">raph 109(4)(da), specifies </w:t>
      </w:r>
      <w:r w:rsidRPr="003C4F03">
        <w:rPr>
          <w:rFonts w:ascii="Times New Roman" w:hAnsi="Times New Roman" w:cs="Times New Roman"/>
          <w:sz w:val="24"/>
        </w:rPr>
        <w:t xml:space="preserve">the person who </w:t>
      </w:r>
      <w:r w:rsidR="00A94733">
        <w:rPr>
          <w:rFonts w:ascii="Times New Roman" w:hAnsi="Times New Roman" w:cs="Times New Roman"/>
          <w:sz w:val="24"/>
        </w:rPr>
        <w:t>is</w:t>
      </w:r>
      <w:r w:rsidRPr="003C4F03">
        <w:rPr>
          <w:rFonts w:ascii="Times New Roman" w:hAnsi="Times New Roman" w:cs="Times New Roman"/>
          <w:sz w:val="24"/>
        </w:rPr>
        <w:t xml:space="preserve"> liable to pay the</w:t>
      </w:r>
      <w:r>
        <w:rPr>
          <w:rFonts w:ascii="Times New Roman" w:hAnsi="Times New Roman" w:cs="Times New Roman"/>
          <w:sz w:val="24"/>
        </w:rPr>
        <w:t xml:space="preserve"> new throughput charge</w:t>
      </w:r>
      <w:r w:rsidR="008528A9" w:rsidRPr="008528A9">
        <w:rPr>
          <w:rFonts w:ascii="Times New Roman" w:hAnsi="Times New Roman" w:cs="Times New Roman"/>
          <w:sz w:val="24"/>
        </w:rPr>
        <w:t xml:space="preserve"> </w:t>
      </w:r>
      <w:r w:rsidR="00A94733">
        <w:rPr>
          <w:rFonts w:ascii="Times New Roman" w:hAnsi="Times New Roman" w:cs="Times New Roman"/>
          <w:sz w:val="24"/>
        </w:rPr>
        <w:t>imposed on the entry of information into the automated entry processing system (</w:t>
      </w:r>
      <w:r w:rsidR="008528A9" w:rsidRPr="008528A9">
        <w:rPr>
          <w:rFonts w:ascii="Times New Roman" w:hAnsi="Times New Roman" w:cs="Times New Roman"/>
          <w:sz w:val="24"/>
        </w:rPr>
        <w:t>Automatic Entry Processing for Commodities (AEP)</w:t>
      </w:r>
      <w:r w:rsidR="000B72F5">
        <w:rPr>
          <w:rFonts w:ascii="Times New Roman" w:hAnsi="Times New Roman" w:cs="Times New Roman"/>
          <w:sz w:val="24"/>
        </w:rPr>
        <w:t>) about goods to be brought</w:t>
      </w:r>
      <w:r w:rsidR="00A94733">
        <w:rPr>
          <w:rFonts w:ascii="Times New Roman" w:hAnsi="Times New Roman" w:cs="Times New Roman"/>
          <w:sz w:val="24"/>
        </w:rPr>
        <w:t xml:space="preserve"> or imported into Australian territory</w:t>
      </w:r>
      <w:r w:rsidR="008528A9" w:rsidRPr="008528A9">
        <w:rPr>
          <w:rFonts w:ascii="Times New Roman" w:hAnsi="Times New Roman" w:cs="Times New Roman"/>
          <w:sz w:val="24"/>
        </w:rPr>
        <w:t>.</w:t>
      </w:r>
      <w:r>
        <w:rPr>
          <w:rFonts w:ascii="Times New Roman" w:hAnsi="Times New Roman" w:cs="Times New Roman"/>
          <w:sz w:val="24"/>
        </w:rPr>
        <w:t xml:space="preserve"> </w:t>
      </w:r>
    </w:p>
    <w:p w14:paraId="45C62863" w14:textId="77777777" w:rsidR="00F13CA2" w:rsidRDefault="00F13CA2" w:rsidP="00303794">
      <w:pPr>
        <w:tabs>
          <w:tab w:val="left" w:pos="1701"/>
          <w:tab w:val="right" w:pos="9072"/>
        </w:tabs>
        <w:spacing w:after="0" w:line="240" w:lineRule="auto"/>
        <w:rPr>
          <w:rFonts w:ascii="Times New Roman" w:hAnsi="Times New Roman" w:cs="Times New Roman"/>
          <w:sz w:val="24"/>
        </w:rPr>
      </w:pPr>
    </w:p>
    <w:p w14:paraId="5E0833E8" w14:textId="77777777" w:rsidR="005E2C39" w:rsidRDefault="00A94733" w:rsidP="00303794">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Specifically, t</w:t>
      </w:r>
      <w:r w:rsidR="0036102F">
        <w:rPr>
          <w:rFonts w:ascii="Times New Roman" w:hAnsi="Times New Roman" w:cs="Times New Roman"/>
          <w:sz w:val="24"/>
        </w:rPr>
        <w:t xml:space="preserve">he </w:t>
      </w:r>
      <w:r>
        <w:rPr>
          <w:rFonts w:ascii="Times New Roman" w:hAnsi="Times New Roman" w:cs="Times New Roman"/>
          <w:sz w:val="24"/>
        </w:rPr>
        <w:t>paragraph provides</w:t>
      </w:r>
      <w:r w:rsidR="0036102F">
        <w:rPr>
          <w:rFonts w:ascii="Times New Roman" w:hAnsi="Times New Roman" w:cs="Times New Roman"/>
          <w:sz w:val="24"/>
        </w:rPr>
        <w:t xml:space="preserve"> that </w:t>
      </w:r>
      <w:r w:rsidR="005E2C39" w:rsidRPr="003C4F03">
        <w:rPr>
          <w:rFonts w:ascii="Times New Roman" w:hAnsi="Times New Roman" w:cs="Times New Roman"/>
          <w:sz w:val="24"/>
        </w:rPr>
        <w:t xml:space="preserve">the person </w:t>
      </w:r>
      <w:r w:rsidR="0036102F">
        <w:rPr>
          <w:rFonts w:ascii="Times New Roman" w:hAnsi="Times New Roman" w:cs="Times New Roman"/>
          <w:sz w:val="24"/>
        </w:rPr>
        <w:t xml:space="preserve">liable to pay the charge is the person who is </w:t>
      </w:r>
      <w:r w:rsidR="005E2C39" w:rsidRPr="003C4F03">
        <w:rPr>
          <w:rFonts w:ascii="Times New Roman" w:hAnsi="Times New Roman" w:cs="Times New Roman"/>
          <w:sz w:val="24"/>
        </w:rPr>
        <w:t xml:space="preserve">covered </w:t>
      </w:r>
      <w:bookmarkStart w:id="0" w:name="_GoBack"/>
      <w:bookmarkEnd w:id="0"/>
      <w:r w:rsidR="005E2C39" w:rsidRPr="003C4F03">
        <w:rPr>
          <w:rFonts w:ascii="Times New Roman" w:hAnsi="Times New Roman" w:cs="Times New Roman"/>
          <w:sz w:val="24"/>
        </w:rPr>
        <w:t>by an approved arrangement who made the entry of information to which the charge relates.</w:t>
      </w:r>
      <w:r w:rsidR="005E2C39">
        <w:rPr>
          <w:rFonts w:ascii="Times New Roman" w:hAnsi="Times New Roman" w:cs="Times New Roman"/>
          <w:sz w:val="24"/>
        </w:rPr>
        <w:t xml:space="preserve"> This will ordinarily be the registered AEP broker operating the biosecurity approved arrangement </w:t>
      </w:r>
      <w:r w:rsidR="008528A9">
        <w:rPr>
          <w:rFonts w:ascii="Times New Roman" w:hAnsi="Times New Roman" w:cs="Times New Roman"/>
          <w:sz w:val="24"/>
        </w:rPr>
        <w:t>under the AEP scheme.</w:t>
      </w:r>
    </w:p>
    <w:p w14:paraId="7BBC323B" w14:textId="77777777" w:rsidR="00A94733" w:rsidRDefault="00A94733" w:rsidP="00303794">
      <w:pPr>
        <w:tabs>
          <w:tab w:val="left" w:pos="1701"/>
          <w:tab w:val="right" w:pos="9072"/>
        </w:tabs>
        <w:spacing w:after="0" w:line="240" w:lineRule="auto"/>
        <w:rPr>
          <w:rFonts w:ascii="Times New Roman" w:hAnsi="Times New Roman" w:cs="Times New Roman"/>
          <w:sz w:val="24"/>
        </w:rPr>
      </w:pPr>
    </w:p>
    <w:p w14:paraId="7DDFF14C" w14:textId="77777777" w:rsidR="00A94733" w:rsidRDefault="00A94733" w:rsidP="00A94733">
      <w:pPr>
        <w:tabs>
          <w:tab w:val="right" w:pos="9072"/>
        </w:tabs>
        <w:spacing w:after="0" w:line="240" w:lineRule="auto"/>
        <w:rPr>
          <w:rFonts w:ascii="Times New Roman" w:hAnsi="Times New Roman" w:cs="Times New Roman"/>
          <w:sz w:val="24"/>
        </w:rPr>
      </w:pPr>
      <w:r w:rsidRPr="005E2C39">
        <w:rPr>
          <w:rFonts w:ascii="Times New Roman" w:hAnsi="Times New Roman" w:cs="Times New Roman"/>
          <w:sz w:val="24"/>
        </w:rPr>
        <w:t>Depending on the charge and the relevant biosecurity matter to which it relates, the person who is liable to pay a charge may include the owner of goods, the person making an application, the person who is covered by an approved arrangement, or the operator of a vessel.</w:t>
      </w:r>
    </w:p>
    <w:p w14:paraId="1338F828" w14:textId="77777777" w:rsidR="00F13CA2" w:rsidRDefault="00F13CA2" w:rsidP="005D1ABF">
      <w:pPr>
        <w:tabs>
          <w:tab w:val="right" w:pos="9072"/>
        </w:tabs>
        <w:spacing w:after="0" w:line="240" w:lineRule="auto"/>
        <w:rPr>
          <w:rFonts w:ascii="Times New Roman" w:eastAsia="Times New Roman" w:hAnsi="Times New Roman" w:cs="Times New Roman"/>
          <w:sz w:val="24"/>
          <w:szCs w:val="24"/>
          <w:lang w:eastAsia="en-AU"/>
        </w:rPr>
      </w:pPr>
    </w:p>
    <w:p w14:paraId="0B94E0A4" w14:textId="6453AD56" w:rsidR="002B1DB3" w:rsidRDefault="00F13CA2" w:rsidP="005D1ABF">
      <w:pPr>
        <w:tabs>
          <w:tab w:val="right" w:pos="90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en-AU"/>
        </w:rPr>
        <w:t>A</w:t>
      </w:r>
      <w:r w:rsidRPr="00F13CA2">
        <w:rPr>
          <w:rFonts w:ascii="Times New Roman" w:eastAsia="Times New Roman" w:hAnsi="Times New Roman" w:cs="Times New Roman"/>
          <w:sz w:val="24"/>
          <w:szCs w:val="24"/>
          <w:lang w:eastAsia="en-AU"/>
        </w:rPr>
        <w:t xml:space="preserve">n agent of a person who is liable to pay a cost-recovery charge under this section is jointly and severally liable with that person to pay the charge </w:t>
      </w:r>
      <w:r w:rsidRPr="00F13CA2">
        <w:rPr>
          <w:rFonts w:ascii="Times New Roman" w:eastAsia="Times New Roman" w:hAnsi="Times New Roman" w:cs="Times New Roman"/>
          <w:sz w:val="24"/>
          <w:szCs w:val="24"/>
        </w:rPr>
        <w:t xml:space="preserve">as specified in section </w:t>
      </w:r>
      <w:r w:rsidR="009E336D">
        <w:rPr>
          <w:rFonts w:ascii="Times New Roman" w:eastAsia="Times New Roman" w:hAnsi="Times New Roman" w:cs="Times New Roman"/>
          <w:sz w:val="24"/>
          <w:szCs w:val="24"/>
        </w:rPr>
        <w:t>112</w:t>
      </w:r>
      <w:r w:rsidRPr="00F13CA2">
        <w:rPr>
          <w:rFonts w:ascii="Times New Roman" w:eastAsia="Times New Roman" w:hAnsi="Times New Roman" w:cs="Times New Roman"/>
          <w:sz w:val="24"/>
          <w:szCs w:val="24"/>
        </w:rPr>
        <w:t xml:space="preserve"> of the Biosecurity Regulation.</w:t>
      </w:r>
    </w:p>
    <w:p w14:paraId="697A9957" w14:textId="77777777" w:rsidR="00A94733" w:rsidRPr="00E76AB5" w:rsidRDefault="00A94733" w:rsidP="005D1ABF">
      <w:pPr>
        <w:tabs>
          <w:tab w:val="right" w:pos="9072"/>
        </w:tabs>
        <w:spacing w:after="0" w:line="240" w:lineRule="auto"/>
        <w:rPr>
          <w:rFonts w:ascii="Times New Roman" w:hAnsi="Times New Roman" w:cs="Times New Roman"/>
          <w:color w:val="FF0000"/>
          <w:sz w:val="24"/>
          <w:szCs w:val="24"/>
        </w:rPr>
      </w:pPr>
    </w:p>
    <w:p w14:paraId="1F598D6D" w14:textId="77777777" w:rsidR="00A94733" w:rsidRDefault="00A94733" w:rsidP="00A94733">
      <w:pPr>
        <w:tabs>
          <w:tab w:val="right" w:pos="9072"/>
        </w:tabs>
        <w:spacing w:after="0" w:line="240" w:lineRule="auto"/>
        <w:rPr>
          <w:rFonts w:ascii="Times New Roman" w:hAnsi="Times New Roman" w:cs="Times New Roman"/>
          <w:sz w:val="24"/>
        </w:rPr>
      </w:pPr>
      <w:r w:rsidRPr="00FE68B0">
        <w:rPr>
          <w:rFonts w:ascii="Times New Roman" w:hAnsi="Times New Roman" w:cs="Times New Roman"/>
          <w:sz w:val="24"/>
        </w:rPr>
        <w:t>It is necessary to prescribe the person who is liable to pay each of the charges so that the relevant charge is attributed appropriately</w:t>
      </w:r>
      <w:r>
        <w:rPr>
          <w:rFonts w:ascii="Times New Roman" w:hAnsi="Times New Roman" w:cs="Times New Roman"/>
          <w:sz w:val="24"/>
        </w:rPr>
        <w:t>, allowing</w:t>
      </w:r>
      <w:r w:rsidRPr="00FE68B0">
        <w:rPr>
          <w:rFonts w:ascii="Times New Roman" w:hAnsi="Times New Roman" w:cs="Times New Roman"/>
          <w:sz w:val="24"/>
        </w:rPr>
        <w:t xml:space="preserve"> costs associated with the relevant activities carried out </w:t>
      </w:r>
      <w:r>
        <w:rPr>
          <w:rFonts w:ascii="Times New Roman" w:hAnsi="Times New Roman" w:cs="Times New Roman"/>
          <w:sz w:val="24"/>
        </w:rPr>
        <w:t>by the department to</w:t>
      </w:r>
      <w:r w:rsidRPr="00FE68B0">
        <w:rPr>
          <w:rFonts w:ascii="Times New Roman" w:hAnsi="Times New Roman" w:cs="Times New Roman"/>
          <w:sz w:val="24"/>
        </w:rPr>
        <w:t xml:space="preserve"> be recovered</w:t>
      </w:r>
      <w:r>
        <w:rPr>
          <w:rFonts w:ascii="Times New Roman" w:hAnsi="Times New Roman" w:cs="Times New Roman"/>
          <w:sz w:val="24"/>
        </w:rPr>
        <w:t xml:space="preserve"> effectively</w:t>
      </w:r>
      <w:r w:rsidRPr="00FE68B0">
        <w:rPr>
          <w:rFonts w:ascii="Times New Roman" w:hAnsi="Times New Roman" w:cs="Times New Roman"/>
          <w:sz w:val="24"/>
        </w:rPr>
        <w:t>.</w:t>
      </w:r>
    </w:p>
    <w:p w14:paraId="49935AE0" w14:textId="77777777" w:rsidR="002B1DB3" w:rsidRPr="00E76AB5" w:rsidRDefault="002B1DB3" w:rsidP="005D1ABF">
      <w:pPr>
        <w:tabs>
          <w:tab w:val="right" w:pos="9072"/>
        </w:tabs>
        <w:spacing w:after="0" w:line="240" w:lineRule="auto"/>
        <w:rPr>
          <w:rFonts w:ascii="Times New Roman" w:hAnsi="Times New Roman" w:cs="Times New Roman"/>
          <w:color w:val="FF0000"/>
          <w:sz w:val="24"/>
          <w:szCs w:val="24"/>
        </w:rPr>
      </w:pPr>
    </w:p>
    <w:p w14:paraId="351219C5" w14:textId="77777777" w:rsidR="002B1DB3" w:rsidRPr="002520F9" w:rsidRDefault="002B1DB3" w:rsidP="005D1ABF">
      <w:pPr>
        <w:tabs>
          <w:tab w:val="left" w:pos="1701"/>
          <w:tab w:val="right" w:pos="9072"/>
        </w:tabs>
        <w:spacing w:after="0" w:line="240" w:lineRule="auto"/>
        <w:rPr>
          <w:rFonts w:ascii="Times New Roman" w:hAnsi="Times New Roman" w:cs="Times New Roman"/>
          <w:b/>
          <w:color w:val="000000" w:themeColor="text1"/>
          <w:sz w:val="24"/>
          <w:szCs w:val="24"/>
        </w:rPr>
      </w:pPr>
      <w:r w:rsidRPr="002520F9">
        <w:rPr>
          <w:rFonts w:ascii="Times New Roman" w:hAnsi="Times New Roman" w:cs="Times New Roman"/>
          <w:b/>
          <w:color w:val="000000" w:themeColor="text1"/>
          <w:sz w:val="24"/>
          <w:szCs w:val="24"/>
        </w:rPr>
        <w:t>Consultation</w:t>
      </w:r>
    </w:p>
    <w:p w14:paraId="12735E9B" w14:textId="77777777" w:rsidR="00303794" w:rsidRPr="00E76AB5" w:rsidRDefault="00303794" w:rsidP="005D1ABF">
      <w:pPr>
        <w:tabs>
          <w:tab w:val="left" w:pos="1701"/>
          <w:tab w:val="right" w:pos="9072"/>
        </w:tabs>
        <w:spacing w:after="0" w:line="240" w:lineRule="auto"/>
        <w:rPr>
          <w:rFonts w:ascii="Times New Roman" w:hAnsi="Times New Roman" w:cs="Times New Roman"/>
          <w:color w:val="FF0000"/>
          <w:sz w:val="24"/>
          <w:szCs w:val="24"/>
        </w:rPr>
      </w:pPr>
    </w:p>
    <w:p w14:paraId="6F011116" w14:textId="083E6E86" w:rsidR="00303794" w:rsidRDefault="00303794" w:rsidP="00303794">
      <w:pPr>
        <w:tabs>
          <w:tab w:val="left" w:pos="1701"/>
          <w:tab w:val="right" w:pos="9072"/>
        </w:tabs>
        <w:spacing w:after="0" w:line="240" w:lineRule="auto"/>
        <w:rPr>
          <w:rFonts w:ascii="Times New Roman" w:hAnsi="Times New Roman" w:cs="Times New Roman"/>
          <w:color w:val="000000" w:themeColor="text1"/>
          <w:sz w:val="24"/>
        </w:rPr>
      </w:pPr>
      <w:r w:rsidRPr="00CE5A20">
        <w:rPr>
          <w:rFonts w:ascii="Times New Roman" w:hAnsi="Times New Roman" w:cs="Times New Roman"/>
          <w:color w:val="000000" w:themeColor="text1"/>
          <w:sz w:val="24"/>
        </w:rPr>
        <w:t>Consultation with relevant departmental industry committees occurred from January 2017 to March 2018. Public consultation occurred from November 2017 to January 2018.</w:t>
      </w:r>
      <w:r w:rsidR="006A3C43">
        <w:rPr>
          <w:rFonts w:ascii="Times New Roman" w:hAnsi="Times New Roman" w:cs="Times New Roman"/>
          <w:color w:val="000000" w:themeColor="text1"/>
          <w:sz w:val="24"/>
        </w:rPr>
        <w:t xml:space="preserve"> </w:t>
      </w:r>
      <w:r w:rsidR="006A3C43" w:rsidRPr="006A3C43">
        <w:rPr>
          <w:rFonts w:ascii="Times New Roman" w:hAnsi="Times New Roman" w:cs="Times New Roman"/>
          <w:color w:val="000000" w:themeColor="text1"/>
          <w:sz w:val="24"/>
        </w:rPr>
        <w:t>The general theme of responses from stakeholders was that the proposed charging mechanism provided a balanced approach to cost recovery for approved arrangements. The use of the $18 per entry throughput charge was seen by stakeholders as a more suitable way of recovering the costs of the AEP scheme from the participating brokers.</w:t>
      </w:r>
    </w:p>
    <w:p w14:paraId="5B2E08CF" w14:textId="77777777" w:rsidR="006A3C43" w:rsidRDefault="006A3C43" w:rsidP="00303794">
      <w:pPr>
        <w:tabs>
          <w:tab w:val="left" w:pos="1701"/>
          <w:tab w:val="right" w:pos="9072"/>
        </w:tabs>
        <w:spacing w:after="0" w:line="240" w:lineRule="auto"/>
        <w:rPr>
          <w:rFonts w:ascii="Times New Roman" w:hAnsi="Times New Roman" w:cs="Times New Roman"/>
          <w:color w:val="000000" w:themeColor="text1"/>
          <w:sz w:val="24"/>
        </w:rPr>
      </w:pPr>
    </w:p>
    <w:p w14:paraId="1014C970" w14:textId="77777777" w:rsidR="006A3C43" w:rsidRPr="00CE5A20" w:rsidRDefault="006A3C43" w:rsidP="00303794">
      <w:pPr>
        <w:tabs>
          <w:tab w:val="left" w:pos="1701"/>
          <w:tab w:val="right" w:pos="9072"/>
        </w:tabs>
        <w:spacing w:after="0" w:line="240" w:lineRule="auto"/>
        <w:rPr>
          <w:rFonts w:ascii="Times New Roman" w:hAnsi="Times New Roman" w:cs="Times New Roman"/>
          <w:color w:val="000000" w:themeColor="text1"/>
          <w:sz w:val="24"/>
        </w:rPr>
      </w:pPr>
    </w:p>
    <w:p w14:paraId="16F95C5A" w14:textId="77777777" w:rsidR="002B1DB3" w:rsidRPr="005D1ABF" w:rsidRDefault="002B1DB3" w:rsidP="005D1ABF">
      <w:pPr>
        <w:tabs>
          <w:tab w:val="right" w:pos="9072"/>
        </w:tabs>
        <w:spacing w:after="0" w:line="240" w:lineRule="auto"/>
        <w:rPr>
          <w:rFonts w:ascii="Times New Roman" w:hAnsi="Times New Roman" w:cs="Times New Roman"/>
          <w:sz w:val="24"/>
          <w:szCs w:val="24"/>
        </w:rPr>
      </w:pPr>
    </w:p>
    <w:p w14:paraId="775896C6" w14:textId="77777777" w:rsidR="00E76AB5" w:rsidRPr="002520F9" w:rsidRDefault="00E76AB5" w:rsidP="00E76AB5">
      <w:pPr>
        <w:tabs>
          <w:tab w:val="left" w:pos="1701"/>
          <w:tab w:val="right" w:pos="9072"/>
        </w:tabs>
        <w:spacing w:after="0" w:line="240" w:lineRule="auto"/>
        <w:rPr>
          <w:rFonts w:ascii="Times New Roman" w:hAnsi="Times New Roman" w:cs="Times New Roman"/>
          <w:b/>
          <w:color w:val="000000" w:themeColor="text1"/>
          <w:sz w:val="24"/>
        </w:rPr>
      </w:pPr>
      <w:r w:rsidRPr="002520F9">
        <w:rPr>
          <w:rFonts w:ascii="Times New Roman" w:hAnsi="Times New Roman" w:cs="Times New Roman"/>
          <w:b/>
          <w:color w:val="000000" w:themeColor="text1"/>
          <w:sz w:val="24"/>
        </w:rPr>
        <w:lastRenderedPageBreak/>
        <w:t>Details/ Operation</w:t>
      </w:r>
    </w:p>
    <w:p w14:paraId="1C9D1EF8" w14:textId="77777777" w:rsidR="00E76AB5" w:rsidRPr="0034135E" w:rsidRDefault="00E76AB5" w:rsidP="00E76AB5">
      <w:pPr>
        <w:tabs>
          <w:tab w:val="left" w:pos="1701"/>
          <w:tab w:val="right" w:pos="9072"/>
        </w:tabs>
        <w:spacing w:after="0" w:line="240" w:lineRule="auto"/>
        <w:rPr>
          <w:rFonts w:ascii="Times New Roman" w:hAnsi="Times New Roman" w:cs="Times New Roman"/>
          <w:color w:val="FF0000"/>
          <w:sz w:val="24"/>
        </w:rPr>
      </w:pPr>
    </w:p>
    <w:p w14:paraId="52B9DF71" w14:textId="77777777" w:rsidR="00E76AB5" w:rsidRDefault="00E76AB5" w:rsidP="00E76AB5">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Details of the </w:t>
      </w:r>
      <w:r w:rsidR="0050168F">
        <w:rPr>
          <w:rFonts w:ascii="Times New Roman" w:hAnsi="Times New Roman" w:cs="Times New Roman"/>
          <w:sz w:val="24"/>
        </w:rPr>
        <w:t xml:space="preserve">instrument </w:t>
      </w:r>
      <w:r>
        <w:rPr>
          <w:rFonts w:ascii="Times New Roman" w:hAnsi="Times New Roman" w:cs="Times New Roman"/>
          <w:sz w:val="24"/>
        </w:rPr>
        <w:t xml:space="preserve">are set out in the </w:t>
      </w:r>
      <w:r w:rsidRPr="00F7142F">
        <w:rPr>
          <w:rFonts w:ascii="Times New Roman" w:hAnsi="Times New Roman" w:cs="Times New Roman"/>
          <w:sz w:val="24"/>
          <w:u w:val="single"/>
        </w:rPr>
        <w:t>Attachment</w:t>
      </w:r>
      <w:r>
        <w:rPr>
          <w:rFonts w:ascii="Times New Roman" w:hAnsi="Times New Roman" w:cs="Times New Roman"/>
          <w:sz w:val="24"/>
          <w:u w:val="single"/>
        </w:rPr>
        <w:t xml:space="preserve"> A</w:t>
      </w:r>
      <w:r w:rsidRPr="00F7142F">
        <w:rPr>
          <w:rFonts w:ascii="Times New Roman" w:hAnsi="Times New Roman" w:cs="Times New Roman"/>
          <w:sz w:val="24"/>
        </w:rPr>
        <w:t>.</w:t>
      </w:r>
    </w:p>
    <w:p w14:paraId="68D2A8E1" w14:textId="77777777" w:rsidR="002520F9" w:rsidRDefault="002520F9" w:rsidP="005D1ABF">
      <w:pPr>
        <w:tabs>
          <w:tab w:val="left" w:pos="1701"/>
          <w:tab w:val="right" w:pos="9072"/>
        </w:tabs>
        <w:spacing w:after="0" w:line="240" w:lineRule="auto"/>
        <w:rPr>
          <w:rFonts w:ascii="Times New Roman" w:hAnsi="Times New Roman" w:cs="Times New Roman"/>
          <w:b/>
          <w:color w:val="000000" w:themeColor="text1"/>
          <w:sz w:val="24"/>
          <w:szCs w:val="24"/>
        </w:rPr>
      </w:pPr>
    </w:p>
    <w:p w14:paraId="74A5AC28" w14:textId="77777777" w:rsidR="00E76AB5" w:rsidRDefault="00E76AB5" w:rsidP="005D1ABF">
      <w:pPr>
        <w:tabs>
          <w:tab w:val="left" w:pos="1701"/>
          <w:tab w:val="right" w:pos="9072"/>
        </w:tabs>
        <w:spacing w:after="0" w:line="240" w:lineRule="auto"/>
        <w:rPr>
          <w:rFonts w:ascii="Times New Roman" w:hAnsi="Times New Roman" w:cs="Times New Roman"/>
          <w:b/>
          <w:color w:val="000000" w:themeColor="text1"/>
          <w:sz w:val="24"/>
          <w:szCs w:val="24"/>
        </w:rPr>
      </w:pPr>
      <w:r w:rsidRPr="002520F9">
        <w:rPr>
          <w:rFonts w:ascii="Times New Roman" w:hAnsi="Times New Roman" w:cs="Times New Roman"/>
          <w:b/>
          <w:color w:val="000000" w:themeColor="text1"/>
          <w:sz w:val="24"/>
          <w:szCs w:val="24"/>
        </w:rPr>
        <w:t>Other</w:t>
      </w:r>
    </w:p>
    <w:p w14:paraId="12CA745E" w14:textId="77777777" w:rsidR="00987386" w:rsidRPr="002520F9" w:rsidRDefault="00987386" w:rsidP="005D1ABF">
      <w:pPr>
        <w:tabs>
          <w:tab w:val="left" w:pos="1701"/>
          <w:tab w:val="right" w:pos="9072"/>
        </w:tabs>
        <w:spacing w:after="0" w:line="240" w:lineRule="auto"/>
        <w:rPr>
          <w:rFonts w:ascii="Times New Roman" w:hAnsi="Times New Roman" w:cs="Times New Roman"/>
          <w:b/>
          <w:color w:val="000000" w:themeColor="text1"/>
          <w:sz w:val="24"/>
          <w:szCs w:val="24"/>
        </w:rPr>
      </w:pPr>
    </w:p>
    <w:p w14:paraId="7BDEFB1C" w14:textId="77777777" w:rsidR="00E76AB5" w:rsidRPr="00303794" w:rsidRDefault="00E76AB5" w:rsidP="00E76AB5">
      <w:pPr>
        <w:tabs>
          <w:tab w:val="left" w:pos="1701"/>
          <w:tab w:val="right" w:pos="9072"/>
        </w:tabs>
        <w:spacing w:after="0" w:line="240" w:lineRule="auto"/>
        <w:rPr>
          <w:rFonts w:ascii="Times New Roman" w:hAnsi="Times New Roman" w:cs="Times New Roman"/>
          <w:color w:val="000000" w:themeColor="text1"/>
          <w:sz w:val="24"/>
          <w:szCs w:val="24"/>
        </w:rPr>
      </w:pPr>
      <w:r w:rsidRPr="00303794">
        <w:rPr>
          <w:rFonts w:ascii="Times New Roman" w:hAnsi="Times New Roman" w:cs="Times New Roman"/>
          <w:color w:val="000000" w:themeColor="text1"/>
          <w:sz w:val="24"/>
          <w:szCs w:val="24"/>
        </w:rPr>
        <w:t xml:space="preserve">The </w:t>
      </w:r>
      <w:r w:rsidR="00A94733">
        <w:rPr>
          <w:rFonts w:ascii="Times New Roman" w:hAnsi="Times New Roman" w:cs="Times New Roman"/>
          <w:color w:val="000000" w:themeColor="text1"/>
          <w:sz w:val="24"/>
          <w:szCs w:val="24"/>
        </w:rPr>
        <w:t xml:space="preserve">Amendment </w:t>
      </w:r>
      <w:r w:rsidR="00303794" w:rsidRPr="00303794">
        <w:rPr>
          <w:rFonts w:ascii="Times New Roman" w:hAnsi="Times New Roman" w:cs="Times New Roman"/>
          <w:color w:val="000000" w:themeColor="text1"/>
          <w:sz w:val="24"/>
          <w:szCs w:val="24"/>
        </w:rPr>
        <w:t>Regulation</w:t>
      </w:r>
      <w:r w:rsidR="00A94733">
        <w:rPr>
          <w:rFonts w:ascii="Times New Roman" w:hAnsi="Times New Roman" w:cs="Times New Roman"/>
          <w:color w:val="000000" w:themeColor="text1"/>
          <w:sz w:val="24"/>
          <w:szCs w:val="24"/>
        </w:rPr>
        <w:t>s are</w:t>
      </w:r>
      <w:r w:rsidRPr="00303794">
        <w:rPr>
          <w:rFonts w:ascii="Times New Roman" w:hAnsi="Times New Roman" w:cs="Times New Roman"/>
          <w:color w:val="000000" w:themeColor="text1"/>
          <w:sz w:val="24"/>
          <w:szCs w:val="24"/>
        </w:rPr>
        <w:t xml:space="preserve"> compatib</w:t>
      </w:r>
      <w:r w:rsidR="00A94733">
        <w:rPr>
          <w:rFonts w:ascii="Times New Roman" w:hAnsi="Times New Roman" w:cs="Times New Roman"/>
          <w:color w:val="000000" w:themeColor="text1"/>
          <w:sz w:val="24"/>
          <w:szCs w:val="24"/>
        </w:rPr>
        <w:t>le</w:t>
      </w:r>
      <w:r w:rsidRPr="00303794">
        <w:rPr>
          <w:rFonts w:ascii="Times New Roman" w:hAnsi="Times New Roman" w:cs="Times New Roman"/>
          <w:color w:val="000000" w:themeColor="text1"/>
          <w:sz w:val="24"/>
          <w:szCs w:val="24"/>
        </w:rPr>
        <w:t xml:space="preserve"> with the human rights and freedoms recognised or declared under section 3 of the </w:t>
      </w:r>
      <w:r w:rsidRPr="00303794">
        <w:rPr>
          <w:rFonts w:ascii="Times New Roman" w:hAnsi="Times New Roman" w:cs="Times New Roman"/>
          <w:i/>
          <w:color w:val="000000" w:themeColor="text1"/>
          <w:sz w:val="24"/>
          <w:szCs w:val="24"/>
        </w:rPr>
        <w:t>Human Rights (Parliamentary Scrutiny) Act 2011.</w:t>
      </w:r>
      <w:r w:rsidRPr="00303794">
        <w:rPr>
          <w:rFonts w:ascii="Times New Roman" w:hAnsi="Times New Roman" w:cs="Times New Roman"/>
          <w:color w:val="000000" w:themeColor="text1"/>
          <w:sz w:val="24"/>
          <w:szCs w:val="24"/>
        </w:rPr>
        <w:t xml:space="preserve"> A full statement of compatibility is set out in </w:t>
      </w:r>
      <w:r w:rsidRPr="00303794">
        <w:rPr>
          <w:rFonts w:ascii="Times New Roman" w:hAnsi="Times New Roman" w:cs="Times New Roman"/>
          <w:color w:val="000000" w:themeColor="text1"/>
          <w:sz w:val="24"/>
          <w:szCs w:val="24"/>
          <w:u w:val="single"/>
        </w:rPr>
        <w:t>Attachment B</w:t>
      </w:r>
      <w:r w:rsidRPr="00303794">
        <w:rPr>
          <w:rFonts w:ascii="Times New Roman" w:hAnsi="Times New Roman" w:cs="Times New Roman"/>
          <w:color w:val="000000" w:themeColor="text1"/>
          <w:sz w:val="24"/>
          <w:szCs w:val="24"/>
        </w:rPr>
        <w:t>.</w:t>
      </w:r>
    </w:p>
    <w:p w14:paraId="34544D85" w14:textId="77777777" w:rsidR="00E76AB5" w:rsidRPr="00303794" w:rsidRDefault="00E76AB5" w:rsidP="00E76AB5">
      <w:pPr>
        <w:tabs>
          <w:tab w:val="left" w:pos="1701"/>
          <w:tab w:val="right" w:pos="9072"/>
        </w:tabs>
        <w:spacing w:after="0" w:line="240" w:lineRule="auto"/>
        <w:rPr>
          <w:rFonts w:ascii="Times New Roman" w:hAnsi="Times New Roman" w:cs="Times New Roman"/>
          <w:color w:val="000000" w:themeColor="text1"/>
          <w:sz w:val="24"/>
          <w:szCs w:val="24"/>
        </w:rPr>
      </w:pPr>
    </w:p>
    <w:p w14:paraId="212EB3F8" w14:textId="77777777" w:rsidR="00203AAB" w:rsidRPr="00303794" w:rsidRDefault="00203AAB" w:rsidP="00E76AB5">
      <w:pPr>
        <w:tabs>
          <w:tab w:val="left" w:pos="1701"/>
          <w:tab w:val="right" w:pos="9072"/>
        </w:tabs>
        <w:spacing w:after="0" w:line="240" w:lineRule="auto"/>
        <w:rPr>
          <w:rFonts w:ascii="Times New Roman" w:hAnsi="Times New Roman" w:cs="Times New Roman"/>
          <w:color w:val="000000" w:themeColor="text1"/>
          <w:sz w:val="24"/>
          <w:szCs w:val="24"/>
        </w:rPr>
      </w:pPr>
      <w:r w:rsidRPr="00303794">
        <w:rPr>
          <w:rFonts w:ascii="Times New Roman" w:hAnsi="Times New Roman" w:cs="Times New Roman"/>
          <w:color w:val="000000" w:themeColor="text1"/>
          <w:sz w:val="24"/>
          <w:szCs w:val="24"/>
        </w:rPr>
        <w:t xml:space="preserve">The </w:t>
      </w:r>
      <w:r w:rsidR="00A94733">
        <w:rPr>
          <w:rFonts w:ascii="Times New Roman" w:hAnsi="Times New Roman" w:cs="Times New Roman"/>
          <w:color w:val="000000" w:themeColor="text1"/>
          <w:sz w:val="24"/>
          <w:szCs w:val="24"/>
        </w:rPr>
        <w:t xml:space="preserve">Amendment </w:t>
      </w:r>
      <w:r w:rsidRPr="00303794">
        <w:rPr>
          <w:rFonts w:ascii="Times New Roman" w:hAnsi="Times New Roman" w:cs="Times New Roman"/>
          <w:color w:val="000000" w:themeColor="text1"/>
          <w:sz w:val="24"/>
          <w:szCs w:val="24"/>
        </w:rPr>
        <w:t>Regulation</w:t>
      </w:r>
      <w:r w:rsidR="00A94733">
        <w:rPr>
          <w:rFonts w:ascii="Times New Roman" w:hAnsi="Times New Roman" w:cs="Times New Roman"/>
          <w:color w:val="000000" w:themeColor="text1"/>
          <w:sz w:val="24"/>
          <w:szCs w:val="24"/>
        </w:rPr>
        <w:t>s</w:t>
      </w:r>
      <w:r w:rsidRPr="00303794">
        <w:rPr>
          <w:rFonts w:ascii="Times New Roman" w:hAnsi="Times New Roman" w:cs="Times New Roman"/>
          <w:color w:val="000000" w:themeColor="text1"/>
          <w:sz w:val="24"/>
          <w:szCs w:val="24"/>
        </w:rPr>
        <w:t xml:space="preserve"> </w:t>
      </w:r>
      <w:r w:rsidR="00A94733">
        <w:rPr>
          <w:rFonts w:ascii="Times New Roman" w:hAnsi="Times New Roman" w:cs="Times New Roman"/>
          <w:color w:val="000000" w:themeColor="text1"/>
          <w:sz w:val="24"/>
          <w:szCs w:val="24"/>
        </w:rPr>
        <w:t>are</w:t>
      </w:r>
      <w:r w:rsidR="00D45E13" w:rsidRPr="00303794">
        <w:rPr>
          <w:rFonts w:ascii="Times New Roman" w:hAnsi="Times New Roman" w:cs="Times New Roman"/>
          <w:color w:val="000000" w:themeColor="text1"/>
          <w:sz w:val="24"/>
          <w:szCs w:val="24"/>
        </w:rPr>
        <w:t xml:space="preserve"> </w:t>
      </w:r>
      <w:r w:rsidRPr="00303794">
        <w:rPr>
          <w:rFonts w:ascii="Times New Roman" w:hAnsi="Times New Roman" w:cs="Times New Roman"/>
          <w:color w:val="000000" w:themeColor="text1"/>
          <w:sz w:val="24"/>
          <w:szCs w:val="24"/>
        </w:rPr>
        <w:t xml:space="preserve">a legislative instrument for the purposes of the </w:t>
      </w:r>
      <w:r w:rsidR="000645AB" w:rsidRPr="00303794">
        <w:rPr>
          <w:rFonts w:ascii="Times New Roman" w:hAnsi="Times New Roman" w:cs="Times New Roman"/>
          <w:i/>
          <w:color w:val="000000" w:themeColor="text1"/>
          <w:sz w:val="24"/>
          <w:szCs w:val="24"/>
        </w:rPr>
        <w:t xml:space="preserve">Legislation </w:t>
      </w:r>
      <w:r w:rsidRPr="00303794">
        <w:rPr>
          <w:rFonts w:ascii="Times New Roman" w:hAnsi="Times New Roman" w:cs="Times New Roman"/>
          <w:i/>
          <w:color w:val="000000" w:themeColor="text1"/>
          <w:sz w:val="24"/>
          <w:szCs w:val="24"/>
        </w:rPr>
        <w:t>Act 2003</w:t>
      </w:r>
      <w:r w:rsidRPr="00303794">
        <w:rPr>
          <w:rFonts w:ascii="Times New Roman" w:hAnsi="Times New Roman" w:cs="Times New Roman"/>
          <w:color w:val="000000" w:themeColor="text1"/>
          <w:sz w:val="24"/>
          <w:szCs w:val="24"/>
        </w:rPr>
        <w:t>.</w:t>
      </w:r>
    </w:p>
    <w:p w14:paraId="17BB03F8" w14:textId="77777777" w:rsidR="00E76AB5" w:rsidRDefault="00E76AB5" w:rsidP="00E76AB5">
      <w:pPr>
        <w:pStyle w:val="Normal-em"/>
        <w:spacing w:after="0" w:line="240" w:lineRule="auto"/>
        <w:rPr>
          <w:b/>
          <w:caps/>
          <w:szCs w:val="24"/>
          <w:u w:val="single"/>
        </w:rPr>
      </w:pPr>
      <w:r>
        <w:rPr>
          <w:b/>
          <w:caps/>
          <w:szCs w:val="24"/>
          <w:u w:val="single"/>
        </w:rPr>
        <w:br w:type="page"/>
      </w:r>
    </w:p>
    <w:p w14:paraId="7C93F085" w14:textId="77777777" w:rsidR="002B1DB3" w:rsidRPr="005D1ABF" w:rsidRDefault="002B1DB3" w:rsidP="005D1ABF">
      <w:pPr>
        <w:pStyle w:val="Normal-em"/>
        <w:spacing w:after="0" w:line="240" w:lineRule="auto"/>
        <w:jc w:val="right"/>
        <w:rPr>
          <w:b/>
          <w:caps/>
          <w:szCs w:val="24"/>
          <w:u w:val="single"/>
        </w:rPr>
      </w:pPr>
      <w:r w:rsidRPr="005D1ABF">
        <w:rPr>
          <w:b/>
          <w:caps/>
          <w:szCs w:val="24"/>
          <w:u w:val="single"/>
        </w:rPr>
        <w:t>Attachment</w:t>
      </w:r>
      <w:r w:rsidR="00303794">
        <w:rPr>
          <w:b/>
          <w:caps/>
          <w:szCs w:val="24"/>
          <w:u w:val="single"/>
        </w:rPr>
        <w:t xml:space="preserve"> A</w:t>
      </w:r>
    </w:p>
    <w:p w14:paraId="527F1DB2" w14:textId="77777777" w:rsidR="002B1DB3" w:rsidRPr="005D1ABF" w:rsidRDefault="002B1DB3" w:rsidP="005D1ABF">
      <w:pPr>
        <w:pStyle w:val="Normal-em"/>
        <w:spacing w:after="0" w:line="240" w:lineRule="auto"/>
        <w:rPr>
          <w:color w:val="auto"/>
          <w:szCs w:val="24"/>
        </w:rPr>
      </w:pPr>
    </w:p>
    <w:p w14:paraId="71A30768" w14:textId="77777777" w:rsidR="002B1DB3" w:rsidRPr="00303794" w:rsidRDefault="002B1DB3" w:rsidP="005D1ABF">
      <w:pPr>
        <w:pStyle w:val="Normal-em"/>
        <w:spacing w:after="0" w:line="240" w:lineRule="auto"/>
        <w:rPr>
          <w:b/>
          <w:i/>
          <w:color w:val="000000" w:themeColor="text1"/>
          <w:szCs w:val="24"/>
          <w:u w:val="single"/>
        </w:rPr>
      </w:pPr>
      <w:r w:rsidRPr="00303794">
        <w:rPr>
          <w:b/>
          <w:iCs/>
          <w:color w:val="000000" w:themeColor="text1"/>
          <w:szCs w:val="24"/>
          <w:u w:val="single"/>
        </w:rPr>
        <w:t xml:space="preserve">Details of the </w:t>
      </w:r>
      <w:r w:rsidR="006C7F82" w:rsidRPr="00303794">
        <w:rPr>
          <w:b/>
          <w:i/>
          <w:color w:val="000000" w:themeColor="text1"/>
          <w:szCs w:val="24"/>
          <w:u w:val="single"/>
        </w:rPr>
        <w:t>Biosecurity Amendment (Approved Arrangements) Regulations 2018</w:t>
      </w:r>
    </w:p>
    <w:p w14:paraId="16602781" w14:textId="77777777" w:rsidR="00DF3F6E" w:rsidRPr="00303794" w:rsidRDefault="00DF3F6E" w:rsidP="005D1ABF">
      <w:pPr>
        <w:pStyle w:val="Normal-em"/>
        <w:spacing w:after="0" w:line="240" w:lineRule="auto"/>
        <w:rPr>
          <w:color w:val="000000" w:themeColor="text1"/>
          <w:szCs w:val="24"/>
        </w:rPr>
      </w:pPr>
    </w:p>
    <w:p w14:paraId="01D84A1F" w14:textId="77777777" w:rsidR="002B1DB3" w:rsidRPr="00303794" w:rsidRDefault="00DF3F6E" w:rsidP="005D1ABF">
      <w:pPr>
        <w:pStyle w:val="Normal-em"/>
        <w:spacing w:after="0" w:line="240" w:lineRule="auto"/>
        <w:ind w:left="1440" w:hanging="1440"/>
        <w:rPr>
          <w:color w:val="000000" w:themeColor="text1"/>
          <w:szCs w:val="24"/>
          <w:u w:val="single"/>
        </w:rPr>
      </w:pPr>
      <w:r w:rsidRPr="00303794">
        <w:rPr>
          <w:color w:val="000000" w:themeColor="text1"/>
          <w:szCs w:val="24"/>
          <w:u w:val="single"/>
        </w:rPr>
        <w:t>Section 1 – Name</w:t>
      </w:r>
    </w:p>
    <w:p w14:paraId="61A03AF6" w14:textId="77777777" w:rsidR="002B1DB3" w:rsidRPr="00303794" w:rsidRDefault="002B1DB3" w:rsidP="005D1ABF">
      <w:pPr>
        <w:pStyle w:val="Normal-em"/>
        <w:spacing w:after="0" w:line="240" w:lineRule="auto"/>
        <w:ind w:left="1440" w:hanging="1440"/>
        <w:rPr>
          <w:b/>
          <w:color w:val="000000" w:themeColor="text1"/>
          <w:szCs w:val="24"/>
        </w:rPr>
      </w:pPr>
    </w:p>
    <w:p w14:paraId="5B02D5F2" w14:textId="77777777" w:rsidR="002B1DB3" w:rsidRPr="00303794" w:rsidRDefault="002B1DB3" w:rsidP="005D1ABF">
      <w:pPr>
        <w:pStyle w:val="Normal-em"/>
        <w:spacing w:after="0" w:line="240" w:lineRule="auto"/>
        <w:rPr>
          <w:i/>
          <w:iCs/>
          <w:color w:val="000000" w:themeColor="text1"/>
          <w:szCs w:val="24"/>
        </w:rPr>
      </w:pPr>
      <w:r w:rsidRPr="00303794">
        <w:rPr>
          <w:color w:val="000000" w:themeColor="text1"/>
          <w:szCs w:val="24"/>
        </w:rPr>
        <w:t xml:space="preserve">This </w:t>
      </w:r>
      <w:r w:rsidR="00DF3F6E" w:rsidRPr="00303794">
        <w:rPr>
          <w:color w:val="000000" w:themeColor="text1"/>
          <w:szCs w:val="24"/>
        </w:rPr>
        <w:t>s</w:t>
      </w:r>
      <w:r w:rsidRPr="00303794">
        <w:rPr>
          <w:color w:val="000000" w:themeColor="text1"/>
          <w:szCs w:val="24"/>
        </w:rPr>
        <w:t xml:space="preserve">ection provides </w:t>
      </w:r>
      <w:r w:rsidR="00DF3F6E" w:rsidRPr="00303794">
        <w:rPr>
          <w:color w:val="000000" w:themeColor="text1"/>
          <w:szCs w:val="24"/>
        </w:rPr>
        <w:t xml:space="preserve">that the name of the </w:t>
      </w:r>
      <w:r w:rsidR="00A94733">
        <w:rPr>
          <w:color w:val="000000" w:themeColor="text1"/>
          <w:szCs w:val="24"/>
        </w:rPr>
        <w:t xml:space="preserve">Amendment </w:t>
      </w:r>
      <w:r w:rsidR="006C7F82" w:rsidRPr="00303794">
        <w:rPr>
          <w:color w:val="000000" w:themeColor="text1"/>
          <w:szCs w:val="24"/>
        </w:rPr>
        <w:t>Regulation</w:t>
      </w:r>
      <w:r w:rsidR="00A94733">
        <w:rPr>
          <w:color w:val="000000" w:themeColor="text1"/>
          <w:szCs w:val="24"/>
        </w:rPr>
        <w:t>s</w:t>
      </w:r>
      <w:r w:rsidR="00DF3F6E" w:rsidRPr="00303794">
        <w:rPr>
          <w:color w:val="000000" w:themeColor="text1"/>
          <w:szCs w:val="24"/>
        </w:rPr>
        <w:t xml:space="preserve"> is the </w:t>
      </w:r>
      <w:r w:rsidR="006C7F82" w:rsidRPr="00303794">
        <w:rPr>
          <w:color w:val="000000" w:themeColor="text1"/>
          <w:szCs w:val="24"/>
        </w:rPr>
        <w:t>Biosecurity Amendment (Approved Arrangements) Regulations 2018</w:t>
      </w:r>
      <w:r w:rsidRPr="00303794">
        <w:rPr>
          <w:color w:val="000000" w:themeColor="text1"/>
          <w:szCs w:val="24"/>
        </w:rPr>
        <w:t>.</w:t>
      </w:r>
    </w:p>
    <w:p w14:paraId="16D688F2" w14:textId="77777777" w:rsidR="002B1DB3" w:rsidRPr="00303794" w:rsidRDefault="002B1DB3" w:rsidP="005D1ABF">
      <w:pPr>
        <w:pStyle w:val="Normal-em"/>
        <w:spacing w:after="0" w:line="240" w:lineRule="auto"/>
        <w:rPr>
          <w:color w:val="000000" w:themeColor="text1"/>
          <w:szCs w:val="24"/>
        </w:rPr>
      </w:pPr>
    </w:p>
    <w:p w14:paraId="3F507232" w14:textId="77777777" w:rsidR="002B1DB3" w:rsidRPr="00303794" w:rsidRDefault="002B1DB3" w:rsidP="005D1ABF">
      <w:pPr>
        <w:pStyle w:val="Normal-em"/>
        <w:spacing w:after="0" w:line="240" w:lineRule="auto"/>
        <w:rPr>
          <w:color w:val="000000" w:themeColor="text1"/>
          <w:szCs w:val="24"/>
          <w:u w:val="single"/>
        </w:rPr>
      </w:pPr>
      <w:r w:rsidRPr="00303794">
        <w:rPr>
          <w:color w:val="000000" w:themeColor="text1"/>
          <w:szCs w:val="24"/>
          <w:u w:val="single"/>
        </w:rPr>
        <w:t>Section 2 – Commencement</w:t>
      </w:r>
    </w:p>
    <w:p w14:paraId="0C39D08B" w14:textId="77777777" w:rsidR="002B1DB3" w:rsidRPr="00303794" w:rsidRDefault="002B1DB3" w:rsidP="005D1ABF">
      <w:pPr>
        <w:pStyle w:val="Normal-em"/>
        <w:spacing w:after="0" w:line="240" w:lineRule="auto"/>
        <w:rPr>
          <w:color w:val="000000" w:themeColor="text1"/>
          <w:szCs w:val="24"/>
        </w:rPr>
      </w:pPr>
    </w:p>
    <w:p w14:paraId="210218F3" w14:textId="77777777" w:rsidR="002B1DB3" w:rsidRPr="00303794" w:rsidRDefault="00DF3F6E" w:rsidP="005D1ABF">
      <w:pPr>
        <w:pStyle w:val="Normal-em"/>
        <w:spacing w:after="0" w:line="240" w:lineRule="auto"/>
        <w:rPr>
          <w:color w:val="000000" w:themeColor="text1"/>
          <w:szCs w:val="24"/>
          <w:highlight w:val="yellow"/>
        </w:rPr>
      </w:pPr>
      <w:r w:rsidRPr="00303794">
        <w:rPr>
          <w:color w:val="000000" w:themeColor="text1"/>
          <w:szCs w:val="24"/>
        </w:rPr>
        <w:t>This s</w:t>
      </w:r>
      <w:r w:rsidR="002B1DB3" w:rsidRPr="00303794">
        <w:rPr>
          <w:color w:val="000000" w:themeColor="text1"/>
          <w:szCs w:val="24"/>
        </w:rPr>
        <w:t xml:space="preserve">ection provides </w:t>
      </w:r>
      <w:r w:rsidRPr="00303794">
        <w:rPr>
          <w:color w:val="000000" w:themeColor="text1"/>
          <w:szCs w:val="24"/>
        </w:rPr>
        <w:t xml:space="preserve">for the </w:t>
      </w:r>
      <w:r w:rsidR="00A94733">
        <w:rPr>
          <w:color w:val="000000" w:themeColor="text1"/>
          <w:szCs w:val="24"/>
        </w:rPr>
        <w:t xml:space="preserve">Amendment </w:t>
      </w:r>
      <w:r w:rsidR="006C7F82" w:rsidRPr="00303794">
        <w:rPr>
          <w:color w:val="000000" w:themeColor="text1"/>
          <w:szCs w:val="24"/>
        </w:rPr>
        <w:t>Regulation</w:t>
      </w:r>
      <w:r w:rsidR="00A94733">
        <w:rPr>
          <w:color w:val="000000" w:themeColor="text1"/>
          <w:szCs w:val="24"/>
        </w:rPr>
        <w:t>s</w:t>
      </w:r>
      <w:r w:rsidRPr="00303794">
        <w:rPr>
          <w:color w:val="000000" w:themeColor="text1"/>
          <w:szCs w:val="24"/>
        </w:rPr>
        <w:t xml:space="preserve"> to commence on </w:t>
      </w:r>
      <w:r w:rsidR="006C7F82" w:rsidRPr="00303794">
        <w:rPr>
          <w:color w:val="000000" w:themeColor="text1"/>
          <w:szCs w:val="24"/>
        </w:rPr>
        <w:t>1 September 2018</w:t>
      </w:r>
      <w:r w:rsidR="002B1DB3" w:rsidRPr="00303794">
        <w:rPr>
          <w:color w:val="000000" w:themeColor="text1"/>
          <w:szCs w:val="24"/>
        </w:rPr>
        <w:t>.</w:t>
      </w:r>
    </w:p>
    <w:p w14:paraId="6883DB72" w14:textId="77777777" w:rsidR="002B1DB3" w:rsidRPr="00303794" w:rsidRDefault="002B1DB3" w:rsidP="005D1ABF">
      <w:pPr>
        <w:pStyle w:val="Normal-em"/>
        <w:spacing w:after="0" w:line="240" w:lineRule="auto"/>
        <w:rPr>
          <w:color w:val="000000" w:themeColor="text1"/>
          <w:szCs w:val="24"/>
        </w:rPr>
      </w:pPr>
    </w:p>
    <w:p w14:paraId="258694F5" w14:textId="77777777" w:rsidR="002B1DB3" w:rsidRPr="00303794" w:rsidRDefault="002B1DB3" w:rsidP="005D1ABF">
      <w:pPr>
        <w:pStyle w:val="Normal-em"/>
        <w:spacing w:after="0" w:line="240" w:lineRule="auto"/>
        <w:ind w:left="1440" w:hanging="1440"/>
        <w:rPr>
          <w:color w:val="000000" w:themeColor="text1"/>
          <w:szCs w:val="24"/>
          <w:u w:val="single"/>
        </w:rPr>
      </w:pPr>
      <w:r w:rsidRPr="00303794">
        <w:rPr>
          <w:color w:val="000000" w:themeColor="text1"/>
          <w:szCs w:val="24"/>
          <w:u w:val="single"/>
        </w:rPr>
        <w:t xml:space="preserve">Section 3 – </w:t>
      </w:r>
      <w:r w:rsidR="00DF3F6E" w:rsidRPr="00303794">
        <w:rPr>
          <w:color w:val="000000" w:themeColor="text1"/>
          <w:szCs w:val="24"/>
          <w:u w:val="single"/>
        </w:rPr>
        <w:t xml:space="preserve">Authority </w:t>
      </w:r>
    </w:p>
    <w:p w14:paraId="370D4E1A" w14:textId="77777777" w:rsidR="002B1DB3" w:rsidRPr="00303794" w:rsidRDefault="002B1DB3" w:rsidP="005D1ABF">
      <w:pPr>
        <w:pStyle w:val="Normal-em"/>
        <w:spacing w:after="0" w:line="240" w:lineRule="auto"/>
        <w:rPr>
          <w:color w:val="000000" w:themeColor="text1"/>
          <w:szCs w:val="24"/>
        </w:rPr>
      </w:pPr>
    </w:p>
    <w:p w14:paraId="1479FFC8" w14:textId="77777777" w:rsidR="002B1DB3" w:rsidRPr="00303794" w:rsidRDefault="00DF3F6E" w:rsidP="005D1ABF">
      <w:pPr>
        <w:pStyle w:val="Normal-em"/>
        <w:spacing w:after="0" w:line="240" w:lineRule="auto"/>
        <w:rPr>
          <w:iCs/>
          <w:color w:val="000000" w:themeColor="text1"/>
          <w:szCs w:val="24"/>
        </w:rPr>
      </w:pPr>
      <w:r w:rsidRPr="00303794">
        <w:rPr>
          <w:color w:val="000000" w:themeColor="text1"/>
          <w:szCs w:val="24"/>
        </w:rPr>
        <w:t>This s</w:t>
      </w:r>
      <w:r w:rsidR="002B1DB3" w:rsidRPr="00303794">
        <w:rPr>
          <w:color w:val="000000" w:themeColor="text1"/>
          <w:szCs w:val="24"/>
        </w:rPr>
        <w:t xml:space="preserve">ection provides </w:t>
      </w:r>
      <w:r w:rsidRPr="00303794">
        <w:rPr>
          <w:color w:val="000000" w:themeColor="text1"/>
          <w:szCs w:val="24"/>
        </w:rPr>
        <w:t xml:space="preserve">that the </w:t>
      </w:r>
      <w:r w:rsidR="00A94733">
        <w:rPr>
          <w:color w:val="000000" w:themeColor="text1"/>
          <w:szCs w:val="24"/>
        </w:rPr>
        <w:t xml:space="preserve">Amendment </w:t>
      </w:r>
      <w:r w:rsidR="006C7F82" w:rsidRPr="00303794">
        <w:rPr>
          <w:color w:val="000000" w:themeColor="text1"/>
          <w:szCs w:val="24"/>
        </w:rPr>
        <w:t>Regulation</w:t>
      </w:r>
      <w:r w:rsidR="00A94733">
        <w:rPr>
          <w:color w:val="000000" w:themeColor="text1"/>
          <w:szCs w:val="24"/>
        </w:rPr>
        <w:t>s</w:t>
      </w:r>
      <w:r w:rsidRPr="00303794">
        <w:rPr>
          <w:color w:val="000000" w:themeColor="text1"/>
          <w:szCs w:val="24"/>
        </w:rPr>
        <w:t xml:space="preserve"> </w:t>
      </w:r>
      <w:r w:rsidR="00A94733">
        <w:rPr>
          <w:color w:val="000000" w:themeColor="text1"/>
          <w:szCs w:val="24"/>
        </w:rPr>
        <w:t>are</w:t>
      </w:r>
      <w:r w:rsidRPr="00303794">
        <w:rPr>
          <w:color w:val="000000" w:themeColor="text1"/>
          <w:szCs w:val="24"/>
        </w:rPr>
        <w:t xml:space="preserve"> made under the </w:t>
      </w:r>
      <w:r w:rsidR="006C7F82" w:rsidRPr="00303794">
        <w:rPr>
          <w:color w:val="000000" w:themeColor="text1"/>
          <w:szCs w:val="24"/>
        </w:rPr>
        <w:t>Biosecurity Act 2015</w:t>
      </w:r>
      <w:r w:rsidR="002B1DB3" w:rsidRPr="00303794">
        <w:rPr>
          <w:color w:val="000000" w:themeColor="text1"/>
          <w:szCs w:val="24"/>
        </w:rPr>
        <w:t>.</w:t>
      </w:r>
    </w:p>
    <w:p w14:paraId="2756684F" w14:textId="77777777" w:rsidR="002B1DB3" w:rsidRPr="00303794" w:rsidRDefault="002B1DB3" w:rsidP="005D1ABF">
      <w:pPr>
        <w:pStyle w:val="Normal-em"/>
        <w:spacing w:after="0" w:line="240" w:lineRule="auto"/>
        <w:rPr>
          <w:iCs/>
          <w:color w:val="000000" w:themeColor="text1"/>
          <w:szCs w:val="24"/>
        </w:rPr>
      </w:pPr>
    </w:p>
    <w:p w14:paraId="38EC7192" w14:textId="77777777" w:rsidR="00DF3F6E" w:rsidRPr="00303794" w:rsidRDefault="00DF3F6E" w:rsidP="005D1ABF">
      <w:pPr>
        <w:pStyle w:val="Normal-em"/>
        <w:spacing w:after="0" w:line="240" w:lineRule="auto"/>
        <w:rPr>
          <w:color w:val="000000" w:themeColor="text1"/>
          <w:szCs w:val="24"/>
          <w:u w:val="single"/>
        </w:rPr>
      </w:pPr>
      <w:r w:rsidRPr="00303794">
        <w:rPr>
          <w:color w:val="000000" w:themeColor="text1"/>
          <w:szCs w:val="24"/>
          <w:u w:val="single"/>
        </w:rPr>
        <w:t>Section 4 – Schedules</w:t>
      </w:r>
    </w:p>
    <w:p w14:paraId="61CDC3D5" w14:textId="77777777" w:rsidR="00DF3F6E" w:rsidRPr="00303794" w:rsidRDefault="00DF3F6E" w:rsidP="005D1ABF">
      <w:pPr>
        <w:pStyle w:val="Normal-em"/>
        <w:spacing w:after="0" w:line="240" w:lineRule="auto"/>
        <w:rPr>
          <w:color w:val="000000" w:themeColor="text1"/>
          <w:szCs w:val="24"/>
        </w:rPr>
      </w:pPr>
    </w:p>
    <w:p w14:paraId="2DDE9B65" w14:textId="77777777" w:rsidR="00DF3F6E" w:rsidRPr="00303794" w:rsidRDefault="00DF3F6E" w:rsidP="005D1ABF">
      <w:pPr>
        <w:pStyle w:val="Normal-em"/>
        <w:spacing w:after="0" w:line="240" w:lineRule="auto"/>
        <w:rPr>
          <w:color w:val="000000" w:themeColor="text1"/>
          <w:szCs w:val="24"/>
        </w:rPr>
      </w:pPr>
      <w:r w:rsidRPr="00303794">
        <w:rPr>
          <w:color w:val="000000" w:themeColor="text1"/>
          <w:szCs w:val="24"/>
        </w:rPr>
        <w:t xml:space="preserve">This section provides that the </w:t>
      </w:r>
      <w:r w:rsidR="00A94733">
        <w:rPr>
          <w:color w:val="000000" w:themeColor="text1"/>
          <w:szCs w:val="24"/>
        </w:rPr>
        <w:t xml:space="preserve">Amendment </w:t>
      </w:r>
      <w:r w:rsidR="006C7F82" w:rsidRPr="00303794">
        <w:rPr>
          <w:color w:val="000000" w:themeColor="text1"/>
          <w:szCs w:val="24"/>
        </w:rPr>
        <w:t>Regulation</w:t>
      </w:r>
      <w:r w:rsidR="00A94733">
        <w:rPr>
          <w:color w:val="000000" w:themeColor="text1"/>
          <w:szCs w:val="24"/>
        </w:rPr>
        <w:t>s</w:t>
      </w:r>
      <w:r w:rsidRPr="00303794">
        <w:rPr>
          <w:color w:val="000000" w:themeColor="text1"/>
          <w:szCs w:val="24"/>
        </w:rPr>
        <w:t xml:space="preserve"> </w:t>
      </w:r>
      <w:r w:rsidR="00A94733">
        <w:rPr>
          <w:color w:val="000000" w:themeColor="text1"/>
          <w:szCs w:val="24"/>
        </w:rPr>
        <w:t>are</w:t>
      </w:r>
      <w:r w:rsidRPr="00303794">
        <w:rPr>
          <w:color w:val="000000" w:themeColor="text1"/>
          <w:szCs w:val="24"/>
        </w:rPr>
        <w:t xml:space="preserve"> amended as set out in </w:t>
      </w:r>
      <w:r w:rsidR="006C7F82" w:rsidRPr="00303794">
        <w:rPr>
          <w:color w:val="000000" w:themeColor="text1"/>
          <w:szCs w:val="24"/>
        </w:rPr>
        <w:t>the applica</w:t>
      </w:r>
      <w:r w:rsidR="00054227" w:rsidRPr="00303794">
        <w:rPr>
          <w:color w:val="000000" w:themeColor="text1"/>
          <w:szCs w:val="24"/>
        </w:rPr>
        <w:t>ble items in the Schedule</w:t>
      </w:r>
      <w:r w:rsidRPr="00303794">
        <w:rPr>
          <w:color w:val="000000" w:themeColor="text1"/>
          <w:szCs w:val="24"/>
        </w:rPr>
        <w:t>.</w:t>
      </w:r>
    </w:p>
    <w:p w14:paraId="4FFC4370" w14:textId="77777777" w:rsidR="00DF3F6E" w:rsidRPr="00303794" w:rsidRDefault="00DF3F6E" w:rsidP="005D1ABF">
      <w:pPr>
        <w:pStyle w:val="Normal-em"/>
        <w:spacing w:after="0" w:line="240" w:lineRule="auto"/>
        <w:rPr>
          <w:color w:val="000000" w:themeColor="text1"/>
          <w:szCs w:val="24"/>
          <w:u w:val="single"/>
        </w:rPr>
      </w:pPr>
    </w:p>
    <w:p w14:paraId="1BB4000C" w14:textId="77777777" w:rsidR="002B1DB3" w:rsidRPr="00303794" w:rsidRDefault="002B1DB3" w:rsidP="005D1ABF">
      <w:pPr>
        <w:pStyle w:val="Normal-em"/>
        <w:spacing w:after="0" w:line="240" w:lineRule="auto"/>
        <w:rPr>
          <w:color w:val="000000" w:themeColor="text1"/>
          <w:szCs w:val="24"/>
        </w:rPr>
      </w:pPr>
      <w:r w:rsidRPr="00303794">
        <w:rPr>
          <w:color w:val="000000" w:themeColor="text1"/>
          <w:szCs w:val="24"/>
          <w:u w:val="single"/>
        </w:rPr>
        <w:t>Schedule 1 – Amendments</w:t>
      </w:r>
    </w:p>
    <w:p w14:paraId="63729676" w14:textId="77777777" w:rsidR="002B1DB3" w:rsidRPr="00303794" w:rsidRDefault="002B1DB3" w:rsidP="005D1ABF">
      <w:pPr>
        <w:pStyle w:val="Normal-em"/>
        <w:spacing w:after="0" w:line="240" w:lineRule="auto"/>
        <w:rPr>
          <w:iCs/>
          <w:color w:val="000000" w:themeColor="text1"/>
          <w:szCs w:val="24"/>
        </w:rPr>
      </w:pPr>
    </w:p>
    <w:p w14:paraId="3E031F5C" w14:textId="77777777" w:rsidR="00A94733" w:rsidRDefault="00054227" w:rsidP="00054227">
      <w:pPr>
        <w:pStyle w:val="Normal-em"/>
        <w:spacing w:after="0" w:line="240" w:lineRule="auto"/>
        <w:rPr>
          <w:color w:val="000000" w:themeColor="text1"/>
          <w:szCs w:val="24"/>
        </w:rPr>
      </w:pPr>
      <w:r w:rsidRPr="00303794">
        <w:rPr>
          <w:b/>
          <w:color w:val="000000" w:themeColor="text1"/>
          <w:szCs w:val="24"/>
        </w:rPr>
        <w:t>Item 1</w:t>
      </w:r>
      <w:r w:rsidRPr="00303794">
        <w:rPr>
          <w:color w:val="000000" w:themeColor="text1"/>
          <w:szCs w:val="24"/>
        </w:rPr>
        <w:t xml:space="preserve"> </w:t>
      </w:r>
      <w:r w:rsidR="00A94733">
        <w:rPr>
          <w:color w:val="000000" w:themeColor="text1"/>
          <w:szCs w:val="24"/>
        </w:rPr>
        <w:t xml:space="preserve">- </w:t>
      </w:r>
      <w:r w:rsidR="00A94733" w:rsidRPr="00303794">
        <w:rPr>
          <w:color w:val="000000" w:themeColor="text1"/>
          <w:szCs w:val="24"/>
        </w:rPr>
        <w:t>after paragraph 109(4)(d)</w:t>
      </w:r>
    </w:p>
    <w:p w14:paraId="18D6D4E1" w14:textId="77777777" w:rsidR="00A94733" w:rsidRDefault="00A94733" w:rsidP="00054227">
      <w:pPr>
        <w:pStyle w:val="Normal-em"/>
        <w:spacing w:after="0" w:line="240" w:lineRule="auto"/>
        <w:rPr>
          <w:color w:val="000000" w:themeColor="text1"/>
          <w:szCs w:val="24"/>
        </w:rPr>
      </w:pPr>
    </w:p>
    <w:p w14:paraId="04B18805" w14:textId="77777777" w:rsidR="00054227" w:rsidRDefault="00A94733" w:rsidP="00054227">
      <w:pPr>
        <w:pStyle w:val="Normal-em"/>
        <w:spacing w:after="0" w:line="240" w:lineRule="auto"/>
        <w:rPr>
          <w:i/>
        </w:rPr>
      </w:pPr>
      <w:r>
        <w:rPr>
          <w:color w:val="000000" w:themeColor="text1"/>
          <w:szCs w:val="24"/>
        </w:rPr>
        <w:t xml:space="preserve">This item </w:t>
      </w:r>
      <w:r w:rsidR="00054227" w:rsidRPr="00303794">
        <w:rPr>
          <w:color w:val="000000" w:themeColor="text1"/>
          <w:szCs w:val="24"/>
        </w:rPr>
        <w:t xml:space="preserve">adds a new paragraph, paragraph 109(4)(da), to specify the persons who are liable to pay the new </w:t>
      </w:r>
      <w:r>
        <w:rPr>
          <w:color w:val="000000" w:themeColor="text1"/>
          <w:szCs w:val="24"/>
        </w:rPr>
        <w:t xml:space="preserve">charge in relation to the biosecurity matter prescribed by item 13A in the table in section 9 of the </w:t>
      </w:r>
      <w:r w:rsidRPr="006D234C">
        <w:rPr>
          <w:i/>
        </w:rPr>
        <w:t xml:space="preserve">Biosecurity Charges Imposition (General) Regulation 2016 </w:t>
      </w:r>
      <w:r w:rsidRPr="006D234C">
        <w:t xml:space="preserve">and </w:t>
      </w:r>
      <w:r>
        <w:t xml:space="preserve">by item 13A in the table in </w:t>
      </w:r>
      <w:r w:rsidRPr="006D234C">
        <w:t xml:space="preserve">section 9 of the </w:t>
      </w:r>
      <w:r w:rsidRPr="006D234C">
        <w:rPr>
          <w:i/>
        </w:rPr>
        <w:t>Biosecurity Charges Imposition (Customs) Regulation 2016</w:t>
      </w:r>
      <w:r w:rsidR="00A70B8B">
        <w:rPr>
          <w:i/>
        </w:rPr>
        <w:t xml:space="preserve">. </w:t>
      </w:r>
    </w:p>
    <w:p w14:paraId="29BBD7D9" w14:textId="77777777" w:rsidR="00A70B8B" w:rsidRDefault="00A70B8B" w:rsidP="00054227">
      <w:pPr>
        <w:pStyle w:val="Normal-em"/>
        <w:spacing w:after="0" w:line="240" w:lineRule="auto"/>
        <w:rPr>
          <w:i/>
        </w:rPr>
      </w:pPr>
    </w:p>
    <w:p w14:paraId="265463DE" w14:textId="77777777" w:rsidR="00A70B8B" w:rsidRPr="00804EBD" w:rsidRDefault="00A70B8B" w:rsidP="00A70B8B">
      <w:pPr>
        <w:pStyle w:val="Normal-em"/>
        <w:spacing w:after="0" w:line="240" w:lineRule="auto"/>
        <w:rPr>
          <w:color w:val="auto"/>
          <w:szCs w:val="24"/>
        </w:rPr>
      </w:pPr>
      <w:r>
        <w:t>Specifically, the new paragraph provide</w:t>
      </w:r>
      <w:r w:rsidR="00987386">
        <w:t>s</w:t>
      </w:r>
      <w:r>
        <w:t xml:space="preserve"> that </w:t>
      </w:r>
      <w:r>
        <w:rPr>
          <w:szCs w:val="24"/>
        </w:rPr>
        <w:t xml:space="preserve">the </w:t>
      </w:r>
      <w:r w:rsidRPr="00C07B2C">
        <w:rPr>
          <w:szCs w:val="24"/>
        </w:rPr>
        <w:t>persons who are liable to pay the charge</w:t>
      </w:r>
      <w:r>
        <w:rPr>
          <w:szCs w:val="24"/>
        </w:rPr>
        <w:t xml:space="preserve"> </w:t>
      </w:r>
      <w:r>
        <w:rPr>
          <w:color w:val="auto"/>
          <w:szCs w:val="24"/>
        </w:rPr>
        <w:t xml:space="preserve">is the person covered by an approved arrangement who made the entry of information to which </w:t>
      </w:r>
      <w:r w:rsidRPr="006D234C">
        <w:rPr>
          <w:color w:val="auto"/>
        </w:rPr>
        <w:t xml:space="preserve">the charge </w:t>
      </w:r>
      <w:r>
        <w:rPr>
          <w:color w:val="auto"/>
          <w:szCs w:val="24"/>
        </w:rPr>
        <w:t xml:space="preserve">relates. </w:t>
      </w:r>
    </w:p>
    <w:p w14:paraId="0E8812CB" w14:textId="77777777" w:rsidR="00A70B8B" w:rsidRPr="00303794" w:rsidRDefault="00A70B8B" w:rsidP="00054227">
      <w:pPr>
        <w:pStyle w:val="Normal-em"/>
        <w:spacing w:after="0" w:line="240" w:lineRule="auto"/>
        <w:rPr>
          <w:color w:val="000000" w:themeColor="text1"/>
          <w:szCs w:val="24"/>
        </w:rPr>
      </w:pPr>
    </w:p>
    <w:p w14:paraId="1545B2BE" w14:textId="77777777" w:rsidR="00054227" w:rsidRPr="00303794" w:rsidRDefault="00054227" w:rsidP="00054227">
      <w:pPr>
        <w:pStyle w:val="Normal-em"/>
        <w:spacing w:after="0" w:line="240" w:lineRule="auto"/>
        <w:rPr>
          <w:iCs/>
          <w:color w:val="000000" w:themeColor="text1"/>
          <w:szCs w:val="24"/>
        </w:rPr>
      </w:pPr>
      <w:r w:rsidRPr="00303794">
        <w:rPr>
          <w:iCs/>
          <w:color w:val="000000" w:themeColor="text1"/>
          <w:szCs w:val="24"/>
        </w:rPr>
        <w:t xml:space="preserve">It is necessary to prescribe the person who is liable to pay each of the charges prescribed in the table in section 9 of the </w:t>
      </w:r>
      <w:r w:rsidRPr="00303794">
        <w:rPr>
          <w:i/>
          <w:iCs/>
          <w:color w:val="000000" w:themeColor="text1"/>
          <w:szCs w:val="24"/>
        </w:rPr>
        <w:t>Biosecurity Charges Imposition (General) Regulation 2016</w:t>
      </w:r>
      <w:r w:rsidRPr="00303794">
        <w:rPr>
          <w:iCs/>
          <w:color w:val="000000" w:themeColor="text1"/>
          <w:szCs w:val="24"/>
        </w:rPr>
        <w:t xml:space="preserve"> and the table in section 9 of the </w:t>
      </w:r>
      <w:r w:rsidRPr="00303794">
        <w:rPr>
          <w:i/>
          <w:iCs/>
          <w:color w:val="000000" w:themeColor="text1"/>
          <w:szCs w:val="24"/>
        </w:rPr>
        <w:t>Biosecurity Charges Imposition (Customs) Regulation 2016</w:t>
      </w:r>
      <w:r w:rsidRPr="00303794">
        <w:rPr>
          <w:iCs/>
          <w:color w:val="000000" w:themeColor="text1"/>
          <w:szCs w:val="24"/>
        </w:rPr>
        <w:t xml:space="preserve"> so that the relevant charge is attributed appropriately, allowing costs associated with the relevant activities carried out to be recovered.</w:t>
      </w:r>
    </w:p>
    <w:p w14:paraId="2DE6D0F5" w14:textId="77777777" w:rsidR="00054227" w:rsidRDefault="00054227" w:rsidP="00054227">
      <w:pPr>
        <w:spacing w:after="0" w:line="240" w:lineRule="auto"/>
        <w:rPr>
          <w:rFonts w:ascii="Times New Roman" w:hAnsi="Times New Roman" w:cs="Times New Roman"/>
          <w:sz w:val="24"/>
        </w:rPr>
      </w:pPr>
    </w:p>
    <w:p w14:paraId="0AEB07BF" w14:textId="77777777" w:rsidR="002B1DB3" w:rsidRPr="005D1ABF" w:rsidRDefault="002B1DB3" w:rsidP="005D1ABF">
      <w:pPr>
        <w:spacing w:after="0" w:line="240" w:lineRule="auto"/>
        <w:rPr>
          <w:rFonts w:ascii="Times New Roman" w:hAnsi="Times New Roman" w:cs="Times New Roman"/>
          <w:sz w:val="24"/>
          <w:szCs w:val="24"/>
        </w:rPr>
      </w:pPr>
    </w:p>
    <w:p w14:paraId="7594DB76" w14:textId="77777777" w:rsidR="002B1DB3" w:rsidRPr="005D1ABF"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br w:type="page"/>
      </w:r>
    </w:p>
    <w:p w14:paraId="6AB43D18" w14:textId="77777777" w:rsidR="002B1DB3" w:rsidRPr="005D1ABF" w:rsidRDefault="002B1DB3" w:rsidP="005D1ABF">
      <w:pPr>
        <w:spacing w:after="0" w:line="240" w:lineRule="auto"/>
        <w:rPr>
          <w:rFonts w:ascii="Times New Roman" w:hAnsi="Times New Roman" w:cs="Times New Roman"/>
          <w:sz w:val="24"/>
          <w:szCs w:val="24"/>
        </w:rPr>
      </w:pPr>
    </w:p>
    <w:p w14:paraId="1F98AC0B" w14:textId="77777777" w:rsidR="002B1DB3" w:rsidRPr="005D1ABF" w:rsidRDefault="002B1DB3" w:rsidP="005D1ABF">
      <w:pPr>
        <w:spacing w:after="0" w:line="240" w:lineRule="auto"/>
        <w:jc w:val="center"/>
        <w:rPr>
          <w:rFonts w:ascii="Times New Roman" w:hAnsi="Times New Roman" w:cs="Times New Roman"/>
          <w:b/>
          <w:sz w:val="24"/>
          <w:szCs w:val="24"/>
        </w:rPr>
      </w:pPr>
      <w:r w:rsidRPr="005D1ABF">
        <w:rPr>
          <w:rFonts w:ascii="Times New Roman" w:hAnsi="Times New Roman" w:cs="Times New Roman"/>
          <w:b/>
          <w:sz w:val="24"/>
          <w:szCs w:val="24"/>
        </w:rPr>
        <w:t>Statement of Compatibility with Human Rights</w:t>
      </w:r>
    </w:p>
    <w:p w14:paraId="3F0CF22B" w14:textId="77777777" w:rsidR="002B1DB3" w:rsidRPr="005D1ABF" w:rsidRDefault="002B1DB3" w:rsidP="005D1ABF">
      <w:pPr>
        <w:spacing w:after="0" w:line="240" w:lineRule="auto"/>
        <w:jc w:val="center"/>
        <w:rPr>
          <w:rFonts w:ascii="Times New Roman" w:hAnsi="Times New Roman" w:cs="Times New Roman"/>
          <w:sz w:val="24"/>
          <w:szCs w:val="24"/>
        </w:rPr>
      </w:pPr>
      <w:r w:rsidRPr="005D1ABF">
        <w:rPr>
          <w:rFonts w:ascii="Times New Roman" w:hAnsi="Times New Roman" w:cs="Times New Roman"/>
          <w:i/>
          <w:sz w:val="24"/>
          <w:szCs w:val="24"/>
        </w:rPr>
        <w:t>Prepared in accordance with Part 3 of the Human Rights (Parliamentary Scrutiny) Act 2011</w:t>
      </w:r>
    </w:p>
    <w:p w14:paraId="6EB34318" w14:textId="77777777" w:rsidR="002B1DB3" w:rsidRPr="005D1ABF" w:rsidRDefault="002B1DB3" w:rsidP="005D1ABF">
      <w:pPr>
        <w:spacing w:after="0" w:line="240" w:lineRule="auto"/>
        <w:jc w:val="center"/>
        <w:rPr>
          <w:rFonts w:ascii="Times New Roman" w:hAnsi="Times New Roman" w:cs="Times New Roman"/>
          <w:sz w:val="24"/>
          <w:szCs w:val="24"/>
        </w:rPr>
      </w:pPr>
    </w:p>
    <w:p w14:paraId="6E21EA00" w14:textId="77777777" w:rsidR="002B1DB3" w:rsidRPr="00054227" w:rsidRDefault="00054227" w:rsidP="005D1ABF">
      <w:pPr>
        <w:spacing w:after="0" w:line="240" w:lineRule="auto"/>
        <w:jc w:val="center"/>
        <w:rPr>
          <w:rFonts w:ascii="Times New Roman" w:hAnsi="Times New Roman" w:cs="Times New Roman"/>
          <w:b/>
          <w:color w:val="000000" w:themeColor="text1"/>
          <w:sz w:val="24"/>
          <w:szCs w:val="24"/>
        </w:rPr>
      </w:pPr>
      <w:r w:rsidRPr="00054227">
        <w:rPr>
          <w:rFonts w:ascii="Times New Roman" w:hAnsi="Times New Roman" w:cs="Times New Roman"/>
          <w:b/>
          <w:color w:val="000000" w:themeColor="text1"/>
          <w:sz w:val="24"/>
          <w:szCs w:val="24"/>
        </w:rPr>
        <w:t>Biosecurity Amendment (Approved Arrangements) Regulations 2018</w:t>
      </w:r>
    </w:p>
    <w:p w14:paraId="261AECA0" w14:textId="77777777" w:rsidR="002B1DB3" w:rsidRPr="005D1ABF" w:rsidRDefault="002B1DB3" w:rsidP="005D1ABF">
      <w:pPr>
        <w:spacing w:after="0" w:line="240" w:lineRule="auto"/>
        <w:jc w:val="center"/>
        <w:rPr>
          <w:rFonts w:ascii="Times New Roman" w:hAnsi="Times New Roman" w:cs="Times New Roman"/>
          <w:sz w:val="24"/>
          <w:szCs w:val="24"/>
        </w:rPr>
      </w:pPr>
    </w:p>
    <w:p w14:paraId="71F47BE1" w14:textId="77777777" w:rsidR="002B1DB3" w:rsidRPr="005D1ABF" w:rsidRDefault="002B1DB3" w:rsidP="005D1ABF">
      <w:pPr>
        <w:spacing w:after="0" w:line="240" w:lineRule="auto"/>
        <w:jc w:val="center"/>
        <w:rPr>
          <w:rFonts w:ascii="Times New Roman" w:hAnsi="Times New Roman" w:cs="Times New Roman"/>
          <w:sz w:val="24"/>
          <w:szCs w:val="24"/>
        </w:rPr>
      </w:pPr>
      <w:r w:rsidRPr="005D1ABF">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5D1ABF">
        <w:rPr>
          <w:rFonts w:ascii="Times New Roman" w:hAnsi="Times New Roman" w:cs="Times New Roman"/>
          <w:i/>
          <w:sz w:val="24"/>
          <w:szCs w:val="24"/>
        </w:rPr>
        <w:t>Human Rights (Parliamentary Scrutiny) Act 2011</w:t>
      </w:r>
      <w:r w:rsidRPr="005D1ABF">
        <w:rPr>
          <w:rFonts w:ascii="Times New Roman" w:hAnsi="Times New Roman" w:cs="Times New Roman"/>
          <w:sz w:val="24"/>
          <w:szCs w:val="24"/>
        </w:rPr>
        <w:t>.</w:t>
      </w:r>
    </w:p>
    <w:p w14:paraId="4B416B10" w14:textId="77777777" w:rsidR="002B1DB3" w:rsidRPr="005D1ABF" w:rsidRDefault="002B1DB3" w:rsidP="005D1ABF">
      <w:pPr>
        <w:spacing w:after="0" w:line="240" w:lineRule="auto"/>
        <w:rPr>
          <w:rFonts w:ascii="Times New Roman" w:hAnsi="Times New Roman" w:cs="Times New Roman"/>
          <w:sz w:val="24"/>
          <w:szCs w:val="24"/>
        </w:rPr>
      </w:pPr>
    </w:p>
    <w:p w14:paraId="27B51643" w14:textId="77777777" w:rsidR="002B1DB3" w:rsidRPr="005D1ABF"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Overview of the Legislative Instrument</w:t>
      </w:r>
    </w:p>
    <w:p w14:paraId="6923CCD2" w14:textId="77777777" w:rsidR="003C4F03" w:rsidRPr="003C4F03" w:rsidRDefault="00054227" w:rsidP="003C4F03">
      <w:pPr>
        <w:tabs>
          <w:tab w:val="left" w:pos="1701"/>
          <w:tab w:val="right" w:pos="9072"/>
        </w:tabs>
        <w:spacing w:after="0" w:line="240" w:lineRule="auto"/>
        <w:rPr>
          <w:rFonts w:ascii="Times New Roman" w:hAnsi="Times New Roman" w:cs="Times New Roman"/>
          <w:sz w:val="24"/>
        </w:rPr>
      </w:pPr>
      <w:r w:rsidRPr="003C4F03">
        <w:rPr>
          <w:rFonts w:ascii="Times New Roman" w:hAnsi="Times New Roman" w:cs="Times New Roman"/>
          <w:color w:val="000000" w:themeColor="text1"/>
          <w:sz w:val="24"/>
          <w:szCs w:val="24"/>
        </w:rPr>
        <w:t xml:space="preserve">The purpose of the </w:t>
      </w:r>
      <w:r w:rsidR="003C4F03" w:rsidRPr="003C4F03">
        <w:rPr>
          <w:rFonts w:ascii="Times New Roman" w:hAnsi="Times New Roman" w:cs="Times New Roman"/>
          <w:color w:val="000000" w:themeColor="text1"/>
          <w:sz w:val="24"/>
          <w:szCs w:val="24"/>
        </w:rPr>
        <w:t>Biosecurity Amendment (Approved Arrangements) Regulations 2018</w:t>
      </w:r>
      <w:r w:rsidRPr="003C4F03">
        <w:rPr>
          <w:rFonts w:ascii="Times New Roman" w:hAnsi="Times New Roman" w:cs="Times New Roman"/>
          <w:color w:val="000000" w:themeColor="text1"/>
          <w:sz w:val="24"/>
          <w:szCs w:val="24"/>
        </w:rPr>
        <w:t xml:space="preserve"> is to </w:t>
      </w:r>
      <w:r w:rsidR="003C4F03" w:rsidRPr="003C4F03">
        <w:rPr>
          <w:rFonts w:ascii="Times New Roman" w:hAnsi="Times New Roman" w:cs="Times New Roman"/>
          <w:sz w:val="24"/>
        </w:rPr>
        <w:t xml:space="preserve">specify the persons who are liable to pay the new biosecurity approved arrangement throughput charge introduced in the </w:t>
      </w:r>
      <w:r w:rsidR="003C4F03" w:rsidRPr="003C4F03">
        <w:rPr>
          <w:rFonts w:ascii="Times New Roman" w:hAnsi="Times New Roman" w:cs="Times New Roman"/>
          <w:i/>
          <w:sz w:val="24"/>
        </w:rPr>
        <w:t>Biosecurity Charges Imposition (Customs) Regulation 2016</w:t>
      </w:r>
      <w:r w:rsidR="003C4F03" w:rsidRPr="003C4F03">
        <w:rPr>
          <w:rFonts w:ascii="Times New Roman" w:hAnsi="Times New Roman" w:cs="Times New Roman"/>
          <w:sz w:val="24"/>
        </w:rPr>
        <w:t xml:space="preserve"> and the </w:t>
      </w:r>
      <w:r w:rsidR="003C4F03" w:rsidRPr="003C4F03">
        <w:rPr>
          <w:rFonts w:ascii="Times New Roman" w:hAnsi="Times New Roman" w:cs="Times New Roman"/>
          <w:i/>
          <w:sz w:val="24"/>
        </w:rPr>
        <w:t>Biosecurity Charges Imposition (General) Regulation 2016</w:t>
      </w:r>
      <w:r w:rsidR="003C4F03" w:rsidRPr="003C4F03">
        <w:rPr>
          <w:rFonts w:ascii="Times New Roman" w:hAnsi="Times New Roman" w:cs="Times New Roman"/>
          <w:sz w:val="24"/>
        </w:rPr>
        <w:t xml:space="preserve">. </w:t>
      </w:r>
    </w:p>
    <w:p w14:paraId="1D75953E" w14:textId="77777777" w:rsidR="003C4F03" w:rsidRPr="003C4F03" w:rsidRDefault="003C4F03" w:rsidP="003C4F03">
      <w:pPr>
        <w:tabs>
          <w:tab w:val="left" w:pos="1701"/>
          <w:tab w:val="right" w:pos="9072"/>
        </w:tabs>
        <w:spacing w:after="0" w:line="240" w:lineRule="auto"/>
        <w:rPr>
          <w:rFonts w:ascii="Times New Roman" w:hAnsi="Times New Roman" w:cs="Times New Roman"/>
          <w:sz w:val="24"/>
        </w:rPr>
      </w:pPr>
    </w:p>
    <w:p w14:paraId="42EB3627" w14:textId="77777777" w:rsidR="003C4F03" w:rsidRDefault="003C4F03" w:rsidP="003C4F03">
      <w:pPr>
        <w:tabs>
          <w:tab w:val="left" w:pos="1701"/>
          <w:tab w:val="right" w:pos="9072"/>
        </w:tabs>
        <w:spacing w:after="0" w:line="240" w:lineRule="auto"/>
        <w:rPr>
          <w:rFonts w:ascii="Times New Roman" w:hAnsi="Times New Roman" w:cs="Times New Roman"/>
          <w:sz w:val="24"/>
        </w:rPr>
      </w:pPr>
      <w:r w:rsidRPr="003C4F03">
        <w:rPr>
          <w:rFonts w:ascii="Times New Roman" w:hAnsi="Times New Roman" w:cs="Times New Roman"/>
          <w:sz w:val="24"/>
        </w:rPr>
        <w:t>The new throughput charge will be payable by the person covered by an approved arrangement who made the entry of information to which the charge relates.</w:t>
      </w:r>
    </w:p>
    <w:p w14:paraId="54894CB6" w14:textId="77777777" w:rsidR="002B1DB3" w:rsidRPr="005D1ABF" w:rsidRDefault="002B1DB3" w:rsidP="005D1ABF">
      <w:pPr>
        <w:spacing w:after="0" w:line="240" w:lineRule="auto"/>
        <w:rPr>
          <w:rFonts w:ascii="Times New Roman" w:hAnsi="Times New Roman" w:cs="Times New Roman"/>
          <w:sz w:val="24"/>
          <w:szCs w:val="24"/>
        </w:rPr>
      </w:pPr>
    </w:p>
    <w:p w14:paraId="3250B417" w14:textId="77777777" w:rsidR="002B1DB3" w:rsidRPr="005D1ABF"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Human rights implications</w:t>
      </w:r>
    </w:p>
    <w:p w14:paraId="5D19A541" w14:textId="77777777" w:rsidR="002B1DB3" w:rsidRPr="005D1ABF"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This Legislative Instrument does not engage any of the applicable rights or freedoms.</w:t>
      </w:r>
    </w:p>
    <w:p w14:paraId="3BE592B8" w14:textId="77777777" w:rsidR="002B1DB3" w:rsidRPr="005D1ABF" w:rsidRDefault="002B1DB3" w:rsidP="005D1ABF">
      <w:pPr>
        <w:spacing w:after="0" w:line="240" w:lineRule="auto"/>
        <w:rPr>
          <w:rFonts w:ascii="Times New Roman" w:hAnsi="Times New Roman" w:cs="Times New Roman"/>
          <w:sz w:val="24"/>
          <w:szCs w:val="24"/>
        </w:rPr>
      </w:pPr>
    </w:p>
    <w:p w14:paraId="713A6A18" w14:textId="77777777" w:rsidR="002B1DB3" w:rsidRPr="005D1ABF"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Conclusion</w:t>
      </w:r>
    </w:p>
    <w:p w14:paraId="6904FEF8" w14:textId="77777777" w:rsidR="002B1DB3" w:rsidRPr="005D1ABF"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This Legislative Instrument is compatible with human rights as it does not raise any human rights issues.</w:t>
      </w:r>
    </w:p>
    <w:p w14:paraId="7FB671CB" w14:textId="77777777" w:rsidR="002B1DB3" w:rsidRPr="005D1ABF" w:rsidRDefault="002B1DB3" w:rsidP="005D1ABF">
      <w:pPr>
        <w:spacing w:after="0" w:line="240" w:lineRule="auto"/>
        <w:rPr>
          <w:rFonts w:ascii="Times New Roman" w:hAnsi="Times New Roman" w:cs="Times New Roman"/>
          <w:sz w:val="24"/>
          <w:szCs w:val="24"/>
        </w:rPr>
      </w:pPr>
    </w:p>
    <w:p w14:paraId="153862B3" w14:textId="77777777" w:rsidR="002B1DB3" w:rsidRPr="005D1ABF" w:rsidRDefault="002B1DB3" w:rsidP="005D1ABF">
      <w:pPr>
        <w:spacing w:after="0" w:line="240" w:lineRule="auto"/>
        <w:rPr>
          <w:rFonts w:ascii="Times New Roman" w:hAnsi="Times New Roman" w:cs="Times New Roman"/>
          <w:sz w:val="24"/>
          <w:szCs w:val="24"/>
        </w:rPr>
      </w:pPr>
    </w:p>
    <w:p w14:paraId="2F2F1A83" w14:textId="77777777" w:rsidR="003C4F03" w:rsidRPr="005D1ABF" w:rsidRDefault="003C4F03" w:rsidP="003C4F03">
      <w:pPr>
        <w:spacing w:after="0" w:line="240" w:lineRule="auto"/>
        <w:rPr>
          <w:rFonts w:ascii="Times New Roman" w:hAnsi="Times New Roman" w:cs="Times New Roman"/>
          <w:sz w:val="24"/>
          <w:szCs w:val="24"/>
        </w:rPr>
      </w:pPr>
    </w:p>
    <w:p w14:paraId="3D18D0E2" w14:textId="77777777" w:rsidR="003C4F03" w:rsidRPr="005D1ABF" w:rsidRDefault="003C4F03" w:rsidP="003C4F03">
      <w:pPr>
        <w:spacing w:after="0" w:line="240" w:lineRule="auto"/>
        <w:jc w:val="center"/>
        <w:rPr>
          <w:rFonts w:ascii="Times New Roman" w:hAnsi="Times New Roman" w:cs="Times New Roman"/>
          <w:b/>
          <w:bCs/>
          <w:sz w:val="24"/>
          <w:szCs w:val="24"/>
        </w:rPr>
      </w:pPr>
      <w:r w:rsidRPr="005D1ABF">
        <w:rPr>
          <w:rFonts w:ascii="Times New Roman" w:hAnsi="Times New Roman" w:cs="Times New Roman"/>
          <w:b/>
          <w:bCs/>
          <w:sz w:val="24"/>
          <w:szCs w:val="24"/>
        </w:rPr>
        <w:t xml:space="preserve">The Hon. </w:t>
      </w:r>
      <w:r>
        <w:rPr>
          <w:rFonts w:ascii="Times New Roman" w:hAnsi="Times New Roman" w:cs="Times New Roman"/>
          <w:b/>
          <w:bCs/>
          <w:sz w:val="24"/>
          <w:szCs w:val="24"/>
        </w:rPr>
        <w:t xml:space="preserve">David </w:t>
      </w:r>
      <w:proofErr w:type="spellStart"/>
      <w:r>
        <w:rPr>
          <w:rFonts w:ascii="Times New Roman" w:hAnsi="Times New Roman" w:cs="Times New Roman"/>
          <w:b/>
          <w:bCs/>
          <w:sz w:val="24"/>
          <w:szCs w:val="24"/>
        </w:rPr>
        <w:t>Littleproud</w:t>
      </w:r>
      <w:proofErr w:type="spellEnd"/>
      <w:r w:rsidRPr="005D1ABF">
        <w:rPr>
          <w:rFonts w:ascii="Times New Roman" w:hAnsi="Times New Roman" w:cs="Times New Roman"/>
          <w:b/>
          <w:bCs/>
          <w:sz w:val="24"/>
          <w:szCs w:val="24"/>
        </w:rPr>
        <w:t xml:space="preserve"> MP</w:t>
      </w:r>
    </w:p>
    <w:p w14:paraId="7C1237E7" w14:textId="77777777" w:rsidR="003C4F03" w:rsidRPr="005D1ABF" w:rsidRDefault="003C4F03" w:rsidP="003C4F03">
      <w:pPr>
        <w:spacing w:after="0" w:line="240" w:lineRule="auto"/>
        <w:jc w:val="center"/>
        <w:rPr>
          <w:rFonts w:ascii="Times New Roman" w:hAnsi="Times New Roman" w:cs="Times New Roman"/>
          <w:b/>
          <w:bCs/>
          <w:sz w:val="24"/>
          <w:szCs w:val="24"/>
        </w:rPr>
      </w:pPr>
      <w:r w:rsidRPr="005D1ABF">
        <w:rPr>
          <w:rFonts w:ascii="Times New Roman" w:hAnsi="Times New Roman" w:cs="Times New Roman"/>
          <w:b/>
          <w:bCs/>
          <w:sz w:val="24"/>
          <w:szCs w:val="24"/>
        </w:rPr>
        <w:t>Minister for Agriculture and Water Resources</w:t>
      </w:r>
    </w:p>
    <w:p w14:paraId="61F795E6" w14:textId="77777777" w:rsidR="003C4F03" w:rsidRPr="005D1ABF" w:rsidRDefault="003C4F03" w:rsidP="003C4F03">
      <w:pPr>
        <w:rPr>
          <w:rFonts w:ascii="Times New Roman" w:hAnsi="Times New Roman" w:cs="Times New Roman"/>
          <w:sz w:val="24"/>
          <w:szCs w:val="24"/>
          <w:lang w:val="en-GB"/>
        </w:rPr>
      </w:pPr>
    </w:p>
    <w:p w14:paraId="723E717E" w14:textId="77777777" w:rsidR="00FA26FF" w:rsidRPr="005D1ABF" w:rsidRDefault="00FA26FF" w:rsidP="003C4F03">
      <w:pPr>
        <w:spacing w:after="0" w:line="240" w:lineRule="auto"/>
        <w:jc w:val="center"/>
        <w:rPr>
          <w:rFonts w:ascii="Times New Roman" w:hAnsi="Times New Roman" w:cs="Times New Roman"/>
          <w:sz w:val="24"/>
          <w:szCs w:val="24"/>
          <w:lang w:val="en-GB"/>
        </w:rPr>
      </w:pPr>
    </w:p>
    <w:sectPr w:rsidR="00FA26FF" w:rsidRPr="005D1ABF" w:rsidSect="001C09FB">
      <w:headerReference w:type="default" r:id="rId9"/>
      <w:footerReference w:type="default" r:id="rId10"/>
      <w:headerReference w:type="first" r:id="rId11"/>
      <w:footerReference w:type="first" r:id="rId12"/>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F03E96" w14:textId="77777777" w:rsidR="00B65C14" w:rsidRDefault="00B65C14" w:rsidP="00151C54">
      <w:r>
        <w:separator/>
      </w:r>
    </w:p>
  </w:endnote>
  <w:endnote w:type="continuationSeparator" w:id="0">
    <w:p w14:paraId="2E2838A0" w14:textId="77777777" w:rsidR="00B65C14" w:rsidRDefault="00B65C14"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38669" w14:textId="77777777" w:rsidR="00273C11" w:rsidRPr="00273C11" w:rsidRDefault="00273C11" w:rsidP="00273C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87894" w14:textId="77777777" w:rsidR="00273C11" w:rsidRPr="00273C11" w:rsidRDefault="00273C11" w:rsidP="00273C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675417" w14:textId="77777777" w:rsidR="00B65C14" w:rsidRDefault="00B65C14" w:rsidP="00151C54">
      <w:r>
        <w:separator/>
      </w:r>
    </w:p>
  </w:footnote>
  <w:footnote w:type="continuationSeparator" w:id="0">
    <w:p w14:paraId="6F863C37" w14:textId="77777777" w:rsidR="00B65C14" w:rsidRDefault="00B65C14" w:rsidP="00151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28D2E" w14:textId="77777777" w:rsidR="00273C11" w:rsidRPr="00273C11" w:rsidRDefault="00273C11" w:rsidP="00273C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050BE" w14:textId="77777777" w:rsidR="00273C11" w:rsidRPr="005D1ABF" w:rsidRDefault="00273C11" w:rsidP="005D1A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8">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9">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7"/>
  </w:num>
  <w:num w:numId="2">
    <w:abstractNumId w:val="16"/>
  </w:num>
  <w:num w:numId="3">
    <w:abstractNumId w:val="10"/>
  </w:num>
  <w:num w:numId="4">
    <w:abstractNumId w:val="3"/>
  </w:num>
  <w:num w:numId="5">
    <w:abstractNumId w:val="1"/>
  </w:num>
  <w:num w:numId="6">
    <w:abstractNumId w:val="6"/>
  </w:num>
  <w:num w:numId="7">
    <w:abstractNumId w:val="2"/>
  </w:num>
  <w:num w:numId="8">
    <w:abstractNumId w:val="4"/>
  </w:num>
  <w:num w:numId="9">
    <w:abstractNumId w:val="5"/>
  </w:num>
  <w:num w:numId="10">
    <w:abstractNumId w:val="13"/>
  </w:num>
  <w:num w:numId="11">
    <w:abstractNumId w:val="14"/>
  </w:num>
  <w:num w:numId="12">
    <w:abstractNumId w:val="8"/>
  </w:num>
  <w:num w:numId="13">
    <w:abstractNumId w:val="8"/>
    <w:lvlOverride w:ilvl="0">
      <w:startOverride w:val="1"/>
    </w:lvlOverride>
  </w:num>
  <w:num w:numId="14">
    <w:abstractNumId w:val="0"/>
  </w:num>
  <w:num w:numId="15">
    <w:abstractNumId w:val="12"/>
  </w:num>
  <w:num w:numId="16">
    <w:abstractNumId w:val="15"/>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C14"/>
    <w:rsid w:val="000223C5"/>
    <w:rsid w:val="00035636"/>
    <w:rsid w:val="000503F4"/>
    <w:rsid w:val="00054227"/>
    <w:rsid w:val="000629B8"/>
    <w:rsid w:val="000645AB"/>
    <w:rsid w:val="00092F2C"/>
    <w:rsid w:val="000962BA"/>
    <w:rsid w:val="000976DB"/>
    <w:rsid w:val="000A52A2"/>
    <w:rsid w:val="000A65F6"/>
    <w:rsid w:val="000B129E"/>
    <w:rsid w:val="000B72F5"/>
    <w:rsid w:val="000C3693"/>
    <w:rsid w:val="000D07B5"/>
    <w:rsid w:val="000D47C0"/>
    <w:rsid w:val="000D78D6"/>
    <w:rsid w:val="000F08F2"/>
    <w:rsid w:val="00102163"/>
    <w:rsid w:val="001125D9"/>
    <w:rsid w:val="00113C4E"/>
    <w:rsid w:val="0012062A"/>
    <w:rsid w:val="00127498"/>
    <w:rsid w:val="0012775E"/>
    <w:rsid w:val="001372D1"/>
    <w:rsid w:val="00151C54"/>
    <w:rsid w:val="00153032"/>
    <w:rsid w:val="00161CE2"/>
    <w:rsid w:val="001669D6"/>
    <w:rsid w:val="001746B7"/>
    <w:rsid w:val="00175BD8"/>
    <w:rsid w:val="00180DEF"/>
    <w:rsid w:val="001813AC"/>
    <w:rsid w:val="0018228A"/>
    <w:rsid w:val="001A5CE3"/>
    <w:rsid w:val="001C09FB"/>
    <w:rsid w:val="001D006D"/>
    <w:rsid w:val="001D5B29"/>
    <w:rsid w:val="001E1A14"/>
    <w:rsid w:val="001E6727"/>
    <w:rsid w:val="001F47AF"/>
    <w:rsid w:val="001F5A48"/>
    <w:rsid w:val="00203AAB"/>
    <w:rsid w:val="00224D28"/>
    <w:rsid w:val="002520F9"/>
    <w:rsid w:val="00271C2E"/>
    <w:rsid w:val="002737B5"/>
    <w:rsid w:val="00273C11"/>
    <w:rsid w:val="0029727D"/>
    <w:rsid w:val="002A500B"/>
    <w:rsid w:val="002A6619"/>
    <w:rsid w:val="002B1DB3"/>
    <w:rsid w:val="002B2B54"/>
    <w:rsid w:val="002D2972"/>
    <w:rsid w:val="002D3CE5"/>
    <w:rsid w:val="002D41BA"/>
    <w:rsid w:val="002F2F4C"/>
    <w:rsid w:val="003015AF"/>
    <w:rsid w:val="00303794"/>
    <w:rsid w:val="003064B1"/>
    <w:rsid w:val="003228F6"/>
    <w:rsid w:val="0036102F"/>
    <w:rsid w:val="003710C0"/>
    <w:rsid w:val="003869BF"/>
    <w:rsid w:val="003A2479"/>
    <w:rsid w:val="003C4F03"/>
    <w:rsid w:val="003D6D6F"/>
    <w:rsid w:val="003E0906"/>
    <w:rsid w:val="003E5CA0"/>
    <w:rsid w:val="00402F72"/>
    <w:rsid w:val="00417598"/>
    <w:rsid w:val="004223EC"/>
    <w:rsid w:val="00442785"/>
    <w:rsid w:val="004565E0"/>
    <w:rsid w:val="004607C8"/>
    <w:rsid w:val="00461420"/>
    <w:rsid w:val="00470AE8"/>
    <w:rsid w:val="00483CF0"/>
    <w:rsid w:val="00485C1E"/>
    <w:rsid w:val="004A3A20"/>
    <w:rsid w:val="004B0DD7"/>
    <w:rsid w:val="004C276E"/>
    <w:rsid w:val="004C5892"/>
    <w:rsid w:val="004D257B"/>
    <w:rsid w:val="0050168F"/>
    <w:rsid w:val="0050279C"/>
    <w:rsid w:val="00524522"/>
    <w:rsid w:val="00543544"/>
    <w:rsid w:val="00547846"/>
    <w:rsid w:val="005505AB"/>
    <w:rsid w:val="005664BC"/>
    <w:rsid w:val="00582E28"/>
    <w:rsid w:val="005B6B55"/>
    <w:rsid w:val="005B759C"/>
    <w:rsid w:val="005C1AC3"/>
    <w:rsid w:val="005C7337"/>
    <w:rsid w:val="005D1ABF"/>
    <w:rsid w:val="005D53EF"/>
    <w:rsid w:val="005E2C39"/>
    <w:rsid w:val="005E3D4B"/>
    <w:rsid w:val="005F66F2"/>
    <w:rsid w:val="006022C4"/>
    <w:rsid w:val="006327D8"/>
    <w:rsid w:val="00633472"/>
    <w:rsid w:val="006400BC"/>
    <w:rsid w:val="0064772B"/>
    <w:rsid w:val="00650566"/>
    <w:rsid w:val="00652426"/>
    <w:rsid w:val="00653C86"/>
    <w:rsid w:val="006553D3"/>
    <w:rsid w:val="00690055"/>
    <w:rsid w:val="006A320D"/>
    <w:rsid w:val="006A3C43"/>
    <w:rsid w:val="006C7F82"/>
    <w:rsid w:val="006E6178"/>
    <w:rsid w:val="00700F91"/>
    <w:rsid w:val="00720AEC"/>
    <w:rsid w:val="00725DC1"/>
    <w:rsid w:val="00734BCB"/>
    <w:rsid w:val="00745BFD"/>
    <w:rsid w:val="00767639"/>
    <w:rsid w:val="00767D95"/>
    <w:rsid w:val="00784976"/>
    <w:rsid w:val="00794F9C"/>
    <w:rsid w:val="007B3C0B"/>
    <w:rsid w:val="007B3C56"/>
    <w:rsid w:val="007C45D8"/>
    <w:rsid w:val="007F21BF"/>
    <w:rsid w:val="00813B12"/>
    <w:rsid w:val="008224BE"/>
    <w:rsid w:val="0082572E"/>
    <w:rsid w:val="008300B9"/>
    <w:rsid w:val="00841053"/>
    <w:rsid w:val="0085100D"/>
    <w:rsid w:val="008528A9"/>
    <w:rsid w:val="00870516"/>
    <w:rsid w:val="00877C5B"/>
    <w:rsid w:val="00896EBE"/>
    <w:rsid w:val="0089780D"/>
    <w:rsid w:val="008B370D"/>
    <w:rsid w:val="008B73F3"/>
    <w:rsid w:val="008C1C7B"/>
    <w:rsid w:val="008C3F1D"/>
    <w:rsid w:val="008D29F0"/>
    <w:rsid w:val="008D4378"/>
    <w:rsid w:val="009152CA"/>
    <w:rsid w:val="00922C40"/>
    <w:rsid w:val="00961FB9"/>
    <w:rsid w:val="00973468"/>
    <w:rsid w:val="00987386"/>
    <w:rsid w:val="009908D6"/>
    <w:rsid w:val="00992814"/>
    <w:rsid w:val="00995D93"/>
    <w:rsid w:val="009966B9"/>
    <w:rsid w:val="009A11A2"/>
    <w:rsid w:val="009A38F6"/>
    <w:rsid w:val="009B3BDE"/>
    <w:rsid w:val="009E336D"/>
    <w:rsid w:val="009E61C5"/>
    <w:rsid w:val="00A351C1"/>
    <w:rsid w:val="00A37FDF"/>
    <w:rsid w:val="00A426C7"/>
    <w:rsid w:val="00A629BA"/>
    <w:rsid w:val="00A70B8B"/>
    <w:rsid w:val="00A75CCD"/>
    <w:rsid w:val="00A806A9"/>
    <w:rsid w:val="00A92EDB"/>
    <w:rsid w:val="00A94733"/>
    <w:rsid w:val="00AD4432"/>
    <w:rsid w:val="00B030B7"/>
    <w:rsid w:val="00B15721"/>
    <w:rsid w:val="00B20EBE"/>
    <w:rsid w:val="00B26C7F"/>
    <w:rsid w:val="00B37AB7"/>
    <w:rsid w:val="00B43366"/>
    <w:rsid w:val="00B452D1"/>
    <w:rsid w:val="00B47343"/>
    <w:rsid w:val="00B57443"/>
    <w:rsid w:val="00B65C14"/>
    <w:rsid w:val="00B66DFF"/>
    <w:rsid w:val="00B80A1E"/>
    <w:rsid w:val="00BA0B39"/>
    <w:rsid w:val="00BB4AD3"/>
    <w:rsid w:val="00BB4CD3"/>
    <w:rsid w:val="00BB7041"/>
    <w:rsid w:val="00BC12A9"/>
    <w:rsid w:val="00BC6B2F"/>
    <w:rsid w:val="00BD34E3"/>
    <w:rsid w:val="00BD3594"/>
    <w:rsid w:val="00BE6861"/>
    <w:rsid w:val="00C06F49"/>
    <w:rsid w:val="00C142FA"/>
    <w:rsid w:val="00C154F5"/>
    <w:rsid w:val="00C32367"/>
    <w:rsid w:val="00C36CC7"/>
    <w:rsid w:val="00C463C2"/>
    <w:rsid w:val="00C52CC5"/>
    <w:rsid w:val="00C55BA8"/>
    <w:rsid w:val="00C57334"/>
    <w:rsid w:val="00C658AE"/>
    <w:rsid w:val="00C71AA3"/>
    <w:rsid w:val="00C81402"/>
    <w:rsid w:val="00C9474A"/>
    <w:rsid w:val="00CB26E2"/>
    <w:rsid w:val="00CD7150"/>
    <w:rsid w:val="00CE72E2"/>
    <w:rsid w:val="00CE73AE"/>
    <w:rsid w:val="00CF1E27"/>
    <w:rsid w:val="00CF2006"/>
    <w:rsid w:val="00CF7161"/>
    <w:rsid w:val="00D0550D"/>
    <w:rsid w:val="00D076DD"/>
    <w:rsid w:val="00D121A6"/>
    <w:rsid w:val="00D45E13"/>
    <w:rsid w:val="00D50EA2"/>
    <w:rsid w:val="00D557BA"/>
    <w:rsid w:val="00D70F10"/>
    <w:rsid w:val="00D74299"/>
    <w:rsid w:val="00D93E42"/>
    <w:rsid w:val="00DA2671"/>
    <w:rsid w:val="00DD2C31"/>
    <w:rsid w:val="00DE2764"/>
    <w:rsid w:val="00DE6B9D"/>
    <w:rsid w:val="00DF3F6E"/>
    <w:rsid w:val="00E17A7C"/>
    <w:rsid w:val="00E34976"/>
    <w:rsid w:val="00E555F7"/>
    <w:rsid w:val="00E57D7B"/>
    <w:rsid w:val="00E70274"/>
    <w:rsid w:val="00E76AB5"/>
    <w:rsid w:val="00E76E8E"/>
    <w:rsid w:val="00E922D3"/>
    <w:rsid w:val="00E9571B"/>
    <w:rsid w:val="00EA7474"/>
    <w:rsid w:val="00EC4AD6"/>
    <w:rsid w:val="00EE0A3F"/>
    <w:rsid w:val="00EE1E15"/>
    <w:rsid w:val="00F11BB3"/>
    <w:rsid w:val="00F12365"/>
    <w:rsid w:val="00F13CA2"/>
    <w:rsid w:val="00F95723"/>
    <w:rsid w:val="00FA26FF"/>
    <w:rsid w:val="00FA65D3"/>
    <w:rsid w:val="00FB4B41"/>
    <w:rsid w:val="00FE4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5BC5B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C31EA-F087-47B8-8DB5-D90A585E6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1287</Words>
  <Characters>7340</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8610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Meritt Nassif</dc:creator>
  <cp:lastModifiedBy>Farrell, Jeremy</cp:lastModifiedBy>
  <cp:revision>2</cp:revision>
  <cp:lastPrinted>2018-07-25T02:21:00Z</cp:lastPrinted>
  <dcterms:created xsi:type="dcterms:W3CDTF">2018-08-16T22:58:00Z</dcterms:created>
  <dcterms:modified xsi:type="dcterms:W3CDTF">2018-08-16T22:58:00Z</dcterms:modified>
</cp:coreProperties>
</file>