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2011C" w14:textId="77777777" w:rsidR="002F2B36" w:rsidRPr="00985EAF" w:rsidRDefault="002F2B36" w:rsidP="002F2B36">
      <w:pPr>
        <w:jc w:val="center"/>
        <w:rPr>
          <w:rFonts w:ascii="Times New Roman" w:hAnsi="Times New Roman" w:cs="Times New Roman"/>
          <w:b/>
          <w:u w:val="single"/>
        </w:rPr>
      </w:pPr>
      <w:r w:rsidRPr="00985EAF">
        <w:rPr>
          <w:rFonts w:ascii="Times New Roman" w:hAnsi="Times New Roman" w:cs="Times New Roman"/>
          <w:b/>
          <w:u w:val="single"/>
        </w:rPr>
        <w:t>EXPLANATORY STATEMENT</w:t>
      </w:r>
    </w:p>
    <w:p w14:paraId="29F154C8" w14:textId="77777777" w:rsidR="002F2B36" w:rsidRPr="00985EAF" w:rsidRDefault="002F2B36" w:rsidP="002F2B36">
      <w:pPr>
        <w:jc w:val="center"/>
        <w:rPr>
          <w:rFonts w:ascii="Times New Roman" w:hAnsi="Times New Roman" w:cs="Times New Roman"/>
        </w:rPr>
      </w:pPr>
      <w:r w:rsidRPr="00985EAF">
        <w:rPr>
          <w:rFonts w:ascii="Times New Roman" w:hAnsi="Times New Roman" w:cs="Times New Roman"/>
        </w:rPr>
        <w:t>Issued by the authority of the</w:t>
      </w:r>
      <w:r w:rsidR="00C343B5">
        <w:rPr>
          <w:rFonts w:ascii="Times New Roman" w:hAnsi="Times New Roman" w:cs="Times New Roman"/>
        </w:rPr>
        <w:t xml:space="preserve"> Attorney-General</w:t>
      </w:r>
    </w:p>
    <w:p w14:paraId="2A4E4CAE" w14:textId="77777777" w:rsidR="002F2B36" w:rsidRPr="00B317AE" w:rsidRDefault="00C343B5" w:rsidP="002F2B36">
      <w:pPr>
        <w:jc w:val="center"/>
        <w:rPr>
          <w:rFonts w:ascii="Times New Roman" w:hAnsi="Times New Roman" w:cs="Times New Roman"/>
          <w:i/>
          <w:color w:val="FF0000"/>
        </w:rPr>
      </w:pPr>
      <w:r>
        <w:rPr>
          <w:rFonts w:ascii="Times New Roman" w:hAnsi="Times New Roman" w:cs="Times New Roman"/>
          <w:i/>
        </w:rPr>
        <w:t>Foreign Evidence Act 1994</w:t>
      </w:r>
    </w:p>
    <w:p w14:paraId="18E088C1" w14:textId="77777777" w:rsidR="002F2B36" w:rsidRPr="00985EAF" w:rsidRDefault="00C343B5" w:rsidP="002F2B36">
      <w:pPr>
        <w:jc w:val="center"/>
        <w:rPr>
          <w:rFonts w:ascii="Times New Roman" w:hAnsi="Times New Roman" w:cs="Times New Roman"/>
          <w:i/>
        </w:rPr>
      </w:pPr>
      <w:r>
        <w:rPr>
          <w:rFonts w:ascii="Times New Roman" w:hAnsi="Times New Roman" w:cs="Times New Roman"/>
          <w:i/>
        </w:rPr>
        <w:t>Foreign Evidence (Foreign Material – Criminal and Related Civil Proceedings) Regulations 2018</w:t>
      </w:r>
    </w:p>
    <w:p w14:paraId="78EB09E9" w14:textId="77777777" w:rsidR="00520C7B" w:rsidRDefault="002F2B36" w:rsidP="00A618C5">
      <w:pPr>
        <w:rPr>
          <w:rFonts w:ascii="Times New Roman" w:hAnsi="Times New Roman" w:cs="Times New Roman"/>
        </w:rPr>
      </w:pPr>
      <w:r w:rsidRPr="00985EAF">
        <w:rPr>
          <w:rFonts w:ascii="Times New Roman" w:hAnsi="Times New Roman" w:cs="Times New Roman"/>
        </w:rPr>
        <w:t xml:space="preserve">Section </w:t>
      </w:r>
      <w:r w:rsidR="00C343B5">
        <w:rPr>
          <w:rFonts w:ascii="Times New Roman" w:hAnsi="Times New Roman" w:cs="Times New Roman"/>
        </w:rPr>
        <w:t xml:space="preserve">46 </w:t>
      </w:r>
      <w:r w:rsidR="00AA2F63">
        <w:rPr>
          <w:rFonts w:ascii="Times New Roman" w:hAnsi="Times New Roman" w:cs="Times New Roman"/>
        </w:rPr>
        <w:t xml:space="preserve">of the </w:t>
      </w:r>
      <w:r w:rsidR="00AA2F63" w:rsidRPr="00E63F91">
        <w:rPr>
          <w:rFonts w:ascii="Times New Roman" w:hAnsi="Times New Roman" w:cs="Times New Roman"/>
        </w:rPr>
        <w:t>Act</w:t>
      </w:r>
      <w:r w:rsidR="00AA2F63">
        <w:rPr>
          <w:rFonts w:ascii="Times New Roman" w:hAnsi="Times New Roman" w:cs="Times New Roman"/>
        </w:rPr>
        <w:t xml:space="preserve"> provides that the </w:t>
      </w:r>
      <w:r w:rsidRPr="00985EAF">
        <w:rPr>
          <w:rFonts w:ascii="Times New Roman" w:hAnsi="Times New Roman" w:cs="Times New Roman"/>
        </w:rPr>
        <w:t>Governor-General</w:t>
      </w:r>
      <w:r w:rsidR="00AA2F63">
        <w:rPr>
          <w:rFonts w:ascii="Times New Roman" w:hAnsi="Times New Roman" w:cs="Times New Roman"/>
        </w:rPr>
        <w:t xml:space="preserve"> </w:t>
      </w:r>
      <w:r w:rsidR="0088329E" w:rsidRPr="00985EAF">
        <w:rPr>
          <w:rFonts w:ascii="Times New Roman" w:hAnsi="Times New Roman" w:cs="Times New Roman"/>
        </w:rPr>
        <w:t>may make regulations</w:t>
      </w:r>
      <w:r w:rsidR="00C343B5">
        <w:rPr>
          <w:rFonts w:ascii="Times New Roman" w:hAnsi="Times New Roman" w:cs="Times New Roman"/>
        </w:rPr>
        <w:t xml:space="preserve"> prescribing matters required or permitted by the Act to be prescribed, or necessary or convenient to be prescribed by carrying out or giving effect to </w:t>
      </w:r>
      <w:r w:rsidR="008E6031">
        <w:rPr>
          <w:rFonts w:ascii="Times New Roman" w:hAnsi="Times New Roman" w:cs="Times New Roman"/>
        </w:rPr>
        <w:t xml:space="preserve">the </w:t>
      </w:r>
      <w:r w:rsidR="00C343B5">
        <w:rPr>
          <w:rFonts w:ascii="Times New Roman" w:hAnsi="Times New Roman" w:cs="Times New Roman"/>
        </w:rPr>
        <w:t>Act.</w:t>
      </w:r>
      <w:r w:rsidR="00520C7B">
        <w:rPr>
          <w:rFonts w:ascii="Times New Roman" w:hAnsi="Times New Roman" w:cs="Times New Roman"/>
        </w:rPr>
        <w:t xml:space="preserve"> </w:t>
      </w:r>
    </w:p>
    <w:p w14:paraId="6BE81984" w14:textId="0D53AE15" w:rsidR="000166BB" w:rsidRPr="008B1FF2" w:rsidRDefault="000166BB" w:rsidP="000166BB">
      <w:pPr>
        <w:rPr>
          <w:rFonts w:ascii="Times New Roman" w:hAnsi="Times New Roman" w:cs="Times New Roman"/>
          <w:b/>
        </w:rPr>
      </w:pPr>
      <w:r w:rsidRPr="008B1FF2">
        <w:rPr>
          <w:rFonts w:ascii="Times New Roman" w:hAnsi="Times New Roman" w:cs="Times New Roman"/>
          <w:b/>
          <w:i/>
        </w:rPr>
        <w:t xml:space="preserve">The </w:t>
      </w:r>
      <w:r w:rsidR="001D62CB" w:rsidRPr="008B1FF2">
        <w:rPr>
          <w:rFonts w:ascii="Times New Roman" w:hAnsi="Times New Roman" w:cs="Times New Roman"/>
          <w:b/>
          <w:i/>
        </w:rPr>
        <w:t xml:space="preserve">Foreign Evidence Act 1994 </w:t>
      </w:r>
      <w:r w:rsidR="001D62CB" w:rsidRPr="008B1FF2">
        <w:rPr>
          <w:rFonts w:ascii="Times New Roman" w:hAnsi="Times New Roman" w:cs="Times New Roman"/>
          <w:b/>
        </w:rPr>
        <w:t>(the Act)</w:t>
      </w:r>
    </w:p>
    <w:p w14:paraId="4227D01E" w14:textId="34919578" w:rsidR="000166BB" w:rsidRDefault="000166BB" w:rsidP="000166BB">
      <w:pPr>
        <w:rPr>
          <w:rFonts w:ascii="Times New Roman" w:hAnsi="Times New Roman" w:cs="Times New Roman"/>
        </w:rPr>
      </w:pPr>
      <w:r>
        <w:rPr>
          <w:rFonts w:ascii="Times New Roman" w:hAnsi="Times New Roman" w:cs="Times New Roman"/>
        </w:rPr>
        <w:t>Part 3 of t</w:t>
      </w:r>
      <w:r w:rsidRPr="00985EAF">
        <w:rPr>
          <w:rFonts w:ascii="Times New Roman" w:hAnsi="Times New Roman" w:cs="Times New Roman"/>
        </w:rPr>
        <w:t>he</w:t>
      </w:r>
      <w:r>
        <w:rPr>
          <w:rFonts w:ascii="Times New Roman" w:hAnsi="Times New Roman" w:cs="Times New Roman"/>
        </w:rPr>
        <w:t xml:space="preserve"> </w:t>
      </w:r>
      <w:r w:rsidRPr="00985EAF">
        <w:rPr>
          <w:rFonts w:ascii="Times New Roman" w:hAnsi="Times New Roman" w:cs="Times New Roman"/>
        </w:rPr>
        <w:t xml:space="preserve">Act </w:t>
      </w:r>
      <w:r>
        <w:rPr>
          <w:rFonts w:ascii="Times New Roman" w:hAnsi="Times New Roman" w:cs="Times New Roman"/>
        </w:rPr>
        <w:t>enables evidence obtained from other countries to be adduced in certain criminal proceedings, related civil proceedings and proceeds of crime proceedings in Australian courts.</w:t>
      </w:r>
      <w:r w:rsidRPr="00520C7B">
        <w:rPr>
          <w:rFonts w:ascii="Times New Roman" w:hAnsi="Times New Roman" w:cs="Times New Roman"/>
        </w:rPr>
        <w:t xml:space="preserve"> </w:t>
      </w:r>
      <w:r>
        <w:rPr>
          <w:rFonts w:ascii="Times New Roman" w:hAnsi="Times New Roman" w:cs="Times New Roman"/>
        </w:rPr>
        <w:t>These Regulations enable Part 3 of the Act to apply to proceedings in courts in States and Territories.</w:t>
      </w:r>
    </w:p>
    <w:p w14:paraId="0C67EFC9" w14:textId="77777777" w:rsidR="00FD69A2" w:rsidRDefault="00F268AA" w:rsidP="006563A1">
      <w:pPr>
        <w:rPr>
          <w:rFonts w:ascii="Times New Roman" w:hAnsi="Times New Roman" w:cs="Times New Roman"/>
        </w:rPr>
      </w:pPr>
      <w:r>
        <w:rPr>
          <w:rFonts w:ascii="Times New Roman" w:hAnsi="Times New Roman" w:cs="Times New Roman"/>
        </w:rPr>
        <w:t xml:space="preserve">The Attorney-General can request international assistance </w:t>
      </w:r>
      <w:r w:rsidR="007F674E">
        <w:rPr>
          <w:rFonts w:ascii="Times New Roman" w:hAnsi="Times New Roman" w:cs="Times New Roman"/>
        </w:rPr>
        <w:t>to</w:t>
      </w:r>
      <w:r>
        <w:rPr>
          <w:rFonts w:ascii="Times New Roman" w:hAnsi="Times New Roman" w:cs="Times New Roman"/>
        </w:rPr>
        <w:t xml:space="preserve"> gather foreign evidence from other countries</w:t>
      </w:r>
      <w:r w:rsidR="00B37F8D">
        <w:rPr>
          <w:rFonts w:ascii="Times New Roman" w:hAnsi="Times New Roman" w:cs="Times New Roman"/>
        </w:rPr>
        <w:t xml:space="preserve"> for the purposes of domestic proceedings</w:t>
      </w:r>
      <w:r>
        <w:rPr>
          <w:rFonts w:ascii="Times New Roman" w:hAnsi="Times New Roman" w:cs="Times New Roman"/>
        </w:rPr>
        <w:t>.</w:t>
      </w:r>
      <w:r w:rsidR="00696393">
        <w:rPr>
          <w:rFonts w:ascii="Times New Roman" w:hAnsi="Times New Roman" w:cs="Times New Roman"/>
        </w:rPr>
        <w:t xml:space="preserve"> </w:t>
      </w:r>
      <w:r>
        <w:rPr>
          <w:rFonts w:ascii="Times New Roman" w:hAnsi="Times New Roman" w:cs="Times New Roman"/>
        </w:rPr>
        <w:t xml:space="preserve">For example, Australia </w:t>
      </w:r>
      <w:r w:rsidR="00E548AF">
        <w:rPr>
          <w:rFonts w:ascii="Times New Roman" w:hAnsi="Times New Roman" w:cs="Times New Roman"/>
        </w:rPr>
        <w:t xml:space="preserve">can </w:t>
      </w:r>
      <w:r w:rsidR="00B37F8D">
        <w:rPr>
          <w:rFonts w:ascii="Times New Roman" w:hAnsi="Times New Roman" w:cs="Times New Roman"/>
        </w:rPr>
        <w:t>make request</w:t>
      </w:r>
      <w:r w:rsidR="00E548AF">
        <w:rPr>
          <w:rFonts w:ascii="Times New Roman" w:hAnsi="Times New Roman" w:cs="Times New Roman"/>
        </w:rPr>
        <w:t>s</w:t>
      </w:r>
      <w:r w:rsidR="00B37F8D">
        <w:rPr>
          <w:rFonts w:ascii="Times New Roman" w:hAnsi="Times New Roman" w:cs="Times New Roman"/>
        </w:rPr>
        <w:t xml:space="preserve"> to other countr</w:t>
      </w:r>
      <w:r w:rsidR="00E548AF">
        <w:rPr>
          <w:rFonts w:ascii="Times New Roman" w:hAnsi="Times New Roman" w:cs="Times New Roman"/>
        </w:rPr>
        <w:t xml:space="preserve">ies </w:t>
      </w:r>
      <w:r w:rsidR="00B37F8D">
        <w:rPr>
          <w:rFonts w:ascii="Times New Roman" w:hAnsi="Times New Roman" w:cs="Times New Roman"/>
        </w:rPr>
        <w:t xml:space="preserve">under the </w:t>
      </w:r>
      <w:r w:rsidR="00B37F8D">
        <w:rPr>
          <w:rFonts w:ascii="Times New Roman" w:hAnsi="Times New Roman" w:cs="Times New Roman"/>
          <w:i/>
        </w:rPr>
        <w:t>Mutual Assistance in Criminal Matters Act 1987</w:t>
      </w:r>
      <w:r w:rsidR="00B37F8D">
        <w:rPr>
          <w:rFonts w:ascii="Times New Roman" w:hAnsi="Times New Roman" w:cs="Times New Roman"/>
        </w:rPr>
        <w:t xml:space="preserve"> for </w:t>
      </w:r>
      <w:r w:rsidR="007B2772">
        <w:rPr>
          <w:rFonts w:ascii="Times New Roman" w:hAnsi="Times New Roman" w:cs="Times New Roman"/>
        </w:rPr>
        <w:t xml:space="preserve">evidence, such as </w:t>
      </w:r>
      <w:r>
        <w:rPr>
          <w:rFonts w:ascii="Times New Roman" w:hAnsi="Times New Roman" w:cs="Times New Roman"/>
        </w:rPr>
        <w:t xml:space="preserve">business records </w:t>
      </w:r>
      <w:r w:rsidR="00F23744">
        <w:rPr>
          <w:rFonts w:ascii="Times New Roman" w:hAnsi="Times New Roman" w:cs="Times New Roman"/>
        </w:rPr>
        <w:t xml:space="preserve">or </w:t>
      </w:r>
      <w:r>
        <w:rPr>
          <w:rFonts w:ascii="Times New Roman" w:hAnsi="Times New Roman" w:cs="Times New Roman"/>
        </w:rPr>
        <w:t>witness statements</w:t>
      </w:r>
      <w:r w:rsidR="007B2772">
        <w:rPr>
          <w:rFonts w:ascii="Times New Roman" w:hAnsi="Times New Roman" w:cs="Times New Roman"/>
        </w:rPr>
        <w:t>,</w:t>
      </w:r>
      <w:r>
        <w:rPr>
          <w:rFonts w:ascii="Times New Roman" w:hAnsi="Times New Roman" w:cs="Times New Roman"/>
        </w:rPr>
        <w:t xml:space="preserve"> </w:t>
      </w:r>
      <w:r w:rsidR="00D862D7">
        <w:rPr>
          <w:rFonts w:ascii="Times New Roman" w:hAnsi="Times New Roman" w:cs="Times New Roman"/>
        </w:rPr>
        <w:t xml:space="preserve">during the course of an investigation </w:t>
      </w:r>
      <w:r w:rsidR="00B37F8D">
        <w:rPr>
          <w:rFonts w:ascii="Times New Roman" w:hAnsi="Times New Roman" w:cs="Times New Roman"/>
        </w:rPr>
        <w:t>into</w:t>
      </w:r>
      <w:r w:rsidR="00D862D7">
        <w:rPr>
          <w:rFonts w:ascii="Times New Roman" w:hAnsi="Times New Roman" w:cs="Times New Roman"/>
        </w:rPr>
        <w:t xml:space="preserve"> criminal </w:t>
      </w:r>
      <w:r w:rsidR="00B37F8D">
        <w:rPr>
          <w:rFonts w:ascii="Times New Roman" w:hAnsi="Times New Roman" w:cs="Times New Roman"/>
        </w:rPr>
        <w:t>conduct</w:t>
      </w:r>
      <w:r>
        <w:rPr>
          <w:rFonts w:ascii="Times New Roman" w:hAnsi="Times New Roman" w:cs="Times New Roman"/>
        </w:rPr>
        <w:t xml:space="preserve">. </w:t>
      </w:r>
      <w:r w:rsidR="00520C7B">
        <w:rPr>
          <w:rFonts w:ascii="Times New Roman" w:hAnsi="Times New Roman" w:cs="Times New Roman"/>
        </w:rPr>
        <w:t>Part 3</w:t>
      </w:r>
      <w:r w:rsidR="0010670B">
        <w:rPr>
          <w:rFonts w:ascii="Times New Roman" w:hAnsi="Times New Roman" w:cs="Times New Roman"/>
        </w:rPr>
        <w:t xml:space="preserve"> of the Act provides for the </w:t>
      </w:r>
      <w:r w:rsidR="00F23744">
        <w:rPr>
          <w:rFonts w:ascii="Times New Roman" w:hAnsi="Times New Roman" w:cs="Times New Roman"/>
        </w:rPr>
        <w:t>adducing</w:t>
      </w:r>
      <w:r w:rsidR="0010670B">
        <w:rPr>
          <w:rFonts w:ascii="Times New Roman" w:hAnsi="Times New Roman" w:cs="Times New Roman"/>
        </w:rPr>
        <w:t xml:space="preserve"> of such evidence in certain </w:t>
      </w:r>
      <w:r w:rsidR="00A437F5">
        <w:rPr>
          <w:rFonts w:ascii="Times New Roman" w:hAnsi="Times New Roman" w:cs="Times New Roman"/>
        </w:rPr>
        <w:t>Commonwealth, State and Territory proceedings</w:t>
      </w:r>
      <w:r w:rsidR="0010670B">
        <w:rPr>
          <w:rFonts w:ascii="Times New Roman" w:hAnsi="Times New Roman" w:cs="Times New Roman"/>
        </w:rPr>
        <w:t>.</w:t>
      </w:r>
      <w:r w:rsidR="007F674E">
        <w:rPr>
          <w:rFonts w:ascii="Times New Roman" w:hAnsi="Times New Roman" w:cs="Times New Roman"/>
        </w:rPr>
        <w:t xml:space="preserve"> </w:t>
      </w:r>
      <w:r w:rsidR="00FF0FBB">
        <w:rPr>
          <w:rFonts w:ascii="Times New Roman" w:hAnsi="Times New Roman" w:cs="Times New Roman"/>
        </w:rPr>
        <w:t xml:space="preserve">For example, it </w:t>
      </w:r>
      <w:r w:rsidR="00F95DED">
        <w:rPr>
          <w:rFonts w:ascii="Times New Roman" w:hAnsi="Times New Roman" w:cs="Times New Roman"/>
        </w:rPr>
        <w:t>can allow</w:t>
      </w:r>
      <w:r w:rsidR="00FF0FBB">
        <w:rPr>
          <w:rFonts w:ascii="Times New Roman" w:hAnsi="Times New Roman" w:cs="Times New Roman"/>
        </w:rPr>
        <w:t xml:space="preserve"> foreign </w:t>
      </w:r>
      <w:r w:rsidR="00F23744">
        <w:rPr>
          <w:rFonts w:ascii="Times New Roman" w:hAnsi="Times New Roman" w:cs="Times New Roman"/>
        </w:rPr>
        <w:t>material</w:t>
      </w:r>
      <w:r w:rsidR="00FF0FBB">
        <w:rPr>
          <w:rFonts w:ascii="Times New Roman" w:hAnsi="Times New Roman" w:cs="Times New Roman"/>
        </w:rPr>
        <w:t xml:space="preserve"> </w:t>
      </w:r>
      <w:r w:rsidR="00F95DED">
        <w:rPr>
          <w:rFonts w:ascii="Times New Roman" w:hAnsi="Times New Roman" w:cs="Times New Roman"/>
        </w:rPr>
        <w:t>to</w:t>
      </w:r>
      <w:r w:rsidR="00FF0FBB">
        <w:rPr>
          <w:rFonts w:ascii="Times New Roman" w:hAnsi="Times New Roman" w:cs="Times New Roman"/>
        </w:rPr>
        <w:t xml:space="preserve"> be adduced in proceedings where a witness is not available to give evidence in person, subject to key safeguards.</w:t>
      </w:r>
    </w:p>
    <w:p w14:paraId="0A66A02E" w14:textId="09E9C770" w:rsidR="00A437F5" w:rsidRDefault="00B37F8D" w:rsidP="006563A1">
      <w:pPr>
        <w:rPr>
          <w:rFonts w:ascii="Times New Roman" w:hAnsi="Times New Roman" w:cs="Times New Roman"/>
        </w:rPr>
      </w:pPr>
      <w:r>
        <w:rPr>
          <w:rFonts w:ascii="Times New Roman" w:hAnsi="Times New Roman" w:cs="Times New Roman"/>
        </w:rPr>
        <w:t>S</w:t>
      </w:r>
      <w:r w:rsidR="002E5E01">
        <w:rPr>
          <w:rFonts w:ascii="Times New Roman" w:hAnsi="Times New Roman" w:cs="Times New Roman"/>
        </w:rPr>
        <w:t>ection 20</w:t>
      </w:r>
      <w:r>
        <w:rPr>
          <w:rFonts w:ascii="Times New Roman" w:hAnsi="Times New Roman" w:cs="Times New Roman"/>
        </w:rPr>
        <w:t xml:space="preserve"> of the Act</w:t>
      </w:r>
      <w:r w:rsidR="002E5E01">
        <w:rPr>
          <w:rFonts w:ascii="Times New Roman" w:hAnsi="Times New Roman" w:cs="Times New Roman"/>
        </w:rPr>
        <w:t xml:space="preserve"> </w:t>
      </w:r>
      <w:r w:rsidR="0010670B">
        <w:rPr>
          <w:rFonts w:ascii="Times New Roman" w:hAnsi="Times New Roman" w:cs="Times New Roman"/>
        </w:rPr>
        <w:t>identifies</w:t>
      </w:r>
      <w:r w:rsidR="00FD69A2">
        <w:rPr>
          <w:rFonts w:ascii="Times New Roman" w:hAnsi="Times New Roman" w:cs="Times New Roman"/>
        </w:rPr>
        <w:t xml:space="preserve"> which proceedings in Commonwealth, State and Territory courts </w:t>
      </w:r>
      <w:r w:rsidR="00C82170">
        <w:rPr>
          <w:rFonts w:ascii="Times New Roman" w:hAnsi="Times New Roman" w:cs="Times New Roman"/>
        </w:rPr>
        <w:br/>
      </w:r>
      <w:r w:rsidR="00FD69A2">
        <w:rPr>
          <w:rFonts w:ascii="Times New Roman" w:hAnsi="Times New Roman" w:cs="Times New Roman"/>
        </w:rPr>
        <w:t>Part 3 of the Act will apply to.</w:t>
      </w:r>
      <w:r w:rsidR="002E5E01">
        <w:rPr>
          <w:rFonts w:ascii="Times New Roman" w:hAnsi="Times New Roman" w:cs="Times New Roman"/>
        </w:rPr>
        <w:t xml:space="preserve"> </w:t>
      </w:r>
      <w:r w:rsidR="00FD69A2">
        <w:rPr>
          <w:rFonts w:ascii="Times New Roman" w:hAnsi="Times New Roman" w:cs="Times New Roman"/>
        </w:rPr>
        <w:t xml:space="preserve">Subsection 20(1) </w:t>
      </w:r>
      <w:r w:rsidR="00F23744">
        <w:rPr>
          <w:rFonts w:ascii="Times New Roman" w:hAnsi="Times New Roman" w:cs="Times New Roman"/>
        </w:rPr>
        <w:t>enables</w:t>
      </w:r>
      <w:r w:rsidR="00FD69A2">
        <w:rPr>
          <w:rFonts w:ascii="Times New Roman" w:hAnsi="Times New Roman" w:cs="Times New Roman"/>
        </w:rPr>
        <w:t xml:space="preserve"> the application of Part 3 to </w:t>
      </w:r>
      <w:r w:rsidR="002A390A">
        <w:rPr>
          <w:rFonts w:ascii="Times New Roman" w:hAnsi="Times New Roman" w:cs="Times New Roman"/>
        </w:rPr>
        <w:t>certain C</w:t>
      </w:r>
      <w:r w:rsidR="00FD69A2">
        <w:rPr>
          <w:rFonts w:ascii="Times New Roman" w:hAnsi="Times New Roman" w:cs="Times New Roman"/>
        </w:rPr>
        <w:t>ommonwealth proceedings</w:t>
      </w:r>
      <w:r w:rsidR="002A390A">
        <w:rPr>
          <w:rFonts w:ascii="Times New Roman" w:hAnsi="Times New Roman" w:cs="Times New Roman"/>
        </w:rPr>
        <w:t xml:space="preserve">. </w:t>
      </w:r>
      <w:r w:rsidR="002E5E01">
        <w:rPr>
          <w:rFonts w:ascii="Times New Roman" w:hAnsi="Times New Roman" w:cs="Times New Roman"/>
        </w:rPr>
        <w:t>S</w:t>
      </w:r>
      <w:r w:rsidR="003E0838">
        <w:rPr>
          <w:rFonts w:ascii="Times New Roman" w:hAnsi="Times New Roman" w:cs="Times New Roman"/>
        </w:rPr>
        <w:t>ubs</w:t>
      </w:r>
      <w:r w:rsidR="00343CFC">
        <w:rPr>
          <w:rFonts w:ascii="Times New Roman" w:hAnsi="Times New Roman" w:cs="Times New Roman"/>
        </w:rPr>
        <w:t>ection 20</w:t>
      </w:r>
      <w:r w:rsidR="003E0838">
        <w:rPr>
          <w:rFonts w:ascii="Times New Roman" w:hAnsi="Times New Roman" w:cs="Times New Roman"/>
        </w:rPr>
        <w:t>(2)</w:t>
      </w:r>
      <w:r w:rsidR="00343CFC">
        <w:rPr>
          <w:rFonts w:ascii="Times New Roman" w:hAnsi="Times New Roman" w:cs="Times New Roman"/>
        </w:rPr>
        <w:t xml:space="preserve"> </w:t>
      </w:r>
      <w:r w:rsidR="001374E8">
        <w:rPr>
          <w:rFonts w:ascii="Times New Roman" w:hAnsi="Times New Roman" w:cs="Times New Roman"/>
        </w:rPr>
        <w:t>enables</w:t>
      </w:r>
      <w:r w:rsidR="00343CFC">
        <w:rPr>
          <w:rFonts w:ascii="Times New Roman" w:hAnsi="Times New Roman" w:cs="Times New Roman"/>
        </w:rPr>
        <w:t xml:space="preserve"> the application of </w:t>
      </w:r>
      <w:r w:rsidR="0010670B">
        <w:rPr>
          <w:rFonts w:ascii="Times New Roman" w:hAnsi="Times New Roman" w:cs="Times New Roman"/>
        </w:rPr>
        <w:t>P</w:t>
      </w:r>
      <w:r w:rsidR="002E5E01">
        <w:rPr>
          <w:rFonts w:ascii="Times New Roman" w:hAnsi="Times New Roman" w:cs="Times New Roman"/>
        </w:rPr>
        <w:t>art 3</w:t>
      </w:r>
      <w:r w:rsidR="00A437F5">
        <w:rPr>
          <w:rFonts w:ascii="Times New Roman" w:hAnsi="Times New Roman" w:cs="Times New Roman"/>
        </w:rPr>
        <w:t xml:space="preserve"> of the Act</w:t>
      </w:r>
      <w:r w:rsidR="00D12D28">
        <w:rPr>
          <w:rFonts w:ascii="Times New Roman" w:hAnsi="Times New Roman" w:cs="Times New Roman"/>
        </w:rPr>
        <w:t xml:space="preserve"> </w:t>
      </w:r>
      <w:r w:rsidR="00343CFC">
        <w:rPr>
          <w:rFonts w:ascii="Times New Roman" w:hAnsi="Times New Roman" w:cs="Times New Roman"/>
        </w:rPr>
        <w:t>to</w:t>
      </w:r>
      <w:r w:rsidR="003E0838">
        <w:rPr>
          <w:rFonts w:ascii="Times New Roman" w:hAnsi="Times New Roman" w:cs="Times New Roman"/>
        </w:rPr>
        <w:t xml:space="preserve"> </w:t>
      </w:r>
      <w:r w:rsidR="00343CFC">
        <w:rPr>
          <w:rFonts w:ascii="Times New Roman" w:hAnsi="Times New Roman" w:cs="Times New Roman"/>
        </w:rPr>
        <w:t xml:space="preserve">proceedings </w:t>
      </w:r>
      <w:r w:rsidR="0068700B">
        <w:rPr>
          <w:rFonts w:ascii="Times New Roman" w:hAnsi="Times New Roman" w:cs="Times New Roman"/>
        </w:rPr>
        <w:t>in any court of a State or Territory</w:t>
      </w:r>
      <w:r w:rsidR="002E5E01">
        <w:rPr>
          <w:rFonts w:ascii="Times New Roman" w:hAnsi="Times New Roman" w:cs="Times New Roman"/>
        </w:rPr>
        <w:t xml:space="preserve"> by providing </w:t>
      </w:r>
      <w:r w:rsidR="00343CFC">
        <w:rPr>
          <w:rFonts w:ascii="Times New Roman" w:hAnsi="Times New Roman" w:cs="Times New Roman"/>
        </w:rPr>
        <w:t xml:space="preserve">that regulations can specify </w:t>
      </w:r>
      <w:r w:rsidR="00AE7A0D">
        <w:rPr>
          <w:rFonts w:ascii="Times New Roman" w:hAnsi="Times New Roman" w:cs="Times New Roman"/>
        </w:rPr>
        <w:t xml:space="preserve">the </w:t>
      </w:r>
      <w:r w:rsidR="003E0838">
        <w:rPr>
          <w:rFonts w:ascii="Times New Roman" w:hAnsi="Times New Roman" w:cs="Times New Roman"/>
        </w:rPr>
        <w:t>S</w:t>
      </w:r>
      <w:r w:rsidR="00343CFC">
        <w:rPr>
          <w:rFonts w:ascii="Times New Roman" w:hAnsi="Times New Roman" w:cs="Times New Roman"/>
        </w:rPr>
        <w:t xml:space="preserve">tates and </w:t>
      </w:r>
      <w:r w:rsidR="003E0838">
        <w:rPr>
          <w:rFonts w:ascii="Times New Roman" w:hAnsi="Times New Roman" w:cs="Times New Roman"/>
        </w:rPr>
        <w:t>T</w:t>
      </w:r>
      <w:r w:rsidR="00343CFC">
        <w:rPr>
          <w:rFonts w:ascii="Times New Roman" w:hAnsi="Times New Roman" w:cs="Times New Roman"/>
        </w:rPr>
        <w:t xml:space="preserve">erritories to which </w:t>
      </w:r>
      <w:r w:rsidR="0010670B">
        <w:rPr>
          <w:rFonts w:ascii="Times New Roman" w:hAnsi="Times New Roman" w:cs="Times New Roman"/>
        </w:rPr>
        <w:t>P</w:t>
      </w:r>
      <w:r w:rsidR="00343CFC">
        <w:rPr>
          <w:rFonts w:ascii="Times New Roman" w:hAnsi="Times New Roman" w:cs="Times New Roman"/>
        </w:rPr>
        <w:t>art 3 of the Act will apply.</w:t>
      </w:r>
      <w:r w:rsidR="002E5E01">
        <w:rPr>
          <w:rFonts w:ascii="Times New Roman" w:hAnsi="Times New Roman" w:cs="Times New Roman"/>
        </w:rPr>
        <w:t xml:space="preserve"> </w:t>
      </w:r>
      <w:r w:rsidR="00343CFC">
        <w:rPr>
          <w:rFonts w:ascii="Times New Roman" w:hAnsi="Times New Roman" w:cs="Times New Roman"/>
        </w:rPr>
        <w:t>Paragraph</w:t>
      </w:r>
      <w:r w:rsidR="0010670B">
        <w:rPr>
          <w:rFonts w:ascii="Times New Roman" w:hAnsi="Times New Roman" w:cs="Times New Roman"/>
        </w:rPr>
        <w:t>s</w:t>
      </w:r>
      <w:r w:rsidR="00343CFC">
        <w:rPr>
          <w:rFonts w:ascii="Times New Roman" w:hAnsi="Times New Roman" w:cs="Times New Roman"/>
        </w:rPr>
        <w:t xml:space="preserve"> 20(2</w:t>
      </w:r>
      <w:proofErr w:type="gramStart"/>
      <w:r w:rsidR="00343CFC">
        <w:rPr>
          <w:rFonts w:ascii="Times New Roman" w:hAnsi="Times New Roman" w:cs="Times New Roman"/>
        </w:rPr>
        <w:t>)(</w:t>
      </w:r>
      <w:proofErr w:type="gramEnd"/>
      <w:r w:rsidR="00343CFC">
        <w:rPr>
          <w:rFonts w:ascii="Times New Roman" w:hAnsi="Times New Roman" w:cs="Times New Roman"/>
        </w:rPr>
        <w:t>a)</w:t>
      </w:r>
      <w:r w:rsidR="00101C65">
        <w:rPr>
          <w:rFonts w:ascii="Times New Roman" w:hAnsi="Times New Roman" w:cs="Times New Roman"/>
        </w:rPr>
        <w:t xml:space="preserve">, (b) and </w:t>
      </w:r>
      <w:r w:rsidR="00343CFC">
        <w:rPr>
          <w:rFonts w:ascii="Times New Roman" w:hAnsi="Times New Roman" w:cs="Times New Roman"/>
        </w:rPr>
        <w:t>(c) identify the kinds of</w:t>
      </w:r>
      <w:r w:rsidR="002E5E01">
        <w:rPr>
          <w:rFonts w:ascii="Times New Roman" w:hAnsi="Times New Roman" w:cs="Times New Roman"/>
        </w:rPr>
        <w:t xml:space="preserve"> State and Territory </w:t>
      </w:r>
      <w:r w:rsidR="00343CFC">
        <w:rPr>
          <w:rFonts w:ascii="Times New Roman" w:hAnsi="Times New Roman" w:cs="Times New Roman"/>
        </w:rPr>
        <w:t xml:space="preserve">proceedings </w:t>
      </w:r>
      <w:r w:rsidR="0010670B">
        <w:rPr>
          <w:rFonts w:ascii="Times New Roman" w:hAnsi="Times New Roman" w:cs="Times New Roman"/>
        </w:rPr>
        <w:t xml:space="preserve">to </w:t>
      </w:r>
      <w:r w:rsidR="00343CFC">
        <w:rPr>
          <w:rFonts w:ascii="Times New Roman" w:hAnsi="Times New Roman" w:cs="Times New Roman"/>
        </w:rPr>
        <w:t>which Part 3 of the Act will apply</w:t>
      </w:r>
      <w:r w:rsidR="00A437F5">
        <w:rPr>
          <w:rFonts w:ascii="Times New Roman" w:hAnsi="Times New Roman" w:cs="Times New Roman"/>
        </w:rPr>
        <w:t>, na</w:t>
      </w:r>
      <w:r w:rsidR="006563A1">
        <w:rPr>
          <w:rFonts w:ascii="Times New Roman" w:hAnsi="Times New Roman" w:cs="Times New Roman"/>
        </w:rPr>
        <w:t>mely:</w:t>
      </w:r>
      <w:r w:rsidR="00A437F5">
        <w:rPr>
          <w:rFonts w:ascii="Times New Roman" w:hAnsi="Times New Roman" w:cs="Times New Roman"/>
        </w:rPr>
        <w:t xml:space="preserve"> </w:t>
      </w:r>
      <w:r w:rsidR="006563A1">
        <w:rPr>
          <w:rFonts w:ascii="Times New Roman" w:hAnsi="Times New Roman" w:cs="Times New Roman"/>
        </w:rPr>
        <w:t xml:space="preserve">criminal proceedings, </w:t>
      </w:r>
      <w:r w:rsidR="00A437F5" w:rsidRPr="00D73786">
        <w:rPr>
          <w:rFonts w:ascii="Times New Roman" w:hAnsi="Times New Roman" w:cs="Times New Roman"/>
        </w:rPr>
        <w:t xml:space="preserve">related civil proceedings, and proceedings under </w:t>
      </w:r>
      <w:r w:rsidR="0055281F">
        <w:rPr>
          <w:rFonts w:ascii="Times New Roman" w:hAnsi="Times New Roman" w:cs="Times New Roman"/>
        </w:rPr>
        <w:t>certain</w:t>
      </w:r>
      <w:r w:rsidR="00A437F5" w:rsidRPr="00D73786">
        <w:rPr>
          <w:rFonts w:ascii="Times New Roman" w:hAnsi="Times New Roman" w:cs="Times New Roman"/>
        </w:rPr>
        <w:t xml:space="preserve"> proceeds of crime law</w:t>
      </w:r>
      <w:r w:rsidR="0055281F">
        <w:rPr>
          <w:rFonts w:ascii="Times New Roman" w:hAnsi="Times New Roman" w:cs="Times New Roman"/>
        </w:rPr>
        <w:t>s</w:t>
      </w:r>
      <w:r w:rsidR="00A437F5" w:rsidRPr="00D73786">
        <w:rPr>
          <w:rFonts w:ascii="Times New Roman" w:hAnsi="Times New Roman" w:cs="Times New Roman"/>
        </w:rPr>
        <w:t>.</w:t>
      </w:r>
    </w:p>
    <w:p w14:paraId="1E1BB3FE" w14:textId="77777777" w:rsidR="00FD69A2" w:rsidRPr="00AE7A0D" w:rsidRDefault="00FD69A2" w:rsidP="00FD69A2">
      <w:pPr>
        <w:rPr>
          <w:rFonts w:ascii="Times New Roman" w:hAnsi="Times New Roman" w:cs="Times New Roman"/>
          <w:b/>
          <w:i/>
        </w:rPr>
      </w:pPr>
      <w:r w:rsidRPr="00AE7A0D">
        <w:rPr>
          <w:rFonts w:ascii="Times New Roman" w:hAnsi="Times New Roman" w:cs="Times New Roman"/>
          <w:b/>
          <w:i/>
        </w:rPr>
        <w:t xml:space="preserve">The Foreign Evidence (Foreign Material – Criminal and Related Civil Proceedings 1994 </w:t>
      </w:r>
      <w:r w:rsidRPr="00AE7A0D">
        <w:rPr>
          <w:rFonts w:ascii="Times New Roman" w:hAnsi="Times New Roman" w:cs="Times New Roman"/>
          <w:b/>
        </w:rPr>
        <w:t xml:space="preserve">(the </w:t>
      </w:r>
      <w:proofErr w:type="gramStart"/>
      <w:r w:rsidRPr="00AE7A0D">
        <w:rPr>
          <w:rFonts w:ascii="Times New Roman" w:hAnsi="Times New Roman" w:cs="Times New Roman"/>
          <w:b/>
        </w:rPr>
        <w:t>former</w:t>
      </w:r>
      <w:proofErr w:type="gramEnd"/>
      <w:r w:rsidRPr="00AE7A0D">
        <w:rPr>
          <w:rFonts w:ascii="Times New Roman" w:hAnsi="Times New Roman" w:cs="Times New Roman"/>
          <w:b/>
        </w:rPr>
        <w:t xml:space="preserve"> Regulations</w:t>
      </w:r>
      <w:r w:rsidR="000D5B06" w:rsidRPr="00AE7A0D">
        <w:rPr>
          <w:rFonts w:ascii="Times New Roman" w:hAnsi="Times New Roman" w:cs="Times New Roman"/>
          <w:b/>
        </w:rPr>
        <w:t>)</w:t>
      </w:r>
    </w:p>
    <w:p w14:paraId="27D4E25A" w14:textId="77777777" w:rsidR="00FF0FBB" w:rsidRDefault="00F23744" w:rsidP="00FD69A2">
      <w:pPr>
        <w:rPr>
          <w:rFonts w:ascii="Times New Roman" w:hAnsi="Times New Roman" w:cs="Times New Roman"/>
        </w:rPr>
      </w:pPr>
      <w:r>
        <w:rPr>
          <w:rFonts w:ascii="Times New Roman" w:hAnsi="Times New Roman" w:cs="Times New Roman"/>
        </w:rPr>
        <w:t xml:space="preserve">The former Regulations </w:t>
      </w:r>
      <w:r w:rsidR="000D5B06">
        <w:rPr>
          <w:rFonts w:ascii="Times New Roman" w:hAnsi="Times New Roman" w:cs="Times New Roman"/>
        </w:rPr>
        <w:t xml:space="preserve">sunset on 1 October 2018 under the </w:t>
      </w:r>
      <w:r w:rsidR="000D5B06" w:rsidRPr="005E48CA">
        <w:rPr>
          <w:rFonts w:ascii="Times New Roman" w:hAnsi="Times New Roman" w:cs="Times New Roman"/>
          <w:i/>
        </w:rPr>
        <w:t>L</w:t>
      </w:r>
      <w:r w:rsidR="000D5B06">
        <w:rPr>
          <w:rFonts w:ascii="Times New Roman" w:hAnsi="Times New Roman" w:cs="Times New Roman"/>
          <w:i/>
        </w:rPr>
        <w:t>egislation Act 2003</w:t>
      </w:r>
      <w:r w:rsidR="000D5B06">
        <w:rPr>
          <w:rFonts w:ascii="Times New Roman" w:hAnsi="Times New Roman" w:cs="Times New Roman"/>
        </w:rPr>
        <w:t xml:space="preserve">. </w:t>
      </w:r>
      <w:r w:rsidR="00FD69A2">
        <w:rPr>
          <w:rFonts w:ascii="Times New Roman" w:hAnsi="Times New Roman" w:cs="Times New Roman"/>
        </w:rPr>
        <w:t xml:space="preserve">The former Regulations </w:t>
      </w:r>
      <w:r w:rsidR="007B2772">
        <w:rPr>
          <w:rFonts w:ascii="Times New Roman" w:hAnsi="Times New Roman" w:cs="Times New Roman"/>
        </w:rPr>
        <w:t xml:space="preserve">did two things. </w:t>
      </w:r>
    </w:p>
    <w:p w14:paraId="2CFC70B0" w14:textId="6894BAF3" w:rsidR="00FF0FBB" w:rsidRDefault="007B2772" w:rsidP="00343CFC">
      <w:pPr>
        <w:rPr>
          <w:rFonts w:ascii="Times New Roman" w:hAnsi="Times New Roman" w:cs="Times New Roman"/>
        </w:rPr>
      </w:pPr>
      <w:r>
        <w:rPr>
          <w:rFonts w:ascii="Times New Roman" w:hAnsi="Times New Roman" w:cs="Times New Roman"/>
        </w:rPr>
        <w:t xml:space="preserve">Firstly, they </w:t>
      </w:r>
      <w:r w:rsidR="00FD69A2">
        <w:rPr>
          <w:rFonts w:ascii="Times New Roman" w:hAnsi="Times New Roman" w:cs="Times New Roman"/>
        </w:rPr>
        <w:t>specified the States and Territories to which Part 3 applied for the purposes of subsection</w:t>
      </w:r>
      <w:r w:rsidR="00F23744">
        <w:rPr>
          <w:rFonts w:ascii="Times New Roman" w:hAnsi="Times New Roman" w:cs="Times New Roman"/>
        </w:rPr>
        <w:t> </w:t>
      </w:r>
      <w:r w:rsidR="00FD69A2">
        <w:rPr>
          <w:rFonts w:ascii="Times New Roman" w:hAnsi="Times New Roman" w:cs="Times New Roman"/>
        </w:rPr>
        <w:t>20(2)</w:t>
      </w:r>
      <w:r>
        <w:rPr>
          <w:rFonts w:ascii="Times New Roman" w:hAnsi="Times New Roman" w:cs="Times New Roman"/>
        </w:rPr>
        <w:t xml:space="preserve"> of the Act. </w:t>
      </w:r>
      <w:r w:rsidR="00FD69A2">
        <w:rPr>
          <w:rFonts w:ascii="Times New Roman" w:hAnsi="Times New Roman" w:cs="Times New Roman"/>
        </w:rPr>
        <w:t>Section 4 of the former Regulations</w:t>
      </w:r>
      <w:r w:rsidR="00AE7A0D">
        <w:rPr>
          <w:rFonts w:ascii="Times New Roman" w:hAnsi="Times New Roman" w:cs="Times New Roman"/>
        </w:rPr>
        <w:t>,</w:t>
      </w:r>
      <w:r w:rsidR="00FD69A2">
        <w:rPr>
          <w:rFonts w:ascii="Times New Roman" w:hAnsi="Times New Roman" w:cs="Times New Roman"/>
        </w:rPr>
        <w:t xml:space="preserve"> specified each of the States and Territories.</w:t>
      </w:r>
      <w:r w:rsidR="002A390A">
        <w:rPr>
          <w:rFonts w:ascii="Times New Roman" w:hAnsi="Times New Roman" w:cs="Times New Roman"/>
        </w:rPr>
        <w:t xml:space="preserve"> </w:t>
      </w:r>
      <w:r w:rsidR="00212DD8">
        <w:rPr>
          <w:rFonts w:ascii="Times New Roman" w:hAnsi="Times New Roman" w:cs="Times New Roman"/>
        </w:rPr>
        <w:t>The effect of specifying each S</w:t>
      </w:r>
      <w:r w:rsidR="000D5B06">
        <w:rPr>
          <w:rFonts w:ascii="Times New Roman" w:hAnsi="Times New Roman" w:cs="Times New Roman"/>
        </w:rPr>
        <w:t xml:space="preserve">tate and </w:t>
      </w:r>
      <w:r w:rsidR="00212DD8">
        <w:rPr>
          <w:rFonts w:ascii="Times New Roman" w:hAnsi="Times New Roman" w:cs="Times New Roman"/>
        </w:rPr>
        <w:t>T</w:t>
      </w:r>
      <w:r w:rsidR="000D5B06">
        <w:rPr>
          <w:rFonts w:ascii="Times New Roman" w:hAnsi="Times New Roman" w:cs="Times New Roman"/>
        </w:rPr>
        <w:t xml:space="preserve">erritory for </w:t>
      </w:r>
      <w:r w:rsidR="00796717">
        <w:rPr>
          <w:rFonts w:ascii="Times New Roman" w:hAnsi="Times New Roman" w:cs="Times New Roman"/>
        </w:rPr>
        <w:t>subsection 20(2)</w:t>
      </w:r>
      <w:r w:rsidR="00FD69A2">
        <w:rPr>
          <w:rFonts w:ascii="Times New Roman" w:hAnsi="Times New Roman" w:cs="Times New Roman"/>
        </w:rPr>
        <w:t xml:space="preserve"> meant that foreign </w:t>
      </w:r>
      <w:r w:rsidR="00F23744">
        <w:rPr>
          <w:rFonts w:ascii="Times New Roman" w:hAnsi="Times New Roman" w:cs="Times New Roman"/>
        </w:rPr>
        <w:t>material</w:t>
      </w:r>
      <w:r w:rsidR="00FD69A2">
        <w:rPr>
          <w:rFonts w:ascii="Times New Roman" w:hAnsi="Times New Roman" w:cs="Times New Roman"/>
        </w:rPr>
        <w:t xml:space="preserve"> gathered overseas pursuant to a request for assistance from the Attorney-General could be adduced in</w:t>
      </w:r>
      <w:r w:rsidR="00A9021A">
        <w:rPr>
          <w:rFonts w:ascii="Times New Roman" w:hAnsi="Times New Roman" w:cs="Times New Roman"/>
        </w:rPr>
        <w:t xml:space="preserve"> </w:t>
      </w:r>
      <w:r w:rsidR="00777A4B">
        <w:rPr>
          <w:rFonts w:ascii="Times New Roman" w:hAnsi="Times New Roman" w:cs="Times New Roman"/>
        </w:rPr>
        <w:t>a</w:t>
      </w:r>
      <w:r w:rsidR="00707B2B">
        <w:rPr>
          <w:rFonts w:ascii="Times New Roman" w:hAnsi="Times New Roman" w:cs="Times New Roman"/>
        </w:rPr>
        <w:t>ny</w:t>
      </w:r>
      <w:r w:rsidR="00777A4B">
        <w:rPr>
          <w:rFonts w:ascii="Times New Roman" w:hAnsi="Times New Roman" w:cs="Times New Roman"/>
        </w:rPr>
        <w:t xml:space="preserve"> State or Territory </w:t>
      </w:r>
      <w:r w:rsidR="00A9021A">
        <w:rPr>
          <w:rFonts w:ascii="Times New Roman" w:hAnsi="Times New Roman" w:cs="Times New Roman"/>
        </w:rPr>
        <w:t>court in</w:t>
      </w:r>
      <w:r w:rsidR="00FD69A2">
        <w:rPr>
          <w:rFonts w:ascii="Times New Roman" w:hAnsi="Times New Roman" w:cs="Times New Roman"/>
        </w:rPr>
        <w:t xml:space="preserve"> </w:t>
      </w:r>
      <w:r w:rsidR="00FF0FBB">
        <w:rPr>
          <w:rFonts w:ascii="Times New Roman" w:hAnsi="Times New Roman" w:cs="Times New Roman"/>
        </w:rPr>
        <w:t xml:space="preserve">the following </w:t>
      </w:r>
      <w:r w:rsidR="002A390A">
        <w:rPr>
          <w:rFonts w:ascii="Times New Roman" w:hAnsi="Times New Roman" w:cs="Times New Roman"/>
        </w:rPr>
        <w:t>S</w:t>
      </w:r>
      <w:r w:rsidR="00FD69A2">
        <w:rPr>
          <w:rFonts w:ascii="Times New Roman" w:hAnsi="Times New Roman" w:cs="Times New Roman"/>
        </w:rPr>
        <w:t xml:space="preserve">tate or </w:t>
      </w:r>
      <w:r w:rsidR="002A390A">
        <w:rPr>
          <w:rFonts w:ascii="Times New Roman" w:hAnsi="Times New Roman" w:cs="Times New Roman"/>
        </w:rPr>
        <w:t>T</w:t>
      </w:r>
      <w:r w:rsidR="00FD69A2">
        <w:rPr>
          <w:rFonts w:ascii="Times New Roman" w:hAnsi="Times New Roman" w:cs="Times New Roman"/>
        </w:rPr>
        <w:t>erritory</w:t>
      </w:r>
      <w:r w:rsidR="00FF0FBB">
        <w:rPr>
          <w:rFonts w:ascii="Times New Roman" w:hAnsi="Times New Roman" w:cs="Times New Roman"/>
        </w:rPr>
        <w:t xml:space="preserve"> proceedings</w:t>
      </w:r>
      <w:r w:rsidR="00796717">
        <w:rPr>
          <w:rFonts w:ascii="Times New Roman" w:hAnsi="Times New Roman" w:cs="Times New Roman"/>
        </w:rPr>
        <w:t>:</w:t>
      </w:r>
    </w:p>
    <w:p w14:paraId="6B7BC92E" w14:textId="77777777" w:rsidR="00FF0FBB" w:rsidRPr="00FF0FBB" w:rsidRDefault="00C33AE3" w:rsidP="00796717">
      <w:pPr>
        <w:pStyle w:val="ListParagraph"/>
        <w:numPr>
          <w:ilvl w:val="0"/>
          <w:numId w:val="16"/>
        </w:numPr>
        <w:ind w:left="851" w:hanging="425"/>
        <w:rPr>
          <w:rFonts w:ascii="Times New Roman" w:hAnsi="Times New Roman" w:cs="Times New Roman"/>
        </w:rPr>
      </w:pPr>
      <w:r>
        <w:rPr>
          <w:rFonts w:ascii="Times New Roman" w:hAnsi="Times New Roman" w:cs="Times New Roman"/>
        </w:rPr>
        <w:t>C</w:t>
      </w:r>
      <w:r w:rsidR="00796717">
        <w:rPr>
          <w:rFonts w:ascii="Times New Roman" w:hAnsi="Times New Roman" w:cs="Times New Roman"/>
        </w:rPr>
        <w:t>riminal proceedings</w:t>
      </w:r>
      <w:r w:rsidR="00FD69A2" w:rsidRPr="00FF0FBB">
        <w:rPr>
          <w:rFonts w:ascii="Times New Roman" w:hAnsi="Times New Roman" w:cs="Times New Roman"/>
        </w:rPr>
        <w:t xml:space="preserve"> </w:t>
      </w:r>
      <w:r w:rsidR="00796717" w:rsidRPr="00796717">
        <w:rPr>
          <w:rFonts w:ascii="Times New Roman" w:hAnsi="Times New Roman" w:cs="Times New Roman"/>
        </w:rPr>
        <w:t>for an offence against the law of that State or Territory</w:t>
      </w:r>
      <w:r w:rsidR="00796717">
        <w:rPr>
          <w:rFonts w:ascii="Times New Roman" w:hAnsi="Times New Roman" w:cs="Times New Roman"/>
        </w:rPr>
        <w:t xml:space="preserve">, </w:t>
      </w:r>
      <w:r w:rsidR="000D5B06" w:rsidRPr="00FF0FBB">
        <w:rPr>
          <w:rFonts w:ascii="Times New Roman" w:hAnsi="Times New Roman" w:cs="Times New Roman"/>
        </w:rPr>
        <w:t xml:space="preserve">such as </w:t>
      </w:r>
      <w:r w:rsidR="002A390A" w:rsidRPr="00FF0FBB">
        <w:rPr>
          <w:rFonts w:ascii="Times New Roman" w:hAnsi="Times New Roman" w:cs="Times New Roman"/>
        </w:rPr>
        <w:t>a</w:t>
      </w:r>
      <w:r>
        <w:rPr>
          <w:rFonts w:ascii="Times New Roman" w:hAnsi="Times New Roman" w:cs="Times New Roman"/>
        </w:rPr>
        <w:t xml:space="preserve"> prosecution of a person for murder.</w:t>
      </w:r>
      <w:r w:rsidR="000D5B06" w:rsidRPr="00FF0FBB">
        <w:rPr>
          <w:rFonts w:ascii="Times New Roman" w:hAnsi="Times New Roman" w:cs="Times New Roman"/>
        </w:rPr>
        <w:t xml:space="preserve"> </w:t>
      </w:r>
    </w:p>
    <w:p w14:paraId="06E1E13A" w14:textId="3B0078B5" w:rsidR="00FF0FBB" w:rsidRDefault="00C33AE3" w:rsidP="00796717">
      <w:pPr>
        <w:pStyle w:val="ListParagraph"/>
        <w:numPr>
          <w:ilvl w:val="0"/>
          <w:numId w:val="16"/>
        </w:numPr>
        <w:ind w:left="851" w:hanging="425"/>
        <w:rPr>
          <w:rFonts w:ascii="Times New Roman" w:hAnsi="Times New Roman" w:cs="Times New Roman"/>
        </w:rPr>
      </w:pPr>
      <w:r>
        <w:rPr>
          <w:rFonts w:ascii="Times New Roman" w:hAnsi="Times New Roman" w:cs="Times New Roman"/>
        </w:rPr>
        <w:t>R</w:t>
      </w:r>
      <w:r w:rsidR="00796717">
        <w:rPr>
          <w:rFonts w:ascii="Times New Roman" w:hAnsi="Times New Roman" w:cs="Times New Roman"/>
        </w:rPr>
        <w:t>elated civil proceedings</w:t>
      </w:r>
      <w:r w:rsidR="00FF0FBB">
        <w:rPr>
          <w:rFonts w:ascii="Times New Roman" w:hAnsi="Times New Roman" w:cs="Times New Roman"/>
        </w:rPr>
        <w:t xml:space="preserve"> of a kind specified in regulations </w:t>
      </w:r>
      <w:r w:rsidR="00AE7A0D">
        <w:rPr>
          <w:rFonts w:ascii="Times New Roman" w:hAnsi="Times New Roman" w:cs="Times New Roman"/>
        </w:rPr>
        <w:t>in respect of that State or Territory. ‘R</w:t>
      </w:r>
      <w:r w:rsidR="00796717">
        <w:rPr>
          <w:rFonts w:ascii="Times New Roman" w:hAnsi="Times New Roman" w:cs="Times New Roman"/>
        </w:rPr>
        <w:t>elated</w:t>
      </w:r>
      <w:r w:rsidR="00FF0FBB">
        <w:rPr>
          <w:rFonts w:ascii="Times New Roman" w:hAnsi="Times New Roman" w:cs="Times New Roman"/>
        </w:rPr>
        <w:t xml:space="preserve"> civil proceedings’</w:t>
      </w:r>
      <w:r w:rsidR="000D5B06" w:rsidRPr="00FF0FBB">
        <w:rPr>
          <w:rFonts w:ascii="Times New Roman" w:hAnsi="Times New Roman" w:cs="Times New Roman"/>
        </w:rPr>
        <w:t xml:space="preserve"> is defined in section 3 of the Act as </w:t>
      </w:r>
      <w:r w:rsidR="00954BE6" w:rsidRPr="00FF0FBB">
        <w:rPr>
          <w:rFonts w:ascii="Times New Roman" w:hAnsi="Times New Roman" w:cs="Times New Roman"/>
        </w:rPr>
        <w:t>‘</w:t>
      </w:r>
      <w:r w:rsidR="00E87186" w:rsidRPr="00FF0FBB">
        <w:rPr>
          <w:rFonts w:ascii="Times New Roman" w:hAnsi="Times New Roman" w:cs="Times New Roman"/>
        </w:rPr>
        <w:t>any civil proceeding arising from the same subject matter from which the criminal proceeding arose.’</w:t>
      </w:r>
      <w:r w:rsidR="007F674E" w:rsidRPr="00FF0FBB">
        <w:rPr>
          <w:rFonts w:ascii="Times New Roman" w:hAnsi="Times New Roman" w:cs="Times New Roman"/>
        </w:rPr>
        <w:t xml:space="preserve"> </w:t>
      </w:r>
      <w:r w:rsidR="00FD69A2" w:rsidRPr="00FF0FBB">
        <w:rPr>
          <w:rFonts w:ascii="Times New Roman" w:hAnsi="Times New Roman" w:cs="Times New Roman"/>
        </w:rPr>
        <w:lastRenderedPageBreak/>
        <w:t>For example, evidence gathere</w:t>
      </w:r>
      <w:r w:rsidR="00212DD8" w:rsidRPr="00FF0FBB">
        <w:rPr>
          <w:rFonts w:ascii="Times New Roman" w:hAnsi="Times New Roman" w:cs="Times New Roman"/>
        </w:rPr>
        <w:t>d overseas could be adduced in S</w:t>
      </w:r>
      <w:r w:rsidR="00FD69A2" w:rsidRPr="00FF0FBB">
        <w:rPr>
          <w:rFonts w:ascii="Times New Roman" w:hAnsi="Times New Roman" w:cs="Times New Roman"/>
        </w:rPr>
        <w:t xml:space="preserve">tate or </w:t>
      </w:r>
      <w:r w:rsidR="00212DD8" w:rsidRPr="00FF0FBB">
        <w:rPr>
          <w:rFonts w:ascii="Times New Roman" w:hAnsi="Times New Roman" w:cs="Times New Roman"/>
        </w:rPr>
        <w:t>T</w:t>
      </w:r>
      <w:r w:rsidR="00FD69A2" w:rsidRPr="00FF0FBB">
        <w:rPr>
          <w:rFonts w:ascii="Times New Roman" w:hAnsi="Times New Roman" w:cs="Times New Roman"/>
        </w:rPr>
        <w:t>erritory</w:t>
      </w:r>
      <w:r w:rsidR="00AE7A0D">
        <w:rPr>
          <w:rFonts w:ascii="Times New Roman" w:hAnsi="Times New Roman" w:cs="Times New Roman"/>
        </w:rPr>
        <w:t xml:space="preserve"> court</w:t>
      </w:r>
      <w:r w:rsidR="00FD69A2" w:rsidRPr="00FF0FBB">
        <w:rPr>
          <w:rFonts w:ascii="Times New Roman" w:hAnsi="Times New Roman" w:cs="Times New Roman"/>
        </w:rPr>
        <w:t xml:space="preserve"> </w:t>
      </w:r>
      <w:r w:rsidR="007F674E" w:rsidRPr="00FF0FBB">
        <w:rPr>
          <w:rFonts w:ascii="Times New Roman" w:hAnsi="Times New Roman" w:cs="Times New Roman"/>
        </w:rPr>
        <w:t>proceedings to confiscate proceeds of crime</w:t>
      </w:r>
      <w:r w:rsidR="00796717">
        <w:rPr>
          <w:rFonts w:ascii="Times New Roman" w:hAnsi="Times New Roman" w:cs="Times New Roman"/>
        </w:rPr>
        <w:t xml:space="preserve"> or recover tax</w:t>
      </w:r>
      <w:r w:rsidR="006A4355">
        <w:rPr>
          <w:rFonts w:ascii="Times New Roman" w:hAnsi="Times New Roman" w:cs="Times New Roman"/>
        </w:rPr>
        <w:t xml:space="preserve"> or duties</w:t>
      </w:r>
      <w:r w:rsidR="006563A1" w:rsidRPr="00FF0FBB">
        <w:rPr>
          <w:rFonts w:ascii="Times New Roman" w:hAnsi="Times New Roman" w:cs="Times New Roman"/>
        </w:rPr>
        <w:t xml:space="preserve"> where there </w:t>
      </w:r>
      <w:r w:rsidR="002A390A" w:rsidRPr="00FF0FBB">
        <w:rPr>
          <w:rFonts w:ascii="Times New Roman" w:hAnsi="Times New Roman" w:cs="Times New Roman"/>
        </w:rPr>
        <w:t xml:space="preserve">was </w:t>
      </w:r>
      <w:r w:rsidR="006563A1" w:rsidRPr="00FF0FBB">
        <w:rPr>
          <w:rFonts w:ascii="Times New Roman" w:hAnsi="Times New Roman" w:cs="Times New Roman"/>
        </w:rPr>
        <w:t>a related criminal proceeding</w:t>
      </w:r>
      <w:r w:rsidR="007F674E" w:rsidRPr="00FF0FBB">
        <w:rPr>
          <w:rFonts w:ascii="Times New Roman" w:hAnsi="Times New Roman" w:cs="Times New Roman"/>
        </w:rPr>
        <w:t>.</w:t>
      </w:r>
      <w:r w:rsidR="000D5B06" w:rsidRPr="00FF0FBB">
        <w:rPr>
          <w:rFonts w:ascii="Times New Roman" w:hAnsi="Times New Roman" w:cs="Times New Roman"/>
        </w:rPr>
        <w:t xml:space="preserve"> </w:t>
      </w:r>
    </w:p>
    <w:p w14:paraId="228A16C2" w14:textId="77777777" w:rsidR="00FD69A2" w:rsidRPr="00FF0FBB" w:rsidRDefault="00C33AE3" w:rsidP="00796717">
      <w:pPr>
        <w:pStyle w:val="ListParagraph"/>
        <w:numPr>
          <w:ilvl w:val="0"/>
          <w:numId w:val="16"/>
        </w:numPr>
        <w:ind w:left="851" w:hanging="425"/>
        <w:rPr>
          <w:rFonts w:ascii="Times New Roman" w:hAnsi="Times New Roman" w:cs="Times New Roman"/>
        </w:rPr>
      </w:pPr>
      <w:r>
        <w:rPr>
          <w:rFonts w:ascii="Times New Roman" w:hAnsi="Times New Roman" w:cs="Times New Roman"/>
        </w:rPr>
        <w:t>P</w:t>
      </w:r>
      <w:r w:rsidR="002A390A" w:rsidRPr="00FF0FBB">
        <w:rPr>
          <w:rFonts w:ascii="Times New Roman" w:hAnsi="Times New Roman" w:cs="Times New Roman"/>
        </w:rPr>
        <w:t xml:space="preserve">roceeds of crime </w:t>
      </w:r>
      <w:r w:rsidR="00FD69A2" w:rsidRPr="00FF0FBB">
        <w:rPr>
          <w:rFonts w:ascii="Times New Roman" w:hAnsi="Times New Roman" w:cs="Times New Roman"/>
        </w:rPr>
        <w:t>proceedings</w:t>
      </w:r>
      <w:r w:rsidR="002A390A" w:rsidRPr="00FF0FBB">
        <w:rPr>
          <w:rFonts w:ascii="Times New Roman" w:hAnsi="Times New Roman" w:cs="Times New Roman"/>
        </w:rPr>
        <w:t xml:space="preserve"> where the</w:t>
      </w:r>
      <w:r w:rsidR="00D27954">
        <w:rPr>
          <w:rFonts w:ascii="Times New Roman" w:hAnsi="Times New Roman" w:cs="Times New Roman"/>
        </w:rPr>
        <w:t>y</w:t>
      </w:r>
      <w:r w:rsidR="002A390A" w:rsidRPr="00FF0FBB">
        <w:rPr>
          <w:rFonts w:ascii="Times New Roman" w:hAnsi="Times New Roman" w:cs="Times New Roman"/>
        </w:rPr>
        <w:t xml:space="preserve"> </w:t>
      </w:r>
      <w:r w:rsidRPr="00FF0FBB">
        <w:rPr>
          <w:rFonts w:ascii="Times New Roman" w:hAnsi="Times New Roman" w:cs="Times New Roman"/>
        </w:rPr>
        <w:t>were not necessarily related criminal proceedings</w:t>
      </w:r>
      <w:r w:rsidR="00FD69A2" w:rsidRPr="00FF0FBB">
        <w:rPr>
          <w:rFonts w:ascii="Times New Roman" w:hAnsi="Times New Roman" w:cs="Times New Roman"/>
        </w:rPr>
        <w:t>.</w:t>
      </w:r>
      <w:r w:rsidR="00BA62BE">
        <w:rPr>
          <w:rFonts w:ascii="Times New Roman" w:hAnsi="Times New Roman" w:cs="Times New Roman"/>
        </w:rPr>
        <w:t xml:space="preserve"> For example, this could cover proceedings</w:t>
      </w:r>
      <w:r>
        <w:rPr>
          <w:rFonts w:ascii="Times New Roman" w:hAnsi="Times New Roman" w:cs="Times New Roman"/>
        </w:rPr>
        <w:t xml:space="preserve"> to confiscate the proceeds of crime where a person could not be prosecuted because they had died</w:t>
      </w:r>
      <w:r w:rsidR="00BA62BE">
        <w:rPr>
          <w:rFonts w:ascii="Times New Roman" w:hAnsi="Times New Roman" w:cs="Times New Roman"/>
        </w:rPr>
        <w:t>.</w:t>
      </w:r>
    </w:p>
    <w:p w14:paraId="2697DC28" w14:textId="1C23878E" w:rsidR="007F4ADB" w:rsidRDefault="00FF0FBB" w:rsidP="00A618C5">
      <w:pPr>
        <w:rPr>
          <w:rFonts w:ascii="Times New Roman" w:hAnsi="Times New Roman"/>
        </w:rPr>
      </w:pPr>
      <w:r>
        <w:rPr>
          <w:rFonts w:ascii="Times New Roman" w:hAnsi="Times New Roman" w:cs="Times New Roman"/>
        </w:rPr>
        <w:t xml:space="preserve">Secondly, the former Regulations identified </w:t>
      </w:r>
      <w:r w:rsidR="00707B2B">
        <w:rPr>
          <w:rFonts w:ascii="Times New Roman" w:hAnsi="Times New Roman" w:cs="Times New Roman"/>
        </w:rPr>
        <w:t>kinds</w:t>
      </w:r>
      <w:r>
        <w:rPr>
          <w:rFonts w:ascii="Times New Roman" w:hAnsi="Times New Roman" w:cs="Times New Roman"/>
        </w:rPr>
        <w:t xml:space="preserve"> of State and Territory ‘related civil proceedings’ for the purposes of paragraph 20(2</w:t>
      </w:r>
      <w:proofErr w:type="gramStart"/>
      <w:r>
        <w:rPr>
          <w:rFonts w:ascii="Times New Roman" w:hAnsi="Times New Roman" w:cs="Times New Roman"/>
        </w:rPr>
        <w:t>)(</w:t>
      </w:r>
      <w:proofErr w:type="gramEnd"/>
      <w:r>
        <w:rPr>
          <w:rFonts w:ascii="Times New Roman" w:hAnsi="Times New Roman" w:cs="Times New Roman"/>
        </w:rPr>
        <w:t xml:space="preserve">b) of the Act. </w:t>
      </w:r>
      <w:r w:rsidR="00BC0AA6">
        <w:rPr>
          <w:rFonts w:ascii="Times New Roman" w:hAnsi="Times New Roman" w:cs="Times New Roman"/>
        </w:rPr>
        <w:t xml:space="preserve">Schedule 1 </w:t>
      </w:r>
      <w:r>
        <w:rPr>
          <w:rFonts w:ascii="Times New Roman" w:hAnsi="Times New Roman" w:cs="Times New Roman"/>
        </w:rPr>
        <w:t xml:space="preserve">specified </w:t>
      </w:r>
      <w:r w:rsidR="00066D9C">
        <w:rPr>
          <w:rFonts w:ascii="Times New Roman" w:hAnsi="Times New Roman"/>
        </w:rPr>
        <w:t xml:space="preserve">examples of </w:t>
      </w:r>
      <w:r>
        <w:rPr>
          <w:rFonts w:ascii="Times New Roman" w:hAnsi="Times New Roman"/>
        </w:rPr>
        <w:t xml:space="preserve">such </w:t>
      </w:r>
      <w:r w:rsidR="00066D9C">
        <w:rPr>
          <w:rFonts w:ascii="Times New Roman" w:hAnsi="Times New Roman"/>
        </w:rPr>
        <w:t>proceedings</w:t>
      </w:r>
      <w:r w:rsidR="00CE3B8F">
        <w:rPr>
          <w:rFonts w:ascii="Times New Roman" w:hAnsi="Times New Roman"/>
        </w:rPr>
        <w:t xml:space="preserve"> for all of the State and Territories</w:t>
      </w:r>
      <w:r w:rsidR="003E0838">
        <w:rPr>
          <w:rFonts w:ascii="Times New Roman" w:hAnsi="Times New Roman"/>
        </w:rPr>
        <w:t>.</w:t>
      </w:r>
      <w:r w:rsidR="00CE3B8F">
        <w:rPr>
          <w:rFonts w:ascii="Times New Roman" w:hAnsi="Times New Roman"/>
        </w:rPr>
        <w:t xml:space="preserve"> For example, for New South Wales</w:t>
      </w:r>
      <w:r w:rsidR="00AE7A0D">
        <w:rPr>
          <w:rFonts w:ascii="Times New Roman" w:hAnsi="Times New Roman"/>
        </w:rPr>
        <w:t>,</w:t>
      </w:r>
      <w:r w:rsidR="00CE3B8F">
        <w:rPr>
          <w:rFonts w:ascii="Times New Roman" w:hAnsi="Times New Roman"/>
        </w:rPr>
        <w:t xml:space="preserve"> it specified:</w:t>
      </w:r>
    </w:p>
    <w:p w14:paraId="2AE5AF8B" w14:textId="77777777" w:rsidR="00CE3B8F" w:rsidRPr="00CE3B8F" w:rsidRDefault="00CE3B8F" w:rsidP="00CE3B8F">
      <w:pPr>
        <w:spacing w:after="0" w:line="240" w:lineRule="auto"/>
        <w:ind w:left="284"/>
        <w:rPr>
          <w:rFonts w:ascii="Times New Roman" w:hAnsi="Times New Roman" w:cs="Times New Roman"/>
          <w:sz w:val="20"/>
          <w:szCs w:val="20"/>
        </w:rPr>
      </w:pPr>
      <w:r w:rsidRPr="00CE3B8F">
        <w:rPr>
          <w:rFonts w:ascii="Times New Roman" w:hAnsi="Times New Roman" w:cs="Times New Roman"/>
          <w:sz w:val="20"/>
          <w:szCs w:val="20"/>
        </w:rPr>
        <w:t>A related civil proceeding of any kind, including, in particular:</w:t>
      </w:r>
    </w:p>
    <w:p w14:paraId="488C2623" w14:textId="77777777" w:rsidR="00CE3B8F" w:rsidRPr="00CE3B8F" w:rsidRDefault="00CE3B8F" w:rsidP="00CE3B8F">
      <w:pPr>
        <w:spacing w:after="0" w:line="240" w:lineRule="auto"/>
        <w:ind w:left="284"/>
        <w:rPr>
          <w:rFonts w:ascii="Times New Roman" w:hAnsi="Times New Roman" w:cs="Times New Roman"/>
          <w:sz w:val="20"/>
          <w:szCs w:val="20"/>
        </w:rPr>
      </w:pPr>
      <w:r w:rsidRPr="00CE3B8F">
        <w:rPr>
          <w:rFonts w:ascii="Times New Roman" w:hAnsi="Times New Roman" w:cs="Times New Roman"/>
          <w:sz w:val="20"/>
          <w:szCs w:val="20"/>
        </w:rPr>
        <w:t xml:space="preserve">(a) </w:t>
      </w:r>
      <w:proofErr w:type="gramStart"/>
      <w:r w:rsidRPr="00CE3B8F">
        <w:rPr>
          <w:rFonts w:ascii="Times New Roman" w:hAnsi="Times New Roman" w:cs="Times New Roman"/>
          <w:sz w:val="20"/>
          <w:szCs w:val="20"/>
        </w:rPr>
        <w:t>a</w:t>
      </w:r>
      <w:proofErr w:type="gramEnd"/>
      <w:r w:rsidRPr="00CE3B8F">
        <w:rPr>
          <w:rFonts w:ascii="Times New Roman" w:hAnsi="Times New Roman" w:cs="Times New Roman"/>
          <w:sz w:val="20"/>
          <w:szCs w:val="20"/>
        </w:rPr>
        <w:t xml:space="preserve"> proceeding under the </w:t>
      </w:r>
      <w:r w:rsidRPr="00CE3B8F">
        <w:rPr>
          <w:rFonts w:ascii="Times New Roman" w:hAnsi="Times New Roman" w:cs="Times New Roman"/>
          <w:i/>
          <w:sz w:val="20"/>
          <w:szCs w:val="20"/>
        </w:rPr>
        <w:t>Confiscation of Proceeds of Crime Act 1989</w:t>
      </w:r>
      <w:r w:rsidRPr="00CE3B8F">
        <w:rPr>
          <w:rFonts w:ascii="Times New Roman" w:hAnsi="Times New Roman" w:cs="Times New Roman"/>
          <w:sz w:val="20"/>
          <w:szCs w:val="20"/>
        </w:rPr>
        <w:t xml:space="preserve"> of the State of New South Wales; or</w:t>
      </w:r>
    </w:p>
    <w:p w14:paraId="439FE0DC" w14:textId="77777777" w:rsidR="00CE3B8F" w:rsidRDefault="00CE3B8F" w:rsidP="00CE3B8F">
      <w:pPr>
        <w:spacing w:after="0" w:line="240" w:lineRule="auto"/>
        <w:ind w:left="284"/>
        <w:rPr>
          <w:rFonts w:ascii="Times New Roman" w:hAnsi="Times New Roman" w:cs="Times New Roman"/>
          <w:sz w:val="20"/>
          <w:szCs w:val="20"/>
        </w:rPr>
      </w:pPr>
      <w:r w:rsidRPr="00CE3B8F">
        <w:rPr>
          <w:rFonts w:ascii="Times New Roman" w:hAnsi="Times New Roman" w:cs="Times New Roman"/>
          <w:sz w:val="20"/>
          <w:szCs w:val="20"/>
        </w:rPr>
        <w:t xml:space="preserve">(b) </w:t>
      </w:r>
      <w:proofErr w:type="gramStart"/>
      <w:r w:rsidRPr="00CE3B8F">
        <w:rPr>
          <w:rFonts w:ascii="Times New Roman" w:hAnsi="Times New Roman" w:cs="Times New Roman"/>
          <w:sz w:val="20"/>
          <w:szCs w:val="20"/>
        </w:rPr>
        <w:t>a</w:t>
      </w:r>
      <w:proofErr w:type="gramEnd"/>
      <w:r w:rsidRPr="00CE3B8F">
        <w:rPr>
          <w:rFonts w:ascii="Times New Roman" w:hAnsi="Times New Roman" w:cs="Times New Roman"/>
          <w:sz w:val="20"/>
          <w:szCs w:val="20"/>
        </w:rPr>
        <w:t xml:space="preserve"> proceeding under the </w:t>
      </w:r>
      <w:r w:rsidRPr="00CE3B8F">
        <w:rPr>
          <w:rFonts w:ascii="Times New Roman" w:hAnsi="Times New Roman" w:cs="Times New Roman"/>
          <w:i/>
          <w:sz w:val="20"/>
          <w:szCs w:val="20"/>
        </w:rPr>
        <w:t>Drug Trafficking (Civil Proceedings) Act 1990</w:t>
      </w:r>
      <w:r w:rsidRPr="00CE3B8F">
        <w:rPr>
          <w:rFonts w:ascii="Times New Roman" w:hAnsi="Times New Roman" w:cs="Times New Roman"/>
          <w:sz w:val="20"/>
          <w:szCs w:val="20"/>
        </w:rPr>
        <w:t xml:space="preserve"> of that State.</w:t>
      </w:r>
    </w:p>
    <w:p w14:paraId="67823116" w14:textId="77777777" w:rsidR="00CE3B8F" w:rsidRDefault="00CE3B8F" w:rsidP="00CE3B8F">
      <w:pPr>
        <w:spacing w:after="0" w:line="240" w:lineRule="auto"/>
        <w:rPr>
          <w:rFonts w:ascii="Times New Roman" w:hAnsi="Times New Roman" w:cs="Times New Roman"/>
          <w:sz w:val="20"/>
          <w:szCs w:val="20"/>
        </w:rPr>
      </w:pPr>
    </w:p>
    <w:p w14:paraId="08A1F8AE" w14:textId="77777777" w:rsidR="00CE3B8F" w:rsidRPr="00CE3B8F" w:rsidRDefault="00CE3B8F" w:rsidP="00CE3B8F">
      <w:pPr>
        <w:rPr>
          <w:rFonts w:ascii="Times New Roman" w:hAnsi="Times New Roman" w:cs="Times New Roman"/>
        </w:rPr>
      </w:pPr>
      <w:r>
        <w:rPr>
          <w:rFonts w:ascii="Times New Roman" w:hAnsi="Times New Roman" w:cs="Times New Roman"/>
        </w:rPr>
        <w:t>Specifying the kinds of related civil proceedings for each State and Territory enabled evidence to be adduced in such proceedings.</w:t>
      </w:r>
    </w:p>
    <w:p w14:paraId="48CDDCF7" w14:textId="77777777" w:rsidR="000D5B06" w:rsidRPr="00AE7A0D" w:rsidRDefault="000D5B06">
      <w:pPr>
        <w:rPr>
          <w:rFonts w:ascii="Times New Roman" w:hAnsi="Times New Roman" w:cs="Times New Roman"/>
          <w:b/>
          <w:i/>
        </w:rPr>
      </w:pPr>
      <w:r w:rsidRPr="00AE7A0D">
        <w:rPr>
          <w:rFonts w:ascii="Times New Roman" w:hAnsi="Times New Roman" w:cs="Times New Roman"/>
          <w:b/>
          <w:i/>
        </w:rPr>
        <w:t xml:space="preserve">The Foreign Evidence (Foreign Material – Criminal and Related Civil Proceedings) Regulations 2018 </w:t>
      </w:r>
      <w:r w:rsidRPr="00AE7A0D">
        <w:rPr>
          <w:rFonts w:ascii="Times New Roman" w:hAnsi="Times New Roman" w:cs="Times New Roman"/>
          <w:b/>
        </w:rPr>
        <w:t>(the new Regulations)</w:t>
      </w:r>
    </w:p>
    <w:p w14:paraId="779FA275" w14:textId="77777777" w:rsidR="00AE7A0D" w:rsidRDefault="00740BAC">
      <w:pPr>
        <w:rPr>
          <w:rFonts w:ascii="Times New Roman" w:hAnsi="Times New Roman" w:cs="Times New Roman"/>
        </w:rPr>
      </w:pPr>
      <w:r>
        <w:rPr>
          <w:rFonts w:ascii="Times New Roman" w:hAnsi="Times New Roman" w:cs="Times New Roman"/>
        </w:rPr>
        <w:t xml:space="preserve">The </w:t>
      </w:r>
      <w:r w:rsidR="00354C65">
        <w:rPr>
          <w:rFonts w:ascii="Times New Roman" w:hAnsi="Times New Roman" w:cs="Times New Roman"/>
        </w:rPr>
        <w:t>new</w:t>
      </w:r>
      <w:r w:rsidR="00520C7B">
        <w:rPr>
          <w:rFonts w:ascii="Times New Roman" w:hAnsi="Times New Roman" w:cs="Times New Roman"/>
        </w:rPr>
        <w:t xml:space="preserve"> Regulations repeal and replace the </w:t>
      </w:r>
      <w:r w:rsidR="008E6031">
        <w:rPr>
          <w:rFonts w:ascii="Times New Roman" w:hAnsi="Times New Roman" w:cs="Times New Roman"/>
        </w:rPr>
        <w:t xml:space="preserve">former </w:t>
      </w:r>
      <w:r>
        <w:rPr>
          <w:rFonts w:ascii="Times New Roman" w:hAnsi="Times New Roman" w:cs="Times New Roman"/>
        </w:rPr>
        <w:t>Regulations.</w:t>
      </w:r>
      <w:r w:rsidR="00D67715">
        <w:rPr>
          <w:rFonts w:ascii="Times New Roman" w:hAnsi="Times New Roman" w:cs="Times New Roman"/>
        </w:rPr>
        <w:t xml:space="preserve"> The effect of the </w:t>
      </w:r>
      <w:r w:rsidR="00354C65">
        <w:rPr>
          <w:rFonts w:ascii="Times New Roman" w:hAnsi="Times New Roman" w:cs="Times New Roman"/>
        </w:rPr>
        <w:t xml:space="preserve">new </w:t>
      </w:r>
      <w:r w:rsidR="00D67715">
        <w:rPr>
          <w:rFonts w:ascii="Times New Roman" w:hAnsi="Times New Roman" w:cs="Times New Roman"/>
        </w:rPr>
        <w:t xml:space="preserve">Regulations </w:t>
      </w:r>
      <w:r w:rsidR="004E577E">
        <w:rPr>
          <w:rFonts w:ascii="Times New Roman" w:hAnsi="Times New Roman" w:cs="Times New Roman"/>
        </w:rPr>
        <w:t xml:space="preserve">is </w:t>
      </w:r>
      <w:r w:rsidR="00D67715">
        <w:rPr>
          <w:rFonts w:ascii="Times New Roman" w:hAnsi="Times New Roman" w:cs="Times New Roman"/>
        </w:rPr>
        <w:t xml:space="preserve">to ensure that foreign material </w:t>
      </w:r>
      <w:r w:rsidR="00AE7A0D">
        <w:rPr>
          <w:rFonts w:ascii="Times New Roman" w:hAnsi="Times New Roman" w:cs="Times New Roman"/>
        </w:rPr>
        <w:t xml:space="preserve">obtained pursuant to an Australian request for </w:t>
      </w:r>
      <w:r w:rsidR="005D4CDF">
        <w:rPr>
          <w:rFonts w:ascii="Times New Roman" w:hAnsi="Times New Roman" w:cs="Times New Roman"/>
        </w:rPr>
        <w:t xml:space="preserve">assistance </w:t>
      </w:r>
      <w:r w:rsidR="007F674E">
        <w:rPr>
          <w:rFonts w:ascii="Times New Roman" w:hAnsi="Times New Roman" w:cs="Times New Roman"/>
        </w:rPr>
        <w:t xml:space="preserve">can </w:t>
      </w:r>
      <w:r w:rsidR="00E548AF">
        <w:rPr>
          <w:rFonts w:ascii="Times New Roman" w:hAnsi="Times New Roman" w:cs="Times New Roman"/>
        </w:rPr>
        <w:t xml:space="preserve">continue to </w:t>
      </w:r>
      <w:r w:rsidR="007F674E">
        <w:rPr>
          <w:rFonts w:ascii="Times New Roman" w:hAnsi="Times New Roman" w:cs="Times New Roman"/>
        </w:rPr>
        <w:t xml:space="preserve">be adduced </w:t>
      </w:r>
      <w:r w:rsidR="00D67715">
        <w:rPr>
          <w:rFonts w:ascii="Times New Roman" w:hAnsi="Times New Roman" w:cs="Times New Roman"/>
        </w:rPr>
        <w:t>in</w:t>
      </w:r>
      <w:r w:rsidR="00A437F5">
        <w:rPr>
          <w:rFonts w:ascii="Times New Roman" w:hAnsi="Times New Roman" w:cs="Times New Roman"/>
        </w:rPr>
        <w:t xml:space="preserve"> certain</w:t>
      </w:r>
      <w:r w:rsidR="00D67715">
        <w:rPr>
          <w:rFonts w:ascii="Times New Roman" w:hAnsi="Times New Roman" w:cs="Times New Roman"/>
        </w:rPr>
        <w:t xml:space="preserve"> </w:t>
      </w:r>
      <w:r w:rsidR="003E0838">
        <w:rPr>
          <w:rFonts w:ascii="Times New Roman" w:hAnsi="Times New Roman" w:cs="Times New Roman"/>
        </w:rPr>
        <w:t>proceedings in the courts of S</w:t>
      </w:r>
      <w:r w:rsidR="009871AE">
        <w:rPr>
          <w:rFonts w:ascii="Times New Roman" w:hAnsi="Times New Roman" w:cs="Times New Roman"/>
        </w:rPr>
        <w:t xml:space="preserve">tates and </w:t>
      </w:r>
      <w:r w:rsidR="003E0838">
        <w:rPr>
          <w:rFonts w:ascii="Times New Roman" w:hAnsi="Times New Roman" w:cs="Times New Roman"/>
        </w:rPr>
        <w:t>T</w:t>
      </w:r>
      <w:r w:rsidR="009871AE">
        <w:rPr>
          <w:rFonts w:ascii="Times New Roman" w:hAnsi="Times New Roman" w:cs="Times New Roman"/>
        </w:rPr>
        <w:t>erritories</w:t>
      </w:r>
      <w:r w:rsidR="000D5B06">
        <w:rPr>
          <w:rFonts w:ascii="Times New Roman" w:hAnsi="Times New Roman" w:cs="Times New Roman"/>
        </w:rPr>
        <w:t xml:space="preserve"> </w:t>
      </w:r>
      <w:r w:rsidR="00AE7A0D">
        <w:rPr>
          <w:rFonts w:ascii="Times New Roman" w:hAnsi="Times New Roman" w:cs="Times New Roman"/>
        </w:rPr>
        <w:t>in the same way as the former Regulations</w:t>
      </w:r>
      <w:r w:rsidR="009871AE">
        <w:rPr>
          <w:rFonts w:ascii="Times New Roman" w:hAnsi="Times New Roman" w:cs="Times New Roman"/>
        </w:rPr>
        <w:t>.</w:t>
      </w:r>
      <w:r w:rsidR="007F674E">
        <w:rPr>
          <w:rFonts w:ascii="Times New Roman" w:hAnsi="Times New Roman" w:cs="Times New Roman"/>
        </w:rPr>
        <w:t xml:space="preserve"> </w:t>
      </w:r>
    </w:p>
    <w:p w14:paraId="1CA2BA96" w14:textId="422858D1" w:rsidR="00890844" w:rsidRPr="00B80A1D" w:rsidRDefault="00B96039">
      <w:pPr>
        <w:rPr>
          <w:rFonts w:ascii="Times New Roman" w:hAnsi="Times New Roman" w:cs="Times New Roman"/>
        </w:rPr>
      </w:pPr>
      <w:r w:rsidRPr="00985EAF">
        <w:rPr>
          <w:rFonts w:ascii="Times New Roman" w:hAnsi="Times New Roman" w:cs="Times New Roman"/>
        </w:rPr>
        <w:t xml:space="preserve">The </w:t>
      </w:r>
      <w:r w:rsidR="00B20B4F">
        <w:rPr>
          <w:rFonts w:ascii="Times New Roman" w:hAnsi="Times New Roman" w:cs="Times New Roman"/>
        </w:rPr>
        <w:t xml:space="preserve">new </w:t>
      </w:r>
      <w:r w:rsidR="00FA7B4E">
        <w:rPr>
          <w:rFonts w:ascii="Times New Roman" w:hAnsi="Times New Roman" w:cs="Times New Roman"/>
        </w:rPr>
        <w:t xml:space="preserve">Regulations </w:t>
      </w:r>
      <w:r w:rsidRPr="00985EAF">
        <w:rPr>
          <w:rFonts w:ascii="Times New Roman" w:hAnsi="Times New Roman" w:cs="Times New Roman"/>
        </w:rPr>
        <w:t>commence</w:t>
      </w:r>
      <w:r w:rsidR="00BB0862">
        <w:rPr>
          <w:rFonts w:ascii="Times New Roman" w:hAnsi="Times New Roman" w:cs="Times New Roman"/>
        </w:rPr>
        <w:t xml:space="preserve"> </w:t>
      </w:r>
      <w:r w:rsidRPr="00985EAF">
        <w:rPr>
          <w:rFonts w:ascii="Times New Roman" w:hAnsi="Times New Roman" w:cs="Times New Roman"/>
        </w:rPr>
        <w:t xml:space="preserve">on the day </w:t>
      </w:r>
      <w:r w:rsidR="004E577E">
        <w:rPr>
          <w:rFonts w:ascii="Times New Roman" w:hAnsi="Times New Roman" w:cs="Times New Roman"/>
        </w:rPr>
        <w:t>after</w:t>
      </w:r>
      <w:r w:rsidRPr="00985EAF">
        <w:rPr>
          <w:rFonts w:ascii="Times New Roman" w:hAnsi="Times New Roman" w:cs="Times New Roman"/>
        </w:rPr>
        <w:t xml:space="preserve"> </w:t>
      </w:r>
      <w:r w:rsidR="005D4CDF" w:rsidRPr="00985EAF">
        <w:rPr>
          <w:rFonts w:ascii="Times New Roman" w:hAnsi="Times New Roman" w:cs="Times New Roman"/>
        </w:rPr>
        <w:t>registra</w:t>
      </w:r>
      <w:r w:rsidR="005D4CDF">
        <w:rPr>
          <w:rFonts w:ascii="Times New Roman" w:hAnsi="Times New Roman" w:cs="Times New Roman"/>
        </w:rPr>
        <w:t xml:space="preserve">tion </w:t>
      </w:r>
      <w:r w:rsidRPr="00985EAF">
        <w:rPr>
          <w:rFonts w:ascii="Times New Roman" w:hAnsi="Times New Roman" w:cs="Times New Roman"/>
        </w:rPr>
        <w:t xml:space="preserve">on the Federal Register of </w:t>
      </w:r>
      <w:r w:rsidR="006A3177">
        <w:rPr>
          <w:rFonts w:ascii="Times New Roman" w:hAnsi="Times New Roman" w:cs="Times New Roman"/>
        </w:rPr>
        <w:t>Legislation.</w:t>
      </w:r>
    </w:p>
    <w:p w14:paraId="29DCD194" w14:textId="7F307A2B" w:rsidR="0014164F" w:rsidRDefault="004E3128" w:rsidP="002F2B36">
      <w:pPr>
        <w:rPr>
          <w:rFonts w:ascii="Times New Roman" w:hAnsi="Times New Roman" w:cs="Times New Roman"/>
        </w:rPr>
      </w:pPr>
      <w:r w:rsidRPr="00985EAF">
        <w:rPr>
          <w:rFonts w:ascii="Times New Roman" w:hAnsi="Times New Roman" w:cs="Times New Roman"/>
        </w:rPr>
        <w:t xml:space="preserve">Consultation </w:t>
      </w:r>
      <w:r w:rsidR="005D4CDF">
        <w:rPr>
          <w:rFonts w:ascii="Times New Roman" w:hAnsi="Times New Roman" w:cs="Times New Roman"/>
        </w:rPr>
        <w:t xml:space="preserve">was undertaken for </w:t>
      </w:r>
      <w:r w:rsidR="00522189">
        <w:rPr>
          <w:rFonts w:ascii="Times New Roman" w:hAnsi="Times New Roman" w:cs="Times New Roman"/>
        </w:rPr>
        <w:t>the</w:t>
      </w:r>
      <w:r w:rsidR="00B20B4F">
        <w:rPr>
          <w:rFonts w:ascii="Times New Roman" w:hAnsi="Times New Roman" w:cs="Times New Roman"/>
        </w:rPr>
        <w:t xml:space="preserve"> remake of the former </w:t>
      </w:r>
      <w:r w:rsidRPr="008E7491">
        <w:rPr>
          <w:rFonts w:ascii="Times New Roman" w:hAnsi="Times New Roman" w:cs="Times New Roman"/>
        </w:rPr>
        <w:t>Regulations</w:t>
      </w:r>
      <w:r w:rsidR="00751626">
        <w:rPr>
          <w:rFonts w:ascii="Times New Roman" w:hAnsi="Times New Roman" w:cs="Times New Roman"/>
        </w:rPr>
        <w:t xml:space="preserve"> </w:t>
      </w:r>
      <w:r w:rsidR="005D4CDF">
        <w:rPr>
          <w:rFonts w:ascii="Times New Roman" w:hAnsi="Times New Roman" w:cs="Times New Roman"/>
        </w:rPr>
        <w:t xml:space="preserve">during </w:t>
      </w:r>
      <w:r w:rsidR="00751626">
        <w:rPr>
          <w:rFonts w:ascii="Times New Roman" w:hAnsi="Times New Roman" w:cs="Times New Roman"/>
        </w:rPr>
        <w:t>2017</w:t>
      </w:r>
      <w:r w:rsidR="005D4CDF">
        <w:rPr>
          <w:rFonts w:ascii="Times New Roman" w:hAnsi="Times New Roman" w:cs="Times New Roman"/>
        </w:rPr>
        <w:t xml:space="preserve"> and 20</w:t>
      </w:r>
      <w:r w:rsidR="00751626">
        <w:rPr>
          <w:rFonts w:ascii="Times New Roman" w:hAnsi="Times New Roman" w:cs="Times New Roman"/>
        </w:rPr>
        <w:t>18</w:t>
      </w:r>
      <w:r w:rsidR="001374E8">
        <w:rPr>
          <w:rFonts w:ascii="Times New Roman" w:hAnsi="Times New Roman" w:cs="Times New Roman"/>
        </w:rPr>
        <w:t xml:space="preserve">, which included whether the former regulations were still required and if they were </w:t>
      </w:r>
      <w:r w:rsidR="001D62CB">
        <w:rPr>
          <w:rFonts w:ascii="Times New Roman" w:hAnsi="Times New Roman" w:cs="Times New Roman"/>
        </w:rPr>
        <w:br/>
      </w:r>
      <w:r w:rsidR="001374E8">
        <w:rPr>
          <w:rFonts w:ascii="Times New Roman" w:hAnsi="Times New Roman" w:cs="Times New Roman"/>
        </w:rPr>
        <w:t>fit-for-purpose</w:t>
      </w:r>
      <w:r w:rsidR="00C923C7">
        <w:rPr>
          <w:rFonts w:ascii="Times New Roman" w:hAnsi="Times New Roman" w:cs="Times New Roman"/>
        </w:rPr>
        <w:t>.</w:t>
      </w:r>
      <w:r w:rsidR="00245E55">
        <w:rPr>
          <w:rFonts w:ascii="Times New Roman" w:hAnsi="Times New Roman" w:cs="Times New Roman"/>
        </w:rPr>
        <w:t xml:space="preserve"> </w:t>
      </w:r>
      <w:r w:rsidR="001374E8">
        <w:rPr>
          <w:rFonts w:ascii="Times New Roman" w:hAnsi="Times New Roman" w:cs="Times New Roman"/>
        </w:rPr>
        <w:t xml:space="preserve">All stakeholders indicated support for the Regulations. </w:t>
      </w:r>
      <w:r w:rsidR="00AE7A0D">
        <w:rPr>
          <w:rFonts w:ascii="Times New Roman" w:hAnsi="Times New Roman" w:cs="Times New Roman"/>
        </w:rPr>
        <w:t>At the federal level, t</w:t>
      </w:r>
      <w:r w:rsidR="001374E8">
        <w:rPr>
          <w:rFonts w:ascii="Times New Roman" w:hAnsi="Times New Roman" w:cs="Times New Roman"/>
        </w:rPr>
        <w:t>he Department of Home Affairs, the Australian Federal Police, and the Commonwealth Director of Public Prosecutions were consulted. R</w:t>
      </w:r>
      <w:r w:rsidR="00245E55">
        <w:rPr>
          <w:rFonts w:ascii="Times New Roman" w:hAnsi="Times New Roman" w:cs="Times New Roman"/>
        </w:rPr>
        <w:t xml:space="preserve">elevant </w:t>
      </w:r>
      <w:r w:rsidR="008E6031">
        <w:rPr>
          <w:rFonts w:ascii="Times New Roman" w:hAnsi="Times New Roman" w:cs="Times New Roman"/>
        </w:rPr>
        <w:t>S</w:t>
      </w:r>
      <w:r w:rsidR="00245E55">
        <w:rPr>
          <w:rFonts w:ascii="Times New Roman" w:hAnsi="Times New Roman" w:cs="Times New Roman"/>
        </w:rPr>
        <w:t xml:space="preserve">tate and </w:t>
      </w:r>
      <w:r w:rsidR="008E6031">
        <w:rPr>
          <w:rFonts w:ascii="Times New Roman" w:hAnsi="Times New Roman" w:cs="Times New Roman"/>
        </w:rPr>
        <w:t>T</w:t>
      </w:r>
      <w:r w:rsidR="00245E55">
        <w:rPr>
          <w:rFonts w:ascii="Times New Roman" w:hAnsi="Times New Roman" w:cs="Times New Roman"/>
        </w:rPr>
        <w:t xml:space="preserve">erritory </w:t>
      </w:r>
      <w:r w:rsidR="008E6031">
        <w:rPr>
          <w:rFonts w:ascii="Times New Roman" w:hAnsi="Times New Roman" w:cs="Times New Roman"/>
        </w:rPr>
        <w:t xml:space="preserve">justice </w:t>
      </w:r>
      <w:r w:rsidR="00F23744">
        <w:rPr>
          <w:rFonts w:ascii="Times New Roman" w:hAnsi="Times New Roman" w:cs="Times New Roman"/>
        </w:rPr>
        <w:t>departments</w:t>
      </w:r>
      <w:r w:rsidR="00AE7A0D">
        <w:rPr>
          <w:rFonts w:ascii="Times New Roman" w:hAnsi="Times New Roman" w:cs="Times New Roman"/>
        </w:rPr>
        <w:t xml:space="preserve"> all</w:t>
      </w:r>
      <w:r w:rsidR="00B20B4F">
        <w:rPr>
          <w:rFonts w:ascii="Times New Roman" w:hAnsi="Times New Roman" w:cs="Times New Roman"/>
        </w:rPr>
        <w:t xml:space="preserve"> proposed </w:t>
      </w:r>
      <w:r w:rsidR="00FA7B4E">
        <w:rPr>
          <w:rFonts w:ascii="Times New Roman" w:hAnsi="Times New Roman" w:cs="Times New Roman"/>
        </w:rPr>
        <w:t>the</w:t>
      </w:r>
      <w:r w:rsidR="00B20B4F">
        <w:rPr>
          <w:rFonts w:ascii="Times New Roman" w:hAnsi="Times New Roman" w:cs="Times New Roman"/>
        </w:rPr>
        <w:t xml:space="preserve"> </w:t>
      </w:r>
      <w:r w:rsidR="00522189">
        <w:rPr>
          <w:rFonts w:ascii="Times New Roman" w:hAnsi="Times New Roman" w:cs="Times New Roman"/>
        </w:rPr>
        <w:t>R</w:t>
      </w:r>
      <w:r w:rsidR="00FA7B4E">
        <w:rPr>
          <w:rFonts w:ascii="Times New Roman" w:hAnsi="Times New Roman" w:cs="Times New Roman"/>
        </w:rPr>
        <w:t>egulations</w:t>
      </w:r>
      <w:r w:rsidR="001374E8">
        <w:rPr>
          <w:rFonts w:ascii="Times New Roman" w:hAnsi="Times New Roman" w:cs="Times New Roman"/>
        </w:rPr>
        <w:t xml:space="preserve"> be remade, with</w:t>
      </w:r>
      <w:r w:rsidR="00116120">
        <w:rPr>
          <w:rFonts w:ascii="Times New Roman" w:hAnsi="Times New Roman" w:cs="Times New Roman"/>
        </w:rPr>
        <w:t xml:space="preserve"> </w:t>
      </w:r>
      <w:r w:rsidR="00AE7A0D">
        <w:rPr>
          <w:rFonts w:ascii="Times New Roman" w:hAnsi="Times New Roman" w:cs="Times New Roman"/>
        </w:rPr>
        <w:t xml:space="preserve">some minor </w:t>
      </w:r>
      <w:r w:rsidR="00751626">
        <w:rPr>
          <w:rFonts w:ascii="Times New Roman" w:hAnsi="Times New Roman" w:cs="Times New Roman"/>
        </w:rPr>
        <w:t xml:space="preserve">modifications </w:t>
      </w:r>
      <w:r w:rsidR="00FA7B4E">
        <w:rPr>
          <w:rFonts w:ascii="Times New Roman" w:hAnsi="Times New Roman" w:cs="Times New Roman"/>
        </w:rPr>
        <w:t>to the Schedule to ensure that identified</w:t>
      </w:r>
      <w:r w:rsidR="003E0838">
        <w:rPr>
          <w:rFonts w:ascii="Times New Roman" w:hAnsi="Times New Roman" w:cs="Times New Roman"/>
        </w:rPr>
        <w:t xml:space="preserve"> examples of</w:t>
      </w:r>
      <w:r w:rsidR="00FA7B4E">
        <w:rPr>
          <w:rFonts w:ascii="Times New Roman" w:hAnsi="Times New Roman" w:cs="Times New Roman"/>
        </w:rPr>
        <w:t xml:space="preserve"> </w:t>
      </w:r>
      <w:r w:rsidR="008E6031">
        <w:rPr>
          <w:rFonts w:ascii="Times New Roman" w:hAnsi="Times New Roman" w:cs="Times New Roman"/>
        </w:rPr>
        <w:t>S</w:t>
      </w:r>
      <w:r w:rsidR="00FA7B4E">
        <w:rPr>
          <w:rFonts w:ascii="Times New Roman" w:hAnsi="Times New Roman" w:cs="Times New Roman"/>
        </w:rPr>
        <w:t xml:space="preserve">tate and </w:t>
      </w:r>
      <w:r w:rsidR="008E6031">
        <w:rPr>
          <w:rFonts w:ascii="Times New Roman" w:hAnsi="Times New Roman" w:cs="Times New Roman"/>
        </w:rPr>
        <w:t>T</w:t>
      </w:r>
      <w:r w:rsidR="00245E55">
        <w:rPr>
          <w:rFonts w:ascii="Times New Roman" w:hAnsi="Times New Roman" w:cs="Times New Roman"/>
        </w:rPr>
        <w:t>erritory</w:t>
      </w:r>
      <w:r w:rsidR="00FA7B4E">
        <w:rPr>
          <w:rFonts w:ascii="Times New Roman" w:hAnsi="Times New Roman" w:cs="Times New Roman"/>
        </w:rPr>
        <w:t xml:space="preserve"> </w:t>
      </w:r>
      <w:r w:rsidR="006A4355">
        <w:rPr>
          <w:rFonts w:ascii="Times New Roman" w:hAnsi="Times New Roman" w:cs="Times New Roman"/>
        </w:rPr>
        <w:t>related civil proceedings</w:t>
      </w:r>
      <w:r w:rsidR="00FA7B4E">
        <w:rPr>
          <w:rFonts w:ascii="Times New Roman" w:hAnsi="Times New Roman" w:cs="Times New Roman"/>
        </w:rPr>
        <w:t xml:space="preserve"> </w:t>
      </w:r>
      <w:r w:rsidR="00A437F5">
        <w:rPr>
          <w:rFonts w:ascii="Times New Roman" w:hAnsi="Times New Roman" w:cs="Times New Roman"/>
        </w:rPr>
        <w:t xml:space="preserve">were </w:t>
      </w:r>
      <w:r w:rsidR="00245E55">
        <w:rPr>
          <w:rFonts w:ascii="Times New Roman" w:hAnsi="Times New Roman" w:cs="Times New Roman"/>
        </w:rPr>
        <w:t>appropriate</w:t>
      </w:r>
      <w:r w:rsidR="00751626">
        <w:rPr>
          <w:rFonts w:ascii="Times New Roman" w:hAnsi="Times New Roman" w:cs="Times New Roman"/>
        </w:rPr>
        <w:t xml:space="preserve"> and up to date</w:t>
      </w:r>
      <w:r w:rsidR="00245E55">
        <w:rPr>
          <w:rFonts w:ascii="Times New Roman" w:hAnsi="Times New Roman" w:cs="Times New Roman"/>
        </w:rPr>
        <w:t xml:space="preserve">. </w:t>
      </w:r>
    </w:p>
    <w:p w14:paraId="1760E060" w14:textId="77777777" w:rsidR="0088329E" w:rsidRPr="00985EAF" w:rsidRDefault="00B96039" w:rsidP="002F2B36">
      <w:pPr>
        <w:rPr>
          <w:rFonts w:ascii="Times New Roman" w:hAnsi="Times New Roman" w:cs="Times New Roman"/>
        </w:rPr>
      </w:pPr>
      <w:r w:rsidRPr="00985EAF">
        <w:rPr>
          <w:rFonts w:ascii="Times New Roman" w:hAnsi="Times New Roman" w:cs="Times New Roman"/>
        </w:rPr>
        <w:t>T</w:t>
      </w:r>
      <w:r w:rsidR="004E3128" w:rsidRPr="00985EAF">
        <w:rPr>
          <w:rFonts w:ascii="Times New Roman" w:hAnsi="Times New Roman" w:cs="Times New Roman"/>
        </w:rPr>
        <w:t>he</w:t>
      </w:r>
      <w:r w:rsidR="00B20B4F">
        <w:rPr>
          <w:rFonts w:ascii="Times New Roman" w:hAnsi="Times New Roman" w:cs="Times New Roman"/>
        </w:rPr>
        <w:t xml:space="preserve"> </w:t>
      </w:r>
      <w:r w:rsidR="00BB0862" w:rsidRPr="008E7491">
        <w:rPr>
          <w:rFonts w:ascii="Times New Roman" w:hAnsi="Times New Roman" w:cs="Times New Roman"/>
        </w:rPr>
        <w:t>Regulations</w:t>
      </w:r>
      <w:r w:rsidR="0014164F">
        <w:rPr>
          <w:rFonts w:ascii="Times New Roman" w:hAnsi="Times New Roman" w:cs="Times New Roman"/>
        </w:rPr>
        <w:t xml:space="preserve"> do not</w:t>
      </w:r>
      <w:r w:rsidR="004E3128" w:rsidRPr="008E7491">
        <w:rPr>
          <w:rFonts w:ascii="Times New Roman" w:hAnsi="Times New Roman" w:cs="Times New Roman"/>
          <w:color w:val="FF0000"/>
        </w:rPr>
        <w:t xml:space="preserve"> </w:t>
      </w:r>
      <w:r w:rsidR="004E3128" w:rsidRPr="00985EAF">
        <w:rPr>
          <w:rFonts w:ascii="Times New Roman" w:hAnsi="Times New Roman" w:cs="Times New Roman"/>
        </w:rPr>
        <w:t xml:space="preserve">have direct or substantial indirect effects on business, nor do </w:t>
      </w:r>
      <w:r w:rsidR="00B443F8">
        <w:rPr>
          <w:rFonts w:ascii="Times New Roman" w:hAnsi="Times New Roman" w:cs="Times New Roman"/>
        </w:rPr>
        <w:t>they restrict competition</w:t>
      </w:r>
      <w:r w:rsidR="004E3128" w:rsidRPr="00985EAF">
        <w:rPr>
          <w:rFonts w:ascii="Times New Roman" w:hAnsi="Times New Roman" w:cs="Times New Roman"/>
        </w:rPr>
        <w:t xml:space="preserve">. </w:t>
      </w:r>
    </w:p>
    <w:p w14:paraId="7A8C92E5" w14:textId="77777777" w:rsidR="00B443F8" w:rsidRDefault="004E3128" w:rsidP="002F2B36">
      <w:pPr>
        <w:rPr>
          <w:rFonts w:ascii="Times New Roman" w:hAnsi="Times New Roman" w:cs="Times New Roman"/>
        </w:rPr>
      </w:pPr>
      <w:r w:rsidRPr="00985EAF">
        <w:rPr>
          <w:rFonts w:ascii="Times New Roman" w:hAnsi="Times New Roman" w:cs="Times New Roman"/>
        </w:rPr>
        <w:t>The Office of Best Practice Regulation advised that a</w:t>
      </w:r>
      <w:r w:rsidR="00B443F8">
        <w:rPr>
          <w:rFonts w:ascii="Times New Roman" w:hAnsi="Times New Roman" w:cs="Times New Roman"/>
        </w:rPr>
        <w:t xml:space="preserve"> Regulation Impact Statement</w:t>
      </w:r>
      <w:r w:rsidR="0014164F">
        <w:rPr>
          <w:rFonts w:ascii="Times New Roman" w:hAnsi="Times New Roman" w:cs="Times New Roman"/>
        </w:rPr>
        <w:t xml:space="preserve"> was not</w:t>
      </w:r>
      <w:r w:rsidRPr="00985EAF">
        <w:rPr>
          <w:rFonts w:ascii="Times New Roman" w:hAnsi="Times New Roman" w:cs="Times New Roman"/>
        </w:rPr>
        <w:t xml:space="preserve"> required</w:t>
      </w:r>
      <w:r w:rsidR="0094772E">
        <w:rPr>
          <w:rFonts w:ascii="Times New Roman" w:hAnsi="Times New Roman" w:cs="Times New Roman"/>
        </w:rPr>
        <w:t xml:space="preserve"> for the </w:t>
      </w:r>
      <w:r w:rsidR="00BB0862" w:rsidRPr="008E7491">
        <w:rPr>
          <w:rFonts w:ascii="Times New Roman" w:hAnsi="Times New Roman" w:cs="Times New Roman"/>
        </w:rPr>
        <w:t>Regulations</w:t>
      </w:r>
      <w:r w:rsidR="0094772E" w:rsidRPr="00FE04EC">
        <w:rPr>
          <w:rFonts w:ascii="Times New Roman" w:hAnsi="Times New Roman" w:cs="Times New Roman"/>
        </w:rPr>
        <w:t xml:space="preserve"> </w:t>
      </w:r>
      <w:r w:rsidR="00245E55">
        <w:rPr>
          <w:rFonts w:ascii="Times New Roman" w:hAnsi="Times New Roman" w:cs="Times New Roman"/>
        </w:rPr>
        <w:t>(OBPR ID: 22614)</w:t>
      </w:r>
      <w:r w:rsidR="00B862C9">
        <w:rPr>
          <w:rFonts w:ascii="Times New Roman" w:hAnsi="Times New Roman" w:cs="Times New Roman"/>
        </w:rPr>
        <w:t>.</w:t>
      </w:r>
    </w:p>
    <w:p w14:paraId="7DEC5B17" w14:textId="77777777" w:rsidR="004E3128" w:rsidRPr="00985EAF" w:rsidRDefault="004E3128" w:rsidP="002F2B36">
      <w:pPr>
        <w:rPr>
          <w:rFonts w:ascii="Times New Roman" w:hAnsi="Times New Roman" w:cs="Times New Roman"/>
        </w:rPr>
      </w:pPr>
      <w:r w:rsidRPr="00FE04EC">
        <w:rPr>
          <w:rFonts w:ascii="Times New Roman" w:hAnsi="Times New Roman" w:cs="Times New Roman"/>
        </w:rPr>
        <w:t>The</w:t>
      </w:r>
      <w:r w:rsidR="00522189">
        <w:rPr>
          <w:rFonts w:ascii="Times New Roman" w:hAnsi="Times New Roman" w:cs="Times New Roman"/>
        </w:rPr>
        <w:t xml:space="preserve"> </w:t>
      </w:r>
      <w:r w:rsidR="00BB0862" w:rsidRPr="008E7491">
        <w:rPr>
          <w:rFonts w:ascii="Times New Roman" w:hAnsi="Times New Roman" w:cs="Times New Roman"/>
        </w:rPr>
        <w:t>Regulations</w:t>
      </w:r>
      <w:r w:rsidR="00BB0862" w:rsidRPr="00FE04EC">
        <w:rPr>
          <w:rFonts w:ascii="Times New Roman" w:hAnsi="Times New Roman" w:cs="Times New Roman"/>
        </w:rPr>
        <w:t xml:space="preserve"> are</w:t>
      </w:r>
      <w:r w:rsidRPr="00985EAF">
        <w:rPr>
          <w:rFonts w:ascii="Times New Roman" w:hAnsi="Times New Roman" w:cs="Times New Roman"/>
        </w:rPr>
        <w:t xml:space="preserve"> a legislative instrument for the purposes of the </w:t>
      </w:r>
      <w:r w:rsidRPr="00985EAF">
        <w:rPr>
          <w:rFonts w:ascii="Times New Roman" w:hAnsi="Times New Roman" w:cs="Times New Roman"/>
          <w:i/>
        </w:rPr>
        <w:t>Legislation Act 2003</w:t>
      </w:r>
      <w:r w:rsidRPr="00985EAF">
        <w:rPr>
          <w:rFonts w:ascii="Times New Roman" w:hAnsi="Times New Roman" w:cs="Times New Roman"/>
        </w:rPr>
        <w:t xml:space="preserve">. </w:t>
      </w:r>
    </w:p>
    <w:p w14:paraId="6F6F83F4" w14:textId="77777777" w:rsidR="004E3128" w:rsidRPr="00985EAF" w:rsidRDefault="004E3128" w:rsidP="002F2B36">
      <w:pPr>
        <w:rPr>
          <w:rFonts w:ascii="Times New Roman" w:hAnsi="Times New Roman" w:cs="Times New Roman"/>
        </w:rPr>
      </w:pPr>
      <w:r w:rsidRPr="00985EAF">
        <w:rPr>
          <w:rFonts w:ascii="Times New Roman" w:hAnsi="Times New Roman" w:cs="Times New Roman"/>
        </w:rPr>
        <w:t xml:space="preserve">Details of </w:t>
      </w:r>
      <w:r w:rsidRPr="00FE04EC">
        <w:rPr>
          <w:rFonts w:ascii="Times New Roman" w:hAnsi="Times New Roman" w:cs="Times New Roman"/>
        </w:rPr>
        <w:t>the</w:t>
      </w:r>
      <w:r w:rsidR="00B20B4F">
        <w:rPr>
          <w:rFonts w:ascii="Times New Roman" w:hAnsi="Times New Roman" w:cs="Times New Roman"/>
        </w:rPr>
        <w:t xml:space="preserve"> </w:t>
      </w:r>
      <w:r w:rsidRPr="008E7491">
        <w:rPr>
          <w:rFonts w:ascii="Times New Roman" w:hAnsi="Times New Roman" w:cs="Times New Roman"/>
        </w:rPr>
        <w:t>Regulations</w:t>
      </w:r>
      <w:r w:rsidRPr="00985EAF">
        <w:rPr>
          <w:rFonts w:ascii="Times New Roman" w:hAnsi="Times New Roman" w:cs="Times New Roman"/>
        </w:rPr>
        <w:t xml:space="preserve"> are set out in the </w:t>
      </w:r>
      <w:r w:rsidRPr="001D62CB">
        <w:rPr>
          <w:rFonts w:ascii="Times New Roman" w:hAnsi="Times New Roman" w:cs="Times New Roman"/>
          <w:u w:val="single"/>
        </w:rPr>
        <w:t>Attachment</w:t>
      </w:r>
      <w:r w:rsidRPr="00985EAF">
        <w:rPr>
          <w:rFonts w:ascii="Times New Roman" w:hAnsi="Times New Roman" w:cs="Times New Roman"/>
        </w:rPr>
        <w:t xml:space="preserve">. </w:t>
      </w:r>
    </w:p>
    <w:p w14:paraId="2426188F" w14:textId="77777777" w:rsidR="002F2B36" w:rsidRPr="00985EAF" w:rsidRDefault="004E3128" w:rsidP="004E3128">
      <w:pPr>
        <w:jc w:val="right"/>
        <w:rPr>
          <w:rFonts w:ascii="Times New Roman" w:hAnsi="Times New Roman" w:cs="Times New Roman"/>
        </w:rPr>
      </w:pPr>
      <w:r w:rsidRPr="00985EAF">
        <w:rPr>
          <w:rFonts w:ascii="Times New Roman" w:hAnsi="Times New Roman" w:cs="Times New Roman"/>
          <w:u w:val="single"/>
        </w:rPr>
        <w:t>Authority</w:t>
      </w:r>
      <w:r w:rsidRPr="00985EAF">
        <w:rPr>
          <w:rFonts w:ascii="Times New Roman" w:hAnsi="Times New Roman" w:cs="Times New Roman"/>
        </w:rPr>
        <w:t>: Section</w:t>
      </w:r>
      <w:r w:rsidR="0014164F">
        <w:rPr>
          <w:rFonts w:ascii="Times New Roman" w:hAnsi="Times New Roman" w:cs="Times New Roman"/>
        </w:rPr>
        <w:t xml:space="preserve"> 46</w:t>
      </w:r>
      <w:r w:rsidRPr="00B317AE">
        <w:rPr>
          <w:rFonts w:ascii="Times New Roman" w:hAnsi="Times New Roman" w:cs="Times New Roman"/>
          <w:color w:val="FF0000"/>
        </w:rPr>
        <w:t xml:space="preserve"> </w:t>
      </w:r>
      <w:r w:rsidRPr="00985EAF">
        <w:rPr>
          <w:rFonts w:ascii="Times New Roman" w:hAnsi="Times New Roman" w:cs="Times New Roman"/>
        </w:rPr>
        <w:t xml:space="preserve">of the </w:t>
      </w:r>
      <w:r w:rsidR="0014164F">
        <w:rPr>
          <w:rFonts w:ascii="Times New Roman" w:hAnsi="Times New Roman" w:cs="Times New Roman"/>
          <w:i/>
        </w:rPr>
        <w:t>Foreign Evidence Act 1994</w:t>
      </w:r>
    </w:p>
    <w:p w14:paraId="6488F599" w14:textId="77777777" w:rsidR="005D4CDF" w:rsidRDefault="005D4CDF">
      <w:pPr>
        <w:rPr>
          <w:rFonts w:ascii="Times New Roman" w:hAnsi="Times New Roman" w:cs="Times New Roman"/>
          <w:b/>
          <w:u w:val="single"/>
        </w:rPr>
      </w:pPr>
    </w:p>
    <w:p w14:paraId="7542CBA4" w14:textId="77777777" w:rsidR="007F4ADB" w:rsidRDefault="007F4ADB">
      <w:pPr>
        <w:rPr>
          <w:rFonts w:ascii="Times New Roman" w:hAnsi="Times New Roman" w:cs="Times New Roman"/>
          <w:b/>
          <w:u w:val="single"/>
        </w:rPr>
      </w:pPr>
      <w:r>
        <w:rPr>
          <w:rFonts w:ascii="Times New Roman" w:hAnsi="Times New Roman" w:cs="Times New Roman"/>
          <w:b/>
          <w:u w:val="single"/>
        </w:rPr>
        <w:br w:type="page"/>
      </w:r>
    </w:p>
    <w:p w14:paraId="1E8B4359" w14:textId="77777777" w:rsidR="009C7716" w:rsidRPr="00985EAF" w:rsidRDefault="009C7716" w:rsidP="004E3128">
      <w:pPr>
        <w:jc w:val="right"/>
        <w:rPr>
          <w:rFonts w:ascii="Times New Roman" w:hAnsi="Times New Roman" w:cs="Times New Roman"/>
          <w:b/>
          <w:u w:val="single"/>
        </w:rPr>
      </w:pPr>
      <w:r w:rsidRPr="00985EAF">
        <w:rPr>
          <w:rFonts w:ascii="Times New Roman" w:hAnsi="Times New Roman" w:cs="Times New Roman"/>
          <w:b/>
          <w:u w:val="single"/>
        </w:rPr>
        <w:lastRenderedPageBreak/>
        <w:t>ATTACHMENT</w:t>
      </w:r>
    </w:p>
    <w:p w14:paraId="5FA36F0B" w14:textId="77777777" w:rsidR="009C7716" w:rsidRPr="00985EAF" w:rsidRDefault="009C7716" w:rsidP="009C7716">
      <w:pPr>
        <w:rPr>
          <w:rFonts w:ascii="Times New Roman" w:hAnsi="Times New Roman" w:cs="Times New Roman"/>
          <w:b/>
          <w:u w:val="single"/>
        </w:rPr>
      </w:pPr>
      <w:r w:rsidRPr="00985EAF">
        <w:rPr>
          <w:rFonts w:ascii="Times New Roman" w:hAnsi="Times New Roman" w:cs="Times New Roman"/>
          <w:b/>
          <w:u w:val="single"/>
        </w:rPr>
        <w:t>Details of the</w:t>
      </w:r>
      <w:r w:rsidR="0014164F">
        <w:rPr>
          <w:rFonts w:ascii="Times New Roman" w:hAnsi="Times New Roman" w:cs="Times New Roman"/>
          <w:b/>
          <w:u w:val="single"/>
        </w:rPr>
        <w:t xml:space="preserve"> </w:t>
      </w:r>
      <w:r w:rsidR="0014164F">
        <w:rPr>
          <w:rFonts w:ascii="Times New Roman" w:hAnsi="Times New Roman" w:cs="Times New Roman"/>
          <w:b/>
          <w:i/>
          <w:u w:val="single"/>
        </w:rPr>
        <w:t xml:space="preserve">Foreign Evidence (Foreign Material – Criminal and Related Civil Proceedings) Regulations 2018 </w:t>
      </w:r>
    </w:p>
    <w:p w14:paraId="1BE7DE4D" w14:textId="77777777" w:rsidR="008A6B28" w:rsidRPr="00E830D2" w:rsidRDefault="008A6B28" w:rsidP="009C7716">
      <w:pPr>
        <w:rPr>
          <w:rFonts w:ascii="Times New Roman" w:hAnsi="Times New Roman" w:cs="Times New Roman"/>
          <w:b/>
          <w:u w:val="single"/>
        </w:rPr>
      </w:pPr>
      <w:r>
        <w:rPr>
          <w:rFonts w:ascii="Times New Roman" w:hAnsi="Times New Roman" w:cs="Times New Roman"/>
          <w:b/>
          <w:u w:val="single"/>
        </w:rPr>
        <w:t>P</w:t>
      </w:r>
      <w:r w:rsidR="004874D1">
        <w:rPr>
          <w:rFonts w:ascii="Times New Roman" w:hAnsi="Times New Roman" w:cs="Times New Roman"/>
          <w:b/>
          <w:u w:val="single"/>
        </w:rPr>
        <w:t>art</w:t>
      </w:r>
      <w:r>
        <w:rPr>
          <w:rFonts w:ascii="Times New Roman" w:hAnsi="Times New Roman" w:cs="Times New Roman"/>
          <w:b/>
          <w:u w:val="single"/>
        </w:rPr>
        <w:t xml:space="preserve"> 1 – Preliminary</w:t>
      </w:r>
    </w:p>
    <w:p w14:paraId="2947F9A1" w14:textId="77777777" w:rsidR="008A6B28" w:rsidRPr="00E830D2" w:rsidRDefault="009C7716" w:rsidP="009C7716">
      <w:pPr>
        <w:rPr>
          <w:rFonts w:ascii="Times New Roman" w:hAnsi="Times New Roman" w:cs="Times New Roman"/>
          <w:b/>
        </w:rPr>
      </w:pPr>
      <w:r w:rsidRPr="00E830D2">
        <w:rPr>
          <w:rFonts w:ascii="Times New Roman" w:hAnsi="Times New Roman" w:cs="Times New Roman"/>
          <w:b/>
        </w:rPr>
        <w:t>Section</w:t>
      </w:r>
      <w:r w:rsidR="008A6B28" w:rsidRPr="00E830D2">
        <w:rPr>
          <w:rFonts w:ascii="Times New Roman" w:hAnsi="Times New Roman" w:cs="Times New Roman"/>
          <w:b/>
        </w:rPr>
        <w:t xml:space="preserve"> 1</w:t>
      </w:r>
      <w:r w:rsidRPr="00E830D2">
        <w:rPr>
          <w:rFonts w:ascii="Times New Roman" w:hAnsi="Times New Roman" w:cs="Times New Roman"/>
          <w:b/>
        </w:rPr>
        <w:t xml:space="preserve"> –</w:t>
      </w:r>
      <w:r w:rsidR="008A6B28" w:rsidRPr="00E830D2">
        <w:rPr>
          <w:rFonts w:ascii="Times New Roman" w:hAnsi="Times New Roman" w:cs="Times New Roman"/>
          <w:b/>
        </w:rPr>
        <w:t xml:space="preserve"> Name</w:t>
      </w:r>
    </w:p>
    <w:p w14:paraId="49405E2B" w14:textId="77777777" w:rsidR="008A6B28" w:rsidRDefault="008A6B28" w:rsidP="009C7716">
      <w:pPr>
        <w:rPr>
          <w:rFonts w:ascii="Times New Roman" w:hAnsi="Times New Roman" w:cs="Times New Roman"/>
        </w:rPr>
      </w:pPr>
      <w:r>
        <w:rPr>
          <w:rFonts w:ascii="Times New Roman" w:hAnsi="Times New Roman" w:cs="Times New Roman"/>
        </w:rPr>
        <w:t xml:space="preserve">This section </w:t>
      </w:r>
      <w:r w:rsidR="00504E98">
        <w:rPr>
          <w:rFonts w:ascii="Times New Roman" w:hAnsi="Times New Roman" w:cs="Times New Roman"/>
        </w:rPr>
        <w:t>provide</w:t>
      </w:r>
      <w:r w:rsidR="004E577E">
        <w:rPr>
          <w:rFonts w:ascii="Times New Roman" w:hAnsi="Times New Roman" w:cs="Times New Roman"/>
        </w:rPr>
        <w:t>s</w:t>
      </w:r>
      <w:r w:rsidR="00504E98">
        <w:rPr>
          <w:rFonts w:ascii="Times New Roman" w:hAnsi="Times New Roman" w:cs="Times New Roman"/>
        </w:rPr>
        <w:t xml:space="preserve"> </w:t>
      </w:r>
      <w:r>
        <w:rPr>
          <w:rFonts w:ascii="Times New Roman" w:hAnsi="Times New Roman" w:cs="Times New Roman"/>
        </w:rPr>
        <w:t>that the title of the</w:t>
      </w:r>
      <w:r w:rsidR="00A77C74">
        <w:rPr>
          <w:rFonts w:ascii="Times New Roman" w:hAnsi="Times New Roman" w:cs="Times New Roman"/>
        </w:rPr>
        <w:t xml:space="preserve"> Regulations</w:t>
      </w:r>
      <w:r>
        <w:rPr>
          <w:rFonts w:ascii="Times New Roman" w:hAnsi="Times New Roman" w:cs="Times New Roman"/>
        </w:rPr>
        <w:t xml:space="preserve"> is the </w:t>
      </w:r>
      <w:r>
        <w:rPr>
          <w:rFonts w:ascii="Times New Roman" w:hAnsi="Times New Roman" w:cs="Times New Roman"/>
          <w:i/>
        </w:rPr>
        <w:t>Foreign Evidence (Foreign Material – Criminal and Related Civil Proceedings) Regulations 2018</w:t>
      </w:r>
      <w:r>
        <w:rPr>
          <w:rFonts w:ascii="Times New Roman" w:hAnsi="Times New Roman" w:cs="Times New Roman"/>
        </w:rPr>
        <w:t>.</w:t>
      </w:r>
    </w:p>
    <w:p w14:paraId="456978CE" w14:textId="77777777" w:rsidR="008A6B28" w:rsidRDefault="008A6B28" w:rsidP="009C7716">
      <w:pPr>
        <w:rPr>
          <w:rFonts w:ascii="Times New Roman" w:hAnsi="Times New Roman" w:cs="Times New Roman"/>
          <w:b/>
        </w:rPr>
      </w:pPr>
      <w:r>
        <w:rPr>
          <w:rFonts w:ascii="Times New Roman" w:hAnsi="Times New Roman" w:cs="Times New Roman"/>
          <w:b/>
        </w:rPr>
        <w:t xml:space="preserve">Section 2 – Commencement </w:t>
      </w:r>
    </w:p>
    <w:p w14:paraId="7A4C40DD" w14:textId="77777777" w:rsidR="008A6B28" w:rsidRDefault="008A6B28" w:rsidP="009C7716">
      <w:pPr>
        <w:rPr>
          <w:rFonts w:ascii="Times New Roman" w:hAnsi="Times New Roman" w:cs="Times New Roman"/>
        </w:rPr>
      </w:pPr>
      <w:r>
        <w:rPr>
          <w:rFonts w:ascii="Times New Roman" w:hAnsi="Times New Roman" w:cs="Times New Roman"/>
        </w:rPr>
        <w:t>This section provide</w:t>
      </w:r>
      <w:r w:rsidR="004E577E">
        <w:rPr>
          <w:rFonts w:ascii="Times New Roman" w:hAnsi="Times New Roman" w:cs="Times New Roman"/>
        </w:rPr>
        <w:t>s</w:t>
      </w:r>
      <w:r>
        <w:rPr>
          <w:rFonts w:ascii="Times New Roman" w:hAnsi="Times New Roman" w:cs="Times New Roman"/>
        </w:rPr>
        <w:t xml:space="preserve"> that the</w:t>
      </w:r>
      <w:r w:rsidR="00B20B4F">
        <w:rPr>
          <w:rFonts w:ascii="Times New Roman" w:hAnsi="Times New Roman" w:cs="Times New Roman"/>
        </w:rPr>
        <w:t xml:space="preserve"> Regulations</w:t>
      </w:r>
      <w:r>
        <w:rPr>
          <w:rFonts w:ascii="Times New Roman" w:hAnsi="Times New Roman" w:cs="Times New Roman"/>
        </w:rPr>
        <w:t xml:space="preserve"> </w:t>
      </w:r>
      <w:r w:rsidR="00B20B4F">
        <w:rPr>
          <w:rFonts w:ascii="Times New Roman" w:hAnsi="Times New Roman" w:cs="Times New Roman"/>
        </w:rPr>
        <w:t>commence</w:t>
      </w:r>
      <w:r w:rsidR="00504E98">
        <w:rPr>
          <w:rFonts w:ascii="Times New Roman" w:hAnsi="Times New Roman" w:cs="Times New Roman"/>
        </w:rPr>
        <w:t xml:space="preserve"> </w:t>
      </w:r>
      <w:r>
        <w:rPr>
          <w:rFonts w:ascii="Times New Roman" w:hAnsi="Times New Roman" w:cs="Times New Roman"/>
        </w:rPr>
        <w:t>the day after the</w:t>
      </w:r>
      <w:r w:rsidR="00B20B4F">
        <w:rPr>
          <w:rFonts w:ascii="Times New Roman" w:hAnsi="Times New Roman" w:cs="Times New Roman"/>
        </w:rPr>
        <w:t xml:space="preserve">y are </w:t>
      </w:r>
      <w:r>
        <w:rPr>
          <w:rFonts w:ascii="Times New Roman" w:hAnsi="Times New Roman" w:cs="Times New Roman"/>
        </w:rPr>
        <w:t>registered.</w:t>
      </w:r>
    </w:p>
    <w:p w14:paraId="5A6149CE" w14:textId="77777777" w:rsidR="008A6B28" w:rsidRDefault="008A6B28" w:rsidP="009C7716">
      <w:pPr>
        <w:rPr>
          <w:rFonts w:ascii="Times New Roman" w:hAnsi="Times New Roman" w:cs="Times New Roman"/>
          <w:b/>
        </w:rPr>
      </w:pPr>
      <w:r>
        <w:rPr>
          <w:rFonts w:ascii="Times New Roman" w:hAnsi="Times New Roman" w:cs="Times New Roman"/>
          <w:b/>
        </w:rPr>
        <w:t xml:space="preserve">Section 3 – Authority </w:t>
      </w:r>
    </w:p>
    <w:p w14:paraId="615956D9" w14:textId="77777777" w:rsidR="008A6B28" w:rsidRPr="00073062" w:rsidRDefault="008A6B28" w:rsidP="009C7716">
      <w:pPr>
        <w:rPr>
          <w:rFonts w:ascii="Times New Roman" w:hAnsi="Times New Roman" w:cs="Times New Roman"/>
        </w:rPr>
      </w:pPr>
      <w:r>
        <w:rPr>
          <w:rFonts w:ascii="Times New Roman" w:hAnsi="Times New Roman" w:cs="Times New Roman"/>
        </w:rPr>
        <w:t xml:space="preserve">This section </w:t>
      </w:r>
      <w:r w:rsidR="00504E98">
        <w:rPr>
          <w:rFonts w:ascii="Times New Roman" w:hAnsi="Times New Roman" w:cs="Times New Roman"/>
        </w:rPr>
        <w:t>provide</w:t>
      </w:r>
      <w:r w:rsidR="004E577E">
        <w:rPr>
          <w:rFonts w:ascii="Times New Roman" w:hAnsi="Times New Roman" w:cs="Times New Roman"/>
        </w:rPr>
        <w:t>s</w:t>
      </w:r>
      <w:r w:rsidR="00504E98">
        <w:rPr>
          <w:rFonts w:ascii="Times New Roman" w:hAnsi="Times New Roman" w:cs="Times New Roman"/>
        </w:rPr>
        <w:t xml:space="preserve"> </w:t>
      </w:r>
      <w:r>
        <w:rPr>
          <w:rFonts w:ascii="Times New Roman" w:hAnsi="Times New Roman" w:cs="Times New Roman"/>
        </w:rPr>
        <w:t xml:space="preserve">that the </w:t>
      </w:r>
      <w:r w:rsidR="00B20B4F">
        <w:rPr>
          <w:rFonts w:ascii="Times New Roman" w:hAnsi="Times New Roman" w:cs="Times New Roman"/>
        </w:rPr>
        <w:t xml:space="preserve">Regulations are </w:t>
      </w:r>
      <w:r>
        <w:rPr>
          <w:rFonts w:ascii="Times New Roman" w:hAnsi="Times New Roman" w:cs="Times New Roman"/>
        </w:rPr>
        <w:t xml:space="preserve">made under the </w:t>
      </w:r>
      <w:r>
        <w:rPr>
          <w:rFonts w:ascii="Times New Roman" w:hAnsi="Times New Roman" w:cs="Times New Roman"/>
          <w:i/>
        </w:rPr>
        <w:t>Foreign Evidence Act 1994</w:t>
      </w:r>
      <w:r>
        <w:rPr>
          <w:rFonts w:ascii="Times New Roman" w:hAnsi="Times New Roman" w:cs="Times New Roman"/>
        </w:rPr>
        <w:t>.</w:t>
      </w:r>
    </w:p>
    <w:p w14:paraId="3B65BC11" w14:textId="77777777" w:rsidR="008A6B28" w:rsidRDefault="008A6B28" w:rsidP="009C7716">
      <w:pPr>
        <w:rPr>
          <w:rFonts w:ascii="Times New Roman" w:hAnsi="Times New Roman" w:cs="Times New Roman"/>
          <w:b/>
        </w:rPr>
      </w:pPr>
      <w:r>
        <w:rPr>
          <w:rFonts w:ascii="Times New Roman" w:hAnsi="Times New Roman" w:cs="Times New Roman"/>
          <w:b/>
        </w:rPr>
        <w:t>Section 4 – Schedule 2</w:t>
      </w:r>
    </w:p>
    <w:p w14:paraId="48ECADF8" w14:textId="1159C602" w:rsidR="00264D8B" w:rsidRDefault="008A6B28" w:rsidP="009C7716">
      <w:pPr>
        <w:rPr>
          <w:rFonts w:ascii="Times New Roman" w:hAnsi="Times New Roman" w:cs="Times New Roman"/>
        </w:rPr>
      </w:pPr>
      <w:r>
        <w:rPr>
          <w:rFonts w:ascii="Times New Roman" w:hAnsi="Times New Roman" w:cs="Times New Roman"/>
        </w:rPr>
        <w:t xml:space="preserve">This section </w:t>
      </w:r>
      <w:r w:rsidR="00504E98">
        <w:rPr>
          <w:rFonts w:ascii="Times New Roman" w:hAnsi="Times New Roman" w:cs="Times New Roman"/>
        </w:rPr>
        <w:t>provide</w:t>
      </w:r>
      <w:r w:rsidR="004E577E">
        <w:rPr>
          <w:rFonts w:ascii="Times New Roman" w:hAnsi="Times New Roman" w:cs="Times New Roman"/>
        </w:rPr>
        <w:t>s</w:t>
      </w:r>
      <w:r w:rsidR="00504E98">
        <w:rPr>
          <w:rFonts w:ascii="Times New Roman" w:hAnsi="Times New Roman" w:cs="Times New Roman"/>
        </w:rPr>
        <w:t xml:space="preserve"> </w:t>
      </w:r>
      <w:r w:rsidR="00264D8B">
        <w:rPr>
          <w:rFonts w:ascii="Times New Roman" w:hAnsi="Times New Roman" w:cs="Times New Roman"/>
        </w:rPr>
        <w:t>that any changes to</w:t>
      </w:r>
      <w:r w:rsidR="00E552C7">
        <w:rPr>
          <w:rFonts w:ascii="Times New Roman" w:hAnsi="Times New Roman" w:cs="Times New Roman"/>
        </w:rPr>
        <w:t xml:space="preserve"> other</w:t>
      </w:r>
      <w:r w:rsidR="00264D8B">
        <w:rPr>
          <w:rFonts w:ascii="Times New Roman" w:hAnsi="Times New Roman" w:cs="Times New Roman"/>
        </w:rPr>
        <w:t xml:space="preserve"> </w:t>
      </w:r>
      <w:r w:rsidR="00B20B4F">
        <w:rPr>
          <w:rFonts w:ascii="Times New Roman" w:hAnsi="Times New Roman" w:cs="Times New Roman"/>
        </w:rPr>
        <w:t xml:space="preserve">regulations </w:t>
      </w:r>
      <w:r w:rsidR="00264D8B">
        <w:rPr>
          <w:rFonts w:ascii="Times New Roman" w:hAnsi="Times New Roman" w:cs="Times New Roman"/>
        </w:rPr>
        <w:t xml:space="preserve">specified in </w:t>
      </w:r>
      <w:r w:rsidR="005D4CDF">
        <w:rPr>
          <w:rFonts w:ascii="Times New Roman" w:hAnsi="Times New Roman" w:cs="Times New Roman"/>
        </w:rPr>
        <w:t xml:space="preserve">the Regulations </w:t>
      </w:r>
      <w:r w:rsidR="00B20B4F">
        <w:rPr>
          <w:rFonts w:ascii="Times New Roman" w:hAnsi="Times New Roman" w:cs="Times New Roman"/>
        </w:rPr>
        <w:t>are</w:t>
      </w:r>
      <w:r w:rsidR="00264D8B">
        <w:rPr>
          <w:rFonts w:ascii="Times New Roman" w:hAnsi="Times New Roman" w:cs="Times New Roman"/>
        </w:rPr>
        <w:t xml:space="preserve"> found in </w:t>
      </w:r>
      <w:r w:rsidR="00B82223">
        <w:rPr>
          <w:rFonts w:ascii="Times New Roman" w:hAnsi="Times New Roman" w:cs="Times New Roman"/>
        </w:rPr>
        <w:t>S</w:t>
      </w:r>
      <w:r w:rsidR="00264D8B">
        <w:rPr>
          <w:rFonts w:ascii="Times New Roman" w:hAnsi="Times New Roman" w:cs="Times New Roman"/>
        </w:rPr>
        <w:t>chedule</w:t>
      </w:r>
      <w:r w:rsidR="00B82223">
        <w:rPr>
          <w:rFonts w:ascii="Times New Roman" w:hAnsi="Times New Roman" w:cs="Times New Roman"/>
        </w:rPr>
        <w:t xml:space="preserve"> 2</w:t>
      </w:r>
      <w:r w:rsidR="00264D8B">
        <w:rPr>
          <w:rFonts w:ascii="Times New Roman" w:hAnsi="Times New Roman" w:cs="Times New Roman"/>
        </w:rPr>
        <w:t xml:space="preserve"> </w:t>
      </w:r>
      <w:r w:rsidR="00B20B4F">
        <w:rPr>
          <w:rFonts w:ascii="Times New Roman" w:hAnsi="Times New Roman" w:cs="Times New Roman"/>
        </w:rPr>
        <w:t xml:space="preserve">of </w:t>
      </w:r>
      <w:r w:rsidR="005D4CDF">
        <w:rPr>
          <w:rFonts w:ascii="Times New Roman" w:hAnsi="Times New Roman" w:cs="Times New Roman"/>
        </w:rPr>
        <w:t>the R</w:t>
      </w:r>
      <w:r w:rsidR="00B20B4F">
        <w:rPr>
          <w:rFonts w:ascii="Times New Roman" w:hAnsi="Times New Roman" w:cs="Times New Roman"/>
        </w:rPr>
        <w:t>egulation</w:t>
      </w:r>
      <w:r w:rsidR="005D4CDF">
        <w:rPr>
          <w:rFonts w:ascii="Times New Roman" w:hAnsi="Times New Roman" w:cs="Times New Roman"/>
        </w:rPr>
        <w:t>s</w:t>
      </w:r>
      <w:r w:rsidR="00264D8B">
        <w:rPr>
          <w:rFonts w:ascii="Times New Roman" w:hAnsi="Times New Roman" w:cs="Times New Roman"/>
        </w:rPr>
        <w:t>.</w:t>
      </w:r>
    </w:p>
    <w:p w14:paraId="3ADADC1C" w14:textId="77777777" w:rsidR="00264D8B" w:rsidRDefault="00264D8B" w:rsidP="009C7716">
      <w:pPr>
        <w:rPr>
          <w:rFonts w:ascii="Times New Roman" w:hAnsi="Times New Roman" w:cs="Times New Roman"/>
          <w:b/>
        </w:rPr>
      </w:pPr>
      <w:r>
        <w:rPr>
          <w:rFonts w:ascii="Times New Roman" w:hAnsi="Times New Roman" w:cs="Times New Roman"/>
          <w:b/>
        </w:rPr>
        <w:t xml:space="preserve">Section 5 – Definitions </w:t>
      </w:r>
    </w:p>
    <w:p w14:paraId="793AEFEA" w14:textId="77777777" w:rsidR="00264D8B" w:rsidRPr="00073062" w:rsidRDefault="00264D8B" w:rsidP="009C7716">
      <w:pPr>
        <w:rPr>
          <w:rFonts w:ascii="Times New Roman" w:hAnsi="Times New Roman" w:cs="Times New Roman"/>
        </w:rPr>
      </w:pPr>
      <w:r>
        <w:rPr>
          <w:rFonts w:ascii="Times New Roman" w:hAnsi="Times New Roman" w:cs="Times New Roman"/>
        </w:rPr>
        <w:t xml:space="preserve">This section </w:t>
      </w:r>
      <w:r w:rsidR="00504E98">
        <w:rPr>
          <w:rFonts w:ascii="Times New Roman" w:hAnsi="Times New Roman" w:cs="Times New Roman"/>
        </w:rPr>
        <w:t>provide</w:t>
      </w:r>
      <w:r w:rsidR="004E577E">
        <w:rPr>
          <w:rFonts w:ascii="Times New Roman" w:hAnsi="Times New Roman" w:cs="Times New Roman"/>
        </w:rPr>
        <w:t>s</w:t>
      </w:r>
      <w:r w:rsidR="00504E98">
        <w:rPr>
          <w:rFonts w:ascii="Times New Roman" w:hAnsi="Times New Roman" w:cs="Times New Roman"/>
        </w:rPr>
        <w:t xml:space="preserve"> </w:t>
      </w:r>
      <w:r>
        <w:rPr>
          <w:rFonts w:ascii="Times New Roman" w:hAnsi="Times New Roman" w:cs="Times New Roman"/>
        </w:rPr>
        <w:t>that</w:t>
      </w:r>
      <w:r w:rsidR="004517C0">
        <w:rPr>
          <w:rFonts w:ascii="Times New Roman" w:hAnsi="Times New Roman" w:cs="Times New Roman"/>
        </w:rPr>
        <w:t xml:space="preserve"> the word</w:t>
      </w:r>
      <w:r>
        <w:rPr>
          <w:rFonts w:ascii="Times New Roman" w:hAnsi="Times New Roman" w:cs="Times New Roman"/>
        </w:rPr>
        <w:t xml:space="preserve"> ‘Act’ </w:t>
      </w:r>
      <w:r w:rsidR="004517C0">
        <w:rPr>
          <w:rFonts w:ascii="Times New Roman" w:hAnsi="Times New Roman" w:cs="Times New Roman"/>
        </w:rPr>
        <w:t>in th</w:t>
      </w:r>
      <w:r w:rsidR="00B20B4F">
        <w:rPr>
          <w:rFonts w:ascii="Times New Roman" w:hAnsi="Times New Roman" w:cs="Times New Roman"/>
        </w:rPr>
        <w:t xml:space="preserve">e Regulations </w:t>
      </w:r>
      <w:r>
        <w:rPr>
          <w:rFonts w:ascii="Times New Roman" w:hAnsi="Times New Roman" w:cs="Times New Roman"/>
        </w:rPr>
        <w:t xml:space="preserve">means the </w:t>
      </w:r>
      <w:r>
        <w:rPr>
          <w:rFonts w:ascii="Times New Roman" w:hAnsi="Times New Roman" w:cs="Times New Roman"/>
          <w:i/>
        </w:rPr>
        <w:t>Foreign Evidence Act 1994</w:t>
      </w:r>
      <w:r w:rsidR="004517C0">
        <w:rPr>
          <w:rFonts w:ascii="Times New Roman" w:hAnsi="Times New Roman" w:cs="Times New Roman"/>
        </w:rPr>
        <w:t>.</w:t>
      </w:r>
    </w:p>
    <w:p w14:paraId="6512EABA" w14:textId="77777777" w:rsidR="00264D8B" w:rsidRDefault="00264D8B" w:rsidP="009C7716">
      <w:pPr>
        <w:rPr>
          <w:rFonts w:ascii="Times New Roman" w:hAnsi="Times New Roman" w:cs="Times New Roman"/>
          <w:b/>
          <w:u w:val="single"/>
        </w:rPr>
      </w:pPr>
      <w:r>
        <w:rPr>
          <w:rFonts w:ascii="Times New Roman" w:hAnsi="Times New Roman" w:cs="Times New Roman"/>
          <w:b/>
          <w:u w:val="single"/>
        </w:rPr>
        <w:t>P</w:t>
      </w:r>
      <w:r w:rsidR="004874D1">
        <w:rPr>
          <w:rFonts w:ascii="Times New Roman" w:hAnsi="Times New Roman" w:cs="Times New Roman"/>
          <w:b/>
          <w:u w:val="single"/>
        </w:rPr>
        <w:t>art</w:t>
      </w:r>
      <w:r>
        <w:rPr>
          <w:rFonts w:ascii="Times New Roman" w:hAnsi="Times New Roman" w:cs="Times New Roman"/>
          <w:b/>
          <w:u w:val="single"/>
        </w:rPr>
        <w:t xml:space="preserve"> 2 – Use of foreign material in proceedings in a court of a State or Territory </w:t>
      </w:r>
    </w:p>
    <w:p w14:paraId="21C3D231" w14:textId="77777777" w:rsidR="00264D8B" w:rsidRDefault="00264D8B" w:rsidP="009C7716">
      <w:pPr>
        <w:rPr>
          <w:rFonts w:ascii="Times New Roman" w:hAnsi="Times New Roman" w:cs="Times New Roman"/>
          <w:b/>
        </w:rPr>
      </w:pPr>
      <w:r>
        <w:rPr>
          <w:rFonts w:ascii="Times New Roman" w:hAnsi="Times New Roman" w:cs="Times New Roman"/>
          <w:b/>
        </w:rPr>
        <w:t>Section 6 – Application of Part 3 of the Act to proceedings in a court of a State or Territory</w:t>
      </w:r>
    </w:p>
    <w:p w14:paraId="70635580" w14:textId="77777777" w:rsidR="004C7617" w:rsidRPr="004C7617" w:rsidRDefault="004C7617" w:rsidP="00937A37">
      <w:pPr>
        <w:rPr>
          <w:rFonts w:ascii="Times New Roman" w:hAnsi="Times New Roman" w:cs="Times New Roman"/>
          <w:i/>
        </w:rPr>
      </w:pPr>
      <w:r w:rsidRPr="004C7617">
        <w:rPr>
          <w:rFonts w:ascii="Times New Roman" w:hAnsi="Times New Roman" w:cs="Times New Roman"/>
          <w:i/>
        </w:rPr>
        <w:t>Specifying States and Territories</w:t>
      </w:r>
    </w:p>
    <w:p w14:paraId="2DD3F614" w14:textId="532C398C" w:rsidR="00607EA9" w:rsidRDefault="00937A37" w:rsidP="00937A37">
      <w:pPr>
        <w:rPr>
          <w:rFonts w:ascii="Times New Roman" w:hAnsi="Times New Roman" w:cs="Times New Roman"/>
        </w:rPr>
      </w:pPr>
      <w:r>
        <w:rPr>
          <w:rFonts w:ascii="Times New Roman" w:hAnsi="Times New Roman" w:cs="Times New Roman"/>
        </w:rPr>
        <w:t xml:space="preserve">Subsection 6(1) </w:t>
      </w:r>
      <w:r w:rsidR="00264D8B">
        <w:rPr>
          <w:rFonts w:ascii="Times New Roman" w:hAnsi="Times New Roman" w:cs="Times New Roman"/>
        </w:rPr>
        <w:t>specifie</w:t>
      </w:r>
      <w:r w:rsidR="00A3335E">
        <w:rPr>
          <w:rFonts w:ascii="Times New Roman" w:hAnsi="Times New Roman" w:cs="Times New Roman"/>
        </w:rPr>
        <w:t>s</w:t>
      </w:r>
      <w:r w:rsidR="00264D8B">
        <w:rPr>
          <w:rFonts w:ascii="Times New Roman" w:hAnsi="Times New Roman" w:cs="Times New Roman"/>
        </w:rPr>
        <w:t xml:space="preserve"> the States and Territories for the purposes of </w:t>
      </w:r>
      <w:r w:rsidR="00924CCB">
        <w:rPr>
          <w:rFonts w:ascii="Times New Roman" w:hAnsi="Times New Roman" w:cs="Times New Roman"/>
        </w:rPr>
        <w:t>s</w:t>
      </w:r>
      <w:r w:rsidR="009871AE">
        <w:rPr>
          <w:rFonts w:ascii="Times New Roman" w:hAnsi="Times New Roman" w:cs="Times New Roman"/>
        </w:rPr>
        <w:t>ub</w:t>
      </w:r>
      <w:r w:rsidR="00264D8B">
        <w:rPr>
          <w:rFonts w:ascii="Times New Roman" w:hAnsi="Times New Roman" w:cs="Times New Roman"/>
        </w:rPr>
        <w:t>section 20(2) of the Act</w:t>
      </w:r>
      <w:r w:rsidR="002B362A">
        <w:rPr>
          <w:rFonts w:ascii="Times New Roman" w:hAnsi="Times New Roman" w:cs="Times New Roman"/>
        </w:rPr>
        <w:t>.</w:t>
      </w:r>
      <w:r w:rsidR="00E87186">
        <w:rPr>
          <w:rFonts w:ascii="Times New Roman" w:hAnsi="Times New Roman" w:cs="Times New Roman"/>
        </w:rPr>
        <w:t xml:space="preserve"> </w:t>
      </w:r>
      <w:r w:rsidR="00CA2524">
        <w:rPr>
          <w:rFonts w:ascii="Times New Roman" w:hAnsi="Times New Roman" w:cs="Times New Roman"/>
        </w:rPr>
        <w:t>Subsection 20(2) of the Act facilitates the application of Part 3</w:t>
      </w:r>
      <w:r w:rsidR="00707B2B">
        <w:rPr>
          <w:rFonts w:ascii="Times New Roman" w:hAnsi="Times New Roman" w:cs="Times New Roman"/>
        </w:rPr>
        <w:t xml:space="preserve"> of the Act</w:t>
      </w:r>
      <w:r w:rsidR="00CA2524">
        <w:rPr>
          <w:rFonts w:ascii="Times New Roman" w:hAnsi="Times New Roman" w:cs="Times New Roman"/>
        </w:rPr>
        <w:t xml:space="preserve"> to</w:t>
      </w:r>
      <w:r w:rsidR="00E552C7">
        <w:rPr>
          <w:rFonts w:ascii="Times New Roman" w:hAnsi="Times New Roman" w:cs="Times New Roman"/>
        </w:rPr>
        <w:t xml:space="preserve"> certain</w:t>
      </w:r>
      <w:r w:rsidR="00CA2524">
        <w:rPr>
          <w:rFonts w:ascii="Times New Roman" w:hAnsi="Times New Roman" w:cs="Times New Roman"/>
        </w:rPr>
        <w:t xml:space="preserve"> </w:t>
      </w:r>
      <w:r w:rsidR="00212DD8">
        <w:rPr>
          <w:rFonts w:ascii="Times New Roman" w:hAnsi="Times New Roman" w:cs="Times New Roman"/>
        </w:rPr>
        <w:t>S</w:t>
      </w:r>
      <w:r w:rsidR="00CA2524">
        <w:rPr>
          <w:rFonts w:ascii="Times New Roman" w:hAnsi="Times New Roman" w:cs="Times New Roman"/>
        </w:rPr>
        <w:t xml:space="preserve">tate and </w:t>
      </w:r>
      <w:r w:rsidR="00212DD8">
        <w:rPr>
          <w:rFonts w:ascii="Times New Roman" w:hAnsi="Times New Roman" w:cs="Times New Roman"/>
        </w:rPr>
        <w:t>T</w:t>
      </w:r>
      <w:r w:rsidR="00CA2524">
        <w:rPr>
          <w:rFonts w:ascii="Times New Roman" w:hAnsi="Times New Roman" w:cs="Times New Roman"/>
        </w:rPr>
        <w:t xml:space="preserve">erritory </w:t>
      </w:r>
      <w:r w:rsidR="00E552C7">
        <w:rPr>
          <w:rFonts w:ascii="Times New Roman" w:hAnsi="Times New Roman" w:cs="Times New Roman"/>
        </w:rPr>
        <w:t xml:space="preserve">court </w:t>
      </w:r>
      <w:r w:rsidR="00CA2524">
        <w:rPr>
          <w:rFonts w:ascii="Times New Roman" w:hAnsi="Times New Roman" w:cs="Times New Roman"/>
        </w:rPr>
        <w:t xml:space="preserve">based </w:t>
      </w:r>
      <w:r w:rsidR="00954BE6">
        <w:rPr>
          <w:rFonts w:ascii="Times New Roman" w:hAnsi="Times New Roman" w:cs="Times New Roman"/>
        </w:rPr>
        <w:t>proceedings</w:t>
      </w:r>
      <w:r w:rsidR="00CA2524">
        <w:rPr>
          <w:rFonts w:ascii="Times New Roman" w:hAnsi="Times New Roman" w:cs="Times New Roman"/>
        </w:rPr>
        <w:t xml:space="preserve">. </w:t>
      </w:r>
      <w:r w:rsidR="00264D8B">
        <w:rPr>
          <w:rFonts w:ascii="Times New Roman" w:hAnsi="Times New Roman" w:cs="Times New Roman"/>
        </w:rPr>
        <w:t>New South Wales, Victoria, Queensland, Western Australia, South Australia, Tasmania, the Australian Capital Territory</w:t>
      </w:r>
      <w:r w:rsidR="00E87186">
        <w:rPr>
          <w:rFonts w:ascii="Times New Roman" w:hAnsi="Times New Roman" w:cs="Times New Roman"/>
        </w:rPr>
        <w:t>,</w:t>
      </w:r>
      <w:r w:rsidR="00264D8B">
        <w:rPr>
          <w:rFonts w:ascii="Times New Roman" w:hAnsi="Times New Roman" w:cs="Times New Roman"/>
        </w:rPr>
        <w:t xml:space="preserve"> and the Northern Territory</w:t>
      </w:r>
      <w:r w:rsidR="00E87186">
        <w:rPr>
          <w:rFonts w:ascii="Times New Roman" w:hAnsi="Times New Roman" w:cs="Times New Roman"/>
        </w:rPr>
        <w:t xml:space="preserve"> are specified</w:t>
      </w:r>
      <w:r w:rsidR="00995BBD">
        <w:rPr>
          <w:rFonts w:ascii="Times New Roman" w:hAnsi="Times New Roman" w:cs="Times New Roman"/>
        </w:rPr>
        <w:t xml:space="preserve">. This means that Part 3 of the Act applies to </w:t>
      </w:r>
      <w:r w:rsidR="00D27954">
        <w:rPr>
          <w:rFonts w:ascii="Times New Roman" w:hAnsi="Times New Roman" w:cs="Times New Roman"/>
        </w:rPr>
        <w:t xml:space="preserve">the </w:t>
      </w:r>
      <w:r w:rsidR="00995BBD">
        <w:rPr>
          <w:rFonts w:ascii="Times New Roman" w:hAnsi="Times New Roman" w:cs="Times New Roman"/>
        </w:rPr>
        <w:t>proceedings in the courts</w:t>
      </w:r>
      <w:r w:rsidR="00E552C7">
        <w:rPr>
          <w:rFonts w:ascii="Times New Roman" w:hAnsi="Times New Roman" w:cs="Times New Roman"/>
        </w:rPr>
        <w:t xml:space="preserve"> of those States and Territories which are</w:t>
      </w:r>
      <w:r w:rsidR="00995BBD">
        <w:rPr>
          <w:rFonts w:ascii="Times New Roman" w:hAnsi="Times New Roman" w:cs="Times New Roman"/>
        </w:rPr>
        <w:t xml:space="preserve"> </w:t>
      </w:r>
      <w:r w:rsidR="00607EA9">
        <w:rPr>
          <w:rFonts w:ascii="Times New Roman" w:hAnsi="Times New Roman" w:cs="Times New Roman"/>
        </w:rPr>
        <w:t xml:space="preserve">identified </w:t>
      </w:r>
      <w:r w:rsidR="00E552C7">
        <w:rPr>
          <w:rFonts w:ascii="Times New Roman" w:hAnsi="Times New Roman" w:cs="Times New Roman"/>
        </w:rPr>
        <w:t xml:space="preserve">as being the kinds of proceedings set out in </w:t>
      </w:r>
      <w:r w:rsidR="00607EA9">
        <w:rPr>
          <w:rFonts w:ascii="Times New Roman" w:hAnsi="Times New Roman" w:cs="Times New Roman"/>
        </w:rPr>
        <w:t>in paragraphs</w:t>
      </w:r>
      <w:r w:rsidR="00CB05CD">
        <w:rPr>
          <w:rFonts w:ascii="Times New Roman" w:hAnsi="Times New Roman" w:cs="Times New Roman"/>
        </w:rPr>
        <w:t xml:space="preserve"> </w:t>
      </w:r>
      <w:r w:rsidR="00E87186">
        <w:rPr>
          <w:rFonts w:ascii="Times New Roman" w:hAnsi="Times New Roman" w:cs="Times New Roman"/>
        </w:rPr>
        <w:t>20(2</w:t>
      </w:r>
      <w:proofErr w:type="gramStart"/>
      <w:r w:rsidR="00E87186">
        <w:rPr>
          <w:rFonts w:ascii="Times New Roman" w:hAnsi="Times New Roman" w:cs="Times New Roman"/>
        </w:rPr>
        <w:t>)</w:t>
      </w:r>
      <w:r w:rsidR="00CB05CD">
        <w:rPr>
          <w:rFonts w:ascii="Times New Roman" w:hAnsi="Times New Roman" w:cs="Times New Roman"/>
        </w:rPr>
        <w:t>(</w:t>
      </w:r>
      <w:proofErr w:type="gramEnd"/>
      <w:r w:rsidR="00CB05CD">
        <w:rPr>
          <w:rFonts w:ascii="Times New Roman" w:hAnsi="Times New Roman" w:cs="Times New Roman"/>
        </w:rPr>
        <w:t>a), (b) and (c)</w:t>
      </w:r>
      <w:r w:rsidR="000322EC">
        <w:rPr>
          <w:rFonts w:ascii="Times New Roman" w:hAnsi="Times New Roman" w:cs="Times New Roman"/>
        </w:rPr>
        <w:t xml:space="preserve"> of the Act</w:t>
      </w:r>
      <w:r w:rsidR="00F718C8">
        <w:rPr>
          <w:rFonts w:ascii="Times New Roman" w:hAnsi="Times New Roman" w:cs="Times New Roman"/>
        </w:rPr>
        <w:t>.</w:t>
      </w:r>
      <w:r w:rsidR="00CB05CD">
        <w:rPr>
          <w:rFonts w:ascii="Times New Roman" w:hAnsi="Times New Roman" w:cs="Times New Roman"/>
        </w:rPr>
        <w:t xml:space="preserve"> </w:t>
      </w:r>
    </w:p>
    <w:p w14:paraId="37942A5E" w14:textId="3DA333B8" w:rsidR="00607EA9" w:rsidRDefault="00607EA9" w:rsidP="00E87186">
      <w:pPr>
        <w:rPr>
          <w:rFonts w:ascii="Times New Roman" w:hAnsi="Times New Roman" w:cs="Times New Roman"/>
        </w:rPr>
      </w:pPr>
      <w:r>
        <w:rPr>
          <w:rFonts w:ascii="Times New Roman" w:hAnsi="Times New Roman" w:cs="Times New Roman"/>
        </w:rPr>
        <w:t>S</w:t>
      </w:r>
      <w:r w:rsidR="00CB05CD">
        <w:rPr>
          <w:rFonts w:ascii="Times New Roman" w:hAnsi="Times New Roman" w:cs="Times New Roman"/>
        </w:rPr>
        <w:t xml:space="preserve">pecifying all </w:t>
      </w:r>
      <w:r w:rsidR="00954BE6">
        <w:rPr>
          <w:rFonts w:ascii="Times New Roman" w:hAnsi="Times New Roman" w:cs="Times New Roman"/>
        </w:rPr>
        <w:t>S</w:t>
      </w:r>
      <w:r w:rsidR="00CB05CD">
        <w:rPr>
          <w:rFonts w:ascii="Times New Roman" w:hAnsi="Times New Roman" w:cs="Times New Roman"/>
        </w:rPr>
        <w:t xml:space="preserve">tates and </w:t>
      </w:r>
      <w:r w:rsidR="00954BE6">
        <w:rPr>
          <w:rFonts w:ascii="Times New Roman" w:hAnsi="Times New Roman" w:cs="Times New Roman"/>
        </w:rPr>
        <w:t>T</w:t>
      </w:r>
      <w:r w:rsidR="00CB05CD">
        <w:rPr>
          <w:rFonts w:ascii="Times New Roman" w:hAnsi="Times New Roman" w:cs="Times New Roman"/>
        </w:rPr>
        <w:t xml:space="preserve">erritories </w:t>
      </w:r>
      <w:r w:rsidR="00EC523B">
        <w:rPr>
          <w:rFonts w:ascii="Times New Roman" w:hAnsi="Times New Roman" w:cs="Times New Roman"/>
        </w:rPr>
        <w:t xml:space="preserve">means that, </w:t>
      </w:r>
      <w:r w:rsidR="00CB05CD">
        <w:rPr>
          <w:rFonts w:ascii="Times New Roman" w:hAnsi="Times New Roman" w:cs="Times New Roman"/>
        </w:rPr>
        <w:t xml:space="preserve">for </w:t>
      </w:r>
      <w:r>
        <w:rPr>
          <w:rFonts w:ascii="Times New Roman" w:hAnsi="Times New Roman" w:cs="Times New Roman"/>
        </w:rPr>
        <w:t xml:space="preserve">paragraph </w:t>
      </w:r>
      <w:r w:rsidR="00CB05CD">
        <w:rPr>
          <w:rFonts w:ascii="Times New Roman" w:hAnsi="Times New Roman" w:cs="Times New Roman"/>
        </w:rPr>
        <w:t>20(2</w:t>
      </w:r>
      <w:proofErr w:type="gramStart"/>
      <w:r w:rsidR="00CB05CD">
        <w:rPr>
          <w:rFonts w:ascii="Times New Roman" w:hAnsi="Times New Roman" w:cs="Times New Roman"/>
        </w:rPr>
        <w:t>)(</w:t>
      </w:r>
      <w:proofErr w:type="gramEnd"/>
      <w:r w:rsidR="00CB05CD">
        <w:rPr>
          <w:rFonts w:ascii="Times New Roman" w:hAnsi="Times New Roman" w:cs="Times New Roman"/>
        </w:rPr>
        <w:t>a)</w:t>
      </w:r>
      <w:r w:rsidR="00EC523B">
        <w:rPr>
          <w:rFonts w:ascii="Times New Roman" w:hAnsi="Times New Roman" w:cs="Times New Roman"/>
        </w:rPr>
        <w:t>,</w:t>
      </w:r>
      <w:r w:rsidR="00CB05CD">
        <w:rPr>
          <w:rFonts w:ascii="Times New Roman" w:hAnsi="Times New Roman" w:cs="Times New Roman"/>
        </w:rPr>
        <w:t xml:space="preserve"> foreign </w:t>
      </w:r>
      <w:r w:rsidR="00F23744">
        <w:rPr>
          <w:rFonts w:ascii="Times New Roman" w:hAnsi="Times New Roman" w:cs="Times New Roman"/>
        </w:rPr>
        <w:t>material</w:t>
      </w:r>
      <w:r w:rsidR="00CB05CD">
        <w:rPr>
          <w:rFonts w:ascii="Times New Roman" w:hAnsi="Times New Roman" w:cs="Times New Roman"/>
        </w:rPr>
        <w:t xml:space="preserve"> gathered overseas pursuant to a request from the Attorney-General could be </w:t>
      </w:r>
      <w:r w:rsidR="00212DD8">
        <w:rPr>
          <w:rFonts w:ascii="Times New Roman" w:hAnsi="Times New Roman" w:cs="Times New Roman"/>
        </w:rPr>
        <w:t xml:space="preserve">adduced in </w:t>
      </w:r>
      <w:r w:rsidR="001E26DB">
        <w:rPr>
          <w:rFonts w:ascii="Times New Roman" w:hAnsi="Times New Roman" w:cs="Times New Roman"/>
        </w:rPr>
        <w:t>S</w:t>
      </w:r>
      <w:r w:rsidR="00CB05CD">
        <w:rPr>
          <w:rFonts w:ascii="Times New Roman" w:hAnsi="Times New Roman" w:cs="Times New Roman"/>
        </w:rPr>
        <w:t xml:space="preserve">tate and </w:t>
      </w:r>
      <w:r w:rsidR="005C0F01">
        <w:rPr>
          <w:rFonts w:ascii="Times New Roman" w:hAnsi="Times New Roman" w:cs="Times New Roman"/>
        </w:rPr>
        <w:t>T</w:t>
      </w:r>
      <w:r w:rsidR="00CB05CD">
        <w:rPr>
          <w:rFonts w:ascii="Times New Roman" w:hAnsi="Times New Roman" w:cs="Times New Roman"/>
        </w:rPr>
        <w:t>erritory based criminal proceedings</w:t>
      </w:r>
      <w:r>
        <w:rPr>
          <w:rFonts w:ascii="Times New Roman" w:hAnsi="Times New Roman" w:cs="Times New Roman"/>
        </w:rPr>
        <w:t xml:space="preserve">. For example, a statement from an overseas witness who was unable to travel to Australia could be adduced in a homicide </w:t>
      </w:r>
      <w:r w:rsidR="000322EC">
        <w:rPr>
          <w:rFonts w:ascii="Times New Roman" w:hAnsi="Times New Roman" w:cs="Times New Roman"/>
        </w:rPr>
        <w:t>prosecution</w:t>
      </w:r>
      <w:r w:rsidR="009E6609">
        <w:rPr>
          <w:rFonts w:ascii="Times New Roman" w:hAnsi="Times New Roman" w:cs="Times New Roman"/>
        </w:rPr>
        <w:t xml:space="preserve"> under</w:t>
      </w:r>
      <w:r>
        <w:rPr>
          <w:rFonts w:ascii="Times New Roman" w:hAnsi="Times New Roman" w:cs="Times New Roman"/>
        </w:rPr>
        <w:t xml:space="preserve"> a </w:t>
      </w:r>
      <w:r w:rsidR="005C0F01">
        <w:rPr>
          <w:rFonts w:ascii="Times New Roman" w:hAnsi="Times New Roman" w:cs="Times New Roman"/>
        </w:rPr>
        <w:t>S</w:t>
      </w:r>
      <w:r>
        <w:rPr>
          <w:rFonts w:ascii="Times New Roman" w:hAnsi="Times New Roman" w:cs="Times New Roman"/>
        </w:rPr>
        <w:t xml:space="preserve">tate or </w:t>
      </w:r>
      <w:r w:rsidR="005C0F01">
        <w:rPr>
          <w:rFonts w:ascii="Times New Roman" w:hAnsi="Times New Roman" w:cs="Times New Roman"/>
        </w:rPr>
        <w:t>T</w:t>
      </w:r>
      <w:r>
        <w:rPr>
          <w:rFonts w:ascii="Times New Roman" w:hAnsi="Times New Roman" w:cs="Times New Roman"/>
        </w:rPr>
        <w:t>erritory based law</w:t>
      </w:r>
      <w:r w:rsidR="00CB05CD">
        <w:rPr>
          <w:rFonts w:ascii="Times New Roman" w:hAnsi="Times New Roman" w:cs="Times New Roman"/>
        </w:rPr>
        <w:t>.</w:t>
      </w:r>
      <w:r>
        <w:rPr>
          <w:rFonts w:ascii="Times New Roman" w:hAnsi="Times New Roman" w:cs="Times New Roman"/>
        </w:rPr>
        <w:t xml:space="preserve"> </w:t>
      </w:r>
    </w:p>
    <w:p w14:paraId="4A2A2E77" w14:textId="77777777" w:rsidR="00607EA9" w:rsidRDefault="00607EA9" w:rsidP="00E87186">
      <w:pPr>
        <w:rPr>
          <w:rFonts w:ascii="Times New Roman" w:hAnsi="Times New Roman" w:cs="Times New Roman"/>
        </w:rPr>
      </w:pPr>
      <w:r>
        <w:rPr>
          <w:rFonts w:ascii="Times New Roman" w:hAnsi="Times New Roman" w:cs="Times New Roman"/>
        </w:rPr>
        <w:t>Specifying</w:t>
      </w:r>
      <w:r w:rsidR="005C0F01">
        <w:rPr>
          <w:rFonts w:ascii="Times New Roman" w:hAnsi="Times New Roman" w:cs="Times New Roman"/>
        </w:rPr>
        <w:t xml:space="preserve"> all S</w:t>
      </w:r>
      <w:r>
        <w:rPr>
          <w:rFonts w:ascii="Times New Roman" w:hAnsi="Times New Roman" w:cs="Times New Roman"/>
        </w:rPr>
        <w:t xml:space="preserve">tates and </w:t>
      </w:r>
      <w:r w:rsidR="005C0F01">
        <w:rPr>
          <w:rFonts w:ascii="Times New Roman" w:hAnsi="Times New Roman" w:cs="Times New Roman"/>
        </w:rPr>
        <w:t>T</w:t>
      </w:r>
      <w:r>
        <w:rPr>
          <w:rFonts w:ascii="Times New Roman" w:hAnsi="Times New Roman" w:cs="Times New Roman"/>
        </w:rPr>
        <w:t xml:space="preserve">erritories </w:t>
      </w:r>
      <w:r w:rsidR="00EC523B">
        <w:rPr>
          <w:rFonts w:ascii="Times New Roman" w:hAnsi="Times New Roman" w:cs="Times New Roman"/>
        </w:rPr>
        <w:t xml:space="preserve">means that, </w:t>
      </w:r>
      <w:r>
        <w:rPr>
          <w:rFonts w:ascii="Times New Roman" w:hAnsi="Times New Roman" w:cs="Times New Roman"/>
        </w:rPr>
        <w:t>for paragraph 20(2)(b)</w:t>
      </w:r>
      <w:r w:rsidR="00EC523B">
        <w:rPr>
          <w:rFonts w:ascii="Times New Roman" w:hAnsi="Times New Roman" w:cs="Times New Roman"/>
        </w:rPr>
        <w:t>,</w:t>
      </w:r>
      <w:r>
        <w:rPr>
          <w:rFonts w:ascii="Times New Roman" w:hAnsi="Times New Roman" w:cs="Times New Roman"/>
        </w:rPr>
        <w:t xml:space="preserve"> foreign </w:t>
      </w:r>
      <w:r w:rsidR="00F23744">
        <w:rPr>
          <w:rFonts w:ascii="Times New Roman" w:hAnsi="Times New Roman" w:cs="Times New Roman"/>
        </w:rPr>
        <w:t>material</w:t>
      </w:r>
      <w:r>
        <w:rPr>
          <w:rFonts w:ascii="Times New Roman" w:hAnsi="Times New Roman" w:cs="Times New Roman"/>
        </w:rPr>
        <w:t xml:space="preserve"> gathered overseas pursuant to a request from the Attorney-General could be adduced in ‘related civil proceedings’ as defined in section 3 of the Act. For example, a document located overseas could be adduced in civil proceedings </w:t>
      </w:r>
      <w:r w:rsidR="000322EC">
        <w:rPr>
          <w:rFonts w:ascii="Times New Roman" w:hAnsi="Times New Roman" w:cs="Times New Roman"/>
        </w:rPr>
        <w:t xml:space="preserve">to recover tax or proceeds of crime </w:t>
      </w:r>
      <w:r>
        <w:rPr>
          <w:rFonts w:ascii="Times New Roman" w:hAnsi="Times New Roman" w:cs="Times New Roman"/>
        </w:rPr>
        <w:t xml:space="preserve">which were connected with criminal proceedings.  </w:t>
      </w:r>
    </w:p>
    <w:p w14:paraId="4F456EA9" w14:textId="77777777" w:rsidR="004517C0" w:rsidRDefault="00EC523B" w:rsidP="00E87186">
      <w:pPr>
        <w:rPr>
          <w:rFonts w:ascii="Times New Roman" w:hAnsi="Times New Roman" w:cs="Times New Roman"/>
        </w:rPr>
      </w:pPr>
      <w:r>
        <w:rPr>
          <w:rFonts w:ascii="Times New Roman" w:hAnsi="Times New Roman" w:cs="Times New Roman"/>
        </w:rPr>
        <w:lastRenderedPageBreak/>
        <w:t>Specifying all States and T</w:t>
      </w:r>
      <w:r w:rsidR="00607EA9">
        <w:rPr>
          <w:rFonts w:ascii="Times New Roman" w:hAnsi="Times New Roman" w:cs="Times New Roman"/>
        </w:rPr>
        <w:t xml:space="preserve">erritories </w:t>
      </w:r>
      <w:r>
        <w:rPr>
          <w:rFonts w:ascii="Times New Roman" w:hAnsi="Times New Roman" w:cs="Times New Roman"/>
        </w:rPr>
        <w:t xml:space="preserve">means that, </w:t>
      </w:r>
      <w:r w:rsidR="00607EA9">
        <w:rPr>
          <w:rFonts w:ascii="Times New Roman" w:hAnsi="Times New Roman" w:cs="Times New Roman"/>
        </w:rPr>
        <w:t>for paragraph 20(2)(c)</w:t>
      </w:r>
      <w:r>
        <w:rPr>
          <w:rFonts w:ascii="Times New Roman" w:hAnsi="Times New Roman" w:cs="Times New Roman"/>
        </w:rPr>
        <w:t>,</w:t>
      </w:r>
      <w:r w:rsidR="00607EA9">
        <w:rPr>
          <w:rFonts w:ascii="Times New Roman" w:hAnsi="Times New Roman" w:cs="Times New Roman"/>
        </w:rPr>
        <w:t xml:space="preserve"> foreign </w:t>
      </w:r>
      <w:r w:rsidR="00F23744">
        <w:rPr>
          <w:rFonts w:ascii="Times New Roman" w:hAnsi="Times New Roman" w:cs="Times New Roman"/>
        </w:rPr>
        <w:t>material</w:t>
      </w:r>
      <w:r w:rsidR="00607EA9">
        <w:rPr>
          <w:rFonts w:ascii="Times New Roman" w:hAnsi="Times New Roman" w:cs="Times New Roman"/>
        </w:rPr>
        <w:t xml:space="preserve"> gathered overseas pursuant to a request from the Attorney-General could be adduced in </w:t>
      </w:r>
      <w:r w:rsidR="00C82170">
        <w:rPr>
          <w:rFonts w:ascii="Times New Roman" w:hAnsi="Times New Roman" w:cs="Times New Roman"/>
        </w:rPr>
        <w:t xml:space="preserve">State and Territory </w:t>
      </w:r>
      <w:r w:rsidR="00607EA9">
        <w:rPr>
          <w:rFonts w:ascii="Times New Roman" w:hAnsi="Times New Roman" w:cs="Times New Roman"/>
        </w:rPr>
        <w:t>proceeds of crime proceedings, including non-conviction based proceeds of crime proceedings.</w:t>
      </w:r>
      <w:r w:rsidR="00212DD8">
        <w:rPr>
          <w:rFonts w:ascii="Times New Roman" w:hAnsi="Times New Roman" w:cs="Times New Roman"/>
        </w:rPr>
        <w:t xml:space="preserve"> </w:t>
      </w:r>
      <w:r w:rsidR="00607EA9">
        <w:rPr>
          <w:rFonts w:ascii="Times New Roman" w:hAnsi="Times New Roman" w:cs="Times New Roman"/>
        </w:rPr>
        <w:t>For example, an overseas bank record could be adduced in</w:t>
      </w:r>
      <w:r w:rsidR="005C0F01">
        <w:rPr>
          <w:rFonts w:ascii="Times New Roman" w:hAnsi="Times New Roman" w:cs="Times New Roman"/>
        </w:rPr>
        <w:t xml:space="preserve"> S</w:t>
      </w:r>
      <w:r w:rsidR="00607EA9">
        <w:rPr>
          <w:rFonts w:ascii="Times New Roman" w:hAnsi="Times New Roman" w:cs="Times New Roman"/>
        </w:rPr>
        <w:t xml:space="preserve">tate and </w:t>
      </w:r>
      <w:r w:rsidR="005C0F01">
        <w:rPr>
          <w:rFonts w:ascii="Times New Roman" w:hAnsi="Times New Roman" w:cs="Times New Roman"/>
        </w:rPr>
        <w:t>T</w:t>
      </w:r>
      <w:r w:rsidR="00607EA9">
        <w:rPr>
          <w:rFonts w:ascii="Times New Roman" w:hAnsi="Times New Roman" w:cs="Times New Roman"/>
        </w:rPr>
        <w:t xml:space="preserve">erritory </w:t>
      </w:r>
      <w:r w:rsidR="00A04095">
        <w:rPr>
          <w:rFonts w:ascii="Times New Roman" w:hAnsi="Times New Roman" w:cs="Times New Roman"/>
        </w:rPr>
        <w:t xml:space="preserve">courts subject to their </w:t>
      </w:r>
      <w:r w:rsidR="00607EA9">
        <w:rPr>
          <w:rFonts w:ascii="Times New Roman" w:hAnsi="Times New Roman" w:cs="Times New Roman"/>
        </w:rPr>
        <w:t>proceeds of crime legislation</w:t>
      </w:r>
      <w:r w:rsidR="000322EC">
        <w:rPr>
          <w:rFonts w:ascii="Times New Roman" w:hAnsi="Times New Roman" w:cs="Times New Roman"/>
        </w:rPr>
        <w:t>, even if there were no related criminal proceedings on foot</w:t>
      </w:r>
      <w:r w:rsidR="00607EA9">
        <w:rPr>
          <w:rFonts w:ascii="Times New Roman" w:hAnsi="Times New Roman" w:cs="Times New Roman"/>
        </w:rPr>
        <w:t xml:space="preserve">.  </w:t>
      </w:r>
    </w:p>
    <w:p w14:paraId="35B324A8" w14:textId="77777777" w:rsidR="004C7617" w:rsidRPr="004C7617" w:rsidRDefault="004C7617" w:rsidP="009C7716">
      <w:pPr>
        <w:rPr>
          <w:rFonts w:ascii="Times New Roman" w:hAnsi="Times New Roman" w:cs="Times New Roman"/>
          <w:i/>
        </w:rPr>
      </w:pPr>
      <w:r w:rsidRPr="004C7617">
        <w:rPr>
          <w:rFonts w:ascii="Times New Roman" w:hAnsi="Times New Roman" w:cs="Times New Roman"/>
          <w:i/>
        </w:rPr>
        <w:t>Specifying related civil proceedings</w:t>
      </w:r>
    </w:p>
    <w:p w14:paraId="34922403" w14:textId="1E56B8A5" w:rsidR="00504E98" w:rsidRDefault="00937A37" w:rsidP="009C7716">
      <w:pPr>
        <w:rPr>
          <w:rFonts w:ascii="Times New Roman" w:hAnsi="Times New Roman" w:cs="Times New Roman"/>
        </w:rPr>
      </w:pPr>
      <w:r>
        <w:rPr>
          <w:rFonts w:ascii="Times New Roman" w:hAnsi="Times New Roman" w:cs="Times New Roman"/>
        </w:rPr>
        <w:t>Subsection 6(2) provides that for the purposes of paragraph 20(2</w:t>
      </w:r>
      <w:proofErr w:type="gramStart"/>
      <w:r>
        <w:rPr>
          <w:rFonts w:ascii="Times New Roman" w:hAnsi="Times New Roman" w:cs="Times New Roman"/>
        </w:rPr>
        <w:t>)(</w:t>
      </w:r>
      <w:proofErr w:type="gramEnd"/>
      <w:r>
        <w:rPr>
          <w:rFonts w:ascii="Times New Roman" w:hAnsi="Times New Roman" w:cs="Times New Roman"/>
        </w:rPr>
        <w:t xml:space="preserve">b) of the Act, Schedule 1 specifies kinds of related civil proceedings for each specified State and Territory. </w:t>
      </w:r>
      <w:r w:rsidR="00954BE6">
        <w:rPr>
          <w:rFonts w:ascii="Times New Roman" w:hAnsi="Times New Roman" w:cs="Times New Roman"/>
        </w:rPr>
        <w:t xml:space="preserve">The effect of this is to facilitate </w:t>
      </w:r>
      <w:r w:rsidR="007B2772">
        <w:rPr>
          <w:rFonts w:ascii="Times New Roman" w:hAnsi="Times New Roman" w:cs="Times New Roman"/>
        </w:rPr>
        <w:t>the adducing</w:t>
      </w:r>
      <w:r w:rsidR="00954BE6">
        <w:rPr>
          <w:rFonts w:ascii="Times New Roman" w:hAnsi="Times New Roman" w:cs="Times New Roman"/>
        </w:rPr>
        <w:t xml:space="preserve"> of foreign evidence in ‘related civil proceedings.’ </w:t>
      </w:r>
      <w:r w:rsidR="00504E98">
        <w:rPr>
          <w:rFonts w:ascii="Times New Roman" w:hAnsi="Times New Roman" w:cs="Times New Roman"/>
        </w:rPr>
        <w:t>The note to this section flag</w:t>
      </w:r>
      <w:r w:rsidR="00A3335E">
        <w:rPr>
          <w:rFonts w:ascii="Times New Roman" w:hAnsi="Times New Roman" w:cs="Times New Roman"/>
        </w:rPr>
        <w:t>s</w:t>
      </w:r>
      <w:r w:rsidR="004C7617">
        <w:rPr>
          <w:rFonts w:ascii="Times New Roman" w:hAnsi="Times New Roman" w:cs="Times New Roman"/>
        </w:rPr>
        <w:t xml:space="preserve"> that the definition of ‘related civil proceedings’</w:t>
      </w:r>
      <w:r w:rsidR="00504E98">
        <w:rPr>
          <w:rFonts w:ascii="Times New Roman" w:hAnsi="Times New Roman" w:cs="Times New Roman"/>
        </w:rPr>
        <w:t xml:space="preserve"> is</w:t>
      </w:r>
      <w:r w:rsidR="00E552C7">
        <w:rPr>
          <w:rFonts w:ascii="Times New Roman" w:hAnsi="Times New Roman" w:cs="Times New Roman"/>
        </w:rPr>
        <w:t xml:space="preserve"> that</w:t>
      </w:r>
      <w:r w:rsidR="00504E98">
        <w:rPr>
          <w:rFonts w:ascii="Times New Roman" w:hAnsi="Times New Roman" w:cs="Times New Roman"/>
        </w:rPr>
        <w:t xml:space="preserve"> in section 3 of the Act. </w:t>
      </w:r>
      <w:r w:rsidR="00924CCB">
        <w:rPr>
          <w:rFonts w:ascii="Times New Roman" w:hAnsi="Times New Roman" w:cs="Times New Roman"/>
        </w:rPr>
        <w:t xml:space="preserve">Section 3 provides that a ‘related civil proceeding,’ in relation to a criminal proceeding means </w:t>
      </w:r>
      <w:r w:rsidR="00954BE6">
        <w:rPr>
          <w:rFonts w:ascii="Times New Roman" w:hAnsi="Times New Roman" w:cs="Times New Roman"/>
        </w:rPr>
        <w:t>‘</w:t>
      </w:r>
      <w:r w:rsidR="00924CCB">
        <w:rPr>
          <w:rFonts w:ascii="Times New Roman" w:hAnsi="Times New Roman" w:cs="Times New Roman"/>
        </w:rPr>
        <w:t>any civil proceeding arising from the same subject matter from which the criminal proceeding arose.’</w:t>
      </w:r>
      <w:r w:rsidR="00954BE6">
        <w:rPr>
          <w:rFonts w:ascii="Times New Roman" w:hAnsi="Times New Roman" w:cs="Times New Roman"/>
        </w:rPr>
        <w:t xml:space="preserve"> For example,</w:t>
      </w:r>
      <w:r w:rsidR="00E552C7">
        <w:rPr>
          <w:rFonts w:ascii="Times New Roman" w:hAnsi="Times New Roman" w:cs="Times New Roman"/>
        </w:rPr>
        <w:t xml:space="preserve"> this would</w:t>
      </w:r>
      <w:r w:rsidR="00D27954">
        <w:rPr>
          <w:rFonts w:ascii="Times New Roman" w:hAnsi="Times New Roman" w:cs="Times New Roman"/>
        </w:rPr>
        <w:t xml:space="preserve"> include </w:t>
      </w:r>
      <w:r w:rsidR="00954BE6">
        <w:rPr>
          <w:rFonts w:ascii="Times New Roman" w:hAnsi="Times New Roman" w:cs="Times New Roman"/>
        </w:rPr>
        <w:t>proceedings to confiscate proceeds of crime</w:t>
      </w:r>
      <w:r w:rsidR="004C7617">
        <w:rPr>
          <w:rFonts w:ascii="Times New Roman" w:hAnsi="Times New Roman" w:cs="Times New Roman"/>
        </w:rPr>
        <w:t xml:space="preserve"> or recover </w:t>
      </w:r>
      <w:r w:rsidR="00B01785">
        <w:rPr>
          <w:rFonts w:ascii="Times New Roman" w:hAnsi="Times New Roman" w:cs="Times New Roman"/>
        </w:rPr>
        <w:t>compensation</w:t>
      </w:r>
      <w:r w:rsidR="00954BE6">
        <w:rPr>
          <w:rFonts w:ascii="Times New Roman" w:hAnsi="Times New Roman" w:cs="Times New Roman"/>
        </w:rPr>
        <w:t xml:space="preserve"> where there is a related criminal prosecution on foot.</w:t>
      </w:r>
    </w:p>
    <w:p w14:paraId="657C5EE7" w14:textId="77777777" w:rsidR="004517C0" w:rsidRDefault="004517C0" w:rsidP="009C7716">
      <w:pPr>
        <w:rPr>
          <w:rFonts w:ascii="Times New Roman" w:hAnsi="Times New Roman" w:cs="Times New Roman"/>
          <w:b/>
          <w:u w:val="single"/>
        </w:rPr>
      </w:pPr>
      <w:r>
        <w:rPr>
          <w:rFonts w:ascii="Times New Roman" w:hAnsi="Times New Roman" w:cs="Times New Roman"/>
          <w:b/>
          <w:u w:val="single"/>
        </w:rPr>
        <w:t>S</w:t>
      </w:r>
      <w:r w:rsidR="00A3335E">
        <w:rPr>
          <w:rFonts w:ascii="Times New Roman" w:hAnsi="Times New Roman" w:cs="Times New Roman"/>
          <w:b/>
          <w:u w:val="single"/>
        </w:rPr>
        <w:t>chedule</w:t>
      </w:r>
      <w:r>
        <w:rPr>
          <w:rFonts w:ascii="Times New Roman" w:hAnsi="Times New Roman" w:cs="Times New Roman"/>
          <w:b/>
          <w:u w:val="single"/>
        </w:rPr>
        <w:t xml:space="preserve"> 1 – Related Civil Proceedings for a State or Territory</w:t>
      </w:r>
    </w:p>
    <w:p w14:paraId="6F51BF9F" w14:textId="77777777" w:rsidR="00B74572" w:rsidRPr="00E830D2" w:rsidRDefault="00B74572" w:rsidP="009C7716">
      <w:pPr>
        <w:rPr>
          <w:rFonts w:ascii="Times New Roman" w:hAnsi="Times New Roman" w:cs="Times New Roman"/>
          <w:b/>
        </w:rPr>
      </w:pPr>
      <w:r>
        <w:rPr>
          <w:rFonts w:ascii="Times New Roman" w:hAnsi="Times New Roman" w:cs="Times New Roman"/>
          <w:b/>
        </w:rPr>
        <w:t>Clause 1 – Related civil proceedings for a State or Territory</w:t>
      </w:r>
    </w:p>
    <w:p w14:paraId="2E3132B2" w14:textId="77777777" w:rsidR="00EA34DA" w:rsidRDefault="00B74572" w:rsidP="009C7716">
      <w:pPr>
        <w:rPr>
          <w:rFonts w:ascii="Times New Roman" w:hAnsi="Times New Roman" w:cs="Times New Roman"/>
        </w:rPr>
      </w:pPr>
      <w:r>
        <w:rPr>
          <w:rFonts w:ascii="Times New Roman" w:hAnsi="Times New Roman" w:cs="Times New Roman"/>
        </w:rPr>
        <w:t xml:space="preserve">This </w:t>
      </w:r>
      <w:r w:rsidR="00707B2B">
        <w:rPr>
          <w:rFonts w:ascii="Times New Roman" w:hAnsi="Times New Roman" w:cs="Times New Roman"/>
        </w:rPr>
        <w:t>clause</w:t>
      </w:r>
      <w:r w:rsidR="00EA34DA">
        <w:rPr>
          <w:rFonts w:ascii="Times New Roman" w:hAnsi="Times New Roman" w:cs="Times New Roman"/>
        </w:rPr>
        <w:t xml:space="preserve"> identifie</w:t>
      </w:r>
      <w:r w:rsidR="00A3335E">
        <w:rPr>
          <w:rFonts w:ascii="Times New Roman" w:hAnsi="Times New Roman" w:cs="Times New Roman"/>
        </w:rPr>
        <w:t>s</w:t>
      </w:r>
      <w:r w:rsidR="00EA34DA">
        <w:rPr>
          <w:rFonts w:ascii="Times New Roman" w:hAnsi="Times New Roman" w:cs="Times New Roman"/>
        </w:rPr>
        <w:t xml:space="preserve"> </w:t>
      </w:r>
      <w:r w:rsidR="00F20A05">
        <w:rPr>
          <w:rFonts w:ascii="Times New Roman" w:hAnsi="Times New Roman" w:cs="Times New Roman"/>
        </w:rPr>
        <w:t>examples of ‘</w:t>
      </w:r>
      <w:r w:rsidR="00EA34DA">
        <w:rPr>
          <w:rFonts w:ascii="Times New Roman" w:hAnsi="Times New Roman" w:cs="Times New Roman"/>
        </w:rPr>
        <w:t>related civil proceedings</w:t>
      </w:r>
      <w:r w:rsidR="00F20A05">
        <w:rPr>
          <w:rFonts w:ascii="Times New Roman" w:hAnsi="Times New Roman" w:cs="Times New Roman"/>
        </w:rPr>
        <w:t>’</w:t>
      </w:r>
      <w:r w:rsidR="00EA34DA">
        <w:rPr>
          <w:rFonts w:ascii="Times New Roman" w:hAnsi="Times New Roman" w:cs="Times New Roman"/>
        </w:rPr>
        <w:t xml:space="preserve"> </w:t>
      </w:r>
      <w:r>
        <w:rPr>
          <w:rFonts w:ascii="Times New Roman" w:hAnsi="Times New Roman" w:cs="Times New Roman"/>
        </w:rPr>
        <w:t xml:space="preserve">of a kind </w:t>
      </w:r>
      <w:r w:rsidR="00EA34DA">
        <w:rPr>
          <w:rFonts w:ascii="Times New Roman" w:hAnsi="Times New Roman" w:cs="Times New Roman"/>
        </w:rPr>
        <w:t xml:space="preserve">for </w:t>
      </w:r>
      <w:r w:rsidR="00E17C4C">
        <w:rPr>
          <w:rFonts w:ascii="Times New Roman" w:hAnsi="Times New Roman" w:cs="Times New Roman"/>
        </w:rPr>
        <w:t xml:space="preserve">each </w:t>
      </w:r>
      <w:r w:rsidR="00504E98">
        <w:rPr>
          <w:rFonts w:ascii="Times New Roman" w:hAnsi="Times New Roman" w:cs="Times New Roman"/>
        </w:rPr>
        <w:t>S</w:t>
      </w:r>
      <w:r w:rsidR="00E17C4C">
        <w:rPr>
          <w:rFonts w:ascii="Times New Roman" w:hAnsi="Times New Roman" w:cs="Times New Roman"/>
        </w:rPr>
        <w:t xml:space="preserve">tate and </w:t>
      </w:r>
      <w:r w:rsidR="00504E98">
        <w:rPr>
          <w:rFonts w:ascii="Times New Roman" w:hAnsi="Times New Roman" w:cs="Times New Roman"/>
        </w:rPr>
        <w:t>T</w:t>
      </w:r>
      <w:r w:rsidR="00E17C4C">
        <w:rPr>
          <w:rFonts w:ascii="Times New Roman" w:hAnsi="Times New Roman" w:cs="Times New Roman"/>
        </w:rPr>
        <w:t xml:space="preserve">erritory for </w:t>
      </w:r>
      <w:r w:rsidR="00EA34DA">
        <w:rPr>
          <w:rFonts w:ascii="Times New Roman" w:hAnsi="Times New Roman" w:cs="Times New Roman"/>
        </w:rPr>
        <w:t>the purposes of</w:t>
      </w:r>
      <w:r w:rsidR="00924CCB">
        <w:rPr>
          <w:rFonts w:ascii="Times New Roman" w:hAnsi="Times New Roman" w:cs="Times New Roman"/>
        </w:rPr>
        <w:t xml:space="preserve"> paragraph</w:t>
      </w:r>
      <w:r w:rsidR="00EA34DA">
        <w:rPr>
          <w:rFonts w:ascii="Times New Roman" w:hAnsi="Times New Roman" w:cs="Times New Roman"/>
        </w:rPr>
        <w:t xml:space="preserve"> 20(2</w:t>
      </w:r>
      <w:proofErr w:type="gramStart"/>
      <w:r w:rsidR="00EA34DA">
        <w:rPr>
          <w:rFonts w:ascii="Times New Roman" w:hAnsi="Times New Roman" w:cs="Times New Roman"/>
        </w:rPr>
        <w:t>)(</w:t>
      </w:r>
      <w:proofErr w:type="gramEnd"/>
      <w:r w:rsidR="00EA34DA">
        <w:rPr>
          <w:rFonts w:ascii="Times New Roman" w:hAnsi="Times New Roman" w:cs="Times New Roman"/>
        </w:rPr>
        <w:t>b)</w:t>
      </w:r>
      <w:r w:rsidR="00504E98">
        <w:rPr>
          <w:rFonts w:ascii="Times New Roman" w:hAnsi="Times New Roman" w:cs="Times New Roman"/>
        </w:rPr>
        <w:t xml:space="preserve"> of the Act</w:t>
      </w:r>
      <w:r w:rsidR="00707B2B">
        <w:rPr>
          <w:rFonts w:ascii="Times New Roman" w:hAnsi="Times New Roman" w:cs="Times New Roman"/>
        </w:rPr>
        <w:t>, pursuant to subsection 6(2) of these Regulations</w:t>
      </w:r>
      <w:r w:rsidR="00EA34DA">
        <w:rPr>
          <w:rFonts w:ascii="Times New Roman" w:hAnsi="Times New Roman" w:cs="Times New Roman"/>
        </w:rPr>
        <w:t>.</w:t>
      </w:r>
    </w:p>
    <w:p w14:paraId="30729AED" w14:textId="77777777" w:rsidR="003A3D72" w:rsidRDefault="003A3D72" w:rsidP="003A3D72">
      <w:pPr>
        <w:rPr>
          <w:rFonts w:ascii="Times New Roman" w:hAnsi="Times New Roman"/>
        </w:rPr>
      </w:pPr>
      <w:r>
        <w:rPr>
          <w:rFonts w:ascii="Times New Roman" w:hAnsi="Times New Roman"/>
        </w:rPr>
        <w:t xml:space="preserve">Column 1 </w:t>
      </w:r>
      <w:r w:rsidR="00E548AF">
        <w:rPr>
          <w:rFonts w:ascii="Times New Roman" w:hAnsi="Times New Roman"/>
        </w:rPr>
        <w:t xml:space="preserve">specifies the State or Territory that the ‘related civil proceedings’ identified in column 2 apply to. </w:t>
      </w:r>
      <w:r w:rsidR="00F23744">
        <w:rPr>
          <w:rFonts w:ascii="Times New Roman" w:hAnsi="Times New Roman"/>
        </w:rPr>
        <w:t>Column 2</w:t>
      </w:r>
      <w:r w:rsidR="00CE1DF4">
        <w:rPr>
          <w:rFonts w:ascii="Times New Roman" w:hAnsi="Times New Roman"/>
        </w:rPr>
        <w:t xml:space="preserve"> </w:t>
      </w:r>
      <w:r w:rsidR="00212DD8">
        <w:rPr>
          <w:rFonts w:ascii="Times New Roman" w:hAnsi="Times New Roman"/>
        </w:rPr>
        <w:t xml:space="preserve">identifies </w:t>
      </w:r>
      <w:r w:rsidR="00F20A05">
        <w:rPr>
          <w:rFonts w:ascii="Times New Roman" w:hAnsi="Times New Roman"/>
        </w:rPr>
        <w:t>‘</w:t>
      </w:r>
      <w:r>
        <w:rPr>
          <w:rFonts w:ascii="Times New Roman" w:hAnsi="Times New Roman"/>
        </w:rPr>
        <w:t>related civil proceedings</w:t>
      </w:r>
      <w:r w:rsidR="00F20A05">
        <w:rPr>
          <w:rFonts w:ascii="Times New Roman" w:hAnsi="Times New Roman"/>
        </w:rPr>
        <w:t>’</w:t>
      </w:r>
      <w:r>
        <w:rPr>
          <w:rFonts w:ascii="Times New Roman" w:hAnsi="Times New Roman"/>
        </w:rPr>
        <w:t xml:space="preserve"> </w:t>
      </w:r>
      <w:r w:rsidR="00212DD8">
        <w:rPr>
          <w:rFonts w:ascii="Times New Roman" w:hAnsi="Times New Roman"/>
        </w:rPr>
        <w:t>for each specified State or Territory in column 1.</w:t>
      </w:r>
      <w:r w:rsidR="00CE1DF4">
        <w:rPr>
          <w:rFonts w:ascii="Times New Roman" w:hAnsi="Times New Roman"/>
        </w:rPr>
        <w:t xml:space="preserve"> Column 2 also lists, as examples</w:t>
      </w:r>
      <w:r w:rsidR="00954BE6">
        <w:rPr>
          <w:rFonts w:ascii="Times New Roman" w:hAnsi="Times New Roman"/>
        </w:rPr>
        <w:t>,</w:t>
      </w:r>
      <w:r w:rsidR="00CE1DF4">
        <w:rPr>
          <w:rFonts w:ascii="Times New Roman" w:hAnsi="Times New Roman"/>
        </w:rPr>
        <w:t xml:space="preserve"> proceedings under particular specified Acts that are related civil proceedings for this purpose. </w:t>
      </w:r>
      <w:r>
        <w:rPr>
          <w:rFonts w:ascii="Times New Roman" w:hAnsi="Times New Roman"/>
        </w:rPr>
        <w:t>To the extent that the table include</w:t>
      </w:r>
      <w:r w:rsidR="00A3335E">
        <w:rPr>
          <w:rFonts w:ascii="Times New Roman" w:hAnsi="Times New Roman"/>
        </w:rPr>
        <w:t>s</w:t>
      </w:r>
      <w:r>
        <w:rPr>
          <w:rFonts w:ascii="Times New Roman" w:hAnsi="Times New Roman"/>
        </w:rPr>
        <w:t xml:space="preserve"> previously repealed </w:t>
      </w:r>
      <w:r w:rsidR="00CE1DF4">
        <w:rPr>
          <w:rFonts w:ascii="Times New Roman" w:hAnsi="Times New Roman"/>
        </w:rPr>
        <w:t>legislation,</w:t>
      </w:r>
      <w:r>
        <w:rPr>
          <w:rFonts w:ascii="Times New Roman" w:hAnsi="Times New Roman"/>
        </w:rPr>
        <w:t xml:space="preserve"> it has done </w:t>
      </w:r>
      <w:r w:rsidR="00954BE6">
        <w:rPr>
          <w:rFonts w:ascii="Times New Roman" w:hAnsi="Times New Roman"/>
        </w:rPr>
        <w:t xml:space="preserve">so </w:t>
      </w:r>
      <w:r>
        <w:rPr>
          <w:rFonts w:ascii="Times New Roman" w:hAnsi="Times New Roman"/>
        </w:rPr>
        <w:t>to ensure that Part 3 of the Act applie</w:t>
      </w:r>
      <w:r w:rsidR="00A3335E">
        <w:rPr>
          <w:rFonts w:ascii="Times New Roman" w:hAnsi="Times New Roman"/>
        </w:rPr>
        <w:t>s</w:t>
      </w:r>
      <w:r>
        <w:rPr>
          <w:rFonts w:ascii="Times New Roman" w:hAnsi="Times New Roman"/>
        </w:rPr>
        <w:t xml:space="preserve"> to related civil proceedings for historical offences and proceedings. </w:t>
      </w:r>
    </w:p>
    <w:p w14:paraId="37AE3BC8" w14:textId="77777777" w:rsidR="00B01785" w:rsidRDefault="00B01785" w:rsidP="003A3D72">
      <w:pPr>
        <w:rPr>
          <w:rFonts w:ascii="Times New Roman" w:hAnsi="Times New Roman"/>
        </w:rPr>
      </w:pPr>
      <w:r w:rsidRPr="00B01785">
        <w:rPr>
          <w:rFonts w:ascii="Times New Roman" w:hAnsi="Times New Roman"/>
        </w:rPr>
        <w:t>For example, for New South Wales, the specified proceedings are:</w:t>
      </w:r>
    </w:p>
    <w:p w14:paraId="32383EA6" w14:textId="77777777" w:rsidR="00B01785" w:rsidRPr="00116113" w:rsidRDefault="00B01785" w:rsidP="00B01785">
      <w:pPr>
        <w:pStyle w:val="Tabletext"/>
        <w:ind w:left="284"/>
      </w:pPr>
      <w:r w:rsidRPr="00116113">
        <w:t>A related civil proceeding of any kind, including:</w:t>
      </w:r>
    </w:p>
    <w:p w14:paraId="32C83BB9" w14:textId="77777777" w:rsidR="00B01785" w:rsidRPr="00116113" w:rsidRDefault="00B01785" w:rsidP="00B01785">
      <w:pPr>
        <w:pStyle w:val="Tablea"/>
        <w:ind w:firstLine="0"/>
      </w:pPr>
      <w:r w:rsidRPr="00116113">
        <w:t xml:space="preserve">(a) </w:t>
      </w:r>
      <w:proofErr w:type="gramStart"/>
      <w:r w:rsidRPr="00116113">
        <w:t>a</w:t>
      </w:r>
      <w:proofErr w:type="gramEnd"/>
      <w:r w:rsidRPr="00116113">
        <w:t xml:space="preserve"> proceeding under the </w:t>
      </w:r>
      <w:r w:rsidRPr="00116113">
        <w:rPr>
          <w:i/>
        </w:rPr>
        <w:t>Confiscation of Proceeds of Crime Act 1989</w:t>
      </w:r>
      <w:bookmarkStart w:id="0" w:name="BK_S4P3L15C5"/>
      <w:bookmarkEnd w:id="0"/>
      <w:r w:rsidRPr="00116113">
        <w:t xml:space="preserve"> (NSW); and</w:t>
      </w:r>
    </w:p>
    <w:p w14:paraId="46A804BE" w14:textId="77777777" w:rsidR="00B01785" w:rsidRPr="00116113" w:rsidRDefault="00B01785" w:rsidP="00B01785">
      <w:pPr>
        <w:pStyle w:val="Tablea"/>
        <w:ind w:firstLine="0"/>
      </w:pPr>
      <w:r w:rsidRPr="00116113">
        <w:t xml:space="preserve">(b) </w:t>
      </w:r>
      <w:proofErr w:type="gramStart"/>
      <w:r w:rsidRPr="00116113">
        <w:t>a</w:t>
      </w:r>
      <w:proofErr w:type="gramEnd"/>
      <w:r w:rsidRPr="00116113">
        <w:t xml:space="preserve"> proceeding under the </w:t>
      </w:r>
      <w:r w:rsidRPr="00116113">
        <w:rPr>
          <w:i/>
        </w:rPr>
        <w:t>Criminal Assets Recovery Act 1990</w:t>
      </w:r>
      <w:bookmarkStart w:id="1" w:name="BK_S4P3L16C61"/>
      <w:bookmarkEnd w:id="1"/>
      <w:r w:rsidRPr="00116113">
        <w:t xml:space="preserve"> (NSW); and</w:t>
      </w:r>
    </w:p>
    <w:p w14:paraId="36CAD360" w14:textId="77777777" w:rsidR="00B01785" w:rsidRPr="00116113" w:rsidRDefault="00B01785" w:rsidP="00B01785">
      <w:pPr>
        <w:pStyle w:val="Tablea"/>
        <w:ind w:firstLine="0"/>
      </w:pPr>
      <w:r w:rsidRPr="00116113">
        <w:t xml:space="preserve">(c) </w:t>
      </w:r>
      <w:proofErr w:type="gramStart"/>
      <w:r w:rsidRPr="00116113">
        <w:t>a</w:t>
      </w:r>
      <w:proofErr w:type="gramEnd"/>
      <w:r w:rsidRPr="00116113">
        <w:t xml:space="preserve"> proceeding under the </w:t>
      </w:r>
      <w:r w:rsidRPr="00116113">
        <w:rPr>
          <w:i/>
        </w:rPr>
        <w:t>Drug Trafficking (Civil Proceedings) Act 1990</w:t>
      </w:r>
      <w:bookmarkStart w:id="2" w:name="BK_S4P3L19C5"/>
      <w:bookmarkEnd w:id="2"/>
      <w:r w:rsidRPr="00116113">
        <w:t xml:space="preserve"> (NSW); and</w:t>
      </w:r>
    </w:p>
    <w:p w14:paraId="1E1BE85D" w14:textId="77777777" w:rsidR="00B01785" w:rsidRPr="00116113" w:rsidRDefault="00B01785" w:rsidP="00B01785">
      <w:pPr>
        <w:pStyle w:val="Tablea"/>
        <w:ind w:firstLine="0"/>
      </w:pPr>
      <w:r w:rsidRPr="00116113">
        <w:t xml:space="preserve">(d) </w:t>
      </w:r>
      <w:proofErr w:type="gramStart"/>
      <w:r w:rsidRPr="00116113">
        <w:t>a</w:t>
      </w:r>
      <w:proofErr w:type="gramEnd"/>
      <w:r w:rsidRPr="00116113">
        <w:t xml:space="preserve"> proceeding under the </w:t>
      </w:r>
      <w:proofErr w:type="spellStart"/>
      <w:r w:rsidRPr="00116113">
        <w:rPr>
          <w:i/>
        </w:rPr>
        <w:t>Victims</w:t>
      </w:r>
      <w:proofErr w:type="spellEnd"/>
      <w:r w:rsidRPr="00116113">
        <w:rPr>
          <w:i/>
        </w:rPr>
        <w:t xml:space="preserve"> Rights and Support Act 2013</w:t>
      </w:r>
      <w:bookmarkStart w:id="3" w:name="BK_S4P3L20C63"/>
      <w:bookmarkEnd w:id="3"/>
      <w:r w:rsidRPr="00116113">
        <w:t xml:space="preserve"> (NSW); and</w:t>
      </w:r>
    </w:p>
    <w:p w14:paraId="2FADED23" w14:textId="77777777" w:rsidR="00B01785" w:rsidRDefault="00B01785" w:rsidP="00B01785">
      <w:pPr>
        <w:pStyle w:val="Tabletext"/>
        <w:ind w:left="284"/>
      </w:pPr>
      <w:r w:rsidRPr="00116113">
        <w:t xml:space="preserve">(e) </w:t>
      </w:r>
      <w:proofErr w:type="gramStart"/>
      <w:r w:rsidRPr="00116113">
        <w:t>a</w:t>
      </w:r>
      <w:proofErr w:type="gramEnd"/>
      <w:r w:rsidRPr="00116113">
        <w:t xml:space="preserve"> proceeding under a law of New South Wales for the recovery of compensation in relation to an offence committed against a law of the State.</w:t>
      </w:r>
    </w:p>
    <w:p w14:paraId="3E6F17C7" w14:textId="77777777" w:rsidR="00B01785" w:rsidRDefault="00B01785" w:rsidP="00B01785">
      <w:pPr>
        <w:pStyle w:val="Tabletext"/>
      </w:pPr>
    </w:p>
    <w:p w14:paraId="46F012BF" w14:textId="4771B6AE" w:rsidR="00B01785" w:rsidRDefault="00B01785" w:rsidP="00B01785">
      <w:pPr>
        <w:rPr>
          <w:rFonts w:ascii="Times New Roman" w:hAnsi="Times New Roman"/>
        </w:rPr>
      </w:pPr>
      <w:r w:rsidRPr="00B01785">
        <w:rPr>
          <w:rFonts w:ascii="Times New Roman" w:hAnsi="Times New Roman"/>
        </w:rPr>
        <w:t>The effect of specifying these proceedings is to enable</w:t>
      </w:r>
      <w:r w:rsidR="00747847">
        <w:rPr>
          <w:rFonts w:ascii="Times New Roman" w:hAnsi="Times New Roman"/>
        </w:rPr>
        <w:t xml:space="preserve"> foreign</w:t>
      </w:r>
      <w:r w:rsidRPr="00B01785">
        <w:rPr>
          <w:rFonts w:ascii="Times New Roman" w:hAnsi="Times New Roman"/>
        </w:rPr>
        <w:t xml:space="preserve"> evidence to be adduced in these </w:t>
      </w:r>
      <w:r w:rsidR="00E552C7">
        <w:rPr>
          <w:rFonts w:ascii="Times New Roman" w:hAnsi="Times New Roman"/>
        </w:rPr>
        <w:t xml:space="preserve">kinds of </w:t>
      </w:r>
      <w:r w:rsidRPr="00B01785">
        <w:rPr>
          <w:rFonts w:ascii="Times New Roman" w:hAnsi="Times New Roman"/>
        </w:rPr>
        <w:t>proceedings under Part 3 of the Act.</w:t>
      </w:r>
    </w:p>
    <w:p w14:paraId="030C00FB" w14:textId="77777777" w:rsidR="00B74572" w:rsidRDefault="00B74572" w:rsidP="009C7716">
      <w:pPr>
        <w:rPr>
          <w:rFonts w:ascii="Times New Roman" w:hAnsi="Times New Roman" w:cs="Times New Roman"/>
          <w:b/>
          <w:u w:val="single"/>
        </w:rPr>
      </w:pPr>
      <w:r>
        <w:rPr>
          <w:rFonts w:ascii="Times New Roman" w:hAnsi="Times New Roman" w:cs="Times New Roman"/>
          <w:b/>
          <w:u w:val="single"/>
        </w:rPr>
        <w:t>S</w:t>
      </w:r>
      <w:r w:rsidR="00A3335E">
        <w:rPr>
          <w:rFonts w:ascii="Times New Roman" w:hAnsi="Times New Roman" w:cs="Times New Roman"/>
          <w:b/>
          <w:u w:val="single"/>
        </w:rPr>
        <w:t>chedule</w:t>
      </w:r>
      <w:r>
        <w:rPr>
          <w:rFonts w:ascii="Times New Roman" w:hAnsi="Times New Roman" w:cs="Times New Roman"/>
          <w:b/>
          <w:u w:val="single"/>
        </w:rPr>
        <w:t xml:space="preserve"> 2 – Repeals </w:t>
      </w:r>
    </w:p>
    <w:p w14:paraId="7E8E5D9E" w14:textId="77777777" w:rsidR="00B74572" w:rsidRDefault="00B74572" w:rsidP="009C7716">
      <w:pPr>
        <w:rPr>
          <w:rFonts w:ascii="Times New Roman" w:hAnsi="Times New Roman" w:cs="Times New Roman"/>
          <w:b/>
        </w:rPr>
      </w:pPr>
      <w:r w:rsidRPr="00E830D2">
        <w:rPr>
          <w:rFonts w:ascii="Times New Roman" w:hAnsi="Times New Roman" w:cs="Times New Roman"/>
          <w:b/>
        </w:rPr>
        <w:t>C</w:t>
      </w:r>
      <w:r>
        <w:rPr>
          <w:rFonts w:ascii="Times New Roman" w:hAnsi="Times New Roman" w:cs="Times New Roman"/>
          <w:b/>
        </w:rPr>
        <w:t>lause 1 – The whole of the instrument</w:t>
      </w:r>
    </w:p>
    <w:p w14:paraId="36AA7EB2" w14:textId="77777777" w:rsidR="009C7716" w:rsidRDefault="00B74572" w:rsidP="009C7716">
      <w:pPr>
        <w:rPr>
          <w:rFonts w:ascii="Times New Roman" w:hAnsi="Times New Roman" w:cs="Times New Roman"/>
        </w:rPr>
      </w:pPr>
      <w:r>
        <w:rPr>
          <w:rFonts w:ascii="Times New Roman" w:hAnsi="Times New Roman" w:cs="Times New Roman"/>
        </w:rPr>
        <w:t>This item repeal</w:t>
      </w:r>
      <w:r w:rsidR="00A3335E">
        <w:rPr>
          <w:rFonts w:ascii="Times New Roman" w:hAnsi="Times New Roman" w:cs="Times New Roman"/>
        </w:rPr>
        <w:t>s</w:t>
      </w:r>
      <w:r>
        <w:rPr>
          <w:rFonts w:ascii="Times New Roman" w:hAnsi="Times New Roman" w:cs="Times New Roman"/>
        </w:rPr>
        <w:t xml:space="preserve"> the </w:t>
      </w:r>
      <w:r>
        <w:rPr>
          <w:rFonts w:ascii="Times New Roman" w:hAnsi="Times New Roman" w:cs="Times New Roman"/>
          <w:i/>
        </w:rPr>
        <w:t>Foreign Evidence (Foreign Material – Criminal and Related Civil Proceedings) Regulations 1994</w:t>
      </w:r>
      <w:r>
        <w:rPr>
          <w:rFonts w:ascii="Times New Roman" w:hAnsi="Times New Roman" w:cs="Times New Roman"/>
        </w:rPr>
        <w:t>.</w:t>
      </w:r>
    </w:p>
    <w:p w14:paraId="45CB4CA7" w14:textId="77777777" w:rsidR="00E830D2" w:rsidRDefault="00E830D2">
      <w:pPr>
        <w:rPr>
          <w:rFonts w:ascii="Times New Roman" w:hAnsi="Times New Roman" w:cs="Times New Roman"/>
          <w:b/>
        </w:rPr>
      </w:pPr>
      <w:r>
        <w:rPr>
          <w:rFonts w:ascii="Times New Roman" w:hAnsi="Times New Roman" w:cs="Times New Roman"/>
          <w:b/>
        </w:rPr>
        <w:br w:type="page"/>
      </w:r>
    </w:p>
    <w:p w14:paraId="2EE11052" w14:textId="77777777" w:rsidR="006A3177" w:rsidRPr="00C92815" w:rsidRDefault="006A3177" w:rsidP="006A3177">
      <w:pPr>
        <w:jc w:val="center"/>
        <w:rPr>
          <w:rFonts w:ascii="Times New Roman" w:hAnsi="Times New Roman" w:cs="Times New Roman"/>
          <w:b/>
        </w:rPr>
      </w:pPr>
      <w:r w:rsidRPr="00C92815">
        <w:rPr>
          <w:rFonts w:ascii="Times New Roman" w:hAnsi="Times New Roman" w:cs="Times New Roman"/>
          <w:b/>
        </w:rPr>
        <w:lastRenderedPageBreak/>
        <w:t>STATEMENT OF COMPATIBILITY WITH HUMAN RIGHTS</w:t>
      </w:r>
    </w:p>
    <w:p w14:paraId="0B3BE612" w14:textId="77777777" w:rsidR="006A3177" w:rsidRPr="00C92815" w:rsidRDefault="006A3177" w:rsidP="006A3177">
      <w:pPr>
        <w:jc w:val="center"/>
        <w:rPr>
          <w:rFonts w:ascii="Times New Roman" w:hAnsi="Times New Roman" w:cs="Times New Roman"/>
          <w:i/>
        </w:rPr>
      </w:pPr>
      <w:r w:rsidRPr="00C92815">
        <w:rPr>
          <w:rFonts w:ascii="Times New Roman" w:hAnsi="Times New Roman" w:cs="Times New Roman"/>
          <w:i/>
        </w:rPr>
        <w:t>Prepared in accordance with Part 3 of the Human Rights (Parliamentary Scrutiny) Act 2011</w:t>
      </w:r>
    </w:p>
    <w:p w14:paraId="13F5F092" w14:textId="77777777" w:rsidR="006A3177" w:rsidRPr="00C92815" w:rsidRDefault="006A3177" w:rsidP="006A3177">
      <w:pPr>
        <w:jc w:val="center"/>
        <w:rPr>
          <w:rFonts w:ascii="Times New Roman" w:hAnsi="Times New Roman" w:cs="Times New Roman"/>
          <w:b/>
          <w:i/>
        </w:rPr>
      </w:pPr>
      <w:r w:rsidRPr="00C92815">
        <w:rPr>
          <w:rFonts w:ascii="Times New Roman" w:hAnsi="Times New Roman" w:cs="Times New Roman"/>
          <w:b/>
          <w:i/>
        </w:rPr>
        <w:t>Foreign Evidence (Foreign Material – Criminal and Related Civil Proceedings) Regulations 2018</w:t>
      </w:r>
    </w:p>
    <w:p w14:paraId="5D1AD513"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The </w:t>
      </w:r>
      <w:r w:rsidRPr="00C92815">
        <w:rPr>
          <w:rFonts w:ascii="Times New Roman" w:hAnsi="Times New Roman" w:cs="Times New Roman"/>
          <w:i/>
        </w:rPr>
        <w:t xml:space="preserve">Foreign Evidence (Foreign Material – Criminal and Related Civil Proceedings) Regulations 2018 </w:t>
      </w:r>
      <w:r w:rsidRPr="00C92815">
        <w:rPr>
          <w:rFonts w:ascii="Times New Roman" w:hAnsi="Times New Roman" w:cs="Times New Roman"/>
        </w:rPr>
        <w:t xml:space="preserve">(the Regulations) are compatible with the human rights and freedoms recognised or declared in the international instruments listed in section 3 of the </w:t>
      </w:r>
      <w:r w:rsidRPr="00C92815">
        <w:rPr>
          <w:rFonts w:ascii="Times New Roman" w:hAnsi="Times New Roman" w:cs="Times New Roman"/>
          <w:i/>
        </w:rPr>
        <w:t xml:space="preserve">Human Rights (Parliamentary Scrutiny) Act 2011. </w:t>
      </w:r>
    </w:p>
    <w:p w14:paraId="696D110B" w14:textId="77777777" w:rsidR="006A3177" w:rsidRPr="00C92815" w:rsidRDefault="006A3177" w:rsidP="006A3177">
      <w:pPr>
        <w:jc w:val="center"/>
        <w:rPr>
          <w:rFonts w:ascii="Times New Roman" w:hAnsi="Times New Roman" w:cs="Times New Roman"/>
          <w:b/>
        </w:rPr>
      </w:pPr>
      <w:r w:rsidRPr="00C92815">
        <w:rPr>
          <w:rFonts w:ascii="Times New Roman" w:hAnsi="Times New Roman" w:cs="Times New Roman"/>
          <w:b/>
        </w:rPr>
        <w:t>Overview of the disallowable legislative instrument</w:t>
      </w:r>
    </w:p>
    <w:p w14:paraId="1833B65B"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The </w:t>
      </w:r>
      <w:r w:rsidRPr="00C92815">
        <w:rPr>
          <w:rFonts w:ascii="Times New Roman" w:hAnsi="Times New Roman" w:cs="Times New Roman"/>
          <w:i/>
        </w:rPr>
        <w:t>Foreign Evidence Act 1994</w:t>
      </w:r>
      <w:r w:rsidRPr="00C92815">
        <w:rPr>
          <w:rFonts w:ascii="Times New Roman" w:hAnsi="Times New Roman" w:cs="Times New Roman"/>
        </w:rPr>
        <w:t xml:space="preserve"> (the Act) facilitates the use of evidence obtained from other countries in Australian courts. Part 3 of the Act provides for the adducing of foreign material received pursuant to a request to a foreign country made by the Attorney-General. </w:t>
      </w:r>
    </w:p>
    <w:p w14:paraId="12E76EFE"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The Regulations are made for the purposes of Part 3 of the Act and facilitate the adducing of foreign material, including things such as documents and witness statements, in certain State and Territory proceedings. This includes where a witness is unable to give evidence in person (for example where they cannot travel to Australia due to ill health).</w:t>
      </w:r>
    </w:p>
    <w:p w14:paraId="5399C703"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Section 20 of the Act identifies the relevant proceedings to which Part 3 will apply. Paragraphs 20(2</w:t>
      </w:r>
      <w:proofErr w:type="gramStart"/>
      <w:r w:rsidRPr="00C92815">
        <w:rPr>
          <w:rFonts w:ascii="Times New Roman" w:hAnsi="Times New Roman" w:cs="Times New Roman"/>
        </w:rPr>
        <w:t>)(</w:t>
      </w:r>
      <w:proofErr w:type="gramEnd"/>
      <w:r w:rsidRPr="00C92815">
        <w:rPr>
          <w:rFonts w:ascii="Times New Roman" w:hAnsi="Times New Roman" w:cs="Times New Roman"/>
        </w:rPr>
        <w:t xml:space="preserve">a), (b) and (c) of the Act apply Part 3 of the Act to proceedings in State and Territory courts for certain criminal proceedings, related civil proceedings and proceeds of crime proceedings respectively. The </w:t>
      </w:r>
      <w:r w:rsidRPr="00C92815">
        <w:rPr>
          <w:rFonts w:ascii="Times New Roman" w:hAnsi="Times New Roman" w:cs="Times New Roman"/>
          <w:i/>
        </w:rPr>
        <w:t xml:space="preserve">Foreign Evidence (Foreign Material – Criminal and Related Civil Proceedings) Regulations 1994 </w:t>
      </w:r>
      <w:r w:rsidRPr="00C92815">
        <w:rPr>
          <w:rFonts w:ascii="Times New Roman" w:hAnsi="Times New Roman" w:cs="Times New Roman"/>
        </w:rPr>
        <w:t>(the former Regulations) specified all States and Territories and provided examples of the kinds of ‘related civil proceedings’ for the purposes of Part 3 of the Act. The Regulations repeal and replace the former Regulations. The effect of the Regulations is to ensure that foreign material can continue to be adduced under the Act in certain criminal proceedings, related civil proceedings, and proceeds of crime proceedings.</w:t>
      </w:r>
    </w:p>
    <w:p w14:paraId="4D749588"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Adducing evidence means presenting it to the court for its consideration. The relevant evidentiary rules applicable in that jurisdiction regarding admissibility continue to apply to such evidence (other than the hearsay rule for business records in some jurisdictions as per subsection 24(3) of the Act). For example, if a witness statement that is adduced under section 24 of the Act in proceedings in ACT courts contains material that is not relevant the court could find that that material is not admissible under subsection 56(2) of the </w:t>
      </w:r>
      <w:r w:rsidRPr="00C92815">
        <w:rPr>
          <w:rFonts w:ascii="Times New Roman" w:hAnsi="Times New Roman" w:cs="Times New Roman"/>
          <w:i/>
        </w:rPr>
        <w:t>Evidence Act 2011</w:t>
      </w:r>
      <w:r w:rsidRPr="00C92815">
        <w:rPr>
          <w:rFonts w:ascii="Times New Roman" w:hAnsi="Times New Roman" w:cs="Times New Roman"/>
        </w:rPr>
        <w:t xml:space="preserve"> (ACT).</w:t>
      </w:r>
    </w:p>
    <w:p w14:paraId="0C995B46" w14:textId="77777777" w:rsidR="006A3177" w:rsidRPr="00C92815" w:rsidRDefault="006A3177" w:rsidP="006A3177">
      <w:pPr>
        <w:jc w:val="center"/>
        <w:rPr>
          <w:rFonts w:ascii="Times New Roman" w:hAnsi="Times New Roman" w:cs="Times New Roman"/>
          <w:b/>
        </w:rPr>
      </w:pPr>
      <w:r w:rsidRPr="00C92815">
        <w:rPr>
          <w:rFonts w:ascii="Times New Roman" w:hAnsi="Times New Roman" w:cs="Times New Roman"/>
          <w:b/>
        </w:rPr>
        <w:t>Human rights implications</w:t>
      </w:r>
    </w:p>
    <w:p w14:paraId="724F503D"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The relevant rights with which the Regulations engage with and promote are the right to a fair trial and a fair hearing and minimum guarantees in criminal proceedings under Article 14 of the </w:t>
      </w:r>
      <w:r w:rsidRPr="00C92815">
        <w:rPr>
          <w:rFonts w:ascii="Times New Roman" w:hAnsi="Times New Roman" w:cs="Times New Roman"/>
          <w:i/>
        </w:rPr>
        <w:t>International Covenant on Civil and Political Rights</w:t>
      </w:r>
      <w:r w:rsidRPr="00C92815">
        <w:rPr>
          <w:rFonts w:ascii="Times New Roman" w:hAnsi="Times New Roman" w:cs="Times New Roman"/>
        </w:rPr>
        <w:t xml:space="preserve"> (ICCPR). The Regulations do this by allowing both parties to adduce foreign material in proceedings in courts of States and Territories which may otherwise not be able to be adduced, thereby facilitating trials. However, if such evidence is adduced it may not be able to be challenged (by either party) and therefore these rights may also be limited.</w:t>
      </w:r>
    </w:p>
    <w:p w14:paraId="67C61CC2" w14:textId="77777777" w:rsidR="006A3177" w:rsidRPr="00C92815" w:rsidRDefault="006A3177" w:rsidP="006A3177">
      <w:pPr>
        <w:keepNext/>
        <w:rPr>
          <w:rFonts w:ascii="Times New Roman" w:hAnsi="Times New Roman" w:cs="Times New Roman"/>
          <w:i/>
        </w:rPr>
      </w:pPr>
      <w:r w:rsidRPr="00C92815">
        <w:rPr>
          <w:rFonts w:ascii="Times New Roman" w:hAnsi="Times New Roman" w:cs="Times New Roman"/>
          <w:i/>
        </w:rPr>
        <w:lastRenderedPageBreak/>
        <w:t>Article 14(1) Right to a fair trial in civil and criminal proceedings</w:t>
      </w:r>
    </w:p>
    <w:p w14:paraId="364A2E32"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Article 14(1) of the ICCPR provides that all persons shall be equal before the courts. This provides a general guarantee of equality before courts for both criminal and civil proceedings. It also provides the right to a fair hearing for civil proceedings and a fair trial for criminal proceedings. </w:t>
      </w:r>
    </w:p>
    <w:p w14:paraId="56DB0755" w14:textId="77777777" w:rsidR="006A3177" w:rsidRDefault="006A3177" w:rsidP="006A3177">
      <w:pPr>
        <w:rPr>
          <w:rFonts w:ascii="Times New Roman" w:hAnsi="Times New Roman" w:cs="Times New Roman"/>
        </w:rPr>
      </w:pPr>
      <w:r w:rsidRPr="00C92815">
        <w:rPr>
          <w:rFonts w:ascii="Times New Roman" w:hAnsi="Times New Roman" w:cs="Times New Roman"/>
        </w:rPr>
        <w:t>The Regulations uphold these rights. Part 3 of the Act provides a framework that allows relevant foreign material to be adduced in State and Territory courts for certain criminal proceedings, related civil proceedings, and proceeds of crime proceedings. This includes things such as documents and witness statements. Adducing evidence means presenting it to the court for its consideration. This evidence, however, is subject to the relevant evidentiary rules applicable in that jurisdiction regarding admissibility (other than the hearsay rule for business records in some jurisdictions as per subsection 24(3) of the Act). This framework facilitates the consistent adducing of foreign material throughout Australia and helps ensure a fair hearing by allowing foreign material to be considered by a court.</w:t>
      </w:r>
      <w:r>
        <w:rPr>
          <w:rFonts w:ascii="Times New Roman" w:hAnsi="Times New Roman" w:cs="Times New Roman"/>
        </w:rPr>
        <w:t xml:space="preserve"> </w:t>
      </w:r>
    </w:p>
    <w:p w14:paraId="2BB5398C" w14:textId="77777777" w:rsidR="006A3177" w:rsidRPr="00C92815" w:rsidRDefault="006A3177" w:rsidP="006A3177">
      <w:pPr>
        <w:rPr>
          <w:rFonts w:ascii="Times New Roman" w:hAnsi="Times New Roman" w:cs="Times New Roman"/>
        </w:rPr>
      </w:pPr>
      <w:r>
        <w:rPr>
          <w:rFonts w:ascii="Times New Roman" w:hAnsi="Times New Roman" w:cs="Times New Roman"/>
        </w:rPr>
        <w:t>Adducing foreign material assists in a fair trial by ensuring that all relevant material can be considered by the court and ensures that parties are not disadvantaged if key evidence is located overseas. In addition, having a consistent framework for adducing foreign material across Australia ensures that parties are not disadvantaged in adducing foreign evidence depending on their location in Australia.</w:t>
      </w:r>
    </w:p>
    <w:p w14:paraId="626D7863"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The right to fair trial is promoted for criminal proceedings in State and Territory courts under paragraph 20(2</w:t>
      </w:r>
      <w:proofErr w:type="gramStart"/>
      <w:r w:rsidRPr="00C92815">
        <w:rPr>
          <w:rFonts w:ascii="Times New Roman" w:hAnsi="Times New Roman" w:cs="Times New Roman"/>
        </w:rPr>
        <w:t>)(</w:t>
      </w:r>
      <w:proofErr w:type="gramEnd"/>
      <w:r w:rsidRPr="00C92815">
        <w:rPr>
          <w:rFonts w:ascii="Times New Roman" w:hAnsi="Times New Roman" w:cs="Times New Roman"/>
        </w:rPr>
        <w:t xml:space="preserve">a) of the Act. The </w:t>
      </w:r>
      <w:r w:rsidRPr="00C92815">
        <w:rPr>
          <w:rFonts w:ascii="Times New Roman" w:hAnsi="Times New Roman" w:cs="Times New Roman"/>
          <w:i/>
        </w:rPr>
        <w:t xml:space="preserve">Mutual Assistance in Criminal Matters Act 1987 </w:t>
      </w:r>
      <w:r w:rsidRPr="00C92815">
        <w:rPr>
          <w:rFonts w:ascii="Times New Roman" w:hAnsi="Times New Roman" w:cs="Times New Roman"/>
        </w:rPr>
        <w:t xml:space="preserve">enables foreign material to be requested by the Attorney-General on behalf of the prosecution and the defence. Both the defendant and the prosecutor would have the opportunity to adduce material obtained from a foreign country. </w:t>
      </w:r>
    </w:p>
    <w:p w14:paraId="1CB06793"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The regulations may also limit this right because the effect of allowing evidence to be adduced (by either party) is that it may not be a</w:t>
      </w:r>
      <w:r>
        <w:rPr>
          <w:rFonts w:ascii="Times New Roman" w:hAnsi="Times New Roman" w:cs="Times New Roman"/>
        </w:rPr>
        <w:t xml:space="preserve">ble to be challenged (by the other </w:t>
      </w:r>
      <w:r w:rsidRPr="00C92815">
        <w:rPr>
          <w:rFonts w:ascii="Times New Roman" w:hAnsi="Times New Roman" w:cs="Times New Roman"/>
        </w:rPr>
        <w:t xml:space="preserve">party). This is because, for example, if a witness is not present in Australia, their witness statement may instead be adduced however neither party will have the opportunity to question that person. </w:t>
      </w:r>
    </w:p>
    <w:p w14:paraId="368244AD"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The justification for any such limitation, including how it achieves a legitimate objective, the rational connection between the limitation and objective and the limitation being reasonable, necessary and proportionate is set out below.</w:t>
      </w:r>
    </w:p>
    <w:p w14:paraId="3E916542" w14:textId="77777777" w:rsidR="006A3177" w:rsidRPr="00C92815" w:rsidRDefault="006A3177" w:rsidP="006A3177">
      <w:pPr>
        <w:rPr>
          <w:rFonts w:ascii="Times New Roman" w:hAnsi="Times New Roman" w:cs="Times New Roman"/>
          <w:i/>
        </w:rPr>
      </w:pPr>
      <w:r w:rsidRPr="00C92815">
        <w:rPr>
          <w:rFonts w:ascii="Times New Roman" w:hAnsi="Times New Roman" w:cs="Times New Roman"/>
          <w:i/>
        </w:rPr>
        <w:t>Article 14(3) Minimum guarantees in criminal proceedings</w:t>
      </w:r>
    </w:p>
    <w:p w14:paraId="6AE66898"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Article 14(3) contains minimum guarantees for persons charged with criminal offences. Relevantly, Article 14(3</w:t>
      </w:r>
      <w:proofErr w:type="gramStart"/>
      <w:r w:rsidRPr="00C92815">
        <w:rPr>
          <w:rFonts w:ascii="Times New Roman" w:hAnsi="Times New Roman" w:cs="Times New Roman"/>
        </w:rPr>
        <w:t>)(</w:t>
      </w:r>
      <w:proofErr w:type="gramEnd"/>
      <w:r w:rsidRPr="00C92815">
        <w:rPr>
          <w:rFonts w:ascii="Times New Roman" w:hAnsi="Times New Roman" w:cs="Times New Roman"/>
        </w:rPr>
        <w:t>e) protects the accused’s right to cross-examine witnesses and to obtain the attendance and examination of witnesses on behalf of the accused on the same conditions as the prosecution.</w:t>
      </w:r>
    </w:p>
    <w:p w14:paraId="24478455"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The Regulations engage Article 14(3</w:t>
      </w:r>
      <w:proofErr w:type="gramStart"/>
      <w:r w:rsidRPr="00C92815">
        <w:rPr>
          <w:rFonts w:ascii="Times New Roman" w:hAnsi="Times New Roman" w:cs="Times New Roman"/>
        </w:rPr>
        <w:t>)(</w:t>
      </w:r>
      <w:proofErr w:type="gramEnd"/>
      <w:r w:rsidRPr="00C92815">
        <w:rPr>
          <w:rFonts w:ascii="Times New Roman" w:hAnsi="Times New Roman" w:cs="Times New Roman"/>
        </w:rPr>
        <w:t xml:space="preserve">e) because Part 3 of the Act facilitates the adducing, by either the prosecution or the accused, of foreign material in criminal proceedings (by paragraph 20(2)(a)) where the witness is not present in Australia, such as through witness statements. Although this could potentially limit a party’s ability to examine and/or cross-examine witnesses as the Act allows for adducing their written witness statement instead (subject to the court’s discretion), this applies equally </w:t>
      </w:r>
      <w:r w:rsidRPr="00C92815">
        <w:rPr>
          <w:rFonts w:ascii="Times New Roman" w:hAnsi="Times New Roman" w:cs="Times New Roman"/>
        </w:rPr>
        <w:lastRenderedPageBreak/>
        <w:t>to the prosecution and the accused and therefore is consistent with the ‘equality of arms’ principle under Article 14(3)(e).</w:t>
      </w:r>
      <w:r w:rsidRPr="00C92815">
        <w:rPr>
          <w:rStyle w:val="FootnoteReference"/>
          <w:rFonts w:ascii="Times New Roman" w:hAnsi="Times New Roman" w:cs="Times New Roman"/>
        </w:rPr>
        <w:footnoteReference w:id="1"/>
      </w:r>
      <w:r w:rsidRPr="00C92815">
        <w:rPr>
          <w:rFonts w:ascii="Times New Roman" w:hAnsi="Times New Roman" w:cs="Times New Roman"/>
        </w:rPr>
        <w:t xml:space="preserve"> </w:t>
      </w:r>
    </w:p>
    <w:p w14:paraId="66AC871F" w14:textId="77777777" w:rsidR="006A3177" w:rsidRPr="00C92815" w:rsidRDefault="006A3177" w:rsidP="006A3177">
      <w:pPr>
        <w:rPr>
          <w:rFonts w:ascii="Times New Roman" w:hAnsi="Times New Roman" w:cs="Times New Roman"/>
          <w:i/>
        </w:rPr>
      </w:pPr>
      <w:r w:rsidRPr="00C92815">
        <w:rPr>
          <w:rFonts w:ascii="Times New Roman" w:hAnsi="Times New Roman" w:cs="Times New Roman"/>
          <w:i/>
        </w:rPr>
        <w:t>Justification for limiting Article 14(1) and Article 14(3</w:t>
      </w:r>
      <w:proofErr w:type="gramStart"/>
      <w:r w:rsidRPr="00C92815">
        <w:rPr>
          <w:rFonts w:ascii="Times New Roman" w:hAnsi="Times New Roman" w:cs="Times New Roman"/>
          <w:i/>
        </w:rPr>
        <w:t>)(</w:t>
      </w:r>
      <w:proofErr w:type="gramEnd"/>
      <w:r w:rsidRPr="00C92815">
        <w:rPr>
          <w:rFonts w:ascii="Times New Roman" w:hAnsi="Times New Roman" w:cs="Times New Roman"/>
          <w:i/>
        </w:rPr>
        <w:t>e) rights</w:t>
      </w:r>
    </w:p>
    <w:p w14:paraId="03C88CBA"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To the extent that there is any limitation on a party’s ability to examine a witness which might be contrary to Article 14(1) or 14(3)(e), this is a reasonable and necessary and proportionate measure to address practicalities in adducing testimony from overseas witnesses in civil and criminal proceedings. </w:t>
      </w:r>
    </w:p>
    <w:p w14:paraId="3FCB7497" w14:textId="2E78CC3C"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The measures are in pursuit of a legitimate objective, which is to facilitate the trial process in Australia in circumstances where evidence is located in a foreign country, given the difficulties associated with securing such evidence. There is a rational connection between the objective and the limitation; although a witness cannot be examined, a witness statement can still be considered by the court, subject to the </w:t>
      </w:r>
      <w:r w:rsidR="00390460">
        <w:rPr>
          <w:rFonts w:ascii="Times New Roman" w:hAnsi="Times New Roman" w:cs="Times New Roman"/>
        </w:rPr>
        <w:t>below</w:t>
      </w:r>
      <w:r w:rsidRPr="00C92815">
        <w:rPr>
          <w:rFonts w:ascii="Times New Roman" w:hAnsi="Times New Roman" w:cs="Times New Roman"/>
        </w:rPr>
        <w:t xml:space="preserve"> safeguards, which can facilitate a fair trial by allowing the court to take into account all relevant evidence regardless of its location.</w:t>
      </w:r>
    </w:p>
    <w:p w14:paraId="7B44A775" w14:textId="18EB278F" w:rsidR="006A3177" w:rsidRPr="00C92815" w:rsidRDefault="006A3177" w:rsidP="006A3177">
      <w:pPr>
        <w:rPr>
          <w:rFonts w:ascii="Times New Roman" w:hAnsi="Times New Roman" w:cs="Times New Roman"/>
        </w:rPr>
      </w:pPr>
      <w:r w:rsidRPr="00C92815">
        <w:rPr>
          <w:rFonts w:ascii="Times New Roman" w:hAnsi="Times New Roman" w:cs="Times New Roman"/>
        </w:rPr>
        <w:t>T</w:t>
      </w:r>
      <w:bookmarkStart w:id="4" w:name="_GoBack"/>
      <w:bookmarkEnd w:id="4"/>
      <w:r w:rsidRPr="00C92815">
        <w:rPr>
          <w:rFonts w:ascii="Times New Roman" w:hAnsi="Times New Roman" w:cs="Times New Roman"/>
        </w:rPr>
        <w:t>he measures are necessary due to the fact that not all relevant evidence will always be available in Australia. Practical issues can include where there is substantial delay or significant expense if the witness is required to attend court in Australia, the witness is unwilling or unable to travel to Australia (e.g. for health reasons) and/or it is not possible for the witness’s evidence to be taken by video link (e.g</w:t>
      </w:r>
      <w:r w:rsidR="00C275EB">
        <w:rPr>
          <w:rFonts w:ascii="Times New Roman" w:hAnsi="Times New Roman" w:cs="Times New Roman"/>
        </w:rPr>
        <w:t>.</w:t>
      </w:r>
      <w:r w:rsidRPr="00C92815">
        <w:rPr>
          <w:rFonts w:ascii="Times New Roman" w:hAnsi="Times New Roman" w:cs="Times New Roman"/>
        </w:rPr>
        <w:t xml:space="preserve"> the foreign law does not allow for video link, or video link facilities are not available). In the event that evidence is located overseas and a witness is unable to give evidence in person, the Regulations provide a process by which a court can consider whether to allow a party to adduce the evidence.</w:t>
      </w:r>
    </w:p>
    <w:p w14:paraId="13D93535"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The measures are reasonable and proportionate due to the </w:t>
      </w:r>
      <w:r>
        <w:rPr>
          <w:rFonts w:ascii="Times New Roman" w:hAnsi="Times New Roman" w:cs="Times New Roman"/>
        </w:rPr>
        <w:t xml:space="preserve">following </w:t>
      </w:r>
      <w:r w:rsidRPr="00C92815">
        <w:rPr>
          <w:rFonts w:ascii="Times New Roman" w:hAnsi="Times New Roman" w:cs="Times New Roman"/>
        </w:rPr>
        <w:t xml:space="preserve">safeguards </w:t>
      </w:r>
      <w:r>
        <w:rPr>
          <w:rFonts w:ascii="Times New Roman" w:hAnsi="Times New Roman" w:cs="Times New Roman"/>
        </w:rPr>
        <w:t>contained in the Act.</w:t>
      </w:r>
      <w:r w:rsidRPr="00C92815">
        <w:rPr>
          <w:rFonts w:ascii="Times New Roman" w:hAnsi="Times New Roman" w:cs="Times New Roman"/>
        </w:rPr>
        <w:t xml:space="preserve"> </w:t>
      </w:r>
    </w:p>
    <w:p w14:paraId="0EDAF5EB"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Firstly, sections 24 and 25 of the Act provide safeguards for adducing foreign material to ensure that the court can take into account any potential limitations on the right to a fair trial or fair hearing (including the right the examine witnesses). Section 24 of the Act provides that foreign material cannot be adduced if the person who gave the testimony is in Australia or able to attend or, the evidence would not have been admissible had it been adduced from the person at the hearing. Subsection 25(1) provides that a court can direct foreign material to not be adduced if having regard to the interests of the parties to the proceedings, justice would be better served if the foreign material were not adduced as evidence. In particular, p</w:t>
      </w:r>
      <w:r w:rsidRPr="00C92815">
        <w:rPr>
          <w:rFonts w:ascii="Times New Roman" w:hAnsi="Times New Roman"/>
        </w:rPr>
        <w:t>aragraph 25(2)(c) provides that a matter which could be considered by the court in exercising this discretion to allow the evidence to be adduced is the extent to which statements contained in the foreign material could, at the time they were made, be challenged by questioning the persons who made them.</w:t>
      </w:r>
    </w:p>
    <w:p w14:paraId="0118ECAD"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Secondly, the testimony must be taken under oath, affirmation, or obligation or under such caution or admonition as would be accepted by courts in the relevant foreign country. </w:t>
      </w:r>
    </w:p>
    <w:p w14:paraId="343C5415" w14:textId="77777777" w:rsidR="006A3177" w:rsidRPr="00C92815" w:rsidRDefault="006A3177" w:rsidP="006A3177">
      <w:pPr>
        <w:rPr>
          <w:rFonts w:ascii="Times New Roman" w:hAnsi="Times New Roman" w:cs="Times New Roman"/>
        </w:rPr>
      </w:pPr>
      <w:r w:rsidRPr="00C92815">
        <w:rPr>
          <w:rFonts w:ascii="Times New Roman" w:hAnsi="Times New Roman" w:cs="Times New Roman"/>
        </w:rPr>
        <w:t xml:space="preserve">Finally, the relevant evidentiary rules applicable in the jurisdiction of the court proceeding regarding admissibility continue to apply to such evidence. For example, if a witness statement is adduced under section 24 of the Act in  proceedings in a court in NSW and contain material that is not relevant, the court could find that the material is not admissible under subsection 56(2) of the </w:t>
      </w:r>
      <w:r w:rsidRPr="00C92815">
        <w:rPr>
          <w:rFonts w:ascii="Times New Roman" w:hAnsi="Times New Roman" w:cs="Times New Roman"/>
          <w:i/>
        </w:rPr>
        <w:t xml:space="preserve">Evidence Act 1995 </w:t>
      </w:r>
      <w:r w:rsidRPr="00C92815">
        <w:rPr>
          <w:rFonts w:ascii="Times New Roman" w:hAnsi="Times New Roman" w:cs="Times New Roman"/>
        </w:rPr>
        <w:t>(NSW).</w:t>
      </w:r>
    </w:p>
    <w:p w14:paraId="09727C0E" w14:textId="77777777" w:rsidR="006A3177" w:rsidRPr="00C92815" w:rsidRDefault="006A3177" w:rsidP="006A3177">
      <w:pPr>
        <w:jc w:val="center"/>
        <w:rPr>
          <w:rFonts w:ascii="Times New Roman" w:hAnsi="Times New Roman" w:cs="Times New Roman"/>
          <w:b/>
        </w:rPr>
      </w:pPr>
      <w:r w:rsidRPr="00C92815">
        <w:rPr>
          <w:rFonts w:ascii="Times New Roman" w:hAnsi="Times New Roman" w:cs="Times New Roman"/>
          <w:b/>
        </w:rPr>
        <w:lastRenderedPageBreak/>
        <w:t>Conclusion on this instrument and human rights implications</w:t>
      </w:r>
    </w:p>
    <w:p w14:paraId="080DDC93" w14:textId="77777777" w:rsidR="006A3177" w:rsidRPr="00C92815" w:rsidRDefault="006A3177" w:rsidP="006A3177">
      <w:pPr>
        <w:rPr>
          <w:rFonts w:ascii="Times New Roman" w:hAnsi="Times New Roman" w:cs="Times New Roman"/>
          <w:sz w:val="24"/>
          <w:szCs w:val="24"/>
        </w:rPr>
      </w:pPr>
      <w:r w:rsidRPr="00C92815">
        <w:rPr>
          <w:rFonts w:ascii="Times New Roman" w:hAnsi="Times New Roman" w:cs="Times New Roman"/>
        </w:rPr>
        <w:t xml:space="preserve">The Regulations are compatible with human rights </w:t>
      </w:r>
      <w:r w:rsidRPr="00C92815">
        <w:rPr>
          <w:rFonts w:ascii="Times New Roman" w:hAnsi="Times New Roman"/>
        </w:rPr>
        <w:t>because, to the extent that it may limit human rights, those limitations are to achieve a legitimate objective and are reasonable, necessary and proportionate.</w:t>
      </w:r>
    </w:p>
    <w:p w14:paraId="215CFEE0" w14:textId="52F6C7B4" w:rsidR="0059247F" w:rsidRPr="0059247F" w:rsidRDefault="0059247F" w:rsidP="0059247F">
      <w:pPr>
        <w:rPr>
          <w:rFonts w:ascii="Times New Roman" w:hAnsi="Times New Roman" w:cs="Times New Roman"/>
          <w:sz w:val="24"/>
          <w:szCs w:val="24"/>
        </w:rPr>
      </w:pPr>
    </w:p>
    <w:sectPr w:rsidR="0059247F" w:rsidRPr="005924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79CFF" w14:textId="77777777" w:rsidR="00BE5450" w:rsidRDefault="00BE5450" w:rsidP="00985EAF">
      <w:pPr>
        <w:spacing w:after="0" w:line="240" w:lineRule="auto"/>
      </w:pPr>
      <w:r>
        <w:separator/>
      </w:r>
    </w:p>
  </w:endnote>
  <w:endnote w:type="continuationSeparator" w:id="0">
    <w:p w14:paraId="482822D1" w14:textId="77777777" w:rsidR="00BE5450" w:rsidRDefault="00BE5450" w:rsidP="0098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119D8" w14:textId="77777777" w:rsidR="00BE5450" w:rsidRDefault="00BE5450" w:rsidP="00985EAF">
      <w:pPr>
        <w:spacing w:after="0" w:line="240" w:lineRule="auto"/>
      </w:pPr>
      <w:r>
        <w:separator/>
      </w:r>
    </w:p>
  </w:footnote>
  <w:footnote w:type="continuationSeparator" w:id="0">
    <w:p w14:paraId="0EC33169" w14:textId="77777777" w:rsidR="00BE5450" w:rsidRDefault="00BE5450" w:rsidP="00985EAF">
      <w:pPr>
        <w:spacing w:after="0" w:line="240" w:lineRule="auto"/>
      </w:pPr>
      <w:r>
        <w:continuationSeparator/>
      </w:r>
    </w:p>
  </w:footnote>
  <w:footnote w:id="1">
    <w:p w14:paraId="16D3A711" w14:textId="77777777" w:rsidR="006A3177" w:rsidRPr="00D27954" w:rsidRDefault="006A3177" w:rsidP="006A3177">
      <w:pPr>
        <w:pStyle w:val="FootnoteText"/>
        <w:rPr>
          <w:rFonts w:ascii="Times New Roman" w:hAnsi="Times New Roman" w:cs="Times New Roman"/>
        </w:rPr>
      </w:pPr>
      <w:r>
        <w:rPr>
          <w:rStyle w:val="FootnoteReference"/>
        </w:rPr>
        <w:footnoteRef/>
      </w:r>
      <w:r>
        <w:t xml:space="preserve"> </w:t>
      </w:r>
      <w:r w:rsidRPr="00D27954">
        <w:rPr>
          <w:rFonts w:ascii="Times New Roman" w:hAnsi="Times New Roman" w:cs="Times New Roman"/>
        </w:rPr>
        <w:t xml:space="preserve">Human Rights Committee, </w:t>
      </w:r>
      <w:r w:rsidRPr="00D27954">
        <w:rPr>
          <w:rFonts w:ascii="Times New Roman" w:hAnsi="Times New Roman" w:cs="Times New Roman"/>
          <w:i/>
        </w:rPr>
        <w:t>General Comment No. 32, Article 14: Right to equality before courts and tribunals and to a fair trial</w:t>
      </w:r>
      <w:r w:rsidRPr="00D27954">
        <w:rPr>
          <w:rFonts w:ascii="Times New Roman" w:hAnsi="Times New Roman" w:cs="Times New Roman"/>
        </w:rPr>
        <w:t>, CCPR/C/GC/32, 23 August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BAB"/>
    <w:multiLevelType w:val="multilevel"/>
    <w:tmpl w:val="CE8A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F2D5E"/>
    <w:multiLevelType w:val="multilevel"/>
    <w:tmpl w:val="6A44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57DF7"/>
    <w:multiLevelType w:val="hybridMultilevel"/>
    <w:tmpl w:val="3DC4115A"/>
    <w:lvl w:ilvl="0" w:tplc="E8BC1C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7D4032"/>
    <w:multiLevelType w:val="hybridMultilevel"/>
    <w:tmpl w:val="2E62C918"/>
    <w:lvl w:ilvl="0" w:tplc="C882B2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A003CA"/>
    <w:multiLevelType w:val="hybridMultilevel"/>
    <w:tmpl w:val="7CFAE3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307F5E"/>
    <w:multiLevelType w:val="hybridMultilevel"/>
    <w:tmpl w:val="0DF60398"/>
    <w:lvl w:ilvl="0" w:tplc="AB30EB00">
      <w:start w:val="1"/>
      <w:numFmt w:val="decimal"/>
      <w:lvlText w:val="%1."/>
      <w:lvlJc w:val="left"/>
      <w:pPr>
        <w:tabs>
          <w:tab w:val="num" w:pos="510"/>
        </w:tabs>
        <w:ind w:left="0" w:firstLine="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A512EE"/>
    <w:multiLevelType w:val="multilevel"/>
    <w:tmpl w:val="C57A8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569AC"/>
    <w:multiLevelType w:val="hybridMultilevel"/>
    <w:tmpl w:val="82881BA6"/>
    <w:lvl w:ilvl="0" w:tplc="EF26259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4365EC"/>
    <w:multiLevelType w:val="multilevel"/>
    <w:tmpl w:val="A5F4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70EE4"/>
    <w:multiLevelType w:val="hybridMultilevel"/>
    <w:tmpl w:val="95A44F2A"/>
    <w:lvl w:ilvl="0" w:tplc="0A98D3F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8049D3"/>
    <w:multiLevelType w:val="hybridMultilevel"/>
    <w:tmpl w:val="E40C4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8E2005"/>
    <w:multiLevelType w:val="hybridMultilevel"/>
    <w:tmpl w:val="38B25D72"/>
    <w:lvl w:ilvl="0" w:tplc="4DD8E24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9E51AE"/>
    <w:multiLevelType w:val="hybridMultilevel"/>
    <w:tmpl w:val="76169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401252"/>
    <w:multiLevelType w:val="hybridMultilevel"/>
    <w:tmpl w:val="8DF42E68"/>
    <w:lvl w:ilvl="0" w:tplc="5890FBF4">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2F17BF"/>
    <w:multiLevelType w:val="hybridMultilevel"/>
    <w:tmpl w:val="5518F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453186"/>
    <w:multiLevelType w:val="multilevel"/>
    <w:tmpl w:val="580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93FA8"/>
    <w:multiLevelType w:val="multilevel"/>
    <w:tmpl w:val="BB70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06E3E"/>
    <w:multiLevelType w:val="hybridMultilevel"/>
    <w:tmpl w:val="232E08D2"/>
    <w:lvl w:ilvl="0" w:tplc="59F0D0F6">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DB7D20"/>
    <w:multiLevelType w:val="hybridMultilevel"/>
    <w:tmpl w:val="73480932"/>
    <w:lvl w:ilvl="0" w:tplc="319A2C80">
      <w:start w:val="1"/>
      <w:numFmt w:val="lowerLetter"/>
      <w:lvlText w:val="(%1)"/>
      <w:lvlJc w:val="left"/>
      <w:pPr>
        <w:ind w:left="1740" w:hanging="10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
  </w:num>
  <w:num w:numId="2">
    <w:abstractNumId w:val="13"/>
  </w:num>
  <w:num w:numId="3">
    <w:abstractNumId w:val="14"/>
  </w:num>
  <w:num w:numId="4">
    <w:abstractNumId w:val="18"/>
  </w:num>
  <w:num w:numId="5">
    <w:abstractNumId w:val="3"/>
  </w:num>
  <w:num w:numId="6">
    <w:abstractNumId w:val="6"/>
  </w:num>
  <w:num w:numId="7">
    <w:abstractNumId w:val="9"/>
  </w:num>
  <w:num w:numId="8">
    <w:abstractNumId w:val="0"/>
  </w:num>
  <w:num w:numId="9">
    <w:abstractNumId w:val="1"/>
  </w:num>
  <w:num w:numId="10">
    <w:abstractNumId w:val="17"/>
  </w:num>
  <w:num w:numId="11">
    <w:abstractNumId w:val="16"/>
  </w:num>
  <w:num w:numId="12">
    <w:abstractNumId w:val="7"/>
  </w:num>
  <w:num w:numId="13">
    <w:abstractNumId w:val="15"/>
  </w:num>
  <w:num w:numId="14">
    <w:abstractNumId w:val="5"/>
  </w:num>
  <w:num w:numId="15">
    <w:abstractNumId w:val="2"/>
  </w:num>
  <w:num w:numId="16">
    <w:abstractNumId w:val="19"/>
  </w:num>
  <w:num w:numId="17">
    <w:abstractNumId w:val="11"/>
  </w:num>
  <w:num w:numId="18">
    <w:abstractNumId w:val="10"/>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0A"/>
    <w:rsid w:val="00005797"/>
    <w:rsid w:val="00011D16"/>
    <w:rsid w:val="000166BB"/>
    <w:rsid w:val="0001717B"/>
    <w:rsid w:val="00022B80"/>
    <w:rsid w:val="00031E53"/>
    <w:rsid w:val="000322EC"/>
    <w:rsid w:val="000333E1"/>
    <w:rsid w:val="00037C28"/>
    <w:rsid w:val="00043AF9"/>
    <w:rsid w:val="00046E6C"/>
    <w:rsid w:val="000516C7"/>
    <w:rsid w:val="00051C8B"/>
    <w:rsid w:val="000535FA"/>
    <w:rsid w:val="00057DCF"/>
    <w:rsid w:val="00060C3E"/>
    <w:rsid w:val="00061557"/>
    <w:rsid w:val="00066D9C"/>
    <w:rsid w:val="00073062"/>
    <w:rsid w:val="000867F3"/>
    <w:rsid w:val="000A2E10"/>
    <w:rsid w:val="000A6281"/>
    <w:rsid w:val="000A7BDB"/>
    <w:rsid w:val="000B4622"/>
    <w:rsid w:val="000B4C83"/>
    <w:rsid w:val="000D5B06"/>
    <w:rsid w:val="000E5878"/>
    <w:rsid w:val="000E79B0"/>
    <w:rsid w:val="000F7143"/>
    <w:rsid w:val="00101C65"/>
    <w:rsid w:val="0010670B"/>
    <w:rsid w:val="0011571B"/>
    <w:rsid w:val="00116120"/>
    <w:rsid w:val="00116B06"/>
    <w:rsid w:val="00135BB0"/>
    <w:rsid w:val="001374E8"/>
    <w:rsid w:val="0014164F"/>
    <w:rsid w:val="00147B33"/>
    <w:rsid w:val="00161262"/>
    <w:rsid w:val="00161D89"/>
    <w:rsid w:val="001831AB"/>
    <w:rsid w:val="001904EE"/>
    <w:rsid w:val="001A7584"/>
    <w:rsid w:val="001B2E0F"/>
    <w:rsid w:val="001B7D1E"/>
    <w:rsid w:val="001C5707"/>
    <w:rsid w:val="001D62CB"/>
    <w:rsid w:val="001D6A55"/>
    <w:rsid w:val="001E26DB"/>
    <w:rsid w:val="001E4D81"/>
    <w:rsid w:val="001F7482"/>
    <w:rsid w:val="00212DD8"/>
    <w:rsid w:val="002175AF"/>
    <w:rsid w:val="00245E55"/>
    <w:rsid w:val="00252E16"/>
    <w:rsid w:val="00253288"/>
    <w:rsid w:val="00263BA9"/>
    <w:rsid w:val="00264D8B"/>
    <w:rsid w:val="00265728"/>
    <w:rsid w:val="002658D8"/>
    <w:rsid w:val="00270A70"/>
    <w:rsid w:val="00277034"/>
    <w:rsid w:val="00280825"/>
    <w:rsid w:val="002A0EBB"/>
    <w:rsid w:val="002A390A"/>
    <w:rsid w:val="002B362A"/>
    <w:rsid w:val="002C22DB"/>
    <w:rsid w:val="002C5F91"/>
    <w:rsid w:val="002D026F"/>
    <w:rsid w:val="002E5E01"/>
    <w:rsid w:val="002F0B19"/>
    <w:rsid w:val="002F2B36"/>
    <w:rsid w:val="00321E14"/>
    <w:rsid w:val="0032590F"/>
    <w:rsid w:val="00327CCC"/>
    <w:rsid w:val="00343CFC"/>
    <w:rsid w:val="00354C65"/>
    <w:rsid w:val="00355849"/>
    <w:rsid w:val="00356F55"/>
    <w:rsid w:val="00370A8A"/>
    <w:rsid w:val="003824FD"/>
    <w:rsid w:val="00386740"/>
    <w:rsid w:val="00390460"/>
    <w:rsid w:val="00392570"/>
    <w:rsid w:val="0039371F"/>
    <w:rsid w:val="003A3D72"/>
    <w:rsid w:val="003A4EA8"/>
    <w:rsid w:val="003B1F14"/>
    <w:rsid w:val="003B2D63"/>
    <w:rsid w:val="003B467C"/>
    <w:rsid w:val="003E0838"/>
    <w:rsid w:val="003E2A14"/>
    <w:rsid w:val="003F00F1"/>
    <w:rsid w:val="004078C1"/>
    <w:rsid w:val="00410767"/>
    <w:rsid w:val="00413B50"/>
    <w:rsid w:val="00421D3B"/>
    <w:rsid w:val="00442AB3"/>
    <w:rsid w:val="00443100"/>
    <w:rsid w:val="00446004"/>
    <w:rsid w:val="00447FE8"/>
    <w:rsid w:val="004517C0"/>
    <w:rsid w:val="00454B39"/>
    <w:rsid w:val="00454F95"/>
    <w:rsid w:val="00456834"/>
    <w:rsid w:val="004744BB"/>
    <w:rsid w:val="00477D8A"/>
    <w:rsid w:val="0048569B"/>
    <w:rsid w:val="004874D1"/>
    <w:rsid w:val="00490F27"/>
    <w:rsid w:val="00492C00"/>
    <w:rsid w:val="00496CB7"/>
    <w:rsid w:val="004A160C"/>
    <w:rsid w:val="004B4D21"/>
    <w:rsid w:val="004C1C71"/>
    <w:rsid w:val="004C5D58"/>
    <w:rsid w:val="004C7617"/>
    <w:rsid w:val="004D0D83"/>
    <w:rsid w:val="004D4198"/>
    <w:rsid w:val="004E3128"/>
    <w:rsid w:val="004E577E"/>
    <w:rsid w:val="004F119E"/>
    <w:rsid w:val="004F1B51"/>
    <w:rsid w:val="004F6BDD"/>
    <w:rsid w:val="004F778E"/>
    <w:rsid w:val="0050085F"/>
    <w:rsid w:val="00504E98"/>
    <w:rsid w:val="00512C2B"/>
    <w:rsid w:val="005154C5"/>
    <w:rsid w:val="00520C7B"/>
    <w:rsid w:val="00522189"/>
    <w:rsid w:val="00543995"/>
    <w:rsid w:val="00545845"/>
    <w:rsid w:val="00545EFE"/>
    <w:rsid w:val="00546962"/>
    <w:rsid w:val="0055231C"/>
    <w:rsid w:val="0055281F"/>
    <w:rsid w:val="00552849"/>
    <w:rsid w:val="0056396F"/>
    <w:rsid w:val="00565F19"/>
    <w:rsid w:val="0058562D"/>
    <w:rsid w:val="0059247F"/>
    <w:rsid w:val="0059249E"/>
    <w:rsid w:val="00594825"/>
    <w:rsid w:val="005A2A87"/>
    <w:rsid w:val="005A60BF"/>
    <w:rsid w:val="005A6525"/>
    <w:rsid w:val="005A6C36"/>
    <w:rsid w:val="005B0BE2"/>
    <w:rsid w:val="005B1F0C"/>
    <w:rsid w:val="005B707C"/>
    <w:rsid w:val="005C0F01"/>
    <w:rsid w:val="005D0D4F"/>
    <w:rsid w:val="005D1F78"/>
    <w:rsid w:val="005D4CDF"/>
    <w:rsid w:val="005E5744"/>
    <w:rsid w:val="005F553F"/>
    <w:rsid w:val="00607EA9"/>
    <w:rsid w:val="00611B93"/>
    <w:rsid w:val="006145FA"/>
    <w:rsid w:val="00620309"/>
    <w:rsid w:val="00621282"/>
    <w:rsid w:val="00631166"/>
    <w:rsid w:val="006313D1"/>
    <w:rsid w:val="0063177C"/>
    <w:rsid w:val="0063609D"/>
    <w:rsid w:val="00652106"/>
    <w:rsid w:val="006563A1"/>
    <w:rsid w:val="00657372"/>
    <w:rsid w:val="0066232D"/>
    <w:rsid w:val="00674F21"/>
    <w:rsid w:val="00677D1F"/>
    <w:rsid w:val="00681F94"/>
    <w:rsid w:val="0068700B"/>
    <w:rsid w:val="00690634"/>
    <w:rsid w:val="00696393"/>
    <w:rsid w:val="00697757"/>
    <w:rsid w:val="006A20AC"/>
    <w:rsid w:val="006A3177"/>
    <w:rsid w:val="006A4355"/>
    <w:rsid w:val="006A44D9"/>
    <w:rsid w:val="006A74CC"/>
    <w:rsid w:val="006C2681"/>
    <w:rsid w:val="006C6975"/>
    <w:rsid w:val="006E2B0A"/>
    <w:rsid w:val="006F55F8"/>
    <w:rsid w:val="006F6F53"/>
    <w:rsid w:val="007040D1"/>
    <w:rsid w:val="00704180"/>
    <w:rsid w:val="00707B2B"/>
    <w:rsid w:val="0071489D"/>
    <w:rsid w:val="00721E34"/>
    <w:rsid w:val="007370DF"/>
    <w:rsid w:val="00740BAC"/>
    <w:rsid w:val="0074572A"/>
    <w:rsid w:val="0074590D"/>
    <w:rsid w:val="00747847"/>
    <w:rsid w:val="00751626"/>
    <w:rsid w:val="00753986"/>
    <w:rsid w:val="00761FDE"/>
    <w:rsid w:val="00777A4B"/>
    <w:rsid w:val="007822D3"/>
    <w:rsid w:val="00791291"/>
    <w:rsid w:val="007937C0"/>
    <w:rsid w:val="0079663E"/>
    <w:rsid w:val="00796717"/>
    <w:rsid w:val="007A137E"/>
    <w:rsid w:val="007B2772"/>
    <w:rsid w:val="007D7CD0"/>
    <w:rsid w:val="007E5416"/>
    <w:rsid w:val="007E57CE"/>
    <w:rsid w:val="007E5D2D"/>
    <w:rsid w:val="007E62D1"/>
    <w:rsid w:val="007F4ADB"/>
    <w:rsid w:val="007F674E"/>
    <w:rsid w:val="007F7366"/>
    <w:rsid w:val="0081528B"/>
    <w:rsid w:val="00815A82"/>
    <w:rsid w:val="00816E82"/>
    <w:rsid w:val="008206BB"/>
    <w:rsid w:val="0082452A"/>
    <w:rsid w:val="008363F7"/>
    <w:rsid w:val="00837B96"/>
    <w:rsid w:val="00837D60"/>
    <w:rsid w:val="00847790"/>
    <w:rsid w:val="0085199E"/>
    <w:rsid w:val="00855902"/>
    <w:rsid w:val="008565E9"/>
    <w:rsid w:val="00860017"/>
    <w:rsid w:val="008814CD"/>
    <w:rsid w:val="008822E5"/>
    <w:rsid w:val="0088329E"/>
    <w:rsid w:val="00883CD6"/>
    <w:rsid w:val="00890844"/>
    <w:rsid w:val="008928B1"/>
    <w:rsid w:val="00893B6B"/>
    <w:rsid w:val="008A6B28"/>
    <w:rsid w:val="008A6FE2"/>
    <w:rsid w:val="008B1FF2"/>
    <w:rsid w:val="008B6C19"/>
    <w:rsid w:val="008C0766"/>
    <w:rsid w:val="008C29A9"/>
    <w:rsid w:val="008C7F19"/>
    <w:rsid w:val="008D7C81"/>
    <w:rsid w:val="008E6031"/>
    <w:rsid w:val="008E7491"/>
    <w:rsid w:val="008F2B1B"/>
    <w:rsid w:val="00920BDB"/>
    <w:rsid w:val="0092187C"/>
    <w:rsid w:val="00924CCB"/>
    <w:rsid w:val="00927A9C"/>
    <w:rsid w:val="0093624D"/>
    <w:rsid w:val="009366E4"/>
    <w:rsid w:val="00937A37"/>
    <w:rsid w:val="0094772E"/>
    <w:rsid w:val="00954BE6"/>
    <w:rsid w:val="00963E6F"/>
    <w:rsid w:val="00966458"/>
    <w:rsid w:val="00966D8E"/>
    <w:rsid w:val="00971C0C"/>
    <w:rsid w:val="00985EAF"/>
    <w:rsid w:val="009871AE"/>
    <w:rsid w:val="00995BBD"/>
    <w:rsid w:val="009A5DF9"/>
    <w:rsid w:val="009C1D43"/>
    <w:rsid w:val="009C41E0"/>
    <w:rsid w:val="009C7716"/>
    <w:rsid w:val="009E6609"/>
    <w:rsid w:val="00A005C5"/>
    <w:rsid w:val="00A023F2"/>
    <w:rsid w:val="00A04095"/>
    <w:rsid w:val="00A14FDF"/>
    <w:rsid w:val="00A155DF"/>
    <w:rsid w:val="00A157E9"/>
    <w:rsid w:val="00A227A0"/>
    <w:rsid w:val="00A25421"/>
    <w:rsid w:val="00A258F0"/>
    <w:rsid w:val="00A25BBC"/>
    <w:rsid w:val="00A31121"/>
    <w:rsid w:val="00A31A55"/>
    <w:rsid w:val="00A3335E"/>
    <w:rsid w:val="00A41943"/>
    <w:rsid w:val="00A437F5"/>
    <w:rsid w:val="00A4467F"/>
    <w:rsid w:val="00A527CA"/>
    <w:rsid w:val="00A578DE"/>
    <w:rsid w:val="00A61804"/>
    <w:rsid w:val="00A618C5"/>
    <w:rsid w:val="00A65207"/>
    <w:rsid w:val="00A6536A"/>
    <w:rsid w:val="00A66FFC"/>
    <w:rsid w:val="00A74DE7"/>
    <w:rsid w:val="00A77C74"/>
    <w:rsid w:val="00A83AE0"/>
    <w:rsid w:val="00A9021A"/>
    <w:rsid w:val="00AA06C0"/>
    <w:rsid w:val="00AA2F63"/>
    <w:rsid w:val="00AA509E"/>
    <w:rsid w:val="00AB1176"/>
    <w:rsid w:val="00AC5619"/>
    <w:rsid w:val="00AD2B73"/>
    <w:rsid w:val="00AE7A0D"/>
    <w:rsid w:val="00AF1724"/>
    <w:rsid w:val="00AF2790"/>
    <w:rsid w:val="00B01785"/>
    <w:rsid w:val="00B061BC"/>
    <w:rsid w:val="00B067D4"/>
    <w:rsid w:val="00B124F2"/>
    <w:rsid w:val="00B14D5F"/>
    <w:rsid w:val="00B171D1"/>
    <w:rsid w:val="00B1744E"/>
    <w:rsid w:val="00B20697"/>
    <w:rsid w:val="00B20B4F"/>
    <w:rsid w:val="00B317AE"/>
    <w:rsid w:val="00B31F44"/>
    <w:rsid w:val="00B37F8D"/>
    <w:rsid w:val="00B443F8"/>
    <w:rsid w:val="00B45B4A"/>
    <w:rsid w:val="00B5036E"/>
    <w:rsid w:val="00B503BD"/>
    <w:rsid w:val="00B51805"/>
    <w:rsid w:val="00B5659D"/>
    <w:rsid w:val="00B57911"/>
    <w:rsid w:val="00B6001B"/>
    <w:rsid w:val="00B74572"/>
    <w:rsid w:val="00B80A1D"/>
    <w:rsid w:val="00B8187B"/>
    <w:rsid w:val="00B82223"/>
    <w:rsid w:val="00B84C52"/>
    <w:rsid w:val="00B85811"/>
    <w:rsid w:val="00B862C9"/>
    <w:rsid w:val="00B87FEF"/>
    <w:rsid w:val="00B90C37"/>
    <w:rsid w:val="00B96039"/>
    <w:rsid w:val="00B96B85"/>
    <w:rsid w:val="00BA1528"/>
    <w:rsid w:val="00BA4023"/>
    <w:rsid w:val="00BA62BE"/>
    <w:rsid w:val="00BB0862"/>
    <w:rsid w:val="00BB2FB3"/>
    <w:rsid w:val="00BC0AA6"/>
    <w:rsid w:val="00BC2C04"/>
    <w:rsid w:val="00BD4CF6"/>
    <w:rsid w:val="00BD71B7"/>
    <w:rsid w:val="00BE5450"/>
    <w:rsid w:val="00BF3F83"/>
    <w:rsid w:val="00BF51BE"/>
    <w:rsid w:val="00BF5693"/>
    <w:rsid w:val="00C1038B"/>
    <w:rsid w:val="00C275EB"/>
    <w:rsid w:val="00C3363F"/>
    <w:rsid w:val="00C33AE3"/>
    <w:rsid w:val="00C343B5"/>
    <w:rsid w:val="00C41D49"/>
    <w:rsid w:val="00C41DEA"/>
    <w:rsid w:val="00C46350"/>
    <w:rsid w:val="00C57757"/>
    <w:rsid w:val="00C628CB"/>
    <w:rsid w:val="00C76A88"/>
    <w:rsid w:val="00C82170"/>
    <w:rsid w:val="00C82485"/>
    <w:rsid w:val="00C83A19"/>
    <w:rsid w:val="00C923C7"/>
    <w:rsid w:val="00C95924"/>
    <w:rsid w:val="00C97F83"/>
    <w:rsid w:val="00CA2524"/>
    <w:rsid w:val="00CA350A"/>
    <w:rsid w:val="00CA7058"/>
    <w:rsid w:val="00CB05CD"/>
    <w:rsid w:val="00CB1472"/>
    <w:rsid w:val="00CB4F23"/>
    <w:rsid w:val="00CE1DF4"/>
    <w:rsid w:val="00CE3B8F"/>
    <w:rsid w:val="00D05FEE"/>
    <w:rsid w:val="00D1292C"/>
    <w:rsid w:val="00D12D28"/>
    <w:rsid w:val="00D15996"/>
    <w:rsid w:val="00D17751"/>
    <w:rsid w:val="00D25957"/>
    <w:rsid w:val="00D25E4A"/>
    <w:rsid w:val="00D27954"/>
    <w:rsid w:val="00D328CD"/>
    <w:rsid w:val="00D33C31"/>
    <w:rsid w:val="00D42DDD"/>
    <w:rsid w:val="00D45E26"/>
    <w:rsid w:val="00D4626E"/>
    <w:rsid w:val="00D64E4A"/>
    <w:rsid w:val="00D66518"/>
    <w:rsid w:val="00D67715"/>
    <w:rsid w:val="00D8465E"/>
    <w:rsid w:val="00D862D7"/>
    <w:rsid w:val="00DC23FD"/>
    <w:rsid w:val="00DC4B51"/>
    <w:rsid w:val="00DD01FD"/>
    <w:rsid w:val="00DD2DE0"/>
    <w:rsid w:val="00DD3BB0"/>
    <w:rsid w:val="00DD47C0"/>
    <w:rsid w:val="00DD7EE6"/>
    <w:rsid w:val="00DE37F1"/>
    <w:rsid w:val="00DE4AAA"/>
    <w:rsid w:val="00E0007B"/>
    <w:rsid w:val="00E0017B"/>
    <w:rsid w:val="00E131C4"/>
    <w:rsid w:val="00E17C4C"/>
    <w:rsid w:val="00E213C2"/>
    <w:rsid w:val="00E21888"/>
    <w:rsid w:val="00E21E4C"/>
    <w:rsid w:val="00E30FBF"/>
    <w:rsid w:val="00E3179E"/>
    <w:rsid w:val="00E32BFE"/>
    <w:rsid w:val="00E33170"/>
    <w:rsid w:val="00E379FE"/>
    <w:rsid w:val="00E44A74"/>
    <w:rsid w:val="00E45E5F"/>
    <w:rsid w:val="00E46EDD"/>
    <w:rsid w:val="00E548AF"/>
    <w:rsid w:val="00E552C7"/>
    <w:rsid w:val="00E56BB8"/>
    <w:rsid w:val="00E63F91"/>
    <w:rsid w:val="00E722B3"/>
    <w:rsid w:val="00E830D2"/>
    <w:rsid w:val="00E83BBB"/>
    <w:rsid w:val="00E87186"/>
    <w:rsid w:val="00E87429"/>
    <w:rsid w:val="00E900A7"/>
    <w:rsid w:val="00E97830"/>
    <w:rsid w:val="00EA34DA"/>
    <w:rsid w:val="00EA3C97"/>
    <w:rsid w:val="00EC038C"/>
    <w:rsid w:val="00EC08CE"/>
    <w:rsid w:val="00EC1356"/>
    <w:rsid w:val="00EC523B"/>
    <w:rsid w:val="00EC6239"/>
    <w:rsid w:val="00ED5969"/>
    <w:rsid w:val="00EE3C81"/>
    <w:rsid w:val="00EE4A40"/>
    <w:rsid w:val="00EE6D58"/>
    <w:rsid w:val="00EF5AD9"/>
    <w:rsid w:val="00EF5DAA"/>
    <w:rsid w:val="00EF61AE"/>
    <w:rsid w:val="00EF7848"/>
    <w:rsid w:val="00F01455"/>
    <w:rsid w:val="00F01D18"/>
    <w:rsid w:val="00F145F3"/>
    <w:rsid w:val="00F14F8C"/>
    <w:rsid w:val="00F20A05"/>
    <w:rsid w:val="00F23744"/>
    <w:rsid w:val="00F268AA"/>
    <w:rsid w:val="00F2762C"/>
    <w:rsid w:val="00F31F35"/>
    <w:rsid w:val="00F56C69"/>
    <w:rsid w:val="00F601D3"/>
    <w:rsid w:val="00F6247D"/>
    <w:rsid w:val="00F64DCD"/>
    <w:rsid w:val="00F65F6E"/>
    <w:rsid w:val="00F718C8"/>
    <w:rsid w:val="00F71D95"/>
    <w:rsid w:val="00F74679"/>
    <w:rsid w:val="00F750B3"/>
    <w:rsid w:val="00F761FA"/>
    <w:rsid w:val="00F929CE"/>
    <w:rsid w:val="00F94E82"/>
    <w:rsid w:val="00F95DED"/>
    <w:rsid w:val="00FA7B4E"/>
    <w:rsid w:val="00FB0D5B"/>
    <w:rsid w:val="00FD69A2"/>
    <w:rsid w:val="00FE000B"/>
    <w:rsid w:val="00FE04EC"/>
    <w:rsid w:val="00FF0FBB"/>
    <w:rsid w:val="00FF1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DD0B"/>
  <w15:docId w15:val="{A93972A3-012A-46F2-A1D5-3CA163A8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24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9247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9247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9247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F6E"/>
    <w:pPr>
      <w:ind w:left="720"/>
      <w:contextualSpacing/>
    </w:pPr>
  </w:style>
  <w:style w:type="character" w:styleId="Hyperlink">
    <w:name w:val="Hyperlink"/>
    <w:uiPriority w:val="99"/>
    <w:rsid w:val="00B6001B"/>
    <w:rPr>
      <w:color w:val="0000FF"/>
      <w:u w:val="none"/>
    </w:rPr>
  </w:style>
  <w:style w:type="character" w:customStyle="1" w:styleId="apple-converted-space">
    <w:name w:val="apple-converted-space"/>
    <w:basedOn w:val="DefaultParagraphFont"/>
    <w:rsid w:val="00B6001B"/>
  </w:style>
  <w:style w:type="character" w:styleId="CommentReference">
    <w:name w:val="annotation reference"/>
    <w:basedOn w:val="DefaultParagraphFont"/>
    <w:uiPriority w:val="99"/>
    <w:semiHidden/>
    <w:unhideWhenUsed/>
    <w:rsid w:val="002F2B36"/>
    <w:rPr>
      <w:sz w:val="16"/>
      <w:szCs w:val="16"/>
    </w:rPr>
  </w:style>
  <w:style w:type="paragraph" w:styleId="CommentText">
    <w:name w:val="annotation text"/>
    <w:basedOn w:val="Normal"/>
    <w:link w:val="CommentTextChar"/>
    <w:uiPriority w:val="99"/>
    <w:unhideWhenUsed/>
    <w:rsid w:val="002F2B36"/>
    <w:pPr>
      <w:spacing w:line="240" w:lineRule="auto"/>
    </w:pPr>
    <w:rPr>
      <w:sz w:val="20"/>
      <w:szCs w:val="20"/>
    </w:rPr>
  </w:style>
  <w:style w:type="character" w:customStyle="1" w:styleId="CommentTextChar">
    <w:name w:val="Comment Text Char"/>
    <w:basedOn w:val="DefaultParagraphFont"/>
    <w:link w:val="CommentText"/>
    <w:uiPriority w:val="99"/>
    <w:rsid w:val="002F2B36"/>
    <w:rPr>
      <w:sz w:val="20"/>
      <w:szCs w:val="20"/>
    </w:rPr>
  </w:style>
  <w:style w:type="paragraph" w:styleId="CommentSubject">
    <w:name w:val="annotation subject"/>
    <w:basedOn w:val="CommentText"/>
    <w:next w:val="CommentText"/>
    <w:link w:val="CommentSubjectChar"/>
    <w:uiPriority w:val="99"/>
    <w:semiHidden/>
    <w:unhideWhenUsed/>
    <w:rsid w:val="002F2B36"/>
    <w:rPr>
      <w:b/>
      <w:bCs/>
    </w:rPr>
  </w:style>
  <w:style w:type="character" w:customStyle="1" w:styleId="CommentSubjectChar">
    <w:name w:val="Comment Subject Char"/>
    <w:basedOn w:val="CommentTextChar"/>
    <w:link w:val="CommentSubject"/>
    <w:uiPriority w:val="99"/>
    <w:semiHidden/>
    <w:rsid w:val="002F2B36"/>
    <w:rPr>
      <w:b/>
      <w:bCs/>
      <w:sz w:val="20"/>
      <w:szCs w:val="20"/>
    </w:rPr>
  </w:style>
  <w:style w:type="paragraph" w:styleId="BalloonText">
    <w:name w:val="Balloon Text"/>
    <w:basedOn w:val="Normal"/>
    <w:link w:val="BalloonTextChar"/>
    <w:uiPriority w:val="99"/>
    <w:semiHidden/>
    <w:unhideWhenUsed/>
    <w:rsid w:val="002F2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36"/>
    <w:rPr>
      <w:rFonts w:ascii="Tahoma" w:hAnsi="Tahoma" w:cs="Tahoma"/>
      <w:sz w:val="16"/>
      <w:szCs w:val="16"/>
    </w:rPr>
  </w:style>
  <w:style w:type="paragraph" w:styleId="Header">
    <w:name w:val="header"/>
    <w:basedOn w:val="Normal"/>
    <w:link w:val="HeaderChar"/>
    <w:uiPriority w:val="99"/>
    <w:unhideWhenUsed/>
    <w:rsid w:val="00985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EAF"/>
  </w:style>
  <w:style w:type="paragraph" w:styleId="Footer">
    <w:name w:val="footer"/>
    <w:basedOn w:val="Normal"/>
    <w:link w:val="FooterChar"/>
    <w:uiPriority w:val="99"/>
    <w:unhideWhenUsed/>
    <w:rsid w:val="00985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EAF"/>
  </w:style>
  <w:style w:type="character" w:styleId="FollowedHyperlink">
    <w:name w:val="FollowedHyperlink"/>
    <w:basedOn w:val="DefaultParagraphFont"/>
    <w:uiPriority w:val="99"/>
    <w:semiHidden/>
    <w:unhideWhenUsed/>
    <w:rsid w:val="00B14D5F"/>
    <w:rPr>
      <w:color w:val="800080" w:themeColor="followedHyperlink"/>
      <w:u w:val="single"/>
    </w:rPr>
  </w:style>
  <w:style w:type="paragraph" w:customStyle="1" w:styleId="BodyNum">
    <w:name w:val="BodyNum"/>
    <w:aliases w:val="b1"/>
    <w:basedOn w:val="Normal"/>
    <w:rsid w:val="00B14D5F"/>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4D5F"/>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4D5F"/>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4D5F"/>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B14D5F"/>
    <w:pPr>
      <w:numPr>
        <w:numId w:val="6"/>
      </w:numPr>
    </w:pPr>
  </w:style>
  <w:style w:type="paragraph" w:styleId="NormalWeb">
    <w:name w:val="Normal (Web)"/>
    <w:basedOn w:val="Normal"/>
    <w:uiPriority w:val="99"/>
    <w:semiHidden/>
    <w:unhideWhenUsed/>
    <w:rsid w:val="005924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247F"/>
    <w:rPr>
      <w:b/>
      <w:bCs/>
    </w:rPr>
  </w:style>
  <w:style w:type="character" w:styleId="Emphasis">
    <w:name w:val="Emphasis"/>
    <w:basedOn w:val="DefaultParagraphFont"/>
    <w:uiPriority w:val="20"/>
    <w:qFormat/>
    <w:rsid w:val="0059247F"/>
    <w:rPr>
      <w:i/>
      <w:iCs/>
    </w:rPr>
  </w:style>
  <w:style w:type="character" w:customStyle="1" w:styleId="Heading1Char">
    <w:name w:val="Heading 1 Char"/>
    <w:basedOn w:val="DefaultParagraphFont"/>
    <w:link w:val="Heading1"/>
    <w:uiPriority w:val="9"/>
    <w:rsid w:val="0059247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9247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9247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9247F"/>
    <w:rPr>
      <w:rFonts w:ascii="Times New Roman" w:eastAsia="Times New Roman" w:hAnsi="Times New Roman" w:cs="Times New Roman"/>
      <w:b/>
      <w:bCs/>
      <w:sz w:val="24"/>
      <w:szCs w:val="24"/>
      <w:lang w:eastAsia="en-AU"/>
    </w:rPr>
  </w:style>
  <w:style w:type="paragraph" w:styleId="Revision">
    <w:name w:val="Revision"/>
    <w:hidden/>
    <w:uiPriority w:val="99"/>
    <w:semiHidden/>
    <w:rsid w:val="00C628CB"/>
    <w:pPr>
      <w:spacing w:after="0" w:line="240" w:lineRule="auto"/>
    </w:pPr>
  </w:style>
  <w:style w:type="paragraph" w:customStyle="1" w:styleId="Paragraph">
    <w:name w:val="Paragraph"/>
    <w:basedOn w:val="Normal"/>
    <w:rsid w:val="003E2A14"/>
    <w:pPr>
      <w:numPr>
        <w:ilvl w:val="12"/>
      </w:numPr>
      <w:spacing w:before="240" w:after="0" w:line="240" w:lineRule="auto"/>
    </w:pPr>
    <w:rPr>
      <w:rFonts w:ascii="Times New Roman" w:eastAsia="Times New Roman" w:hAnsi="Times New Roman" w:cs="Times New Roman"/>
      <w:sz w:val="24"/>
      <w:szCs w:val="20"/>
      <w:lang w:eastAsia="en-AU"/>
    </w:rPr>
  </w:style>
  <w:style w:type="paragraph" w:customStyle="1" w:styleId="DefaultParagraphFontPara">
    <w:name w:val="Default Paragraph Font Para"/>
    <w:basedOn w:val="Normal"/>
    <w:rsid w:val="003E2A14"/>
    <w:pPr>
      <w:spacing w:after="0" w:line="240" w:lineRule="auto"/>
    </w:pPr>
    <w:rPr>
      <w:rFonts w:ascii="Arial" w:eastAsia="Times New Roman" w:hAnsi="Arial" w:cs="Arial"/>
    </w:rPr>
  </w:style>
  <w:style w:type="paragraph" w:customStyle="1" w:styleId="Tablea">
    <w:name w:val="Table(a)"/>
    <w:aliases w:val="ta"/>
    <w:basedOn w:val="Normal"/>
    <w:rsid w:val="00B01785"/>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B01785"/>
    <w:pPr>
      <w:spacing w:before="60" w:after="0" w:line="240" w:lineRule="atLeast"/>
    </w:pPr>
    <w:rPr>
      <w:rFonts w:ascii="Times New Roman" w:eastAsia="Times New Roman" w:hAnsi="Times New Roman" w:cs="Times New Roman"/>
      <w:sz w:val="20"/>
      <w:szCs w:val="20"/>
      <w:lang w:eastAsia="en-AU"/>
    </w:rPr>
  </w:style>
  <w:style w:type="paragraph" w:styleId="FootnoteText">
    <w:name w:val="footnote text"/>
    <w:basedOn w:val="Normal"/>
    <w:link w:val="FootnoteTextChar"/>
    <w:uiPriority w:val="99"/>
    <w:semiHidden/>
    <w:unhideWhenUsed/>
    <w:rsid w:val="00D27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954"/>
    <w:rPr>
      <w:sz w:val="20"/>
      <w:szCs w:val="20"/>
    </w:rPr>
  </w:style>
  <w:style w:type="character" w:styleId="FootnoteReference">
    <w:name w:val="footnote reference"/>
    <w:basedOn w:val="DefaultParagraphFont"/>
    <w:uiPriority w:val="99"/>
    <w:semiHidden/>
    <w:unhideWhenUsed/>
    <w:rsid w:val="00D27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7100">
      <w:bodyDiv w:val="1"/>
      <w:marLeft w:val="0"/>
      <w:marRight w:val="0"/>
      <w:marTop w:val="0"/>
      <w:marBottom w:val="0"/>
      <w:divBdr>
        <w:top w:val="none" w:sz="0" w:space="0" w:color="auto"/>
        <w:left w:val="none" w:sz="0" w:space="0" w:color="auto"/>
        <w:bottom w:val="none" w:sz="0" w:space="0" w:color="auto"/>
        <w:right w:val="none" w:sz="0" w:space="0" w:color="auto"/>
      </w:divBdr>
    </w:div>
    <w:div w:id="507865773">
      <w:bodyDiv w:val="1"/>
      <w:marLeft w:val="0"/>
      <w:marRight w:val="0"/>
      <w:marTop w:val="0"/>
      <w:marBottom w:val="0"/>
      <w:divBdr>
        <w:top w:val="none" w:sz="0" w:space="0" w:color="auto"/>
        <w:left w:val="none" w:sz="0" w:space="0" w:color="auto"/>
        <w:bottom w:val="none" w:sz="0" w:space="0" w:color="auto"/>
        <w:right w:val="none" w:sz="0" w:space="0" w:color="auto"/>
      </w:divBdr>
    </w:div>
    <w:div w:id="526018607">
      <w:bodyDiv w:val="1"/>
      <w:marLeft w:val="0"/>
      <w:marRight w:val="0"/>
      <w:marTop w:val="0"/>
      <w:marBottom w:val="0"/>
      <w:divBdr>
        <w:top w:val="none" w:sz="0" w:space="0" w:color="auto"/>
        <w:left w:val="none" w:sz="0" w:space="0" w:color="auto"/>
        <w:bottom w:val="none" w:sz="0" w:space="0" w:color="auto"/>
        <w:right w:val="none" w:sz="0" w:space="0" w:color="auto"/>
      </w:divBdr>
      <w:divsChild>
        <w:div w:id="363599293">
          <w:marLeft w:val="0"/>
          <w:marRight w:val="0"/>
          <w:marTop w:val="0"/>
          <w:marBottom w:val="0"/>
          <w:divBdr>
            <w:top w:val="none" w:sz="0" w:space="0" w:color="auto"/>
            <w:left w:val="none" w:sz="0" w:space="0" w:color="auto"/>
            <w:bottom w:val="none" w:sz="0" w:space="0" w:color="auto"/>
            <w:right w:val="none" w:sz="0" w:space="0" w:color="auto"/>
          </w:divBdr>
          <w:divsChild>
            <w:div w:id="1301493801">
              <w:marLeft w:val="0"/>
              <w:marRight w:val="0"/>
              <w:marTop w:val="0"/>
              <w:marBottom w:val="0"/>
              <w:divBdr>
                <w:top w:val="single" w:sz="36" w:space="0" w:color="4275AE"/>
                <w:left w:val="none" w:sz="0" w:space="0" w:color="auto"/>
                <w:bottom w:val="none" w:sz="0" w:space="0" w:color="auto"/>
                <w:right w:val="none" w:sz="0" w:space="0" w:color="auto"/>
              </w:divBdr>
            </w:div>
          </w:divsChild>
        </w:div>
        <w:div w:id="1731879230">
          <w:marLeft w:val="0"/>
          <w:marRight w:val="0"/>
          <w:marTop w:val="0"/>
          <w:marBottom w:val="0"/>
          <w:divBdr>
            <w:top w:val="none" w:sz="0" w:space="0" w:color="auto"/>
            <w:left w:val="none" w:sz="0" w:space="0" w:color="auto"/>
            <w:bottom w:val="none" w:sz="0" w:space="0" w:color="auto"/>
            <w:right w:val="none" w:sz="0" w:space="0" w:color="auto"/>
          </w:divBdr>
          <w:divsChild>
            <w:div w:id="87584331">
              <w:marLeft w:val="0"/>
              <w:marRight w:val="0"/>
              <w:marTop w:val="0"/>
              <w:marBottom w:val="0"/>
              <w:divBdr>
                <w:top w:val="none" w:sz="0" w:space="0" w:color="auto"/>
                <w:left w:val="none" w:sz="0" w:space="0" w:color="auto"/>
                <w:bottom w:val="none" w:sz="0" w:space="0" w:color="auto"/>
                <w:right w:val="none" w:sz="0" w:space="0" w:color="auto"/>
              </w:divBdr>
              <w:divsChild>
                <w:div w:id="20906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0068">
      <w:bodyDiv w:val="1"/>
      <w:marLeft w:val="0"/>
      <w:marRight w:val="0"/>
      <w:marTop w:val="0"/>
      <w:marBottom w:val="0"/>
      <w:divBdr>
        <w:top w:val="none" w:sz="0" w:space="0" w:color="auto"/>
        <w:left w:val="none" w:sz="0" w:space="0" w:color="auto"/>
        <w:bottom w:val="none" w:sz="0" w:space="0" w:color="auto"/>
        <w:right w:val="none" w:sz="0" w:space="0" w:color="auto"/>
      </w:divBdr>
    </w:div>
    <w:div w:id="1563902686">
      <w:bodyDiv w:val="1"/>
      <w:marLeft w:val="0"/>
      <w:marRight w:val="0"/>
      <w:marTop w:val="0"/>
      <w:marBottom w:val="0"/>
      <w:divBdr>
        <w:top w:val="none" w:sz="0" w:space="0" w:color="auto"/>
        <w:left w:val="none" w:sz="0" w:space="0" w:color="auto"/>
        <w:bottom w:val="none" w:sz="0" w:space="0" w:color="auto"/>
        <w:right w:val="none" w:sz="0" w:space="0" w:color="auto"/>
      </w:divBdr>
    </w:div>
    <w:div w:id="17179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ACD9-BFAE-4C6C-8F71-1D4D44BE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hedgea</dc:creator>
  <cp:lastModifiedBy>Rosher, Lauren</cp:lastModifiedBy>
  <cp:revision>5</cp:revision>
  <cp:lastPrinted>2018-06-13T04:01:00Z</cp:lastPrinted>
  <dcterms:created xsi:type="dcterms:W3CDTF">2018-07-10T05:15:00Z</dcterms:created>
  <dcterms:modified xsi:type="dcterms:W3CDTF">2018-07-10T23:35:00Z</dcterms:modified>
</cp:coreProperties>
</file>