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CB9B7" w14:textId="77777777" w:rsidR="00B84505" w:rsidRPr="009A1476" w:rsidRDefault="00B84505" w:rsidP="00B84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A1476">
        <w:rPr>
          <w:rFonts w:ascii="Times New Roman" w:hAnsi="Times New Roman" w:cs="Times New Roman"/>
          <w:b/>
          <w:sz w:val="28"/>
          <w:szCs w:val="28"/>
        </w:rPr>
        <w:t>EXPLANATORY STATEMENT for</w:t>
      </w:r>
    </w:p>
    <w:p w14:paraId="3BAD6631" w14:textId="482E6C08" w:rsidR="00B84505" w:rsidRPr="009A1476" w:rsidRDefault="00B84505" w:rsidP="00B84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476">
        <w:rPr>
          <w:rFonts w:ascii="Times New Roman" w:hAnsi="Times New Roman" w:cs="Times New Roman"/>
          <w:b/>
          <w:sz w:val="28"/>
          <w:szCs w:val="28"/>
        </w:rPr>
        <w:t>ASIC Credit (Amendment) Instrument 2018/</w:t>
      </w:r>
      <w:r w:rsidR="005973C4" w:rsidRPr="009A1476">
        <w:rPr>
          <w:rFonts w:ascii="Times New Roman" w:hAnsi="Times New Roman" w:cs="Times New Roman"/>
          <w:b/>
          <w:sz w:val="28"/>
          <w:szCs w:val="28"/>
        </w:rPr>
        <w:t>665</w:t>
      </w:r>
    </w:p>
    <w:p w14:paraId="06362EEF" w14:textId="77777777" w:rsidR="00B84505" w:rsidRPr="009A1476" w:rsidRDefault="00B84505" w:rsidP="00B84505">
      <w:pPr>
        <w:rPr>
          <w:rFonts w:ascii="Times New Roman" w:hAnsi="Times New Roman" w:cs="Times New Roman"/>
          <w:b/>
        </w:rPr>
      </w:pPr>
    </w:p>
    <w:p w14:paraId="67B34516" w14:textId="77777777" w:rsidR="00B84505" w:rsidRPr="009A1476" w:rsidRDefault="00B84505" w:rsidP="00B84505">
      <w:pPr>
        <w:jc w:val="center"/>
        <w:rPr>
          <w:rFonts w:ascii="Times New Roman" w:hAnsi="Times New Roman" w:cs="Times New Roman"/>
        </w:rPr>
      </w:pPr>
      <w:r w:rsidRPr="009A1476">
        <w:rPr>
          <w:rFonts w:ascii="Times New Roman" w:hAnsi="Times New Roman" w:cs="Times New Roman"/>
        </w:rPr>
        <w:t>Prepared by the Australian Securities and Investments Commission</w:t>
      </w:r>
    </w:p>
    <w:p w14:paraId="636E5B05" w14:textId="2EF1AD41" w:rsidR="00B84505" w:rsidRPr="009A1476" w:rsidRDefault="00D14DF3" w:rsidP="00B84505">
      <w:pPr>
        <w:jc w:val="center"/>
        <w:rPr>
          <w:rFonts w:ascii="Times New Roman" w:hAnsi="Times New Roman" w:cs="Times New Roman"/>
          <w:i/>
        </w:rPr>
      </w:pPr>
      <w:r w:rsidRPr="009A1476">
        <w:rPr>
          <w:rFonts w:ascii="Times New Roman" w:hAnsi="Times New Roman" w:cs="Times New Roman"/>
          <w:i/>
        </w:rPr>
        <w:t>National Consumer Credit Protection</w:t>
      </w:r>
      <w:r w:rsidR="00B84505" w:rsidRPr="009A1476">
        <w:rPr>
          <w:rFonts w:ascii="Times New Roman" w:hAnsi="Times New Roman" w:cs="Times New Roman"/>
          <w:i/>
        </w:rPr>
        <w:t xml:space="preserve"> Act 200</w:t>
      </w:r>
      <w:r w:rsidRPr="009A1476">
        <w:rPr>
          <w:rFonts w:ascii="Times New Roman" w:hAnsi="Times New Roman" w:cs="Times New Roman"/>
          <w:i/>
        </w:rPr>
        <w:t>9</w:t>
      </w:r>
    </w:p>
    <w:p w14:paraId="1BA6BC97" w14:textId="77777777" w:rsidR="00B84505" w:rsidRPr="009A1476" w:rsidRDefault="00B84505" w:rsidP="00B84505">
      <w:pPr>
        <w:jc w:val="center"/>
        <w:rPr>
          <w:rFonts w:ascii="Times New Roman" w:hAnsi="Times New Roman" w:cs="Times New Roman"/>
          <w:i/>
        </w:rPr>
      </w:pPr>
    </w:p>
    <w:p w14:paraId="669DA44D" w14:textId="03E3B79C" w:rsidR="00B84505" w:rsidRPr="009A1476" w:rsidRDefault="00B84505" w:rsidP="00B84505">
      <w:pPr>
        <w:spacing w:line="276" w:lineRule="auto"/>
        <w:rPr>
          <w:rFonts w:ascii="Times New Roman" w:hAnsi="Times New Roman" w:cs="Times New Roman"/>
        </w:rPr>
      </w:pPr>
      <w:r w:rsidRPr="009A1476">
        <w:rPr>
          <w:rFonts w:ascii="Times New Roman" w:hAnsi="Times New Roman" w:cs="Times New Roman"/>
        </w:rPr>
        <w:t>The Australian Securities and Investments Commission (</w:t>
      </w:r>
      <w:r w:rsidRPr="009A1476">
        <w:rPr>
          <w:rFonts w:ascii="Times New Roman" w:hAnsi="Times New Roman" w:cs="Times New Roman"/>
          <w:b/>
        </w:rPr>
        <w:t>ASIC</w:t>
      </w:r>
      <w:r w:rsidRPr="009A1476">
        <w:rPr>
          <w:rFonts w:ascii="Times New Roman" w:hAnsi="Times New Roman" w:cs="Times New Roman"/>
        </w:rPr>
        <w:t>) makes</w:t>
      </w:r>
      <w:r w:rsidRPr="009A1476">
        <w:rPr>
          <w:rFonts w:ascii="Times New Roman" w:hAnsi="Times New Roman" w:cs="Times New Roman"/>
          <w:i/>
        </w:rPr>
        <w:t xml:space="preserve"> AS</w:t>
      </w:r>
      <w:r w:rsidR="00D14DF3" w:rsidRPr="009A1476">
        <w:rPr>
          <w:rFonts w:ascii="Times New Roman" w:hAnsi="Times New Roman" w:cs="Times New Roman"/>
          <w:i/>
        </w:rPr>
        <w:t>IC Credit</w:t>
      </w:r>
      <w:r w:rsidRPr="009A1476">
        <w:rPr>
          <w:rFonts w:ascii="Times New Roman" w:hAnsi="Times New Roman" w:cs="Times New Roman"/>
          <w:i/>
        </w:rPr>
        <w:t xml:space="preserve"> (Amendment) Instrument 2018/</w:t>
      </w:r>
      <w:r w:rsidR="005973C4" w:rsidRPr="009A1476">
        <w:rPr>
          <w:rFonts w:ascii="Times New Roman" w:hAnsi="Times New Roman" w:cs="Times New Roman"/>
          <w:i/>
        </w:rPr>
        <w:t>665</w:t>
      </w:r>
      <w:r w:rsidR="00D14DF3" w:rsidRPr="009A1476">
        <w:rPr>
          <w:rFonts w:ascii="Times New Roman" w:hAnsi="Times New Roman" w:cs="Times New Roman"/>
        </w:rPr>
        <w:t xml:space="preserve"> </w:t>
      </w:r>
      <w:r w:rsidR="008E11DC">
        <w:rPr>
          <w:rFonts w:ascii="Times New Roman" w:hAnsi="Times New Roman" w:cs="Times New Roman"/>
        </w:rPr>
        <w:t>(</w:t>
      </w:r>
      <w:r w:rsidR="008E11DC">
        <w:rPr>
          <w:rFonts w:ascii="Times New Roman" w:hAnsi="Times New Roman" w:cs="Times New Roman"/>
          <w:b/>
        </w:rPr>
        <w:t>amending</w:t>
      </w:r>
      <w:r w:rsidR="008E11DC" w:rsidRPr="008E11DC">
        <w:rPr>
          <w:rFonts w:ascii="Times New Roman" w:hAnsi="Times New Roman" w:cs="Times New Roman"/>
          <w:b/>
        </w:rPr>
        <w:t xml:space="preserve"> instrument</w:t>
      </w:r>
      <w:r w:rsidR="008E11DC">
        <w:rPr>
          <w:rFonts w:ascii="Times New Roman" w:hAnsi="Times New Roman" w:cs="Times New Roman"/>
        </w:rPr>
        <w:t xml:space="preserve">) </w:t>
      </w:r>
      <w:r w:rsidR="00D14DF3" w:rsidRPr="008E11DC">
        <w:rPr>
          <w:rFonts w:ascii="Times New Roman" w:hAnsi="Times New Roman" w:cs="Times New Roman"/>
        </w:rPr>
        <w:t>under</w:t>
      </w:r>
      <w:r w:rsidR="00D14DF3" w:rsidRPr="009A1476">
        <w:rPr>
          <w:rFonts w:ascii="Times New Roman" w:hAnsi="Times New Roman" w:cs="Times New Roman"/>
        </w:rPr>
        <w:t xml:space="preserve"> </w:t>
      </w:r>
      <w:r w:rsidR="00B864C5" w:rsidRPr="009A1476">
        <w:rPr>
          <w:rFonts w:ascii="Times New Roman" w:hAnsi="Times New Roman" w:cs="Times New Roman"/>
        </w:rPr>
        <w:t>paragraph 163(3)(d)</w:t>
      </w:r>
      <w:r w:rsidR="00D14DF3" w:rsidRPr="009A1476">
        <w:rPr>
          <w:rFonts w:ascii="Times New Roman" w:hAnsi="Times New Roman" w:cs="Times New Roman"/>
        </w:rPr>
        <w:t xml:space="preserve"> of </w:t>
      </w:r>
      <w:r w:rsidR="00D14DF3" w:rsidRPr="009A1476">
        <w:rPr>
          <w:rFonts w:ascii="Times New Roman" w:hAnsi="Times New Roman" w:cs="Times New Roman"/>
          <w:i/>
        </w:rPr>
        <w:t xml:space="preserve">National Consumer Credit Protection Act 2009 </w:t>
      </w:r>
      <w:r w:rsidR="00D14DF3" w:rsidRPr="009A1476">
        <w:rPr>
          <w:rFonts w:ascii="Times New Roman" w:hAnsi="Times New Roman" w:cs="Times New Roman"/>
        </w:rPr>
        <w:t xml:space="preserve">(the </w:t>
      </w:r>
      <w:r w:rsidR="00D14DF3" w:rsidRPr="009A1476">
        <w:rPr>
          <w:rFonts w:ascii="Times New Roman" w:hAnsi="Times New Roman" w:cs="Times New Roman"/>
          <w:b/>
        </w:rPr>
        <w:t>Credit Act</w:t>
      </w:r>
      <w:r w:rsidR="00D14DF3" w:rsidRPr="009A1476">
        <w:rPr>
          <w:rFonts w:ascii="Times New Roman" w:hAnsi="Times New Roman" w:cs="Times New Roman"/>
        </w:rPr>
        <w:t>)</w:t>
      </w:r>
      <w:r w:rsidR="00F46987" w:rsidRPr="009A1476">
        <w:rPr>
          <w:rFonts w:ascii="Times New Roman" w:hAnsi="Times New Roman" w:cs="Times New Roman"/>
        </w:rPr>
        <w:t xml:space="preserve"> and subsection </w:t>
      </w:r>
      <w:r w:rsidR="00E073D9" w:rsidRPr="009A1476">
        <w:rPr>
          <w:rFonts w:ascii="Times New Roman" w:hAnsi="Times New Roman" w:cs="Times New Roman"/>
        </w:rPr>
        <w:t xml:space="preserve">203A(3) of </w:t>
      </w:r>
      <w:r w:rsidR="006D7D0B" w:rsidRPr="009A1476">
        <w:rPr>
          <w:rFonts w:ascii="Times New Roman" w:hAnsi="Times New Roman" w:cs="Times New Roman"/>
        </w:rPr>
        <w:t xml:space="preserve">the </w:t>
      </w:r>
      <w:r w:rsidR="00E073D9" w:rsidRPr="009A1476">
        <w:rPr>
          <w:rFonts w:ascii="Times New Roman" w:hAnsi="Times New Roman" w:cs="Times New Roman"/>
        </w:rPr>
        <w:t>National Credit Code</w:t>
      </w:r>
      <w:r w:rsidR="00E073D9" w:rsidRPr="009A1476">
        <w:rPr>
          <w:rFonts w:ascii="Times New Roman" w:hAnsi="Times New Roman" w:cs="Times New Roman"/>
          <w:i/>
        </w:rPr>
        <w:t xml:space="preserve"> </w:t>
      </w:r>
      <w:r w:rsidR="00E073D9" w:rsidRPr="009A1476">
        <w:rPr>
          <w:rFonts w:ascii="Times New Roman" w:hAnsi="Times New Roman" w:cs="Times New Roman"/>
        </w:rPr>
        <w:t xml:space="preserve">(the </w:t>
      </w:r>
      <w:r w:rsidR="00E073D9" w:rsidRPr="009A1476">
        <w:rPr>
          <w:rFonts w:ascii="Times New Roman" w:hAnsi="Times New Roman" w:cs="Times New Roman"/>
          <w:b/>
        </w:rPr>
        <w:t>Credit Code</w:t>
      </w:r>
      <w:r w:rsidR="00E073D9" w:rsidRPr="009A1476">
        <w:rPr>
          <w:rFonts w:ascii="Times New Roman" w:hAnsi="Times New Roman" w:cs="Times New Roman"/>
        </w:rPr>
        <w:t>)</w:t>
      </w:r>
      <w:r w:rsidR="006D7D0B" w:rsidRPr="009A1476">
        <w:rPr>
          <w:rFonts w:ascii="Times New Roman" w:hAnsi="Times New Roman" w:cs="Times New Roman"/>
        </w:rPr>
        <w:t xml:space="preserve"> in Schedule 1 to the Credit Act</w:t>
      </w:r>
      <w:r w:rsidR="00D14DF3" w:rsidRPr="009A1476">
        <w:rPr>
          <w:rFonts w:ascii="Times New Roman" w:hAnsi="Times New Roman" w:cs="Times New Roman"/>
        </w:rPr>
        <w:t xml:space="preserve">.  </w:t>
      </w:r>
      <w:r w:rsidR="00B864C5" w:rsidRPr="009A1476">
        <w:rPr>
          <w:rFonts w:ascii="Times New Roman" w:hAnsi="Times New Roman" w:cs="Times New Roman"/>
        </w:rPr>
        <w:t>Paragraph 163(3)(d)</w:t>
      </w:r>
      <w:r w:rsidR="007E56D2" w:rsidRPr="009A1476">
        <w:rPr>
          <w:rFonts w:ascii="Times New Roman" w:hAnsi="Times New Roman" w:cs="Times New Roman"/>
        </w:rPr>
        <w:t xml:space="preserve"> of the Credit Act</w:t>
      </w:r>
      <w:r w:rsidRPr="009A1476">
        <w:rPr>
          <w:rFonts w:ascii="Times New Roman" w:hAnsi="Times New Roman" w:cs="Times New Roman"/>
        </w:rPr>
        <w:t xml:space="preserve"> relevantly provides th</w:t>
      </w:r>
      <w:r w:rsidR="00D14DF3" w:rsidRPr="009A1476">
        <w:rPr>
          <w:rFonts w:ascii="Times New Roman" w:hAnsi="Times New Roman" w:cs="Times New Roman"/>
        </w:rPr>
        <w:t>at ASIC may</w:t>
      </w:r>
      <w:r w:rsidR="00B864C5" w:rsidRPr="009A1476">
        <w:rPr>
          <w:rFonts w:ascii="Times New Roman" w:hAnsi="Times New Roman" w:cs="Times New Roman"/>
        </w:rPr>
        <w:t>, by legislative instrument,</w:t>
      </w:r>
      <w:r w:rsidR="00D14DF3" w:rsidRPr="009A1476">
        <w:rPr>
          <w:rFonts w:ascii="Times New Roman" w:hAnsi="Times New Roman" w:cs="Times New Roman"/>
        </w:rPr>
        <w:t xml:space="preserve"> declare </w:t>
      </w:r>
      <w:r w:rsidR="001B75C4" w:rsidRPr="009A1476">
        <w:rPr>
          <w:rFonts w:ascii="Times New Roman" w:hAnsi="Times New Roman" w:cs="Times New Roman"/>
        </w:rPr>
        <w:t>that Chapter 3 of the Credit Act applies to a class of persons as if specified provisions were modified or varied as set out in the declaration.</w:t>
      </w:r>
      <w:r w:rsidR="00E073D9" w:rsidRPr="009A1476">
        <w:rPr>
          <w:rFonts w:ascii="Times New Roman" w:hAnsi="Times New Roman" w:cs="Times New Roman"/>
        </w:rPr>
        <w:t xml:space="preserve"> Subsection 203A(3) of the Credit Code relevantly provides that ASIC may, by legislative instrument, exempt a class of persons, contracts, mortgages, guarantees or consumer leases from all or specified provisions of the Credit Code.</w:t>
      </w:r>
    </w:p>
    <w:p w14:paraId="48B507B2" w14:textId="5F24BC18" w:rsidR="00B84505" w:rsidRPr="009A1476" w:rsidRDefault="00B84505" w:rsidP="00B84505">
      <w:pPr>
        <w:spacing w:line="276" w:lineRule="auto"/>
        <w:rPr>
          <w:rFonts w:ascii="Times New Roman" w:hAnsi="Times New Roman" w:cs="Times New Roman"/>
        </w:rPr>
      </w:pPr>
      <w:r w:rsidRPr="009A1476">
        <w:rPr>
          <w:rFonts w:ascii="Times New Roman" w:hAnsi="Times New Roman" w:cs="Times New Roman"/>
        </w:rPr>
        <w:t xml:space="preserve">The </w:t>
      </w:r>
      <w:r w:rsidR="00FD5223">
        <w:rPr>
          <w:rFonts w:ascii="Times New Roman" w:hAnsi="Times New Roman" w:cs="Times New Roman"/>
        </w:rPr>
        <w:t>amending</w:t>
      </w:r>
      <w:r w:rsidRPr="009A1476">
        <w:rPr>
          <w:rFonts w:ascii="Times New Roman" w:hAnsi="Times New Roman" w:cs="Times New Roman"/>
        </w:rPr>
        <w:t xml:space="preserve"> instrument amends </w:t>
      </w:r>
      <w:r w:rsidR="001B75C4" w:rsidRPr="009A1476">
        <w:rPr>
          <w:rFonts w:ascii="Times New Roman" w:hAnsi="Times New Roman" w:cs="Times New Roman"/>
          <w:i/>
        </w:rPr>
        <w:t>ASIC Credit</w:t>
      </w:r>
      <w:r w:rsidRPr="009A1476">
        <w:rPr>
          <w:rFonts w:ascii="Times New Roman" w:hAnsi="Times New Roman" w:cs="Times New Roman"/>
          <w:i/>
        </w:rPr>
        <w:t xml:space="preserve"> (AFCA</w:t>
      </w:r>
      <w:r w:rsidR="001B75C4" w:rsidRPr="009A1476">
        <w:rPr>
          <w:rFonts w:ascii="Times New Roman" w:hAnsi="Times New Roman" w:cs="Times New Roman"/>
          <w:i/>
        </w:rPr>
        <w:t xml:space="preserve"> transition) Instrument 2018/448</w:t>
      </w:r>
      <w:r w:rsidRPr="009A1476">
        <w:rPr>
          <w:rFonts w:ascii="Times New Roman" w:hAnsi="Times New Roman" w:cs="Times New Roman"/>
        </w:rPr>
        <w:t xml:space="preserve"> (the </w:t>
      </w:r>
      <w:r w:rsidRPr="009A1476">
        <w:rPr>
          <w:rFonts w:ascii="Times New Roman" w:hAnsi="Times New Roman" w:cs="Times New Roman"/>
          <w:b/>
        </w:rPr>
        <w:t>primary instrument</w:t>
      </w:r>
      <w:r w:rsidRPr="009A1476">
        <w:rPr>
          <w:rFonts w:ascii="Times New Roman" w:hAnsi="Times New Roman" w:cs="Times New Roman"/>
        </w:rPr>
        <w:t xml:space="preserve">). Under subsection 33(3) of the </w:t>
      </w:r>
      <w:r w:rsidRPr="009A1476">
        <w:rPr>
          <w:rFonts w:ascii="Times New Roman" w:hAnsi="Times New Roman" w:cs="Times New Roman"/>
          <w:i/>
        </w:rPr>
        <w:t>Acts Interpretation Act 1901</w:t>
      </w:r>
      <w:r w:rsidRPr="009A1476">
        <w:rPr>
          <w:rFonts w:ascii="Times New Roman" w:hAnsi="Times New Roman" w:cs="Times New Roman"/>
        </w:rPr>
        <w:t>, where an Act confers a power to make, grant or issue any instrument (including rules, regulations or by-laws), the power shall be construed as including a power exercisable in the like manner and subject to the like conditions (if any) to repeal, rescind, revoke, amend or vary any such instrument.</w:t>
      </w:r>
    </w:p>
    <w:p w14:paraId="63F51CD1" w14:textId="77777777" w:rsidR="00B84505" w:rsidRPr="009A1476" w:rsidRDefault="00B84505" w:rsidP="00B84505">
      <w:pPr>
        <w:spacing w:line="276" w:lineRule="auto"/>
        <w:rPr>
          <w:rFonts w:ascii="Times New Roman" w:hAnsi="Times New Roman" w:cs="Times New Roman"/>
          <w:b/>
        </w:rPr>
      </w:pPr>
      <w:r w:rsidRPr="009A1476">
        <w:rPr>
          <w:rFonts w:ascii="Times New Roman" w:hAnsi="Times New Roman" w:cs="Times New Roman"/>
          <w:b/>
        </w:rPr>
        <w:t>1.</w:t>
      </w:r>
      <w:r w:rsidRPr="009A1476">
        <w:rPr>
          <w:rFonts w:ascii="Times New Roman" w:hAnsi="Times New Roman" w:cs="Times New Roman"/>
          <w:b/>
        </w:rPr>
        <w:tab/>
        <w:t>Background</w:t>
      </w:r>
    </w:p>
    <w:p w14:paraId="7D4E9D86" w14:textId="017D2728" w:rsidR="00691D99" w:rsidRDefault="00B84505" w:rsidP="00B84505">
      <w:pPr>
        <w:pStyle w:val="RPG-BodyTextNumbered"/>
        <w:numPr>
          <w:ilvl w:val="0"/>
          <w:numId w:val="0"/>
        </w:numPr>
        <w:spacing w:line="276" w:lineRule="auto"/>
        <w:rPr>
          <w:rFonts w:cs="Times New Roman"/>
        </w:rPr>
      </w:pPr>
      <w:bookmarkStart w:id="1" w:name="_Hlk522022784"/>
      <w:r w:rsidRPr="009A1476">
        <w:rPr>
          <w:rFonts w:cs="Times New Roman"/>
        </w:rPr>
        <w:t xml:space="preserve">The </w:t>
      </w:r>
      <w:r w:rsidRPr="009A1476">
        <w:rPr>
          <w:rFonts w:cs="Times New Roman"/>
          <w:i/>
        </w:rPr>
        <w:t>Treasury Laws Amendment (Putting Consumers First – Establishment of the Australian Financial Complaints Authority</w:t>
      </w:r>
      <w:r w:rsidR="00E073D9" w:rsidRPr="009A1476">
        <w:rPr>
          <w:rFonts w:cs="Times New Roman"/>
          <w:i/>
        </w:rPr>
        <w:t>)</w:t>
      </w:r>
      <w:r w:rsidRPr="009A1476">
        <w:rPr>
          <w:rFonts w:cs="Times New Roman"/>
          <w:i/>
        </w:rPr>
        <w:t xml:space="preserve"> Act 2018</w:t>
      </w:r>
      <w:r w:rsidRPr="009A1476">
        <w:rPr>
          <w:rFonts w:cs="Times New Roman"/>
        </w:rPr>
        <w:t xml:space="preserve"> </w:t>
      </w:r>
      <w:r w:rsidR="00E073D9" w:rsidRPr="009A1476">
        <w:rPr>
          <w:rFonts w:cs="Times New Roman"/>
        </w:rPr>
        <w:t xml:space="preserve">(the </w:t>
      </w:r>
      <w:r w:rsidR="00E073D9" w:rsidRPr="009A1476">
        <w:rPr>
          <w:rFonts w:cs="Times New Roman"/>
          <w:b/>
        </w:rPr>
        <w:t>AFCA Act</w:t>
      </w:r>
      <w:r w:rsidR="00E073D9" w:rsidRPr="009A1476">
        <w:rPr>
          <w:rFonts w:cs="Times New Roman"/>
        </w:rPr>
        <w:t xml:space="preserve">) </w:t>
      </w:r>
      <w:r w:rsidRPr="009A1476">
        <w:rPr>
          <w:rFonts w:cs="Times New Roman"/>
        </w:rPr>
        <w:t>establishes a single financial services external dispute resolution scheme: the Australian Financial Complaints Authority (</w:t>
      </w:r>
      <w:r w:rsidRPr="009A1476">
        <w:rPr>
          <w:rFonts w:cs="Times New Roman"/>
          <w:b/>
        </w:rPr>
        <w:t>AFCA</w:t>
      </w:r>
      <w:r w:rsidRPr="009A1476">
        <w:rPr>
          <w:rFonts w:cs="Times New Roman"/>
        </w:rPr>
        <w:t>). AFCA will replace the two existing ASIC-approved external dispute resolution (</w:t>
      </w:r>
      <w:r w:rsidRPr="009A1476">
        <w:rPr>
          <w:rFonts w:cs="Times New Roman"/>
          <w:b/>
        </w:rPr>
        <w:t>EDR</w:t>
      </w:r>
      <w:r w:rsidRPr="009A1476">
        <w:rPr>
          <w:rFonts w:cs="Times New Roman"/>
        </w:rPr>
        <w:t xml:space="preserve">) schemes: the Financial Ombudsman Service and the Credit and Investments Ombudsman; and the statutory Superannuation Complaints Tribunal.  </w:t>
      </w:r>
    </w:p>
    <w:p w14:paraId="4D5F6002" w14:textId="2C56DD13" w:rsidR="00B84505" w:rsidRPr="009A1476" w:rsidRDefault="00691D99" w:rsidP="00B84505">
      <w:pPr>
        <w:pStyle w:val="RPG-BodyTextNumbered"/>
        <w:numPr>
          <w:ilvl w:val="0"/>
          <w:numId w:val="0"/>
        </w:numPr>
        <w:spacing w:line="276" w:lineRule="auto"/>
        <w:rPr>
          <w:rFonts w:cs="Times New Roman"/>
        </w:rPr>
      </w:pPr>
      <w:r w:rsidRPr="00691D99">
        <w:rPr>
          <w:rFonts w:cs="Times New Roman"/>
        </w:rPr>
        <w:t>On 2 May 2018, the Minister announced the authorisation of Australian Financial Complaints Limited to operate the new AFCA scheme.</w:t>
      </w:r>
      <w:r w:rsidR="00B44AD3">
        <w:rPr>
          <w:rFonts w:cs="Times New Roman"/>
        </w:rPr>
        <w:t xml:space="preserve"> </w:t>
      </w:r>
      <w:r w:rsidR="00B84505" w:rsidRPr="009A1476">
        <w:rPr>
          <w:rFonts w:cs="Times New Roman"/>
        </w:rPr>
        <w:t>The AFCA scheme will commence on 1 November 2018.</w:t>
      </w:r>
    </w:p>
    <w:p w14:paraId="36D3C2EB" w14:textId="180E217D" w:rsidR="00E073D9" w:rsidRPr="009A1476" w:rsidRDefault="00F84D3C" w:rsidP="00B84505">
      <w:pPr>
        <w:pStyle w:val="RPG-BodyTextNumbered"/>
        <w:numPr>
          <w:ilvl w:val="0"/>
          <w:numId w:val="0"/>
        </w:numPr>
        <w:spacing w:line="276" w:lineRule="auto"/>
        <w:rPr>
          <w:rFonts w:cs="Times New Roman"/>
        </w:rPr>
      </w:pPr>
      <w:r w:rsidRPr="009A1476">
        <w:rPr>
          <w:rFonts w:cs="Times New Roman"/>
        </w:rPr>
        <w:t xml:space="preserve">Under the Credit Act </w:t>
      </w:r>
      <w:r w:rsidR="00D74763" w:rsidRPr="009A1476">
        <w:rPr>
          <w:rFonts w:cs="Times New Roman"/>
        </w:rPr>
        <w:t>as amended</w:t>
      </w:r>
      <w:r w:rsidRPr="009A1476">
        <w:rPr>
          <w:rFonts w:cs="Times New Roman"/>
        </w:rPr>
        <w:t xml:space="preserve"> by t</w:t>
      </w:r>
      <w:r w:rsidR="00B97A09" w:rsidRPr="009A1476">
        <w:rPr>
          <w:rFonts w:cs="Times New Roman"/>
        </w:rPr>
        <w:t>he AFCA Act</w:t>
      </w:r>
      <w:r w:rsidRPr="009A1476">
        <w:rPr>
          <w:rFonts w:cs="Times New Roman"/>
        </w:rPr>
        <w:t>, licensees and credit representatives must</w:t>
      </w:r>
      <w:r w:rsidR="00B97A09" w:rsidRPr="009A1476">
        <w:rPr>
          <w:rFonts w:cs="Times New Roman"/>
        </w:rPr>
        <w:t xml:space="preserve"> </w:t>
      </w:r>
      <w:r w:rsidR="00F22422">
        <w:rPr>
          <w:rFonts w:cs="Times New Roman"/>
        </w:rPr>
        <w:t>update their Credit Guides from 1 November 2018, to replace</w:t>
      </w:r>
      <w:r w:rsidR="00B97A09" w:rsidRPr="009A1476">
        <w:rPr>
          <w:rFonts w:cs="Times New Roman"/>
        </w:rPr>
        <w:t xml:space="preserve"> the contact details of predecessor EDR schemes with AFCA’s contact details. </w:t>
      </w:r>
      <w:r w:rsidR="00B722BA">
        <w:rPr>
          <w:rFonts w:cs="Times New Roman"/>
        </w:rPr>
        <w:t>Under the primary instrument, ASIC gave licensees and credit representatives transitional relief</w:t>
      </w:r>
      <w:r w:rsidR="00630B28">
        <w:rPr>
          <w:rFonts w:cs="Times New Roman"/>
        </w:rPr>
        <w:t>, until 1 July 2019,</w:t>
      </w:r>
      <w:r w:rsidR="00B722BA">
        <w:rPr>
          <w:rFonts w:cs="Times New Roman"/>
        </w:rPr>
        <w:t xml:space="preserve"> from the requirement to up</w:t>
      </w:r>
      <w:r w:rsidR="00BC5979">
        <w:rPr>
          <w:rFonts w:cs="Times New Roman"/>
        </w:rPr>
        <w:t>date their Credit Guides with AF</w:t>
      </w:r>
      <w:r w:rsidR="00B722BA">
        <w:rPr>
          <w:rFonts w:cs="Times New Roman"/>
        </w:rPr>
        <w:t>CA’s contact details</w:t>
      </w:r>
      <w:r w:rsidR="003F1A14" w:rsidRPr="009A1476">
        <w:rPr>
          <w:rFonts w:cs="Times New Roman"/>
        </w:rPr>
        <w:t>.</w:t>
      </w:r>
      <w:r w:rsidR="00B1657F" w:rsidRPr="009A1476">
        <w:rPr>
          <w:rFonts w:cs="Times New Roman"/>
        </w:rPr>
        <w:t xml:space="preserve"> </w:t>
      </w:r>
    </w:p>
    <w:p w14:paraId="2ACF323F" w14:textId="77777777" w:rsidR="00577911" w:rsidRDefault="00313355" w:rsidP="00B84505">
      <w:pPr>
        <w:pStyle w:val="RPG-BodyTextNumbered"/>
        <w:numPr>
          <w:ilvl w:val="0"/>
          <w:numId w:val="0"/>
        </w:numPr>
        <w:spacing w:line="276" w:lineRule="auto"/>
        <w:rPr>
          <w:rFonts w:cs="Times New Roman"/>
        </w:rPr>
      </w:pPr>
      <w:r w:rsidRPr="009A1476">
        <w:rPr>
          <w:rFonts w:cs="Times New Roman"/>
        </w:rPr>
        <w:t xml:space="preserve">Under the </w:t>
      </w:r>
      <w:r w:rsidR="00577911">
        <w:rPr>
          <w:rFonts w:cs="Times New Roman"/>
        </w:rPr>
        <w:t xml:space="preserve">Credit Act and </w:t>
      </w:r>
      <w:r w:rsidRPr="009A1476">
        <w:rPr>
          <w:rFonts w:cs="Times New Roman"/>
          <w:i/>
        </w:rPr>
        <w:t xml:space="preserve">National Consumer Credit Protection Regulations </w:t>
      </w:r>
      <w:r w:rsidRPr="009F6ECD">
        <w:rPr>
          <w:rFonts w:cs="Times New Roman"/>
          <w:i/>
        </w:rPr>
        <w:t>2010</w:t>
      </w:r>
      <w:r w:rsidRPr="009A1476">
        <w:rPr>
          <w:rFonts w:cs="Times New Roman"/>
        </w:rPr>
        <w:t xml:space="preserve"> (</w:t>
      </w:r>
      <w:r w:rsidRPr="009A1476">
        <w:rPr>
          <w:rFonts w:cs="Times New Roman"/>
          <w:b/>
        </w:rPr>
        <w:t>Credit Regulations</w:t>
      </w:r>
      <w:r w:rsidRPr="009A1476">
        <w:rPr>
          <w:rFonts w:cs="Times New Roman"/>
        </w:rPr>
        <w:t>)</w:t>
      </w:r>
      <w:r w:rsidR="00577911">
        <w:rPr>
          <w:rFonts w:cs="Times New Roman"/>
        </w:rPr>
        <w:t>:</w:t>
      </w:r>
    </w:p>
    <w:p w14:paraId="70AEA34D" w14:textId="30958B56" w:rsidR="00577911" w:rsidRDefault="00641A78" w:rsidP="006E57BD">
      <w:pPr>
        <w:pStyle w:val="RPG-BodyTextNumbered"/>
        <w:numPr>
          <w:ilvl w:val="0"/>
          <w:numId w:val="5"/>
        </w:numPr>
        <w:spacing w:line="276" w:lineRule="auto"/>
        <w:rPr>
          <w:rFonts w:cs="Times New Roman"/>
        </w:rPr>
      </w:pPr>
      <w:r>
        <w:rPr>
          <w:rFonts w:cs="Times New Roman"/>
        </w:rPr>
        <w:t xml:space="preserve">A </w:t>
      </w:r>
      <w:r w:rsidR="00577911">
        <w:rPr>
          <w:rFonts w:cs="Times New Roman"/>
        </w:rPr>
        <w:t>credit provider</w:t>
      </w:r>
      <w:r w:rsidR="00313355" w:rsidRPr="009A1476">
        <w:rPr>
          <w:rFonts w:cs="Times New Roman"/>
        </w:rPr>
        <w:t xml:space="preserve"> </w:t>
      </w:r>
      <w:r w:rsidR="006E57BD" w:rsidRPr="006E57BD">
        <w:rPr>
          <w:rFonts w:cs="Times New Roman"/>
        </w:rPr>
        <w:t>must not enter into a credit contract unless the credit provider has given the prospective debtor an information statement in the form required by</w:t>
      </w:r>
      <w:r w:rsidR="00664C7A">
        <w:rPr>
          <w:rFonts w:cs="Times New Roman"/>
        </w:rPr>
        <w:t xml:space="preserve"> Form 5</w:t>
      </w:r>
      <w:r w:rsidR="005C0BA6">
        <w:rPr>
          <w:rFonts w:cs="Times New Roman"/>
        </w:rPr>
        <w:t xml:space="preserve"> (</w:t>
      </w:r>
      <w:r w:rsidR="005C0BA6">
        <w:rPr>
          <w:rFonts w:cs="Times New Roman"/>
          <w:b/>
        </w:rPr>
        <w:t>Form 5</w:t>
      </w:r>
      <w:r w:rsidR="005C0BA6">
        <w:rPr>
          <w:rFonts w:cs="Times New Roman"/>
        </w:rPr>
        <w:t>)</w:t>
      </w:r>
      <w:r w:rsidR="00664C7A">
        <w:rPr>
          <w:rFonts w:cs="Times New Roman"/>
        </w:rPr>
        <w:t xml:space="preserve"> of</w:t>
      </w:r>
      <w:r w:rsidR="006E57BD" w:rsidRPr="006E57BD">
        <w:rPr>
          <w:rFonts w:cs="Times New Roman"/>
        </w:rPr>
        <w:t xml:space="preserve"> the </w:t>
      </w:r>
      <w:r w:rsidR="00664C7A">
        <w:rPr>
          <w:rFonts w:cs="Times New Roman"/>
        </w:rPr>
        <w:t>Credit R</w:t>
      </w:r>
      <w:r w:rsidR="006E57BD" w:rsidRPr="006E57BD">
        <w:rPr>
          <w:rFonts w:cs="Times New Roman"/>
        </w:rPr>
        <w:t>egulations of the debtor’s statutory rights and statutory obligations</w:t>
      </w:r>
      <w:r>
        <w:rPr>
          <w:rFonts w:cs="Times New Roman"/>
        </w:rPr>
        <w:t xml:space="preserve"> (</w:t>
      </w:r>
      <w:r w:rsidRPr="006E57BD">
        <w:rPr>
          <w:rFonts w:cs="Times New Roman"/>
        </w:rPr>
        <w:t>paragr</w:t>
      </w:r>
      <w:r>
        <w:rPr>
          <w:rFonts w:cs="Times New Roman"/>
        </w:rPr>
        <w:t xml:space="preserve">aph 16(1)(b) of the Credit Code and regulation 70 </w:t>
      </w:r>
      <w:r w:rsidR="00664C7A">
        <w:rPr>
          <w:rFonts w:cs="Times New Roman"/>
        </w:rPr>
        <w:t>of</w:t>
      </w:r>
      <w:r>
        <w:rPr>
          <w:rFonts w:cs="Times New Roman"/>
        </w:rPr>
        <w:t xml:space="preserve"> the Credit Regulations). T</w:t>
      </w:r>
      <w:r w:rsidR="006E57BD" w:rsidRPr="006E57BD">
        <w:rPr>
          <w:rFonts w:cs="Times New Roman"/>
        </w:rPr>
        <w:t xml:space="preserve">he statement must </w:t>
      </w:r>
      <w:r w:rsidR="006E57BD" w:rsidRPr="006E57BD">
        <w:rPr>
          <w:rFonts w:cs="Times New Roman"/>
        </w:rPr>
        <w:lastRenderedPageBreak/>
        <w:t>be given before the contract is entered into or before the debtor makes an offer to enter into the contract, whichever first occurs</w:t>
      </w:r>
      <w:r>
        <w:rPr>
          <w:rFonts w:cs="Times New Roman"/>
        </w:rPr>
        <w:t xml:space="preserve"> (</w:t>
      </w:r>
      <w:r w:rsidRPr="006E57BD">
        <w:rPr>
          <w:rFonts w:cs="Times New Roman"/>
        </w:rPr>
        <w:t xml:space="preserve">subsection 16(2) of the </w:t>
      </w:r>
      <w:r w:rsidR="00854149">
        <w:rPr>
          <w:rFonts w:cs="Times New Roman"/>
        </w:rPr>
        <w:t xml:space="preserve">Credit </w:t>
      </w:r>
      <w:r w:rsidRPr="006E57BD">
        <w:rPr>
          <w:rFonts w:cs="Times New Roman"/>
        </w:rPr>
        <w:t>Code</w:t>
      </w:r>
      <w:r>
        <w:rPr>
          <w:rFonts w:cs="Times New Roman"/>
        </w:rPr>
        <w:t>).</w:t>
      </w:r>
    </w:p>
    <w:p w14:paraId="286DC9C5" w14:textId="4D4AD63D" w:rsidR="00664C7A" w:rsidRDefault="00331657" w:rsidP="006E57BD">
      <w:pPr>
        <w:pStyle w:val="RPG-BodyTextNumbered"/>
        <w:numPr>
          <w:ilvl w:val="0"/>
          <w:numId w:val="5"/>
        </w:numPr>
        <w:spacing w:line="276" w:lineRule="auto"/>
        <w:rPr>
          <w:rFonts w:cs="Times New Roman"/>
        </w:rPr>
      </w:pPr>
      <w:r>
        <w:rPr>
          <w:rFonts w:cs="Times New Roman"/>
        </w:rPr>
        <w:t>A credit provider must, before a guarantee is signed by a guarantor, give the prospective guarantor a</w:t>
      </w:r>
      <w:r w:rsidR="00F87A6E">
        <w:rPr>
          <w:rFonts w:cs="Times New Roman"/>
        </w:rPr>
        <w:t xml:space="preserve"> copy of the contract document and a</w:t>
      </w:r>
      <w:r>
        <w:rPr>
          <w:rFonts w:cs="Times New Roman"/>
        </w:rPr>
        <w:t xml:space="preserve"> document in the form prescribed in Form 9</w:t>
      </w:r>
      <w:r w:rsidR="005C0BA6">
        <w:rPr>
          <w:rFonts w:cs="Times New Roman"/>
        </w:rPr>
        <w:t xml:space="preserve"> (</w:t>
      </w:r>
      <w:r w:rsidR="005C0BA6">
        <w:rPr>
          <w:rFonts w:cs="Times New Roman"/>
          <w:b/>
        </w:rPr>
        <w:t>Form 9</w:t>
      </w:r>
      <w:r w:rsidR="005C0BA6">
        <w:rPr>
          <w:rFonts w:cs="Times New Roman"/>
        </w:rPr>
        <w:t xml:space="preserve">) </w:t>
      </w:r>
      <w:r>
        <w:rPr>
          <w:rFonts w:cs="Times New Roman"/>
        </w:rPr>
        <w:t>of the Credit Regulations explaining the rights and obligations of the guarantor (paragraph 56(1)(b) of the Credit Code and regulation 82 of the Credit Regulations).</w:t>
      </w:r>
    </w:p>
    <w:p w14:paraId="67FCFC47" w14:textId="5CFC88AA" w:rsidR="00F87A6E" w:rsidRDefault="00F87A6E" w:rsidP="006E57BD">
      <w:pPr>
        <w:pStyle w:val="RPG-BodyTextNumbered"/>
        <w:numPr>
          <w:ilvl w:val="0"/>
          <w:numId w:val="5"/>
        </w:numPr>
        <w:spacing w:line="276" w:lineRule="auto"/>
        <w:rPr>
          <w:rFonts w:cs="Times New Roman"/>
        </w:rPr>
      </w:pPr>
      <w:r>
        <w:rPr>
          <w:rFonts w:cs="Times New Roman"/>
        </w:rPr>
        <w:t>A lessor must, within 14 days after entering into a consumer lease, give to the lessee a copy of the consumer lease, together with a statement in the form prescribed in Form 17</w:t>
      </w:r>
      <w:r w:rsidR="005C0BA6">
        <w:rPr>
          <w:rFonts w:cs="Times New Roman"/>
        </w:rPr>
        <w:t xml:space="preserve"> (</w:t>
      </w:r>
      <w:r w:rsidR="005C0BA6">
        <w:rPr>
          <w:rFonts w:cs="Times New Roman"/>
          <w:b/>
        </w:rPr>
        <w:t>Form 17</w:t>
      </w:r>
      <w:r w:rsidR="005C0BA6">
        <w:rPr>
          <w:rFonts w:cs="Times New Roman"/>
        </w:rPr>
        <w:t>)</w:t>
      </w:r>
      <w:r>
        <w:rPr>
          <w:rFonts w:cs="Times New Roman"/>
        </w:rPr>
        <w:t xml:space="preserve"> of the Credit Regulations explaining the rights and obligations of a lessee (subsection 175(1) of the Code </w:t>
      </w:r>
      <w:r w:rsidR="00E611D3">
        <w:rPr>
          <w:rFonts w:cs="Times New Roman"/>
        </w:rPr>
        <w:t>and regulation 105 of the Credit Regulations).</w:t>
      </w:r>
    </w:p>
    <w:p w14:paraId="05149996" w14:textId="740F2DFE" w:rsidR="00744FA8" w:rsidRDefault="009D6157" w:rsidP="00744FA8">
      <w:pPr>
        <w:pStyle w:val="RPG-BodyTextNumbered"/>
        <w:numPr>
          <w:ilvl w:val="0"/>
          <w:numId w:val="0"/>
        </w:numPr>
        <w:spacing w:after="120" w:line="276" w:lineRule="auto"/>
        <w:rPr>
          <w:rFonts w:cs="Times New Roman"/>
        </w:rPr>
      </w:pPr>
      <w:r>
        <w:rPr>
          <w:rFonts w:cs="Times New Roman"/>
        </w:rPr>
        <w:t>From 1 November 2018, t</w:t>
      </w:r>
      <w:r w:rsidR="00E073D9" w:rsidRPr="009A1476">
        <w:rPr>
          <w:rFonts w:cs="Times New Roman"/>
        </w:rPr>
        <w:t xml:space="preserve">he </w:t>
      </w:r>
      <w:r w:rsidR="003F1A14" w:rsidRPr="009A1476">
        <w:rPr>
          <w:rFonts w:cs="Times New Roman"/>
          <w:i/>
        </w:rPr>
        <w:t>Treasury Laws Amendment (Putting Consumers First – Establishment of the Australian Financial Complaints Authority) Regulations 2018</w:t>
      </w:r>
      <w:r w:rsidR="003F1A14" w:rsidRPr="009A1476">
        <w:rPr>
          <w:rFonts w:cs="Times New Roman"/>
        </w:rPr>
        <w:t xml:space="preserve"> (the </w:t>
      </w:r>
      <w:r w:rsidR="003F1A14" w:rsidRPr="009A1476">
        <w:rPr>
          <w:rFonts w:cs="Times New Roman"/>
          <w:b/>
        </w:rPr>
        <w:t>AFCA Regulations</w:t>
      </w:r>
      <w:r w:rsidR="003F1A14" w:rsidRPr="009A1476">
        <w:rPr>
          <w:rFonts w:cs="Times New Roman"/>
        </w:rPr>
        <w:t>)</w:t>
      </w:r>
      <w:r w:rsidR="005C0BA6">
        <w:rPr>
          <w:rFonts w:cs="Times New Roman"/>
        </w:rPr>
        <w:t xml:space="preserve"> amend Forms 5, 9 and 17 in the Credit Regulations to replace references to predecessor EDR schemes with references to the AFCA scheme (see regulation</w:t>
      </w:r>
      <w:r>
        <w:rPr>
          <w:rFonts w:cs="Times New Roman"/>
        </w:rPr>
        <w:t>s 28 and</w:t>
      </w:r>
      <w:r w:rsidR="005C0BA6">
        <w:rPr>
          <w:rFonts w:cs="Times New Roman"/>
        </w:rPr>
        <w:t xml:space="preserve"> 49D of the AFCA Regulations).</w:t>
      </w:r>
    </w:p>
    <w:p w14:paraId="3B175C4E" w14:textId="67500D21" w:rsidR="00B84505" w:rsidRPr="009A1476" w:rsidRDefault="00B84505" w:rsidP="00744FA8">
      <w:pPr>
        <w:spacing w:before="200" w:line="276" w:lineRule="auto"/>
        <w:rPr>
          <w:rFonts w:ascii="Times New Roman" w:hAnsi="Times New Roman" w:cs="Times New Roman"/>
          <w:b/>
        </w:rPr>
      </w:pPr>
      <w:r w:rsidRPr="009A1476">
        <w:rPr>
          <w:rFonts w:ascii="Times New Roman" w:hAnsi="Times New Roman" w:cs="Times New Roman"/>
          <w:b/>
        </w:rPr>
        <w:t>2.</w:t>
      </w:r>
      <w:r w:rsidRPr="009A1476">
        <w:rPr>
          <w:rFonts w:ascii="Times New Roman" w:hAnsi="Times New Roman" w:cs="Times New Roman"/>
          <w:b/>
        </w:rPr>
        <w:tab/>
        <w:t>Purpose of this instrument</w:t>
      </w:r>
    </w:p>
    <w:p w14:paraId="5E0D3482" w14:textId="74E579DC" w:rsidR="008B3395" w:rsidRPr="009A1476" w:rsidRDefault="008E11DC" w:rsidP="007A62B6">
      <w:pPr>
        <w:spacing w:line="276" w:lineRule="auto"/>
        <w:rPr>
          <w:rFonts w:ascii="Times New Roman" w:hAnsi="Times New Roman" w:cs="Times New Roman"/>
        </w:rPr>
      </w:pPr>
      <w:r w:rsidRPr="008E11DC">
        <w:rPr>
          <w:rFonts w:ascii="Times New Roman" w:hAnsi="Times New Roman" w:cs="Times New Roman"/>
        </w:rPr>
        <w:t xml:space="preserve">The amending instrument </w:t>
      </w:r>
      <w:r w:rsidR="001B75C4" w:rsidRPr="009A1476">
        <w:rPr>
          <w:rFonts w:ascii="Times New Roman" w:hAnsi="Times New Roman" w:cs="Times New Roman"/>
        </w:rPr>
        <w:t>extend</w:t>
      </w:r>
      <w:r w:rsidR="00854149">
        <w:rPr>
          <w:rFonts w:ascii="Times New Roman" w:hAnsi="Times New Roman" w:cs="Times New Roman"/>
        </w:rPr>
        <w:t>s</w:t>
      </w:r>
      <w:r w:rsidR="001B75C4" w:rsidRPr="009A1476">
        <w:rPr>
          <w:rFonts w:ascii="Times New Roman" w:hAnsi="Times New Roman" w:cs="Times New Roman"/>
        </w:rPr>
        <w:t xml:space="preserve"> the transitional </w:t>
      </w:r>
      <w:r w:rsidR="00DD3385" w:rsidRPr="009A1476">
        <w:rPr>
          <w:rFonts w:ascii="Times New Roman" w:hAnsi="Times New Roman" w:cs="Times New Roman"/>
        </w:rPr>
        <w:t>relief</w:t>
      </w:r>
      <w:r w:rsidR="00854149">
        <w:rPr>
          <w:rFonts w:ascii="Times New Roman" w:hAnsi="Times New Roman" w:cs="Times New Roman"/>
        </w:rPr>
        <w:t xml:space="preserve"> in the primary instrument</w:t>
      </w:r>
      <w:r w:rsidR="00DD3385" w:rsidRPr="009A1476">
        <w:rPr>
          <w:rFonts w:ascii="Times New Roman" w:hAnsi="Times New Roman" w:cs="Times New Roman"/>
        </w:rPr>
        <w:t xml:space="preserve"> </w:t>
      </w:r>
      <w:r w:rsidR="003C2B98">
        <w:rPr>
          <w:rFonts w:ascii="Times New Roman" w:hAnsi="Times New Roman" w:cs="Times New Roman"/>
        </w:rPr>
        <w:t>to the disclosures required by</w:t>
      </w:r>
      <w:r w:rsidR="001B75C4" w:rsidRPr="009A1476">
        <w:rPr>
          <w:rFonts w:ascii="Times New Roman" w:hAnsi="Times New Roman" w:cs="Times New Roman"/>
        </w:rPr>
        <w:t xml:space="preserve"> </w:t>
      </w:r>
      <w:r w:rsidR="008B3395" w:rsidRPr="009A1476">
        <w:rPr>
          <w:rFonts w:ascii="Times New Roman" w:hAnsi="Times New Roman" w:cs="Times New Roman"/>
        </w:rPr>
        <w:t>Forms 5, 9 and 17</w:t>
      </w:r>
      <w:r w:rsidR="006409B6">
        <w:rPr>
          <w:rFonts w:ascii="Times New Roman" w:hAnsi="Times New Roman" w:cs="Times New Roman"/>
        </w:rPr>
        <w:t xml:space="preserve"> of the Credit Regulations</w:t>
      </w:r>
      <w:r w:rsidR="00854149">
        <w:rPr>
          <w:rFonts w:ascii="Times New Roman" w:hAnsi="Times New Roman" w:cs="Times New Roman"/>
        </w:rPr>
        <w:t>. The relief is</w:t>
      </w:r>
      <w:r w:rsidR="00402B0D">
        <w:rPr>
          <w:rFonts w:ascii="Times New Roman" w:hAnsi="Times New Roman" w:cs="Times New Roman"/>
        </w:rPr>
        <w:t xml:space="preserve"> subject to the credit provider or lessor making current information about the AFCA scheme available through other means</w:t>
      </w:r>
      <w:r w:rsidR="008B3395" w:rsidRPr="009A1476">
        <w:rPr>
          <w:rFonts w:ascii="Times New Roman" w:hAnsi="Times New Roman" w:cs="Times New Roman"/>
        </w:rPr>
        <w:t xml:space="preserve">.  This will give credit providers and lessors time to amend </w:t>
      </w:r>
      <w:r w:rsidR="003C2B98">
        <w:rPr>
          <w:rFonts w:ascii="Times New Roman" w:hAnsi="Times New Roman" w:cs="Times New Roman"/>
        </w:rPr>
        <w:t>their documentation</w:t>
      </w:r>
      <w:r w:rsidR="008B3395" w:rsidRPr="009A1476">
        <w:rPr>
          <w:rFonts w:ascii="Times New Roman" w:hAnsi="Times New Roman" w:cs="Times New Roman"/>
        </w:rPr>
        <w:t xml:space="preserve"> and adapt to the significant changes in the dispute resolution environment introduced by the AFCA Act.</w:t>
      </w:r>
    </w:p>
    <w:p w14:paraId="5D306B60" w14:textId="1443410D" w:rsidR="00B84505" w:rsidRPr="0086537B" w:rsidRDefault="00B84505" w:rsidP="00F84D3C">
      <w:pPr>
        <w:spacing w:line="276" w:lineRule="auto"/>
        <w:rPr>
          <w:rFonts w:ascii="Times New Roman" w:hAnsi="Times New Roman" w:cs="Times New Roman"/>
          <w:b/>
        </w:rPr>
      </w:pPr>
      <w:r w:rsidRPr="0086537B">
        <w:rPr>
          <w:rFonts w:ascii="Times New Roman" w:hAnsi="Times New Roman" w:cs="Times New Roman"/>
          <w:b/>
        </w:rPr>
        <w:t>3.</w:t>
      </w:r>
      <w:r w:rsidRPr="0086537B">
        <w:rPr>
          <w:rFonts w:ascii="Times New Roman" w:hAnsi="Times New Roman" w:cs="Times New Roman"/>
          <w:b/>
        </w:rPr>
        <w:tab/>
        <w:t>Operation of the instrument</w:t>
      </w:r>
    </w:p>
    <w:p w14:paraId="5040FB7D" w14:textId="67E400B9" w:rsidR="007A208E" w:rsidRPr="007A208E" w:rsidRDefault="007A208E" w:rsidP="00071A82">
      <w:pPr>
        <w:spacing w:after="120" w:line="27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New Part 3</w:t>
      </w:r>
      <w:r w:rsidR="00CA25D6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-</w:t>
      </w:r>
      <w:r w:rsidR="00CA25D6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Exemption</w:t>
      </w:r>
    </w:p>
    <w:p w14:paraId="18E8953D" w14:textId="145D0978" w:rsidR="00142489" w:rsidRDefault="000A0751" w:rsidP="00071A82">
      <w:pPr>
        <w:spacing w:after="120" w:line="276" w:lineRule="auto"/>
        <w:rPr>
          <w:rFonts w:ascii="Times New Roman" w:hAnsi="Times New Roman" w:cs="Times New Roman"/>
        </w:rPr>
      </w:pPr>
      <w:r w:rsidRPr="009A1476">
        <w:rPr>
          <w:rFonts w:ascii="Times New Roman" w:hAnsi="Times New Roman" w:cs="Times New Roman"/>
        </w:rPr>
        <w:t xml:space="preserve">Paragraph 8 of </w:t>
      </w:r>
      <w:r w:rsidR="00E33DE2">
        <w:rPr>
          <w:rFonts w:ascii="Times New Roman" w:hAnsi="Times New Roman" w:cs="Times New Roman"/>
        </w:rPr>
        <w:t xml:space="preserve">Schedule 1 to the amending instrument </w:t>
      </w:r>
      <w:r w:rsidR="000B3E6A">
        <w:rPr>
          <w:rFonts w:ascii="Times New Roman" w:hAnsi="Times New Roman" w:cs="Times New Roman"/>
        </w:rPr>
        <w:t>inserts a new Part 3 into the primary instrument</w:t>
      </w:r>
      <w:r w:rsidR="000C6F37" w:rsidRPr="009A1476">
        <w:rPr>
          <w:rFonts w:ascii="Times New Roman" w:hAnsi="Times New Roman" w:cs="Times New Roman"/>
        </w:rPr>
        <w:t>.</w:t>
      </w:r>
      <w:r w:rsidR="00324945" w:rsidRPr="009A1476">
        <w:rPr>
          <w:rFonts w:ascii="Times New Roman" w:hAnsi="Times New Roman" w:cs="Times New Roman"/>
        </w:rPr>
        <w:t xml:space="preserve"> Under </w:t>
      </w:r>
      <w:r w:rsidR="005E5A33" w:rsidRPr="009A1476">
        <w:rPr>
          <w:rFonts w:ascii="Times New Roman" w:hAnsi="Times New Roman" w:cs="Times New Roman"/>
        </w:rPr>
        <w:t xml:space="preserve">paragraph 7 of </w:t>
      </w:r>
      <w:r w:rsidR="00324945" w:rsidRPr="009A1476">
        <w:rPr>
          <w:rFonts w:ascii="Times New Roman" w:hAnsi="Times New Roman" w:cs="Times New Roman"/>
        </w:rPr>
        <w:t>new Part 3</w:t>
      </w:r>
      <w:r w:rsidR="00071A82">
        <w:rPr>
          <w:rFonts w:ascii="Times New Roman" w:hAnsi="Times New Roman" w:cs="Times New Roman"/>
        </w:rPr>
        <w:t xml:space="preserve"> of the primary instrument</w:t>
      </w:r>
      <w:r w:rsidR="00142489">
        <w:rPr>
          <w:rFonts w:ascii="Times New Roman" w:hAnsi="Times New Roman" w:cs="Times New Roman"/>
        </w:rPr>
        <w:t>, credit providers and lessors will not have to comply with paragraphs 16(1)(b), subsection 16(2), paragraph 56(1)(b) and subsection 175(1) of the Code</w:t>
      </w:r>
      <w:r w:rsidR="00D44885">
        <w:rPr>
          <w:rFonts w:ascii="Times New Roman" w:hAnsi="Times New Roman" w:cs="Times New Roman"/>
        </w:rPr>
        <w:t xml:space="preserve"> to the extent those provisions require the credit provider or lessor to give disclosure in the form re</w:t>
      </w:r>
      <w:r w:rsidR="00E8495A">
        <w:rPr>
          <w:rFonts w:ascii="Times New Roman" w:hAnsi="Times New Roman" w:cs="Times New Roman"/>
        </w:rPr>
        <w:t>quired by Forms 5, 9 and 17 as amended by the AFCA Regulations. The exemption will apply where the credit provider or lessor:</w:t>
      </w:r>
    </w:p>
    <w:p w14:paraId="20E5710A" w14:textId="67726BE0" w:rsidR="00402B0D" w:rsidRDefault="00E8495A" w:rsidP="00402B0D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complies with the requirements of paragraphs 16(1)(b), subsection 16(2), paragraph 56(1)(b) and subsection 175(1) of the Code that would have applied but for the amendments made to Forms 5, 9 and 17 by the AFCA Regulations</w:t>
      </w:r>
      <w:r w:rsidR="001C5E9E">
        <w:rPr>
          <w:rFonts w:ascii="Times New Roman" w:hAnsi="Times New Roman" w:cs="Times New Roman"/>
        </w:rPr>
        <w:t>, except that the Form continues to refer to the predecessor EDR scheme</w:t>
      </w:r>
      <w:r>
        <w:rPr>
          <w:rFonts w:ascii="Times New Roman" w:hAnsi="Times New Roman" w:cs="Times New Roman"/>
        </w:rPr>
        <w:t>;</w:t>
      </w:r>
      <w:r w:rsidR="00B92907">
        <w:rPr>
          <w:rFonts w:ascii="Times New Roman" w:hAnsi="Times New Roman" w:cs="Times New Roman"/>
        </w:rPr>
        <w:t xml:space="preserve"> and</w:t>
      </w:r>
    </w:p>
    <w:p w14:paraId="4024A285" w14:textId="56DE1556" w:rsidR="009749B6" w:rsidRPr="00402B0D" w:rsidRDefault="009749B6" w:rsidP="00402B0D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Times New Roman" w:hAnsi="Times New Roman" w:cs="Times New Roman"/>
        </w:rPr>
      </w:pPr>
      <w:r w:rsidRPr="00402B0D">
        <w:rPr>
          <w:rFonts w:ascii="Times New Roman" w:hAnsi="Times New Roman" w:cs="Times New Roman"/>
        </w:rPr>
        <w:t xml:space="preserve">makes available on its website (if any) current information (the </w:t>
      </w:r>
      <w:r w:rsidRPr="00402B0D">
        <w:rPr>
          <w:rFonts w:ascii="Times New Roman" w:hAnsi="Times New Roman" w:cs="Times New Roman"/>
          <w:b/>
        </w:rPr>
        <w:t>AFCA information</w:t>
      </w:r>
      <w:r w:rsidRPr="00402B0D">
        <w:rPr>
          <w:rFonts w:ascii="Times New Roman" w:hAnsi="Times New Roman" w:cs="Times New Roman"/>
        </w:rPr>
        <w:t>) about the AFCA scheme and how that scheme may be accessed; and</w:t>
      </w:r>
    </w:p>
    <w:p w14:paraId="0EFA39A9" w14:textId="45499C90" w:rsidR="00402B0D" w:rsidRDefault="009749B6" w:rsidP="00B92907">
      <w:pPr>
        <w:pStyle w:val="ListParagraph"/>
        <w:numPr>
          <w:ilvl w:val="0"/>
          <w:numId w:val="4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includes the AFCA information in any document (other than a document required to be given by or under the Credit Act)</w:t>
      </w:r>
      <w:r w:rsidR="00402B0D">
        <w:rPr>
          <w:rFonts w:ascii="Times New Roman" w:hAnsi="Times New Roman" w:cs="Times New Roman"/>
        </w:rPr>
        <w:t xml:space="preserve"> </w:t>
      </w:r>
      <w:r w:rsidR="00B92907">
        <w:rPr>
          <w:rFonts w:ascii="Times New Roman" w:hAnsi="Times New Roman" w:cs="Times New Roman"/>
        </w:rPr>
        <w:t>which</w:t>
      </w:r>
      <w:r w:rsidRPr="009749B6">
        <w:rPr>
          <w:rFonts w:ascii="Times New Roman" w:hAnsi="Times New Roman" w:cs="Times New Roman"/>
        </w:rPr>
        <w:t>:</w:t>
      </w:r>
    </w:p>
    <w:p w14:paraId="02C1A8E2" w14:textId="3BD483CA" w:rsidR="00B92907" w:rsidRDefault="009749B6" w:rsidP="00B92907">
      <w:pPr>
        <w:pStyle w:val="ListParagraph"/>
        <w:numPr>
          <w:ilvl w:val="1"/>
          <w:numId w:val="4"/>
        </w:numPr>
        <w:spacing w:after="120" w:line="276" w:lineRule="auto"/>
        <w:rPr>
          <w:rFonts w:ascii="Times New Roman" w:hAnsi="Times New Roman" w:cs="Times New Roman"/>
        </w:rPr>
      </w:pPr>
      <w:r w:rsidRPr="00402B0D">
        <w:rPr>
          <w:rFonts w:ascii="Times New Roman" w:hAnsi="Times New Roman" w:cs="Times New Roman"/>
        </w:rPr>
        <w:t xml:space="preserve">purports to describe dispute resolution arrangements applicable in relation to the credit activities engaged in by the </w:t>
      </w:r>
      <w:r w:rsidR="00243CF3">
        <w:rPr>
          <w:rFonts w:ascii="Times New Roman" w:hAnsi="Times New Roman" w:cs="Times New Roman"/>
        </w:rPr>
        <w:t xml:space="preserve">credit </w:t>
      </w:r>
      <w:r w:rsidRPr="00402B0D">
        <w:rPr>
          <w:rFonts w:ascii="Times New Roman" w:hAnsi="Times New Roman" w:cs="Times New Roman"/>
        </w:rPr>
        <w:t>provider</w:t>
      </w:r>
      <w:r w:rsidR="00243CF3">
        <w:rPr>
          <w:rFonts w:ascii="Times New Roman" w:hAnsi="Times New Roman" w:cs="Times New Roman"/>
        </w:rPr>
        <w:t xml:space="preserve"> or lessor</w:t>
      </w:r>
      <w:r w:rsidRPr="00402B0D">
        <w:rPr>
          <w:rFonts w:ascii="Times New Roman" w:hAnsi="Times New Roman" w:cs="Times New Roman"/>
        </w:rPr>
        <w:t xml:space="preserve"> (whether or not it also includes other matters); and</w:t>
      </w:r>
    </w:p>
    <w:p w14:paraId="57322AE5" w14:textId="5A3996B9" w:rsidR="009749B6" w:rsidRPr="00B92907" w:rsidRDefault="009749B6" w:rsidP="00B92907">
      <w:pPr>
        <w:pStyle w:val="ListParagraph"/>
        <w:numPr>
          <w:ilvl w:val="1"/>
          <w:numId w:val="4"/>
        </w:numPr>
        <w:spacing w:after="120" w:line="276" w:lineRule="auto"/>
        <w:rPr>
          <w:rFonts w:ascii="Times New Roman" w:hAnsi="Times New Roman" w:cs="Times New Roman"/>
        </w:rPr>
      </w:pPr>
      <w:r w:rsidRPr="00B92907">
        <w:rPr>
          <w:rFonts w:ascii="Times New Roman" w:hAnsi="Times New Roman" w:cs="Times New Roman"/>
        </w:rPr>
        <w:t>is made available by the</w:t>
      </w:r>
      <w:r w:rsidR="00243CF3">
        <w:rPr>
          <w:rFonts w:ascii="Times New Roman" w:hAnsi="Times New Roman" w:cs="Times New Roman"/>
        </w:rPr>
        <w:t xml:space="preserve"> credit</w:t>
      </w:r>
      <w:r w:rsidRPr="00B92907">
        <w:rPr>
          <w:rFonts w:ascii="Times New Roman" w:hAnsi="Times New Roman" w:cs="Times New Roman"/>
        </w:rPr>
        <w:t xml:space="preserve"> provider</w:t>
      </w:r>
      <w:r w:rsidR="00243CF3">
        <w:rPr>
          <w:rFonts w:ascii="Times New Roman" w:hAnsi="Times New Roman" w:cs="Times New Roman"/>
        </w:rPr>
        <w:t xml:space="preserve"> or lessor</w:t>
      </w:r>
      <w:r w:rsidRPr="00B92907">
        <w:rPr>
          <w:rFonts w:ascii="Times New Roman" w:hAnsi="Times New Roman" w:cs="Times New Roman"/>
        </w:rPr>
        <w:t xml:space="preserve"> to other people in relation to whom the </w:t>
      </w:r>
      <w:r w:rsidR="00955D04">
        <w:rPr>
          <w:rFonts w:ascii="Times New Roman" w:hAnsi="Times New Roman" w:cs="Times New Roman"/>
        </w:rPr>
        <w:t xml:space="preserve">credit </w:t>
      </w:r>
      <w:r w:rsidRPr="00B92907">
        <w:rPr>
          <w:rFonts w:ascii="Times New Roman" w:hAnsi="Times New Roman" w:cs="Times New Roman"/>
        </w:rPr>
        <w:t>provider</w:t>
      </w:r>
      <w:r w:rsidR="00955D04">
        <w:rPr>
          <w:rFonts w:ascii="Times New Roman" w:hAnsi="Times New Roman" w:cs="Times New Roman"/>
        </w:rPr>
        <w:t xml:space="preserve"> or lessor</w:t>
      </w:r>
      <w:r w:rsidRPr="00B92907">
        <w:rPr>
          <w:rFonts w:ascii="Times New Roman" w:hAnsi="Times New Roman" w:cs="Times New Roman"/>
        </w:rPr>
        <w:t xml:space="preserve"> has</w:t>
      </w:r>
      <w:r w:rsidR="00955D04">
        <w:rPr>
          <w:rFonts w:ascii="Times New Roman" w:hAnsi="Times New Roman" w:cs="Times New Roman"/>
        </w:rPr>
        <w:t xml:space="preserve"> engaged in</w:t>
      </w:r>
      <w:r w:rsidRPr="00B92907">
        <w:rPr>
          <w:rFonts w:ascii="Times New Roman" w:hAnsi="Times New Roman" w:cs="Times New Roman"/>
        </w:rPr>
        <w:t xml:space="preserve"> or may engage in credit activities; and </w:t>
      </w:r>
    </w:p>
    <w:p w14:paraId="3AA4769F" w14:textId="0F597CD8" w:rsidR="009749B6" w:rsidRPr="009749B6" w:rsidRDefault="00B92907" w:rsidP="009749B6">
      <w:pPr>
        <w:pStyle w:val="ListParagraph"/>
        <w:numPr>
          <w:ilvl w:val="0"/>
          <w:numId w:val="4"/>
        </w:numPr>
        <w:spacing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includes the AFCA information in </w:t>
      </w:r>
      <w:r w:rsidR="009749B6" w:rsidRPr="009749B6">
        <w:rPr>
          <w:rFonts w:ascii="Times New Roman" w:hAnsi="Times New Roman" w:cs="Times New Roman"/>
        </w:rPr>
        <w:t xml:space="preserve">documentation relating to the </w:t>
      </w:r>
      <w:r w:rsidR="00955D04">
        <w:rPr>
          <w:rFonts w:ascii="Times New Roman" w:hAnsi="Times New Roman" w:cs="Times New Roman"/>
        </w:rPr>
        <w:t xml:space="preserve">credit </w:t>
      </w:r>
      <w:r w:rsidR="009749B6" w:rsidRPr="009749B6">
        <w:rPr>
          <w:rFonts w:ascii="Times New Roman" w:hAnsi="Times New Roman" w:cs="Times New Roman"/>
        </w:rPr>
        <w:t>provider’s</w:t>
      </w:r>
      <w:r w:rsidR="00955D04">
        <w:rPr>
          <w:rFonts w:ascii="Times New Roman" w:hAnsi="Times New Roman" w:cs="Times New Roman"/>
        </w:rPr>
        <w:t xml:space="preserve"> or lessor’s</w:t>
      </w:r>
      <w:r w:rsidR="009749B6" w:rsidRPr="009749B6">
        <w:rPr>
          <w:rFonts w:ascii="Times New Roman" w:hAnsi="Times New Roman" w:cs="Times New Roman"/>
        </w:rPr>
        <w:t xml:space="preserve"> internal dispute resolution procedure.</w:t>
      </w:r>
    </w:p>
    <w:p w14:paraId="401D1474" w14:textId="5C80210C" w:rsidR="00B84505" w:rsidRDefault="005E5A33" w:rsidP="007A62B6">
      <w:pPr>
        <w:spacing w:line="276" w:lineRule="auto"/>
        <w:rPr>
          <w:rFonts w:ascii="Times New Roman" w:hAnsi="Times New Roman" w:cs="Times New Roman"/>
        </w:rPr>
      </w:pPr>
      <w:r w:rsidRPr="009A1476">
        <w:rPr>
          <w:rFonts w:ascii="Times New Roman" w:hAnsi="Times New Roman" w:cs="Times New Roman"/>
        </w:rPr>
        <w:t>P</w:t>
      </w:r>
      <w:r w:rsidRPr="0086537B">
        <w:rPr>
          <w:rFonts w:ascii="Times New Roman" w:hAnsi="Times New Roman" w:cs="Times New Roman"/>
        </w:rPr>
        <w:t xml:space="preserve">aragraph </w:t>
      </w:r>
      <w:r w:rsidRPr="009A1476">
        <w:rPr>
          <w:rFonts w:ascii="Times New Roman" w:hAnsi="Times New Roman" w:cs="Times New Roman"/>
        </w:rPr>
        <w:t>8 of</w:t>
      </w:r>
      <w:r w:rsidRPr="0086537B">
        <w:rPr>
          <w:rFonts w:ascii="Times New Roman" w:hAnsi="Times New Roman" w:cs="Times New Roman"/>
        </w:rPr>
        <w:t xml:space="preserve"> new Part 3 of the primary instrument </w:t>
      </w:r>
      <w:r w:rsidRPr="009A1476">
        <w:rPr>
          <w:rFonts w:ascii="Times New Roman" w:hAnsi="Times New Roman" w:cs="Times New Roman"/>
        </w:rPr>
        <w:t xml:space="preserve">provides </w:t>
      </w:r>
      <w:r w:rsidR="009749B6">
        <w:rPr>
          <w:rFonts w:ascii="Times New Roman" w:hAnsi="Times New Roman" w:cs="Times New Roman"/>
        </w:rPr>
        <w:t>for</w:t>
      </w:r>
      <w:r w:rsidRPr="009A1476">
        <w:rPr>
          <w:rFonts w:ascii="Times New Roman" w:hAnsi="Times New Roman" w:cs="Times New Roman"/>
        </w:rPr>
        <w:t xml:space="preserve"> the </w:t>
      </w:r>
      <w:r w:rsidR="009E7584">
        <w:rPr>
          <w:rFonts w:ascii="Times New Roman" w:hAnsi="Times New Roman" w:cs="Times New Roman"/>
        </w:rPr>
        <w:t xml:space="preserve">new </w:t>
      </w:r>
      <w:r w:rsidRPr="009A1476">
        <w:rPr>
          <w:rFonts w:ascii="Times New Roman" w:hAnsi="Times New Roman" w:cs="Times New Roman"/>
        </w:rPr>
        <w:t>exemption</w:t>
      </w:r>
      <w:r w:rsidR="009E7584">
        <w:rPr>
          <w:rFonts w:ascii="Times New Roman" w:hAnsi="Times New Roman" w:cs="Times New Roman"/>
        </w:rPr>
        <w:t>s</w:t>
      </w:r>
      <w:r w:rsidR="009749B6">
        <w:rPr>
          <w:rFonts w:ascii="Times New Roman" w:hAnsi="Times New Roman" w:cs="Times New Roman"/>
        </w:rPr>
        <w:t xml:space="preserve"> to </w:t>
      </w:r>
      <w:r w:rsidRPr="009A1476">
        <w:rPr>
          <w:rFonts w:ascii="Times New Roman" w:hAnsi="Times New Roman" w:cs="Times New Roman"/>
        </w:rPr>
        <w:t>apply</w:t>
      </w:r>
      <w:r w:rsidR="00B97A09" w:rsidRPr="0086537B">
        <w:rPr>
          <w:rFonts w:ascii="Times New Roman" w:hAnsi="Times New Roman" w:cs="Times New Roman"/>
        </w:rPr>
        <w:t xml:space="preserve"> </w:t>
      </w:r>
      <w:r w:rsidR="000C6F37" w:rsidRPr="0086537B">
        <w:rPr>
          <w:rFonts w:ascii="Times New Roman" w:hAnsi="Times New Roman" w:cs="Times New Roman"/>
        </w:rPr>
        <w:t xml:space="preserve">from 1 November 2018 until </w:t>
      </w:r>
      <w:r w:rsidR="00955D04">
        <w:rPr>
          <w:rFonts w:ascii="Times New Roman" w:hAnsi="Times New Roman" w:cs="Times New Roman"/>
        </w:rPr>
        <w:t>30 June</w:t>
      </w:r>
      <w:r w:rsidR="00B97A09" w:rsidRPr="0086537B">
        <w:rPr>
          <w:rFonts w:ascii="Times New Roman" w:hAnsi="Times New Roman" w:cs="Times New Roman"/>
        </w:rPr>
        <w:t xml:space="preserve"> 2019.</w:t>
      </w:r>
    </w:p>
    <w:p w14:paraId="6825BC8D" w14:textId="13722979" w:rsidR="00CA25D6" w:rsidRPr="00CA25D6" w:rsidRDefault="00CA25D6" w:rsidP="005E5A33">
      <w:pPr>
        <w:spacing w:line="276" w:lineRule="auto"/>
        <w:rPr>
          <w:rFonts w:ascii="Times New Roman" w:hAnsi="Times New Roman" w:cs="Times New Roman"/>
          <w:u w:val="single"/>
        </w:rPr>
      </w:pPr>
      <w:r w:rsidRPr="00CA25D6">
        <w:rPr>
          <w:rFonts w:ascii="Times New Roman" w:hAnsi="Times New Roman" w:cs="Times New Roman"/>
          <w:u w:val="single"/>
        </w:rPr>
        <w:t>Consequential amendments</w:t>
      </w:r>
    </w:p>
    <w:p w14:paraId="655A5E36" w14:textId="75B465F4" w:rsidR="005E5A33" w:rsidRPr="009A1476" w:rsidRDefault="005E5A33" w:rsidP="005E5A33">
      <w:pPr>
        <w:spacing w:line="276" w:lineRule="auto"/>
        <w:rPr>
          <w:rFonts w:ascii="Times New Roman" w:hAnsi="Times New Roman" w:cs="Times New Roman"/>
        </w:rPr>
      </w:pPr>
      <w:r w:rsidRPr="009A1476">
        <w:rPr>
          <w:rFonts w:ascii="Times New Roman" w:hAnsi="Times New Roman" w:cs="Times New Roman"/>
        </w:rPr>
        <w:t xml:space="preserve">Paragraphs 1 to 7 of Schedule 1 </w:t>
      </w:r>
      <w:r w:rsidR="00FB6FD7">
        <w:rPr>
          <w:rFonts w:ascii="Times New Roman" w:hAnsi="Times New Roman" w:cs="Times New Roman"/>
        </w:rPr>
        <w:t xml:space="preserve">to </w:t>
      </w:r>
      <w:r w:rsidR="008B1CBA" w:rsidRPr="008B1CBA">
        <w:rPr>
          <w:rFonts w:ascii="Times New Roman" w:hAnsi="Times New Roman" w:cs="Times New Roman"/>
        </w:rPr>
        <w:t>the a</w:t>
      </w:r>
      <w:r w:rsidR="008B1CBA">
        <w:rPr>
          <w:rFonts w:ascii="Times New Roman" w:hAnsi="Times New Roman" w:cs="Times New Roman"/>
        </w:rPr>
        <w:t>mending instrument</w:t>
      </w:r>
      <w:r w:rsidRPr="009A1476">
        <w:rPr>
          <w:rFonts w:ascii="Times New Roman" w:hAnsi="Times New Roman" w:cs="Times New Roman"/>
          <w:i/>
        </w:rPr>
        <w:t xml:space="preserve"> </w:t>
      </w:r>
      <w:r w:rsidRPr="009A1476">
        <w:rPr>
          <w:rFonts w:ascii="Times New Roman" w:hAnsi="Times New Roman" w:cs="Times New Roman"/>
        </w:rPr>
        <w:t>make consequential amendments to:</w:t>
      </w:r>
    </w:p>
    <w:p w14:paraId="56DD35CD" w14:textId="2DE79E93" w:rsidR="005E5A33" w:rsidRPr="009A1476" w:rsidRDefault="005E5A33" w:rsidP="002A2350">
      <w:pPr>
        <w:pStyle w:val="ListParagraph"/>
        <w:numPr>
          <w:ilvl w:val="0"/>
          <w:numId w:val="3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</w:rPr>
      </w:pPr>
      <w:r w:rsidRPr="009A1476">
        <w:rPr>
          <w:rFonts w:ascii="Times New Roman" w:hAnsi="Times New Roman" w:cs="Times New Roman"/>
        </w:rPr>
        <w:t>section 3 of the primary instrument</w:t>
      </w:r>
      <w:r w:rsidR="009E7584">
        <w:rPr>
          <w:rFonts w:ascii="Times New Roman" w:hAnsi="Times New Roman" w:cs="Times New Roman"/>
        </w:rPr>
        <w:t>,</w:t>
      </w:r>
      <w:r w:rsidRPr="009A1476">
        <w:rPr>
          <w:rFonts w:ascii="Times New Roman" w:hAnsi="Times New Roman" w:cs="Times New Roman"/>
        </w:rPr>
        <w:t xml:space="preserve"> to confirm that the relief in the primary instrument </w:t>
      </w:r>
      <w:r w:rsidR="009E7584">
        <w:rPr>
          <w:rFonts w:ascii="Times New Roman" w:hAnsi="Times New Roman" w:cs="Times New Roman"/>
        </w:rPr>
        <w:t>(</w:t>
      </w:r>
      <w:r w:rsidRPr="009A1476">
        <w:rPr>
          <w:rFonts w:ascii="Times New Roman" w:hAnsi="Times New Roman" w:cs="Times New Roman"/>
        </w:rPr>
        <w:t>as amended</w:t>
      </w:r>
      <w:r w:rsidR="009E7584">
        <w:rPr>
          <w:rFonts w:ascii="Times New Roman" w:hAnsi="Times New Roman" w:cs="Times New Roman"/>
        </w:rPr>
        <w:t>)</w:t>
      </w:r>
      <w:r w:rsidRPr="009A1476">
        <w:rPr>
          <w:rFonts w:ascii="Times New Roman" w:hAnsi="Times New Roman" w:cs="Times New Roman"/>
        </w:rPr>
        <w:t xml:space="preserve"> is granted under both </w:t>
      </w:r>
      <w:r w:rsidRPr="0086537B">
        <w:rPr>
          <w:rFonts w:ascii="Times New Roman" w:hAnsi="Times New Roman" w:cs="Times New Roman"/>
        </w:rPr>
        <w:t>paragraph 163(3)(d) of</w:t>
      </w:r>
      <w:r w:rsidRPr="009A1476">
        <w:rPr>
          <w:rFonts w:ascii="Times New Roman" w:hAnsi="Times New Roman" w:cs="Times New Roman"/>
        </w:rPr>
        <w:t xml:space="preserve"> the Credit Act and subsection 203A(3) of the Credit Code;</w:t>
      </w:r>
    </w:p>
    <w:p w14:paraId="7F65E0CC" w14:textId="29BB345C" w:rsidR="005E5A33" w:rsidRPr="009A1476" w:rsidRDefault="005E5A33" w:rsidP="002A2350">
      <w:pPr>
        <w:pStyle w:val="ListParagraph"/>
        <w:numPr>
          <w:ilvl w:val="0"/>
          <w:numId w:val="3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</w:rPr>
      </w:pPr>
      <w:r w:rsidRPr="009A1476">
        <w:rPr>
          <w:rFonts w:ascii="Times New Roman" w:hAnsi="Times New Roman" w:cs="Times New Roman"/>
        </w:rPr>
        <w:t>section 4 of the primary instrument</w:t>
      </w:r>
      <w:r w:rsidR="009E7584">
        <w:rPr>
          <w:rFonts w:ascii="Times New Roman" w:hAnsi="Times New Roman" w:cs="Times New Roman"/>
        </w:rPr>
        <w:t>,</w:t>
      </w:r>
      <w:r w:rsidRPr="009A1476">
        <w:rPr>
          <w:rFonts w:ascii="Times New Roman" w:hAnsi="Times New Roman" w:cs="Times New Roman"/>
        </w:rPr>
        <w:t xml:space="preserve"> to insert new definitions and interpretation provisions for the purposes of new Part 3 of the primary instrument;</w:t>
      </w:r>
    </w:p>
    <w:p w14:paraId="026DDE76" w14:textId="0DD487CA" w:rsidR="005E5A33" w:rsidRPr="009A1476" w:rsidRDefault="005E5A33" w:rsidP="009D73A8">
      <w:pPr>
        <w:pStyle w:val="ListParagraph"/>
        <w:numPr>
          <w:ilvl w:val="0"/>
          <w:numId w:val="3"/>
        </w:numPr>
        <w:spacing w:after="200" w:line="276" w:lineRule="auto"/>
        <w:ind w:left="714" w:hanging="357"/>
        <w:rPr>
          <w:rFonts w:ascii="Times New Roman" w:hAnsi="Times New Roman" w:cs="Times New Roman"/>
        </w:rPr>
      </w:pPr>
      <w:r w:rsidRPr="009A1476">
        <w:rPr>
          <w:rFonts w:ascii="Times New Roman" w:hAnsi="Times New Roman" w:cs="Times New Roman"/>
        </w:rPr>
        <w:t>section 5 of the primary instrument</w:t>
      </w:r>
      <w:r w:rsidR="009E7584">
        <w:rPr>
          <w:rFonts w:ascii="Times New Roman" w:hAnsi="Times New Roman" w:cs="Times New Roman"/>
        </w:rPr>
        <w:t>,</w:t>
      </w:r>
      <w:r w:rsidRPr="009A1476">
        <w:rPr>
          <w:rFonts w:ascii="Times New Roman" w:hAnsi="Times New Roman" w:cs="Times New Roman"/>
        </w:rPr>
        <w:t xml:space="preserve"> to clarify that references in that section are to provisions of the Credit Act (whereas references in new </w:t>
      </w:r>
      <w:r w:rsidR="002A2350">
        <w:rPr>
          <w:rFonts w:ascii="Times New Roman" w:hAnsi="Times New Roman" w:cs="Times New Roman"/>
        </w:rPr>
        <w:t>section 7 of</w:t>
      </w:r>
      <w:r w:rsidRPr="009A1476">
        <w:rPr>
          <w:rFonts w:ascii="Times New Roman" w:hAnsi="Times New Roman" w:cs="Times New Roman"/>
        </w:rPr>
        <w:t xml:space="preserve"> the primary instrument are to provisions of the Credit Code).</w:t>
      </w:r>
    </w:p>
    <w:bookmarkEnd w:id="1"/>
    <w:p w14:paraId="36A66BAD" w14:textId="77777777" w:rsidR="00B84505" w:rsidRPr="009A1476" w:rsidRDefault="00B84505" w:rsidP="00B84505">
      <w:pPr>
        <w:spacing w:line="276" w:lineRule="auto"/>
        <w:rPr>
          <w:rFonts w:ascii="Times New Roman" w:hAnsi="Times New Roman" w:cs="Times New Roman"/>
          <w:b/>
        </w:rPr>
      </w:pPr>
      <w:r w:rsidRPr="009A1476">
        <w:rPr>
          <w:rFonts w:ascii="Times New Roman" w:hAnsi="Times New Roman" w:cs="Times New Roman"/>
          <w:b/>
        </w:rPr>
        <w:t>4.</w:t>
      </w:r>
      <w:r w:rsidRPr="009A1476">
        <w:rPr>
          <w:rFonts w:ascii="Times New Roman" w:hAnsi="Times New Roman" w:cs="Times New Roman"/>
          <w:b/>
        </w:rPr>
        <w:tab/>
        <w:t>Consultation</w:t>
      </w:r>
    </w:p>
    <w:p w14:paraId="1A9398B5" w14:textId="43EB8720" w:rsidR="001B75C4" w:rsidRPr="009A1476" w:rsidRDefault="001B75C4" w:rsidP="00B84505">
      <w:pPr>
        <w:pStyle w:val="RPG-BodyTextNumbered"/>
        <w:numPr>
          <w:ilvl w:val="0"/>
          <w:numId w:val="0"/>
        </w:numPr>
        <w:spacing w:line="276" w:lineRule="auto"/>
      </w:pPr>
      <w:r w:rsidRPr="009A1476">
        <w:t>On 5 March 2018, ASIC issued draft updated RG 139</w:t>
      </w:r>
      <w:r w:rsidR="00F01A63">
        <w:t>:</w:t>
      </w:r>
      <w:r w:rsidRPr="009A1476">
        <w:t xml:space="preserve"> </w:t>
      </w:r>
      <w:r w:rsidRPr="00A05CB4">
        <w:rPr>
          <w:i/>
        </w:rPr>
        <w:t>Oversight of AFCA</w:t>
      </w:r>
      <w:r w:rsidRPr="009A1476">
        <w:t xml:space="preserve"> for consultation.  The linked consultation paper CP 298 discussed the obligation on firms to change the name and contact details of predecessor </w:t>
      </w:r>
      <w:r w:rsidR="009D73A8">
        <w:t xml:space="preserve">EDR </w:t>
      </w:r>
      <w:r w:rsidR="009005A4" w:rsidRPr="009A1476">
        <w:t>schemes in disclosure documents to refer to AFCA.  ASIC sought feedback on whether firms needed any transitional relief from these disclosure obligations.</w:t>
      </w:r>
    </w:p>
    <w:p w14:paraId="545032A0" w14:textId="12D76702" w:rsidR="009005A4" w:rsidRPr="009A1476" w:rsidRDefault="009005A4" w:rsidP="00B84505">
      <w:pPr>
        <w:pStyle w:val="RPG-BodyTextNumbered"/>
        <w:numPr>
          <w:ilvl w:val="0"/>
          <w:numId w:val="0"/>
        </w:numPr>
        <w:spacing w:line="276" w:lineRule="auto"/>
      </w:pPr>
      <w:r w:rsidRPr="009A1476">
        <w:t xml:space="preserve">28 submissions were made to CP 298.  Of these, 17 made specific submissions on disclosure relief, but none specifically related to forms issued under the Credit </w:t>
      </w:r>
      <w:r w:rsidR="00267112" w:rsidRPr="009A1476">
        <w:t>Code</w:t>
      </w:r>
      <w:r w:rsidRPr="009A1476">
        <w:t xml:space="preserve">.  </w:t>
      </w:r>
    </w:p>
    <w:p w14:paraId="297D94E8" w14:textId="3DABB2CA" w:rsidR="00B84505" w:rsidRDefault="00267112" w:rsidP="00B84505">
      <w:pPr>
        <w:pStyle w:val="RPG-BodyTextNumbered"/>
        <w:numPr>
          <w:ilvl w:val="0"/>
          <w:numId w:val="0"/>
        </w:numPr>
        <w:spacing w:line="276" w:lineRule="auto"/>
      </w:pPr>
      <w:r w:rsidRPr="009A1476">
        <w:t xml:space="preserve">After the primary instrument was registered, </w:t>
      </w:r>
      <w:r w:rsidR="009005A4" w:rsidRPr="009A1476">
        <w:t>ASIC received a request for</w:t>
      </w:r>
      <w:r w:rsidR="00D87477" w:rsidRPr="009A1476">
        <w:t xml:space="preserve"> similar</w:t>
      </w:r>
      <w:r w:rsidR="009005A4" w:rsidRPr="009A1476">
        <w:t xml:space="preserve"> transitional relief </w:t>
      </w:r>
      <w:r w:rsidR="008931BA" w:rsidRPr="009A1476">
        <w:t>from the requirement to update</w:t>
      </w:r>
      <w:r w:rsidR="00D87477" w:rsidRPr="009A1476">
        <w:t xml:space="preserve"> </w:t>
      </w:r>
      <w:r w:rsidR="00B1419C" w:rsidRPr="009A1476">
        <w:t xml:space="preserve">a number of </w:t>
      </w:r>
      <w:r w:rsidR="009005A4" w:rsidRPr="009A1476">
        <w:t xml:space="preserve">forms issued under </w:t>
      </w:r>
      <w:r w:rsidR="00B1419C" w:rsidRPr="009A1476">
        <w:t>the Credit Code</w:t>
      </w:r>
      <w:r w:rsidR="009005A4" w:rsidRPr="009A1476">
        <w:t>.  ASIC consulted industry stakeholders</w:t>
      </w:r>
      <w:r w:rsidRPr="009A1476">
        <w:t xml:space="preserve"> a</w:t>
      </w:r>
      <w:r w:rsidR="009005A4" w:rsidRPr="009A1476">
        <w:t xml:space="preserve">bout this request and formed the view that the provision of transitional relief </w:t>
      </w:r>
      <w:r w:rsidR="00B30BCF" w:rsidRPr="00B30BCF">
        <w:t>in relation to Forms 5,</w:t>
      </w:r>
      <w:r w:rsidR="00F01A63">
        <w:t xml:space="preserve"> </w:t>
      </w:r>
      <w:r w:rsidR="00B30BCF" w:rsidRPr="00B30BCF">
        <w:t>9 and 17</w:t>
      </w:r>
      <w:r w:rsidR="00B30BCF">
        <w:t xml:space="preserve"> </w:t>
      </w:r>
      <w:r w:rsidR="009005A4" w:rsidRPr="009A1476">
        <w:t>was consistent with the policy approach underpinning the primary instrument.</w:t>
      </w:r>
    </w:p>
    <w:p w14:paraId="33FCF24C" w14:textId="5C00904B" w:rsidR="00F31339" w:rsidRDefault="00F31339" w:rsidP="00B84505">
      <w:pPr>
        <w:pStyle w:val="RPG-BodyTextNumbered"/>
        <w:numPr>
          <w:ilvl w:val="0"/>
          <w:numId w:val="0"/>
        </w:numPr>
        <w:spacing w:line="276" w:lineRule="auto"/>
      </w:pPr>
      <w:r>
        <w:t xml:space="preserve">ASIC has assessed that a Regulation Impact Statement is not necessary for the amending instrument or primary instrument. </w:t>
      </w:r>
    </w:p>
    <w:p w14:paraId="3D81EC8E" w14:textId="19D14DAA" w:rsidR="00F31339" w:rsidRDefault="00F31339">
      <w:pPr>
        <w:rPr>
          <w:b/>
        </w:rPr>
      </w:pPr>
      <w:r>
        <w:rPr>
          <w:b/>
        </w:rPr>
        <w:br w:type="page"/>
      </w:r>
    </w:p>
    <w:p w14:paraId="0D9D2A35" w14:textId="77777777" w:rsidR="00B84505" w:rsidRPr="009A1476" w:rsidRDefault="00B84505" w:rsidP="00B8450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6"/>
      </w:tblGrid>
      <w:tr w:rsidR="009A1476" w:rsidRPr="009A1476" w14:paraId="7A79AD15" w14:textId="77777777" w:rsidTr="00C41142">
        <w:tc>
          <w:tcPr>
            <w:tcW w:w="90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0810DE7" w14:textId="77777777" w:rsidR="00B84505" w:rsidRPr="009A1476" w:rsidRDefault="00B84505" w:rsidP="00C41142">
            <w:pPr>
              <w:spacing w:before="360" w:after="120"/>
              <w:jc w:val="center"/>
              <w:rPr>
                <w:rFonts w:ascii="Times New Roman" w:hAnsi="Times New Roman" w:cs="Times New Roman"/>
                <w:b/>
              </w:rPr>
            </w:pPr>
            <w:r w:rsidRPr="009A1476">
              <w:rPr>
                <w:rFonts w:ascii="Times New Roman" w:hAnsi="Times New Roman" w:cs="Times New Roman"/>
                <w:b/>
              </w:rPr>
              <w:t>Statement of Compatibility with Human Rights</w:t>
            </w:r>
          </w:p>
          <w:p w14:paraId="71FF13D5" w14:textId="77777777" w:rsidR="00B84505" w:rsidRPr="009A1476" w:rsidRDefault="00B84505" w:rsidP="00C4114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A1476">
              <w:rPr>
                <w:rFonts w:ascii="Times New Roman" w:hAnsi="Times New Roman" w:cs="Times New Roman"/>
                <w:i/>
              </w:rPr>
              <w:t>Prepared in accordance with Part 3 of the Human Rights (Parliamentary Scrutiny) Act 2011</w:t>
            </w:r>
          </w:p>
          <w:p w14:paraId="5242B1D7" w14:textId="77777777" w:rsidR="0049057C" w:rsidRDefault="0049057C" w:rsidP="00C4114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  <w:p w14:paraId="22C370F0" w14:textId="7FB15CD1" w:rsidR="00B84505" w:rsidRPr="009A1476" w:rsidRDefault="00B84505" w:rsidP="00C4114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A1476">
              <w:rPr>
                <w:rFonts w:ascii="Times New Roman" w:hAnsi="Times New Roman" w:cs="Times New Roman"/>
                <w:b/>
              </w:rPr>
              <w:t>AS</w:t>
            </w:r>
            <w:r w:rsidR="009005A4" w:rsidRPr="009A1476">
              <w:rPr>
                <w:rFonts w:ascii="Times New Roman" w:hAnsi="Times New Roman" w:cs="Times New Roman"/>
                <w:b/>
              </w:rPr>
              <w:t>IC Credit</w:t>
            </w:r>
            <w:r w:rsidRPr="009A1476">
              <w:rPr>
                <w:rFonts w:ascii="Times New Roman" w:hAnsi="Times New Roman" w:cs="Times New Roman"/>
                <w:b/>
              </w:rPr>
              <w:t xml:space="preserve"> (Amendment) Instrument 2018/</w:t>
            </w:r>
            <w:r w:rsidR="00A51533" w:rsidRPr="009A1476">
              <w:rPr>
                <w:rFonts w:ascii="Times New Roman" w:hAnsi="Times New Roman" w:cs="Times New Roman"/>
                <w:b/>
              </w:rPr>
              <w:t>665</w:t>
            </w:r>
          </w:p>
          <w:p w14:paraId="12C9CA31" w14:textId="77777777" w:rsidR="00F31339" w:rsidRDefault="009005A4" w:rsidP="00C4114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9A1476">
              <w:rPr>
                <w:rFonts w:ascii="Times New Roman" w:hAnsi="Times New Roman" w:cs="Times New Roman"/>
                <w:i/>
              </w:rPr>
              <w:t>ASIC Credit (Amendment) Instrument 2018/</w:t>
            </w:r>
            <w:r w:rsidR="00A51533" w:rsidRPr="009A1476">
              <w:rPr>
                <w:rFonts w:ascii="Times New Roman" w:hAnsi="Times New Roman" w:cs="Times New Roman"/>
                <w:i/>
              </w:rPr>
              <w:t>665</w:t>
            </w:r>
            <w:r w:rsidR="00B84505" w:rsidRPr="009A1476">
              <w:rPr>
                <w:rFonts w:ascii="Times New Roman" w:hAnsi="Times New Roman" w:cs="Times New Roman"/>
                <w:i/>
              </w:rPr>
              <w:t xml:space="preserve"> </w:t>
            </w:r>
            <w:r w:rsidR="00B84505" w:rsidRPr="009A1476">
              <w:rPr>
                <w:rFonts w:ascii="Times New Roman" w:hAnsi="Times New Roman" w:cs="Times New Roman"/>
              </w:rPr>
              <w:t xml:space="preserve">is compatible with the human rights and freedoms recognised or declared in the international instruments listed in section 3 of the </w:t>
            </w:r>
            <w:r w:rsidR="00B84505" w:rsidRPr="009A1476">
              <w:rPr>
                <w:rFonts w:ascii="Times New Roman" w:hAnsi="Times New Roman" w:cs="Times New Roman"/>
                <w:i/>
              </w:rPr>
              <w:t>Human Rights (Parliamentary Scrutiny) Act 2011</w:t>
            </w:r>
            <w:r w:rsidR="00B84505" w:rsidRPr="009A1476">
              <w:rPr>
                <w:rFonts w:ascii="Times New Roman" w:hAnsi="Times New Roman" w:cs="Times New Roman"/>
              </w:rPr>
              <w:t>.</w:t>
            </w:r>
          </w:p>
          <w:p w14:paraId="799E3E65" w14:textId="625E7584" w:rsidR="00B84505" w:rsidRPr="009A1476" w:rsidRDefault="00B84505" w:rsidP="00C41142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9A1476">
              <w:rPr>
                <w:rFonts w:ascii="Times New Roman" w:hAnsi="Times New Roman" w:cs="Times New Roman"/>
                <w:b/>
              </w:rPr>
              <w:t>Overview</w:t>
            </w:r>
          </w:p>
          <w:p w14:paraId="218BAFAA" w14:textId="50591003" w:rsidR="0049057C" w:rsidRDefault="0049057C" w:rsidP="00C41142">
            <w:pPr>
              <w:pStyle w:val="BodyText"/>
              <w:spacing w:before="199"/>
              <w:rPr>
                <w:sz w:val="22"/>
                <w:szCs w:val="22"/>
              </w:rPr>
            </w:pPr>
            <w:r w:rsidRPr="0049057C">
              <w:rPr>
                <w:sz w:val="22"/>
                <w:szCs w:val="22"/>
              </w:rPr>
              <w:t xml:space="preserve">The </w:t>
            </w:r>
            <w:r w:rsidRPr="0049057C">
              <w:rPr>
                <w:i/>
                <w:sz w:val="22"/>
                <w:szCs w:val="22"/>
              </w:rPr>
              <w:t xml:space="preserve">Treasury Laws Amendment (Putting Consumers First – Establishment of the Australian Financial Complaints Authority) Act 2018 </w:t>
            </w:r>
            <w:r w:rsidRPr="0049057C">
              <w:rPr>
                <w:sz w:val="22"/>
                <w:szCs w:val="22"/>
              </w:rPr>
              <w:t>establishes a single financial services external dispute resolution</w:t>
            </w:r>
            <w:r>
              <w:rPr>
                <w:sz w:val="22"/>
                <w:szCs w:val="22"/>
              </w:rPr>
              <w:t xml:space="preserve"> (</w:t>
            </w:r>
            <w:r w:rsidRPr="0049057C">
              <w:rPr>
                <w:b/>
                <w:sz w:val="22"/>
                <w:szCs w:val="22"/>
              </w:rPr>
              <w:t>EDR</w:t>
            </w:r>
            <w:r>
              <w:rPr>
                <w:sz w:val="22"/>
                <w:szCs w:val="22"/>
              </w:rPr>
              <w:t>)</w:t>
            </w:r>
            <w:r w:rsidRPr="0049057C">
              <w:rPr>
                <w:sz w:val="22"/>
                <w:szCs w:val="22"/>
              </w:rPr>
              <w:t xml:space="preserve"> scheme: the Australian Financial Complaints Authority (</w:t>
            </w:r>
            <w:r w:rsidRPr="0049057C">
              <w:rPr>
                <w:b/>
                <w:sz w:val="22"/>
                <w:szCs w:val="22"/>
              </w:rPr>
              <w:t>AFCA</w:t>
            </w:r>
            <w:r w:rsidRPr="0049057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14:paraId="7FD286C7" w14:textId="6A481931" w:rsidR="0049057C" w:rsidRPr="0049057C" w:rsidRDefault="008B6816" w:rsidP="00C41142">
            <w:pPr>
              <w:pStyle w:val="BodyText"/>
              <w:spacing w:before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From 1 November 2018, </w:t>
            </w:r>
            <w:r w:rsidR="0049057C">
              <w:rPr>
                <w:sz w:val="22"/>
                <w:szCs w:val="22"/>
              </w:rPr>
              <w:t>firms must update mandatory disclosure documents to replace references to predecessor EDR schemes with references to AFCA.</w:t>
            </w:r>
            <w:r w:rsidR="0049057C" w:rsidRPr="009A1476">
              <w:rPr>
                <w:i/>
                <w:sz w:val="22"/>
                <w:szCs w:val="22"/>
              </w:rPr>
              <w:t xml:space="preserve"> </w:t>
            </w:r>
            <w:r w:rsidR="0049057C">
              <w:rPr>
                <w:sz w:val="22"/>
                <w:szCs w:val="22"/>
              </w:rPr>
              <w:t xml:space="preserve">In </w:t>
            </w:r>
            <w:r w:rsidR="0049057C" w:rsidRPr="009A1476">
              <w:rPr>
                <w:i/>
                <w:sz w:val="22"/>
                <w:szCs w:val="22"/>
              </w:rPr>
              <w:t>ASIC Credit (AFCA transition) Instrument 2018/448</w:t>
            </w:r>
            <w:r w:rsidR="0049057C">
              <w:rPr>
                <w:sz w:val="22"/>
                <w:szCs w:val="22"/>
              </w:rPr>
              <w:t xml:space="preserve">, ASIC granted transitional relief </w:t>
            </w:r>
            <w:r w:rsidR="00492643">
              <w:rPr>
                <w:sz w:val="22"/>
                <w:szCs w:val="22"/>
              </w:rPr>
              <w:t>so that firms have</w:t>
            </w:r>
            <w:r w:rsidR="0049057C">
              <w:rPr>
                <w:sz w:val="22"/>
                <w:szCs w:val="22"/>
              </w:rPr>
              <w:t xml:space="preserve"> until 1 July 2019 to</w:t>
            </w:r>
            <w:r w:rsidR="00315A71">
              <w:rPr>
                <w:sz w:val="22"/>
                <w:szCs w:val="22"/>
              </w:rPr>
              <w:t xml:space="preserve"> update</w:t>
            </w:r>
            <w:r w:rsidR="0049057C">
              <w:rPr>
                <w:sz w:val="22"/>
                <w:szCs w:val="22"/>
              </w:rPr>
              <w:t xml:space="preserve"> </w:t>
            </w:r>
            <w:r w:rsidR="00492643">
              <w:rPr>
                <w:sz w:val="22"/>
                <w:szCs w:val="22"/>
              </w:rPr>
              <w:t>some of these</w:t>
            </w:r>
            <w:r w:rsidR="0049057C">
              <w:rPr>
                <w:sz w:val="22"/>
                <w:szCs w:val="22"/>
              </w:rPr>
              <w:t xml:space="preserve"> mandatory disclosure documents</w:t>
            </w:r>
            <w:r w:rsidR="00D83740">
              <w:rPr>
                <w:sz w:val="22"/>
                <w:szCs w:val="22"/>
              </w:rPr>
              <w:t xml:space="preserve"> with references to AFCA, subject to </w:t>
            </w:r>
            <w:r w:rsidR="00B83D20">
              <w:rPr>
                <w:sz w:val="22"/>
                <w:szCs w:val="22"/>
              </w:rPr>
              <w:t xml:space="preserve">the firm </w:t>
            </w:r>
            <w:r w:rsidR="005563BA" w:rsidRPr="005563BA">
              <w:rPr>
                <w:sz w:val="22"/>
                <w:szCs w:val="22"/>
              </w:rPr>
              <w:t>making current information about the AFCA scheme available through other means</w:t>
            </w:r>
            <w:r w:rsidR="0049057C">
              <w:rPr>
                <w:sz w:val="22"/>
                <w:szCs w:val="22"/>
              </w:rPr>
              <w:t>.</w:t>
            </w:r>
          </w:p>
          <w:p w14:paraId="46CC8E98" w14:textId="770BAAAE" w:rsidR="00B84505" w:rsidRPr="009A1476" w:rsidRDefault="009005A4" w:rsidP="00C41142">
            <w:pPr>
              <w:pStyle w:val="BodyText"/>
              <w:spacing w:before="199"/>
              <w:rPr>
                <w:sz w:val="22"/>
                <w:szCs w:val="22"/>
              </w:rPr>
            </w:pPr>
            <w:r w:rsidRPr="009A1476">
              <w:rPr>
                <w:i/>
                <w:sz w:val="22"/>
                <w:szCs w:val="22"/>
              </w:rPr>
              <w:t>ASIC Credit</w:t>
            </w:r>
            <w:r w:rsidR="00B84505" w:rsidRPr="009A1476">
              <w:rPr>
                <w:i/>
                <w:sz w:val="22"/>
                <w:szCs w:val="22"/>
              </w:rPr>
              <w:t xml:space="preserve"> (Amendment) Instrument 2018/</w:t>
            </w:r>
            <w:r w:rsidR="00A51533" w:rsidRPr="009A1476">
              <w:rPr>
                <w:i/>
                <w:sz w:val="22"/>
                <w:szCs w:val="22"/>
              </w:rPr>
              <w:t>665</w:t>
            </w:r>
            <w:r w:rsidR="00B84505" w:rsidRPr="009A1476">
              <w:rPr>
                <w:i/>
                <w:sz w:val="22"/>
                <w:szCs w:val="22"/>
              </w:rPr>
              <w:t xml:space="preserve"> </w:t>
            </w:r>
            <w:r w:rsidRPr="009A1476">
              <w:rPr>
                <w:sz w:val="22"/>
                <w:szCs w:val="22"/>
              </w:rPr>
              <w:t>extends th</w:t>
            </w:r>
            <w:r w:rsidR="0049057C">
              <w:rPr>
                <w:sz w:val="22"/>
                <w:szCs w:val="22"/>
              </w:rPr>
              <w:t xml:space="preserve">at relief to the following forms issued under </w:t>
            </w:r>
            <w:r w:rsidR="00075992">
              <w:rPr>
                <w:sz w:val="22"/>
                <w:szCs w:val="22"/>
              </w:rPr>
              <w:t>paragraph</w:t>
            </w:r>
            <w:r w:rsidR="001706CB" w:rsidRPr="009A1476">
              <w:rPr>
                <w:sz w:val="22"/>
                <w:szCs w:val="22"/>
              </w:rPr>
              <w:t xml:space="preserve"> 16(1)(b), </w:t>
            </w:r>
            <w:r w:rsidR="00075992">
              <w:rPr>
                <w:sz w:val="22"/>
                <w:szCs w:val="22"/>
              </w:rPr>
              <w:t xml:space="preserve">paragraph </w:t>
            </w:r>
            <w:r w:rsidR="001706CB" w:rsidRPr="009A1476">
              <w:rPr>
                <w:sz w:val="22"/>
                <w:szCs w:val="22"/>
              </w:rPr>
              <w:t xml:space="preserve">56(1)(b) and </w:t>
            </w:r>
            <w:r w:rsidR="00075992">
              <w:rPr>
                <w:sz w:val="22"/>
                <w:szCs w:val="22"/>
              </w:rPr>
              <w:t xml:space="preserve">subsection </w:t>
            </w:r>
            <w:r w:rsidR="001706CB" w:rsidRPr="009A1476">
              <w:rPr>
                <w:sz w:val="22"/>
                <w:szCs w:val="22"/>
              </w:rPr>
              <w:t>175(1)</w:t>
            </w:r>
            <w:r w:rsidRPr="009A1476">
              <w:rPr>
                <w:sz w:val="22"/>
                <w:szCs w:val="22"/>
              </w:rPr>
              <w:t xml:space="preserve"> of the Credit </w:t>
            </w:r>
            <w:r w:rsidR="001706CB" w:rsidRPr="009A1476">
              <w:rPr>
                <w:sz w:val="22"/>
                <w:szCs w:val="22"/>
              </w:rPr>
              <w:t>Code</w:t>
            </w:r>
            <w:r w:rsidR="00381857" w:rsidRPr="009A1476">
              <w:rPr>
                <w:sz w:val="22"/>
                <w:szCs w:val="22"/>
              </w:rPr>
              <w:t>:</w:t>
            </w:r>
          </w:p>
          <w:p w14:paraId="28D2ED19" w14:textId="77777777" w:rsidR="00381857" w:rsidRPr="009A1476" w:rsidRDefault="00381857" w:rsidP="0038185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9A1476">
              <w:rPr>
                <w:rFonts w:ascii="Times New Roman" w:hAnsi="Times New Roman" w:cs="Times New Roman"/>
              </w:rPr>
              <w:t>Form 5 – Information statement – Things you should know about your proposed credit contract</w:t>
            </w:r>
          </w:p>
          <w:p w14:paraId="3EDE9539" w14:textId="77777777" w:rsidR="00381857" w:rsidRPr="009A1476" w:rsidRDefault="00381857" w:rsidP="0038185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9A1476">
              <w:rPr>
                <w:rFonts w:ascii="Times New Roman" w:hAnsi="Times New Roman" w:cs="Times New Roman"/>
              </w:rPr>
              <w:t>Form 9 – Information statement – Things you should know about guarantees</w:t>
            </w:r>
          </w:p>
          <w:p w14:paraId="7C0F8DEF" w14:textId="77777777" w:rsidR="00381857" w:rsidRPr="009A1476" w:rsidRDefault="00381857" w:rsidP="0038185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9A1476">
              <w:rPr>
                <w:rFonts w:ascii="Times New Roman" w:hAnsi="Times New Roman" w:cs="Times New Roman"/>
              </w:rPr>
              <w:t>Form 17 – Information statement – Things you should know about your consumer lease</w:t>
            </w:r>
          </w:p>
          <w:p w14:paraId="4E860A0D" w14:textId="77777777" w:rsidR="00B84505" w:rsidRPr="009A1476" w:rsidRDefault="00B84505" w:rsidP="00C41142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9A1476">
              <w:rPr>
                <w:rFonts w:ascii="Times New Roman" w:hAnsi="Times New Roman" w:cs="Times New Roman"/>
                <w:b/>
              </w:rPr>
              <w:t>Human rights implications</w:t>
            </w:r>
          </w:p>
          <w:p w14:paraId="073C78E8" w14:textId="77777777" w:rsidR="00B84505" w:rsidRPr="009A1476" w:rsidRDefault="00B84505" w:rsidP="00C41142">
            <w:pPr>
              <w:spacing w:before="120" w:after="120"/>
              <w:rPr>
                <w:rFonts w:ascii="Times New Roman" w:hAnsi="Times New Roman" w:cs="Times New Roman"/>
              </w:rPr>
            </w:pPr>
            <w:r w:rsidRPr="009A1476">
              <w:rPr>
                <w:rFonts w:ascii="Times New Roman" w:hAnsi="Times New Roman" w:cs="Times New Roman"/>
              </w:rPr>
              <w:t>This legislative instrument does not engage any of the applicable rights or freedoms.</w:t>
            </w:r>
          </w:p>
          <w:p w14:paraId="614CC0D9" w14:textId="77777777" w:rsidR="00B84505" w:rsidRPr="009A1476" w:rsidRDefault="00B84505" w:rsidP="00C41142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9A1476">
              <w:rPr>
                <w:rFonts w:ascii="Times New Roman" w:hAnsi="Times New Roman" w:cs="Times New Roman"/>
                <w:b/>
              </w:rPr>
              <w:t>Conclusion</w:t>
            </w:r>
          </w:p>
          <w:p w14:paraId="588F2065" w14:textId="77777777" w:rsidR="00B84505" w:rsidRPr="009A1476" w:rsidRDefault="00B84505" w:rsidP="00C41142">
            <w:pPr>
              <w:spacing w:before="120" w:after="120"/>
              <w:rPr>
                <w:rFonts w:ascii="Times New Roman" w:hAnsi="Times New Roman" w:cs="Times New Roman"/>
              </w:rPr>
            </w:pPr>
            <w:r w:rsidRPr="009A1476">
              <w:rPr>
                <w:rFonts w:ascii="Times New Roman" w:hAnsi="Times New Roman" w:cs="Times New Roman"/>
              </w:rPr>
              <w:t>This legislative instrument is compatible with human rights as it does not raise any human rights issues.</w:t>
            </w:r>
          </w:p>
          <w:p w14:paraId="05DA9B30" w14:textId="77777777" w:rsidR="00B84505" w:rsidRPr="009A1476" w:rsidRDefault="00B84505" w:rsidP="00C4114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14:paraId="2E802168" w14:textId="77777777" w:rsidR="00B84505" w:rsidRPr="009A1476" w:rsidRDefault="00B84505" w:rsidP="00C4114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A1476">
              <w:rPr>
                <w:rFonts w:ascii="Times New Roman" w:hAnsi="Times New Roman" w:cs="Times New Roman"/>
                <w:b/>
              </w:rPr>
              <w:t>Australian Securities and Investments Commission</w:t>
            </w:r>
          </w:p>
          <w:p w14:paraId="048E69A1" w14:textId="77777777" w:rsidR="00B84505" w:rsidRPr="009A1476" w:rsidRDefault="00B84505" w:rsidP="00C41142">
            <w:pPr>
              <w:rPr>
                <w:b/>
              </w:rPr>
            </w:pPr>
          </w:p>
          <w:p w14:paraId="6676E69B" w14:textId="77777777" w:rsidR="00B84505" w:rsidRPr="009A1476" w:rsidRDefault="00B84505" w:rsidP="00C41142">
            <w:pPr>
              <w:rPr>
                <w:b/>
              </w:rPr>
            </w:pPr>
          </w:p>
        </w:tc>
      </w:tr>
    </w:tbl>
    <w:p w14:paraId="1012D3F3" w14:textId="77777777" w:rsidR="00B84505" w:rsidRPr="009A1476" w:rsidRDefault="00B84505"/>
    <w:sectPr w:rsidR="00B84505" w:rsidRPr="009A147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6517D" w14:textId="77777777" w:rsidR="00FD5223" w:rsidRDefault="00FD5223" w:rsidP="00FD5223">
      <w:pPr>
        <w:spacing w:after="0" w:line="240" w:lineRule="auto"/>
      </w:pPr>
      <w:r>
        <w:separator/>
      </w:r>
    </w:p>
  </w:endnote>
  <w:endnote w:type="continuationSeparator" w:id="0">
    <w:p w14:paraId="320F8784" w14:textId="77777777" w:rsidR="00FD5223" w:rsidRDefault="00FD5223" w:rsidP="00FD5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8432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DB94DD" w14:textId="6833BBC6" w:rsidR="00FD5223" w:rsidRDefault="00FD52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74D540" w14:textId="77777777" w:rsidR="00FD5223" w:rsidRDefault="00FD5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F7C7C" w14:textId="77777777" w:rsidR="00FD5223" w:rsidRDefault="00FD5223" w:rsidP="00FD5223">
      <w:pPr>
        <w:spacing w:after="0" w:line="240" w:lineRule="auto"/>
      </w:pPr>
      <w:r>
        <w:separator/>
      </w:r>
    </w:p>
  </w:footnote>
  <w:footnote w:type="continuationSeparator" w:id="0">
    <w:p w14:paraId="235213EA" w14:textId="77777777" w:rsidR="00FD5223" w:rsidRDefault="00FD5223" w:rsidP="00FD5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0612"/>
    <w:multiLevelType w:val="hybridMultilevel"/>
    <w:tmpl w:val="19C4B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46E1C"/>
    <w:multiLevelType w:val="hybridMultilevel"/>
    <w:tmpl w:val="FFE247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A4A28"/>
    <w:multiLevelType w:val="hybridMultilevel"/>
    <w:tmpl w:val="4B0C9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A5FBC"/>
    <w:multiLevelType w:val="multilevel"/>
    <w:tmpl w:val="C07CFE3A"/>
    <w:lvl w:ilvl="0">
      <w:start w:val="1"/>
      <w:numFmt w:val="decimal"/>
      <w:pStyle w:val="RPG-BodyTextNumbered"/>
      <w:lvlText w:val="%1"/>
      <w:lvlJc w:val="left"/>
      <w:pPr>
        <w:tabs>
          <w:tab w:val="num" w:pos="851"/>
        </w:tabs>
        <w:ind w:left="851" w:hanging="426"/>
      </w:pPr>
      <w:rPr>
        <w:rFonts w:hint="default"/>
        <w:sz w:val="18"/>
      </w:rPr>
    </w:lvl>
    <w:lvl w:ilvl="1">
      <w:start w:val="1"/>
      <w:numFmt w:val="lowerLetter"/>
      <w:pStyle w:val="RPG-SublistLevel1"/>
      <w:lvlText w:val="(%2)"/>
      <w:lvlJc w:val="left"/>
      <w:pPr>
        <w:tabs>
          <w:tab w:val="num" w:pos="1276"/>
        </w:tabs>
        <w:ind w:left="1276" w:hanging="425"/>
      </w:pPr>
      <w:rPr>
        <w:rFonts w:hint="default"/>
        <w:sz w:val="18"/>
      </w:rPr>
    </w:lvl>
    <w:lvl w:ilvl="2">
      <w:start w:val="1"/>
      <w:numFmt w:val="lowerRoman"/>
      <w:pStyle w:val="RPG-SublistLevel2"/>
      <w:lvlText w:val="(%3)"/>
      <w:lvlJc w:val="left"/>
      <w:pPr>
        <w:tabs>
          <w:tab w:val="num" w:pos="1701"/>
        </w:tabs>
        <w:ind w:left="1701" w:hanging="425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9C6207C"/>
    <w:multiLevelType w:val="hybridMultilevel"/>
    <w:tmpl w:val="FED4A17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05"/>
    <w:rsid w:val="0003642E"/>
    <w:rsid w:val="00071A82"/>
    <w:rsid w:val="00075992"/>
    <w:rsid w:val="000A0751"/>
    <w:rsid w:val="000B3E6A"/>
    <w:rsid w:val="000C6F37"/>
    <w:rsid w:val="00142489"/>
    <w:rsid w:val="001706CB"/>
    <w:rsid w:val="001B75C4"/>
    <w:rsid w:val="001C5E9E"/>
    <w:rsid w:val="00206D9D"/>
    <w:rsid w:val="00243CF3"/>
    <w:rsid w:val="00267112"/>
    <w:rsid w:val="002A2350"/>
    <w:rsid w:val="00313355"/>
    <w:rsid w:val="00315A71"/>
    <w:rsid w:val="00324945"/>
    <w:rsid w:val="00331657"/>
    <w:rsid w:val="00381857"/>
    <w:rsid w:val="003C2B98"/>
    <w:rsid w:val="003F1A14"/>
    <w:rsid w:val="00402B0D"/>
    <w:rsid w:val="0048019F"/>
    <w:rsid w:val="0049057C"/>
    <w:rsid w:val="00492643"/>
    <w:rsid w:val="00493F6F"/>
    <w:rsid w:val="004D7559"/>
    <w:rsid w:val="004E6D87"/>
    <w:rsid w:val="00535E46"/>
    <w:rsid w:val="005563BA"/>
    <w:rsid w:val="005666CE"/>
    <w:rsid w:val="00577911"/>
    <w:rsid w:val="005973C4"/>
    <w:rsid w:val="005A407E"/>
    <w:rsid w:val="005C0BA6"/>
    <w:rsid w:val="005E5A33"/>
    <w:rsid w:val="006024FF"/>
    <w:rsid w:val="00622A49"/>
    <w:rsid w:val="00625C54"/>
    <w:rsid w:val="00630B28"/>
    <w:rsid w:val="00630F6F"/>
    <w:rsid w:val="006409B6"/>
    <w:rsid w:val="00641A78"/>
    <w:rsid w:val="00664C7A"/>
    <w:rsid w:val="00691D99"/>
    <w:rsid w:val="006C7E12"/>
    <w:rsid w:val="006D7D0B"/>
    <w:rsid w:val="006E57BD"/>
    <w:rsid w:val="00744FA8"/>
    <w:rsid w:val="00770D4E"/>
    <w:rsid w:val="00777ACF"/>
    <w:rsid w:val="00796728"/>
    <w:rsid w:val="007A208E"/>
    <w:rsid w:val="007A62B6"/>
    <w:rsid w:val="007E56D2"/>
    <w:rsid w:val="00823877"/>
    <w:rsid w:val="00847997"/>
    <w:rsid w:val="00854149"/>
    <w:rsid w:val="0086537B"/>
    <w:rsid w:val="0089240B"/>
    <w:rsid w:val="008931BA"/>
    <w:rsid w:val="008B1CBA"/>
    <w:rsid w:val="008B3395"/>
    <w:rsid w:val="008B6816"/>
    <w:rsid w:val="008E11DC"/>
    <w:rsid w:val="009005A4"/>
    <w:rsid w:val="00955D04"/>
    <w:rsid w:val="00966CD5"/>
    <w:rsid w:val="009749B6"/>
    <w:rsid w:val="009A1476"/>
    <w:rsid w:val="009C30D4"/>
    <w:rsid w:val="009D6157"/>
    <w:rsid w:val="009D73A8"/>
    <w:rsid w:val="009E7584"/>
    <w:rsid w:val="009F6ECD"/>
    <w:rsid w:val="00A05CB4"/>
    <w:rsid w:val="00A11C2A"/>
    <w:rsid w:val="00A22EF2"/>
    <w:rsid w:val="00A51533"/>
    <w:rsid w:val="00A77F97"/>
    <w:rsid w:val="00AA02E0"/>
    <w:rsid w:val="00AD3944"/>
    <w:rsid w:val="00AF3F6D"/>
    <w:rsid w:val="00B1419C"/>
    <w:rsid w:val="00B1657F"/>
    <w:rsid w:val="00B30BCF"/>
    <w:rsid w:val="00B44AD3"/>
    <w:rsid w:val="00B47F8F"/>
    <w:rsid w:val="00B722BA"/>
    <w:rsid w:val="00B83D20"/>
    <w:rsid w:val="00B84505"/>
    <w:rsid w:val="00B864C5"/>
    <w:rsid w:val="00B92907"/>
    <w:rsid w:val="00B97A09"/>
    <w:rsid w:val="00BA100F"/>
    <w:rsid w:val="00BA1683"/>
    <w:rsid w:val="00BC5979"/>
    <w:rsid w:val="00BD000E"/>
    <w:rsid w:val="00BE2302"/>
    <w:rsid w:val="00C019AB"/>
    <w:rsid w:val="00C83B4A"/>
    <w:rsid w:val="00CA25D6"/>
    <w:rsid w:val="00CB27A3"/>
    <w:rsid w:val="00CF313D"/>
    <w:rsid w:val="00D14DF3"/>
    <w:rsid w:val="00D26C42"/>
    <w:rsid w:val="00D44885"/>
    <w:rsid w:val="00D74763"/>
    <w:rsid w:val="00D824C3"/>
    <w:rsid w:val="00D83740"/>
    <w:rsid w:val="00D87477"/>
    <w:rsid w:val="00DD3385"/>
    <w:rsid w:val="00E073D9"/>
    <w:rsid w:val="00E33DE2"/>
    <w:rsid w:val="00E45DEA"/>
    <w:rsid w:val="00E611D3"/>
    <w:rsid w:val="00E8244F"/>
    <w:rsid w:val="00E8495A"/>
    <w:rsid w:val="00F01A63"/>
    <w:rsid w:val="00F22422"/>
    <w:rsid w:val="00F22553"/>
    <w:rsid w:val="00F31339"/>
    <w:rsid w:val="00F357C3"/>
    <w:rsid w:val="00F46987"/>
    <w:rsid w:val="00F46B54"/>
    <w:rsid w:val="00F84D3C"/>
    <w:rsid w:val="00F87A6E"/>
    <w:rsid w:val="00FB6FD7"/>
    <w:rsid w:val="00FC33E3"/>
    <w:rsid w:val="00FD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5F0CC"/>
  <w15:chartTrackingRefBased/>
  <w15:docId w15:val="{90D4868B-DA9B-4059-9C73-FA3D58B0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4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PG-BodyTextNumbered">
    <w:name w:val="RPG - Body Text (Numbered)"/>
    <w:basedOn w:val="Normal"/>
    <w:link w:val="RPG-BodyTextNumberedChar"/>
    <w:qFormat/>
    <w:rsid w:val="00B84505"/>
    <w:pPr>
      <w:numPr>
        <w:numId w:val="1"/>
      </w:numPr>
      <w:spacing w:before="200" w:after="0" w:line="240" w:lineRule="auto"/>
    </w:pPr>
    <w:rPr>
      <w:rFonts w:ascii="Times New Roman" w:hAnsi="Times New Roman"/>
    </w:rPr>
  </w:style>
  <w:style w:type="paragraph" w:customStyle="1" w:styleId="RPG-SublistLevel1">
    <w:name w:val="RPG - Sublist Level 1"/>
    <w:basedOn w:val="RPG-BodyTextNumbered"/>
    <w:qFormat/>
    <w:rsid w:val="00B84505"/>
    <w:pPr>
      <w:numPr>
        <w:ilvl w:val="1"/>
      </w:numPr>
      <w:spacing w:before="120"/>
    </w:pPr>
  </w:style>
  <w:style w:type="paragraph" w:customStyle="1" w:styleId="RPG-SublistLevel2">
    <w:name w:val="RPG - Sublist Level 2"/>
    <w:basedOn w:val="RPG-SublistLevel1"/>
    <w:qFormat/>
    <w:rsid w:val="00B84505"/>
    <w:pPr>
      <w:numPr>
        <w:ilvl w:val="2"/>
      </w:numPr>
    </w:pPr>
  </w:style>
  <w:style w:type="character" w:customStyle="1" w:styleId="RPG-BodyTextNumberedChar">
    <w:name w:val="RPG - Body Text (Numbered) Char"/>
    <w:basedOn w:val="DefaultParagraphFont"/>
    <w:link w:val="RPG-BodyTextNumbered"/>
    <w:rsid w:val="00B84505"/>
    <w:rPr>
      <w:rFonts w:ascii="Times New Roman" w:hAnsi="Times New Roman"/>
    </w:rPr>
  </w:style>
  <w:style w:type="paragraph" w:styleId="BodyText">
    <w:name w:val="Body Text"/>
    <w:link w:val="BodyTextChar"/>
    <w:rsid w:val="00B84505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after="0" w:line="30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84505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B84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47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9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9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9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9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67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223"/>
  </w:style>
  <w:style w:type="paragraph" w:styleId="Footer">
    <w:name w:val="footer"/>
    <w:basedOn w:val="Normal"/>
    <w:link w:val="FooterChar"/>
    <w:uiPriority w:val="99"/>
    <w:unhideWhenUsed/>
    <w:rsid w:val="00FD5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 xsi:nil="true"/>
    <ObjectiveID xmlns="da7a9ac0-bc47-4684-84e6-3a8e9ac80c12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Reviewers xmlns="17f478ab-373e-4295-9ff0-9b833ad01319">
      <UserInfo>
        <DisplayName/>
        <AccountId xsi:nil="true"/>
        <AccountType/>
      </UserInfo>
    </Reviewers>
    <Approvers xmlns="da7a9ac0-bc47-4684-84e6-3a8e9ac80c12">
      <UserInfo>
        <DisplayName/>
        <AccountId xsi:nil="true"/>
        <AccountType/>
      </UserInfo>
    </Approvers>
    <hbe12d52d4d34160aedef9a950587c48 xmlns="86a22471-1f5d-4f46-bded-fde7db4a33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hbe12d52d4d34160aedef9a950587c48>
    <SignificantReason xmlns="da7a9ac0-bc47-4684-84e6-3a8e9ac80c12" xsi:nil="true"/>
    <TaxCatchAll xmlns="86a22471-1f5d-4f46-bded-fde7db4a3348">
      <Value>7</Value>
    </TaxCatchAll>
    <NotesLinks xmlns="da7a9ac0-bc47-4684-84e6-3a8e9ac80c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01DE6635E7DC80429F2A2550668C1D33" ma:contentTypeVersion="4" ma:contentTypeDescription="" ma:contentTypeScope="" ma:versionID="3915422061c54e43dc7060e4e750bc89">
  <xsd:schema xmlns:xsd="http://www.w3.org/2001/XMLSchema" xmlns:xs="http://www.w3.org/2001/XMLSchema" xmlns:p="http://schemas.microsoft.com/office/2006/metadata/properties" xmlns:ns2="da7a9ac0-bc47-4684-84e6-3a8e9ac80c12" xmlns:ns3="86a22471-1f5d-4f46-bded-fde7db4a3348" xmlns:ns4="17f478ab-373e-4295-9ff0-9b833ad01319" targetNamespace="http://schemas.microsoft.com/office/2006/metadata/properties" ma:root="true" ma:fieldsID="610d9c325a819ecc9dd3645a5d1ab6eb" ns2:_="" ns3:_="" ns4:_="">
    <xsd:import namespace="da7a9ac0-bc47-4684-84e6-3a8e9ac80c12"/>
    <xsd:import namespace="86a22471-1f5d-4f46-bded-fde7db4a3348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2:NotesLinks" minOccurs="0"/>
                <xsd:element ref="ns4:Reviewers" minOccurs="0"/>
                <xsd:element ref="ns2:Approvers" minOccurs="0"/>
                <xsd:element ref="ns3:hbe12d52d4d34160aedef9a950587c4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17" nillable="true" ma:displayName="Notes &amp; Links" ma:description="Use this field to enter relevant document/site hyperlinks and/or notes." ma:internalName="NotesLinks">
      <xsd:simpleType>
        <xsd:restriction base="dms:Note"/>
      </xsd:simpleType>
    </xsd:element>
    <xsd:element name="Approvers" ma:index="19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22471-1f5d-4f46-bded-fde7db4a3348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f167406d-5cef-4d7a-b5e0-db659baca2f1}" ma:internalName="TaxCatchAll" ma:showField="CatchAllData" ma:web="86a22471-1f5d-4f46-bded-fde7db4a3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f167406d-5cef-4d7a-b5e0-db659baca2f1}" ma:internalName="TaxCatchAllLabel" ma:readOnly="true" ma:showField="CatchAllDataLabel" ma:web="86a22471-1f5d-4f46-bded-fde7db4a3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be12d52d4d34160aedef9a950587c48" ma:index="20" ma:taxonomy="true" ma:internalName="hbe12d52d4d34160aedef9a950587c48" ma:taxonomyFieldName="SecurityClassification" ma:displayName="Security Classification" ma:default="7;#Sensitive|19fd2cb8-3e97-4464-ae71-8c2c2095d028" ma:fieldId="{1be12d52-d4d3-4160-aede-f9a950587c48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18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C03710-E75A-40B9-A889-45F300E036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D7BA13-6698-4C64-A6B4-0D72EB433F20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17f478ab-373e-4295-9ff0-9b833ad01319"/>
    <ds:schemaRef ds:uri="http://schemas.microsoft.com/office/infopath/2007/PartnerControls"/>
    <ds:schemaRef ds:uri="da7a9ac0-bc47-4684-84e6-3a8e9ac80c12"/>
    <ds:schemaRef ds:uri="86a22471-1f5d-4f46-bded-fde7db4a3348"/>
    <ds:schemaRef ds:uri="http://www.w3.org/XML/1998/namespace"/>
    <ds:schemaRef ds:uri="http://schemas.microsoft.com/office/2006/documentManagement/typ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51439C2-5744-417D-9E90-7F9CC071E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86a22471-1f5d-4f46-bded-fde7db4a3348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Rush</dc:creator>
  <cp:keywords/>
  <dc:description/>
  <cp:lastModifiedBy>Jacqueline Rush</cp:lastModifiedBy>
  <cp:revision>2</cp:revision>
  <cp:lastPrinted>2018-07-27T00:49:00Z</cp:lastPrinted>
  <dcterms:created xsi:type="dcterms:W3CDTF">2018-08-16T22:04:00Z</dcterms:created>
  <dcterms:modified xsi:type="dcterms:W3CDTF">2018-08-16T22:04:00Z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0x010100B5F685A1365F544391EF8C813B164F3A0001DE6635E7DC80429F2A2550668C1D33</vt:lpwstr>
  </property>
  <property fmtid="{D5CDD505-2E9C-101B-9397-08002B2CF9AE}" pid="3" name="SecurityClassification">
    <vt:lpwstr>7;#Sensitive|19fd2cb8-3e97-4464-ae71-8c2c2095d028</vt:lpwstr>
  </property>
</Properties>
</file>