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ncement is an AASB Standard, the Standard number, and the month of issue of the AASB amending Standard"/>
      </w:tblPr>
      <w:tblGrid>
        <w:gridCol w:w="4661"/>
        <w:gridCol w:w="4661"/>
      </w:tblGrid>
      <w:tr w:rsidR="00090A6F" w:rsidRPr="0000292B" w:rsidTr="00A22E0D">
        <w:tc>
          <w:tcPr>
            <w:tcW w:w="4661" w:type="dxa"/>
          </w:tcPr>
          <w:p w:rsidR="00090A6F" w:rsidRPr="0000292B" w:rsidRDefault="00364B30">
            <w:pPr>
              <w:pStyle w:val="CoverStandard"/>
            </w:pPr>
            <w:bookmarkStart w:id="0" w:name="_GoBack"/>
            <w:bookmarkEnd w:id="0"/>
            <w:r>
              <w:t>AASB</w:t>
            </w:r>
            <w:r w:rsidR="00831497">
              <w:t xml:space="preserve"> Standard</w:t>
            </w:r>
          </w:p>
        </w:tc>
        <w:tc>
          <w:tcPr>
            <w:tcW w:w="4661" w:type="dxa"/>
          </w:tcPr>
          <w:p w:rsidR="00090A6F" w:rsidRPr="0000292B" w:rsidRDefault="00831497">
            <w:pPr>
              <w:pStyle w:val="CoverNumber"/>
            </w:pPr>
            <w:r>
              <w:t>AASB</w:t>
            </w:r>
            <w:r w:rsidR="00090A6F" w:rsidRPr="0000292B">
              <w:t xml:space="preserve"> </w:t>
            </w:r>
            <w:bookmarkStart w:id="1" w:name="DocNo"/>
            <w:r w:rsidR="004A3747">
              <w:t>2018-</w:t>
            </w:r>
            <w:bookmarkEnd w:id="1"/>
            <w:r w:rsidR="005834BF">
              <w:t>3</w:t>
            </w:r>
          </w:p>
          <w:p w:rsidR="00090A6F" w:rsidRPr="0000292B" w:rsidRDefault="00887E6E">
            <w:pPr>
              <w:pStyle w:val="CoverDate"/>
            </w:pPr>
            <w:bookmarkStart w:id="2" w:name="DocDate"/>
            <w:r>
              <w:t>August</w:t>
            </w:r>
            <w:r w:rsidR="004A3747">
              <w:t xml:space="preserve"> 2018</w:t>
            </w:r>
            <w:bookmarkEnd w:id="2"/>
          </w:p>
        </w:tc>
      </w:tr>
    </w:tbl>
    <w:p w:rsidR="00090A6F" w:rsidRPr="0000292B" w:rsidRDefault="004A3747" w:rsidP="003C6B24">
      <w:pPr>
        <w:pStyle w:val="CoverTitle"/>
        <w:jc w:val="left"/>
      </w:pPr>
      <w:bookmarkStart w:id="3" w:name="DocTitle"/>
      <w:r>
        <w:t>Amendments to Australian Accounting Standards</w:t>
      </w:r>
      <w:bookmarkEnd w:id="3"/>
      <w:r w:rsidR="003C6B24">
        <w:t xml:space="preserve"> – Reduced Disclosure Requirements</w:t>
      </w:r>
    </w:p>
    <w:p w:rsidR="00C5022C" w:rsidRPr="00C5022C" w:rsidRDefault="002B7803" w:rsidP="00C5022C">
      <w:pPr>
        <w:pStyle w:val="CoverSubtitle"/>
      </w:pPr>
      <w:r>
        <w:t>[</w:t>
      </w:r>
      <w:bookmarkStart w:id="4" w:name="AmendingNos"/>
      <w:r w:rsidR="004A3747">
        <w:t>AASB 16 &amp; AASB 1058</w:t>
      </w:r>
      <w:bookmarkEnd w:id="4"/>
      <w:r>
        <w:t>]</w:t>
      </w:r>
    </w:p>
    <w:p w:rsidR="00737714" w:rsidRPr="0000292B" w:rsidRDefault="00737714" w:rsidP="00737714"/>
    <w:p w:rsidR="00090A6F" w:rsidRPr="0000292B" w:rsidRDefault="008B643A">
      <w:pPr>
        <w:sectPr w:rsidR="00090A6F" w:rsidRPr="0000292B" w:rsidSect="00D74C6A">
          <w:headerReference w:type="default" r:id="rId7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1" layoutInCell="1" allowOverlap="1" wp14:anchorId="55F52614" wp14:editId="38C2AFCC">
            <wp:simplePos x="0" y="0"/>
            <wp:positionH relativeFrom="margin">
              <wp:posOffset>0</wp:posOffset>
            </wp:positionH>
            <wp:positionV relativeFrom="margin">
              <wp:align>bottom</wp:align>
            </wp:positionV>
            <wp:extent cx="1677600" cy="1332000"/>
            <wp:effectExtent l="0" t="0" r="0" b="1905"/>
            <wp:wrapNone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4" w:rsidRPr="0000292B" w:rsidRDefault="00737714" w:rsidP="00F13C5A">
      <w:pPr>
        <w:pStyle w:val="Heading1"/>
      </w:pPr>
      <w:r w:rsidRPr="0000292B">
        <w:lastRenderedPageBreak/>
        <w:t xml:space="preserve">Obtaining a </w:t>
      </w:r>
      <w:r w:rsidR="005655CE">
        <w:t>c</w:t>
      </w:r>
      <w:r w:rsidRPr="0000292B">
        <w:t xml:space="preserve">opy of this </w:t>
      </w:r>
      <w:r w:rsidR="00C5022C">
        <w:t>Accounting Standard</w:t>
      </w:r>
    </w:p>
    <w:p w:rsidR="00737714" w:rsidRPr="0000292B" w:rsidRDefault="00737714" w:rsidP="00895809">
      <w:pPr>
        <w:spacing w:after="200"/>
      </w:pPr>
      <w:r w:rsidRPr="0000292B">
        <w:t xml:space="preserve">This </w:t>
      </w:r>
      <w:r w:rsidR="00C5022C">
        <w:t>Standard</w:t>
      </w:r>
      <w:r w:rsidRPr="0000292B">
        <w:t xml:space="preserve"> is available o</w:t>
      </w:r>
      <w:r w:rsidR="00923261">
        <w:t>n the AASB website: www.aasb.gov</w:t>
      </w:r>
      <w:r w:rsidRPr="0000292B">
        <w:t>.au.</w:t>
      </w:r>
    </w:p>
    <w:p w:rsidR="00895809" w:rsidRPr="0000292B" w:rsidRDefault="00895809" w:rsidP="00895809">
      <w:r w:rsidRPr="0000292B">
        <w:t>Australian Accounting Standards Board</w:t>
      </w:r>
    </w:p>
    <w:p w:rsidR="00895809" w:rsidRPr="0000292B" w:rsidRDefault="00895809" w:rsidP="00895809">
      <w:r>
        <w:t>PO Box 204</w:t>
      </w:r>
    </w:p>
    <w:p w:rsidR="00895809" w:rsidRPr="0000292B" w:rsidRDefault="00895809" w:rsidP="00895809">
      <w:r>
        <w:t>Collins Street West</w:t>
      </w:r>
    </w:p>
    <w:p w:rsidR="00895809" w:rsidRPr="0000292B" w:rsidRDefault="00895809" w:rsidP="00895809">
      <w:r>
        <w:t>Victoria   8007</w:t>
      </w:r>
    </w:p>
    <w:p w:rsidR="00895809" w:rsidRDefault="00895809" w:rsidP="00895809">
      <w:pPr>
        <w:pStyle w:val="CoverContact"/>
        <w:spacing w:after="200"/>
      </w:pPr>
      <w:r w:rsidRPr="0000292B">
        <w:t>AUSTRALIA</w:t>
      </w:r>
    </w:p>
    <w:p w:rsidR="00737714" w:rsidRDefault="00BF0190" w:rsidP="00B82F15">
      <w:pPr>
        <w:pStyle w:val="CoverContact"/>
      </w:pPr>
      <w:r>
        <w:t>Phone:</w:t>
      </w:r>
      <w:r>
        <w:tab/>
        <w:t>(03) 9617 7600</w:t>
      </w:r>
    </w:p>
    <w:p w:rsidR="00E96D45" w:rsidRDefault="00DB00CD" w:rsidP="00DB00CD">
      <w:pPr>
        <w:pStyle w:val="CoverContact"/>
      </w:pPr>
      <w:r>
        <w:t>E-mail:</w:t>
      </w:r>
      <w:r>
        <w:tab/>
      </w:r>
      <w:r w:rsidR="00BF0190">
        <w:t>standard</w:t>
      </w:r>
      <w:r>
        <w:t>@aasb.gov</w:t>
      </w:r>
      <w:r w:rsidRPr="00C5022C">
        <w:t>.au</w:t>
      </w:r>
    </w:p>
    <w:p w:rsidR="00E96D45" w:rsidRPr="00E96D45" w:rsidRDefault="00DB00CD" w:rsidP="00DB00CD">
      <w:pPr>
        <w:pStyle w:val="CoverContact"/>
        <w:spacing w:after="240"/>
      </w:pPr>
      <w:r>
        <w:t>Website:</w:t>
      </w:r>
      <w:r>
        <w:tab/>
        <w:t>www.aasb.gov.au</w:t>
      </w:r>
    </w:p>
    <w:p w:rsidR="00090A6F" w:rsidRPr="0000292B" w:rsidRDefault="00090A6F" w:rsidP="00F13C5A">
      <w:pPr>
        <w:pStyle w:val="Heading1"/>
      </w:pPr>
      <w:r w:rsidRPr="0000292B">
        <w:t xml:space="preserve">Other </w:t>
      </w:r>
      <w:r w:rsidR="005655CE" w:rsidRPr="0000292B">
        <w:t>enquiries</w:t>
      </w:r>
    </w:p>
    <w:p w:rsidR="00090A6F" w:rsidRPr="0000292B" w:rsidRDefault="00090A6F" w:rsidP="00B82F15">
      <w:pPr>
        <w:pStyle w:val="CoverContact"/>
      </w:pPr>
      <w:r w:rsidRPr="0000292B">
        <w:t>Phone:</w:t>
      </w:r>
      <w:r w:rsidRPr="0000292B">
        <w:tab/>
        <w:t xml:space="preserve">(03) </w:t>
      </w:r>
      <w:r w:rsidRPr="00B82F15">
        <w:t>9617</w:t>
      </w:r>
      <w:r w:rsidRPr="0000292B">
        <w:t xml:space="preserve"> 7600</w:t>
      </w:r>
    </w:p>
    <w:p w:rsidR="00090A6F" w:rsidRPr="0000292B" w:rsidRDefault="00923261">
      <w:pPr>
        <w:pStyle w:val="CoverContact"/>
      </w:pPr>
      <w:r>
        <w:t>E-mail:</w:t>
      </w:r>
      <w:r>
        <w:tab/>
        <w:t>standard@aasb.gov</w:t>
      </w:r>
      <w:r w:rsidR="00090A6F" w:rsidRPr="0000292B">
        <w:t>.au</w:t>
      </w:r>
    </w:p>
    <w:p w:rsidR="00276BC5" w:rsidRDefault="00276BC5" w:rsidP="00E46988">
      <w:pPr>
        <w:pStyle w:val="NoNumPlain1"/>
        <w:spacing w:before="7440"/>
      </w:pPr>
      <w:bookmarkStart w:id="5" w:name="CopyrightText"/>
      <w:r>
        <w:t>COPYRIGHT</w:t>
      </w:r>
    </w:p>
    <w:p w:rsidR="00276BC5" w:rsidRDefault="00276BC5" w:rsidP="00276BC5">
      <w:pPr>
        <w:pStyle w:val="NoNumPlain1"/>
      </w:pPr>
      <w:r>
        <w:t>© Com</w:t>
      </w:r>
      <w:bookmarkStart w:id="6" w:name="CopyrightDomestic"/>
      <w:bookmarkEnd w:id="6"/>
      <w:r>
        <w:t xml:space="preserve">monwealth of Australia </w:t>
      </w:r>
      <w:bookmarkStart w:id="7" w:name="Year"/>
      <w:r w:rsidR="004A3747">
        <w:t>2018</w:t>
      </w:r>
      <w:bookmarkEnd w:id="7"/>
    </w:p>
    <w:p w:rsidR="00276BC5" w:rsidRPr="00DE4E67" w:rsidRDefault="00E46988" w:rsidP="00895809">
      <w:pPr>
        <w:spacing w:after="200"/>
      </w:pPr>
      <w:r w:rsidRPr="00E46988">
        <w:t xml:space="preserve">This work is copyright.  Apart from any use as permitted under the </w:t>
      </w:r>
      <w:r w:rsidRPr="00F311FB">
        <w:rPr>
          <w:i/>
        </w:rPr>
        <w:t>Copyright Act 1968</w:t>
      </w:r>
      <w:r w:rsidRPr="00E46988">
        <w:t xml:space="preserve">, no part may be reproduced by any process without prior written permission.  Requests and enquiries concerning reproduction and rights should be addressed to The </w:t>
      </w:r>
      <w:r w:rsidR="00BF0190">
        <w:t xml:space="preserve">National </w:t>
      </w:r>
      <w:r w:rsidRPr="00E46988">
        <w:t>Director, Australian Accounting Standards Board, PO Box 204</w:t>
      </w:r>
      <w:r w:rsidR="00F311FB">
        <w:t xml:space="preserve">, </w:t>
      </w:r>
      <w:proofErr w:type="gramStart"/>
      <w:r w:rsidR="00F311FB">
        <w:t>Collins</w:t>
      </w:r>
      <w:proofErr w:type="gramEnd"/>
      <w:r w:rsidR="00F311FB">
        <w:t xml:space="preserve"> Street West, Victoria </w:t>
      </w:r>
      <w:r w:rsidRPr="00E46988">
        <w:t>8007</w:t>
      </w:r>
      <w:r w:rsidR="00276BC5" w:rsidRPr="00DE4E67">
        <w:t>.</w:t>
      </w:r>
    </w:p>
    <w:bookmarkEnd w:id="5"/>
    <w:p w:rsidR="007455F0" w:rsidRPr="0000292B" w:rsidRDefault="006D4700" w:rsidP="006D4700">
      <w:r>
        <w:t xml:space="preserve">ISSN </w:t>
      </w:r>
      <w:bookmarkStart w:id="8" w:name="ISSN"/>
      <w:r w:rsidR="004A3747">
        <w:t>1036-4803</w:t>
      </w:r>
      <w:bookmarkEnd w:id="8"/>
    </w:p>
    <w:p w:rsidR="00090A6F" w:rsidRPr="0000292B" w:rsidRDefault="00090A6F">
      <w:pPr>
        <w:sectPr w:rsidR="00090A6F" w:rsidRPr="0000292B" w:rsidSect="00D74C6A">
          <w:footerReference w:type="default" r:id="rId9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090A6F" w:rsidRPr="0000292B" w:rsidRDefault="005655CE">
      <w:pPr>
        <w:pStyle w:val="Heading1"/>
      </w:pPr>
      <w:r w:rsidRPr="0000292B">
        <w:lastRenderedPageBreak/>
        <w:t>Contents</w:t>
      </w:r>
    </w:p>
    <w:p w:rsidR="00090A6F" w:rsidRPr="0000292B" w:rsidRDefault="00A5122D">
      <w:pPr>
        <w:pStyle w:val="ContentsCapsPlain"/>
      </w:pPr>
      <w:r w:rsidRPr="0000292B">
        <w:t>PREFACE</w:t>
      </w:r>
    </w:p>
    <w:p w:rsidR="00090A6F" w:rsidRPr="0000292B" w:rsidRDefault="00A5122D">
      <w:pPr>
        <w:pStyle w:val="ContentsCapsBold"/>
      </w:pPr>
      <w:r w:rsidRPr="0000292B">
        <w:t>ACCOUNTING STANDARD</w:t>
      </w:r>
    </w:p>
    <w:p w:rsidR="00090A6F" w:rsidRDefault="00A5122D">
      <w:pPr>
        <w:pStyle w:val="ContentsCapsBold"/>
        <w:rPr>
          <w:i/>
          <w:iCs/>
        </w:rPr>
      </w:pPr>
      <w:r w:rsidRPr="0000292B">
        <w:t xml:space="preserve">AASB </w:t>
      </w:r>
      <w:r w:rsidR="009C2479" w:rsidRPr="00BC0D5D">
        <w:rPr>
          <w:iCs/>
        </w:rPr>
        <w:fldChar w:fldCharType="begin" w:fldLock="1"/>
      </w:r>
      <w:r w:rsidR="009C2479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9C2479" w:rsidRPr="00BC0D5D">
        <w:rPr>
          <w:iCs/>
        </w:rPr>
        <w:instrText xml:space="preserve">No \* charformat </w:instrText>
      </w:r>
      <w:r w:rsidR="009C2479" w:rsidRPr="00BC0D5D">
        <w:rPr>
          <w:iCs/>
        </w:rPr>
        <w:fldChar w:fldCharType="separate"/>
      </w:r>
      <w:r w:rsidRPr="004A3747">
        <w:rPr>
          <w:iCs/>
        </w:rPr>
        <w:t>2018-</w:t>
      </w:r>
      <w:r w:rsidR="005834BF">
        <w:rPr>
          <w:iCs/>
        </w:rPr>
        <w:t>3</w:t>
      </w:r>
      <w:r w:rsidR="009C2479" w:rsidRPr="00BC0D5D">
        <w:rPr>
          <w:iCs/>
        </w:rPr>
        <w:fldChar w:fldCharType="end"/>
      </w:r>
      <w:r w:rsidRPr="0000292B">
        <w:t xml:space="preserve"> </w:t>
      </w:r>
      <w:r w:rsidR="00CC1DF4" w:rsidRPr="00CC1DF4">
        <w:rPr>
          <w:i/>
        </w:rPr>
        <w:fldChar w:fldCharType="begin" w:fldLock="1"/>
      </w:r>
      <w:r w:rsidR="00CC1DF4" w:rsidRPr="00CC1DF4">
        <w:rPr>
          <w:i/>
        </w:rPr>
        <w:instrText xml:space="preserve"> REF DocTitle \* charformat </w:instrText>
      </w:r>
      <w:r w:rsidR="00CC1DF4" w:rsidRPr="00CC1DF4">
        <w:rPr>
          <w:i/>
        </w:rPr>
        <w:fldChar w:fldCharType="separate"/>
      </w:r>
      <w:r w:rsidRPr="004A3747">
        <w:rPr>
          <w:i/>
        </w:rPr>
        <w:t>AMENDMENTS TO AUSTRALIAN ACCOUNTING STANDARDS</w:t>
      </w:r>
      <w:r>
        <w:rPr>
          <w:i/>
        </w:rPr>
        <w:t xml:space="preserve"> – </w:t>
      </w:r>
      <w:r w:rsidR="00CC1DF4" w:rsidRPr="00CC1DF4">
        <w:rPr>
          <w:i/>
        </w:rPr>
        <w:fldChar w:fldCharType="end"/>
      </w:r>
      <w:r w:rsidRPr="003C6B24">
        <w:rPr>
          <w:i/>
        </w:rPr>
        <w:t>REDUCED DISCLOSURE REQUIREMENTS</w:t>
      </w:r>
    </w:p>
    <w:p w:rsidR="002B7803" w:rsidRPr="002B7803" w:rsidRDefault="002B7803" w:rsidP="002B7803"/>
    <w:p w:rsidR="00090A6F" w:rsidRPr="00D253C7" w:rsidRDefault="00D253C7">
      <w:pPr>
        <w:pStyle w:val="ContentsParaHead"/>
      </w:pPr>
      <w:proofErr w:type="gramStart"/>
      <w:r w:rsidRPr="00D253C7">
        <w:t>f</w:t>
      </w:r>
      <w:r w:rsidR="00E55F2F" w:rsidRPr="00D253C7">
        <w:t>rom</w:t>
      </w:r>
      <w:proofErr w:type="gramEnd"/>
      <w:r w:rsidR="00E55F2F" w:rsidRPr="00D253C7">
        <w:t xml:space="preserve"> paragraph</w:t>
      </w:r>
    </w:p>
    <w:p w:rsidR="00090A6F" w:rsidRPr="00A5122D" w:rsidRDefault="00A5122D" w:rsidP="009E2F6C">
      <w:pPr>
        <w:pStyle w:val="ContentsLevel1"/>
        <w:ind w:right="-1"/>
        <w:jc w:val="right"/>
        <w:rPr>
          <w:b/>
        </w:rPr>
      </w:pPr>
      <w:bookmarkStart w:id="9" w:name="TOCRange"/>
      <w:r w:rsidRPr="00A5122D">
        <w:rPr>
          <w:b/>
        </w:rPr>
        <w:t>OBJECTIVE</w:t>
      </w:r>
      <w:r w:rsidRPr="00A5122D">
        <w:rPr>
          <w:b/>
        </w:rPr>
        <w:tab/>
        <w:t>1</w:t>
      </w:r>
    </w:p>
    <w:p w:rsidR="00090A6F" w:rsidRPr="00A5122D" w:rsidRDefault="00A5122D" w:rsidP="009E2F6C">
      <w:pPr>
        <w:pStyle w:val="ContentsLevel1"/>
        <w:ind w:right="-1"/>
        <w:rPr>
          <w:b/>
        </w:rPr>
      </w:pPr>
      <w:r w:rsidRPr="00A5122D">
        <w:rPr>
          <w:b/>
        </w:rPr>
        <w:t>APPLICATION</w:t>
      </w:r>
      <w:r w:rsidRPr="00A5122D">
        <w:rPr>
          <w:b/>
        </w:rPr>
        <w:tab/>
        <w:t>2</w:t>
      </w:r>
    </w:p>
    <w:p w:rsidR="004A3747" w:rsidRPr="00A5122D" w:rsidRDefault="004C4BAD" w:rsidP="009E2F6C">
      <w:pPr>
        <w:pStyle w:val="ContentsLevel1"/>
        <w:ind w:right="-143"/>
        <w:rPr>
          <w:b/>
        </w:rPr>
      </w:pPr>
      <w:r>
        <w:rPr>
          <w:b/>
        </w:rPr>
        <w:t>AMENDMENTS TO AASB 16</w:t>
      </w:r>
      <w:r>
        <w:rPr>
          <w:b/>
        </w:rPr>
        <w:tab/>
        <w:t>5</w:t>
      </w:r>
    </w:p>
    <w:p w:rsidR="004A3747" w:rsidRDefault="00A5122D" w:rsidP="009E2F6C">
      <w:pPr>
        <w:pStyle w:val="ContentsLevel1"/>
        <w:ind w:right="-143"/>
      </w:pPr>
      <w:r w:rsidRPr="00A5122D">
        <w:rPr>
          <w:b/>
        </w:rPr>
        <w:t>AMENDMENTS TO AASB 1058</w:t>
      </w:r>
      <w:r>
        <w:tab/>
      </w:r>
      <w:r w:rsidR="004C4BAD">
        <w:rPr>
          <w:b/>
        </w:rPr>
        <w:t>6</w:t>
      </w:r>
    </w:p>
    <w:p w:rsidR="00090A6F" w:rsidRDefault="00A5122D" w:rsidP="00E55F2F">
      <w:pPr>
        <w:tabs>
          <w:tab w:val="right" w:pos="9071"/>
        </w:tabs>
        <w:rPr>
          <w:b/>
        </w:rPr>
      </w:pPr>
      <w:r w:rsidRPr="00A5122D">
        <w:rPr>
          <w:b/>
        </w:rPr>
        <w:t xml:space="preserve">COMMENCEMENT OF THE </w:t>
      </w:r>
      <w:r w:rsidR="00E55F2F">
        <w:rPr>
          <w:b/>
        </w:rPr>
        <w:t>LEGISLATIVE INSTRUMENT</w:t>
      </w:r>
      <w:r>
        <w:rPr>
          <w:b/>
        </w:rPr>
        <w:tab/>
      </w:r>
      <w:bookmarkStart w:id="10" w:name="ContentsMarker"/>
      <w:bookmarkEnd w:id="10"/>
      <w:r w:rsidR="004C4BAD">
        <w:rPr>
          <w:b/>
        </w:rPr>
        <w:t>7</w:t>
      </w:r>
    </w:p>
    <w:p w:rsidR="00D253C7" w:rsidRDefault="00D253C7" w:rsidP="00E55F2F">
      <w:pPr>
        <w:tabs>
          <w:tab w:val="right" w:pos="9071"/>
        </w:tabs>
        <w:rPr>
          <w:b/>
        </w:rPr>
      </w:pPr>
    </w:p>
    <w:p w:rsidR="00E55F2F" w:rsidRPr="00E55F2F" w:rsidRDefault="00E55F2F" w:rsidP="0059515E">
      <w:pPr>
        <w:tabs>
          <w:tab w:val="right" w:pos="9071"/>
        </w:tabs>
        <w:spacing w:after="120"/>
        <w:rPr>
          <w:b/>
        </w:rPr>
      </w:pPr>
      <w:r>
        <w:rPr>
          <w:b/>
        </w:rPr>
        <w:t>BASIS FOR CONCLUSIONS</w:t>
      </w:r>
      <w:r>
        <w:rPr>
          <w:b/>
        </w:rPr>
        <w:tab/>
      </w:r>
    </w:p>
    <w:p w:rsidR="00E55F2F" w:rsidRPr="0000292B" w:rsidRDefault="00E55F2F" w:rsidP="0059515E">
      <w:pPr>
        <w:spacing w:after="120"/>
      </w:pPr>
    </w:p>
    <w:bookmarkEnd w:id="9"/>
    <w:p w:rsidR="00090A6F" w:rsidRPr="0000292B" w:rsidRDefault="00F56BB3" w:rsidP="0059515E">
      <w:pPr>
        <w:pStyle w:val="ContentsBox"/>
        <w:spacing w:after="120"/>
      </w:pPr>
      <w:r>
        <w:t>Australian Accounting S</w:t>
      </w:r>
      <w:r w:rsidRPr="0000292B">
        <w:t xml:space="preserve">tandard </w:t>
      </w:r>
      <w:r>
        <w:t>AASB</w:t>
      </w:r>
      <w:r w:rsidRPr="0000292B">
        <w:t xml:space="preserve"> </w:t>
      </w:r>
      <w:r w:rsidR="005834BF">
        <w:rPr>
          <w:iCs/>
        </w:rPr>
        <w:t>2018-3</w:t>
      </w:r>
      <w:r w:rsidR="004C4BAD">
        <w:rPr>
          <w:iCs/>
        </w:rPr>
        <w:t xml:space="preserve"> </w:t>
      </w:r>
      <w:r w:rsidR="003C6B24" w:rsidRPr="00CC1DF4">
        <w:rPr>
          <w:i/>
        </w:rPr>
        <w:fldChar w:fldCharType="begin" w:fldLock="1"/>
      </w:r>
      <w:r w:rsidR="003C6B24" w:rsidRPr="00CC1DF4">
        <w:rPr>
          <w:i/>
        </w:rPr>
        <w:instrText xml:space="preserve"> REF DocTitle \* charformat </w:instrText>
      </w:r>
      <w:r w:rsidR="003C6B24" w:rsidRPr="00CC1DF4">
        <w:rPr>
          <w:i/>
        </w:rPr>
        <w:fldChar w:fldCharType="separate"/>
      </w:r>
      <w:r>
        <w:rPr>
          <w:i/>
        </w:rPr>
        <w:t>Amendments to Australian Accounting S</w:t>
      </w:r>
      <w:r w:rsidRPr="004A3747">
        <w:rPr>
          <w:i/>
        </w:rPr>
        <w:t>tandards</w:t>
      </w:r>
      <w:r w:rsidR="00A5122D">
        <w:rPr>
          <w:i/>
        </w:rPr>
        <w:t xml:space="preserve"> – </w:t>
      </w:r>
      <w:r w:rsidR="003C6B24" w:rsidRPr="00CC1DF4">
        <w:rPr>
          <w:i/>
        </w:rPr>
        <w:fldChar w:fldCharType="end"/>
      </w:r>
      <w:r>
        <w:rPr>
          <w:i/>
        </w:rPr>
        <w:t>Reduced Disclosure R</w:t>
      </w:r>
      <w:r w:rsidRPr="003C6B24">
        <w:rPr>
          <w:i/>
        </w:rPr>
        <w:t>equirements</w:t>
      </w:r>
      <w:r w:rsidR="00A5122D" w:rsidRPr="0000292B">
        <w:rPr>
          <w:i/>
          <w:iCs/>
        </w:rPr>
        <w:t xml:space="preserve"> </w:t>
      </w:r>
      <w:r w:rsidRPr="0000292B">
        <w:t xml:space="preserve">is set out </w:t>
      </w:r>
      <w:r>
        <w:t>i</w:t>
      </w:r>
      <w:r w:rsidRPr="0000292B">
        <w:t xml:space="preserve">n </w:t>
      </w:r>
      <w:r>
        <w:t>paragraphs</w:t>
      </w:r>
      <w:r w:rsidR="00A5122D" w:rsidRPr="0000292B">
        <w:t xml:space="preserve"> </w:t>
      </w:r>
      <w:r w:rsidR="00A5122D">
        <w:t xml:space="preserve">1 – </w:t>
      </w:r>
      <w:r w:rsidR="004C4BAD">
        <w:t>7</w:t>
      </w:r>
      <w:r w:rsidRPr="0000292B">
        <w:t>. All the pa</w:t>
      </w:r>
      <w:r>
        <w:t>ragraphs have equal authority.</w:t>
      </w:r>
    </w:p>
    <w:p w:rsidR="00090A6F" w:rsidRPr="0000292B" w:rsidRDefault="00090A6F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90A6F" w:rsidRPr="0000292B" w:rsidRDefault="00090A6F">
      <w:pPr>
        <w:sectPr w:rsidR="00090A6F" w:rsidRPr="0000292B" w:rsidSect="00D74C6A">
          <w:footerReference w:type="default" r:id="rId10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Preface</w:t>
      </w:r>
    </w:p>
    <w:p w:rsidR="000F64CC" w:rsidRPr="0000292B" w:rsidRDefault="00CA61C5">
      <w:pPr>
        <w:pStyle w:val="Heading2"/>
      </w:pPr>
      <w:r>
        <w:t xml:space="preserve">Standards amended by AASB </w:t>
      </w:r>
      <w:r>
        <w:fldChar w:fldCharType="begin" w:fldLock="1"/>
      </w:r>
      <w:r>
        <w:instrText xml:space="preserve"> REF DocNo \* charformat</w:instrText>
      </w:r>
      <w:r>
        <w:fldChar w:fldCharType="separate"/>
      </w:r>
      <w:r w:rsidR="004A3747">
        <w:t>2018-</w:t>
      </w:r>
      <w:r w:rsidR="005834BF">
        <w:t>3</w:t>
      </w:r>
      <w:r>
        <w:fldChar w:fldCharType="end"/>
      </w:r>
    </w:p>
    <w:p w:rsidR="00A5122D" w:rsidRDefault="009C2479" w:rsidP="00E55F2F">
      <w:pPr>
        <w:pStyle w:val="NoNumPlain1"/>
      </w:pPr>
      <w:r>
        <w:t>This S</w:t>
      </w:r>
      <w:r w:rsidR="00E55F2F">
        <w:t xml:space="preserve">tandard makes amendments to </w:t>
      </w:r>
      <w:r w:rsidR="00A5122D">
        <w:t xml:space="preserve">AASB 16 </w:t>
      </w:r>
      <w:r w:rsidR="00A5122D" w:rsidRPr="00A5122D">
        <w:rPr>
          <w:i/>
        </w:rPr>
        <w:t>Leases</w:t>
      </w:r>
      <w:r w:rsidR="00E55F2F">
        <w:t xml:space="preserve"> (February 2016) and </w:t>
      </w:r>
      <w:r w:rsidR="00A5122D">
        <w:t xml:space="preserve">AASB 1058 </w:t>
      </w:r>
      <w:r w:rsidR="004C4BAD">
        <w:rPr>
          <w:i/>
        </w:rPr>
        <w:t>Income of Not-for-P</w:t>
      </w:r>
      <w:r w:rsidR="00A5122D" w:rsidRPr="00A5122D">
        <w:rPr>
          <w:i/>
        </w:rPr>
        <w:t>rofit Entities</w:t>
      </w:r>
      <w:r w:rsidR="00A5122D">
        <w:t xml:space="preserve"> (December 2016).</w:t>
      </w:r>
    </w:p>
    <w:p w:rsidR="008A16EB" w:rsidRDefault="00401ECA" w:rsidP="00401ECA">
      <w:pPr>
        <w:pStyle w:val="NoNumPlain1"/>
      </w:pPr>
      <w:r>
        <w:t xml:space="preserve">These </w:t>
      </w:r>
      <w:r w:rsidR="00460FBB">
        <w:t>a</w:t>
      </w:r>
      <w:r>
        <w:t>mendments</w:t>
      </w:r>
      <w:bookmarkStart w:id="11" w:name="ArisingNo"/>
      <w:bookmarkStart w:id="12" w:name="ArisingTitle"/>
      <w:bookmarkEnd w:id="11"/>
      <w:bookmarkEnd w:id="12"/>
      <w:r w:rsidR="003C6B24">
        <w:t xml:space="preserve"> establish Reduced Disclosure Requirements for entities preparing general purpose fin</w:t>
      </w:r>
      <w:r w:rsidR="00920B8B">
        <w:t xml:space="preserve">ancial statements under </w:t>
      </w:r>
      <w:r w:rsidR="003C6B24">
        <w:t>Australian Accounting Standards – Reduced Disclosure Requirements.</w:t>
      </w:r>
    </w:p>
    <w:p w:rsidR="00090A6F" w:rsidRDefault="00F22AF2" w:rsidP="00F22AF2">
      <w:pPr>
        <w:pStyle w:val="Heading2"/>
      </w:pPr>
      <w:r>
        <w:t>Main features of this Standard</w:t>
      </w:r>
    </w:p>
    <w:p w:rsidR="00F22AF2" w:rsidRDefault="00F22AF2" w:rsidP="00F22AF2">
      <w:pPr>
        <w:pStyle w:val="Heading2Indent1"/>
      </w:pPr>
      <w:r>
        <w:t>Main requirements</w:t>
      </w:r>
    </w:p>
    <w:p w:rsidR="00F22AF2" w:rsidRDefault="00E55F2F" w:rsidP="00F22AF2">
      <w:pPr>
        <w:pStyle w:val="NoNumPlain1"/>
      </w:pPr>
      <w:r>
        <w:t xml:space="preserve">AASB 1053 </w:t>
      </w:r>
      <w:r w:rsidRPr="00E55F2F">
        <w:rPr>
          <w:i/>
        </w:rPr>
        <w:t>Application of Tiers of Australian Accounting Standards</w:t>
      </w:r>
      <w:r w:rsidRPr="00E55F2F">
        <w:t xml:space="preserve"> </w:t>
      </w:r>
      <w:r>
        <w:t xml:space="preserve">establishes a differential reporting framework consisting of two tiers of reporting requirements for preparing general purpose financial statements. </w:t>
      </w:r>
      <w:r w:rsidR="00920B8B">
        <w:t>This Standard</w:t>
      </w:r>
      <w:r w:rsidR="003C6B24">
        <w:t xml:space="preserve"> makes amendments to AASB 16 and AASB 1058 to establish reduced disclosure requirements for entities preparing general purpose fi</w:t>
      </w:r>
      <w:r w:rsidR="00920B8B">
        <w:t>nancial statements under</w:t>
      </w:r>
      <w:r w:rsidR="003C6B24">
        <w:t xml:space="preserve"> Australian Accounting Standards – Reduced Disclosure Requirements</w:t>
      </w:r>
      <w:r w:rsidR="002B4063">
        <w:t xml:space="preserve"> </w:t>
      </w:r>
      <w:r w:rsidR="00920B8B">
        <w:t xml:space="preserve">(Tier 2). </w:t>
      </w:r>
      <w:r w:rsidR="0082655E">
        <w:t>Tier </w:t>
      </w:r>
      <w:r w:rsidR="00920B8B" w:rsidRPr="00920B8B">
        <w:t>2 requirements comprise the recogniti</w:t>
      </w:r>
      <w:r w:rsidR="00920B8B">
        <w:t xml:space="preserve">on and measurement requirements </w:t>
      </w:r>
      <w:r w:rsidR="00920B8B" w:rsidRPr="00920B8B">
        <w:t xml:space="preserve">of Tier 1 </w:t>
      </w:r>
      <w:r w:rsidR="00920B8B">
        <w:t xml:space="preserve">(Australian Accounting Standards) </w:t>
      </w:r>
      <w:r w:rsidR="00920B8B" w:rsidRPr="00920B8B">
        <w:t>but substantially reduced disclosure requirements in comparison with Tier 1.</w:t>
      </w:r>
    </w:p>
    <w:p w:rsidR="00F22AF2" w:rsidRDefault="00F22AF2" w:rsidP="00F22AF2">
      <w:pPr>
        <w:pStyle w:val="Heading2Indent1"/>
      </w:pPr>
      <w:r>
        <w:t>Application date</w:t>
      </w:r>
    </w:p>
    <w:p w:rsidR="00F22AF2" w:rsidRPr="00F22AF2" w:rsidRDefault="00B16904" w:rsidP="00F22AF2">
      <w:pPr>
        <w:pStyle w:val="NoNumPlain1"/>
      </w:pPr>
      <w:r>
        <w:t xml:space="preserve">This Standard applies to annual periods </w:t>
      </w:r>
      <w:bookmarkStart w:id="13" w:name="ApplyText"/>
      <w:r>
        <w:t>beginning</w:t>
      </w:r>
      <w:bookmarkEnd w:id="13"/>
      <w:r>
        <w:t xml:space="preserve"> on or after</w:t>
      </w:r>
      <w:r w:rsidR="00867FB0">
        <w:t xml:space="preserve"> </w:t>
      </w:r>
      <w:bookmarkStart w:id="14" w:name="ApplyDate"/>
      <w:r w:rsidR="004A3747">
        <w:t>1 January 2019</w:t>
      </w:r>
      <w:bookmarkEnd w:id="14"/>
      <w:r>
        <w:t>.  Earlier application is permitted.</w:t>
      </w:r>
    </w:p>
    <w:p w:rsidR="00F22AF2" w:rsidRPr="0000292B" w:rsidRDefault="00F22AF2"/>
    <w:p w:rsidR="00090A6F" w:rsidRPr="0000292B" w:rsidRDefault="00090A6F">
      <w:pPr>
        <w:sectPr w:rsidR="00090A6F" w:rsidRPr="0000292B" w:rsidSect="00D74C6A">
          <w:footerReference w:type="default" r:id="rId11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1662B8" w:rsidRPr="0000292B" w:rsidRDefault="00F13C5A" w:rsidP="001662B8">
      <w:pPr>
        <w:pStyle w:val="Heading1"/>
      </w:pPr>
      <w:r w:rsidRPr="0000292B">
        <w:t xml:space="preserve">Accounting Standard </w:t>
      </w:r>
      <w:r w:rsidR="001662B8" w:rsidRPr="0000292B">
        <w:t xml:space="preserve">AASB </w:t>
      </w:r>
      <w:r w:rsidR="001662B8" w:rsidRPr="00BC0D5D">
        <w:rPr>
          <w:iCs/>
        </w:rPr>
        <w:fldChar w:fldCharType="begin" w:fldLock="1"/>
      </w:r>
      <w:r w:rsidR="001662B8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1662B8" w:rsidRPr="00BC0D5D">
        <w:rPr>
          <w:iCs/>
        </w:rPr>
        <w:instrText xml:space="preserve">No \* charformat </w:instrText>
      </w:r>
      <w:r w:rsidR="001662B8" w:rsidRPr="00BC0D5D">
        <w:rPr>
          <w:iCs/>
        </w:rPr>
        <w:fldChar w:fldCharType="separate"/>
      </w:r>
      <w:r w:rsidR="004A3747" w:rsidRPr="004A3747">
        <w:rPr>
          <w:iCs/>
        </w:rPr>
        <w:t>2018-</w:t>
      </w:r>
      <w:r w:rsidR="005834BF">
        <w:rPr>
          <w:iCs/>
        </w:rPr>
        <w:t>3</w:t>
      </w:r>
      <w:r w:rsidR="001662B8" w:rsidRPr="00BC0D5D">
        <w:rPr>
          <w:iCs/>
        </w:rPr>
        <w:fldChar w:fldCharType="end"/>
      </w:r>
    </w:p>
    <w:p w:rsidR="001662B8" w:rsidRDefault="001662B8" w:rsidP="003E1900">
      <w:pPr>
        <w:pStyle w:val="NoNumPlain1"/>
      </w:pPr>
      <w:r>
        <w:t>The Australian Accounting Standards Board makes Accounting Standard AASB </w:t>
      </w:r>
      <w:fldSimple w:instr=" REF DocNo  \* charformat " w:fldLock="1">
        <w:r w:rsidR="004A3747">
          <w:t>2018-</w:t>
        </w:r>
        <w:r w:rsidR="005834BF">
          <w:t>3</w:t>
        </w:r>
      </w:fldSimple>
      <w:r>
        <w:t xml:space="preserve"> </w:t>
      </w:r>
      <w:r w:rsidR="00CC1DF4" w:rsidRPr="00CC1DF4">
        <w:rPr>
          <w:i/>
        </w:rPr>
        <w:fldChar w:fldCharType="begin" w:fldLock="1"/>
      </w:r>
      <w:r w:rsidR="00CC1DF4" w:rsidRPr="00CC1DF4">
        <w:rPr>
          <w:i/>
        </w:rPr>
        <w:instrText xml:space="preserve"> REF DocTitle \* charformat </w:instrText>
      </w:r>
      <w:r w:rsidR="00CC1DF4" w:rsidRPr="00CC1DF4">
        <w:rPr>
          <w:i/>
        </w:rPr>
        <w:fldChar w:fldCharType="separate"/>
      </w:r>
      <w:r w:rsidR="004A3747" w:rsidRPr="004A3747">
        <w:rPr>
          <w:i/>
        </w:rPr>
        <w:t xml:space="preserve">Amendments to </w:t>
      </w:r>
      <w:r w:rsidR="003C6B24">
        <w:rPr>
          <w:i/>
        </w:rPr>
        <w:t xml:space="preserve">Australian Accounting Standards – Reduced Disclosure Requirements </w:t>
      </w:r>
      <w:r w:rsidR="00CC1DF4" w:rsidRPr="00CC1DF4">
        <w:rPr>
          <w:i/>
        </w:rPr>
        <w:fldChar w:fldCharType="end"/>
      </w:r>
      <w:bookmarkStart w:id="15" w:name="CorpsAct"/>
      <w:r>
        <w:t xml:space="preserve">under section 334 of the </w:t>
      </w:r>
      <w:r>
        <w:rPr>
          <w:i/>
          <w:iCs/>
        </w:rPr>
        <w:t>Corporations Act 2001</w:t>
      </w:r>
      <w:bookmarkEnd w:id="15"/>
      <w:r>
        <w:t>.</w:t>
      </w:r>
    </w:p>
    <w:tbl>
      <w:tblPr>
        <w:tblW w:w="9322" w:type="dxa"/>
        <w:tblLook w:val="0000" w:firstRow="0" w:lastRow="0" w:firstColumn="0" w:lastColumn="0" w:noHBand="0" w:noVBand="0"/>
        <w:tblCaption w:val="Authorisation of the statement that the AASB has made the Standard"/>
        <w:tblDescription w:val="Date when the Standard was made by the AASB, the name of the AASB Chair, and the statement of that position"/>
      </w:tblPr>
      <w:tblGrid>
        <w:gridCol w:w="4361"/>
        <w:gridCol w:w="4961"/>
      </w:tblGrid>
      <w:tr w:rsidR="00C03C7B" w:rsidTr="008C1C4A">
        <w:tc>
          <w:tcPr>
            <w:tcW w:w="4361" w:type="dxa"/>
          </w:tcPr>
          <w:p w:rsidR="00C03C7B" w:rsidRDefault="00C03C7B" w:rsidP="0048155F"/>
        </w:tc>
        <w:tc>
          <w:tcPr>
            <w:tcW w:w="4961" w:type="dxa"/>
          </w:tcPr>
          <w:p w:rsidR="00C03C7B" w:rsidRDefault="008F3EBA" w:rsidP="0048155F">
            <w:pPr>
              <w:jc w:val="right"/>
            </w:pPr>
            <w:r>
              <w:t>Kris Peach</w:t>
            </w:r>
          </w:p>
        </w:tc>
      </w:tr>
      <w:tr w:rsidR="00C03C7B" w:rsidTr="008C1C4A">
        <w:tc>
          <w:tcPr>
            <w:tcW w:w="4361" w:type="dxa"/>
          </w:tcPr>
          <w:p w:rsidR="00C03C7B" w:rsidRDefault="00F34813" w:rsidP="00E55F2F">
            <w:pPr>
              <w:ind w:left="-108"/>
            </w:pPr>
            <w:r>
              <w:t>Dated 8</w:t>
            </w:r>
            <w:r w:rsidR="008A064C">
              <w:t xml:space="preserve"> August 2018</w:t>
            </w:r>
          </w:p>
        </w:tc>
        <w:tc>
          <w:tcPr>
            <w:tcW w:w="4961" w:type="dxa"/>
          </w:tcPr>
          <w:p w:rsidR="00C03C7B" w:rsidRDefault="00C03C7B" w:rsidP="0048155F">
            <w:pPr>
              <w:jc w:val="right"/>
            </w:pPr>
            <w:r>
              <w:t>Chair – AASB</w:t>
            </w:r>
          </w:p>
        </w:tc>
      </w:tr>
    </w:tbl>
    <w:p w:rsidR="00090A6F" w:rsidRPr="0000292B" w:rsidRDefault="00F13C5A" w:rsidP="00867FB0">
      <w:pPr>
        <w:pStyle w:val="Heading1"/>
        <w:spacing w:after="0"/>
      </w:pPr>
      <w:r w:rsidRPr="0000292B">
        <w:t xml:space="preserve">Accounting Standard </w:t>
      </w:r>
      <w:r w:rsidR="00090A6F" w:rsidRPr="0000292B">
        <w:t xml:space="preserve">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4A3747" w:rsidRPr="004A3747">
        <w:rPr>
          <w:iCs/>
        </w:rPr>
        <w:t>2018-</w:t>
      </w:r>
      <w:r w:rsidR="005834BF">
        <w:rPr>
          <w:iCs/>
        </w:rPr>
        <w:t>3</w:t>
      </w:r>
      <w:r w:rsidR="00BC0D5D" w:rsidRPr="00BC0D5D">
        <w:rPr>
          <w:iCs/>
        </w:rPr>
        <w:fldChar w:fldCharType="end"/>
      </w:r>
    </w:p>
    <w:p w:rsidR="00090A6F" w:rsidRDefault="00CC1DF4" w:rsidP="003E1900">
      <w:pPr>
        <w:pStyle w:val="Heading1Italic"/>
        <w:spacing w:before="0"/>
      </w:pPr>
      <w:r>
        <w:fldChar w:fldCharType="begin" w:fldLock="1"/>
      </w:r>
      <w:r>
        <w:instrText xml:space="preserve"> REF DocTitle \* charformat</w:instrText>
      </w:r>
      <w:r>
        <w:fldChar w:fldCharType="separate"/>
      </w:r>
      <w:r w:rsidR="004A3747">
        <w:t xml:space="preserve">Amendments to </w:t>
      </w:r>
      <w:r w:rsidR="003C6B24">
        <w:t>Australian Accounting Standards – Reduced Disclosure Requirements</w:t>
      </w:r>
      <w:r>
        <w:fldChar w:fldCharType="end"/>
      </w:r>
    </w:p>
    <w:p w:rsidR="00090A6F" w:rsidRPr="0000292B" w:rsidRDefault="00090A6F" w:rsidP="00FC30DA">
      <w:pPr>
        <w:pStyle w:val="Heading2"/>
      </w:pPr>
      <w:bookmarkStart w:id="16" w:name="TOCStart"/>
      <w:bookmarkEnd w:id="16"/>
      <w:r w:rsidRPr="0000292B">
        <w:t>Objective</w:t>
      </w:r>
    </w:p>
    <w:p w:rsidR="00090A6F" w:rsidRDefault="00867FB0" w:rsidP="00E46988">
      <w:pPr>
        <w:pStyle w:val="NumPlain1"/>
      </w:pPr>
      <w:r>
        <w:t>This</w:t>
      </w:r>
      <w:r w:rsidR="001662B8">
        <w:t xml:space="preserve"> Standard </w:t>
      </w:r>
      <w:r>
        <w:t>amends</w:t>
      </w:r>
      <w:r w:rsidR="001662B8">
        <w:t>:</w:t>
      </w:r>
    </w:p>
    <w:p w:rsidR="004A3747" w:rsidRDefault="004A3747" w:rsidP="004A3747">
      <w:pPr>
        <w:pStyle w:val="NumPlain2"/>
      </w:pPr>
      <w:r>
        <w:t xml:space="preserve">AASB 16 </w:t>
      </w:r>
      <w:r w:rsidRPr="004A3747">
        <w:rPr>
          <w:i/>
        </w:rPr>
        <w:t>Leases</w:t>
      </w:r>
      <w:r w:rsidR="00920B8B">
        <w:rPr>
          <w:i/>
        </w:rPr>
        <w:t xml:space="preserve"> </w:t>
      </w:r>
      <w:r w:rsidR="00920B8B">
        <w:t>(February 2016)</w:t>
      </w:r>
      <w:r>
        <w:t>; and</w:t>
      </w:r>
    </w:p>
    <w:p w:rsidR="004A3747" w:rsidRDefault="004A3747" w:rsidP="004A3747">
      <w:pPr>
        <w:pStyle w:val="NumPlain2"/>
      </w:pPr>
      <w:r>
        <w:t xml:space="preserve">AASB 1058 </w:t>
      </w:r>
      <w:r w:rsidR="006F608F">
        <w:rPr>
          <w:i/>
        </w:rPr>
        <w:t xml:space="preserve">Income of </w:t>
      </w:r>
      <w:r w:rsidRPr="004A3747">
        <w:rPr>
          <w:i/>
        </w:rPr>
        <w:t>Not-for-Profit</w:t>
      </w:r>
      <w:r w:rsidR="0027167F">
        <w:rPr>
          <w:i/>
        </w:rPr>
        <w:t xml:space="preserve"> Entities</w:t>
      </w:r>
      <w:r w:rsidR="00920B8B">
        <w:rPr>
          <w:i/>
        </w:rPr>
        <w:t xml:space="preserve"> </w:t>
      </w:r>
      <w:r w:rsidR="00920B8B">
        <w:t>(December 2016)</w:t>
      </w:r>
      <w:r>
        <w:t>;</w:t>
      </w:r>
    </w:p>
    <w:p w:rsidR="001662B8" w:rsidRPr="0000292B" w:rsidRDefault="003C6B24" w:rsidP="00E46988">
      <w:pPr>
        <w:pStyle w:val="NoNumPlain2"/>
      </w:pPr>
      <w:bookmarkStart w:id="17" w:name="StndObj"/>
      <w:bookmarkStart w:id="18" w:name="ArisingDate"/>
      <w:bookmarkEnd w:id="17"/>
      <w:bookmarkEnd w:id="18"/>
      <w:proofErr w:type="gramStart"/>
      <w:r>
        <w:t>to</w:t>
      </w:r>
      <w:proofErr w:type="gramEnd"/>
      <w:r>
        <w:t xml:space="preserve"> identify Reduced Disclosure Requirement</w:t>
      </w:r>
      <w:r w:rsidR="00920B8B">
        <w:t xml:space="preserve">s for entities applying </w:t>
      </w:r>
      <w:r>
        <w:t xml:space="preserve">Australian Accounting Standards – Reduced Disclosure Requirements. </w:t>
      </w:r>
    </w:p>
    <w:p w:rsidR="00090A6F" w:rsidRPr="0000292B" w:rsidRDefault="00090A6F">
      <w:pPr>
        <w:pStyle w:val="Heading2"/>
      </w:pPr>
      <w:r w:rsidRPr="0000292B">
        <w:t>Application</w:t>
      </w:r>
    </w:p>
    <w:p w:rsidR="005A6AC7" w:rsidRPr="00920B8B" w:rsidRDefault="005A6AC7" w:rsidP="00B22833">
      <w:pPr>
        <w:pStyle w:val="NumBold1"/>
        <w:rPr>
          <w:b w:val="0"/>
        </w:rPr>
      </w:pPr>
      <w:r w:rsidRPr="00920B8B">
        <w:rPr>
          <w:b w:val="0"/>
        </w:rPr>
        <w:t xml:space="preserve">The amendments set out in this Standard apply to entities and financial statements in accordance with the application of the other Standards set out in AASB 1057 </w:t>
      </w:r>
      <w:r w:rsidRPr="00920B8B">
        <w:rPr>
          <w:b w:val="0"/>
          <w:i/>
        </w:rPr>
        <w:t>Application of Australian Accounting Standards</w:t>
      </w:r>
      <w:r w:rsidRPr="00920B8B">
        <w:rPr>
          <w:b w:val="0"/>
        </w:rPr>
        <w:t xml:space="preserve"> (as amended)</w:t>
      </w:r>
      <w:r w:rsidRPr="00920B8B">
        <w:rPr>
          <w:b w:val="0"/>
          <w:i/>
        </w:rPr>
        <w:t>.</w:t>
      </w:r>
    </w:p>
    <w:p w:rsidR="00090A6F" w:rsidRPr="00920B8B" w:rsidRDefault="00090A6F" w:rsidP="00B22833">
      <w:pPr>
        <w:pStyle w:val="NumBold1"/>
        <w:rPr>
          <w:b w:val="0"/>
        </w:rPr>
      </w:pPr>
      <w:r w:rsidRPr="00920B8B">
        <w:rPr>
          <w:b w:val="0"/>
        </w:rPr>
        <w:t xml:space="preserve">This Standard applies to annual periods </w:t>
      </w:r>
      <w:r w:rsidR="005A6AC7" w:rsidRPr="00920B8B">
        <w:rPr>
          <w:b w:val="0"/>
        </w:rPr>
        <w:fldChar w:fldCharType="begin" w:fldLock="1"/>
      </w:r>
      <w:r w:rsidR="005A6AC7" w:rsidRPr="00920B8B">
        <w:rPr>
          <w:b w:val="0"/>
        </w:rPr>
        <w:instrText xml:space="preserve"> REF ApplyText \* charformat</w:instrText>
      </w:r>
      <w:r w:rsidR="00920B8B">
        <w:rPr>
          <w:b w:val="0"/>
        </w:rPr>
        <w:instrText xml:space="preserve"> \* MERGEFORMAT </w:instrText>
      </w:r>
      <w:r w:rsidR="005A6AC7" w:rsidRPr="00920B8B">
        <w:rPr>
          <w:b w:val="0"/>
        </w:rPr>
        <w:fldChar w:fldCharType="separate"/>
      </w:r>
      <w:r w:rsidR="004A3747" w:rsidRPr="00920B8B">
        <w:rPr>
          <w:b w:val="0"/>
        </w:rPr>
        <w:t>beginning</w:t>
      </w:r>
      <w:r w:rsidR="005A6AC7" w:rsidRPr="00920B8B">
        <w:rPr>
          <w:b w:val="0"/>
        </w:rPr>
        <w:fldChar w:fldCharType="end"/>
      </w:r>
      <w:r w:rsidRPr="00920B8B">
        <w:rPr>
          <w:b w:val="0"/>
        </w:rPr>
        <w:t xml:space="preserve"> on or after </w:t>
      </w:r>
      <w:r w:rsidR="005A6AC7" w:rsidRPr="00920B8B">
        <w:rPr>
          <w:b w:val="0"/>
        </w:rPr>
        <w:fldChar w:fldCharType="begin" w:fldLock="1"/>
      </w:r>
      <w:r w:rsidR="005A6AC7" w:rsidRPr="00920B8B">
        <w:rPr>
          <w:b w:val="0"/>
        </w:rPr>
        <w:instrText xml:space="preserve"> REF ApplyDate \* charformat</w:instrText>
      </w:r>
      <w:r w:rsidR="00920B8B">
        <w:rPr>
          <w:b w:val="0"/>
        </w:rPr>
        <w:instrText xml:space="preserve"> \* MERGEFORMAT </w:instrText>
      </w:r>
      <w:r w:rsidR="005A6AC7" w:rsidRPr="00920B8B">
        <w:rPr>
          <w:b w:val="0"/>
        </w:rPr>
        <w:fldChar w:fldCharType="separate"/>
      </w:r>
      <w:r w:rsidR="004A3747" w:rsidRPr="00920B8B">
        <w:rPr>
          <w:b w:val="0"/>
        </w:rPr>
        <w:t>1 January 2019</w:t>
      </w:r>
      <w:r w:rsidR="005A6AC7" w:rsidRPr="00920B8B">
        <w:rPr>
          <w:b w:val="0"/>
        </w:rPr>
        <w:fldChar w:fldCharType="end"/>
      </w:r>
      <w:r w:rsidRPr="00920B8B">
        <w:rPr>
          <w:b w:val="0"/>
        </w:rPr>
        <w:t>.</w:t>
      </w:r>
    </w:p>
    <w:p w:rsidR="00090A6F" w:rsidRPr="00920B8B" w:rsidRDefault="00090A6F" w:rsidP="00B22833">
      <w:pPr>
        <w:pStyle w:val="NumBold1"/>
        <w:rPr>
          <w:b w:val="0"/>
        </w:rPr>
      </w:pPr>
      <w:bookmarkStart w:id="19" w:name="EarlyYesPara"/>
      <w:r w:rsidRPr="00920B8B">
        <w:rPr>
          <w:b w:val="0"/>
        </w:rPr>
        <w:t xml:space="preserve">This Standard may be applied to annual periods </w:t>
      </w:r>
      <w:bookmarkStart w:id="20" w:name="EarlyText"/>
      <w:r w:rsidR="00E839DA" w:rsidRPr="00920B8B">
        <w:rPr>
          <w:b w:val="0"/>
        </w:rPr>
        <w:t>beginning</w:t>
      </w:r>
      <w:bookmarkEnd w:id="20"/>
      <w:r w:rsidRPr="00920B8B">
        <w:rPr>
          <w:b w:val="0"/>
        </w:rPr>
        <w:t xml:space="preserve"> </w:t>
      </w:r>
      <w:r w:rsidR="0078116B" w:rsidRPr="00920B8B">
        <w:rPr>
          <w:b w:val="0"/>
        </w:rPr>
        <w:t xml:space="preserve">before </w:t>
      </w:r>
      <w:r w:rsidR="0013564B" w:rsidRPr="00920B8B">
        <w:rPr>
          <w:b w:val="0"/>
        </w:rPr>
        <w:fldChar w:fldCharType="begin" w:fldLock="1"/>
      </w:r>
      <w:r w:rsidR="0013564B" w:rsidRPr="00920B8B">
        <w:rPr>
          <w:b w:val="0"/>
        </w:rPr>
        <w:instrText xml:space="preserve"> REF ApplyDate  \* charformat  </w:instrText>
      </w:r>
      <w:r w:rsidR="00920B8B">
        <w:rPr>
          <w:b w:val="0"/>
        </w:rPr>
        <w:instrText xml:space="preserve"> \* MERGEFORMAT </w:instrText>
      </w:r>
      <w:r w:rsidR="0013564B" w:rsidRPr="00920B8B">
        <w:rPr>
          <w:b w:val="0"/>
        </w:rPr>
        <w:fldChar w:fldCharType="separate"/>
      </w:r>
      <w:r w:rsidR="004A3747" w:rsidRPr="00920B8B">
        <w:rPr>
          <w:b w:val="0"/>
        </w:rPr>
        <w:t>1 January 2019</w:t>
      </w:r>
      <w:r w:rsidR="0013564B" w:rsidRPr="00920B8B">
        <w:rPr>
          <w:b w:val="0"/>
        </w:rPr>
        <w:fldChar w:fldCharType="end"/>
      </w:r>
      <w:r w:rsidRPr="00920B8B">
        <w:rPr>
          <w:b w:val="0"/>
        </w:rPr>
        <w:t xml:space="preserve">.  When an entity applies this Standard to </w:t>
      </w:r>
      <w:r w:rsidR="00590051" w:rsidRPr="00920B8B">
        <w:rPr>
          <w:b w:val="0"/>
        </w:rPr>
        <w:t xml:space="preserve">such </w:t>
      </w:r>
      <w:r w:rsidRPr="00920B8B">
        <w:rPr>
          <w:b w:val="0"/>
        </w:rPr>
        <w:t>an annual period</w:t>
      </w:r>
      <w:r w:rsidR="00590051" w:rsidRPr="00920B8B">
        <w:rPr>
          <w:b w:val="0"/>
        </w:rPr>
        <w:t>,</w:t>
      </w:r>
      <w:r w:rsidRPr="00920B8B">
        <w:rPr>
          <w:b w:val="0"/>
        </w:rPr>
        <w:t xml:space="preserve"> it shall disclose that fact.</w:t>
      </w:r>
    </w:p>
    <w:bookmarkEnd w:id="19"/>
    <w:p w:rsidR="004A3747" w:rsidRDefault="004A3747">
      <w:pPr>
        <w:pStyle w:val="Heading2"/>
      </w:pPr>
      <w:r>
        <w:t>Amendments to AASB 16</w:t>
      </w:r>
    </w:p>
    <w:p w:rsidR="004A3747" w:rsidRDefault="00564C0B" w:rsidP="00B31DD6">
      <w:pPr>
        <w:pStyle w:val="NumPlain1"/>
      </w:pPr>
      <w:r>
        <w:t xml:space="preserve">Appendix E </w:t>
      </w:r>
      <w:r w:rsidR="00920B8B">
        <w:rPr>
          <w:i/>
        </w:rPr>
        <w:t>Australian reduced disclosure r</w:t>
      </w:r>
      <w:r w:rsidRPr="006403F7">
        <w:rPr>
          <w:i/>
        </w:rPr>
        <w:t>equirements</w:t>
      </w:r>
      <w:r>
        <w:t xml:space="preserve"> is added as set out below.</w:t>
      </w:r>
    </w:p>
    <w:p w:rsidR="00564C0B" w:rsidRPr="00851C59" w:rsidRDefault="00564C0B" w:rsidP="00920B8B">
      <w:pPr>
        <w:pStyle w:val="NumPlain1"/>
        <w:numPr>
          <w:ilvl w:val="0"/>
          <w:numId w:val="0"/>
        </w:numPr>
        <w:ind w:firstLine="510"/>
        <w:rPr>
          <w:rFonts w:ascii="Arial" w:hAnsi="Arial" w:cs="Arial"/>
          <w:b/>
          <w:sz w:val="17"/>
          <w:szCs w:val="17"/>
        </w:rPr>
      </w:pPr>
      <w:r w:rsidRPr="00851C59">
        <w:rPr>
          <w:rFonts w:ascii="Arial" w:hAnsi="Arial" w:cs="Arial"/>
          <w:b/>
          <w:sz w:val="17"/>
          <w:szCs w:val="17"/>
        </w:rPr>
        <w:t>Appendix E</w:t>
      </w:r>
    </w:p>
    <w:p w:rsidR="00564C0B" w:rsidRPr="00851C59" w:rsidRDefault="00920B8B" w:rsidP="00920B8B">
      <w:pPr>
        <w:pStyle w:val="NumPlain1"/>
        <w:numPr>
          <w:ilvl w:val="0"/>
          <w:numId w:val="0"/>
        </w:numPr>
        <w:ind w:firstLine="510"/>
        <w:rPr>
          <w:rFonts w:ascii="Arial" w:hAnsi="Arial" w:cs="Arial"/>
          <w:b/>
          <w:sz w:val="17"/>
          <w:szCs w:val="17"/>
        </w:rPr>
      </w:pPr>
      <w:r w:rsidRPr="00851C59">
        <w:rPr>
          <w:rFonts w:ascii="Arial" w:hAnsi="Arial" w:cs="Arial"/>
          <w:b/>
          <w:sz w:val="17"/>
          <w:szCs w:val="17"/>
        </w:rPr>
        <w:t>Australian reduced disclosure r</w:t>
      </w:r>
      <w:r w:rsidR="00564C0B" w:rsidRPr="00851C59">
        <w:rPr>
          <w:rFonts w:ascii="Arial" w:hAnsi="Arial" w:cs="Arial"/>
          <w:b/>
          <w:sz w:val="17"/>
          <w:szCs w:val="17"/>
        </w:rPr>
        <w:t>equirements</w:t>
      </w:r>
    </w:p>
    <w:p w:rsidR="00065B29" w:rsidRPr="00065B29" w:rsidRDefault="00532102" w:rsidP="00C0730D">
      <w:pPr>
        <w:pStyle w:val="Default"/>
        <w:spacing w:before="100" w:after="100"/>
        <w:ind w:firstLine="510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This appendix is an integral part of </w:t>
      </w:r>
      <w:r w:rsidR="00851C59">
        <w:rPr>
          <w:i/>
          <w:iCs/>
          <w:sz w:val="19"/>
          <w:szCs w:val="19"/>
        </w:rPr>
        <w:t>the S</w:t>
      </w:r>
      <w:r w:rsidR="00920B8B">
        <w:rPr>
          <w:i/>
          <w:iCs/>
          <w:sz w:val="19"/>
          <w:szCs w:val="19"/>
        </w:rPr>
        <w:t>tandard</w:t>
      </w:r>
      <w:r>
        <w:rPr>
          <w:i/>
          <w:iCs/>
          <w:sz w:val="19"/>
          <w:szCs w:val="19"/>
        </w:rPr>
        <w:t xml:space="preserve"> and has the same authority as the other parts of </w:t>
      </w:r>
      <w:r w:rsidR="00851C59">
        <w:rPr>
          <w:i/>
          <w:iCs/>
          <w:sz w:val="19"/>
          <w:szCs w:val="19"/>
        </w:rPr>
        <w:t>the S</w:t>
      </w:r>
      <w:r w:rsidR="00920B8B">
        <w:rPr>
          <w:i/>
          <w:iCs/>
          <w:sz w:val="19"/>
          <w:szCs w:val="19"/>
        </w:rPr>
        <w:t>tandard.</w:t>
      </w:r>
    </w:p>
    <w:p w:rsidR="00532102" w:rsidRPr="00DF5522" w:rsidRDefault="00532102" w:rsidP="00C0730D">
      <w:pPr>
        <w:pStyle w:val="Default"/>
        <w:spacing w:before="100" w:after="100"/>
        <w:ind w:left="1304" w:hanging="794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AusE1</w:t>
      </w:r>
      <w:r>
        <w:rPr>
          <w:b/>
          <w:bCs/>
          <w:sz w:val="19"/>
          <w:szCs w:val="19"/>
        </w:rPr>
        <w:tab/>
        <w:t xml:space="preserve">The following do not apply to entities preparing general purpose financial statements under </w:t>
      </w:r>
      <w:r w:rsidR="00920B8B">
        <w:rPr>
          <w:b/>
          <w:bCs/>
          <w:sz w:val="19"/>
          <w:szCs w:val="19"/>
        </w:rPr>
        <w:t xml:space="preserve">Australian </w:t>
      </w:r>
      <w:r w:rsidRPr="00174AA2">
        <w:rPr>
          <w:b/>
          <w:bCs/>
          <w:sz w:val="19"/>
          <w:szCs w:val="19"/>
        </w:rPr>
        <w:t>Accounting Standards – Reduced Disclosure Requirements</w:t>
      </w:r>
      <w:r>
        <w:rPr>
          <w:b/>
          <w:bCs/>
          <w:sz w:val="19"/>
          <w:szCs w:val="19"/>
        </w:rPr>
        <w:t xml:space="preserve">: </w:t>
      </w:r>
    </w:p>
    <w:p w:rsidR="00532102" w:rsidRPr="00DF5522" w:rsidRDefault="00532102" w:rsidP="00C0730D">
      <w:pPr>
        <w:pStyle w:val="NumPlainA"/>
        <w:tabs>
          <w:tab w:val="clear" w:pos="1666"/>
        </w:tabs>
        <w:ind w:left="1814"/>
        <w:rPr>
          <w:b/>
        </w:rPr>
      </w:pPr>
      <w:r w:rsidRPr="00DF5522">
        <w:rPr>
          <w:b/>
        </w:rPr>
        <w:t>paragraph</w:t>
      </w:r>
      <w:r w:rsidR="00DF5522" w:rsidRPr="00DF5522">
        <w:rPr>
          <w:b/>
        </w:rPr>
        <w:t>s 54,</w:t>
      </w:r>
      <w:r w:rsidRPr="00DF5522">
        <w:rPr>
          <w:b/>
        </w:rPr>
        <w:t xml:space="preserve"> 58, 91, B50(a), (b) and (d), B51(a), (b) and (d), and B52; and</w:t>
      </w:r>
    </w:p>
    <w:p w:rsidR="00532102" w:rsidRPr="00DF5522" w:rsidRDefault="00532102" w:rsidP="00C0730D">
      <w:pPr>
        <w:pStyle w:val="NumPlainA"/>
        <w:tabs>
          <w:tab w:val="clear" w:pos="1666"/>
        </w:tabs>
        <w:ind w:left="1814"/>
        <w:rPr>
          <w:b/>
        </w:rPr>
      </w:pPr>
      <w:proofErr w:type="gramStart"/>
      <w:r w:rsidRPr="00DF5522">
        <w:rPr>
          <w:b/>
        </w:rPr>
        <w:t>in</w:t>
      </w:r>
      <w:proofErr w:type="gramEnd"/>
      <w:r w:rsidRPr="00DF5522">
        <w:rPr>
          <w:b/>
        </w:rPr>
        <w:t xml:space="preserve"> paragraph 90(b), the text “, separately disclosing income relating to variable lease payments that do not depend on an index or a rate”.</w:t>
      </w:r>
    </w:p>
    <w:p w:rsidR="00887E6E" w:rsidRPr="00C0730D" w:rsidRDefault="00532102" w:rsidP="00C0730D">
      <w:pPr>
        <w:pStyle w:val="Default"/>
        <w:spacing w:before="100" w:after="100"/>
        <w:ind w:left="1304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Entities applying Australian Accounting Standards – Reduced Disclosure Requirements may </w:t>
      </w:r>
      <w:r w:rsidR="00DF5522">
        <w:rPr>
          <w:b/>
          <w:bCs/>
          <w:sz w:val="19"/>
          <w:szCs w:val="19"/>
        </w:rPr>
        <w:t xml:space="preserve">elect to </w:t>
      </w:r>
      <w:r>
        <w:rPr>
          <w:b/>
          <w:bCs/>
          <w:sz w:val="19"/>
          <w:szCs w:val="19"/>
        </w:rPr>
        <w:t xml:space="preserve">comply with some or all of these excluded requirements. </w:t>
      </w:r>
    </w:p>
    <w:p w:rsidR="00887E6E" w:rsidRPr="001672C9" w:rsidRDefault="00532102" w:rsidP="00C0730D">
      <w:pPr>
        <w:pStyle w:val="NumPlain1"/>
        <w:numPr>
          <w:ilvl w:val="0"/>
          <w:numId w:val="0"/>
        </w:numPr>
        <w:ind w:left="1304" w:hanging="794"/>
        <w:rPr>
          <w:szCs w:val="19"/>
        </w:rPr>
      </w:pPr>
      <w:r w:rsidRPr="001672C9">
        <w:rPr>
          <w:szCs w:val="19"/>
        </w:rPr>
        <w:t>AusE2</w:t>
      </w:r>
      <w:r w:rsidRPr="001672C9">
        <w:rPr>
          <w:szCs w:val="19"/>
        </w:rPr>
        <w:tab/>
        <w:t xml:space="preserve">The requirements that do not apply to entities preparing general purpose financial statements under </w:t>
      </w:r>
      <w:r w:rsidR="00DF5522" w:rsidRPr="001672C9">
        <w:rPr>
          <w:szCs w:val="19"/>
        </w:rPr>
        <w:t xml:space="preserve">Australian </w:t>
      </w:r>
      <w:r w:rsidRPr="001672C9">
        <w:rPr>
          <w:szCs w:val="19"/>
        </w:rPr>
        <w:t>Accounting Standards – Reduced Disclosure Requirements are also identified in this Standard by shading o</w:t>
      </w:r>
      <w:r w:rsidR="00DF5522" w:rsidRPr="001672C9">
        <w:rPr>
          <w:szCs w:val="19"/>
        </w:rPr>
        <w:t xml:space="preserve">f </w:t>
      </w:r>
      <w:r w:rsidRPr="001672C9">
        <w:rPr>
          <w:szCs w:val="19"/>
        </w:rPr>
        <w:t>the relevant text.</w:t>
      </w:r>
    </w:p>
    <w:p w:rsidR="00DF5522" w:rsidRDefault="00DF5522" w:rsidP="00C0730D">
      <w:pPr>
        <w:pStyle w:val="NumPlain1"/>
        <w:numPr>
          <w:ilvl w:val="0"/>
          <w:numId w:val="0"/>
        </w:numPr>
        <w:ind w:left="1304" w:hanging="794"/>
        <w:rPr>
          <w:b/>
          <w:szCs w:val="19"/>
        </w:rPr>
      </w:pPr>
      <w:r>
        <w:rPr>
          <w:b/>
          <w:szCs w:val="19"/>
        </w:rPr>
        <w:t>AusE3</w:t>
      </w:r>
      <w:r>
        <w:rPr>
          <w:b/>
          <w:szCs w:val="19"/>
        </w:rPr>
        <w:tab/>
      </w:r>
      <w:r w:rsidR="008704A5">
        <w:rPr>
          <w:b/>
          <w:szCs w:val="19"/>
        </w:rPr>
        <w:t xml:space="preserve">The </w:t>
      </w:r>
      <w:r w:rsidR="001672C9">
        <w:rPr>
          <w:b/>
          <w:szCs w:val="19"/>
        </w:rPr>
        <w:t xml:space="preserve">RDR </w:t>
      </w:r>
      <w:r w:rsidR="008704A5">
        <w:rPr>
          <w:b/>
          <w:szCs w:val="19"/>
        </w:rPr>
        <w:t>paragraph in this Standard applies</w:t>
      </w:r>
      <w:r w:rsidR="001672C9">
        <w:rPr>
          <w:b/>
          <w:szCs w:val="19"/>
        </w:rPr>
        <w:t xml:space="preserve"> only to entities preparing general purpose financial statements under Australian Accounting Standard</w:t>
      </w:r>
      <w:r w:rsidR="004A3BB8">
        <w:rPr>
          <w:b/>
          <w:szCs w:val="19"/>
        </w:rPr>
        <w:t>s</w:t>
      </w:r>
      <w:r w:rsidR="001672C9">
        <w:rPr>
          <w:b/>
          <w:szCs w:val="19"/>
        </w:rPr>
        <w:t xml:space="preserve"> – Reduced Disclosure Requirements.</w:t>
      </w:r>
    </w:p>
    <w:p w:rsidR="001672C9" w:rsidRPr="008704A5" w:rsidRDefault="001672C9" w:rsidP="00851C59">
      <w:pPr>
        <w:pStyle w:val="NumPlain1"/>
        <w:numPr>
          <w:ilvl w:val="0"/>
          <w:numId w:val="0"/>
        </w:numPr>
        <w:ind w:left="1304" w:hanging="794"/>
      </w:pPr>
      <w:r w:rsidRPr="008704A5">
        <w:rPr>
          <w:szCs w:val="19"/>
        </w:rPr>
        <w:t>RDR54.1</w:t>
      </w:r>
      <w:r w:rsidRPr="008704A5">
        <w:rPr>
          <w:szCs w:val="19"/>
        </w:rPr>
        <w:tab/>
        <w:t xml:space="preserve">The amounts disclosed in accordance with paragraph 53 shall include costs that a lessee has included in the carrying </w:t>
      </w:r>
      <w:r w:rsidR="008704A5" w:rsidRPr="008704A5">
        <w:rPr>
          <w:szCs w:val="19"/>
        </w:rPr>
        <w:t>a</w:t>
      </w:r>
      <w:r w:rsidRPr="008704A5">
        <w:rPr>
          <w:szCs w:val="19"/>
        </w:rPr>
        <w:t>mount of another asset during the reporting period.</w:t>
      </w:r>
    </w:p>
    <w:p w:rsidR="004A3747" w:rsidRDefault="004A3747">
      <w:pPr>
        <w:pStyle w:val="Heading2"/>
      </w:pPr>
      <w:r>
        <w:t xml:space="preserve">Amendments to </w:t>
      </w:r>
      <w:bookmarkStart w:id="21" w:name="StndNo2"/>
      <w:r>
        <w:t>AASB 1058</w:t>
      </w:r>
      <w:bookmarkEnd w:id="21"/>
    </w:p>
    <w:p w:rsidR="004A3747" w:rsidRDefault="00FF4DB8" w:rsidP="00B31DD6">
      <w:pPr>
        <w:pStyle w:val="NumPlain1"/>
      </w:pPr>
      <w:r>
        <w:t xml:space="preserve">Appendix E </w:t>
      </w:r>
      <w:r w:rsidR="001672C9">
        <w:rPr>
          <w:i/>
        </w:rPr>
        <w:t>Australian reduced disclosure r</w:t>
      </w:r>
      <w:r w:rsidRPr="006403F7">
        <w:rPr>
          <w:i/>
        </w:rPr>
        <w:t>equirements</w:t>
      </w:r>
      <w:r>
        <w:t xml:space="preserve"> is added as set out below.</w:t>
      </w:r>
    </w:p>
    <w:p w:rsidR="00FF4DB8" w:rsidRPr="00065B29" w:rsidRDefault="00FF4DB8" w:rsidP="00C0730D">
      <w:pPr>
        <w:pStyle w:val="NumPlain1"/>
        <w:numPr>
          <w:ilvl w:val="0"/>
          <w:numId w:val="0"/>
        </w:numPr>
        <w:ind w:firstLine="510"/>
        <w:rPr>
          <w:rFonts w:ascii="Arial" w:hAnsi="Arial" w:cs="Arial"/>
          <w:b/>
          <w:sz w:val="17"/>
          <w:szCs w:val="17"/>
        </w:rPr>
      </w:pPr>
      <w:r w:rsidRPr="00065B29">
        <w:rPr>
          <w:rFonts w:ascii="Arial" w:hAnsi="Arial" w:cs="Arial"/>
          <w:b/>
          <w:sz w:val="17"/>
          <w:szCs w:val="17"/>
        </w:rPr>
        <w:t>Appendix E</w:t>
      </w:r>
    </w:p>
    <w:p w:rsidR="00FF4DB8" w:rsidRPr="00065B29" w:rsidRDefault="00FF4DB8" w:rsidP="00C0730D">
      <w:pPr>
        <w:pStyle w:val="NumPlain1"/>
        <w:numPr>
          <w:ilvl w:val="0"/>
          <w:numId w:val="0"/>
        </w:numPr>
        <w:ind w:left="510"/>
        <w:rPr>
          <w:rFonts w:ascii="Arial" w:hAnsi="Arial" w:cs="Arial"/>
          <w:b/>
          <w:sz w:val="17"/>
          <w:szCs w:val="17"/>
        </w:rPr>
      </w:pPr>
      <w:r w:rsidRPr="00065B29">
        <w:rPr>
          <w:rFonts w:ascii="Arial" w:hAnsi="Arial" w:cs="Arial"/>
          <w:b/>
          <w:sz w:val="17"/>
          <w:szCs w:val="17"/>
        </w:rPr>
        <w:t>Australian reduced disclosure requirements</w:t>
      </w:r>
    </w:p>
    <w:p w:rsidR="00065B29" w:rsidRPr="00065B29" w:rsidRDefault="00FF4DB8" w:rsidP="00C0730D">
      <w:pPr>
        <w:pStyle w:val="Default"/>
        <w:spacing w:before="100" w:after="100"/>
        <w:ind w:firstLine="510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This appendix is an integral part of </w:t>
      </w:r>
      <w:r w:rsidR="00065B29">
        <w:rPr>
          <w:i/>
          <w:iCs/>
          <w:sz w:val="19"/>
          <w:szCs w:val="19"/>
        </w:rPr>
        <w:t>the S</w:t>
      </w:r>
      <w:r w:rsidR="001672C9">
        <w:rPr>
          <w:i/>
          <w:iCs/>
          <w:sz w:val="19"/>
          <w:szCs w:val="19"/>
        </w:rPr>
        <w:t>tandard.</w:t>
      </w:r>
    </w:p>
    <w:p w:rsidR="00FF4DB8" w:rsidRPr="00065B29" w:rsidRDefault="00FF4DB8" w:rsidP="00C0730D">
      <w:pPr>
        <w:pStyle w:val="Default"/>
        <w:spacing w:before="100" w:after="100"/>
        <w:ind w:left="1304" w:hanging="794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E1</w:t>
      </w:r>
      <w:r>
        <w:rPr>
          <w:b/>
          <w:bCs/>
          <w:sz w:val="19"/>
          <w:szCs w:val="19"/>
        </w:rPr>
        <w:tab/>
        <w:t>The following do not apply to entities preparing general pur</w:t>
      </w:r>
      <w:r w:rsidR="001672C9">
        <w:rPr>
          <w:b/>
          <w:bCs/>
          <w:sz w:val="19"/>
          <w:szCs w:val="19"/>
        </w:rPr>
        <w:t xml:space="preserve">pose financial statements under </w:t>
      </w:r>
      <w:r w:rsidRPr="00174AA2">
        <w:rPr>
          <w:b/>
          <w:bCs/>
          <w:sz w:val="19"/>
          <w:szCs w:val="19"/>
        </w:rPr>
        <w:t>Australian Accounting Standards – Reduced Disclosure Requirements</w:t>
      </w:r>
      <w:r>
        <w:rPr>
          <w:b/>
          <w:bCs/>
          <w:sz w:val="19"/>
          <w:szCs w:val="19"/>
        </w:rPr>
        <w:t xml:space="preserve">: </w:t>
      </w:r>
    </w:p>
    <w:p w:rsidR="00FF4DB8" w:rsidRPr="00FF4DB8" w:rsidRDefault="00FF4DB8" w:rsidP="00C0730D">
      <w:pPr>
        <w:pStyle w:val="NumPlain2"/>
        <w:numPr>
          <w:ilvl w:val="0"/>
          <w:numId w:val="13"/>
        </w:numPr>
        <w:ind w:left="1814" w:hanging="510"/>
        <w:rPr>
          <w:b/>
          <w:szCs w:val="19"/>
        </w:rPr>
      </w:pPr>
      <w:r w:rsidRPr="00FF4DB8">
        <w:rPr>
          <w:b/>
          <w:szCs w:val="19"/>
        </w:rPr>
        <w:t>paragraph</w:t>
      </w:r>
      <w:r w:rsidR="001672C9">
        <w:rPr>
          <w:b/>
          <w:szCs w:val="19"/>
        </w:rPr>
        <w:t>s</w:t>
      </w:r>
      <w:r w:rsidR="00273B7F">
        <w:rPr>
          <w:b/>
          <w:szCs w:val="19"/>
        </w:rPr>
        <w:t xml:space="preserve"> 27, 33, </w:t>
      </w:r>
      <w:r w:rsidRPr="00FF4DB8">
        <w:rPr>
          <w:b/>
          <w:szCs w:val="19"/>
        </w:rPr>
        <w:t>35(b)</w:t>
      </w:r>
      <w:r w:rsidR="00273B7F">
        <w:rPr>
          <w:b/>
          <w:szCs w:val="19"/>
        </w:rPr>
        <w:t xml:space="preserve"> and 37</w:t>
      </w:r>
      <w:r w:rsidRPr="00FF4DB8">
        <w:rPr>
          <w:b/>
          <w:szCs w:val="19"/>
        </w:rPr>
        <w:t>; and</w:t>
      </w:r>
    </w:p>
    <w:p w:rsidR="00FF4DB8" w:rsidRPr="00FF4DB8" w:rsidRDefault="001672C9" w:rsidP="00C0730D">
      <w:pPr>
        <w:pStyle w:val="NumPlain2"/>
        <w:numPr>
          <w:ilvl w:val="0"/>
          <w:numId w:val="13"/>
        </w:numPr>
        <w:ind w:left="1814" w:hanging="510"/>
        <w:rPr>
          <w:b/>
          <w:szCs w:val="19"/>
        </w:rPr>
      </w:pPr>
      <w:proofErr w:type="gramStart"/>
      <w:r>
        <w:rPr>
          <w:b/>
          <w:szCs w:val="19"/>
        </w:rPr>
        <w:t>in</w:t>
      </w:r>
      <w:proofErr w:type="gramEnd"/>
      <w:r>
        <w:rPr>
          <w:b/>
          <w:szCs w:val="19"/>
        </w:rPr>
        <w:t xml:space="preserve"> paragraph 35, the text “</w:t>
      </w:r>
      <w:r w:rsidR="00FF4DB8" w:rsidRPr="00FF4DB8">
        <w:rPr>
          <w:b/>
          <w:szCs w:val="19"/>
        </w:rPr>
        <w:t>both of”.</w:t>
      </w:r>
    </w:p>
    <w:p w:rsidR="00096ED1" w:rsidRPr="00C0730D" w:rsidRDefault="00FF4DB8" w:rsidP="00C0730D">
      <w:pPr>
        <w:pStyle w:val="Default"/>
        <w:spacing w:before="100" w:after="100"/>
        <w:ind w:left="1304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Entities applying Australian Accounting Standards – Reduced Disclo</w:t>
      </w:r>
      <w:r w:rsidR="00273B7F">
        <w:rPr>
          <w:b/>
          <w:bCs/>
          <w:sz w:val="19"/>
          <w:szCs w:val="19"/>
        </w:rPr>
        <w:t xml:space="preserve">sure Requirements may elect to </w:t>
      </w:r>
      <w:r>
        <w:rPr>
          <w:b/>
          <w:bCs/>
          <w:sz w:val="19"/>
          <w:szCs w:val="19"/>
        </w:rPr>
        <w:t xml:space="preserve">comply with some or all of these excluded requirements. </w:t>
      </w:r>
    </w:p>
    <w:p w:rsidR="00FF4DB8" w:rsidRPr="00273B7F" w:rsidRDefault="00273B7F" w:rsidP="00C0730D">
      <w:pPr>
        <w:pStyle w:val="Default"/>
        <w:spacing w:before="100" w:after="100"/>
        <w:ind w:left="1304" w:hanging="794"/>
        <w:jc w:val="both"/>
        <w:rPr>
          <w:color w:val="auto"/>
          <w:sz w:val="19"/>
          <w:szCs w:val="19"/>
          <w:lang w:eastAsia="en-US"/>
        </w:rPr>
      </w:pPr>
      <w:r w:rsidRPr="00273B7F">
        <w:rPr>
          <w:color w:val="auto"/>
          <w:sz w:val="19"/>
          <w:szCs w:val="19"/>
          <w:lang w:eastAsia="en-US"/>
        </w:rPr>
        <w:t xml:space="preserve">E2 </w:t>
      </w:r>
      <w:r>
        <w:rPr>
          <w:color w:val="auto"/>
          <w:sz w:val="19"/>
          <w:szCs w:val="19"/>
          <w:lang w:eastAsia="en-US"/>
        </w:rPr>
        <w:tab/>
      </w:r>
      <w:r w:rsidR="00FF4DB8" w:rsidRPr="00273B7F">
        <w:rPr>
          <w:color w:val="auto"/>
          <w:sz w:val="19"/>
          <w:szCs w:val="19"/>
          <w:lang w:eastAsia="en-US"/>
        </w:rPr>
        <w:t>The requirements that do not apply to entities preparing general purpose financi</w:t>
      </w:r>
      <w:r w:rsidRPr="00273B7F">
        <w:rPr>
          <w:color w:val="auto"/>
          <w:sz w:val="19"/>
          <w:szCs w:val="19"/>
          <w:lang w:eastAsia="en-US"/>
        </w:rPr>
        <w:t xml:space="preserve">al statements under Australian </w:t>
      </w:r>
      <w:r w:rsidR="00FF4DB8" w:rsidRPr="00273B7F">
        <w:rPr>
          <w:color w:val="auto"/>
          <w:sz w:val="19"/>
          <w:szCs w:val="19"/>
          <w:lang w:eastAsia="en-US"/>
        </w:rPr>
        <w:t xml:space="preserve">Accounting Standards – Reduced Disclosure Requirements are also identified </w:t>
      </w:r>
      <w:r w:rsidRPr="00273B7F">
        <w:rPr>
          <w:color w:val="auto"/>
          <w:sz w:val="19"/>
          <w:szCs w:val="19"/>
          <w:lang w:eastAsia="en-US"/>
        </w:rPr>
        <w:t xml:space="preserve">in this Standard by shading of </w:t>
      </w:r>
      <w:r w:rsidR="00FF4DB8" w:rsidRPr="00273B7F">
        <w:rPr>
          <w:color w:val="auto"/>
          <w:sz w:val="19"/>
          <w:szCs w:val="19"/>
          <w:lang w:eastAsia="en-US"/>
        </w:rPr>
        <w:t>the relevant text.</w:t>
      </w:r>
    </w:p>
    <w:p w:rsidR="004A3747" w:rsidRDefault="004A3747">
      <w:pPr>
        <w:pStyle w:val="Heading2"/>
      </w:pPr>
      <w:r>
        <w:t>Commencement of the legislative instrument</w:t>
      </w:r>
    </w:p>
    <w:p w:rsidR="00FC73E4" w:rsidRPr="00FB42D3" w:rsidRDefault="004A3747" w:rsidP="00BC0794">
      <w:pPr>
        <w:pStyle w:val="NumBold1"/>
        <w:rPr>
          <w:b w:val="0"/>
        </w:rPr>
      </w:pPr>
      <w:r w:rsidRPr="00273B7F">
        <w:rPr>
          <w:b w:val="0"/>
        </w:rPr>
        <w:t xml:space="preserve">For legal purposes, this legislative instrument commences on </w:t>
      </w:r>
      <w:bookmarkStart w:id="22" w:name="CommenceDate"/>
      <w:r w:rsidRPr="00273B7F">
        <w:rPr>
          <w:b w:val="0"/>
        </w:rPr>
        <w:t>31 December 2018</w:t>
      </w:r>
      <w:bookmarkEnd w:id="22"/>
      <w:r w:rsidRPr="00273B7F">
        <w:rPr>
          <w:b w:val="0"/>
        </w:rPr>
        <w:t>.</w:t>
      </w:r>
    </w:p>
    <w:p w:rsidR="008F65A3" w:rsidRDefault="008F65A3" w:rsidP="00BC0794">
      <w:pPr>
        <w:pStyle w:val="NoNumPlain1"/>
        <w:sectPr w:rsidR="008F65A3" w:rsidSect="00D74C6A">
          <w:footerReference w:type="default" r:id="rId12"/>
          <w:pgSz w:w="11907" w:h="16840" w:code="9"/>
          <w:pgMar w:top="1418" w:right="1418" w:bottom="1418" w:left="1418" w:header="709" w:footer="709" w:gutter="0"/>
          <w:paperSrc w:first="7" w:other="7"/>
          <w:cols w:space="720"/>
          <w:docGrid w:linePitch="65"/>
        </w:sectPr>
      </w:pPr>
    </w:p>
    <w:p w:rsidR="00FC73E4" w:rsidRDefault="00FC73E4" w:rsidP="00BC0794">
      <w:pPr>
        <w:pStyle w:val="NoNumPlain1"/>
      </w:pPr>
    </w:p>
    <w:p w:rsidR="00FC73E4" w:rsidRPr="00FC73E4" w:rsidRDefault="00FC73E4" w:rsidP="00BC0794">
      <w:pPr>
        <w:pStyle w:val="NoNumPlain1"/>
        <w:rPr>
          <w:rFonts w:ascii="Arial" w:hAnsi="Arial" w:cs="Arial"/>
          <w:b/>
          <w:iCs/>
          <w:sz w:val="26"/>
          <w:szCs w:val="28"/>
        </w:rPr>
      </w:pPr>
      <w:r w:rsidRPr="00FC73E4">
        <w:rPr>
          <w:rFonts w:ascii="Arial" w:hAnsi="Arial" w:cs="Arial"/>
          <w:b/>
          <w:iCs/>
          <w:sz w:val="26"/>
          <w:szCs w:val="28"/>
        </w:rPr>
        <w:t xml:space="preserve">Basis for Conclusions </w:t>
      </w:r>
    </w:p>
    <w:p w:rsidR="008F65A3" w:rsidRDefault="006B2801" w:rsidP="008F65A3">
      <w:pPr>
        <w:pStyle w:val="NoNumPlain1"/>
        <w:rPr>
          <w:i/>
          <w:iCs/>
          <w:szCs w:val="19"/>
        </w:rPr>
      </w:pPr>
      <w:r w:rsidRPr="00C23E4E">
        <w:rPr>
          <w:i/>
          <w:iCs/>
          <w:szCs w:val="19"/>
        </w:rPr>
        <w:t xml:space="preserve">This Basis for Conclusions accompanies, but is not part of, </w:t>
      </w:r>
      <w:r w:rsidR="00C534B9" w:rsidRPr="00C23E4E">
        <w:rPr>
          <w:i/>
          <w:iCs/>
          <w:szCs w:val="19"/>
        </w:rPr>
        <w:t>AASB 2018-</w:t>
      </w:r>
      <w:r w:rsidR="005834BF">
        <w:rPr>
          <w:i/>
          <w:iCs/>
          <w:szCs w:val="19"/>
        </w:rPr>
        <w:t>3</w:t>
      </w:r>
      <w:r w:rsidR="00C534B9" w:rsidRPr="00C23E4E">
        <w:rPr>
          <w:i/>
          <w:iCs/>
          <w:szCs w:val="19"/>
        </w:rPr>
        <w:t>.</w:t>
      </w:r>
    </w:p>
    <w:p w:rsidR="00FC73E4" w:rsidRDefault="00FC73E4" w:rsidP="008F65A3">
      <w:pPr>
        <w:pStyle w:val="Heading2"/>
      </w:pPr>
      <w:r>
        <w:t>Background</w:t>
      </w:r>
    </w:p>
    <w:p w:rsidR="00D73DA3" w:rsidRDefault="00D73DA3" w:rsidP="00076084">
      <w:pPr>
        <w:pStyle w:val="NoNumPlain1"/>
        <w:ind w:left="624" w:hanging="624"/>
        <w:rPr>
          <w:szCs w:val="19"/>
        </w:rPr>
      </w:pPr>
      <w:r>
        <w:rPr>
          <w:szCs w:val="19"/>
        </w:rPr>
        <w:t xml:space="preserve">BC1 </w:t>
      </w:r>
      <w:r>
        <w:rPr>
          <w:szCs w:val="19"/>
        </w:rPr>
        <w:tab/>
      </w:r>
      <w:r w:rsidRPr="006B2801">
        <w:rPr>
          <w:szCs w:val="19"/>
        </w:rPr>
        <w:t>This Basis for Conclusions summarises the Australian Accounting Standards Board’s considerations in reaching the conclusions in this Standard. Individual Board members gave greater weight to some factors than to others.</w:t>
      </w:r>
    </w:p>
    <w:p w:rsidR="00887FEC" w:rsidRDefault="00887FEC" w:rsidP="00076084">
      <w:pPr>
        <w:pStyle w:val="NoNumPlain1"/>
        <w:ind w:left="624" w:hanging="624"/>
        <w:rPr>
          <w:szCs w:val="19"/>
        </w:rPr>
      </w:pPr>
      <w:r>
        <w:rPr>
          <w:szCs w:val="19"/>
        </w:rPr>
        <w:t>BC2</w:t>
      </w:r>
      <w:r>
        <w:rPr>
          <w:szCs w:val="19"/>
        </w:rPr>
        <w:tab/>
        <w:t>The Board’s current approach to setting Reduced Disclosure Requirements (RDR) is to consider the disclosure requireme</w:t>
      </w:r>
      <w:r w:rsidR="00C343A9">
        <w:rPr>
          <w:szCs w:val="19"/>
        </w:rPr>
        <w:t>nts for Tier 2 entities once a S</w:t>
      </w:r>
      <w:r>
        <w:rPr>
          <w:szCs w:val="19"/>
        </w:rPr>
        <w:t>tandard has been issued. This ensures that the Board and stakeholders do not spend time and effort considering RDR for proposed disclosure re</w:t>
      </w:r>
      <w:r w:rsidR="00C343A9">
        <w:rPr>
          <w:szCs w:val="19"/>
        </w:rPr>
        <w:t>quirements that might not be included in the final S</w:t>
      </w:r>
      <w:r>
        <w:rPr>
          <w:szCs w:val="19"/>
        </w:rPr>
        <w:t>tandard.</w:t>
      </w:r>
    </w:p>
    <w:p w:rsidR="00887FEC" w:rsidRPr="00887FEC" w:rsidRDefault="008F65A3" w:rsidP="00887FEC">
      <w:pPr>
        <w:pStyle w:val="Heading2"/>
      </w:pPr>
      <w:r>
        <w:t>Exposure D</w:t>
      </w:r>
      <w:r w:rsidR="00887FEC">
        <w:t>raft proposals</w:t>
      </w:r>
    </w:p>
    <w:p w:rsidR="00887FEC" w:rsidRDefault="00FC73E4" w:rsidP="00076084">
      <w:pPr>
        <w:pStyle w:val="NoNumPlain1"/>
        <w:ind w:left="624" w:hanging="624"/>
        <w:rPr>
          <w:szCs w:val="19"/>
        </w:rPr>
      </w:pPr>
      <w:r>
        <w:rPr>
          <w:szCs w:val="19"/>
        </w:rPr>
        <w:t>B</w:t>
      </w:r>
      <w:r w:rsidR="00887FEC">
        <w:rPr>
          <w:szCs w:val="19"/>
        </w:rPr>
        <w:t>C3</w:t>
      </w:r>
      <w:r>
        <w:rPr>
          <w:szCs w:val="19"/>
        </w:rPr>
        <w:tab/>
      </w:r>
      <w:r w:rsidR="00C343A9">
        <w:rPr>
          <w:szCs w:val="19"/>
        </w:rPr>
        <w:t>In 2016 and 2017, the Board issued new S</w:t>
      </w:r>
      <w:r w:rsidR="00887FEC">
        <w:rPr>
          <w:szCs w:val="19"/>
        </w:rPr>
        <w:t xml:space="preserve">tandards AASB 16 </w:t>
      </w:r>
      <w:r w:rsidR="00887FEC" w:rsidRPr="00887FEC">
        <w:rPr>
          <w:i/>
          <w:szCs w:val="19"/>
        </w:rPr>
        <w:t>Leases</w:t>
      </w:r>
      <w:r w:rsidR="00887FEC">
        <w:rPr>
          <w:szCs w:val="19"/>
        </w:rPr>
        <w:t xml:space="preserve">, AASB 1058 </w:t>
      </w:r>
      <w:r w:rsidR="00887FEC">
        <w:rPr>
          <w:i/>
        </w:rPr>
        <w:t xml:space="preserve">Income of </w:t>
      </w:r>
      <w:r w:rsidR="00887FEC" w:rsidRPr="004A3747">
        <w:rPr>
          <w:i/>
        </w:rPr>
        <w:t>Not-for-Profit</w:t>
      </w:r>
      <w:r w:rsidR="00887FEC">
        <w:rPr>
          <w:i/>
        </w:rPr>
        <w:t xml:space="preserve"> Entities</w:t>
      </w:r>
      <w:r w:rsidR="00887FEC">
        <w:rPr>
          <w:szCs w:val="19"/>
        </w:rPr>
        <w:t xml:space="preserve"> and AASB 1059 </w:t>
      </w:r>
      <w:r w:rsidR="00887FEC" w:rsidRPr="00D73DA3">
        <w:rPr>
          <w:i/>
          <w:szCs w:val="19"/>
        </w:rPr>
        <w:t>Service Concession Arrangements: Grantors</w:t>
      </w:r>
      <w:r w:rsidR="00887FEC">
        <w:rPr>
          <w:szCs w:val="19"/>
        </w:rPr>
        <w:t xml:space="preserve">. To address RDR in respect of these Standards, </w:t>
      </w:r>
      <w:r w:rsidRPr="00FC73E4">
        <w:rPr>
          <w:szCs w:val="19"/>
        </w:rPr>
        <w:t>the Board issued Exposure Draft ED 2</w:t>
      </w:r>
      <w:r>
        <w:rPr>
          <w:szCs w:val="19"/>
        </w:rPr>
        <w:t>84</w:t>
      </w:r>
      <w:r w:rsidRPr="00FC73E4">
        <w:rPr>
          <w:szCs w:val="19"/>
        </w:rPr>
        <w:t xml:space="preserve"> </w:t>
      </w:r>
      <w:r w:rsidRPr="00FC73E4">
        <w:rPr>
          <w:i/>
          <w:szCs w:val="19"/>
        </w:rPr>
        <w:t>Recent Standards – Reduced Disclosure Requirements</w:t>
      </w:r>
      <w:r>
        <w:rPr>
          <w:szCs w:val="19"/>
        </w:rPr>
        <w:t xml:space="preserve"> in December 2017. ED 284</w:t>
      </w:r>
      <w:r w:rsidRPr="00FC73E4">
        <w:rPr>
          <w:szCs w:val="19"/>
        </w:rPr>
        <w:t xml:space="preserve"> </w:t>
      </w:r>
      <w:r>
        <w:rPr>
          <w:szCs w:val="19"/>
        </w:rPr>
        <w:t>set out the disclosures in AASB 16, AASB 1058 and AASB 1059 f</w:t>
      </w:r>
      <w:r w:rsidR="00887FEC">
        <w:rPr>
          <w:szCs w:val="19"/>
        </w:rPr>
        <w:t xml:space="preserve">rom which the Board </w:t>
      </w:r>
      <w:r>
        <w:rPr>
          <w:szCs w:val="19"/>
        </w:rPr>
        <w:t xml:space="preserve">proposed entities applying Tier 2 reporting requirements should be exempt. </w:t>
      </w:r>
      <w:r w:rsidRPr="00FC73E4">
        <w:rPr>
          <w:szCs w:val="19"/>
        </w:rPr>
        <w:t xml:space="preserve"> </w:t>
      </w:r>
    </w:p>
    <w:p w:rsidR="00887FEC" w:rsidRDefault="00C343A9" w:rsidP="00076084">
      <w:pPr>
        <w:pStyle w:val="NoNumPlain1"/>
        <w:ind w:left="624" w:hanging="624"/>
      </w:pPr>
      <w:r>
        <w:t>BC4</w:t>
      </w:r>
      <w:r>
        <w:tab/>
        <w:t>The Board developed</w:t>
      </w:r>
      <w:r w:rsidR="00887FEC">
        <w:t xml:space="preserve"> the proposals</w:t>
      </w:r>
      <w:r w:rsidR="00FF2DF2">
        <w:t xml:space="preserve"> based on </w:t>
      </w:r>
      <w:r w:rsidR="00FF2DF2" w:rsidRPr="00FF2DF2">
        <w:t>the curren</w:t>
      </w:r>
      <w:r>
        <w:t xml:space="preserve">t RDR decision-making framework, </w:t>
      </w:r>
      <w:r w:rsidR="00887FEC">
        <w:t>which specifies the following principles are applied in determining disclosures under Tier 2:</w:t>
      </w:r>
    </w:p>
    <w:p w:rsidR="00887FEC" w:rsidRDefault="00043291" w:rsidP="00076084">
      <w:pPr>
        <w:pStyle w:val="NumPlain2"/>
        <w:tabs>
          <w:tab w:val="clear" w:pos="1021"/>
        </w:tabs>
        <w:ind w:left="1134" w:hanging="510"/>
      </w:pPr>
      <w:r>
        <w:t>d</w:t>
      </w:r>
      <w:r w:rsidR="00887FEC">
        <w:t xml:space="preserve">rawing directly on the </w:t>
      </w:r>
      <w:r w:rsidR="00887FEC" w:rsidRPr="00887FEC">
        <w:rPr>
          <w:i/>
        </w:rPr>
        <w:t>IFRS for SMEs</w:t>
      </w:r>
      <w:r w:rsidR="00887FEC">
        <w:t xml:space="preserve"> when Tier 2 recognition and measurement requirements are the same </w:t>
      </w:r>
      <w:r w:rsidR="0089620B">
        <w:t xml:space="preserve">as </w:t>
      </w:r>
      <w:r w:rsidR="00887FEC">
        <w:t xml:space="preserve">those under the </w:t>
      </w:r>
      <w:r w:rsidR="00887FEC" w:rsidRPr="00043291">
        <w:rPr>
          <w:i/>
        </w:rPr>
        <w:t>IFRS for SMEs</w:t>
      </w:r>
      <w:r w:rsidR="00887FEC" w:rsidRPr="00043291">
        <w:t xml:space="preserve">; </w:t>
      </w:r>
      <w:r w:rsidR="00887FEC">
        <w:t>and</w:t>
      </w:r>
    </w:p>
    <w:p w:rsidR="00043291" w:rsidRPr="00043291" w:rsidRDefault="00043291" w:rsidP="00076084">
      <w:pPr>
        <w:pStyle w:val="NumPlain2"/>
        <w:tabs>
          <w:tab w:val="clear" w:pos="1021"/>
        </w:tabs>
        <w:ind w:left="1134" w:hanging="510"/>
        <w:rPr>
          <w:i/>
        </w:rPr>
      </w:pPr>
      <w:proofErr w:type="gramStart"/>
      <w:r>
        <w:t>using</w:t>
      </w:r>
      <w:proofErr w:type="gramEnd"/>
      <w:r>
        <w:t xml:space="preserve"> the ‘user need’ and ‘cost-benefit’ principles applied by the IASB in developing its </w:t>
      </w:r>
      <w:r w:rsidRPr="00043291">
        <w:rPr>
          <w:i/>
        </w:rPr>
        <w:t>IFRS for SMEs</w:t>
      </w:r>
      <w:r>
        <w:t xml:space="preserve"> when Tier 2 recognition and measurement requirements are not the</w:t>
      </w:r>
      <w:r w:rsidR="00AC1003">
        <w:t xml:space="preserve"> same as those available under </w:t>
      </w:r>
      <w:r>
        <w:t xml:space="preserve">the </w:t>
      </w:r>
      <w:r w:rsidR="00AC1003">
        <w:rPr>
          <w:i/>
        </w:rPr>
        <w:t>IFRS</w:t>
      </w:r>
      <w:r w:rsidRPr="00043291">
        <w:rPr>
          <w:i/>
        </w:rPr>
        <w:t xml:space="preserve"> for SMEs</w:t>
      </w:r>
      <w:r>
        <w:t>.</w:t>
      </w:r>
    </w:p>
    <w:p w:rsidR="00A70CFB" w:rsidRDefault="00F66585" w:rsidP="00076084">
      <w:pPr>
        <w:pStyle w:val="NoNumPlain1"/>
        <w:ind w:left="624" w:hanging="624"/>
        <w:rPr>
          <w:szCs w:val="19"/>
        </w:rPr>
      </w:pPr>
      <w:r>
        <w:t>BC5</w:t>
      </w:r>
      <w:r w:rsidR="00A70CFB">
        <w:tab/>
        <w:t>A new RDR decision making framework is being developed jointly with the New</w:t>
      </w:r>
      <w:r w:rsidR="00A70CFB">
        <w:rPr>
          <w:szCs w:val="19"/>
        </w:rPr>
        <w:t xml:space="preserve"> </w:t>
      </w:r>
      <w:r w:rsidR="00A70CFB" w:rsidRPr="00A70CFB">
        <w:rPr>
          <w:szCs w:val="19"/>
        </w:rPr>
        <w:t xml:space="preserve">Zealand Accounting Standards Board (NZASB) – see AASB Exposure Draft ED 277 </w:t>
      </w:r>
      <w:r w:rsidR="00A70CFB" w:rsidRPr="00DB2CB8">
        <w:rPr>
          <w:i/>
          <w:szCs w:val="19"/>
        </w:rPr>
        <w:t>Reduced Disclosure Requirements for Tier 2 Entities</w:t>
      </w:r>
      <w:r w:rsidR="00A70CFB" w:rsidRPr="00A70CFB">
        <w:rPr>
          <w:szCs w:val="19"/>
        </w:rPr>
        <w:t xml:space="preserve"> (January 2017).</w:t>
      </w:r>
      <w:r w:rsidR="00A70CFB">
        <w:rPr>
          <w:szCs w:val="19"/>
        </w:rPr>
        <w:t xml:space="preserve"> </w:t>
      </w:r>
      <w:r w:rsidR="00A70CFB" w:rsidRPr="00A70CFB">
        <w:rPr>
          <w:szCs w:val="19"/>
        </w:rPr>
        <w:t>However</w:t>
      </w:r>
      <w:r w:rsidR="00A70CFB">
        <w:rPr>
          <w:szCs w:val="19"/>
        </w:rPr>
        <w:t>, the proposed RDR framework had</w:t>
      </w:r>
      <w:r w:rsidR="00A70CFB" w:rsidRPr="00A70CFB">
        <w:rPr>
          <w:szCs w:val="19"/>
        </w:rPr>
        <w:t xml:space="preserve"> not been fi</w:t>
      </w:r>
      <w:r w:rsidR="00A70CFB">
        <w:rPr>
          <w:szCs w:val="19"/>
        </w:rPr>
        <w:t>nalised and appr</w:t>
      </w:r>
      <w:r w:rsidR="00AC1003">
        <w:rPr>
          <w:szCs w:val="19"/>
        </w:rPr>
        <w:t>oved by the Board when preparing</w:t>
      </w:r>
      <w:r w:rsidR="00A70CFB">
        <w:rPr>
          <w:szCs w:val="19"/>
        </w:rPr>
        <w:t xml:space="preserve"> ED 284</w:t>
      </w:r>
      <w:r w:rsidR="00A70CFB" w:rsidRPr="00A70CFB">
        <w:rPr>
          <w:szCs w:val="19"/>
        </w:rPr>
        <w:t>. In i</w:t>
      </w:r>
      <w:r w:rsidR="00A70CFB">
        <w:rPr>
          <w:szCs w:val="19"/>
        </w:rPr>
        <w:t>ts August 2017 meeting, the Board</w:t>
      </w:r>
      <w:r w:rsidR="00A70CFB" w:rsidRPr="00A70CFB">
        <w:rPr>
          <w:szCs w:val="19"/>
        </w:rPr>
        <w:t xml:space="preserve"> decided to conduct further outreach on ED 277 and its financial reporting framework project, to which the RDR decision-making framewor</w:t>
      </w:r>
      <w:r w:rsidR="00A70CFB">
        <w:rPr>
          <w:szCs w:val="19"/>
        </w:rPr>
        <w:t xml:space="preserve">k is linked. This </w:t>
      </w:r>
      <w:r w:rsidR="00A70CFB" w:rsidRPr="00A70CFB">
        <w:rPr>
          <w:szCs w:val="19"/>
        </w:rPr>
        <w:t>likely mean</w:t>
      </w:r>
      <w:r w:rsidR="00A70CFB">
        <w:rPr>
          <w:szCs w:val="19"/>
        </w:rPr>
        <w:t>t</w:t>
      </w:r>
      <w:r w:rsidR="00A70CFB" w:rsidRPr="00A70CFB">
        <w:rPr>
          <w:szCs w:val="19"/>
        </w:rPr>
        <w:t xml:space="preserve"> t</w:t>
      </w:r>
      <w:r w:rsidR="00A70CFB">
        <w:rPr>
          <w:szCs w:val="19"/>
        </w:rPr>
        <w:t>hat the proposals in ED 277 would</w:t>
      </w:r>
      <w:r w:rsidR="00A70CFB" w:rsidRPr="00A70CFB">
        <w:rPr>
          <w:szCs w:val="19"/>
        </w:rPr>
        <w:t xml:space="preserve"> not be finalised in time for the effective date of the three subject Standards. Therefore, the current RDR decision-making framework </w:t>
      </w:r>
      <w:r w:rsidR="00A70CFB">
        <w:rPr>
          <w:szCs w:val="19"/>
        </w:rPr>
        <w:t>was applied in</w:t>
      </w:r>
      <w:r w:rsidR="00A70CFB" w:rsidRPr="00A70CFB">
        <w:rPr>
          <w:szCs w:val="19"/>
        </w:rPr>
        <w:t xml:space="preserve"> determining</w:t>
      </w:r>
      <w:r>
        <w:rPr>
          <w:szCs w:val="19"/>
        </w:rPr>
        <w:t xml:space="preserve"> the proposed</w:t>
      </w:r>
      <w:r w:rsidR="00A70CFB" w:rsidRPr="00A70CFB">
        <w:rPr>
          <w:szCs w:val="19"/>
        </w:rPr>
        <w:t xml:space="preserve"> disclosures for Tier 2 entities </w:t>
      </w:r>
      <w:r>
        <w:rPr>
          <w:szCs w:val="19"/>
        </w:rPr>
        <w:t>in ED 284.</w:t>
      </w:r>
    </w:p>
    <w:p w:rsidR="00A70CFB" w:rsidRPr="00A70CFB" w:rsidRDefault="008F65A3" w:rsidP="00A70CFB">
      <w:pPr>
        <w:pStyle w:val="Heading2"/>
      </w:pPr>
      <w:r>
        <w:t>Responses to the Exposure D</w:t>
      </w:r>
      <w:r w:rsidR="00F66585">
        <w:t>raft</w:t>
      </w:r>
    </w:p>
    <w:p w:rsidR="004C28A9" w:rsidRDefault="004C28A9" w:rsidP="00076084">
      <w:pPr>
        <w:pStyle w:val="NoNumPlain1"/>
        <w:ind w:left="624" w:hanging="624"/>
        <w:rPr>
          <w:szCs w:val="19"/>
        </w:rPr>
      </w:pPr>
      <w:r>
        <w:rPr>
          <w:szCs w:val="19"/>
        </w:rPr>
        <w:t>B</w:t>
      </w:r>
      <w:r w:rsidR="00A70CFB">
        <w:rPr>
          <w:szCs w:val="19"/>
        </w:rPr>
        <w:t>C6</w:t>
      </w:r>
      <w:r>
        <w:rPr>
          <w:szCs w:val="19"/>
        </w:rPr>
        <w:tab/>
      </w:r>
      <w:r w:rsidR="00A70CFB">
        <w:rPr>
          <w:szCs w:val="19"/>
        </w:rPr>
        <w:t>The Board received five</w:t>
      </w:r>
      <w:r w:rsidR="005E275A">
        <w:rPr>
          <w:szCs w:val="19"/>
        </w:rPr>
        <w:t xml:space="preserve"> submissions on ED 284. The</w:t>
      </w:r>
      <w:r w:rsidR="005E275A" w:rsidRPr="005E275A">
        <w:rPr>
          <w:szCs w:val="19"/>
        </w:rPr>
        <w:t xml:space="preserve"> respondents </w:t>
      </w:r>
      <w:r w:rsidR="00A70CFB">
        <w:rPr>
          <w:szCs w:val="19"/>
        </w:rPr>
        <w:t>generally</w:t>
      </w:r>
      <w:r w:rsidR="00AC1003">
        <w:rPr>
          <w:szCs w:val="19"/>
        </w:rPr>
        <w:t xml:space="preserve"> agreed </w:t>
      </w:r>
      <w:r w:rsidR="00AC1003" w:rsidRPr="005E275A">
        <w:rPr>
          <w:szCs w:val="19"/>
        </w:rPr>
        <w:t>that the Board had appropriately applied the current</w:t>
      </w:r>
      <w:r w:rsidR="00AC1003">
        <w:rPr>
          <w:szCs w:val="19"/>
        </w:rPr>
        <w:t xml:space="preserve"> RDR decision-making framework and</w:t>
      </w:r>
      <w:r w:rsidR="00A70CFB">
        <w:rPr>
          <w:szCs w:val="19"/>
        </w:rPr>
        <w:t xml:space="preserve"> </w:t>
      </w:r>
      <w:r w:rsidR="005E275A" w:rsidRPr="005E275A">
        <w:rPr>
          <w:szCs w:val="19"/>
        </w:rPr>
        <w:t xml:space="preserve">expressed support for </w:t>
      </w:r>
      <w:r w:rsidR="005E275A">
        <w:rPr>
          <w:szCs w:val="19"/>
        </w:rPr>
        <w:t xml:space="preserve">the proposed </w:t>
      </w:r>
      <w:r w:rsidR="005E275A" w:rsidRPr="005E275A">
        <w:rPr>
          <w:szCs w:val="19"/>
        </w:rPr>
        <w:t xml:space="preserve">RDR concessions for AASB 16 </w:t>
      </w:r>
      <w:r w:rsidR="005E275A">
        <w:rPr>
          <w:szCs w:val="19"/>
        </w:rPr>
        <w:t xml:space="preserve">and </w:t>
      </w:r>
      <w:r w:rsidR="00AC1003">
        <w:rPr>
          <w:szCs w:val="19"/>
        </w:rPr>
        <w:t xml:space="preserve">AASB 1058. </w:t>
      </w:r>
      <w:r w:rsidR="00C21982">
        <w:rPr>
          <w:szCs w:val="19"/>
        </w:rPr>
        <w:t xml:space="preserve">However, in some cases, </w:t>
      </w:r>
      <w:r w:rsidR="00F66585">
        <w:rPr>
          <w:szCs w:val="19"/>
        </w:rPr>
        <w:t xml:space="preserve">respondents </w:t>
      </w:r>
      <w:r w:rsidR="00AC1003">
        <w:rPr>
          <w:szCs w:val="19"/>
        </w:rPr>
        <w:t>suggested a different</w:t>
      </w:r>
      <w:r w:rsidR="00F66585">
        <w:rPr>
          <w:szCs w:val="19"/>
        </w:rPr>
        <w:t xml:space="preserve"> justification for certain disclos</w:t>
      </w:r>
      <w:r w:rsidR="00AC1003">
        <w:rPr>
          <w:szCs w:val="19"/>
        </w:rPr>
        <w:t xml:space="preserve">ure concessions, such as a disclosure not being necessary for accountability purposes rather than the cost exceeding </w:t>
      </w:r>
      <w:r w:rsidR="002A2FD2">
        <w:rPr>
          <w:szCs w:val="19"/>
        </w:rPr>
        <w:t xml:space="preserve">the </w:t>
      </w:r>
      <w:r w:rsidR="00AC1003">
        <w:rPr>
          <w:szCs w:val="19"/>
        </w:rPr>
        <w:t xml:space="preserve">benefits. Several respondents contrasted some of the AASB 1058 proposals with the RDR approach in AASB 15 </w:t>
      </w:r>
      <w:r w:rsidR="00AC1003" w:rsidRPr="00AC1003">
        <w:rPr>
          <w:i/>
          <w:szCs w:val="19"/>
        </w:rPr>
        <w:t>Revenue from Contracts with Customers</w:t>
      </w:r>
      <w:r w:rsidR="00AC1003">
        <w:rPr>
          <w:szCs w:val="19"/>
        </w:rPr>
        <w:t>, and the Board decided to change the RDR outcome from that proposed to be consistent.</w:t>
      </w:r>
    </w:p>
    <w:p w:rsidR="007B10F8" w:rsidRDefault="00F66585" w:rsidP="00076084">
      <w:pPr>
        <w:pStyle w:val="NoNumPlain1"/>
        <w:ind w:left="624" w:hanging="624"/>
        <w:rPr>
          <w:szCs w:val="19"/>
        </w:rPr>
      </w:pPr>
      <w:r>
        <w:rPr>
          <w:szCs w:val="19"/>
        </w:rPr>
        <w:t>BC7</w:t>
      </w:r>
      <w:r w:rsidR="005E275A">
        <w:rPr>
          <w:szCs w:val="19"/>
        </w:rPr>
        <w:tab/>
      </w:r>
      <w:r w:rsidR="007B10F8">
        <w:rPr>
          <w:szCs w:val="19"/>
        </w:rPr>
        <w:t>Two respondents</w:t>
      </w:r>
      <w:r w:rsidR="00B8312F" w:rsidRPr="00B8312F">
        <w:rPr>
          <w:szCs w:val="19"/>
        </w:rPr>
        <w:t xml:space="preserve"> suggested that the Boar</w:t>
      </w:r>
      <w:r w:rsidR="00AC1003">
        <w:rPr>
          <w:szCs w:val="19"/>
        </w:rPr>
        <w:t>d should revisit the disclosure concessions</w:t>
      </w:r>
      <w:r w:rsidR="00B8312F" w:rsidRPr="00B8312F">
        <w:rPr>
          <w:szCs w:val="19"/>
        </w:rPr>
        <w:t xml:space="preserve"> in light of the proposed R</w:t>
      </w:r>
      <w:r w:rsidR="007B10F8">
        <w:rPr>
          <w:szCs w:val="19"/>
        </w:rPr>
        <w:t xml:space="preserve">DR </w:t>
      </w:r>
      <w:r w:rsidR="00E06A1A" w:rsidRPr="005E275A">
        <w:rPr>
          <w:szCs w:val="19"/>
        </w:rPr>
        <w:t xml:space="preserve">decision-making </w:t>
      </w:r>
      <w:r w:rsidR="007B10F8">
        <w:rPr>
          <w:szCs w:val="19"/>
        </w:rPr>
        <w:t>f</w:t>
      </w:r>
      <w:r w:rsidR="000621BE">
        <w:rPr>
          <w:szCs w:val="19"/>
        </w:rPr>
        <w:t>r</w:t>
      </w:r>
      <w:r w:rsidR="00AC1003">
        <w:rPr>
          <w:szCs w:val="19"/>
        </w:rPr>
        <w:t>amework set</w:t>
      </w:r>
      <w:r w:rsidR="000621BE">
        <w:rPr>
          <w:szCs w:val="19"/>
        </w:rPr>
        <w:t xml:space="preserve"> out in ED 277. </w:t>
      </w:r>
      <w:r>
        <w:t xml:space="preserve">The Board confirmed applying the current </w:t>
      </w:r>
      <w:r w:rsidRPr="00B8312F">
        <w:rPr>
          <w:szCs w:val="19"/>
        </w:rPr>
        <w:t>R</w:t>
      </w:r>
      <w:r>
        <w:rPr>
          <w:szCs w:val="19"/>
        </w:rPr>
        <w:t xml:space="preserve">DR </w:t>
      </w:r>
      <w:r w:rsidRPr="005E275A">
        <w:rPr>
          <w:szCs w:val="19"/>
        </w:rPr>
        <w:t xml:space="preserve">decision-making </w:t>
      </w:r>
      <w:r>
        <w:rPr>
          <w:szCs w:val="19"/>
        </w:rPr>
        <w:t xml:space="preserve">framework in determining the RDR requirements for AASB 16, AASB 1058 and AASB 1059 as the proposed RDR </w:t>
      </w:r>
      <w:r w:rsidRPr="005E275A">
        <w:rPr>
          <w:szCs w:val="19"/>
        </w:rPr>
        <w:t xml:space="preserve">decision-making </w:t>
      </w:r>
      <w:r>
        <w:rPr>
          <w:szCs w:val="19"/>
        </w:rPr>
        <w:t>framework has not yet been finalised.</w:t>
      </w:r>
    </w:p>
    <w:p w:rsidR="005E275A" w:rsidRDefault="007228EA" w:rsidP="00076084">
      <w:pPr>
        <w:pStyle w:val="NoNumPlain1"/>
        <w:ind w:left="624" w:hanging="624"/>
        <w:rPr>
          <w:szCs w:val="19"/>
        </w:rPr>
      </w:pPr>
      <w:r>
        <w:rPr>
          <w:szCs w:val="19"/>
        </w:rPr>
        <w:t>BC8</w:t>
      </w:r>
      <w:r w:rsidR="007B10F8">
        <w:rPr>
          <w:szCs w:val="19"/>
        </w:rPr>
        <w:tab/>
        <w:t xml:space="preserve">Two respondents </w:t>
      </w:r>
      <w:r w:rsidR="00F66585">
        <w:rPr>
          <w:szCs w:val="19"/>
        </w:rPr>
        <w:t>commented that they did not support the Board</w:t>
      </w:r>
      <w:r w:rsidR="00B8312F" w:rsidRPr="00B8312F">
        <w:rPr>
          <w:szCs w:val="19"/>
        </w:rPr>
        <w:t>’s approach of reducing disclosures tha</w:t>
      </w:r>
      <w:r w:rsidR="000621BE">
        <w:rPr>
          <w:szCs w:val="19"/>
        </w:rPr>
        <w:t xml:space="preserve">t are already discretionary. </w:t>
      </w:r>
      <w:r w:rsidR="00D73DA3">
        <w:rPr>
          <w:szCs w:val="19"/>
        </w:rPr>
        <w:t xml:space="preserve">The Board concluded that </w:t>
      </w:r>
      <w:r w:rsidR="000621BE">
        <w:rPr>
          <w:szCs w:val="19"/>
        </w:rPr>
        <w:t>w</w:t>
      </w:r>
      <w:r w:rsidR="000621BE" w:rsidRPr="000621BE">
        <w:rPr>
          <w:szCs w:val="19"/>
        </w:rPr>
        <w:t>here a disclosure is encourag</w:t>
      </w:r>
      <w:r w:rsidR="00AC1003">
        <w:rPr>
          <w:szCs w:val="19"/>
        </w:rPr>
        <w:t>ed, whether under the full IFRS Standards</w:t>
      </w:r>
      <w:r w:rsidR="000621BE" w:rsidRPr="000621BE">
        <w:rPr>
          <w:szCs w:val="19"/>
        </w:rPr>
        <w:t xml:space="preserve"> as adopted in Australia or the </w:t>
      </w:r>
      <w:r w:rsidR="000621BE" w:rsidRPr="000621BE">
        <w:rPr>
          <w:i/>
          <w:szCs w:val="19"/>
        </w:rPr>
        <w:t>IFRS for SMEs</w:t>
      </w:r>
      <w:r w:rsidR="000621BE">
        <w:rPr>
          <w:szCs w:val="19"/>
        </w:rPr>
        <w:t>, it is reduced for entities preparing general purpose financial statements under</w:t>
      </w:r>
      <w:r w:rsidR="000621BE">
        <w:t xml:space="preserve"> Australian Accounting Standards – Reduced Disclosure Requirements</w:t>
      </w:r>
      <w:r w:rsidR="00D73DA3">
        <w:t xml:space="preserve"> in accordance with the </w:t>
      </w:r>
      <w:r w:rsidR="00F66585">
        <w:rPr>
          <w:szCs w:val="19"/>
        </w:rPr>
        <w:t>approach</w:t>
      </w:r>
      <w:r w:rsidR="00D73DA3">
        <w:rPr>
          <w:szCs w:val="19"/>
        </w:rPr>
        <w:t xml:space="preserve"> set out in </w:t>
      </w:r>
      <w:r w:rsidR="00DB2CB8" w:rsidRPr="00A70CFB">
        <w:rPr>
          <w:szCs w:val="19"/>
        </w:rPr>
        <w:t>the current RDR decision-making framework</w:t>
      </w:r>
      <w:r w:rsidR="00DB2CB8">
        <w:rPr>
          <w:szCs w:val="19"/>
        </w:rPr>
        <w:t>.</w:t>
      </w:r>
    </w:p>
    <w:p w:rsidR="00D73DA3" w:rsidRDefault="007228EA" w:rsidP="00076084">
      <w:pPr>
        <w:pStyle w:val="NoNumPlain1"/>
        <w:ind w:left="624" w:hanging="624"/>
        <w:rPr>
          <w:szCs w:val="19"/>
        </w:rPr>
      </w:pPr>
      <w:r>
        <w:rPr>
          <w:szCs w:val="19"/>
        </w:rPr>
        <w:t>BC9</w:t>
      </w:r>
      <w:r w:rsidR="00D73DA3">
        <w:rPr>
          <w:szCs w:val="19"/>
        </w:rPr>
        <w:tab/>
      </w:r>
      <w:r w:rsidR="00D73DA3" w:rsidRPr="00D73DA3">
        <w:rPr>
          <w:szCs w:val="19"/>
        </w:rPr>
        <w:t xml:space="preserve">The Board </w:t>
      </w:r>
      <w:r w:rsidR="00D73DA3">
        <w:rPr>
          <w:szCs w:val="19"/>
        </w:rPr>
        <w:t>concluded</w:t>
      </w:r>
      <w:r w:rsidR="00D73DA3" w:rsidRPr="00D73DA3">
        <w:rPr>
          <w:szCs w:val="19"/>
        </w:rPr>
        <w:t xml:space="preserve"> that reduced disclo</w:t>
      </w:r>
      <w:r w:rsidR="00D73DA3">
        <w:rPr>
          <w:szCs w:val="19"/>
        </w:rPr>
        <w:t xml:space="preserve">sure requirements </w:t>
      </w:r>
      <w:r w:rsidR="00F66585">
        <w:rPr>
          <w:szCs w:val="19"/>
        </w:rPr>
        <w:t xml:space="preserve">were not required </w:t>
      </w:r>
      <w:r w:rsidR="00D73DA3">
        <w:rPr>
          <w:szCs w:val="19"/>
        </w:rPr>
        <w:t>for</w:t>
      </w:r>
      <w:r w:rsidR="00F66585">
        <w:rPr>
          <w:szCs w:val="19"/>
        </w:rPr>
        <w:t xml:space="preserve"> AASB 1059, as had been proposed in ED 284</w:t>
      </w:r>
      <w:r w:rsidR="00D73DA3">
        <w:rPr>
          <w:szCs w:val="19"/>
        </w:rPr>
        <w:t>.</w:t>
      </w:r>
      <w:r w:rsidR="00F66585">
        <w:rPr>
          <w:szCs w:val="19"/>
        </w:rPr>
        <w:t xml:space="preserve"> This approach was supported by </w:t>
      </w:r>
      <w:r w:rsidR="00AC1003">
        <w:rPr>
          <w:szCs w:val="19"/>
        </w:rPr>
        <w:t xml:space="preserve">most </w:t>
      </w:r>
      <w:r w:rsidR="00F66585">
        <w:rPr>
          <w:szCs w:val="19"/>
        </w:rPr>
        <w:t xml:space="preserve">respondents. </w:t>
      </w:r>
    </w:p>
    <w:p w:rsidR="00970CA5" w:rsidRPr="000621BE" w:rsidRDefault="007228EA" w:rsidP="00076084">
      <w:pPr>
        <w:pStyle w:val="NoNumPlain1"/>
        <w:ind w:left="624" w:hanging="624"/>
        <w:rPr>
          <w:szCs w:val="19"/>
        </w:rPr>
      </w:pPr>
      <w:r>
        <w:rPr>
          <w:szCs w:val="19"/>
        </w:rPr>
        <w:t>BC10</w:t>
      </w:r>
      <w:r w:rsidR="00970CA5">
        <w:rPr>
          <w:szCs w:val="19"/>
        </w:rPr>
        <w:tab/>
        <w:t xml:space="preserve">Respondents supported the proposed effective date of annual periods beginning on or after 1 January 2019, so that the RDR disclosure concessions would be in place for the mandatory application of the Standards. The Board </w:t>
      </w:r>
      <w:r w:rsidR="00AC1003">
        <w:rPr>
          <w:szCs w:val="19"/>
        </w:rPr>
        <w:t>confirmed the</w:t>
      </w:r>
      <w:r w:rsidR="00970CA5">
        <w:rPr>
          <w:szCs w:val="19"/>
        </w:rPr>
        <w:t xml:space="preserve"> effective date and permitted early adoption for entities applying the Standards early.</w:t>
      </w:r>
    </w:p>
    <w:sectPr w:rsidR="00970CA5" w:rsidRPr="000621BE" w:rsidSect="00D74C6A">
      <w:footerReference w:type="default" r:id="rId13"/>
      <w:pgSz w:w="11907" w:h="16840" w:code="9"/>
      <w:pgMar w:top="1418" w:right="1418" w:bottom="1418" w:left="1418" w:header="709" w:footer="709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85" w:rsidRDefault="00F66585">
      <w:r>
        <w:separator/>
      </w:r>
    </w:p>
  </w:endnote>
  <w:endnote w:type="continuationSeparator" w:id="0">
    <w:p w:rsidR="00F66585" w:rsidRDefault="00F6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5" w:rsidRDefault="00F66585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Pr="004A3747">
      <w:rPr>
        <w:b/>
      </w:rPr>
      <w:t>2018-</w:t>
    </w:r>
    <w:r w:rsidR="005834BF">
      <w:rPr>
        <w:b/>
      </w:rPr>
      <w:t>3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05720E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5" w:rsidRDefault="00F66585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Pr="004A3747">
      <w:rPr>
        <w:b/>
      </w:rPr>
      <w:t>2018-</w:t>
    </w:r>
    <w:r w:rsidR="005834BF">
      <w:rPr>
        <w:b/>
      </w:rPr>
      <w:t>3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05720E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5" w:rsidRDefault="00F66585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Pr="004A3747">
      <w:rPr>
        <w:b/>
      </w:rPr>
      <w:t>2018-</w:t>
    </w:r>
    <w:r w:rsidR="005834BF">
      <w:rPr>
        <w:b/>
      </w:rPr>
      <w:t>3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05720E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24" w:rsidRDefault="004E3B24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Pr="004A3747">
      <w:rPr>
        <w:b/>
      </w:rPr>
      <w:t>2018-</w:t>
    </w:r>
    <w:r w:rsidR="005834BF">
      <w:rPr>
        <w:b/>
      </w:rPr>
      <w:t>3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05720E">
      <w:rPr>
        <w:noProof/>
      </w:rPr>
      <w:t>6</w:t>
    </w:r>
    <w:r>
      <w:fldChar w:fldCharType="end"/>
    </w:r>
    <w:r>
      <w:tab/>
    </w:r>
    <w:r w:rsidR="00607D02">
      <w:rPr>
        <w:b/>
        <w:bCs/>
      </w:rPr>
      <w:t>STANDARD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02" w:rsidRDefault="00607D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Pr="004A3747">
      <w:rPr>
        <w:b/>
      </w:rPr>
      <w:t>2018-</w:t>
    </w:r>
    <w:r w:rsidR="005834BF">
      <w:rPr>
        <w:b/>
      </w:rPr>
      <w:t>3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05720E">
      <w:rPr>
        <w:noProof/>
      </w:rPr>
      <w:t>8</w:t>
    </w:r>
    <w:r>
      <w:fldChar w:fldCharType="end"/>
    </w:r>
    <w:r>
      <w:tab/>
    </w:r>
    <w:r>
      <w:rPr>
        <w:b/>
        <w:bCs/>
      </w:rPr>
      <w:t>BASIS FOR CONCLUSIONS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85" w:rsidRDefault="00F66585">
      <w:r>
        <w:separator/>
      </w:r>
    </w:p>
  </w:footnote>
  <w:footnote w:type="continuationSeparator" w:id="0">
    <w:p w:rsidR="00F66585" w:rsidRDefault="00F6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5" w:rsidRPr="00E55F2F" w:rsidRDefault="00F66585" w:rsidP="00FF2DF2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7DE"/>
    <w:multiLevelType w:val="multilevel"/>
    <w:tmpl w:val="8DC64E64"/>
    <w:styleLink w:val="AASBSubNumbersBold"/>
    <w:lvl w:ilvl="0">
      <w:start w:val="1"/>
      <w:numFmt w:val="none"/>
      <w:pStyle w:val="SubNumBold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Bold2"/>
      <w:lvlText w:val="(%2)"/>
      <w:lvlJc w:val="left"/>
      <w:pPr>
        <w:tabs>
          <w:tab w:val="num" w:pos="1020"/>
        </w:tabs>
        <w:ind w:left="1531" w:hanging="511"/>
      </w:pPr>
      <w:rPr>
        <w:rFonts w:hint="default"/>
      </w:rPr>
    </w:lvl>
    <w:lvl w:ilvl="2">
      <w:start w:val="1"/>
      <w:numFmt w:val="lowerRoman"/>
      <w:pStyle w:val="SubNumBold3"/>
      <w:lvlText w:val="(%3)"/>
      <w:lvlJc w:val="left"/>
      <w:pPr>
        <w:tabs>
          <w:tab w:val="num" w:pos="1530"/>
        </w:tabs>
        <w:ind w:left="2041" w:hanging="511"/>
      </w:pPr>
      <w:rPr>
        <w:rFonts w:hint="default"/>
      </w:rPr>
    </w:lvl>
    <w:lvl w:ilvl="3">
      <w:start w:val="1"/>
      <w:numFmt w:val="upperLetter"/>
      <w:pStyle w:val="SubNumBold4"/>
      <w:lvlText w:val="(%4)"/>
      <w:lvlJc w:val="left"/>
      <w:pPr>
        <w:tabs>
          <w:tab w:val="num" w:pos="2040"/>
        </w:tabs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5101" w:hanging="511"/>
      </w:pPr>
      <w:rPr>
        <w:rFonts w:hint="default"/>
      </w:rPr>
    </w:lvl>
  </w:abstractNum>
  <w:abstractNum w:abstractNumId="1" w15:restartNumberingAfterBreak="0">
    <w:nsid w:val="03F92581"/>
    <w:multiLevelType w:val="multilevel"/>
    <w:tmpl w:val="AD5ABFF2"/>
    <w:numStyleLink w:val="AASBSubNumbers"/>
  </w:abstractNum>
  <w:abstractNum w:abstractNumId="2" w15:restartNumberingAfterBreak="0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3" w15:restartNumberingAfterBreak="0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4" w15:restartNumberingAfterBreak="0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1666"/>
        </w:tabs>
        <w:ind w:left="1666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2177"/>
        </w:tabs>
        <w:ind w:left="2177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16"/>
        </w:tabs>
        <w:ind w:left="33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76"/>
        </w:tabs>
        <w:ind w:left="54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36"/>
        </w:tabs>
        <w:ind w:left="7636" w:hanging="180"/>
      </w:pPr>
      <w:rPr>
        <w:rFonts w:hint="default"/>
      </w:rPr>
    </w:lvl>
  </w:abstractNum>
  <w:abstractNum w:abstractNumId="5" w15:restartNumberingAfterBreak="0">
    <w:nsid w:val="25B25A19"/>
    <w:multiLevelType w:val="hybridMultilevel"/>
    <w:tmpl w:val="D16238EE"/>
    <w:lvl w:ilvl="0" w:tplc="3A2ABD76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2A7A35E2"/>
    <w:multiLevelType w:val="multilevel"/>
    <w:tmpl w:val="AD5ABFF2"/>
    <w:styleLink w:val="AASBSubNumbers"/>
    <w:lvl w:ilvl="0">
      <w:start w:val="1"/>
      <w:numFmt w:val="none"/>
      <w:pStyle w:val="SubNumPlain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Plain2"/>
      <w:lvlText w:val="(%2)"/>
      <w:lvlJc w:val="left"/>
      <w:pPr>
        <w:ind w:left="1531" w:hanging="511"/>
      </w:pPr>
      <w:rPr>
        <w:rFonts w:hint="default"/>
      </w:rPr>
    </w:lvl>
    <w:lvl w:ilvl="2">
      <w:start w:val="1"/>
      <w:numFmt w:val="lowerRoman"/>
      <w:pStyle w:val="SubNumPlain3"/>
      <w:lvlText w:val="(%3)"/>
      <w:lvlJc w:val="left"/>
      <w:pPr>
        <w:ind w:left="2041" w:hanging="511"/>
      </w:pPr>
      <w:rPr>
        <w:rFonts w:hint="default"/>
      </w:rPr>
    </w:lvl>
    <w:lvl w:ilvl="3">
      <w:start w:val="1"/>
      <w:numFmt w:val="upperLetter"/>
      <w:pStyle w:val="SubNumPlain4"/>
      <w:lvlText w:val="(%4)"/>
      <w:lvlJc w:val="left"/>
      <w:pPr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1" w:hanging="511"/>
      </w:pPr>
      <w:rPr>
        <w:rFonts w:hint="default"/>
      </w:rPr>
    </w:lvl>
  </w:abstractNum>
  <w:abstractNum w:abstractNumId="7" w15:restartNumberingAfterBreak="0">
    <w:nsid w:val="55A555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542243"/>
    <w:multiLevelType w:val="multilevel"/>
    <w:tmpl w:val="F65A6922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  <w:i w:val="0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9" w15:restartNumberingAfterBreak="0">
    <w:nsid w:val="62373062"/>
    <w:multiLevelType w:val="hybridMultilevel"/>
    <w:tmpl w:val="D16238EE"/>
    <w:lvl w:ilvl="0" w:tplc="3A2ABD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11" w15:restartNumberingAfterBreak="0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3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7"/>
    <w:rsid w:val="0000292B"/>
    <w:rsid w:val="00027E8B"/>
    <w:rsid w:val="0003692E"/>
    <w:rsid w:val="00043291"/>
    <w:rsid w:val="0004455B"/>
    <w:rsid w:val="0005720E"/>
    <w:rsid w:val="000621BE"/>
    <w:rsid w:val="000625F2"/>
    <w:rsid w:val="00065B29"/>
    <w:rsid w:val="00074133"/>
    <w:rsid w:val="00076084"/>
    <w:rsid w:val="000812F8"/>
    <w:rsid w:val="00090A6F"/>
    <w:rsid w:val="00091916"/>
    <w:rsid w:val="00096027"/>
    <w:rsid w:val="00096ED1"/>
    <w:rsid w:val="000B733C"/>
    <w:rsid w:val="000C3EB0"/>
    <w:rsid w:val="000D7B40"/>
    <w:rsid w:val="000E3E92"/>
    <w:rsid w:val="000F64CC"/>
    <w:rsid w:val="00110B96"/>
    <w:rsid w:val="001162C5"/>
    <w:rsid w:val="001206CF"/>
    <w:rsid w:val="0013564B"/>
    <w:rsid w:val="001662B8"/>
    <w:rsid w:val="001672C9"/>
    <w:rsid w:val="00171F51"/>
    <w:rsid w:val="001761C6"/>
    <w:rsid w:val="001864D4"/>
    <w:rsid w:val="0019286F"/>
    <w:rsid w:val="001B33A5"/>
    <w:rsid w:val="001C225F"/>
    <w:rsid w:val="001C272A"/>
    <w:rsid w:val="001F78DF"/>
    <w:rsid w:val="00201A99"/>
    <w:rsid w:val="0022022E"/>
    <w:rsid w:val="00254B16"/>
    <w:rsid w:val="0027167F"/>
    <w:rsid w:val="00273B7F"/>
    <w:rsid w:val="00276BC5"/>
    <w:rsid w:val="0028086D"/>
    <w:rsid w:val="00283482"/>
    <w:rsid w:val="0029647E"/>
    <w:rsid w:val="002A201D"/>
    <w:rsid w:val="002A2FD2"/>
    <w:rsid w:val="002B4063"/>
    <w:rsid w:val="002B7803"/>
    <w:rsid w:val="002E791E"/>
    <w:rsid w:val="002F1CD0"/>
    <w:rsid w:val="00307F26"/>
    <w:rsid w:val="003251D8"/>
    <w:rsid w:val="0033581C"/>
    <w:rsid w:val="00364B30"/>
    <w:rsid w:val="00367DC9"/>
    <w:rsid w:val="00377B8D"/>
    <w:rsid w:val="00382796"/>
    <w:rsid w:val="0039009E"/>
    <w:rsid w:val="003A488F"/>
    <w:rsid w:val="003B0CAA"/>
    <w:rsid w:val="003B0E71"/>
    <w:rsid w:val="003B6633"/>
    <w:rsid w:val="003C6B24"/>
    <w:rsid w:val="003D1DD4"/>
    <w:rsid w:val="003E0A68"/>
    <w:rsid w:val="003E1900"/>
    <w:rsid w:val="00401ECA"/>
    <w:rsid w:val="004150BD"/>
    <w:rsid w:val="00422E4D"/>
    <w:rsid w:val="00426876"/>
    <w:rsid w:val="00434D86"/>
    <w:rsid w:val="00436A2D"/>
    <w:rsid w:val="0044702C"/>
    <w:rsid w:val="00460FBB"/>
    <w:rsid w:val="00470CE9"/>
    <w:rsid w:val="0047683E"/>
    <w:rsid w:val="0048155F"/>
    <w:rsid w:val="00487CF6"/>
    <w:rsid w:val="004961F8"/>
    <w:rsid w:val="004A3747"/>
    <w:rsid w:val="004A3BB8"/>
    <w:rsid w:val="004A417F"/>
    <w:rsid w:val="004B038C"/>
    <w:rsid w:val="004B736C"/>
    <w:rsid w:val="004C28A9"/>
    <w:rsid w:val="004C4BAD"/>
    <w:rsid w:val="004C5BDE"/>
    <w:rsid w:val="004D3809"/>
    <w:rsid w:val="004D4D1C"/>
    <w:rsid w:val="004E3B24"/>
    <w:rsid w:val="004F55FE"/>
    <w:rsid w:val="00500E80"/>
    <w:rsid w:val="00507971"/>
    <w:rsid w:val="00511C34"/>
    <w:rsid w:val="005166B2"/>
    <w:rsid w:val="00532102"/>
    <w:rsid w:val="0053452C"/>
    <w:rsid w:val="00535EC5"/>
    <w:rsid w:val="00544AF9"/>
    <w:rsid w:val="0056274D"/>
    <w:rsid w:val="00564C0B"/>
    <w:rsid w:val="005655CE"/>
    <w:rsid w:val="00572D8E"/>
    <w:rsid w:val="00577065"/>
    <w:rsid w:val="0058004D"/>
    <w:rsid w:val="00580BC4"/>
    <w:rsid w:val="005834BF"/>
    <w:rsid w:val="00590051"/>
    <w:rsid w:val="0059515E"/>
    <w:rsid w:val="005A2514"/>
    <w:rsid w:val="005A6AC7"/>
    <w:rsid w:val="005B146F"/>
    <w:rsid w:val="005E275A"/>
    <w:rsid w:val="005E6BE4"/>
    <w:rsid w:val="00602261"/>
    <w:rsid w:val="00607D02"/>
    <w:rsid w:val="006403F7"/>
    <w:rsid w:val="00641282"/>
    <w:rsid w:val="00652DF8"/>
    <w:rsid w:val="00661CFD"/>
    <w:rsid w:val="006A3AE9"/>
    <w:rsid w:val="006A40E5"/>
    <w:rsid w:val="006B0CD6"/>
    <w:rsid w:val="006B2801"/>
    <w:rsid w:val="006C2E37"/>
    <w:rsid w:val="006D055E"/>
    <w:rsid w:val="006D134A"/>
    <w:rsid w:val="006D4700"/>
    <w:rsid w:val="006D7679"/>
    <w:rsid w:val="006E2C39"/>
    <w:rsid w:val="006F608F"/>
    <w:rsid w:val="007124EA"/>
    <w:rsid w:val="00714340"/>
    <w:rsid w:val="007174A1"/>
    <w:rsid w:val="007219F7"/>
    <w:rsid w:val="007228EA"/>
    <w:rsid w:val="007333C2"/>
    <w:rsid w:val="00737714"/>
    <w:rsid w:val="00742E4B"/>
    <w:rsid w:val="007455F0"/>
    <w:rsid w:val="00751F6A"/>
    <w:rsid w:val="007530C3"/>
    <w:rsid w:val="007554ED"/>
    <w:rsid w:val="00755E40"/>
    <w:rsid w:val="00756FF6"/>
    <w:rsid w:val="0076127E"/>
    <w:rsid w:val="0078116B"/>
    <w:rsid w:val="007A6BC3"/>
    <w:rsid w:val="007B10F8"/>
    <w:rsid w:val="007D255B"/>
    <w:rsid w:val="007F1D3D"/>
    <w:rsid w:val="00812637"/>
    <w:rsid w:val="00813227"/>
    <w:rsid w:val="00820794"/>
    <w:rsid w:val="0082655E"/>
    <w:rsid w:val="00831497"/>
    <w:rsid w:val="008459E8"/>
    <w:rsid w:val="00851C59"/>
    <w:rsid w:val="00864ADE"/>
    <w:rsid w:val="00867FB0"/>
    <w:rsid w:val="008704A5"/>
    <w:rsid w:val="00871A12"/>
    <w:rsid w:val="00881BBE"/>
    <w:rsid w:val="00887E6E"/>
    <w:rsid w:val="00887FEC"/>
    <w:rsid w:val="00895809"/>
    <w:rsid w:val="00895AC5"/>
    <w:rsid w:val="0089620B"/>
    <w:rsid w:val="008A064C"/>
    <w:rsid w:val="008A16EB"/>
    <w:rsid w:val="008A6182"/>
    <w:rsid w:val="008B1D94"/>
    <w:rsid w:val="008B4C8D"/>
    <w:rsid w:val="008B643A"/>
    <w:rsid w:val="008C1C4A"/>
    <w:rsid w:val="008C60B1"/>
    <w:rsid w:val="008C6BD0"/>
    <w:rsid w:val="008D0682"/>
    <w:rsid w:val="008D2EBD"/>
    <w:rsid w:val="008F0A81"/>
    <w:rsid w:val="008F3EBA"/>
    <w:rsid w:val="008F4AC5"/>
    <w:rsid w:val="008F5963"/>
    <w:rsid w:val="008F65A3"/>
    <w:rsid w:val="00920B8B"/>
    <w:rsid w:val="00923261"/>
    <w:rsid w:val="009256B7"/>
    <w:rsid w:val="00952EDF"/>
    <w:rsid w:val="00970C7A"/>
    <w:rsid w:val="00970CA5"/>
    <w:rsid w:val="009721DB"/>
    <w:rsid w:val="00972BFA"/>
    <w:rsid w:val="009965BA"/>
    <w:rsid w:val="009B6535"/>
    <w:rsid w:val="009C2479"/>
    <w:rsid w:val="009D06F8"/>
    <w:rsid w:val="009D73F1"/>
    <w:rsid w:val="009E24EC"/>
    <w:rsid w:val="009E2F6C"/>
    <w:rsid w:val="009F0388"/>
    <w:rsid w:val="00A05041"/>
    <w:rsid w:val="00A13F82"/>
    <w:rsid w:val="00A16664"/>
    <w:rsid w:val="00A22E0D"/>
    <w:rsid w:val="00A41ED3"/>
    <w:rsid w:val="00A47FA2"/>
    <w:rsid w:val="00A5122D"/>
    <w:rsid w:val="00A51A7E"/>
    <w:rsid w:val="00A55F4F"/>
    <w:rsid w:val="00A70CFB"/>
    <w:rsid w:val="00A748BA"/>
    <w:rsid w:val="00A83862"/>
    <w:rsid w:val="00A8486C"/>
    <w:rsid w:val="00A96702"/>
    <w:rsid w:val="00A97EB2"/>
    <w:rsid w:val="00AA14A9"/>
    <w:rsid w:val="00AB780A"/>
    <w:rsid w:val="00AC1003"/>
    <w:rsid w:val="00AC4315"/>
    <w:rsid w:val="00AD42DA"/>
    <w:rsid w:val="00AF61B8"/>
    <w:rsid w:val="00B110AD"/>
    <w:rsid w:val="00B16904"/>
    <w:rsid w:val="00B22833"/>
    <w:rsid w:val="00B271BA"/>
    <w:rsid w:val="00B31DD6"/>
    <w:rsid w:val="00B3429E"/>
    <w:rsid w:val="00B74237"/>
    <w:rsid w:val="00B82F15"/>
    <w:rsid w:val="00B8312F"/>
    <w:rsid w:val="00BA3AB4"/>
    <w:rsid w:val="00BA4622"/>
    <w:rsid w:val="00BB4C9F"/>
    <w:rsid w:val="00BC0794"/>
    <w:rsid w:val="00BC0D5D"/>
    <w:rsid w:val="00BE2F68"/>
    <w:rsid w:val="00BE38FC"/>
    <w:rsid w:val="00BF0190"/>
    <w:rsid w:val="00C03C7B"/>
    <w:rsid w:val="00C0730D"/>
    <w:rsid w:val="00C21982"/>
    <w:rsid w:val="00C23E4E"/>
    <w:rsid w:val="00C343A9"/>
    <w:rsid w:val="00C3493B"/>
    <w:rsid w:val="00C37458"/>
    <w:rsid w:val="00C438DD"/>
    <w:rsid w:val="00C43CD1"/>
    <w:rsid w:val="00C45020"/>
    <w:rsid w:val="00C5022C"/>
    <w:rsid w:val="00C534B9"/>
    <w:rsid w:val="00C552FD"/>
    <w:rsid w:val="00C63573"/>
    <w:rsid w:val="00C876C0"/>
    <w:rsid w:val="00C95D8A"/>
    <w:rsid w:val="00CA61C5"/>
    <w:rsid w:val="00CA641E"/>
    <w:rsid w:val="00CB719A"/>
    <w:rsid w:val="00CC1DF4"/>
    <w:rsid w:val="00CC6FCD"/>
    <w:rsid w:val="00CD5D1C"/>
    <w:rsid w:val="00CE2F8C"/>
    <w:rsid w:val="00CF75CA"/>
    <w:rsid w:val="00CF7B67"/>
    <w:rsid w:val="00D00FD5"/>
    <w:rsid w:val="00D041F2"/>
    <w:rsid w:val="00D253C7"/>
    <w:rsid w:val="00D52086"/>
    <w:rsid w:val="00D54F5C"/>
    <w:rsid w:val="00D67336"/>
    <w:rsid w:val="00D73DA3"/>
    <w:rsid w:val="00D74038"/>
    <w:rsid w:val="00D74C6A"/>
    <w:rsid w:val="00D942EB"/>
    <w:rsid w:val="00D96A64"/>
    <w:rsid w:val="00DA2A7B"/>
    <w:rsid w:val="00DB00CD"/>
    <w:rsid w:val="00DB2CB8"/>
    <w:rsid w:val="00DC7E1B"/>
    <w:rsid w:val="00DD1DDC"/>
    <w:rsid w:val="00DD7E7A"/>
    <w:rsid w:val="00DF39E3"/>
    <w:rsid w:val="00DF5522"/>
    <w:rsid w:val="00E033B7"/>
    <w:rsid w:val="00E06A1A"/>
    <w:rsid w:val="00E06C2F"/>
    <w:rsid w:val="00E24399"/>
    <w:rsid w:val="00E24C45"/>
    <w:rsid w:val="00E274C6"/>
    <w:rsid w:val="00E41399"/>
    <w:rsid w:val="00E46988"/>
    <w:rsid w:val="00E55F2F"/>
    <w:rsid w:val="00E63279"/>
    <w:rsid w:val="00E74BD5"/>
    <w:rsid w:val="00E7592A"/>
    <w:rsid w:val="00E839DA"/>
    <w:rsid w:val="00E90B4F"/>
    <w:rsid w:val="00E915E3"/>
    <w:rsid w:val="00E9203B"/>
    <w:rsid w:val="00E94DA2"/>
    <w:rsid w:val="00E96D45"/>
    <w:rsid w:val="00E97B4B"/>
    <w:rsid w:val="00EA4266"/>
    <w:rsid w:val="00EA626B"/>
    <w:rsid w:val="00EB4197"/>
    <w:rsid w:val="00EB4756"/>
    <w:rsid w:val="00EC4AFD"/>
    <w:rsid w:val="00ED0067"/>
    <w:rsid w:val="00ED06E4"/>
    <w:rsid w:val="00EE2509"/>
    <w:rsid w:val="00EE3D03"/>
    <w:rsid w:val="00EE740D"/>
    <w:rsid w:val="00EF7A7F"/>
    <w:rsid w:val="00F13C5A"/>
    <w:rsid w:val="00F14BDB"/>
    <w:rsid w:val="00F22AF2"/>
    <w:rsid w:val="00F2677A"/>
    <w:rsid w:val="00F27D29"/>
    <w:rsid w:val="00F311FB"/>
    <w:rsid w:val="00F34813"/>
    <w:rsid w:val="00F424C9"/>
    <w:rsid w:val="00F56BB3"/>
    <w:rsid w:val="00F66585"/>
    <w:rsid w:val="00F66B41"/>
    <w:rsid w:val="00F82A0E"/>
    <w:rsid w:val="00F970FB"/>
    <w:rsid w:val="00FB39CB"/>
    <w:rsid w:val="00FB42D3"/>
    <w:rsid w:val="00FC2254"/>
    <w:rsid w:val="00FC30DA"/>
    <w:rsid w:val="00FC64EE"/>
    <w:rsid w:val="00FC73E4"/>
    <w:rsid w:val="00FF2DF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ddd,silver,#eaeaea"/>
    </o:shapedefaults>
    <o:shapelayout v:ext="edit">
      <o:idmap v:ext="edit" data="1"/>
    </o:shapelayout>
  </w:shapeDefaults>
  <w:decimalSymbol w:val="."/>
  <w:listSeparator w:val=","/>
  <w15:docId w15:val="{B58EF881-1541-4A58-BD3C-285F214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F2"/>
    <w:pPr>
      <w:jc w:val="both"/>
    </w:pPr>
    <w:rPr>
      <w:sz w:val="19"/>
      <w:lang w:eastAsia="en-US"/>
    </w:rPr>
  </w:style>
  <w:style w:type="paragraph" w:styleId="Heading1">
    <w:name w:val="heading 1"/>
    <w:basedOn w:val="Normal"/>
    <w:next w:val="Normal"/>
    <w:qFormat/>
    <w:rsid w:val="003E1900"/>
    <w:pPr>
      <w:keepNext/>
      <w:spacing w:before="400" w:after="200"/>
      <w:jc w:val="left"/>
      <w:outlineLvl w:val="0"/>
    </w:pPr>
    <w:rPr>
      <w:rFonts w:ascii="Arial" w:hAnsi="Arial" w:cs="Arial"/>
      <w:b/>
      <w:bCs/>
      <w:sz w:val="26"/>
      <w:szCs w:val="32"/>
    </w:rPr>
  </w:style>
  <w:style w:type="paragraph" w:styleId="Heading2">
    <w:name w:val="heading 2"/>
    <w:basedOn w:val="Heading1"/>
    <w:next w:val="Normal"/>
    <w:qFormat/>
    <w:rsid w:val="00895AC5"/>
    <w:pPr>
      <w:pBdr>
        <w:bottom w:val="single" w:sz="4" w:space="1" w:color="auto"/>
      </w:pBd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580BC4"/>
    <w:pPr>
      <w:spacing w:before="10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580BC4"/>
    <w:pPr>
      <w:pBdr>
        <w:bottom w:val="none" w:sz="0" w:space="0" w:color="auto"/>
      </w:pBdr>
      <w:outlineLvl w:val="3"/>
    </w:pPr>
    <w:rPr>
      <w:bCs w:val="0"/>
      <w:sz w:val="18"/>
      <w:szCs w:val="28"/>
    </w:rPr>
  </w:style>
  <w:style w:type="paragraph" w:styleId="Heading5">
    <w:name w:val="heading 5"/>
    <w:basedOn w:val="Heading4"/>
    <w:next w:val="Normal"/>
    <w:qFormat/>
    <w:rsid w:val="00580BC4"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580BC4"/>
    <w:pPr>
      <w:spacing w:before="240"/>
    </w:pPr>
    <w:rPr>
      <w:i/>
    </w:rPr>
  </w:style>
  <w:style w:type="paragraph" w:customStyle="1" w:styleId="Heading2Indent1">
    <w:name w:val="Heading 2 Indent1"/>
    <w:basedOn w:val="Heading2"/>
    <w:next w:val="Normal"/>
    <w:rsid w:val="00580BC4"/>
    <w:pPr>
      <w:pBdr>
        <w:bottom w:val="none" w:sz="0" w:space="0" w:color="auto"/>
      </w:pBdr>
      <w:spacing w:before="240"/>
      <w:ind w:left="510"/>
    </w:pPr>
  </w:style>
  <w:style w:type="paragraph" w:customStyle="1" w:styleId="Heading3Indent1">
    <w:name w:val="Heading 3 Indent1"/>
    <w:basedOn w:val="Heading3"/>
    <w:next w:val="Normal"/>
    <w:rsid w:val="00580BC4"/>
    <w:pPr>
      <w:pBdr>
        <w:bottom w:val="none" w:sz="0" w:space="0" w:color="auto"/>
      </w:pBd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rsid w:val="00D74C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4C6A"/>
    <w:pPr>
      <w:tabs>
        <w:tab w:val="center" w:pos="4536"/>
        <w:tab w:val="right" w:pos="9072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B82F15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F13C5A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F13C5A"/>
    <w:pPr>
      <w:tabs>
        <w:tab w:val="right" w:pos="6237"/>
      </w:tabs>
      <w:spacing w:after="200"/>
      <w:ind w:left="170" w:right="1134" w:hanging="170"/>
    </w:pPr>
  </w:style>
  <w:style w:type="paragraph" w:customStyle="1" w:styleId="ContentsLevel1">
    <w:name w:val="Contents Level1"/>
    <w:basedOn w:val="Normal"/>
    <w:rsid w:val="00E24C45"/>
    <w:pPr>
      <w:tabs>
        <w:tab w:val="right" w:pos="9072"/>
      </w:tabs>
      <w:spacing w:after="60"/>
      <w:ind w:left="170" w:right="1134" w:hanging="170"/>
      <w:jc w:val="left"/>
    </w:pPr>
  </w:style>
  <w:style w:type="paragraph" w:customStyle="1" w:styleId="ContentsCapsBoldPg">
    <w:name w:val="Contents CapsBoldPg"/>
    <w:basedOn w:val="ContentsCapsPlainPg"/>
    <w:next w:val="ContentsLevel1"/>
    <w:rsid w:val="00F13C5A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rsid w:val="00972B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580BC4"/>
    <w:pPr>
      <w:numPr>
        <w:numId w:val="7"/>
      </w:numPr>
      <w:spacing w:before="100" w:after="100"/>
    </w:pPr>
  </w:style>
  <w:style w:type="paragraph" w:customStyle="1" w:styleId="NoNumPlain1">
    <w:name w:val="NoNum Plain1"/>
    <w:basedOn w:val="Normal"/>
    <w:qFormat/>
    <w:rsid w:val="00580BC4"/>
    <w:pPr>
      <w:spacing w:before="100" w:after="1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rsid w:val="00580BC4"/>
    <w:pPr>
      <w:spacing w:before="100" w:after="1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580BC4"/>
    <w:pPr>
      <w:numPr>
        <w:numId w:val="1"/>
      </w:numPr>
      <w:spacing w:before="100" w:after="100"/>
    </w:pPr>
  </w:style>
  <w:style w:type="paragraph" w:customStyle="1" w:styleId="NumPlain2">
    <w:name w:val="Num Plain2"/>
    <w:basedOn w:val="NumPlain1"/>
    <w:uiPriority w:val="2"/>
    <w:qFormat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580BC4"/>
    <w:pPr>
      <w:numPr>
        <w:numId w:val="6"/>
      </w:numPr>
      <w:spacing w:before="100" w:after="100"/>
      <w:ind w:left="505" w:hanging="505"/>
    </w:pPr>
  </w:style>
  <w:style w:type="paragraph" w:customStyle="1" w:styleId="Bullet2">
    <w:name w:val="Bullet2"/>
    <w:basedOn w:val="Normal"/>
    <w:rsid w:val="00972BFA"/>
    <w:pPr>
      <w:numPr>
        <w:ilvl w:val="1"/>
        <w:numId w:val="6"/>
      </w:numPr>
      <w:spacing w:after="200"/>
      <w:ind w:left="1010" w:hanging="505"/>
    </w:pPr>
  </w:style>
  <w:style w:type="paragraph" w:customStyle="1" w:styleId="Bullet3">
    <w:name w:val="Bullet3"/>
    <w:basedOn w:val="Normal"/>
    <w:rsid w:val="00972BFA"/>
    <w:pPr>
      <w:numPr>
        <w:ilvl w:val="2"/>
        <w:numId w:val="6"/>
      </w:numPr>
      <w:spacing w:after="200"/>
      <w:ind w:left="1514" w:hanging="505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972BFA"/>
    <w:pPr>
      <w:numPr>
        <w:ilvl w:val="3"/>
        <w:numId w:val="6"/>
      </w:numPr>
      <w:spacing w:after="200"/>
      <w:ind w:left="2019" w:hanging="505"/>
    </w:pPr>
  </w:style>
  <w:style w:type="paragraph" w:customStyle="1" w:styleId="ContentsCapsPlain">
    <w:name w:val="Contents CapsPlain"/>
    <w:basedOn w:val="Normal"/>
    <w:next w:val="ContentsLevel1"/>
    <w:rsid w:val="00F13C5A"/>
    <w:pPr>
      <w:spacing w:after="200"/>
    </w:pPr>
  </w:style>
  <w:style w:type="paragraph" w:customStyle="1" w:styleId="ContentsCapsBold">
    <w:name w:val="Contents CapsBold"/>
    <w:basedOn w:val="ContentsCapsPlain"/>
    <w:next w:val="ContentsLevel1"/>
    <w:rsid w:val="00F13C5A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972BFA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580BC4"/>
    <w:pPr>
      <w:spacing w:before="100" w:after="100"/>
    </w:pPr>
  </w:style>
  <w:style w:type="paragraph" w:customStyle="1" w:styleId="AppendixTitle">
    <w:name w:val="AppendixTitle"/>
    <w:basedOn w:val="Normal"/>
    <w:next w:val="AppendixNote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580BC4"/>
    <w:pPr>
      <w:numPr>
        <w:numId w:val="3"/>
      </w:numPr>
      <w:spacing w:before="100" w:after="1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580BC4"/>
    <w:pPr>
      <w:numPr>
        <w:numId w:val="4"/>
      </w:numPr>
      <w:spacing w:before="100" w:after="1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0812F8"/>
    <w:rPr>
      <w:sz w:val="19"/>
      <w:lang w:eastAsia="en-US"/>
    </w:rPr>
  </w:style>
  <w:style w:type="paragraph" w:customStyle="1" w:styleId="Default">
    <w:name w:val="Default"/>
    <w:rsid w:val="005321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F6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60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L_1\AASB_Templates\2013\Templates\AmendingDomest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AmendingDomestic</Template>
  <TotalTime>891</TotalTime>
  <Pages>8</Pages>
  <Words>1570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Amending Standard</vt:lpstr>
    </vt:vector>
  </TitlesOfParts>
  <Company>Australian Accounting Standards Board</Company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Amending Standard</dc:title>
  <dc:subject/>
  <dc:creator>Dassanayake, Shachini</dc:creator>
  <cp:lastModifiedBy>John, Kathleen</cp:lastModifiedBy>
  <cp:revision>61</cp:revision>
  <cp:lastPrinted>2018-08-13T04:02:00Z</cp:lastPrinted>
  <dcterms:created xsi:type="dcterms:W3CDTF">2018-07-08T23:45:00Z</dcterms:created>
  <dcterms:modified xsi:type="dcterms:W3CDTF">2018-08-13T04:03:00Z</dcterms:modified>
</cp:coreProperties>
</file>