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D8E8F" w14:textId="604EEFBA" w:rsidR="008F020F" w:rsidRPr="00730D89" w:rsidRDefault="008F020F" w:rsidP="008F020F">
      <w:pPr>
        <w:pStyle w:val="Heading1"/>
        <w:jc w:val="center"/>
        <w:rPr>
          <w:rFonts w:ascii="Times New Roman" w:hAnsi="Times New Roman" w:cs="Times New Roman"/>
          <w:sz w:val="24"/>
          <w:u w:val="single"/>
        </w:rPr>
      </w:pPr>
      <w:bookmarkStart w:id="0" w:name="bkInstrumentSubTitle"/>
      <w:bookmarkStart w:id="1" w:name="bkStart"/>
      <w:bookmarkEnd w:id="0"/>
      <w:bookmarkEnd w:id="1"/>
      <w:r w:rsidRPr="00730D89">
        <w:rPr>
          <w:rFonts w:ascii="Times New Roman" w:hAnsi="Times New Roman" w:cs="Times New Roman"/>
          <w:sz w:val="24"/>
        </w:rPr>
        <w:t xml:space="preserve">Banking (prudential standard) </w:t>
      </w:r>
      <w:r w:rsidRPr="00B259DC">
        <w:rPr>
          <w:rFonts w:ascii="Times New Roman" w:hAnsi="Times New Roman" w:cs="Times New Roman"/>
          <w:sz w:val="24"/>
        </w:rPr>
        <w:t xml:space="preserve">determination </w:t>
      </w:r>
      <w:r w:rsidR="00B259DC" w:rsidRPr="00B259DC">
        <w:rPr>
          <w:rFonts w:ascii="Times New Roman" w:hAnsi="Times New Roman" w:cs="Times New Roman"/>
          <w:sz w:val="24"/>
        </w:rPr>
        <w:t>No. 4</w:t>
      </w:r>
      <w:r w:rsidRPr="00B259DC">
        <w:rPr>
          <w:rFonts w:ascii="Times New Roman" w:hAnsi="Times New Roman" w:cs="Times New Roman"/>
          <w:sz w:val="24"/>
        </w:rPr>
        <w:t xml:space="preserve"> of 2018</w:t>
      </w:r>
    </w:p>
    <w:p w14:paraId="3743066C" w14:textId="77777777" w:rsidR="005941E1" w:rsidRPr="00730D89" w:rsidRDefault="00C100AE" w:rsidP="008F020F">
      <w:pPr>
        <w:pStyle w:val="Heading1"/>
        <w:jc w:val="center"/>
        <w:rPr>
          <w:rFonts w:ascii="Times New Roman" w:hAnsi="Times New Roman" w:cs="Times New Roman"/>
          <w:sz w:val="24"/>
          <w:u w:val="single"/>
        </w:rPr>
      </w:pPr>
      <w:r w:rsidRPr="00730D89">
        <w:rPr>
          <w:rFonts w:ascii="Times New Roman" w:hAnsi="Times New Roman" w:cs="Times New Roman"/>
          <w:sz w:val="24"/>
          <w:u w:val="single"/>
        </w:rPr>
        <w:t>E</w:t>
      </w:r>
      <w:r w:rsidR="005941E1" w:rsidRPr="00730D89">
        <w:rPr>
          <w:rFonts w:ascii="Times New Roman" w:hAnsi="Times New Roman" w:cs="Times New Roman"/>
          <w:sz w:val="24"/>
          <w:u w:val="single"/>
        </w:rPr>
        <w:t>XPLANATORY STATEMENT</w:t>
      </w:r>
    </w:p>
    <w:p w14:paraId="215A2ACA" w14:textId="2E264D30" w:rsidR="00102F9E" w:rsidRPr="00730D89" w:rsidRDefault="005941E1" w:rsidP="008F020F">
      <w:pPr>
        <w:pStyle w:val="Heading2"/>
        <w:jc w:val="center"/>
        <w:rPr>
          <w:rFonts w:ascii="Times New Roman" w:hAnsi="Times New Roman" w:cs="Times New Roman"/>
          <w:sz w:val="24"/>
          <w:szCs w:val="24"/>
        </w:rPr>
      </w:pPr>
      <w:r w:rsidRPr="00730D89">
        <w:rPr>
          <w:rFonts w:ascii="Times New Roman" w:hAnsi="Times New Roman" w:cs="Times New Roman"/>
          <w:sz w:val="24"/>
          <w:szCs w:val="24"/>
        </w:rPr>
        <w:t>Prepared by the Australian Prudential Regulation Authority</w:t>
      </w:r>
      <w:r w:rsidR="005B744C">
        <w:rPr>
          <w:rFonts w:ascii="Times New Roman" w:hAnsi="Times New Roman" w:cs="Times New Roman"/>
          <w:sz w:val="24"/>
          <w:szCs w:val="24"/>
        </w:rPr>
        <w:t xml:space="preserve"> (APRA)</w:t>
      </w:r>
    </w:p>
    <w:p w14:paraId="1B283AC9" w14:textId="0E6C0135" w:rsidR="00DD7321" w:rsidRPr="00730D89" w:rsidRDefault="00DD7321" w:rsidP="008F020F">
      <w:pPr>
        <w:pStyle w:val="Heading"/>
        <w:tabs>
          <w:tab w:val="left" w:pos="360"/>
        </w:tabs>
        <w:ind w:left="-360"/>
        <w:jc w:val="center"/>
        <w:rPr>
          <w:rFonts w:ascii="Times New Roman" w:hAnsi="Times New Roman" w:cs="Times New Roman"/>
          <w:b w:val="0"/>
          <w:i/>
          <w:color w:val="000000"/>
          <w:sz w:val="24"/>
          <w:szCs w:val="24"/>
        </w:rPr>
      </w:pPr>
      <w:r w:rsidRPr="00730D89">
        <w:rPr>
          <w:rFonts w:ascii="Times New Roman" w:hAnsi="Times New Roman" w:cs="Times New Roman"/>
          <w:b w:val="0"/>
          <w:i/>
          <w:color w:val="000000"/>
          <w:sz w:val="24"/>
          <w:szCs w:val="24"/>
        </w:rPr>
        <w:t>Banking Act 1959</w:t>
      </w:r>
      <w:r w:rsidR="005B744C">
        <w:rPr>
          <w:rFonts w:ascii="Times New Roman" w:hAnsi="Times New Roman" w:cs="Times New Roman"/>
          <w:b w:val="0"/>
          <w:i/>
          <w:color w:val="000000"/>
          <w:sz w:val="24"/>
          <w:szCs w:val="24"/>
        </w:rPr>
        <w:t>,</w:t>
      </w:r>
      <w:r w:rsidRPr="00730D89">
        <w:rPr>
          <w:rFonts w:ascii="Times New Roman" w:hAnsi="Times New Roman" w:cs="Times New Roman"/>
          <w:b w:val="0"/>
          <w:i/>
          <w:color w:val="000000"/>
          <w:sz w:val="24"/>
          <w:szCs w:val="24"/>
        </w:rPr>
        <w:t xml:space="preserve"> Section 11AF</w:t>
      </w:r>
    </w:p>
    <w:p w14:paraId="7163FBB8" w14:textId="77777777" w:rsidR="00C100AE" w:rsidRPr="00730D89" w:rsidRDefault="00C100AE" w:rsidP="00C100AE">
      <w:pPr>
        <w:widowControl w:val="0"/>
        <w:rPr>
          <w:rFonts w:ascii="Times New Roman" w:hAnsi="Times New Roman"/>
          <w:sz w:val="24"/>
        </w:rPr>
      </w:pPr>
      <w:bookmarkStart w:id="2" w:name="bkAct"/>
      <w:bookmarkStart w:id="3" w:name="bkExplanatory"/>
      <w:bookmarkEnd w:id="2"/>
      <w:bookmarkEnd w:id="3"/>
    </w:p>
    <w:p w14:paraId="23BCC5B8" w14:textId="77777777" w:rsidR="00C100AE" w:rsidRPr="00730D89" w:rsidRDefault="00C100AE" w:rsidP="00C100AE">
      <w:pPr>
        <w:widowControl w:val="0"/>
        <w:rPr>
          <w:rFonts w:ascii="Times New Roman" w:hAnsi="Times New Roman"/>
          <w:sz w:val="24"/>
        </w:rPr>
      </w:pPr>
      <w:r w:rsidRPr="00730D89">
        <w:rPr>
          <w:rFonts w:ascii="Times New Roman" w:hAnsi="Times New Roman"/>
          <w:sz w:val="24"/>
        </w:rPr>
        <w:t xml:space="preserve">Under subsection 11AF(1) of the </w:t>
      </w:r>
      <w:r w:rsidRPr="00730D89">
        <w:rPr>
          <w:rFonts w:ascii="Times New Roman" w:hAnsi="Times New Roman"/>
          <w:i/>
          <w:sz w:val="24"/>
        </w:rPr>
        <w:t>Banking Act 1959</w:t>
      </w:r>
      <w:r w:rsidRPr="00730D89">
        <w:rPr>
          <w:rFonts w:ascii="Times New Roman" w:hAnsi="Times New Roman"/>
          <w:sz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11AF(3) of the Act, APRA may, in writing, vary or revoke a prudential standard.</w:t>
      </w:r>
    </w:p>
    <w:p w14:paraId="1BF9F1B2" w14:textId="0613C811" w:rsidR="00C100AE" w:rsidRPr="00730D89" w:rsidRDefault="00C100AE" w:rsidP="00C100AE">
      <w:pPr>
        <w:widowControl w:val="0"/>
        <w:rPr>
          <w:rFonts w:ascii="Times New Roman" w:hAnsi="Times New Roman"/>
          <w:sz w:val="24"/>
        </w:rPr>
      </w:pPr>
      <w:r w:rsidRPr="00730D89">
        <w:rPr>
          <w:rFonts w:ascii="Times New Roman" w:hAnsi="Times New Roman"/>
          <w:sz w:val="24"/>
        </w:rPr>
        <w:t xml:space="preserve">On </w:t>
      </w:r>
      <w:r w:rsidR="007833F2">
        <w:rPr>
          <w:rFonts w:ascii="Times New Roman" w:hAnsi="Times New Roman"/>
          <w:sz w:val="24"/>
        </w:rPr>
        <w:t>23 August</w:t>
      </w:r>
      <w:r w:rsidRPr="00730D89">
        <w:rPr>
          <w:rFonts w:ascii="Times New Roman" w:hAnsi="Times New Roman"/>
          <w:sz w:val="24"/>
        </w:rPr>
        <w:t xml:space="preserve"> 2018, APRA made Banking (prudential standard) </w:t>
      </w:r>
      <w:r w:rsidRPr="00B259DC">
        <w:rPr>
          <w:rFonts w:ascii="Times New Roman" w:hAnsi="Times New Roman"/>
          <w:sz w:val="24"/>
        </w:rPr>
        <w:t xml:space="preserve">determination </w:t>
      </w:r>
      <w:r w:rsidR="00B259DC" w:rsidRPr="00B259DC">
        <w:rPr>
          <w:rFonts w:ascii="Times New Roman" w:hAnsi="Times New Roman"/>
          <w:sz w:val="24"/>
        </w:rPr>
        <w:t>No. 4</w:t>
      </w:r>
      <w:r w:rsidRPr="00B259DC">
        <w:rPr>
          <w:rFonts w:ascii="Times New Roman" w:hAnsi="Times New Roman"/>
          <w:sz w:val="24"/>
        </w:rPr>
        <w:t xml:space="preserve"> of 2018</w:t>
      </w:r>
      <w:r w:rsidRPr="00730D89">
        <w:rPr>
          <w:rFonts w:ascii="Times New Roman" w:hAnsi="Times New Roman"/>
          <w:sz w:val="24"/>
        </w:rPr>
        <w:t xml:space="preserve"> (the instrument), which revokes </w:t>
      </w:r>
      <w:r w:rsidRPr="00730D89">
        <w:rPr>
          <w:rFonts w:ascii="Times New Roman" w:hAnsi="Times New Roman"/>
          <w:i/>
          <w:sz w:val="24"/>
        </w:rPr>
        <w:t xml:space="preserve">Prudential Standard APS 221 Large Exposures </w:t>
      </w:r>
      <w:r w:rsidRPr="00730D89">
        <w:rPr>
          <w:rFonts w:ascii="Times New Roman" w:hAnsi="Times New Roman"/>
          <w:sz w:val="24"/>
        </w:rPr>
        <w:t xml:space="preserve">made under Banking (prudential standard) determination No. 5 of 2014 and determines a new </w:t>
      </w:r>
      <w:r w:rsidRPr="00730D89">
        <w:rPr>
          <w:rFonts w:ascii="Times New Roman" w:hAnsi="Times New Roman"/>
          <w:i/>
          <w:sz w:val="24"/>
        </w:rPr>
        <w:t>Prudential Standard</w:t>
      </w:r>
      <w:r w:rsidRPr="00730D89">
        <w:rPr>
          <w:rFonts w:ascii="Times New Roman" w:hAnsi="Times New Roman"/>
          <w:sz w:val="24"/>
        </w:rPr>
        <w:t xml:space="preserve"> </w:t>
      </w:r>
      <w:r w:rsidRPr="00730D89">
        <w:rPr>
          <w:rFonts w:ascii="Times New Roman" w:hAnsi="Times New Roman"/>
          <w:i/>
          <w:sz w:val="24"/>
        </w:rPr>
        <w:t xml:space="preserve">APS 221 Large Exposures </w:t>
      </w:r>
      <w:r w:rsidRPr="00730D89">
        <w:rPr>
          <w:rFonts w:ascii="Times New Roman" w:hAnsi="Times New Roman"/>
          <w:sz w:val="24"/>
        </w:rPr>
        <w:t>(APS 221).</w:t>
      </w:r>
      <w:r w:rsidRPr="00730D89">
        <w:rPr>
          <w:rFonts w:ascii="Times New Roman" w:hAnsi="Times New Roman"/>
        </w:rPr>
        <w:t xml:space="preserve"> </w:t>
      </w:r>
    </w:p>
    <w:p w14:paraId="5EBA08F0" w14:textId="77777777" w:rsidR="00C100AE" w:rsidRPr="00730D89" w:rsidRDefault="00C100AE" w:rsidP="00C100AE">
      <w:pPr>
        <w:widowControl w:val="0"/>
        <w:rPr>
          <w:rFonts w:ascii="Times New Roman" w:hAnsi="Times New Roman"/>
          <w:sz w:val="24"/>
        </w:rPr>
      </w:pPr>
      <w:r w:rsidRPr="00730D89">
        <w:rPr>
          <w:rFonts w:ascii="Times New Roman" w:hAnsi="Times New Roman"/>
          <w:sz w:val="24"/>
        </w:rPr>
        <w:t xml:space="preserve">The instrument commences on 1 January 2019. </w:t>
      </w:r>
    </w:p>
    <w:p w14:paraId="21F5BFC6" w14:textId="77777777" w:rsidR="005941E1" w:rsidRPr="00730D89" w:rsidRDefault="005941E1" w:rsidP="00C67F77">
      <w:pPr>
        <w:pStyle w:val="BULLET1"/>
        <w:numPr>
          <w:ilvl w:val="0"/>
          <w:numId w:val="28"/>
        </w:numPr>
        <w:rPr>
          <w:rFonts w:ascii="Times New Roman" w:hAnsi="Times New Roman" w:cs="Times New Roman"/>
          <w:b/>
          <w:sz w:val="24"/>
          <w:szCs w:val="24"/>
        </w:rPr>
      </w:pPr>
      <w:r w:rsidRPr="00730D89">
        <w:rPr>
          <w:rFonts w:ascii="Times New Roman" w:hAnsi="Times New Roman" w:cs="Times New Roman"/>
          <w:b/>
          <w:sz w:val="24"/>
          <w:szCs w:val="24"/>
        </w:rPr>
        <w:t>Background</w:t>
      </w:r>
    </w:p>
    <w:p w14:paraId="2A78915F" w14:textId="510ED805" w:rsidR="00C24158" w:rsidRPr="00730D89" w:rsidRDefault="00C100AE" w:rsidP="00CE625F">
      <w:pPr>
        <w:pStyle w:val="Heading"/>
        <w:spacing w:after="240"/>
        <w:rPr>
          <w:rFonts w:ascii="Times New Roman" w:hAnsi="Times New Roman" w:cs="Times New Roman"/>
          <w:b w:val="0"/>
          <w:sz w:val="24"/>
          <w:szCs w:val="24"/>
        </w:rPr>
      </w:pPr>
      <w:bookmarkStart w:id="4" w:name="bkBackground"/>
      <w:bookmarkEnd w:id="4"/>
      <w:r w:rsidRPr="00730D89">
        <w:rPr>
          <w:rFonts w:ascii="Times New Roman" w:hAnsi="Times New Roman" w:cs="Times New Roman"/>
          <w:b w:val="0"/>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r w:rsidR="00CE625F" w:rsidRPr="00730D89">
        <w:rPr>
          <w:rFonts w:ascii="Times New Roman" w:hAnsi="Times New Roman" w:cs="Times New Roman"/>
          <w:b w:val="0"/>
          <w:sz w:val="24"/>
          <w:szCs w:val="24"/>
        </w:rPr>
        <w:t>.</w:t>
      </w:r>
      <w:r w:rsidR="00C24158" w:rsidRPr="00730D89">
        <w:rPr>
          <w:rFonts w:ascii="Times New Roman" w:hAnsi="Times New Roman" w:cs="Times New Roman"/>
          <w:b w:val="0"/>
          <w:sz w:val="24"/>
          <w:szCs w:val="24"/>
        </w:rPr>
        <w:t xml:space="preserve"> </w:t>
      </w:r>
      <w:r w:rsidR="00DA2190" w:rsidRPr="00730D89">
        <w:rPr>
          <w:rFonts w:ascii="Times New Roman" w:hAnsi="Times New Roman" w:cs="Times New Roman"/>
          <w:b w:val="0"/>
          <w:sz w:val="24"/>
          <w:szCs w:val="24"/>
        </w:rPr>
        <w:t xml:space="preserve">A key component of this is </w:t>
      </w:r>
      <w:r w:rsidR="00472797" w:rsidRPr="00730D89">
        <w:rPr>
          <w:rFonts w:ascii="Times New Roman" w:hAnsi="Times New Roman" w:cs="Times New Roman"/>
          <w:b w:val="0"/>
          <w:sz w:val="24"/>
          <w:szCs w:val="24"/>
        </w:rPr>
        <w:t>requiring ADIs to</w:t>
      </w:r>
      <w:r w:rsidR="00DA2190" w:rsidRPr="00730D89">
        <w:rPr>
          <w:rFonts w:ascii="Times New Roman" w:hAnsi="Times New Roman" w:cs="Times New Roman"/>
          <w:b w:val="0"/>
          <w:sz w:val="24"/>
          <w:szCs w:val="24"/>
        </w:rPr>
        <w:t xml:space="preserve"> have </w:t>
      </w:r>
      <w:r w:rsidR="006A4DB1">
        <w:rPr>
          <w:rFonts w:ascii="Times New Roman" w:hAnsi="Times New Roman" w:cs="Times New Roman"/>
          <w:b w:val="0"/>
          <w:sz w:val="24"/>
          <w:szCs w:val="24"/>
        </w:rPr>
        <w:t xml:space="preserve">prudent </w:t>
      </w:r>
      <w:r w:rsidR="00DA2190" w:rsidRPr="00730D89">
        <w:rPr>
          <w:rFonts w:ascii="Times New Roman" w:hAnsi="Times New Roman" w:cs="Times New Roman"/>
          <w:b w:val="0"/>
          <w:sz w:val="24"/>
          <w:szCs w:val="24"/>
        </w:rPr>
        <w:t xml:space="preserve">systems for identifying, measuring, evaluating, monitoring, reporting and controlling or mitigating material risks that may affect </w:t>
      </w:r>
      <w:r w:rsidR="009B424A">
        <w:rPr>
          <w:rFonts w:ascii="Times New Roman" w:hAnsi="Times New Roman" w:cs="Times New Roman"/>
          <w:b w:val="0"/>
          <w:sz w:val="24"/>
          <w:szCs w:val="24"/>
        </w:rPr>
        <w:t>their</w:t>
      </w:r>
      <w:r w:rsidR="009B424A" w:rsidRPr="00730D89">
        <w:rPr>
          <w:rFonts w:ascii="Times New Roman" w:hAnsi="Times New Roman" w:cs="Times New Roman"/>
          <w:b w:val="0"/>
          <w:sz w:val="24"/>
          <w:szCs w:val="24"/>
        </w:rPr>
        <w:t xml:space="preserve"> </w:t>
      </w:r>
      <w:r w:rsidR="00472797" w:rsidRPr="00730D89">
        <w:rPr>
          <w:rFonts w:ascii="Times New Roman" w:hAnsi="Times New Roman" w:cs="Times New Roman"/>
          <w:b w:val="0"/>
          <w:sz w:val="24"/>
          <w:szCs w:val="24"/>
        </w:rPr>
        <w:t>ability to meet obligations to depositors.</w:t>
      </w:r>
    </w:p>
    <w:p w14:paraId="28CD357F" w14:textId="71CD0A44" w:rsidR="003B6143" w:rsidRPr="00730D89" w:rsidRDefault="00B270EC" w:rsidP="00CE625F">
      <w:pPr>
        <w:pStyle w:val="Heading"/>
        <w:spacing w:after="240"/>
        <w:rPr>
          <w:rFonts w:ascii="Times New Roman" w:hAnsi="Times New Roman" w:cs="Times New Roman"/>
          <w:b w:val="0"/>
          <w:sz w:val="24"/>
          <w:szCs w:val="24"/>
        </w:rPr>
      </w:pPr>
      <w:r w:rsidRPr="00730D89">
        <w:rPr>
          <w:rFonts w:ascii="Times New Roman" w:hAnsi="Times New Roman" w:cs="Times New Roman"/>
          <w:b w:val="0"/>
          <w:sz w:val="24"/>
          <w:szCs w:val="24"/>
        </w:rPr>
        <w:t>APS 221 requires ADIs to implement prudent measures and to set prudent limits</w:t>
      </w:r>
      <w:r w:rsidR="00C61132" w:rsidRPr="00730D89">
        <w:rPr>
          <w:rFonts w:ascii="Times New Roman" w:hAnsi="Times New Roman" w:cs="Times New Roman"/>
          <w:b w:val="0"/>
          <w:sz w:val="24"/>
          <w:szCs w:val="24"/>
        </w:rPr>
        <w:t xml:space="preserve"> on their exposures</w:t>
      </w:r>
      <w:r w:rsidR="00E20265">
        <w:rPr>
          <w:rFonts w:ascii="Times New Roman" w:hAnsi="Times New Roman" w:cs="Times New Roman"/>
          <w:b w:val="0"/>
          <w:sz w:val="24"/>
          <w:szCs w:val="24"/>
        </w:rPr>
        <w:t xml:space="preserve"> (e.g. loans)</w:t>
      </w:r>
      <w:r w:rsidRPr="00730D89">
        <w:rPr>
          <w:rFonts w:ascii="Times New Roman" w:hAnsi="Times New Roman" w:cs="Times New Roman"/>
          <w:b w:val="0"/>
          <w:sz w:val="24"/>
          <w:szCs w:val="24"/>
        </w:rPr>
        <w:t xml:space="preserve"> to</w:t>
      </w:r>
      <w:r w:rsidR="007419C8">
        <w:rPr>
          <w:rFonts w:ascii="Times New Roman" w:hAnsi="Times New Roman" w:cs="Times New Roman"/>
          <w:b w:val="0"/>
          <w:sz w:val="24"/>
          <w:szCs w:val="24"/>
        </w:rPr>
        <w:t xml:space="preserve"> counterparties, to</w:t>
      </w:r>
      <w:r w:rsidRPr="00730D89">
        <w:rPr>
          <w:rFonts w:ascii="Times New Roman" w:hAnsi="Times New Roman" w:cs="Times New Roman"/>
          <w:b w:val="0"/>
          <w:sz w:val="24"/>
          <w:szCs w:val="24"/>
        </w:rPr>
        <w:t xml:space="preserve"> monitor and control their large exposures</w:t>
      </w:r>
      <w:r w:rsidR="00CE625F" w:rsidRPr="00730D89">
        <w:rPr>
          <w:rFonts w:ascii="Times New Roman" w:hAnsi="Times New Roman" w:cs="Times New Roman"/>
          <w:b w:val="0"/>
          <w:sz w:val="24"/>
          <w:szCs w:val="24"/>
        </w:rPr>
        <w:t xml:space="preserve"> and risk concentrations. </w:t>
      </w:r>
      <w:r w:rsidR="0056332A" w:rsidRPr="00730D89">
        <w:rPr>
          <w:rFonts w:ascii="Times New Roman" w:hAnsi="Times New Roman" w:cs="Times New Roman"/>
          <w:b w:val="0"/>
          <w:sz w:val="24"/>
          <w:szCs w:val="24"/>
        </w:rPr>
        <w:t>A risk concentration occurs when an ADI has a concentration</w:t>
      </w:r>
      <w:r w:rsidR="007419C8">
        <w:rPr>
          <w:rFonts w:ascii="Times New Roman" w:hAnsi="Times New Roman" w:cs="Times New Roman"/>
          <w:b w:val="0"/>
          <w:sz w:val="24"/>
          <w:szCs w:val="24"/>
        </w:rPr>
        <w:t xml:space="preserve"> of exposures to </w:t>
      </w:r>
      <w:r w:rsidR="0056332A" w:rsidRPr="00730D89">
        <w:rPr>
          <w:rFonts w:ascii="Times New Roman" w:hAnsi="Times New Roman" w:cs="Times New Roman"/>
          <w:b w:val="0"/>
          <w:sz w:val="24"/>
          <w:szCs w:val="24"/>
        </w:rPr>
        <w:t>counterparties, industries, countrie</w:t>
      </w:r>
      <w:r w:rsidR="006A6275">
        <w:rPr>
          <w:rFonts w:ascii="Times New Roman" w:hAnsi="Times New Roman" w:cs="Times New Roman"/>
          <w:b w:val="0"/>
          <w:sz w:val="24"/>
          <w:szCs w:val="24"/>
        </w:rPr>
        <w:t xml:space="preserve">s or particular asset classes. </w:t>
      </w:r>
      <w:r w:rsidR="0056332A" w:rsidRPr="00730D89">
        <w:rPr>
          <w:rFonts w:ascii="Times New Roman" w:hAnsi="Times New Roman" w:cs="Times New Roman"/>
          <w:b w:val="0"/>
          <w:sz w:val="24"/>
          <w:szCs w:val="24"/>
        </w:rPr>
        <w:t xml:space="preserve">A large exposure is </w:t>
      </w:r>
      <w:r w:rsidR="00DA2190" w:rsidRPr="00730D89">
        <w:rPr>
          <w:rFonts w:ascii="Times New Roman" w:hAnsi="Times New Roman" w:cs="Times New Roman"/>
          <w:b w:val="0"/>
          <w:sz w:val="24"/>
          <w:szCs w:val="24"/>
        </w:rPr>
        <w:t xml:space="preserve">a </w:t>
      </w:r>
      <w:r w:rsidR="00E012A6" w:rsidRPr="00730D89">
        <w:rPr>
          <w:rFonts w:ascii="Times New Roman" w:hAnsi="Times New Roman" w:cs="Times New Roman"/>
          <w:b w:val="0"/>
          <w:sz w:val="24"/>
          <w:szCs w:val="24"/>
        </w:rPr>
        <w:t>type of</w:t>
      </w:r>
      <w:r w:rsidR="00DA2190" w:rsidRPr="00730D89">
        <w:rPr>
          <w:rFonts w:ascii="Times New Roman" w:hAnsi="Times New Roman" w:cs="Times New Roman"/>
          <w:b w:val="0"/>
          <w:sz w:val="24"/>
          <w:szCs w:val="24"/>
        </w:rPr>
        <w:t xml:space="preserve"> risk concentration and is defined in</w:t>
      </w:r>
      <w:r w:rsidR="008E2D09" w:rsidRPr="00730D89">
        <w:rPr>
          <w:rFonts w:ascii="Times New Roman" w:hAnsi="Times New Roman" w:cs="Times New Roman"/>
          <w:b w:val="0"/>
          <w:sz w:val="24"/>
          <w:szCs w:val="24"/>
        </w:rPr>
        <w:t xml:space="preserve"> </w:t>
      </w:r>
      <w:r w:rsidR="00DA2190" w:rsidRPr="00730D89">
        <w:rPr>
          <w:rFonts w:ascii="Times New Roman" w:hAnsi="Times New Roman" w:cs="Times New Roman"/>
          <w:b w:val="0"/>
          <w:sz w:val="24"/>
          <w:szCs w:val="24"/>
        </w:rPr>
        <w:t xml:space="preserve">APS 221 </w:t>
      </w:r>
      <w:r w:rsidR="0056332A" w:rsidRPr="00730D89">
        <w:rPr>
          <w:rFonts w:ascii="Times New Roman" w:hAnsi="Times New Roman" w:cs="Times New Roman"/>
          <w:b w:val="0"/>
          <w:sz w:val="24"/>
          <w:szCs w:val="24"/>
        </w:rPr>
        <w:t>as an ADI’s exposure to an individual counterparty or a group of connected counterparties that is greater than, or equal to, 10 per cent of the ADI’s Tier 1 Capital.</w:t>
      </w:r>
      <w:r w:rsidR="00E012A6" w:rsidRPr="00730D89">
        <w:rPr>
          <w:rFonts w:ascii="Times New Roman" w:hAnsi="Times New Roman" w:cs="Times New Roman"/>
          <w:b w:val="0"/>
          <w:sz w:val="24"/>
          <w:szCs w:val="24"/>
        </w:rPr>
        <w:t xml:space="preserve"> </w:t>
      </w:r>
    </w:p>
    <w:p w14:paraId="56395A52" w14:textId="60A12D97" w:rsidR="0056332A" w:rsidRDefault="007419C8" w:rsidP="00C61132">
      <w:pPr>
        <w:pStyle w:val="Heading"/>
        <w:keepNext w:val="0"/>
        <w:spacing w:after="240"/>
        <w:rPr>
          <w:rFonts w:ascii="Times New Roman" w:hAnsi="Times New Roman" w:cs="Times New Roman"/>
          <w:b w:val="0"/>
          <w:sz w:val="24"/>
          <w:szCs w:val="24"/>
        </w:rPr>
      </w:pPr>
      <w:r w:rsidRPr="007419C8">
        <w:rPr>
          <w:rFonts w:ascii="Times New Roman" w:hAnsi="Times New Roman" w:cs="Times New Roman"/>
          <w:b w:val="0"/>
          <w:sz w:val="24"/>
          <w:szCs w:val="24"/>
        </w:rPr>
        <w:t xml:space="preserve">The new APS 221 introduces more conservative prudential limits on exposures to counterparties and stronger requirements for measuring and aggregating exposures. Lower prudential limits are intended to limit large losses to the ADI when a counterparty defaults. Stronger requirements on exposure measurement and aggregation is intended to enhance the ability of ADIs to monitor and control systemic risks </w:t>
      </w:r>
      <w:r w:rsidR="009B424A">
        <w:rPr>
          <w:rFonts w:ascii="Times New Roman" w:hAnsi="Times New Roman" w:cs="Times New Roman"/>
          <w:b w:val="0"/>
          <w:sz w:val="24"/>
          <w:szCs w:val="24"/>
        </w:rPr>
        <w:t xml:space="preserve">to </w:t>
      </w:r>
      <w:r w:rsidRPr="007419C8">
        <w:rPr>
          <w:rFonts w:ascii="Times New Roman" w:hAnsi="Times New Roman" w:cs="Times New Roman"/>
          <w:b w:val="0"/>
          <w:sz w:val="24"/>
          <w:szCs w:val="24"/>
        </w:rPr>
        <w:t>which they are exposed.</w:t>
      </w:r>
      <w:r>
        <w:rPr>
          <w:rFonts w:ascii="Times New Roman" w:hAnsi="Times New Roman" w:cs="Times New Roman"/>
          <w:b w:val="0"/>
          <w:sz w:val="24"/>
          <w:szCs w:val="24"/>
        </w:rPr>
        <w:t xml:space="preserve"> </w:t>
      </w:r>
      <w:r w:rsidRPr="00730D89">
        <w:rPr>
          <w:rFonts w:ascii="Times New Roman" w:hAnsi="Times New Roman" w:cs="Times New Roman"/>
          <w:b w:val="0"/>
          <w:sz w:val="24"/>
          <w:szCs w:val="24"/>
        </w:rPr>
        <w:t xml:space="preserve">The new </w:t>
      </w:r>
      <w:r>
        <w:rPr>
          <w:rFonts w:ascii="Times New Roman" w:hAnsi="Times New Roman" w:cs="Times New Roman"/>
          <w:b w:val="0"/>
          <w:sz w:val="24"/>
          <w:szCs w:val="24"/>
        </w:rPr>
        <w:br/>
      </w:r>
      <w:r w:rsidRPr="00730D89">
        <w:rPr>
          <w:rFonts w:ascii="Times New Roman" w:hAnsi="Times New Roman" w:cs="Times New Roman"/>
          <w:b w:val="0"/>
          <w:sz w:val="24"/>
          <w:szCs w:val="24"/>
        </w:rPr>
        <w:t>APS 221 is largely based on the Basel Committee on Banking Supervision’s</w:t>
      </w:r>
      <w:r w:rsidRPr="00730D89">
        <w:rPr>
          <w:rFonts w:ascii="Times New Roman" w:hAnsi="Times New Roman" w:cs="Times New Roman"/>
          <w:b w:val="0"/>
          <w:i/>
          <w:sz w:val="24"/>
          <w:szCs w:val="24"/>
        </w:rPr>
        <w:t xml:space="preserve"> Standards: Supervisory framework for measuring and controlling large exposures </w:t>
      </w:r>
      <w:r w:rsidRPr="00730D89">
        <w:rPr>
          <w:rFonts w:ascii="Times New Roman" w:hAnsi="Times New Roman" w:cs="Times New Roman"/>
          <w:b w:val="0"/>
          <w:sz w:val="24"/>
          <w:szCs w:val="24"/>
        </w:rPr>
        <w:t xml:space="preserve">(Basel large exposures </w:t>
      </w:r>
      <w:r w:rsidRPr="00730D89">
        <w:rPr>
          <w:rFonts w:ascii="Times New Roman" w:hAnsi="Times New Roman" w:cs="Times New Roman"/>
          <w:b w:val="0"/>
          <w:sz w:val="24"/>
          <w:szCs w:val="24"/>
        </w:rPr>
        <w:lastRenderedPageBreak/>
        <w:t>framework) that was finalised in April 2014.</w:t>
      </w:r>
      <w:r w:rsidRPr="00730D89">
        <w:rPr>
          <w:rStyle w:val="FootnoteReference"/>
          <w:rFonts w:ascii="Times New Roman" w:hAnsi="Times New Roman" w:cs="Times New Roman"/>
          <w:b w:val="0"/>
          <w:szCs w:val="24"/>
        </w:rPr>
        <w:footnoteReference w:id="1"/>
      </w:r>
      <w:r w:rsidRPr="00730D89">
        <w:rPr>
          <w:rFonts w:ascii="Times New Roman" w:hAnsi="Times New Roman" w:cs="Times New Roman"/>
          <w:b w:val="0"/>
          <w:sz w:val="24"/>
          <w:szCs w:val="24"/>
        </w:rPr>
        <w:t xml:space="preserve"> Prior to this update, APS 221 was last materially updated in 2003</w:t>
      </w:r>
      <w:r w:rsidR="005B744C">
        <w:rPr>
          <w:rFonts w:ascii="Times New Roman" w:hAnsi="Times New Roman" w:cs="Times New Roman"/>
          <w:b w:val="0"/>
          <w:sz w:val="24"/>
          <w:szCs w:val="24"/>
        </w:rPr>
        <w:t>.</w:t>
      </w:r>
    </w:p>
    <w:p w14:paraId="5D573887" w14:textId="2D723269" w:rsidR="005941E1" w:rsidRPr="00730D89" w:rsidRDefault="008B7528" w:rsidP="00836A64">
      <w:pPr>
        <w:pStyle w:val="BULLET1"/>
        <w:keepNext/>
        <w:numPr>
          <w:ilvl w:val="0"/>
          <w:numId w:val="28"/>
        </w:numPr>
        <w:ind w:left="357" w:hanging="357"/>
        <w:rPr>
          <w:rFonts w:ascii="Times New Roman" w:hAnsi="Times New Roman" w:cs="Times New Roman"/>
          <w:b/>
          <w:sz w:val="24"/>
          <w:szCs w:val="24"/>
        </w:rPr>
      </w:pPr>
      <w:r w:rsidRPr="00730D89">
        <w:rPr>
          <w:rFonts w:ascii="Times New Roman" w:hAnsi="Times New Roman" w:cs="Times New Roman"/>
          <w:b/>
          <w:sz w:val="24"/>
          <w:szCs w:val="24"/>
        </w:rPr>
        <w:t xml:space="preserve">Purpose </w:t>
      </w:r>
      <w:r w:rsidR="00BD4547" w:rsidRPr="00730D89">
        <w:rPr>
          <w:rFonts w:ascii="Times New Roman" w:hAnsi="Times New Roman" w:cs="Times New Roman"/>
          <w:b/>
          <w:sz w:val="24"/>
          <w:szCs w:val="24"/>
        </w:rPr>
        <w:t xml:space="preserve">and operation </w:t>
      </w:r>
      <w:r w:rsidRPr="00730D89">
        <w:rPr>
          <w:rFonts w:ascii="Times New Roman" w:hAnsi="Times New Roman" w:cs="Times New Roman"/>
          <w:b/>
          <w:sz w:val="24"/>
          <w:szCs w:val="24"/>
        </w:rPr>
        <w:t>of the instrument</w:t>
      </w:r>
    </w:p>
    <w:p w14:paraId="4BEAC534" w14:textId="4153EEBF" w:rsidR="003B6143" w:rsidRPr="00730D89" w:rsidRDefault="003B6143" w:rsidP="003B6143">
      <w:pPr>
        <w:pStyle w:val="Heading"/>
        <w:keepNext w:val="0"/>
        <w:rPr>
          <w:rFonts w:ascii="Times New Roman" w:hAnsi="Times New Roman" w:cs="Times New Roman"/>
          <w:b w:val="0"/>
          <w:sz w:val="24"/>
          <w:szCs w:val="24"/>
        </w:rPr>
      </w:pPr>
      <w:bookmarkStart w:id="5" w:name="bkPurpose"/>
      <w:bookmarkStart w:id="6" w:name="bk3Operation"/>
      <w:bookmarkEnd w:id="5"/>
      <w:r w:rsidRPr="00730D89">
        <w:rPr>
          <w:rFonts w:ascii="Times New Roman" w:hAnsi="Times New Roman" w:cs="Times New Roman"/>
          <w:b w:val="0"/>
          <w:sz w:val="24"/>
          <w:szCs w:val="24"/>
        </w:rPr>
        <w:t>The purpose of the instrument is to revoke APS 221 and replace it with a new version of APS 221</w:t>
      </w:r>
      <w:r w:rsidR="005B744C">
        <w:rPr>
          <w:rFonts w:ascii="Times New Roman" w:hAnsi="Times New Roman" w:cs="Times New Roman"/>
          <w:b w:val="0"/>
          <w:sz w:val="24"/>
          <w:szCs w:val="24"/>
        </w:rPr>
        <w:t>.</w:t>
      </w:r>
      <w:r w:rsidRPr="00730D89">
        <w:rPr>
          <w:rFonts w:ascii="Times New Roman" w:hAnsi="Times New Roman" w:cs="Times New Roman"/>
          <w:b w:val="0"/>
          <w:sz w:val="24"/>
          <w:szCs w:val="24"/>
        </w:rPr>
        <w:t xml:space="preserve"> </w:t>
      </w:r>
      <w:r w:rsidR="005B744C">
        <w:rPr>
          <w:rFonts w:ascii="Times New Roman" w:hAnsi="Times New Roman" w:cs="Times New Roman"/>
          <w:b w:val="0"/>
          <w:sz w:val="24"/>
          <w:szCs w:val="24"/>
        </w:rPr>
        <w:t xml:space="preserve">The </w:t>
      </w:r>
      <w:r w:rsidR="00AA1953">
        <w:rPr>
          <w:rFonts w:ascii="Times New Roman" w:hAnsi="Times New Roman" w:cs="Times New Roman"/>
          <w:b w:val="0"/>
          <w:sz w:val="24"/>
          <w:szCs w:val="24"/>
        </w:rPr>
        <w:t>changes</w:t>
      </w:r>
      <w:r w:rsidR="005B744C">
        <w:rPr>
          <w:rFonts w:ascii="Times New Roman" w:hAnsi="Times New Roman" w:cs="Times New Roman"/>
          <w:b w:val="0"/>
          <w:sz w:val="24"/>
          <w:szCs w:val="24"/>
        </w:rPr>
        <w:t xml:space="preserve"> </w:t>
      </w:r>
      <w:r w:rsidR="00AA3C26" w:rsidRPr="00730D89">
        <w:rPr>
          <w:rFonts w:ascii="Times New Roman" w:hAnsi="Times New Roman" w:cs="Times New Roman"/>
          <w:b w:val="0"/>
          <w:sz w:val="24"/>
          <w:szCs w:val="24"/>
        </w:rPr>
        <w:t>largely reflect the requirements of the Basel large exposures framework. Material amendments to APS 221 include:</w:t>
      </w:r>
    </w:p>
    <w:p w14:paraId="6EB4C09A" w14:textId="77777777" w:rsidR="008E2D09" w:rsidRPr="00730D89" w:rsidRDefault="008E2D09" w:rsidP="008E2D09">
      <w:pPr>
        <w:pStyle w:val="APRAbullet"/>
        <w:rPr>
          <w:lang w:val="en-US"/>
        </w:rPr>
      </w:pPr>
      <w:r w:rsidRPr="00730D89">
        <w:rPr>
          <w:lang w:val="en-US"/>
        </w:rPr>
        <w:t>a reference to Tier 1 Capital as a basis for determining large exposures;</w:t>
      </w:r>
    </w:p>
    <w:p w14:paraId="274DBAF9" w14:textId="4BFAE69C" w:rsidR="008E2D09" w:rsidRPr="00730D89" w:rsidRDefault="008E2D09" w:rsidP="008E2D09">
      <w:pPr>
        <w:pStyle w:val="APRAbullet"/>
        <w:rPr>
          <w:lang w:val="en-US"/>
        </w:rPr>
      </w:pPr>
      <w:r w:rsidRPr="00730D89">
        <w:rPr>
          <w:lang w:val="en-US"/>
        </w:rPr>
        <w:t xml:space="preserve">a downwards recalibration of existing large exposure limits, and the introduction of a lower limit on </w:t>
      </w:r>
      <w:r w:rsidR="00EA2FC4">
        <w:rPr>
          <w:lang w:val="en-US"/>
        </w:rPr>
        <w:t>exposures of a domestic systemically important bank (</w:t>
      </w:r>
      <w:r w:rsidRPr="00730D89">
        <w:rPr>
          <w:lang w:val="en-US"/>
        </w:rPr>
        <w:t>D-SIB</w:t>
      </w:r>
      <w:r w:rsidR="00EA2FC4">
        <w:rPr>
          <w:lang w:val="en-US"/>
        </w:rPr>
        <w:t>)</w:t>
      </w:r>
      <w:r w:rsidRPr="00730D89">
        <w:rPr>
          <w:lang w:val="en-US"/>
        </w:rPr>
        <w:t xml:space="preserve"> to </w:t>
      </w:r>
      <w:r w:rsidR="00EA2FC4">
        <w:rPr>
          <w:lang w:val="en-US"/>
        </w:rPr>
        <w:t xml:space="preserve">another </w:t>
      </w:r>
      <w:r w:rsidRPr="00730D89">
        <w:rPr>
          <w:lang w:val="en-US"/>
        </w:rPr>
        <w:t>D-SIB</w:t>
      </w:r>
      <w:r w:rsidR="0057354F">
        <w:rPr>
          <w:lang w:val="en-US"/>
        </w:rPr>
        <w:t>. This will limit the degree of contagion risk which an ADI is exposed to</w:t>
      </w:r>
      <w:r w:rsidRPr="00730D89">
        <w:rPr>
          <w:lang w:val="en-US"/>
        </w:rPr>
        <w:t>; and</w:t>
      </w:r>
    </w:p>
    <w:p w14:paraId="5F39FC90" w14:textId="29D67AA4" w:rsidR="00AA3C26" w:rsidRPr="00730D89" w:rsidRDefault="008E2D09" w:rsidP="008E2D09">
      <w:pPr>
        <w:pStyle w:val="APRAbullet"/>
        <w:rPr>
          <w:lang w:val="en-US"/>
        </w:rPr>
      </w:pPr>
      <w:r w:rsidRPr="00730D89">
        <w:rPr>
          <w:lang w:val="en-US"/>
        </w:rPr>
        <w:t>a stronger set of requirements</w:t>
      </w:r>
      <w:r w:rsidR="008B79B7" w:rsidRPr="00730D89">
        <w:rPr>
          <w:lang w:val="en-US"/>
        </w:rPr>
        <w:t xml:space="preserve"> for measuring </w:t>
      </w:r>
      <w:r w:rsidR="007419C8">
        <w:rPr>
          <w:lang w:val="en-US"/>
        </w:rPr>
        <w:t xml:space="preserve">and aggregating </w:t>
      </w:r>
      <w:r w:rsidR="008B79B7" w:rsidRPr="00730D89">
        <w:rPr>
          <w:lang w:val="en-US"/>
        </w:rPr>
        <w:t>exposure values</w:t>
      </w:r>
      <w:r w:rsidR="007419C8">
        <w:rPr>
          <w:lang w:val="en-US"/>
        </w:rPr>
        <w:t>, and disaggregating exposure values to underlying counterparties when an ADI is exposed to structured vehicles</w:t>
      </w:r>
      <w:r w:rsidR="00CA0373">
        <w:rPr>
          <w:lang w:val="en-US"/>
        </w:rPr>
        <w:t xml:space="preserve"> </w:t>
      </w:r>
      <w:r w:rsidR="00CA0373" w:rsidRPr="00730D89">
        <w:t>(e.g. funds, securitisation vehicles and structured finance products)</w:t>
      </w:r>
      <w:r w:rsidR="007419C8">
        <w:rPr>
          <w:lang w:val="en-US"/>
        </w:rPr>
        <w:t xml:space="preserve"> which hold underlying assets</w:t>
      </w:r>
      <w:r w:rsidRPr="00730D89">
        <w:rPr>
          <w:lang w:val="en-US"/>
        </w:rPr>
        <w:t xml:space="preserve">. </w:t>
      </w:r>
      <w:r w:rsidR="0057354F">
        <w:rPr>
          <w:lang w:val="en-US"/>
        </w:rPr>
        <w:t xml:space="preserve">This will enhance the ability of ADIs to monitor and </w:t>
      </w:r>
      <w:r w:rsidR="00866CBA">
        <w:rPr>
          <w:lang w:val="en-US"/>
        </w:rPr>
        <w:t>mitigate</w:t>
      </w:r>
      <w:r w:rsidR="0057354F">
        <w:rPr>
          <w:lang w:val="en-US"/>
        </w:rPr>
        <w:t xml:space="preserve"> systemic risks which they are exposed to. </w:t>
      </w:r>
    </w:p>
    <w:p w14:paraId="04EF7555" w14:textId="7387C665" w:rsidR="00D97124" w:rsidRDefault="00161425" w:rsidP="00BE21A6">
      <w:pPr>
        <w:pStyle w:val="APRAbullet"/>
        <w:numPr>
          <w:ilvl w:val="0"/>
          <w:numId w:val="0"/>
        </w:numPr>
        <w:rPr>
          <w:lang w:val="en-US"/>
        </w:rPr>
      </w:pPr>
      <w:r>
        <w:rPr>
          <w:lang w:val="en-US"/>
        </w:rPr>
        <w:t>APS 221 incorporates by reference</w:t>
      </w:r>
      <w:r w:rsidR="008C1285">
        <w:rPr>
          <w:lang w:val="en-US"/>
        </w:rPr>
        <w:t xml:space="preserve"> </w:t>
      </w:r>
      <w:r>
        <w:rPr>
          <w:lang w:val="en-US"/>
        </w:rPr>
        <w:t xml:space="preserve">certain </w:t>
      </w:r>
      <w:r w:rsidR="00AA1953">
        <w:rPr>
          <w:lang w:val="en-US"/>
        </w:rPr>
        <w:t xml:space="preserve">provisions of </w:t>
      </w:r>
      <w:r w:rsidR="006D2B57">
        <w:rPr>
          <w:lang w:val="en-US"/>
        </w:rPr>
        <w:t xml:space="preserve">the </w:t>
      </w:r>
      <w:r w:rsidR="006D2B57" w:rsidRPr="00BE21A6">
        <w:rPr>
          <w:i/>
          <w:lang w:val="en-US"/>
        </w:rPr>
        <w:t>Banking Act 1959</w:t>
      </w:r>
      <w:r w:rsidR="00F51884">
        <w:rPr>
          <w:lang w:val="en-US"/>
        </w:rPr>
        <w:t>,</w:t>
      </w:r>
      <w:r w:rsidR="006D2B57">
        <w:rPr>
          <w:lang w:val="en-US"/>
        </w:rPr>
        <w:t xml:space="preserve"> </w:t>
      </w:r>
      <w:r>
        <w:rPr>
          <w:lang w:val="en-US"/>
        </w:rPr>
        <w:t>Prudential Standards</w:t>
      </w:r>
      <w:r w:rsidR="0005054F">
        <w:rPr>
          <w:lang w:val="en-US"/>
        </w:rPr>
        <w:t>,</w:t>
      </w:r>
      <w:r w:rsidR="00F51884">
        <w:rPr>
          <w:lang w:val="en-US"/>
        </w:rPr>
        <w:t xml:space="preserve"> and </w:t>
      </w:r>
      <w:r w:rsidR="003B6143" w:rsidRPr="00730D89">
        <w:t>Australian Accounting Standard</w:t>
      </w:r>
      <w:r w:rsidR="00865AF3">
        <w:t>s</w:t>
      </w:r>
      <w:r w:rsidR="003B6143" w:rsidRPr="00730D89">
        <w:t xml:space="preserve"> issued by the Australian Accounting Standards Board</w:t>
      </w:r>
      <w:r w:rsidR="00F51884">
        <w:t>.</w:t>
      </w:r>
      <w:r w:rsidR="003B6143" w:rsidRPr="00730D89">
        <w:t xml:space="preserve"> </w:t>
      </w:r>
      <w:r w:rsidR="00F51884">
        <w:t xml:space="preserve">All of these references are </w:t>
      </w:r>
      <w:r w:rsidR="003B6143" w:rsidRPr="00730D89">
        <w:t>reference</w:t>
      </w:r>
      <w:r w:rsidR="00F51884">
        <w:t>s</w:t>
      </w:r>
      <w:r w:rsidR="003B6143" w:rsidRPr="00730D89">
        <w:t xml:space="preserve"> to the instrument</w:t>
      </w:r>
      <w:r w:rsidR="0005054F">
        <w:t>s</w:t>
      </w:r>
      <w:r w:rsidR="003B6143" w:rsidRPr="00730D89">
        <w:t xml:space="preserve"> as </w:t>
      </w:r>
      <w:r w:rsidR="00865AF3">
        <w:t xml:space="preserve">they </w:t>
      </w:r>
      <w:r w:rsidR="003B6143" w:rsidRPr="00730D89">
        <w:t xml:space="preserve">exist from time to time. These instruments are available on the Federal Register of Legislation at </w:t>
      </w:r>
      <w:hyperlink r:id="rId13" w:history="1">
        <w:r w:rsidR="003B6143" w:rsidRPr="00AD1BC6">
          <w:rPr>
            <w:rStyle w:val="Hyperlink"/>
            <w:rFonts w:ascii="Times New Roman" w:hAnsi="Times New Roman"/>
            <w:sz w:val="24"/>
          </w:rPr>
          <w:t>www.legislation.gov.au</w:t>
        </w:r>
      </w:hyperlink>
      <w:r w:rsidR="00D97124">
        <w:rPr>
          <w:lang w:val="en-US"/>
        </w:rPr>
        <w:t>.</w:t>
      </w:r>
    </w:p>
    <w:p w14:paraId="0F9A6641" w14:textId="7174DE05" w:rsidR="005D0853" w:rsidRPr="00730D89" w:rsidRDefault="00AD1BC6" w:rsidP="00BE21A6">
      <w:pPr>
        <w:pStyle w:val="APRAbullet"/>
        <w:numPr>
          <w:ilvl w:val="0"/>
          <w:numId w:val="0"/>
        </w:numPr>
        <w:rPr>
          <w:lang w:val="en-US"/>
        </w:rPr>
      </w:pPr>
      <w:r>
        <w:rPr>
          <w:lang w:val="en-US"/>
        </w:rPr>
        <w:t xml:space="preserve">In addition, APS </w:t>
      </w:r>
      <w:r w:rsidR="008C1285">
        <w:rPr>
          <w:lang w:val="en-US"/>
        </w:rPr>
        <w:t xml:space="preserve">221 </w:t>
      </w:r>
      <w:r>
        <w:rPr>
          <w:lang w:val="en-US"/>
        </w:rPr>
        <w:t xml:space="preserve">refers to </w:t>
      </w:r>
      <w:r w:rsidRPr="00730D89">
        <w:rPr>
          <w:lang w:val="en-US"/>
        </w:rPr>
        <w:t xml:space="preserve">APRA’s </w:t>
      </w:r>
      <w:r w:rsidRPr="00730D89">
        <w:rPr>
          <w:i/>
          <w:lang w:val="en-US"/>
        </w:rPr>
        <w:t>Information Paper – Domestic systemical</w:t>
      </w:r>
      <w:r>
        <w:rPr>
          <w:i/>
          <w:lang w:val="en-US"/>
        </w:rPr>
        <w:t>ly important banks in Australia</w:t>
      </w:r>
      <w:r w:rsidRPr="00730D89">
        <w:rPr>
          <w:i/>
          <w:lang w:val="en-US"/>
        </w:rPr>
        <w:t xml:space="preserve"> </w:t>
      </w:r>
      <w:r w:rsidRPr="00730D89">
        <w:rPr>
          <w:lang w:val="en-US"/>
        </w:rPr>
        <w:t>as at December 2013</w:t>
      </w:r>
      <w:r>
        <w:rPr>
          <w:lang w:val="en-US"/>
        </w:rPr>
        <w:t>.</w:t>
      </w:r>
      <w:r w:rsidRPr="00730D89">
        <w:rPr>
          <w:rStyle w:val="FootnoteReference"/>
          <w:rFonts w:ascii="Times New Roman" w:hAnsi="Times New Roman"/>
          <w:lang w:val="en-US"/>
        </w:rPr>
        <w:footnoteReference w:id="2"/>
      </w:r>
    </w:p>
    <w:p w14:paraId="2DB5541B" w14:textId="6B71DADF" w:rsidR="008B7528" w:rsidRPr="00730D89" w:rsidRDefault="006C4E5C" w:rsidP="003F0A98">
      <w:pPr>
        <w:pStyle w:val="BULLET1"/>
        <w:keepNext/>
        <w:numPr>
          <w:ilvl w:val="0"/>
          <w:numId w:val="28"/>
        </w:numPr>
        <w:ind w:left="357" w:hanging="357"/>
        <w:rPr>
          <w:rFonts w:ascii="Times New Roman" w:hAnsi="Times New Roman" w:cs="Times New Roman"/>
          <w:b/>
          <w:sz w:val="24"/>
          <w:szCs w:val="24"/>
        </w:rPr>
      </w:pPr>
      <w:r w:rsidRPr="00730D89">
        <w:rPr>
          <w:rFonts w:ascii="Times New Roman" w:hAnsi="Times New Roman" w:cs="Times New Roman"/>
          <w:b/>
          <w:sz w:val="24"/>
          <w:szCs w:val="24"/>
        </w:rPr>
        <w:t xml:space="preserve">Consultation </w:t>
      </w:r>
    </w:p>
    <w:p w14:paraId="29C8B6F2" w14:textId="569C6D86" w:rsidR="00C67F77" w:rsidRPr="00730D89" w:rsidRDefault="00C85ACB" w:rsidP="002A4C63">
      <w:pPr>
        <w:pStyle w:val="Heading"/>
        <w:rPr>
          <w:rFonts w:ascii="Times New Roman" w:hAnsi="Times New Roman" w:cs="Times New Roman"/>
          <w:b w:val="0"/>
          <w:sz w:val="24"/>
          <w:szCs w:val="24"/>
        </w:rPr>
      </w:pPr>
      <w:bookmarkStart w:id="7" w:name="bkoperation"/>
      <w:bookmarkStart w:id="8" w:name="bkConsultationNo"/>
      <w:bookmarkStart w:id="9" w:name="bkConsultation"/>
      <w:bookmarkStart w:id="10" w:name="bkRISNO"/>
      <w:bookmarkStart w:id="11" w:name="bkRIS"/>
      <w:bookmarkEnd w:id="6"/>
      <w:bookmarkEnd w:id="7"/>
      <w:bookmarkEnd w:id="8"/>
      <w:bookmarkEnd w:id="9"/>
      <w:bookmarkEnd w:id="10"/>
      <w:r w:rsidRPr="00730D89">
        <w:rPr>
          <w:rFonts w:ascii="Times New Roman" w:hAnsi="Times New Roman" w:cs="Times New Roman"/>
          <w:b w:val="0"/>
          <w:sz w:val="24"/>
          <w:szCs w:val="24"/>
        </w:rPr>
        <w:t>In April 2017</w:t>
      </w:r>
      <w:r w:rsidR="002A4C63" w:rsidRPr="00730D89">
        <w:rPr>
          <w:rFonts w:ascii="Times New Roman" w:hAnsi="Times New Roman" w:cs="Times New Roman"/>
          <w:b w:val="0"/>
          <w:sz w:val="24"/>
          <w:szCs w:val="24"/>
        </w:rPr>
        <w:t xml:space="preserve">, APRA commenced a formal consultation </w:t>
      </w:r>
      <w:r w:rsidR="0096476F" w:rsidRPr="00730D89">
        <w:rPr>
          <w:rFonts w:ascii="Times New Roman" w:hAnsi="Times New Roman" w:cs="Times New Roman"/>
          <w:b w:val="0"/>
          <w:sz w:val="24"/>
          <w:szCs w:val="24"/>
        </w:rPr>
        <w:t xml:space="preserve">on specific proposals with the release of its discussion paper </w:t>
      </w:r>
      <w:r w:rsidR="00AA4202" w:rsidRPr="00730D89">
        <w:rPr>
          <w:rFonts w:ascii="Times New Roman" w:hAnsi="Times New Roman" w:cs="Times New Roman"/>
          <w:b w:val="0"/>
          <w:i/>
          <w:sz w:val="24"/>
          <w:szCs w:val="24"/>
        </w:rPr>
        <w:t>Revisions to Large Exposures</w:t>
      </w:r>
      <w:r w:rsidR="0096476F" w:rsidRPr="00730D89">
        <w:rPr>
          <w:rFonts w:ascii="Times New Roman" w:hAnsi="Times New Roman" w:cs="Times New Roman"/>
          <w:b w:val="0"/>
          <w:sz w:val="24"/>
          <w:szCs w:val="24"/>
        </w:rPr>
        <w:t xml:space="preserve"> and a draft revised APS 221.</w:t>
      </w:r>
      <w:r w:rsidR="00AA4202" w:rsidRPr="00730D89">
        <w:rPr>
          <w:rStyle w:val="FootnoteReference"/>
          <w:rFonts w:ascii="Times New Roman" w:hAnsi="Times New Roman" w:cs="Times New Roman"/>
          <w:b w:val="0"/>
          <w:szCs w:val="24"/>
        </w:rPr>
        <w:footnoteReference w:id="3"/>
      </w:r>
      <w:r w:rsidR="00AA4202" w:rsidRPr="00730D89">
        <w:rPr>
          <w:rFonts w:ascii="Times New Roman" w:hAnsi="Times New Roman" w:cs="Times New Roman"/>
          <w:b w:val="0"/>
          <w:sz w:val="24"/>
          <w:szCs w:val="24"/>
        </w:rPr>
        <w:t xml:space="preserve"> APRA received 13</w:t>
      </w:r>
      <w:r w:rsidR="0096476F" w:rsidRPr="00730D89">
        <w:rPr>
          <w:rFonts w:ascii="Times New Roman" w:hAnsi="Times New Roman" w:cs="Times New Roman"/>
          <w:b w:val="0"/>
          <w:sz w:val="24"/>
          <w:szCs w:val="24"/>
        </w:rPr>
        <w:t xml:space="preserve"> submissions in response to its consultation from ADIs and industry </w:t>
      </w:r>
      <w:r w:rsidR="00CB4087">
        <w:rPr>
          <w:rFonts w:ascii="Times New Roman" w:hAnsi="Times New Roman" w:cs="Times New Roman"/>
          <w:b w:val="0"/>
          <w:sz w:val="24"/>
          <w:szCs w:val="24"/>
        </w:rPr>
        <w:t>bodies, and held further discussions with numerous ADIs and industry bodies</w:t>
      </w:r>
      <w:r w:rsidR="0096476F" w:rsidRPr="00730D89">
        <w:rPr>
          <w:rFonts w:ascii="Times New Roman" w:hAnsi="Times New Roman" w:cs="Times New Roman"/>
          <w:b w:val="0"/>
          <w:sz w:val="24"/>
          <w:szCs w:val="24"/>
        </w:rPr>
        <w:t>.</w:t>
      </w:r>
    </w:p>
    <w:p w14:paraId="798EF416" w14:textId="0A29024F" w:rsidR="00985ADC" w:rsidRPr="00730D89" w:rsidRDefault="0096476F" w:rsidP="002A4C63">
      <w:pPr>
        <w:pStyle w:val="Heading"/>
        <w:rPr>
          <w:rFonts w:ascii="Times New Roman" w:hAnsi="Times New Roman" w:cs="Times New Roman"/>
          <w:b w:val="0"/>
          <w:sz w:val="24"/>
          <w:szCs w:val="24"/>
        </w:rPr>
      </w:pPr>
      <w:r w:rsidRPr="00730D89">
        <w:rPr>
          <w:rFonts w:ascii="Times New Roman" w:hAnsi="Times New Roman" w:cs="Times New Roman"/>
          <w:b w:val="0"/>
          <w:sz w:val="24"/>
          <w:szCs w:val="24"/>
        </w:rPr>
        <w:t xml:space="preserve">Submissions noted that </w:t>
      </w:r>
      <w:r w:rsidR="00251A74" w:rsidRPr="00730D89">
        <w:rPr>
          <w:rFonts w:ascii="Times New Roman" w:hAnsi="Times New Roman" w:cs="Times New Roman"/>
          <w:b w:val="0"/>
          <w:sz w:val="24"/>
          <w:szCs w:val="24"/>
        </w:rPr>
        <w:t>t</w:t>
      </w:r>
      <w:r w:rsidRPr="00730D89">
        <w:rPr>
          <w:rFonts w:ascii="Times New Roman" w:hAnsi="Times New Roman" w:cs="Times New Roman"/>
          <w:b w:val="0"/>
          <w:sz w:val="24"/>
          <w:szCs w:val="24"/>
        </w:rPr>
        <w:t xml:space="preserve">here </w:t>
      </w:r>
      <w:r w:rsidR="008107F2" w:rsidRPr="00730D89">
        <w:rPr>
          <w:rFonts w:ascii="Times New Roman" w:hAnsi="Times New Roman" w:cs="Times New Roman"/>
          <w:b w:val="0"/>
          <w:sz w:val="24"/>
          <w:szCs w:val="24"/>
        </w:rPr>
        <w:t xml:space="preserve">would be </w:t>
      </w:r>
      <w:r w:rsidRPr="00730D89">
        <w:rPr>
          <w:rFonts w:ascii="Times New Roman" w:hAnsi="Times New Roman" w:cs="Times New Roman"/>
          <w:b w:val="0"/>
          <w:sz w:val="24"/>
          <w:szCs w:val="24"/>
        </w:rPr>
        <w:t xml:space="preserve">various challenges </w:t>
      </w:r>
      <w:r w:rsidR="00251A74" w:rsidRPr="00730D89">
        <w:rPr>
          <w:rFonts w:ascii="Times New Roman" w:hAnsi="Times New Roman" w:cs="Times New Roman"/>
          <w:b w:val="0"/>
          <w:sz w:val="24"/>
          <w:szCs w:val="24"/>
        </w:rPr>
        <w:t>to meet the proposed requirements</w:t>
      </w:r>
      <w:r w:rsidR="00985ADC" w:rsidRPr="00730D89">
        <w:rPr>
          <w:rFonts w:ascii="Times New Roman" w:hAnsi="Times New Roman" w:cs="Times New Roman"/>
          <w:b w:val="0"/>
          <w:sz w:val="24"/>
          <w:szCs w:val="24"/>
        </w:rPr>
        <w:t>. In particular, a number of respondents</w:t>
      </w:r>
      <w:r w:rsidRPr="00730D89">
        <w:rPr>
          <w:rFonts w:ascii="Times New Roman" w:hAnsi="Times New Roman" w:cs="Times New Roman"/>
          <w:b w:val="0"/>
          <w:sz w:val="24"/>
          <w:szCs w:val="24"/>
        </w:rPr>
        <w:t xml:space="preserve"> noted that </w:t>
      </w:r>
      <w:r w:rsidR="008107F2" w:rsidRPr="00730D89">
        <w:rPr>
          <w:rFonts w:ascii="Times New Roman" w:hAnsi="Times New Roman" w:cs="Times New Roman"/>
          <w:b w:val="0"/>
          <w:sz w:val="24"/>
          <w:szCs w:val="24"/>
        </w:rPr>
        <w:t>the proposed downward revision o</w:t>
      </w:r>
      <w:r w:rsidR="00985ADC" w:rsidRPr="00730D89">
        <w:rPr>
          <w:rFonts w:ascii="Times New Roman" w:hAnsi="Times New Roman" w:cs="Times New Roman"/>
          <w:b w:val="0"/>
          <w:sz w:val="24"/>
          <w:szCs w:val="24"/>
        </w:rPr>
        <w:t>f</w:t>
      </w:r>
      <w:r w:rsidRPr="00730D89">
        <w:rPr>
          <w:rFonts w:ascii="Times New Roman" w:hAnsi="Times New Roman" w:cs="Times New Roman"/>
          <w:b w:val="0"/>
          <w:sz w:val="24"/>
          <w:szCs w:val="24"/>
        </w:rPr>
        <w:t xml:space="preserve"> prudential limits</w:t>
      </w:r>
      <w:r w:rsidR="00CA0373">
        <w:rPr>
          <w:rFonts w:ascii="Times New Roman" w:hAnsi="Times New Roman" w:cs="Times New Roman"/>
          <w:b w:val="0"/>
          <w:sz w:val="24"/>
          <w:szCs w:val="24"/>
        </w:rPr>
        <w:t xml:space="preserve"> would cause </w:t>
      </w:r>
      <w:r w:rsidR="008107F2" w:rsidRPr="00730D89">
        <w:rPr>
          <w:rFonts w:ascii="Times New Roman" w:hAnsi="Times New Roman" w:cs="Times New Roman"/>
          <w:b w:val="0"/>
          <w:sz w:val="24"/>
          <w:szCs w:val="24"/>
        </w:rPr>
        <w:t>complications for liquidity management</w:t>
      </w:r>
      <w:r w:rsidRPr="00730D89">
        <w:rPr>
          <w:rFonts w:ascii="Times New Roman" w:hAnsi="Times New Roman" w:cs="Times New Roman"/>
          <w:b w:val="0"/>
          <w:sz w:val="24"/>
          <w:szCs w:val="24"/>
        </w:rPr>
        <w:t xml:space="preserve">. On </w:t>
      </w:r>
      <w:r w:rsidR="00AA4202" w:rsidRPr="00730D89">
        <w:rPr>
          <w:rFonts w:ascii="Times New Roman" w:hAnsi="Times New Roman" w:cs="Times New Roman"/>
          <w:b w:val="0"/>
          <w:sz w:val="24"/>
          <w:szCs w:val="24"/>
        </w:rPr>
        <w:t xml:space="preserve">requirements </w:t>
      </w:r>
      <w:r w:rsidRPr="00730D89">
        <w:rPr>
          <w:rFonts w:ascii="Times New Roman" w:hAnsi="Times New Roman" w:cs="Times New Roman"/>
          <w:b w:val="0"/>
          <w:sz w:val="24"/>
          <w:szCs w:val="24"/>
        </w:rPr>
        <w:t xml:space="preserve">relating to </w:t>
      </w:r>
      <w:r w:rsidR="00985ADC" w:rsidRPr="00730D89">
        <w:rPr>
          <w:rFonts w:ascii="Times New Roman" w:hAnsi="Times New Roman" w:cs="Times New Roman"/>
          <w:b w:val="0"/>
          <w:sz w:val="24"/>
          <w:szCs w:val="24"/>
        </w:rPr>
        <w:t>measuring and aggregating exposures to counterparties</w:t>
      </w:r>
      <w:r w:rsidR="00CA0373">
        <w:rPr>
          <w:rFonts w:ascii="Times New Roman" w:hAnsi="Times New Roman" w:cs="Times New Roman"/>
          <w:b w:val="0"/>
          <w:sz w:val="24"/>
          <w:szCs w:val="24"/>
        </w:rPr>
        <w:t>,</w:t>
      </w:r>
      <w:r w:rsidR="00985ADC" w:rsidRPr="00730D89">
        <w:rPr>
          <w:rFonts w:ascii="Times New Roman" w:hAnsi="Times New Roman" w:cs="Times New Roman"/>
          <w:b w:val="0"/>
          <w:sz w:val="24"/>
          <w:szCs w:val="24"/>
        </w:rPr>
        <w:t xml:space="preserve"> and </w:t>
      </w:r>
      <w:r w:rsidR="00CA0373">
        <w:rPr>
          <w:rFonts w:ascii="Times New Roman" w:hAnsi="Times New Roman" w:cs="Times New Roman"/>
          <w:b w:val="0"/>
          <w:sz w:val="24"/>
          <w:szCs w:val="24"/>
        </w:rPr>
        <w:t xml:space="preserve">disaggregating exposures to the underlying counterparties of </w:t>
      </w:r>
      <w:r w:rsidR="00985ADC" w:rsidRPr="00730D89">
        <w:rPr>
          <w:rFonts w:ascii="Times New Roman" w:hAnsi="Times New Roman" w:cs="Times New Roman"/>
          <w:b w:val="0"/>
          <w:sz w:val="24"/>
          <w:szCs w:val="24"/>
        </w:rPr>
        <w:t xml:space="preserve">structured vehicles, submissions noted that </w:t>
      </w:r>
      <w:r w:rsidRPr="00730D89">
        <w:rPr>
          <w:rFonts w:ascii="Times New Roman" w:hAnsi="Times New Roman" w:cs="Times New Roman"/>
          <w:b w:val="0"/>
          <w:sz w:val="24"/>
          <w:szCs w:val="24"/>
        </w:rPr>
        <w:t>the cost and time required to implement systems to meet these requirements would be substantial</w:t>
      </w:r>
      <w:r w:rsidR="00985ADC" w:rsidRPr="00730D89">
        <w:rPr>
          <w:rFonts w:ascii="Times New Roman" w:hAnsi="Times New Roman" w:cs="Times New Roman"/>
          <w:b w:val="0"/>
          <w:sz w:val="24"/>
          <w:szCs w:val="24"/>
        </w:rPr>
        <w:t xml:space="preserve"> and ADIs would require a longer transition period. M</w:t>
      </w:r>
      <w:r w:rsidRPr="00730D89">
        <w:rPr>
          <w:rFonts w:ascii="Times New Roman" w:hAnsi="Times New Roman" w:cs="Times New Roman"/>
          <w:b w:val="0"/>
          <w:sz w:val="24"/>
          <w:szCs w:val="24"/>
        </w:rPr>
        <w:t>odifications to the requirements</w:t>
      </w:r>
      <w:r w:rsidR="00985ADC" w:rsidRPr="00730D89">
        <w:rPr>
          <w:rFonts w:ascii="Times New Roman" w:hAnsi="Times New Roman" w:cs="Times New Roman"/>
          <w:b w:val="0"/>
          <w:sz w:val="24"/>
          <w:szCs w:val="24"/>
        </w:rPr>
        <w:t xml:space="preserve"> were proposed</w:t>
      </w:r>
      <w:r w:rsidR="001966AD" w:rsidRPr="00730D89">
        <w:rPr>
          <w:rFonts w:ascii="Times New Roman" w:hAnsi="Times New Roman" w:cs="Times New Roman"/>
          <w:b w:val="0"/>
          <w:sz w:val="24"/>
          <w:szCs w:val="24"/>
        </w:rPr>
        <w:t xml:space="preserve"> by </w:t>
      </w:r>
      <w:r w:rsidR="001966AD" w:rsidRPr="00730D89">
        <w:rPr>
          <w:rFonts w:ascii="Times New Roman" w:hAnsi="Times New Roman" w:cs="Times New Roman"/>
          <w:b w:val="0"/>
          <w:sz w:val="24"/>
          <w:szCs w:val="24"/>
        </w:rPr>
        <w:lastRenderedPageBreak/>
        <w:t>industry</w:t>
      </w:r>
      <w:r w:rsidR="00985ADC" w:rsidRPr="00730D89">
        <w:rPr>
          <w:rFonts w:ascii="Times New Roman" w:hAnsi="Times New Roman" w:cs="Times New Roman"/>
          <w:b w:val="0"/>
          <w:sz w:val="24"/>
          <w:szCs w:val="24"/>
        </w:rPr>
        <w:t xml:space="preserve"> to </w:t>
      </w:r>
      <w:r w:rsidR="001966AD" w:rsidRPr="00730D89">
        <w:rPr>
          <w:rFonts w:ascii="Times New Roman" w:hAnsi="Times New Roman" w:cs="Times New Roman"/>
          <w:b w:val="0"/>
          <w:sz w:val="24"/>
          <w:szCs w:val="24"/>
        </w:rPr>
        <w:t xml:space="preserve">maintain the need for efficiency whilst balancing </w:t>
      </w:r>
      <w:r w:rsidR="00CA0373">
        <w:rPr>
          <w:rFonts w:ascii="Times New Roman" w:hAnsi="Times New Roman" w:cs="Times New Roman"/>
          <w:b w:val="0"/>
          <w:sz w:val="24"/>
          <w:szCs w:val="24"/>
        </w:rPr>
        <w:t xml:space="preserve">concerns regarding </w:t>
      </w:r>
      <w:r w:rsidR="001966AD" w:rsidRPr="00730D89">
        <w:rPr>
          <w:rFonts w:ascii="Times New Roman" w:hAnsi="Times New Roman" w:cs="Times New Roman"/>
          <w:b w:val="0"/>
          <w:sz w:val="24"/>
          <w:szCs w:val="24"/>
        </w:rPr>
        <w:t xml:space="preserve">financial safety and </w:t>
      </w:r>
      <w:r w:rsidR="007E03B8">
        <w:rPr>
          <w:rFonts w:ascii="Times New Roman" w:hAnsi="Times New Roman" w:cs="Times New Roman"/>
          <w:b w:val="0"/>
          <w:sz w:val="24"/>
          <w:szCs w:val="24"/>
        </w:rPr>
        <w:t xml:space="preserve">financial system </w:t>
      </w:r>
      <w:r w:rsidR="006A6275">
        <w:rPr>
          <w:rFonts w:ascii="Times New Roman" w:hAnsi="Times New Roman" w:cs="Times New Roman"/>
          <w:b w:val="0"/>
          <w:sz w:val="24"/>
          <w:szCs w:val="24"/>
        </w:rPr>
        <w:t>stability.</w:t>
      </w:r>
    </w:p>
    <w:p w14:paraId="295AC88C" w14:textId="0E837CB5" w:rsidR="0096476F" w:rsidRPr="00730D89" w:rsidRDefault="0096476F" w:rsidP="002A4C63">
      <w:pPr>
        <w:pStyle w:val="Heading"/>
        <w:rPr>
          <w:rFonts w:ascii="Times New Roman" w:hAnsi="Times New Roman" w:cs="Times New Roman"/>
          <w:b w:val="0"/>
          <w:sz w:val="24"/>
          <w:szCs w:val="24"/>
        </w:rPr>
      </w:pPr>
      <w:r w:rsidRPr="00730D89">
        <w:rPr>
          <w:rFonts w:ascii="Times New Roman" w:hAnsi="Times New Roman" w:cs="Times New Roman"/>
          <w:b w:val="0"/>
          <w:sz w:val="24"/>
          <w:szCs w:val="24"/>
        </w:rPr>
        <w:t>In December 2017, APRA released its response to submissions paper clarifying and outlining changes to its proposals in a number of areas following consideration of the issues raised in submissions.</w:t>
      </w:r>
      <w:r w:rsidR="001966AD" w:rsidRPr="00730D89">
        <w:rPr>
          <w:rStyle w:val="FootnoteReference"/>
          <w:rFonts w:ascii="Times New Roman" w:hAnsi="Times New Roman" w:cs="Times New Roman"/>
          <w:b w:val="0"/>
          <w:szCs w:val="24"/>
        </w:rPr>
        <w:footnoteReference w:id="4"/>
      </w:r>
      <w:r w:rsidRPr="00730D89">
        <w:rPr>
          <w:rFonts w:ascii="Times New Roman" w:hAnsi="Times New Roman" w:cs="Times New Roman"/>
          <w:b w:val="0"/>
          <w:sz w:val="24"/>
          <w:szCs w:val="24"/>
        </w:rPr>
        <w:t xml:space="preserve"> The new version of APS 221 incorporates policy changes made following </w:t>
      </w:r>
      <w:r w:rsidR="00772FE9" w:rsidRPr="00730D89">
        <w:rPr>
          <w:rFonts w:ascii="Times New Roman" w:hAnsi="Times New Roman" w:cs="Times New Roman"/>
          <w:b w:val="0"/>
          <w:sz w:val="24"/>
          <w:szCs w:val="24"/>
        </w:rPr>
        <w:t>consideration of issues raised</w:t>
      </w:r>
      <w:r w:rsidR="001966AD" w:rsidRPr="00730D89">
        <w:rPr>
          <w:rFonts w:ascii="Times New Roman" w:hAnsi="Times New Roman" w:cs="Times New Roman"/>
          <w:b w:val="0"/>
          <w:sz w:val="24"/>
          <w:szCs w:val="24"/>
        </w:rPr>
        <w:t xml:space="preserve"> and provides industry with a longer transition period on more material enhancements to the large exposures framework</w:t>
      </w:r>
      <w:r w:rsidR="006A6275">
        <w:rPr>
          <w:rFonts w:ascii="Times New Roman" w:hAnsi="Times New Roman" w:cs="Times New Roman"/>
          <w:b w:val="0"/>
          <w:sz w:val="24"/>
          <w:szCs w:val="24"/>
        </w:rPr>
        <w:t xml:space="preserve">. </w:t>
      </w:r>
      <w:r w:rsidR="006D1D9A">
        <w:rPr>
          <w:rFonts w:ascii="Times New Roman" w:hAnsi="Times New Roman" w:cs="Times New Roman"/>
          <w:b w:val="0"/>
          <w:sz w:val="24"/>
          <w:szCs w:val="24"/>
        </w:rPr>
        <w:t xml:space="preserve">Following the release of the December 2017 version, </w:t>
      </w:r>
      <w:r w:rsidR="006A6275">
        <w:rPr>
          <w:rFonts w:ascii="Times New Roman" w:hAnsi="Times New Roman" w:cs="Times New Roman"/>
          <w:b w:val="0"/>
          <w:sz w:val="24"/>
          <w:szCs w:val="24"/>
        </w:rPr>
        <w:t xml:space="preserve">some </w:t>
      </w:r>
      <w:r w:rsidR="000B1D0D">
        <w:rPr>
          <w:rFonts w:ascii="Times New Roman" w:hAnsi="Times New Roman" w:cs="Times New Roman"/>
          <w:b w:val="0"/>
          <w:sz w:val="24"/>
          <w:szCs w:val="24"/>
        </w:rPr>
        <w:t>further changes were</w:t>
      </w:r>
      <w:r w:rsidR="006D1D9A">
        <w:rPr>
          <w:rFonts w:ascii="Times New Roman" w:hAnsi="Times New Roman" w:cs="Times New Roman"/>
          <w:b w:val="0"/>
          <w:sz w:val="24"/>
          <w:szCs w:val="24"/>
        </w:rPr>
        <w:t xml:space="preserve"> made to requirements on the measurement of large exposures </w:t>
      </w:r>
      <w:r w:rsidR="001A70C0">
        <w:rPr>
          <w:rFonts w:ascii="Times New Roman" w:hAnsi="Times New Roman" w:cs="Times New Roman"/>
          <w:b w:val="0"/>
          <w:sz w:val="24"/>
          <w:szCs w:val="24"/>
        </w:rPr>
        <w:t>in response to</w:t>
      </w:r>
      <w:r w:rsidR="006D1D9A">
        <w:rPr>
          <w:rFonts w:ascii="Times New Roman" w:hAnsi="Times New Roman" w:cs="Times New Roman"/>
          <w:b w:val="0"/>
          <w:sz w:val="24"/>
          <w:szCs w:val="24"/>
        </w:rPr>
        <w:t xml:space="preserve"> suggestions provided by industry bodies during the development of frequently asked questions.   </w:t>
      </w:r>
    </w:p>
    <w:p w14:paraId="15441CB2" w14:textId="05E094C9" w:rsidR="0096476F" w:rsidRDefault="00772FE9" w:rsidP="00772FE9">
      <w:pPr>
        <w:pStyle w:val="Heading"/>
        <w:numPr>
          <w:ilvl w:val="0"/>
          <w:numId w:val="28"/>
        </w:numPr>
        <w:rPr>
          <w:rFonts w:ascii="Times New Roman" w:hAnsi="Times New Roman" w:cs="Times New Roman"/>
          <w:sz w:val="24"/>
          <w:szCs w:val="24"/>
        </w:rPr>
      </w:pPr>
      <w:r w:rsidRPr="00730D89">
        <w:rPr>
          <w:rFonts w:ascii="Times New Roman" w:hAnsi="Times New Roman" w:cs="Times New Roman"/>
          <w:sz w:val="24"/>
          <w:szCs w:val="24"/>
        </w:rPr>
        <w:t>Regulation Impact Statement</w:t>
      </w:r>
    </w:p>
    <w:p w14:paraId="3D89F410" w14:textId="77777777" w:rsidR="00BE21A6" w:rsidRPr="00D204CC" w:rsidRDefault="00BE21A6" w:rsidP="00BE21A6">
      <w:pPr>
        <w:pStyle w:val="Heading"/>
        <w:rPr>
          <w:rFonts w:ascii="Times New Roman" w:hAnsi="Times New Roman" w:cs="Times New Roman"/>
          <w:b w:val="0"/>
          <w:sz w:val="24"/>
          <w:szCs w:val="24"/>
        </w:rPr>
      </w:pPr>
      <w:r w:rsidRPr="00D204CC">
        <w:rPr>
          <w:rFonts w:ascii="Times New Roman" w:hAnsi="Times New Roman" w:cs="Times New Roman"/>
          <w:b w:val="0"/>
          <w:sz w:val="24"/>
          <w:szCs w:val="24"/>
        </w:rPr>
        <w:t xml:space="preserve">APRA undertook an independent review of revisions to the </w:t>
      </w:r>
      <w:r>
        <w:rPr>
          <w:rFonts w:ascii="Times New Roman" w:hAnsi="Times New Roman" w:cs="Times New Roman"/>
          <w:b w:val="0"/>
          <w:sz w:val="24"/>
          <w:szCs w:val="24"/>
        </w:rPr>
        <w:t>large exposures</w:t>
      </w:r>
      <w:r w:rsidRPr="00D204CC">
        <w:rPr>
          <w:rFonts w:ascii="Times New Roman" w:hAnsi="Times New Roman" w:cs="Times New Roman"/>
          <w:b w:val="0"/>
          <w:sz w:val="24"/>
          <w:szCs w:val="24"/>
        </w:rPr>
        <w:t xml:space="preserve"> framework and have followed a process and analysis equivalent to a Regulatory Impact Statement (RIS). Regulatory costs associated with the revisions to the securitisation framework have been agreed with the Office of Best Practice Regulation.</w:t>
      </w:r>
    </w:p>
    <w:p w14:paraId="2743D693" w14:textId="77777777" w:rsidR="00BE21A6" w:rsidRDefault="00BE21A6" w:rsidP="00BE21A6">
      <w:pPr>
        <w:pStyle w:val="Heading"/>
        <w:rPr>
          <w:rFonts w:ascii="Times New Roman" w:hAnsi="Times New Roman" w:cs="Times New Roman"/>
          <w:b w:val="0"/>
          <w:sz w:val="24"/>
          <w:szCs w:val="24"/>
        </w:rPr>
      </w:pPr>
      <w:r w:rsidRPr="00D204CC">
        <w:rPr>
          <w:rFonts w:ascii="Times New Roman" w:hAnsi="Times New Roman" w:cs="Times New Roman"/>
          <w:b w:val="0"/>
          <w:sz w:val="24"/>
          <w:szCs w:val="24"/>
        </w:rPr>
        <w:t>The document evidencing the independent review has been lodged as supporting material.</w:t>
      </w:r>
      <w:bookmarkEnd w:id="11"/>
    </w:p>
    <w:p w14:paraId="0A1F5100" w14:textId="708B9E57" w:rsidR="00D22D14" w:rsidRPr="00BE21A6" w:rsidRDefault="00772FE9" w:rsidP="00BE21A6">
      <w:pPr>
        <w:pStyle w:val="Heading"/>
        <w:numPr>
          <w:ilvl w:val="0"/>
          <w:numId w:val="28"/>
        </w:numPr>
        <w:rPr>
          <w:rFonts w:ascii="Times New Roman" w:hAnsi="Times New Roman" w:cs="Times New Roman"/>
          <w:sz w:val="24"/>
          <w:szCs w:val="24"/>
        </w:rPr>
      </w:pPr>
      <w:r w:rsidRPr="00BE21A6">
        <w:rPr>
          <w:rFonts w:ascii="Times New Roman" w:hAnsi="Times New Roman" w:cs="Times New Roman"/>
          <w:sz w:val="24"/>
          <w:szCs w:val="24"/>
        </w:rPr>
        <w:t>Statement of compatibility prepared in accordance with Part 3 of the Human Rights (Parliamentary Scrutiny) Act 2011</w:t>
      </w:r>
    </w:p>
    <w:p w14:paraId="6E732305" w14:textId="3CA43490" w:rsidR="00D22D14" w:rsidRPr="00730D89" w:rsidRDefault="00772FE9" w:rsidP="00772FE9">
      <w:pPr>
        <w:pStyle w:val="Heading"/>
        <w:tabs>
          <w:tab w:val="center" w:pos="4513"/>
        </w:tabs>
        <w:rPr>
          <w:rFonts w:ascii="Times New Roman" w:hAnsi="Times New Roman" w:cs="Times New Roman"/>
          <w:b w:val="0"/>
          <w:sz w:val="24"/>
          <w:szCs w:val="24"/>
        </w:rPr>
      </w:pPr>
      <w:r w:rsidRPr="00730D89">
        <w:rPr>
          <w:rFonts w:ascii="Times New Roman" w:hAnsi="Times New Roman" w:cs="Times New Roman"/>
          <w:b w:val="0"/>
          <w:sz w:val="24"/>
          <w:szCs w:val="24"/>
        </w:rPr>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r w:rsidRPr="00730D89">
        <w:rPr>
          <w:rFonts w:ascii="Times New Roman" w:hAnsi="Times New Roman" w:cs="Times New Roman"/>
          <w:b w:val="0"/>
          <w:sz w:val="24"/>
          <w:szCs w:val="24"/>
        </w:rPr>
        <w:tab/>
      </w:r>
    </w:p>
    <w:p w14:paraId="52137598" w14:textId="77777777" w:rsidR="00DD7321" w:rsidRPr="00730D89" w:rsidRDefault="00DD7321">
      <w:pPr>
        <w:spacing w:after="0"/>
        <w:jc w:val="left"/>
        <w:rPr>
          <w:rFonts w:ascii="Times New Roman" w:hAnsi="Times New Roman"/>
          <w:b/>
          <w:sz w:val="32"/>
        </w:rPr>
      </w:pPr>
      <w:r w:rsidRPr="00730D89">
        <w:rPr>
          <w:rFonts w:ascii="Times New Roman" w:hAnsi="Times New Roman"/>
        </w:rPr>
        <w:br w:type="page"/>
      </w:r>
    </w:p>
    <w:p w14:paraId="4F932EF2" w14:textId="7FFCDF00" w:rsidR="00D22D14" w:rsidRPr="00730D89" w:rsidRDefault="009D02CF" w:rsidP="009D02CF">
      <w:pPr>
        <w:pStyle w:val="Heading1"/>
        <w:jc w:val="left"/>
        <w:rPr>
          <w:rFonts w:ascii="Times New Roman" w:hAnsi="Times New Roman" w:cs="Times New Roman"/>
          <w:b w:val="0"/>
          <w:sz w:val="24"/>
          <w:u w:val="single"/>
        </w:rPr>
      </w:pPr>
      <w:r w:rsidRPr="00730D89">
        <w:rPr>
          <w:rFonts w:ascii="Times New Roman" w:hAnsi="Times New Roman" w:cs="Times New Roman"/>
          <w:b w:val="0"/>
          <w:sz w:val="24"/>
          <w:u w:val="single"/>
        </w:rPr>
        <w:t>ATTACHMENT A</w:t>
      </w:r>
    </w:p>
    <w:p w14:paraId="69E2B9C9" w14:textId="77777777" w:rsidR="009D02CF" w:rsidRPr="00730D89" w:rsidRDefault="009D02CF" w:rsidP="009D02CF">
      <w:pPr>
        <w:shd w:val="clear" w:color="auto" w:fill="FFFFFF"/>
        <w:spacing w:before="100" w:beforeAutospacing="1"/>
        <w:jc w:val="center"/>
        <w:rPr>
          <w:rFonts w:ascii="Times New Roman" w:hAnsi="Times New Roman"/>
          <w:szCs w:val="22"/>
          <w:lang w:val="en-US"/>
        </w:rPr>
      </w:pPr>
      <w:r w:rsidRPr="00730D89">
        <w:rPr>
          <w:rFonts w:ascii="Times New Roman" w:hAnsi="Times New Roman"/>
          <w:b/>
          <w:bCs/>
          <w:szCs w:val="22"/>
        </w:rPr>
        <w:t>Statement of Compatibility with Human Rights</w:t>
      </w:r>
    </w:p>
    <w:p w14:paraId="39FE39B3" w14:textId="77777777" w:rsidR="009D02CF" w:rsidRPr="00730D89" w:rsidRDefault="009D02CF" w:rsidP="009D02CF">
      <w:pPr>
        <w:shd w:val="clear" w:color="auto" w:fill="FFFFFF"/>
        <w:spacing w:before="100" w:beforeAutospacing="1"/>
        <w:jc w:val="center"/>
        <w:rPr>
          <w:rFonts w:ascii="Times New Roman" w:hAnsi="Times New Roman"/>
          <w:szCs w:val="22"/>
          <w:lang w:val="en-US"/>
        </w:rPr>
      </w:pPr>
      <w:r w:rsidRPr="00730D89">
        <w:rPr>
          <w:rFonts w:ascii="Times New Roman" w:hAnsi="Times New Roman"/>
          <w:szCs w:val="22"/>
        </w:rPr>
        <w:t xml:space="preserve">Prepared in accordance with Part 3 of the </w:t>
      </w:r>
      <w:r w:rsidRPr="00730D89">
        <w:rPr>
          <w:rFonts w:ascii="Times New Roman" w:hAnsi="Times New Roman"/>
          <w:i/>
          <w:iCs/>
          <w:szCs w:val="22"/>
        </w:rPr>
        <w:t>Human Rights (Parliamentary Scrutiny) Act 2011</w:t>
      </w:r>
    </w:p>
    <w:p w14:paraId="68F84E28" w14:textId="27CFDC11" w:rsidR="009D02CF" w:rsidRPr="00730D89" w:rsidRDefault="009D02CF" w:rsidP="009D02CF">
      <w:pPr>
        <w:shd w:val="clear" w:color="auto" w:fill="FFFFFF"/>
        <w:spacing w:before="100" w:beforeAutospacing="1"/>
        <w:jc w:val="center"/>
        <w:rPr>
          <w:rFonts w:ascii="Times New Roman" w:hAnsi="Times New Roman"/>
          <w:szCs w:val="22"/>
          <w:lang w:val="en-US"/>
        </w:rPr>
      </w:pPr>
      <w:r w:rsidRPr="007F0344">
        <w:rPr>
          <w:rFonts w:ascii="Times New Roman" w:hAnsi="Times New Roman"/>
          <w:b/>
          <w:bCs/>
          <w:szCs w:val="22"/>
        </w:rPr>
        <w:t>Banking (prudenti</w:t>
      </w:r>
      <w:r w:rsidR="008F4817" w:rsidRPr="007F0344">
        <w:rPr>
          <w:rFonts w:ascii="Times New Roman" w:hAnsi="Times New Roman"/>
          <w:b/>
          <w:bCs/>
          <w:szCs w:val="22"/>
        </w:rPr>
        <w:t xml:space="preserve">al standard) determination </w:t>
      </w:r>
      <w:r w:rsidR="007F0344" w:rsidRPr="007F0344">
        <w:rPr>
          <w:rFonts w:ascii="Times New Roman" w:hAnsi="Times New Roman"/>
          <w:b/>
          <w:bCs/>
          <w:szCs w:val="22"/>
        </w:rPr>
        <w:t>No. 4</w:t>
      </w:r>
      <w:r w:rsidR="008F4817" w:rsidRPr="007F0344">
        <w:rPr>
          <w:rFonts w:ascii="Times New Roman" w:hAnsi="Times New Roman"/>
          <w:b/>
          <w:bCs/>
          <w:szCs w:val="22"/>
        </w:rPr>
        <w:t xml:space="preserve"> of 2018</w:t>
      </w:r>
    </w:p>
    <w:p w14:paraId="18DB5556" w14:textId="77777777" w:rsidR="009D02CF" w:rsidRPr="00730D89" w:rsidRDefault="009D02CF" w:rsidP="009D02CF">
      <w:pPr>
        <w:shd w:val="clear" w:color="auto" w:fill="FFFFFF"/>
        <w:spacing w:before="100" w:beforeAutospacing="1"/>
        <w:rPr>
          <w:rFonts w:ascii="Times New Roman" w:hAnsi="Times New Roman"/>
          <w:szCs w:val="22"/>
          <w:lang w:val="en-US"/>
        </w:rPr>
      </w:pPr>
      <w:r w:rsidRPr="00730D89">
        <w:rPr>
          <w:rFonts w:ascii="Times New Roman" w:hAnsi="Times New Roman"/>
          <w:szCs w:val="22"/>
        </w:rPr>
        <w:t xml:space="preserve">The legislative instrument is compatible with the human rights and freedoms recognised or declared in the international instrument listed in section 3 of the </w:t>
      </w:r>
      <w:r w:rsidRPr="00730D89">
        <w:rPr>
          <w:rFonts w:ascii="Times New Roman" w:hAnsi="Times New Roman"/>
          <w:i/>
          <w:iCs/>
          <w:szCs w:val="22"/>
        </w:rPr>
        <w:t>Human Rights (Parliamentary Scrutiny) Act 2011</w:t>
      </w:r>
      <w:r w:rsidRPr="00730D89">
        <w:rPr>
          <w:rFonts w:ascii="Times New Roman" w:hAnsi="Times New Roman"/>
          <w:szCs w:val="22"/>
        </w:rPr>
        <w:t xml:space="preserve"> (HRPS Act).</w:t>
      </w:r>
    </w:p>
    <w:p w14:paraId="316580EF" w14:textId="77777777" w:rsidR="009D02CF" w:rsidRPr="00730D89" w:rsidRDefault="009D02CF" w:rsidP="009D02CF">
      <w:pPr>
        <w:shd w:val="clear" w:color="auto" w:fill="FFFFFF"/>
        <w:spacing w:before="100" w:beforeAutospacing="1"/>
        <w:rPr>
          <w:rFonts w:ascii="Times New Roman" w:hAnsi="Times New Roman"/>
          <w:szCs w:val="22"/>
          <w:lang w:val="en-US"/>
        </w:rPr>
      </w:pPr>
      <w:r w:rsidRPr="00730D89">
        <w:rPr>
          <w:rFonts w:ascii="Times New Roman" w:hAnsi="Times New Roman"/>
          <w:b/>
          <w:bCs/>
          <w:szCs w:val="22"/>
        </w:rPr>
        <w:t>Overview of the Legislative Instrument</w:t>
      </w:r>
    </w:p>
    <w:p w14:paraId="5C7CD4E0" w14:textId="21F62407" w:rsidR="00DD7321" w:rsidRPr="00730D89" w:rsidRDefault="009D02CF" w:rsidP="00DD7321">
      <w:pPr>
        <w:rPr>
          <w:rFonts w:ascii="Times New Roman" w:hAnsi="Times New Roman"/>
          <w:szCs w:val="22"/>
        </w:rPr>
      </w:pPr>
      <w:r w:rsidRPr="00730D89">
        <w:rPr>
          <w:rFonts w:ascii="Times New Roman" w:hAnsi="Times New Roman"/>
          <w:szCs w:val="22"/>
        </w:rPr>
        <w:t xml:space="preserve">The purpose of the instrument is to revoke </w:t>
      </w:r>
      <w:r w:rsidRPr="00730D89">
        <w:rPr>
          <w:rFonts w:ascii="Times New Roman" w:hAnsi="Times New Roman"/>
          <w:i/>
          <w:szCs w:val="22"/>
        </w:rPr>
        <w:t xml:space="preserve">Prudential Standard APS 221 Large Exposures </w:t>
      </w:r>
      <w:r w:rsidR="00C61132" w:rsidRPr="00730D89">
        <w:rPr>
          <w:rFonts w:ascii="Times New Roman" w:hAnsi="Times New Roman"/>
          <w:szCs w:val="22"/>
        </w:rPr>
        <w:t>determined by APRA in 201</w:t>
      </w:r>
      <w:r w:rsidR="00C675CA">
        <w:rPr>
          <w:rFonts w:ascii="Times New Roman" w:hAnsi="Times New Roman"/>
          <w:szCs w:val="22"/>
        </w:rPr>
        <w:t>4</w:t>
      </w:r>
      <w:r w:rsidRPr="00730D89">
        <w:rPr>
          <w:rFonts w:ascii="Times New Roman" w:hAnsi="Times New Roman"/>
          <w:szCs w:val="22"/>
        </w:rPr>
        <w:t xml:space="preserve"> and replace it with a new </w:t>
      </w:r>
      <w:r w:rsidRPr="00730D89">
        <w:rPr>
          <w:rFonts w:ascii="Times New Roman" w:hAnsi="Times New Roman"/>
          <w:i/>
          <w:szCs w:val="22"/>
        </w:rPr>
        <w:t>Prudential Standard APS 221 Large Exposures</w:t>
      </w:r>
      <w:r w:rsidRPr="00730D89">
        <w:rPr>
          <w:rFonts w:ascii="Times New Roman" w:hAnsi="Times New Roman"/>
          <w:szCs w:val="22"/>
        </w:rPr>
        <w:t>.</w:t>
      </w:r>
    </w:p>
    <w:p w14:paraId="05924D40" w14:textId="49272C7E" w:rsidR="009D02CF" w:rsidRPr="00730D89" w:rsidRDefault="009D02CF" w:rsidP="00DD7321">
      <w:pPr>
        <w:rPr>
          <w:rFonts w:ascii="Times New Roman" w:hAnsi="Times New Roman"/>
          <w:szCs w:val="22"/>
        </w:rPr>
      </w:pPr>
      <w:r w:rsidRPr="00730D89">
        <w:rPr>
          <w:rFonts w:ascii="Times New Roman" w:hAnsi="Times New Roman"/>
          <w:szCs w:val="22"/>
        </w:rPr>
        <w:t xml:space="preserve">APS 221 sets out </w:t>
      </w:r>
      <w:r w:rsidR="00C61132" w:rsidRPr="00730D89">
        <w:rPr>
          <w:rFonts w:ascii="Times New Roman" w:hAnsi="Times New Roman"/>
          <w:szCs w:val="22"/>
        </w:rPr>
        <w:t xml:space="preserve">requirements for </w:t>
      </w:r>
      <w:r w:rsidR="008242F3" w:rsidRPr="00730D89">
        <w:rPr>
          <w:rFonts w:ascii="Times New Roman" w:hAnsi="Times New Roman"/>
          <w:szCs w:val="22"/>
        </w:rPr>
        <w:t>authorised deposit-taking institutions (ADIs)</w:t>
      </w:r>
      <w:r w:rsidR="00C61132" w:rsidRPr="00730D89">
        <w:rPr>
          <w:rFonts w:ascii="Times New Roman" w:hAnsi="Times New Roman"/>
          <w:szCs w:val="22"/>
        </w:rPr>
        <w:t xml:space="preserve"> to implement prudent measures </w:t>
      </w:r>
      <w:r w:rsidR="008F4817" w:rsidRPr="00730D89">
        <w:rPr>
          <w:rFonts w:ascii="Times New Roman" w:hAnsi="Times New Roman"/>
          <w:szCs w:val="22"/>
        </w:rPr>
        <w:t>to monitor and control their large exposures and risk concentrations, and to set prudent limits on their exposures to counterparties</w:t>
      </w:r>
      <w:r w:rsidR="00C61132" w:rsidRPr="00730D89">
        <w:rPr>
          <w:rFonts w:ascii="Times New Roman" w:hAnsi="Times New Roman"/>
          <w:szCs w:val="22"/>
        </w:rPr>
        <w:t>.</w:t>
      </w:r>
      <w:r w:rsidRPr="00730D89">
        <w:rPr>
          <w:rFonts w:ascii="Times New Roman" w:hAnsi="Times New Roman"/>
          <w:szCs w:val="22"/>
        </w:rPr>
        <w:t xml:space="preserve"> ADIs are body corporates that have been granted the authority, under the </w:t>
      </w:r>
      <w:r w:rsidRPr="00730D89">
        <w:rPr>
          <w:rFonts w:ascii="Times New Roman" w:hAnsi="Times New Roman"/>
          <w:i/>
          <w:szCs w:val="22"/>
        </w:rPr>
        <w:t>Banking Act 1959</w:t>
      </w:r>
      <w:r w:rsidRPr="00730D89">
        <w:rPr>
          <w:rFonts w:ascii="Times New Roman" w:hAnsi="Times New Roman"/>
          <w:szCs w:val="22"/>
        </w:rPr>
        <w:t>, to carry on banking business in Australia.</w:t>
      </w:r>
    </w:p>
    <w:p w14:paraId="79D99BF8" w14:textId="4B2C0BC6" w:rsidR="00C74336" w:rsidRPr="00730D89" w:rsidRDefault="009D02CF" w:rsidP="008242F3">
      <w:pPr>
        <w:rPr>
          <w:rFonts w:ascii="Times New Roman" w:hAnsi="Times New Roman"/>
          <w:szCs w:val="22"/>
          <w:highlight w:val="yellow"/>
        </w:rPr>
      </w:pPr>
      <w:r w:rsidRPr="00730D89">
        <w:rPr>
          <w:rFonts w:ascii="Times New Roman" w:hAnsi="Times New Roman"/>
          <w:szCs w:val="22"/>
        </w:rPr>
        <w:t xml:space="preserve">The new APS 221 introduces </w:t>
      </w:r>
      <w:r w:rsidR="008242F3" w:rsidRPr="00730D89">
        <w:rPr>
          <w:rFonts w:ascii="Times New Roman" w:hAnsi="Times New Roman"/>
          <w:szCs w:val="22"/>
        </w:rPr>
        <w:t>more conservative</w:t>
      </w:r>
      <w:r w:rsidR="00C74336" w:rsidRPr="00730D89">
        <w:rPr>
          <w:rFonts w:ascii="Times New Roman" w:hAnsi="Times New Roman"/>
          <w:szCs w:val="22"/>
        </w:rPr>
        <w:t xml:space="preserve"> prudential limits on exposures </w:t>
      </w:r>
      <w:r w:rsidR="008242F3" w:rsidRPr="00730D89">
        <w:rPr>
          <w:rFonts w:ascii="Times New Roman" w:hAnsi="Times New Roman"/>
          <w:szCs w:val="22"/>
        </w:rPr>
        <w:t xml:space="preserve">to counterparties and </w:t>
      </w:r>
      <w:r w:rsidR="00C74336" w:rsidRPr="00730D89">
        <w:rPr>
          <w:rFonts w:ascii="Times New Roman" w:hAnsi="Times New Roman"/>
          <w:szCs w:val="22"/>
        </w:rPr>
        <w:t xml:space="preserve">stronger requirements for measuring </w:t>
      </w:r>
      <w:r w:rsidR="008242F3" w:rsidRPr="00730D89">
        <w:rPr>
          <w:rFonts w:ascii="Times New Roman" w:hAnsi="Times New Roman"/>
          <w:szCs w:val="22"/>
        </w:rPr>
        <w:t>and aggregating exposures</w:t>
      </w:r>
      <w:r w:rsidR="00C74336" w:rsidRPr="00730D89">
        <w:rPr>
          <w:rFonts w:ascii="Times New Roman" w:hAnsi="Times New Roman"/>
          <w:szCs w:val="22"/>
        </w:rPr>
        <w:t>.</w:t>
      </w:r>
      <w:r w:rsidRPr="00730D89">
        <w:rPr>
          <w:rFonts w:ascii="Times New Roman" w:hAnsi="Times New Roman"/>
          <w:szCs w:val="22"/>
        </w:rPr>
        <w:t xml:space="preserve"> </w:t>
      </w:r>
      <w:r w:rsidR="00767508" w:rsidRPr="00730D89">
        <w:rPr>
          <w:rFonts w:ascii="Times New Roman" w:hAnsi="Times New Roman"/>
          <w:szCs w:val="22"/>
        </w:rPr>
        <w:t>Lower prudential limits are intended to limit large losses</w:t>
      </w:r>
      <w:r w:rsidR="00730D89" w:rsidRPr="00730D89">
        <w:rPr>
          <w:rFonts w:ascii="Times New Roman" w:hAnsi="Times New Roman"/>
          <w:szCs w:val="22"/>
        </w:rPr>
        <w:t xml:space="preserve"> to the ADI</w:t>
      </w:r>
      <w:r w:rsidR="00767508" w:rsidRPr="00730D89">
        <w:rPr>
          <w:rFonts w:ascii="Times New Roman" w:hAnsi="Times New Roman"/>
          <w:szCs w:val="22"/>
        </w:rPr>
        <w:t xml:space="preserve"> when a counterparty defaults</w:t>
      </w:r>
      <w:r w:rsidR="00730D89" w:rsidRPr="00730D89">
        <w:rPr>
          <w:rFonts w:ascii="Times New Roman" w:hAnsi="Times New Roman"/>
          <w:szCs w:val="22"/>
        </w:rPr>
        <w:t>. S</w:t>
      </w:r>
      <w:r w:rsidR="00767508" w:rsidRPr="00730D89">
        <w:rPr>
          <w:rFonts w:ascii="Times New Roman" w:hAnsi="Times New Roman"/>
          <w:szCs w:val="22"/>
        </w:rPr>
        <w:t>tronger</w:t>
      </w:r>
      <w:r w:rsidR="00730D89" w:rsidRPr="00730D89">
        <w:rPr>
          <w:rFonts w:ascii="Times New Roman" w:hAnsi="Times New Roman"/>
          <w:szCs w:val="22"/>
        </w:rPr>
        <w:t xml:space="preserve"> requirements on</w:t>
      </w:r>
      <w:r w:rsidR="00767508" w:rsidRPr="00730D89">
        <w:rPr>
          <w:rFonts w:ascii="Times New Roman" w:hAnsi="Times New Roman"/>
          <w:szCs w:val="22"/>
        </w:rPr>
        <w:t xml:space="preserve"> </w:t>
      </w:r>
      <w:r w:rsidR="008242F3" w:rsidRPr="00730D89">
        <w:rPr>
          <w:rFonts w:ascii="Times New Roman" w:hAnsi="Times New Roman"/>
          <w:szCs w:val="22"/>
        </w:rPr>
        <w:t xml:space="preserve">exposure measurement and aggregation is intended to </w:t>
      </w:r>
      <w:r w:rsidR="00730D89" w:rsidRPr="00730D89">
        <w:rPr>
          <w:rFonts w:ascii="Times New Roman" w:hAnsi="Times New Roman"/>
          <w:szCs w:val="22"/>
        </w:rPr>
        <w:t>enhance the ability of ADIs to monitor and control systemic risks which they are exposed to. Broadly, the changes</w:t>
      </w:r>
      <w:r w:rsidR="008242F3" w:rsidRPr="00730D89">
        <w:rPr>
          <w:rFonts w:ascii="Times New Roman" w:hAnsi="Times New Roman"/>
          <w:szCs w:val="22"/>
        </w:rPr>
        <w:t xml:space="preserve"> </w:t>
      </w:r>
      <w:r w:rsidR="00E20265">
        <w:rPr>
          <w:rFonts w:ascii="Times New Roman" w:hAnsi="Times New Roman"/>
          <w:szCs w:val="22"/>
        </w:rPr>
        <w:t>are intended to enhance</w:t>
      </w:r>
      <w:r w:rsidR="008242F3" w:rsidRPr="00730D89">
        <w:rPr>
          <w:rFonts w:ascii="Times New Roman" w:hAnsi="Times New Roman"/>
          <w:szCs w:val="22"/>
        </w:rPr>
        <w:t xml:space="preserve"> financial </w:t>
      </w:r>
      <w:r w:rsidR="00C675CA">
        <w:rPr>
          <w:rFonts w:ascii="Times New Roman" w:hAnsi="Times New Roman"/>
          <w:szCs w:val="22"/>
        </w:rPr>
        <w:t xml:space="preserve">system </w:t>
      </w:r>
      <w:r w:rsidR="008242F3" w:rsidRPr="00730D89">
        <w:rPr>
          <w:rFonts w:ascii="Times New Roman" w:hAnsi="Times New Roman"/>
          <w:szCs w:val="22"/>
        </w:rPr>
        <w:t>stability and the financial safety of ADIs</w:t>
      </w:r>
      <w:r w:rsidR="00730D89" w:rsidRPr="00730D89">
        <w:rPr>
          <w:rFonts w:ascii="Times New Roman" w:hAnsi="Times New Roman"/>
          <w:szCs w:val="22"/>
        </w:rPr>
        <w:t xml:space="preserve"> </w:t>
      </w:r>
      <w:r w:rsidR="00E20265">
        <w:rPr>
          <w:rFonts w:ascii="Times New Roman" w:hAnsi="Times New Roman"/>
          <w:szCs w:val="22"/>
        </w:rPr>
        <w:t xml:space="preserve">to ensure they can meet their financial promises to depositors. </w:t>
      </w:r>
    </w:p>
    <w:p w14:paraId="666E26CD" w14:textId="628D56DD" w:rsidR="009D02CF" w:rsidRPr="00730D89" w:rsidRDefault="009D02CF" w:rsidP="00DD7321">
      <w:pPr>
        <w:rPr>
          <w:rFonts w:ascii="Times New Roman" w:hAnsi="Times New Roman"/>
          <w:szCs w:val="22"/>
        </w:rPr>
      </w:pPr>
      <w:r w:rsidRPr="00730D89">
        <w:rPr>
          <w:rFonts w:ascii="Times New Roman" w:hAnsi="Times New Roman"/>
          <w:szCs w:val="22"/>
        </w:rPr>
        <w:t>Further minor changes have</w:t>
      </w:r>
      <w:r w:rsidR="00767508" w:rsidRPr="00730D89">
        <w:rPr>
          <w:rFonts w:ascii="Times New Roman" w:hAnsi="Times New Roman"/>
          <w:szCs w:val="22"/>
        </w:rPr>
        <w:t xml:space="preserve"> also</w:t>
      </w:r>
      <w:r w:rsidR="008F4817" w:rsidRPr="00730D89">
        <w:rPr>
          <w:rFonts w:ascii="Times New Roman" w:hAnsi="Times New Roman"/>
          <w:szCs w:val="22"/>
        </w:rPr>
        <w:t xml:space="preserve"> been made in the new </w:t>
      </w:r>
      <w:r w:rsidR="00767508" w:rsidRPr="00730D89">
        <w:rPr>
          <w:rFonts w:ascii="Times New Roman" w:hAnsi="Times New Roman"/>
          <w:szCs w:val="22"/>
        </w:rPr>
        <w:t>APS 221 to</w:t>
      </w:r>
      <w:r w:rsidRPr="00730D89">
        <w:rPr>
          <w:rFonts w:ascii="Times New Roman" w:hAnsi="Times New Roman"/>
          <w:szCs w:val="22"/>
        </w:rPr>
        <w:t xml:space="preserve"> clarify wording</w:t>
      </w:r>
      <w:r w:rsidR="005A7E48" w:rsidRPr="00730D89">
        <w:rPr>
          <w:rFonts w:ascii="Times New Roman" w:hAnsi="Times New Roman"/>
          <w:szCs w:val="22"/>
        </w:rPr>
        <w:t xml:space="preserve">. </w:t>
      </w:r>
    </w:p>
    <w:p w14:paraId="2A7F8206" w14:textId="77777777" w:rsidR="005A7E48" w:rsidRPr="00730D89" w:rsidRDefault="005A7E48" w:rsidP="005A7E48">
      <w:pPr>
        <w:keepNext/>
        <w:shd w:val="clear" w:color="auto" w:fill="FFFFFF"/>
        <w:spacing w:before="100" w:beforeAutospacing="1"/>
        <w:rPr>
          <w:rFonts w:ascii="Times New Roman" w:hAnsi="Times New Roman"/>
          <w:szCs w:val="22"/>
          <w:lang w:val="en-US"/>
        </w:rPr>
      </w:pPr>
      <w:r w:rsidRPr="00730D89">
        <w:rPr>
          <w:rFonts w:ascii="Times New Roman" w:hAnsi="Times New Roman"/>
          <w:b/>
          <w:bCs/>
          <w:szCs w:val="22"/>
        </w:rPr>
        <w:t>Human rights implications</w:t>
      </w:r>
    </w:p>
    <w:p w14:paraId="78ABD7A0" w14:textId="1D5A9340" w:rsidR="005A7E48" w:rsidRPr="00730D89" w:rsidRDefault="005A7E48" w:rsidP="005A7E48">
      <w:pPr>
        <w:keepNext/>
        <w:shd w:val="clear" w:color="auto" w:fill="FFFFFF"/>
        <w:spacing w:before="100" w:beforeAutospacing="1"/>
        <w:rPr>
          <w:rFonts w:ascii="Times New Roman" w:hAnsi="Times New Roman"/>
          <w:szCs w:val="22"/>
        </w:rPr>
      </w:pPr>
      <w:r w:rsidRPr="00730D89">
        <w:rPr>
          <w:rFonts w:ascii="Times New Roman" w:hAnsi="Times New Roman"/>
          <w:szCs w:val="22"/>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55A62FB6" w14:textId="77777777" w:rsidR="005A7E48" w:rsidRPr="00730D89" w:rsidRDefault="005A7E48" w:rsidP="005A7E48">
      <w:pPr>
        <w:shd w:val="clear" w:color="auto" w:fill="FFFFFF"/>
        <w:spacing w:before="100" w:beforeAutospacing="1"/>
        <w:rPr>
          <w:rFonts w:ascii="Times New Roman" w:hAnsi="Times New Roman"/>
          <w:szCs w:val="22"/>
          <w:lang w:val="en-US"/>
        </w:rPr>
      </w:pPr>
      <w:r w:rsidRPr="00730D89">
        <w:rPr>
          <w:rFonts w:ascii="Times New Roman" w:hAnsi="Times New Roman"/>
          <w:b/>
          <w:bCs/>
          <w:szCs w:val="22"/>
        </w:rPr>
        <w:t>Conclusion</w:t>
      </w:r>
    </w:p>
    <w:p w14:paraId="63814A55" w14:textId="16B79291" w:rsidR="005A7E48" w:rsidRPr="00730D89" w:rsidRDefault="005A7E48" w:rsidP="005A7E48">
      <w:pPr>
        <w:shd w:val="clear" w:color="auto" w:fill="FFFFFF"/>
        <w:spacing w:before="100" w:beforeAutospacing="1"/>
        <w:jc w:val="left"/>
        <w:rPr>
          <w:rFonts w:ascii="Times New Roman" w:hAnsi="Times New Roman"/>
          <w:szCs w:val="22"/>
          <w:lang w:val="en-US"/>
        </w:rPr>
      </w:pPr>
      <w:r w:rsidRPr="00730D89">
        <w:rPr>
          <w:rFonts w:ascii="Times New Roman" w:hAnsi="Times New Roman"/>
          <w:szCs w:val="22"/>
        </w:rPr>
        <w:t xml:space="preserve">The instrument is compatible with human rights as it does not raise any human rights issues. </w:t>
      </w:r>
    </w:p>
    <w:p w14:paraId="712B1892" w14:textId="77777777" w:rsidR="005A7E48" w:rsidRPr="00730D89" w:rsidRDefault="005A7E48" w:rsidP="005A7E48">
      <w:pPr>
        <w:keepNext/>
        <w:shd w:val="clear" w:color="auto" w:fill="FFFFFF"/>
        <w:spacing w:before="100" w:beforeAutospacing="1"/>
        <w:rPr>
          <w:rFonts w:ascii="Times New Roman" w:hAnsi="Times New Roman"/>
          <w:szCs w:val="22"/>
          <w:lang w:val="en-US"/>
        </w:rPr>
      </w:pPr>
      <w:bookmarkStart w:id="12" w:name="_GoBack"/>
      <w:bookmarkEnd w:id="12"/>
    </w:p>
    <w:p w14:paraId="3BFF82D9" w14:textId="1B512266" w:rsidR="00DD7321" w:rsidRPr="00730D89" w:rsidRDefault="00DD7321" w:rsidP="00DD7321">
      <w:pPr>
        <w:rPr>
          <w:rFonts w:ascii="Times New Roman" w:hAnsi="Times New Roman"/>
          <w:sz w:val="24"/>
        </w:rPr>
      </w:pPr>
    </w:p>
    <w:sectPr w:rsidR="00DD7321" w:rsidRPr="00730D89"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CB36B" w14:textId="77777777" w:rsidR="001966AD" w:rsidRDefault="001966AD">
      <w:r>
        <w:separator/>
      </w:r>
    </w:p>
  </w:endnote>
  <w:endnote w:type="continuationSeparator" w:id="0">
    <w:p w14:paraId="6BC90238" w14:textId="77777777" w:rsidR="001966AD" w:rsidRDefault="0019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FBF0" w14:textId="77777777" w:rsidR="001966AD" w:rsidRDefault="001966AD"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0A79">
      <w:rPr>
        <w:rStyle w:val="PageNumber"/>
        <w:noProof/>
      </w:rPr>
      <w:t>2</w:t>
    </w:r>
    <w:r>
      <w:rPr>
        <w:rStyle w:val="PageNumber"/>
      </w:rPr>
      <w:fldChar w:fldCharType="end"/>
    </w:r>
  </w:p>
  <w:p w14:paraId="1218DF5C" w14:textId="77777777" w:rsidR="001966AD" w:rsidRDefault="001966AD"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650A" w14:textId="77777777" w:rsidR="001966AD" w:rsidRDefault="001966AD" w:rsidP="00000AE6">
    <w:pPr>
      <w:pStyle w:val="Footer"/>
      <w:ind w:right="360"/>
    </w:pPr>
    <w:r>
      <w:rPr>
        <w:rStyle w:val="FootnoteReference"/>
      </w:rPr>
      <w:footnoteRef/>
    </w:r>
    <w:r>
      <w:t xml:space="preserve"> Australian Law Reform Commission Report No 95, December 2002 at page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85575" w14:textId="77777777" w:rsidR="001966AD" w:rsidRDefault="001966AD">
    <w:pPr>
      <w:pStyle w:val="Footer"/>
    </w:pPr>
    <w:r w:rsidRPr="00D5144A">
      <w:rPr>
        <w:noProof/>
      </w:rPr>
      <mc:AlternateContent>
        <mc:Choice Requires="wps">
          <w:drawing>
            <wp:anchor distT="0" distB="0" distL="114300" distR="114300" simplePos="0" relativeHeight="251664384" behindDoc="0" locked="0" layoutInCell="1" allowOverlap="1" wp14:anchorId="5C58EBB5" wp14:editId="5A575838">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FCD0A" w14:textId="77777777" w:rsidR="001966AD" w:rsidRPr="002D724A" w:rsidRDefault="001966AD"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980A79">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5C58EBB5"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40AFCD0A" w14:textId="77777777" w:rsidR="001966AD" w:rsidRPr="002D724A" w:rsidRDefault="001966AD"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980A79">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9EC65" w14:textId="77777777" w:rsidR="001966AD" w:rsidRDefault="001966AD">
      <w:r>
        <w:separator/>
      </w:r>
    </w:p>
  </w:footnote>
  <w:footnote w:type="continuationSeparator" w:id="0">
    <w:p w14:paraId="6711CCE3" w14:textId="77777777" w:rsidR="001966AD" w:rsidRDefault="001966AD">
      <w:r>
        <w:continuationSeparator/>
      </w:r>
    </w:p>
  </w:footnote>
  <w:footnote w:id="1">
    <w:p w14:paraId="49C39D04" w14:textId="77777777" w:rsidR="007419C8" w:rsidRPr="00893ECB" w:rsidRDefault="007419C8" w:rsidP="007419C8">
      <w:pPr>
        <w:pStyle w:val="FootnoteText"/>
        <w:rPr>
          <w:rFonts w:ascii="Times New Roman" w:hAnsi="Times New Roman"/>
        </w:rPr>
      </w:pPr>
      <w:r w:rsidRPr="00893ECB">
        <w:rPr>
          <w:rStyle w:val="FootnoteReference"/>
          <w:rFonts w:ascii="Times New Roman" w:hAnsi="Times New Roman"/>
        </w:rPr>
        <w:footnoteRef/>
      </w:r>
      <w:r w:rsidRPr="00893ECB">
        <w:rPr>
          <w:rFonts w:ascii="Times New Roman" w:hAnsi="Times New Roman"/>
        </w:rPr>
        <w:t xml:space="preserve"> The Basel large exposures framework can be found at: </w:t>
      </w:r>
      <w:hyperlink r:id="rId1" w:history="1">
        <w:r w:rsidRPr="00893ECB">
          <w:rPr>
            <w:rStyle w:val="Hyperlink"/>
            <w:rFonts w:ascii="Times New Roman" w:hAnsi="Times New Roman"/>
            <w:sz w:val="18"/>
          </w:rPr>
          <w:t>https://www.bis.org/press/p140415.htm</w:t>
        </w:r>
      </w:hyperlink>
      <w:r w:rsidRPr="00893ECB">
        <w:rPr>
          <w:rFonts w:ascii="Times New Roman" w:hAnsi="Times New Roman"/>
        </w:rPr>
        <w:t xml:space="preserve"> </w:t>
      </w:r>
    </w:p>
  </w:footnote>
  <w:footnote w:id="2">
    <w:p w14:paraId="118BF736" w14:textId="24CB9352" w:rsidR="00AD1BC6" w:rsidRPr="00893ECB" w:rsidRDefault="00AD1BC6" w:rsidP="00AD1BC6">
      <w:pPr>
        <w:pStyle w:val="FootnoteText"/>
        <w:rPr>
          <w:rFonts w:ascii="Times New Roman" w:hAnsi="Times New Roman"/>
        </w:rPr>
      </w:pPr>
      <w:r w:rsidRPr="00893ECB">
        <w:rPr>
          <w:rStyle w:val="FootnoteReference"/>
          <w:rFonts w:ascii="Times New Roman" w:hAnsi="Times New Roman"/>
        </w:rPr>
        <w:footnoteRef/>
      </w:r>
      <w:r w:rsidRPr="00893ECB">
        <w:rPr>
          <w:rFonts w:ascii="Times New Roman" w:hAnsi="Times New Roman"/>
        </w:rPr>
        <w:t xml:space="preserve"> </w:t>
      </w:r>
      <w:r w:rsidRPr="00893ECB">
        <w:rPr>
          <w:rFonts w:ascii="Times New Roman" w:hAnsi="Times New Roman"/>
          <w:szCs w:val="18"/>
        </w:rPr>
        <w:t>The information paper is available at:</w:t>
      </w:r>
      <w:r w:rsidRPr="00893ECB">
        <w:rPr>
          <w:rFonts w:ascii="Times New Roman" w:hAnsi="Times New Roman"/>
          <w:szCs w:val="18"/>
          <w:lang w:val="en-US"/>
        </w:rPr>
        <w:t xml:space="preserve"> </w:t>
      </w:r>
      <w:hyperlink r:id="rId2" w:history="1">
        <w:r w:rsidR="00893ECB" w:rsidRPr="00471806">
          <w:rPr>
            <w:rStyle w:val="Hyperlink"/>
            <w:rFonts w:ascii="Times New Roman" w:hAnsi="Times New Roman"/>
            <w:sz w:val="18"/>
            <w:szCs w:val="18"/>
            <w:lang w:val="en-US"/>
          </w:rPr>
          <w:t>https://www.apra.gov.au/information-papers-released-apra</w:t>
        </w:r>
      </w:hyperlink>
      <w:r w:rsidR="00893ECB">
        <w:rPr>
          <w:rFonts w:ascii="Times New Roman" w:hAnsi="Times New Roman"/>
          <w:szCs w:val="18"/>
          <w:lang w:val="en-US"/>
        </w:rPr>
        <w:t xml:space="preserve"> </w:t>
      </w:r>
    </w:p>
  </w:footnote>
  <w:footnote w:id="3">
    <w:p w14:paraId="27941704" w14:textId="398615A2" w:rsidR="001966AD" w:rsidRDefault="001966AD" w:rsidP="00AA4202">
      <w:pPr>
        <w:pStyle w:val="FootnoteText"/>
        <w:jc w:val="left"/>
      </w:pPr>
      <w:r w:rsidRPr="00893ECB">
        <w:rPr>
          <w:rStyle w:val="FootnoteReference"/>
          <w:rFonts w:ascii="Times New Roman" w:hAnsi="Times New Roman"/>
        </w:rPr>
        <w:footnoteRef/>
      </w:r>
      <w:r w:rsidRPr="00893ECB">
        <w:rPr>
          <w:rFonts w:ascii="Times New Roman" w:hAnsi="Times New Roman"/>
        </w:rPr>
        <w:t xml:space="preserve"> The discussion paper is available at: </w:t>
      </w:r>
      <w:hyperlink r:id="rId3" w:history="1">
        <w:r w:rsidR="00893ECB" w:rsidRPr="00471806">
          <w:rPr>
            <w:rStyle w:val="Hyperlink"/>
            <w:rFonts w:ascii="Times New Roman" w:hAnsi="Times New Roman"/>
            <w:sz w:val="18"/>
          </w:rPr>
          <w:t>https://www.apra.gov.au/revisions-large-exposures</w:t>
        </w:r>
      </w:hyperlink>
      <w:r w:rsidR="00893ECB">
        <w:rPr>
          <w:rFonts w:ascii="Times New Roman" w:hAnsi="Times New Roman"/>
        </w:rPr>
        <w:t xml:space="preserve"> </w:t>
      </w:r>
    </w:p>
  </w:footnote>
  <w:footnote w:id="4">
    <w:p w14:paraId="67AB737D" w14:textId="63C5DB63" w:rsidR="001966AD" w:rsidRPr="00893ECB" w:rsidRDefault="001966AD" w:rsidP="001966AD">
      <w:pPr>
        <w:pStyle w:val="FootnoteText"/>
        <w:jc w:val="left"/>
        <w:rPr>
          <w:rFonts w:ascii="Times New Roman" w:hAnsi="Times New Roman"/>
        </w:rPr>
      </w:pPr>
      <w:r w:rsidRPr="00893ECB">
        <w:rPr>
          <w:rStyle w:val="FootnoteReference"/>
          <w:rFonts w:ascii="Times New Roman" w:hAnsi="Times New Roman"/>
        </w:rPr>
        <w:footnoteRef/>
      </w:r>
      <w:r w:rsidRPr="00893ECB">
        <w:rPr>
          <w:rFonts w:ascii="Times New Roman" w:hAnsi="Times New Roman"/>
        </w:rPr>
        <w:t xml:space="preserve"> The response to submissions paper is available at: </w:t>
      </w:r>
      <w:hyperlink r:id="rId4" w:history="1">
        <w:r w:rsidR="00893ECB" w:rsidRPr="00471806">
          <w:rPr>
            <w:rStyle w:val="Hyperlink"/>
            <w:rFonts w:ascii="Times New Roman" w:hAnsi="Times New Roman"/>
            <w:sz w:val="18"/>
          </w:rPr>
          <w:t>https://www.apra.gov.au/revisions-large-exposures</w:t>
        </w:r>
      </w:hyperlink>
      <w:r w:rsidR="00893ECB">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9725EC"/>
    <w:multiLevelType w:val="hybridMultilevel"/>
    <w:tmpl w:val="CC5C7AA8"/>
    <w:lvl w:ilvl="0" w:tplc="053C50EA">
      <w:start w:val="1"/>
      <w:numFmt w:val="bullet"/>
      <w:pStyle w:val="APR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C924B5"/>
    <w:multiLevelType w:val="hybridMultilevel"/>
    <w:tmpl w:val="E5A6D484"/>
    <w:lvl w:ilvl="0" w:tplc="5DA4F9A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2" w15:restartNumberingAfterBreak="0">
    <w:nsid w:val="1E1409B1"/>
    <w:multiLevelType w:val="multilevel"/>
    <w:tmpl w:val="0C09001F"/>
    <w:numStyleLink w:val="111111"/>
  </w:abstractNum>
  <w:abstractNum w:abstractNumId="13"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D63288"/>
    <w:multiLevelType w:val="hybridMultilevel"/>
    <w:tmpl w:val="6ED08D2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332D10"/>
    <w:multiLevelType w:val="hybridMultilevel"/>
    <w:tmpl w:val="D6B8D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7C10B58"/>
    <w:multiLevelType w:val="hybridMultilevel"/>
    <w:tmpl w:val="B5CC0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0"/>
  </w:num>
  <w:num w:numId="4">
    <w:abstractNumId w:val="16"/>
  </w:num>
  <w:num w:numId="5">
    <w:abstractNumId w:val="14"/>
  </w:num>
  <w:num w:numId="6">
    <w:abstractNumId w:val="21"/>
  </w:num>
  <w:num w:numId="7">
    <w:abstractNumId w:val="13"/>
  </w:num>
  <w:num w:numId="8">
    <w:abstractNumId w:val="11"/>
  </w:num>
  <w:num w:numId="9">
    <w:abstractNumId w:val="24"/>
  </w:num>
  <w:num w:numId="10">
    <w:abstractNumId w:val="15"/>
  </w:num>
  <w:num w:numId="11">
    <w:abstractNumId w:val="25"/>
  </w:num>
  <w:num w:numId="12">
    <w:abstractNumId w:val="17"/>
  </w:num>
  <w:num w:numId="13">
    <w:abstractNumId w:val="7"/>
  </w:num>
  <w:num w:numId="14">
    <w:abstractNumId w:val="6"/>
  </w:num>
  <w:num w:numId="15">
    <w:abstractNumId w:val="5"/>
  </w:num>
  <w:num w:numId="16">
    <w:abstractNumId w:val="18"/>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2"/>
  </w:num>
  <w:num w:numId="28">
    <w:abstractNumId w:val="22"/>
  </w:num>
  <w:num w:numId="29">
    <w:abstractNumId w:val="23"/>
  </w:num>
  <w:num w:numId="30">
    <w:abstractNumId w:val="8"/>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21"/>
    <w:rsid w:val="00000AE6"/>
    <w:rsid w:val="00012695"/>
    <w:rsid w:val="000201AE"/>
    <w:rsid w:val="000218B6"/>
    <w:rsid w:val="00026726"/>
    <w:rsid w:val="0002731C"/>
    <w:rsid w:val="00027386"/>
    <w:rsid w:val="00030BD8"/>
    <w:rsid w:val="000324C9"/>
    <w:rsid w:val="00032E46"/>
    <w:rsid w:val="00033B73"/>
    <w:rsid w:val="00043838"/>
    <w:rsid w:val="0005054F"/>
    <w:rsid w:val="00055C1B"/>
    <w:rsid w:val="00056C6C"/>
    <w:rsid w:val="00056DFC"/>
    <w:rsid w:val="000631DA"/>
    <w:rsid w:val="00063B11"/>
    <w:rsid w:val="00076969"/>
    <w:rsid w:val="00080B55"/>
    <w:rsid w:val="0008675A"/>
    <w:rsid w:val="0009199A"/>
    <w:rsid w:val="00093B64"/>
    <w:rsid w:val="000A579A"/>
    <w:rsid w:val="000B1D0D"/>
    <w:rsid w:val="000B22C3"/>
    <w:rsid w:val="000B3626"/>
    <w:rsid w:val="000B5532"/>
    <w:rsid w:val="000B59FF"/>
    <w:rsid w:val="000C1846"/>
    <w:rsid w:val="000C3A21"/>
    <w:rsid w:val="000D046E"/>
    <w:rsid w:val="000D6AC0"/>
    <w:rsid w:val="000E055A"/>
    <w:rsid w:val="000E23D7"/>
    <w:rsid w:val="000F309E"/>
    <w:rsid w:val="000F3E1E"/>
    <w:rsid w:val="000F6592"/>
    <w:rsid w:val="00102F9E"/>
    <w:rsid w:val="0010495D"/>
    <w:rsid w:val="00105F5C"/>
    <w:rsid w:val="00110071"/>
    <w:rsid w:val="0012491A"/>
    <w:rsid w:val="00124EE2"/>
    <w:rsid w:val="00126BDF"/>
    <w:rsid w:val="001271A7"/>
    <w:rsid w:val="001353EA"/>
    <w:rsid w:val="00141FC7"/>
    <w:rsid w:val="00146362"/>
    <w:rsid w:val="00147418"/>
    <w:rsid w:val="00154402"/>
    <w:rsid w:val="00161425"/>
    <w:rsid w:val="0016350A"/>
    <w:rsid w:val="001636BF"/>
    <w:rsid w:val="00163AE4"/>
    <w:rsid w:val="0016570E"/>
    <w:rsid w:val="001735C0"/>
    <w:rsid w:val="00176630"/>
    <w:rsid w:val="00177D88"/>
    <w:rsid w:val="00183A1C"/>
    <w:rsid w:val="00191382"/>
    <w:rsid w:val="0019482E"/>
    <w:rsid w:val="001966AD"/>
    <w:rsid w:val="001A0790"/>
    <w:rsid w:val="001A70C0"/>
    <w:rsid w:val="001B6E91"/>
    <w:rsid w:val="001C0BC5"/>
    <w:rsid w:val="001D16A9"/>
    <w:rsid w:val="001D1DC0"/>
    <w:rsid w:val="001D543E"/>
    <w:rsid w:val="001E06CB"/>
    <w:rsid w:val="001E2DB0"/>
    <w:rsid w:val="001E54DD"/>
    <w:rsid w:val="001E623B"/>
    <w:rsid w:val="001E6EA4"/>
    <w:rsid w:val="001F4FB6"/>
    <w:rsid w:val="001F585B"/>
    <w:rsid w:val="002105BD"/>
    <w:rsid w:val="002114F1"/>
    <w:rsid w:val="00223C69"/>
    <w:rsid w:val="00225921"/>
    <w:rsid w:val="002330A5"/>
    <w:rsid w:val="002341A1"/>
    <w:rsid w:val="002430F8"/>
    <w:rsid w:val="002504E2"/>
    <w:rsid w:val="00251A74"/>
    <w:rsid w:val="002529DB"/>
    <w:rsid w:val="00254ED3"/>
    <w:rsid w:val="002642DC"/>
    <w:rsid w:val="00265913"/>
    <w:rsid w:val="00282B1D"/>
    <w:rsid w:val="00285041"/>
    <w:rsid w:val="002962EE"/>
    <w:rsid w:val="002A0F36"/>
    <w:rsid w:val="002A47FA"/>
    <w:rsid w:val="002A4C63"/>
    <w:rsid w:val="002B2A6A"/>
    <w:rsid w:val="002B6511"/>
    <w:rsid w:val="002B6780"/>
    <w:rsid w:val="002B6E99"/>
    <w:rsid w:val="002C3F98"/>
    <w:rsid w:val="002C7D5C"/>
    <w:rsid w:val="002D003A"/>
    <w:rsid w:val="002D15B6"/>
    <w:rsid w:val="002D5680"/>
    <w:rsid w:val="002D7440"/>
    <w:rsid w:val="002E3946"/>
    <w:rsid w:val="002E68FA"/>
    <w:rsid w:val="002F0A7C"/>
    <w:rsid w:val="00300114"/>
    <w:rsid w:val="003033E4"/>
    <w:rsid w:val="00314F61"/>
    <w:rsid w:val="003168CC"/>
    <w:rsid w:val="00323DBD"/>
    <w:rsid w:val="003305D5"/>
    <w:rsid w:val="003374D3"/>
    <w:rsid w:val="0034386A"/>
    <w:rsid w:val="00346007"/>
    <w:rsid w:val="00347FCC"/>
    <w:rsid w:val="0036074D"/>
    <w:rsid w:val="00361A51"/>
    <w:rsid w:val="00363D46"/>
    <w:rsid w:val="003664C9"/>
    <w:rsid w:val="003671DF"/>
    <w:rsid w:val="00385EBA"/>
    <w:rsid w:val="003A0FB4"/>
    <w:rsid w:val="003A551B"/>
    <w:rsid w:val="003A6008"/>
    <w:rsid w:val="003B3AAB"/>
    <w:rsid w:val="003B6143"/>
    <w:rsid w:val="003B6B84"/>
    <w:rsid w:val="003C1F4C"/>
    <w:rsid w:val="003C3568"/>
    <w:rsid w:val="003D14AA"/>
    <w:rsid w:val="003D671F"/>
    <w:rsid w:val="003E1487"/>
    <w:rsid w:val="003E2F84"/>
    <w:rsid w:val="003E399F"/>
    <w:rsid w:val="003E7F89"/>
    <w:rsid w:val="003F0A98"/>
    <w:rsid w:val="003F2D0E"/>
    <w:rsid w:val="00403EA8"/>
    <w:rsid w:val="0040568B"/>
    <w:rsid w:val="00414E21"/>
    <w:rsid w:val="00416296"/>
    <w:rsid w:val="00426F46"/>
    <w:rsid w:val="00427335"/>
    <w:rsid w:val="0043512A"/>
    <w:rsid w:val="00436690"/>
    <w:rsid w:val="00443B03"/>
    <w:rsid w:val="00446793"/>
    <w:rsid w:val="00452BFF"/>
    <w:rsid w:val="00455CFD"/>
    <w:rsid w:val="00456B13"/>
    <w:rsid w:val="00463269"/>
    <w:rsid w:val="00466BE1"/>
    <w:rsid w:val="00472797"/>
    <w:rsid w:val="00480AB5"/>
    <w:rsid w:val="00485359"/>
    <w:rsid w:val="00485782"/>
    <w:rsid w:val="004913BF"/>
    <w:rsid w:val="00491AD1"/>
    <w:rsid w:val="004974E6"/>
    <w:rsid w:val="00497A10"/>
    <w:rsid w:val="004A7EF8"/>
    <w:rsid w:val="004B004C"/>
    <w:rsid w:val="004B621D"/>
    <w:rsid w:val="004C79A4"/>
    <w:rsid w:val="004D56EC"/>
    <w:rsid w:val="004F0124"/>
    <w:rsid w:val="004F0E6C"/>
    <w:rsid w:val="004F3053"/>
    <w:rsid w:val="004F4CCA"/>
    <w:rsid w:val="00505C2A"/>
    <w:rsid w:val="00514E54"/>
    <w:rsid w:val="0051573E"/>
    <w:rsid w:val="00523E14"/>
    <w:rsid w:val="00531AC9"/>
    <w:rsid w:val="005323E9"/>
    <w:rsid w:val="00536BEB"/>
    <w:rsid w:val="005378DF"/>
    <w:rsid w:val="00544186"/>
    <w:rsid w:val="00544768"/>
    <w:rsid w:val="0054724E"/>
    <w:rsid w:val="00554D51"/>
    <w:rsid w:val="00561055"/>
    <w:rsid w:val="00562B07"/>
    <w:rsid w:val="0056332A"/>
    <w:rsid w:val="00565315"/>
    <w:rsid w:val="00567A9A"/>
    <w:rsid w:val="005718A5"/>
    <w:rsid w:val="0057354F"/>
    <w:rsid w:val="00574616"/>
    <w:rsid w:val="005748FE"/>
    <w:rsid w:val="00577896"/>
    <w:rsid w:val="005833B9"/>
    <w:rsid w:val="00587962"/>
    <w:rsid w:val="00591630"/>
    <w:rsid w:val="00592576"/>
    <w:rsid w:val="00593BF7"/>
    <w:rsid w:val="005941E1"/>
    <w:rsid w:val="005A0EDF"/>
    <w:rsid w:val="005A743A"/>
    <w:rsid w:val="005A7E48"/>
    <w:rsid w:val="005B744C"/>
    <w:rsid w:val="005C37A6"/>
    <w:rsid w:val="005C3C75"/>
    <w:rsid w:val="005C701A"/>
    <w:rsid w:val="005C7AB3"/>
    <w:rsid w:val="005D0304"/>
    <w:rsid w:val="005D0853"/>
    <w:rsid w:val="005D435B"/>
    <w:rsid w:val="005D7020"/>
    <w:rsid w:val="005F0577"/>
    <w:rsid w:val="005F5DF4"/>
    <w:rsid w:val="005F6BAC"/>
    <w:rsid w:val="0060479D"/>
    <w:rsid w:val="00611A4D"/>
    <w:rsid w:val="0061258F"/>
    <w:rsid w:val="006208F9"/>
    <w:rsid w:val="006210C2"/>
    <w:rsid w:val="0062507E"/>
    <w:rsid w:val="00625D6C"/>
    <w:rsid w:val="00634E3F"/>
    <w:rsid w:val="00634FF0"/>
    <w:rsid w:val="00635A7C"/>
    <w:rsid w:val="006448BE"/>
    <w:rsid w:val="00644F26"/>
    <w:rsid w:val="00645119"/>
    <w:rsid w:val="006478EE"/>
    <w:rsid w:val="00647B94"/>
    <w:rsid w:val="00652397"/>
    <w:rsid w:val="00663C9A"/>
    <w:rsid w:val="00673E01"/>
    <w:rsid w:val="00685CF1"/>
    <w:rsid w:val="00694F60"/>
    <w:rsid w:val="006967C8"/>
    <w:rsid w:val="006A05FB"/>
    <w:rsid w:val="006A4DB1"/>
    <w:rsid w:val="006A6275"/>
    <w:rsid w:val="006B4444"/>
    <w:rsid w:val="006B6285"/>
    <w:rsid w:val="006C0777"/>
    <w:rsid w:val="006C0888"/>
    <w:rsid w:val="006C4E5C"/>
    <w:rsid w:val="006C6A19"/>
    <w:rsid w:val="006D1265"/>
    <w:rsid w:val="006D1D9A"/>
    <w:rsid w:val="006D2B57"/>
    <w:rsid w:val="006E15EA"/>
    <w:rsid w:val="006E222F"/>
    <w:rsid w:val="006F6C05"/>
    <w:rsid w:val="00702EF7"/>
    <w:rsid w:val="00704E26"/>
    <w:rsid w:val="007060F0"/>
    <w:rsid w:val="00712E3F"/>
    <w:rsid w:val="00717A79"/>
    <w:rsid w:val="00730D89"/>
    <w:rsid w:val="00733B48"/>
    <w:rsid w:val="007357C5"/>
    <w:rsid w:val="007419C8"/>
    <w:rsid w:val="00743617"/>
    <w:rsid w:val="007436B7"/>
    <w:rsid w:val="00744E6B"/>
    <w:rsid w:val="00760BE2"/>
    <w:rsid w:val="00760CF4"/>
    <w:rsid w:val="00767508"/>
    <w:rsid w:val="00770264"/>
    <w:rsid w:val="00772FE9"/>
    <w:rsid w:val="00780C75"/>
    <w:rsid w:val="007833F2"/>
    <w:rsid w:val="00785B77"/>
    <w:rsid w:val="00796DE0"/>
    <w:rsid w:val="007A5C01"/>
    <w:rsid w:val="007B093E"/>
    <w:rsid w:val="007B49C0"/>
    <w:rsid w:val="007C3365"/>
    <w:rsid w:val="007E03B8"/>
    <w:rsid w:val="007E439F"/>
    <w:rsid w:val="007F0344"/>
    <w:rsid w:val="007F50A4"/>
    <w:rsid w:val="008015D2"/>
    <w:rsid w:val="0080552D"/>
    <w:rsid w:val="008068B9"/>
    <w:rsid w:val="00806B31"/>
    <w:rsid w:val="00807B3F"/>
    <w:rsid w:val="008107F2"/>
    <w:rsid w:val="008124F3"/>
    <w:rsid w:val="0082354F"/>
    <w:rsid w:val="008242F3"/>
    <w:rsid w:val="0082584A"/>
    <w:rsid w:val="00826B4E"/>
    <w:rsid w:val="00830C54"/>
    <w:rsid w:val="00830E90"/>
    <w:rsid w:val="0083482E"/>
    <w:rsid w:val="00836A64"/>
    <w:rsid w:val="00837FB3"/>
    <w:rsid w:val="00844445"/>
    <w:rsid w:val="0084490C"/>
    <w:rsid w:val="0084495C"/>
    <w:rsid w:val="00853398"/>
    <w:rsid w:val="00860DC0"/>
    <w:rsid w:val="00865AF3"/>
    <w:rsid w:val="00866CBA"/>
    <w:rsid w:val="008713A5"/>
    <w:rsid w:val="00881B57"/>
    <w:rsid w:val="008825C2"/>
    <w:rsid w:val="0088539F"/>
    <w:rsid w:val="00885D7C"/>
    <w:rsid w:val="00893ECB"/>
    <w:rsid w:val="008A0C94"/>
    <w:rsid w:val="008A1A5F"/>
    <w:rsid w:val="008A7848"/>
    <w:rsid w:val="008B1DD5"/>
    <w:rsid w:val="008B5B9B"/>
    <w:rsid w:val="008B7528"/>
    <w:rsid w:val="008B79B7"/>
    <w:rsid w:val="008C0F09"/>
    <w:rsid w:val="008C1285"/>
    <w:rsid w:val="008C228A"/>
    <w:rsid w:val="008D0E01"/>
    <w:rsid w:val="008E1C9F"/>
    <w:rsid w:val="008E25C7"/>
    <w:rsid w:val="008E2D09"/>
    <w:rsid w:val="008E445F"/>
    <w:rsid w:val="008F020F"/>
    <w:rsid w:val="008F07CE"/>
    <w:rsid w:val="008F4817"/>
    <w:rsid w:val="008F5335"/>
    <w:rsid w:val="008F6AA0"/>
    <w:rsid w:val="00910F17"/>
    <w:rsid w:val="00915A33"/>
    <w:rsid w:val="00922097"/>
    <w:rsid w:val="00923406"/>
    <w:rsid w:val="00930D32"/>
    <w:rsid w:val="00932D57"/>
    <w:rsid w:val="009403D0"/>
    <w:rsid w:val="00953841"/>
    <w:rsid w:val="00956A1C"/>
    <w:rsid w:val="0096476F"/>
    <w:rsid w:val="00967BC9"/>
    <w:rsid w:val="009732D4"/>
    <w:rsid w:val="00980A79"/>
    <w:rsid w:val="00981651"/>
    <w:rsid w:val="00985A96"/>
    <w:rsid w:val="00985ADC"/>
    <w:rsid w:val="00997B46"/>
    <w:rsid w:val="009B1FDE"/>
    <w:rsid w:val="009B424A"/>
    <w:rsid w:val="009C19B4"/>
    <w:rsid w:val="009D02CF"/>
    <w:rsid w:val="009E216B"/>
    <w:rsid w:val="009F2DFF"/>
    <w:rsid w:val="00A03AB9"/>
    <w:rsid w:val="00A047B5"/>
    <w:rsid w:val="00A15209"/>
    <w:rsid w:val="00A208EB"/>
    <w:rsid w:val="00A32B98"/>
    <w:rsid w:val="00A40D5C"/>
    <w:rsid w:val="00A41F87"/>
    <w:rsid w:val="00A43FF9"/>
    <w:rsid w:val="00A44B4F"/>
    <w:rsid w:val="00A51D19"/>
    <w:rsid w:val="00A55057"/>
    <w:rsid w:val="00A61A42"/>
    <w:rsid w:val="00A66958"/>
    <w:rsid w:val="00A66DF3"/>
    <w:rsid w:val="00A82561"/>
    <w:rsid w:val="00A961B1"/>
    <w:rsid w:val="00A96F6A"/>
    <w:rsid w:val="00AA08EC"/>
    <w:rsid w:val="00AA1953"/>
    <w:rsid w:val="00AA2735"/>
    <w:rsid w:val="00AA3C26"/>
    <w:rsid w:val="00AA4202"/>
    <w:rsid w:val="00AB0A7D"/>
    <w:rsid w:val="00AB1F92"/>
    <w:rsid w:val="00AB3FCB"/>
    <w:rsid w:val="00AB533D"/>
    <w:rsid w:val="00AC031B"/>
    <w:rsid w:val="00AC2996"/>
    <w:rsid w:val="00AC3F07"/>
    <w:rsid w:val="00AD1BC6"/>
    <w:rsid w:val="00AD31BC"/>
    <w:rsid w:val="00AD62C5"/>
    <w:rsid w:val="00AE287A"/>
    <w:rsid w:val="00AE2D97"/>
    <w:rsid w:val="00AE7E64"/>
    <w:rsid w:val="00AF3144"/>
    <w:rsid w:val="00B02043"/>
    <w:rsid w:val="00B12376"/>
    <w:rsid w:val="00B259DC"/>
    <w:rsid w:val="00B270EC"/>
    <w:rsid w:val="00B27510"/>
    <w:rsid w:val="00B458A3"/>
    <w:rsid w:val="00B46846"/>
    <w:rsid w:val="00B52C31"/>
    <w:rsid w:val="00B57341"/>
    <w:rsid w:val="00B653E1"/>
    <w:rsid w:val="00B71A97"/>
    <w:rsid w:val="00B77BD4"/>
    <w:rsid w:val="00B84194"/>
    <w:rsid w:val="00B97B6E"/>
    <w:rsid w:val="00BA0BC1"/>
    <w:rsid w:val="00BA3189"/>
    <w:rsid w:val="00BB27C5"/>
    <w:rsid w:val="00BB387D"/>
    <w:rsid w:val="00BC2BFB"/>
    <w:rsid w:val="00BC6A8D"/>
    <w:rsid w:val="00BD4547"/>
    <w:rsid w:val="00BE21A6"/>
    <w:rsid w:val="00BE5F98"/>
    <w:rsid w:val="00BF58E0"/>
    <w:rsid w:val="00C007F6"/>
    <w:rsid w:val="00C03925"/>
    <w:rsid w:val="00C047E7"/>
    <w:rsid w:val="00C06282"/>
    <w:rsid w:val="00C100AE"/>
    <w:rsid w:val="00C16BD6"/>
    <w:rsid w:val="00C17ED3"/>
    <w:rsid w:val="00C24158"/>
    <w:rsid w:val="00C2447B"/>
    <w:rsid w:val="00C3551A"/>
    <w:rsid w:val="00C41329"/>
    <w:rsid w:val="00C464F8"/>
    <w:rsid w:val="00C57B96"/>
    <w:rsid w:val="00C61132"/>
    <w:rsid w:val="00C62FA1"/>
    <w:rsid w:val="00C66F5F"/>
    <w:rsid w:val="00C675CA"/>
    <w:rsid w:val="00C67F77"/>
    <w:rsid w:val="00C72F5E"/>
    <w:rsid w:val="00C74336"/>
    <w:rsid w:val="00C85ACB"/>
    <w:rsid w:val="00C90010"/>
    <w:rsid w:val="00C94DCF"/>
    <w:rsid w:val="00C9694D"/>
    <w:rsid w:val="00C96E5E"/>
    <w:rsid w:val="00C97019"/>
    <w:rsid w:val="00CA0373"/>
    <w:rsid w:val="00CA1315"/>
    <w:rsid w:val="00CA29DB"/>
    <w:rsid w:val="00CA2A9E"/>
    <w:rsid w:val="00CB4087"/>
    <w:rsid w:val="00CC1195"/>
    <w:rsid w:val="00CC4BE4"/>
    <w:rsid w:val="00CC793B"/>
    <w:rsid w:val="00CD0116"/>
    <w:rsid w:val="00CD519A"/>
    <w:rsid w:val="00CD7513"/>
    <w:rsid w:val="00CE625F"/>
    <w:rsid w:val="00CF5803"/>
    <w:rsid w:val="00CF6510"/>
    <w:rsid w:val="00CF7B05"/>
    <w:rsid w:val="00D04EA3"/>
    <w:rsid w:val="00D161B4"/>
    <w:rsid w:val="00D2126B"/>
    <w:rsid w:val="00D22D14"/>
    <w:rsid w:val="00D27DE1"/>
    <w:rsid w:val="00D3515D"/>
    <w:rsid w:val="00D4290F"/>
    <w:rsid w:val="00D4387C"/>
    <w:rsid w:val="00D44DB1"/>
    <w:rsid w:val="00D45A2B"/>
    <w:rsid w:val="00D5144A"/>
    <w:rsid w:val="00D56C0A"/>
    <w:rsid w:val="00D63690"/>
    <w:rsid w:val="00D66CB2"/>
    <w:rsid w:val="00D7240A"/>
    <w:rsid w:val="00D724D7"/>
    <w:rsid w:val="00D77584"/>
    <w:rsid w:val="00D77F05"/>
    <w:rsid w:val="00D80BBF"/>
    <w:rsid w:val="00D819B7"/>
    <w:rsid w:val="00D8796B"/>
    <w:rsid w:val="00D94F65"/>
    <w:rsid w:val="00D96744"/>
    <w:rsid w:val="00D96A48"/>
    <w:rsid w:val="00D97124"/>
    <w:rsid w:val="00DA2190"/>
    <w:rsid w:val="00DA3F2E"/>
    <w:rsid w:val="00DA46AC"/>
    <w:rsid w:val="00DA5D0D"/>
    <w:rsid w:val="00DB2DC5"/>
    <w:rsid w:val="00DB5D16"/>
    <w:rsid w:val="00DC0044"/>
    <w:rsid w:val="00DC2B2A"/>
    <w:rsid w:val="00DD3416"/>
    <w:rsid w:val="00DD7321"/>
    <w:rsid w:val="00DE6BEB"/>
    <w:rsid w:val="00DF716C"/>
    <w:rsid w:val="00DF761B"/>
    <w:rsid w:val="00E012A6"/>
    <w:rsid w:val="00E04278"/>
    <w:rsid w:val="00E13541"/>
    <w:rsid w:val="00E14D72"/>
    <w:rsid w:val="00E20265"/>
    <w:rsid w:val="00E21E01"/>
    <w:rsid w:val="00E30FBB"/>
    <w:rsid w:val="00E53839"/>
    <w:rsid w:val="00E566E4"/>
    <w:rsid w:val="00E60B70"/>
    <w:rsid w:val="00E60C03"/>
    <w:rsid w:val="00E65CBA"/>
    <w:rsid w:val="00E67C6B"/>
    <w:rsid w:val="00E8014D"/>
    <w:rsid w:val="00E829A2"/>
    <w:rsid w:val="00E83ADE"/>
    <w:rsid w:val="00E854D2"/>
    <w:rsid w:val="00E866D6"/>
    <w:rsid w:val="00E90876"/>
    <w:rsid w:val="00E9434C"/>
    <w:rsid w:val="00E9517E"/>
    <w:rsid w:val="00EA0357"/>
    <w:rsid w:val="00EA2FC4"/>
    <w:rsid w:val="00EA6BF0"/>
    <w:rsid w:val="00EB2024"/>
    <w:rsid w:val="00ED64E9"/>
    <w:rsid w:val="00EF4430"/>
    <w:rsid w:val="00F0354E"/>
    <w:rsid w:val="00F101EC"/>
    <w:rsid w:val="00F221C2"/>
    <w:rsid w:val="00F251FC"/>
    <w:rsid w:val="00F4269A"/>
    <w:rsid w:val="00F51884"/>
    <w:rsid w:val="00F53DE9"/>
    <w:rsid w:val="00F579EC"/>
    <w:rsid w:val="00F62BE0"/>
    <w:rsid w:val="00F62FDB"/>
    <w:rsid w:val="00F71B7F"/>
    <w:rsid w:val="00FA5216"/>
    <w:rsid w:val="00FC1DCC"/>
    <w:rsid w:val="00FC7B0C"/>
    <w:rsid w:val="00FD1524"/>
    <w:rsid w:val="00FD30EE"/>
    <w:rsid w:val="00FD5583"/>
    <w:rsid w:val="00FE0073"/>
    <w:rsid w:val="00FE366E"/>
    <w:rsid w:val="00FF19E9"/>
    <w:rsid w:val="00FF4047"/>
    <w:rsid w:val="00FF4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AA130A"/>
  <w15:docId w15:val="{34E3AA53-83FF-45CC-8C14-A36B80BB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8F020F"/>
    <w:rPr>
      <w:b/>
      <w:bCs/>
    </w:rPr>
  </w:style>
  <w:style w:type="character" w:customStyle="1" w:styleId="CommentSubjectChar">
    <w:name w:val="Comment Subject Char"/>
    <w:basedOn w:val="CommentTextChar"/>
    <w:link w:val="CommentSubject"/>
    <w:uiPriority w:val="99"/>
    <w:semiHidden/>
    <w:rsid w:val="008F020F"/>
    <w:rPr>
      <w:rFonts w:ascii="Arial" w:hAnsi="Arial"/>
      <w:b/>
      <w:bCs/>
    </w:rPr>
  </w:style>
  <w:style w:type="paragraph" w:customStyle="1" w:styleId="APRAbullet">
    <w:name w:val="APRA bullet"/>
    <w:basedOn w:val="Heading"/>
    <w:qFormat/>
    <w:rsid w:val="003B6143"/>
    <w:pPr>
      <w:keepNext w:val="0"/>
      <w:numPr>
        <w:numId w:val="30"/>
      </w:numPr>
      <w:spacing w:before="0" w:after="240"/>
      <w:ind w:left="567" w:hanging="567"/>
      <w:outlineLvl w:val="9"/>
    </w:pPr>
    <w:rPr>
      <w:rFonts w:ascii="Times New Roman" w:hAnsi="Times New Roman" w:cs="Times New Roman"/>
      <w:b w:val="0"/>
      <w:kern w:val="0"/>
      <w:sz w:val="24"/>
      <w:szCs w:val="24"/>
    </w:rPr>
  </w:style>
  <w:style w:type="paragraph" w:customStyle="1" w:styleId="Default">
    <w:name w:val="Default"/>
    <w:rsid w:val="00B270EC"/>
    <w:pPr>
      <w:autoSpaceDE w:val="0"/>
      <w:autoSpaceDN w:val="0"/>
      <w:adjustRightInd w:val="0"/>
    </w:pPr>
    <w:rPr>
      <w:rFonts w:ascii="Trebuchet MS" w:hAnsi="Trebuchet MS" w:cs="Trebuchet MS"/>
      <w:color w:val="000000"/>
      <w:sz w:val="24"/>
      <w:szCs w:val="24"/>
    </w:rPr>
  </w:style>
  <w:style w:type="paragraph" w:customStyle="1" w:styleId="heading0">
    <w:name w:val="heading"/>
    <w:basedOn w:val="Normal"/>
    <w:rsid w:val="005A7E48"/>
    <w:pPr>
      <w:spacing w:before="100" w:beforeAutospacing="1" w:after="100" w:afterAutospacing="1"/>
      <w:jc w:val="left"/>
    </w:pPr>
    <w:rPr>
      <w:rFonts w:ascii="Times New Roman" w:hAnsi="Times New Roman"/>
      <w:sz w:val="24"/>
    </w:rPr>
  </w:style>
  <w:style w:type="paragraph" w:styleId="Revision">
    <w:name w:val="Revision"/>
    <w:hidden/>
    <w:uiPriority w:val="99"/>
    <w:semiHidden/>
    <w:rsid w:val="00F51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88814">
      <w:bodyDiv w:val="1"/>
      <w:marLeft w:val="0"/>
      <w:marRight w:val="0"/>
      <w:marTop w:val="0"/>
      <w:marBottom w:val="0"/>
      <w:divBdr>
        <w:top w:val="none" w:sz="0" w:space="0" w:color="auto"/>
        <w:left w:val="none" w:sz="0" w:space="0" w:color="auto"/>
        <w:bottom w:val="none" w:sz="0" w:space="0" w:color="auto"/>
        <w:right w:val="none" w:sz="0" w:space="0" w:color="auto"/>
      </w:divBdr>
      <w:divsChild>
        <w:div w:id="1593204266">
          <w:marLeft w:val="0"/>
          <w:marRight w:val="0"/>
          <w:marTop w:val="0"/>
          <w:marBottom w:val="0"/>
          <w:divBdr>
            <w:top w:val="none" w:sz="0" w:space="0" w:color="auto"/>
            <w:left w:val="none" w:sz="0" w:space="0" w:color="auto"/>
            <w:bottom w:val="none" w:sz="0" w:space="0" w:color="auto"/>
            <w:right w:val="none" w:sz="0" w:space="0" w:color="auto"/>
          </w:divBdr>
          <w:divsChild>
            <w:div w:id="1707751841">
              <w:marLeft w:val="0"/>
              <w:marRight w:val="0"/>
              <w:marTop w:val="0"/>
              <w:marBottom w:val="0"/>
              <w:divBdr>
                <w:top w:val="none" w:sz="0" w:space="0" w:color="auto"/>
                <w:left w:val="none" w:sz="0" w:space="0" w:color="auto"/>
                <w:bottom w:val="none" w:sz="0" w:space="0" w:color="auto"/>
                <w:right w:val="none" w:sz="0" w:space="0" w:color="auto"/>
              </w:divBdr>
              <w:divsChild>
                <w:div w:id="731807158">
                  <w:marLeft w:val="0"/>
                  <w:marRight w:val="0"/>
                  <w:marTop w:val="0"/>
                  <w:marBottom w:val="0"/>
                  <w:divBdr>
                    <w:top w:val="none" w:sz="0" w:space="0" w:color="auto"/>
                    <w:left w:val="none" w:sz="0" w:space="0" w:color="auto"/>
                    <w:bottom w:val="none" w:sz="0" w:space="0" w:color="auto"/>
                    <w:right w:val="none" w:sz="0" w:space="0" w:color="auto"/>
                  </w:divBdr>
                  <w:divsChild>
                    <w:div w:id="1211382923">
                      <w:marLeft w:val="0"/>
                      <w:marRight w:val="0"/>
                      <w:marTop w:val="0"/>
                      <w:marBottom w:val="0"/>
                      <w:divBdr>
                        <w:top w:val="none" w:sz="0" w:space="0" w:color="auto"/>
                        <w:left w:val="none" w:sz="0" w:space="0" w:color="auto"/>
                        <w:bottom w:val="none" w:sz="0" w:space="0" w:color="auto"/>
                        <w:right w:val="none" w:sz="0" w:space="0" w:color="auto"/>
                      </w:divBdr>
                      <w:divsChild>
                        <w:div w:id="1473327663">
                          <w:marLeft w:val="0"/>
                          <w:marRight w:val="0"/>
                          <w:marTop w:val="0"/>
                          <w:marBottom w:val="0"/>
                          <w:divBdr>
                            <w:top w:val="none" w:sz="0" w:space="0" w:color="auto"/>
                            <w:left w:val="none" w:sz="0" w:space="0" w:color="auto"/>
                            <w:bottom w:val="none" w:sz="0" w:space="0" w:color="auto"/>
                            <w:right w:val="none" w:sz="0" w:space="0" w:color="auto"/>
                          </w:divBdr>
                          <w:divsChild>
                            <w:div w:id="2033800183">
                              <w:marLeft w:val="0"/>
                              <w:marRight w:val="0"/>
                              <w:marTop w:val="0"/>
                              <w:marBottom w:val="0"/>
                              <w:divBdr>
                                <w:top w:val="none" w:sz="0" w:space="0" w:color="auto"/>
                                <w:left w:val="none" w:sz="0" w:space="0" w:color="auto"/>
                                <w:bottom w:val="none" w:sz="0" w:space="0" w:color="auto"/>
                                <w:right w:val="none" w:sz="0" w:space="0" w:color="auto"/>
                              </w:divBdr>
                              <w:divsChild>
                                <w:div w:id="880282691">
                                  <w:marLeft w:val="0"/>
                                  <w:marRight w:val="0"/>
                                  <w:marTop w:val="0"/>
                                  <w:marBottom w:val="0"/>
                                  <w:divBdr>
                                    <w:top w:val="none" w:sz="0" w:space="0" w:color="auto"/>
                                    <w:left w:val="none" w:sz="0" w:space="0" w:color="auto"/>
                                    <w:bottom w:val="none" w:sz="0" w:space="0" w:color="auto"/>
                                    <w:right w:val="none" w:sz="0" w:space="0" w:color="auto"/>
                                  </w:divBdr>
                                  <w:divsChild>
                                    <w:div w:id="545682295">
                                      <w:marLeft w:val="0"/>
                                      <w:marRight w:val="0"/>
                                      <w:marTop w:val="0"/>
                                      <w:marBottom w:val="0"/>
                                      <w:divBdr>
                                        <w:top w:val="none" w:sz="0" w:space="0" w:color="auto"/>
                                        <w:left w:val="none" w:sz="0" w:space="0" w:color="auto"/>
                                        <w:bottom w:val="none" w:sz="0" w:space="0" w:color="auto"/>
                                        <w:right w:val="none" w:sz="0" w:space="0" w:color="auto"/>
                                      </w:divBdr>
                                      <w:divsChild>
                                        <w:div w:id="1428964881">
                                          <w:marLeft w:val="0"/>
                                          <w:marRight w:val="0"/>
                                          <w:marTop w:val="0"/>
                                          <w:marBottom w:val="0"/>
                                          <w:divBdr>
                                            <w:top w:val="none" w:sz="0" w:space="0" w:color="auto"/>
                                            <w:left w:val="none" w:sz="0" w:space="0" w:color="auto"/>
                                            <w:bottom w:val="none" w:sz="0" w:space="0" w:color="auto"/>
                                            <w:right w:val="none" w:sz="0" w:space="0" w:color="auto"/>
                                          </w:divBdr>
                                          <w:divsChild>
                                            <w:div w:id="1483541957">
                                              <w:marLeft w:val="0"/>
                                              <w:marRight w:val="0"/>
                                              <w:marTop w:val="0"/>
                                              <w:marBottom w:val="0"/>
                                              <w:divBdr>
                                                <w:top w:val="none" w:sz="0" w:space="0" w:color="auto"/>
                                                <w:left w:val="none" w:sz="0" w:space="0" w:color="auto"/>
                                                <w:bottom w:val="none" w:sz="0" w:space="0" w:color="auto"/>
                                                <w:right w:val="none" w:sz="0" w:space="0" w:color="auto"/>
                                              </w:divBdr>
                                              <w:divsChild>
                                                <w:div w:id="1817720014">
                                                  <w:marLeft w:val="0"/>
                                                  <w:marRight w:val="0"/>
                                                  <w:marTop w:val="0"/>
                                                  <w:marBottom w:val="0"/>
                                                  <w:divBdr>
                                                    <w:top w:val="none" w:sz="0" w:space="0" w:color="auto"/>
                                                    <w:left w:val="none" w:sz="0" w:space="0" w:color="auto"/>
                                                    <w:bottom w:val="none" w:sz="0" w:space="0" w:color="auto"/>
                                                    <w:right w:val="none" w:sz="0" w:space="0" w:color="auto"/>
                                                  </w:divBdr>
                                                  <w:divsChild>
                                                    <w:div w:id="973948555">
                                                      <w:marLeft w:val="0"/>
                                                      <w:marRight w:val="0"/>
                                                      <w:marTop w:val="0"/>
                                                      <w:marBottom w:val="0"/>
                                                      <w:divBdr>
                                                        <w:top w:val="none" w:sz="0" w:space="0" w:color="auto"/>
                                                        <w:left w:val="none" w:sz="0" w:space="0" w:color="auto"/>
                                                        <w:bottom w:val="none" w:sz="0" w:space="0" w:color="auto"/>
                                                        <w:right w:val="none" w:sz="0" w:space="0" w:color="auto"/>
                                                      </w:divBdr>
                                                      <w:divsChild>
                                                        <w:div w:id="16757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3434424">
      <w:bodyDiv w:val="1"/>
      <w:marLeft w:val="0"/>
      <w:marRight w:val="0"/>
      <w:marTop w:val="0"/>
      <w:marBottom w:val="0"/>
      <w:divBdr>
        <w:top w:val="none" w:sz="0" w:space="0" w:color="auto"/>
        <w:left w:val="none" w:sz="0" w:space="0" w:color="auto"/>
        <w:bottom w:val="none" w:sz="0" w:space="0" w:color="auto"/>
        <w:right w:val="none" w:sz="0" w:space="0" w:color="auto"/>
      </w:divBdr>
      <w:divsChild>
        <w:div w:id="622879548">
          <w:marLeft w:val="0"/>
          <w:marRight w:val="0"/>
          <w:marTop w:val="0"/>
          <w:marBottom w:val="0"/>
          <w:divBdr>
            <w:top w:val="none" w:sz="0" w:space="0" w:color="auto"/>
            <w:left w:val="none" w:sz="0" w:space="0" w:color="auto"/>
            <w:bottom w:val="none" w:sz="0" w:space="0" w:color="auto"/>
            <w:right w:val="none" w:sz="0" w:space="0" w:color="auto"/>
          </w:divBdr>
          <w:divsChild>
            <w:div w:id="1515268633">
              <w:marLeft w:val="0"/>
              <w:marRight w:val="0"/>
              <w:marTop w:val="0"/>
              <w:marBottom w:val="0"/>
              <w:divBdr>
                <w:top w:val="none" w:sz="0" w:space="0" w:color="auto"/>
                <w:left w:val="none" w:sz="0" w:space="0" w:color="auto"/>
                <w:bottom w:val="none" w:sz="0" w:space="0" w:color="auto"/>
                <w:right w:val="none" w:sz="0" w:space="0" w:color="auto"/>
              </w:divBdr>
              <w:divsChild>
                <w:div w:id="321736652">
                  <w:marLeft w:val="0"/>
                  <w:marRight w:val="0"/>
                  <w:marTop w:val="0"/>
                  <w:marBottom w:val="0"/>
                  <w:divBdr>
                    <w:top w:val="none" w:sz="0" w:space="0" w:color="auto"/>
                    <w:left w:val="none" w:sz="0" w:space="0" w:color="auto"/>
                    <w:bottom w:val="none" w:sz="0" w:space="0" w:color="auto"/>
                    <w:right w:val="none" w:sz="0" w:space="0" w:color="auto"/>
                  </w:divBdr>
                  <w:divsChild>
                    <w:div w:id="1927181644">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882599431">
                              <w:marLeft w:val="0"/>
                              <w:marRight w:val="0"/>
                              <w:marTop w:val="0"/>
                              <w:marBottom w:val="0"/>
                              <w:divBdr>
                                <w:top w:val="none" w:sz="0" w:space="0" w:color="auto"/>
                                <w:left w:val="none" w:sz="0" w:space="0" w:color="auto"/>
                                <w:bottom w:val="none" w:sz="0" w:space="0" w:color="auto"/>
                                <w:right w:val="none" w:sz="0" w:space="0" w:color="auto"/>
                              </w:divBdr>
                              <w:divsChild>
                                <w:div w:id="587545649">
                                  <w:marLeft w:val="0"/>
                                  <w:marRight w:val="0"/>
                                  <w:marTop w:val="0"/>
                                  <w:marBottom w:val="0"/>
                                  <w:divBdr>
                                    <w:top w:val="none" w:sz="0" w:space="0" w:color="auto"/>
                                    <w:left w:val="none" w:sz="0" w:space="0" w:color="auto"/>
                                    <w:bottom w:val="none" w:sz="0" w:space="0" w:color="auto"/>
                                    <w:right w:val="none" w:sz="0" w:space="0" w:color="auto"/>
                                  </w:divBdr>
                                  <w:divsChild>
                                    <w:div w:id="1117601877">
                                      <w:marLeft w:val="0"/>
                                      <w:marRight w:val="0"/>
                                      <w:marTop w:val="0"/>
                                      <w:marBottom w:val="0"/>
                                      <w:divBdr>
                                        <w:top w:val="none" w:sz="0" w:space="0" w:color="auto"/>
                                        <w:left w:val="none" w:sz="0" w:space="0" w:color="auto"/>
                                        <w:bottom w:val="none" w:sz="0" w:space="0" w:color="auto"/>
                                        <w:right w:val="none" w:sz="0" w:space="0" w:color="auto"/>
                                      </w:divBdr>
                                      <w:divsChild>
                                        <w:div w:id="181894942">
                                          <w:marLeft w:val="0"/>
                                          <w:marRight w:val="0"/>
                                          <w:marTop w:val="0"/>
                                          <w:marBottom w:val="0"/>
                                          <w:divBdr>
                                            <w:top w:val="none" w:sz="0" w:space="0" w:color="auto"/>
                                            <w:left w:val="none" w:sz="0" w:space="0" w:color="auto"/>
                                            <w:bottom w:val="none" w:sz="0" w:space="0" w:color="auto"/>
                                            <w:right w:val="none" w:sz="0" w:space="0" w:color="auto"/>
                                          </w:divBdr>
                                          <w:divsChild>
                                            <w:div w:id="1137064524">
                                              <w:marLeft w:val="0"/>
                                              <w:marRight w:val="0"/>
                                              <w:marTop w:val="0"/>
                                              <w:marBottom w:val="0"/>
                                              <w:divBdr>
                                                <w:top w:val="none" w:sz="0" w:space="0" w:color="auto"/>
                                                <w:left w:val="none" w:sz="0" w:space="0" w:color="auto"/>
                                                <w:bottom w:val="none" w:sz="0" w:space="0" w:color="auto"/>
                                                <w:right w:val="none" w:sz="0" w:space="0" w:color="auto"/>
                                              </w:divBdr>
                                              <w:divsChild>
                                                <w:div w:id="928319530">
                                                  <w:marLeft w:val="0"/>
                                                  <w:marRight w:val="0"/>
                                                  <w:marTop w:val="0"/>
                                                  <w:marBottom w:val="0"/>
                                                  <w:divBdr>
                                                    <w:top w:val="none" w:sz="0" w:space="0" w:color="auto"/>
                                                    <w:left w:val="none" w:sz="0" w:space="0" w:color="auto"/>
                                                    <w:bottom w:val="none" w:sz="0" w:space="0" w:color="auto"/>
                                                    <w:right w:val="none" w:sz="0" w:space="0" w:color="auto"/>
                                                  </w:divBdr>
                                                  <w:divsChild>
                                                    <w:div w:id="28772764">
                                                      <w:marLeft w:val="0"/>
                                                      <w:marRight w:val="0"/>
                                                      <w:marTop w:val="0"/>
                                                      <w:marBottom w:val="0"/>
                                                      <w:divBdr>
                                                        <w:top w:val="none" w:sz="0" w:space="0" w:color="auto"/>
                                                        <w:left w:val="none" w:sz="0" w:space="0" w:color="auto"/>
                                                        <w:bottom w:val="none" w:sz="0" w:space="0" w:color="auto"/>
                                                        <w:right w:val="none" w:sz="0" w:space="0" w:color="auto"/>
                                                      </w:divBdr>
                                                      <w:divsChild>
                                                        <w:div w:id="16308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606934">
      <w:bodyDiv w:val="1"/>
      <w:marLeft w:val="0"/>
      <w:marRight w:val="0"/>
      <w:marTop w:val="0"/>
      <w:marBottom w:val="0"/>
      <w:divBdr>
        <w:top w:val="none" w:sz="0" w:space="0" w:color="auto"/>
        <w:left w:val="none" w:sz="0" w:space="0" w:color="auto"/>
        <w:bottom w:val="none" w:sz="0" w:space="0" w:color="auto"/>
        <w:right w:val="none" w:sz="0" w:space="0" w:color="auto"/>
      </w:divBdr>
      <w:divsChild>
        <w:div w:id="46532293">
          <w:marLeft w:val="0"/>
          <w:marRight w:val="0"/>
          <w:marTop w:val="0"/>
          <w:marBottom w:val="0"/>
          <w:divBdr>
            <w:top w:val="none" w:sz="0" w:space="0" w:color="auto"/>
            <w:left w:val="none" w:sz="0" w:space="0" w:color="auto"/>
            <w:bottom w:val="none" w:sz="0" w:space="0" w:color="auto"/>
            <w:right w:val="none" w:sz="0" w:space="0" w:color="auto"/>
          </w:divBdr>
          <w:divsChild>
            <w:div w:id="1936864793">
              <w:marLeft w:val="0"/>
              <w:marRight w:val="0"/>
              <w:marTop w:val="0"/>
              <w:marBottom w:val="0"/>
              <w:divBdr>
                <w:top w:val="none" w:sz="0" w:space="0" w:color="auto"/>
                <w:left w:val="none" w:sz="0" w:space="0" w:color="auto"/>
                <w:bottom w:val="none" w:sz="0" w:space="0" w:color="auto"/>
                <w:right w:val="none" w:sz="0" w:space="0" w:color="auto"/>
              </w:divBdr>
              <w:divsChild>
                <w:div w:id="331298906">
                  <w:marLeft w:val="0"/>
                  <w:marRight w:val="0"/>
                  <w:marTop w:val="0"/>
                  <w:marBottom w:val="0"/>
                  <w:divBdr>
                    <w:top w:val="none" w:sz="0" w:space="0" w:color="auto"/>
                    <w:left w:val="none" w:sz="0" w:space="0" w:color="auto"/>
                    <w:bottom w:val="none" w:sz="0" w:space="0" w:color="auto"/>
                    <w:right w:val="none" w:sz="0" w:space="0" w:color="auto"/>
                  </w:divBdr>
                  <w:divsChild>
                    <w:div w:id="277375497">
                      <w:marLeft w:val="0"/>
                      <w:marRight w:val="0"/>
                      <w:marTop w:val="0"/>
                      <w:marBottom w:val="0"/>
                      <w:divBdr>
                        <w:top w:val="none" w:sz="0" w:space="0" w:color="auto"/>
                        <w:left w:val="none" w:sz="0" w:space="0" w:color="auto"/>
                        <w:bottom w:val="none" w:sz="0" w:space="0" w:color="auto"/>
                        <w:right w:val="none" w:sz="0" w:space="0" w:color="auto"/>
                      </w:divBdr>
                      <w:divsChild>
                        <w:div w:id="79298697">
                          <w:marLeft w:val="0"/>
                          <w:marRight w:val="0"/>
                          <w:marTop w:val="0"/>
                          <w:marBottom w:val="0"/>
                          <w:divBdr>
                            <w:top w:val="none" w:sz="0" w:space="0" w:color="auto"/>
                            <w:left w:val="none" w:sz="0" w:space="0" w:color="auto"/>
                            <w:bottom w:val="none" w:sz="0" w:space="0" w:color="auto"/>
                            <w:right w:val="none" w:sz="0" w:space="0" w:color="auto"/>
                          </w:divBdr>
                          <w:divsChild>
                            <w:div w:id="1375621406">
                              <w:marLeft w:val="0"/>
                              <w:marRight w:val="0"/>
                              <w:marTop w:val="0"/>
                              <w:marBottom w:val="0"/>
                              <w:divBdr>
                                <w:top w:val="none" w:sz="0" w:space="0" w:color="auto"/>
                                <w:left w:val="none" w:sz="0" w:space="0" w:color="auto"/>
                                <w:bottom w:val="none" w:sz="0" w:space="0" w:color="auto"/>
                                <w:right w:val="none" w:sz="0" w:space="0" w:color="auto"/>
                              </w:divBdr>
                              <w:divsChild>
                                <w:div w:id="1145008288">
                                  <w:marLeft w:val="0"/>
                                  <w:marRight w:val="0"/>
                                  <w:marTop w:val="0"/>
                                  <w:marBottom w:val="0"/>
                                  <w:divBdr>
                                    <w:top w:val="none" w:sz="0" w:space="0" w:color="auto"/>
                                    <w:left w:val="none" w:sz="0" w:space="0" w:color="auto"/>
                                    <w:bottom w:val="none" w:sz="0" w:space="0" w:color="auto"/>
                                    <w:right w:val="none" w:sz="0" w:space="0" w:color="auto"/>
                                  </w:divBdr>
                                  <w:divsChild>
                                    <w:div w:id="227227897">
                                      <w:marLeft w:val="0"/>
                                      <w:marRight w:val="0"/>
                                      <w:marTop w:val="0"/>
                                      <w:marBottom w:val="0"/>
                                      <w:divBdr>
                                        <w:top w:val="none" w:sz="0" w:space="0" w:color="auto"/>
                                        <w:left w:val="none" w:sz="0" w:space="0" w:color="auto"/>
                                        <w:bottom w:val="none" w:sz="0" w:space="0" w:color="auto"/>
                                        <w:right w:val="none" w:sz="0" w:space="0" w:color="auto"/>
                                      </w:divBdr>
                                      <w:divsChild>
                                        <w:div w:id="144980182">
                                          <w:marLeft w:val="0"/>
                                          <w:marRight w:val="0"/>
                                          <w:marTop w:val="0"/>
                                          <w:marBottom w:val="0"/>
                                          <w:divBdr>
                                            <w:top w:val="none" w:sz="0" w:space="0" w:color="auto"/>
                                            <w:left w:val="none" w:sz="0" w:space="0" w:color="auto"/>
                                            <w:bottom w:val="none" w:sz="0" w:space="0" w:color="auto"/>
                                            <w:right w:val="none" w:sz="0" w:space="0" w:color="auto"/>
                                          </w:divBdr>
                                          <w:divsChild>
                                            <w:div w:id="1111163911">
                                              <w:marLeft w:val="0"/>
                                              <w:marRight w:val="0"/>
                                              <w:marTop w:val="0"/>
                                              <w:marBottom w:val="0"/>
                                              <w:divBdr>
                                                <w:top w:val="none" w:sz="0" w:space="0" w:color="auto"/>
                                                <w:left w:val="none" w:sz="0" w:space="0" w:color="auto"/>
                                                <w:bottom w:val="none" w:sz="0" w:space="0" w:color="auto"/>
                                                <w:right w:val="none" w:sz="0" w:space="0" w:color="auto"/>
                                              </w:divBdr>
                                              <w:divsChild>
                                                <w:div w:id="1649476456">
                                                  <w:marLeft w:val="0"/>
                                                  <w:marRight w:val="0"/>
                                                  <w:marTop w:val="0"/>
                                                  <w:marBottom w:val="0"/>
                                                  <w:divBdr>
                                                    <w:top w:val="none" w:sz="0" w:space="0" w:color="auto"/>
                                                    <w:left w:val="none" w:sz="0" w:space="0" w:color="auto"/>
                                                    <w:bottom w:val="none" w:sz="0" w:space="0" w:color="auto"/>
                                                    <w:right w:val="none" w:sz="0" w:space="0" w:color="auto"/>
                                                  </w:divBdr>
                                                  <w:divsChild>
                                                    <w:div w:id="6955233">
                                                      <w:marLeft w:val="0"/>
                                                      <w:marRight w:val="0"/>
                                                      <w:marTop w:val="0"/>
                                                      <w:marBottom w:val="0"/>
                                                      <w:divBdr>
                                                        <w:top w:val="none" w:sz="0" w:space="0" w:color="auto"/>
                                                        <w:left w:val="none" w:sz="0" w:space="0" w:color="auto"/>
                                                        <w:bottom w:val="none" w:sz="0" w:space="0" w:color="auto"/>
                                                        <w:right w:val="none" w:sz="0" w:space="0" w:color="auto"/>
                                                      </w:divBdr>
                                                      <w:divsChild>
                                                        <w:div w:id="1531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199477">
      <w:bodyDiv w:val="1"/>
      <w:marLeft w:val="0"/>
      <w:marRight w:val="0"/>
      <w:marTop w:val="0"/>
      <w:marBottom w:val="0"/>
      <w:divBdr>
        <w:top w:val="none" w:sz="0" w:space="0" w:color="auto"/>
        <w:left w:val="none" w:sz="0" w:space="0" w:color="auto"/>
        <w:bottom w:val="none" w:sz="0" w:space="0" w:color="auto"/>
        <w:right w:val="none" w:sz="0" w:space="0" w:color="auto"/>
      </w:divBdr>
      <w:divsChild>
        <w:div w:id="360522280">
          <w:marLeft w:val="0"/>
          <w:marRight w:val="0"/>
          <w:marTop w:val="0"/>
          <w:marBottom w:val="0"/>
          <w:divBdr>
            <w:top w:val="none" w:sz="0" w:space="0" w:color="auto"/>
            <w:left w:val="none" w:sz="0" w:space="0" w:color="auto"/>
            <w:bottom w:val="none" w:sz="0" w:space="0" w:color="auto"/>
            <w:right w:val="none" w:sz="0" w:space="0" w:color="auto"/>
          </w:divBdr>
          <w:divsChild>
            <w:div w:id="149369740">
              <w:marLeft w:val="0"/>
              <w:marRight w:val="0"/>
              <w:marTop w:val="0"/>
              <w:marBottom w:val="0"/>
              <w:divBdr>
                <w:top w:val="none" w:sz="0" w:space="0" w:color="auto"/>
                <w:left w:val="none" w:sz="0" w:space="0" w:color="auto"/>
                <w:bottom w:val="none" w:sz="0" w:space="0" w:color="auto"/>
                <w:right w:val="none" w:sz="0" w:space="0" w:color="auto"/>
              </w:divBdr>
              <w:divsChild>
                <w:div w:id="2104914992">
                  <w:marLeft w:val="0"/>
                  <w:marRight w:val="0"/>
                  <w:marTop w:val="0"/>
                  <w:marBottom w:val="0"/>
                  <w:divBdr>
                    <w:top w:val="none" w:sz="0" w:space="0" w:color="auto"/>
                    <w:left w:val="none" w:sz="0" w:space="0" w:color="auto"/>
                    <w:bottom w:val="none" w:sz="0" w:space="0" w:color="auto"/>
                    <w:right w:val="none" w:sz="0" w:space="0" w:color="auto"/>
                  </w:divBdr>
                  <w:divsChild>
                    <w:div w:id="303316059">
                      <w:marLeft w:val="0"/>
                      <w:marRight w:val="0"/>
                      <w:marTop w:val="0"/>
                      <w:marBottom w:val="0"/>
                      <w:divBdr>
                        <w:top w:val="none" w:sz="0" w:space="0" w:color="auto"/>
                        <w:left w:val="none" w:sz="0" w:space="0" w:color="auto"/>
                        <w:bottom w:val="none" w:sz="0" w:space="0" w:color="auto"/>
                        <w:right w:val="none" w:sz="0" w:space="0" w:color="auto"/>
                      </w:divBdr>
                      <w:divsChild>
                        <w:div w:id="634454383">
                          <w:marLeft w:val="0"/>
                          <w:marRight w:val="0"/>
                          <w:marTop w:val="0"/>
                          <w:marBottom w:val="0"/>
                          <w:divBdr>
                            <w:top w:val="none" w:sz="0" w:space="0" w:color="auto"/>
                            <w:left w:val="none" w:sz="0" w:space="0" w:color="auto"/>
                            <w:bottom w:val="none" w:sz="0" w:space="0" w:color="auto"/>
                            <w:right w:val="none" w:sz="0" w:space="0" w:color="auto"/>
                          </w:divBdr>
                          <w:divsChild>
                            <w:div w:id="94138423">
                              <w:marLeft w:val="0"/>
                              <w:marRight w:val="0"/>
                              <w:marTop w:val="0"/>
                              <w:marBottom w:val="0"/>
                              <w:divBdr>
                                <w:top w:val="none" w:sz="0" w:space="0" w:color="auto"/>
                                <w:left w:val="none" w:sz="0" w:space="0" w:color="auto"/>
                                <w:bottom w:val="none" w:sz="0" w:space="0" w:color="auto"/>
                                <w:right w:val="none" w:sz="0" w:space="0" w:color="auto"/>
                              </w:divBdr>
                              <w:divsChild>
                                <w:div w:id="996374950">
                                  <w:marLeft w:val="0"/>
                                  <w:marRight w:val="0"/>
                                  <w:marTop w:val="0"/>
                                  <w:marBottom w:val="0"/>
                                  <w:divBdr>
                                    <w:top w:val="none" w:sz="0" w:space="0" w:color="auto"/>
                                    <w:left w:val="none" w:sz="0" w:space="0" w:color="auto"/>
                                    <w:bottom w:val="none" w:sz="0" w:space="0" w:color="auto"/>
                                    <w:right w:val="none" w:sz="0" w:space="0" w:color="auto"/>
                                  </w:divBdr>
                                  <w:divsChild>
                                    <w:div w:id="446580192">
                                      <w:marLeft w:val="0"/>
                                      <w:marRight w:val="0"/>
                                      <w:marTop w:val="0"/>
                                      <w:marBottom w:val="0"/>
                                      <w:divBdr>
                                        <w:top w:val="none" w:sz="0" w:space="0" w:color="auto"/>
                                        <w:left w:val="none" w:sz="0" w:space="0" w:color="auto"/>
                                        <w:bottom w:val="none" w:sz="0" w:space="0" w:color="auto"/>
                                        <w:right w:val="none" w:sz="0" w:space="0" w:color="auto"/>
                                      </w:divBdr>
                                      <w:divsChild>
                                        <w:div w:id="1767723465">
                                          <w:marLeft w:val="0"/>
                                          <w:marRight w:val="0"/>
                                          <w:marTop w:val="0"/>
                                          <w:marBottom w:val="0"/>
                                          <w:divBdr>
                                            <w:top w:val="none" w:sz="0" w:space="0" w:color="auto"/>
                                            <w:left w:val="none" w:sz="0" w:space="0" w:color="auto"/>
                                            <w:bottom w:val="none" w:sz="0" w:space="0" w:color="auto"/>
                                            <w:right w:val="none" w:sz="0" w:space="0" w:color="auto"/>
                                          </w:divBdr>
                                          <w:divsChild>
                                            <w:div w:id="1154447871">
                                              <w:marLeft w:val="0"/>
                                              <w:marRight w:val="0"/>
                                              <w:marTop w:val="0"/>
                                              <w:marBottom w:val="0"/>
                                              <w:divBdr>
                                                <w:top w:val="none" w:sz="0" w:space="0" w:color="auto"/>
                                                <w:left w:val="none" w:sz="0" w:space="0" w:color="auto"/>
                                                <w:bottom w:val="none" w:sz="0" w:space="0" w:color="auto"/>
                                                <w:right w:val="none" w:sz="0" w:space="0" w:color="auto"/>
                                              </w:divBdr>
                                              <w:divsChild>
                                                <w:div w:id="1925648247">
                                                  <w:marLeft w:val="0"/>
                                                  <w:marRight w:val="0"/>
                                                  <w:marTop w:val="0"/>
                                                  <w:marBottom w:val="0"/>
                                                  <w:divBdr>
                                                    <w:top w:val="none" w:sz="0" w:space="0" w:color="auto"/>
                                                    <w:left w:val="none" w:sz="0" w:space="0" w:color="auto"/>
                                                    <w:bottom w:val="none" w:sz="0" w:space="0" w:color="auto"/>
                                                    <w:right w:val="none" w:sz="0" w:space="0" w:color="auto"/>
                                                  </w:divBdr>
                                                  <w:divsChild>
                                                    <w:div w:id="120075197">
                                                      <w:marLeft w:val="0"/>
                                                      <w:marRight w:val="0"/>
                                                      <w:marTop w:val="0"/>
                                                      <w:marBottom w:val="0"/>
                                                      <w:divBdr>
                                                        <w:top w:val="none" w:sz="0" w:space="0" w:color="auto"/>
                                                        <w:left w:val="none" w:sz="0" w:space="0" w:color="auto"/>
                                                        <w:bottom w:val="none" w:sz="0" w:space="0" w:color="auto"/>
                                                        <w:right w:val="none" w:sz="0" w:space="0" w:color="auto"/>
                                                      </w:divBdr>
                                                      <w:divsChild>
                                                        <w:div w:id="12733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519716">
      <w:bodyDiv w:val="1"/>
      <w:marLeft w:val="0"/>
      <w:marRight w:val="0"/>
      <w:marTop w:val="0"/>
      <w:marBottom w:val="0"/>
      <w:divBdr>
        <w:top w:val="none" w:sz="0" w:space="0" w:color="auto"/>
        <w:left w:val="none" w:sz="0" w:space="0" w:color="auto"/>
        <w:bottom w:val="none" w:sz="0" w:space="0" w:color="auto"/>
        <w:right w:val="none" w:sz="0" w:space="0" w:color="auto"/>
      </w:divBdr>
      <w:divsChild>
        <w:div w:id="1470706944">
          <w:marLeft w:val="0"/>
          <w:marRight w:val="0"/>
          <w:marTop w:val="0"/>
          <w:marBottom w:val="0"/>
          <w:divBdr>
            <w:top w:val="none" w:sz="0" w:space="0" w:color="auto"/>
            <w:left w:val="none" w:sz="0" w:space="0" w:color="auto"/>
            <w:bottom w:val="none" w:sz="0" w:space="0" w:color="auto"/>
            <w:right w:val="none" w:sz="0" w:space="0" w:color="auto"/>
          </w:divBdr>
          <w:divsChild>
            <w:div w:id="1715084079">
              <w:marLeft w:val="0"/>
              <w:marRight w:val="0"/>
              <w:marTop w:val="0"/>
              <w:marBottom w:val="0"/>
              <w:divBdr>
                <w:top w:val="none" w:sz="0" w:space="0" w:color="auto"/>
                <w:left w:val="none" w:sz="0" w:space="0" w:color="auto"/>
                <w:bottom w:val="none" w:sz="0" w:space="0" w:color="auto"/>
                <w:right w:val="none" w:sz="0" w:space="0" w:color="auto"/>
              </w:divBdr>
              <w:divsChild>
                <w:div w:id="611396473">
                  <w:marLeft w:val="0"/>
                  <w:marRight w:val="0"/>
                  <w:marTop w:val="0"/>
                  <w:marBottom w:val="0"/>
                  <w:divBdr>
                    <w:top w:val="none" w:sz="0" w:space="0" w:color="auto"/>
                    <w:left w:val="none" w:sz="0" w:space="0" w:color="auto"/>
                    <w:bottom w:val="none" w:sz="0" w:space="0" w:color="auto"/>
                    <w:right w:val="none" w:sz="0" w:space="0" w:color="auto"/>
                  </w:divBdr>
                  <w:divsChild>
                    <w:div w:id="2051683172">
                      <w:marLeft w:val="0"/>
                      <w:marRight w:val="0"/>
                      <w:marTop w:val="0"/>
                      <w:marBottom w:val="0"/>
                      <w:divBdr>
                        <w:top w:val="none" w:sz="0" w:space="0" w:color="auto"/>
                        <w:left w:val="none" w:sz="0" w:space="0" w:color="auto"/>
                        <w:bottom w:val="none" w:sz="0" w:space="0" w:color="auto"/>
                        <w:right w:val="none" w:sz="0" w:space="0" w:color="auto"/>
                      </w:divBdr>
                      <w:divsChild>
                        <w:div w:id="1853181817">
                          <w:marLeft w:val="0"/>
                          <w:marRight w:val="0"/>
                          <w:marTop w:val="0"/>
                          <w:marBottom w:val="0"/>
                          <w:divBdr>
                            <w:top w:val="none" w:sz="0" w:space="0" w:color="auto"/>
                            <w:left w:val="none" w:sz="0" w:space="0" w:color="auto"/>
                            <w:bottom w:val="none" w:sz="0" w:space="0" w:color="auto"/>
                            <w:right w:val="none" w:sz="0" w:space="0" w:color="auto"/>
                          </w:divBdr>
                          <w:divsChild>
                            <w:div w:id="1205942172">
                              <w:marLeft w:val="0"/>
                              <w:marRight w:val="0"/>
                              <w:marTop w:val="0"/>
                              <w:marBottom w:val="0"/>
                              <w:divBdr>
                                <w:top w:val="none" w:sz="0" w:space="0" w:color="auto"/>
                                <w:left w:val="none" w:sz="0" w:space="0" w:color="auto"/>
                                <w:bottom w:val="none" w:sz="0" w:space="0" w:color="auto"/>
                                <w:right w:val="none" w:sz="0" w:space="0" w:color="auto"/>
                              </w:divBdr>
                              <w:divsChild>
                                <w:div w:id="176508365">
                                  <w:marLeft w:val="0"/>
                                  <w:marRight w:val="0"/>
                                  <w:marTop w:val="0"/>
                                  <w:marBottom w:val="0"/>
                                  <w:divBdr>
                                    <w:top w:val="none" w:sz="0" w:space="0" w:color="auto"/>
                                    <w:left w:val="none" w:sz="0" w:space="0" w:color="auto"/>
                                    <w:bottom w:val="none" w:sz="0" w:space="0" w:color="auto"/>
                                    <w:right w:val="none" w:sz="0" w:space="0" w:color="auto"/>
                                  </w:divBdr>
                                  <w:divsChild>
                                    <w:div w:id="509179469">
                                      <w:marLeft w:val="0"/>
                                      <w:marRight w:val="0"/>
                                      <w:marTop w:val="0"/>
                                      <w:marBottom w:val="0"/>
                                      <w:divBdr>
                                        <w:top w:val="none" w:sz="0" w:space="0" w:color="auto"/>
                                        <w:left w:val="none" w:sz="0" w:space="0" w:color="auto"/>
                                        <w:bottom w:val="none" w:sz="0" w:space="0" w:color="auto"/>
                                        <w:right w:val="none" w:sz="0" w:space="0" w:color="auto"/>
                                      </w:divBdr>
                                      <w:divsChild>
                                        <w:div w:id="1677541384">
                                          <w:marLeft w:val="0"/>
                                          <w:marRight w:val="0"/>
                                          <w:marTop w:val="0"/>
                                          <w:marBottom w:val="0"/>
                                          <w:divBdr>
                                            <w:top w:val="none" w:sz="0" w:space="0" w:color="auto"/>
                                            <w:left w:val="none" w:sz="0" w:space="0" w:color="auto"/>
                                            <w:bottom w:val="none" w:sz="0" w:space="0" w:color="auto"/>
                                            <w:right w:val="none" w:sz="0" w:space="0" w:color="auto"/>
                                          </w:divBdr>
                                          <w:divsChild>
                                            <w:div w:id="153497869">
                                              <w:marLeft w:val="0"/>
                                              <w:marRight w:val="0"/>
                                              <w:marTop w:val="0"/>
                                              <w:marBottom w:val="0"/>
                                              <w:divBdr>
                                                <w:top w:val="none" w:sz="0" w:space="0" w:color="auto"/>
                                                <w:left w:val="none" w:sz="0" w:space="0" w:color="auto"/>
                                                <w:bottom w:val="none" w:sz="0" w:space="0" w:color="auto"/>
                                                <w:right w:val="none" w:sz="0" w:space="0" w:color="auto"/>
                                              </w:divBdr>
                                              <w:divsChild>
                                                <w:div w:id="869878436">
                                                  <w:marLeft w:val="0"/>
                                                  <w:marRight w:val="0"/>
                                                  <w:marTop w:val="0"/>
                                                  <w:marBottom w:val="0"/>
                                                  <w:divBdr>
                                                    <w:top w:val="none" w:sz="0" w:space="0" w:color="auto"/>
                                                    <w:left w:val="none" w:sz="0" w:space="0" w:color="auto"/>
                                                    <w:bottom w:val="none" w:sz="0" w:space="0" w:color="auto"/>
                                                    <w:right w:val="none" w:sz="0" w:space="0" w:color="auto"/>
                                                  </w:divBdr>
                                                  <w:divsChild>
                                                    <w:div w:id="1570578923">
                                                      <w:marLeft w:val="0"/>
                                                      <w:marRight w:val="0"/>
                                                      <w:marTop w:val="0"/>
                                                      <w:marBottom w:val="0"/>
                                                      <w:divBdr>
                                                        <w:top w:val="none" w:sz="0" w:space="0" w:color="auto"/>
                                                        <w:left w:val="none" w:sz="0" w:space="0" w:color="auto"/>
                                                        <w:bottom w:val="none" w:sz="0" w:space="0" w:color="auto"/>
                                                        <w:right w:val="none" w:sz="0" w:space="0" w:color="auto"/>
                                                      </w:divBdr>
                                                      <w:divsChild>
                                                        <w:div w:id="20951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revisions-large-exposures" TargetMode="External"/><Relationship Id="rId2" Type="http://schemas.openxmlformats.org/officeDocument/2006/relationships/hyperlink" Target="https://www.apra.gov.au/information-papers-released-apra" TargetMode="External"/><Relationship Id="rId1" Type="http://schemas.openxmlformats.org/officeDocument/2006/relationships/hyperlink" Target="https://www.bis.org/press/p140415.htm" TargetMode="External"/><Relationship Id="rId4" Type="http://schemas.openxmlformats.org/officeDocument/2006/relationships/hyperlink" Target="https://www.apra.gov.au/revisions-large-expos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5JENXJJSCC7A-445999044-8694</_dlc_DocId>
    <TaxCatchAll xmlns="814d62cb-2db6-4c25-ab62-b9075facbc11">
      <Value>24</Value>
      <Value>83</Value>
      <Value>4</Value>
      <Value>134</Value>
      <Value>26</Value>
      <Value>93</Value>
      <Value>245</Value>
      <Value>158</Value>
      <Value>140</Value>
      <Value>1</Value>
      <Value>171</Value>
    </TaxCatchAll>
    <_dlc_DocIdUrl xmlns="814d62cb-2db6-4c25-ab62-b9075facbc11">
      <Url>https://im/teams/LEGAL/_layouts/15/DocIdRedir.aspx?ID=5JENXJJSCC7A-445999044-8694</Url>
      <Description>5JENXJJSCC7A-445999044-8694</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 xsi:nil="true"/>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Communication - external</TermName>
          <TermId xmlns="http://schemas.microsoft.com/office/infopath/2007/PartnerControls">baf9e592-0501-4265-ab47-7bc3da499426</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l003ee8eff60461aa1bd0027aba92ea4 xmlns="814d62cb-2db6-4c25-ab62-b9075facbc11">
      <Terms xmlns="http://schemas.microsoft.com/office/infopath/2007/PartnerControl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documentManagement>
</p:properties>
</file>

<file path=customXml/item3.xml><?xml version="1.0" encoding="utf-8"?>
<?mso-contentType ?>
<SharedContentType xmlns="Microsoft.SharePoint.Taxonomy.ContentTypeSync" SourceId="8aef97a4-ded2-4e4a-9fbc-e666dae3ecd2" ContentTypeId="0x0101008CA7A4F8331B45C7B0D3158B4994D0CA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C1EFC647C3313E448513E179EFEAE9D8" ma:contentTypeVersion="39" ma:contentTypeDescription="Create a new document." ma:contentTypeScope="" ma:versionID="6fd45ea6ef9e211a48f2d5ff1dc0dbbe">
  <xsd:schema xmlns:xsd="http://www.w3.org/2001/XMLSchema" xmlns:xs="http://www.w3.org/2001/XMLSchema" xmlns:p="http://schemas.microsoft.com/office/2006/metadata/properties" xmlns:ns1="814d62cb-2db6-4c25-ab62-b9075facbc11" targetNamespace="http://schemas.microsoft.com/office/2006/metadata/properties" ma:root="true" ma:fieldsID="7e17bb44d4b42558666231c9dae61043"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element ref="ns1:p10c80fc2da942ae8f2ea9b33b6ea0ba" minOccurs="0"/>
                <xsd:element ref="ns1:b37d8d7e823543f58f89056343a903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p10c80fc2da942ae8f2ea9b33b6ea0ba" ma:index="50"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b37d8d7e823543f58f89056343a9035c" ma:index="52"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2.xml><?xml version="1.0" encoding="utf-8"?>
<ds:datastoreItem xmlns:ds="http://schemas.openxmlformats.org/officeDocument/2006/customXml" ds:itemID="{DB094D29-882B-4468-968F-1717AF69C1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DED114-7DA5-44A0-AA0E-5008FFB2E66D}">
  <ds:schemaRefs>
    <ds:schemaRef ds:uri="Microsoft.SharePoint.Taxonomy.ContentTypeSync"/>
  </ds:schemaRefs>
</ds:datastoreItem>
</file>

<file path=customXml/itemProps4.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5.xml><?xml version="1.0" encoding="utf-8"?>
<ds:datastoreItem xmlns:ds="http://schemas.openxmlformats.org/officeDocument/2006/customXml" ds:itemID="{09F21D3B-9378-4CB3-A3E9-E089A226C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83871C-2B6B-422A-8860-5B7CA7D1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0</TotalTime>
  <Pages>11</Pages>
  <Words>1333</Words>
  <Characters>7604</Characters>
  <Application>Microsoft Office Word</Application>
  <DocSecurity>0</DocSecurity>
  <Lines>120</Lines>
  <Paragraphs>48</Paragraphs>
  <ScaleCrop>false</ScaleCrop>
  <HeadingPairs>
    <vt:vector size="2" baseType="variant">
      <vt:variant>
        <vt:lpstr>Title</vt:lpstr>
      </vt:variant>
      <vt:variant>
        <vt:i4>1</vt:i4>
      </vt:variant>
    </vt:vector>
  </HeadingPairs>
  <TitlesOfParts>
    <vt:vector size="1" baseType="lpstr">
      <vt:lpstr>Explanatory Statement -APS 221-Large Exposures</vt:lpstr>
    </vt:vector>
  </TitlesOfParts>
  <Company>APRA</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-APS 221-Large Exposures</dc:title>
  <dc:subject/>
  <dc:creator>Pham, Antony</dc:creator>
  <cp:keywords>[SEC=UNCLASSIFIED]</cp:keywords>
  <dc:description/>
  <cp:lastModifiedBy>Li, Joanne</cp:lastModifiedBy>
  <cp:revision>2</cp:revision>
  <cp:lastPrinted>2018-03-12T00:59:00Z</cp:lastPrinted>
  <dcterms:created xsi:type="dcterms:W3CDTF">2018-08-27T03:16:00Z</dcterms:created>
  <dcterms:modified xsi:type="dcterms:W3CDTF">2018-08-27T03:16:00Z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DE8E7CE1482F67568D74FAE3EFAC7A69E52F9CB0</vt:lpwstr>
  </property>
  <property fmtid="{D5CDD505-2E9C-101B-9397-08002B2CF9AE}" pid="7" name="PM_InsertionValue">
    <vt:lpwstr>UNCLASSIFIED</vt:lpwstr>
  </property>
  <property fmtid="{D5CDD505-2E9C-101B-9397-08002B2CF9AE}" pid="8" name="PM_Hash_Salt">
    <vt:lpwstr>AEAC7D4724232A3820CFB221065E3BAA</vt:lpwstr>
  </property>
  <property fmtid="{D5CDD505-2E9C-101B-9397-08002B2CF9AE}" pid="9" name="PM_Hash_Version">
    <vt:lpwstr>2016.1</vt:lpwstr>
  </property>
  <property fmtid="{D5CDD505-2E9C-101B-9397-08002B2CF9AE}" pid="10" name="PM_Hash_Salt_Prev">
    <vt:lpwstr>8B551CA350D2DD4480A0127793C2A3B9</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16" name="i4e4d1b1941346c0a613fbc8252e9520">
    <vt:lpwstr/>
  </property>
  <property fmtid="{D5CDD505-2E9C-101B-9397-08002B2CF9AE}" pid="17" name="ContentTypeId">
    <vt:lpwstr>0x0101008CA7A4F8331B45C7B0D3158B4994D0CA0500C1EFC647C3313E448513E179EFEAE9D8</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5ba669e4-7c0c-47a1-96ce-52f5ae0aa827</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140;#Paper|a98fc480-f842-4619-af10-e07c292dbe5c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245;#Communication - external|baf9e592-0501-4265-ab47-7bc3da499426</vt:lpwstr>
  </property>
  <property fmtid="{D5CDD505-2E9C-101B-9397-08002B2CF9AE}" pid="32" name="APRAYear">
    <vt:lpwstr>171;#2018|337d548e-be9a-4363-bbb3-ec2b7c3daa90</vt:lpwstr>
  </property>
  <property fmtid="{D5CDD505-2E9C-101B-9397-08002B2CF9AE}" pid="33" name="APRAIndustry">
    <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2018-07-02T23:14:47Z</vt:lpwstr>
  </property>
  <property fmtid="{D5CDD505-2E9C-101B-9397-08002B2CF9AE}" pid="61" name="PM_MinimumSecurityClassification">
    <vt:lpwstr/>
  </property>
  <property fmtid="{D5CDD505-2E9C-101B-9397-08002B2CF9AE}" pid="62" name="IsLocked">
    <vt:lpwstr>Yes</vt:lpwstr>
  </property>
  <property fmtid="{D5CDD505-2E9C-101B-9397-08002B2CF9AE}" pid="63" name="RecordPoint_WorkflowType">
    <vt:lpwstr>ActiveSubmitStub</vt:lpwstr>
  </property>
  <property fmtid="{D5CDD505-2E9C-101B-9397-08002B2CF9AE}" pid="64" name="RecordPoint_ActiveItemUniqueId">
    <vt:lpwstr>{5ba669e4-7c0c-47a1-96ce-52f5ae0aa827}</vt:lpwstr>
  </property>
  <property fmtid="{D5CDD505-2E9C-101B-9397-08002B2CF9AE}" pid="65" name="RecordPoint_SubmissionCompleted">
    <vt:lpwstr/>
  </property>
  <property fmtid="{D5CDD505-2E9C-101B-9397-08002B2CF9AE}" pid="66" name="RecordPoint_ActiveItemSiteId">
    <vt:lpwstr>{88691c01-5bbb-4215-adc0-66cb7065b0af}</vt:lpwstr>
  </property>
  <property fmtid="{D5CDD505-2E9C-101B-9397-08002B2CF9AE}" pid="67" name="RecordPoint_ActiveItemListId">
    <vt:lpwstr>{0e59e171-09d8-4401-800a-327154450cb3}</vt:lpwstr>
  </property>
  <property fmtid="{D5CDD505-2E9C-101B-9397-08002B2CF9AE}" pid="68" name="RecordPoint_ActiveItemWebId">
    <vt:lpwstr>{75a71c27-8d66-4282-ae60-1bfc22a83be1}</vt:lpwstr>
  </property>
  <property fmtid="{D5CDD505-2E9C-101B-9397-08002B2CF9AE}" pid="69" name="RecordPoint_RecordNumberSubmitted">
    <vt:lpwstr/>
  </property>
  <property fmtid="{D5CDD505-2E9C-101B-9397-08002B2CF9AE}" pid="70" name="_docset_NoMedatataSyncRequired">
    <vt:lpwstr>False</vt:lpwstr>
  </property>
  <property fmtid="{D5CDD505-2E9C-101B-9397-08002B2CF9AE}" pid="71" name="RecordPoint_SubmissionDate">
    <vt:lpwstr/>
  </property>
  <property fmtid="{D5CDD505-2E9C-101B-9397-08002B2CF9AE}" pid="72" name="RecordPoint_ActiveItemMoved">
    <vt:lpwstr/>
  </property>
  <property fmtid="{D5CDD505-2E9C-101B-9397-08002B2CF9AE}" pid="73" name="RecordPoint_RecordFormat">
    <vt:lpwstr/>
  </property>
</Properties>
</file>