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2D4EE" w14:textId="4F8C51A3" w:rsidR="00C34713" w:rsidRPr="008B1CBA" w:rsidRDefault="005012D0" w:rsidP="00D7187A">
      <w:pPr>
        <w:pStyle w:val="Heading1"/>
        <w:rPr>
          <w:rFonts w:eastAsiaTheme="minorEastAsia"/>
          <w:lang w:eastAsia="en-US"/>
        </w:rPr>
      </w:pPr>
      <w:r>
        <w:rPr>
          <w:rFonts w:eastAsiaTheme="minorEastAsia"/>
          <w:lang w:eastAsia="en-US"/>
        </w:rPr>
        <w:t>REGULATION IMPACT ANALYSIS</w:t>
      </w:r>
      <w:r w:rsidR="00C34713" w:rsidRPr="008B1CBA">
        <w:rPr>
          <w:rFonts w:eastAsiaTheme="minorEastAsia"/>
          <w:lang w:eastAsia="en-US"/>
        </w:rPr>
        <w:t xml:space="preserve"> </w:t>
      </w:r>
      <w:r w:rsidR="00FF1221" w:rsidRPr="008B1CBA">
        <w:rPr>
          <w:rFonts w:eastAsiaTheme="minorEastAsia"/>
          <w:lang w:eastAsia="en-US"/>
        </w:rPr>
        <w:t>OF</w:t>
      </w:r>
      <w:r w:rsidR="00C34713" w:rsidRPr="008B1CBA">
        <w:rPr>
          <w:rFonts w:eastAsiaTheme="minorEastAsia"/>
          <w:lang w:eastAsia="en-US"/>
        </w:rPr>
        <w:t xml:space="preserve"> REVISIONS TO THE LARGE EXPOSURES FRAMEWORK</w:t>
      </w:r>
    </w:p>
    <w:p w14:paraId="7D246944" w14:textId="41637559" w:rsidR="00253EA1" w:rsidRDefault="00253EA1" w:rsidP="00253EA1">
      <w:pPr>
        <w:rPr>
          <w:rFonts w:eastAsiaTheme="minorHAnsi"/>
          <w:lang w:val="en-GB" w:eastAsia="en-US"/>
        </w:rPr>
      </w:pPr>
      <w:r>
        <w:rPr>
          <w:rFonts w:eastAsiaTheme="minorHAnsi"/>
          <w:lang w:val="en-GB" w:eastAsia="en-US"/>
        </w:rPr>
        <w:t>(OBPR ID: 20968)</w:t>
      </w:r>
    </w:p>
    <w:p w14:paraId="1B6F75F2" w14:textId="77777777" w:rsidR="00C34713" w:rsidRPr="008B1CBA" w:rsidRDefault="00C34713" w:rsidP="00D7187A">
      <w:pPr>
        <w:pStyle w:val="Heading2"/>
        <w:rPr>
          <w:rFonts w:eastAsiaTheme="minorHAnsi"/>
          <w:lang w:val="en-GB" w:eastAsia="en-US"/>
        </w:rPr>
      </w:pPr>
      <w:r w:rsidRPr="008B1CBA">
        <w:rPr>
          <w:rFonts w:eastAsiaTheme="minorHAnsi"/>
          <w:lang w:val="en-GB" w:eastAsia="en-US"/>
        </w:rPr>
        <w:t>Background</w:t>
      </w:r>
    </w:p>
    <w:p w14:paraId="30278C74" w14:textId="20F5FEE6" w:rsidR="002D530A" w:rsidRPr="002D530A" w:rsidRDefault="002D530A" w:rsidP="00B60CD0">
      <w:pPr>
        <w:jc w:val="left"/>
        <w:rPr>
          <w:rFonts w:eastAsiaTheme="minorHAnsi" w:cs="Arial"/>
          <w:sz w:val="24"/>
          <w:lang w:val="en-GB" w:eastAsia="en-US"/>
        </w:rPr>
      </w:pPr>
      <w:r w:rsidRPr="002D530A">
        <w:rPr>
          <w:rFonts w:eastAsiaTheme="minorEastAsia" w:cs="Arial"/>
          <w:sz w:val="24"/>
        </w:rPr>
        <w:t xml:space="preserve">APRA’s development of its revised prudential framework for large exposures involved an equivalent process and analysis to that required for a Regulation Impact Statement (RIS) as set out in </w:t>
      </w:r>
      <w:r w:rsidRPr="002D530A">
        <w:rPr>
          <w:rFonts w:eastAsiaTheme="minorEastAsia" w:cs="Arial"/>
          <w:i/>
          <w:sz w:val="24"/>
        </w:rPr>
        <w:t>The Aust</w:t>
      </w:r>
      <w:bookmarkStart w:id="0" w:name="_GoBack"/>
      <w:bookmarkEnd w:id="0"/>
      <w:r w:rsidRPr="002D530A">
        <w:rPr>
          <w:rFonts w:eastAsiaTheme="minorEastAsia" w:cs="Arial"/>
          <w:i/>
          <w:sz w:val="24"/>
        </w:rPr>
        <w:t>ralian Government Guide to Regulation</w:t>
      </w:r>
      <w:r w:rsidRPr="002D530A">
        <w:rPr>
          <w:rFonts w:eastAsiaTheme="minorEastAsia" w:cs="Arial"/>
          <w:sz w:val="24"/>
        </w:rPr>
        <w:t xml:space="preserve"> </w:t>
      </w:r>
      <w:r w:rsidRPr="002D530A">
        <w:rPr>
          <w:rFonts w:eastAsiaTheme="minorEastAsia" w:cs="Arial"/>
          <w:sz w:val="24"/>
        </w:rPr>
        <w:lastRenderedPageBreak/>
        <w:t>(the Guide).</w:t>
      </w:r>
      <w:r w:rsidRPr="002D530A">
        <w:rPr>
          <w:rFonts w:eastAsiaTheme="minorEastAsia" w:cs="Arial"/>
          <w:color w:val="595959" w:themeColor="text1" w:themeTint="A6"/>
          <w:sz w:val="24"/>
          <w:vertAlign w:val="superscript"/>
        </w:rPr>
        <w:footnoteReference w:id="1"/>
      </w:r>
      <w:r w:rsidRPr="002D530A">
        <w:rPr>
          <w:rFonts w:eastAsiaTheme="minorEastAsia" w:cs="Arial"/>
          <w:sz w:val="24"/>
          <w:vertAlign w:val="superscript"/>
        </w:rPr>
        <w:t xml:space="preserve"> </w:t>
      </w:r>
      <w:r w:rsidRPr="002D530A">
        <w:rPr>
          <w:rFonts w:eastAsiaTheme="minorEastAsia" w:cs="Arial"/>
          <w:sz w:val="24"/>
        </w:rPr>
        <w:t xml:space="preserve"> Through this process, APRA answered the seven RIS questions set out in the Guide, which are summarised below.</w:t>
      </w:r>
    </w:p>
    <w:p w14:paraId="766B7327" w14:textId="77777777" w:rsidR="002376A6" w:rsidRPr="008B1CBA" w:rsidRDefault="002376A6" w:rsidP="00D7187A">
      <w:pPr>
        <w:pStyle w:val="Heading2"/>
        <w:rPr>
          <w:rFonts w:eastAsiaTheme="minorHAnsi"/>
          <w:lang w:val="en-GB" w:eastAsia="en-US"/>
        </w:rPr>
      </w:pPr>
      <w:r w:rsidRPr="008B1CBA">
        <w:rPr>
          <w:rFonts w:eastAsiaTheme="minorHAnsi"/>
          <w:lang w:val="en-GB" w:eastAsia="en-US"/>
        </w:rPr>
        <w:t xml:space="preserve">Questions 1 and 2 </w:t>
      </w:r>
      <w:r w:rsidR="00FF1221" w:rsidRPr="008B1CBA">
        <w:rPr>
          <w:rFonts w:eastAsiaTheme="minorHAnsi"/>
          <w:lang w:val="en-GB" w:eastAsia="en-US"/>
        </w:rPr>
        <w:t>— Assessing the problem and objectives of government action</w:t>
      </w:r>
    </w:p>
    <w:p w14:paraId="132DA837" w14:textId="4DAC5B8A" w:rsidR="004C14C3" w:rsidRPr="008B1CBA" w:rsidRDefault="009C4C4D" w:rsidP="00B60CD0">
      <w:pPr>
        <w:jc w:val="left"/>
        <w:rPr>
          <w:rFonts w:eastAsiaTheme="minorHAnsi" w:cs="Arial"/>
          <w:sz w:val="24"/>
          <w:lang w:val="en-GB" w:eastAsia="en-US"/>
        </w:rPr>
      </w:pPr>
      <w:r w:rsidRPr="008B1CBA">
        <w:rPr>
          <w:rFonts w:eastAsiaTheme="minorHAnsi" w:cs="Arial"/>
          <w:sz w:val="24"/>
          <w:lang w:val="en-GB" w:eastAsia="en-US"/>
        </w:rPr>
        <w:t xml:space="preserve">In </w:t>
      </w:r>
      <w:r w:rsidR="00D42F6B">
        <w:rPr>
          <w:rFonts w:eastAsiaTheme="minorHAnsi" w:cs="Arial"/>
          <w:sz w:val="24"/>
          <w:lang w:val="en-GB" w:eastAsia="en-US"/>
        </w:rPr>
        <w:t>its</w:t>
      </w:r>
      <w:r w:rsidR="00AC5417" w:rsidRPr="008B1CBA">
        <w:rPr>
          <w:rFonts w:eastAsiaTheme="minorHAnsi" w:cs="Arial"/>
          <w:sz w:val="24"/>
          <w:lang w:val="en-GB" w:eastAsia="en-US"/>
        </w:rPr>
        <w:t xml:space="preserve"> </w:t>
      </w:r>
      <w:r w:rsidR="00D42F6B">
        <w:rPr>
          <w:rFonts w:eastAsiaTheme="minorHAnsi" w:cs="Arial"/>
          <w:sz w:val="24"/>
          <w:lang w:val="en-GB" w:eastAsia="en-US"/>
        </w:rPr>
        <w:t xml:space="preserve">April 2017 </w:t>
      </w:r>
      <w:r w:rsidR="00AC5417" w:rsidRPr="008B1CBA">
        <w:rPr>
          <w:rFonts w:eastAsiaTheme="minorHAnsi" w:cs="Arial"/>
          <w:sz w:val="24"/>
          <w:lang w:val="en-GB" w:eastAsia="en-US"/>
        </w:rPr>
        <w:t>discussion paper</w:t>
      </w:r>
      <w:r w:rsidR="00D42F6B">
        <w:rPr>
          <w:rFonts w:eastAsiaTheme="minorHAnsi" w:cs="Arial"/>
          <w:sz w:val="24"/>
          <w:lang w:val="en-GB" w:eastAsia="en-US"/>
        </w:rPr>
        <w:t xml:space="preserve">, </w:t>
      </w:r>
      <w:r w:rsidR="00D42F6B">
        <w:rPr>
          <w:rFonts w:eastAsiaTheme="minorHAnsi" w:cs="Arial"/>
          <w:i/>
          <w:sz w:val="24"/>
          <w:lang w:val="en-GB" w:eastAsia="en-US"/>
        </w:rPr>
        <w:t>Revisions to Large Exposures</w:t>
      </w:r>
      <w:r w:rsidRPr="008B1CBA">
        <w:rPr>
          <w:rFonts w:eastAsiaTheme="minorHAnsi" w:cs="Arial"/>
          <w:sz w:val="24"/>
          <w:lang w:val="en-GB" w:eastAsia="en-US"/>
        </w:rPr>
        <w:t>,</w:t>
      </w:r>
      <w:r w:rsidR="00AC5417" w:rsidRPr="008B1CBA">
        <w:rPr>
          <w:rStyle w:val="FootnoteReference"/>
          <w:rFonts w:eastAsiaTheme="minorHAnsi" w:cs="Arial"/>
          <w:sz w:val="24"/>
          <w:lang w:val="en-GB" w:eastAsia="en-US"/>
        </w:rPr>
        <w:footnoteReference w:id="2"/>
      </w:r>
      <w:r w:rsidRPr="008B1CBA">
        <w:rPr>
          <w:rFonts w:eastAsiaTheme="minorHAnsi" w:cs="Arial"/>
          <w:sz w:val="24"/>
          <w:lang w:val="en-GB" w:eastAsia="en-US"/>
        </w:rPr>
        <w:t xml:space="preserve"> APRA outlined the problem</w:t>
      </w:r>
      <w:r w:rsidR="00AC5417" w:rsidRPr="008B1CBA">
        <w:rPr>
          <w:rFonts w:eastAsiaTheme="minorHAnsi" w:cs="Arial"/>
          <w:sz w:val="24"/>
          <w:lang w:val="en-GB" w:eastAsia="en-US"/>
        </w:rPr>
        <w:t xml:space="preserve"> in relation to </w:t>
      </w:r>
      <w:r w:rsidR="004C14C3" w:rsidRPr="008B1CBA">
        <w:rPr>
          <w:rFonts w:eastAsiaTheme="minorHAnsi" w:cs="Arial"/>
          <w:sz w:val="24"/>
          <w:lang w:val="en-GB" w:eastAsia="en-US"/>
        </w:rPr>
        <w:t xml:space="preserve">APRA’s large exposure requirements for </w:t>
      </w:r>
      <w:r w:rsidR="00436ECB">
        <w:rPr>
          <w:rFonts w:eastAsiaTheme="minorHAnsi" w:cs="Arial"/>
          <w:sz w:val="24"/>
          <w:lang w:val="en-GB" w:eastAsia="en-US"/>
        </w:rPr>
        <w:t>authorised deposit-taking institutions (</w:t>
      </w:r>
      <w:r w:rsidR="004C14C3" w:rsidRPr="008B1CBA">
        <w:rPr>
          <w:rFonts w:eastAsiaTheme="minorHAnsi" w:cs="Arial"/>
          <w:sz w:val="24"/>
          <w:lang w:val="en-GB" w:eastAsia="en-US"/>
        </w:rPr>
        <w:t>ADIs</w:t>
      </w:r>
      <w:r w:rsidR="00436ECB">
        <w:rPr>
          <w:rFonts w:eastAsiaTheme="minorHAnsi" w:cs="Arial"/>
          <w:sz w:val="24"/>
          <w:lang w:val="en-GB" w:eastAsia="en-US"/>
        </w:rPr>
        <w:t>)</w:t>
      </w:r>
      <w:r w:rsidR="004C14C3" w:rsidRPr="008B1CBA">
        <w:rPr>
          <w:rFonts w:eastAsiaTheme="minorHAnsi" w:cs="Arial"/>
          <w:sz w:val="24"/>
          <w:lang w:val="en-GB" w:eastAsia="en-US"/>
        </w:rPr>
        <w:t xml:space="preserve">, </w:t>
      </w:r>
      <w:r w:rsidR="006753E6">
        <w:rPr>
          <w:rFonts w:eastAsiaTheme="minorHAnsi" w:cs="Arial"/>
          <w:sz w:val="24"/>
          <w:lang w:val="en-GB" w:eastAsia="en-US"/>
        </w:rPr>
        <w:t xml:space="preserve">as </w:t>
      </w:r>
      <w:r w:rsidR="004C14C3" w:rsidRPr="008B1CBA">
        <w:rPr>
          <w:rFonts w:eastAsiaTheme="minorHAnsi" w:cs="Arial"/>
          <w:sz w:val="24"/>
          <w:lang w:val="en-GB" w:eastAsia="en-US"/>
        </w:rPr>
        <w:t>set out in</w:t>
      </w:r>
      <w:r w:rsidR="00DC332E" w:rsidRPr="008B1CBA">
        <w:rPr>
          <w:rFonts w:eastAsiaTheme="minorHAnsi" w:cs="Arial"/>
          <w:sz w:val="24"/>
          <w:lang w:val="en-GB" w:eastAsia="en-US"/>
        </w:rPr>
        <w:t xml:space="preserve"> </w:t>
      </w:r>
      <w:r w:rsidR="00DC332E" w:rsidRPr="008B1CBA">
        <w:rPr>
          <w:rFonts w:eastAsiaTheme="minorHAnsi" w:cs="Arial"/>
          <w:i/>
          <w:sz w:val="24"/>
          <w:lang w:val="en-GB" w:eastAsia="en-US"/>
        </w:rPr>
        <w:t>Prudential Standard</w:t>
      </w:r>
      <w:r w:rsidR="004C14C3" w:rsidRPr="008B1CBA">
        <w:rPr>
          <w:rFonts w:eastAsiaTheme="minorHAnsi" w:cs="Arial"/>
          <w:i/>
          <w:sz w:val="24"/>
          <w:lang w:val="en-GB" w:eastAsia="en-US"/>
        </w:rPr>
        <w:t xml:space="preserve"> APS 221</w:t>
      </w:r>
      <w:r w:rsidR="00DC332E" w:rsidRPr="008B1CBA">
        <w:rPr>
          <w:rFonts w:eastAsiaTheme="minorHAnsi" w:cs="Arial"/>
          <w:i/>
          <w:sz w:val="24"/>
          <w:lang w:val="en-GB" w:eastAsia="en-US"/>
        </w:rPr>
        <w:t xml:space="preserve"> Large Expo</w:t>
      </w:r>
      <w:r w:rsidR="00DC332E" w:rsidRPr="008B1CBA">
        <w:rPr>
          <w:rFonts w:eastAsiaTheme="minorHAnsi" w:cs="Arial"/>
          <w:i/>
          <w:sz w:val="24"/>
          <w:lang w:val="en-GB" w:eastAsia="en-US"/>
        </w:rPr>
        <w:lastRenderedPageBreak/>
        <w:t>sures</w:t>
      </w:r>
      <w:r w:rsidR="00DC332E" w:rsidRPr="008B1CBA">
        <w:rPr>
          <w:rFonts w:eastAsiaTheme="minorHAnsi" w:cs="Arial"/>
          <w:sz w:val="24"/>
          <w:lang w:val="en-GB" w:eastAsia="en-US"/>
        </w:rPr>
        <w:t xml:space="preserve"> (APS 221)</w:t>
      </w:r>
      <w:r w:rsidR="00AC5417" w:rsidRPr="008B1CBA">
        <w:rPr>
          <w:rFonts w:eastAsiaTheme="minorHAnsi" w:cs="Arial"/>
          <w:sz w:val="24"/>
          <w:lang w:val="en-GB" w:eastAsia="en-US"/>
        </w:rPr>
        <w:t>.These requirements</w:t>
      </w:r>
      <w:r w:rsidR="004C14C3" w:rsidRPr="008B1CBA">
        <w:rPr>
          <w:rFonts w:eastAsiaTheme="minorHAnsi" w:cs="Arial"/>
          <w:sz w:val="24"/>
          <w:lang w:val="en-GB" w:eastAsia="en-US"/>
        </w:rPr>
        <w:t xml:space="preserve"> are an important part of the prudential framework and complement other risk management requirements, </w:t>
      </w:r>
      <w:r w:rsidR="00DC332E" w:rsidRPr="008B1CBA">
        <w:rPr>
          <w:rFonts w:eastAsiaTheme="minorHAnsi" w:cs="Arial"/>
          <w:sz w:val="24"/>
          <w:lang w:val="en-GB" w:eastAsia="en-US"/>
        </w:rPr>
        <w:t xml:space="preserve">including </w:t>
      </w:r>
      <w:r w:rsidR="004C14C3" w:rsidRPr="008B1CBA">
        <w:rPr>
          <w:rFonts w:eastAsiaTheme="minorHAnsi" w:cs="Arial"/>
          <w:sz w:val="24"/>
          <w:lang w:val="en-GB" w:eastAsia="en-US"/>
        </w:rPr>
        <w:t xml:space="preserve">risk-based capital </w:t>
      </w:r>
      <w:r w:rsidR="00DC332E" w:rsidRPr="008B1CBA">
        <w:rPr>
          <w:rFonts w:eastAsiaTheme="minorHAnsi" w:cs="Arial"/>
          <w:sz w:val="24"/>
          <w:lang w:val="en-GB" w:eastAsia="en-US"/>
        </w:rPr>
        <w:t>requirements</w:t>
      </w:r>
      <w:r w:rsidR="004C14C3" w:rsidRPr="008B1CBA">
        <w:rPr>
          <w:rFonts w:eastAsiaTheme="minorHAnsi" w:cs="Arial"/>
          <w:sz w:val="24"/>
          <w:lang w:val="en-GB" w:eastAsia="en-US"/>
        </w:rPr>
        <w:t xml:space="preserve">. A key purpose of </w:t>
      </w:r>
      <w:r w:rsidR="006753E6">
        <w:rPr>
          <w:rFonts w:eastAsiaTheme="minorHAnsi" w:cs="Arial"/>
          <w:sz w:val="24"/>
          <w:lang w:val="en-GB" w:eastAsia="en-US"/>
        </w:rPr>
        <w:t xml:space="preserve">the </w:t>
      </w:r>
      <w:r w:rsidR="004C14C3" w:rsidRPr="008B1CBA">
        <w:rPr>
          <w:rFonts w:eastAsiaTheme="minorHAnsi" w:cs="Arial"/>
          <w:sz w:val="24"/>
          <w:lang w:val="en-GB" w:eastAsia="en-US"/>
        </w:rPr>
        <w:t xml:space="preserve">large exposure requirements is to limit the emergence of large losses in the event of a counterparty failure, and to ensure that ADIs manage risks from concentration and contagion risks. APS 221 was last </w:t>
      </w:r>
      <w:r w:rsidR="006753E6">
        <w:rPr>
          <w:rFonts w:eastAsiaTheme="minorHAnsi" w:cs="Arial"/>
          <w:sz w:val="24"/>
          <w:lang w:val="en-GB" w:eastAsia="en-US"/>
        </w:rPr>
        <w:t>comprehensively</w:t>
      </w:r>
      <w:r w:rsidR="004C14C3" w:rsidRPr="008B1CBA">
        <w:rPr>
          <w:rFonts w:eastAsiaTheme="minorHAnsi" w:cs="Arial"/>
          <w:sz w:val="24"/>
          <w:lang w:val="en-GB" w:eastAsia="en-US"/>
        </w:rPr>
        <w:t xml:space="preserve"> updated in 2003.</w:t>
      </w:r>
    </w:p>
    <w:p w14:paraId="599B01FF" w14:textId="0FC06104" w:rsidR="004C14C3" w:rsidRDefault="00DC332E" w:rsidP="00B60CD0">
      <w:pPr>
        <w:jc w:val="left"/>
        <w:rPr>
          <w:rFonts w:eastAsiaTheme="minorHAnsi" w:cs="Arial"/>
          <w:sz w:val="24"/>
          <w:lang w:val="en-GB" w:eastAsia="en-US"/>
        </w:rPr>
      </w:pPr>
      <w:r w:rsidRPr="008B1CBA">
        <w:rPr>
          <w:rFonts w:eastAsiaTheme="minorHAnsi" w:cs="Arial"/>
          <w:sz w:val="24"/>
          <w:lang w:val="en-GB" w:eastAsia="en-US"/>
        </w:rPr>
        <w:t>During</w:t>
      </w:r>
      <w:r w:rsidR="004C14C3" w:rsidRPr="008B1CBA">
        <w:rPr>
          <w:rFonts w:eastAsiaTheme="minorHAnsi" w:cs="Arial"/>
          <w:sz w:val="24"/>
          <w:lang w:val="en-GB" w:eastAsia="en-US"/>
        </w:rPr>
        <w:t xml:space="preserve"> the global financial crisis, and in subsequent years, it became evident that banks have not consistently measured, aggregated </w:t>
      </w:r>
      <w:r w:rsidR="006753E6">
        <w:rPr>
          <w:rFonts w:eastAsiaTheme="minorHAnsi" w:cs="Arial"/>
          <w:sz w:val="24"/>
          <w:lang w:val="en-GB" w:eastAsia="en-US"/>
        </w:rPr>
        <w:t>and</w:t>
      </w:r>
      <w:r w:rsidR="004C14C3" w:rsidRPr="008B1CBA">
        <w:rPr>
          <w:rFonts w:eastAsiaTheme="minorHAnsi" w:cs="Arial"/>
          <w:sz w:val="24"/>
          <w:lang w:val="en-GB" w:eastAsia="en-US"/>
        </w:rPr>
        <w:t xml:space="preserve"> controlled exposures to individual counterparties or to groups of connected counterparties. In particular, the variation</w:t>
      </w:r>
      <w:r w:rsidR="006753E6">
        <w:rPr>
          <w:rFonts w:eastAsiaTheme="minorHAnsi" w:cs="Arial"/>
          <w:sz w:val="24"/>
          <w:lang w:val="en-GB" w:eastAsia="en-US"/>
        </w:rPr>
        <w:t>s</w:t>
      </w:r>
      <w:r w:rsidR="004C14C3" w:rsidRPr="008B1CBA">
        <w:rPr>
          <w:rFonts w:eastAsiaTheme="minorHAnsi" w:cs="Arial"/>
          <w:sz w:val="24"/>
          <w:lang w:val="en-GB" w:eastAsia="en-US"/>
        </w:rPr>
        <w:t xml:space="preserve"> amongst jurisdictions regarding measures of exposure</w:t>
      </w:r>
      <w:r w:rsidRPr="008B1CBA">
        <w:rPr>
          <w:rFonts w:eastAsiaTheme="minorHAnsi" w:cs="Arial"/>
          <w:sz w:val="24"/>
          <w:lang w:val="en-GB" w:eastAsia="en-US"/>
        </w:rPr>
        <w:t>s</w:t>
      </w:r>
      <w:r w:rsidR="00436ECB">
        <w:rPr>
          <w:rFonts w:eastAsiaTheme="minorHAnsi" w:cs="Arial"/>
          <w:sz w:val="24"/>
          <w:lang w:val="en-GB" w:eastAsia="en-US"/>
        </w:rPr>
        <w:t xml:space="preserve"> and</w:t>
      </w:r>
      <w:r w:rsidR="004C14C3" w:rsidRPr="008B1CBA">
        <w:rPr>
          <w:rFonts w:eastAsiaTheme="minorHAnsi" w:cs="Arial"/>
          <w:sz w:val="24"/>
          <w:lang w:val="en-GB" w:eastAsia="en-US"/>
        </w:rPr>
        <w:t xml:space="preserve"> measures of capital and quantita</w:t>
      </w:r>
      <w:r w:rsidR="004C14C3" w:rsidRPr="008B1CBA">
        <w:rPr>
          <w:rFonts w:eastAsiaTheme="minorHAnsi" w:cs="Arial"/>
          <w:sz w:val="24"/>
          <w:lang w:val="en-GB" w:eastAsia="en-US"/>
        </w:rPr>
        <w:lastRenderedPageBreak/>
        <w:t xml:space="preserve">tive limits supported the need for the Basel Committee </w:t>
      </w:r>
      <w:r w:rsidRPr="008B1CBA">
        <w:rPr>
          <w:rFonts w:eastAsiaTheme="minorHAnsi" w:cs="Arial"/>
          <w:sz w:val="24"/>
          <w:lang w:val="en-GB" w:eastAsia="en-US"/>
        </w:rPr>
        <w:t xml:space="preserve">on Banking Supervision (Basel Committee) </w:t>
      </w:r>
      <w:r w:rsidR="004C14C3" w:rsidRPr="008B1CBA">
        <w:rPr>
          <w:rFonts w:eastAsiaTheme="minorHAnsi" w:cs="Arial"/>
          <w:sz w:val="24"/>
          <w:lang w:val="en-GB" w:eastAsia="en-US"/>
        </w:rPr>
        <w:t>to review the large exposures framework to facilitate consistent large exposure</w:t>
      </w:r>
      <w:r w:rsidR="00436ECB">
        <w:rPr>
          <w:rFonts w:eastAsiaTheme="minorHAnsi" w:cs="Arial"/>
          <w:sz w:val="24"/>
          <w:lang w:val="en-GB" w:eastAsia="en-US"/>
        </w:rPr>
        <w:t>s</w:t>
      </w:r>
      <w:r w:rsidR="004C14C3" w:rsidRPr="008B1CBA">
        <w:rPr>
          <w:rFonts w:eastAsiaTheme="minorHAnsi" w:cs="Arial"/>
          <w:sz w:val="24"/>
          <w:lang w:val="en-GB" w:eastAsia="en-US"/>
        </w:rPr>
        <w:t xml:space="preserve"> standards and to ensure banks manage and limit excessive concentration risk.</w:t>
      </w:r>
    </w:p>
    <w:p w14:paraId="0E72BF99" w14:textId="3DFB2910" w:rsidR="00A06CF3" w:rsidRPr="00A06CF3" w:rsidRDefault="004B14CE" w:rsidP="00B60CD0">
      <w:pPr>
        <w:jc w:val="left"/>
        <w:rPr>
          <w:rFonts w:eastAsiaTheme="minorHAnsi" w:cs="Arial"/>
          <w:sz w:val="24"/>
          <w:lang w:eastAsia="en-US"/>
        </w:rPr>
      </w:pPr>
      <w:r w:rsidRPr="004C09F7">
        <w:rPr>
          <w:rFonts w:eastAsiaTheme="minorHAnsi" w:cs="Arial"/>
          <w:sz w:val="24"/>
          <w:lang w:val="en-GB" w:eastAsia="en-US"/>
        </w:rPr>
        <w:t>In April 2014, the Basel Committee released its revised large exposures framework,</w:t>
      </w:r>
      <w:r w:rsidRPr="004C09F7">
        <w:rPr>
          <w:rFonts w:eastAsiaTheme="minorHAnsi" w:cs="Arial"/>
          <w:i/>
          <w:sz w:val="24"/>
          <w:lang w:val="en-GB" w:eastAsia="en-US"/>
        </w:rPr>
        <w:t xml:space="preserve"> Standards: Supervisory framework for measuring and controlling large exposures</w:t>
      </w:r>
      <w:r w:rsidRPr="004C09F7">
        <w:rPr>
          <w:rFonts w:eastAsiaTheme="minorHAnsi" w:cs="Arial"/>
          <w:sz w:val="24"/>
          <w:lang w:val="en-GB" w:eastAsia="en-US"/>
        </w:rPr>
        <w:t xml:space="preserve"> (Basel large exposures framework), which replaces the Basel Committee’s large exposures guidance on monitoring and controlling large credit exposures released in January 1991.</w:t>
      </w:r>
      <w:r w:rsidR="00A06CF3" w:rsidRPr="004C09F7">
        <w:rPr>
          <w:rStyle w:val="FootnoteReference"/>
          <w:rFonts w:eastAsiaTheme="minorHAnsi" w:cs="Arial"/>
          <w:sz w:val="24"/>
          <w:lang w:val="en-GB" w:eastAsia="en-US"/>
        </w:rPr>
        <w:footnoteReference w:id="3"/>
      </w:r>
      <w:r w:rsidR="00A06CF3">
        <w:rPr>
          <w:rFonts w:eastAsiaTheme="minorHAnsi" w:cs="Arial"/>
          <w:sz w:val="24"/>
          <w:lang w:val="en-GB" w:eastAsia="en-US"/>
        </w:rPr>
        <w:t xml:space="preserve"> </w:t>
      </w:r>
      <w:r w:rsidR="00A06CF3" w:rsidRPr="00A06CF3">
        <w:rPr>
          <w:rFonts w:eastAsiaTheme="minorHAnsi" w:cs="Arial"/>
          <w:sz w:val="24"/>
          <w:lang w:eastAsia="en-US"/>
        </w:rPr>
        <w:lastRenderedPageBreak/>
        <w:t xml:space="preserve">The large exposure requirements complement risk-based capital requirements and operate to measure and limit large exposures in relation to a bank’s capital. The key aspects of the </w:t>
      </w:r>
      <w:r w:rsidR="00A06CF3">
        <w:rPr>
          <w:rFonts w:eastAsiaTheme="minorHAnsi" w:cs="Arial"/>
          <w:sz w:val="24"/>
          <w:lang w:eastAsia="en-US"/>
        </w:rPr>
        <w:t xml:space="preserve">Basel </w:t>
      </w:r>
      <w:r w:rsidR="00A06CF3" w:rsidRPr="00A06CF3">
        <w:rPr>
          <w:rFonts w:eastAsiaTheme="minorHAnsi" w:cs="Arial"/>
          <w:sz w:val="24"/>
          <w:lang w:eastAsia="en-US"/>
        </w:rPr>
        <w:t>large exposure</w:t>
      </w:r>
      <w:r w:rsidR="00A06CF3">
        <w:rPr>
          <w:rFonts w:eastAsiaTheme="minorHAnsi" w:cs="Arial"/>
          <w:sz w:val="24"/>
          <w:lang w:eastAsia="en-US"/>
        </w:rPr>
        <w:t>s</w:t>
      </w:r>
      <w:r w:rsidR="00A06CF3" w:rsidRPr="00A06CF3">
        <w:rPr>
          <w:rFonts w:eastAsiaTheme="minorHAnsi" w:cs="Arial"/>
          <w:sz w:val="24"/>
          <w:lang w:eastAsia="en-US"/>
        </w:rPr>
        <w:t xml:space="preserve"> framework are:</w:t>
      </w:r>
    </w:p>
    <w:p w14:paraId="632D1A4F" w14:textId="1EF43E95" w:rsidR="00A06CF3" w:rsidRPr="008B1CBA" w:rsidRDefault="00A06CF3" w:rsidP="00B60CD0">
      <w:pPr>
        <w:pStyle w:val="ListParagraph"/>
        <w:numPr>
          <w:ilvl w:val="0"/>
          <w:numId w:val="21"/>
        </w:numPr>
        <w:jc w:val="left"/>
        <w:rPr>
          <w:rFonts w:eastAsiaTheme="minorHAnsi" w:cs="Arial"/>
          <w:sz w:val="24"/>
          <w:lang w:eastAsia="en-US"/>
        </w:rPr>
      </w:pPr>
      <w:r w:rsidRPr="008B1CBA">
        <w:rPr>
          <w:rFonts w:eastAsiaTheme="minorHAnsi" w:cs="Arial"/>
          <w:sz w:val="24"/>
          <w:lang w:eastAsia="en-US"/>
        </w:rPr>
        <w:t>a limit of 25 per cent of Tier 1 Capital for an ADI’s large exposures to a counterparty or a group of connected counterparties, with national discretion to impose smaller limits for certain types of exposures;</w:t>
      </w:r>
    </w:p>
    <w:p w14:paraId="54573EB6" w14:textId="1B11940D" w:rsidR="00A06CF3" w:rsidRPr="008B1CBA" w:rsidRDefault="00A06CF3" w:rsidP="00B60CD0">
      <w:pPr>
        <w:pStyle w:val="ListParagraph"/>
        <w:numPr>
          <w:ilvl w:val="0"/>
          <w:numId w:val="21"/>
        </w:numPr>
        <w:jc w:val="left"/>
        <w:rPr>
          <w:rFonts w:eastAsiaTheme="minorHAnsi" w:cs="Arial"/>
          <w:sz w:val="24"/>
          <w:lang w:eastAsia="en-US"/>
        </w:rPr>
      </w:pPr>
      <w:r w:rsidRPr="008B1CBA">
        <w:rPr>
          <w:rFonts w:eastAsiaTheme="minorHAnsi" w:cs="Arial"/>
          <w:sz w:val="24"/>
          <w:lang w:eastAsia="en-US"/>
        </w:rPr>
        <w:t>criteria for identifying a group of connected counterparties; and</w:t>
      </w:r>
    </w:p>
    <w:p w14:paraId="320DA92E" w14:textId="0C6979DD" w:rsidR="00A06CF3" w:rsidRPr="008B1CBA" w:rsidRDefault="00A06CF3" w:rsidP="00B60CD0">
      <w:pPr>
        <w:pStyle w:val="ListParagraph"/>
        <w:numPr>
          <w:ilvl w:val="0"/>
          <w:numId w:val="21"/>
        </w:numPr>
        <w:jc w:val="left"/>
        <w:rPr>
          <w:rFonts w:eastAsiaTheme="minorHAnsi" w:cs="Arial"/>
          <w:sz w:val="24"/>
          <w:lang w:eastAsia="en-US"/>
        </w:rPr>
      </w:pPr>
      <w:r w:rsidRPr="008B1CBA">
        <w:rPr>
          <w:rFonts w:eastAsiaTheme="minorHAnsi" w:cs="Arial"/>
          <w:sz w:val="24"/>
          <w:lang w:eastAsia="en-US"/>
        </w:rPr>
        <w:t xml:space="preserve">clear and consistent measurement of large exposure values, including specific treatments to be applied for credit risk mitigation, trading book positions, covered bonds, structured vehicles, </w:t>
      </w:r>
      <w:r w:rsidRPr="008B1CBA">
        <w:rPr>
          <w:rFonts w:eastAsiaTheme="minorHAnsi" w:cs="Arial"/>
          <w:sz w:val="24"/>
          <w:lang w:eastAsia="en-US"/>
        </w:rPr>
        <w:lastRenderedPageBreak/>
        <w:t>non-qualifying central counterparties and clearing activities</w:t>
      </w:r>
      <w:r>
        <w:rPr>
          <w:rFonts w:eastAsiaTheme="minorHAnsi" w:cs="Arial"/>
          <w:sz w:val="24"/>
          <w:lang w:eastAsia="en-US"/>
        </w:rPr>
        <w:t>.</w:t>
      </w:r>
    </w:p>
    <w:p w14:paraId="2AA8806F" w14:textId="29345F2B" w:rsidR="00255544" w:rsidRPr="008B1CBA" w:rsidRDefault="00255544" w:rsidP="00B60CD0">
      <w:pPr>
        <w:jc w:val="left"/>
        <w:rPr>
          <w:rFonts w:eastAsiaTheme="minorHAnsi" w:cs="Arial"/>
          <w:sz w:val="24"/>
          <w:lang w:val="en-GB" w:eastAsia="en-US"/>
        </w:rPr>
      </w:pPr>
      <w:r w:rsidRPr="008B1CBA">
        <w:rPr>
          <w:rFonts w:eastAsiaTheme="minorHAnsi" w:cs="Arial"/>
          <w:sz w:val="24"/>
          <w:lang w:val="en-GB" w:eastAsia="en-US"/>
        </w:rPr>
        <w:t xml:space="preserve">The Basel large exposures framework is </w:t>
      </w:r>
      <w:r w:rsidR="00A06CF3">
        <w:rPr>
          <w:rFonts w:eastAsiaTheme="minorHAnsi" w:cs="Arial"/>
          <w:sz w:val="24"/>
          <w:lang w:val="en-GB" w:eastAsia="en-US"/>
        </w:rPr>
        <w:t xml:space="preserve">a </w:t>
      </w:r>
      <w:r w:rsidRPr="008B1CBA">
        <w:rPr>
          <w:rFonts w:eastAsiaTheme="minorHAnsi" w:cs="Arial"/>
          <w:sz w:val="24"/>
          <w:lang w:val="en-GB" w:eastAsia="en-US"/>
        </w:rPr>
        <w:t xml:space="preserve">recognised international </w:t>
      </w:r>
      <w:r w:rsidR="00A06CF3">
        <w:rPr>
          <w:rFonts w:eastAsiaTheme="minorHAnsi" w:cs="Arial"/>
          <w:sz w:val="24"/>
          <w:lang w:val="en-GB" w:eastAsia="en-US"/>
        </w:rPr>
        <w:t>framework</w:t>
      </w:r>
      <w:r w:rsidR="006C35CE">
        <w:rPr>
          <w:rFonts w:eastAsiaTheme="minorHAnsi" w:cs="Arial"/>
          <w:sz w:val="24"/>
          <w:lang w:val="en-GB" w:eastAsia="en-US"/>
        </w:rPr>
        <w:t xml:space="preserve">. </w:t>
      </w:r>
      <w:r w:rsidR="00CC34AB">
        <w:rPr>
          <w:rFonts w:eastAsiaTheme="minorHAnsi" w:cs="Arial"/>
          <w:sz w:val="24"/>
          <w:lang w:val="en-GB" w:eastAsia="en-US"/>
        </w:rPr>
        <w:t>To support</w:t>
      </w:r>
      <w:r w:rsidR="006C35CE">
        <w:rPr>
          <w:rFonts w:eastAsiaTheme="minorHAnsi" w:cs="Arial"/>
          <w:sz w:val="24"/>
          <w:lang w:val="en-GB" w:eastAsia="en-US"/>
        </w:rPr>
        <w:t xml:space="preserve"> access </w:t>
      </w:r>
      <w:r w:rsidR="00CC34AB">
        <w:rPr>
          <w:rFonts w:eastAsiaTheme="minorHAnsi" w:cs="Arial"/>
          <w:sz w:val="24"/>
          <w:lang w:val="en-GB" w:eastAsia="en-US"/>
        </w:rPr>
        <w:t xml:space="preserve">to </w:t>
      </w:r>
      <w:r w:rsidR="006C35CE">
        <w:rPr>
          <w:rFonts w:eastAsiaTheme="minorHAnsi" w:cs="Arial"/>
          <w:sz w:val="24"/>
          <w:lang w:val="en-GB" w:eastAsia="en-US"/>
        </w:rPr>
        <w:t>international markets</w:t>
      </w:r>
      <w:r w:rsidR="00436ECB">
        <w:rPr>
          <w:rFonts w:eastAsiaTheme="minorHAnsi" w:cs="Arial"/>
          <w:sz w:val="24"/>
          <w:lang w:val="en-GB" w:eastAsia="en-US"/>
        </w:rPr>
        <w:t xml:space="preserve"> by Australian ADIs</w:t>
      </w:r>
      <w:r w:rsidR="006C35CE">
        <w:rPr>
          <w:rFonts w:eastAsiaTheme="minorHAnsi" w:cs="Arial"/>
          <w:sz w:val="24"/>
          <w:lang w:val="en-GB" w:eastAsia="en-US"/>
        </w:rPr>
        <w:t>, it is important</w:t>
      </w:r>
      <w:r w:rsidR="00260341">
        <w:rPr>
          <w:rFonts w:eastAsiaTheme="minorHAnsi" w:cs="Arial"/>
          <w:sz w:val="24"/>
          <w:lang w:val="en-GB" w:eastAsia="en-US"/>
        </w:rPr>
        <w:t xml:space="preserve"> that</w:t>
      </w:r>
      <w:r w:rsidR="006C35CE">
        <w:rPr>
          <w:rFonts w:eastAsiaTheme="minorHAnsi" w:cs="Arial"/>
          <w:sz w:val="24"/>
          <w:lang w:val="en-GB" w:eastAsia="en-US"/>
        </w:rPr>
        <w:t xml:space="preserve"> the Australian large exposures framework is consistent </w:t>
      </w:r>
      <w:r w:rsidR="006753E6">
        <w:rPr>
          <w:rFonts w:eastAsiaTheme="minorHAnsi" w:cs="Arial"/>
          <w:sz w:val="24"/>
          <w:lang w:val="en-GB" w:eastAsia="en-US"/>
        </w:rPr>
        <w:t xml:space="preserve">with the Basel large exposures framework </w:t>
      </w:r>
      <w:r w:rsidR="006C35CE">
        <w:rPr>
          <w:rFonts w:eastAsiaTheme="minorHAnsi" w:cs="Arial"/>
          <w:sz w:val="24"/>
          <w:lang w:val="en-GB" w:eastAsia="en-US"/>
        </w:rPr>
        <w:t>to the extent appropriate.</w:t>
      </w:r>
    </w:p>
    <w:p w14:paraId="1D53F246" w14:textId="247B4A90" w:rsidR="00255544" w:rsidRPr="008B1CBA" w:rsidRDefault="00255544" w:rsidP="00B60CD0">
      <w:pPr>
        <w:jc w:val="left"/>
        <w:rPr>
          <w:rFonts w:eastAsiaTheme="minorHAnsi" w:cs="Arial"/>
          <w:sz w:val="24"/>
          <w:lang w:val="en-GB" w:eastAsia="en-US"/>
        </w:rPr>
      </w:pPr>
      <w:r w:rsidRPr="008B1CBA">
        <w:rPr>
          <w:rFonts w:eastAsiaTheme="minorHAnsi" w:cs="Arial"/>
          <w:sz w:val="24"/>
          <w:lang w:val="en-GB" w:eastAsia="en-US"/>
        </w:rPr>
        <w:t>Failure to implement the Basel standards</w:t>
      </w:r>
      <w:r w:rsidR="006753E6">
        <w:rPr>
          <w:rFonts w:eastAsiaTheme="minorHAnsi" w:cs="Arial"/>
          <w:sz w:val="24"/>
          <w:lang w:val="en-GB" w:eastAsia="en-US"/>
        </w:rPr>
        <w:t>, including the Basel large exposures framework,</w:t>
      </w:r>
      <w:r w:rsidRPr="008B1CBA">
        <w:rPr>
          <w:rFonts w:eastAsiaTheme="minorHAnsi" w:cs="Arial"/>
          <w:sz w:val="24"/>
          <w:lang w:val="en-GB" w:eastAsia="en-US"/>
        </w:rPr>
        <w:t xml:space="preserve"> may adversely affect Australia’s standing globally, given the commitments by the Group of 20 (G20) members to implement Basel standards in a full, timely and consistent manner. Australia’s reputation as a member of the Basel Committee, Financial Stability Board and G20, founded on a long-standing commitment to adhere to international standards, could </w:t>
      </w:r>
      <w:r w:rsidRPr="008B1CBA">
        <w:rPr>
          <w:rFonts w:eastAsiaTheme="minorHAnsi" w:cs="Arial"/>
          <w:sz w:val="24"/>
          <w:lang w:val="en-GB" w:eastAsia="en-US"/>
        </w:rPr>
        <w:lastRenderedPageBreak/>
        <w:t xml:space="preserve">be diminished, limiting Australia’s capacity to influence these developments in the future and impacting </w:t>
      </w:r>
      <w:r w:rsidR="00436ECB">
        <w:rPr>
          <w:rFonts w:eastAsiaTheme="minorHAnsi" w:cs="Arial"/>
          <w:sz w:val="24"/>
          <w:lang w:val="en-GB" w:eastAsia="en-US"/>
        </w:rPr>
        <w:t xml:space="preserve">on </w:t>
      </w:r>
      <w:r w:rsidRPr="008B1CBA">
        <w:rPr>
          <w:rFonts w:eastAsiaTheme="minorHAnsi" w:cs="Arial"/>
          <w:sz w:val="24"/>
          <w:lang w:val="en-GB" w:eastAsia="en-US"/>
        </w:rPr>
        <w:t>the ability of ADIs to access international funding.</w:t>
      </w:r>
    </w:p>
    <w:p w14:paraId="76F7F248" w14:textId="52B3018F" w:rsidR="004C14C3" w:rsidRPr="008B1CBA" w:rsidRDefault="004C14C3" w:rsidP="00B60CD0">
      <w:pPr>
        <w:jc w:val="left"/>
        <w:rPr>
          <w:rFonts w:eastAsiaTheme="minorHAnsi" w:cs="Arial"/>
          <w:sz w:val="24"/>
          <w:lang w:val="en-GB" w:eastAsia="en-US"/>
        </w:rPr>
      </w:pPr>
      <w:r w:rsidRPr="008B1CBA">
        <w:rPr>
          <w:rFonts w:eastAsiaTheme="minorHAnsi" w:cs="Arial"/>
          <w:sz w:val="24"/>
          <w:lang w:val="en-GB" w:eastAsia="en-US"/>
        </w:rPr>
        <w:t>APRA proposes to incorporate revisions</w:t>
      </w:r>
      <w:r w:rsidR="006753E6">
        <w:rPr>
          <w:rFonts w:eastAsiaTheme="minorHAnsi" w:cs="Arial"/>
          <w:sz w:val="24"/>
          <w:lang w:val="en-GB" w:eastAsia="en-US"/>
        </w:rPr>
        <w:t xml:space="preserve"> to the Basel large exposures framework</w:t>
      </w:r>
      <w:r w:rsidRPr="008B1CBA">
        <w:rPr>
          <w:rFonts w:eastAsiaTheme="minorHAnsi" w:cs="Arial"/>
          <w:sz w:val="24"/>
          <w:lang w:val="en-GB" w:eastAsia="en-US"/>
        </w:rPr>
        <w:t xml:space="preserve"> into its ADI prudential framework </w:t>
      </w:r>
      <w:r w:rsidR="00DC332E" w:rsidRPr="008B1CBA">
        <w:rPr>
          <w:rFonts w:eastAsiaTheme="minorHAnsi" w:cs="Arial"/>
          <w:sz w:val="24"/>
          <w:lang w:val="en-GB" w:eastAsia="en-US"/>
        </w:rPr>
        <w:t>by updating</w:t>
      </w:r>
      <w:r w:rsidRPr="008B1CBA">
        <w:rPr>
          <w:rFonts w:eastAsiaTheme="minorHAnsi" w:cs="Arial"/>
          <w:sz w:val="24"/>
          <w:lang w:val="en-GB" w:eastAsia="en-US"/>
        </w:rPr>
        <w:t xml:space="preserve"> APS 221</w:t>
      </w:r>
      <w:r w:rsidR="00CC61BB">
        <w:rPr>
          <w:rFonts w:eastAsiaTheme="minorHAnsi" w:cs="Arial"/>
          <w:sz w:val="24"/>
          <w:lang w:val="en-GB" w:eastAsia="en-US"/>
        </w:rPr>
        <w:t>,</w:t>
      </w:r>
      <w:r w:rsidR="006753E6">
        <w:rPr>
          <w:rFonts w:eastAsiaTheme="minorHAnsi" w:cs="Arial"/>
          <w:sz w:val="24"/>
          <w:lang w:val="en-GB" w:eastAsia="en-US"/>
        </w:rPr>
        <w:t xml:space="preserve"> an</w:t>
      </w:r>
      <w:r w:rsidR="001E5AC9">
        <w:rPr>
          <w:rFonts w:eastAsiaTheme="minorHAnsi" w:cs="Arial"/>
          <w:sz w:val="24"/>
          <w:lang w:val="en-GB" w:eastAsia="en-US"/>
        </w:rPr>
        <w:t xml:space="preserve">d associated reporting standard </w:t>
      </w:r>
      <w:r w:rsidR="001E5AC9" w:rsidRPr="008B1CBA">
        <w:rPr>
          <w:rFonts w:eastAsiaTheme="minorHAnsi" w:cs="Arial"/>
          <w:i/>
          <w:sz w:val="24"/>
          <w:lang w:val="en-GB" w:eastAsia="en-US"/>
        </w:rPr>
        <w:t>Reporting Standard ARS 221.0 Large Exposures</w:t>
      </w:r>
      <w:r w:rsidR="001E5AC9">
        <w:rPr>
          <w:rFonts w:eastAsiaTheme="minorHAnsi" w:cs="Arial"/>
          <w:sz w:val="24"/>
          <w:lang w:val="en-GB" w:eastAsia="en-US"/>
        </w:rPr>
        <w:t xml:space="preserve"> (ARS 221)</w:t>
      </w:r>
      <w:r w:rsidR="006753E6">
        <w:rPr>
          <w:rFonts w:eastAsiaTheme="minorHAnsi" w:cs="Arial"/>
          <w:sz w:val="24"/>
          <w:lang w:val="en-GB" w:eastAsia="en-US"/>
        </w:rPr>
        <w:t>,</w:t>
      </w:r>
      <w:r w:rsidRPr="008B1CBA">
        <w:rPr>
          <w:rFonts w:eastAsiaTheme="minorHAnsi" w:cs="Arial"/>
          <w:sz w:val="24"/>
          <w:lang w:val="en-GB" w:eastAsia="en-US"/>
        </w:rPr>
        <w:t xml:space="preserve"> with adjustments </w:t>
      </w:r>
      <w:r w:rsidR="00C0765D" w:rsidRPr="008B1CBA">
        <w:rPr>
          <w:rFonts w:eastAsiaTheme="minorHAnsi" w:cs="Arial"/>
          <w:sz w:val="24"/>
          <w:lang w:val="en-GB" w:eastAsia="en-US"/>
        </w:rPr>
        <w:t>to reflect Australian conditions</w:t>
      </w:r>
      <w:r w:rsidRPr="008B1CBA">
        <w:rPr>
          <w:rFonts w:eastAsiaTheme="minorHAnsi" w:cs="Arial"/>
          <w:sz w:val="24"/>
          <w:lang w:val="en-GB" w:eastAsia="en-US"/>
        </w:rPr>
        <w:t>.</w:t>
      </w:r>
    </w:p>
    <w:p w14:paraId="21169DA8" w14:textId="77777777" w:rsidR="002376A6" w:rsidRPr="008B1CBA" w:rsidRDefault="002376A6" w:rsidP="00D7187A">
      <w:pPr>
        <w:pStyle w:val="Heading2"/>
        <w:rPr>
          <w:rFonts w:eastAsiaTheme="minorHAnsi"/>
          <w:lang w:val="en-GB" w:eastAsia="en-US"/>
        </w:rPr>
      </w:pPr>
      <w:r w:rsidRPr="008B1CBA">
        <w:rPr>
          <w:rFonts w:eastAsiaTheme="minorHAnsi"/>
          <w:lang w:val="en-GB" w:eastAsia="en-US"/>
        </w:rPr>
        <w:t xml:space="preserve">Questions 3 and 4 </w:t>
      </w:r>
      <w:r w:rsidR="00FF1221" w:rsidRPr="008B1CBA">
        <w:rPr>
          <w:rFonts w:eastAsiaTheme="minorHAnsi"/>
          <w:lang w:val="en-GB" w:eastAsia="en-US"/>
        </w:rPr>
        <w:t>—</w:t>
      </w:r>
      <w:r w:rsidRPr="008B1CBA">
        <w:rPr>
          <w:rFonts w:eastAsiaTheme="minorHAnsi"/>
          <w:lang w:val="en-GB" w:eastAsia="en-US"/>
        </w:rPr>
        <w:t xml:space="preserve"> Options to achieve the objectives and impact analysis</w:t>
      </w:r>
    </w:p>
    <w:p w14:paraId="7BAB0647" w14:textId="2F6A1E59" w:rsidR="00A61278" w:rsidRPr="008B1CBA" w:rsidRDefault="00D42F6B" w:rsidP="00B60CD0">
      <w:pPr>
        <w:jc w:val="left"/>
        <w:rPr>
          <w:rFonts w:eastAsiaTheme="minorHAnsi" w:cs="Arial"/>
          <w:color w:val="FF0000"/>
          <w:sz w:val="24"/>
          <w:lang w:val="en-GB" w:eastAsia="en-US"/>
        </w:rPr>
      </w:pPr>
      <w:r>
        <w:rPr>
          <w:rFonts w:eastAsiaTheme="minorHAnsi" w:cs="Arial"/>
          <w:sz w:val="24"/>
          <w:lang w:val="en-GB" w:eastAsia="en-US"/>
        </w:rPr>
        <w:t xml:space="preserve">As set out in </w:t>
      </w:r>
      <w:r w:rsidR="006753E6">
        <w:rPr>
          <w:rFonts w:eastAsiaTheme="minorHAnsi" w:cs="Arial"/>
          <w:sz w:val="24"/>
          <w:lang w:val="en-GB" w:eastAsia="en-US"/>
        </w:rPr>
        <w:t>the</w:t>
      </w:r>
      <w:r>
        <w:rPr>
          <w:rFonts w:eastAsiaTheme="minorHAnsi" w:cs="Arial"/>
          <w:sz w:val="24"/>
          <w:lang w:val="en-GB" w:eastAsia="en-US"/>
        </w:rPr>
        <w:t xml:space="preserve"> discussion paper, </w:t>
      </w:r>
      <w:r w:rsidR="00A61278" w:rsidRPr="008B1CBA">
        <w:rPr>
          <w:rFonts w:eastAsiaTheme="minorHAnsi" w:cs="Arial"/>
          <w:sz w:val="24"/>
          <w:lang w:val="en-GB" w:eastAsia="en-US"/>
        </w:rPr>
        <w:t xml:space="preserve">APRA considered </w:t>
      </w:r>
      <w:r w:rsidR="008536E8">
        <w:rPr>
          <w:rFonts w:eastAsiaTheme="minorHAnsi" w:cs="Arial"/>
          <w:sz w:val="24"/>
          <w:lang w:val="en-GB" w:eastAsia="en-US"/>
        </w:rPr>
        <w:t>three</w:t>
      </w:r>
      <w:r w:rsidR="008536E8" w:rsidRPr="008B1CBA">
        <w:rPr>
          <w:rFonts w:eastAsiaTheme="minorHAnsi" w:cs="Arial"/>
          <w:sz w:val="24"/>
          <w:lang w:val="en-GB" w:eastAsia="en-US"/>
        </w:rPr>
        <w:t xml:space="preserve"> </w:t>
      </w:r>
      <w:r w:rsidR="00A61278" w:rsidRPr="008B1CBA">
        <w:rPr>
          <w:rFonts w:eastAsiaTheme="minorHAnsi" w:cs="Arial"/>
          <w:sz w:val="24"/>
          <w:lang w:val="en-GB" w:eastAsia="en-US"/>
        </w:rPr>
        <w:t>options in developing proposed revisions to its large exposure</w:t>
      </w:r>
      <w:r w:rsidR="006753E6">
        <w:rPr>
          <w:rFonts w:eastAsiaTheme="minorHAnsi" w:cs="Arial"/>
          <w:sz w:val="24"/>
          <w:lang w:val="en-GB" w:eastAsia="en-US"/>
        </w:rPr>
        <w:t>s</w:t>
      </w:r>
      <w:r w:rsidR="00A61278" w:rsidRPr="008B1CBA">
        <w:rPr>
          <w:rFonts w:eastAsiaTheme="minorHAnsi" w:cs="Arial"/>
          <w:sz w:val="24"/>
          <w:lang w:val="en-GB" w:eastAsia="en-US"/>
        </w:rPr>
        <w:t xml:space="preserve"> </w:t>
      </w:r>
      <w:r w:rsidR="006C35CE">
        <w:rPr>
          <w:rFonts w:eastAsiaTheme="minorHAnsi" w:cs="Arial"/>
          <w:sz w:val="24"/>
          <w:lang w:val="en-GB" w:eastAsia="en-US"/>
        </w:rPr>
        <w:t xml:space="preserve">framework as set out </w:t>
      </w:r>
      <w:r w:rsidR="00A61278" w:rsidRPr="008B1CBA">
        <w:rPr>
          <w:rFonts w:eastAsiaTheme="minorHAnsi" w:cs="Arial"/>
          <w:sz w:val="24"/>
          <w:lang w:val="en-GB" w:eastAsia="en-US"/>
        </w:rPr>
        <w:t xml:space="preserve">in </w:t>
      </w:r>
      <w:r w:rsidR="00A61278" w:rsidRPr="008B1CBA">
        <w:rPr>
          <w:rFonts w:eastAsiaTheme="minorHAnsi" w:cs="Arial"/>
          <w:sz w:val="24"/>
          <w:lang w:val="en-GB" w:eastAsia="en-US"/>
        </w:rPr>
        <w:lastRenderedPageBreak/>
        <w:t xml:space="preserve">APS 221 and </w:t>
      </w:r>
      <w:r w:rsidR="00CC61BB">
        <w:rPr>
          <w:rFonts w:eastAsiaTheme="minorHAnsi" w:cs="Arial"/>
          <w:sz w:val="24"/>
          <w:lang w:val="en-GB" w:eastAsia="en-US"/>
        </w:rPr>
        <w:t xml:space="preserve">associated reporting requirements in </w:t>
      </w:r>
      <w:r w:rsidR="001E5AC9">
        <w:rPr>
          <w:rFonts w:eastAsiaTheme="minorHAnsi" w:cs="Arial"/>
          <w:sz w:val="24"/>
          <w:lang w:val="en-GB" w:eastAsia="en-US"/>
        </w:rPr>
        <w:t>ARS 221</w:t>
      </w:r>
      <w:r w:rsidR="00A61278" w:rsidRPr="008B1CBA">
        <w:rPr>
          <w:rFonts w:eastAsiaTheme="minorHAnsi" w:cs="Arial"/>
          <w:sz w:val="24"/>
          <w:lang w:val="en-GB" w:eastAsia="en-US"/>
        </w:rPr>
        <w:t>.</w:t>
      </w:r>
    </w:p>
    <w:tbl>
      <w:tblPr>
        <w:tblStyle w:val="GridTable4-Accent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3"/>
        <w:gridCol w:w="6753"/>
      </w:tblGrid>
      <w:tr w:rsidR="00A61278" w:rsidRPr="008A7884" w14:paraId="479568D1" w14:textId="77777777" w:rsidTr="00D718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002060"/>
          </w:tcPr>
          <w:p w14:paraId="6B1CC03C" w14:textId="77777777" w:rsidR="00A61278" w:rsidRPr="008B1CBA" w:rsidRDefault="00A61278" w:rsidP="00B60CD0">
            <w:pPr>
              <w:jc w:val="left"/>
              <w:rPr>
                <w:rFonts w:cs="Arial"/>
                <w:sz w:val="24"/>
                <w:lang w:eastAsia="en-US"/>
              </w:rPr>
            </w:pPr>
            <w:r w:rsidRPr="008B1CBA">
              <w:rPr>
                <w:rFonts w:cs="Arial"/>
                <w:sz w:val="24"/>
                <w:lang w:eastAsia="en-US"/>
              </w:rPr>
              <w:t>Options</w:t>
            </w:r>
          </w:p>
        </w:tc>
        <w:tc>
          <w:tcPr>
            <w:tcW w:w="6753" w:type="dxa"/>
            <w:tcBorders>
              <w:top w:val="none" w:sz="0" w:space="0" w:color="auto"/>
              <w:left w:val="none" w:sz="0" w:space="0" w:color="auto"/>
              <w:bottom w:val="none" w:sz="0" w:space="0" w:color="auto"/>
              <w:right w:val="none" w:sz="0" w:space="0" w:color="auto"/>
            </w:tcBorders>
            <w:shd w:val="clear" w:color="auto" w:fill="808080" w:themeFill="background1" w:themeFillShade="80"/>
          </w:tcPr>
          <w:p w14:paraId="4907B41C" w14:textId="77777777" w:rsidR="00A61278" w:rsidRPr="008B1CBA" w:rsidRDefault="00A61278" w:rsidP="00B60CD0">
            <w:pPr>
              <w:tabs>
                <w:tab w:val="right" w:pos="6537"/>
              </w:tabs>
              <w:jc w:val="left"/>
              <w:cnfStyle w:val="100000000000" w:firstRow="1" w:lastRow="0" w:firstColumn="0" w:lastColumn="0" w:oddVBand="0" w:evenVBand="0" w:oddHBand="0" w:evenHBand="0" w:firstRowFirstColumn="0" w:firstRowLastColumn="0" w:lastRowFirstColumn="0" w:lastRowLastColumn="0"/>
              <w:rPr>
                <w:rFonts w:cs="Arial"/>
                <w:sz w:val="24"/>
                <w:lang w:eastAsia="en-US"/>
              </w:rPr>
            </w:pPr>
            <w:r w:rsidRPr="008B1CBA">
              <w:rPr>
                <w:rFonts w:cs="Arial"/>
                <w:sz w:val="24"/>
                <w:lang w:eastAsia="en-US"/>
              </w:rPr>
              <w:t>Approach</w:t>
            </w:r>
            <w:r w:rsidRPr="008B1CBA">
              <w:rPr>
                <w:rFonts w:cs="Arial"/>
                <w:sz w:val="24"/>
                <w:lang w:eastAsia="en-US"/>
              </w:rPr>
              <w:tab/>
            </w:r>
          </w:p>
        </w:tc>
      </w:tr>
      <w:tr w:rsidR="00A61278" w:rsidRPr="008A7884" w14:paraId="3575B032" w14:textId="77777777" w:rsidTr="00D718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002060"/>
          </w:tcPr>
          <w:p w14:paraId="49E3012D" w14:textId="77777777" w:rsidR="00A61278" w:rsidRPr="008B1CBA" w:rsidRDefault="00A61278" w:rsidP="00B60CD0">
            <w:pPr>
              <w:jc w:val="left"/>
              <w:rPr>
                <w:rFonts w:cs="Arial"/>
                <w:sz w:val="24"/>
                <w:lang w:eastAsia="en-US"/>
              </w:rPr>
            </w:pPr>
            <w:r w:rsidRPr="008B1CBA">
              <w:rPr>
                <w:rFonts w:cs="Arial"/>
                <w:sz w:val="24"/>
                <w:lang w:eastAsia="en-US"/>
              </w:rPr>
              <w:t xml:space="preserve">Option 1: </w:t>
            </w:r>
            <w:r w:rsidR="00C0765D" w:rsidRPr="008B1CBA">
              <w:rPr>
                <w:rFonts w:cs="Arial"/>
                <w:sz w:val="24"/>
                <w:lang w:eastAsia="en-US"/>
              </w:rPr>
              <w:t>Status quo</w:t>
            </w:r>
          </w:p>
        </w:tc>
        <w:tc>
          <w:tcPr>
            <w:tcW w:w="6753" w:type="dxa"/>
            <w:shd w:val="clear" w:color="auto" w:fill="F2F2F2" w:themeFill="background1" w:themeFillShade="F2"/>
          </w:tcPr>
          <w:p w14:paraId="24B100BA" w14:textId="77777777" w:rsidR="00A61278" w:rsidRPr="008B1CBA" w:rsidRDefault="00A61278" w:rsidP="00B60CD0">
            <w:pPr>
              <w:jc w:val="left"/>
              <w:cnfStyle w:val="000000100000" w:firstRow="0" w:lastRow="0" w:firstColumn="0" w:lastColumn="0" w:oddVBand="0" w:evenVBand="0" w:oddHBand="1" w:evenHBand="0" w:firstRowFirstColumn="0" w:firstRowLastColumn="0" w:lastRowFirstColumn="0" w:lastRowLastColumn="0"/>
              <w:rPr>
                <w:rFonts w:cs="Arial"/>
                <w:sz w:val="24"/>
                <w:lang w:eastAsia="en-US"/>
              </w:rPr>
            </w:pPr>
            <w:r w:rsidRPr="008B1CBA">
              <w:rPr>
                <w:rFonts w:cs="Arial"/>
                <w:sz w:val="24"/>
                <w:lang w:eastAsia="en-US"/>
              </w:rPr>
              <w:t>Maintain APRA’s existing prudential requirements for large exposures</w:t>
            </w:r>
          </w:p>
        </w:tc>
      </w:tr>
      <w:tr w:rsidR="00A61278" w:rsidRPr="008A7884" w14:paraId="023459DD" w14:textId="77777777" w:rsidTr="00D7187A">
        <w:trPr>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002060"/>
          </w:tcPr>
          <w:p w14:paraId="7EF532B8" w14:textId="77777777" w:rsidR="00A61278" w:rsidRPr="008B1CBA" w:rsidRDefault="00A61278" w:rsidP="00B60CD0">
            <w:pPr>
              <w:jc w:val="left"/>
              <w:rPr>
                <w:rFonts w:cs="Arial"/>
                <w:sz w:val="24"/>
                <w:lang w:eastAsia="en-US"/>
              </w:rPr>
            </w:pPr>
            <w:r w:rsidRPr="008B1CBA">
              <w:rPr>
                <w:rFonts w:cs="Arial"/>
                <w:sz w:val="24"/>
                <w:lang w:eastAsia="en-US"/>
              </w:rPr>
              <w:t>Option 2: Full implementation</w:t>
            </w:r>
          </w:p>
        </w:tc>
        <w:tc>
          <w:tcPr>
            <w:tcW w:w="6753" w:type="dxa"/>
            <w:shd w:val="clear" w:color="auto" w:fill="F2F2F2" w:themeFill="background1" w:themeFillShade="F2"/>
          </w:tcPr>
          <w:p w14:paraId="1FA7C4C4" w14:textId="77777777" w:rsidR="00A61278" w:rsidRPr="008B1CBA" w:rsidRDefault="00A61278" w:rsidP="00B60CD0">
            <w:pPr>
              <w:jc w:val="left"/>
              <w:cnfStyle w:val="000000000000" w:firstRow="0" w:lastRow="0" w:firstColumn="0" w:lastColumn="0" w:oddVBand="0" w:evenVBand="0" w:oddHBand="0" w:evenHBand="0" w:firstRowFirstColumn="0" w:firstRowLastColumn="0" w:lastRowFirstColumn="0" w:lastRowLastColumn="0"/>
              <w:rPr>
                <w:rFonts w:cs="Arial"/>
                <w:sz w:val="24"/>
                <w:lang w:eastAsia="en-US"/>
              </w:rPr>
            </w:pPr>
            <w:r w:rsidRPr="008B1CBA">
              <w:rPr>
                <w:rFonts w:cs="Arial"/>
                <w:sz w:val="24"/>
                <w:lang w:eastAsia="en-US"/>
              </w:rPr>
              <w:t>Fully implement the Basel large exposures framework with no adjustments</w:t>
            </w:r>
          </w:p>
        </w:tc>
      </w:tr>
      <w:tr w:rsidR="00A61278" w:rsidRPr="008A7884" w14:paraId="6E24D7E8" w14:textId="77777777" w:rsidTr="00D718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shd w:val="clear" w:color="auto" w:fill="002060"/>
          </w:tcPr>
          <w:p w14:paraId="2D6831C7" w14:textId="77777777" w:rsidR="00A61278" w:rsidRPr="008B1CBA" w:rsidRDefault="00A61278" w:rsidP="00B60CD0">
            <w:pPr>
              <w:jc w:val="left"/>
              <w:rPr>
                <w:rFonts w:cs="Arial"/>
                <w:sz w:val="24"/>
                <w:lang w:eastAsia="en-US"/>
              </w:rPr>
            </w:pPr>
            <w:r w:rsidRPr="008B1CBA">
              <w:rPr>
                <w:rFonts w:cs="Arial"/>
                <w:sz w:val="24"/>
                <w:lang w:eastAsia="en-US"/>
              </w:rPr>
              <w:t>Option 3: Implementation with adjustments</w:t>
            </w:r>
            <w:r w:rsidR="00BC3FBA" w:rsidRPr="008B1CBA">
              <w:rPr>
                <w:rFonts w:cs="Arial"/>
                <w:sz w:val="24"/>
                <w:lang w:eastAsia="en-US"/>
              </w:rPr>
              <w:t xml:space="preserve"> to reflect Australian conditions</w:t>
            </w:r>
            <w:r w:rsidRPr="008B1CBA">
              <w:rPr>
                <w:rFonts w:cs="Arial"/>
                <w:sz w:val="24"/>
                <w:lang w:eastAsia="en-US"/>
              </w:rPr>
              <w:t xml:space="preserve"> </w:t>
            </w:r>
          </w:p>
        </w:tc>
        <w:tc>
          <w:tcPr>
            <w:tcW w:w="6753" w:type="dxa"/>
            <w:shd w:val="clear" w:color="auto" w:fill="F2F2F2" w:themeFill="background1" w:themeFillShade="F2"/>
          </w:tcPr>
          <w:p w14:paraId="114A6582" w14:textId="1FFE605A" w:rsidR="00A61278" w:rsidRPr="008B1CBA" w:rsidRDefault="00A61278" w:rsidP="00B60CD0">
            <w:pPr>
              <w:jc w:val="left"/>
              <w:cnfStyle w:val="000000100000" w:firstRow="0" w:lastRow="0" w:firstColumn="0" w:lastColumn="0" w:oddVBand="0" w:evenVBand="0" w:oddHBand="1" w:evenHBand="0" w:firstRowFirstColumn="0" w:firstRowLastColumn="0" w:lastRowFirstColumn="0" w:lastRowLastColumn="0"/>
              <w:rPr>
                <w:rFonts w:cs="Arial"/>
                <w:sz w:val="24"/>
                <w:lang w:eastAsia="en-US"/>
              </w:rPr>
            </w:pPr>
            <w:r w:rsidRPr="008B1CBA">
              <w:rPr>
                <w:rFonts w:cs="Arial"/>
                <w:sz w:val="24"/>
                <w:lang w:eastAsia="en-US"/>
              </w:rPr>
              <w:t>Implement the Basel large exposures framework with some adjustments for Australia</w:t>
            </w:r>
            <w:r w:rsidR="00CC34AB">
              <w:rPr>
                <w:rFonts w:cs="Arial"/>
                <w:sz w:val="24"/>
                <w:lang w:eastAsia="en-US"/>
              </w:rPr>
              <w:t>n</w:t>
            </w:r>
            <w:r w:rsidRPr="008B1CBA">
              <w:rPr>
                <w:rFonts w:cs="Arial"/>
                <w:sz w:val="24"/>
                <w:lang w:eastAsia="en-US"/>
              </w:rPr>
              <w:t xml:space="preserve"> </w:t>
            </w:r>
            <w:r w:rsidR="00732E7E">
              <w:rPr>
                <w:rFonts w:cs="Arial"/>
                <w:sz w:val="24"/>
                <w:lang w:eastAsia="en-US"/>
              </w:rPr>
              <w:t>conditions</w:t>
            </w:r>
            <w:r w:rsidRPr="008B1CBA">
              <w:rPr>
                <w:rFonts w:cs="Arial"/>
                <w:sz w:val="24"/>
                <w:lang w:eastAsia="en-US"/>
              </w:rPr>
              <w:t xml:space="preserve"> </w:t>
            </w:r>
          </w:p>
        </w:tc>
      </w:tr>
    </w:tbl>
    <w:p w14:paraId="167BDB84" w14:textId="77777777" w:rsidR="00A61278" w:rsidRPr="008B1CBA" w:rsidRDefault="00A61278" w:rsidP="00D7187A">
      <w:pPr>
        <w:pStyle w:val="Heading3"/>
        <w:rPr>
          <w:rFonts w:eastAsiaTheme="minorHAnsi"/>
          <w:lang w:val="en-GB" w:eastAsia="en-US"/>
        </w:rPr>
      </w:pPr>
      <w:bookmarkStart w:id="1" w:name="_Toc477342913"/>
      <w:r w:rsidRPr="008B1CBA">
        <w:rPr>
          <w:rFonts w:eastAsiaTheme="minorHAnsi"/>
          <w:lang w:val="en-GB" w:eastAsia="en-US"/>
        </w:rPr>
        <w:t>Option 1: Status quo</w:t>
      </w:r>
      <w:bookmarkEnd w:id="1"/>
    </w:p>
    <w:p w14:paraId="28A110B9" w14:textId="436B4C1E" w:rsidR="00A61278" w:rsidRPr="008B1CBA" w:rsidRDefault="00A61278" w:rsidP="00B60CD0">
      <w:pPr>
        <w:keepNext/>
        <w:spacing w:after="0"/>
        <w:jc w:val="left"/>
        <w:rPr>
          <w:rFonts w:eastAsiaTheme="minorHAnsi" w:cs="Arial"/>
          <w:sz w:val="24"/>
          <w:lang w:eastAsia="en-US"/>
        </w:rPr>
      </w:pPr>
      <w:r w:rsidRPr="008B1CBA">
        <w:rPr>
          <w:rFonts w:eastAsiaTheme="minorHAnsi" w:cs="Arial"/>
          <w:sz w:val="24"/>
          <w:lang w:eastAsia="en-US"/>
        </w:rPr>
        <w:t xml:space="preserve">The first option </w:t>
      </w:r>
      <w:r w:rsidR="00C0765D" w:rsidRPr="008B1CBA">
        <w:rPr>
          <w:rFonts w:eastAsiaTheme="minorHAnsi" w:cs="Arial"/>
          <w:sz w:val="24"/>
          <w:lang w:eastAsia="en-US"/>
        </w:rPr>
        <w:t>considered wa</w:t>
      </w:r>
      <w:r w:rsidRPr="008B1CBA">
        <w:rPr>
          <w:rFonts w:eastAsiaTheme="minorHAnsi" w:cs="Arial"/>
          <w:sz w:val="24"/>
          <w:lang w:eastAsia="en-US"/>
        </w:rPr>
        <w:t xml:space="preserve">s to maintain the status quo where APS 221 and the associated reporting standard are unchanged. Maintaining the </w:t>
      </w:r>
      <w:r w:rsidRPr="00165D8F">
        <w:rPr>
          <w:rFonts w:eastAsiaTheme="minorHAnsi" w:cs="Arial"/>
          <w:sz w:val="24"/>
          <w:lang w:eastAsia="en-US"/>
        </w:rPr>
        <w:t>status quo</w:t>
      </w:r>
      <w:r w:rsidRPr="008B1CBA">
        <w:rPr>
          <w:rFonts w:eastAsiaTheme="minorHAnsi" w:cs="Arial"/>
          <w:i/>
          <w:sz w:val="24"/>
          <w:lang w:eastAsia="en-US"/>
        </w:rPr>
        <w:t xml:space="preserve"> </w:t>
      </w:r>
      <w:r w:rsidRPr="008B1CBA">
        <w:rPr>
          <w:rFonts w:eastAsiaTheme="minorHAnsi" w:cs="Arial"/>
          <w:sz w:val="24"/>
          <w:lang w:eastAsia="en-US"/>
        </w:rPr>
        <w:t>would not cause any immediate additional compliance costs for ADIs</w:t>
      </w:r>
      <w:r w:rsidR="002E3E99">
        <w:rPr>
          <w:rFonts w:eastAsiaTheme="minorHAnsi" w:cs="Arial"/>
          <w:sz w:val="24"/>
          <w:lang w:eastAsia="en-US"/>
        </w:rPr>
        <w:t>;</w:t>
      </w:r>
      <w:r w:rsidRPr="008B1CBA">
        <w:rPr>
          <w:rFonts w:eastAsiaTheme="minorHAnsi" w:cs="Arial"/>
          <w:sz w:val="24"/>
          <w:lang w:eastAsia="en-US"/>
        </w:rPr>
        <w:t xml:space="preserve"> however</w:t>
      </w:r>
      <w:r w:rsidR="002E3E99">
        <w:rPr>
          <w:rFonts w:eastAsiaTheme="minorHAnsi" w:cs="Arial"/>
          <w:sz w:val="24"/>
          <w:lang w:eastAsia="en-US"/>
        </w:rPr>
        <w:t>,</w:t>
      </w:r>
      <w:r w:rsidRPr="008B1CBA">
        <w:rPr>
          <w:rFonts w:eastAsiaTheme="minorHAnsi" w:cs="Arial"/>
          <w:sz w:val="24"/>
          <w:lang w:eastAsia="en-US"/>
        </w:rPr>
        <w:t xml:space="preserve"> if APRA’s proposals for revisions to the large exposure require</w:t>
      </w:r>
      <w:r w:rsidRPr="008B1CBA">
        <w:rPr>
          <w:rFonts w:eastAsiaTheme="minorHAnsi" w:cs="Arial"/>
          <w:sz w:val="24"/>
          <w:lang w:eastAsia="en-US"/>
        </w:rPr>
        <w:lastRenderedPageBreak/>
        <w:t>ments are not adopted, there are a range of indirect costs and implications that may result</w:t>
      </w:r>
      <w:r w:rsidR="00E44F1C">
        <w:rPr>
          <w:rFonts w:eastAsiaTheme="minorHAnsi" w:cs="Arial"/>
          <w:sz w:val="24"/>
          <w:lang w:eastAsia="en-US"/>
        </w:rPr>
        <w:t>, including</w:t>
      </w:r>
      <w:r w:rsidRPr="008B1CBA">
        <w:rPr>
          <w:rFonts w:eastAsiaTheme="minorHAnsi" w:cs="Arial"/>
          <w:sz w:val="24"/>
          <w:lang w:eastAsia="en-US"/>
        </w:rPr>
        <w:t>:</w:t>
      </w:r>
    </w:p>
    <w:p w14:paraId="460B64C5" w14:textId="77777777" w:rsidR="00A61278" w:rsidRPr="008B1CBA" w:rsidRDefault="00A61278" w:rsidP="00B60CD0">
      <w:pPr>
        <w:spacing w:after="0"/>
        <w:jc w:val="left"/>
        <w:rPr>
          <w:rFonts w:eastAsiaTheme="minorHAnsi" w:cs="Arial"/>
          <w:sz w:val="24"/>
          <w:lang w:eastAsia="en-US"/>
        </w:rPr>
      </w:pPr>
    </w:p>
    <w:p w14:paraId="3E25B20F" w14:textId="73DFB844" w:rsidR="00A61278" w:rsidRPr="008B1CBA" w:rsidRDefault="00E44F1C" w:rsidP="00B60CD0">
      <w:pPr>
        <w:numPr>
          <w:ilvl w:val="0"/>
          <w:numId w:val="19"/>
        </w:numPr>
        <w:ind w:left="357"/>
        <w:jc w:val="left"/>
        <w:rPr>
          <w:rFonts w:eastAsiaTheme="minorHAnsi" w:cs="Arial"/>
          <w:sz w:val="24"/>
          <w:lang w:eastAsia="en-US"/>
        </w:rPr>
      </w:pPr>
      <w:r>
        <w:rPr>
          <w:rFonts w:eastAsiaTheme="minorHAnsi" w:cs="Arial"/>
          <w:sz w:val="24"/>
          <w:lang w:eastAsia="en-US"/>
        </w:rPr>
        <w:t>i</w:t>
      </w:r>
      <w:r w:rsidR="00A61278" w:rsidRPr="008B1CBA">
        <w:rPr>
          <w:rFonts w:eastAsiaTheme="minorHAnsi" w:cs="Arial"/>
          <w:sz w:val="24"/>
          <w:lang w:eastAsia="en-US"/>
        </w:rPr>
        <w:t xml:space="preserve">nconsistencies within Australia and across jurisdictions – variable treatment of large exposures within Australia and across different jurisdictions would result in inconsistent approaches to managing large exposures, there would also be continued uncertainty in the concentration risks affecting ADIs. The lack of transparency in the measurement of large exposures may also misrepresent the riskiness of an ADI to investors resulting in </w:t>
      </w:r>
      <w:r w:rsidR="00732E7E">
        <w:rPr>
          <w:rFonts w:eastAsiaTheme="minorHAnsi" w:cs="Arial"/>
          <w:sz w:val="24"/>
          <w:lang w:eastAsia="en-US"/>
        </w:rPr>
        <w:t xml:space="preserve">adverse </w:t>
      </w:r>
      <w:r w:rsidR="00A61278" w:rsidRPr="008B1CBA">
        <w:rPr>
          <w:rFonts w:eastAsiaTheme="minorHAnsi" w:cs="Arial"/>
          <w:sz w:val="24"/>
          <w:lang w:eastAsia="en-US"/>
        </w:rPr>
        <w:t>impacts on foreign investor confidence when providing funding to Australian ADIs;</w:t>
      </w:r>
    </w:p>
    <w:p w14:paraId="1886BF80" w14:textId="53CCD9C8" w:rsidR="00A61278" w:rsidRPr="008B1CBA" w:rsidRDefault="00E44F1C" w:rsidP="00B60CD0">
      <w:pPr>
        <w:numPr>
          <w:ilvl w:val="0"/>
          <w:numId w:val="19"/>
        </w:numPr>
        <w:ind w:left="357"/>
        <w:jc w:val="left"/>
        <w:rPr>
          <w:rFonts w:eastAsiaTheme="minorHAnsi" w:cs="Arial"/>
          <w:sz w:val="24"/>
          <w:lang w:eastAsia="en-US"/>
        </w:rPr>
      </w:pPr>
      <w:r>
        <w:rPr>
          <w:rFonts w:eastAsiaTheme="minorHAnsi" w:cs="Arial"/>
          <w:sz w:val="24"/>
          <w:lang w:eastAsia="en-US"/>
        </w:rPr>
        <w:lastRenderedPageBreak/>
        <w:t>i</w:t>
      </w:r>
      <w:r w:rsidR="00A61278" w:rsidRPr="008B1CBA">
        <w:rPr>
          <w:rFonts w:eastAsiaTheme="minorHAnsi" w:cs="Arial"/>
          <w:sz w:val="24"/>
          <w:lang w:eastAsia="en-US"/>
        </w:rPr>
        <w:t>nsufficient protection from large losses – APRA’s current large exposure requirements were developed prior to the introduction of certain types of exposures and counterparties that have since grown in prevalence. Significant developments in the financial</w:t>
      </w:r>
      <w:r w:rsidR="00165D8F">
        <w:rPr>
          <w:rFonts w:eastAsiaTheme="minorHAnsi" w:cs="Arial"/>
          <w:sz w:val="24"/>
          <w:lang w:eastAsia="en-US"/>
        </w:rPr>
        <w:t xml:space="preserve"> system in recent years include</w:t>
      </w:r>
      <w:r w:rsidR="00A61278" w:rsidRPr="008B1CBA">
        <w:rPr>
          <w:rFonts w:eastAsiaTheme="minorHAnsi" w:cs="Arial"/>
          <w:sz w:val="24"/>
          <w:lang w:eastAsia="en-US"/>
        </w:rPr>
        <w:t xml:space="preserve"> greater focus on higher quality capital and the introduction of certain assets such as covered bonds. If large exposure requirements do not incorporate the now</w:t>
      </w:r>
      <w:r w:rsidR="006C7C14">
        <w:rPr>
          <w:rFonts w:eastAsiaTheme="minorHAnsi" w:cs="Arial"/>
          <w:sz w:val="24"/>
          <w:lang w:eastAsia="en-US"/>
        </w:rPr>
        <w:t>-</w:t>
      </w:r>
      <w:r w:rsidR="00A61278" w:rsidRPr="008B1CBA">
        <w:rPr>
          <w:rFonts w:eastAsiaTheme="minorHAnsi" w:cs="Arial"/>
          <w:sz w:val="24"/>
          <w:lang w:eastAsia="en-US"/>
        </w:rPr>
        <w:t>recognised need in these areas there could be insufficie</w:t>
      </w:r>
      <w:r>
        <w:rPr>
          <w:rFonts w:eastAsiaTheme="minorHAnsi" w:cs="Arial"/>
          <w:sz w:val="24"/>
          <w:lang w:eastAsia="en-US"/>
        </w:rPr>
        <w:t>nt protection from large losses; and</w:t>
      </w:r>
    </w:p>
    <w:p w14:paraId="046D58FC" w14:textId="115E7E21" w:rsidR="00A61278" w:rsidRPr="008B1CBA" w:rsidRDefault="00E44F1C" w:rsidP="00B60CD0">
      <w:pPr>
        <w:numPr>
          <w:ilvl w:val="0"/>
          <w:numId w:val="19"/>
        </w:numPr>
        <w:ind w:left="357"/>
        <w:jc w:val="left"/>
        <w:rPr>
          <w:rFonts w:eastAsiaTheme="minorHAnsi" w:cs="Arial"/>
          <w:sz w:val="24"/>
          <w:lang w:eastAsia="en-US"/>
        </w:rPr>
      </w:pPr>
      <w:r>
        <w:rPr>
          <w:rFonts w:eastAsiaTheme="minorHAnsi" w:cs="Arial"/>
          <w:sz w:val="24"/>
          <w:lang w:eastAsia="en-US"/>
        </w:rPr>
        <w:t>p</w:t>
      </w:r>
      <w:r w:rsidR="00A61278" w:rsidRPr="008B1CBA">
        <w:rPr>
          <w:rFonts w:eastAsiaTheme="minorHAnsi" w:cs="Arial"/>
          <w:sz w:val="24"/>
          <w:lang w:eastAsia="en-US"/>
        </w:rPr>
        <w:t>otential for system-wide contagion risk</w:t>
      </w:r>
      <w:r w:rsidR="00A61278" w:rsidRPr="008B1CBA">
        <w:rPr>
          <w:rFonts w:eastAsiaTheme="minorHAnsi" w:cs="Arial"/>
          <w:i/>
          <w:sz w:val="24"/>
          <w:lang w:eastAsia="en-US"/>
        </w:rPr>
        <w:t xml:space="preserve"> – </w:t>
      </w:r>
      <w:r w:rsidR="00A61278" w:rsidRPr="008B1CBA">
        <w:rPr>
          <w:rFonts w:eastAsiaTheme="minorHAnsi" w:cs="Arial"/>
          <w:sz w:val="24"/>
          <w:lang w:eastAsia="en-US"/>
        </w:rPr>
        <w:t xml:space="preserve">a key lesson from the global financial crisis has been the potential for material losses in a systemically important bank to compromise the viability of </w:t>
      </w:r>
      <w:r w:rsidR="00F15314">
        <w:rPr>
          <w:rFonts w:eastAsiaTheme="minorHAnsi" w:cs="Arial"/>
          <w:sz w:val="24"/>
          <w:lang w:eastAsia="en-US"/>
        </w:rPr>
        <w:t>its</w:t>
      </w:r>
      <w:r w:rsidR="00A61278" w:rsidRPr="008B1CBA">
        <w:rPr>
          <w:rFonts w:eastAsiaTheme="minorHAnsi" w:cs="Arial"/>
          <w:sz w:val="24"/>
          <w:lang w:eastAsia="en-US"/>
        </w:rPr>
        <w:t xml:space="preserve"> direct counterparties or connected counterparties. </w:t>
      </w:r>
      <w:r w:rsidR="00A61278" w:rsidRPr="008B1CBA">
        <w:rPr>
          <w:rFonts w:eastAsiaTheme="minorHAnsi" w:cs="Arial"/>
          <w:sz w:val="24"/>
          <w:lang w:eastAsia="en-US"/>
        </w:rPr>
        <w:lastRenderedPageBreak/>
        <w:t>This has flow-on effects to financial stability due to the importance of such entities to the economies they operate in. Current large exposure requirements do not recognise the potential for greater contagion risks from systemically important banks.</w:t>
      </w:r>
    </w:p>
    <w:p w14:paraId="5782B7F8" w14:textId="7D70F39C" w:rsidR="00A61278" w:rsidRPr="008B1CBA" w:rsidRDefault="00A61278" w:rsidP="00B60CD0">
      <w:pPr>
        <w:jc w:val="left"/>
        <w:rPr>
          <w:rFonts w:eastAsiaTheme="minorHAnsi" w:cs="Arial"/>
          <w:color w:val="FF0000"/>
          <w:sz w:val="24"/>
          <w:lang w:val="en-GB" w:eastAsia="en-US"/>
        </w:rPr>
      </w:pPr>
      <w:r w:rsidRPr="008B1CBA">
        <w:rPr>
          <w:rFonts w:eastAsiaTheme="minorHAnsi" w:cs="Arial"/>
          <w:sz w:val="24"/>
          <w:lang w:val="en-GB" w:eastAsia="en-US"/>
        </w:rPr>
        <w:t>Indirect costs are not easily quantifiable</w:t>
      </w:r>
      <w:r w:rsidR="00165D8F">
        <w:rPr>
          <w:rFonts w:eastAsiaTheme="minorHAnsi" w:cs="Arial"/>
          <w:sz w:val="24"/>
          <w:lang w:val="en-GB" w:eastAsia="en-US"/>
        </w:rPr>
        <w:t>.</w:t>
      </w:r>
      <w:r w:rsidRPr="008B1CBA">
        <w:rPr>
          <w:rFonts w:eastAsiaTheme="minorHAnsi" w:cs="Arial"/>
          <w:sz w:val="24"/>
          <w:lang w:val="en-GB" w:eastAsia="en-US"/>
        </w:rPr>
        <w:t xml:space="preserve"> </w:t>
      </w:r>
      <w:r w:rsidR="00165D8F">
        <w:rPr>
          <w:rFonts w:eastAsiaTheme="minorHAnsi" w:cs="Arial"/>
          <w:sz w:val="24"/>
          <w:lang w:val="en-GB" w:eastAsia="en-US"/>
        </w:rPr>
        <w:t>T</w:t>
      </w:r>
      <w:r w:rsidRPr="008B1CBA">
        <w:rPr>
          <w:rFonts w:eastAsiaTheme="minorHAnsi" w:cs="Arial"/>
          <w:sz w:val="24"/>
          <w:lang w:val="en-GB" w:eastAsia="en-US"/>
        </w:rPr>
        <w:t xml:space="preserve">here could be moderate to substantial costs when there is insufficient protection from large losses and contagion risk causes flow-on effects in the economy. The range of implications also depends on the circumstances of an ADI, including the counterparties to which an ADI has exposures, the exposures which an ADI currently recognises and an ADI’s methodology </w:t>
      </w:r>
      <w:r w:rsidR="00165D8F">
        <w:rPr>
          <w:rFonts w:eastAsiaTheme="minorHAnsi" w:cs="Arial"/>
          <w:sz w:val="24"/>
          <w:lang w:val="en-GB" w:eastAsia="en-US"/>
        </w:rPr>
        <w:t>for</w:t>
      </w:r>
      <w:r w:rsidRPr="008B1CBA">
        <w:rPr>
          <w:rFonts w:eastAsiaTheme="minorHAnsi" w:cs="Arial"/>
          <w:sz w:val="24"/>
          <w:lang w:val="en-GB" w:eastAsia="en-US"/>
        </w:rPr>
        <w:t xml:space="preserve"> measuring large exposures.</w:t>
      </w:r>
    </w:p>
    <w:p w14:paraId="4CD88A9F" w14:textId="5FCC1859" w:rsidR="00A61278" w:rsidRPr="008B1CBA" w:rsidRDefault="00A61278" w:rsidP="00B60CD0">
      <w:pPr>
        <w:jc w:val="left"/>
        <w:rPr>
          <w:rFonts w:eastAsiaTheme="minorHAnsi" w:cs="Arial"/>
          <w:sz w:val="24"/>
          <w:lang w:val="en-GB" w:eastAsia="en-US"/>
        </w:rPr>
      </w:pPr>
      <w:r w:rsidRPr="008B1CBA">
        <w:rPr>
          <w:rFonts w:eastAsiaTheme="minorHAnsi" w:cs="Arial"/>
          <w:sz w:val="24"/>
          <w:lang w:val="en-GB" w:eastAsia="en-US"/>
        </w:rPr>
        <w:lastRenderedPageBreak/>
        <w:t xml:space="preserve">APRA believes the </w:t>
      </w:r>
      <w:r w:rsidRPr="00165D8F">
        <w:rPr>
          <w:rFonts w:eastAsiaTheme="minorHAnsi" w:cs="Arial"/>
          <w:sz w:val="24"/>
          <w:lang w:val="en-GB" w:eastAsia="en-US"/>
        </w:rPr>
        <w:t>status quo</w:t>
      </w:r>
      <w:r w:rsidRPr="008B1CBA">
        <w:rPr>
          <w:rFonts w:eastAsiaTheme="minorHAnsi" w:cs="Arial"/>
          <w:sz w:val="24"/>
          <w:lang w:val="en-GB" w:eastAsia="en-US"/>
        </w:rPr>
        <w:t xml:space="preserve"> will result in a negative net impact as the costs associated with this option would become more significant at times, such as during a financial crisis, when minimum standards on concentration risk are most needed. Furthermore, if Australia’s large exposure requirements are viewed by stakeholders as falling behind international standards, and as incomparable with banks in other jurisdictions, the net impacts of the </w:t>
      </w:r>
      <w:r w:rsidRPr="00165D8F">
        <w:rPr>
          <w:rFonts w:eastAsiaTheme="minorHAnsi" w:cs="Arial"/>
          <w:sz w:val="24"/>
          <w:lang w:val="en-GB" w:eastAsia="en-US"/>
        </w:rPr>
        <w:t>status quo</w:t>
      </w:r>
      <w:r w:rsidRPr="008B1CBA">
        <w:rPr>
          <w:rFonts w:eastAsiaTheme="minorHAnsi" w:cs="Arial"/>
          <w:i/>
          <w:sz w:val="24"/>
          <w:lang w:val="en-GB" w:eastAsia="en-US"/>
        </w:rPr>
        <w:t xml:space="preserve"> </w:t>
      </w:r>
      <w:r w:rsidRPr="008B1CBA">
        <w:rPr>
          <w:rFonts w:eastAsiaTheme="minorHAnsi" w:cs="Arial"/>
          <w:sz w:val="24"/>
          <w:lang w:val="en-GB" w:eastAsia="en-US"/>
        </w:rPr>
        <w:t xml:space="preserve">will be increasingly </w:t>
      </w:r>
      <w:r w:rsidR="00F15314">
        <w:rPr>
          <w:rFonts w:eastAsiaTheme="minorHAnsi" w:cs="Arial"/>
          <w:sz w:val="24"/>
          <w:lang w:val="en-GB" w:eastAsia="en-US"/>
        </w:rPr>
        <w:t xml:space="preserve">and significantly </w:t>
      </w:r>
      <w:r w:rsidRPr="008B1CBA">
        <w:rPr>
          <w:rFonts w:eastAsiaTheme="minorHAnsi" w:cs="Arial"/>
          <w:sz w:val="24"/>
          <w:lang w:val="en-GB" w:eastAsia="en-US"/>
        </w:rPr>
        <w:t>negative.</w:t>
      </w:r>
    </w:p>
    <w:p w14:paraId="2A4AD453" w14:textId="77777777" w:rsidR="00A61278" w:rsidRPr="008B1CBA" w:rsidRDefault="00A61278" w:rsidP="00D7187A">
      <w:pPr>
        <w:pStyle w:val="Heading3"/>
        <w:rPr>
          <w:rFonts w:eastAsiaTheme="minorHAnsi"/>
          <w:lang w:val="en-GB" w:eastAsia="en-US"/>
        </w:rPr>
      </w:pPr>
      <w:bookmarkStart w:id="2" w:name="_Toc477342914"/>
      <w:r w:rsidRPr="008B1CBA">
        <w:rPr>
          <w:rFonts w:eastAsiaTheme="minorHAnsi"/>
          <w:lang w:val="en-GB" w:eastAsia="en-US"/>
        </w:rPr>
        <w:t>Option 2: Full implementation</w:t>
      </w:r>
      <w:bookmarkEnd w:id="2"/>
    </w:p>
    <w:p w14:paraId="13C03079" w14:textId="0B2E85D4" w:rsidR="00A61278" w:rsidRPr="008B1CBA" w:rsidRDefault="00255544" w:rsidP="00B60CD0">
      <w:pPr>
        <w:jc w:val="left"/>
        <w:rPr>
          <w:rFonts w:eastAsiaTheme="minorHAnsi" w:cs="Arial"/>
          <w:sz w:val="24"/>
          <w:lang w:val="en-GB" w:eastAsia="en-US"/>
        </w:rPr>
      </w:pPr>
      <w:r w:rsidRPr="008B1CBA">
        <w:rPr>
          <w:rFonts w:eastAsiaTheme="minorHAnsi" w:cs="Arial"/>
          <w:sz w:val="24"/>
          <w:lang w:val="en-GB" w:eastAsia="en-US"/>
        </w:rPr>
        <w:t>This option would</w:t>
      </w:r>
      <w:r w:rsidR="00A61278" w:rsidRPr="008B1CBA">
        <w:rPr>
          <w:rFonts w:eastAsiaTheme="minorHAnsi" w:cs="Arial"/>
          <w:sz w:val="24"/>
          <w:lang w:val="en-GB" w:eastAsia="en-US"/>
        </w:rPr>
        <w:t xml:space="preserve"> fully incorporate the Basel large exposures framework. ADIs would be required to comply with the new requirements by 1 January 2019. This timeframe would allow industry time to </w:t>
      </w:r>
      <w:r w:rsidR="00A61278" w:rsidRPr="008B1CBA">
        <w:rPr>
          <w:rFonts w:eastAsiaTheme="minorHAnsi" w:cs="Arial"/>
          <w:sz w:val="24"/>
          <w:lang w:val="en-GB" w:eastAsia="en-US"/>
        </w:rPr>
        <w:lastRenderedPageBreak/>
        <w:t xml:space="preserve">make changes to recognise the final revised APS 221 and </w:t>
      </w:r>
      <w:r w:rsidR="00165D8F">
        <w:rPr>
          <w:rFonts w:eastAsiaTheme="minorHAnsi" w:cs="Arial"/>
          <w:sz w:val="24"/>
          <w:lang w:val="en-GB" w:eastAsia="en-US"/>
        </w:rPr>
        <w:t>ARS 221</w:t>
      </w:r>
      <w:r w:rsidR="00A61278" w:rsidRPr="008B1CBA">
        <w:rPr>
          <w:rFonts w:eastAsiaTheme="minorHAnsi" w:cs="Arial"/>
          <w:sz w:val="24"/>
          <w:lang w:val="en-GB" w:eastAsia="en-US"/>
        </w:rPr>
        <w:t>.</w:t>
      </w:r>
    </w:p>
    <w:p w14:paraId="4F104DE6" w14:textId="586ABD1A" w:rsidR="00A61278" w:rsidRDefault="00BC3FBA" w:rsidP="00B60CD0">
      <w:pPr>
        <w:jc w:val="left"/>
        <w:rPr>
          <w:rFonts w:eastAsiaTheme="minorHAnsi" w:cs="Arial"/>
          <w:sz w:val="24"/>
          <w:lang w:val="en-GB" w:eastAsia="en-US"/>
        </w:rPr>
      </w:pPr>
      <w:r w:rsidRPr="008B1CBA">
        <w:rPr>
          <w:rFonts w:eastAsiaTheme="minorHAnsi" w:cs="Arial"/>
          <w:sz w:val="24"/>
          <w:lang w:val="en-GB" w:eastAsia="en-US"/>
        </w:rPr>
        <w:t>Full implementation would</w:t>
      </w:r>
      <w:r w:rsidR="00A61278" w:rsidRPr="008B1CBA">
        <w:rPr>
          <w:rFonts w:eastAsiaTheme="minorHAnsi" w:cs="Arial"/>
          <w:sz w:val="24"/>
          <w:lang w:val="en-GB" w:eastAsia="en-US"/>
        </w:rPr>
        <w:t xml:space="preserve"> address inconsistencies within Australia and between jurisdictions on the measurement of large exposure values</w:t>
      </w:r>
      <w:r w:rsidRPr="008B1CBA">
        <w:rPr>
          <w:rFonts w:eastAsiaTheme="minorHAnsi" w:cs="Arial"/>
          <w:sz w:val="24"/>
          <w:lang w:val="en-GB" w:eastAsia="en-US"/>
        </w:rPr>
        <w:t>,</w:t>
      </w:r>
      <w:r w:rsidR="00A61278" w:rsidRPr="008B1CBA">
        <w:rPr>
          <w:rFonts w:eastAsiaTheme="minorHAnsi" w:cs="Arial"/>
          <w:sz w:val="24"/>
          <w:lang w:val="en-GB" w:eastAsia="en-US"/>
        </w:rPr>
        <w:t xml:space="preserve"> mitigate insufficient protection from large losses</w:t>
      </w:r>
      <w:r w:rsidRPr="008B1CBA">
        <w:rPr>
          <w:rFonts w:eastAsiaTheme="minorHAnsi" w:cs="Arial"/>
          <w:sz w:val="24"/>
          <w:lang w:val="en-GB" w:eastAsia="en-US"/>
        </w:rPr>
        <w:t xml:space="preserve"> </w:t>
      </w:r>
      <w:r w:rsidR="00A61278" w:rsidRPr="008B1CBA">
        <w:rPr>
          <w:rFonts w:eastAsiaTheme="minorHAnsi" w:cs="Arial"/>
          <w:sz w:val="24"/>
          <w:lang w:val="en-GB" w:eastAsia="en-US"/>
        </w:rPr>
        <w:t>and recognise the potential for system-wide contagion risk.</w:t>
      </w:r>
    </w:p>
    <w:p w14:paraId="4442F982" w14:textId="6042D56E" w:rsidR="008C0B17" w:rsidRDefault="008C0B17" w:rsidP="00B60CD0">
      <w:pPr>
        <w:jc w:val="left"/>
        <w:rPr>
          <w:rFonts w:eastAsiaTheme="minorHAnsi" w:cs="Arial"/>
          <w:sz w:val="24"/>
          <w:lang w:val="en-GB" w:eastAsia="en-US"/>
        </w:rPr>
      </w:pPr>
      <w:r>
        <w:rPr>
          <w:rFonts w:eastAsiaTheme="minorHAnsi" w:cs="Arial"/>
          <w:sz w:val="24"/>
          <w:lang w:val="en-GB" w:eastAsia="en-US"/>
        </w:rPr>
        <w:t xml:space="preserve">The costs of implementing the Basel large exposures framework </w:t>
      </w:r>
      <w:r w:rsidR="00324632">
        <w:rPr>
          <w:rFonts w:eastAsiaTheme="minorHAnsi" w:cs="Arial"/>
          <w:sz w:val="24"/>
          <w:lang w:val="en-GB" w:eastAsia="en-US"/>
        </w:rPr>
        <w:t>would</w:t>
      </w:r>
      <w:r>
        <w:rPr>
          <w:rFonts w:eastAsiaTheme="minorHAnsi" w:cs="Arial"/>
          <w:sz w:val="24"/>
          <w:lang w:val="en-GB" w:eastAsia="en-US"/>
        </w:rPr>
        <w:t xml:space="preserve"> be likely to include:</w:t>
      </w:r>
    </w:p>
    <w:p w14:paraId="7CC357D8" w14:textId="06762617" w:rsidR="008C0B17" w:rsidRPr="008B1CBA" w:rsidRDefault="008C0B17" w:rsidP="00B60CD0">
      <w:pPr>
        <w:numPr>
          <w:ilvl w:val="0"/>
          <w:numId w:val="20"/>
        </w:numPr>
        <w:ind w:left="357" w:hanging="357"/>
        <w:jc w:val="left"/>
        <w:rPr>
          <w:rFonts w:eastAsiaTheme="minorHAnsi" w:cs="Arial"/>
          <w:sz w:val="24"/>
          <w:lang w:eastAsia="en-US"/>
        </w:rPr>
      </w:pPr>
      <w:r w:rsidRPr="008B1CBA">
        <w:rPr>
          <w:rFonts w:eastAsiaTheme="minorHAnsi" w:cs="Arial"/>
          <w:sz w:val="24"/>
          <w:lang w:eastAsia="en-US"/>
        </w:rPr>
        <w:t>some ADIs will need to adjust their exposures to meet revised large exposure limits to ensure excessive concentration risks are identified and appropriately limited. There will be costs associated with identifying counterparties and gro</w:t>
      </w:r>
      <w:r>
        <w:rPr>
          <w:rFonts w:eastAsiaTheme="minorHAnsi" w:cs="Arial"/>
          <w:sz w:val="24"/>
          <w:lang w:eastAsia="en-US"/>
        </w:rPr>
        <w:t>ups of connected counterparties</w:t>
      </w:r>
      <w:r w:rsidRPr="008B1CBA">
        <w:rPr>
          <w:rFonts w:eastAsiaTheme="minorHAnsi" w:cs="Arial"/>
          <w:sz w:val="24"/>
          <w:lang w:eastAsia="en-US"/>
        </w:rPr>
        <w:t xml:space="preserve"> and assessing and measuring large exposures according to the specified methodologies;</w:t>
      </w:r>
    </w:p>
    <w:p w14:paraId="6D0E0595" w14:textId="77777777" w:rsidR="008C0B17" w:rsidRPr="008B1CBA" w:rsidRDefault="008C0B17" w:rsidP="00B60CD0">
      <w:pPr>
        <w:numPr>
          <w:ilvl w:val="0"/>
          <w:numId w:val="20"/>
        </w:numPr>
        <w:ind w:left="357" w:hanging="357"/>
        <w:jc w:val="left"/>
        <w:rPr>
          <w:rFonts w:eastAsiaTheme="minorHAnsi" w:cs="Arial"/>
          <w:sz w:val="24"/>
          <w:lang w:eastAsia="en-US"/>
        </w:rPr>
      </w:pPr>
      <w:r w:rsidRPr="008B1CBA">
        <w:rPr>
          <w:rFonts w:eastAsiaTheme="minorHAnsi" w:cs="Arial"/>
          <w:sz w:val="24"/>
          <w:lang w:eastAsia="en-US"/>
        </w:rPr>
        <w:lastRenderedPageBreak/>
        <w:t>there would also be increased risk management, compliance and operational costs to meet new requirements, including costs associated with changes to policies, processes, systems and controls to reflect the revised large exposure requirements; and</w:t>
      </w:r>
    </w:p>
    <w:p w14:paraId="4DF918BE" w14:textId="77777777" w:rsidR="008C0B17" w:rsidRPr="008B1CBA" w:rsidRDefault="008C0B17" w:rsidP="00B60CD0">
      <w:pPr>
        <w:numPr>
          <w:ilvl w:val="0"/>
          <w:numId w:val="20"/>
        </w:numPr>
        <w:ind w:left="357" w:hanging="357"/>
        <w:jc w:val="left"/>
        <w:rPr>
          <w:rFonts w:eastAsiaTheme="minorHAnsi" w:cs="Arial"/>
          <w:sz w:val="24"/>
          <w:lang w:eastAsia="en-US"/>
        </w:rPr>
      </w:pPr>
      <w:r w:rsidRPr="008B1CBA">
        <w:rPr>
          <w:rFonts w:eastAsiaTheme="minorHAnsi" w:cs="Arial"/>
          <w:sz w:val="24"/>
          <w:lang w:eastAsia="en-US"/>
        </w:rPr>
        <w:t>there would be an initial increase in costs to amend compliance procedures for changes to reporting requirements and sourcing any additional data required for large exposure reporting forms. However, APRA expects that these costs would be at the margin or minimal as ADIs would most likely be collecting and monitoring such data at present.</w:t>
      </w:r>
    </w:p>
    <w:p w14:paraId="12C3C1AD" w14:textId="4B283A9C" w:rsidR="00A61278" w:rsidRPr="008B1CBA" w:rsidRDefault="00A61278" w:rsidP="00D7187A">
      <w:pPr>
        <w:pStyle w:val="Heading3"/>
        <w:rPr>
          <w:rFonts w:eastAsiaTheme="minorHAnsi"/>
          <w:lang w:val="en-GB" w:eastAsia="en-US"/>
        </w:rPr>
      </w:pPr>
      <w:bookmarkStart w:id="3" w:name="_Toc477342915"/>
      <w:r w:rsidRPr="008B1CBA">
        <w:rPr>
          <w:rFonts w:eastAsiaTheme="minorHAnsi"/>
          <w:lang w:val="en-GB" w:eastAsia="en-US"/>
        </w:rPr>
        <w:lastRenderedPageBreak/>
        <w:t>Option 3: Implementation with adjustments</w:t>
      </w:r>
      <w:bookmarkEnd w:id="3"/>
      <w:r w:rsidR="00BC3FBA" w:rsidRPr="008B1CBA">
        <w:rPr>
          <w:rFonts w:eastAsiaTheme="minorHAnsi"/>
          <w:lang w:val="en-GB" w:eastAsia="en-US"/>
        </w:rPr>
        <w:t xml:space="preserve"> to reflect Australian conditions</w:t>
      </w:r>
    </w:p>
    <w:p w14:paraId="7AE9B5AD" w14:textId="70DF86D3" w:rsidR="00A61278" w:rsidRPr="008B1CBA" w:rsidRDefault="00A75B79" w:rsidP="00B60CD0">
      <w:pPr>
        <w:jc w:val="left"/>
        <w:rPr>
          <w:rFonts w:eastAsiaTheme="minorHAnsi" w:cs="Arial"/>
          <w:sz w:val="24"/>
          <w:lang w:val="en-GB" w:eastAsia="en-US"/>
        </w:rPr>
      </w:pPr>
      <w:r w:rsidRPr="008B1CBA">
        <w:rPr>
          <w:rFonts w:eastAsiaTheme="minorHAnsi" w:cs="Arial"/>
          <w:sz w:val="24"/>
          <w:lang w:val="en-GB" w:eastAsia="en-US"/>
        </w:rPr>
        <w:t xml:space="preserve">Under this option, APRA would incorporate </w:t>
      </w:r>
      <w:r w:rsidR="00A61278" w:rsidRPr="008B1CBA">
        <w:rPr>
          <w:rFonts w:eastAsiaTheme="minorHAnsi" w:cs="Arial"/>
          <w:sz w:val="24"/>
          <w:lang w:val="en-GB" w:eastAsia="en-US"/>
        </w:rPr>
        <w:t xml:space="preserve">the Basel large exposures framework in APS 221 and </w:t>
      </w:r>
      <w:r w:rsidR="008C0B17">
        <w:rPr>
          <w:rFonts w:eastAsiaTheme="minorHAnsi" w:cs="Arial"/>
          <w:sz w:val="24"/>
          <w:lang w:val="en-GB" w:eastAsia="en-US"/>
        </w:rPr>
        <w:t>ARS 221</w:t>
      </w:r>
      <w:r w:rsidRPr="008B1CBA">
        <w:rPr>
          <w:rFonts w:eastAsiaTheme="minorHAnsi" w:cs="Arial"/>
          <w:sz w:val="24"/>
          <w:lang w:val="en-GB" w:eastAsia="en-US"/>
        </w:rPr>
        <w:t xml:space="preserve"> </w:t>
      </w:r>
      <w:r w:rsidR="00324632">
        <w:rPr>
          <w:rFonts w:eastAsiaTheme="minorHAnsi" w:cs="Arial"/>
          <w:sz w:val="24"/>
          <w:lang w:val="en-GB" w:eastAsia="en-US"/>
        </w:rPr>
        <w:t>with adjustments</w:t>
      </w:r>
      <w:r w:rsidR="00A61278" w:rsidRPr="008B1CBA">
        <w:rPr>
          <w:rFonts w:eastAsiaTheme="minorHAnsi" w:cs="Arial"/>
          <w:sz w:val="24"/>
          <w:lang w:val="en-GB" w:eastAsia="en-US"/>
        </w:rPr>
        <w:t xml:space="preserve"> </w:t>
      </w:r>
      <w:r w:rsidRPr="008B1CBA">
        <w:rPr>
          <w:rFonts w:eastAsiaTheme="minorHAnsi" w:cs="Arial"/>
          <w:sz w:val="24"/>
          <w:lang w:val="en-GB" w:eastAsia="en-US"/>
        </w:rPr>
        <w:t>to reflect Australian conditions</w:t>
      </w:r>
      <w:r w:rsidR="00A61278" w:rsidRPr="008B1CBA">
        <w:rPr>
          <w:rFonts w:eastAsiaTheme="minorHAnsi" w:cs="Arial"/>
          <w:sz w:val="24"/>
          <w:lang w:val="en-GB" w:eastAsia="en-US"/>
        </w:rPr>
        <w:t>. ADIs would be required to comply with the new requirements by 1</w:t>
      </w:r>
      <w:r w:rsidR="006C7C14">
        <w:rPr>
          <w:rFonts w:eastAsiaTheme="minorHAnsi" w:cs="Arial"/>
          <w:sz w:val="24"/>
          <w:lang w:val="en-GB" w:eastAsia="en-US"/>
        </w:rPr>
        <w:t> </w:t>
      </w:r>
      <w:r w:rsidR="00A61278" w:rsidRPr="008B1CBA">
        <w:rPr>
          <w:rFonts w:eastAsiaTheme="minorHAnsi" w:cs="Arial"/>
          <w:sz w:val="24"/>
          <w:lang w:val="en-GB" w:eastAsia="en-US"/>
        </w:rPr>
        <w:t xml:space="preserve">January 2019. This timeframe would allow industry time to make changes to </w:t>
      </w:r>
      <w:r w:rsidRPr="008B1CBA">
        <w:rPr>
          <w:rFonts w:eastAsiaTheme="minorHAnsi" w:cs="Arial"/>
          <w:sz w:val="24"/>
          <w:lang w:val="en-GB" w:eastAsia="en-US"/>
        </w:rPr>
        <w:t>comply with</w:t>
      </w:r>
      <w:r w:rsidR="00A61278" w:rsidRPr="008B1CBA">
        <w:rPr>
          <w:rFonts w:eastAsiaTheme="minorHAnsi" w:cs="Arial"/>
          <w:sz w:val="24"/>
          <w:lang w:val="en-GB" w:eastAsia="en-US"/>
        </w:rPr>
        <w:t xml:space="preserve"> the final revised APS 221 and </w:t>
      </w:r>
      <w:r w:rsidR="008C0B17">
        <w:rPr>
          <w:rFonts w:eastAsiaTheme="minorHAnsi" w:cs="Arial"/>
          <w:sz w:val="24"/>
          <w:lang w:val="en-GB" w:eastAsia="en-US"/>
        </w:rPr>
        <w:t>ARS 221</w:t>
      </w:r>
      <w:r w:rsidR="00A61278" w:rsidRPr="008B1CBA">
        <w:rPr>
          <w:rFonts w:eastAsiaTheme="minorHAnsi" w:cs="Arial"/>
          <w:sz w:val="24"/>
          <w:lang w:val="en-GB" w:eastAsia="en-US"/>
        </w:rPr>
        <w:t>.</w:t>
      </w:r>
    </w:p>
    <w:p w14:paraId="7C2154B0" w14:textId="0619FCF4" w:rsidR="00A61278" w:rsidRPr="008B1CBA" w:rsidRDefault="00A61278" w:rsidP="00B60CD0">
      <w:pPr>
        <w:jc w:val="left"/>
        <w:rPr>
          <w:rFonts w:eastAsiaTheme="minorHAnsi" w:cs="Arial"/>
          <w:sz w:val="24"/>
          <w:lang w:eastAsia="en-US"/>
        </w:rPr>
      </w:pPr>
      <w:r w:rsidRPr="008B1CBA">
        <w:rPr>
          <w:rFonts w:eastAsiaTheme="minorHAnsi" w:cs="Arial"/>
          <w:sz w:val="24"/>
          <w:lang w:val="en-GB" w:eastAsia="en-US"/>
        </w:rPr>
        <w:t xml:space="preserve">APRA anticipates that </w:t>
      </w:r>
      <w:r w:rsidR="008C0B17">
        <w:rPr>
          <w:rFonts w:eastAsiaTheme="minorHAnsi" w:cs="Arial"/>
          <w:sz w:val="24"/>
          <w:lang w:val="en-GB" w:eastAsia="en-US"/>
        </w:rPr>
        <w:t>the compliance costs would be as noted under option 2 above but with differences reflecting the extent to which APRA makes modification to the Basel large exposures framework to reflect Australian conditions.</w:t>
      </w:r>
    </w:p>
    <w:p w14:paraId="0FA6759E" w14:textId="6478C3EE" w:rsidR="00A61278" w:rsidRPr="008B1CBA" w:rsidRDefault="00A61278" w:rsidP="00B60CD0">
      <w:pPr>
        <w:jc w:val="left"/>
        <w:rPr>
          <w:rFonts w:eastAsiaTheme="minorHAnsi" w:cs="Arial"/>
          <w:sz w:val="24"/>
          <w:lang w:val="en-GB" w:eastAsia="en-US"/>
        </w:rPr>
      </w:pPr>
      <w:r w:rsidRPr="008B1CBA">
        <w:rPr>
          <w:rFonts w:eastAsiaTheme="minorHAnsi" w:cs="Arial"/>
          <w:sz w:val="24"/>
          <w:lang w:val="en-GB" w:eastAsia="en-US"/>
        </w:rPr>
        <w:t xml:space="preserve">Under </w:t>
      </w:r>
      <w:r w:rsidR="00A75B79" w:rsidRPr="008B1CBA">
        <w:rPr>
          <w:rFonts w:eastAsiaTheme="minorHAnsi" w:cs="Arial"/>
          <w:sz w:val="24"/>
          <w:lang w:val="en-GB" w:eastAsia="en-US"/>
        </w:rPr>
        <w:t>this</w:t>
      </w:r>
      <w:r w:rsidRPr="008B1CBA">
        <w:rPr>
          <w:rFonts w:eastAsiaTheme="minorHAnsi" w:cs="Arial"/>
          <w:sz w:val="24"/>
          <w:lang w:val="en-GB" w:eastAsia="en-US"/>
        </w:rPr>
        <w:t xml:space="preserve"> option</w:t>
      </w:r>
      <w:r w:rsidR="00A75B79" w:rsidRPr="008B1CBA">
        <w:rPr>
          <w:rFonts w:eastAsiaTheme="minorHAnsi" w:cs="Arial"/>
          <w:sz w:val="24"/>
          <w:lang w:val="en-GB" w:eastAsia="en-US"/>
        </w:rPr>
        <w:t>,</w:t>
      </w:r>
      <w:r w:rsidRPr="008B1CBA">
        <w:rPr>
          <w:rFonts w:eastAsiaTheme="minorHAnsi" w:cs="Arial"/>
          <w:sz w:val="24"/>
          <w:lang w:val="en-GB" w:eastAsia="en-US"/>
        </w:rPr>
        <w:t xml:space="preserve"> APRA </w:t>
      </w:r>
      <w:r w:rsidR="00A75B79" w:rsidRPr="008B1CBA">
        <w:rPr>
          <w:rFonts w:eastAsiaTheme="minorHAnsi" w:cs="Arial"/>
          <w:sz w:val="24"/>
          <w:lang w:val="en-GB" w:eastAsia="en-US"/>
        </w:rPr>
        <w:t xml:space="preserve">would </w:t>
      </w:r>
      <w:r w:rsidRPr="008B1CBA">
        <w:rPr>
          <w:rFonts w:eastAsiaTheme="minorHAnsi" w:cs="Arial"/>
          <w:sz w:val="24"/>
          <w:lang w:val="en-GB" w:eastAsia="en-US"/>
        </w:rPr>
        <w:t xml:space="preserve">make targeted adjustments </w:t>
      </w:r>
      <w:r w:rsidR="00452005" w:rsidRPr="008B1CBA">
        <w:rPr>
          <w:rFonts w:eastAsiaTheme="minorHAnsi" w:cs="Arial"/>
          <w:sz w:val="24"/>
          <w:lang w:val="en-GB" w:eastAsia="en-US"/>
        </w:rPr>
        <w:t>to reflect Australian conditions</w:t>
      </w:r>
      <w:r w:rsidRPr="008B1CBA">
        <w:rPr>
          <w:rFonts w:eastAsiaTheme="minorHAnsi" w:cs="Arial"/>
          <w:sz w:val="24"/>
          <w:lang w:val="en-GB" w:eastAsia="en-US"/>
        </w:rPr>
        <w:t xml:space="preserve">. </w:t>
      </w:r>
      <w:r w:rsidR="00452005" w:rsidRPr="008B1CBA">
        <w:rPr>
          <w:rFonts w:eastAsiaTheme="minorHAnsi" w:cs="Arial"/>
          <w:sz w:val="24"/>
          <w:lang w:val="en-GB" w:eastAsia="en-US"/>
        </w:rPr>
        <w:t xml:space="preserve">These </w:t>
      </w:r>
      <w:r w:rsidR="00452005" w:rsidRPr="008B1CBA">
        <w:rPr>
          <w:rFonts w:eastAsiaTheme="minorHAnsi" w:cs="Arial"/>
          <w:sz w:val="24"/>
          <w:lang w:val="en-GB" w:eastAsia="en-US"/>
        </w:rPr>
        <w:lastRenderedPageBreak/>
        <w:t xml:space="preserve">adjustments </w:t>
      </w:r>
      <w:r w:rsidR="007F1347">
        <w:rPr>
          <w:rFonts w:eastAsiaTheme="minorHAnsi" w:cs="Arial"/>
          <w:sz w:val="24"/>
          <w:lang w:val="en-GB" w:eastAsia="en-US"/>
        </w:rPr>
        <w:t xml:space="preserve">would </w:t>
      </w:r>
      <w:r w:rsidRPr="008B1CBA">
        <w:rPr>
          <w:rFonts w:eastAsiaTheme="minorHAnsi" w:cs="Arial"/>
          <w:sz w:val="24"/>
          <w:lang w:val="en-GB" w:eastAsia="en-US"/>
        </w:rPr>
        <w:t>provide for a cohesive prudential approach which aligns more closely with APRA’s broader prudential framework for supervision of ADIs.</w:t>
      </w:r>
    </w:p>
    <w:p w14:paraId="7FFAF713" w14:textId="6D115D0D" w:rsidR="00A61278" w:rsidRPr="008B1CBA" w:rsidRDefault="00A61278" w:rsidP="00B60CD0">
      <w:pPr>
        <w:jc w:val="left"/>
        <w:rPr>
          <w:rFonts w:eastAsiaTheme="minorHAnsi" w:cs="Arial"/>
          <w:sz w:val="24"/>
          <w:lang w:val="en-GB" w:eastAsia="en-US"/>
        </w:rPr>
      </w:pPr>
      <w:r w:rsidRPr="008B1CBA">
        <w:rPr>
          <w:rFonts w:eastAsiaTheme="minorHAnsi" w:cs="Arial"/>
          <w:sz w:val="24"/>
          <w:lang w:val="en-GB" w:eastAsia="en-US"/>
        </w:rPr>
        <w:t>A risk of not making adjustments for Australia</w:t>
      </w:r>
      <w:r w:rsidR="00452005" w:rsidRPr="008B1CBA">
        <w:rPr>
          <w:rFonts w:eastAsiaTheme="minorHAnsi" w:cs="Arial"/>
          <w:sz w:val="24"/>
          <w:lang w:val="en-GB" w:eastAsia="en-US"/>
        </w:rPr>
        <w:t>n conditions</w:t>
      </w:r>
      <w:r w:rsidRPr="008B1CBA">
        <w:rPr>
          <w:rFonts w:eastAsiaTheme="minorHAnsi" w:cs="Arial"/>
          <w:sz w:val="24"/>
          <w:lang w:val="en-GB" w:eastAsia="en-US"/>
        </w:rPr>
        <w:t xml:space="preserve"> is that there are aspects </w:t>
      </w:r>
      <w:r w:rsidR="008C0B17">
        <w:rPr>
          <w:rFonts w:eastAsiaTheme="minorHAnsi" w:cs="Arial"/>
          <w:sz w:val="24"/>
          <w:lang w:val="en-GB" w:eastAsia="en-US"/>
        </w:rPr>
        <w:t>of</w:t>
      </w:r>
      <w:r w:rsidRPr="008B1CBA">
        <w:rPr>
          <w:rFonts w:eastAsiaTheme="minorHAnsi" w:cs="Arial"/>
          <w:sz w:val="24"/>
          <w:lang w:val="en-GB" w:eastAsia="en-US"/>
        </w:rPr>
        <w:t xml:space="preserve"> li</w:t>
      </w:r>
      <w:r w:rsidR="00452005" w:rsidRPr="008B1CBA">
        <w:rPr>
          <w:rFonts w:eastAsiaTheme="minorHAnsi" w:cs="Arial"/>
          <w:sz w:val="24"/>
          <w:lang w:val="en-GB" w:eastAsia="en-US"/>
        </w:rPr>
        <w:t>mits, exclusions from exposures</w:t>
      </w:r>
      <w:r w:rsidRPr="008B1CBA">
        <w:rPr>
          <w:rFonts w:eastAsiaTheme="minorHAnsi" w:cs="Arial"/>
          <w:sz w:val="24"/>
          <w:lang w:val="en-GB" w:eastAsia="en-US"/>
        </w:rPr>
        <w:t xml:space="preserve"> and the measurement of exposures which do not appropriately account for the design of the Australian banking industry and the counterparties </w:t>
      </w:r>
      <w:r w:rsidR="00452005" w:rsidRPr="008B1CBA">
        <w:rPr>
          <w:rFonts w:eastAsiaTheme="minorHAnsi" w:cs="Arial"/>
          <w:sz w:val="24"/>
          <w:lang w:val="en-GB" w:eastAsia="en-US"/>
        </w:rPr>
        <w:t>of</w:t>
      </w:r>
      <w:r w:rsidRPr="008B1CBA">
        <w:rPr>
          <w:rFonts w:eastAsiaTheme="minorHAnsi" w:cs="Arial"/>
          <w:sz w:val="24"/>
          <w:lang w:val="en-GB" w:eastAsia="en-US"/>
        </w:rPr>
        <w:t xml:space="preserve"> ADIs.</w:t>
      </w:r>
    </w:p>
    <w:p w14:paraId="59E59B72" w14:textId="1B45074A" w:rsidR="00A61278" w:rsidRPr="008B1CBA" w:rsidRDefault="00A61278" w:rsidP="00B60CD0">
      <w:pPr>
        <w:jc w:val="left"/>
        <w:rPr>
          <w:rFonts w:eastAsiaTheme="minorHAnsi" w:cs="Arial"/>
          <w:sz w:val="24"/>
          <w:lang w:val="en-GB" w:eastAsia="en-US"/>
        </w:rPr>
      </w:pPr>
      <w:r w:rsidRPr="008B1CBA">
        <w:rPr>
          <w:rFonts w:eastAsiaTheme="minorHAnsi" w:cs="Arial"/>
          <w:sz w:val="24"/>
          <w:lang w:val="en-GB" w:eastAsia="en-US"/>
        </w:rPr>
        <w:t xml:space="preserve">There are broader implications of not adopting </w:t>
      </w:r>
      <w:r w:rsidR="00452005" w:rsidRPr="008B1CBA">
        <w:rPr>
          <w:rFonts w:eastAsiaTheme="minorHAnsi" w:cs="Arial"/>
          <w:sz w:val="24"/>
          <w:lang w:val="en-GB" w:eastAsia="en-US"/>
        </w:rPr>
        <w:t>this</w:t>
      </w:r>
      <w:r w:rsidRPr="008B1CBA">
        <w:rPr>
          <w:rFonts w:eastAsiaTheme="minorHAnsi" w:cs="Arial"/>
          <w:sz w:val="24"/>
          <w:lang w:val="en-GB" w:eastAsia="en-US"/>
        </w:rPr>
        <w:t xml:space="preserve"> option including the potential for the failure of a counterparty or group of connected counterparties to the extent that large losses impact the solvency of an</w:t>
      </w:r>
      <w:r w:rsidR="00452005" w:rsidRPr="008B1CBA">
        <w:rPr>
          <w:rFonts w:eastAsiaTheme="minorHAnsi" w:cs="Arial"/>
          <w:sz w:val="24"/>
          <w:lang w:val="en-GB" w:eastAsia="en-US"/>
        </w:rPr>
        <w:t xml:space="preserve"> ADI</w:t>
      </w:r>
      <w:r w:rsidRPr="008B1CBA">
        <w:rPr>
          <w:rFonts w:eastAsiaTheme="minorHAnsi" w:cs="Arial"/>
          <w:sz w:val="24"/>
          <w:lang w:val="en-GB" w:eastAsia="en-US"/>
        </w:rPr>
        <w:t xml:space="preserve"> </w:t>
      </w:r>
      <w:r w:rsidR="00704CA7">
        <w:rPr>
          <w:rFonts w:eastAsiaTheme="minorHAnsi" w:cs="Arial"/>
          <w:sz w:val="24"/>
          <w:lang w:val="en-GB" w:eastAsia="en-US"/>
        </w:rPr>
        <w:t xml:space="preserve">and leads to </w:t>
      </w:r>
      <w:r w:rsidRPr="008B1CBA">
        <w:rPr>
          <w:rFonts w:eastAsiaTheme="minorHAnsi" w:cs="Arial"/>
          <w:sz w:val="24"/>
          <w:lang w:val="en-GB" w:eastAsia="en-US"/>
        </w:rPr>
        <w:t xml:space="preserve">repercussions in terms of reputational risk and uncertainty in the banking </w:t>
      </w:r>
      <w:r w:rsidRPr="008B1CBA">
        <w:rPr>
          <w:rFonts w:eastAsiaTheme="minorHAnsi" w:cs="Arial"/>
          <w:sz w:val="24"/>
          <w:lang w:val="en-GB" w:eastAsia="en-US"/>
        </w:rPr>
        <w:lastRenderedPageBreak/>
        <w:t xml:space="preserve">sector. In the extreme, and particularly where systemically important banks are involved, impacts may be felt throughout the Australian economy, affecting confidence in the economy and </w:t>
      </w:r>
      <w:r w:rsidR="00452005" w:rsidRPr="008B1CBA">
        <w:rPr>
          <w:rFonts w:eastAsiaTheme="minorHAnsi" w:cs="Arial"/>
          <w:sz w:val="24"/>
          <w:lang w:val="en-GB" w:eastAsia="en-US"/>
        </w:rPr>
        <w:t xml:space="preserve">of </w:t>
      </w:r>
      <w:r w:rsidRPr="008B1CBA">
        <w:rPr>
          <w:rFonts w:eastAsiaTheme="minorHAnsi" w:cs="Arial"/>
          <w:sz w:val="24"/>
          <w:lang w:val="en-GB" w:eastAsia="en-US"/>
        </w:rPr>
        <w:t>foreign investor</w:t>
      </w:r>
      <w:r w:rsidR="00452005" w:rsidRPr="008B1CBA">
        <w:rPr>
          <w:rFonts w:eastAsiaTheme="minorHAnsi" w:cs="Arial"/>
          <w:sz w:val="24"/>
          <w:lang w:val="en-GB" w:eastAsia="en-US"/>
        </w:rPr>
        <w:t>s</w:t>
      </w:r>
      <w:r w:rsidRPr="008B1CBA">
        <w:rPr>
          <w:rFonts w:eastAsiaTheme="minorHAnsi" w:cs="Arial"/>
          <w:sz w:val="24"/>
          <w:lang w:val="en-GB" w:eastAsia="en-US"/>
        </w:rPr>
        <w:t xml:space="preserve"> </w:t>
      </w:r>
      <w:r w:rsidR="00452005" w:rsidRPr="008B1CBA">
        <w:rPr>
          <w:rFonts w:eastAsiaTheme="minorHAnsi" w:cs="Arial"/>
          <w:sz w:val="24"/>
          <w:lang w:val="en-GB" w:eastAsia="en-US"/>
        </w:rPr>
        <w:t>who</w:t>
      </w:r>
      <w:r w:rsidRPr="008B1CBA">
        <w:rPr>
          <w:rFonts w:eastAsiaTheme="minorHAnsi" w:cs="Arial"/>
          <w:sz w:val="24"/>
          <w:lang w:val="en-GB" w:eastAsia="en-US"/>
        </w:rPr>
        <w:t xml:space="preserve"> invest in Australia.</w:t>
      </w:r>
    </w:p>
    <w:p w14:paraId="588954E1" w14:textId="5BCBDBA2" w:rsidR="00B531B4" w:rsidRPr="008B1CBA" w:rsidRDefault="00A61278" w:rsidP="00B60CD0">
      <w:pPr>
        <w:jc w:val="left"/>
        <w:rPr>
          <w:rFonts w:eastAsiaTheme="minorHAnsi" w:cs="Arial"/>
          <w:sz w:val="24"/>
          <w:lang w:val="en-GB" w:eastAsia="en-US"/>
        </w:rPr>
      </w:pPr>
      <w:r w:rsidRPr="008B1CBA">
        <w:rPr>
          <w:rFonts w:eastAsiaTheme="minorHAnsi" w:cs="Arial"/>
          <w:sz w:val="24"/>
          <w:lang w:val="en-GB" w:eastAsia="en-US"/>
        </w:rPr>
        <w:t xml:space="preserve">Overall, APRA believes </w:t>
      </w:r>
      <w:r w:rsidR="00452005" w:rsidRPr="008B1CBA">
        <w:rPr>
          <w:rFonts w:eastAsiaTheme="minorHAnsi" w:cs="Arial"/>
          <w:sz w:val="24"/>
          <w:lang w:val="en-GB" w:eastAsia="en-US"/>
        </w:rPr>
        <w:t>this</w:t>
      </w:r>
      <w:r w:rsidRPr="008B1CBA">
        <w:rPr>
          <w:rFonts w:eastAsiaTheme="minorHAnsi" w:cs="Arial"/>
          <w:sz w:val="24"/>
          <w:lang w:val="en-GB" w:eastAsia="en-US"/>
        </w:rPr>
        <w:t xml:space="preserve"> option will have less impact on ADIs compared with option</w:t>
      </w:r>
      <w:r w:rsidR="00452005" w:rsidRPr="008B1CBA">
        <w:rPr>
          <w:rFonts w:eastAsiaTheme="minorHAnsi" w:cs="Arial"/>
          <w:sz w:val="24"/>
          <w:lang w:val="en-GB" w:eastAsia="en-US"/>
        </w:rPr>
        <w:t xml:space="preserve"> 2</w:t>
      </w:r>
      <w:r w:rsidRPr="008B1CBA">
        <w:rPr>
          <w:rFonts w:eastAsiaTheme="minorHAnsi" w:cs="Arial"/>
          <w:sz w:val="24"/>
          <w:lang w:val="en-GB" w:eastAsia="en-US"/>
        </w:rPr>
        <w:t xml:space="preserve"> due to the benefits from </w:t>
      </w:r>
      <w:r w:rsidR="007F1347">
        <w:rPr>
          <w:rFonts w:eastAsiaTheme="minorHAnsi" w:cs="Arial"/>
          <w:sz w:val="24"/>
          <w:lang w:val="en-GB" w:eastAsia="en-US"/>
        </w:rPr>
        <w:t>adjustments</w:t>
      </w:r>
      <w:r w:rsidR="00452005" w:rsidRPr="008B1CBA">
        <w:rPr>
          <w:rFonts w:eastAsiaTheme="minorHAnsi" w:cs="Arial"/>
          <w:sz w:val="24"/>
          <w:lang w:val="en-GB" w:eastAsia="en-US"/>
        </w:rPr>
        <w:t xml:space="preserve"> specifically tailored to Australian conditions</w:t>
      </w:r>
      <w:r w:rsidRPr="008B1CBA">
        <w:rPr>
          <w:rFonts w:eastAsiaTheme="minorHAnsi" w:cs="Arial"/>
          <w:sz w:val="24"/>
          <w:lang w:val="en-GB" w:eastAsia="en-US"/>
        </w:rPr>
        <w:t>. Th</w:t>
      </w:r>
      <w:r w:rsidR="00452005" w:rsidRPr="008B1CBA">
        <w:rPr>
          <w:rFonts w:eastAsiaTheme="minorHAnsi" w:cs="Arial"/>
          <w:sz w:val="24"/>
          <w:lang w:val="en-GB" w:eastAsia="en-US"/>
        </w:rPr>
        <w:t>is</w:t>
      </w:r>
      <w:r w:rsidRPr="008B1CBA">
        <w:rPr>
          <w:rFonts w:eastAsiaTheme="minorHAnsi" w:cs="Arial"/>
          <w:sz w:val="24"/>
          <w:lang w:val="en-GB" w:eastAsia="en-US"/>
        </w:rPr>
        <w:t xml:space="preserve"> option will</w:t>
      </w:r>
      <w:r w:rsidR="00452005" w:rsidRPr="008B1CBA">
        <w:rPr>
          <w:rFonts w:eastAsiaTheme="minorHAnsi" w:cs="Arial"/>
          <w:sz w:val="24"/>
          <w:lang w:val="en-GB" w:eastAsia="en-US"/>
        </w:rPr>
        <w:t xml:space="preserve"> also</w:t>
      </w:r>
      <w:r w:rsidRPr="008B1CBA">
        <w:rPr>
          <w:rFonts w:eastAsiaTheme="minorHAnsi" w:cs="Arial"/>
          <w:sz w:val="24"/>
          <w:lang w:val="en-GB" w:eastAsia="en-US"/>
        </w:rPr>
        <w:t xml:space="preserve"> </w:t>
      </w:r>
      <w:r w:rsidR="00452005" w:rsidRPr="008B1CBA">
        <w:rPr>
          <w:rFonts w:eastAsiaTheme="minorHAnsi" w:cs="Arial"/>
          <w:sz w:val="24"/>
          <w:lang w:val="en-GB" w:eastAsia="en-US"/>
        </w:rPr>
        <w:t>mean</w:t>
      </w:r>
      <w:r w:rsidRPr="008B1CBA">
        <w:rPr>
          <w:rFonts w:eastAsiaTheme="minorHAnsi" w:cs="Arial"/>
          <w:sz w:val="24"/>
          <w:lang w:val="en-GB" w:eastAsia="en-US"/>
        </w:rPr>
        <w:t xml:space="preserve"> Australia maintains its reputation for compliance with international </w:t>
      </w:r>
      <w:r w:rsidR="00452005" w:rsidRPr="008B1CBA">
        <w:rPr>
          <w:rFonts w:eastAsiaTheme="minorHAnsi" w:cs="Arial"/>
          <w:sz w:val="24"/>
          <w:lang w:val="en-GB" w:eastAsia="en-US"/>
        </w:rPr>
        <w:t>standards</w:t>
      </w:r>
      <w:r w:rsidRPr="008B1CBA">
        <w:rPr>
          <w:rFonts w:eastAsiaTheme="minorHAnsi" w:cs="Arial"/>
          <w:sz w:val="24"/>
          <w:lang w:val="en-GB" w:eastAsia="en-US"/>
        </w:rPr>
        <w:t xml:space="preserve"> while enabling a flexible regime so that ADIs are able to remain competitive with international peers and operate in a financial system that is safeguarded from excessive concentration risk.</w:t>
      </w:r>
    </w:p>
    <w:p w14:paraId="278A2E3B" w14:textId="77777777" w:rsidR="001269D3" w:rsidRPr="00704CA7" w:rsidRDefault="00FF1221" w:rsidP="00D7187A">
      <w:pPr>
        <w:pStyle w:val="Heading2"/>
        <w:rPr>
          <w:rFonts w:eastAsiaTheme="minorHAnsi"/>
          <w:lang w:val="en-GB" w:eastAsia="en-US"/>
        </w:rPr>
      </w:pPr>
      <w:r w:rsidRPr="00704CA7">
        <w:rPr>
          <w:rFonts w:eastAsiaTheme="minorHAnsi"/>
          <w:lang w:val="en-GB" w:eastAsia="en-US"/>
        </w:rPr>
        <w:lastRenderedPageBreak/>
        <w:t>Questions 5 — Consultation</w:t>
      </w:r>
    </w:p>
    <w:p w14:paraId="7B1C55E3" w14:textId="11BF04E8" w:rsidR="00452005" w:rsidRPr="008B1CBA" w:rsidRDefault="00704CA7" w:rsidP="00B60CD0">
      <w:pPr>
        <w:spacing w:before="120" w:after="120"/>
        <w:jc w:val="left"/>
        <w:rPr>
          <w:rFonts w:eastAsiaTheme="minorHAnsi" w:cs="Arial"/>
          <w:sz w:val="24"/>
          <w:lang w:val="en-GB" w:eastAsia="en-US"/>
        </w:rPr>
      </w:pPr>
      <w:r>
        <w:rPr>
          <w:rFonts w:eastAsiaTheme="minorHAnsi" w:cs="Arial"/>
          <w:sz w:val="24"/>
          <w:lang w:val="en-GB" w:eastAsia="en-US"/>
        </w:rPr>
        <w:t>As noted previously, i</w:t>
      </w:r>
      <w:r w:rsidR="00452005" w:rsidRPr="008B1CBA">
        <w:rPr>
          <w:rFonts w:eastAsiaTheme="minorHAnsi" w:cs="Arial"/>
          <w:sz w:val="24"/>
          <w:lang w:val="en-GB" w:eastAsia="en-US"/>
        </w:rPr>
        <w:t xml:space="preserve">n April 2017, APRA released a discussion paper </w:t>
      </w:r>
      <w:r w:rsidR="007F1347">
        <w:rPr>
          <w:rFonts w:eastAsiaTheme="minorHAnsi" w:cs="Arial"/>
          <w:sz w:val="24"/>
          <w:lang w:val="en-GB" w:eastAsia="en-US"/>
        </w:rPr>
        <w:t xml:space="preserve">for consultation </w:t>
      </w:r>
      <w:r w:rsidR="00452005" w:rsidRPr="008B1CBA">
        <w:rPr>
          <w:rFonts w:eastAsiaTheme="minorHAnsi" w:cs="Arial"/>
          <w:sz w:val="24"/>
          <w:lang w:val="en-GB" w:eastAsia="en-US"/>
        </w:rPr>
        <w:t xml:space="preserve">which outlined the three options for the future application and operation of the large exposure requirements noted above. APRA’s public consultation was open for three months. Thirteen submissions were received from a range of stakeholders including ADIs, foreign ADIs and industry bodies. </w:t>
      </w:r>
      <w:r w:rsidR="000259D4" w:rsidRPr="008B1CBA">
        <w:rPr>
          <w:rFonts w:eastAsiaTheme="minorHAnsi" w:cs="Arial"/>
          <w:sz w:val="24"/>
          <w:lang w:val="en-GB" w:eastAsia="en-US"/>
        </w:rPr>
        <w:t xml:space="preserve">APRA has also met with industry bodies and individual ADIs subsequent to the public consultation to further discuss issues raised and refine </w:t>
      </w:r>
      <w:r w:rsidR="007F1347">
        <w:rPr>
          <w:rFonts w:eastAsiaTheme="minorHAnsi" w:cs="Arial"/>
          <w:sz w:val="24"/>
          <w:lang w:val="en-GB" w:eastAsia="en-US"/>
        </w:rPr>
        <w:t>the</w:t>
      </w:r>
      <w:r w:rsidR="000259D4" w:rsidRPr="008B1CBA">
        <w:rPr>
          <w:rFonts w:eastAsiaTheme="minorHAnsi" w:cs="Arial"/>
          <w:sz w:val="24"/>
          <w:lang w:val="en-GB" w:eastAsia="en-US"/>
        </w:rPr>
        <w:t xml:space="preserve"> proposals.</w:t>
      </w:r>
      <w:r w:rsidR="00732E7E">
        <w:rPr>
          <w:rFonts w:eastAsiaTheme="minorHAnsi" w:cs="Arial"/>
          <w:sz w:val="24"/>
          <w:lang w:val="en-GB" w:eastAsia="en-US"/>
        </w:rPr>
        <w:t xml:space="preserve"> APRA’s response to material issues is set out in the Response to </w:t>
      </w:r>
      <w:r w:rsidR="008D0F21">
        <w:rPr>
          <w:rFonts w:eastAsiaTheme="minorHAnsi" w:cs="Arial"/>
          <w:sz w:val="24"/>
          <w:lang w:val="en-GB" w:eastAsia="en-US"/>
        </w:rPr>
        <w:t>s</w:t>
      </w:r>
      <w:r w:rsidR="00235B89">
        <w:rPr>
          <w:rFonts w:eastAsiaTheme="minorHAnsi" w:cs="Arial"/>
          <w:sz w:val="24"/>
          <w:lang w:val="en-GB" w:eastAsia="en-US"/>
        </w:rPr>
        <w:t>ubmission</w:t>
      </w:r>
      <w:r w:rsidR="00732E7E">
        <w:rPr>
          <w:rFonts w:eastAsiaTheme="minorHAnsi" w:cs="Arial"/>
          <w:sz w:val="24"/>
          <w:lang w:val="en-GB" w:eastAsia="en-US"/>
        </w:rPr>
        <w:t>s paper</w:t>
      </w:r>
      <w:r w:rsidR="007F1347">
        <w:rPr>
          <w:rFonts w:eastAsiaTheme="minorHAnsi" w:cs="Arial"/>
          <w:sz w:val="24"/>
          <w:lang w:val="en-GB" w:eastAsia="en-US"/>
        </w:rPr>
        <w:t xml:space="preserve"> on APRA’s website</w:t>
      </w:r>
      <w:r w:rsidR="00732E7E">
        <w:rPr>
          <w:rFonts w:eastAsiaTheme="minorHAnsi" w:cs="Arial"/>
          <w:sz w:val="24"/>
          <w:lang w:val="en-GB" w:eastAsia="en-US"/>
        </w:rPr>
        <w:t>.</w:t>
      </w:r>
    </w:p>
    <w:p w14:paraId="2F094A0D" w14:textId="77777777" w:rsidR="00BB6629" w:rsidRPr="00704CA7" w:rsidRDefault="00BB6629" w:rsidP="00D7187A">
      <w:pPr>
        <w:pStyle w:val="Heading2"/>
        <w:rPr>
          <w:rFonts w:eastAsiaTheme="minorHAnsi"/>
          <w:lang w:val="en-GB" w:eastAsia="en-US"/>
        </w:rPr>
      </w:pPr>
      <w:r w:rsidRPr="00704CA7">
        <w:rPr>
          <w:rFonts w:eastAsiaTheme="minorHAnsi"/>
          <w:lang w:val="en-GB" w:eastAsia="en-US"/>
        </w:rPr>
        <w:lastRenderedPageBreak/>
        <w:t>Question 6 — What is the appropriate option</w:t>
      </w:r>
    </w:p>
    <w:p w14:paraId="0917D81C" w14:textId="4BA0714F"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 xml:space="preserve">As part of its public consultation, APRA sought information from stakeholders on the compliance impacts of the proposed changes set out in the discussion paper, including associated substantive costs. Respondents were asked to use the </w:t>
      </w:r>
      <w:r w:rsidR="00BB6629">
        <w:rPr>
          <w:rFonts w:eastAsiaTheme="minorHAnsi" w:cs="Arial"/>
          <w:sz w:val="24"/>
          <w:lang w:val="en-GB" w:eastAsia="en-US"/>
        </w:rPr>
        <w:t>Commonwealth</w:t>
      </w:r>
      <w:r w:rsidRPr="008B1CBA">
        <w:rPr>
          <w:rFonts w:eastAsiaTheme="minorHAnsi" w:cs="Arial"/>
          <w:sz w:val="24"/>
          <w:lang w:val="en-GB" w:eastAsia="en-US"/>
        </w:rPr>
        <w:t xml:space="preserve"> Regulatory Burden Measurement </w:t>
      </w:r>
      <w:r w:rsidR="00BB6629">
        <w:rPr>
          <w:rFonts w:eastAsiaTheme="minorHAnsi" w:cs="Arial"/>
          <w:sz w:val="24"/>
          <w:lang w:val="en-GB" w:eastAsia="en-US"/>
        </w:rPr>
        <w:t>t</w:t>
      </w:r>
      <w:r w:rsidRPr="008B1CBA">
        <w:rPr>
          <w:rFonts w:eastAsiaTheme="minorHAnsi" w:cs="Arial"/>
          <w:sz w:val="24"/>
          <w:lang w:val="en-GB" w:eastAsia="en-US"/>
        </w:rPr>
        <w:t>ool to assess regulatory costs. None of the submissions provided regulatory cost estimates using th</w:t>
      </w:r>
      <w:r w:rsidR="00BB6629">
        <w:rPr>
          <w:rFonts w:eastAsiaTheme="minorHAnsi" w:cs="Arial"/>
          <w:sz w:val="24"/>
          <w:lang w:val="en-GB" w:eastAsia="en-US"/>
        </w:rPr>
        <w:t>is tool</w:t>
      </w:r>
      <w:r w:rsidRPr="008B1CBA">
        <w:rPr>
          <w:rFonts w:eastAsiaTheme="minorHAnsi" w:cs="Arial"/>
          <w:sz w:val="24"/>
          <w:lang w:val="en-GB" w:eastAsia="en-US"/>
        </w:rPr>
        <w:t xml:space="preserve">; however, some provided high-level cost estimates of the expected cost impacts of implementing the Basel large exposures framework (option 2). APRA has factored these estimates into its own cost estimates for each option and extrapolated the cost impacts for all ADIs on this basis, as well as the estimated impacts of the variations to the Basel </w:t>
      </w:r>
      <w:r w:rsidRPr="008B1CBA">
        <w:rPr>
          <w:rFonts w:eastAsiaTheme="minorHAnsi" w:cs="Arial"/>
          <w:sz w:val="24"/>
          <w:lang w:val="en-GB" w:eastAsia="en-US"/>
        </w:rPr>
        <w:lastRenderedPageBreak/>
        <w:t>large exposures framework to reflect Australian conditions (option 3).</w:t>
      </w:r>
    </w:p>
    <w:p w14:paraId="72CA5A59" w14:textId="313180C5"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APRA has considered relevant compliance costs (</w:t>
      </w:r>
      <w:r w:rsidR="00912137">
        <w:rPr>
          <w:rFonts w:eastAsiaTheme="minorHAnsi" w:cs="Arial"/>
          <w:sz w:val="24"/>
          <w:lang w:val="en-GB" w:eastAsia="en-US"/>
        </w:rPr>
        <w:t>i.e</w:t>
      </w:r>
      <w:r w:rsidRPr="008B1CBA">
        <w:rPr>
          <w:rFonts w:eastAsiaTheme="minorHAnsi" w:cs="Arial"/>
          <w:sz w:val="24"/>
          <w:lang w:val="en-GB" w:eastAsia="en-US"/>
        </w:rPr>
        <w:t>. administration, substantive and financial compliance costs as applicable) in estimating the regulatory cost of each option. This includes the costs of complying with the revised large exposures framework, which primarily relates to system</w:t>
      </w:r>
      <w:r w:rsidR="00912137">
        <w:rPr>
          <w:rFonts w:eastAsiaTheme="minorHAnsi" w:cs="Arial"/>
          <w:sz w:val="24"/>
          <w:lang w:val="en-GB" w:eastAsia="en-US"/>
        </w:rPr>
        <w:t>s</w:t>
      </w:r>
      <w:r w:rsidRPr="008B1CBA">
        <w:rPr>
          <w:rFonts w:eastAsiaTheme="minorHAnsi" w:cs="Arial"/>
          <w:sz w:val="24"/>
          <w:lang w:val="en-GB" w:eastAsia="en-US"/>
        </w:rPr>
        <w:t xml:space="preserve"> </w:t>
      </w:r>
      <w:r w:rsidR="00704CA7">
        <w:rPr>
          <w:rFonts w:eastAsiaTheme="minorHAnsi" w:cs="Arial"/>
          <w:sz w:val="24"/>
          <w:lang w:val="en-GB" w:eastAsia="en-US"/>
        </w:rPr>
        <w:t>change</w:t>
      </w:r>
      <w:r w:rsidRPr="008B1CBA">
        <w:rPr>
          <w:rFonts w:eastAsiaTheme="minorHAnsi" w:cs="Arial"/>
          <w:sz w:val="24"/>
          <w:lang w:val="en-GB" w:eastAsia="en-US"/>
        </w:rPr>
        <w:t xml:space="preserve">s to reflect </w:t>
      </w:r>
      <w:r w:rsidR="00704CA7">
        <w:rPr>
          <w:rFonts w:eastAsiaTheme="minorHAnsi" w:cs="Arial"/>
          <w:sz w:val="24"/>
          <w:lang w:val="en-GB" w:eastAsia="en-US"/>
        </w:rPr>
        <w:t>revisions</w:t>
      </w:r>
      <w:r w:rsidRPr="008B1CBA">
        <w:rPr>
          <w:rFonts w:eastAsiaTheme="minorHAnsi" w:cs="Arial"/>
          <w:sz w:val="24"/>
          <w:lang w:val="en-GB" w:eastAsia="en-US"/>
        </w:rPr>
        <w:t xml:space="preserve"> to</w:t>
      </w:r>
      <w:r w:rsidR="00704CA7">
        <w:rPr>
          <w:rFonts w:eastAsiaTheme="minorHAnsi" w:cs="Arial"/>
          <w:sz w:val="24"/>
          <w:lang w:val="en-GB" w:eastAsia="en-US"/>
        </w:rPr>
        <w:t xml:space="preserve"> the</w:t>
      </w:r>
      <w:r w:rsidRPr="008B1CBA">
        <w:rPr>
          <w:rFonts w:eastAsiaTheme="minorHAnsi" w:cs="Arial"/>
          <w:sz w:val="24"/>
          <w:lang w:val="en-GB" w:eastAsia="en-US"/>
        </w:rPr>
        <w:t xml:space="preserve"> large exposure limits, costs to identify and connect counterparties, update internal policies, procedures and processes and to train staff. APRA has also made assumptions about the nature and extent of cost impacts</w:t>
      </w:r>
      <w:r w:rsidR="00704CA7">
        <w:rPr>
          <w:rFonts w:eastAsiaTheme="minorHAnsi" w:cs="Arial"/>
          <w:sz w:val="24"/>
          <w:lang w:val="en-GB" w:eastAsia="en-US"/>
        </w:rPr>
        <w:t>,</w:t>
      </w:r>
      <w:r w:rsidRPr="008B1CBA">
        <w:rPr>
          <w:rFonts w:eastAsiaTheme="minorHAnsi" w:cs="Arial"/>
          <w:sz w:val="24"/>
          <w:lang w:val="en-GB" w:eastAsia="en-US"/>
        </w:rPr>
        <w:t xml:space="preserve"> including the extent of work involved based on staff numbers and associated staff costs as well as the size of an ADI</w:t>
      </w:r>
      <w:r w:rsidR="00912137">
        <w:rPr>
          <w:rFonts w:eastAsiaTheme="minorHAnsi" w:cs="Arial"/>
          <w:sz w:val="24"/>
          <w:lang w:val="en-GB" w:eastAsia="en-US"/>
        </w:rPr>
        <w:t xml:space="preserve"> which will have a bearing on costs</w:t>
      </w:r>
      <w:r w:rsidRPr="008B1CBA">
        <w:rPr>
          <w:rFonts w:eastAsiaTheme="minorHAnsi" w:cs="Arial"/>
          <w:sz w:val="24"/>
          <w:lang w:val="en-GB" w:eastAsia="en-US"/>
        </w:rPr>
        <w:t>. In addition, when estimating the cost impacts</w:t>
      </w:r>
      <w:r w:rsidR="00912137">
        <w:rPr>
          <w:rFonts w:eastAsiaTheme="minorHAnsi" w:cs="Arial"/>
          <w:sz w:val="24"/>
          <w:lang w:val="en-GB" w:eastAsia="en-US"/>
        </w:rPr>
        <w:t>,</w:t>
      </w:r>
      <w:r w:rsidRPr="008B1CBA">
        <w:rPr>
          <w:rFonts w:eastAsiaTheme="minorHAnsi" w:cs="Arial"/>
          <w:sz w:val="24"/>
          <w:lang w:val="en-GB" w:eastAsia="en-US"/>
        </w:rPr>
        <w:t xml:space="preserve"> it has been assumed that while ADIs will be directly </w:t>
      </w:r>
      <w:r w:rsidRPr="008B1CBA">
        <w:rPr>
          <w:rFonts w:eastAsiaTheme="minorHAnsi" w:cs="Arial"/>
          <w:sz w:val="24"/>
          <w:lang w:val="en-GB" w:eastAsia="en-US"/>
        </w:rPr>
        <w:lastRenderedPageBreak/>
        <w:t xml:space="preserve">affected, there are no anticipated direct cost impacts for other stakeholders. All costs represented in the </w:t>
      </w:r>
      <w:r w:rsidR="007616F0">
        <w:rPr>
          <w:rFonts w:eastAsiaTheme="minorHAnsi" w:cs="Arial"/>
          <w:sz w:val="24"/>
          <w:lang w:val="en-GB" w:eastAsia="en-US"/>
        </w:rPr>
        <w:t>t</w:t>
      </w:r>
      <w:r w:rsidRPr="008B1CBA">
        <w:rPr>
          <w:rFonts w:eastAsiaTheme="minorHAnsi" w:cs="Arial"/>
          <w:sz w:val="24"/>
          <w:lang w:val="en-GB" w:eastAsia="en-US"/>
        </w:rPr>
        <w:t>ables in this section reflect the amortised cost per year over a 10-year time horizon.</w:t>
      </w:r>
    </w:p>
    <w:p w14:paraId="57F900AA" w14:textId="18E0F4E1" w:rsidR="001269D3" w:rsidRPr="008B1CBA" w:rsidRDefault="001269D3" w:rsidP="00D7187A">
      <w:pPr>
        <w:pStyle w:val="Heading3"/>
        <w:rPr>
          <w:rFonts w:eastAsiaTheme="minorHAnsi"/>
          <w:lang w:val="en-GB" w:eastAsia="en-US"/>
        </w:rPr>
      </w:pPr>
      <w:r w:rsidRPr="008B1CBA">
        <w:rPr>
          <w:rFonts w:eastAsiaTheme="minorHAnsi"/>
          <w:lang w:val="en-GB" w:eastAsia="en-US"/>
        </w:rPr>
        <w:t>Option 1</w:t>
      </w:r>
      <w:r w:rsidR="00616C1B">
        <w:rPr>
          <w:rFonts w:eastAsiaTheme="minorHAnsi"/>
          <w:lang w:val="en-GB" w:eastAsia="en-US"/>
        </w:rPr>
        <w:t>—</w:t>
      </w:r>
      <w:r w:rsidRPr="008B1CBA">
        <w:rPr>
          <w:rFonts w:eastAsiaTheme="minorHAnsi"/>
          <w:lang w:val="en-GB" w:eastAsia="en-US"/>
        </w:rPr>
        <w:t>Status quo</w:t>
      </w:r>
    </w:p>
    <w:p w14:paraId="069B6F2D" w14:textId="06901511"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 xml:space="preserve">Under this option, ADIs and other stakeholders would not incur any additional compliance costs as the current large exposures framework would be retained without change (refer to Table 1 below). However, there would be indirect costs as ADIs would no longer </w:t>
      </w:r>
      <w:r w:rsidR="00815BA2">
        <w:rPr>
          <w:rFonts w:eastAsiaTheme="minorHAnsi" w:cs="Arial"/>
          <w:sz w:val="24"/>
          <w:lang w:val="en-GB" w:eastAsia="en-US"/>
        </w:rPr>
        <w:t>comply</w:t>
      </w:r>
      <w:r w:rsidRPr="008B1CBA">
        <w:rPr>
          <w:rFonts w:eastAsiaTheme="minorHAnsi" w:cs="Arial"/>
          <w:sz w:val="24"/>
          <w:lang w:val="en-GB" w:eastAsia="en-US"/>
        </w:rPr>
        <w:t xml:space="preserve"> with international obligations for large exposures which may affect their ability to participate in international markets.</w:t>
      </w:r>
    </w:p>
    <w:p w14:paraId="1404B6AA" w14:textId="16DC5242" w:rsidR="001269D3" w:rsidRPr="008B1CBA" w:rsidRDefault="001269D3" w:rsidP="00D7187A">
      <w:pPr>
        <w:pStyle w:val="Heading5"/>
        <w:rPr>
          <w:rFonts w:eastAsiaTheme="minorHAnsi"/>
          <w:lang w:val="en-GB" w:eastAsia="en-US"/>
        </w:rPr>
      </w:pPr>
      <w:r w:rsidRPr="008B1CBA">
        <w:rPr>
          <w:rFonts w:eastAsiaTheme="minorHAnsi"/>
          <w:lang w:val="en-GB" w:eastAsia="en-US"/>
        </w:rPr>
        <w:lastRenderedPageBreak/>
        <w:t>Table 1</w:t>
      </w:r>
      <w:r w:rsidR="00D7187A">
        <w:rPr>
          <w:rFonts w:eastAsiaTheme="minorHAnsi"/>
          <w:lang w:val="en-GB" w:eastAsia="en-US"/>
        </w:rPr>
        <w:t>—</w:t>
      </w:r>
      <w:r w:rsidRPr="008B1CBA">
        <w:rPr>
          <w:rFonts w:eastAsiaTheme="minorHAnsi"/>
          <w:lang w:val="en-GB" w:eastAsia="en-US"/>
        </w:rPr>
        <w:t>Average annual regulatory costs</w:t>
      </w:r>
    </w:p>
    <w:tbl>
      <w:tblPr>
        <w:tblStyle w:val="TableGrid10"/>
        <w:tblW w:w="0" w:type="auto"/>
        <w:tblLook w:val="04A0" w:firstRow="1" w:lastRow="0" w:firstColumn="1" w:lastColumn="0" w:noHBand="0" w:noVBand="1"/>
      </w:tblPr>
      <w:tblGrid>
        <w:gridCol w:w="2122"/>
        <w:gridCol w:w="1484"/>
        <w:gridCol w:w="1803"/>
        <w:gridCol w:w="1803"/>
        <w:gridCol w:w="1804"/>
      </w:tblGrid>
      <w:tr w:rsidR="001269D3" w:rsidRPr="008A7884" w14:paraId="0782D3AA" w14:textId="77777777" w:rsidTr="002C04C0">
        <w:tc>
          <w:tcPr>
            <w:tcW w:w="2122" w:type="dxa"/>
            <w:shd w:val="clear" w:color="auto" w:fill="002060"/>
            <w:vAlign w:val="bottom"/>
          </w:tcPr>
          <w:p w14:paraId="13E05CC5"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Sector</w:t>
            </w:r>
          </w:p>
        </w:tc>
        <w:tc>
          <w:tcPr>
            <w:tcW w:w="1484" w:type="dxa"/>
            <w:shd w:val="clear" w:color="auto" w:fill="002060"/>
            <w:vAlign w:val="bottom"/>
          </w:tcPr>
          <w:p w14:paraId="2153B035"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Business</w:t>
            </w:r>
          </w:p>
        </w:tc>
        <w:tc>
          <w:tcPr>
            <w:tcW w:w="1803" w:type="dxa"/>
            <w:shd w:val="clear" w:color="auto" w:fill="002060"/>
            <w:vAlign w:val="bottom"/>
          </w:tcPr>
          <w:p w14:paraId="229BB567"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Community organisations</w:t>
            </w:r>
          </w:p>
        </w:tc>
        <w:tc>
          <w:tcPr>
            <w:tcW w:w="1803" w:type="dxa"/>
            <w:shd w:val="clear" w:color="auto" w:fill="002060"/>
            <w:vAlign w:val="bottom"/>
          </w:tcPr>
          <w:p w14:paraId="4A8AE338"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Individuals</w:t>
            </w:r>
          </w:p>
        </w:tc>
        <w:tc>
          <w:tcPr>
            <w:tcW w:w="1804" w:type="dxa"/>
            <w:shd w:val="clear" w:color="auto" w:fill="002060"/>
            <w:vAlign w:val="bottom"/>
          </w:tcPr>
          <w:p w14:paraId="4D3BBB07"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Total change in costs</w:t>
            </w:r>
          </w:p>
        </w:tc>
      </w:tr>
      <w:tr w:rsidR="001269D3" w:rsidRPr="008A7884" w14:paraId="1A063B44" w14:textId="77777777" w:rsidTr="002C04C0">
        <w:tc>
          <w:tcPr>
            <w:tcW w:w="2122" w:type="dxa"/>
            <w:vAlign w:val="center"/>
          </w:tcPr>
          <w:p w14:paraId="40FEC540"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Total change in cost by sector ($ million)</w:t>
            </w:r>
          </w:p>
        </w:tc>
        <w:tc>
          <w:tcPr>
            <w:tcW w:w="1484" w:type="dxa"/>
            <w:vAlign w:val="center"/>
          </w:tcPr>
          <w:p w14:paraId="08E1ED56"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803" w:type="dxa"/>
            <w:vAlign w:val="center"/>
          </w:tcPr>
          <w:p w14:paraId="5E5AC1D9"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803" w:type="dxa"/>
            <w:vAlign w:val="center"/>
          </w:tcPr>
          <w:p w14:paraId="5ACB9838"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804" w:type="dxa"/>
            <w:vAlign w:val="center"/>
          </w:tcPr>
          <w:p w14:paraId="4F9B75E2"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0</w:t>
            </w:r>
          </w:p>
        </w:tc>
      </w:tr>
    </w:tbl>
    <w:p w14:paraId="681701B4" w14:textId="7D1850BA" w:rsidR="001269D3" w:rsidRPr="008B1CBA" w:rsidRDefault="001269D3" w:rsidP="00D7187A">
      <w:pPr>
        <w:pStyle w:val="Heading3"/>
        <w:rPr>
          <w:rFonts w:eastAsiaTheme="minorHAnsi"/>
          <w:lang w:val="en-GB" w:eastAsia="en-US"/>
        </w:rPr>
      </w:pPr>
      <w:r w:rsidRPr="008B1CBA">
        <w:rPr>
          <w:rFonts w:eastAsiaTheme="minorHAnsi"/>
          <w:lang w:val="en-GB" w:eastAsia="en-US"/>
        </w:rPr>
        <w:t>Option 2—Full implementation of Basel large exposures framework</w:t>
      </w:r>
    </w:p>
    <w:p w14:paraId="55A95698" w14:textId="1FA9C4A9"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 xml:space="preserve">Under this option, ADIs would incur additional costs as the existing large exposures framework would be modified to comply with the revised Basel large exposures framework. As noted previously, these costs stem from system costs to reflect the changes to large exposure limits, costs to identify and connect counterparties, update internal policies, procedures and processes and to train staff about the new requirements (refer </w:t>
      </w:r>
      <w:r w:rsidR="007616F0">
        <w:rPr>
          <w:rFonts w:eastAsiaTheme="minorHAnsi" w:cs="Arial"/>
          <w:sz w:val="24"/>
          <w:lang w:val="en-GB" w:eastAsia="en-US"/>
        </w:rPr>
        <w:t xml:space="preserve">to </w:t>
      </w:r>
      <w:r w:rsidRPr="008B1CBA">
        <w:rPr>
          <w:rFonts w:eastAsiaTheme="minorHAnsi" w:cs="Arial"/>
          <w:sz w:val="24"/>
          <w:lang w:val="en-GB" w:eastAsia="en-US"/>
        </w:rPr>
        <w:t>Table 2 below).</w:t>
      </w:r>
    </w:p>
    <w:p w14:paraId="5C6BD6E4" w14:textId="1AFCF6CE"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lastRenderedPageBreak/>
        <w:t>These costs arise as a result of a number of material changes to the large exposures framework as outlined in the discussion paper. They include changes to the level of capital (from Total Capital to Tier 1 Capital) used in the definition of large exposures, requirements to form a group of connected counterparties and changes to certain large exposure limits and the introduction of new limits, including introducing limits for systemically important banks to recognise the heightened contagion risks and potential for increased financial instability from these exposures. ADIs would also be required to amend systems to report large exposures under the revised framework. This option would apply from 1 January 2019 in line with the Basel large exposures framework.</w:t>
      </w:r>
    </w:p>
    <w:p w14:paraId="301FC238" w14:textId="44C50F12" w:rsidR="001269D3" w:rsidRPr="008B1CBA" w:rsidRDefault="001269D3" w:rsidP="00D7187A">
      <w:pPr>
        <w:pStyle w:val="Heading5"/>
        <w:rPr>
          <w:rFonts w:eastAsiaTheme="minorHAnsi"/>
          <w:lang w:val="en-GB" w:eastAsia="en-US"/>
        </w:rPr>
      </w:pPr>
      <w:r w:rsidRPr="008B1CBA">
        <w:rPr>
          <w:rFonts w:eastAsiaTheme="minorHAnsi"/>
          <w:lang w:val="en-GB" w:eastAsia="en-US"/>
        </w:rPr>
        <w:lastRenderedPageBreak/>
        <w:t>Table 2</w:t>
      </w:r>
      <w:r w:rsidR="00D7187A">
        <w:rPr>
          <w:rFonts w:eastAsiaTheme="minorHAnsi"/>
          <w:lang w:val="en-GB" w:eastAsia="en-US"/>
        </w:rPr>
        <w:t>—</w:t>
      </w:r>
      <w:r w:rsidRPr="008B1CBA">
        <w:rPr>
          <w:rFonts w:eastAsiaTheme="minorHAnsi"/>
          <w:lang w:val="en-GB" w:eastAsia="en-US"/>
        </w:rPr>
        <w:t>Average annual regulatory costs</w:t>
      </w:r>
    </w:p>
    <w:tbl>
      <w:tblPr>
        <w:tblStyle w:val="TableGrid10"/>
        <w:tblW w:w="0" w:type="auto"/>
        <w:tblLayout w:type="fixed"/>
        <w:tblLook w:val="04A0" w:firstRow="1" w:lastRow="0" w:firstColumn="1" w:lastColumn="0" w:noHBand="0" w:noVBand="1"/>
      </w:tblPr>
      <w:tblGrid>
        <w:gridCol w:w="2122"/>
        <w:gridCol w:w="1724"/>
        <w:gridCol w:w="1724"/>
        <w:gridCol w:w="1724"/>
        <w:gridCol w:w="1724"/>
      </w:tblGrid>
      <w:tr w:rsidR="001269D3" w:rsidRPr="008A7884" w14:paraId="317559E4" w14:textId="77777777" w:rsidTr="002C04C0">
        <w:tc>
          <w:tcPr>
            <w:tcW w:w="212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4D6AAC92"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Sector</w:t>
            </w:r>
          </w:p>
        </w:tc>
        <w:tc>
          <w:tcPr>
            <w:tcW w:w="148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106B28CB"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Business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A08BFB8"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Community organisations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3CAFFD17"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Individuals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468D2FF3"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Total change in costs</w:t>
            </w:r>
          </w:p>
        </w:tc>
      </w:tr>
      <w:tr w:rsidR="001269D3" w:rsidRPr="008A7884" w14:paraId="523F505F" w14:textId="77777777" w:rsidTr="002C04C0">
        <w:tc>
          <w:tcPr>
            <w:tcW w:w="2122" w:type="dxa"/>
            <w:tcBorders>
              <w:top w:val="single" w:sz="4" w:space="0" w:color="auto"/>
              <w:left w:val="single" w:sz="4" w:space="0" w:color="auto"/>
              <w:bottom w:val="single" w:sz="4" w:space="0" w:color="auto"/>
              <w:right w:val="single" w:sz="4" w:space="0" w:color="auto"/>
            </w:tcBorders>
            <w:vAlign w:val="center"/>
            <w:hideMark/>
          </w:tcPr>
          <w:p w14:paraId="7E0646C8"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Total change in cost by sector ($ million)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51D66762"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5.81</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948F6D7"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6F326095"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7AB02318" w14:textId="77777777" w:rsidR="001269D3" w:rsidRPr="008B1CBA" w:rsidRDefault="001269D3" w:rsidP="00D7187A">
            <w:pPr>
              <w:keepNext/>
              <w:spacing w:before="120" w:after="120"/>
              <w:jc w:val="left"/>
              <w:rPr>
                <w:rFonts w:eastAsiaTheme="minorHAnsi" w:cs="Arial"/>
                <w:sz w:val="24"/>
                <w:lang w:val="en-GB" w:eastAsia="en-US"/>
              </w:rPr>
            </w:pPr>
            <w:r w:rsidRPr="008B1CBA">
              <w:rPr>
                <w:rFonts w:eastAsiaTheme="minorHAnsi" w:cs="Arial"/>
                <w:sz w:val="24"/>
                <w:lang w:val="en-GB" w:eastAsia="en-US"/>
              </w:rPr>
              <w:t>5.81</w:t>
            </w:r>
          </w:p>
        </w:tc>
      </w:tr>
    </w:tbl>
    <w:p w14:paraId="61FB21B4" w14:textId="43D85D67" w:rsidR="001269D3" w:rsidRPr="008B1CBA" w:rsidRDefault="001269D3" w:rsidP="00D7187A">
      <w:pPr>
        <w:pStyle w:val="Heading3"/>
        <w:rPr>
          <w:rFonts w:eastAsiaTheme="minorHAnsi"/>
          <w:lang w:val="en-GB" w:eastAsia="en-US"/>
        </w:rPr>
      </w:pPr>
      <w:r w:rsidRPr="008B1CBA">
        <w:rPr>
          <w:rFonts w:eastAsiaTheme="minorHAnsi"/>
          <w:lang w:val="en-GB" w:eastAsia="en-US"/>
        </w:rPr>
        <w:t>Option 3—Implement the Basel large exposures framework with adjustments to reflect Australian conditions</w:t>
      </w:r>
    </w:p>
    <w:p w14:paraId="7A48E462" w14:textId="146ADD78"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This option is a variant of option 2 with amendments to reflect Australian conditions and the operation of the Australian ADI industry. This option essentially makes a number of changes based on issues raised in submissions to APRA as part of the consultation process. These changes include:</w:t>
      </w:r>
    </w:p>
    <w:p w14:paraId="596E7651" w14:textId="48969189" w:rsidR="001269D3" w:rsidRPr="008B1CBA" w:rsidRDefault="001269D3" w:rsidP="00B60CD0">
      <w:pPr>
        <w:numPr>
          <w:ilvl w:val="0"/>
          <w:numId w:val="17"/>
        </w:numPr>
        <w:ind w:left="567" w:hanging="567"/>
        <w:jc w:val="left"/>
        <w:rPr>
          <w:rFonts w:eastAsiaTheme="minorHAnsi" w:cs="Arial"/>
          <w:sz w:val="24"/>
          <w:lang w:val="en-GB" w:eastAsia="en-US"/>
        </w:rPr>
      </w:pPr>
      <w:r w:rsidRPr="008B1CBA">
        <w:rPr>
          <w:rFonts w:eastAsiaTheme="minorHAnsi" w:cs="Arial"/>
          <w:sz w:val="24"/>
          <w:lang w:val="en-GB" w:eastAsia="en-US"/>
        </w:rPr>
        <w:t>allowing ADIs to exclude retail counterparties from the concept of a group of connected counterparties;</w:t>
      </w:r>
    </w:p>
    <w:p w14:paraId="7DBDDEDC" w14:textId="72184EE1" w:rsidR="001269D3" w:rsidRPr="008B1CBA" w:rsidRDefault="001269D3" w:rsidP="00B60CD0">
      <w:pPr>
        <w:numPr>
          <w:ilvl w:val="0"/>
          <w:numId w:val="17"/>
        </w:numPr>
        <w:ind w:left="567" w:hanging="567"/>
        <w:jc w:val="left"/>
        <w:rPr>
          <w:rFonts w:eastAsiaTheme="minorHAnsi" w:cs="Arial"/>
          <w:sz w:val="24"/>
          <w:lang w:val="en-GB" w:eastAsia="en-US"/>
        </w:rPr>
      </w:pPr>
      <w:r w:rsidRPr="008B1CBA">
        <w:rPr>
          <w:rFonts w:eastAsiaTheme="minorHAnsi" w:cs="Arial"/>
          <w:sz w:val="24"/>
          <w:lang w:val="en-GB" w:eastAsia="en-US"/>
        </w:rPr>
        <w:lastRenderedPageBreak/>
        <w:t>not requiring look</w:t>
      </w:r>
      <w:r w:rsidR="00A612CE">
        <w:rPr>
          <w:rFonts w:eastAsiaTheme="minorHAnsi" w:cs="Arial"/>
          <w:sz w:val="24"/>
          <w:lang w:val="en-GB" w:eastAsia="en-US"/>
        </w:rPr>
        <w:t>-</w:t>
      </w:r>
      <w:r w:rsidRPr="008B1CBA">
        <w:rPr>
          <w:rFonts w:eastAsiaTheme="minorHAnsi" w:cs="Arial"/>
          <w:sz w:val="24"/>
          <w:lang w:val="en-GB" w:eastAsia="en-US"/>
        </w:rPr>
        <w:t>through for structured vehicles which hold retail assets; and</w:t>
      </w:r>
    </w:p>
    <w:p w14:paraId="781B8B2A" w14:textId="07E8F4E2" w:rsidR="001269D3" w:rsidRPr="008B1CBA" w:rsidRDefault="001269D3" w:rsidP="00B60CD0">
      <w:pPr>
        <w:numPr>
          <w:ilvl w:val="0"/>
          <w:numId w:val="17"/>
        </w:numPr>
        <w:ind w:left="567" w:hanging="567"/>
        <w:jc w:val="left"/>
        <w:rPr>
          <w:rFonts w:eastAsiaTheme="minorHAnsi" w:cs="Arial"/>
          <w:sz w:val="24"/>
          <w:lang w:val="en-GB" w:eastAsia="en-US"/>
        </w:rPr>
      </w:pPr>
      <w:r w:rsidRPr="008B1CBA">
        <w:rPr>
          <w:rFonts w:eastAsiaTheme="minorHAnsi" w:cs="Arial"/>
          <w:sz w:val="24"/>
          <w:lang w:val="en-GB" w:eastAsia="en-US"/>
        </w:rPr>
        <w:t xml:space="preserve">an extended transition to 1 January 2020 </w:t>
      </w:r>
      <w:r w:rsidR="00A612CE">
        <w:rPr>
          <w:rFonts w:eastAsiaTheme="minorHAnsi" w:cs="Arial"/>
          <w:sz w:val="24"/>
          <w:lang w:val="en-GB" w:eastAsia="en-US"/>
        </w:rPr>
        <w:t xml:space="preserve">until </w:t>
      </w:r>
      <w:r w:rsidRPr="008B1CBA">
        <w:rPr>
          <w:rFonts w:eastAsiaTheme="minorHAnsi" w:cs="Arial"/>
          <w:sz w:val="24"/>
          <w:lang w:val="en-GB" w:eastAsia="en-US"/>
        </w:rPr>
        <w:t>ADIs are required to look</w:t>
      </w:r>
      <w:r w:rsidR="00A612CE">
        <w:rPr>
          <w:rFonts w:eastAsiaTheme="minorHAnsi" w:cs="Arial"/>
          <w:sz w:val="24"/>
          <w:lang w:val="en-GB" w:eastAsia="en-US"/>
        </w:rPr>
        <w:t xml:space="preserve"> </w:t>
      </w:r>
      <w:r w:rsidRPr="008B1CBA">
        <w:rPr>
          <w:rFonts w:eastAsiaTheme="minorHAnsi" w:cs="Arial"/>
          <w:sz w:val="24"/>
          <w:lang w:val="en-GB" w:eastAsia="en-US"/>
        </w:rPr>
        <w:t xml:space="preserve">through to the assets of structured vehicles and form groups of connected counterparties </w:t>
      </w:r>
      <w:r w:rsidR="00815BA2">
        <w:rPr>
          <w:rFonts w:eastAsiaTheme="minorHAnsi" w:cs="Arial"/>
          <w:sz w:val="24"/>
          <w:lang w:val="en-GB" w:eastAsia="en-US"/>
        </w:rPr>
        <w:t>consistent with the</w:t>
      </w:r>
      <w:r w:rsidRPr="008B1CBA">
        <w:rPr>
          <w:rFonts w:eastAsiaTheme="minorHAnsi" w:cs="Arial"/>
          <w:sz w:val="24"/>
          <w:lang w:val="en-GB" w:eastAsia="en-US"/>
        </w:rPr>
        <w:t xml:space="preserve"> new requirements.</w:t>
      </w:r>
    </w:p>
    <w:p w14:paraId="53B6C42A" w14:textId="77777777" w:rsidR="001269D3" w:rsidRPr="008B1CBA" w:rsidRDefault="001269D3" w:rsidP="00D7187A">
      <w:pPr>
        <w:pStyle w:val="Heading5"/>
        <w:rPr>
          <w:rFonts w:eastAsiaTheme="minorHAnsi"/>
          <w:lang w:val="en-GB" w:eastAsia="en-US"/>
        </w:rPr>
      </w:pPr>
      <w:r w:rsidRPr="008B1CBA">
        <w:rPr>
          <w:rFonts w:eastAsiaTheme="minorHAnsi"/>
          <w:lang w:val="en-GB" w:eastAsia="en-US"/>
        </w:rPr>
        <w:t>Table 3—Average annual regulatory costs</w:t>
      </w:r>
    </w:p>
    <w:tbl>
      <w:tblPr>
        <w:tblStyle w:val="TableGrid10"/>
        <w:tblW w:w="0" w:type="auto"/>
        <w:tblLayout w:type="fixed"/>
        <w:tblLook w:val="04A0" w:firstRow="1" w:lastRow="0" w:firstColumn="1" w:lastColumn="0" w:noHBand="0" w:noVBand="1"/>
      </w:tblPr>
      <w:tblGrid>
        <w:gridCol w:w="2122"/>
        <w:gridCol w:w="1724"/>
        <w:gridCol w:w="1724"/>
        <w:gridCol w:w="1724"/>
        <w:gridCol w:w="1724"/>
      </w:tblGrid>
      <w:tr w:rsidR="001269D3" w:rsidRPr="008A7884" w14:paraId="7A11E3C6" w14:textId="77777777" w:rsidTr="002C04C0">
        <w:tc>
          <w:tcPr>
            <w:tcW w:w="212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25906D7B"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Sector</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30C4C294"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Business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076978C4"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Community organisations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44AB83D"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Individuals</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18AEF79"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Total change in costs</w:t>
            </w:r>
          </w:p>
        </w:tc>
      </w:tr>
      <w:tr w:rsidR="001269D3" w:rsidRPr="008A7884" w14:paraId="7D4B3FB0" w14:textId="77777777" w:rsidTr="002C04C0">
        <w:tc>
          <w:tcPr>
            <w:tcW w:w="2122" w:type="dxa"/>
            <w:tcBorders>
              <w:top w:val="single" w:sz="4" w:space="0" w:color="auto"/>
              <w:left w:val="single" w:sz="4" w:space="0" w:color="auto"/>
              <w:bottom w:val="single" w:sz="4" w:space="0" w:color="auto"/>
              <w:right w:val="single" w:sz="4" w:space="0" w:color="auto"/>
            </w:tcBorders>
            <w:vAlign w:val="center"/>
            <w:hideMark/>
          </w:tcPr>
          <w:p w14:paraId="1B5C15A6"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Total change in cost by sector ($ million)</w:t>
            </w:r>
          </w:p>
        </w:tc>
        <w:tc>
          <w:tcPr>
            <w:tcW w:w="1724" w:type="dxa"/>
            <w:tcBorders>
              <w:top w:val="single" w:sz="4" w:space="0" w:color="auto"/>
              <w:left w:val="single" w:sz="4" w:space="0" w:color="auto"/>
              <w:bottom w:val="single" w:sz="4" w:space="0" w:color="auto"/>
              <w:right w:val="single" w:sz="4" w:space="0" w:color="auto"/>
            </w:tcBorders>
            <w:vAlign w:val="center"/>
            <w:hideMark/>
          </w:tcPr>
          <w:p w14:paraId="36B73861"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5.45</w:t>
            </w:r>
          </w:p>
        </w:tc>
        <w:tc>
          <w:tcPr>
            <w:tcW w:w="1724" w:type="dxa"/>
            <w:tcBorders>
              <w:top w:val="single" w:sz="4" w:space="0" w:color="auto"/>
              <w:left w:val="single" w:sz="4" w:space="0" w:color="auto"/>
              <w:bottom w:val="single" w:sz="4" w:space="0" w:color="auto"/>
              <w:right w:val="single" w:sz="4" w:space="0" w:color="auto"/>
            </w:tcBorders>
            <w:vAlign w:val="center"/>
            <w:hideMark/>
          </w:tcPr>
          <w:p w14:paraId="2DFAA81F"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41080A9"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8248D3E" w14:textId="77777777" w:rsidR="001269D3" w:rsidRPr="008B1CBA" w:rsidRDefault="001269D3" w:rsidP="00B60CD0">
            <w:pPr>
              <w:spacing w:before="120" w:after="120"/>
              <w:jc w:val="left"/>
              <w:rPr>
                <w:rFonts w:eastAsiaTheme="minorHAnsi" w:cs="Arial"/>
                <w:sz w:val="24"/>
                <w:lang w:val="en-GB" w:eastAsia="en-US"/>
              </w:rPr>
            </w:pPr>
            <w:r w:rsidRPr="008B1CBA">
              <w:rPr>
                <w:rFonts w:eastAsiaTheme="minorHAnsi" w:cs="Arial"/>
                <w:sz w:val="24"/>
                <w:lang w:val="en-GB" w:eastAsia="en-US"/>
              </w:rPr>
              <w:t>5.45</w:t>
            </w:r>
          </w:p>
        </w:tc>
      </w:tr>
    </w:tbl>
    <w:p w14:paraId="4AD73DAB" w14:textId="77777777" w:rsidR="001269D3" w:rsidRPr="008B1CBA" w:rsidRDefault="001269D3" w:rsidP="00B60CD0">
      <w:pPr>
        <w:jc w:val="left"/>
        <w:rPr>
          <w:rFonts w:eastAsiaTheme="minorHAnsi" w:cs="Arial"/>
          <w:sz w:val="24"/>
          <w:lang w:val="en-GB" w:eastAsia="en-US"/>
        </w:rPr>
      </w:pPr>
    </w:p>
    <w:p w14:paraId="5F3765DC" w14:textId="0F073355"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 xml:space="preserve">Under option 1, there would be no additional compliance costs. This is because option 1 involves maintaining the existing large exposures </w:t>
      </w:r>
      <w:r w:rsidR="00B229D8">
        <w:rPr>
          <w:rFonts w:eastAsiaTheme="minorHAnsi" w:cs="Arial"/>
          <w:sz w:val="24"/>
          <w:lang w:val="en-GB" w:eastAsia="en-US"/>
        </w:rPr>
        <w:t xml:space="preserve">framework </w:t>
      </w:r>
      <w:r w:rsidRPr="008B1CBA">
        <w:rPr>
          <w:rFonts w:eastAsiaTheme="minorHAnsi" w:cs="Arial"/>
          <w:sz w:val="24"/>
          <w:lang w:val="en-GB" w:eastAsia="en-US"/>
        </w:rPr>
        <w:t>without change.</w:t>
      </w:r>
      <w:r w:rsidR="00815BA2">
        <w:rPr>
          <w:rFonts w:eastAsiaTheme="minorHAnsi" w:cs="Arial"/>
          <w:sz w:val="24"/>
          <w:lang w:val="en-GB" w:eastAsia="en-US"/>
        </w:rPr>
        <w:t xml:space="preserve"> However, there would be </w:t>
      </w:r>
      <w:r w:rsidR="00815BA2">
        <w:rPr>
          <w:rFonts w:eastAsiaTheme="minorHAnsi" w:cs="Arial"/>
          <w:sz w:val="24"/>
          <w:lang w:val="en-GB" w:eastAsia="en-US"/>
        </w:rPr>
        <w:lastRenderedPageBreak/>
        <w:t>costs to ADIs from not being compliant with the Basel large exposures framework.</w:t>
      </w:r>
    </w:p>
    <w:p w14:paraId="6B4BA048" w14:textId="306DF557" w:rsidR="001269D3" w:rsidRPr="008B1CBA" w:rsidRDefault="001269D3" w:rsidP="00B60CD0">
      <w:pPr>
        <w:jc w:val="left"/>
        <w:rPr>
          <w:rFonts w:eastAsiaTheme="minorHAnsi" w:cs="Arial"/>
          <w:sz w:val="24"/>
          <w:lang w:val="en-GB" w:eastAsia="en-US"/>
        </w:rPr>
      </w:pPr>
      <w:r w:rsidRPr="008B1CBA">
        <w:rPr>
          <w:rFonts w:eastAsiaTheme="minorHAnsi" w:cs="Arial"/>
          <w:sz w:val="24"/>
          <w:lang w:val="en-GB" w:eastAsia="en-US"/>
        </w:rPr>
        <w:t>Both options 2 and 3 involve compliance costs for industry. Option 3 involves lower costs as APRA would provide a number of concessions to ADIs</w:t>
      </w:r>
      <w:r w:rsidR="00815BA2">
        <w:rPr>
          <w:rFonts w:eastAsiaTheme="minorHAnsi" w:cs="Arial"/>
          <w:sz w:val="24"/>
          <w:lang w:val="en-GB" w:eastAsia="en-US"/>
        </w:rPr>
        <w:t xml:space="preserve"> relative to option 2</w:t>
      </w:r>
      <w:r w:rsidRPr="008B1CBA">
        <w:rPr>
          <w:rFonts w:eastAsiaTheme="minorHAnsi" w:cs="Arial"/>
          <w:sz w:val="24"/>
          <w:lang w:val="en-GB" w:eastAsia="en-US"/>
        </w:rPr>
        <w:t>. APRA considers that option 3 is the better option as it recognises a number of difficulties and complexities in implementing the Basel large exposures framework</w:t>
      </w:r>
      <w:r w:rsidR="0008682E" w:rsidRPr="008B1CBA">
        <w:rPr>
          <w:rFonts w:eastAsiaTheme="minorHAnsi" w:cs="Arial"/>
          <w:sz w:val="24"/>
          <w:lang w:val="en-GB" w:eastAsia="en-US"/>
        </w:rPr>
        <w:t xml:space="preserve"> for ADIs</w:t>
      </w:r>
      <w:r w:rsidRPr="008B1CBA">
        <w:rPr>
          <w:rFonts w:eastAsiaTheme="minorHAnsi" w:cs="Arial"/>
          <w:sz w:val="24"/>
          <w:lang w:val="en-GB" w:eastAsia="en-US"/>
        </w:rPr>
        <w:t>, the costs of which are considered to outweigh any benefits that would arise if option 2 was implemented. In APRA’s view, option 3 achieves an appropriate balance between calibrating the large exposures framework that ADIs are required to meet but without significant deviation from the Basel large exposures framework. On this basis, APRA will adopt option 3.</w:t>
      </w:r>
    </w:p>
    <w:p w14:paraId="4F50D18F" w14:textId="77777777" w:rsidR="001269D3" w:rsidRPr="008B1CBA" w:rsidRDefault="001269D3" w:rsidP="00D7187A">
      <w:pPr>
        <w:pStyle w:val="Heading5"/>
        <w:rPr>
          <w:rFonts w:eastAsiaTheme="minorHAnsi"/>
          <w:lang w:val="en-GB" w:eastAsia="en-US"/>
        </w:rPr>
      </w:pPr>
      <w:r w:rsidRPr="008B1CBA">
        <w:rPr>
          <w:rFonts w:eastAsiaTheme="minorHAnsi"/>
          <w:lang w:val="en-GB" w:eastAsia="en-US"/>
        </w:rPr>
        <w:lastRenderedPageBreak/>
        <w:t>Table 4—Summary of net benefits of each option</w:t>
      </w:r>
    </w:p>
    <w:tbl>
      <w:tblPr>
        <w:tblStyle w:val="TableGrid10"/>
        <w:tblW w:w="0" w:type="auto"/>
        <w:tblLayout w:type="fixed"/>
        <w:tblLook w:val="04A0" w:firstRow="1" w:lastRow="0" w:firstColumn="1" w:lastColumn="0" w:noHBand="0" w:noVBand="1"/>
      </w:tblPr>
      <w:tblGrid>
        <w:gridCol w:w="2211"/>
        <w:gridCol w:w="2268"/>
        <w:gridCol w:w="2268"/>
        <w:gridCol w:w="2268"/>
      </w:tblGrid>
      <w:tr w:rsidR="001269D3" w:rsidRPr="008A7884" w14:paraId="41B2DA04" w14:textId="77777777" w:rsidTr="002C04C0">
        <w:tc>
          <w:tcPr>
            <w:tcW w:w="2211" w:type="dxa"/>
            <w:tcBorders>
              <w:top w:val="single" w:sz="4" w:space="0" w:color="auto"/>
              <w:left w:val="single" w:sz="4" w:space="0" w:color="auto"/>
              <w:bottom w:val="single" w:sz="4" w:space="0" w:color="auto"/>
              <w:right w:val="single" w:sz="4" w:space="0" w:color="auto"/>
            </w:tcBorders>
            <w:shd w:val="clear" w:color="auto" w:fill="002060"/>
            <w:vAlign w:val="center"/>
          </w:tcPr>
          <w:p w14:paraId="6A8427E6" w14:textId="77777777" w:rsidR="001269D3" w:rsidRPr="008B1CBA" w:rsidRDefault="001269D3" w:rsidP="00B60CD0">
            <w:pPr>
              <w:keepNext/>
              <w:spacing w:before="120" w:after="120"/>
              <w:jc w:val="left"/>
              <w:rPr>
                <w:rFonts w:eastAsiaTheme="minorHAnsi" w:cs="Arial"/>
                <w:sz w:val="24"/>
                <w:lang w:val="en-GB"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6AFB914C"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Option 1</w:t>
            </w:r>
          </w:p>
        </w:tc>
        <w:tc>
          <w:tcPr>
            <w:tcW w:w="2268"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5001FC48"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Option 2</w:t>
            </w:r>
          </w:p>
        </w:tc>
        <w:tc>
          <w:tcPr>
            <w:tcW w:w="2268" w:type="dxa"/>
            <w:tcBorders>
              <w:top w:val="single" w:sz="4" w:space="0" w:color="auto"/>
              <w:left w:val="single" w:sz="4" w:space="0" w:color="auto"/>
              <w:bottom w:val="single" w:sz="4" w:space="0" w:color="auto"/>
              <w:right w:val="single" w:sz="4" w:space="0" w:color="auto"/>
            </w:tcBorders>
            <w:shd w:val="clear" w:color="auto" w:fill="002060"/>
            <w:vAlign w:val="bottom"/>
          </w:tcPr>
          <w:p w14:paraId="773830BE"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Option 3</w:t>
            </w:r>
          </w:p>
        </w:tc>
      </w:tr>
      <w:tr w:rsidR="001269D3" w:rsidRPr="008A7884" w14:paraId="699969B1" w14:textId="77777777" w:rsidTr="002C04C0">
        <w:tc>
          <w:tcPr>
            <w:tcW w:w="2211" w:type="dxa"/>
            <w:tcBorders>
              <w:top w:val="single" w:sz="4" w:space="0" w:color="auto"/>
              <w:left w:val="single" w:sz="4" w:space="0" w:color="auto"/>
              <w:bottom w:val="single" w:sz="4" w:space="0" w:color="auto"/>
              <w:right w:val="single" w:sz="4" w:space="0" w:color="auto"/>
            </w:tcBorders>
            <w:vAlign w:val="center"/>
            <w:hideMark/>
          </w:tcPr>
          <w:p w14:paraId="0562A200"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Compliance cost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ED859C"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No change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2B8092"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Moderate cost</w:t>
            </w:r>
          </w:p>
        </w:tc>
        <w:tc>
          <w:tcPr>
            <w:tcW w:w="2268" w:type="dxa"/>
            <w:tcBorders>
              <w:top w:val="single" w:sz="4" w:space="0" w:color="auto"/>
              <w:left w:val="single" w:sz="4" w:space="0" w:color="auto"/>
              <w:bottom w:val="single" w:sz="4" w:space="0" w:color="auto"/>
              <w:right w:val="single" w:sz="4" w:space="0" w:color="auto"/>
            </w:tcBorders>
            <w:vAlign w:val="center"/>
          </w:tcPr>
          <w:p w14:paraId="31F04525"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Moderate cost</w:t>
            </w:r>
          </w:p>
        </w:tc>
      </w:tr>
      <w:tr w:rsidR="001269D3" w:rsidRPr="008A7884" w14:paraId="7D1F6D73" w14:textId="77777777" w:rsidTr="002C04C0">
        <w:tc>
          <w:tcPr>
            <w:tcW w:w="2211" w:type="dxa"/>
            <w:tcBorders>
              <w:top w:val="single" w:sz="4" w:space="0" w:color="auto"/>
              <w:left w:val="single" w:sz="4" w:space="0" w:color="auto"/>
              <w:bottom w:val="single" w:sz="4" w:space="0" w:color="auto"/>
              <w:right w:val="single" w:sz="4" w:space="0" w:color="auto"/>
            </w:tcBorders>
            <w:vAlign w:val="center"/>
            <w:hideMark/>
          </w:tcPr>
          <w:p w14:paraId="3D788F8E"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Reduce system-wide contagion and strengthen oversight of large exposures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2815C6" w14:textId="14E74B4B" w:rsidR="001269D3" w:rsidRPr="008B1CBA" w:rsidRDefault="00125AF1"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Does not meet this criteria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D828F0"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Meets this criteria</w:t>
            </w:r>
          </w:p>
        </w:tc>
        <w:tc>
          <w:tcPr>
            <w:tcW w:w="2268" w:type="dxa"/>
            <w:tcBorders>
              <w:top w:val="single" w:sz="4" w:space="0" w:color="auto"/>
              <w:left w:val="single" w:sz="4" w:space="0" w:color="auto"/>
              <w:bottom w:val="single" w:sz="4" w:space="0" w:color="auto"/>
              <w:right w:val="single" w:sz="4" w:space="0" w:color="auto"/>
            </w:tcBorders>
            <w:vAlign w:val="center"/>
          </w:tcPr>
          <w:p w14:paraId="68A7817C"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Meets this criteria</w:t>
            </w:r>
          </w:p>
        </w:tc>
      </w:tr>
      <w:tr w:rsidR="001269D3" w:rsidRPr="008A7884" w14:paraId="1FE7A0A6" w14:textId="77777777" w:rsidTr="002C04C0">
        <w:tc>
          <w:tcPr>
            <w:tcW w:w="2211" w:type="dxa"/>
            <w:tcBorders>
              <w:top w:val="single" w:sz="4" w:space="0" w:color="auto"/>
              <w:left w:val="single" w:sz="4" w:space="0" w:color="auto"/>
              <w:bottom w:val="single" w:sz="4" w:space="0" w:color="auto"/>
              <w:right w:val="single" w:sz="4" w:space="0" w:color="auto"/>
            </w:tcBorders>
            <w:vAlign w:val="center"/>
            <w:hideMark/>
          </w:tcPr>
          <w:p w14:paraId="39B6DB33"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Complies with Basel large exposures framework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040846"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Does not meet this criteria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BE299E" w14:textId="77777777" w:rsidR="001269D3" w:rsidRPr="008B1CBA" w:rsidRDefault="001269D3" w:rsidP="00B60CD0">
            <w:pPr>
              <w:keepNext/>
              <w:spacing w:before="120" w:after="120"/>
              <w:ind w:left="357" w:hanging="357"/>
              <w:jc w:val="left"/>
              <w:rPr>
                <w:rFonts w:eastAsiaTheme="minorHAnsi" w:cs="Arial"/>
                <w:sz w:val="24"/>
                <w:lang w:val="en-GB" w:eastAsia="en-US"/>
              </w:rPr>
            </w:pPr>
            <w:r w:rsidRPr="008B1CBA">
              <w:rPr>
                <w:rFonts w:eastAsiaTheme="minorHAnsi" w:cs="Arial"/>
                <w:sz w:val="24"/>
                <w:lang w:val="en-GB" w:eastAsia="en-US"/>
              </w:rPr>
              <w:t>Meets this criteria</w:t>
            </w:r>
          </w:p>
        </w:tc>
        <w:tc>
          <w:tcPr>
            <w:tcW w:w="2268" w:type="dxa"/>
            <w:tcBorders>
              <w:top w:val="single" w:sz="4" w:space="0" w:color="auto"/>
              <w:left w:val="single" w:sz="4" w:space="0" w:color="auto"/>
              <w:bottom w:val="single" w:sz="4" w:space="0" w:color="auto"/>
              <w:right w:val="single" w:sz="4" w:space="0" w:color="auto"/>
            </w:tcBorders>
            <w:vAlign w:val="center"/>
          </w:tcPr>
          <w:p w14:paraId="0A4F511E"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Largely meets this criteria</w:t>
            </w:r>
          </w:p>
        </w:tc>
      </w:tr>
      <w:tr w:rsidR="001269D3" w:rsidRPr="008A7884" w14:paraId="01E2523D" w14:textId="77777777" w:rsidTr="002C04C0">
        <w:tc>
          <w:tcPr>
            <w:tcW w:w="2211" w:type="dxa"/>
            <w:tcBorders>
              <w:top w:val="single" w:sz="4" w:space="0" w:color="auto"/>
              <w:left w:val="single" w:sz="4" w:space="0" w:color="auto"/>
              <w:bottom w:val="single" w:sz="4" w:space="0" w:color="auto"/>
              <w:right w:val="single" w:sz="4" w:space="0" w:color="auto"/>
            </w:tcBorders>
            <w:vAlign w:val="center"/>
            <w:hideMark/>
          </w:tcPr>
          <w:p w14:paraId="140AD55A"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Reflects local conditions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A79763"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Does not meet this criteria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67ABEB"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Does not meet this criteria</w:t>
            </w:r>
          </w:p>
        </w:tc>
        <w:tc>
          <w:tcPr>
            <w:tcW w:w="2268" w:type="dxa"/>
            <w:tcBorders>
              <w:top w:val="single" w:sz="4" w:space="0" w:color="auto"/>
              <w:left w:val="single" w:sz="4" w:space="0" w:color="auto"/>
              <w:bottom w:val="single" w:sz="4" w:space="0" w:color="auto"/>
              <w:right w:val="single" w:sz="4" w:space="0" w:color="auto"/>
            </w:tcBorders>
            <w:vAlign w:val="center"/>
          </w:tcPr>
          <w:p w14:paraId="6A3B596B" w14:textId="77777777" w:rsidR="001269D3" w:rsidRPr="008B1CBA" w:rsidRDefault="001269D3" w:rsidP="00B60CD0">
            <w:pPr>
              <w:keepNext/>
              <w:spacing w:before="120" w:after="120"/>
              <w:jc w:val="left"/>
              <w:rPr>
                <w:rFonts w:eastAsiaTheme="minorHAnsi" w:cs="Arial"/>
                <w:sz w:val="24"/>
                <w:lang w:val="en-GB" w:eastAsia="en-US"/>
              </w:rPr>
            </w:pPr>
            <w:r w:rsidRPr="008B1CBA">
              <w:rPr>
                <w:rFonts w:eastAsiaTheme="minorHAnsi" w:cs="Arial"/>
                <w:sz w:val="24"/>
                <w:lang w:val="en-GB" w:eastAsia="en-US"/>
              </w:rPr>
              <w:t>Meets this criteria</w:t>
            </w:r>
          </w:p>
        </w:tc>
      </w:tr>
      <w:tr w:rsidR="001269D3" w:rsidRPr="00B60CD0" w14:paraId="2C4391AF" w14:textId="77777777" w:rsidTr="002C04C0">
        <w:tc>
          <w:tcPr>
            <w:tcW w:w="2211" w:type="dxa"/>
            <w:tcBorders>
              <w:top w:val="single" w:sz="4" w:space="0" w:color="auto"/>
              <w:left w:val="single" w:sz="4" w:space="0" w:color="auto"/>
              <w:bottom w:val="single" w:sz="4" w:space="0" w:color="auto"/>
              <w:right w:val="single" w:sz="4" w:space="0" w:color="auto"/>
            </w:tcBorders>
            <w:vAlign w:val="center"/>
            <w:hideMark/>
          </w:tcPr>
          <w:p w14:paraId="6279A502" w14:textId="77777777" w:rsidR="001269D3" w:rsidRPr="00B60CD0" w:rsidRDefault="001269D3" w:rsidP="00B60CD0">
            <w:pPr>
              <w:keepNext/>
              <w:spacing w:before="120" w:after="120"/>
              <w:jc w:val="left"/>
              <w:rPr>
                <w:rFonts w:eastAsiaTheme="minorHAnsi" w:cs="Arial"/>
                <w:b/>
                <w:sz w:val="24"/>
                <w:lang w:val="en-GB" w:eastAsia="en-US"/>
              </w:rPr>
            </w:pPr>
            <w:r w:rsidRPr="00B60CD0">
              <w:rPr>
                <w:rFonts w:eastAsiaTheme="minorHAnsi" w:cs="Arial"/>
                <w:b/>
                <w:sz w:val="24"/>
                <w:lang w:val="en-GB" w:eastAsia="en-US"/>
              </w:rPr>
              <w:t>Overall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BC1611" w14:textId="084038F1" w:rsidR="001269D3" w:rsidRPr="00B60CD0" w:rsidRDefault="00EE2A68" w:rsidP="00B60CD0">
            <w:pPr>
              <w:keepNext/>
              <w:spacing w:before="120" w:after="120"/>
              <w:jc w:val="left"/>
              <w:rPr>
                <w:rFonts w:eastAsiaTheme="minorHAnsi" w:cs="Arial"/>
                <w:b/>
                <w:sz w:val="24"/>
                <w:lang w:val="en-GB" w:eastAsia="en-US"/>
              </w:rPr>
            </w:pPr>
            <w:r w:rsidRPr="00B60CD0">
              <w:rPr>
                <w:rFonts w:eastAsiaTheme="minorHAnsi" w:cs="Arial"/>
                <w:b/>
                <w:sz w:val="24"/>
                <w:lang w:val="en-GB" w:eastAsia="en-US"/>
              </w:rPr>
              <w:t>High</w:t>
            </w:r>
            <w:r w:rsidR="00001C9F" w:rsidRPr="00B60CD0">
              <w:rPr>
                <w:rFonts w:eastAsiaTheme="minorHAnsi" w:cs="Arial"/>
                <w:b/>
                <w:sz w:val="24"/>
                <w:lang w:val="en-GB" w:eastAsia="en-US"/>
              </w:rPr>
              <w:t xml:space="preserve"> </w:t>
            </w:r>
            <w:r w:rsidR="001269D3" w:rsidRPr="00B60CD0">
              <w:rPr>
                <w:rFonts w:eastAsiaTheme="minorHAnsi" w:cs="Arial"/>
                <w:b/>
                <w:sz w:val="24"/>
                <w:lang w:val="en-GB" w:eastAsia="en-US"/>
              </w:rPr>
              <w:t>net cost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A780F1" w14:textId="77777777" w:rsidR="001269D3" w:rsidRPr="00B60CD0" w:rsidRDefault="001269D3" w:rsidP="00B60CD0">
            <w:pPr>
              <w:keepNext/>
              <w:spacing w:before="120" w:after="120"/>
              <w:jc w:val="left"/>
              <w:rPr>
                <w:rFonts w:eastAsiaTheme="minorHAnsi" w:cs="Arial"/>
                <w:b/>
                <w:sz w:val="24"/>
                <w:lang w:val="en-GB" w:eastAsia="en-US"/>
              </w:rPr>
            </w:pPr>
            <w:r w:rsidRPr="00B60CD0">
              <w:rPr>
                <w:rFonts w:eastAsiaTheme="minorHAnsi" w:cs="Arial"/>
                <w:b/>
                <w:sz w:val="24"/>
                <w:lang w:val="en-GB" w:eastAsia="en-US"/>
              </w:rPr>
              <w:t>Moderate net cost</w:t>
            </w:r>
          </w:p>
        </w:tc>
        <w:tc>
          <w:tcPr>
            <w:tcW w:w="2268" w:type="dxa"/>
            <w:tcBorders>
              <w:top w:val="single" w:sz="4" w:space="0" w:color="auto"/>
              <w:left w:val="single" w:sz="4" w:space="0" w:color="auto"/>
              <w:bottom w:val="single" w:sz="4" w:space="0" w:color="auto"/>
              <w:right w:val="single" w:sz="4" w:space="0" w:color="auto"/>
            </w:tcBorders>
            <w:vAlign w:val="center"/>
          </w:tcPr>
          <w:p w14:paraId="3E0A4D48" w14:textId="77777777" w:rsidR="001269D3" w:rsidRPr="00B60CD0" w:rsidRDefault="001269D3" w:rsidP="00B60CD0">
            <w:pPr>
              <w:keepNext/>
              <w:spacing w:before="120" w:after="120"/>
              <w:jc w:val="left"/>
              <w:rPr>
                <w:rFonts w:eastAsiaTheme="minorHAnsi" w:cs="Arial"/>
                <w:b/>
                <w:sz w:val="24"/>
                <w:lang w:val="en-GB" w:eastAsia="en-US"/>
              </w:rPr>
            </w:pPr>
            <w:r w:rsidRPr="00B60CD0">
              <w:rPr>
                <w:rFonts w:eastAsiaTheme="minorHAnsi" w:cs="Arial"/>
                <w:b/>
                <w:sz w:val="24"/>
                <w:lang w:val="en-GB" w:eastAsia="en-US"/>
              </w:rPr>
              <w:t>Moderate net cost</w:t>
            </w:r>
          </w:p>
        </w:tc>
      </w:tr>
    </w:tbl>
    <w:p w14:paraId="3738A7D6" w14:textId="77777777" w:rsidR="001269D3" w:rsidRPr="008B1CBA" w:rsidRDefault="001269D3" w:rsidP="00B60CD0">
      <w:pPr>
        <w:jc w:val="left"/>
        <w:rPr>
          <w:rFonts w:eastAsiaTheme="minorHAnsi" w:cs="Arial"/>
          <w:sz w:val="24"/>
          <w:lang w:val="en-GB" w:eastAsia="en-US"/>
        </w:rPr>
      </w:pPr>
    </w:p>
    <w:p w14:paraId="138B9E9A" w14:textId="77777777" w:rsidR="001269D3" w:rsidRPr="00704CA7" w:rsidRDefault="00FF1221" w:rsidP="00D7187A">
      <w:pPr>
        <w:pStyle w:val="Heading2"/>
        <w:rPr>
          <w:rFonts w:eastAsiaTheme="minorHAnsi"/>
          <w:lang w:val="en-GB" w:eastAsia="en-US"/>
        </w:rPr>
      </w:pPr>
      <w:r w:rsidRPr="00704CA7">
        <w:rPr>
          <w:rFonts w:eastAsiaTheme="minorHAnsi"/>
          <w:lang w:val="en-GB" w:eastAsia="en-US"/>
        </w:rPr>
        <w:t xml:space="preserve">Question 7 — </w:t>
      </w:r>
      <w:r w:rsidR="001269D3" w:rsidRPr="00704CA7">
        <w:rPr>
          <w:rFonts w:eastAsiaTheme="minorHAnsi"/>
          <w:lang w:val="en-GB" w:eastAsia="en-US"/>
        </w:rPr>
        <w:t>Implementation and review</w:t>
      </w:r>
    </w:p>
    <w:p w14:paraId="6E5035F6" w14:textId="0AEDD3B4" w:rsidR="001269D3" w:rsidRPr="008B1CBA" w:rsidRDefault="001269D3" w:rsidP="00B60CD0">
      <w:pPr>
        <w:keepNext/>
        <w:jc w:val="left"/>
        <w:rPr>
          <w:rFonts w:eastAsiaTheme="minorHAnsi" w:cs="Arial"/>
          <w:sz w:val="24"/>
          <w:lang w:val="en-GB" w:eastAsia="en-US"/>
        </w:rPr>
      </w:pPr>
      <w:r w:rsidRPr="008B1CBA">
        <w:rPr>
          <w:rFonts w:eastAsiaTheme="minorHAnsi" w:cs="Arial"/>
          <w:sz w:val="24"/>
          <w:lang w:val="en-GB" w:eastAsia="en-US"/>
        </w:rPr>
        <w:t>On release of APS 221</w:t>
      </w:r>
      <w:r w:rsidR="00815BA2">
        <w:rPr>
          <w:rFonts w:eastAsiaTheme="minorHAnsi" w:cs="Arial"/>
          <w:sz w:val="24"/>
          <w:lang w:val="en-GB" w:eastAsia="en-US"/>
        </w:rPr>
        <w:t xml:space="preserve"> and ARS 221</w:t>
      </w:r>
      <w:r w:rsidRPr="008B1CBA">
        <w:rPr>
          <w:rFonts w:eastAsiaTheme="minorHAnsi" w:cs="Arial"/>
          <w:sz w:val="24"/>
          <w:lang w:val="en-GB" w:eastAsia="en-US"/>
        </w:rPr>
        <w:t xml:space="preserve">, ADIs will have until 1 January 2019 to comply with the </w:t>
      </w:r>
      <w:r w:rsidR="00815BA2">
        <w:rPr>
          <w:rFonts w:eastAsiaTheme="minorHAnsi" w:cs="Arial"/>
          <w:sz w:val="24"/>
          <w:lang w:val="en-GB" w:eastAsia="en-US"/>
        </w:rPr>
        <w:t xml:space="preserve">revised large exposure </w:t>
      </w:r>
      <w:r w:rsidRPr="008B1CBA">
        <w:rPr>
          <w:rFonts w:eastAsiaTheme="minorHAnsi" w:cs="Arial"/>
          <w:sz w:val="24"/>
          <w:lang w:val="en-GB" w:eastAsia="en-US"/>
        </w:rPr>
        <w:t xml:space="preserve">requirements and until 1 January 2020 for requirements in relation to groups of </w:t>
      </w:r>
      <w:r w:rsidRPr="008B1CBA">
        <w:rPr>
          <w:rFonts w:eastAsiaTheme="minorHAnsi" w:cs="Arial"/>
          <w:sz w:val="24"/>
          <w:lang w:val="en-GB" w:eastAsia="en-US"/>
        </w:rPr>
        <w:lastRenderedPageBreak/>
        <w:t>connected counterparties and look-through of structured vehicles.</w:t>
      </w:r>
    </w:p>
    <w:p w14:paraId="16330B2A" w14:textId="0FAE3F34" w:rsidR="001269D3" w:rsidRPr="008B1CBA" w:rsidRDefault="00DE400A" w:rsidP="00B60CD0">
      <w:pPr>
        <w:keepNext/>
        <w:jc w:val="left"/>
        <w:rPr>
          <w:rFonts w:eastAsiaTheme="minorHAnsi" w:cs="Arial"/>
          <w:sz w:val="24"/>
          <w:lang w:val="en-GB" w:eastAsia="en-US"/>
        </w:rPr>
      </w:pPr>
      <w:r>
        <w:rPr>
          <w:rFonts w:eastAsiaTheme="minorHAnsi" w:cs="Arial"/>
          <w:sz w:val="24"/>
          <w:lang w:val="en-GB" w:eastAsia="en-US"/>
        </w:rPr>
        <w:t>APRA</w:t>
      </w:r>
      <w:r w:rsidR="00815BA2">
        <w:rPr>
          <w:rFonts w:eastAsiaTheme="minorHAnsi" w:cs="Arial"/>
          <w:sz w:val="24"/>
          <w:lang w:val="en-GB" w:eastAsia="en-US"/>
        </w:rPr>
        <w:t>’s</w:t>
      </w:r>
      <w:r>
        <w:rPr>
          <w:rFonts w:eastAsiaTheme="minorHAnsi" w:cs="Arial"/>
          <w:sz w:val="24"/>
          <w:lang w:val="en-GB" w:eastAsia="en-US"/>
        </w:rPr>
        <w:t xml:space="preserve"> prudential framework </w:t>
      </w:r>
      <w:r w:rsidR="00815BA2">
        <w:rPr>
          <w:rFonts w:eastAsiaTheme="minorHAnsi" w:cs="Arial"/>
          <w:sz w:val="24"/>
          <w:lang w:val="en-GB" w:eastAsia="en-US"/>
        </w:rPr>
        <w:t xml:space="preserve">is </w:t>
      </w:r>
      <w:r>
        <w:rPr>
          <w:rFonts w:eastAsiaTheme="minorHAnsi" w:cs="Arial"/>
          <w:sz w:val="24"/>
          <w:lang w:val="en-GB" w:eastAsia="en-US"/>
        </w:rPr>
        <w:t>regular</w:t>
      </w:r>
      <w:r w:rsidR="00815BA2">
        <w:rPr>
          <w:rFonts w:eastAsiaTheme="minorHAnsi" w:cs="Arial"/>
          <w:sz w:val="24"/>
          <w:lang w:val="en-GB" w:eastAsia="en-US"/>
        </w:rPr>
        <w:t>ly</w:t>
      </w:r>
      <w:r>
        <w:rPr>
          <w:rFonts w:eastAsiaTheme="minorHAnsi" w:cs="Arial"/>
          <w:sz w:val="24"/>
          <w:lang w:val="en-GB" w:eastAsia="en-US"/>
        </w:rPr>
        <w:t xml:space="preserve"> review</w:t>
      </w:r>
      <w:r w:rsidR="00815BA2">
        <w:rPr>
          <w:rFonts w:eastAsiaTheme="minorHAnsi" w:cs="Arial"/>
          <w:sz w:val="24"/>
          <w:lang w:val="en-GB" w:eastAsia="en-US"/>
        </w:rPr>
        <w:t>ed</w:t>
      </w:r>
      <w:r>
        <w:rPr>
          <w:rFonts w:eastAsiaTheme="minorHAnsi" w:cs="Arial"/>
          <w:sz w:val="24"/>
          <w:lang w:val="en-GB" w:eastAsia="en-US"/>
        </w:rPr>
        <w:t xml:space="preserve">, taking </w:t>
      </w:r>
      <w:r w:rsidR="00A612CE">
        <w:rPr>
          <w:rFonts w:eastAsiaTheme="minorHAnsi" w:cs="Arial"/>
          <w:sz w:val="24"/>
          <w:lang w:val="en-GB" w:eastAsia="en-US"/>
        </w:rPr>
        <w:t xml:space="preserve">into </w:t>
      </w:r>
      <w:r>
        <w:rPr>
          <w:rFonts w:eastAsiaTheme="minorHAnsi" w:cs="Arial"/>
          <w:sz w:val="24"/>
          <w:lang w:val="en-GB" w:eastAsia="en-US"/>
        </w:rPr>
        <w:t xml:space="preserve">account </w:t>
      </w:r>
      <w:r w:rsidR="001269D3" w:rsidRPr="008B1CBA">
        <w:rPr>
          <w:rFonts w:eastAsiaTheme="minorHAnsi" w:cs="Arial"/>
          <w:sz w:val="24"/>
          <w:lang w:val="en-GB" w:eastAsia="en-US"/>
        </w:rPr>
        <w:t>whether the requirements continue to reflect good practice, remain consistent with international standards and remain relevant and effective in facilitating sound risk management practices.</w:t>
      </w:r>
    </w:p>
    <w:p w14:paraId="3F401A35" w14:textId="77777777" w:rsidR="001269D3" w:rsidRPr="008B1CBA" w:rsidRDefault="001269D3" w:rsidP="00B60CD0">
      <w:pPr>
        <w:jc w:val="left"/>
        <w:rPr>
          <w:rFonts w:cs="Arial"/>
          <w:sz w:val="24"/>
        </w:rPr>
      </w:pPr>
    </w:p>
    <w:sectPr w:rsidR="001269D3" w:rsidRPr="008B1CBA" w:rsidSect="00C62913">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6E3B" w14:textId="77777777" w:rsidR="00C34713" w:rsidRDefault="00C34713" w:rsidP="007A463E">
      <w:pPr>
        <w:spacing w:after="0"/>
      </w:pPr>
      <w:r>
        <w:separator/>
      </w:r>
    </w:p>
    <w:p w14:paraId="5B6DA373" w14:textId="77777777" w:rsidR="00C34713" w:rsidRDefault="00C34713"/>
  </w:endnote>
  <w:endnote w:type="continuationSeparator" w:id="0">
    <w:p w14:paraId="182460B3" w14:textId="77777777" w:rsidR="00C34713" w:rsidRDefault="00C34713" w:rsidP="007A463E">
      <w:pPr>
        <w:spacing w:after="0"/>
      </w:pPr>
      <w:r>
        <w:continuationSeparator/>
      </w:r>
    </w:p>
    <w:p w14:paraId="469E7869" w14:textId="77777777" w:rsidR="00C34713" w:rsidRDefault="00C34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5933E" w14:textId="77777777" w:rsidR="00C35845" w:rsidRDefault="00C35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D5949" w14:textId="77777777" w:rsidR="00C35845" w:rsidRDefault="00C35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757D" w14:textId="77777777" w:rsidR="00C35845" w:rsidRDefault="00C35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C5E21" w14:textId="77777777" w:rsidR="00C34713" w:rsidRDefault="00C34713" w:rsidP="007A463E">
      <w:pPr>
        <w:spacing w:after="0"/>
      </w:pPr>
      <w:r>
        <w:separator/>
      </w:r>
    </w:p>
    <w:p w14:paraId="4793EF48" w14:textId="77777777" w:rsidR="00C34713" w:rsidRDefault="00C34713"/>
  </w:footnote>
  <w:footnote w:type="continuationSeparator" w:id="0">
    <w:p w14:paraId="114F6816" w14:textId="77777777" w:rsidR="00C34713" w:rsidRDefault="00C34713" w:rsidP="007A463E">
      <w:pPr>
        <w:spacing w:after="0"/>
      </w:pPr>
      <w:r>
        <w:continuationSeparator/>
      </w:r>
    </w:p>
    <w:p w14:paraId="2E58E00C" w14:textId="77777777" w:rsidR="00C34713" w:rsidRDefault="00C34713"/>
  </w:footnote>
  <w:footnote w:id="1">
    <w:p w14:paraId="604D1CBF" w14:textId="77777777" w:rsidR="002D530A" w:rsidRPr="000D793D" w:rsidRDefault="002D530A" w:rsidP="002D530A">
      <w:pPr>
        <w:pStyle w:val="FootnoteText"/>
        <w:spacing w:after="120"/>
        <w:rPr>
          <w:rFonts w:cs="Arial"/>
          <w:sz w:val="20"/>
          <w:szCs w:val="20"/>
        </w:rPr>
      </w:pPr>
      <w:r w:rsidRPr="00A83A91">
        <w:rPr>
          <w:rStyle w:val="FootnoteReference"/>
          <w:rFonts w:ascii="Times New Roman" w:hAnsi="Times New Roman"/>
          <w:sz w:val="20"/>
          <w:szCs w:val="20"/>
        </w:rPr>
        <w:footnoteRef/>
      </w:r>
      <w:r w:rsidRPr="00A83A91">
        <w:rPr>
          <w:rFonts w:ascii="Times New Roman" w:hAnsi="Times New Roman"/>
          <w:sz w:val="20"/>
          <w:szCs w:val="20"/>
        </w:rPr>
        <w:t xml:space="preserve"> </w:t>
      </w:r>
      <w:r w:rsidRPr="000D793D">
        <w:rPr>
          <w:rFonts w:cs="Arial"/>
          <w:i/>
          <w:szCs w:val="18"/>
        </w:rPr>
        <w:t>Australian Government Guide to Regulation</w:t>
      </w:r>
      <w:r w:rsidRPr="000D793D">
        <w:rPr>
          <w:rFonts w:cs="Arial"/>
          <w:szCs w:val="18"/>
        </w:rPr>
        <w:t>, March 2014</w:t>
      </w:r>
    </w:p>
  </w:footnote>
  <w:footnote w:id="2">
    <w:p w14:paraId="5E18F715" w14:textId="07FDFC84" w:rsidR="00AC5417" w:rsidRPr="008B1CBA" w:rsidRDefault="00AC5417" w:rsidP="002D530A">
      <w:pPr>
        <w:pStyle w:val="FootnoteText"/>
        <w:spacing w:after="120"/>
        <w:jc w:val="left"/>
        <w:rPr>
          <w:rFonts w:cs="Arial"/>
          <w:szCs w:val="18"/>
        </w:rPr>
      </w:pPr>
      <w:r w:rsidRPr="008B1CBA">
        <w:rPr>
          <w:rStyle w:val="FootnoteReference"/>
          <w:rFonts w:cs="Arial"/>
          <w:szCs w:val="18"/>
        </w:rPr>
        <w:footnoteRef/>
      </w:r>
      <w:r w:rsidRPr="008B1CBA">
        <w:rPr>
          <w:rFonts w:cs="Arial"/>
          <w:szCs w:val="18"/>
        </w:rPr>
        <w:t xml:space="preserve"> Refer to </w:t>
      </w:r>
      <w:hyperlink r:id="rId1" w:history="1">
        <w:r w:rsidRPr="008B1CBA">
          <w:rPr>
            <w:rStyle w:val="Hyperlink"/>
            <w:rFonts w:cs="Arial"/>
            <w:sz w:val="18"/>
            <w:szCs w:val="18"/>
          </w:rPr>
          <w:t>http://www.apra.gov.au/adi/PrudentialFramework/Pages/Consultation-Large-Exposures-April-2017.aspx</w:t>
        </w:r>
      </w:hyperlink>
      <w:r w:rsidR="00001C9F" w:rsidRPr="008B1CBA">
        <w:rPr>
          <w:rFonts w:cs="Arial"/>
          <w:szCs w:val="18"/>
        </w:rPr>
        <w:t>.</w:t>
      </w:r>
    </w:p>
  </w:footnote>
  <w:footnote w:id="3">
    <w:p w14:paraId="55A02A75" w14:textId="77777777" w:rsidR="00A06CF3" w:rsidRPr="008B1CBA" w:rsidRDefault="00A06CF3" w:rsidP="00A06CF3">
      <w:pPr>
        <w:pStyle w:val="FootnoteText"/>
        <w:rPr>
          <w:rFonts w:cs="Arial"/>
          <w:szCs w:val="18"/>
        </w:rPr>
      </w:pPr>
      <w:r w:rsidRPr="008B1CBA">
        <w:rPr>
          <w:rStyle w:val="FootnoteReference"/>
          <w:rFonts w:cs="Arial"/>
          <w:szCs w:val="18"/>
        </w:rPr>
        <w:footnoteRef/>
      </w:r>
      <w:r w:rsidRPr="008B1CBA">
        <w:rPr>
          <w:rFonts w:cs="Arial"/>
          <w:szCs w:val="18"/>
        </w:rPr>
        <w:t xml:space="preserve"> Refer to </w:t>
      </w:r>
      <w:hyperlink r:id="rId2" w:history="1">
        <w:r w:rsidRPr="008B1CBA">
          <w:rPr>
            <w:rStyle w:val="Hyperlink"/>
            <w:rFonts w:cs="Arial"/>
            <w:sz w:val="18"/>
            <w:szCs w:val="18"/>
          </w:rPr>
          <w:t>https://www.bis.org/publ/bcbs283.htm</w:t>
        </w:r>
      </w:hyperlink>
      <w:r w:rsidRPr="008B1CBA">
        <w:rPr>
          <w:rFonts w:cs="Arial"/>
          <w:szCs w:val="18"/>
        </w:rPr>
        <w:t>.</w:t>
      </w:r>
    </w:p>
    <w:p w14:paraId="7C89AB28" w14:textId="77777777" w:rsidR="00A06CF3" w:rsidRDefault="00A06CF3" w:rsidP="00A06CF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3857" w14:textId="77777777" w:rsidR="00C35845" w:rsidRDefault="00C35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BFEF" w14:textId="79A048FA" w:rsidR="00665727" w:rsidRPr="00665727" w:rsidRDefault="00665727" w:rsidP="0066572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12D5" w14:textId="77777777"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C7448B"/>
    <w:multiLevelType w:val="hybridMultilevel"/>
    <w:tmpl w:val="73366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74862A0"/>
    <w:multiLevelType w:val="hybridMultilevel"/>
    <w:tmpl w:val="A99EA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6C12A2"/>
    <w:multiLevelType w:val="hybridMultilevel"/>
    <w:tmpl w:val="C3788E0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409B1"/>
    <w:multiLevelType w:val="multilevel"/>
    <w:tmpl w:val="0C09001F"/>
    <w:numStyleLink w:val="111111"/>
  </w:abstractNum>
  <w:abstractNum w:abstractNumId="1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315EE"/>
    <w:multiLevelType w:val="hybridMultilevel"/>
    <w:tmpl w:val="0E4E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505AF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C16070"/>
    <w:multiLevelType w:val="hybridMultilevel"/>
    <w:tmpl w:val="CE368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10A4DD0"/>
    <w:multiLevelType w:val="hybridMultilevel"/>
    <w:tmpl w:val="A49C8A28"/>
    <w:lvl w:ilvl="0" w:tplc="68726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BB35E31"/>
    <w:multiLevelType w:val="hybridMultilevel"/>
    <w:tmpl w:val="FDD470F8"/>
    <w:lvl w:ilvl="0" w:tplc="9FE46678">
      <w:start w:val="1"/>
      <w:numFmt w:val="bullet"/>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abstractNum w:abstractNumId="20" w15:restartNumberingAfterBreak="0">
    <w:nsid w:val="7E107D79"/>
    <w:multiLevelType w:val="hybridMultilevel"/>
    <w:tmpl w:val="BEC8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3"/>
  </w:num>
  <w:num w:numId="6">
    <w:abstractNumId w:val="2"/>
  </w:num>
  <w:num w:numId="7">
    <w:abstractNumId w:val="1"/>
  </w:num>
  <w:num w:numId="8">
    <w:abstractNumId w:val="0"/>
  </w:num>
  <w:num w:numId="9">
    <w:abstractNumId w:val="10"/>
  </w:num>
  <w:num w:numId="10">
    <w:abstractNumId w:val="18"/>
  </w:num>
  <w:num w:numId="11">
    <w:abstractNumId w:val="9"/>
  </w:num>
  <w:num w:numId="12">
    <w:abstractNumId w:val="19"/>
  </w:num>
  <w:num w:numId="13">
    <w:abstractNumId w:val="12"/>
  </w:num>
  <w:num w:numId="14">
    <w:abstractNumId w:val="6"/>
  </w:num>
  <w:num w:numId="15">
    <w:abstractNumId w:val="5"/>
  </w:num>
  <w:num w:numId="16">
    <w:abstractNumId w:val="15"/>
  </w:num>
  <w:num w:numId="17">
    <w:abstractNumId w:val="7"/>
  </w:num>
  <w:num w:numId="18">
    <w:abstractNumId w:val="20"/>
  </w:num>
  <w:num w:numId="19">
    <w:abstractNumId w:val="16"/>
  </w:num>
  <w:num w:numId="20">
    <w:abstractNumId w:val="8"/>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3"/>
    <w:rsid w:val="00001C9F"/>
    <w:rsid w:val="00003065"/>
    <w:rsid w:val="00011B0A"/>
    <w:rsid w:val="000259D4"/>
    <w:rsid w:val="000344A1"/>
    <w:rsid w:val="000408CA"/>
    <w:rsid w:val="00053F0B"/>
    <w:rsid w:val="00063BDC"/>
    <w:rsid w:val="0008682E"/>
    <w:rsid w:val="000A1A18"/>
    <w:rsid w:val="000B33AD"/>
    <w:rsid w:val="000C170D"/>
    <w:rsid w:val="000C6B7D"/>
    <w:rsid w:val="000D09FA"/>
    <w:rsid w:val="000D2D92"/>
    <w:rsid w:val="000D793D"/>
    <w:rsid w:val="000D7CA6"/>
    <w:rsid w:val="000E057F"/>
    <w:rsid w:val="000F0ECC"/>
    <w:rsid w:val="000F20CF"/>
    <w:rsid w:val="00125AF1"/>
    <w:rsid w:val="001269D3"/>
    <w:rsid w:val="001502F1"/>
    <w:rsid w:val="00165D8F"/>
    <w:rsid w:val="001749A4"/>
    <w:rsid w:val="0017548F"/>
    <w:rsid w:val="001B2D90"/>
    <w:rsid w:val="001C2EE1"/>
    <w:rsid w:val="001D3046"/>
    <w:rsid w:val="001D3B1C"/>
    <w:rsid w:val="001D505A"/>
    <w:rsid w:val="001D7D3C"/>
    <w:rsid w:val="001E00D2"/>
    <w:rsid w:val="001E5AC9"/>
    <w:rsid w:val="0021143E"/>
    <w:rsid w:val="00235B89"/>
    <w:rsid w:val="002376A6"/>
    <w:rsid w:val="002403C8"/>
    <w:rsid w:val="00253EA1"/>
    <w:rsid w:val="00255544"/>
    <w:rsid w:val="00257E33"/>
    <w:rsid w:val="00260341"/>
    <w:rsid w:val="0026542C"/>
    <w:rsid w:val="00267EBC"/>
    <w:rsid w:val="002767C9"/>
    <w:rsid w:val="002B0A7E"/>
    <w:rsid w:val="002B0B89"/>
    <w:rsid w:val="002B6F5E"/>
    <w:rsid w:val="002D530A"/>
    <w:rsid w:val="002E3E99"/>
    <w:rsid w:val="002F0157"/>
    <w:rsid w:val="002F5035"/>
    <w:rsid w:val="0030752C"/>
    <w:rsid w:val="003128C4"/>
    <w:rsid w:val="00324632"/>
    <w:rsid w:val="00325932"/>
    <w:rsid w:val="00332DB9"/>
    <w:rsid w:val="00340359"/>
    <w:rsid w:val="00353DE2"/>
    <w:rsid w:val="0036442A"/>
    <w:rsid w:val="00367A5D"/>
    <w:rsid w:val="003707EE"/>
    <w:rsid w:val="00373B0D"/>
    <w:rsid w:val="00387CA2"/>
    <w:rsid w:val="00397D2E"/>
    <w:rsid w:val="003A2FC2"/>
    <w:rsid w:val="003C6CBE"/>
    <w:rsid w:val="003D6738"/>
    <w:rsid w:val="004118D9"/>
    <w:rsid w:val="004165A6"/>
    <w:rsid w:val="00427B33"/>
    <w:rsid w:val="0043440F"/>
    <w:rsid w:val="00436ECB"/>
    <w:rsid w:val="00444BF0"/>
    <w:rsid w:val="00452005"/>
    <w:rsid w:val="00454A18"/>
    <w:rsid w:val="004B14CE"/>
    <w:rsid w:val="004B4492"/>
    <w:rsid w:val="004C14C3"/>
    <w:rsid w:val="004C2EC4"/>
    <w:rsid w:val="004D7117"/>
    <w:rsid w:val="004E13AF"/>
    <w:rsid w:val="004F27CF"/>
    <w:rsid w:val="005012D0"/>
    <w:rsid w:val="00542376"/>
    <w:rsid w:val="00547263"/>
    <w:rsid w:val="00552CA7"/>
    <w:rsid w:val="00584A8F"/>
    <w:rsid w:val="005E6AF8"/>
    <w:rsid w:val="005F4764"/>
    <w:rsid w:val="00606F5A"/>
    <w:rsid w:val="0060742D"/>
    <w:rsid w:val="00612174"/>
    <w:rsid w:val="006128BA"/>
    <w:rsid w:val="00615AEF"/>
    <w:rsid w:val="00616C1B"/>
    <w:rsid w:val="006352A2"/>
    <w:rsid w:val="00646C7A"/>
    <w:rsid w:val="0065144C"/>
    <w:rsid w:val="006571E9"/>
    <w:rsid w:val="00665727"/>
    <w:rsid w:val="006753E6"/>
    <w:rsid w:val="00677A36"/>
    <w:rsid w:val="00686723"/>
    <w:rsid w:val="0068743E"/>
    <w:rsid w:val="006A152E"/>
    <w:rsid w:val="006A5169"/>
    <w:rsid w:val="006B2F1B"/>
    <w:rsid w:val="006B712D"/>
    <w:rsid w:val="006C1429"/>
    <w:rsid w:val="006C35CE"/>
    <w:rsid w:val="006C7C14"/>
    <w:rsid w:val="006E4003"/>
    <w:rsid w:val="00704CA7"/>
    <w:rsid w:val="00710F48"/>
    <w:rsid w:val="007236E2"/>
    <w:rsid w:val="00732E7E"/>
    <w:rsid w:val="007403DD"/>
    <w:rsid w:val="0074761E"/>
    <w:rsid w:val="007616F0"/>
    <w:rsid w:val="00781FF4"/>
    <w:rsid w:val="00786B63"/>
    <w:rsid w:val="007A463E"/>
    <w:rsid w:val="007D2CDB"/>
    <w:rsid w:val="007E6359"/>
    <w:rsid w:val="007F1347"/>
    <w:rsid w:val="00801533"/>
    <w:rsid w:val="00814611"/>
    <w:rsid w:val="00815BA2"/>
    <w:rsid w:val="00816255"/>
    <w:rsid w:val="008204C0"/>
    <w:rsid w:val="008536E8"/>
    <w:rsid w:val="00857706"/>
    <w:rsid w:val="00864390"/>
    <w:rsid w:val="00870FFC"/>
    <w:rsid w:val="00872E1D"/>
    <w:rsid w:val="008A7884"/>
    <w:rsid w:val="008B1CBA"/>
    <w:rsid w:val="008B5DBD"/>
    <w:rsid w:val="008C0B17"/>
    <w:rsid w:val="008C0BD1"/>
    <w:rsid w:val="008C693E"/>
    <w:rsid w:val="008C7E1A"/>
    <w:rsid w:val="008D0F21"/>
    <w:rsid w:val="008D5B14"/>
    <w:rsid w:val="00907579"/>
    <w:rsid w:val="00910073"/>
    <w:rsid w:val="00912137"/>
    <w:rsid w:val="00921341"/>
    <w:rsid w:val="00922ADE"/>
    <w:rsid w:val="0092635A"/>
    <w:rsid w:val="00970A4C"/>
    <w:rsid w:val="0098213D"/>
    <w:rsid w:val="00983285"/>
    <w:rsid w:val="009A5ECB"/>
    <w:rsid w:val="009B1386"/>
    <w:rsid w:val="009C4C4D"/>
    <w:rsid w:val="009D2A4D"/>
    <w:rsid w:val="009F1036"/>
    <w:rsid w:val="009F210E"/>
    <w:rsid w:val="009F3135"/>
    <w:rsid w:val="00A00652"/>
    <w:rsid w:val="00A06CF3"/>
    <w:rsid w:val="00A06EE8"/>
    <w:rsid w:val="00A11C8C"/>
    <w:rsid w:val="00A17687"/>
    <w:rsid w:val="00A30827"/>
    <w:rsid w:val="00A37017"/>
    <w:rsid w:val="00A61278"/>
    <w:rsid w:val="00A612CE"/>
    <w:rsid w:val="00A75B79"/>
    <w:rsid w:val="00AC5417"/>
    <w:rsid w:val="00B04050"/>
    <w:rsid w:val="00B0602C"/>
    <w:rsid w:val="00B12E7E"/>
    <w:rsid w:val="00B20CD1"/>
    <w:rsid w:val="00B21A37"/>
    <w:rsid w:val="00B229D8"/>
    <w:rsid w:val="00B531B4"/>
    <w:rsid w:val="00B60CD0"/>
    <w:rsid w:val="00B86EF7"/>
    <w:rsid w:val="00B95BAF"/>
    <w:rsid w:val="00B974BE"/>
    <w:rsid w:val="00BB3C38"/>
    <w:rsid w:val="00BB6629"/>
    <w:rsid w:val="00BC3FBA"/>
    <w:rsid w:val="00C00098"/>
    <w:rsid w:val="00C0765D"/>
    <w:rsid w:val="00C273CD"/>
    <w:rsid w:val="00C333E7"/>
    <w:rsid w:val="00C34713"/>
    <w:rsid w:val="00C35845"/>
    <w:rsid w:val="00C5285C"/>
    <w:rsid w:val="00C572AB"/>
    <w:rsid w:val="00C614C0"/>
    <w:rsid w:val="00C62913"/>
    <w:rsid w:val="00C7343C"/>
    <w:rsid w:val="00C97F58"/>
    <w:rsid w:val="00CB7367"/>
    <w:rsid w:val="00CC05EA"/>
    <w:rsid w:val="00CC10DA"/>
    <w:rsid w:val="00CC201A"/>
    <w:rsid w:val="00CC34AB"/>
    <w:rsid w:val="00CC61BB"/>
    <w:rsid w:val="00CD6D38"/>
    <w:rsid w:val="00CF1FC4"/>
    <w:rsid w:val="00D02242"/>
    <w:rsid w:val="00D079B4"/>
    <w:rsid w:val="00D14049"/>
    <w:rsid w:val="00D21F7F"/>
    <w:rsid w:val="00D24354"/>
    <w:rsid w:val="00D42F6B"/>
    <w:rsid w:val="00D52902"/>
    <w:rsid w:val="00D6389F"/>
    <w:rsid w:val="00D7187A"/>
    <w:rsid w:val="00D95999"/>
    <w:rsid w:val="00DC332E"/>
    <w:rsid w:val="00DC7EF3"/>
    <w:rsid w:val="00DC7F18"/>
    <w:rsid w:val="00DE0A59"/>
    <w:rsid w:val="00DE400A"/>
    <w:rsid w:val="00E1225E"/>
    <w:rsid w:val="00E1430F"/>
    <w:rsid w:val="00E3075C"/>
    <w:rsid w:val="00E32CE9"/>
    <w:rsid w:val="00E36C9E"/>
    <w:rsid w:val="00E448C7"/>
    <w:rsid w:val="00E44F1C"/>
    <w:rsid w:val="00E45EF9"/>
    <w:rsid w:val="00E55A7E"/>
    <w:rsid w:val="00E63012"/>
    <w:rsid w:val="00E83D82"/>
    <w:rsid w:val="00E96618"/>
    <w:rsid w:val="00ED3926"/>
    <w:rsid w:val="00ED48F3"/>
    <w:rsid w:val="00EE2A68"/>
    <w:rsid w:val="00EF496F"/>
    <w:rsid w:val="00EF5EE9"/>
    <w:rsid w:val="00F12FD3"/>
    <w:rsid w:val="00F15314"/>
    <w:rsid w:val="00F34F34"/>
    <w:rsid w:val="00F6460D"/>
    <w:rsid w:val="00F77F5D"/>
    <w:rsid w:val="00F865EB"/>
    <w:rsid w:val="00FA261A"/>
    <w:rsid w:val="00FA2F99"/>
    <w:rsid w:val="00FE57E9"/>
    <w:rsid w:val="00FF1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1EF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611"/>
    <w:pPr>
      <w:spacing w:after="240" w:line="240" w:lineRule="auto"/>
      <w:jc w:val="both"/>
    </w:pPr>
    <w:rPr>
      <w:rFonts w:ascii="Arial" w:hAnsi="Arial"/>
      <w:szCs w:val="24"/>
      <w:lang w:eastAsia="en-AU"/>
    </w:rPr>
  </w:style>
  <w:style w:type="paragraph" w:styleId="Heading1">
    <w:name w:val="heading 1"/>
    <w:basedOn w:val="Normal"/>
    <w:next w:val="Normal"/>
    <w:link w:val="Heading1Char"/>
    <w:qFormat/>
    <w:rsid w:val="00C333E7"/>
    <w:pPr>
      <w:spacing w:after="360"/>
      <w:outlineLvl w:val="0"/>
    </w:pPr>
    <w:rPr>
      <w:rFonts w:cs="Arial"/>
      <w:b/>
      <w:sz w:val="32"/>
    </w:rPr>
  </w:style>
  <w:style w:type="paragraph" w:styleId="Heading2">
    <w:name w:val="heading 2"/>
    <w:basedOn w:val="Normal"/>
    <w:next w:val="Normal"/>
    <w:link w:val="Heading2Char"/>
    <w:qFormat/>
    <w:rsid w:val="004118D9"/>
    <w:pPr>
      <w:keepNext/>
      <w:outlineLvl w:val="1"/>
    </w:pPr>
    <w:rPr>
      <w:rFonts w:cs="Arial"/>
      <w:b/>
      <w:bCs/>
      <w:iCs/>
      <w:sz w:val="28"/>
      <w:szCs w:val="28"/>
    </w:rPr>
  </w:style>
  <w:style w:type="paragraph" w:styleId="Heading3">
    <w:name w:val="heading 3"/>
    <w:basedOn w:val="Normal"/>
    <w:next w:val="Normal"/>
    <w:link w:val="Heading3Char"/>
    <w:qFormat/>
    <w:rsid w:val="00CB7367"/>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rsid w:val="00C333E7"/>
    <w:rPr>
      <w:rFonts w:ascii="Arial" w:hAnsi="Arial" w:cs="Arial"/>
      <w:b/>
      <w:sz w:val="32"/>
      <w:szCs w:val="24"/>
      <w:lang w:eastAsia="en-AU"/>
    </w:rPr>
  </w:style>
  <w:style w:type="character" w:customStyle="1" w:styleId="Heading2Char">
    <w:name w:val="Heading 2 Char"/>
    <w:basedOn w:val="DefaultParagraphFont"/>
    <w:link w:val="Heading2"/>
    <w:rsid w:val="004118D9"/>
    <w:rPr>
      <w:rFonts w:ascii="Arial" w:hAnsi="Arial" w:cs="Arial"/>
      <w:b/>
      <w:bCs/>
      <w:iCs/>
      <w:sz w:val="28"/>
      <w:szCs w:val="28"/>
      <w:lang w:eastAsia="en-AU"/>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Arial" w:hAnsi="Arial"/>
      <w:sz w:val="24"/>
      <w:szCs w:val="24"/>
      <w:lang w:eastAsia="en-AU"/>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spacing w:after="0"/>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rsid w:val="005F4764"/>
    <w:rPr>
      <w:rFonts w:ascii="Arial" w:hAnsi="Arial"/>
      <w:b/>
      <w:bCs/>
      <w:sz w:val="22"/>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34"/>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Arial" w:hAnsi="Arial"/>
      <w:szCs w:val="24"/>
      <w:lang w:eastAsia="en-AU"/>
    </w:rPr>
  </w:style>
  <w:style w:type="character" w:customStyle="1" w:styleId="NumberedListChar">
    <w:name w:val="Numbered List Char"/>
    <w:basedOn w:val="ListNumber3Char"/>
    <w:link w:val="NumberedList"/>
    <w:rsid w:val="005F4764"/>
    <w:rPr>
      <w:rFonts w:ascii="Arial" w:hAnsi="Arial"/>
      <w:szCs w:val="24"/>
      <w:lang w:eastAsia="en-AU"/>
    </w:rPr>
  </w:style>
  <w:style w:type="paragraph" w:styleId="BodyText">
    <w:name w:val="Body Text"/>
    <w:basedOn w:val="Normal"/>
    <w:link w:val="BodyTextChar"/>
    <w:uiPriority w:val="99"/>
    <w:semiHidden/>
    <w:unhideWhenUsed/>
    <w:rsid w:val="005F4764"/>
  </w:style>
  <w:style w:type="character" w:customStyle="1" w:styleId="BodyTextChar">
    <w:name w:val="Body Text Char"/>
    <w:basedOn w:val="DefaultParagraphFont"/>
    <w:link w:val="BodyText"/>
    <w:uiPriority w:val="99"/>
    <w:semiHidden/>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rFonts w:cstheme="minorBidi"/>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pPr>
      <w:spacing w:after="0"/>
    </w:pPr>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pPr>
      <w:spacing w:after="0"/>
    </w:pPr>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szCs w:val="22"/>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szCs w:val="22"/>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5F4764"/>
    <w:pPr>
      <w:spacing w:after="0"/>
    </w:pPr>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spacing w:after="0"/>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pPr>
      <w:spacing w:after="0"/>
    </w:pPr>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Normal"/>
    <w:link w:val="BULLET1Char0"/>
    <w:qFormat/>
    <w:rsid w:val="0036442A"/>
    <w:pPr>
      <w:numPr>
        <w:numId w:val="13"/>
      </w:numPr>
      <w:ind w:left="425" w:hanging="425"/>
    </w:pPr>
    <w:rPr>
      <w:rFonts w:eastAsiaTheme="minorEastAsia" w:cstheme="minorBidi"/>
      <w:szCs w:val="22"/>
    </w:rPr>
  </w:style>
  <w:style w:type="character" w:customStyle="1" w:styleId="BULLET1Char0">
    <w:name w:val="BULLET 1 Char"/>
    <w:basedOn w:val="DefaultParagraphFont"/>
    <w:link w:val="BULLET1"/>
    <w:rsid w:val="0036442A"/>
    <w:rPr>
      <w:rFonts w:ascii="Arial" w:eastAsiaTheme="minorEastAsia" w:hAnsi="Arial" w:cstheme="minorBidi"/>
      <w:lang w:eastAsia="en-AU"/>
    </w:rPr>
  </w:style>
  <w:style w:type="paragraph" w:customStyle="1" w:styleId="BULLET2">
    <w:name w:val="BULLET 2"/>
    <w:basedOn w:val="BULLET1"/>
    <w:link w:val="BULLET2Char0"/>
    <w:qFormat/>
    <w:rsid w:val="00FE57E9"/>
    <w:pPr>
      <w:numPr>
        <w:numId w:val="14"/>
      </w:numPr>
      <w:ind w:left="850" w:hanging="425"/>
    </w:pPr>
  </w:style>
  <w:style w:type="character" w:customStyle="1" w:styleId="BULLET2Char0">
    <w:name w:val="BULLET 2 Char"/>
    <w:basedOn w:val="DefaultParagraphFont"/>
    <w:link w:val="BULLET2"/>
    <w:rsid w:val="00FE57E9"/>
    <w:rPr>
      <w:rFonts w:ascii="Arial" w:eastAsiaTheme="minorEastAsia" w:hAnsi="Arial" w:cstheme="minorBidi"/>
      <w:lang w:eastAsia="en-AU"/>
    </w:rPr>
  </w:style>
  <w:style w:type="paragraph" w:customStyle="1" w:styleId="BULLET3">
    <w:name w:val="BULLET 3"/>
    <w:basedOn w:val="BULLET1"/>
    <w:link w:val="BULLET3Char0"/>
    <w:qFormat/>
    <w:rsid w:val="00B95BAF"/>
    <w:pPr>
      <w:numPr>
        <w:numId w:val="15"/>
      </w:numPr>
      <w:ind w:left="1276" w:hanging="425"/>
    </w:pPr>
  </w:style>
  <w:style w:type="character" w:customStyle="1" w:styleId="BULLET3Char0">
    <w:name w:val="BULLET 3 Char"/>
    <w:basedOn w:val="BULLET1Char0"/>
    <w:link w:val="BULLET3"/>
    <w:rsid w:val="00B95BAF"/>
    <w:rPr>
      <w:rFonts w:ascii="Arial" w:eastAsiaTheme="minorEastAsia" w:hAnsi="Arial" w:cstheme="minorBidi"/>
      <w:lang w:eastAsia="en-AU"/>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lang w:val="en-US"/>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szCs w:val="22"/>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semiHidden/>
    <w:unhideWhenUsed/>
    <w:rsid w:val="0036442A"/>
    <w:rPr>
      <w:sz w:val="20"/>
      <w:szCs w:val="20"/>
    </w:rPr>
  </w:style>
  <w:style w:type="character" w:customStyle="1" w:styleId="CommentTextChar">
    <w:name w:val="Comment Text Char"/>
    <w:basedOn w:val="DefaultParagraphFont"/>
    <w:link w:val="CommentText"/>
    <w:uiPriority w:val="99"/>
    <w:semiHidden/>
    <w:rsid w:val="0036442A"/>
    <w:rPr>
      <w:rFonts w:ascii="Arial" w:hAnsi="Arial"/>
      <w:sz w:val="20"/>
      <w:szCs w:val="20"/>
      <w:lang w:eastAsia="en-AU"/>
    </w:rPr>
  </w:style>
  <w:style w:type="table" w:customStyle="1" w:styleId="TableGrid10">
    <w:name w:val="Table Grid1"/>
    <w:basedOn w:val="TableNormal"/>
    <w:next w:val="TableGrid"/>
    <w:uiPriority w:val="59"/>
    <w:rsid w:val="001269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61278"/>
    <w:pPr>
      <w:spacing w:after="0" w:line="240" w:lineRule="auto"/>
    </w:pPr>
    <w:rPr>
      <w:rFonts w:ascii="DIN OT Light" w:eastAsiaTheme="minorHAnsi" w:hAnsi="DIN OT Ligh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397D2E"/>
    <w:rPr>
      <w:b/>
      <w:bCs/>
    </w:rPr>
  </w:style>
  <w:style w:type="character" w:customStyle="1" w:styleId="CommentSubjectChar">
    <w:name w:val="Comment Subject Char"/>
    <w:basedOn w:val="CommentTextChar"/>
    <w:link w:val="CommentSubject"/>
    <w:uiPriority w:val="99"/>
    <w:semiHidden/>
    <w:rsid w:val="00397D2E"/>
    <w:rPr>
      <w:rFonts w:ascii="Arial" w:hAnsi="Arial"/>
      <w:b/>
      <w:bCs/>
      <w:sz w:val="20"/>
      <w:szCs w:val="20"/>
      <w:lang w:eastAsia="en-AU"/>
    </w:rPr>
  </w:style>
  <w:style w:type="paragraph" w:styleId="Revision">
    <w:name w:val="Revision"/>
    <w:hidden/>
    <w:uiPriority w:val="99"/>
    <w:semiHidden/>
    <w:rsid w:val="008A7884"/>
    <w:pPr>
      <w:spacing w:after="0" w:line="240" w:lineRule="auto"/>
    </w:pPr>
    <w:rPr>
      <w:rFonts w:ascii="Arial" w:hAnsi="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is.org/publ/bcbs283.htm" TargetMode="External"/><Relationship Id="rId1" Type="http://schemas.openxmlformats.org/officeDocument/2006/relationships/hyperlink" Target="http://www.apra.gov.au/adi/PrudentialFramework/Pages/Consultation-Large-Exposures-April-2017.aspx"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Regulatory impact</TermName>
          <TermId xmlns="http://schemas.microsoft.com/office/infopath/2007/PartnerControls">40656dd8-3228-4b2e-8ca9-b2a0077576bd</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Concentration management / large exposures</TermName>
          <TermId xmlns="http://schemas.microsoft.com/office/infopath/2007/PartnerControls">9288b34f-dc54-4bff-a4c0-800544b307ed</TermId>
        </TermInfo>
      </Term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26</Value>
      <Value>83</Value>
      <Value>134</Value>
      <Value>158</Value>
      <Value>435</Value>
      <Value>434</Value>
      <Value>93</Value>
      <Value>24</Value>
      <Value>141</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5JENXJJSCC7A-445999044-8697</_dlc_DocId>
    <_dlc_DocIdUrl xmlns="814d62cb-2db6-4c25-ab62-b9075facbc11">
      <Url>https://im/teams/LEGAL/_layouts/15/DocIdRedir.aspx?ID=5JENXJJSCC7A-445999044-8697</Url>
      <Description>5JENXJJSCC7A-445999044-8697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E665-BE1D-4D26-9475-0B96B53B90C3}">
  <ds:schemaRefs>
    <ds:schemaRef ds:uri="Microsoft.SharePoint.Taxonomy.ContentTypeSync"/>
  </ds:schemaRefs>
</ds:datastoreItem>
</file>

<file path=customXml/itemProps2.xml><?xml version="1.0" encoding="utf-8"?>
<ds:datastoreItem xmlns:ds="http://schemas.openxmlformats.org/officeDocument/2006/customXml" ds:itemID="{988979F5-4C98-4A41-8685-2BE7E4AA686B}">
  <ds:schemaRefs>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1B304B6-5254-457A-809E-88FF9C51B2E7}">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E0954FDE-6F68-4802-8867-A3C212B02CD6}">
  <ds:schemaRefs>
    <ds:schemaRef ds:uri="http://schemas.microsoft.com/sharepoint/events"/>
  </ds:schemaRefs>
</ds:datastoreItem>
</file>

<file path=customXml/itemProps6.xml><?xml version="1.0" encoding="utf-8"?>
<ds:datastoreItem xmlns:ds="http://schemas.openxmlformats.org/officeDocument/2006/customXml" ds:itemID="{78E83E2F-76EB-4E0F-A6B2-51A1AC2A4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54927F-7B83-4CA9-B88C-836F9069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16167</Characters>
  <Application>Microsoft Office Word</Application>
  <DocSecurity>0</DocSecurity>
  <Lines>359</Lines>
  <Paragraphs>142</Paragraphs>
  <ScaleCrop>false</ScaleCrop>
  <HeadingPairs>
    <vt:vector size="2" baseType="variant">
      <vt:variant>
        <vt:lpstr>Title</vt:lpstr>
      </vt:variant>
      <vt:variant>
        <vt:i4>1</vt:i4>
      </vt:variant>
    </vt:vector>
  </HeadingPairs>
  <TitlesOfParts>
    <vt:vector size="1" baseType="lpstr">
      <vt:lpstr>APRA review of large exposures framework</vt:lpstr>
    </vt:vector>
  </TitlesOfParts>
  <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review of large exposures framework</dc:title>
  <dc:subject/>
  <dc:creator/>
  <cp:keywords>[SEC=UNCLASSIFIED]</cp:keywords>
  <dc:description/>
  <cp:lastModifiedBy/>
  <cp:revision>1</cp:revision>
  <dcterms:created xsi:type="dcterms:W3CDTF">2018-08-27T03:20:00Z</dcterms:created>
  <dcterms:modified xsi:type="dcterms:W3CDTF">2018-08-27T03:20:00Z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0x0101008CA7A4F8331B45C7B0D3158B4994D0CA0200577EC0F5A1FBFC498F9A8436B963F8A6</vt:lpwstr>
  </property>
  <property fmtid="{D5CDD505-2E9C-101B-9397-08002B2CF9AE}" pid="3" name="APRACategory">
    <vt:lpwstr>141;#Concentration management / large exposures|9288b34f-dc54-4bff-a4c0-800544b307ed</vt:lpwstr>
  </property>
  <property fmtid="{D5CDD505-2E9C-101B-9397-08002B2CF9AE}" pid="4" name="APRAPeriod">
    <vt:lpwstr/>
  </property>
  <property fmtid="{D5CDD505-2E9C-101B-9397-08002B2CF9AE}" pid="5" name="APRAPRSG">
    <vt:lpwstr/>
  </property>
  <property fmtid="{D5CDD505-2E9C-101B-9397-08002B2CF9AE}" pid="6" name="APRAYear">
    <vt:lpwstr>171;#2018|337d548e-be9a-4363-bbb3-ec2b7c3daa90</vt:lpwstr>
  </property>
  <property fmtid="{D5CDD505-2E9C-101B-9397-08002B2CF9AE}" pid="7" name="APRAIndustry">
    <vt:lpwstr/>
  </property>
  <property fmtid="{D5CDD505-2E9C-101B-9397-08002B2CF9AE}" pid="8" name="_dlc_DocIdItemGuid">
    <vt:lpwstr>d03c5525-f53f-4ef1-9b06-a86dbbedd057</vt:lpwstr>
  </property>
  <property fmtid="{D5CDD505-2E9C-101B-9397-08002B2CF9AE}" pid="9" name="IsLocked">
    <vt:lpwstr>False</vt:lpwstr>
  </property>
  <property fmtid="{D5CDD505-2E9C-101B-9397-08002B2CF9AE}" pid="10" name="APRAExternalOrganisation">
    <vt:lpwstr/>
  </property>
  <property fmtid="{D5CDD505-2E9C-101B-9397-08002B2CF9AE}" pid="11" name="APRAIRTR">
    <vt:lpwstr/>
  </property>
  <property fmtid="{D5CDD505-2E9C-101B-9397-08002B2CF9AE}" pid="12"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13" name="IT system type">
    <vt:lpwstr/>
  </property>
  <property fmtid="{D5CDD505-2E9C-101B-9397-08002B2CF9AE}" pid="14" name="APRADocumentType">
    <vt:lpwstr>435;#Regulation impact statement|a6de7b22-aec6-40f3-a54e-dbfeb004713c</vt:lpwstr>
  </property>
  <property fmtid="{D5CDD505-2E9C-101B-9397-08002B2CF9AE}" pid="15" name="APRAStatus">
    <vt:lpwstr>19;#Final|84d6b2d0-8498-4d62-bf46-bab38babbe9e</vt:lpwstr>
  </property>
  <property fmtid="{D5CDD505-2E9C-101B-9397-08002B2CF9AE}" pid="16" name="APRAActivity">
    <vt:lpwstr>434;#Regulatory impact|40656dd8-3228-4b2e-8ca9-b2a0077576bd</vt:lpwstr>
  </property>
  <property fmtid="{D5CDD505-2E9C-101B-9397-08002B2CF9AE}" pid="17" name="APRAEntityAdviceSupport">
    <vt:lpwstr/>
  </property>
  <property fmtid="{D5CDD505-2E9C-101B-9397-08002B2CF9AE}" pid="18" name="APRALegislation">
    <vt:lpwstr/>
  </property>
  <property fmtid="{D5CDD505-2E9C-101B-9397-08002B2CF9AE}" pid="19" name="RecordPoint_WorkflowType">
    <vt:lpwstr>ActiveSubmitStub</vt:lpwstr>
  </property>
  <property fmtid="{D5CDD505-2E9C-101B-9397-08002B2CF9AE}" pid="20" name="RecordPoint_ActiveItemWebId">
    <vt:lpwstr>{75a71c27-8d66-4282-ae60-1bfc22a83be1}</vt:lpwstr>
  </property>
  <property fmtid="{D5CDD505-2E9C-101B-9397-08002B2CF9AE}" pid="21" name="RecordPoint_ActiveItemSiteId">
    <vt:lpwstr>{88691c01-5bbb-4215-adc0-66cb7065b0af}</vt:lpwstr>
  </property>
  <property fmtid="{D5CDD505-2E9C-101B-9397-08002B2CF9AE}" pid="22" name="RecordPoint_ActiveItemListId">
    <vt:lpwstr>{0e59e171-09d8-4401-800a-327154450cb3}</vt:lpwstr>
  </property>
  <property fmtid="{D5CDD505-2E9C-101B-9397-08002B2CF9AE}" pid="23" name="RecordPoint_ActiveItemUniqueId">
    <vt:lpwstr>{d03c5525-f53f-4ef1-9b06-a86dbbedd057}</vt:lpwstr>
  </property>
  <property fmtid="{D5CDD505-2E9C-101B-9397-08002B2CF9AE}" pid="24" name="RecordPoint_RecordNumberSubmitted">
    <vt:lpwstr/>
  </property>
  <property fmtid="{D5CDD505-2E9C-101B-9397-08002B2CF9AE}" pid="25" name="RecordPoint_SubmissionCompleted">
    <vt:lpwstr/>
  </property>
  <property fmtid="{D5CDD505-2E9C-101B-9397-08002B2CF9AE}" pid="26" name="_docset_NoMedatataSyncRequired">
    <vt:lpwstr>False</vt:lpwstr>
  </property>
  <property fmtid="{D5CDD505-2E9C-101B-9397-08002B2CF9AE}" pid="27" name="PM_ProtectiveMarkingValue_Footer">
    <vt:lpwstr>UNCLASSIFIED</vt:lpwstr>
  </property>
  <property fmtid="{D5CDD505-2E9C-101B-9397-08002B2CF9AE}" pid="28" name="PM_Caveats_Count">
    <vt:lpwstr>0</vt:lpwstr>
  </property>
  <property fmtid="{D5CDD505-2E9C-101B-9397-08002B2CF9AE}" pid="29" name="PM_Originator_Hash_SHA1">
    <vt:lpwstr>DBF2C23E4BADD8D7D0B29BB6B332033121013C98</vt:lpwstr>
  </property>
  <property fmtid="{D5CDD505-2E9C-101B-9397-08002B2CF9AE}" pid="30" name="PM_SecurityClassification">
    <vt:lpwstr>UNCLASSIFIED</vt:lpwstr>
  </property>
  <property fmtid="{D5CDD505-2E9C-101B-9397-08002B2CF9AE}" pid="31" name="PM_DisplayValueSecClassificationWithQualifier">
    <vt:lpwstr>UNCLASSIFIED</vt:lpwstr>
  </property>
  <property fmtid="{D5CDD505-2E9C-101B-9397-08002B2CF9AE}" pid="32" name="PM_Qualifier">
    <vt:lpwstr/>
  </property>
  <property fmtid="{D5CDD505-2E9C-101B-9397-08002B2CF9AE}" pid="33" name="PM_Hash_SHA1">
    <vt:lpwstr>BE7ADBB83D6A1A70CF5EFE392F7BE6193F59B990</vt:lpwstr>
  </property>
  <property fmtid="{D5CDD505-2E9C-101B-9397-08002B2CF9AE}" pid="34" name="PM_ProtectiveMarkingImage_Header">
    <vt:lpwstr>C:\Program Files (x86)\Common Files\janusNET Shared\janusSEAL\Images\DocumentSlashBlue.png</vt:lpwstr>
  </property>
  <property fmtid="{D5CDD505-2E9C-101B-9397-08002B2CF9AE}" pid="35" name="PM_InsertionValue">
    <vt:lpwstr>UNCLASSIFIED</vt:lpwstr>
  </property>
  <property fmtid="{D5CDD505-2E9C-101B-9397-08002B2CF9AE}" pid="36" name="PM_ProtectiveMarkingValue_Header">
    <vt:lpwstr>UNCLASSIFIED</vt:lpwstr>
  </property>
  <property fmtid="{D5CDD505-2E9C-101B-9397-08002B2CF9AE}" pid="37" name="PM_ProtectiveMarkingImage_Footer">
    <vt:lpwstr>C:\Program Files (x86)\Common Files\janusNET Shared\janusSEAL\Images\DocumentSlashBlue.png</vt:lpwstr>
  </property>
  <property fmtid="{D5CDD505-2E9C-101B-9397-08002B2CF9AE}" pid="38" name="PM_Namespace">
    <vt:lpwstr>gov.au</vt:lpwstr>
  </property>
  <property fmtid="{D5CDD505-2E9C-101B-9397-08002B2CF9AE}" pid="39" name="PM_Version">
    <vt:lpwstr>2012.3</vt:lpwstr>
  </property>
  <property fmtid="{D5CDD505-2E9C-101B-9397-08002B2CF9AE}" pid="40" name="PM_Originating_FileId">
    <vt:lpwstr>C7C6C495969F431EBDD97F7798B1AF10</vt:lpwstr>
  </property>
  <property fmtid="{D5CDD505-2E9C-101B-9397-08002B2CF9AE}" pid="41" name="PM_OriginationTimeStamp">
    <vt:lpwstr>2018-08-27T03:20:21Z</vt:lpwstr>
  </property>
  <property fmtid="{D5CDD505-2E9C-101B-9397-08002B2CF9AE}" pid="42" name="PM_Hash_Version">
    <vt:lpwstr>2016.1</vt:lpwstr>
  </property>
  <property fmtid="{D5CDD505-2E9C-101B-9397-08002B2CF9AE}" pid="43" name="PM_Hash_Salt_Prev">
    <vt:lpwstr>FA089557948653B7458C1029AA41BFEB</vt:lpwstr>
  </property>
  <property fmtid="{D5CDD505-2E9C-101B-9397-08002B2CF9AE}" pid="44" name="PM_Hash_Salt">
    <vt:lpwstr>FA089557948653B7458C1029AA41BFEB</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ies>
</file>