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F2263B04C41F42BF8717ED6356588F04"/>
        </w:placeholder>
        <w:group/>
      </w:sdtPr>
      <w:sdtEndPr>
        <w:rPr>
          <w:rFonts w:eastAsiaTheme="minorEastAsia"/>
          <w:szCs w:val="24"/>
          <w:u w:val="none"/>
        </w:rPr>
      </w:sdtEndPr>
      <w:sdtContent>
        <w:p w14:paraId="1D4907C4" w14:textId="77777777" w:rsidR="00226C46" w:rsidRPr="00096B91" w:rsidRDefault="00226C46" w:rsidP="004926C8">
          <w:pPr>
            <w:pStyle w:val="Title"/>
            <w:rPr>
              <w:rFonts w:ascii="Times New Roman" w:hAnsi="Times New Roman"/>
              <w:u w:val="single"/>
            </w:rPr>
          </w:pPr>
          <w:r w:rsidRPr="00096B91">
            <w:rPr>
              <w:rFonts w:ascii="Times New Roman" w:hAnsi="Times New Roman"/>
              <w:u w:val="single"/>
            </w:rPr>
            <w:t>EXPLANATORY STATEMENT</w:t>
          </w:r>
        </w:p>
        <w:p w14:paraId="15BBA2C7" w14:textId="77777777" w:rsidR="00226C46" w:rsidRPr="00096B91" w:rsidRDefault="008D679E" w:rsidP="004926C8">
          <w:pPr>
            <w:jc w:val="center"/>
            <w:rPr>
              <w:rFonts w:ascii="Times New Roman" w:hAnsi="Times New Roman" w:cs="Times New Roman"/>
              <w:sz w:val="24"/>
            </w:rPr>
          </w:pPr>
        </w:p>
      </w:sdtContent>
    </w:sdt>
    <w:p w14:paraId="5A606516" w14:textId="77777777" w:rsidR="00226C46" w:rsidRPr="00074FAE" w:rsidRDefault="008D679E" w:rsidP="004926C8">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2263B04C41F42BF8717ED6356588F04"/>
          </w:placeholder>
          <w:group/>
        </w:sdtPr>
        <w:sdtEndPr/>
        <w:sdtContent>
          <w:r w:rsidR="00226C46" w:rsidRPr="00096B91">
            <w:rPr>
              <w:rFonts w:ascii="Times New Roman" w:hAnsi="Times New Roman" w:cs="Times New Roman"/>
              <w:sz w:val="24"/>
              <w:u w:val="single"/>
            </w:rPr>
            <w:t>Issued by Authority of the</w:t>
          </w:r>
        </w:sdtContent>
      </w:sdt>
      <w:r w:rsidR="00226C46" w:rsidRPr="00096B91">
        <w:rPr>
          <w:rFonts w:ascii="Times New Roman" w:hAnsi="Times New Roman" w:cs="Times New Roman"/>
          <w:sz w:val="24"/>
          <w:u w:val="single"/>
        </w:rPr>
        <w:t xml:space="preserve"> </w:t>
      </w:r>
      <w:r w:rsidR="00226C46" w:rsidRPr="00B3331C">
        <w:rPr>
          <w:rFonts w:ascii="Times New Roman" w:hAnsi="Times New Roman" w:cs="Times New Roman"/>
          <w:sz w:val="24"/>
          <w:u w:val="single"/>
        </w:rPr>
        <w:t xml:space="preserve">Minister </w:t>
      </w:r>
      <w:r w:rsidR="00226C46">
        <w:rPr>
          <w:rFonts w:ascii="Times New Roman" w:hAnsi="Times New Roman" w:cs="Times New Roman"/>
          <w:sz w:val="24"/>
          <w:u w:val="single"/>
        </w:rPr>
        <w:t xml:space="preserve">for Agriculture </w:t>
      </w:r>
      <w:r w:rsidR="00226C46" w:rsidRPr="00074FAE">
        <w:rPr>
          <w:rFonts w:ascii="Times New Roman" w:hAnsi="Times New Roman" w:cs="Times New Roman"/>
          <w:sz w:val="24"/>
          <w:u w:val="single"/>
        </w:rPr>
        <w:t>and Water Resources</w:t>
      </w:r>
    </w:p>
    <w:p w14:paraId="3F12F10E" w14:textId="77777777" w:rsidR="00226C46" w:rsidRPr="00074FAE" w:rsidRDefault="00226C46" w:rsidP="004926C8">
      <w:pPr>
        <w:jc w:val="center"/>
        <w:rPr>
          <w:rFonts w:ascii="Times New Roman" w:hAnsi="Times New Roman" w:cs="Times New Roman"/>
          <w:sz w:val="24"/>
        </w:rPr>
      </w:pPr>
    </w:p>
    <w:p w14:paraId="54B68DC9" w14:textId="77777777" w:rsidR="00226C46" w:rsidRPr="00C163FF" w:rsidRDefault="00226C46" w:rsidP="004926C8">
      <w:pPr>
        <w:jc w:val="center"/>
        <w:rPr>
          <w:rFonts w:ascii="Times New Roman" w:hAnsi="Times New Roman" w:cs="Times New Roman"/>
          <w:snapToGrid w:val="0"/>
          <w:sz w:val="24"/>
        </w:rPr>
      </w:pPr>
      <w:r w:rsidRPr="00C163FF">
        <w:rPr>
          <w:rFonts w:ascii="Times New Roman" w:hAnsi="Times New Roman" w:cs="Times New Roman"/>
          <w:i/>
          <w:snapToGrid w:val="0"/>
          <w:sz w:val="24"/>
        </w:rPr>
        <w:t>Farm Household Support</w:t>
      </w:r>
      <w:r w:rsidRPr="00C163FF">
        <w:rPr>
          <w:rFonts w:ascii="Times New Roman" w:hAnsi="Times New Roman" w:cs="Times New Roman"/>
          <w:i/>
          <w:sz w:val="24"/>
        </w:rPr>
        <w:t xml:space="preserve"> </w:t>
      </w:r>
      <w:r w:rsidRPr="00C163FF">
        <w:rPr>
          <w:rFonts w:ascii="Times New Roman" w:hAnsi="Times New Roman" w:cs="Times New Roman"/>
          <w:i/>
          <w:snapToGrid w:val="0"/>
          <w:sz w:val="24"/>
        </w:rPr>
        <w:t>Act 2014</w:t>
      </w:r>
    </w:p>
    <w:p w14:paraId="7A6A40D7" w14:textId="77777777" w:rsidR="00226C46" w:rsidRPr="00C163FF" w:rsidRDefault="00226C46" w:rsidP="004926C8">
      <w:pPr>
        <w:jc w:val="center"/>
        <w:rPr>
          <w:rFonts w:ascii="Times New Roman" w:hAnsi="Times New Roman" w:cs="Times New Roman"/>
          <w:sz w:val="24"/>
        </w:rPr>
      </w:pPr>
    </w:p>
    <w:p w14:paraId="59467CBA" w14:textId="77777777" w:rsidR="00226C46" w:rsidRPr="00C163FF" w:rsidRDefault="00226C46" w:rsidP="004926C8">
      <w:pPr>
        <w:jc w:val="center"/>
        <w:rPr>
          <w:rFonts w:ascii="Times New Roman" w:hAnsi="Times New Roman" w:cs="Times New Roman"/>
          <w:i/>
          <w:sz w:val="24"/>
        </w:rPr>
      </w:pPr>
      <w:r w:rsidRPr="00C163FF">
        <w:rPr>
          <w:rFonts w:ascii="Times New Roman" w:hAnsi="Times New Roman" w:cs="Times New Roman"/>
          <w:i/>
          <w:snapToGrid w:val="0"/>
          <w:sz w:val="24"/>
        </w:rPr>
        <w:t>Farm Household Support</w:t>
      </w:r>
      <w:r w:rsidR="0090659B">
        <w:rPr>
          <w:rFonts w:ascii="Times New Roman" w:hAnsi="Times New Roman" w:cs="Times New Roman"/>
          <w:i/>
          <w:snapToGrid w:val="0"/>
          <w:sz w:val="24"/>
        </w:rPr>
        <w:t xml:space="preserve"> </w:t>
      </w:r>
      <w:r w:rsidR="00397902">
        <w:rPr>
          <w:rFonts w:ascii="Times New Roman" w:hAnsi="Times New Roman" w:cs="Times New Roman"/>
          <w:i/>
          <w:snapToGrid w:val="0"/>
          <w:sz w:val="24"/>
        </w:rPr>
        <w:t>(Farm Assets V</w:t>
      </w:r>
      <w:r w:rsidR="006056B1">
        <w:rPr>
          <w:rFonts w:ascii="Times New Roman" w:hAnsi="Times New Roman" w:cs="Times New Roman"/>
          <w:i/>
          <w:snapToGrid w:val="0"/>
          <w:sz w:val="24"/>
        </w:rPr>
        <w:t>alue Limit</w:t>
      </w:r>
      <w:r w:rsidR="00397902">
        <w:rPr>
          <w:rFonts w:ascii="Times New Roman" w:hAnsi="Times New Roman" w:cs="Times New Roman"/>
          <w:i/>
          <w:snapToGrid w:val="0"/>
          <w:sz w:val="24"/>
        </w:rPr>
        <w:t>)</w:t>
      </w:r>
      <w:r w:rsidR="006056B1">
        <w:rPr>
          <w:rFonts w:ascii="Times New Roman" w:hAnsi="Times New Roman" w:cs="Times New Roman"/>
          <w:i/>
          <w:snapToGrid w:val="0"/>
          <w:sz w:val="24"/>
        </w:rPr>
        <w:t xml:space="preserve"> </w:t>
      </w:r>
      <w:r w:rsidR="0090659B">
        <w:rPr>
          <w:rFonts w:ascii="Times New Roman" w:hAnsi="Times New Roman" w:cs="Times New Roman"/>
          <w:i/>
          <w:snapToGrid w:val="0"/>
          <w:sz w:val="24"/>
        </w:rPr>
        <w:t>Minister’s Rule</w:t>
      </w:r>
      <w:r w:rsidR="006056B1">
        <w:rPr>
          <w:rFonts w:ascii="Times New Roman" w:hAnsi="Times New Roman" w:cs="Times New Roman"/>
          <w:i/>
          <w:snapToGrid w:val="0"/>
          <w:sz w:val="24"/>
        </w:rPr>
        <w:t>s</w:t>
      </w:r>
      <w:r w:rsidR="0090659B">
        <w:rPr>
          <w:rFonts w:ascii="Times New Roman" w:hAnsi="Times New Roman" w:cs="Times New Roman"/>
          <w:i/>
          <w:snapToGrid w:val="0"/>
          <w:sz w:val="24"/>
        </w:rPr>
        <w:t xml:space="preserve"> 2018</w:t>
      </w:r>
    </w:p>
    <w:p w14:paraId="002BD8E5" w14:textId="77777777" w:rsidR="00226C46" w:rsidRPr="00C163FF" w:rsidRDefault="00226C46" w:rsidP="004926C8">
      <w:pPr>
        <w:tabs>
          <w:tab w:val="left" w:pos="1701"/>
          <w:tab w:val="right" w:pos="9072"/>
        </w:tabs>
        <w:rPr>
          <w:rFonts w:ascii="Times New Roman" w:hAnsi="Times New Roman" w:cs="Times New Roman"/>
          <w:b/>
          <w:sz w:val="24"/>
        </w:rPr>
      </w:pPr>
    </w:p>
    <w:p w14:paraId="2D2C7D31" w14:textId="77777777" w:rsidR="00226C46" w:rsidRPr="00946F8E" w:rsidRDefault="00226C46" w:rsidP="004926C8">
      <w:pPr>
        <w:tabs>
          <w:tab w:val="left" w:pos="1701"/>
          <w:tab w:val="right" w:pos="9072"/>
        </w:tabs>
        <w:rPr>
          <w:rFonts w:ascii="Times New Roman" w:hAnsi="Times New Roman" w:cs="Times New Roman"/>
          <w:b/>
          <w:sz w:val="24"/>
        </w:rPr>
      </w:pPr>
      <w:r w:rsidRPr="00946F8E">
        <w:rPr>
          <w:rFonts w:ascii="Times New Roman" w:hAnsi="Times New Roman" w:cs="Times New Roman"/>
          <w:b/>
          <w:sz w:val="24"/>
        </w:rPr>
        <w:t>Legislative authority</w:t>
      </w:r>
    </w:p>
    <w:p w14:paraId="1ECB9CE4" w14:textId="77777777" w:rsidR="00226C46" w:rsidRPr="00946F8E" w:rsidRDefault="00226C46" w:rsidP="004926C8">
      <w:pPr>
        <w:tabs>
          <w:tab w:val="left" w:pos="1701"/>
          <w:tab w:val="right" w:pos="9072"/>
        </w:tabs>
        <w:rPr>
          <w:rFonts w:ascii="Times New Roman" w:hAnsi="Times New Roman" w:cs="Times New Roman"/>
          <w:b/>
          <w:sz w:val="24"/>
        </w:rPr>
      </w:pPr>
    </w:p>
    <w:p w14:paraId="044EA1C3" w14:textId="77777777" w:rsidR="00226C46" w:rsidRPr="00946F8E" w:rsidRDefault="00226C46" w:rsidP="004926C8">
      <w:pPr>
        <w:tabs>
          <w:tab w:val="left" w:pos="1701"/>
          <w:tab w:val="right" w:pos="9072"/>
        </w:tabs>
        <w:rPr>
          <w:rFonts w:ascii="Times New Roman" w:hAnsi="Times New Roman" w:cs="Times New Roman"/>
          <w:snapToGrid w:val="0"/>
          <w:sz w:val="24"/>
        </w:rPr>
      </w:pPr>
      <w:r w:rsidRPr="00946F8E">
        <w:rPr>
          <w:rFonts w:ascii="Times New Roman" w:hAnsi="Times New Roman" w:cs="Times New Roman"/>
          <w:sz w:val="24"/>
        </w:rPr>
        <w:t xml:space="preserve">The </w:t>
      </w:r>
      <w:r w:rsidRPr="00946F8E">
        <w:rPr>
          <w:rFonts w:ascii="Times New Roman" w:hAnsi="Times New Roman" w:cs="Times New Roman"/>
          <w:i/>
          <w:snapToGrid w:val="0"/>
          <w:sz w:val="24"/>
        </w:rPr>
        <w:t>Farm Household Support</w:t>
      </w:r>
      <w:r w:rsidRPr="00946F8E">
        <w:rPr>
          <w:rFonts w:ascii="Times New Roman" w:hAnsi="Times New Roman" w:cs="Times New Roman"/>
          <w:i/>
          <w:sz w:val="24"/>
        </w:rPr>
        <w:t xml:space="preserve"> </w:t>
      </w:r>
      <w:r w:rsidRPr="00946F8E">
        <w:rPr>
          <w:rFonts w:ascii="Times New Roman" w:hAnsi="Times New Roman" w:cs="Times New Roman"/>
          <w:i/>
          <w:snapToGrid w:val="0"/>
          <w:sz w:val="24"/>
        </w:rPr>
        <w:t xml:space="preserve">Act 2014 </w:t>
      </w:r>
      <w:r w:rsidRPr="00946F8E">
        <w:rPr>
          <w:rFonts w:ascii="Times New Roman" w:hAnsi="Times New Roman" w:cs="Times New Roman"/>
          <w:snapToGrid w:val="0"/>
          <w:sz w:val="24"/>
        </w:rPr>
        <w:t xml:space="preserve">(the FHS Act) provides </w:t>
      </w:r>
      <w:r w:rsidR="006B57FE">
        <w:rPr>
          <w:rFonts w:ascii="Times New Roman" w:hAnsi="Times New Roman" w:cs="Times New Roman"/>
          <w:snapToGrid w:val="0"/>
          <w:sz w:val="24"/>
        </w:rPr>
        <w:t xml:space="preserve">for financial assistance to farmers and their partners, and for related purposes. It contains </w:t>
      </w:r>
      <w:r w:rsidRPr="00946F8E">
        <w:rPr>
          <w:rFonts w:ascii="Times New Roman" w:hAnsi="Times New Roman" w:cs="Times New Roman"/>
          <w:snapToGrid w:val="0"/>
          <w:sz w:val="24"/>
        </w:rPr>
        <w:t xml:space="preserve">the mechanism to implement the Farm Household Allowance (FHA), an income support payment for farmers and farmers’ partners who are experiencing financial hardship. </w:t>
      </w:r>
    </w:p>
    <w:p w14:paraId="57A05B87" w14:textId="77777777" w:rsidR="00226C46" w:rsidRPr="00946F8E" w:rsidRDefault="00226C46" w:rsidP="004926C8">
      <w:pPr>
        <w:tabs>
          <w:tab w:val="left" w:pos="1701"/>
          <w:tab w:val="right" w:pos="9072"/>
        </w:tabs>
        <w:rPr>
          <w:rFonts w:ascii="Times New Roman" w:hAnsi="Times New Roman" w:cs="Times New Roman"/>
          <w:snapToGrid w:val="0"/>
          <w:sz w:val="24"/>
        </w:rPr>
      </w:pPr>
    </w:p>
    <w:p w14:paraId="3DE431E5" w14:textId="29403626" w:rsidR="00226C46" w:rsidRPr="00946F8E" w:rsidRDefault="00226C46" w:rsidP="004926C8">
      <w:pPr>
        <w:tabs>
          <w:tab w:val="left" w:pos="1701"/>
          <w:tab w:val="right" w:pos="9072"/>
        </w:tabs>
        <w:rPr>
          <w:rFonts w:ascii="Times New Roman" w:hAnsi="Times New Roman" w:cs="Times New Roman"/>
          <w:snapToGrid w:val="0"/>
          <w:sz w:val="24"/>
        </w:rPr>
      </w:pPr>
      <w:r w:rsidRPr="00946F8E">
        <w:rPr>
          <w:rFonts w:ascii="Times New Roman" w:hAnsi="Times New Roman" w:cs="Times New Roman"/>
          <w:sz w:val="24"/>
        </w:rPr>
        <w:lastRenderedPageBreak/>
        <w:t xml:space="preserve">Subsection 106(1) of the </w:t>
      </w:r>
      <w:r w:rsidRPr="00946F8E">
        <w:rPr>
          <w:rFonts w:ascii="Times New Roman" w:hAnsi="Times New Roman" w:cs="Times New Roman"/>
          <w:snapToGrid w:val="0"/>
          <w:sz w:val="24"/>
        </w:rPr>
        <w:t>FHS Act provides that the Minister may make by legislative instrument</w:t>
      </w:r>
      <w:r w:rsidR="006C78A4">
        <w:rPr>
          <w:rFonts w:ascii="Times New Roman" w:hAnsi="Times New Roman" w:cs="Times New Roman"/>
          <w:snapToGrid w:val="0"/>
          <w:sz w:val="24"/>
        </w:rPr>
        <w:t xml:space="preserve"> Minister’s Rules</w:t>
      </w:r>
      <w:r w:rsidRPr="00946F8E">
        <w:rPr>
          <w:rFonts w:ascii="Times New Roman" w:hAnsi="Times New Roman" w:cs="Times New Roman"/>
          <w:snapToGrid w:val="0"/>
          <w:sz w:val="24"/>
        </w:rPr>
        <w:t xml:space="preserve"> prescribing matters required or permitted by the FHS Act</w:t>
      </w:r>
      <w:r w:rsidR="00397902">
        <w:rPr>
          <w:rFonts w:ascii="Times New Roman" w:hAnsi="Times New Roman" w:cs="Times New Roman"/>
          <w:snapToGrid w:val="0"/>
          <w:sz w:val="24"/>
        </w:rPr>
        <w:t>.</w:t>
      </w:r>
      <w:r w:rsidRPr="00946F8E">
        <w:rPr>
          <w:rFonts w:ascii="Times New Roman" w:hAnsi="Times New Roman" w:cs="Times New Roman"/>
          <w:snapToGrid w:val="0"/>
          <w:sz w:val="24"/>
        </w:rPr>
        <w:t xml:space="preserve"> </w:t>
      </w:r>
    </w:p>
    <w:p w14:paraId="765AEE96" w14:textId="77777777" w:rsidR="00AA03D3" w:rsidRDefault="00AA03D3" w:rsidP="004926C8">
      <w:pPr>
        <w:tabs>
          <w:tab w:val="left" w:pos="1701"/>
          <w:tab w:val="right" w:pos="9072"/>
        </w:tabs>
        <w:rPr>
          <w:rFonts w:ascii="Times New Roman" w:hAnsi="Times New Roman" w:cs="Times New Roman"/>
          <w:b/>
          <w:snapToGrid w:val="0"/>
          <w:sz w:val="24"/>
        </w:rPr>
      </w:pPr>
    </w:p>
    <w:p w14:paraId="197FECE0" w14:textId="77777777" w:rsidR="00226C46" w:rsidRPr="00946F8E" w:rsidRDefault="00226C46" w:rsidP="004926C8">
      <w:pPr>
        <w:tabs>
          <w:tab w:val="left" w:pos="1701"/>
          <w:tab w:val="right" w:pos="9072"/>
        </w:tabs>
        <w:rPr>
          <w:rFonts w:ascii="Times New Roman" w:hAnsi="Times New Roman" w:cs="Times New Roman"/>
          <w:b/>
          <w:snapToGrid w:val="0"/>
          <w:sz w:val="24"/>
        </w:rPr>
      </w:pPr>
      <w:r w:rsidRPr="00946F8E">
        <w:rPr>
          <w:rFonts w:ascii="Times New Roman" w:hAnsi="Times New Roman" w:cs="Times New Roman"/>
          <w:b/>
          <w:snapToGrid w:val="0"/>
          <w:sz w:val="24"/>
        </w:rPr>
        <w:t>Purpose</w:t>
      </w:r>
    </w:p>
    <w:p w14:paraId="5BAF14EE" w14:textId="77777777" w:rsidR="00226C46" w:rsidRPr="00946F8E" w:rsidRDefault="00226C46" w:rsidP="004926C8">
      <w:pPr>
        <w:tabs>
          <w:tab w:val="right" w:pos="9072"/>
        </w:tabs>
        <w:rPr>
          <w:rFonts w:ascii="Times New Roman" w:hAnsi="Times New Roman" w:cs="Times New Roman"/>
          <w:snapToGrid w:val="0"/>
          <w:sz w:val="24"/>
        </w:rPr>
      </w:pPr>
    </w:p>
    <w:p w14:paraId="66C2DA35" w14:textId="67C4EA23" w:rsidR="00226C46" w:rsidRPr="00946F8E" w:rsidRDefault="00226C46" w:rsidP="004926C8">
      <w:pPr>
        <w:rPr>
          <w:rFonts w:ascii="Times New Roman" w:hAnsi="Times New Roman" w:cs="Times New Roman"/>
          <w:snapToGrid w:val="0"/>
          <w:sz w:val="24"/>
        </w:rPr>
      </w:pPr>
      <w:r w:rsidRPr="00946F8E">
        <w:rPr>
          <w:rFonts w:ascii="Times New Roman" w:hAnsi="Times New Roman" w:cs="Times New Roman"/>
          <w:snapToGrid w:val="0"/>
          <w:sz w:val="24"/>
        </w:rPr>
        <w:t xml:space="preserve">The purpose of the </w:t>
      </w:r>
      <w:r w:rsidRPr="00946F8E">
        <w:rPr>
          <w:rFonts w:ascii="Times New Roman" w:hAnsi="Times New Roman" w:cs="Times New Roman"/>
          <w:i/>
          <w:snapToGrid w:val="0"/>
          <w:sz w:val="24"/>
        </w:rPr>
        <w:t xml:space="preserve">Farm Household Support </w:t>
      </w:r>
      <w:r w:rsidR="006056B1" w:rsidRPr="00946F8E">
        <w:rPr>
          <w:rFonts w:ascii="Times New Roman" w:hAnsi="Times New Roman" w:cs="Times New Roman"/>
          <w:i/>
          <w:snapToGrid w:val="0"/>
          <w:sz w:val="24"/>
        </w:rPr>
        <w:t xml:space="preserve">(Farm Assets Value Limit) </w:t>
      </w:r>
      <w:r w:rsidR="0090659B" w:rsidRPr="00946F8E">
        <w:rPr>
          <w:rFonts w:ascii="Times New Roman" w:hAnsi="Times New Roman" w:cs="Times New Roman"/>
          <w:i/>
          <w:snapToGrid w:val="0"/>
          <w:sz w:val="24"/>
        </w:rPr>
        <w:t>Minister’s</w:t>
      </w:r>
      <w:r w:rsidRPr="00946F8E">
        <w:rPr>
          <w:rFonts w:ascii="Times New Roman" w:hAnsi="Times New Roman" w:cs="Times New Roman"/>
          <w:i/>
          <w:snapToGrid w:val="0"/>
          <w:sz w:val="24"/>
        </w:rPr>
        <w:t xml:space="preserve"> Rule</w:t>
      </w:r>
      <w:r w:rsidR="006056B1" w:rsidRPr="00946F8E">
        <w:rPr>
          <w:rFonts w:ascii="Times New Roman" w:hAnsi="Times New Roman" w:cs="Times New Roman"/>
          <w:i/>
          <w:snapToGrid w:val="0"/>
          <w:sz w:val="24"/>
        </w:rPr>
        <w:t>s</w:t>
      </w:r>
      <w:r w:rsidRPr="00946F8E">
        <w:rPr>
          <w:rFonts w:ascii="Times New Roman" w:hAnsi="Times New Roman" w:cs="Times New Roman"/>
          <w:i/>
          <w:snapToGrid w:val="0"/>
          <w:sz w:val="24"/>
        </w:rPr>
        <w:t xml:space="preserve"> 2018</w:t>
      </w:r>
      <w:r w:rsidR="00062746" w:rsidRPr="00946F8E">
        <w:rPr>
          <w:rFonts w:ascii="Times New Roman" w:hAnsi="Times New Roman" w:cs="Times New Roman"/>
          <w:i/>
          <w:snapToGrid w:val="0"/>
          <w:sz w:val="24"/>
        </w:rPr>
        <w:t xml:space="preserve"> </w:t>
      </w:r>
      <w:r w:rsidR="00062746" w:rsidRPr="00946F8E">
        <w:rPr>
          <w:rFonts w:ascii="Times New Roman" w:hAnsi="Times New Roman" w:cs="Times New Roman"/>
          <w:snapToGrid w:val="0"/>
          <w:sz w:val="24"/>
        </w:rPr>
        <w:t>(the Rule</w:t>
      </w:r>
      <w:r w:rsidR="006056B1" w:rsidRPr="00946F8E">
        <w:rPr>
          <w:rFonts w:ascii="Times New Roman" w:hAnsi="Times New Roman" w:cs="Times New Roman"/>
          <w:snapToGrid w:val="0"/>
          <w:sz w:val="24"/>
        </w:rPr>
        <w:t>s</w:t>
      </w:r>
      <w:r w:rsidR="00062746" w:rsidRPr="00946F8E">
        <w:rPr>
          <w:rFonts w:ascii="Times New Roman" w:hAnsi="Times New Roman" w:cs="Times New Roman"/>
          <w:snapToGrid w:val="0"/>
          <w:sz w:val="24"/>
        </w:rPr>
        <w:t>)</w:t>
      </w:r>
      <w:r w:rsidRPr="00946F8E">
        <w:rPr>
          <w:rFonts w:ascii="Times New Roman" w:hAnsi="Times New Roman" w:cs="Times New Roman"/>
          <w:i/>
          <w:snapToGrid w:val="0"/>
          <w:sz w:val="24"/>
        </w:rPr>
        <w:t xml:space="preserve"> </w:t>
      </w:r>
      <w:r w:rsidR="0090659B" w:rsidRPr="00946F8E">
        <w:rPr>
          <w:rFonts w:ascii="Times New Roman" w:hAnsi="Times New Roman" w:cs="Times New Roman"/>
          <w:snapToGrid w:val="0"/>
          <w:sz w:val="24"/>
        </w:rPr>
        <w:t>is to prescribe 1 September 2018 as the date from which the farm assets value limit temporarily increases to $5 million.</w:t>
      </w:r>
    </w:p>
    <w:p w14:paraId="5C3A04BC" w14:textId="77777777" w:rsidR="00226C46" w:rsidRPr="00946F8E" w:rsidRDefault="00226C46" w:rsidP="004926C8">
      <w:pPr>
        <w:tabs>
          <w:tab w:val="right" w:pos="9072"/>
        </w:tabs>
        <w:rPr>
          <w:rFonts w:ascii="Times New Roman" w:hAnsi="Times New Roman" w:cs="Times New Roman"/>
          <w:snapToGrid w:val="0"/>
          <w:sz w:val="24"/>
        </w:rPr>
      </w:pPr>
    </w:p>
    <w:p w14:paraId="38D48633" w14:textId="77777777" w:rsidR="00226C46" w:rsidRPr="00946F8E" w:rsidRDefault="00226C46" w:rsidP="004926C8">
      <w:pPr>
        <w:tabs>
          <w:tab w:val="left" w:pos="1701"/>
          <w:tab w:val="right" w:pos="9072"/>
        </w:tabs>
        <w:rPr>
          <w:rFonts w:ascii="Times New Roman" w:hAnsi="Times New Roman" w:cs="Times New Roman"/>
          <w:b/>
          <w:snapToGrid w:val="0"/>
          <w:sz w:val="24"/>
        </w:rPr>
      </w:pPr>
      <w:r w:rsidRPr="00946F8E">
        <w:rPr>
          <w:rFonts w:ascii="Times New Roman" w:hAnsi="Times New Roman" w:cs="Times New Roman"/>
          <w:b/>
          <w:snapToGrid w:val="0"/>
          <w:sz w:val="24"/>
        </w:rPr>
        <w:t>Background</w:t>
      </w:r>
    </w:p>
    <w:p w14:paraId="4C2D2D91" w14:textId="77777777" w:rsidR="00226C46" w:rsidRPr="00946F8E" w:rsidRDefault="00226C46" w:rsidP="004926C8">
      <w:pPr>
        <w:tabs>
          <w:tab w:val="left" w:pos="1701"/>
          <w:tab w:val="right" w:pos="9072"/>
        </w:tabs>
        <w:rPr>
          <w:rFonts w:ascii="Times New Roman" w:hAnsi="Times New Roman" w:cs="Times New Roman"/>
          <w:sz w:val="24"/>
        </w:rPr>
      </w:pPr>
    </w:p>
    <w:p w14:paraId="7C39E1BF" w14:textId="4262C370" w:rsidR="00226C46" w:rsidRPr="00946F8E" w:rsidRDefault="00226C46" w:rsidP="004926C8">
      <w:pPr>
        <w:tabs>
          <w:tab w:val="left" w:pos="1701"/>
          <w:tab w:val="right" w:pos="9072"/>
        </w:tabs>
        <w:rPr>
          <w:rFonts w:ascii="Times New Roman" w:hAnsi="Times New Roman" w:cs="Times New Roman"/>
          <w:sz w:val="24"/>
        </w:rPr>
      </w:pPr>
      <w:r w:rsidRPr="00946F8E">
        <w:rPr>
          <w:rFonts w:ascii="Times New Roman" w:hAnsi="Times New Roman" w:cs="Times New Roman"/>
          <w:sz w:val="24"/>
        </w:rPr>
        <w:t>The F</w:t>
      </w:r>
      <w:r w:rsidR="009C1BF2">
        <w:rPr>
          <w:rFonts w:ascii="Times New Roman" w:hAnsi="Times New Roman" w:cs="Times New Roman"/>
          <w:sz w:val="24"/>
        </w:rPr>
        <w:t xml:space="preserve">arm </w:t>
      </w:r>
      <w:r w:rsidR="009C1BF2" w:rsidRPr="00946F8E">
        <w:rPr>
          <w:rFonts w:ascii="Times New Roman" w:hAnsi="Times New Roman" w:cs="Times New Roman"/>
          <w:sz w:val="24"/>
        </w:rPr>
        <w:t>H</w:t>
      </w:r>
      <w:r w:rsidR="009C1BF2">
        <w:rPr>
          <w:rFonts w:ascii="Times New Roman" w:hAnsi="Times New Roman" w:cs="Times New Roman"/>
          <w:sz w:val="24"/>
        </w:rPr>
        <w:t xml:space="preserve">ousehold </w:t>
      </w:r>
      <w:r w:rsidRPr="00946F8E">
        <w:rPr>
          <w:rFonts w:ascii="Times New Roman" w:hAnsi="Times New Roman" w:cs="Times New Roman"/>
          <w:sz w:val="24"/>
        </w:rPr>
        <w:t>A</w:t>
      </w:r>
      <w:r w:rsidR="009C1BF2">
        <w:rPr>
          <w:rFonts w:ascii="Times New Roman" w:hAnsi="Times New Roman" w:cs="Times New Roman"/>
          <w:sz w:val="24"/>
        </w:rPr>
        <w:t>llowance (FHA)</w:t>
      </w:r>
      <w:r w:rsidRPr="00946F8E">
        <w:rPr>
          <w:rFonts w:ascii="Times New Roman" w:hAnsi="Times New Roman" w:cs="Times New Roman"/>
          <w:sz w:val="24"/>
        </w:rPr>
        <w:t xml:space="preserve"> program commenced on 1 July 2014. It aims to improve the situation of farmers and </w:t>
      </w:r>
      <w:r w:rsidR="00397902">
        <w:rPr>
          <w:rFonts w:ascii="Times New Roman" w:hAnsi="Times New Roman" w:cs="Times New Roman"/>
          <w:sz w:val="24"/>
        </w:rPr>
        <w:t>farmers’</w:t>
      </w:r>
      <w:r w:rsidR="00AA03D3">
        <w:rPr>
          <w:rFonts w:ascii="Times New Roman" w:hAnsi="Times New Roman" w:cs="Times New Roman"/>
          <w:sz w:val="24"/>
        </w:rPr>
        <w:t xml:space="preserve"> </w:t>
      </w:r>
      <w:r w:rsidRPr="00946F8E">
        <w:rPr>
          <w:rFonts w:ascii="Times New Roman" w:hAnsi="Times New Roman" w:cs="Times New Roman"/>
          <w:sz w:val="24"/>
        </w:rPr>
        <w:t>partners by providing financial assistance to</w:t>
      </w:r>
      <w:r w:rsidR="000F6C04">
        <w:rPr>
          <w:rFonts w:ascii="Times New Roman" w:hAnsi="Times New Roman" w:cs="Times New Roman"/>
          <w:sz w:val="24"/>
        </w:rPr>
        <w:t xml:space="preserve"> eligible recipients</w:t>
      </w:r>
      <w:r w:rsidRPr="00946F8E">
        <w:rPr>
          <w:rFonts w:ascii="Times New Roman" w:hAnsi="Times New Roman" w:cs="Times New Roman"/>
          <w:sz w:val="24"/>
        </w:rPr>
        <w:t xml:space="preserve">. The financial assistance consists of FHA, funding </w:t>
      </w:r>
      <w:r w:rsidR="00B54269" w:rsidRPr="00946F8E">
        <w:rPr>
          <w:rFonts w:ascii="Times New Roman" w:hAnsi="Times New Roman" w:cs="Times New Roman"/>
          <w:sz w:val="24"/>
        </w:rPr>
        <w:t>to engage in certain activities</w:t>
      </w:r>
      <w:r w:rsidRPr="00946F8E">
        <w:rPr>
          <w:rFonts w:ascii="Times New Roman" w:hAnsi="Times New Roman" w:cs="Times New Roman"/>
          <w:sz w:val="24"/>
        </w:rPr>
        <w:t xml:space="preserve">, and funding to obtain a farm financial assessment. </w:t>
      </w:r>
    </w:p>
    <w:p w14:paraId="539666EE" w14:textId="77777777" w:rsidR="00226C46" w:rsidRPr="00946F8E" w:rsidRDefault="00226C46" w:rsidP="004926C8">
      <w:pPr>
        <w:tabs>
          <w:tab w:val="left" w:pos="1701"/>
          <w:tab w:val="right" w:pos="9072"/>
        </w:tabs>
        <w:rPr>
          <w:rFonts w:ascii="Times New Roman" w:hAnsi="Times New Roman" w:cs="Times New Roman"/>
          <w:sz w:val="24"/>
        </w:rPr>
      </w:pPr>
    </w:p>
    <w:p w14:paraId="4BF78CC1" w14:textId="5C638369" w:rsidR="00062746" w:rsidRPr="00946F8E" w:rsidRDefault="006B57FE" w:rsidP="004926C8">
      <w:pPr>
        <w:tabs>
          <w:tab w:val="left" w:pos="1701"/>
          <w:tab w:val="right" w:pos="9072"/>
        </w:tabs>
        <w:rPr>
          <w:rFonts w:ascii="Times New Roman" w:hAnsi="Times New Roman" w:cs="Times New Roman"/>
          <w:sz w:val="24"/>
        </w:rPr>
      </w:pPr>
      <w:r>
        <w:rPr>
          <w:rFonts w:ascii="Times New Roman" w:hAnsi="Times New Roman" w:cs="Times New Roman"/>
          <w:sz w:val="24"/>
        </w:rPr>
        <w:t>T</w:t>
      </w:r>
      <w:r w:rsidR="0090659B" w:rsidRPr="00946F8E">
        <w:rPr>
          <w:rFonts w:ascii="Times New Roman" w:hAnsi="Times New Roman" w:cs="Times New Roman"/>
          <w:sz w:val="24"/>
        </w:rPr>
        <w:t xml:space="preserve">he </w:t>
      </w:r>
      <w:r w:rsidR="0090659B" w:rsidRPr="00946F8E">
        <w:rPr>
          <w:rFonts w:ascii="Times New Roman" w:hAnsi="Times New Roman" w:cs="Times New Roman"/>
          <w:i/>
          <w:sz w:val="24"/>
        </w:rPr>
        <w:t>Farm Household Support Amendment (Temporary Measur</w:t>
      </w:r>
      <w:r w:rsidR="00062746" w:rsidRPr="00946F8E">
        <w:rPr>
          <w:rFonts w:ascii="Times New Roman" w:hAnsi="Times New Roman" w:cs="Times New Roman"/>
          <w:i/>
          <w:sz w:val="24"/>
        </w:rPr>
        <w:t>es) Act 2018</w:t>
      </w:r>
      <w:r w:rsidR="00062746" w:rsidRPr="00946F8E">
        <w:rPr>
          <w:rFonts w:ascii="Times New Roman" w:hAnsi="Times New Roman" w:cs="Times New Roman"/>
          <w:sz w:val="24"/>
        </w:rPr>
        <w:t xml:space="preserve"> makes payable </w:t>
      </w:r>
      <w:r w:rsidR="00C00D8E">
        <w:rPr>
          <w:rFonts w:ascii="Times New Roman" w:hAnsi="Times New Roman" w:cs="Times New Roman"/>
          <w:sz w:val="24"/>
        </w:rPr>
        <w:t xml:space="preserve">up to </w:t>
      </w:r>
      <w:r w:rsidR="00C55F4E">
        <w:rPr>
          <w:rFonts w:ascii="Times New Roman" w:hAnsi="Times New Roman" w:cs="Times New Roman"/>
          <w:sz w:val="24"/>
        </w:rPr>
        <w:t>two</w:t>
      </w:r>
      <w:r w:rsidR="00062746" w:rsidRPr="00946F8E">
        <w:rPr>
          <w:rFonts w:ascii="Times New Roman" w:hAnsi="Times New Roman" w:cs="Times New Roman"/>
          <w:sz w:val="24"/>
        </w:rPr>
        <w:t xml:space="preserve"> additional supplement</w:t>
      </w:r>
      <w:r w:rsidR="00565406">
        <w:rPr>
          <w:rFonts w:ascii="Times New Roman" w:hAnsi="Times New Roman" w:cs="Times New Roman"/>
          <w:sz w:val="24"/>
        </w:rPr>
        <w:t>s</w:t>
      </w:r>
      <w:r w:rsidR="00062746" w:rsidRPr="00946F8E">
        <w:rPr>
          <w:rFonts w:ascii="Times New Roman" w:hAnsi="Times New Roman" w:cs="Times New Roman"/>
          <w:sz w:val="24"/>
        </w:rPr>
        <w:t xml:space="preserve"> to the regular fortnightly </w:t>
      </w:r>
      <w:r w:rsidR="005D6FBE">
        <w:rPr>
          <w:rFonts w:ascii="Times New Roman" w:hAnsi="Times New Roman" w:cs="Times New Roman"/>
          <w:sz w:val="24"/>
        </w:rPr>
        <w:t>FHA</w:t>
      </w:r>
      <w:r w:rsidR="00366153">
        <w:rPr>
          <w:rFonts w:ascii="Times New Roman" w:hAnsi="Times New Roman" w:cs="Times New Roman"/>
          <w:sz w:val="24"/>
        </w:rPr>
        <w:t xml:space="preserve"> payments between 1 S</w:t>
      </w:r>
      <w:r w:rsidR="00062746" w:rsidRPr="00946F8E">
        <w:rPr>
          <w:rFonts w:ascii="Times New Roman" w:hAnsi="Times New Roman" w:cs="Times New Roman"/>
          <w:sz w:val="24"/>
        </w:rPr>
        <w:t>eptember 2018 and 1 June 2019</w:t>
      </w:r>
      <w:r w:rsidR="001C47A7">
        <w:rPr>
          <w:rFonts w:ascii="Times New Roman" w:hAnsi="Times New Roman" w:cs="Times New Roman"/>
          <w:sz w:val="24"/>
        </w:rPr>
        <w:t>.</w:t>
      </w:r>
      <w:r w:rsidR="00062746" w:rsidRPr="00946F8E">
        <w:rPr>
          <w:rFonts w:ascii="Times New Roman" w:hAnsi="Times New Roman" w:cs="Times New Roman"/>
          <w:sz w:val="24"/>
        </w:rPr>
        <w:t xml:space="preserve"> </w:t>
      </w:r>
      <w:r w:rsidR="001C47A7">
        <w:rPr>
          <w:rFonts w:ascii="Times New Roman" w:hAnsi="Times New Roman" w:cs="Times New Roman"/>
          <w:sz w:val="24"/>
        </w:rPr>
        <w:t>It also</w:t>
      </w:r>
      <w:r w:rsidR="00062746" w:rsidRPr="00946F8E">
        <w:rPr>
          <w:rFonts w:ascii="Times New Roman" w:hAnsi="Times New Roman" w:cs="Times New Roman"/>
          <w:sz w:val="24"/>
        </w:rPr>
        <w:t xml:space="preserve"> increases</w:t>
      </w:r>
      <w:r w:rsidR="0090659B" w:rsidRPr="00946F8E">
        <w:rPr>
          <w:rFonts w:ascii="Times New Roman" w:hAnsi="Times New Roman" w:cs="Times New Roman"/>
          <w:sz w:val="24"/>
        </w:rPr>
        <w:t xml:space="preserve"> the farm assets value limit</w:t>
      </w:r>
      <w:r w:rsidR="00C25102">
        <w:rPr>
          <w:rFonts w:ascii="Times New Roman" w:hAnsi="Times New Roman" w:cs="Times New Roman"/>
          <w:sz w:val="24"/>
        </w:rPr>
        <w:t xml:space="preserve"> from $2.635 million</w:t>
      </w:r>
      <w:r w:rsidR="0090659B" w:rsidRPr="00946F8E">
        <w:rPr>
          <w:rFonts w:ascii="Times New Roman" w:hAnsi="Times New Roman" w:cs="Times New Roman"/>
          <w:sz w:val="24"/>
        </w:rPr>
        <w:t xml:space="preserve"> to $5 million</w:t>
      </w:r>
      <w:r w:rsidR="00062746" w:rsidRPr="00946F8E">
        <w:rPr>
          <w:rFonts w:ascii="Times New Roman" w:hAnsi="Times New Roman" w:cs="Times New Roman"/>
          <w:sz w:val="24"/>
        </w:rPr>
        <w:t xml:space="preserve"> from a day prescribed by the Rules until 30 June 2019. </w:t>
      </w:r>
    </w:p>
    <w:p w14:paraId="72DFAF36" w14:textId="77777777" w:rsidR="00062746" w:rsidRPr="00946F8E" w:rsidRDefault="00062746" w:rsidP="004926C8">
      <w:pPr>
        <w:tabs>
          <w:tab w:val="left" w:pos="1701"/>
          <w:tab w:val="right" w:pos="9072"/>
        </w:tabs>
        <w:rPr>
          <w:rFonts w:ascii="Times New Roman" w:hAnsi="Times New Roman" w:cs="Times New Roman"/>
          <w:sz w:val="24"/>
        </w:rPr>
      </w:pPr>
    </w:p>
    <w:p w14:paraId="0A51A86D" w14:textId="08D7C9DB" w:rsidR="005D6367" w:rsidRPr="00946F8E" w:rsidRDefault="006056B1" w:rsidP="004926C8">
      <w:pPr>
        <w:tabs>
          <w:tab w:val="left" w:pos="1701"/>
          <w:tab w:val="right" w:pos="9072"/>
        </w:tabs>
        <w:rPr>
          <w:rFonts w:ascii="Times New Roman" w:hAnsi="Times New Roman" w:cs="Times New Roman"/>
          <w:sz w:val="24"/>
        </w:rPr>
      </w:pPr>
      <w:r w:rsidRPr="00946F8E">
        <w:rPr>
          <w:rFonts w:ascii="Times New Roman" w:hAnsi="Times New Roman" w:cs="Times New Roman"/>
          <w:sz w:val="24"/>
        </w:rPr>
        <w:t>The</w:t>
      </w:r>
      <w:r w:rsidR="00062746" w:rsidRPr="00946F8E">
        <w:rPr>
          <w:rFonts w:ascii="Times New Roman" w:hAnsi="Times New Roman" w:cs="Times New Roman"/>
          <w:sz w:val="24"/>
        </w:rPr>
        <w:t xml:space="preserve"> Rule</w:t>
      </w:r>
      <w:r w:rsidRPr="00946F8E">
        <w:rPr>
          <w:rFonts w:ascii="Times New Roman" w:hAnsi="Times New Roman" w:cs="Times New Roman"/>
          <w:sz w:val="24"/>
        </w:rPr>
        <w:t>s prescribe</w:t>
      </w:r>
      <w:r w:rsidR="00062746" w:rsidRPr="00946F8E">
        <w:rPr>
          <w:rFonts w:ascii="Times New Roman" w:hAnsi="Times New Roman" w:cs="Times New Roman"/>
          <w:sz w:val="24"/>
        </w:rPr>
        <w:t xml:space="preserve"> </w:t>
      </w:r>
      <w:r w:rsidR="006B57FE">
        <w:rPr>
          <w:rFonts w:ascii="Times New Roman" w:hAnsi="Times New Roman" w:cs="Times New Roman"/>
          <w:sz w:val="24"/>
        </w:rPr>
        <w:t xml:space="preserve">that </w:t>
      </w:r>
      <w:r w:rsidR="00062746" w:rsidRPr="00946F8E">
        <w:rPr>
          <w:rFonts w:ascii="Times New Roman" w:hAnsi="Times New Roman" w:cs="Times New Roman"/>
          <w:sz w:val="24"/>
        </w:rPr>
        <w:t xml:space="preserve">the commencement day of the increase to the farm assets value limit </w:t>
      </w:r>
      <w:r w:rsidR="006B57FE">
        <w:rPr>
          <w:rFonts w:ascii="Times New Roman" w:hAnsi="Times New Roman" w:cs="Times New Roman"/>
          <w:sz w:val="24"/>
        </w:rPr>
        <w:t xml:space="preserve">is </w:t>
      </w:r>
      <w:r w:rsidR="00062746" w:rsidRPr="00946F8E">
        <w:rPr>
          <w:rFonts w:ascii="Times New Roman" w:hAnsi="Times New Roman" w:cs="Times New Roman"/>
          <w:sz w:val="24"/>
        </w:rPr>
        <w:t>1 September 2018.</w:t>
      </w:r>
      <w:r w:rsidR="00FC3038" w:rsidRPr="00946F8E">
        <w:rPr>
          <w:rFonts w:ascii="Times New Roman" w:hAnsi="Times New Roman" w:cs="Times New Roman"/>
          <w:sz w:val="24"/>
        </w:rPr>
        <w:t xml:space="preserve"> </w:t>
      </w:r>
    </w:p>
    <w:p w14:paraId="79B7102C" w14:textId="77777777" w:rsidR="005D6367" w:rsidRPr="00946F8E" w:rsidRDefault="005D6367" w:rsidP="004926C8">
      <w:pPr>
        <w:tabs>
          <w:tab w:val="left" w:pos="1701"/>
          <w:tab w:val="right" w:pos="9072"/>
        </w:tabs>
        <w:rPr>
          <w:rFonts w:ascii="Times New Roman" w:hAnsi="Times New Roman" w:cs="Times New Roman"/>
          <w:sz w:val="24"/>
        </w:rPr>
      </w:pPr>
    </w:p>
    <w:p w14:paraId="7EF4591F" w14:textId="0CDADD63" w:rsidR="00226C46" w:rsidRPr="00946F8E" w:rsidRDefault="006B57FE" w:rsidP="004926C8">
      <w:pPr>
        <w:tabs>
          <w:tab w:val="left" w:pos="1701"/>
          <w:tab w:val="right" w:pos="9072"/>
        </w:tabs>
        <w:rPr>
          <w:rFonts w:ascii="Times New Roman" w:hAnsi="Times New Roman" w:cs="Times New Roman"/>
          <w:sz w:val="24"/>
        </w:rPr>
      </w:pPr>
      <w:r>
        <w:rPr>
          <w:rFonts w:ascii="Times New Roman" w:hAnsi="Times New Roman" w:cs="Times New Roman"/>
          <w:sz w:val="24"/>
        </w:rPr>
        <w:t>Administrative</w:t>
      </w:r>
      <w:r w:rsidR="00DC2A88" w:rsidRPr="00144AD8">
        <w:rPr>
          <w:rFonts w:ascii="Times New Roman" w:hAnsi="Times New Roman" w:cs="Times New Roman"/>
          <w:sz w:val="24"/>
        </w:rPr>
        <w:t xml:space="preserve"> arrangements to give effect to the Rules by the Department of Human Services is anticipated to be in place on or before 1 October 2018. Applications </w:t>
      </w:r>
      <w:r>
        <w:rPr>
          <w:rFonts w:ascii="Times New Roman" w:hAnsi="Times New Roman" w:cs="Times New Roman"/>
          <w:sz w:val="24"/>
        </w:rPr>
        <w:t>may</w:t>
      </w:r>
      <w:r w:rsidR="00DC2A88" w:rsidRPr="00144AD8">
        <w:rPr>
          <w:rFonts w:ascii="Times New Roman" w:hAnsi="Times New Roman" w:cs="Times New Roman"/>
          <w:sz w:val="24"/>
        </w:rPr>
        <w:t xml:space="preserve"> be made after 1 September 2018 and will be backdated to the date of lodgement.</w:t>
      </w:r>
      <w:r w:rsidR="00584434" w:rsidRPr="00946F8E">
        <w:rPr>
          <w:rFonts w:ascii="Times New Roman" w:hAnsi="Times New Roman" w:cs="Times New Roman"/>
          <w:sz w:val="24"/>
        </w:rPr>
        <w:t xml:space="preserve"> </w:t>
      </w:r>
      <w:r w:rsidR="00062746" w:rsidRPr="00946F8E">
        <w:rPr>
          <w:rFonts w:ascii="Times New Roman" w:hAnsi="Times New Roman" w:cs="Times New Roman"/>
          <w:sz w:val="24"/>
        </w:rPr>
        <w:t xml:space="preserve"> </w:t>
      </w:r>
    </w:p>
    <w:p w14:paraId="7F0C0540" w14:textId="77777777" w:rsidR="00062746" w:rsidRPr="00946F8E" w:rsidRDefault="00062746" w:rsidP="004926C8">
      <w:pPr>
        <w:tabs>
          <w:tab w:val="left" w:pos="1701"/>
          <w:tab w:val="right" w:pos="9072"/>
        </w:tabs>
        <w:rPr>
          <w:rFonts w:ascii="Times New Roman" w:hAnsi="Times New Roman" w:cs="Times New Roman"/>
          <w:sz w:val="24"/>
        </w:rPr>
      </w:pPr>
    </w:p>
    <w:p w14:paraId="0B32665C" w14:textId="77777777" w:rsidR="00226C46" w:rsidRPr="00946F8E" w:rsidRDefault="00226C46" w:rsidP="004926C8">
      <w:pPr>
        <w:tabs>
          <w:tab w:val="right" w:pos="9072"/>
        </w:tabs>
        <w:rPr>
          <w:rFonts w:ascii="Times New Roman" w:hAnsi="Times New Roman"/>
          <w:i/>
          <w:sz w:val="24"/>
        </w:rPr>
      </w:pPr>
      <w:r w:rsidRPr="00946F8E">
        <w:rPr>
          <w:rFonts w:ascii="Times New Roman" w:hAnsi="Times New Roman"/>
          <w:sz w:val="24"/>
        </w:rPr>
        <w:t xml:space="preserve">The </w:t>
      </w:r>
      <w:r w:rsidR="00062746" w:rsidRPr="00946F8E">
        <w:rPr>
          <w:rFonts w:ascii="Times New Roman" w:hAnsi="Times New Roman"/>
          <w:sz w:val="24"/>
        </w:rPr>
        <w:t>Rule</w:t>
      </w:r>
      <w:r w:rsidR="006056B1" w:rsidRPr="00946F8E">
        <w:rPr>
          <w:rFonts w:ascii="Times New Roman" w:hAnsi="Times New Roman"/>
          <w:sz w:val="24"/>
        </w:rPr>
        <w:t>s are</w:t>
      </w:r>
      <w:r w:rsidRPr="00946F8E">
        <w:rPr>
          <w:rFonts w:ascii="Times New Roman" w:hAnsi="Times New Roman"/>
          <w:sz w:val="24"/>
        </w:rPr>
        <w:t xml:space="preserve"> a legislative instrument for the purpose of the </w:t>
      </w:r>
      <w:r w:rsidRPr="00946F8E">
        <w:rPr>
          <w:rFonts w:ascii="Times New Roman" w:hAnsi="Times New Roman"/>
          <w:i/>
          <w:sz w:val="24"/>
        </w:rPr>
        <w:t>Legislation Act 2003.</w:t>
      </w:r>
    </w:p>
    <w:p w14:paraId="278D7F83" w14:textId="77777777" w:rsidR="00226C46" w:rsidRPr="00946F8E" w:rsidRDefault="00226C46" w:rsidP="004926C8">
      <w:pPr>
        <w:tabs>
          <w:tab w:val="left" w:pos="1701"/>
          <w:tab w:val="right" w:pos="9072"/>
        </w:tabs>
        <w:rPr>
          <w:rFonts w:ascii="Times New Roman" w:hAnsi="Times New Roman" w:cs="Times New Roman"/>
          <w:sz w:val="24"/>
        </w:rPr>
      </w:pPr>
    </w:p>
    <w:p w14:paraId="7A617EE1" w14:textId="77777777" w:rsidR="00226C46" w:rsidRPr="00946F8E" w:rsidRDefault="00226C46" w:rsidP="004926C8">
      <w:pPr>
        <w:keepNext/>
        <w:keepLines/>
        <w:tabs>
          <w:tab w:val="left" w:pos="1701"/>
          <w:tab w:val="right" w:pos="9072"/>
        </w:tabs>
        <w:rPr>
          <w:rFonts w:ascii="Times New Roman" w:hAnsi="Times New Roman" w:cs="Times New Roman"/>
          <w:b/>
          <w:sz w:val="24"/>
        </w:rPr>
      </w:pPr>
      <w:r w:rsidRPr="00946F8E">
        <w:rPr>
          <w:rFonts w:ascii="Times New Roman" w:hAnsi="Times New Roman" w:cs="Times New Roman"/>
          <w:b/>
          <w:sz w:val="24"/>
        </w:rPr>
        <w:lastRenderedPageBreak/>
        <w:t>Impact and effect</w:t>
      </w:r>
    </w:p>
    <w:p w14:paraId="094D8A15" w14:textId="77777777" w:rsidR="00226C46" w:rsidRPr="00946F8E" w:rsidRDefault="00226C46" w:rsidP="00937DF7">
      <w:pPr>
        <w:keepNext/>
        <w:keepLines/>
        <w:tabs>
          <w:tab w:val="left" w:pos="1701"/>
          <w:tab w:val="right" w:pos="9072"/>
        </w:tabs>
        <w:jc w:val="center"/>
        <w:rPr>
          <w:rFonts w:ascii="Times New Roman" w:hAnsi="Times New Roman" w:cs="Times New Roman"/>
          <w:sz w:val="24"/>
        </w:rPr>
      </w:pPr>
    </w:p>
    <w:p w14:paraId="7EB70358" w14:textId="14A35502" w:rsidR="00226C46" w:rsidRPr="00946F8E" w:rsidRDefault="00226C46" w:rsidP="00B77F5D">
      <w:pPr>
        <w:tabs>
          <w:tab w:val="left" w:pos="1701"/>
          <w:tab w:val="right" w:pos="9072"/>
        </w:tabs>
        <w:rPr>
          <w:rFonts w:ascii="Times New Roman" w:hAnsi="Times New Roman" w:cs="Times New Roman"/>
          <w:sz w:val="24"/>
        </w:rPr>
      </w:pPr>
      <w:r w:rsidRPr="00946F8E">
        <w:rPr>
          <w:rFonts w:ascii="Times New Roman" w:hAnsi="Times New Roman" w:cs="Times New Roman"/>
          <w:sz w:val="24"/>
        </w:rPr>
        <w:t xml:space="preserve">The </w:t>
      </w:r>
      <w:r w:rsidR="00062746" w:rsidRPr="00946F8E">
        <w:rPr>
          <w:rFonts w:ascii="Times New Roman" w:hAnsi="Times New Roman" w:cs="Times New Roman"/>
          <w:sz w:val="24"/>
        </w:rPr>
        <w:t>Rule</w:t>
      </w:r>
      <w:r w:rsidR="006056B1" w:rsidRPr="00946F8E">
        <w:rPr>
          <w:rFonts w:ascii="Times New Roman" w:hAnsi="Times New Roman" w:cs="Times New Roman"/>
          <w:sz w:val="24"/>
        </w:rPr>
        <w:t>s operate</w:t>
      </w:r>
      <w:r w:rsidR="00062746" w:rsidRPr="00946F8E">
        <w:rPr>
          <w:rFonts w:ascii="Times New Roman" w:hAnsi="Times New Roman" w:cs="Times New Roman"/>
          <w:sz w:val="24"/>
        </w:rPr>
        <w:t xml:space="preserve"> beneficially</w:t>
      </w:r>
      <w:r w:rsidR="00B77F5D" w:rsidRPr="00946F8E">
        <w:rPr>
          <w:rFonts w:ascii="Times New Roman" w:hAnsi="Times New Roman" w:cs="Times New Roman"/>
          <w:sz w:val="24"/>
        </w:rPr>
        <w:t xml:space="preserve"> as </w:t>
      </w:r>
      <w:r w:rsidR="00C25102">
        <w:rPr>
          <w:rFonts w:ascii="Times New Roman" w:hAnsi="Times New Roman" w:cs="Times New Roman"/>
          <w:sz w:val="24"/>
        </w:rPr>
        <w:t xml:space="preserve">it clarifies the </w:t>
      </w:r>
      <w:r w:rsidR="00B77F5D" w:rsidRPr="00946F8E">
        <w:rPr>
          <w:rFonts w:ascii="Times New Roman" w:hAnsi="Times New Roman" w:cs="Times New Roman"/>
          <w:sz w:val="24"/>
        </w:rPr>
        <w:t>date from which</w:t>
      </w:r>
      <w:r w:rsidR="00062746" w:rsidRPr="00946F8E">
        <w:rPr>
          <w:rFonts w:ascii="Times New Roman" w:hAnsi="Times New Roman" w:cs="Times New Roman"/>
          <w:sz w:val="24"/>
        </w:rPr>
        <w:t xml:space="preserve"> </w:t>
      </w:r>
      <w:r w:rsidR="005D6FBE">
        <w:rPr>
          <w:rFonts w:ascii="Times New Roman" w:hAnsi="Times New Roman" w:cs="Times New Roman"/>
          <w:sz w:val="24"/>
        </w:rPr>
        <w:t>FHA</w:t>
      </w:r>
      <w:r w:rsidR="00B77F5D" w:rsidRPr="00946F8E">
        <w:rPr>
          <w:rFonts w:ascii="Times New Roman" w:hAnsi="Times New Roman" w:cs="Times New Roman"/>
          <w:sz w:val="24"/>
        </w:rPr>
        <w:t xml:space="preserve"> applicants with farm assets up to $5 million </w:t>
      </w:r>
      <w:r w:rsidR="006B57FE">
        <w:rPr>
          <w:rFonts w:ascii="Times New Roman" w:hAnsi="Times New Roman" w:cs="Times New Roman"/>
          <w:sz w:val="24"/>
        </w:rPr>
        <w:t>may</w:t>
      </w:r>
      <w:r w:rsidR="00B77F5D" w:rsidRPr="00946F8E">
        <w:rPr>
          <w:rFonts w:ascii="Times New Roman" w:hAnsi="Times New Roman" w:cs="Times New Roman"/>
          <w:sz w:val="24"/>
        </w:rPr>
        <w:t xml:space="preserve"> apply for the program. </w:t>
      </w:r>
    </w:p>
    <w:p w14:paraId="4E083E41" w14:textId="77777777" w:rsidR="00226C46" w:rsidRPr="00946F8E" w:rsidRDefault="00226C46" w:rsidP="004926C8">
      <w:pPr>
        <w:tabs>
          <w:tab w:val="left" w:pos="1701"/>
          <w:tab w:val="right" w:pos="9072"/>
        </w:tabs>
        <w:rPr>
          <w:rFonts w:ascii="Times New Roman" w:hAnsi="Times New Roman" w:cs="Times New Roman"/>
          <w:sz w:val="24"/>
        </w:rPr>
      </w:pPr>
    </w:p>
    <w:p w14:paraId="2D49240C" w14:textId="77777777" w:rsidR="00226C46" w:rsidRPr="00946F8E" w:rsidRDefault="00226C46" w:rsidP="004926C8">
      <w:pPr>
        <w:tabs>
          <w:tab w:val="left" w:pos="1701"/>
          <w:tab w:val="right" w:pos="9072"/>
        </w:tabs>
        <w:rPr>
          <w:rFonts w:ascii="Times New Roman" w:hAnsi="Times New Roman" w:cs="Times New Roman"/>
          <w:sz w:val="24"/>
        </w:rPr>
      </w:pPr>
      <w:r w:rsidRPr="00946F8E">
        <w:rPr>
          <w:rFonts w:ascii="Times New Roman" w:hAnsi="Times New Roman" w:cs="Times New Roman"/>
          <w:sz w:val="24"/>
        </w:rPr>
        <w:t>The Rule</w:t>
      </w:r>
      <w:r w:rsidR="006056B1" w:rsidRPr="00946F8E">
        <w:rPr>
          <w:rFonts w:ascii="Times New Roman" w:hAnsi="Times New Roman" w:cs="Times New Roman"/>
          <w:sz w:val="24"/>
        </w:rPr>
        <w:t>s</w:t>
      </w:r>
      <w:r w:rsidRPr="00946F8E">
        <w:rPr>
          <w:rFonts w:ascii="Times New Roman" w:hAnsi="Times New Roman" w:cs="Times New Roman"/>
          <w:sz w:val="24"/>
        </w:rPr>
        <w:t xml:space="preserve"> </w:t>
      </w:r>
      <w:r w:rsidR="008A564A" w:rsidRPr="00946F8E">
        <w:rPr>
          <w:rFonts w:ascii="Times New Roman" w:hAnsi="Times New Roman" w:cs="Times New Roman"/>
          <w:sz w:val="24"/>
        </w:rPr>
        <w:t>do not operate retrospectively.</w:t>
      </w:r>
      <w:r w:rsidRPr="00946F8E">
        <w:rPr>
          <w:rFonts w:ascii="Times New Roman" w:hAnsi="Times New Roman" w:cs="Times New Roman"/>
          <w:sz w:val="24"/>
        </w:rPr>
        <w:t xml:space="preserve"> </w:t>
      </w:r>
    </w:p>
    <w:p w14:paraId="581FA4DE" w14:textId="77777777" w:rsidR="007672DA" w:rsidRDefault="007672DA" w:rsidP="004926C8">
      <w:pPr>
        <w:tabs>
          <w:tab w:val="left" w:pos="1701"/>
          <w:tab w:val="right" w:pos="9072"/>
        </w:tabs>
        <w:rPr>
          <w:rFonts w:ascii="Times New Roman" w:hAnsi="Times New Roman" w:cs="Times New Roman"/>
          <w:b/>
          <w:sz w:val="24"/>
        </w:rPr>
      </w:pPr>
    </w:p>
    <w:p w14:paraId="69F8B16E" w14:textId="77777777" w:rsidR="00226C46" w:rsidRPr="00946F8E" w:rsidRDefault="00226C46" w:rsidP="004926C8">
      <w:pPr>
        <w:tabs>
          <w:tab w:val="left" w:pos="1701"/>
          <w:tab w:val="right" w:pos="9072"/>
        </w:tabs>
        <w:rPr>
          <w:rFonts w:ascii="Times New Roman" w:hAnsi="Times New Roman" w:cs="Times New Roman"/>
          <w:b/>
          <w:sz w:val="24"/>
        </w:rPr>
      </w:pPr>
      <w:r w:rsidRPr="00946F8E">
        <w:rPr>
          <w:rFonts w:ascii="Times New Roman" w:hAnsi="Times New Roman" w:cs="Times New Roman"/>
          <w:b/>
          <w:sz w:val="24"/>
        </w:rPr>
        <w:t>Consultation</w:t>
      </w:r>
    </w:p>
    <w:p w14:paraId="04BBB756" w14:textId="77777777" w:rsidR="00226C46" w:rsidRPr="00946F8E" w:rsidRDefault="00226C46" w:rsidP="004926C8">
      <w:pPr>
        <w:rPr>
          <w:rFonts w:ascii="Times New Roman" w:hAnsi="Times New Roman" w:cs="Times New Roman"/>
          <w:b/>
          <w:sz w:val="24"/>
        </w:rPr>
      </w:pPr>
    </w:p>
    <w:p w14:paraId="08C32041" w14:textId="297A96F0" w:rsidR="000E4278" w:rsidRPr="000E4278" w:rsidRDefault="000E4278" w:rsidP="000E4278">
      <w:pPr>
        <w:rPr>
          <w:rFonts w:ascii="Times New Roman" w:hAnsi="Times New Roman"/>
          <w:sz w:val="24"/>
        </w:rPr>
      </w:pPr>
      <w:r w:rsidRPr="000E4278">
        <w:rPr>
          <w:rFonts w:ascii="Times New Roman" w:hAnsi="Times New Roman"/>
          <w:sz w:val="24"/>
        </w:rPr>
        <w:t>The department consulted with the Office of Best Practice Regulation (OBPR). OBPR considered that this proposal will have no more than a minor impact on businesses, individuals and/or community organisations (</w:t>
      </w:r>
      <w:r w:rsidRPr="00C4281F">
        <w:rPr>
          <w:rFonts w:ascii="Times New Roman" w:hAnsi="Times New Roman"/>
          <w:b/>
          <w:sz w:val="24"/>
        </w:rPr>
        <w:t>OBPR ID 24036</w:t>
      </w:r>
      <w:r w:rsidRPr="000E4278">
        <w:rPr>
          <w:rFonts w:ascii="Times New Roman" w:hAnsi="Times New Roman"/>
          <w:sz w:val="24"/>
        </w:rPr>
        <w:t xml:space="preserve">). Therefore, no Regulation Impact Statement was required.   </w:t>
      </w:r>
    </w:p>
    <w:p w14:paraId="14FF94B5" w14:textId="77777777" w:rsidR="00C25102" w:rsidRDefault="00C25102" w:rsidP="004926C8">
      <w:pPr>
        <w:rPr>
          <w:rFonts w:ascii="Times New Roman" w:hAnsi="Times New Roman"/>
          <w:sz w:val="24"/>
        </w:rPr>
      </w:pPr>
    </w:p>
    <w:p w14:paraId="13A90EE0" w14:textId="46012ACA" w:rsidR="00226C46" w:rsidRPr="00946F8E" w:rsidRDefault="00226C46" w:rsidP="004926C8">
      <w:pPr>
        <w:rPr>
          <w:rFonts w:ascii="Times New Roman" w:hAnsi="Times New Roman"/>
          <w:sz w:val="24"/>
        </w:rPr>
      </w:pPr>
      <w:r w:rsidRPr="00946F8E">
        <w:rPr>
          <w:rFonts w:ascii="Times New Roman" w:hAnsi="Times New Roman"/>
          <w:sz w:val="24"/>
        </w:rPr>
        <w:t xml:space="preserve">The Department of Human Services (DHS) and the Attorney-General’s Department were consulted during the drafting of the </w:t>
      </w:r>
      <w:r w:rsidR="00B77F5D" w:rsidRPr="00946F8E">
        <w:rPr>
          <w:rFonts w:ascii="Times New Roman" w:hAnsi="Times New Roman"/>
          <w:sz w:val="24"/>
        </w:rPr>
        <w:t>Rule</w:t>
      </w:r>
      <w:r w:rsidR="006056B1" w:rsidRPr="00946F8E">
        <w:rPr>
          <w:rFonts w:ascii="Times New Roman" w:hAnsi="Times New Roman"/>
          <w:sz w:val="24"/>
        </w:rPr>
        <w:t>s</w:t>
      </w:r>
      <w:r w:rsidRPr="00946F8E">
        <w:rPr>
          <w:rFonts w:ascii="Times New Roman" w:hAnsi="Times New Roman"/>
          <w:sz w:val="24"/>
        </w:rPr>
        <w:t xml:space="preserve">. </w:t>
      </w:r>
    </w:p>
    <w:p w14:paraId="2637DA51" w14:textId="77777777" w:rsidR="00C25102" w:rsidRDefault="00C25102" w:rsidP="004926C8">
      <w:pPr>
        <w:rPr>
          <w:rFonts w:ascii="Times New Roman" w:hAnsi="Times New Roman"/>
          <w:b/>
          <w:sz w:val="24"/>
        </w:rPr>
      </w:pPr>
    </w:p>
    <w:p w14:paraId="57AC6929" w14:textId="77777777" w:rsidR="00226C46" w:rsidRPr="00946F8E" w:rsidRDefault="00226C46" w:rsidP="004926C8">
      <w:pPr>
        <w:rPr>
          <w:rFonts w:ascii="Times New Roman" w:hAnsi="Times New Roman"/>
          <w:b/>
          <w:sz w:val="24"/>
        </w:rPr>
      </w:pPr>
      <w:r w:rsidRPr="00946F8E">
        <w:rPr>
          <w:rFonts w:ascii="Times New Roman" w:hAnsi="Times New Roman"/>
          <w:b/>
          <w:sz w:val="24"/>
        </w:rPr>
        <w:lastRenderedPageBreak/>
        <w:t>Statement of Compatibility with Human Rights</w:t>
      </w:r>
    </w:p>
    <w:p w14:paraId="0C4B362B" w14:textId="77777777" w:rsidR="00226C46" w:rsidRPr="00946F8E" w:rsidRDefault="00226C46" w:rsidP="004926C8">
      <w:pPr>
        <w:rPr>
          <w:rFonts w:ascii="Times New Roman" w:hAnsi="Times New Roman"/>
          <w:sz w:val="24"/>
        </w:rPr>
      </w:pPr>
    </w:p>
    <w:p w14:paraId="3C69D528" w14:textId="77777777" w:rsidR="00226C46" w:rsidRPr="00AC48D5" w:rsidRDefault="00226C46" w:rsidP="004926C8">
      <w:pPr>
        <w:rPr>
          <w:rStyle w:val="CommentReference"/>
        </w:rPr>
      </w:pPr>
      <w:r w:rsidRPr="00946F8E">
        <w:rPr>
          <w:rFonts w:ascii="Times New Roman" w:hAnsi="Times New Roman"/>
          <w:sz w:val="24"/>
        </w:rPr>
        <w:t xml:space="preserve">The </w:t>
      </w:r>
      <w:r w:rsidR="006056B1" w:rsidRPr="00946F8E">
        <w:rPr>
          <w:rFonts w:ascii="Times New Roman" w:hAnsi="Times New Roman"/>
          <w:sz w:val="24"/>
        </w:rPr>
        <w:t>Rules are</w:t>
      </w:r>
      <w:r w:rsidRPr="00946F8E">
        <w:rPr>
          <w:rFonts w:ascii="Times New Roman" w:hAnsi="Times New Roman"/>
          <w:sz w:val="24"/>
        </w:rPr>
        <w:t xml:space="preserve"> compatible with the human rights and freedoms recognised or declared under section 3 of the </w:t>
      </w:r>
      <w:r w:rsidRPr="00946F8E">
        <w:rPr>
          <w:rFonts w:ascii="Times New Roman" w:hAnsi="Times New Roman"/>
          <w:i/>
          <w:iCs/>
          <w:sz w:val="24"/>
        </w:rPr>
        <w:t>Human Rights (Parliamentary Scrutiny) Act 2011</w:t>
      </w:r>
      <w:r w:rsidRPr="00946F8E">
        <w:rPr>
          <w:rFonts w:ascii="Times New Roman" w:hAnsi="Times New Roman"/>
          <w:sz w:val="24"/>
        </w:rPr>
        <w:t xml:space="preserve">. A full statement of compatibility is set out in </w:t>
      </w:r>
      <w:r w:rsidRPr="00946F8E">
        <w:rPr>
          <w:rFonts w:ascii="Times New Roman" w:hAnsi="Times New Roman"/>
          <w:sz w:val="24"/>
          <w:u w:val="single"/>
        </w:rPr>
        <w:t>Attachment B</w:t>
      </w:r>
      <w:r w:rsidRPr="00946F8E">
        <w:rPr>
          <w:rFonts w:ascii="Times New Roman" w:hAnsi="Times New Roman"/>
          <w:sz w:val="24"/>
        </w:rPr>
        <w:t>.</w:t>
      </w:r>
      <w:r w:rsidRPr="00AC48D5">
        <w:rPr>
          <w:rFonts w:ascii="Times New Roman" w:hAnsi="Times New Roman"/>
          <w:sz w:val="24"/>
        </w:rPr>
        <w:t xml:space="preserve"> </w:t>
      </w:r>
      <w:r w:rsidRPr="00AC48D5">
        <w:rPr>
          <w:rStyle w:val="CommentReference"/>
        </w:rPr>
        <w:t> </w:t>
      </w:r>
    </w:p>
    <w:p w14:paraId="43232896" w14:textId="77777777" w:rsidR="002216C6" w:rsidRPr="008E620D" w:rsidRDefault="002216C6" w:rsidP="006C12D8">
      <w:pPr>
        <w:rPr>
          <w:rFonts w:ascii="Times New Roman" w:hAnsi="Times New Roman" w:cs="Times New Roman"/>
          <w:sz w:val="24"/>
          <w:highlight w:val="yellow"/>
        </w:rPr>
      </w:pPr>
    </w:p>
    <w:p w14:paraId="36D8E027" w14:textId="77777777" w:rsidR="002216C6" w:rsidRPr="008E620D" w:rsidRDefault="002216C6" w:rsidP="006C12D8">
      <w:pPr>
        <w:rPr>
          <w:rFonts w:ascii="Times New Roman" w:eastAsia="Times New Roman" w:hAnsi="Times New Roman" w:cs="Times New Roman"/>
          <w:b/>
          <w:iCs/>
          <w:sz w:val="24"/>
          <w:highlight w:val="yellow"/>
          <w:u w:val="single"/>
        </w:rPr>
      </w:pPr>
      <w:r w:rsidRPr="008E620D">
        <w:rPr>
          <w:b/>
          <w:iCs/>
          <w:highlight w:val="yellow"/>
          <w:u w:val="single"/>
        </w:rPr>
        <w:br w:type="page"/>
      </w:r>
    </w:p>
    <w:p w14:paraId="391C13F5" w14:textId="77777777" w:rsidR="0024544A" w:rsidRDefault="0024544A" w:rsidP="0024544A">
      <w:pPr>
        <w:pStyle w:val="Normal-em"/>
        <w:jc w:val="right"/>
        <w:rPr>
          <w:b/>
          <w:iCs/>
          <w:color w:val="auto"/>
          <w:szCs w:val="24"/>
          <w:u w:val="single"/>
        </w:rPr>
      </w:pPr>
      <w:r>
        <w:rPr>
          <w:b/>
          <w:iCs/>
          <w:color w:val="auto"/>
          <w:szCs w:val="24"/>
          <w:u w:val="single"/>
        </w:rPr>
        <w:lastRenderedPageBreak/>
        <w:t>ATTACHMENT A</w:t>
      </w:r>
    </w:p>
    <w:p w14:paraId="0536650A" w14:textId="77777777" w:rsidR="0024544A" w:rsidRPr="0024544A" w:rsidRDefault="0024544A" w:rsidP="0024544A">
      <w:pPr>
        <w:pStyle w:val="Normal-em"/>
        <w:jc w:val="right"/>
        <w:rPr>
          <w:b/>
          <w:iCs/>
          <w:color w:val="auto"/>
          <w:szCs w:val="24"/>
          <w:u w:val="single"/>
        </w:rPr>
      </w:pPr>
    </w:p>
    <w:p w14:paraId="12CEEB9B" w14:textId="77777777" w:rsidR="000F1B5A" w:rsidRPr="00946F8E" w:rsidRDefault="000F1B5A" w:rsidP="000F1B5A">
      <w:pPr>
        <w:pStyle w:val="Normal-em"/>
        <w:rPr>
          <w:b/>
          <w:iCs/>
          <w:color w:val="auto"/>
          <w:szCs w:val="24"/>
        </w:rPr>
      </w:pPr>
      <w:r w:rsidRPr="00946F8E">
        <w:rPr>
          <w:b/>
          <w:iCs/>
          <w:color w:val="auto"/>
          <w:szCs w:val="24"/>
        </w:rPr>
        <w:t xml:space="preserve">Details of the </w:t>
      </w:r>
      <w:r w:rsidRPr="00946F8E">
        <w:rPr>
          <w:b/>
          <w:i/>
          <w:iCs/>
          <w:color w:val="auto"/>
          <w:szCs w:val="24"/>
        </w:rPr>
        <w:t>Farm Household Support</w:t>
      </w:r>
      <w:r w:rsidR="00ED5E49" w:rsidRPr="00946F8E">
        <w:rPr>
          <w:b/>
          <w:i/>
          <w:iCs/>
          <w:color w:val="auto"/>
          <w:szCs w:val="24"/>
        </w:rPr>
        <w:t xml:space="preserve"> (Farm Assets Value Limit) Minister’s</w:t>
      </w:r>
      <w:r w:rsidR="00B77F5D" w:rsidRPr="00946F8E">
        <w:rPr>
          <w:b/>
          <w:i/>
          <w:iCs/>
          <w:color w:val="auto"/>
          <w:szCs w:val="24"/>
        </w:rPr>
        <w:t xml:space="preserve"> Rule</w:t>
      </w:r>
      <w:r w:rsidR="005D6FBE">
        <w:rPr>
          <w:b/>
          <w:i/>
          <w:iCs/>
          <w:color w:val="auto"/>
          <w:szCs w:val="24"/>
        </w:rPr>
        <w:t>s</w:t>
      </w:r>
      <w:r w:rsidR="00B77F5D" w:rsidRPr="00946F8E">
        <w:rPr>
          <w:b/>
          <w:i/>
          <w:iCs/>
          <w:color w:val="auto"/>
          <w:szCs w:val="24"/>
        </w:rPr>
        <w:t xml:space="preserve"> 2018</w:t>
      </w:r>
    </w:p>
    <w:p w14:paraId="27314AEA" w14:textId="77777777" w:rsidR="000F1B5A" w:rsidRPr="00946F8E" w:rsidRDefault="000F1B5A" w:rsidP="000F1B5A">
      <w:pPr>
        <w:pStyle w:val="Normal-em"/>
        <w:rPr>
          <w:color w:val="auto"/>
          <w:szCs w:val="24"/>
        </w:rPr>
      </w:pPr>
    </w:p>
    <w:p w14:paraId="2913AFED" w14:textId="77777777" w:rsidR="000F1B5A" w:rsidRPr="00946F8E" w:rsidRDefault="000F1B5A" w:rsidP="000F1B5A">
      <w:pPr>
        <w:pStyle w:val="Normal-em"/>
        <w:ind w:left="1440" w:hanging="1440"/>
        <w:rPr>
          <w:i/>
          <w:color w:val="auto"/>
          <w:szCs w:val="24"/>
          <w:u w:val="single"/>
        </w:rPr>
      </w:pPr>
      <w:r w:rsidRPr="00946F8E">
        <w:rPr>
          <w:color w:val="auto"/>
          <w:szCs w:val="24"/>
          <w:u w:val="single"/>
        </w:rPr>
        <w:t>Section 1 - Name</w:t>
      </w:r>
    </w:p>
    <w:p w14:paraId="7350E46C" w14:textId="77777777" w:rsidR="000F1B5A" w:rsidRPr="00946F8E" w:rsidRDefault="000F1B5A" w:rsidP="000F1B5A">
      <w:pPr>
        <w:pStyle w:val="Normal-em"/>
        <w:ind w:left="1440" w:hanging="1440"/>
        <w:rPr>
          <w:i/>
          <w:color w:val="auto"/>
          <w:szCs w:val="24"/>
        </w:rPr>
      </w:pPr>
    </w:p>
    <w:p w14:paraId="0157EE76" w14:textId="77777777" w:rsidR="000F1B5A" w:rsidRPr="00946F8E" w:rsidRDefault="000F1B5A" w:rsidP="000F1B5A">
      <w:pPr>
        <w:pStyle w:val="Normal-em"/>
        <w:rPr>
          <w:color w:val="auto"/>
          <w:szCs w:val="24"/>
        </w:rPr>
      </w:pPr>
      <w:r w:rsidRPr="00946F8E">
        <w:rPr>
          <w:color w:val="auto"/>
          <w:szCs w:val="24"/>
        </w:rPr>
        <w:t xml:space="preserve">This section provides that the name of the </w:t>
      </w:r>
      <w:r w:rsidR="006056B1" w:rsidRPr="00946F8E">
        <w:rPr>
          <w:color w:val="auto"/>
          <w:szCs w:val="24"/>
        </w:rPr>
        <w:t>Rules</w:t>
      </w:r>
      <w:r w:rsidRPr="00946F8E">
        <w:rPr>
          <w:color w:val="auto"/>
          <w:szCs w:val="24"/>
        </w:rPr>
        <w:t xml:space="preserve"> is the </w:t>
      </w:r>
      <w:r w:rsidRPr="00946F8E">
        <w:rPr>
          <w:i/>
          <w:color w:val="auto"/>
          <w:szCs w:val="24"/>
        </w:rPr>
        <w:t>Farm Household Support</w:t>
      </w:r>
      <w:r w:rsidR="006056B1" w:rsidRPr="00946F8E">
        <w:rPr>
          <w:i/>
          <w:color w:val="auto"/>
          <w:szCs w:val="24"/>
        </w:rPr>
        <w:t xml:space="preserve"> (Farm Assets Value Limit)</w:t>
      </w:r>
      <w:r w:rsidRPr="00946F8E">
        <w:rPr>
          <w:i/>
          <w:color w:val="auto"/>
          <w:szCs w:val="24"/>
        </w:rPr>
        <w:t xml:space="preserve"> Minister’s Rule</w:t>
      </w:r>
      <w:r w:rsidR="006056B1" w:rsidRPr="00946F8E">
        <w:rPr>
          <w:i/>
          <w:color w:val="auto"/>
          <w:szCs w:val="24"/>
        </w:rPr>
        <w:t>s</w:t>
      </w:r>
      <w:r w:rsidRPr="00946F8E">
        <w:rPr>
          <w:i/>
          <w:color w:val="auto"/>
          <w:szCs w:val="24"/>
        </w:rPr>
        <w:t xml:space="preserve"> 2018</w:t>
      </w:r>
      <w:r w:rsidRPr="00946F8E">
        <w:rPr>
          <w:color w:val="auto"/>
          <w:szCs w:val="24"/>
        </w:rPr>
        <w:t>.</w:t>
      </w:r>
    </w:p>
    <w:p w14:paraId="2563D5A6" w14:textId="77777777" w:rsidR="000F1B5A" w:rsidRPr="00946F8E" w:rsidRDefault="000F1B5A" w:rsidP="000F1B5A">
      <w:pPr>
        <w:pStyle w:val="Normal-em"/>
        <w:rPr>
          <w:color w:val="auto"/>
          <w:szCs w:val="24"/>
        </w:rPr>
      </w:pPr>
    </w:p>
    <w:p w14:paraId="0207FE4D" w14:textId="77777777" w:rsidR="000F1B5A" w:rsidRPr="00946F8E" w:rsidRDefault="000F1B5A" w:rsidP="000F1B5A">
      <w:pPr>
        <w:pStyle w:val="Normal-em"/>
        <w:rPr>
          <w:color w:val="auto"/>
          <w:szCs w:val="24"/>
        </w:rPr>
      </w:pPr>
      <w:r w:rsidRPr="00946F8E">
        <w:rPr>
          <w:color w:val="auto"/>
          <w:szCs w:val="24"/>
          <w:u w:val="single"/>
        </w:rPr>
        <w:t>Section 2 - Commencement</w:t>
      </w:r>
    </w:p>
    <w:p w14:paraId="07B38969" w14:textId="77777777" w:rsidR="000F1B5A" w:rsidRPr="00946F8E" w:rsidRDefault="000F1B5A" w:rsidP="000F1B5A">
      <w:pPr>
        <w:pStyle w:val="Normal-em"/>
        <w:rPr>
          <w:color w:val="auto"/>
          <w:szCs w:val="24"/>
        </w:rPr>
      </w:pPr>
    </w:p>
    <w:p w14:paraId="0DAB2A2C" w14:textId="77777777" w:rsidR="000F1B5A" w:rsidRPr="00946F8E" w:rsidRDefault="000F1B5A" w:rsidP="000F1B5A">
      <w:pPr>
        <w:pStyle w:val="Normal-em"/>
        <w:rPr>
          <w:color w:val="auto"/>
          <w:szCs w:val="24"/>
        </w:rPr>
      </w:pPr>
      <w:r w:rsidRPr="00946F8E">
        <w:rPr>
          <w:color w:val="auto"/>
          <w:szCs w:val="24"/>
        </w:rPr>
        <w:t xml:space="preserve">This section provides for the </w:t>
      </w:r>
      <w:r w:rsidR="006056B1" w:rsidRPr="00946F8E">
        <w:rPr>
          <w:color w:val="auto"/>
          <w:szCs w:val="24"/>
        </w:rPr>
        <w:t>Rules</w:t>
      </w:r>
      <w:r w:rsidRPr="00946F8E">
        <w:rPr>
          <w:color w:val="auto"/>
          <w:szCs w:val="24"/>
        </w:rPr>
        <w:t xml:space="preserve"> to commence on 1 </w:t>
      </w:r>
      <w:r w:rsidR="00ED5E49" w:rsidRPr="00946F8E">
        <w:rPr>
          <w:color w:val="auto"/>
          <w:szCs w:val="24"/>
        </w:rPr>
        <w:t>September</w:t>
      </w:r>
      <w:r w:rsidRPr="00946F8E">
        <w:rPr>
          <w:color w:val="auto"/>
          <w:szCs w:val="24"/>
        </w:rPr>
        <w:t xml:space="preserve"> 2018.</w:t>
      </w:r>
    </w:p>
    <w:p w14:paraId="7A7DA277" w14:textId="77777777" w:rsidR="000F1B5A" w:rsidRPr="00946F8E" w:rsidRDefault="000F1B5A" w:rsidP="000F1B5A">
      <w:pPr>
        <w:pStyle w:val="Normal-em"/>
        <w:rPr>
          <w:color w:val="auto"/>
          <w:szCs w:val="24"/>
        </w:rPr>
      </w:pPr>
    </w:p>
    <w:p w14:paraId="40CEA94A" w14:textId="77777777" w:rsidR="000F1B5A" w:rsidRPr="00946F8E" w:rsidRDefault="000F1B5A" w:rsidP="000F1B5A">
      <w:pPr>
        <w:pStyle w:val="Normal-em"/>
        <w:rPr>
          <w:color w:val="auto"/>
          <w:szCs w:val="24"/>
        </w:rPr>
      </w:pPr>
      <w:r w:rsidRPr="00946F8E">
        <w:rPr>
          <w:color w:val="auto"/>
          <w:szCs w:val="24"/>
          <w:u w:val="single"/>
        </w:rPr>
        <w:t>Section 3 - Authority</w:t>
      </w:r>
    </w:p>
    <w:p w14:paraId="534151AD" w14:textId="77777777" w:rsidR="000F1B5A" w:rsidRPr="00946F8E" w:rsidRDefault="000F1B5A" w:rsidP="000F1B5A">
      <w:pPr>
        <w:pStyle w:val="Normal-em"/>
        <w:rPr>
          <w:color w:val="auto"/>
          <w:szCs w:val="24"/>
        </w:rPr>
      </w:pPr>
    </w:p>
    <w:p w14:paraId="0BE732DE" w14:textId="77777777" w:rsidR="000F1B5A" w:rsidRPr="00946F8E" w:rsidRDefault="000F1B5A" w:rsidP="000F1B5A">
      <w:pPr>
        <w:pStyle w:val="Normal-em"/>
        <w:rPr>
          <w:color w:val="auto"/>
          <w:szCs w:val="24"/>
        </w:rPr>
      </w:pPr>
      <w:r w:rsidRPr="00946F8E">
        <w:rPr>
          <w:color w:val="auto"/>
          <w:szCs w:val="24"/>
        </w:rPr>
        <w:t xml:space="preserve">This section provides that the </w:t>
      </w:r>
      <w:r w:rsidR="00881BE1" w:rsidRPr="00946F8E">
        <w:rPr>
          <w:color w:val="auto"/>
          <w:szCs w:val="24"/>
        </w:rPr>
        <w:t>Rules are</w:t>
      </w:r>
      <w:r w:rsidRPr="00946F8E">
        <w:rPr>
          <w:color w:val="auto"/>
          <w:szCs w:val="24"/>
        </w:rPr>
        <w:t xml:space="preserve"> made under the </w:t>
      </w:r>
      <w:r w:rsidRPr="00946F8E">
        <w:rPr>
          <w:i/>
          <w:color w:val="auto"/>
          <w:szCs w:val="24"/>
        </w:rPr>
        <w:t>Farm Household Support Act 2014</w:t>
      </w:r>
      <w:r w:rsidR="00BA74AB" w:rsidRPr="00946F8E">
        <w:rPr>
          <w:color w:val="auto"/>
          <w:szCs w:val="24"/>
        </w:rPr>
        <w:t>.</w:t>
      </w:r>
    </w:p>
    <w:p w14:paraId="3F971A08" w14:textId="77777777" w:rsidR="000F1B5A" w:rsidRPr="00946F8E" w:rsidRDefault="000F1B5A" w:rsidP="000F1B5A">
      <w:pPr>
        <w:pStyle w:val="Normal-em"/>
        <w:rPr>
          <w:color w:val="auto"/>
          <w:szCs w:val="24"/>
        </w:rPr>
      </w:pPr>
    </w:p>
    <w:p w14:paraId="22CE8544" w14:textId="77777777" w:rsidR="000F1B5A" w:rsidRPr="00937DF7" w:rsidRDefault="000F1B5A" w:rsidP="000F1B5A">
      <w:pPr>
        <w:pStyle w:val="Normal-em"/>
        <w:rPr>
          <w:color w:val="auto"/>
          <w:szCs w:val="24"/>
          <w:u w:val="single"/>
        </w:rPr>
      </w:pPr>
      <w:r w:rsidRPr="005D6FBE">
        <w:rPr>
          <w:color w:val="auto"/>
          <w:szCs w:val="24"/>
          <w:u w:val="single"/>
        </w:rPr>
        <w:t xml:space="preserve">Section 4 - </w:t>
      </w:r>
      <w:r w:rsidR="00ED5E49" w:rsidRPr="00937DF7">
        <w:rPr>
          <w:u w:val="single"/>
        </w:rPr>
        <w:t>Farm assets value limit—start of $5 million farm assets value limit</w:t>
      </w:r>
    </w:p>
    <w:p w14:paraId="67DB4BCE" w14:textId="77777777" w:rsidR="000F1B5A" w:rsidRPr="00946F8E" w:rsidRDefault="000F1B5A" w:rsidP="000F1B5A">
      <w:pPr>
        <w:pStyle w:val="Normal-em"/>
        <w:rPr>
          <w:color w:val="auto"/>
          <w:szCs w:val="24"/>
        </w:rPr>
      </w:pPr>
    </w:p>
    <w:p w14:paraId="62F81053" w14:textId="47BF1E7B" w:rsidR="003D31E5" w:rsidRDefault="000F1B5A" w:rsidP="00ED5E49">
      <w:pPr>
        <w:pStyle w:val="Normal-em"/>
        <w:rPr>
          <w:color w:val="auto"/>
          <w:szCs w:val="24"/>
        </w:rPr>
      </w:pPr>
      <w:r w:rsidRPr="00946F8E">
        <w:rPr>
          <w:color w:val="auto"/>
          <w:szCs w:val="24"/>
        </w:rPr>
        <w:t>This section provides that the</w:t>
      </w:r>
      <w:r w:rsidR="00ED5E49" w:rsidRPr="00946F8E">
        <w:rPr>
          <w:color w:val="auto"/>
          <w:szCs w:val="24"/>
        </w:rPr>
        <w:t xml:space="preserve"> da</w:t>
      </w:r>
      <w:r w:rsidR="00F85103">
        <w:rPr>
          <w:color w:val="auto"/>
          <w:szCs w:val="24"/>
        </w:rPr>
        <w:t>y</w:t>
      </w:r>
      <w:r w:rsidR="00ED5E49" w:rsidRPr="00946F8E">
        <w:rPr>
          <w:color w:val="auto"/>
          <w:szCs w:val="24"/>
        </w:rPr>
        <w:t xml:space="preserve"> the $5 million farm assets value li</w:t>
      </w:r>
      <w:r w:rsidR="00946F8E" w:rsidRPr="00946F8E">
        <w:rPr>
          <w:color w:val="auto"/>
          <w:szCs w:val="24"/>
        </w:rPr>
        <w:t xml:space="preserve">mit </w:t>
      </w:r>
      <w:r w:rsidR="00F85103">
        <w:rPr>
          <w:color w:val="auto"/>
          <w:szCs w:val="24"/>
        </w:rPr>
        <w:t xml:space="preserve">provided for in subsection 34(3) of the </w:t>
      </w:r>
      <w:r w:rsidR="00F85103" w:rsidRPr="009C110A">
        <w:rPr>
          <w:i/>
          <w:color w:val="auto"/>
          <w:szCs w:val="24"/>
        </w:rPr>
        <w:t>Farm Household Support Act 2014</w:t>
      </w:r>
      <w:r w:rsidR="00F85103">
        <w:rPr>
          <w:color w:val="auto"/>
          <w:szCs w:val="24"/>
        </w:rPr>
        <w:t xml:space="preserve"> starts </w:t>
      </w:r>
      <w:r w:rsidR="00946F8E" w:rsidRPr="00946F8E">
        <w:rPr>
          <w:color w:val="auto"/>
          <w:szCs w:val="24"/>
        </w:rPr>
        <w:t>is 1 </w:t>
      </w:r>
      <w:r w:rsidR="00ED5E49" w:rsidRPr="00946F8E">
        <w:rPr>
          <w:color w:val="auto"/>
          <w:szCs w:val="24"/>
        </w:rPr>
        <w:t>September 2018.</w:t>
      </w:r>
      <w:r w:rsidR="00A16C62">
        <w:rPr>
          <w:color w:val="auto"/>
          <w:szCs w:val="24"/>
        </w:rPr>
        <w:t xml:space="preserve"> </w:t>
      </w:r>
    </w:p>
    <w:p w14:paraId="61972EF8" w14:textId="77777777" w:rsidR="002216C6" w:rsidRPr="003D31E5" w:rsidRDefault="002216C6" w:rsidP="003D31E5">
      <w:pPr>
        <w:pStyle w:val="Normal-em"/>
        <w:rPr>
          <w:color w:val="auto"/>
          <w:szCs w:val="24"/>
        </w:rPr>
      </w:pPr>
      <w:r>
        <w:rPr>
          <w:rFonts w:ascii="Times" w:hAnsi="Times"/>
          <w:b/>
          <w:caps/>
          <w:u w:val="single"/>
        </w:rPr>
        <w:br w:type="page"/>
      </w:r>
    </w:p>
    <w:p w14:paraId="7FF1D2BB" w14:textId="77777777" w:rsidR="002216C6" w:rsidRPr="009A57ED" w:rsidRDefault="002216C6" w:rsidP="006C12D8">
      <w:pPr>
        <w:rPr>
          <w:rFonts w:ascii="Times New Roman" w:hAnsi="Times New Roman" w:cs="Times New Roman"/>
          <w:vanish/>
          <w:sz w:val="24"/>
        </w:rPr>
      </w:pPr>
    </w:p>
    <w:p w14:paraId="7B2E4CB0" w14:textId="77777777" w:rsidR="005023A2" w:rsidRPr="00116E1D" w:rsidRDefault="005023A2" w:rsidP="00C45FF1">
      <w:pPr>
        <w:pStyle w:val="Normal-em"/>
        <w:jc w:val="right"/>
        <w:rPr>
          <w:rFonts w:ascii="Times" w:hAnsi="Times"/>
          <w:b/>
          <w:caps/>
          <w:u w:val="single"/>
        </w:rPr>
      </w:pPr>
      <w:r w:rsidRPr="00116E1D">
        <w:rPr>
          <w:rFonts w:ascii="Times" w:hAnsi="Times"/>
          <w:b/>
          <w:caps/>
          <w:u w:val="single"/>
        </w:rPr>
        <w:t>Attachment</w:t>
      </w:r>
      <w:r>
        <w:rPr>
          <w:rFonts w:ascii="Times" w:hAnsi="Times"/>
          <w:b/>
          <w:caps/>
          <w:u w:val="single"/>
        </w:rPr>
        <w:t xml:space="preserve"> B</w:t>
      </w:r>
    </w:p>
    <w:p w14:paraId="3A40E669" w14:textId="77777777" w:rsidR="005023A2" w:rsidRPr="009A57ED" w:rsidRDefault="005023A2" w:rsidP="00C45FF1">
      <w:pPr>
        <w:rPr>
          <w:rFonts w:ascii="Times New Roman" w:hAnsi="Times New Roman" w:cs="Times New Roman"/>
          <w:vanish/>
          <w:sz w:val="24"/>
        </w:rPr>
      </w:pPr>
    </w:p>
    <w:p w14:paraId="66D42854" w14:textId="77777777" w:rsidR="005023A2" w:rsidRDefault="005023A2" w:rsidP="00C45FF1">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741C04B7" w14:textId="77777777" w:rsidR="005023A2" w:rsidRPr="00DD1CC4" w:rsidRDefault="005023A2" w:rsidP="00C45FF1">
      <w:pPr>
        <w:jc w:val="center"/>
        <w:rPr>
          <w:rFonts w:ascii="Times New Roman" w:hAnsi="Times New Roman"/>
          <w:sz w:val="24"/>
        </w:rPr>
      </w:pPr>
    </w:p>
    <w:p w14:paraId="71EDD764" w14:textId="77777777" w:rsidR="005023A2" w:rsidRPr="00E4135E" w:rsidRDefault="005023A2" w:rsidP="00C45FF1">
      <w:pPr>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4C6CFB5B" w14:textId="77777777" w:rsidR="005023A2" w:rsidRPr="00E4135E" w:rsidRDefault="005023A2" w:rsidP="00C45FF1">
      <w:pPr>
        <w:jc w:val="center"/>
        <w:rPr>
          <w:rFonts w:ascii="Times New Roman" w:hAnsi="Times New Roman"/>
          <w:sz w:val="24"/>
        </w:rPr>
      </w:pPr>
    </w:p>
    <w:p w14:paraId="0BF3BEC8" w14:textId="77777777" w:rsidR="005023A2" w:rsidRDefault="005023A2" w:rsidP="00C45FF1">
      <w:pPr>
        <w:jc w:val="center"/>
        <w:rPr>
          <w:rFonts w:ascii="Times New Roman" w:hAnsi="Times New Roman"/>
          <w:b/>
          <w:i/>
          <w:sz w:val="24"/>
        </w:rPr>
      </w:pPr>
      <w:r w:rsidRPr="006F1753">
        <w:rPr>
          <w:rFonts w:ascii="Times New Roman" w:hAnsi="Times New Roman"/>
          <w:b/>
          <w:i/>
          <w:sz w:val="24"/>
        </w:rPr>
        <w:t>Farm Household Support</w:t>
      </w:r>
      <w:r>
        <w:rPr>
          <w:rFonts w:ascii="Times New Roman" w:hAnsi="Times New Roman"/>
          <w:b/>
          <w:i/>
          <w:sz w:val="24"/>
        </w:rPr>
        <w:t xml:space="preserve"> (Farm Assets Value Limit) Minister’s Rules 2018</w:t>
      </w:r>
    </w:p>
    <w:sdt>
      <w:sdtPr>
        <w:rPr>
          <w:rFonts w:ascii="Times New Roman" w:hAnsi="Times New Roman"/>
          <w:sz w:val="24"/>
        </w:rPr>
        <w:id w:val="1535233224"/>
        <w:lock w:val="contentLocked"/>
        <w:placeholder>
          <w:docPart w:val="ACFE19C82F784B4AA99CD2E2CB059054"/>
        </w:placeholder>
        <w:group/>
      </w:sdtPr>
      <w:sdtEndPr>
        <w:rPr>
          <w:b/>
        </w:rPr>
      </w:sdtEndPr>
      <w:sdtContent>
        <w:p w14:paraId="20EAC7A3" w14:textId="77777777" w:rsidR="005023A2" w:rsidRPr="00E4135E" w:rsidRDefault="005023A2" w:rsidP="00C45FF1">
          <w:pPr>
            <w:jc w:val="center"/>
            <w:rPr>
              <w:rFonts w:ascii="Times New Roman" w:hAnsi="Times New Roman"/>
              <w:sz w:val="24"/>
            </w:rPr>
          </w:pPr>
        </w:p>
        <w:p w14:paraId="69F98EE8" w14:textId="77777777" w:rsidR="005023A2" w:rsidRPr="00E4135E" w:rsidRDefault="005023A2" w:rsidP="00C45FF1">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25EC3A31" w14:textId="77777777" w:rsidR="005023A2" w:rsidRPr="00E4135E" w:rsidRDefault="005023A2" w:rsidP="00C45FF1">
          <w:pPr>
            <w:rPr>
              <w:rFonts w:ascii="Times New Roman" w:hAnsi="Times New Roman"/>
              <w:sz w:val="24"/>
            </w:rPr>
          </w:pPr>
        </w:p>
        <w:p w14:paraId="72813075" w14:textId="77777777" w:rsidR="005023A2" w:rsidRPr="00E4135E" w:rsidRDefault="005023A2" w:rsidP="00C45FF1">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612CDD5B" w14:textId="6D7063E5" w:rsidR="005023A2" w:rsidRPr="00B77F5D" w:rsidRDefault="005023A2" w:rsidP="00C45FF1">
      <w:pPr>
        <w:tabs>
          <w:tab w:val="right" w:pos="9072"/>
        </w:tabs>
        <w:rPr>
          <w:rFonts w:ascii="Times New Roman" w:hAnsi="Times New Roman" w:cs="Times New Roman"/>
          <w:snapToGrid w:val="0"/>
          <w:sz w:val="24"/>
        </w:rPr>
      </w:pPr>
      <w:r w:rsidRPr="00EC5612">
        <w:rPr>
          <w:rFonts w:ascii="Times New Roman" w:hAnsi="Times New Roman" w:cs="Times New Roman"/>
          <w:snapToGrid w:val="0"/>
          <w:sz w:val="24"/>
        </w:rPr>
        <w:t xml:space="preserve">The </w:t>
      </w:r>
      <w:r w:rsidRPr="00EC5612">
        <w:rPr>
          <w:rFonts w:ascii="Times New Roman" w:hAnsi="Times New Roman" w:cs="Times New Roman"/>
          <w:i/>
          <w:snapToGrid w:val="0"/>
          <w:sz w:val="24"/>
        </w:rPr>
        <w:t xml:space="preserve">Farm Household Support </w:t>
      </w:r>
      <w:r>
        <w:rPr>
          <w:rFonts w:ascii="Times New Roman" w:hAnsi="Times New Roman" w:cs="Times New Roman"/>
          <w:i/>
          <w:snapToGrid w:val="0"/>
          <w:sz w:val="24"/>
        </w:rPr>
        <w:t xml:space="preserve">(Farm Assets Value Limit) Minister’s Rules 2018 </w:t>
      </w:r>
      <w:r>
        <w:rPr>
          <w:rFonts w:ascii="Times New Roman" w:hAnsi="Times New Roman" w:cs="Times New Roman"/>
          <w:snapToGrid w:val="0"/>
          <w:sz w:val="24"/>
        </w:rPr>
        <w:t>(the Rules)</w:t>
      </w:r>
      <w:r>
        <w:rPr>
          <w:rFonts w:ascii="Times New Roman" w:hAnsi="Times New Roman" w:cs="Times New Roman"/>
          <w:i/>
          <w:snapToGrid w:val="0"/>
          <w:sz w:val="24"/>
        </w:rPr>
        <w:t xml:space="preserve"> </w:t>
      </w:r>
      <w:r>
        <w:rPr>
          <w:rFonts w:ascii="Times New Roman" w:hAnsi="Times New Roman" w:cs="Times New Roman"/>
          <w:snapToGrid w:val="0"/>
          <w:sz w:val="24"/>
        </w:rPr>
        <w:t>prescri</w:t>
      </w:r>
      <w:r w:rsidRPr="00B77F5D">
        <w:rPr>
          <w:rFonts w:ascii="Times New Roman" w:hAnsi="Times New Roman" w:cs="Times New Roman"/>
          <w:snapToGrid w:val="0"/>
          <w:sz w:val="24"/>
        </w:rPr>
        <w:t xml:space="preserve">bes 1 September </w:t>
      </w:r>
      <w:r w:rsidR="00366153">
        <w:rPr>
          <w:rFonts w:ascii="Times New Roman" w:hAnsi="Times New Roman" w:cs="Times New Roman"/>
          <w:snapToGrid w:val="0"/>
          <w:sz w:val="24"/>
        </w:rPr>
        <w:t>2018 as the date from which the</w:t>
      </w:r>
      <w:r w:rsidRPr="00B77F5D">
        <w:rPr>
          <w:rFonts w:ascii="Times New Roman" w:hAnsi="Times New Roman" w:cs="Times New Roman"/>
          <w:snapToGrid w:val="0"/>
          <w:sz w:val="24"/>
        </w:rPr>
        <w:t xml:space="preserve"> </w:t>
      </w:r>
      <w:r w:rsidRPr="00B77F5D">
        <w:rPr>
          <w:rFonts w:ascii="Times New Roman" w:hAnsi="Times New Roman" w:cs="Times New Roman"/>
          <w:snapToGrid w:val="0"/>
          <w:sz w:val="24"/>
        </w:rPr>
        <w:lastRenderedPageBreak/>
        <w:t xml:space="preserve">farm assets value limit stated in the </w:t>
      </w:r>
      <w:r w:rsidRPr="00B77F5D">
        <w:rPr>
          <w:rFonts w:ascii="Times New Roman" w:hAnsi="Times New Roman" w:cs="Times New Roman"/>
          <w:i/>
          <w:snapToGrid w:val="0"/>
          <w:sz w:val="24"/>
        </w:rPr>
        <w:t>Farm Household Support Act 2014</w:t>
      </w:r>
      <w:r w:rsidRPr="00B77F5D">
        <w:rPr>
          <w:rFonts w:ascii="Times New Roman" w:hAnsi="Times New Roman" w:cs="Times New Roman"/>
          <w:snapToGrid w:val="0"/>
          <w:sz w:val="24"/>
        </w:rPr>
        <w:t xml:space="preserve"> </w:t>
      </w:r>
      <w:r w:rsidR="00C618D0">
        <w:rPr>
          <w:rFonts w:ascii="Times New Roman" w:hAnsi="Times New Roman" w:cs="Times New Roman"/>
          <w:snapToGrid w:val="0"/>
          <w:sz w:val="24"/>
        </w:rPr>
        <w:t xml:space="preserve">(the Act) </w:t>
      </w:r>
      <w:r w:rsidRPr="00B77F5D">
        <w:rPr>
          <w:rFonts w:ascii="Times New Roman" w:hAnsi="Times New Roman" w:cs="Times New Roman"/>
          <w:snapToGrid w:val="0"/>
          <w:sz w:val="24"/>
        </w:rPr>
        <w:t>temporarily increases to $5 million.</w:t>
      </w:r>
    </w:p>
    <w:p w14:paraId="1134D8C8" w14:textId="77777777" w:rsidR="005023A2" w:rsidRPr="00B77F5D" w:rsidRDefault="005023A2" w:rsidP="00C45FF1">
      <w:pPr>
        <w:tabs>
          <w:tab w:val="right" w:pos="9072"/>
        </w:tabs>
        <w:rPr>
          <w:rFonts w:ascii="Times New Roman" w:hAnsi="Times New Roman" w:cs="Times New Roman"/>
          <w:snapToGrid w:val="0"/>
          <w:sz w:val="24"/>
        </w:rPr>
      </w:pPr>
    </w:p>
    <w:p w14:paraId="336D39A3" w14:textId="77777777" w:rsidR="005023A2" w:rsidRPr="00973CC3" w:rsidRDefault="005023A2" w:rsidP="00C45FF1">
      <w:pPr>
        <w:tabs>
          <w:tab w:val="right" w:pos="9072"/>
        </w:tabs>
        <w:rPr>
          <w:rFonts w:ascii="Times New Roman" w:hAnsi="Times New Roman" w:cs="Times New Roman"/>
          <w:snapToGrid w:val="0"/>
          <w:sz w:val="24"/>
        </w:rPr>
      </w:pPr>
      <w:r w:rsidRPr="00973CC3">
        <w:rPr>
          <w:rFonts w:ascii="Times New Roman" w:hAnsi="Times New Roman" w:cs="Times New Roman"/>
          <w:snapToGrid w:val="0"/>
          <w:sz w:val="24"/>
        </w:rPr>
        <w:t>The Rule</w:t>
      </w:r>
      <w:r>
        <w:rPr>
          <w:rFonts w:ascii="Times New Roman" w:hAnsi="Times New Roman" w:cs="Times New Roman"/>
          <w:snapToGrid w:val="0"/>
          <w:sz w:val="24"/>
        </w:rPr>
        <w:t>s</w:t>
      </w:r>
      <w:r w:rsidRPr="00973CC3">
        <w:rPr>
          <w:rFonts w:ascii="Times New Roman" w:hAnsi="Times New Roman" w:cs="Times New Roman"/>
          <w:snapToGrid w:val="0"/>
          <w:sz w:val="24"/>
        </w:rPr>
        <w:t xml:space="preserve"> commence on 1 September 2018.</w:t>
      </w:r>
    </w:p>
    <w:p w14:paraId="0048F8E9" w14:textId="77777777" w:rsidR="005023A2" w:rsidRPr="00973CC3" w:rsidRDefault="005023A2" w:rsidP="00C45FF1">
      <w:pPr>
        <w:tabs>
          <w:tab w:val="left" w:pos="1701"/>
          <w:tab w:val="right" w:pos="9072"/>
        </w:tabs>
        <w:rPr>
          <w:rFonts w:ascii="Times New Roman" w:hAnsi="Times New Roman" w:cs="Times New Roman"/>
          <w:snapToGrid w:val="0"/>
          <w:sz w:val="24"/>
        </w:rPr>
      </w:pPr>
      <w:r w:rsidRPr="00973CC3">
        <w:rPr>
          <w:rFonts w:ascii="Times New Roman" w:hAnsi="Times New Roman" w:cs="Times New Roman"/>
          <w:snapToGrid w:val="0"/>
          <w:sz w:val="24"/>
        </w:rPr>
        <w:t xml:space="preserve"> </w:t>
      </w:r>
    </w:p>
    <w:p w14:paraId="0A81BC31" w14:textId="1154C33E" w:rsidR="005023A2" w:rsidRPr="00973CC3" w:rsidRDefault="005023A2" w:rsidP="00C45FF1">
      <w:pPr>
        <w:tabs>
          <w:tab w:val="left" w:pos="1701"/>
          <w:tab w:val="right" w:pos="9072"/>
        </w:tabs>
        <w:rPr>
          <w:rFonts w:ascii="Times New Roman" w:hAnsi="Times New Roman" w:cs="Times New Roman"/>
          <w:sz w:val="24"/>
        </w:rPr>
      </w:pPr>
      <w:r w:rsidRPr="00973CC3">
        <w:rPr>
          <w:rFonts w:ascii="Times New Roman" w:hAnsi="Times New Roman" w:cs="Times New Roman"/>
          <w:sz w:val="24"/>
        </w:rPr>
        <w:t>The Rule</w:t>
      </w:r>
      <w:r>
        <w:rPr>
          <w:rFonts w:ascii="Times New Roman" w:hAnsi="Times New Roman" w:cs="Times New Roman"/>
          <w:sz w:val="24"/>
        </w:rPr>
        <w:t>s operate</w:t>
      </w:r>
      <w:r w:rsidRPr="00973CC3">
        <w:rPr>
          <w:rFonts w:ascii="Times New Roman" w:hAnsi="Times New Roman" w:cs="Times New Roman"/>
          <w:sz w:val="24"/>
        </w:rPr>
        <w:t xml:space="preserve"> beneficially as </w:t>
      </w:r>
      <w:r>
        <w:rPr>
          <w:rFonts w:ascii="Times New Roman" w:hAnsi="Times New Roman" w:cs="Times New Roman"/>
          <w:sz w:val="24"/>
        </w:rPr>
        <w:t>they</w:t>
      </w:r>
      <w:r w:rsidRPr="00973CC3">
        <w:rPr>
          <w:rFonts w:ascii="Times New Roman" w:hAnsi="Times New Roman" w:cs="Times New Roman"/>
          <w:sz w:val="24"/>
        </w:rPr>
        <w:t xml:space="preserve"> prescribe the date from which the farm assets value limit is temporarily increased to $5 million. From 1 September 2018 to 30 June 2019, Farm Household Allowance </w:t>
      </w:r>
      <w:r>
        <w:rPr>
          <w:rFonts w:ascii="Times New Roman" w:hAnsi="Times New Roman" w:cs="Times New Roman"/>
          <w:sz w:val="24"/>
        </w:rPr>
        <w:t xml:space="preserve">(FHA) </w:t>
      </w:r>
      <w:r w:rsidRPr="00973CC3">
        <w:rPr>
          <w:rFonts w:ascii="Times New Roman" w:hAnsi="Times New Roman" w:cs="Times New Roman"/>
          <w:sz w:val="24"/>
        </w:rPr>
        <w:t xml:space="preserve">applicants with farm assets up to $5 million will be able to apply for the program. </w:t>
      </w:r>
    </w:p>
    <w:p w14:paraId="2E1D6A76" w14:textId="77777777" w:rsidR="005023A2" w:rsidRPr="00973CC3" w:rsidRDefault="005023A2" w:rsidP="00C45FF1">
      <w:pPr>
        <w:pStyle w:val="STOCsubheading"/>
      </w:pPr>
      <w:r w:rsidRPr="00973CC3">
        <w:t>Human rights implications</w:t>
      </w:r>
    </w:p>
    <w:p w14:paraId="3989FDBC" w14:textId="77777777" w:rsidR="005023A2" w:rsidRPr="00973CC3" w:rsidRDefault="005023A2" w:rsidP="00C45FF1">
      <w:pPr>
        <w:pStyle w:val="Bulletlistleadinsentence"/>
      </w:pPr>
    </w:p>
    <w:p w14:paraId="7DD7EDD2" w14:textId="77777777" w:rsidR="005023A2" w:rsidRPr="00973CC3" w:rsidRDefault="005023A2" w:rsidP="00C45FF1">
      <w:pPr>
        <w:pStyle w:val="Bulletlistleadinsentence"/>
      </w:pPr>
      <w:r w:rsidRPr="00973CC3">
        <w:t>The Rule</w:t>
      </w:r>
      <w:r>
        <w:t>s engage, or have</w:t>
      </w:r>
      <w:r w:rsidRPr="00973CC3">
        <w:t xml:space="preserve"> the potential to engage, the following rights:</w:t>
      </w:r>
    </w:p>
    <w:p w14:paraId="5FCB959C" w14:textId="77777777" w:rsidR="005023A2" w:rsidRPr="00973CC3" w:rsidRDefault="005023A2" w:rsidP="00C45FF1">
      <w:pPr>
        <w:pStyle w:val="Bulletlistleadinsentence"/>
      </w:pPr>
    </w:p>
    <w:p w14:paraId="2037797C" w14:textId="77777777" w:rsidR="005023A2" w:rsidRPr="00973CC3" w:rsidRDefault="005023A2" w:rsidP="00C45FF1">
      <w:pPr>
        <w:pStyle w:val="Finalbulletpoint"/>
        <w:numPr>
          <w:ilvl w:val="0"/>
          <w:numId w:val="24"/>
        </w:numPr>
        <w:ind w:left="567" w:hanging="567"/>
      </w:pPr>
      <w:r w:rsidRPr="00973CC3">
        <w:t>Article 6 of the International Covenant on Economic, Social and Cultural Rights (the ICESCR) – right to work and rights in work.</w:t>
      </w:r>
    </w:p>
    <w:p w14:paraId="0B3C4E89" w14:textId="77777777" w:rsidR="005023A2" w:rsidRPr="00973CC3" w:rsidRDefault="005023A2" w:rsidP="00C45FF1">
      <w:pPr>
        <w:pStyle w:val="Finalbulletpoint"/>
        <w:numPr>
          <w:ilvl w:val="0"/>
          <w:numId w:val="24"/>
        </w:numPr>
        <w:ind w:left="567" w:hanging="567"/>
      </w:pPr>
      <w:r w:rsidRPr="00973CC3">
        <w:t>Article 9 of the ICESCR – right to social security</w:t>
      </w:r>
    </w:p>
    <w:p w14:paraId="239D91FF" w14:textId="77777777" w:rsidR="005023A2" w:rsidRPr="00973CC3" w:rsidRDefault="005023A2" w:rsidP="00C45FF1">
      <w:pPr>
        <w:pStyle w:val="Finalbulletpoint"/>
        <w:numPr>
          <w:ilvl w:val="0"/>
          <w:numId w:val="24"/>
        </w:numPr>
        <w:ind w:left="567" w:hanging="567"/>
      </w:pPr>
      <w:r w:rsidRPr="00973CC3">
        <w:lastRenderedPageBreak/>
        <w:t>Article 11(1) of the ICESCR – right to an adequate standard of living, including food, water and housing</w:t>
      </w:r>
    </w:p>
    <w:p w14:paraId="6EF6AE43" w14:textId="77777777" w:rsidR="005023A2" w:rsidRPr="00973CC3" w:rsidRDefault="005023A2" w:rsidP="00C45FF1">
      <w:pPr>
        <w:pStyle w:val="Finalbulletpoint"/>
        <w:numPr>
          <w:ilvl w:val="0"/>
          <w:numId w:val="24"/>
        </w:numPr>
        <w:ind w:left="567" w:hanging="567"/>
      </w:pPr>
      <w:r w:rsidRPr="00973CC3">
        <w:t>Article 12(1) of the ICESCR – right to health</w:t>
      </w:r>
    </w:p>
    <w:p w14:paraId="08883D40" w14:textId="77777777" w:rsidR="005023A2" w:rsidRPr="00973CC3" w:rsidRDefault="005023A2" w:rsidP="00C45FF1">
      <w:pPr>
        <w:pStyle w:val="RightinSTOC"/>
      </w:pPr>
      <w:r w:rsidRPr="00973CC3">
        <w:t>Right to work</w:t>
      </w:r>
    </w:p>
    <w:p w14:paraId="6DA26BEE" w14:textId="4328F196" w:rsidR="005023A2" w:rsidRPr="00973CC3" w:rsidRDefault="005023A2" w:rsidP="00C45FF1">
      <w:pPr>
        <w:pStyle w:val="BodyText1"/>
      </w:pPr>
      <w:r w:rsidRPr="00973CC3">
        <w:t xml:space="preserve">Article 6 of the ICESCR protects the right to work. Article 6(2) provides that, to achieve the full realisation of this right, States should take steps to include </w:t>
      </w:r>
      <w:r w:rsidR="00366153">
        <w:t>‘</w:t>
      </w:r>
      <w:r w:rsidRPr="00973CC3">
        <w:t>technical and vocational guidance and training programmes, policies and techniques to achieve steady economic, social and cultural development and full and productive employment under conditions safeguarding fundamental political and economic freedoms to the individual</w:t>
      </w:r>
      <w:r w:rsidR="00366153">
        <w:t>’</w:t>
      </w:r>
      <w:r w:rsidRPr="00973CC3">
        <w:t xml:space="preserve">. </w:t>
      </w:r>
    </w:p>
    <w:p w14:paraId="0B1385B2" w14:textId="7BD2E195" w:rsidR="005023A2" w:rsidRPr="00973CC3" w:rsidRDefault="005023A2" w:rsidP="00C45FF1">
      <w:pPr>
        <w:pStyle w:val="BodyText1"/>
      </w:pPr>
      <w:r w:rsidRPr="00973CC3">
        <w:t>The Rule</w:t>
      </w:r>
      <w:r>
        <w:t>s assist</w:t>
      </w:r>
      <w:r w:rsidRPr="00973CC3">
        <w:t xml:space="preserve"> in making FHA more accessible to farmers and their partners with higher values of farm assets</w:t>
      </w:r>
      <w:r w:rsidR="00427917">
        <w:t>,</w:t>
      </w:r>
      <w:r w:rsidRPr="00973CC3">
        <w:t xml:space="preserve"> but who still need support</w:t>
      </w:r>
      <w:r>
        <w:t xml:space="preserve"> due to the ongoing unfavourable climatic conditions</w:t>
      </w:r>
      <w:r w:rsidRPr="00973CC3">
        <w:t>. While receiving payment, FHA recipients are able to access an Activity Supplement to undertake agreed training and assessment activities as prescribed in their Financial Improvement Agreement.</w:t>
      </w:r>
      <w:r w:rsidR="00C25102">
        <w:t xml:space="preserve"> T</w:t>
      </w:r>
      <w:r w:rsidR="00C25102" w:rsidRPr="00C25102">
        <w:t xml:space="preserve">he Rules trigger the operation of the provisions </w:t>
      </w:r>
      <w:r w:rsidR="00C25102" w:rsidRPr="00C25102">
        <w:lastRenderedPageBreak/>
        <w:t xml:space="preserve">in the </w:t>
      </w:r>
      <w:r w:rsidR="00C618D0">
        <w:t>Act</w:t>
      </w:r>
      <w:r w:rsidR="00C25102">
        <w:t xml:space="preserve"> </w:t>
      </w:r>
      <w:r w:rsidR="00C25102" w:rsidRPr="00C25102">
        <w:t>that give a greater number of people access to benefits.</w:t>
      </w:r>
      <w:r w:rsidRPr="00973CC3">
        <w:t xml:space="preserve"> Indirectly, engaging in technical and vocational training support</w:t>
      </w:r>
      <w:r w:rsidR="00F85103">
        <w:t>s</w:t>
      </w:r>
      <w:r w:rsidRPr="00973CC3">
        <w:t xml:space="preserve"> these recipients to increase their access to work</w:t>
      </w:r>
      <w:r w:rsidR="00F85103">
        <w:t>. The Rules</w:t>
      </w:r>
      <w:r>
        <w:t xml:space="preserve"> therefore promote the right to work</w:t>
      </w:r>
      <w:r w:rsidRPr="00973CC3">
        <w:t>.</w:t>
      </w:r>
    </w:p>
    <w:p w14:paraId="06FCB770" w14:textId="77777777" w:rsidR="005023A2" w:rsidRPr="00973CC3" w:rsidRDefault="005023A2" w:rsidP="00C45FF1">
      <w:pPr>
        <w:pStyle w:val="BodyText1"/>
        <w:rPr>
          <w:u w:val="single"/>
        </w:rPr>
      </w:pPr>
      <w:r w:rsidRPr="00973CC3">
        <w:rPr>
          <w:u w:val="single"/>
        </w:rPr>
        <w:t>Summary</w:t>
      </w:r>
    </w:p>
    <w:p w14:paraId="2815F8E3" w14:textId="77777777" w:rsidR="005023A2" w:rsidRPr="00973CC3" w:rsidRDefault="005023A2" w:rsidP="00C45FF1">
      <w:pPr>
        <w:pStyle w:val="BodyText1"/>
      </w:pPr>
      <w:r w:rsidRPr="00973CC3">
        <w:t>The Rule</w:t>
      </w:r>
      <w:r>
        <w:t>s engage</w:t>
      </w:r>
      <w:r w:rsidRPr="00973CC3">
        <w:t xml:space="preserve"> and promote the right to work enshrined in Article 6 of the ICESCR.</w:t>
      </w:r>
    </w:p>
    <w:p w14:paraId="6DF9F4F4" w14:textId="77777777" w:rsidR="005023A2" w:rsidRPr="00973CC3" w:rsidRDefault="005023A2" w:rsidP="00C45FF1">
      <w:pPr>
        <w:pStyle w:val="RightinSTOC"/>
      </w:pPr>
      <w:r w:rsidRPr="00973CC3">
        <w:t>Right to Social Security</w:t>
      </w:r>
    </w:p>
    <w:p w14:paraId="29372256" w14:textId="5FC20DE9" w:rsidR="005023A2" w:rsidRPr="00973CC3" w:rsidRDefault="005023A2" w:rsidP="00C45FF1">
      <w:pPr>
        <w:pStyle w:val="BodyText1"/>
      </w:pPr>
      <w:r w:rsidRPr="00973CC3">
        <w:t xml:space="preserve">Article 9 of the ICESCR recognises the right to social security. The United Nations Committee on Economic, Social and Cultural Rights (CESCR) has stated that the term </w:t>
      </w:r>
      <w:r w:rsidR="00ED3108">
        <w:t>‘</w:t>
      </w:r>
      <w:r w:rsidRPr="00973CC3">
        <w:t>social security</w:t>
      </w:r>
      <w:r w:rsidR="00ED3108">
        <w:t>’</w:t>
      </w:r>
      <w:r w:rsidRPr="00973CC3">
        <w:t xml:space="preserve"> in article 9 encompasses the right to access and maintain benefits, whether in cash or in kind to secure protection from (a) lack of work related income; (b) unaffordable healthcare; or (c) insufficient family support.</w:t>
      </w:r>
      <w:r w:rsidRPr="00973CC3">
        <w:rPr>
          <w:rStyle w:val="FootnoteReference"/>
        </w:rPr>
        <w:footnoteReference w:id="1"/>
      </w:r>
      <w:r w:rsidRPr="00973CC3">
        <w:t xml:space="preserve"> </w:t>
      </w:r>
    </w:p>
    <w:p w14:paraId="432D1416" w14:textId="34F75657" w:rsidR="005023A2" w:rsidRPr="00973CC3" w:rsidRDefault="005023A2" w:rsidP="00C45FF1">
      <w:pPr>
        <w:pStyle w:val="BodyText1"/>
      </w:pPr>
      <w:r w:rsidRPr="00973CC3">
        <w:lastRenderedPageBreak/>
        <w:t>The Rule</w:t>
      </w:r>
      <w:r>
        <w:t>s</w:t>
      </w:r>
      <w:r w:rsidRPr="00973CC3">
        <w:t xml:space="preserve"> prescribe the start date of a </w:t>
      </w:r>
      <w:r w:rsidR="00ED3108">
        <w:t xml:space="preserve">temporary </w:t>
      </w:r>
      <w:r w:rsidRPr="00973CC3">
        <w:t xml:space="preserve">increase to the farm assets test, from </w:t>
      </w:r>
      <w:r w:rsidR="00C618D0">
        <w:br/>
      </w:r>
      <w:r w:rsidRPr="00973CC3">
        <w:t xml:space="preserve">$2.635 million (indexed annually) to $5 million. People who receive FHA </w:t>
      </w:r>
      <w:r w:rsidR="00ED3108">
        <w:t xml:space="preserve">are </w:t>
      </w:r>
      <w:r w:rsidRPr="00973CC3">
        <w:t xml:space="preserve">entitled to continue claiming the $5 million farm assets limit until they are required to lodge an application (if </w:t>
      </w:r>
      <w:r>
        <w:t>needed</w:t>
      </w:r>
      <w:r w:rsidRPr="00973CC3">
        <w:t xml:space="preserve">) for FHA after 30 June 2019. For those with farm asset values between the current limit and the $5 million temporary increase, the </w:t>
      </w:r>
      <w:r w:rsidRPr="00427917">
        <w:t>Rules operate</w:t>
      </w:r>
      <w:r w:rsidRPr="00973CC3">
        <w:t xml:space="preserve"> to increase access to social security</w:t>
      </w:r>
      <w:r>
        <w:t xml:space="preserve"> as they make the FHA program available to a greater number of farmers and farmers’ partners</w:t>
      </w:r>
      <w:r w:rsidRPr="00973CC3">
        <w:t>. For FHA recipients who qualify for the FHA supplement, the</w:t>
      </w:r>
      <w:r w:rsidR="007672DA">
        <w:t xml:space="preserve"> </w:t>
      </w:r>
      <w:r w:rsidR="007672DA" w:rsidRPr="007672DA">
        <w:t xml:space="preserve">Rules trigger the operation of the provisions in the Farm Household Support Act 2014 that give a greater number of people access to benefits. </w:t>
      </w:r>
    </w:p>
    <w:p w14:paraId="3368577A" w14:textId="77777777" w:rsidR="005023A2" w:rsidRPr="00973CC3" w:rsidRDefault="005023A2" w:rsidP="00C45FF1">
      <w:pPr>
        <w:pStyle w:val="SummaryinSTOC"/>
      </w:pPr>
      <w:r w:rsidRPr="00973CC3">
        <w:t>Summary</w:t>
      </w:r>
    </w:p>
    <w:p w14:paraId="44F0A1BC" w14:textId="77777777" w:rsidR="005023A2" w:rsidRPr="00973CC3" w:rsidRDefault="005023A2" w:rsidP="00C45FF1">
      <w:pPr>
        <w:pStyle w:val="BodyText1"/>
        <w:rPr>
          <w:lang w:eastAsia="en-AU"/>
        </w:rPr>
      </w:pPr>
      <w:r w:rsidRPr="00973CC3">
        <w:rPr>
          <w:lang w:eastAsia="en-AU"/>
        </w:rPr>
        <w:t>The Rule</w:t>
      </w:r>
      <w:r>
        <w:rPr>
          <w:lang w:eastAsia="en-AU"/>
        </w:rPr>
        <w:t>s</w:t>
      </w:r>
      <w:r w:rsidRPr="00973CC3">
        <w:rPr>
          <w:lang w:eastAsia="en-AU"/>
        </w:rPr>
        <w:t xml:space="preserve"> engage and promote the right to social security enshrined in Article 9 of the ICESCR.</w:t>
      </w:r>
    </w:p>
    <w:p w14:paraId="5E798EE6" w14:textId="77777777" w:rsidR="005023A2" w:rsidRPr="00973CC3" w:rsidRDefault="005023A2" w:rsidP="00C45FF1">
      <w:pPr>
        <w:pStyle w:val="RightinSTOC"/>
      </w:pPr>
      <w:r w:rsidRPr="00973CC3">
        <w:lastRenderedPageBreak/>
        <w:t>Right to an adequate standard of living, including food, water and housing</w:t>
      </w:r>
    </w:p>
    <w:p w14:paraId="786BF314" w14:textId="77777777" w:rsidR="005023A2" w:rsidRPr="00973CC3" w:rsidRDefault="005023A2" w:rsidP="00C45FF1">
      <w:pPr>
        <w:pStyle w:val="BodyText1"/>
      </w:pPr>
      <w:r w:rsidRPr="00973CC3">
        <w:t>Article 11(1) of the ICESCR recognises the right to an adequate standard of living, including</w:t>
      </w:r>
      <w:r>
        <w:t xml:space="preserve"> access to</w:t>
      </w:r>
      <w:r w:rsidRPr="00973CC3">
        <w:t xml:space="preserve"> food, water and housing. States have an obligation to ensure the availability and accessibility of the resources necessary for the progressive realisation of this right. The ICESCR has stated that the core content of the right to adequate food implies both the availability and economic and physical accessibility of food.</w:t>
      </w:r>
      <w:r w:rsidRPr="00973CC3">
        <w:rPr>
          <w:rStyle w:val="FootnoteReference"/>
        </w:rPr>
        <w:footnoteReference w:id="2"/>
      </w:r>
    </w:p>
    <w:p w14:paraId="60594B30" w14:textId="3270BBD4" w:rsidR="005023A2" w:rsidRPr="00973CC3" w:rsidRDefault="005023A2" w:rsidP="00C45FF1">
      <w:pPr>
        <w:pStyle w:val="BodyText1"/>
      </w:pPr>
      <w:r w:rsidRPr="00973CC3">
        <w:t>The livelihood of farmers is subject to a variety of factors beyond their control. In prescribing a start date of 1 September 2018 for the temporary increase to the farm assets value limit,</w:t>
      </w:r>
      <w:r w:rsidR="007672DA">
        <w:t xml:space="preserve"> t</w:t>
      </w:r>
      <w:r w:rsidR="007672DA" w:rsidRPr="007672DA">
        <w:t xml:space="preserve">he Rules trigger the operation of the provisions in the </w:t>
      </w:r>
      <w:r w:rsidR="00C618D0">
        <w:t>Act</w:t>
      </w:r>
      <w:r w:rsidR="007672DA" w:rsidRPr="007672DA">
        <w:rPr>
          <w:i/>
        </w:rPr>
        <w:t xml:space="preserve"> </w:t>
      </w:r>
      <w:r w:rsidR="007672DA" w:rsidRPr="007672DA">
        <w:t>that give a greater numbe</w:t>
      </w:r>
      <w:r w:rsidR="007672DA">
        <w:t>r of people access to benefits</w:t>
      </w:r>
      <w:r w:rsidRPr="00973CC3">
        <w:t xml:space="preserve">. </w:t>
      </w:r>
    </w:p>
    <w:p w14:paraId="5CA65344" w14:textId="77777777" w:rsidR="005023A2" w:rsidRPr="00973CC3" w:rsidRDefault="005023A2" w:rsidP="00C45FF1">
      <w:pPr>
        <w:pStyle w:val="BodyText1"/>
      </w:pPr>
      <w:r w:rsidRPr="00973CC3">
        <w:lastRenderedPageBreak/>
        <w:t>FHA recipients are, subject to eligibility criteria, also able to access rent assistance. In giving effect to the temporary easing of access to the FHA program, the Rule</w:t>
      </w:r>
      <w:r>
        <w:t>s</w:t>
      </w:r>
      <w:r w:rsidRPr="00973CC3">
        <w:t xml:space="preserve"> will also protect the right to an adequate standard of housing</w:t>
      </w:r>
      <w:r>
        <w:t xml:space="preserve"> for farmers and farmers’ partners during times of hardship, as they assist in making the FHA program available to a greater number of farmers and farmers’ partners, and, if eligible for FHA, the FHA supplement.</w:t>
      </w:r>
      <w:r w:rsidRPr="00973CC3">
        <w:t xml:space="preserve"> </w:t>
      </w:r>
    </w:p>
    <w:p w14:paraId="73D547F1" w14:textId="77777777" w:rsidR="005023A2" w:rsidRPr="00973CC3" w:rsidRDefault="005023A2" w:rsidP="00C45FF1">
      <w:pPr>
        <w:pStyle w:val="SummaryinSTOC"/>
      </w:pPr>
      <w:r w:rsidRPr="00973CC3">
        <w:t>Summary</w:t>
      </w:r>
    </w:p>
    <w:p w14:paraId="5835EC80" w14:textId="77777777" w:rsidR="005023A2" w:rsidRPr="00973CC3" w:rsidRDefault="005023A2" w:rsidP="00C45FF1">
      <w:pPr>
        <w:pStyle w:val="BodyText1"/>
        <w:rPr>
          <w:lang w:eastAsia="en-AU"/>
        </w:rPr>
      </w:pPr>
      <w:r w:rsidRPr="00973CC3">
        <w:rPr>
          <w:lang w:eastAsia="en-AU"/>
        </w:rPr>
        <w:t>The Rule</w:t>
      </w:r>
      <w:r>
        <w:rPr>
          <w:lang w:eastAsia="en-AU"/>
        </w:rPr>
        <w:t>s</w:t>
      </w:r>
      <w:r w:rsidRPr="00973CC3">
        <w:rPr>
          <w:lang w:eastAsia="en-AU"/>
        </w:rPr>
        <w:t xml:space="preserve"> enga</w:t>
      </w:r>
      <w:r>
        <w:rPr>
          <w:lang w:eastAsia="en-AU"/>
        </w:rPr>
        <w:t>ge</w:t>
      </w:r>
      <w:r w:rsidRPr="00973CC3">
        <w:rPr>
          <w:lang w:eastAsia="en-AU"/>
        </w:rPr>
        <w:t xml:space="preserve"> and promote the right to an adequate standard of living, enshrined in Article 11(1) of the ICESCR. </w:t>
      </w:r>
    </w:p>
    <w:p w14:paraId="27BEBF65" w14:textId="77777777" w:rsidR="005023A2" w:rsidRPr="00973CC3" w:rsidRDefault="005023A2" w:rsidP="00C45FF1">
      <w:pPr>
        <w:pStyle w:val="RightinSTOC"/>
      </w:pPr>
      <w:r w:rsidRPr="00973CC3">
        <w:t>Right to health</w:t>
      </w:r>
    </w:p>
    <w:p w14:paraId="5BC157D0" w14:textId="77777777" w:rsidR="005023A2" w:rsidRPr="00973CC3" w:rsidRDefault="005023A2" w:rsidP="00C45FF1">
      <w:pPr>
        <w:pStyle w:val="BodyText1"/>
      </w:pPr>
      <w:r w:rsidRPr="00973CC3">
        <w:t xml:space="preserve">Article 12(1) of the ICESCR recognises the right of all individuals to enjoy the highest attainable standard of physical and mental health. </w:t>
      </w:r>
    </w:p>
    <w:p w14:paraId="2352A367" w14:textId="77777777" w:rsidR="005023A2" w:rsidRPr="00973CC3" w:rsidRDefault="005023A2" w:rsidP="00C45FF1">
      <w:pPr>
        <w:pStyle w:val="BodyText1"/>
      </w:pPr>
      <w:r w:rsidRPr="00973CC3">
        <w:t>The ICESCR has stated that this right is not confined to the right to health care.</w:t>
      </w:r>
      <w:r w:rsidRPr="00973CC3">
        <w:rPr>
          <w:rStyle w:val="FootnoteReference"/>
        </w:rPr>
        <w:footnoteReference w:id="3"/>
      </w:r>
      <w:r w:rsidRPr="00973CC3">
        <w:t xml:space="preserve"> The ICESCR considers that Article 12 more broadly acknowledges that the right to health embraces a wide range of socio-economic factors </w:t>
      </w:r>
      <w:r w:rsidRPr="00973CC3">
        <w:lastRenderedPageBreak/>
        <w:t>that promote conditions in which people can lead a healthy life, and extends to the underlying determinants of health, such as food and nutrition, housing, access to safe and potable water and adequate sanitation, safe and healthy working conditions and a healthy environment.</w:t>
      </w:r>
    </w:p>
    <w:p w14:paraId="34535BEB" w14:textId="295E848F" w:rsidR="005023A2" w:rsidRPr="00973CC3" w:rsidRDefault="005023A2" w:rsidP="00C45FF1">
      <w:pPr>
        <w:pStyle w:val="BodyText1"/>
      </w:pPr>
      <w:r w:rsidRPr="00973CC3">
        <w:t>By prescribing the start date for temporarily increasing the farm assets limit, the Rule</w:t>
      </w:r>
      <w:r>
        <w:t xml:space="preserve">s </w:t>
      </w:r>
      <w:r w:rsidR="009C1BF2">
        <w:t xml:space="preserve">trigger the operation of </w:t>
      </w:r>
      <w:r w:rsidRPr="00973CC3">
        <w:t xml:space="preserve">all measures provided under the FHA program. In particular, the ancillary benefits contained in </w:t>
      </w:r>
      <w:r w:rsidRPr="00973CC3">
        <w:rPr>
          <w:b/>
        </w:rPr>
        <w:t>Part 2, Division 8, Subdivisions A and B</w:t>
      </w:r>
      <w:r w:rsidR="00C25102">
        <w:rPr>
          <w:b/>
        </w:rPr>
        <w:t xml:space="preserve"> o</w:t>
      </w:r>
      <w:r w:rsidR="00C618D0">
        <w:rPr>
          <w:b/>
        </w:rPr>
        <w:t xml:space="preserve">f </w:t>
      </w:r>
      <w:r w:rsidR="00C25102">
        <w:t xml:space="preserve">the </w:t>
      </w:r>
      <w:r w:rsidR="00C618D0">
        <w:t>Act</w:t>
      </w:r>
      <w:r w:rsidR="00C25102" w:rsidRPr="00973CC3">
        <w:t xml:space="preserve"> </w:t>
      </w:r>
      <w:r>
        <w:t xml:space="preserve">that are available under social security law </w:t>
      </w:r>
      <w:r w:rsidR="009C1BF2">
        <w:t>are</w:t>
      </w:r>
      <w:r w:rsidRPr="00973CC3">
        <w:t xml:space="preserve"> available to those who entitled to access FHA due to the increased farm assets limit. </w:t>
      </w:r>
    </w:p>
    <w:p w14:paraId="7CFA145E" w14:textId="6717B4CA" w:rsidR="005023A2" w:rsidRPr="00973CC3" w:rsidRDefault="005023A2" w:rsidP="00C45FF1">
      <w:pPr>
        <w:pStyle w:val="BodyText1"/>
      </w:pPr>
      <w:r w:rsidRPr="00973CC3">
        <w:t xml:space="preserve">For example, FHA recipients are granted automatic access to a Health Care Card (under </w:t>
      </w:r>
      <w:r w:rsidRPr="00973CC3">
        <w:rPr>
          <w:b/>
        </w:rPr>
        <w:t>Part 5</w:t>
      </w:r>
      <w:r w:rsidRPr="00973CC3">
        <w:t xml:space="preserve"> of the </w:t>
      </w:r>
      <w:r w:rsidR="00C25102">
        <w:t>Act</w:t>
      </w:r>
      <w:r w:rsidRPr="00973CC3">
        <w:t xml:space="preserve"> that applies the social security law to FHA); and, subject to eligibility criteria, rent assistance and Pharmaceutical Allowance under </w:t>
      </w:r>
      <w:r w:rsidRPr="00973CC3">
        <w:rPr>
          <w:b/>
        </w:rPr>
        <w:t xml:space="preserve">Part 2, Division 8, Subdivisions A </w:t>
      </w:r>
      <w:r w:rsidRPr="00973CC3">
        <w:t xml:space="preserve">and </w:t>
      </w:r>
      <w:r w:rsidRPr="00973CC3">
        <w:rPr>
          <w:b/>
        </w:rPr>
        <w:t xml:space="preserve">B </w:t>
      </w:r>
      <w:r w:rsidRPr="00973CC3">
        <w:t xml:space="preserve">of the Act. </w:t>
      </w:r>
    </w:p>
    <w:p w14:paraId="20EC5DBA" w14:textId="77777777" w:rsidR="005023A2" w:rsidRPr="00973CC3" w:rsidRDefault="005023A2" w:rsidP="00C45FF1">
      <w:pPr>
        <w:pStyle w:val="BodyText1"/>
      </w:pPr>
      <w:r w:rsidRPr="00973CC3">
        <w:t xml:space="preserve">The Health Care Card assists FHA recipients with certain health costs by allowing access to specific services at a concessional rate. Rent assistance is a supplementary payment added to FHA of recipients in commercial </w:t>
      </w:r>
      <w:r w:rsidRPr="00973CC3">
        <w:lastRenderedPageBreak/>
        <w:t xml:space="preserve">rental accommodation, and Pharmaceutical Allowance helps with the cost of accessing prescription pharmaceuticals under the Pharmaceutical Benefits Scheme. These measures are beneficial to FHA recipients, promoting conditions required to live a healthy life. </w:t>
      </w:r>
    </w:p>
    <w:p w14:paraId="26D45A8D" w14:textId="77777777" w:rsidR="005023A2" w:rsidRPr="00973CC3" w:rsidRDefault="005023A2" w:rsidP="00C45FF1">
      <w:pPr>
        <w:pStyle w:val="SummaryinSTOC"/>
      </w:pPr>
      <w:r w:rsidRPr="00973CC3">
        <w:t>Summary</w:t>
      </w:r>
    </w:p>
    <w:p w14:paraId="3BA28C9E" w14:textId="77777777" w:rsidR="005023A2" w:rsidRPr="00973CC3" w:rsidRDefault="005023A2" w:rsidP="00C45FF1">
      <w:pPr>
        <w:pStyle w:val="BodyText1"/>
        <w:rPr>
          <w:lang w:eastAsia="en-AU"/>
        </w:rPr>
      </w:pPr>
      <w:r w:rsidRPr="00973CC3">
        <w:rPr>
          <w:lang w:eastAsia="en-AU"/>
        </w:rPr>
        <w:t>The Rule</w:t>
      </w:r>
      <w:r>
        <w:rPr>
          <w:lang w:eastAsia="en-AU"/>
        </w:rPr>
        <w:t>s engage</w:t>
      </w:r>
      <w:r w:rsidRPr="00973CC3">
        <w:rPr>
          <w:lang w:eastAsia="en-AU"/>
        </w:rPr>
        <w:t xml:space="preserve"> and promote the right to health in Article 12(1) of the ICESCR. </w:t>
      </w:r>
    </w:p>
    <w:p w14:paraId="4AE110EB" w14:textId="77777777" w:rsidR="00C618D0" w:rsidRDefault="00C618D0">
      <w:pPr>
        <w:rPr>
          <w:rFonts w:ascii="Times New Roman" w:eastAsia="Times New Roman" w:hAnsi="Times New Roman" w:cs="Times New Roman"/>
          <w:b/>
          <w:sz w:val="24"/>
          <w:lang w:eastAsia="en-AU"/>
        </w:rPr>
      </w:pPr>
      <w:r>
        <w:br w:type="page"/>
      </w:r>
    </w:p>
    <w:p w14:paraId="65F9687B" w14:textId="2A10357F" w:rsidR="005023A2" w:rsidRPr="00973CC3" w:rsidRDefault="005023A2" w:rsidP="00C45FF1">
      <w:pPr>
        <w:pStyle w:val="STOCsubheading"/>
      </w:pPr>
      <w:r w:rsidRPr="00973CC3">
        <w:lastRenderedPageBreak/>
        <w:t>Conclusion</w:t>
      </w:r>
    </w:p>
    <w:p w14:paraId="2C2A23C8" w14:textId="77777777" w:rsidR="005023A2" w:rsidRPr="00973CC3" w:rsidRDefault="005023A2" w:rsidP="00C45FF1">
      <w:pPr>
        <w:pStyle w:val="BodyText1"/>
        <w:keepNext/>
        <w:spacing w:after="0"/>
      </w:pPr>
    </w:p>
    <w:p w14:paraId="67AB751D" w14:textId="77777777" w:rsidR="005023A2" w:rsidRDefault="005023A2" w:rsidP="00C45FF1">
      <w:pPr>
        <w:pStyle w:val="BodyText1"/>
        <w:keepNext/>
      </w:pPr>
      <w:r w:rsidRPr="00973CC3">
        <w:t>The Rule</w:t>
      </w:r>
      <w:r>
        <w:t>s are</w:t>
      </w:r>
      <w:r w:rsidRPr="00973CC3">
        <w:t xml:space="preserve"> compatible with human rights as it promotes the protection of, and does not</w:t>
      </w:r>
      <w:r>
        <w:t xml:space="preserve"> limit, the human rights that it engages</w:t>
      </w:r>
      <w:r w:rsidRPr="00973CC3">
        <w:t xml:space="preserve"> with.</w:t>
      </w:r>
      <w:r>
        <w:t xml:space="preserve">  </w:t>
      </w:r>
    </w:p>
    <w:p w14:paraId="37B8C1FC" w14:textId="77777777" w:rsidR="005023A2" w:rsidRPr="00EA5C21" w:rsidRDefault="005023A2" w:rsidP="00C45FF1"/>
    <w:p w14:paraId="45F6C254" w14:textId="77777777" w:rsidR="005023A2" w:rsidRPr="00E4135E" w:rsidRDefault="005023A2" w:rsidP="00C45FF1">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2689EBEE" w14:textId="77777777" w:rsidR="005023A2" w:rsidRPr="00EA5C21" w:rsidRDefault="005023A2" w:rsidP="00C45FF1"/>
    <w:p w14:paraId="142CD405" w14:textId="77777777" w:rsidR="005023A2" w:rsidRPr="00C163FF" w:rsidRDefault="005023A2" w:rsidP="00C45FF1">
      <w:pPr>
        <w:rPr>
          <w:rFonts w:ascii="Times New Roman" w:hAnsi="Times New Roman"/>
          <w:sz w:val="24"/>
        </w:rPr>
      </w:pPr>
    </w:p>
    <w:p w14:paraId="16CE6D08" w14:textId="77777777" w:rsidR="005023A2" w:rsidRPr="00C163FF" w:rsidRDefault="005023A2" w:rsidP="00C45FF1">
      <w:pPr>
        <w:rPr>
          <w:rFonts w:ascii="Times New Roman" w:hAnsi="Times New Roman"/>
          <w:sz w:val="24"/>
        </w:rPr>
      </w:pPr>
    </w:p>
    <w:p w14:paraId="08397BA4" w14:textId="77777777" w:rsidR="005023A2" w:rsidRPr="00C163FF" w:rsidRDefault="005023A2" w:rsidP="00C45FF1">
      <w:pPr>
        <w:jc w:val="center"/>
        <w:rPr>
          <w:rFonts w:ascii="Times New Roman" w:hAnsi="Times New Roman"/>
          <w:b/>
          <w:bCs/>
          <w:sz w:val="24"/>
        </w:rPr>
      </w:pPr>
      <w:r w:rsidRPr="00C163FF">
        <w:rPr>
          <w:rFonts w:ascii="Times New Roman" w:hAnsi="Times New Roman"/>
          <w:b/>
          <w:bCs/>
          <w:sz w:val="24"/>
        </w:rPr>
        <w:t xml:space="preserve">The Hon. </w:t>
      </w:r>
      <w:r>
        <w:rPr>
          <w:rFonts w:ascii="Times New Roman" w:hAnsi="Times New Roman"/>
          <w:b/>
          <w:bCs/>
          <w:sz w:val="24"/>
        </w:rPr>
        <w:t>David Littleproud</w:t>
      </w:r>
      <w:r w:rsidRPr="00C163FF">
        <w:rPr>
          <w:rFonts w:ascii="Times New Roman" w:hAnsi="Times New Roman"/>
          <w:b/>
          <w:bCs/>
          <w:sz w:val="24"/>
        </w:rPr>
        <w:t xml:space="preserve"> MP</w:t>
      </w:r>
    </w:p>
    <w:p w14:paraId="2048EABE" w14:textId="77777777" w:rsidR="005023A2" w:rsidRDefault="005023A2" w:rsidP="00C45FF1">
      <w:pPr>
        <w:jc w:val="center"/>
        <w:rPr>
          <w:lang w:eastAsia="ja-JP"/>
        </w:rPr>
      </w:pPr>
      <w:r w:rsidRPr="00C163FF">
        <w:rPr>
          <w:rFonts w:ascii="Times New Roman" w:hAnsi="Times New Roman"/>
          <w:b/>
          <w:bCs/>
          <w:sz w:val="24"/>
        </w:rPr>
        <w:t>Minister for Agriculture and Water Resources</w:t>
      </w:r>
    </w:p>
    <w:p w14:paraId="28623C4A" w14:textId="77777777" w:rsidR="002216C6" w:rsidRPr="00C163FF" w:rsidRDefault="002216C6" w:rsidP="006C12D8">
      <w:pPr>
        <w:rPr>
          <w:rFonts w:ascii="Times New Roman" w:hAnsi="Times New Roman"/>
          <w:sz w:val="24"/>
        </w:rPr>
      </w:pPr>
    </w:p>
    <w:p w14:paraId="5BAF9E60" w14:textId="77777777" w:rsidR="005023A2" w:rsidRDefault="005023A2" w:rsidP="005023A2">
      <w:pPr>
        <w:jc w:val="center"/>
        <w:rPr>
          <w:lang w:eastAsia="ja-JP"/>
        </w:rPr>
      </w:pPr>
    </w:p>
    <w:p w14:paraId="7B5BAB41" w14:textId="77777777" w:rsidR="00905F94" w:rsidRDefault="00905F94" w:rsidP="00E43B2C">
      <w:pPr>
        <w:jc w:val="center"/>
        <w:rPr>
          <w:lang w:eastAsia="ja-JP"/>
        </w:rPr>
      </w:pPr>
    </w:p>
    <w:sectPr w:rsidR="00905F9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409B8" w14:textId="77777777" w:rsidR="004926C8" w:rsidRDefault="004926C8">
      <w:r>
        <w:separator/>
      </w:r>
    </w:p>
  </w:endnote>
  <w:endnote w:type="continuationSeparator" w:id="0">
    <w:p w14:paraId="16879559" w14:textId="77777777" w:rsidR="004926C8" w:rsidRDefault="0049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4654EE65" w14:textId="77777777" w:rsidR="004926C8" w:rsidRDefault="004926C8" w:rsidP="002216C6">
        <w:pPr>
          <w:pStyle w:val="Footer"/>
        </w:pPr>
        <w:r>
          <w:tab/>
        </w:r>
        <w:r>
          <w:fldChar w:fldCharType="begin"/>
        </w:r>
        <w:r>
          <w:instrText xml:space="preserve"> PAGE   \* MERGEFORMAT </w:instrText>
        </w:r>
        <w:r>
          <w:fldChar w:fldCharType="separate"/>
        </w:r>
        <w:r w:rsidR="008D679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BFDBA" w14:textId="77777777" w:rsidR="004926C8" w:rsidRDefault="004926C8">
      <w:r>
        <w:separator/>
      </w:r>
    </w:p>
  </w:footnote>
  <w:footnote w:type="continuationSeparator" w:id="0">
    <w:p w14:paraId="6C7682D4" w14:textId="77777777" w:rsidR="004926C8" w:rsidRDefault="004926C8">
      <w:r>
        <w:continuationSeparator/>
      </w:r>
    </w:p>
  </w:footnote>
  <w:footnote w:id="1">
    <w:p w14:paraId="0FBDAF96" w14:textId="77777777" w:rsidR="005023A2" w:rsidRDefault="005023A2" w:rsidP="005023A2">
      <w:pPr>
        <w:pStyle w:val="FootnoteText"/>
      </w:pPr>
      <w:r>
        <w:rPr>
          <w:rStyle w:val="FootnoteReference"/>
        </w:rPr>
        <w:footnoteRef/>
      </w:r>
      <w:r>
        <w:t xml:space="preserve"> CESCR, General Comment No 19 (2008), paragraph 2.</w:t>
      </w:r>
    </w:p>
  </w:footnote>
  <w:footnote w:id="2">
    <w:p w14:paraId="7B05C60F" w14:textId="77777777" w:rsidR="005023A2" w:rsidRDefault="005023A2" w:rsidP="005023A2">
      <w:pPr>
        <w:pStyle w:val="FootnoteText"/>
      </w:pPr>
      <w:r>
        <w:rPr>
          <w:rStyle w:val="FootnoteReference"/>
        </w:rPr>
        <w:footnoteRef/>
      </w:r>
      <w:r>
        <w:t xml:space="preserve"> ICESCR, General Comment No 12 (1999), paragraphs 8 and 13.</w:t>
      </w:r>
    </w:p>
  </w:footnote>
  <w:footnote w:id="3">
    <w:p w14:paraId="278C32F9" w14:textId="77777777" w:rsidR="005023A2" w:rsidRDefault="005023A2" w:rsidP="005023A2">
      <w:pPr>
        <w:pStyle w:val="FootnoteText"/>
      </w:pPr>
      <w:r>
        <w:rPr>
          <w:rStyle w:val="FootnoteReference"/>
        </w:rPr>
        <w:footnoteRef/>
      </w:r>
      <w:r>
        <w:t xml:space="preserve"> ICESCR, General Comment No 14 (2000), paragraph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FE68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1C134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4F7A23"/>
    <w:multiLevelType w:val="hybridMultilevel"/>
    <w:tmpl w:val="D9D2F04A"/>
    <w:lvl w:ilvl="0" w:tplc="D64E08A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E8F1DDE"/>
    <w:multiLevelType w:val="hybridMultilevel"/>
    <w:tmpl w:val="E79C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CE63FEA"/>
    <w:multiLevelType w:val="hybridMultilevel"/>
    <w:tmpl w:val="FCFE4CEE"/>
    <w:lvl w:ilvl="0" w:tplc="D64E08A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37E62318"/>
    <w:multiLevelType w:val="hybridMultilevel"/>
    <w:tmpl w:val="959E3BCA"/>
    <w:lvl w:ilvl="0" w:tplc="0C1A8032">
      <w:start w:val="1"/>
      <w:numFmt w:val="bullet"/>
      <w:pStyle w:val="bulletlistfin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17684A8E"/>
    <w:lvl w:ilvl="0">
      <w:start w:val="1"/>
      <w:numFmt w:val="decimal"/>
      <w:pStyle w:val="Finalbulletpoint"/>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1247C4"/>
    <w:multiLevelType w:val="hybridMultilevel"/>
    <w:tmpl w:val="E0244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6"/>
  </w:num>
  <w:num w:numId="4">
    <w:abstractNumId w:val="7"/>
  </w:num>
  <w:num w:numId="5">
    <w:abstractNumId w:val="3"/>
  </w:num>
  <w:num w:numId="6">
    <w:abstractNumId w:val="10"/>
  </w:num>
  <w:num w:numId="7">
    <w:abstractNumId w:val="20"/>
  </w:num>
  <w:num w:numId="8">
    <w:abstractNumId w:val="12"/>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
  </w:num>
  <w:num w:numId="15">
    <w:abstractNumId w:val="1"/>
  </w:num>
  <w:num w:numId="16">
    <w:abstractNumId w:val="0"/>
  </w:num>
  <w:num w:numId="17">
    <w:abstractNumId w:val="4"/>
  </w:num>
  <w:num w:numId="18">
    <w:abstractNumId w:val="8"/>
  </w:num>
  <w:num w:numId="19">
    <w:abstractNumId w:val="11"/>
  </w:num>
  <w:num w:numId="20">
    <w:abstractNumId w:val="5"/>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c3aeb1e-23f5-43dc-bf2d-41daff725121"/>
  </w:docVars>
  <w:rsids>
    <w:rsidRoot w:val="002216C6"/>
    <w:rsid w:val="00022F14"/>
    <w:rsid w:val="00062746"/>
    <w:rsid w:val="000C60E0"/>
    <w:rsid w:val="000E2A00"/>
    <w:rsid w:val="000E4278"/>
    <w:rsid w:val="000E5E53"/>
    <w:rsid w:val="000F1B5A"/>
    <w:rsid w:val="000F6C04"/>
    <w:rsid w:val="000F6D34"/>
    <w:rsid w:val="001101D9"/>
    <w:rsid w:val="00152879"/>
    <w:rsid w:val="001945D6"/>
    <w:rsid w:val="001A4312"/>
    <w:rsid w:val="001C47A7"/>
    <w:rsid w:val="001E3475"/>
    <w:rsid w:val="001F5A01"/>
    <w:rsid w:val="002216C6"/>
    <w:rsid w:val="00222E62"/>
    <w:rsid w:val="0022660D"/>
    <w:rsid w:val="00226ADF"/>
    <w:rsid w:val="00226C46"/>
    <w:rsid w:val="0024544A"/>
    <w:rsid w:val="00272879"/>
    <w:rsid w:val="002A5042"/>
    <w:rsid w:val="00357EBA"/>
    <w:rsid w:val="00366153"/>
    <w:rsid w:val="00366A67"/>
    <w:rsid w:val="00397902"/>
    <w:rsid w:val="003D31E5"/>
    <w:rsid w:val="003E106C"/>
    <w:rsid w:val="003F4859"/>
    <w:rsid w:val="00403D4E"/>
    <w:rsid w:val="00427917"/>
    <w:rsid w:val="004430DA"/>
    <w:rsid w:val="00461807"/>
    <w:rsid w:val="0048234A"/>
    <w:rsid w:val="004926C8"/>
    <w:rsid w:val="004A124A"/>
    <w:rsid w:val="004B5F75"/>
    <w:rsid w:val="004D3806"/>
    <w:rsid w:val="004E0B3D"/>
    <w:rsid w:val="005023A2"/>
    <w:rsid w:val="0051590D"/>
    <w:rsid w:val="0054482B"/>
    <w:rsid w:val="0054747E"/>
    <w:rsid w:val="00553F89"/>
    <w:rsid w:val="00565406"/>
    <w:rsid w:val="00570985"/>
    <w:rsid w:val="00584434"/>
    <w:rsid w:val="00592C3C"/>
    <w:rsid w:val="005C75E7"/>
    <w:rsid w:val="005D6367"/>
    <w:rsid w:val="005D6FBE"/>
    <w:rsid w:val="005D7F98"/>
    <w:rsid w:val="005F5C83"/>
    <w:rsid w:val="006056B1"/>
    <w:rsid w:val="00626E31"/>
    <w:rsid w:val="00654221"/>
    <w:rsid w:val="006B4C42"/>
    <w:rsid w:val="006B57FE"/>
    <w:rsid w:val="006B6687"/>
    <w:rsid w:val="006C12D8"/>
    <w:rsid w:val="006C2C27"/>
    <w:rsid w:val="006C7460"/>
    <w:rsid w:val="006C78A4"/>
    <w:rsid w:val="006D71AE"/>
    <w:rsid w:val="006F655D"/>
    <w:rsid w:val="00705699"/>
    <w:rsid w:val="007609EA"/>
    <w:rsid w:val="007672DA"/>
    <w:rsid w:val="00781D57"/>
    <w:rsid w:val="007973C2"/>
    <w:rsid w:val="007B3763"/>
    <w:rsid w:val="007F0304"/>
    <w:rsid w:val="00846DF6"/>
    <w:rsid w:val="00847D09"/>
    <w:rsid w:val="008508E9"/>
    <w:rsid w:val="00865C49"/>
    <w:rsid w:val="00881BE1"/>
    <w:rsid w:val="008A564A"/>
    <w:rsid w:val="008B4133"/>
    <w:rsid w:val="008D679E"/>
    <w:rsid w:val="008E7944"/>
    <w:rsid w:val="00905F94"/>
    <w:rsid w:val="0090659B"/>
    <w:rsid w:val="009110C0"/>
    <w:rsid w:val="00912907"/>
    <w:rsid w:val="00916B27"/>
    <w:rsid w:val="00937DF7"/>
    <w:rsid w:val="009419E3"/>
    <w:rsid w:val="00946F8E"/>
    <w:rsid w:val="00973CC3"/>
    <w:rsid w:val="009C110A"/>
    <w:rsid w:val="009C1BF2"/>
    <w:rsid w:val="009C7AB0"/>
    <w:rsid w:val="00A13D33"/>
    <w:rsid w:val="00A16C62"/>
    <w:rsid w:val="00A25DAA"/>
    <w:rsid w:val="00A264B2"/>
    <w:rsid w:val="00A31373"/>
    <w:rsid w:val="00A41328"/>
    <w:rsid w:val="00A50F87"/>
    <w:rsid w:val="00A6603A"/>
    <w:rsid w:val="00A85DED"/>
    <w:rsid w:val="00A97E71"/>
    <w:rsid w:val="00AA03D3"/>
    <w:rsid w:val="00AA4B88"/>
    <w:rsid w:val="00AA6453"/>
    <w:rsid w:val="00AC5F40"/>
    <w:rsid w:val="00AF25B6"/>
    <w:rsid w:val="00B239EC"/>
    <w:rsid w:val="00B307B1"/>
    <w:rsid w:val="00B321D5"/>
    <w:rsid w:val="00B45154"/>
    <w:rsid w:val="00B54269"/>
    <w:rsid w:val="00B57065"/>
    <w:rsid w:val="00B57188"/>
    <w:rsid w:val="00B63CD5"/>
    <w:rsid w:val="00B75AEB"/>
    <w:rsid w:val="00B77F5D"/>
    <w:rsid w:val="00BA74AB"/>
    <w:rsid w:val="00C00D8E"/>
    <w:rsid w:val="00C25102"/>
    <w:rsid w:val="00C4281F"/>
    <w:rsid w:val="00C47032"/>
    <w:rsid w:val="00C55F4E"/>
    <w:rsid w:val="00C618D0"/>
    <w:rsid w:val="00C6669A"/>
    <w:rsid w:val="00C758DA"/>
    <w:rsid w:val="00CE2708"/>
    <w:rsid w:val="00D12A46"/>
    <w:rsid w:val="00D520C8"/>
    <w:rsid w:val="00DC2A88"/>
    <w:rsid w:val="00DE11C1"/>
    <w:rsid w:val="00DF1F7D"/>
    <w:rsid w:val="00E3214D"/>
    <w:rsid w:val="00E43B2C"/>
    <w:rsid w:val="00E52881"/>
    <w:rsid w:val="00E8644D"/>
    <w:rsid w:val="00E96CCB"/>
    <w:rsid w:val="00EA1285"/>
    <w:rsid w:val="00EC5612"/>
    <w:rsid w:val="00ED3108"/>
    <w:rsid w:val="00ED5E49"/>
    <w:rsid w:val="00F00778"/>
    <w:rsid w:val="00F040EC"/>
    <w:rsid w:val="00F210AF"/>
    <w:rsid w:val="00F522E3"/>
    <w:rsid w:val="00F716C5"/>
    <w:rsid w:val="00F7701D"/>
    <w:rsid w:val="00F85103"/>
    <w:rsid w:val="00FC3038"/>
    <w:rsid w:val="00FD5295"/>
    <w:rsid w:val="00FE6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C919B4"/>
  <w15:docId w15:val="{C0ED5A5A-FCDA-45FE-AB4A-E3B0D7AE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C6"/>
    <w:rPr>
      <w:rFonts w:asciiTheme="minorHAnsi" w:eastAsiaTheme="minorEastAsia" w:hAnsiTheme="minorHAnsi" w:cstheme="minorBidi"/>
      <w:sz w:val="22"/>
      <w:szCs w:val="24"/>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spacing w:before="120"/>
      <w:outlineLvl w:val="1"/>
    </w:pPr>
    <w:rPr>
      <w:rFonts w:ascii="Calibri" w:eastAsia="Times New Roman" w:hAnsi="Calibri" w:cs="Times New Roman"/>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ascii="Cambria" w:eastAsiaTheme="majorEastAsia" w:hAnsi="Cambria" w:cstheme="majorBidi"/>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after="120"/>
    </w:pPr>
    <w:rPr>
      <w:rFonts w:ascii="Cambria" w:eastAsia="Calibri" w:hAnsi="Cambria" w:cs="Times New Roman"/>
      <w:b/>
      <w:noProof/>
      <w:szCs w:val="22"/>
    </w:rPr>
  </w:style>
  <w:style w:type="paragraph" w:styleId="TOC2">
    <w:name w:val="toc 2"/>
    <w:basedOn w:val="Normal"/>
    <w:next w:val="Normal"/>
    <w:uiPriority w:val="39"/>
    <w:unhideWhenUsed/>
    <w:qFormat/>
    <w:pPr>
      <w:tabs>
        <w:tab w:val="right" w:leader="dot" w:pos="9060"/>
      </w:tabs>
      <w:spacing w:before="120" w:after="120"/>
      <w:ind w:firstLine="425"/>
    </w:pPr>
    <w:rPr>
      <w:rFonts w:ascii="Cambria" w:eastAsia="Calibri" w:hAnsi="Cambria" w:cs="Times New Roman"/>
      <w:noProof/>
      <w:szCs w:val="22"/>
    </w:rPr>
  </w:style>
  <w:style w:type="paragraph" w:styleId="TOC3">
    <w:name w:val="toc 3"/>
    <w:basedOn w:val="Normal"/>
    <w:next w:val="Normal"/>
    <w:uiPriority w:val="39"/>
    <w:unhideWhenUsed/>
    <w:qFormat/>
    <w:pPr>
      <w:tabs>
        <w:tab w:val="right" w:leader="dot" w:pos="9072"/>
      </w:tabs>
      <w:spacing w:before="120" w:after="120"/>
      <w:ind w:firstLine="851"/>
    </w:pPr>
    <w:rPr>
      <w:rFonts w:ascii="Cambria" w:eastAsia="Calibri" w:hAnsi="Cambria" w:cs="Times New Roman"/>
      <w:noProof/>
      <w:szCs w:val="22"/>
    </w:rPr>
  </w:style>
  <w:style w:type="paragraph" w:styleId="Caption">
    <w:name w:val="caption"/>
    <w:basedOn w:val="Normal"/>
    <w:next w:val="Normal"/>
    <w:uiPriority w:val="12"/>
    <w:qFormat/>
    <w:pPr>
      <w:keepNext/>
      <w:spacing w:before="360" w:after="120"/>
    </w:pPr>
    <w:rPr>
      <w:rFonts w:ascii="Cambria" w:eastAsia="Calibri" w:hAnsi="Cambria" w:cs="Times New Roman"/>
      <w:b/>
      <w:bCs/>
      <w:sz w:val="24"/>
      <w:szCs w:val="18"/>
    </w:rPr>
  </w:style>
  <w:style w:type="paragraph" w:styleId="ListBullet">
    <w:name w:val="List Bullet"/>
    <w:basedOn w:val="Normal"/>
    <w:uiPriority w:val="7"/>
    <w:qFormat/>
    <w:pPr>
      <w:numPr>
        <w:numId w:val="6"/>
      </w:numPr>
      <w:spacing w:before="120" w:after="120"/>
    </w:pPr>
    <w:rPr>
      <w:rFonts w:ascii="Cambria" w:eastAsia="Calibri" w:hAnsi="Cambria" w:cs="Times New Roman"/>
      <w:szCs w:val="22"/>
    </w:rPr>
  </w:style>
  <w:style w:type="paragraph" w:styleId="ListNumber">
    <w:name w:val="List Number"/>
    <w:basedOn w:val="Normal"/>
    <w:uiPriority w:val="99"/>
    <w:qFormat/>
    <w:pPr>
      <w:numPr>
        <w:numId w:val="8"/>
      </w:numPr>
      <w:spacing w:before="120" w:after="120"/>
    </w:pPr>
    <w:rPr>
      <w:rFonts w:ascii="Cambria" w:eastAsia="Calibri" w:hAnsi="Cambria" w:cs="Times New Roman"/>
      <w:szCs w:val="22"/>
    </w:rPr>
  </w:style>
  <w:style w:type="paragraph" w:styleId="ListBullet2">
    <w:name w:val="List Bullet 2"/>
    <w:basedOn w:val="Normal"/>
    <w:uiPriority w:val="8"/>
    <w:qFormat/>
    <w:pPr>
      <w:numPr>
        <w:ilvl w:val="1"/>
        <w:numId w:val="6"/>
      </w:numPr>
      <w:spacing w:before="120" w:after="120"/>
      <w:contextualSpacing/>
    </w:pPr>
    <w:rPr>
      <w:rFonts w:ascii="Cambria" w:eastAsia="Calibri" w:hAnsi="Cambria" w:cs="Times New Roman"/>
      <w:szCs w:val="22"/>
    </w:r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spacing w:before="120"/>
      <w:ind w:left="709" w:right="567"/>
    </w:pPr>
    <w:rPr>
      <w:rFonts w:ascii="Cambria" w:eastAsia="Times New Roman" w:hAnsi="Cambria" w:cs="Times New Roman"/>
      <w:iCs/>
      <w:color w:val="000000"/>
      <w:sz w:val="2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rFonts w:ascii="Cambria" w:eastAsia="Calibri" w:hAnsi="Cambria" w:cs="Times New Roman"/>
      <w:sz w:val="20"/>
      <w:szCs w:val="22"/>
    </w:rPr>
  </w:style>
  <w:style w:type="paragraph" w:customStyle="1" w:styleId="FigureTableNoteSource">
    <w:name w:val="Figure/Table Note/Source"/>
    <w:basedOn w:val="Normal"/>
    <w:next w:val="Normal"/>
    <w:uiPriority w:val="16"/>
    <w:qFormat/>
    <w:pPr>
      <w:spacing w:before="120" w:line="264" w:lineRule="auto"/>
      <w:contextualSpacing/>
    </w:pPr>
    <w:rPr>
      <w:rFonts w:ascii="Cambria" w:eastAsia="Calibri" w:hAnsi="Cambria" w:cs="Times New Roman"/>
      <w:sz w:val="18"/>
      <w:szCs w:val="22"/>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 w:val="24"/>
      <w:lang w:val="en-US"/>
    </w:rPr>
  </w:style>
  <w:style w:type="paragraph" w:customStyle="1" w:styleId="TableText">
    <w:name w:val="Table Text"/>
    <w:basedOn w:val="Normal"/>
    <w:uiPriority w:val="13"/>
    <w:qFormat/>
    <w:pPr>
      <w:spacing w:before="60" w:after="60"/>
    </w:pPr>
    <w:rPr>
      <w:rFonts w:ascii="Cambria" w:eastAsia="Calibri" w:hAnsi="Cambria" w:cs="Times New Roman"/>
      <w:sz w:val="18"/>
      <w:szCs w:val="22"/>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jc w:val="center"/>
    </w:pPr>
    <w:rPr>
      <w:rFonts w:ascii="Cambria" w:eastAsia="Calibri" w:hAnsi="Cambria" w:cs="Times New Roman"/>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pPr>
      <w:spacing w:before="12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pPr>
    <w:rPr>
      <w:rFonts w:ascii="Cambria" w:eastAsia="Calibri" w:hAnsi="Cambria" w:cs="Times New Roman"/>
      <w:szCs w:val="22"/>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contextualSpacing/>
    </w:pPr>
    <w:rPr>
      <w:rFonts w:ascii="Cambria" w:eastAsia="Calibri" w:hAnsi="Cambria" w:cs="Times New Roman"/>
      <w:szCs w:val="22"/>
    </w:rPr>
  </w:style>
  <w:style w:type="paragraph" w:styleId="ListBullet3">
    <w:name w:val="List Bullet 3"/>
    <w:basedOn w:val="Normal"/>
    <w:uiPriority w:val="99"/>
    <w:unhideWhenUsed/>
    <w:pPr>
      <w:numPr>
        <w:ilvl w:val="2"/>
        <w:numId w:val="6"/>
      </w:numPr>
      <w:spacing w:before="120"/>
      <w:contextualSpacing/>
    </w:pPr>
    <w:rPr>
      <w:rFonts w:ascii="Cambria" w:eastAsia="Calibri" w:hAnsi="Cambria" w:cs="Times New Roman"/>
      <w:szCs w:val="22"/>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ind w:left="1701"/>
    </w:pPr>
    <w:rPr>
      <w:rFonts w:ascii="Cambria" w:eastAsia="Calibri" w:hAnsi="Cambria" w:cs="Times New Roman"/>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ind w:left="1701"/>
      <w:jc w:val="right"/>
    </w:pPr>
    <w:rPr>
      <w:rFonts w:ascii="Cambria" w:eastAsia="Calibri" w:hAnsi="Cambria" w:cs="Times New Roman"/>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2216C6"/>
    <w:rPr>
      <w:rFonts w:ascii="Times New Roman" w:eastAsia="Times New Roman" w:hAnsi="Times New Roman" w:cs="Times New Roman"/>
      <w:color w:val="000000"/>
      <w:sz w:val="24"/>
      <w:szCs w:val="20"/>
    </w:rPr>
  </w:style>
  <w:style w:type="paragraph" w:styleId="Title">
    <w:name w:val="Title"/>
    <w:basedOn w:val="Normal"/>
    <w:link w:val="TitleChar"/>
    <w:qFormat/>
    <w:rsid w:val="002216C6"/>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216C6"/>
    <w:rPr>
      <w:rFonts w:ascii="Arial Rounded MT Bold" w:eastAsia="Times New Roman" w:hAnsi="Arial Rounded MT Bold"/>
      <w:b/>
      <w:sz w:val="24"/>
      <w:lang w:eastAsia="en-US"/>
    </w:rPr>
  </w:style>
  <w:style w:type="paragraph" w:styleId="ListParagraph">
    <w:name w:val="List Paragraph"/>
    <w:basedOn w:val="Normal"/>
    <w:uiPriority w:val="99"/>
    <w:qFormat/>
    <w:rsid w:val="006C12D8"/>
    <w:pPr>
      <w:ind w:left="720"/>
      <w:contextualSpacing/>
    </w:pPr>
  </w:style>
  <w:style w:type="paragraph" w:styleId="FootnoteText">
    <w:name w:val="footnote text"/>
    <w:basedOn w:val="Normal"/>
    <w:link w:val="FootnoteTextChar"/>
    <w:uiPriority w:val="99"/>
    <w:semiHidden/>
    <w:unhideWhenUsed/>
    <w:rsid w:val="004B5F75"/>
    <w:rPr>
      <w:sz w:val="20"/>
      <w:szCs w:val="20"/>
    </w:rPr>
  </w:style>
  <w:style w:type="character" w:customStyle="1" w:styleId="FootnoteTextChar">
    <w:name w:val="Footnote Text Char"/>
    <w:basedOn w:val="DefaultParagraphFont"/>
    <w:link w:val="FootnoteText"/>
    <w:uiPriority w:val="99"/>
    <w:semiHidden/>
    <w:rsid w:val="004B5F75"/>
    <w:rPr>
      <w:rFonts w:asciiTheme="minorHAnsi" w:eastAsiaTheme="minorEastAsia" w:hAnsiTheme="minorHAnsi" w:cstheme="minorBidi"/>
      <w:lang w:eastAsia="en-US"/>
    </w:rPr>
  </w:style>
  <w:style w:type="character" w:styleId="FootnoteReference">
    <w:name w:val="footnote reference"/>
    <w:basedOn w:val="DefaultParagraphFont"/>
    <w:uiPriority w:val="99"/>
    <w:semiHidden/>
    <w:unhideWhenUsed/>
    <w:rsid w:val="004B5F75"/>
    <w:rPr>
      <w:vertAlign w:val="superscript"/>
    </w:rPr>
  </w:style>
  <w:style w:type="paragraph" w:styleId="ListNumber4">
    <w:name w:val="List Number 4"/>
    <w:basedOn w:val="Normal"/>
    <w:uiPriority w:val="99"/>
    <w:rsid w:val="00062746"/>
    <w:pPr>
      <w:spacing w:after="200"/>
      <w:ind w:left="1476" w:hanging="369"/>
    </w:pPr>
    <w:rPr>
      <w:rFonts w:ascii="Calibri" w:eastAsia="Calibri" w:hAnsi="Calibri" w:cs="Times New Roman"/>
      <w:sz w:val="24"/>
      <w:szCs w:val="22"/>
    </w:rPr>
  </w:style>
  <w:style w:type="paragraph" w:styleId="ListNumber5">
    <w:name w:val="List Number 5"/>
    <w:basedOn w:val="Normal"/>
    <w:uiPriority w:val="99"/>
    <w:rsid w:val="00062746"/>
    <w:pPr>
      <w:spacing w:after="200"/>
      <w:ind w:left="1845" w:hanging="369"/>
    </w:pPr>
    <w:rPr>
      <w:rFonts w:ascii="Calibri" w:eastAsia="Calibri" w:hAnsi="Calibri" w:cs="Times New Roman"/>
      <w:sz w:val="24"/>
      <w:szCs w:val="22"/>
    </w:rPr>
  </w:style>
  <w:style w:type="paragraph" w:customStyle="1" w:styleId="STOCsubheading">
    <w:name w:val="STOC subheading"/>
    <w:basedOn w:val="Normal"/>
    <w:qFormat/>
    <w:rsid w:val="001A4312"/>
    <w:pPr>
      <w:keepNext/>
      <w:spacing w:before="240"/>
    </w:pPr>
    <w:rPr>
      <w:rFonts w:ascii="Times New Roman" w:eastAsia="Times New Roman" w:hAnsi="Times New Roman" w:cs="Times New Roman"/>
      <w:b/>
      <w:sz w:val="24"/>
      <w:lang w:eastAsia="en-AU"/>
    </w:rPr>
  </w:style>
  <w:style w:type="paragraph" w:customStyle="1" w:styleId="bulletlistfinal">
    <w:name w:val="bullet list final"/>
    <w:basedOn w:val="Normal"/>
    <w:rsid w:val="001A4312"/>
    <w:pPr>
      <w:numPr>
        <w:numId w:val="24"/>
      </w:numPr>
      <w:spacing w:before="120"/>
    </w:pPr>
    <w:rPr>
      <w:rFonts w:ascii="Cambria" w:eastAsia="Calibri" w:hAnsi="Cambria" w:cs="Times New Roman"/>
      <w:szCs w:val="22"/>
    </w:rPr>
  </w:style>
  <w:style w:type="paragraph" w:customStyle="1" w:styleId="Finalbulletpoint">
    <w:name w:val="Final bullet point"/>
    <w:basedOn w:val="Normal"/>
    <w:qFormat/>
    <w:rsid w:val="001A4312"/>
    <w:pPr>
      <w:numPr>
        <w:numId w:val="23"/>
      </w:numPr>
      <w:spacing w:after="240"/>
      <w:ind w:left="567" w:hanging="567"/>
    </w:pPr>
    <w:rPr>
      <w:rFonts w:ascii="Times New Roman" w:eastAsia="Calibri" w:hAnsi="Times New Roman" w:cs="Times New Roman"/>
      <w:sz w:val="24"/>
      <w:szCs w:val="22"/>
    </w:rPr>
  </w:style>
  <w:style w:type="paragraph" w:customStyle="1" w:styleId="BodyText1">
    <w:name w:val="Body Text1"/>
    <w:basedOn w:val="Normal"/>
    <w:qFormat/>
    <w:rsid w:val="001A4312"/>
    <w:pPr>
      <w:spacing w:after="240"/>
    </w:pPr>
    <w:rPr>
      <w:rFonts w:ascii="Times New Roman" w:eastAsia="Calibri" w:hAnsi="Times New Roman" w:cs="Times New Roman"/>
      <w:sz w:val="24"/>
    </w:rPr>
  </w:style>
  <w:style w:type="paragraph" w:customStyle="1" w:styleId="Bulletlistleadinsentence">
    <w:name w:val="Bullet list lead in sentence"/>
    <w:basedOn w:val="BodyText1"/>
    <w:qFormat/>
    <w:rsid w:val="001A4312"/>
    <w:pPr>
      <w:keepNext/>
      <w:spacing w:after="0"/>
    </w:pPr>
  </w:style>
  <w:style w:type="paragraph" w:customStyle="1" w:styleId="RightinSTOC">
    <w:name w:val="Right in STOC"/>
    <w:basedOn w:val="Normal"/>
    <w:qFormat/>
    <w:rsid w:val="001A4312"/>
    <w:pPr>
      <w:keepNext/>
      <w:spacing w:before="240" w:after="120"/>
    </w:pPr>
    <w:rPr>
      <w:rFonts w:ascii="Times New Roman" w:eastAsia="Calibri" w:hAnsi="Times New Roman" w:cs="Times New Roman"/>
      <w:b/>
      <w:i/>
      <w:sz w:val="24"/>
      <w:szCs w:val="22"/>
    </w:rPr>
  </w:style>
  <w:style w:type="paragraph" w:customStyle="1" w:styleId="SummaryinSTOC">
    <w:name w:val="Summary in STOC"/>
    <w:basedOn w:val="Normal"/>
    <w:qFormat/>
    <w:rsid w:val="001A4312"/>
    <w:pPr>
      <w:keepNext/>
      <w:spacing w:after="120"/>
    </w:pPr>
    <w:rPr>
      <w:rFonts w:ascii="Times New Roman" w:eastAsia="Times New Roman" w:hAnsi="Times New Roman" w:cs="Times New Roman"/>
      <w:sz w:val="24"/>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263B04C41F42BF8717ED6356588F04"/>
        <w:category>
          <w:name w:val="General"/>
          <w:gallery w:val="placeholder"/>
        </w:category>
        <w:types>
          <w:type w:val="bbPlcHdr"/>
        </w:types>
        <w:behaviors>
          <w:behavior w:val="content"/>
        </w:behaviors>
        <w:guid w:val="{8D48D135-17FC-4AF2-80C6-BDB916206A66}"/>
      </w:docPartPr>
      <w:docPartBody>
        <w:p w:rsidR="00111A42" w:rsidRDefault="009E5716" w:rsidP="009E5716">
          <w:pPr>
            <w:pStyle w:val="F2263B04C41F42BF8717ED6356588F04"/>
          </w:pPr>
          <w:r w:rsidRPr="004A1156">
            <w:rPr>
              <w:rStyle w:val="PlaceholderText"/>
            </w:rPr>
            <w:t>Click here to enter text.</w:t>
          </w:r>
        </w:p>
      </w:docPartBody>
    </w:docPart>
    <w:docPart>
      <w:docPartPr>
        <w:name w:val="ACFE19C82F784B4AA99CD2E2CB059054"/>
        <w:category>
          <w:name w:val="General"/>
          <w:gallery w:val="placeholder"/>
        </w:category>
        <w:types>
          <w:type w:val="bbPlcHdr"/>
        </w:types>
        <w:behaviors>
          <w:behavior w:val="content"/>
        </w:behaviors>
        <w:guid w:val="{B6B5F37B-C094-4C02-8B57-83EE9A879B36}"/>
      </w:docPartPr>
      <w:docPartBody>
        <w:p w:rsidR="00C738BD" w:rsidRDefault="00BD2260" w:rsidP="00BD2260">
          <w:pPr>
            <w:pStyle w:val="ACFE19C82F784B4AA99CD2E2CB059054"/>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44"/>
    <w:rsid w:val="00111A42"/>
    <w:rsid w:val="004E2244"/>
    <w:rsid w:val="00551AF5"/>
    <w:rsid w:val="005C033C"/>
    <w:rsid w:val="00682126"/>
    <w:rsid w:val="006B1DF2"/>
    <w:rsid w:val="009E5716"/>
    <w:rsid w:val="00B50E28"/>
    <w:rsid w:val="00BD2260"/>
    <w:rsid w:val="00C738BD"/>
    <w:rsid w:val="00EA2C68"/>
    <w:rsid w:val="00EC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260"/>
    <w:rPr>
      <w:color w:val="808080"/>
    </w:rPr>
  </w:style>
  <w:style w:type="paragraph" w:customStyle="1" w:styleId="4A1AA0D7369B4FB5AF07C97AC8D8222F">
    <w:name w:val="4A1AA0D7369B4FB5AF07C97AC8D8222F"/>
    <w:rsid w:val="004E2244"/>
  </w:style>
  <w:style w:type="paragraph" w:customStyle="1" w:styleId="2FF67B7B1F4D4AE6839F76BD35E46DE1">
    <w:name w:val="2FF67B7B1F4D4AE6839F76BD35E46DE1"/>
    <w:rsid w:val="009E5716"/>
  </w:style>
  <w:style w:type="paragraph" w:customStyle="1" w:styleId="F2263B04C41F42BF8717ED6356588F04">
    <w:name w:val="F2263B04C41F42BF8717ED6356588F04"/>
    <w:rsid w:val="009E5716"/>
  </w:style>
  <w:style w:type="paragraph" w:customStyle="1" w:styleId="3E4E07DA65DD47938527B2485C4A5688">
    <w:name w:val="3E4E07DA65DD47938527B2485C4A5688"/>
    <w:rsid w:val="00EC6B0B"/>
  </w:style>
  <w:style w:type="paragraph" w:customStyle="1" w:styleId="ACFE19C82F784B4AA99CD2E2CB059054">
    <w:name w:val="ACFE19C82F784B4AA99CD2E2CB059054"/>
    <w:rsid w:val="00BD2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D309722C-A69C-4794-AB68-406AA86104BF" xsi:nil="true"/>
    <SecurityClassification xmlns="D309722C-A69C-4794-AB68-406AA86104BF" xsi:nil="true"/>
    <pdms_DocumentType xmlns="D309722C-A69C-4794-AB68-406AA86104BF" xsi:nil="true"/>
    <pdms_Reason xmlns="D309722C-A69C-4794-AB68-406AA86104BF" xsi:nil="true"/>
    <pdms_AttachedBy xmlns="D309722C-A69C-4794-AB68-406AA8610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1BF8E5BEAA3C0D4191665ABBB0222D28" ma:contentTypeVersion="" ma:contentTypeDescription="PDMS Documentation Content Type" ma:contentTypeScope="" ma:versionID="accfecce43b4cb7b5f6e51e46ba17222">
  <xsd:schema xmlns:xsd="http://www.w3.org/2001/XMLSchema" xmlns:xs="http://www.w3.org/2001/XMLSchema" xmlns:p="http://schemas.microsoft.com/office/2006/metadata/properties" xmlns:ns2="D309722C-A69C-4794-AB68-406AA86104BF" targetNamespace="http://schemas.microsoft.com/office/2006/metadata/properties" ma:root="true" ma:fieldsID="177e7a0cc8da5509b6803ae92f4f2e69" ns2:_="">
    <xsd:import namespace="D309722C-A69C-4794-AB68-406AA86104B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9722C-A69C-4794-AB68-406AA86104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3CD19-EEAC-4168-A5B8-05B6257C83C0}">
  <ds:schemaRefs>
    <ds:schemaRef ds:uri="http://purl.org/dc/terms/"/>
    <ds:schemaRef ds:uri="D309722C-A69C-4794-AB68-406AA86104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12140B-0CFE-46FE-81F0-FFB0D305F4D7}">
  <ds:schemaRefs>
    <ds:schemaRef ds:uri="http://schemas.microsoft.com/sharepoint/v3/contenttype/forms"/>
  </ds:schemaRefs>
</ds:datastoreItem>
</file>

<file path=customXml/itemProps3.xml><?xml version="1.0" encoding="utf-8"?>
<ds:datastoreItem xmlns:ds="http://schemas.openxmlformats.org/officeDocument/2006/customXml" ds:itemID="{D3D36B61-A613-4F1B-8473-1A5353ED6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9722C-A69C-4794-AB68-406AA861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FE5E4-28FB-4B11-AF13-12E70013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Matt M</dc:creator>
  <cp:keywords/>
  <dc:description/>
  <cp:lastModifiedBy>Matt M</cp:lastModifiedBy>
  <cp:revision>2</cp:revision>
  <cp:lastPrinted>2018-08-24T03:26:00Z</cp:lastPrinted>
  <dcterms:created xsi:type="dcterms:W3CDTF">2018-08-26T23:23:00Z</dcterms:created>
  <dcterms:modified xsi:type="dcterms:W3CDTF">2018-08-26T23:23:00Z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0x010100266966F133664895A6EE3632470D45F501001BF8E5BEAA3C0D4191665ABBB0222D28</vt:lpwstr>
  </property>
</Properties>
</file>