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D7F14" w14:textId="77777777" w:rsidR="000E0DD5" w:rsidRPr="00141E5B" w:rsidRDefault="000E0DD5" w:rsidP="00A256E9">
      <w:pPr>
        <w:pStyle w:val="ESTitle"/>
      </w:pPr>
      <w:bookmarkStart w:id="0" w:name="_GoBack"/>
      <w:bookmarkEnd w:id="0"/>
      <w:r w:rsidRPr="00141E5B">
        <w:t>EXPLANATORY STATEMENT</w:t>
      </w:r>
    </w:p>
    <w:p w14:paraId="73ED7F15" w14:textId="47BB2CCC" w:rsidR="000E0DD5" w:rsidRPr="00141E5B" w:rsidRDefault="008A322F" w:rsidP="00A256E9">
      <w:pPr>
        <w:pStyle w:val="ESSubtitle"/>
        <w:rPr>
          <w:lang w:eastAsia="en-AU"/>
        </w:rPr>
      </w:pPr>
      <w:r>
        <w:rPr>
          <w:lang w:eastAsia="en-AU"/>
        </w:rPr>
        <w:br/>
      </w:r>
      <w:r w:rsidR="000E0DD5" w:rsidRPr="00141E5B">
        <w:rPr>
          <w:lang w:eastAsia="en-AU"/>
        </w:rPr>
        <w:t>Carbon Credits (Carbon Farming Initiative) Act 2011</w:t>
      </w:r>
    </w:p>
    <w:p w14:paraId="73ED7F16" w14:textId="3D627750" w:rsidR="000E0DD5" w:rsidRPr="00141E5B" w:rsidRDefault="000E0DD5" w:rsidP="00A256E9">
      <w:pPr>
        <w:pStyle w:val="ESSubtitle"/>
      </w:pPr>
      <w:r w:rsidRPr="00141E5B">
        <w:rPr>
          <w:lang w:eastAsia="en-AU"/>
        </w:rPr>
        <w:t>Carbon Credits (Carbon Farming Initiative—</w:t>
      </w:r>
      <w:r w:rsidR="00926ACA">
        <w:rPr>
          <w:lang w:eastAsia="en-AU"/>
        </w:rPr>
        <w:t>Industrial Equipment Upgrade</w:t>
      </w:r>
      <w:r w:rsidR="00132006">
        <w:rPr>
          <w:lang w:eastAsia="en-AU"/>
        </w:rPr>
        <w:t>s</w:t>
      </w:r>
      <w:r w:rsidRPr="00141E5B">
        <w:rPr>
          <w:lang w:eastAsia="en-AU"/>
        </w:rPr>
        <w:t xml:space="preserve">) Methodology Determination </w:t>
      </w:r>
      <w:r w:rsidR="00391C4B" w:rsidRPr="00141E5B">
        <w:rPr>
          <w:lang w:eastAsia="en-AU"/>
        </w:rPr>
        <w:t>201</w:t>
      </w:r>
      <w:r w:rsidR="00391C4B">
        <w:rPr>
          <w:lang w:eastAsia="en-AU"/>
        </w:rPr>
        <w:t>8</w:t>
      </w:r>
    </w:p>
    <w:p w14:paraId="73ED7F17" w14:textId="77777777" w:rsidR="000E0DD5" w:rsidRPr="00141E5B" w:rsidRDefault="000E0DD5" w:rsidP="00007F4C">
      <w:pPr>
        <w:pStyle w:val="ESHeading"/>
      </w:pPr>
      <w:r w:rsidRPr="00141E5B">
        <w:t>Background: Emissions Reduction Fund</w:t>
      </w:r>
    </w:p>
    <w:p w14:paraId="73ED7F18" w14:textId="77777777" w:rsidR="000E0DD5" w:rsidRPr="008D6661" w:rsidRDefault="000E0DD5" w:rsidP="00007F4C">
      <w:pPr>
        <w:spacing w:line="240" w:lineRule="auto"/>
      </w:pPr>
      <w:r w:rsidRPr="008D6661">
        <w:t xml:space="preserve">The </w:t>
      </w:r>
      <w:r w:rsidRPr="008D6661">
        <w:rPr>
          <w:i/>
        </w:rPr>
        <w:t>Carbon Credits (Carbon Farming Initiative) Act 2011</w:t>
      </w:r>
      <w:r w:rsidRPr="008D6661">
        <w:t xml:space="preserve"> (the </w:t>
      </w:r>
      <w:r w:rsidRPr="00AE1D97">
        <w:t>Act</w:t>
      </w:r>
      <w:r w:rsidRPr="008D6661">
        <w:t xml:space="preserve">) enables the crediting of greenhouse gas abatement from emissions reduction activities across the economy. Greenhouse gas abatement is achieved by reducing or avoiding emissions or by removing carbon from the atmosphere and storing it in soil or trees. </w:t>
      </w:r>
    </w:p>
    <w:p w14:paraId="73ED7F19" w14:textId="60DEBF08" w:rsidR="000E0DD5" w:rsidRPr="008D6661" w:rsidRDefault="000E0DD5" w:rsidP="00007F4C">
      <w:pPr>
        <w:spacing w:line="240" w:lineRule="auto"/>
      </w:pPr>
      <w:r w:rsidRPr="008D6661">
        <w:t xml:space="preserve">In 2014, the Australian Parliament passed the </w:t>
      </w:r>
      <w:r w:rsidRPr="008D6661">
        <w:rPr>
          <w:i/>
        </w:rPr>
        <w:t>Carbon Farming Initiative Amendment Act</w:t>
      </w:r>
      <w:r w:rsidR="003F5D9C">
        <w:rPr>
          <w:i/>
        </w:rPr>
        <w:t> </w:t>
      </w:r>
      <w:r w:rsidRPr="008D6661">
        <w:rPr>
          <w:i/>
        </w:rPr>
        <w:t>2014</w:t>
      </w:r>
      <w:r w:rsidRPr="008D6661">
        <w:t>, which establishes the Emissions Reduction Fund (ERF). The ERF has three elements: crediting emissions reductions, purchasing emissions reductions, and safeguarding emissions reductions.</w:t>
      </w:r>
    </w:p>
    <w:p w14:paraId="73ED7F1A" w14:textId="77777777" w:rsidR="000E0DD5" w:rsidRPr="008D6661" w:rsidRDefault="000E0DD5" w:rsidP="00007F4C">
      <w:pPr>
        <w:spacing w:line="240" w:lineRule="auto"/>
      </w:pPr>
      <w:r w:rsidRPr="008D6661">
        <w:t xml:space="preserve">Emissions reduction activities are undertaken as </w:t>
      </w:r>
      <w:r w:rsidR="00AE1D97">
        <w:t>‘</w:t>
      </w:r>
      <w:r w:rsidRPr="008D6661">
        <w:t>offsets projects</w:t>
      </w:r>
      <w:r w:rsidR="00AE1D97">
        <w:t>’</w:t>
      </w:r>
      <w:r w:rsidRPr="008D6661">
        <w:t>. The process involved in establishing an offsets project is set out in Part 3 of the Act. An offsets project must be covered by, and undertaken in accordance with, a methodology determination.</w:t>
      </w:r>
    </w:p>
    <w:p w14:paraId="73ED7F1B" w14:textId="222F45AC" w:rsidR="000E0DD5" w:rsidRPr="008D6661" w:rsidRDefault="000E0DD5" w:rsidP="00007F4C">
      <w:pPr>
        <w:spacing w:line="240" w:lineRule="auto"/>
      </w:pPr>
      <w:r w:rsidRPr="008D6661">
        <w:t>Subsection 106(1) of the</w:t>
      </w:r>
      <w:r w:rsidRPr="008D6661">
        <w:rPr>
          <w:i/>
          <w:iCs/>
        </w:rPr>
        <w:t xml:space="preserve"> </w:t>
      </w:r>
      <w:r w:rsidRPr="008D6661">
        <w:rPr>
          <w:iCs/>
        </w:rPr>
        <w:t>Act</w:t>
      </w:r>
      <w:r w:rsidRPr="008D6661">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help ensure emissions reductions are genuine—they are both real and additional to business</w:t>
      </w:r>
      <w:r w:rsidR="008B6BE0">
        <w:noBreakHyphen/>
      </w:r>
      <w:r w:rsidRPr="008D6661">
        <w:t>as</w:t>
      </w:r>
      <w:r w:rsidR="008B6BE0">
        <w:noBreakHyphen/>
      </w:r>
      <w:r w:rsidRPr="008D6661">
        <w:t>usual.</w:t>
      </w:r>
    </w:p>
    <w:p w14:paraId="73ED7F1C" w14:textId="77777777" w:rsidR="000E0DD5" w:rsidRPr="008D6661" w:rsidRDefault="000E0DD5" w:rsidP="00007F4C">
      <w:pPr>
        <w:spacing w:line="240" w:lineRule="auto"/>
      </w:pPr>
      <w:r w:rsidRPr="008D6661">
        <w:t xml:space="preserve">In deciding to make a methodology determination the Minister must have regard to the advice of the Emissions Reduction Assurance Committee, an independent expert panel established to advise the Minister on proposals for methodology determinations. The Minister must not make or vary a methodology if the </w:t>
      </w:r>
      <w:r w:rsidR="00DE50C8">
        <w:t>Emissions Reduction Assurance Committee</w:t>
      </w:r>
      <w:r w:rsidRPr="008D6661">
        <w:t xml:space="preserve"> </w:t>
      </w:r>
      <w:r w:rsidR="00AE1D97">
        <w:t xml:space="preserve">advises the Minister </w:t>
      </w:r>
      <w:r w:rsidRPr="008D6661">
        <w:t xml:space="preserve">it </w:t>
      </w:r>
      <w:r w:rsidR="00AE1D97">
        <w:t xml:space="preserve">is </w:t>
      </w:r>
      <w:r w:rsidRPr="008D6661">
        <w:t xml:space="preserve">inconsistent with the offsets integrity standards, set out in section 133 of the Act. The Minister will also consider any adverse environmental, economic or social impacts likely to arise as a result of projects to which the determination applies. </w:t>
      </w:r>
    </w:p>
    <w:p w14:paraId="73ED7F1D" w14:textId="2B981B22" w:rsidR="000E0DD5" w:rsidRPr="008D6661" w:rsidRDefault="000E0DD5" w:rsidP="00007F4C">
      <w:pPr>
        <w:spacing w:line="240" w:lineRule="auto"/>
      </w:pPr>
      <w:r w:rsidRPr="008D6661">
        <w:t xml:space="preserve">Offsets projects undertaken in accordance with a methodology determination and approved by the Clean Energy Regulator (the Regulator) can generate Australian </w:t>
      </w:r>
      <w:r w:rsidR="008B6BE0">
        <w:t>C</w:t>
      </w:r>
      <w:r w:rsidR="00DB7A65">
        <w:t xml:space="preserve">arbon </w:t>
      </w:r>
      <w:r w:rsidR="008B6BE0">
        <w:t>C</w:t>
      </w:r>
      <w:r w:rsidR="00DB7A65">
        <w:t xml:space="preserve">redit </w:t>
      </w:r>
      <w:r w:rsidR="008B6BE0">
        <w:t>U</w:t>
      </w:r>
      <w:r w:rsidRPr="008D6661">
        <w:t>nits (ACCUs), representing emissions reductions from the project.</w:t>
      </w:r>
    </w:p>
    <w:p w14:paraId="73ED7F1E" w14:textId="6ED1F409" w:rsidR="000E0DD5" w:rsidRPr="008D6661" w:rsidRDefault="000E0DD5" w:rsidP="00007F4C">
      <w:pPr>
        <w:spacing w:line="240" w:lineRule="auto"/>
      </w:pPr>
      <w:r w:rsidRPr="008D6661">
        <w:t>Project proponents can receive funding from the ERF by submitting their projects into a competitive auction run by the Regulator. The Government will enter into contracts with successful proponents</w:t>
      </w:r>
      <w:r w:rsidR="00196D6F">
        <w:t>. This</w:t>
      </w:r>
      <w:r w:rsidRPr="008D6661">
        <w:t xml:space="preserve"> will guarantee the price and payment for the future delivery of emissions reductions.</w:t>
      </w:r>
    </w:p>
    <w:p w14:paraId="73ED7F1F" w14:textId="77777777" w:rsidR="000E0DD5" w:rsidRPr="00141E5B" w:rsidRDefault="000E0DD5" w:rsidP="00007F4C">
      <w:pPr>
        <w:spacing w:line="240" w:lineRule="auto"/>
      </w:pPr>
      <w:r w:rsidRPr="00141E5B">
        <w:t xml:space="preserve">Further information on the ERF is available on the Department of the Environment </w:t>
      </w:r>
      <w:r w:rsidR="00132006">
        <w:t xml:space="preserve">and Energy </w:t>
      </w:r>
      <w:r w:rsidR="00A4699D">
        <w:t xml:space="preserve">(the Department) </w:t>
      </w:r>
      <w:r w:rsidRPr="00141E5B">
        <w:t>website at:</w:t>
      </w:r>
      <w:r w:rsidRPr="00141E5B" w:rsidDel="008E2B1D">
        <w:t xml:space="preserve"> </w:t>
      </w:r>
      <w:hyperlink r:id="rId13" w:history="1">
        <w:r w:rsidRPr="00141E5B">
          <w:rPr>
            <w:rStyle w:val="Hyperlink"/>
            <w:szCs w:val="24"/>
          </w:rPr>
          <w:t>www.environment.gov.au/emissions-reduction-fund</w:t>
        </w:r>
      </w:hyperlink>
      <w:r w:rsidRPr="00141E5B">
        <w:t xml:space="preserve">. </w:t>
      </w:r>
    </w:p>
    <w:p w14:paraId="73ED7F20" w14:textId="77777777" w:rsidR="000E0DD5" w:rsidRPr="00141E5B" w:rsidRDefault="000E0DD5" w:rsidP="00007F4C">
      <w:pPr>
        <w:pStyle w:val="ESHeading"/>
      </w:pPr>
      <w:r w:rsidRPr="008D6661">
        <w:lastRenderedPageBreak/>
        <w:t xml:space="preserve">Background: </w:t>
      </w:r>
      <w:r w:rsidR="00926ACA">
        <w:t>Industrial equipment</w:t>
      </w:r>
      <w:r w:rsidR="00DA6F02">
        <w:t xml:space="preserve"> </w:t>
      </w:r>
      <w:r w:rsidR="005D4BEF">
        <w:t>u</w:t>
      </w:r>
      <w:r w:rsidR="00DA6F02">
        <w:t>pgrades</w:t>
      </w:r>
    </w:p>
    <w:p w14:paraId="73ED7F21" w14:textId="79325521" w:rsidR="00EF37A2" w:rsidRPr="00D4573F" w:rsidRDefault="000E0DD5" w:rsidP="00007F4C">
      <w:pPr>
        <w:spacing w:line="240" w:lineRule="auto"/>
        <w:rPr>
          <w:szCs w:val="24"/>
        </w:rPr>
      </w:pPr>
      <w:r w:rsidRPr="00141E5B">
        <w:t xml:space="preserve">The </w:t>
      </w:r>
      <w:r w:rsidRPr="00141E5B">
        <w:rPr>
          <w:rFonts w:eastAsia="Times New Roman"/>
          <w:bCs/>
          <w:i/>
          <w:kern w:val="36"/>
          <w:lang w:eastAsia="en-AU"/>
        </w:rPr>
        <w:t>Carbon Credits (Carbon Farming Initiative—</w:t>
      </w:r>
      <w:r w:rsidR="00926ACA">
        <w:rPr>
          <w:rFonts w:eastAsia="Times New Roman"/>
          <w:bCs/>
          <w:i/>
          <w:kern w:val="36"/>
          <w:lang w:eastAsia="en-AU"/>
        </w:rPr>
        <w:t>Industrial Equipment Upgrade</w:t>
      </w:r>
      <w:r w:rsidR="00132006">
        <w:rPr>
          <w:rFonts w:eastAsia="Times New Roman"/>
          <w:bCs/>
          <w:i/>
          <w:kern w:val="36"/>
          <w:lang w:eastAsia="en-AU"/>
        </w:rPr>
        <w:t>s</w:t>
      </w:r>
      <w:r w:rsidRPr="00141E5B">
        <w:rPr>
          <w:rFonts w:eastAsia="Times New Roman"/>
          <w:bCs/>
          <w:i/>
          <w:kern w:val="36"/>
          <w:lang w:eastAsia="en-AU"/>
        </w:rPr>
        <w:t xml:space="preserve">) Methodology Determination </w:t>
      </w:r>
      <w:r w:rsidR="000B09E3" w:rsidRPr="00141E5B">
        <w:rPr>
          <w:rFonts w:eastAsia="Times New Roman"/>
          <w:bCs/>
          <w:i/>
          <w:kern w:val="36"/>
          <w:lang w:eastAsia="en-AU"/>
        </w:rPr>
        <w:t>201</w:t>
      </w:r>
      <w:r w:rsidR="000B09E3">
        <w:rPr>
          <w:rFonts w:eastAsia="Times New Roman"/>
          <w:bCs/>
          <w:i/>
          <w:kern w:val="36"/>
          <w:lang w:eastAsia="en-AU"/>
        </w:rPr>
        <w:t>8</w:t>
      </w:r>
      <w:r w:rsidR="000B09E3" w:rsidRPr="00141E5B">
        <w:t xml:space="preserve"> </w:t>
      </w:r>
      <w:r w:rsidRPr="00141E5B">
        <w:t xml:space="preserve">(the Determination) sets out rules for implementing and monitoring offsets projects that reduce greenhouse gas emissions </w:t>
      </w:r>
      <w:r w:rsidRPr="00D4573F">
        <w:rPr>
          <w:szCs w:val="24"/>
        </w:rPr>
        <w:t>associated with the consumption of el</w:t>
      </w:r>
      <w:r w:rsidR="00926ACA" w:rsidRPr="00D4573F">
        <w:rPr>
          <w:szCs w:val="24"/>
        </w:rPr>
        <w:t xml:space="preserve">ectricity and/or fossil fuels </w:t>
      </w:r>
      <w:r w:rsidR="00546AE4" w:rsidRPr="00D4573F">
        <w:rPr>
          <w:szCs w:val="24"/>
        </w:rPr>
        <w:t>by</w:t>
      </w:r>
      <w:r w:rsidR="00926ACA" w:rsidRPr="00D4573F">
        <w:rPr>
          <w:szCs w:val="24"/>
        </w:rPr>
        <w:t xml:space="preserve"> industrial </w:t>
      </w:r>
      <w:r w:rsidR="007461E4">
        <w:rPr>
          <w:szCs w:val="24"/>
        </w:rPr>
        <w:t xml:space="preserve">and similar </w:t>
      </w:r>
      <w:r w:rsidR="00546AE4" w:rsidRPr="00D4573F">
        <w:rPr>
          <w:szCs w:val="24"/>
        </w:rPr>
        <w:t>equipment</w:t>
      </w:r>
      <w:r w:rsidRPr="00D4573F">
        <w:rPr>
          <w:szCs w:val="24"/>
        </w:rPr>
        <w:t>.</w:t>
      </w:r>
    </w:p>
    <w:p w14:paraId="73ED7F22" w14:textId="77777777" w:rsidR="00A833B1" w:rsidRPr="00AA0D83" w:rsidRDefault="00EF37A2" w:rsidP="00007F4C">
      <w:pPr>
        <w:spacing w:line="240" w:lineRule="auto"/>
        <w:rPr>
          <w:szCs w:val="24"/>
        </w:rPr>
      </w:pPr>
      <w:r w:rsidRPr="00D4573F">
        <w:rPr>
          <w:szCs w:val="24"/>
        </w:rPr>
        <w:t xml:space="preserve">Industrial operations </w:t>
      </w:r>
      <w:r w:rsidRPr="00AA0D83">
        <w:rPr>
          <w:szCs w:val="24"/>
        </w:rPr>
        <w:t xml:space="preserve">generate direct (scope 1) greenhouse gas emissions from fuel combustion in systems such as boilers and </w:t>
      </w:r>
      <w:r w:rsidR="00187E8C" w:rsidRPr="00AA0D83">
        <w:rPr>
          <w:szCs w:val="24"/>
        </w:rPr>
        <w:t xml:space="preserve">ovens </w:t>
      </w:r>
      <w:r w:rsidRPr="00AA0D83">
        <w:rPr>
          <w:szCs w:val="24"/>
        </w:rPr>
        <w:t xml:space="preserve">as well as indirect (scope 2) greenhouse gas emissions from electrically powered systems such as </w:t>
      </w:r>
      <w:r w:rsidR="00187E8C" w:rsidRPr="00AA0D83">
        <w:rPr>
          <w:szCs w:val="24"/>
        </w:rPr>
        <w:t xml:space="preserve">air compressors </w:t>
      </w:r>
      <w:r w:rsidR="00082753" w:rsidRPr="00AA0D83">
        <w:rPr>
          <w:szCs w:val="24"/>
        </w:rPr>
        <w:t>and</w:t>
      </w:r>
      <w:r w:rsidRPr="00AA0D83">
        <w:rPr>
          <w:szCs w:val="24"/>
        </w:rPr>
        <w:t xml:space="preserve"> pumps.</w:t>
      </w:r>
      <w:r w:rsidR="003E1B42" w:rsidRPr="00AA0D83">
        <w:rPr>
          <w:szCs w:val="24"/>
        </w:rPr>
        <w:t xml:space="preserve"> </w:t>
      </w:r>
    </w:p>
    <w:p w14:paraId="73ED7F23" w14:textId="1AF8D7FD" w:rsidR="00A833B1" w:rsidRPr="00AA0D83" w:rsidRDefault="000E7E5E" w:rsidP="00007F4C">
      <w:pPr>
        <w:spacing w:line="240" w:lineRule="auto"/>
        <w:rPr>
          <w:szCs w:val="24"/>
        </w:rPr>
      </w:pPr>
      <w:r w:rsidRPr="00AA0D83">
        <w:rPr>
          <w:szCs w:val="24"/>
        </w:rPr>
        <w:t xml:space="preserve">Savings from energy efficiency measures on industrial </w:t>
      </w:r>
      <w:r w:rsidR="007461E4" w:rsidRPr="00AA0D83">
        <w:rPr>
          <w:szCs w:val="24"/>
        </w:rPr>
        <w:t xml:space="preserve">and similar </w:t>
      </w:r>
      <w:r w:rsidRPr="00AA0D83">
        <w:rPr>
          <w:szCs w:val="24"/>
        </w:rPr>
        <w:t>equipment can be maximised by improving the</w:t>
      </w:r>
      <w:r w:rsidR="00132006" w:rsidRPr="00AA0D83">
        <w:rPr>
          <w:szCs w:val="24"/>
        </w:rPr>
        <w:t xml:space="preserve"> efficiency of the whole system—such as a pumping system—</w:t>
      </w:r>
      <w:r w:rsidRPr="00AA0D83">
        <w:rPr>
          <w:szCs w:val="24"/>
        </w:rPr>
        <w:t>through a combination of measures. The Determination provides a system-wide measurement and verification approach</w:t>
      </w:r>
      <w:r w:rsidR="00AE1D97">
        <w:rPr>
          <w:szCs w:val="24"/>
        </w:rPr>
        <w:t>. It is</w:t>
      </w:r>
      <w:r w:rsidRPr="00AA0D83">
        <w:rPr>
          <w:szCs w:val="24"/>
        </w:rPr>
        <w:t xml:space="preserve"> based on measurements of baseline (i.e</w:t>
      </w:r>
      <w:r w:rsidR="00132006" w:rsidRPr="00AA0D83">
        <w:rPr>
          <w:szCs w:val="24"/>
        </w:rPr>
        <w:t>.</w:t>
      </w:r>
      <w:r w:rsidRPr="00AA0D83">
        <w:rPr>
          <w:szCs w:val="24"/>
        </w:rPr>
        <w:t xml:space="preserve"> pre-upgrade) and operating (i.e</w:t>
      </w:r>
      <w:r w:rsidR="00132006" w:rsidRPr="00AA0D83">
        <w:rPr>
          <w:szCs w:val="24"/>
        </w:rPr>
        <w:t>.</w:t>
      </w:r>
      <w:r w:rsidRPr="00AA0D83">
        <w:rPr>
          <w:szCs w:val="24"/>
        </w:rPr>
        <w:t xml:space="preserve"> post</w:t>
      </w:r>
      <w:r w:rsidR="00AE1D97">
        <w:rPr>
          <w:szCs w:val="24"/>
        </w:rPr>
        <w:t>-</w:t>
      </w:r>
      <w:r w:rsidRPr="00AA0D83">
        <w:rPr>
          <w:szCs w:val="24"/>
        </w:rPr>
        <w:t>upgrade) equipment energy consumption during representative baseline and operating measurement periods</w:t>
      </w:r>
      <w:r w:rsidR="00187E8C" w:rsidRPr="00AA0D83">
        <w:rPr>
          <w:szCs w:val="24"/>
        </w:rPr>
        <w:t>, with adjustment for</w:t>
      </w:r>
      <w:r w:rsidR="00A833B1" w:rsidRPr="00AA0D83">
        <w:rPr>
          <w:szCs w:val="24"/>
        </w:rPr>
        <w:t xml:space="preserve"> energy intensity</w:t>
      </w:r>
      <w:r w:rsidR="00187E8C" w:rsidRPr="00AA0D83">
        <w:rPr>
          <w:szCs w:val="24"/>
        </w:rPr>
        <w:t xml:space="preserve"> where this yields a more conservative result</w:t>
      </w:r>
      <w:r w:rsidR="00A833B1" w:rsidRPr="00AA0D83">
        <w:rPr>
          <w:szCs w:val="24"/>
        </w:rPr>
        <w:t xml:space="preserve">. </w:t>
      </w:r>
      <w:r w:rsidRPr="00AA0D83">
        <w:rPr>
          <w:szCs w:val="24"/>
        </w:rPr>
        <w:t>The length of baseline and operating measurement periods would typically be one month, with flexibility provided for shorter or longer periods where appropriate, such as where seasonal factors apply.</w:t>
      </w:r>
    </w:p>
    <w:p w14:paraId="73ED7F24" w14:textId="431E8C08" w:rsidR="00AA56A4" w:rsidRDefault="002668BF" w:rsidP="00007F4C">
      <w:pPr>
        <w:spacing w:line="240" w:lineRule="auto"/>
        <w:rPr>
          <w:szCs w:val="24"/>
        </w:rPr>
      </w:pPr>
      <w:r w:rsidRPr="00AA0D83">
        <w:rPr>
          <w:rFonts w:eastAsia="Times New Roman"/>
          <w:szCs w:val="24"/>
          <w:lang w:eastAsia="en-AU"/>
        </w:rPr>
        <w:t>The Determination provides flexibility for project proponents to undertake a broad range</w:t>
      </w:r>
      <w:r w:rsidRPr="00141E5B">
        <w:rPr>
          <w:rFonts w:eastAsia="Times New Roman"/>
          <w:szCs w:val="24"/>
          <w:lang w:eastAsia="en-AU"/>
        </w:rPr>
        <w:t xml:space="preserve"> of energy efficiency activities and to determine what activities are most appropriate for each </w:t>
      </w:r>
      <w:r>
        <w:rPr>
          <w:rFonts w:eastAsia="Times New Roman"/>
          <w:szCs w:val="24"/>
          <w:lang w:eastAsia="en-AU"/>
        </w:rPr>
        <w:t>type of equipment</w:t>
      </w:r>
      <w:r w:rsidRPr="00141E5B">
        <w:rPr>
          <w:rFonts w:eastAsia="Times New Roman"/>
          <w:szCs w:val="24"/>
          <w:lang w:eastAsia="en-AU"/>
        </w:rPr>
        <w:t>.</w:t>
      </w:r>
      <w:r w:rsidRPr="00141E5B">
        <w:t xml:space="preserve">  </w:t>
      </w:r>
      <w:r w:rsidR="008D6661" w:rsidRPr="00D4573F">
        <w:rPr>
          <w:szCs w:val="24"/>
        </w:rPr>
        <w:t xml:space="preserve">The method is designed </w:t>
      </w:r>
      <w:r w:rsidR="00E16BBE">
        <w:rPr>
          <w:szCs w:val="24"/>
        </w:rPr>
        <w:t xml:space="preserve">to </w:t>
      </w:r>
      <w:r w:rsidR="008D6661" w:rsidRPr="00D4573F">
        <w:rPr>
          <w:szCs w:val="24"/>
        </w:rPr>
        <w:t>cov</w:t>
      </w:r>
      <w:r w:rsidR="00132006">
        <w:rPr>
          <w:szCs w:val="24"/>
        </w:rPr>
        <w:t xml:space="preserve">er upgrades to a broad range </w:t>
      </w:r>
      <w:r w:rsidR="008D6661" w:rsidRPr="00D4573F">
        <w:rPr>
          <w:szCs w:val="24"/>
        </w:rPr>
        <w:t xml:space="preserve">of equipment </w:t>
      </w:r>
      <w:r w:rsidR="008D6661">
        <w:rPr>
          <w:szCs w:val="24"/>
        </w:rPr>
        <w:t xml:space="preserve">delivering </w:t>
      </w:r>
      <w:r w:rsidR="006D6C64">
        <w:rPr>
          <w:szCs w:val="24"/>
        </w:rPr>
        <w:t xml:space="preserve">a range </w:t>
      </w:r>
      <w:r w:rsidR="00132006">
        <w:rPr>
          <w:szCs w:val="24"/>
        </w:rPr>
        <w:t xml:space="preserve">of </w:t>
      </w:r>
      <w:r w:rsidR="008D6661" w:rsidRPr="00D4573F">
        <w:rPr>
          <w:szCs w:val="24"/>
        </w:rPr>
        <w:t xml:space="preserve">industrial </w:t>
      </w:r>
      <w:r w:rsidR="008D6661">
        <w:rPr>
          <w:szCs w:val="24"/>
        </w:rPr>
        <w:t>services</w:t>
      </w:r>
      <w:r w:rsidR="006D6C64">
        <w:rPr>
          <w:szCs w:val="24"/>
        </w:rPr>
        <w:t xml:space="preserve"> as listed in subsection 8(4)</w:t>
      </w:r>
      <w:r w:rsidR="00196D6F">
        <w:rPr>
          <w:szCs w:val="24"/>
        </w:rPr>
        <w:t xml:space="preserve"> of the Determination</w:t>
      </w:r>
      <w:r w:rsidR="006D6C64">
        <w:rPr>
          <w:szCs w:val="24"/>
        </w:rPr>
        <w:t>.</w:t>
      </w:r>
      <w:r w:rsidR="00AE1D97">
        <w:rPr>
          <w:szCs w:val="24"/>
        </w:rPr>
        <w:t xml:space="preserve"> </w:t>
      </w:r>
      <w:r w:rsidR="009C33BB" w:rsidRPr="00AA0D83">
        <w:rPr>
          <w:szCs w:val="24"/>
        </w:rPr>
        <w:t>For each individual upgrade</w:t>
      </w:r>
      <w:r w:rsidR="009C33BB" w:rsidRPr="006D6C64">
        <w:rPr>
          <w:szCs w:val="24"/>
        </w:rPr>
        <w:t xml:space="preserve">, </w:t>
      </w:r>
      <w:r w:rsidR="00A9395A" w:rsidRPr="006D6C64">
        <w:t>total energy consumption in the 12</w:t>
      </w:r>
      <w:r w:rsidR="00AA56A4" w:rsidRPr="006D6C64">
        <w:t xml:space="preserve"> </w:t>
      </w:r>
      <w:r w:rsidR="00A9395A" w:rsidRPr="006D6C64">
        <w:t>month</w:t>
      </w:r>
      <w:r w:rsidR="00AA56A4" w:rsidRPr="006D6C64">
        <w:t>s</w:t>
      </w:r>
      <w:r w:rsidR="00A9395A" w:rsidRPr="006D6C64">
        <w:t xml:space="preserve"> </w:t>
      </w:r>
      <w:r w:rsidR="0060741D" w:rsidRPr="006D6C64">
        <w:t>ending with the</w:t>
      </w:r>
      <w:r w:rsidR="00A9395A" w:rsidRPr="006D6C64">
        <w:t xml:space="preserve"> </w:t>
      </w:r>
      <w:r w:rsidR="008B5A4D">
        <w:t xml:space="preserve">end of the </w:t>
      </w:r>
      <w:r w:rsidR="00A9395A" w:rsidRPr="006D6C64">
        <w:t xml:space="preserve">baseline </w:t>
      </w:r>
      <w:r w:rsidR="0060741D" w:rsidRPr="006D6C64">
        <w:t xml:space="preserve">measurement </w:t>
      </w:r>
      <w:r w:rsidR="00A9395A" w:rsidRPr="006D6C64">
        <w:t>period</w:t>
      </w:r>
      <w:r w:rsidR="00AA56A4" w:rsidRPr="006D6C64">
        <w:t xml:space="preserve"> is limited to </w:t>
      </w:r>
      <w:r w:rsidR="00121EA1">
        <w:t>500,000 gigajoules</w:t>
      </w:r>
      <w:r w:rsidR="009C33BB" w:rsidRPr="006D6C64">
        <w:rPr>
          <w:szCs w:val="24"/>
        </w:rPr>
        <w:t xml:space="preserve">. </w:t>
      </w:r>
    </w:p>
    <w:p w14:paraId="73ED7F25" w14:textId="77777777" w:rsidR="008D6661" w:rsidRPr="00D4573F" w:rsidRDefault="008D6661" w:rsidP="001653A9">
      <w:pPr>
        <w:spacing w:line="240" w:lineRule="auto"/>
        <w:rPr>
          <w:szCs w:val="24"/>
        </w:rPr>
      </w:pPr>
      <w:r w:rsidRPr="00AA0D83">
        <w:rPr>
          <w:szCs w:val="24"/>
        </w:rPr>
        <w:t xml:space="preserve">Projects </w:t>
      </w:r>
      <w:r w:rsidR="00754BCA" w:rsidRPr="00AA0D83">
        <w:rPr>
          <w:szCs w:val="24"/>
        </w:rPr>
        <w:t>may</w:t>
      </w:r>
      <w:r w:rsidRPr="00AA0D83">
        <w:rPr>
          <w:szCs w:val="24"/>
        </w:rPr>
        <w:t xml:space="preserve"> include </w:t>
      </w:r>
      <w:r w:rsidR="003B510D" w:rsidRPr="00AA0D83">
        <w:rPr>
          <w:szCs w:val="24"/>
        </w:rPr>
        <w:t xml:space="preserve">one or more of </w:t>
      </w:r>
      <w:r w:rsidRPr="00AA0D83">
        <w:rPr>
          <w:szCs w:val="24"/>
        </w:rPr>
        <w:t>the following</w:t>
      </w:r>
      <w:r>
        <w:rPr>
          <w:szCs w:val="24"/>
        </w:rPr>
        <w:t xml:space="preserve"> activities</w:t>
      </w:r>
      <w:r w:rsidRPr="00D4573F">
        <w:rPr>
          <w:szCs w:val="24"/>
        </w:rPr>
        <w:t>:</w:t>
      </w:r>
    </w:p>
    <w:p w14:paraId="73ED7F26" w14:textId="77777777" w:rsidR="008D6661" w:rsidRPr="00D4573F" w:rsidRDefault="008D6661" w:rsidP="00A93545">
      <w:pPr>
        <w:pStyle w:val="ListBullet"/>
        <w:spacing w:before="120"/>
        <w:ind w:left="714" w:hanging="357"/>
        <w:rPr>
          <w:szCs w:val="24"/>
        </w:rPr>
      </w:pPr>
      <w:r w:rsidRPr="00D4573F">
        <w:rPr>
          <w:szCs w:val="24"/>
        </w:rPr>
        <w:t>modifying, re</w:t>
      </w:r>
      <w:r w:rsidR="003B510D">
        <w:rPr>
          <w:szCs w:val="24"/>
        </w:rPr>
        <w:t>moving or replacing equipment</w:t>
      </w:r>
      <w:r w:rsidRPr="00D4573F">
        <w:rPr>
          <w:szCs w:val="24"/>
        </w:rPr>
        <w:t xml:space="preserve"> </w:t>
      </w:r>
    </w:p>
    <w:p w14:paraId="73ED7F27" w14:textId="77777777" w:rsidR="008D6661" w:rsidRPr="00D4573F" w:rsidRDefault="008D6661" w:rsidP="00AF6D9A">
      <w:pPr>
        <w:pStyle w:val="ListBullet"/>
        <w:ind w:left="714" w:hanging="357"/>
        <w:rPr>
          <w:szCs w:val="24"/>
        </w:rPr>
      </w:pPr>
      <w:r w:rsidRPr="00D4573F">
        <w:rPr>
          <w:szCs w:val="24"/>
        </w:rPr>
        <w:t>installing additional equipment</w:t>
      </w:r>
      <w:r>
        <w:rPr>
          <w:szCs w:val="24"/>
        </w:rPr>
        <w:t xml:space="preserve"> </w:t>
      </w:r>
      <w:r w:rsidRPr="007807B3">
        <w:t>(e.g. waste heat</w:t>
      </w:r>
      <w:r>
        <w:t xml:space="preserve"> recovery, pre-heating/cooling)</w:t>
      </w:r>
    </w:p>
    <w:p w14:paraId="73ED7F28" w14:textId="77777777" w:rsidR="008D6661" w:rsidRDefault="008D6661" w:rsidP="00AF6D9A">
      <w:pPr>
        <w:pStyle w:val="ListBullet"/>
        <w:ind w:left="714" w:hanging="357"/>
        <w:rPr>
          <w:szCs w:val="24"/>
        </w:rPr>
      </w:pPr>
      <w:r w:rsidRPr="00D4573F">
        <w:rPr>
          <w:szCs w:val="24"/>
        </w:rPr>
        <w:t>changing the way existing equipment is controlled or operated</w:t>
      </w:r>
      <w:r>
        <w:rPr>
          <w:szCs w:val="24"/>
        </w:rPr>
        <w:t xml:space="preserve"> </w:t>
      </w:r>
      <w:r w:rsidRPr="007807B3">
        <w:t>(e.g. installing/upgrading control systems, sub-metering, refining control algorithms, or introducing additional feedback controls)</w:t>
      </w:r>
    </w:p>
    <w:p w14:paraId="73ED7F29" w14:textId="77777777" w:rsidR="008D6661" w:rsidRDefault="008D6661" w:rsidP="00AF6D9A">
      <w:pPr>
        <w:pStyle w:val="ListBullet"/>
        <w:ind w:left="714" w:hanging="357"/>
        <w:rPr>
          <w:szCs w:val="24"/>
        </w:rPr>
      </w:pPr>
      <w:r w:rsidRPr="00D4573F">
        <w:rPr>
          <w:szCs w:val="24"/>
        </w:rPr>
        <w:t xml:space="preserve">changing the energy sources </w:t>
      </w:r>
      <w:r>
        <w:rPr>
          <w:szCs w:val="24"/>
        </w:rPr>
        <w:t xml:space="preserve">or </w:t>
      </w:r>
      <w:r w:rsidRPr="00D4573F">
        <w:rPr>
          <w:szCs w:val="24"/>
        </w:rPr>
        <w:t>mix of energy sources</w:t>
      </w:r>
      <w:r>
        <w:rPr>
          <w:szCs w:val="24"/>
        </w:rPr>
        <w:t xml:space="preserve"> used</w:t>
      </w:r>
      <w:r w:rsidR="00AE1D97">
        <w:rPr>
          <w:szCs w:val="24"/>
        </w:rPr>
        <w:t>.</w:t>
      </w:r>
    </w:p>
    <w:p w14:paraId="73ED7F2A" w14:textId="2D4F06C0" w:rsidR="00240116" w:rsidRPr="008D6661" w:rsidRDefault="00AE1D97" w:rsidP="00CA3FEF">
      <w:pPr>
        <w:pStyle w:val="BodyText"/>
        <w:spacing w:before="120" w:after="0" w:line="240" w:lineRule="auto"/>
        <w:jc w:val="left"/>
        <w:rPr>
          <w:rFonts w:ascii="Times New Roman" w:hAnsi="Times New Roman" w:cs="Times New Roman"/>
          <w:sz w:val="24"/>
          <w:szCs w:val="24"/>
        </w:rPr>
      </w:pPr>
      <w:r>
        <w:rPr>
          <w:rFonts w:ascii="Times New Roman" w:hAnsi="Times New Roman" w:cs="Times New Roman"/>
          <w:sz w:val="24"/>
          <w:szCs w:val="24"/>
        </w:rPr>
        <w:t>S</w:t>
      </w:r>
      <w:r w:rsidR="00746643" w:rsidRPr="000F5E0E">
        <w:rPr>
          <w:rFonts w:ascii="Times New Roman" w:hAnsi="Times New Roman" w:cs="Times New Roman"/>
          <w:sz w:val="24"/>
          <w:szCs w:val="24"/>
        </w:rPr>
        <w:t>ome activities covered by the</w:t>
      </w:r>
      <w:r w:rsidR="00391C4B">
        <w:rPr>
          <w:rFonts w:ascii="Times New Roman" w:hAnsi="Times New Roman" w:cs="Times New Roman"/>
          <w:sz w:val="24"/>
          <w:szCs w:val="24"/>
        </w:rPr>
        <w:t xml:space="preserve"> </w:t>
      </w:r>
      <w:r w:rsidR="00746643" w:rsidRPr="000F5E0E">
        <w:rPr>
          <w:rFonts w:ascii="Times New Roman" w:hAnsi="Times New Roman" w:cs="Times New Roman"/>
          <w:sz w:val="24"/>
          <w:szCs w:val="24"/>
        </w:rPr>
        <w:t xml:space="preserve">Determination may also be eligible under the </w:t>
      </w:r>
      <w:r w:rsidR="003B510D" w:rsidRPr="003B510D">
        <w:rPr>
          <w:rFonts w:ascii="Times New Roman" w:hAnsi="Times New Roman" w:cs="Times New Roman"/>
          <w:bCs/>
          <w:i/>
          <w:sz w:val="24"/>
          <w:szCs w:val="24"/>
        </w:rPr>
        <w:t>Carbon Credits (Carbon Farming Initiative—Industrial E</w:t>
      </w:r>
      <w:r w:rsidR="001E60A6">
        <w:rPr>
          <w:rFonts w:ascii="Times New Roman" w:hAnsi="Times New Roman" w:cs="Times New Roman"/>
          <w:bCs/>
          <w:i/>
          <w:sz w:val="24"/>
          <w:szCs w:val="24"/>
        </w:rPr>
        <w:t>lectricity and Fuel Efficiency</w:t>
      </w:r>
      <w:r w:rsidR="003B510D" w:rsidRPr="003B510D">
        <w:rPr>
          <w:rFonts w:ascii="Times New Roman" w:hAnsi="Times New Roman" w:cs="Times New Roman"/>
          <w:bCs/>
          <w:i/>
          <w:sz w:val="24"/>
          <w:szCs w:val="24"/>
        </w:rPr>
        <w:t>) Methodology Determination 201</w:t>
      </w:r>
      <w:r w:rsidR="003B510D">
        <w:rPr>
          <w:rFonts w:ascii="Times New Roman" w:hAnsi="Times New Roman" w:cs="Times New Roman"/>
          <w:bCs/>
          <w:i/>
          <w:sz w:val="24"/>
          <w:szCs w:val="24"/>
        </w:rPr>
        <w:t>5</w:t>
      </w:r>
      <w:r w:rsidR="003B510D" w:rsidRPr="003B510D">
        <w:rPr>
          <w:rFonts w:ascii="Times New Roman" w:hAnsi="Times New Roman" w:cs="Times New Roman"/>
          <w:sz w:val="24"/>
          <w:szCs w:val="24"/>
        </w:rPr>
        <w:t xml:space="preserve"> </w:t>
      </w:r>
      <w:r w:rsidR="00746643" w:rsidRPr="000F5E0E">
        <w:rPr>
          <w:rFonts w:ascii="Times New Roman" w:hAnsi="Times New Roman" w:cs="Times New Roman"/>
          <w:sz w:val="24"/>
          <w:szCs w:val="24"/>
        </w:rPr>
        <w:t xml:space="preserve">or could be part of a much larger project under the </w:t>
      </w:r>
      <w:r w:rsidR="00600DA8" w:rsidRPr="00600DA8">
        <w:rPr>
          <w:rFonts w:ascii="Times New Roman" w:hAnsi="Times New Roman" w:cs="Times New Roman"/>
          <w:i/>
          <w:sz w:val="24"/>
          <w:szCs w:val="24"/>
        </w:rPr>
        <w:t>Carbon Credits (Carbon Farming Initiative—Facilities) Methodology Determination 2015</w:t>
      </w:r>
      <w:r>
        <w:rPr>
          <w:rFonts w:ascii="Times New Roman" w:hAnsi="Times New Roman" w:cs="Times New Roman"/>
          <w:sz w:val="24"/>
          <w:szCs w:val="24"/>
        </w:rPr>
        <w:t>.</w:t>
      </w:r>
      <w:r w:rsidR="00746643" w:rsidRPr="000F5E0E">
        <w:rPr>
          <w:rFonts w:ascii="Times New Roman" w:hAnsi="Times New Roman" w:cs="Times New Roman"/>
          <w:sz w:val="24"/>
          <w:szCs w:val="24"/>
        </w:rPr>
        <w:t xml:space="preserve"> </w:t>
      </w:r>
      <w:r>
        <w:rPr>
          <w:rFonts w:ascii="Times New Roman" w:hAnsi="Times New Roman" w:cs="Times New Roman"/>
          <w:sz w:val="24"/>
          <w:szCs w:val="24"/>
        </w:rPr>
        <w:t>However, t</w:t>
      </w:r>
      <w:r w:rsidR="00746643" w:rsidRPr="000F5E0E">
        <w:rPr>
          <w:rFonts w:ascii="Times New Roman" w:hAnsi="Times New Roman" w:cs="Times New Roman"/>
          <w:sz w:val="24"/>
          <w:szCs w:val="24"/>
        </w:rPr>
        <w:t>he existing methods are best suited to large</w:t>
      </w:r>
      <w:r w:rsidR="002668BF">
        <w:rPr>
          <w:rFonts w:ascii="Times New Roman" w:hAnsi="Times New Roman" w:cs="Times New Roman"/>
          <w:sz w:val="24"/>
          <w:szCs w:val="24"/>
        </w:rPr>
        <w:t>r</w:t>
      </w:r>
      <w:r w:rsidR="00746643" w:rsidRPr="000F5E0E">
        <w:rPr>
          <w:rFonts w:ascii="Times New Roman" w:hAnsi="Times New Roman" w:cs="Times New Roman"/>
          <w:sz w:val="24"/>
          <w:szCs w:val="24"/>
        </w:rPr>
        <w:t xml:space="preserve"> emissions reductions projects. </w:t>
      </w:r>
      <w:r w:rsidR="002668BF">
        <w:rPr>
          <w:rFonts w:ascii="Times New Roman" w:hAnsi="Times New Roman" w:cs="Times New Roman"/>
          <w:sz w:val="24"/>
          <w:szCs w:val="24"/>
        </w:rPr>
        <w:t xml:space="preserve">The Determination is intended to be </w:t>
      </w:r>
      <w:r w:rsidR="007968C9">
        <w:rPr>
          <w:rFonts w:ascii="Times New Roman" w:hAnsi="Times New Roman" w:cs="Times New Roman"/>
          <w:sz w:val="24"/>
          <w:szCs w:val="24"/>
        </w:rPr>
        <w:t>relatively simple</w:t>
      </w:r>
      <w:r>
        <w:rPr>
          <w:rFonts w:ascii="Times New Roman" w:hAnsi="Times New Roman" w:cs="Times New Roman"/>
          <w:sz w:val="24"/>
          <w:szCs w:val="24"/>
        </w:rPr>
        <w:t xml:space="preserve"> and enable</w:t>
      </w:r>
      <w:r w:rsidR="007968C9">
        <w:rPr>
          <w:rFonts w:ascii="Times New Roman" w:hAnsi="Times New Roman" w:cs="Times New Roman"/>
          <w:sz w:val="24"/>
          <w:szCs w:val="24"/>
        </w:rPr>
        <w:t xml:space="preserve"> smaller projects, </w:t>
      </w:r>
      <w:r w:rsidR="002668BF">
        <w:rPr>
          <w:rFonts w:ascii="Times New Roman" w:hAnsi="Times New Roman" w:cs="Times New Roman"/>
          <w:sz w:val="24"/>
          <w:szCs w:val="24"/>
        </w:rPr>
        <w:t xml:space="preserve">while </w:t>
      </w:r>
      <w:r w:rsidR="007968C9">
        <w:rPr>
          <w:rFonts w:ascii="Times New Roman" w:hAnsi="Times New Roman" w:cs="Times New Roman"/>
          <w:sz w:val="24"/>
          <w:szCs w:val="24"/>
        </w:rPr>
        <w:t>accommodating</w:t>
      </w:r>
      <w:r w:rsidR="002668BF">
        <w:rPr>
          <w:rFonts w:ascii="Times New Roman" w:hAnsi="Times New Roman" w:cs="Times New Roman"/>
          <w:sz w:val="24"/>
          <w:szCs w:val="24"/>
        </w:rPr>
        <w:t xml:space="preserve"> a wide range of </w:t>
      </w:r>
      <w:r w:rsidR="007968C9">
        <w:rPr>
          <w:rFonts w:ascii="Times New Roman" w:hAnsi="Times New Roman" w:cs="Times New Roman"/>
          <w:sz w:val="24"/>
          <w:szCs w:val="24"/>
        </w:rPr>
        <w:t>equipment upgrade activities</w:t>
      </w:r>
      <w:r w:rsidR="004D562E">
        <w:rPr>
          <w:rFonts w:ascii="Times New Roman" w:hAnsi="Times New Roman" w:cs="Times New Roman"/>
          <w:sz w:val="24"/>
          <w:szCs w:val="24"/>
        </w:rPr>
        <w:t>.</w:t>
      </w:r>
    </w:p>
    <w:p w14:paraId="73ED7F2B" w14:textId="4BC2C4D2" w:rsidR="000E0DD5" w:rsidRPr="00141E5B" w:rsidRDefault="000E0DD5" w:rsidP="00007F4C">
      <w:pPr>
        <w:pStyle w:val="ESHeading"/>
      </w:pPr>
      <w:r w:rsidRPr="00141E5B">
        <w:t>Application of the Determination</w:t>
      </w:r>
    </w:p>
    <w:p w14:paraId="73ED7F2C" w14:textId="140B0E3A" w:rsidR="009A4537" w:rsidRPr="007968C9" w:rsidRDefault="000E0DD5" w:rsidP="00007F4C">
      <w:pPr>
        <w:spacing w:line="240" w:lineRule="auto"/>
      </w:pPr>
      <w:r w:rsidRPr="007968C9">
        <w:t>The Determination sets out</w:t>
      </w:r>
      <w:r w:rsidR="00542D2A">
        <w:t xml:space="preserve"> </w:t>
      </w:r>
      <w:r w:rsidRPr="007968C9">
        <w:t xml:space="preserve">rules for implementing and monitoring offsets projects that reduce greenhouse gas emissions associated with the electricity and fuel consumption of </w:t>
      </w:r>
      <w:r w:rsidR="00746643" w:rsidRPr="007968C9">
        <w:t xml:space="preserve">industrial </w:t>
      </w:r>
      <w:r w:rsidR="009A4537" w:rsidRPr="007968C9">
        <w:t xml:space="preserve">and </w:t>
      </w:r>
      <w:r w:rsidR="007461E4">
        <w:t>similar</w:t>
      </w:r>
      <w:r w:rsidR="009A4537" w:rsidRPr="007968C9">
        <w:t xml:space="preserve"> </w:t>
      </w:r>
      <w:r w:rsidR="00746643" w:rsidRPr="007968C9">
        <w:t>equipment</w:t>
      </w:r>
      <w:r w:rsidRPr="007968C9">
        <w:t xml:space="preserve">. These rules </w:t>
      </w:r>
      <w:r w:rsidR="00AE1D97">
        <w:t>are</w:t>
      </w:r>
      <w:r w:rsidRPr="007968C9">
        <w:t xml:space="preserve"> designed to reflect the requirements of the Act’s offsets integrity standards to help ensure that emissions reductions are real and additional to business-as-usual. </w:t>
      </w:r>
    </w:p>
    <w:p w14:paraId="73ED7F2D" w14:textId="77777777" w:rsidR="000E0DD5" w:rsidRPr="007968C9" w:rsidRDefault="000E0DD5" w:rsidP="00AA1A77">
      <w:pPr>
        <w:spacing w:after="120" w:line="240" w:lineRule="auto"/>
      </w:pPr>
      <w:r w:rsidRPr="007968C9">
        <w:lastRenderedPageBreak/>
        <w:t xml:space="preserve">The offsets integrity standards require that an eligible project should result in carbon abatement that is unlikely to occur in the ordinary course of events and is eligible carbon abatement under the Act. In summary, the offsets integrity standards also require that: </w:t>
      </w:r>
    </w:p>
    <w:p w14:paraId="73ED7F2E" w14:textId="77777777" w:rsidR="000E0DD5" w:rsidRPr="007968C9" w:rsidRDefault="00BC211C" w:rsidP="00A93545">
      <w:pPr>
        <w:pStyle w:val="ListBullet"/>
        <w:spacing w:before="120"/>
        <w:ind w:left="714" w:hanging="357"/>
      </w:pPr>
      <w:r>
        <w:t>carbon abatement from projects is</w:t>
      </w:r>
      <w:r w:rsidR="000E0DD5" w:rsidRPr="007968C9">
        <w:t xml:space="preserve"> measurabl</w:t>
      </w:r>
      <w:r w:rsidR="00600DA8">
        <w:t>e and capable of being verified</w:t>
      </w:r>
    </w:p>
    <w:p w14:paraId="73ED7F2F" w14:textId="77777777" w:rsidR="000E0DD5" w:rsidRPr="007968C9" w:rsidRDefault="000E0DD5" w:rsidP="00007F4C">
      <w:pPr>
        <w:pStyle w:val="ListBullet"/>
      </w:pPr>
      <w:r w:rsidRPr="007968C9">
        <w:t>the method</w:t>
      </w:r>
      <w:r w:rsidR="00BC211C">
        <w:t>ology determinations</w:t>
      </w:r>
      <w:r w:rsidRPr="007968C9">
        <w:t xml:space="preserve"> used are supported by cl</w:t>
      </w:r>
      <w:r w:rsidR="00600DA8">
        <w:t>ear and convincing evidence</w:t>
      </w:r>
    </w:p>
    <w:p w14:paraId="73ED7F30" w14:textId="77777777" w:rsidR="000E0DD5" w:rsidRPr="007968C9" w:rsidRDefault="000E0DD5" w:rsidP="00007F4C">
      <w:pPr>
        <w:pStyle w:val="ListBullet"/>
      </w:pPr>
      <w:r w:rsidRPr="007968C9">
        <w:t xml:space="preserve">material emissions which are a direct consequence </w:t>
      </w:r>
      <w:r w:rsidR="00600DA8">
        <w:t>of the project are deducted</w:t>
      </w:r>
    </w:p>
    <w:p w14:paraId="73ED7F31" w14:textId="77777777" w:rsidR="000E0DD5" w:rsidRPr="007968C9" w:rsidRDefault="000E0DD5" w:rsidP="00007F4C">
      <w:pPr>
        <w:pStyle w:val="ListBullet"/>
      </w:pPr>
      <w:r w:rsidRPr="007968C9">
        <w:t>estimates, assumptions or projections used in the determination should be conservative.</w:t>
      </w:r>
    </w:p>
    <w:p w14:paraId="73ED7F32" w14:textId="3BDAF9FF" w:rsidR="000E0DD5" w:rsidRPr="007968C9" w:rsidRDefault="000E0DD5" w:rsidP="00AA1A77">
      <w:pPr>
        <w:spacing w:after="120" w:line="240" w:lineRule="auto"/>
      </w:pPr>
      <w:r w:rsidRPr="007968C9">
        <w:t>Project proponents wishing to implement projects under the Determination</w:t>
      </w:r>
      <w:r w:rsidR="00F0795E">
        <w:t xml:space="preserve"> </w:t>
      </w:r>
      <w:r w:rsidR="000B09E3">
        <w:t>must</w:t>
      </w:r>
      <w:r w:rsidR="000B09E3" w:rsidRPr="007968C9">
        <w:t xml:space="preserve"> </w:t>
      </w:r>
      <w:r w:rsidRPr="007968C9">
        <w:t>make an application to the Regulator under section 22 of the Act. They must also meet the general eligibility requirements for an offsets project set out in subsection 27(4), which include compliance with the requirements set out in the Determination, and the additionality requirements in subsection 27(4A) of the Act. The additionality requirements are:</w:t>
      </w:r>
    </w:p>
    <w:p w14:paraId="73ED7F33" w14:textId="77777777" w:rsidR="000E0DD5" w:rsidRPr="007968C9" w:rsidRDefault="00600DA8" w:rsidP="00A93545">
      <w:pPr>
        <w:pStyle w:val="ListBullet"/>
        <w:spacing w:before="120"/>
        <w:ind w:left="714" w:hanging="357"/>
      </w:pPr>
      <w:r>
        <w:t>the newness requirement</w:t>
      </w:r>
    </w:p>
    <w:p w14:paraId="73ED7F34" w14:textId="77777777" w:rsidR="000E0DD5" w:rsidRPr="007968C9" w:rsidRDefault="000E0DD5" w:rsidP="0092051C">
      <w:pPr>
        <w:pStyle w:val="ListBullet"/>
        <w:ind w:left="714" w:hanging="357"/>
      </w:pPr>
      <w:r w:rsidRPr="007968C9">
        <w:t>the regulator</w:t>
      </w:r>
      <w:r w:rsidR="00600DA8">
        <w:t>y additionality requirement</w:t>
      </w:r>
    </w:p>
    <w:p w14:paraId="73ED7F35" w14:textId="77777777" w:rsidR="000E0DD5" w:rsidRPr="007968C9" w:rsidRDefault="000E0DD5" w:rsidP="0092051C">
      <w:pPr>
        <w:pStyle w:val="ListBullet"/>
        <w:ind w:left="714" w:hanging="357"/>
      </w:pPr>
      <w:r w:rsidRPr="007968C9">
        <w:t>the government program requirement.</w:t>
      </w:r>
    </w:p>
    <w:p w14:paraId="73ED7F36" w14:textId="7F55DBEE" w:rsidR="000E0DD5" w:rsidRPr="007968C9" w:rsidRDefault="000E0DD5" w:rsidP="00007F4C">
      <w:pPr>
        <w:spacing w:line="240" w:lineRule="auto"/>
      </w:pPr>
      <w:r w:rsidRPr="007968C9">
        <w:t xml:space="preserve">The government program requirement is provided for in the </w:t>
      </w:r>
      <w:r w:rsidRPr="007968C9">
        <w:rPr>
          <w:i/>
          <w:iCs/>
        </w:rPr>
        <w:t>Carbon Credits (Carbon Farming Initiative) Rule 2015</w:t>
      </w:r>
      <w:r w:rsidRPr="007968C9">
        <w:t xml:space="preserve">. Subsection 27(4A) of the Act provides that a methodology determination may specify requirements in lieu of the newness requirement or the regulatory additionality requirement. The Determination does not specify any requirements in lieu of the newness requirement or the regulatory additionality requirement, and the general requirements apply to </w:t>
      </w:r>
      <w:r w:rsidR="00746643" w:rsidRPr="007968C9">
        <w:t>industrial equipment upgrade</w:t>
      </w:r>
      <w:r w:rsidRPr="007968C9">
        <w:t xml:space="preserve"> projects.</w:t>
      </w:r>
    </w:p>
    <w:p w14:paraId="73ED7F37" w14:textId="77777777" w:rsidR="000E0DD5" w:rsidRPr="00141E5B" w:rsidRDefault="000E0DD5" w:rsidP="00007F4C">
      <w:pPr>
        <w:pStyle w:val="ESHeading"/>
      </w:pPr>
      <w:r w:rsidRPr="00141E5B">
        <w:t>Public consultation</w:t>
      </w:r>
    </w:p>
    <w:p w14:paraId="73ED7F38" w14:textId="17F5AD8B" w:rsidR="000E0DD5" w:rsidRPr="00257A43" w:rsidRDefault="000E0DD5" w:rsidP="00007F4C">
      <w:pPr>
        <w:spacing w:line="240" w:lineRule="auto"/>
      </w:pPr>
      <w:r w:rsidRPr="00257A43">
        <w:t xml:space="preserve">The Determination has been developed in collaboration with the Regulator and a technical working group of experts from the </w:t>
      </w:r>
      <w:r w:rsidR="0060767E" w:rsidRPr="00257A43">
        <w:t xml:space="preserve">industrial and </w:t>
      </w:r>
      <w:r w:rsidRPr="00257A43">
        <w:t xml:space="preserve">energy efficiency sectors. The technical working group </w:t>
      </w:r>
      <w:r w:rsidR="005D5E90" w:rsidRPr="00257A43">
        <w:t xml:space="preserve">held </w:t>
      </w:r>
      <w:r w:rsidR="00695B7E">
        <w:t>a</w:t>
      </w:r>
      <w:r w:rsidR="00695B7E" w:rsidRPr="00257A43">
        <w:t xml:space="preserve"> </w:t>
      </w:r>
      <w:r w:rsidR="005D5E90" w:rsidRPr="00257A43">
        <w:t xml:space="preserve">meeting in </w:t>
      </w:r>
      <w:r w:rsidR="00977374" w:rsidRPr="00257A43">
        <w:t xml:space="preserve">March </w:t>
      </w:r>
      <w:r w:rsidR="005D5E90" w:rsidRPr="00257A43">
        <w:t>201</w:t>
      </w:r>
      <w:r w:rsidR="00153AC4">
        <w:t>6</w:t>
      </w:r>
      <w:r w:rsidR="005D5E90" w:rsidRPr="00257A43">
        <w:t xml:space="preserve"> </w:t>
      </w:r>
      <w:r w:rsidR="00977374" w:rsidRPr="00257A43">
        <w:t xml:space="preserve">to </w:t>
      </w:r>
      <w:r w:rsidRPr="00257A43">
        <w:t>review</w:t>
      </w:r>
      <w:r w:rsidR="00977374" w:rsidRPr="00257A43">
        <w:t xml:space="preserve"> a scoping paper</w:t>
      </w:r>
      <w:r w:rsidR="00695B7E">
        <w:t xml:space="preserve"> and reviewed an earlier</w:t>
      </w:r>
      <w:r w:rsidR="00695B7E" w:rsidRPr="00257A43">
        <w:t xml:space="preserve"> Determination</w:t>
      </w:r>
      <w:r w:rsidR="00695B7E">
        <w:t xml:space="preserve"> in late August 2016</w:t>
      </w:r>
      <w:r w:rsidRPr="00257A43">
        <w:t>.</w:t>
      </w:r>
      <w:r w:rsidR="00906911">
        <w:t xml:space="preserve"> </w:t>
      </w:r>
      <w:r w:rsidR="00906911" w:rsidRPr="00906911">
        <w:t xml:space="preserve">All significant issues identified through these </w:t>
      </w:r>
      <w:r w:rsidR="00906911">
        <w:t>consultations</w:t>
      </w:r>
      <w:r w:rsidR="00906911" w:rsidRPr="00906911">
        <w:t xml:space="preserve"> </w:t>
      </w:r>
      <w:r w:rsidR="00906911">
        <w:t>were</w:t>
      </w:r>
      <w:r w:rsidR="00906911" w:rsidRPr="00906911">
        <w:t xml:space="preserve"> </w:t>
      </w:r>
      <w:r w:rsidR="00906911">
        <w:t xml:space="preserve">effectively </w:t>
      </w:r>
      <w:r w:rsidR="00906911" w:rsidRPr="00906911">
        <w:t>resolved</w:t>
      </w:r>
      <w:r w:rsidR="00906911">
        <w:t xml:space="preserve"> in the Determination. </w:t>
      </w:r>
      <w:r w:rsidR="0023732C">
        <w:t xml:space="preserve">For example, the Determination was amended to cover additional equipment types and the proposed limit on equipment power ratings was replaced with an annual energy consumption limit. In addition, energy boundary and measurement requirements were </w:t>
      </w:r>
      <w:r w:rsidR="008A322F">
        <w:t>amended</w:t>
      </w:r>
      <w:r w:rsidR="0023732C">
        <w:t xml:space="preserve"> to accommodate a wider range of site conditions</w:t>
      </w:r>
      <w:r w:rsidR="00906911">
        <w:t>.</w:t>
      </w:r>
    </w:p>
    <w:p w14:paraId="73ED7F39" w14:textId="2892B624" w:rsidR="000E0DD5" w:rsidRPr="00141E5B" w:rsidRDefault="000E0DD5" w:rsidP="00007F4C">
      <w:pPr>
        <w:pStyle w:val="ESHeading"/>
      </w:pPr>
      <w:r w:rsidRPr="00141E5B">
        <w:t>Determination details</w:t>
      </w:r>
    </w:p>
    <w:p w14:paraId="73ED7F3A" w14:textId="6BB07E03" w:rsidR="000E0DD5" w:rsidRPr="00257A43" w:rsidRDefault="000E0DD5" w:rsidP="00007F4C">
      <w:pPr>
        <w:spacing w:line="240" w:lineRule="auto"/>
      </w:pPr>
      <w:r w:rsidRPr="00257A43">
        <w:t xml:space="preserve">The Determination </w:t>
      </w:r>
      <w:r w:rsidR="00DC7731">
        <w:t>is</w:t>
      </w:r>
      <w:r w:rsidRPr="00257A43">
        <w:t xml:space="preserve"> a legislative instrument within the meaning of the </w:t>
      </w:r>
      <w:r w:rsidRPr="00257A43">
        <w:rPr>
          <w:i/>
        </w:rPr>
        <w:t>Legislati</w:t>
      </w:r>
      <w:r w:rsidR="00160F7B" w:rsidRPr="00257A43">
        <w:rPr>
          <w:i/>
        </w:rPr>
        <w:t>on</w:t>
      </w:r>
      <w:r w:rsidRPr="00257A43">
        <w:rPr>
          <w:i/>
        </w:rPr>
        <w:t xml:space="preserve"> Act 200</w:t>
      </w:r>
      <w:r w:rsidR="00DC7731">
        <w:rPr>
          <w:i/>
        </w:rPr>
        <w:t>3</w:t>
      </w:r>
      <w:r w:rsidRPr="00257A43">
        <w:t>.</w:t>
      </w:r>
    </w:p>
    <w:p w14:paraId="73ED7F3B" w14:textId="6CDF2BCD" w:rsidR="000E0DD5" w:rsidRDefault="000E0DD5" w:rsidP="00007F4C">
      <w:pPr>
        <w:spacing w:line="240" w:lineRule="auto"/>
      </w:pPr>
      <w:r w:rsidRPr="00257A43">
        <w:t xml:space="preserve">Details of the Determination are at </w:t>
      </w:r>
      <w:r w:rsidRPr="00257A43">
        <w:rPr>
          <w:u w:val="single"/>
        </w:rPr>
        <w:t>Attachment A</w:t>
      </w:r>
      <w:r w:rsidRPr="00257A43">
        <w:t>.</w:t>
      </w:r>
    </w:p>
    <w:p w14:paraId="73ED7F3C" w14:textId="77777777" w:rsidR="00657EC5" w:rsidRDefault="00657EC5" w:rsidP="00007F4C">
      <w:pPr>
        <w:spacing w:line="240" w:lineRule="auto"/>
      </w:pPr>
      <w:r>
        <w:t xml:space="preserve">A Statement of Compatibility prepared in accordance with the </w:t>
      </w:r>
      <w:r>
        <w:rPr>
          <w:i/>
          <w:iCs/>
        </w:rPr>
        <w:t>Human Rights (Parliamentary Scrutiny) Act 2011</w:t>
      </w:r>
      <w:r>
        <w:t xml:space="preserve"> is at </w:t>
      </w:r>
      <w:r>
        <w:rPr>
          <w:u w:val="single"/>
        </w:rPr>
        <w:t>Attachment B</w:t>
      </w:r>
      <w:r>
        <w:t>.</w:t>
      </w:r>
    </w:p>
    <w:p w14:paraId="39F823F0" w14:textId="137173BD" w:rsidR="008A322F" w:rsidRDefault="008A322F" w:rsidP="008A322F">
      <w:pPr>
        <w:pStyle w:val="ESHeading"/>
      </w:pPr>
      <w:r w:rsidRPr="000E285A">
        <w:lastRenderedPageBreak/>
        <w:t xml:space="preserve">Authority </w:t>
      </w:r>
      <w:r>
        <w:t>for incorporation of documents</w:t>
      </w:r>
    </w:p>
    <w:p w14:paraId="0BBE306B" w14:textId="61EDAE9A" w:rsidR="008A322F" w:rsidRPr="000E285A" w:rsidRDefault="008A322F" w:rsidP="008A322F">
      <w:pPr>
        <w:spacing w:line="240" w:lineRule="auto"/>
      </w:pPr>
      <w:r>
        <w:t xml:space="preserve">Under </w:t>
      </w:r>
      <w:r w:rsidRPr="000E285A">
        <w:t>section 106(8) of the</w:t>
      </w:r>
      <w:r w:rsidR="00CA3FEF">
        <w:t xml:space="preserve"> Act</w:t>
      </w:r>
      <w:r w:rsidRPr="000E285A">
        <w:t>, a methodology determination may make provision in relation to a matter by applying, adopting or incorporating, with or without modification, a matter contained in an instrument or writing:</w:t>
      </w:r>
    </w:p>
    <w:p w14:paraId="1A54295A" w14:textId="77777777" w:rsidR="008A322F" w:rsidRPr="000E285A" w:rsidRDefault="008A322F" w:rsidP="008A322F">
      <w:pPr>
        <w:spacing w:line="240" w:lineRule="auto"/>
      </w:pPr>
      <w:r w:rsidRPr="000E285A">
        <w:t>(a)  as in force or existing at a particular time; or</w:t>
      </w:r>
    </w:p>
    <w:p w14:paraId="29C3292E" w14:textId="77777777" w:rsidR="008A322F" w:rsidRPr="000E285A" w:rsidRDefault="008A322F" w:rsidP="008A322F">
      <w:pPr>
        <w:spacing w:line="240" w:lineRule="auto"/>
      </w:pPr>
      <w:r w:rsidRPr="000E285A">
        <w:t>(b)  as in force or existing from time to time.</w:t>
      </w:r>
    </w:p>
    <w:p w14:paraId="3B2B9EA2" w14:textId="2F9442DC" w:rsidR="008A322F" w:rsidRPr="00257A43" w:rsidRDefault="008A322F" w:rsidP="00007F4C">
      <w:pPr>
        <w:spacing w:line="240" w:lineRule="auto"/>
      </w:pPr>
      <w:r w:rsidRPr="000E285A">
        <w:t xml:space="preserve">The manner of incorporation for each incorporated document is outlined in </w:t>
      </w:r>
      <w:r w:rsidRPr="000E285A">
        <w:rPr>
          <w:u w:val="single"/>
        </w:rPr>
        <w:t>Attachment A</w:t>
      </w:r>
      <w:r w:rsidRPr="000E285A">
        <w:t>.</w:t>
      </w:r>
    </w:p>
    <w:p w14:paraId="73ED7F3D" w14:textId="77777777" w:rsidR="000E0DD5" w:rsidRPr="00141E5B" w:rsidRDefault="000E0DD5" w:rsidP="00007F4C">
      <w:pPr>
        <w:pStyle w:val="ESHeading"/>
      </w:pPr>
      <w:r w:rsidRPr="00141E5B">
        <w:t>Note on this explanatory statement</w:t>
      </w:r>
    </w:p>
    <w:p w14:paraId="73ED7F3E" w14:textId="34BDD754" w:rsidR="000E0DD5" w:rsidRPr="00257A43" w:rsidRDefault="000E0DD5" w:rsidP="00007F4C">
      <w:pPr>
        <w:spacing w:line="240" w:lineRule="auto"/>
      </w:pPr>
      <w:r w:rsidRPr="00257A43">
        <w:t xml:space="preserve">Numbered sections in this Explanatory Statement align with the relevant sections of the Determination. The definition of terms highlighted in </w:t>
      </w:r>
      <w:r w:rsidRPr="00257A43">
        <w:rPr>
          <w:b/>
          <w:i/>
        </w:rPr>
        <w:t>bold italics</w:t>
      </w:r>
      <w:r w:rsidRPr="00257A43">
        <w:t xml:space="preserve"> can be found in the Determination.</w:t>
      </w:r>
    </w:p>
    <w:p w14:paraId="73ED7F3F" w14:textId="77777777" w:rsidR="002E5093" w:rsidRPr="00141E5B" w:rsidRDefault="002E5093" w:rsidP="00007F4C"/>
    <w:p w14:paraId="73ED7F40" w14:textId="77777777" w:rsidR="002E5093" w:rsidRDefault="002E5093" w:rsidP="00007F4C">
      <w:pPr>
        <w:spacing w:after="120" w:line="240" w:lineRule="auto"/>
        <w:rPr>
          <w:szCs w:val="24"/>
        </w:rPr>
        <w:sectPr w:rsidR="002E5093" w:rsidSect="000E0DD5">
          <w:footerReference w:type="default" r:id="rId14"/>
          <w:headerReference w:type="first" r:id="rId15"/>
          <w:footerReference w:type="first" r:id="rId16"/>
          <w:pgSz w:w="11906" w:h="16838" w:code="9"/>
          <w:pgMar w:top="1440" w:right="1440" w:bottom="1440" w:left="1418" w:header="709" w:footer="709" w:gutter="0"/>
          <w:cols w:space="708"/>
          <w:docGrid w:linePitch="360"/>
        </w:sectPr>
      </w:pPr>
    </w:p>
    <w:p w14:paraId="73ED7F41" w14:textId="77777777" w:rsidR="000E0DD5" w:rsidRPr="00141E5B" w:rsidRDefault="000E0DD5" w:rsidP="00007F4C">
      <w:pPr>
        <w:pStyle w:val="ESA1Title"/>
        <w:jc w:val="left"/>
      </w:pPr>
      <w:r w:rsidRPr="00141E5B">
        <w:lastRenderedPageBreak/>
        <w:t>Details of the Methodology Determination</w:t>
      </w:r>
    </w:p>
    <w:p w14:paraId="73ED7F42" w14:textId="77777777" w:rsidR="000E0DD5" w:rsidRPr="00141E5B" w:rsidRDefault="00C73993" w:rsidP="00B95886">
      <w:pPr>
        <w:pStyle w:val="ESA1Part"/>
        <w:pageBreakBefore w:val="0"/>
        <w:spacing w:after="240"/>
      </w:pPr>
      <w:r>
        <w:t xml:space="preserve">Part 1 </w:t>
      </w:r>
      <w:r>
        <w:tab/>
      </w:r>
      <w:r w:rsidR="000E0DD5" w:rsidRPr="00141E5B">
        <w:t>Preliminary</w:t>
      </w:r>
    </w:p>
    <w:p w14:paraId="73ED7F43" w14:textId="77777777" w:rsidR="000E0DD5" w:rsidRPr="00141E5B" w:rsidRDefault="000E0DD5" w:rsidP="00B95886">
      <w:pPr>
        <w:pStyle w:val="ESA4Section"/>
        <w:spacing w:before="0" w:after="120"/>
      </w:pPr>
      <w:r w:rsidRPr="00141E5B">
        <w:t>1</w:t>
      </w:r>
      <w:r w:rsidRPr="00141E5B">
        <w:tab/>
        <w:t>Name</w:t>
      </w:r>
    </w:p>
    <w:p w14:paraId="73ED7F44" w14:textId="4FE37276" w:rsidR="000E0DD5" w:rsidRPr="00141E5B" w:rsidRDefault="000E0DD5" w:rsidP="00007F4C">
      <w:pPr>
        <w:spacing w:before="0" w:after="240" w:line="240" w:lineRule="auto"/>
      </w:pPr>
      <w:r w:rsidRPr="00141E5B">
        <w:t xml:space="preserve">The full name of the Determination is the </w:t>
      </w:r>
      <w:r w:rsidRPr="00EF19D6">
        <w:rPr>
          <w:i/>
        </w:rPr>
        <w:t>Carbon Credits (Carbon Farming Initiative—</w:t>
      </w:r>
      <w:r w:rsidR="0060767E" w:rsidRPr="0060767E">
        <w:rPr>
          <w:lang w:eastAsia="en-AU"/>
        </w:rPr>
        <w:t xml:space="preserve"> </w:t>
      </w:r>
      <w:r w:rsidR="0060767E" w:rsidRPr="0060767E">
        <w:rPr>
          <w:i/>
          <w:lang w:eastAsia="en-AU"/>
        </w:rPr>
        <w:t>Industrial Equipment Upgrade</w:t>
      </w:r>
      <w:r w:rsidR="00600DA8">
        <w:rPr>
          <w:i/>
          <w:lang w:eastAsia="en-AU"/>
        </w:rPr>
        <w:t>s</w:t>
      </w:r>
      <w:r w:rsidRPr="00EF19D6">
        <w:rPr>
          <w:i/>
        </w:rPr>
        <w:t xml:space="preserve">) Methodology Determination </w:t>
      </w:r>
      <w:r w:rsidR="000B09E3" w:rsidRPr="00EF19D6">
        <w:rPr>
          <w:i/>
        </w:rPr>
        <w:t>201</w:t>
      </w:r>
      <w:r w:rsidR="000B09E3">
        <w:rPr>
          <w:i/>
        </w:rPr>
        <w:t>8</w:t>
      </w:r>
      <w:r w:rsidRPr="00141E5B">
        <w:t>.</w:t>
      </w:r>
    </w:p>
    <w:p w14:paraId="73ED7F45" w14:textId="77777777" w:rsidR="000E0DD5" w:rsidRPr="00141E5B" w:rsidRDefault="000E0DD5" w:rsidP="00B95886">
      <w:pPr>
        <w:pStyle w:val="ESA4Section"/>
        <w:spacing w:before="0" w:after="120"/>
      </w:pPr>
      <w:r w:rsidRPr="00141E5B">
        <w:t>2</w:t>
      </w:r>
      <w:r w:rsidRPr="00141E5B">
        <w:tab/>
        <w:t>Commencement</w:t>
      </w:r>
    </w:p>
    <w:p w14:paraId="73ED7F46" w14:textId="2F816330" w:rsidR="000E0DD5" w:rsidRPr="00141E5B" w:rsidRDefault="000E0DD5" w:rsidP="00007F4C">
      <w:pPr>
        <w:spacing w:before="0" w:after="240" w:line="240" w:lineRule="auto"/>
      </w:pPr>
      <w:r w:rsidRPr="00141E5B">
        <w:t>Section 2 provides that the Determination</w:t>
      </w:r>
      <w:r w:rsidR="00DC7731">
        <w:t xml:space="preserve"> </w:t>
      </w:r>
      <w:r w:rsidRPr="00141E5B">
        <w:t>commence</w:t>
      </w:r>
      <w:r w:rsidR="00DC7731">
        <w:t>s</w:t>
      </w:r>
      <w:r w:rsidRPr="00141E5B">
        <w:t xml:space="preserve"> on the day after it is registered on the </w:t>
      </w:r>
      <w:r w:rsidR="004D562E" w:rsidRPr="00141E5B">
        <w:rPr>
          <w:szCs w:val="24"/>
        </w:rPr>
        <w:t>Federal Register of Legislati</w:t>
      </w:r>
      <w:r w:rsidR="00D65130">
        <w:rPr>
          <w:szCs w:val="24"/>
        </w:rPr>
        <w:t>on</w:t>
      </w:r>
      <w:r w:rsidRPr="00141E5B">
        <w:t>.</w:t>
      </w:r>
    </w:p>
    <w:p w14:paraId="73ED7F47" w14:textId="77777777" w:rsidR="000E0DD5" w:rsidRPr="00141E5B" w:rsidRDefault="000E0DD5" w:rsidP="00B95886">
      <w:pPr>
        <w:pStyle w:val="ESA4Section"/>
        <w:spacing w:before="0" w:after="120"/>
      </w:pPr>
      <w:r w:rsidRPr="00141E5B">
        <w:t>3</w:t>
      </w:r>
      <w:r w:rsidRPr="00141E5B">
        <w:tab/>
        <w:t>Authority</w:t>
      </w:r>
    </w:p>
    <w:p w14:paraId="73ED7F48" w14:textId="176D94F9" w:rsidR="000E0DD5" w:rsidRPr="00141E5B" w:rsidRDefault="000E0DD5" w:rsidP="00007F4C">
      <w:pPr>
        <w:spacing w:before="0" w:after="240" w:line="240" w:lineRule="auto"/>
      </w:pPr>
      <w:r w:rsidRPr="00141E5B">
        <w:t xml:space="preserve">Section 3 provides that the Determination </w:t>
      </w:r>
      <w:r w:rsidR="00DC7731">
        <w:t>is</w:t>
      </w:r>
      <w:r w:rsidRPr="00141E5B">
        <w:t xml:space="preserve"> made under subsection 106(1) of the </w:t>
      </w:r>
      <w:r w:rsidRPr="00F0795E">
        <w:t>Act.</w:t>
      </w:r>
    </w:p>
    <w:p w14:paraId="73ED7F49" w14:textId="77777777" w:rsidR="000E0DD5" w:rsidRPr="00141E5B" w:rsidRDefault="000E0DD5" w:rsidP="00B95886">
      <w:pPr>
        <w:pStyle w:val="ESA4Section"/>
        <w:spacing w:before="0" w:after="120"/>
      </w:pPr>
      <w:r w:rsidRPr="00141E5B">
        <w:t>4</w:t>
      </w:r>
      <w:r w:rsidRPr="00141E5B">
        <w:tab/>
        <w:t>Duration</w:t>
      </w:r>
    </w:p>
    <w:p w14:paraId="73ED7F4A" w14:textId="20E9E430" w:rsidR="000E0DD5" w:rsidRPr="00257A43" w:rsidRDefault="000E0DD5" w:rsidP="0097371F">
      <w:pPr>
        <w:spacing w:before="0" w:after="120" w:line="240" w:lineRule="auto"/>
      </w:pPr>
      <w:r w:rsidRPr="00257A43">
        <w:t>Under subparagraph 122(1)(b)(i) of the Act, a methodology determination remains in force for the period specified in the</w:t>
      </w:r>
      <w:r w:rsidR="00707660">
        <w:t xml:space="preserve"> D</w:t>
      </w:r>
      <w:r w:rsidRPr="00257A43">
        <w:t xml:space="preserve">etermination. </w:t>
      </w:r>
    </w:p>
    <w:p w14:paraId="73ED7F4B" w14:textId="28E36FEA" w:rsidR="00F0795E" w:rsidRDefault="000E0DD5" w:rsidP="0097371F">
      <w:pPr>
        <w:spacing w:before="0" w:after="120" w:line="240" w:lineRule="auto"/>
      </w:pPr>
      <w:r w:rsidRPr="00257A43">
        <w:t xml:space="preserve">Section 4 provides that the Determination </w:t>
      </w:r>
      <w:r w:rsidR="00DC7731">
        <w:t>is</w:t>
      </w:r>
      <w:r w:rsidRPr="00257A43">
        <w:t xml:space="preserve"> in force from its commencement (as provided for in section 2) until the day before it would otherwise be repealed under subsection 50(1) of the </w:t>
      </w:r>
      <w:r w:rsidR="00520404" w:rsidRPr="00257A43">
        <w:rPr>
          <w:i/>
          <w:szCs w:val="24"/>
        </w:rPr>
        <w:t>Legislati</w:t>
      </w:r>
      <w:r w:rsidR="003F5D9C">
        <w:rPr>
          <w:i/>
          <w:szCs w:val="24"/>
        </w:rPr>
        <w:t xml:space="preserve">on </w:t>
      </w:r>
      <w:r w:rsidR="00520404" w:rsidRPr="00257A43">
        <w:rPr>
          <w:i/>
          <w:szCs w:val="24"/>
        </w:rPr>
        <w:t>Act 2003</w:t>
      </w:r>
      <w:r w:rsidRPr="00257A43">
        <w:t xml:space="preserve">. Instruments are repealed under that provision on the first </w:t>
      </w:r>
      <w:r w:rsidR="00DC7731">
        <w:t>of</w:t>
      </w:r>
      <w:r w:rsidRPr="00257A43">
        <w:t xml:space="preserve"> April or </w:t>
      </w:r>
      <w:r w:rsidR="00DC7731">
        <w:t>the first</w:t>
      </w:r>
      <w:r w:rsidR="00DC7731" w:rsidRPr="00257A43">
        <w:t xml:space="preserve"> </w:t>
      </w:r>
      <w:r w:rsidR="00DC7731">
        <w:t xml:space="preserve">of </w:t>
      </w:r>
      <w:r w:rsidRPr="00257A43">
        <w:t>October following the tenth anniversary of registration of an instrument on the Federal Register of Legislati</w:t>
      </w:r>
      <w:r w:rsidR="00886578" w:rsidRPr="00257A43">
        <w:t>on</w:t>
      </w:r>
      <w:r w:rsidRPr="00257A43">
        <w:t xml:space="preserve">. </w:t>
      </w:r>
    </w:p>
    <w:p w14:paraId="73ED7F4C" w14:textId="38493B26" w:rsidR="00F0795E" w:rsidRPr="00257A43" w:rsidRDefault="00F0795E" w:rsidP="0097371F">
      <w:pPr>
        <w:spacing w:before="0" w:after="120" w:line="240" w:lineRule="auto"/>
      </w:pPr>
      <w:r w:rsidRPr="00257A43">
        <w:t>The Determination, once made, remain</w:t>
      </w:r>
      <w:r w:rsidR="00DC7731">
        <w:t>s</w:t>
      </w:r>
      <w:r w:rsidRPr="00257A43">
        <w:t xml:space="preserve"> in force for the duration set out in this section unless revoked in accordance with section 123 of the Act or section 42 of the </w:t>
      </w:r>
      <w:r w:rsidRPr="00257A43">
        <w:rPr>
          <w:i/>
          <w:szCs w:val="24"/>
        </w:rPr>
        <w:t>Legislati</w:t>
      </w:r>
      <w:r w:rsidR="003F5D9C">
        <w:rPr>
          <w:i/>
          <w:szCs w:val="24"/>
        </w:rPr>
        <w:t xml:space="preserve">on </w:t>
      </w:r>
      <w:r w:rsidRPr="00257A43">
        <w:rPr>
          <w:i/>
          <w:szCs w:val="24"/>
        </w:rPr>
        <w:t>Act 2003</w:t>
      </w:r>
      <w:r w:rsidRPr="00257A43">
        <w:t>.</w:t>
      </w:r>
    </w:p>
    <w:p w14:paraId="73ED7F4D" w14:textId="0012EA8E" w:rsidR="000E0DD5" w:rsidRPr="00257A43" w:rsidRDefault="000E0DD5" w:rsidP="0097371F">
      <w:pPr>
        <w:spacing w:before="0" w:after="120" w:line="240" w:lineRule="auto"/>
      </w:pPr>
      <w:r w:rsidRPr="00257A43">
        <w:t>If the Determination expires in accordance with section 122 of the Act or is revoked under section 123 of the Act during a crediting period for a project to which the Determination applies, the Determination continue</w:t>
      </w:r>
      <w:r w:rsidR="00DC7731">
        <w:t>s</w:t>
      </w:r>
      <w:r w:rsidRPr="00257A43">
        <w:t xml:space="preserv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14:paraId="73ED7F4E" w14:textId="70BCF3EB" w:rsidR="000E0DD5" w:rsidRPr="00257A43" w:rsidRDefault="000E0DD5" w:rsidP="00743AAB">
      <w:pPr>
        <w:spacing w:before="0" w:after="240" w:line="240" w:lineRule="auto"/>
      </w:pPr>
      <w:r w:rsidRPr="00257A43">
        <w:t xml:space="preserve">Under section 27A of the Act, the Emissions Reduction Assurance Committee may also suspend the processing of applications under a </w:t>
      </w:r>
      <w:r w:rsidR="00707660" w:rsidRPr="00257A43">
        <w:t xml:space="preserve">methodology </w:t>
      </w:r>
      <w:r w:rsidRPr="00257A43">
        <w:t xml:space="preserve">determination if there is reasonable evidence that the determination does not comply with one or more of the offsets integrity standards. This does not </w:t>
      </w:r>
      <w:r w:rsidR="007E7C68">
        <w:t>affect</w:t>
      </w:r>
      <w:r w:rsidR="007E7C68" w:rsidRPr="00257A43">
        <w:t xml:space="preserve"> </w:t>
      </w:r>
      <w:r w:rsidRPr="00257A43">
        <w:t>applications for declaration already received by the Regulator before such a suspension</w:t>
      </w:r>
      <w:r w:rsidR="00977374" w:rsidRPr="00257A43">
        <w:t>,</w:t>
      </w:r>
      <w:r w:rsidRPr="00257A43">
        <w:t xml:space="preserve"> or declared eligible offset projects which apply the Determination. </w:t>
      </w:r>
    </w:p>
    <w:p w14:paraId="73ED7F4F" w14:textId="77777777" w:rsidR="000E0DD5" w:rsidRPr="00141E5B" w:rsidRDefault="000E0DD5" w:rsidP="00B95886">
      <w:pPr>
        <w:pStyle w:val="ESA4Section"/>
        <w:spacing w:before="0" w:after="120"/>
      </w:pPr>
      <w:r w:rsidRPr="00141E5B">
        <w:t>5</w:t>
      </w:r>
      <w:r w:rsidRPr="00141E5B">
        <w:tab/>
        <w:t>Definitions</w:t>
      </w:r>
    </w:p>
    <w:p w14:paraId="73ED7F50" w14:textId="1BE67044" w:rsidR="000E0DD5" w:rsidRPr="00141E5B" w:rsidRDefault="000E0DD5" w:rsidP="00A256E9">
      <w:pPr>
        <w:spacing w:before="0" w:after="240" w:line="240" w:lineRule="auto"/>
      </w:pPr>
      <w:r w:rsidRPr="00141E5B">
        <w:t xml:space="preserve">Section 5 defines a number of terms used in the Determination. </w:t>
      </w:r>
    </w:p>
    <w:p w14:paraId="73ED7F51" w14:textId="726DA58F" w:rsidR="000E0DD5" w:rsidRPr="00141E5B" w:rsidRDefault="000E0DD5" w:rsidP="0097371F">
      <w:pPr>
        <w:keepNext/>
        <w:keepLines/>
        <w:spacing w:before="0" w:after="120" w:line="240" w:lineRule="auto"/>
        <w:outlineLvl w:val="3"/>
      </w:pPr>
      <w:r w:rsidRPr="00141E5B">
        <w:lastRenderedPageBreak/>
        <w:t>Generally, where terms are not defined in the Determination but are defined in section 5 of the Act, they have the meaning given by the Act.</w:t>
      </w:r>
    </w:p>
    <w:p w14:paraId="73ED7F52" w14:textId="7865D1C6" w:rsidR="000E0DD5" w:rsidRDefault="000E0DD5" w:rsidP="00743AAB">
      <w:pPr>
        <w:spacing w:before="0" w:after="120" w:line="240" w:lineRule="auto"/>
        <w:rPr>
          <w:rFonts w:eastAsia="Times New Roman"/>
          <w:color w:val="000000"/>
          <w:lang w:eastAsia="en-AU"/>
        </w:rPr>
      </w:pPr>
      <w:r w:rsidRPr="00141E5B">
        <w:t xml:space="preserve">Under section 23 of the </w:t>
      </w:r>
      <w:r w:rsidRPr="00141E5B">
        <w:rPr>
          <w:i/>
        </w:rPr>
        <w:t>Acts Interpretation Act 1901</w:t>
      </w:r>
      <w:r w:rsidRPr="00141E5B">
        <w:t xml:space="preserve">, words in the Determination in the singular number include the plural and words in the plural number include the singular. </w:t>
      </w:r>
      <w:r w:rsidRPr="00141E5B">
        <w:rPr>
          <w:rFonts w:eastAsia="Times New Roman"/>
          <w:color w:val="000000"/>
          <w:lang w:eastAsia="en-AU"/>
        </w:rPr>
        <w:t>Key definitions in section 5 of the Determination include those set out below.</w:t>
      </w:r>
      <w:r w:rsidR="00AA0D83">
        <w:rPr>
          <w:rFonts w:eastAsia="Times New Roman"/>
          <w:color w:val="000000"/>
          <w:lang w:eastAsia="en-AU"/>
        </w:rPr>
        <w:t xml:space="preserve"> Most critical new concepts are dealt with under other sections.</w:t>
      </w:r>
    </w:p>
    <w:p w14:paraId="73ED7F53" w14:textId="77777777" w:rsidR="003561DD" w:rsidRPr="000B3BF4" w:rsidRDefault="003561DD" w:rsidP="00AA0D83">
      <w:pPr>
        <w:pStyle w:val="tDefn"/>
        <w:ind w:left="0"/>
      </w:pPr>
      <w:r w:rsidRPr="000B3BF4">
        <w:rPr>
          <w:b/>
          <w:bCs/>
          <w:i/>
          <w:iCs/>
        </w:rPr>
        <w:t>biomass</w:t>
      </w:r>
      <w:r w:rsidRPr="000B3BF4">
        <w:t xml:space="preserve"> means organic matter other than:</w:t>
      </w:r>
    </w:p>
    <w:p w14:paraId="73ED7F54" w14:textId="79FF6D30" w:rsidR="003561DD" w:rsidRPr="000B3BF4" w:rsidRDefault="003561DD" w:rsidP="00A93545">
      <w:pPr>
        <w:pStyle w:val="ListBullet"/>
        <w:spacing w:before="120"/>
        <w:ind w:left="714" w:hanging="357"/>
      </w:pPr>
      <w:r w:rsidRPr="000B3BF4">
        <w:t>fossil fuel, for example coal, lignite, petroleum or natural gas; and</w:t>
      </w:r>
    </w:p>
    <w:p w14:paraId="73ED7F55" w14:textId="1D06B286" w:rsidR="003561DD" w:rsidRPr="00AA0D83" w:rsidRDefault="003561DD" w:rsidP="00743AAB">
      <w:pPr>
        <w:pStyle w:val="ListBullet"/>
        <w:spacing w:after="120"/>
        <w:ind w:left="714" w:hanging="357"/>
      </w:pPr>
      <w:r w:rsidRPr="000B3BF4">
        <w:t>biofuel, for example ethanol or biodiesel.</w:t>
      </w:r>
    </w:p>
    <w:p w14:paraId="73ED7F56" w14:textId="77777777" w:rsidR="00A25800" w:rsidRPr="001045E5" w:rsidRDefault="00A25800" w:rsidP="00A25800">
      <w:pPr>
        <w:pStyle w:val="tDefn"/>
        <w:ind w:left="0"/>
      </w:pPr>
      <w:r w:rsidRPr="001045E5">
        <w:rPr>
          <w:b/>
          <w:i/>
        </w:rPr>
        <w:t>commissioning period</w:t>
      </w:r>
      <w:r w:rsidRPr="001045E5">
        <w:t>, following an IE upgrade, means the period ending when:</w:t>
      </w:r>
    </w:p>
    <w:p w14:paraId="73ED7F57" w14:textId="48F07203" w:rsidR="00A25800" w:rsidRPr="001045E5" w:rsidRDefault="00A25800" w:rsidP="0092051C">
      <w:pPr>
        <w:pStyle w:val="ListBullet"/>
      </w:pPr>
      <w:r w:rsidRPr="001045E5">
        <w:t>any equipment performance testing, calibration or similar activity required to demonstrate that the upgraded unit operates as intended has been completed; and</w:t>
      </w:r>
    </w:p>
    <w:p w14:paraId="73ED7F58" w14:textId="4179C087" w:rsidR="00A25800" w:rsidRPr="001045E5" w:rsidRDefault="00A25800" w:rsidP="00743AAB">
      <w:pPr>
        <w:pStyle w:val="ListBullet"/>
        <w:spacing w:after="120"/>
        <w:ind w:left="714" w:hanging="357"/>
      </w:pPr>
      <w:r w:rsidRPr="001045E5">
        <w:t xml:space="preserve">any action, or installation of equipment, required for </w:t>
      </w:r>
      <w:r w:rsidR="00DC7731">
        <w:t xml:space="preserve">the </w:t>
      </w:r>
      <w:r w:rsidRPr="001045E5">
        <w:t xml:space="preserve">upgraded unit to perform its functions in the normal operation of the relevant system of equipment has been completed.  </w:t>
      </w:r>
    </w:p>
    <w:p w14:paraId="73ED7F59" w14:textId="09FBEDAC" w:rsidR="00146483" w:rsidRPr="00720A5C" w:rsidRDefault="00146483" w:rsidP="00743AAB">
      <w:pPr>
        <w:pStyle w:val="tDefn"/>
        <w:spacing w:before="0" w:after="120"/>
        <w:ind w:left="0"/>
      </w:pPr>
      <w:r w:rsidRPr="00720A5C">
        <w:rPr>
          <w:b/>
          <w:i/>
        </w:rPr>
        <w:t>declaration day</w:t>
      </w:r>
      <w:r w:rsidRPr="00720A5C">
        <w:t xml:space="preserve"> means the day that an IEU project was declared an eligible offsets project </w:t>
      </w:r>
      <w:r w:rsidR="00D57452" w:rsidRPr="00720A5C">
        <w:t xml:space="preserve">by the Regulator </w:t>
      </w:r>
      <w:r w:rsidRPr="00720A5C">
        <w:t>under section 27 of the Act.</w:t>
      </w:r>
      <w:r w:rsidR="00D57452" w:rsidRPr="00720A5C">
        <w:t xml:space="preserve"> Th</w:t>
      </w:r>
      <w:r w:rsidR="001E5DE7" w:rsidRPr="00720A5C">
        <w:t>e</w:t>
      </w:r>
      <w:r w:rsidR="00D57452" w:rsidRPr="00720A5C">
        <w:t xml:space="preserve"> term </w:t>
      </w:r>
      <w:r w:rsidR="001E5DE7" w:rsidRPr="00720A5C">
        <w:t xml:space="preserve">‘declaration day’ </w:t>
      </w:r>
      <w:r w:rsidR="00D57452" w:rsidRPr="00720A5C">
        <w:t>is not related to the declarations by a</w:t>
      </w:r>
      <w:r w:rsidR="00A47BA9">
        <w:t xml:space="preserve"> </w:t>
      </w:r>
      <w:r w:rsidR="00EA1E8F">
        <w:t>MVP</w:t>
      </w:r>
      <w:r w:rsidR="00D57452" w:rsidRPr="00720A5C">
        <w:t xml:space="preserve"> that are referred to in Division 4.</w:t>
      </w:r>
    </w:p>
    <w:p w14:paraId="73ED7F5A" w14:textId="77777777" w:rsidR="00AA0D83" w:rsidRDefault="00AA0D83" w:rsidP="00743AAB">
      <w:pPr>
        <w:pStyle w:val="tDefn"/>
        <w:spacing w:before="0" w:after="120"/>
        <w:ind w:left="0"/>
      </w:pPr>
      <w:r w:rsidRPr="00AA0D83">
        <w:rPr>
          <w:b/>
          <w:bCs/>
          <w:i/>
          <w:iCs/>
        </w:rPr>
        <w:t xml:space="preserve">eligible renewable energy source </w:t>
      </w:r>
      <w:r w:rsidRPr="00AA0D83">
        <w:t xml:space="preserve">means an eligible renewable energy source for the purposes of the </w:t>
      </w:r>
      <w:r w:rsidRPr="00AA0D83">
        <w:rPr>
          <w:i/>
        </w:rPr>
        <w:t>Renewable Energy (Electricity) Act 2000</w:t>
      </w:r>
      <w:r w:rsidRPr="00AA0D83">
        <w:t>.</w:t>
      </w:r>
    </w:p>
    <w:p w14:paraId="73ED7F5B" w14:textId="77777777" w:rsidR="00FC4B6E" w:rsidRDefault="00FC4B6E" w:rsidP="00743AAB">
      <w:pPr>
        <w:pStyle w:val="tDefn"/>
        <w:spacing w:before="0" w:after="120"/>
        <w:ind w:left="0"/>
      </w:pPr>
      <w:r w:rsidRPr="007567A8">
        <w:rPr>
          <w:b/>
          <w:i/>
        </w:rPr>
        <w:t>excisable interval</w:t>
      </w:r>
      <w:r w:rsidR="007567A8">
        <w:t xml:space="preserve"> means a period of time not suitable for inclusion in the measurement period or reference period, as </w:t>
      </w:r>
      <w:r w:rsidR="006B0AB2">
        <w:t>detailed</w:t>
      </w:r>
      <w:r w:rsidR="007567A8">
        <w:t xml:space="preserve"> in subsection 22(8).</w:t>
      </w:r>
    </w:p>
    <w:p w14:paraId="73ED7F5C" w14:textId="77777777" w:rsidR="003561DD" w:rsidRPr="000B3BF4" w:rsidRDefault="003561DD" w:rsidP="00743AAB">
      <w:pPr>
        <w:pStyle w:val="tDefn"/>
        <w:spacing w:before="0" w:after="120"/>
        <w:ind w:left="0"/>
      </w:pPr>
      <w:r w:rsidRPr="00AA0D83">
        <w:rPr>
          <w:b/>
          <w:i/>
        </w:rPr>
        <w:t xml:space="preserve">government supported renewable energy </w:t>
      </w:r>
      <w:r w:rsidRPr="00AA0D83">
        <w:t>for an IE unit during a period, means electricity used by the IE unit that was generated at the site served by the unit,</w:t>
      </w:r>
      <w:r w:rsidRPr="000B3BF4">
        <w:t xml:space="preserve"> from renewable sources, using equipment that:</w:t>
      </w:r>
    </w:p>
    <w:p w14:paraId="73ED7F5D" w14:textId="51583EF7" w:rsidR="003561DD" w:rsidRPr="000B3BF4" w:rsidRDefault="003561DD" w:rsidP="00A93545">
      <w:pPr>
        <w:pStyle w:val="ListBullet"/>
        <w:spacing w:before="120"/>
        <w:ind w:left="714" w:hanging="357"/>
      </w:pPr>
      <w:r w:rsidRPr="000B3BF4">
        <w:t xml:space="preserve">was installed at the site after the start of the </w:t>
      </w:r>
      <w:r w:rsidRPr="0092051C">
        <w:t>baseline period</w:t>
      </w:r>
      <w:r w:rsidR="005F0F44">
        <w:t xml:space="preserve"> (see section </w:t>
      </w:r>
      <w:r w:rsidR="00275F3E">
        <w:t>2</w:t>
      </w:r>
      <w:r w:rsidR="00D15143">
        <w:t>2</w:t>
      </w:r>
      <w:r w:rsidR="005F0F44">
        <w:t>)</w:t>
      </w:r>
      <w:r w:rsidRPr="000B3BF4">
        <w:t>; and</w:t>
      </w:r>
    </w:p>
    <w:p w14:paraId="73ED7F5E" w14:textId="1EC11098" w:rsidR="003561DD" w:rsidRDefault="003561DD" w:rsidP="00743AAB">
      <w:pPr>
        <w:pStyle w:val="ListBullet"/>
        <w:spacing w:after="120"/>
        <w:ind w:left="714" w:hanging="357"/>
      </w:pPr>
      <w:r w:rsidRPr="000B3BF4">
        <w:t>under the legislative rules (if any) made for subparagraph 27(4A)(c)(ii) of the Act, must not be included in an eligible offsets project.</w:t>
      </w:r>
    </w:p>
    <w:p w14:paraId="73ED7F5F" w14:textId="6D7BAB96" w:rsidR="003561DD" w:rsidRDefault="00C95316" w:rsidP="00743AAB">
      <w:pPr>
        <w:pStyle w:val="tPara"/>
        <w:spacing w:before="0" w:after="120"/>
        <w:ind w:left="0" w:firstLine="0"/>
      </w:pPr>
      <w:r>
        <w:t>S</w:t>
      </w:r>
      <w:r w:rsidR="003561DD" w:rsidRPr="000B3BF4">
        <w:t xml:space="preserve">ubparagraph </w:t>
      </w:r>
      <w:r w:rsidRPr="000B3BF4">
        <w:t xml:space="preserve">27(4A)(c)(ii) </w:t>
      </w:r>
      <w:r w:rsidR="003561DD" w:rsidRPr="000B3BF4">
        <w:t>relates to the government program requirement,</w:t>
      </w:r>
      <w:r w:rsidR="00DC7731">
        <w:t xml:space="preserve"> </w:t>
      </w:r>
      <w:r w:rsidR="003561DD" w:rsidRPr="000B3BF4">
        <w:t>one of the additionality requirements under the Act. The rules identify energy production that receives a subsidy under another government program. This energy is treated as if it were non-renewable for the purposes of calculating emissions.</w:t>
      </w:r>
    </w:p>
    <w:p w14:paraId="73ED7F60" w14:textId="77777777" w:rsidR="00FD36E3" w:rsidRPr="00444353" w:rsidRDefault="00FD36E3" w:rsidP="00743AAB">
      <w:pPr>
        <w:pStyle w:val="tDefn"/>
        <w:spacing w:before="0" w:after="120" w:line="240" w:lineRule="auto"/>
        <w:ind w:left="0"/>
        <w:rPr>
          <w:color w:val="0000FF"/>
        </w:rPr>
      </w:pPr>
      <w:r>
        <w:rPr>
          <w:b/>
          <w:i/>
        </w:rPr>
        <w:t xml:space="preserve">HVAC heating/cooling ventilation fan </w:t>
      </w:r>
      <w:r w:rsidRPr="00C13070">
        <w:t>means a fan that:</w:t>
      </w:r>
    </w:p>
    <w:p w14:paraId="73ED7F61" w14:textId="4F865368" w:rsidR="00FD36E3" w:rsidRPr="003A7D4C" w:rsidRDefault="00FD36E3" w:rsidP="00A93545">
      <w:pPr>
        <w:pStyle w:val="ListBullet"/>
        <w:spacing w:before="120"/>
        <w:ind w:left="714" w:hanging="357"/>
      </w:pPr>
      <w:r w:rsidRPr="003A7D4C">
        <w:t>services the space heating, space cooling or ventilation systems of a building; and</w:t>
      </w:r>
    </w:p>
    <w:p w14:paraId="73ED7F62" w14:textId="6F3AAB13" w:rsidR="00FD36E3" w:rsidRPr="003A7D4C" w:rsidRDefault="00FD36E3" w:rsidP="00743AAB">
      <w:pPr>
        <w:pStyle w:val="ListBullet"/>
        <w:spacing w:after="120"/>
        <w:ind w:left="714" w:hanging="357"/>
      </w:pPr>
      <w:r w:rsidRPr="003A7D4C">
        <w:t>is designed or configured to operate only when the space heating or space cooling applications are heating or cooling the spaces enclosed by the building envelope.</w:t>
      </w:r>
    </w:p>
    <w:p w14:paraId="73ED7F63" w14:textId="77777777" w:rsidR="00FD36E3" w:rsidRPr="00FD36E3" w:rsidRDefault="00FD36E3" w:rsidP="00743AAB">
      <w:pPr>
        <w:pStyle w:val="tDefn"/>
        <w:spacing w:before="0" w:after="120"/>
        <w:ind w:left="0"/>
        <w:rPr>
          <w:color w:val="0000FF"/>
        </w:rPr>
      </w:pPr>
      <w:r w:rsidRPr="00FD36E3">
        <w:rPr>
          <w:b/>
          <w:i/>
        </w:rPr>
        <w:t xml:space="preserve">industrial cooling </w:t>
      </w:r>
      <w:r w:rsidRPr="00C13070">
        <w:t>means refrigerant-based cooling services associated with the production, handling and storage of goods and materials, either to maintain the performance of equipment or to provide appropriate temperatures for inputs or products e.g. refrigeration services for food processing, mine shaft cooling, refrigerant or cold water loops used to cool equipment that is used to process or handle products, and associated chillers.</w:t>
      </w:r>
    </w:p>
    <w:p w14:paraId="73ED7F64" w14:textId="4992EA3A" w:rsidR="00F336B9" w:rsidRPr="00F336B9" w:rsidRDefault="00F336B9" w:rsidP="00743AAB">
      <w:pPr>
        <w:pStyle w:val="tDefn"/>
        <w:spacing w:before="0" w:after="120" w:line="240" w:lineRule="auto"/>
        <w:ind w:left="0"/>
        <w:jc w:val="left"/>
        <w:rPr>
          <w:b/>
          <w:i/>
        </w:rPr>
      </w:pPr>
      <w:r w:rsidRPr="00F336B9">
        <w:rPr>
          <w:b/>
          <w:i/>
        </w:rPr>
        <w:lastRenderedPageBreak/>
        <w:t xml:space="preserve">NGA Factors document </w:t>
      </w:r>
      <w:r w:rsidRPr="00F336B9">
        <w:t>means the document entitled</w:t>
      </w:r>
      <w:r w:rsidRPr="00F336B9">
        <w:rPr>
          <w:i/>
        </w:rPr>
        <w:t xml:space="preserve"> </w:t>
      </w:r>
      <w:r w:rsidRPr="00F336B9">
        <w:t xml:space="preserve">“National Greenhouse Accounts Factors”, published by the Department </w:t>
      </w:r>
      <w:r w:rsidR="00D20F43">
        <w:t>that i</w:t>
      </w:r>
      <w:r w:rsidRPr="00F336B9">
        <w:t xml:space="preserve">s in force </w:t>
      </w:r>
      <w:r w:rsidR="00006800">
        <w:t>from time to</w:t>
      </w:r>
      <w:r w:rsidR="00D20F43" w:rsidRPr="00F336B9">
        <w:t xml:space="preserve"> </w:t>
      </w:r>
      <w:r w:rsidRPr="00F336B9">
        <w:t>time</w:t>
      </w:r>
      <w:r w:rsidRPr="00F336B9">
        <w:rPr>
          <w:i/>
        </w:rPr>
        <w:t>.</w:t>
      </w:r>
    </w:p>
    <w:p w14:paraId="73ED7F65" w14:textId="318823F6" w:rsidR="001341D4" w:rsidRDefault="001341D4" w:rsidP="00743AAB">
      <w:pPr>
        <w:pStyle w:val="tDefn"/>
        <w:spacing w:before="0" w:after="120" w:line="240" w:lineRule="auto"/>
        <w:ind w:left="0"/>
        <w:jc w:val="left"/>
        <w:rPr>
          <w:i/>
        </w:rPr>
      </w:pPr>
      <w:r w:rsidRPr="00F336B9">
        <w:rPr>
          <w:b/>
          <w:i/>
        </w:rPr>
        <w:t xml:space="preserve">NGER </w:t>
      </w:r>
      <w:r w:rsidR="00E37C54" w:rsidRPr="00F336B9">
        <w:rPr>
          <w:b/>
          <w:i/>
        </w:rPr>
        <w:t>(</w:t>
      </w:r>
      <w:r w:rsidRPr="00F336B9">
        <w:rPr>
          <w:b/>
          <w:i/>
        </w:rPr>
        <w:t>Measurement</w:t>
      </w:r>
      <w:r w:rsidR="00E37C54" w:rsidRPr="00F336B9">
        <w:rPr>
          <w:b/>
          <w:i/>
        </w:rPr>
        <w:t>)</w:t>
      </w:r>
      <w:r w:rsidR="002E228B">
        <w:rPr>
          <w:b/>
          <w:i/>
        </w:rPr>
        <w:t xml:space="preserve"> </w:t>
      </w:r>
      <w:r w:rsidR="00707660">
        <w:rPr>
          <w:b/>
          <w:i/>
        </w:rPr>
        <w:t>D</w:t>
      </w:r>
      <w:r w:rsidR="002E228B">
        <w:rPr>
          <w:b/>
          <w:i/>
        </w:rPr>
        <w:t>etermination</w:t>
      </w:r>
      <w:r w:rsidRPr="00F336B9">
        <w:rPr>
          <w:b/>
          <w:i/>
        </w:rPr>
        <w:t xml:space="preserve"> </w:t>
      </w:r>
      <w:r w:rsidRPr="00F336B9">
        <w:t xml:space="preserve">means the </w:t>
      </w:r>
      <w:r w:rsidRPr="00F336B9">
        <w:rPr>
          <w:i/>
        </w:rPr>
        <w:t>National Greenhouse and Energy Reporting (Measurement) Determination 2008</w:t>
      </w:r>
      <w:r w:rsidR="002E228B">
        <w:rPr>
          <w:i/>
        </w:rPr>
        <w:t xml:space="preserve">, </w:t>
      </w:r>
      <w:r w:rsidR="002E228B" w:rsidRPr="002E228B">
        <w:t xml:space="preserve">available </w:t>
      </w:r>
      <w:r w:rsidR="002E228B" w:rsidRPr="00114EA7">
        <w:t>from</w:t>
      </w:r>
      <w:r w:rsidR="00652273" w:rsidRPr="00114EA7">
        <w:t xml:space="preserve"> </w:t>
      </w:r>
      <w:hyperlink r:id="rId17" w:history="1">
        <w:r w:rsidR="00652273" w:rsidRPr="00114EA7">
          <w:rPr>
            <w:rStyle w:val="Hyperlink"/>
            <w:color w:val="auto"/>
          </w:rPr>
          <w:t>www.legislation.gov.au</w:t>
        </w:r>
      </w:hyperlink>
      <w:r w:rsidRPr="00F336B9">
        <w:rPr>
          <w:i/>
        </w:rPr>
        <w:t>.</w:t>
      </w:r>
    </w:p>
    <w:p w14:paraId="73ED7F66" w14:textId="41BAF037" w:rsidR="000B68DF" w:rsidRPr="000B68DF" w:rsidRDefault="000B68DF" w:rsidP="00743AAB">
      <w:pPr>
        <w:pStyle w:val="tDefn"/>
        <w:spacing w:before="0" w:after="120"/>
        <w:ind w:left="0"/>
        <w:rPr>
          <w:bCs/>
          <w:iCs/>
        </w:rPr>
      </w:pPr>
      <w:r>
        <w:rPr>
          <w:b/>
          <w:bCs/>
          <w:i/>
          <w:iCs/>
        </w:rPr>
        <w:t>o</w:t>
      </w:r>
      <w:r w:rsidR="006B0AB2">
        <w:rPr>
          <w:b/>
          <w:bCs/>
          <w:i/>
          <w:iCs/>
        </w:rPr>
        <w:t>utput representativeness</w:t>
      </w:r>
      <w:r>
        <w:rPr>
          <w:b/>
          <w:bCs/>
          <w:i/>
          <w:iCs/>
        </w:rPr>
        <w:t xml:space="preserve"> criterion </w:t>
      </w:r>
      <w:r w:rsidRPr="000B68DF">
        <w:rPr>
          <w:bCs/>
          <w:iCs/>
        </w:rPr>
        <w:t>means the requirement that</w:t>
      </w:r>
      <w:r>
        <w:rPr>
          <w:bCs/>
          <w:iCs/>
        </w:rPr>
        <w:t xml:space="preserve"> </w:t>
      </w:r>
      <w:r w:rsidRPr="000B68DF">
        <w:rPr>
          <w:bCs/>
          <w:iCs/>
        </w:rPr>
        <w:t>the annualised ou</w:t>
      </w:r>
      <w:r>
        <w:rPr>
          <w:bCs/>
          <w:iCs/>
        </w:rPr>
        <w:t xml:space="preserve">tput of the sub-unit during a </w:t>
      </w:r>
      <w:r w:rsidRPr="000B68DF">
        <w:rPr>
          <w:bCs/>
          <w:iCs/>
        </w:rPr>
        <w:t>period</w:t>
      </w:r>
      <w:r>
        <w:rPr>
          <w:bCs/>
          <w:iCs/>
        </w:rPr>
        <w:t xml:space="preserve"> of measurement mus</w:t>
      </w:r>
      <w:r w:rsidR="005A2B12">
        <w:rPr>
          <w:bCs/>
          <w:iCs/>
        </w:rPr>
        <w:t>t</w:t>
      </w:r>
      <w:r>
        <w:rPr>
          <w:bCs/>
          <w:iCs/>
        </w:rPr>
        <w:t xml:space="preserve"> be</w:t>
      </w:r>
      <w:r w:rsidR="00196D6F">
        <w:rPr>
          <w:bCs/>
          <w:iCs/>
        </w:rPr>
        <w:t xml:space="preserve"> within 15 per cent</w:t>
      </w:r>
      <w:r w:rsidRPr="000B68DF">
        <w:rPr>
          <w:bCs/>
          <w:iCs/>
        </w:rPr>
        <w:t xml:space="preserve"> of the reference output</w:t>
      </w:r>
      <w:r w:rsidR="005A2B12">
        <w:rPr>
          <w:bCs/>
          <w:iCs/>
        </w:rPr>
        <w:t>, as detail</w:t>
      </w:r>
      <w:r>
        <w:rPr>
          <w:bCs/>
          <w:iCs/>
        </w:rPr>
        <w:t>ed in subsection 23</w:t>
      </w:r>
      <w:r w:rsidRPr="000B68DF">
        <w:rPr>
          <w:bCs/>
          <w:iCs/>
        </w:rPr>
        <w:t>.</w:t>
      </w:r>
    </w:p>
    <w:p w14:paraId="73ED7F68" w14:textId="496C6859" w:rsidR="001E5DE7" w:rsidRPr="00743AAB" w:rsidRDefault="005028E8" w:rsidP="00743AAB">
      <w:pPr>
        <w:pStyle w:val="tDefn"/>
        <w:spacing w:before="0" w:after="240"/>
        <w:ind w:left="0"/>
      </w:pPr>
      <w:r w:rsidRPr="005028E8">
        <w:rPr>
          <w:b/>
          <w:bCs/>
          <w:i/>
          <w:iCs/>
        </w:rPr>
        <w:t xml:space="preserve">RET </w:t>
      </w:r>
      <w:r w:rsidRPr="00004DF1">
        <w:rPr>
          <w:b/>
          <w:bCs/>
          <w:i/>
          <w:iCs/>
        </w:rPr>
        <w:t xml:space="preserve">energy source </w:t>
      </w:r>
      <w:r w:rsidRPr="00004DF1">
        <w:t xml:space="preserve">means an eligible renewable energy source for the purposes of the </w:t>
      </w:r>
      <w:r w:rsidRPr="00004DF1">
        <w:rPr>
          <w:i/>
        </w:rPr>
        <w:t>Renewable Energy (Electricity) Act 2000</w:t>
      </w:r>
      <w:r w:rsidRPr="00004DF1">
        <w:t>.</w:t>
      </w:r>
    </w:p>
    <w:p w14:paraId="73ED7F69" w14:textId="77777777" w:rsidR="000E0DD5" w:rsidRPr="00141E5B" w:rsidRDefault="000E0DD5" w:rsidP="00B95886">
      <w:pPr>
        <w:pStyle w:val="ESA4Section"/>
        <w:spacing w:before="0" w:after="120"/>
        <w:rPr>
          <w:lang w:eastAsia="en-AU"/>
        </w:rPr>
      </w:pPr>
      <w:r w:rsidRPr="00141E5B">
        <w:rPr>
          <w:lang w:eastAsia="en-AU"/>
        </w:rPr>
        <w:t>6</w:t>
      </w:r>
      <w:r w:rsidRPr="00141E5B">
        <w:rPr>
          <w:lang w:eastAsia="en-AU"/>
        </w:rPr>
        <w:tab/>
      </w:r>
      <w:r w:rsidR="00BC3843">
        <w:rPr>
          <w:lang w:eastAsia="en-AU"/>
        </w:rPr>
        <w:t>F</w:t>
      </w:r>
      <w:r w:rsidRPr="00141E5B">
        <w:rPr>
          <w:lang w:eastAsia="en-AU"/>
        </w:rPr>
        <w:t>actors and parameters from external sources</w:t>
      </w:r>
    </w:p>
    <w:p w14:paraId="73ED7F6A" w14:textId="3C727821" w:rsidR="000E0DD5" w:rsidRPr="00AA0D83" w:rsidRDefault="000E0DD5" w:rsidP="00743AAB">
      <w:pPr>
        <w:spacing w:before="0" w:after="120" w:line="240" w:lineRule="auto"/>
        <w:rPr>
          <w:lang w:eastAsia="en-AU"/>
        </w:rPr>
      </w:pPr>
      <w:r w:rsidRPr="00AA0D83">
        <w:rPr>
          <w:lang w:eastAsia="en-AU"/>
        </w:rPr>
        <w:t xml:space="preserve">The calculation of the net abatement amount in the Determination includes factors and parameters determined from other sources, such as the </w:t>
      </w:r>
      <w:r w:rsidRPr="00AA0D83">
        <w:rPr>
          <w:b/>
          <w:i/>
          <w:lang w:eastAsia="en-AU"/>
        </w:rPr>
        <w:t>NGER (Measurement) Determination</w:t>
      </w:r>
      <w:r w:rsidRPr="00AA0D83">
        <w:rPr>
          <w:lang w:eastAsia="en-AU"/>
        </w:rPr>
        <w:t xml:space="preserve">. </w:t>
      </w:r>
    </w:p>
    <w:p w14:paraId="73ED7F6B" w14:textId="77777777" w:rsidR="007A088C" w:rsidRPr="007A088C" w:rsidRDefault="006673B3" w:rsidP="00743AAB">
      <w:pPr>
        <w:spacing w:before="0" w:after="120" w:line="240" w:lineRule="auto"/>
        <w:rPr>
          <w:szCs w:val="24"/>
        </w:rPr>
      </w:pPr>
      <w:r w:rsidRPr="001653A9">
        <w:rPr>
          <w:szCs w:val="24"/>
        </w:rPr>
        <w:t xml:space="preserve">Section 6 specifies that such factors or parameters should be determined by using the version of </w:t>
      </w:r>
      <w:r w:rsidRPr="007A088C">
        <w:rPr>
          <w:szCs w:val="24"/>
        </w:rPr>
        <w:t>the external source that is current at the end of the reporting period, unless</w:t>
      </w:r>
      <w:r w:rsidR="007E7C68" w:rsidRPr="007A088C">
        <w:rPr>
          <w:szCs w:val="24"/>
        </w:rPr>
        <w:t>:</w:t>
      </w:r>
      <w:r w:rsidRPr="007A088C">
        <w:rPr>
          <w:szCs w:val="24"/>
        </w:rPr>
        <w:t xml:space="preserve"> </w:t>
      </w:r>
    </w:p>
    <w:p w14:paraId="73ED7F6C" w14:textId="11DF347D" w:rsidR="007A088C" w:rsidRPr="001653A9" w:rsidRDefault="006673B3" w:rsidP="00743AAB">
      <w:pPr>
        <w:pStyle w:val="ListBullet"/>
        <w:spacing w:after="120"/>
        <w:ind w:left="714" w:hanging="357"/>
      </w:pPr>
      <w:r w:rsidRPr="001653A9">
        <w:t>the</w:t>
      </w:r>
      <w:r w:rsidR="00707660" w:rsidRPr="001653A9">
        <w:t xml:space="preserve"> </w:t>
      </w:r>
      <w:r w:rsidRPr="001653A9">
        <w:t>Determination specifies otherwise</w:t>
      </w:r>
      <w:r w:rsidR="007E7C68" w:rsidRPr="001653A9">
        <w:t>,</w:t>
      </w:r>
      <w:r w:rsidRPr="001653A9">
        <w:t xml:space="preserve"> or </w:t>
      </w:r>
    </w:p>
    <w:p w14:paraId="73ED7F6D" w14:textId="77777777" w:rsidR="007A088C" w:rsidRPr="001653A9" w:rsidRDefault="006673B3" w:rsidP="00743AAB">
      <w:pPr>
        <w:pStyle w:val="ListBullet"/>
        <w:spacing w:after="120"/>
      </w:pPr>
      <w:r w:rsidRPr="001653A9">
        <w:t xml:space="preserve">it is not possible to define or calculate the factor or parameter by reference to the instrument or writing as in force at the end of the reporting period. </w:t>
      </w:r>
    </w:p>
    <w:p w14:paraId="73ED7F6E" w14:textId="419BDA51" w:rsidR="00627343" w:rsidRPr="007A088C" w:rsidRDefault="00493BBF" w:rsidP="00743AAB">
      <w:pPr>
        <w:spacing w:before="0" w:after="120" w:line="240" w:lineRule="auto"/>
        <w:rPr>
          <w:lang w:eastAsia="en-AU"/>
        </w:rPr>
      </w:pPr>
      <w:r w:rsidRPr="007A088C">
        <w:rPr>
          <w:lang w:eastAsia="en-AU"/>
        </w:rPr>
        <w:t>For example, t</w:t>
      </w:r>
      <w:r w:rsidR="002F354F" w:rsidRPr="007A088C">
        <w:rPr>
          <w:lang w:eastAsia="en-AU"/>
        </w:rPr>
        <w:t>he</w:t>
      </w:r>
      <w:r w:rsidR="00627343" w:rsidRPr="007A088C">
        <w:rPr>
          <w:lang w:eastAsia="en-AU"/>
        </w:rPr>
        <w:t xml:space="preserve"> </w:t>
      </w:r>
      <w:r w:rsidR="00627343" w:rsidRPr="00196D6F">
        <w:rPr>
          <w:lang w:eastAsia="en-AU"/>
        </w:rPr>
        <w:t>N</w:t>
      </w:r>
      <w:r w:rsidR="00104613" w:rsidRPr="00196D6F">
        <w:rPr>
          <w:lang w:eastAsia="en-AU"/>
        </w:rPr>
        <w:t>GER</w:t>
      </w:r>
      <w:r w:rsidR="00627343" w:rsidRPr="00196D6F">
        <w:rPr>
          <w:lang w:eastAsia="en-AU"/>
        </w:rPr>
        <w:t xml:space="preserve"> (Measurement) Determination</w:t>
      </w:r>
      <w:r w:rsidR="00627343" w:rsidRPr="007A088C">
        <w:rPr>
          <w:lang w:eastAsia="en-AU"/>
        </w:rPr>
        <w:t xml:space="preserve"> has been updated annually</w:t>
      </w:r>
      <w:r w:rsidR="005A28C8">
        <w:rPr>
          <w:lang w:eastAsia="en-AU"/>
        </w:rPr>
        <w:t>,</w:t>
      </w:r>
      <w:r w:rsidR="002F354F" w:rsidRPr="007A088C">
        <w:rPr>
          <w:lang w:eastAsia="en-AU"/>
        </w:rPr>
        <w:t xml:space="preserve"> </w:t>
      </w:r>
      <w:r w:rsidR="00104613" w:rsidRPr="007A088C">
        <w:rPr>
          <w:lang w:eastAsia="en-AU"/>
        </w:rPr>
        <w:t>which means that</w:t>
      </w:r>
      <w:r w:rsidR="002F354F" w:rsidRPr="007A088C">
        <w:rPr>
          <w:lang w:eastAsia="en-AU"/>
        </w:rPr>
        <w:t xml:space="preserve"> </w:t>
      </w:r>
      <w:r w:rsidR="00627343" w:rsidRPr="007A088C">
        <w:rPr>
          <w:lang w:eastAsia="en-AU"/>
        </w:rPr>
        <w:t>any emissions factors or energy content factors</w:t>
      </w:r>
      <w:r w:rsidR="002F354F" w:rsidRPr="007A088C">
        <w:rPr>
          <w:lang w:eastAsia="en-AU"/>
        </w:rPr>
        <w:t xml:space="preserve"> used in </w:t>
      </w:r>
      <w:r w:rsidRPr="007A088C">
        <w:rPr>
          <w:lang w:eastAsia="en-AU"/>
        </w:rPr>
        <w:t xml:space="preserve">baseline calculations </w:t>
      </w:r>
      <w:r w:rsidR="00277C86" w:rsidRPr="007A088C">
        <w:rPr>
          <w:lang w:eastAsia="en-AU"/>
        </w:rPr>
        <w:t>may</w:t>
      </w:r>
      <w:r w:rsidR="002F354F" w:rsidRPr="007A088C">
        <w:rPr>
          <w:lang w:eastAsia="en-AU"/>
        </w:rPr>
        <w:t xml:space="preserve"> </w:t>
      </w:r>
      <w:r w:rsidR="00277C86" w:rsidRPr="007A088C">
        <w:rPr>
          <w:lang w:eastAsia="en-AU"/>
        </w:rPr>
        <w:t>need</w:t>
      </w:r>
      <w:r w:rsidR="002F354F" w:rsidRPr="007A088C">
        <w:rPr>
          <w:lang w:eastAsia="en-AU"/>
        </w:rPr>
        <w:t xml:space="preserve"> </w:t>
      </w:r>
      <w:r w:rsidRPr="007A088C">
        <w:rPr>
          <w:lang w:eastAsia="en-AU"/>
        </w:rPr>
        <w:t>to be re</w:t>
      </w:r>
      <w:r w:rsidRPr="007A088C">
        <w:rPr>
          <w:lang w:eastAsia="en-AU"/>
        </w:rPr>
        <w:noBreakHyphen/>
        <w:t>worked from one reporting period to another, as necessary.</w:t>
      </w:r>
    </w:p>
    <w:p w14:paraId="73ED7F6F" w14:textId="37E5001C" w:rsidR="006673B3" w:rsidRPr="00AA0D83" w:rsidRDefault="006673B3" w:rsidP="00743AAB">
      <w:pPr>
        <w:spacing w:before="0" w:after="120" w:line="240" w:lineRule="auto"/>
        <w:rPr>
          <w:lang w:val="en-US" w:eastAsia="en-AU"/>
        </w:rPr>
      </w:pPr>
      <w:r w:rsidRPr="00AA0D83">
        <w:rPr>
          <w:lang w:eastAsia="en-AU"/>
        </w:rPr>
        <w:t xml:space="preserve">It is not expected that paragraph </w:t>
      </w:r>
      <w:r w:rsidR="00FF687E" w:rsidRPr="00AA0D83">
        <w:rPr>
          <w:lang w:eastAsia="en-AU"/>
        </w:rPr>
        <w:t>6</w:t>
      </w:r>
      <w:r w:rsidRPr="00AA0D83">
        <w:rPr>
          <w:lang w:eastAsia="en-AU"/>
        </w:rPr>
        <w:t>(2)(b) would apply under this</w:t>
      </w:r>
      <w:r w:rsidR="00707660">
        <w:rPr>
          <w:lang w:eastAsia="en-AU"/>
        </w:rPr>
        <w:t xml:space="preserve"> D</w:t>
      </w:r>
      <w:r w:rsidRPr="00AA0D83">
        <w:rPr>
          <w:lang w:eastAsia="en-AU"/>
        </w:rPr>
        <w:t>etermination</w:t>
      </w:r>
      <w:r w:rsidR="00A26211">
        <w:rPr>
          <w:lang w:eastAsia="en-AU"/>
        </w:rPr>
        <w:t xml:space="preserve"> – i.e. it is unlikely that it will not be possible to define or calculate the factor or parameter by reference to </w:t>
      </w:r>
      <w:r w:rsidR="00F473F1">
        <w:rPr>
          <w:lang w:eastAsia="en-AU"/>
        </w:rPr>
        <w:t>the relevant</w:t>
      </w:r>
      <w:r w:rsidR="00A26211">
        <w:rPr>
          <w:lang w:eastAsia="en-AU"/>
        </w:rPr>
        <w:t xml:space="preserve"> external source</w:t>
      </w:r>
      <w:r w:rsidR="00F473F1">
        <w:rPr>
          <w:lang w:eastAsia="en-AU"/>
        </w:rPr>
        <w:t xml:space="preserve"> in force at the end of the reporting period</w:t>
      </w:r>
      <w:r w:rsidRPr="00AA0D83">
        <w:rPr>
          <w:lang w:eastAsia="en-AU"/>
        </w:rPr>
        <w:t xml:space="preserve">. However, if paragraph </w:t>
      </w:r>
      <w:r w:rsidR="00FF687E" w:rsidRPr="00AA0D83">
        <w:rPr>
          <w:lang w:eastAsia="en-AU"/>
        </w:rPr>
        <w:t>6</w:t>
      </w:r>
      <w:r w:rsidRPr="00AA0D83">
        <w:rPr>
          <w:lang w:eastAsia="en-AU"/>
        </w:rPr>
        <w:t>(2)(b) does apply, project proponents would use the version of legislative instruments in force at the time at which monitoring or other actions were conducted</w:t>
      </w:r>
      <w:r w:rsidR="00A26211">
        <w:rPr>
          <w:lang w:eastAsia="en-AU"/>
        </w:rPr>
        <w:t>.</w:t>
      </w:r>
      <w:r w:rsidRPr="00AA0D83">
        <w:rPr>
          <w:lang w:eastAsia="en-AU"/>
        </w:rPr>
        <w:t xml:space="preserve"> (</w:t>
      </w:r>
      <w:r w:rsidR="00A26211">
        <w:rPr>
          <w:lang w:eastAsia="en-AU"/>
        </w:rPr>
        <w:t>S</w:t>
      </w:r>
      <w:r w:rsidRPr="00AA0D83">
        <w:rPr>
          <w:lang w:eastAsia="en-AU"/>
        </w:rPr>
        <w:t xml:space="preserve">ee section 10 of the </w:t>
      </w:r>
      <w:r w:rsidRPr="00AA0D83">
        <w:rPr>
          <w:i/>
          <w:iCs/>
          <w:lang w:eastAsia="en-AU"/>
        </w:rPr>
        <w:t>Acts Interpretation Act 1901</w:t>
      </w:r>
      <w:r w:rsidRPr="00AA0D83">
        <w:rPr>
          <w:lang w:eastAsia="en-AU"/>
        </w:rPr>
        <w:t xml:space="preserve"> and section 13 of the </w:t>
      </w:r>
      <w:r w:rsidRPr="00AA0D83">
        <w:rPr>
          <w:i/>
          <w:iCs/>
          <w:lang w:eastAsia="en-AU"/>
        </w:rPr>
        <w:t>Legislati</w:t>
      </w:r>
      <w:r w:rsidR="003F5D9C">
        <w:rPr>
          <w:i/>
          <w:iCs/>
          <w:lang w:eastAsia="en-AU"/>
        </w:rPr>
        <w:t>on</w:t>
      </w:r>
      <w:r w:rsidRPr="00AA0D83">
        <w:rPr>
          <w:i/>
          <w:iCs/>
          <w:lang w:eastAsia="en-AU"/>
        </w:rPr>
        <w:t xml:space="preserve"> Act 2003</w:t>
      </w:r>
      <w:r w:rsidRPr="00AA0D83">
        <w:rPr>
          <w:lang w:eastAsia="en-AU"/>
        </w:rPr>
        <w:t xml:space="preserve"> which operate such that references to external documents which are legislative instruments </w:t>
      </w:r>
      <w:r w:rsidR="00E1179D">
        <w:rPr>
          <w:lang w:eastAsia="en-AU"/>
        </w:rPr>
        <w:t>relate</w:t>
      </w:r>
      <w:r w:rsidR="00E1179D" w:rsidRPr="00AA0D83">
        <w:rPr>
          <w:lang w:eastAsia="en-AU"/>
        </w:rPr>
        <w:t xml:space="preserve"> </w:t>
      </w:r>
      <w:r w:rsidRPr="00AA0D83">
        <w:rPr>
          <w:lang w:eastAsia="en-AU"/>
        </w:rPr>
        <w:t xml:space="preserve">to </w:t>
      </w:r>
      <w:r w:rsidR="00A23179">
        <w:rPr>
          <w:lang w:eastAsia="en-AU"/>
        </w:rPr>
        <w:t xml:space="preserve">the most relevant </w:t>
      </w:r>
      <w:r w:rsidRPr="00AA0D83">
        <w:rPr>
          <w:lang w:eastAsia="en-AU"/>
        </w:rPr>
        <w:t>versions of those instruments).</w:t>
      </w:r>
    </w:p>
    <w:p w14:paraId="73ED7F70" w14:textId="77777777" w:rsidR="006673B3" w:rsidRDefault="006673B3" w:rsidP="00743AAB">
      <w:pPr>
        <w:spacing w:before="0" w:after="240" w:line="240" w:lineRule="auto"/>
        <w:rPr>
          <w:lang w:eastAsia="en-AU"/>
        </w:rPr>
      </w:pPr>
      <w:r w:rsidRPr="00AA0D83">
        <w:rPr>
          <w:lang w:eastAsia="en-AU"/>
        </w:rPr>
        <w:t>Subsection 3</w:t>
      </w:r>
      <w:r w:rsidR="00FF687E" w:rsidRPr="00AA0D83">
        <w:rPr>
          <w:lang w:eastAsia="en-AU"/>
        </w:rPr>
        <w:t>6</w:t>
      </w:r>
      <w:r w:rsidRPr="00AA0D83">
        <w:rPr>
          <w:lang w:eastAsia="en-AU"/>
        </w:rPr>
        <w:t>(</w:t>
      </w:r>
      <w:r w:rsidR="00FF687E" w:rsidRPr="00AA0D83">
        <w:rPr>
          <w:lang w:eastAsia="en-AU"/>
        </w:rPr>
        <w:t>4</w:t>
      </w:r>
      <w:r w:rsidRPr="00AA0D83">
        <w:rPr>
          <w:lang w:eastAsia="en-AU"/>
        </w:rPr>
        <w:t xml:space="preserve">) sets out reporting requirements to be followed when paragraph </w:t>
      </w:r>
      <w:r w:rsidR="00CF5AF2">
        <w:rPr>
          <w:lang w:eastAsia="en-AU"/>
        </w:rPr>
        <w:t>6</w:t>
      </w:r>
      <w:r w:rsidRPr="00AA0D83">
        <w:rPr>
          <w:lang w:eastAsia="en-AU"/>
        </w:rPr>
        <w:t>(2)(b) applies.</w:t>
      </w:r>
    </w:p>
    <w:p w14:paraId="73ED7F71" w14:textId="77777777" w:rsidR="008A7087" w:rsidRDefault="000E0DD5" w:rsidP="00B95886">
      <w:pPr>
        <w:pStyle w:val="ESA4Section"/>
        <w:spacing w:before="0" w:after="120"/>
      </w:pPr>
      <w:r w:rsidRPr="00141E5B">
        <w:rPr>
          <w:lang w:eastAsia="en-AU"/>
        </w:rPr>
        <w:t>7</w:t>
      </w:r>
      <w:r w:rsidRPr="00141E5B">
        <w:rPr>
          <w:lang w:eastAsia="en-AU"/>
        </w:rPr>
        <w:tab/>
      </w:r>
      <w:r w:rsidR="008A7087" w:rsidRPr="00BA7A7A">
        <w:t xml:space="preserve">Definitions in other instruments relating to optimised equipment </w:t>
      </w:r>
    </w:p>
    <w:p w14:paraId="73ED7F72" w14:textId="4574A857" w:rsidR="00DA1EA5" w:rsidRPr="00141E5B" w:rsidRDefault="00DA1EA5" w:rsidP="00A256E9">
      <w:pPr>
        <w:spacing w:before="0" w:after="240" w:line="240" w:lineRule="auto"/>
        <w:rPr>
          <w:lang w:eastAsia="en-AU"/>
        </w:rPr>
      </w:pPr>
      <w:r>
        <w:rPr>
          <w:lang w:eastAsia="en-AU"/>
        </w:rPr>
        <w:t>Section 7</w:t>
      </w:r>
      <w:r w:rsidRPr="00141E5B">
        <w:rPr>
          <w:lang w:eastAsia="en-AU"/>
        </w:rPr>
        <w:t xml:space="preserve"> specifies that </w:t>
      </w:r>
      <w:r>
        <w:rPr>
          <w:lang w:eastAsia="en-AU"/>
        </w:rPr>
        <w:t xml:space="preserve">definitions in the Determination that reference a standard </w:t>
      </w:r>
      <w:r w:rsidRPr="00141E5B">
        <w:rPr>
          <w:lang w:eastAsia="en-AU"/>
        </w:rPr>
        <w:t xml:space="preserve">should be determined by using the version of the </w:t>
      </w:r>
      <w:r>
        <w:rPr>
          <w:lang w:eastAsia="en-AU"/>
        </w:rPr>
        <w:t>standard</w:t>
      </w:r>
      <w:r w:rsidRPr="00141E5B">
        <w:rPr>
          <w:lang w:eastAsia="en-AU"/>
        </w:rPr>
        <w:t xml:space="preserve"> that is current </w:t>
      </w:r>
      <w:r w:rsidR="00FF687E" w:rsidRPr="000B3BF4">
        <w:t>on the date on which the upgraded unit is commissioned</w:t>
      </w:r>
      <w:r w:rsidRPr="00141E5B">
        <w:rPr>
          <w:lang w:eastAsia="en-AU"/>
        </w:rPr>
        <w:t>, unless the Determination specifies otherwise.</w:t>
      </w:r>
    </w:p>
    <w:p w14:paraId="73ED7F73" w14:textId="77777777" w:rsidR="000E0DD5" w:rsidRPr="00141E5B" w:rsidRDefault="00C73993" w:rsidP="00A256E9">
      <w:pPr>
        <w:pStyle w:val="ESA1Part"/>
        <w:spacing w:before="0" w:after="240"/>
      </w:pPr>
      <w:r>
        <w:lastRenderedPageBreak/>
        <w:t>Part 2</w:t>
      </w:r>
      <w:r>
        <w:tab/>
      </w:r>
      <w:r w:rsidR="00EA7682">
        <w:t xml:space="preserve">IEU </w:t>
      </w:r>
      <w:r w:rsidR="000E0DD5" w:rsidRPr="00141E5B">
        <w:t>projects</w:t>
      </w:r>
    </w:p>
    <w:p w14:paraId="73ED7F74" w14:textId="77777777" w:rsidR="000E0DD5" w:rsidRPr="00141E5B" w:rsidRDefault="000E0DD5" w:rsidP="00B95886">
      <w:pPr>
        <w:pStyle w:val="ESA4Section"/>
        <w:spacing w:before="0" w:after="120"/>
      </w:pPr>
      <w:r>
        <w:t>8</w:t>
      </w:r>
      <w:r w:rsidR="00C73993">
        <w:tab/>
      </w:r>
      <w:r w:rsidR="00780FCA">
        <w:t xml:space="preserve">IEU </w:t>
      </w:r>
      <w:r w:rsidR="00C73993">
        <w:t>projects</w:t>
      </w:r>
    </w:p>
    <w:p w14:paraId="73ED7F75" w14:textId="77777777" w:rsidR="000E0DD5" w:rsidRPr="00FB0C12" w:rsidRDefault="007E7C68" w:rsidP="00743AAB">
      <w:pPr>
        <w:spacing w:before="0" w:after="120" w:line="240" w:lineRule="auto"/>
      </w:pPr>
      <w:r>
        <w:t>Under p</w:t>
      </w:r>
      <w:r w:rsidR="000E0DD5" w:rsidRPr="00FB0C12">
        <w:t>aragraphs 27(4)(b) and 106(1)(a) of the Act</w:t>
      </w:r>
      <w:r>
        <w:t>,</w:t>
      </w:r>
      <w:r w:rsidR="000E0DD5" w:rsidRPr="00FB0C12">
        <w:t xml:space="preserve"> a project </w:t>
      </w:r>
      <w:r>
        <w:t>must</w:t>
      </w:r>
      <w:r w:rsidRPr="00FB0C12">
        <w:t xml:space="preserve"> </w:t>
      </w:r>
      <w:r w:rsidR="000E0DD5" w:rsidRPr="00FB0C12">
        <w:t xml:space="preserve">be covered by a methodology determination, and the methodology determination </w:t>
      </w:r>
      <w:r>
        <w:t>must</w:t>
      </w:r>
      <w:r w:rsidRPr="00FB0C12">
        <w:t xml:space="preserve"> </w:t>
      </w:r>
      <w:r w:rsidR="000E0DD5" w:rsidRPr="00FB0C12">
        <w:t>specify the kind of offsets project to which it applies.</w:t>
      </w:r>
    </w:p>
    <w:p w14:paraId="73ED7F76" w14:textId="276AD9C3" w:rsidR="009E4A33" w:rsidRDefault="009866CC" w:rsidP="00743AAB">
      <w:pPr>
        <w:spacing w:before="0" w:after="120" w:line="240" w:lineRule="auto"/>
        <w:rPr>
          <w:color w:val="000000" w:themeColor="text1"/>
          <w:szCs w:val="24"/>
        </w:rPr>
      </w:pPr>
      <w:r>
        <w:rPr>
          <w:rFonts w:eastAsia="Times New Roman"/>
          <w:color w:val="000000"/>
          <w:lang w:eastAsia="en-AU"/>
        </w:rPr>
        <w:t>In conjunction with subsection 8(</w:t>
      </w:r>
      <w:r w:rsidR="00EC0684">
        <w:rPr>
          <w:rFonts w:eastAsia="Times New Roman"/>
          <w:color w:val="000000"/>
          <w:lang w:eastAsia="en-AU"/>
        </w:rPr>
        <w:t>10</w:t>
      </w:r>
      <w:r w:rsidRPr="00D92531">
        <w:rPr>
          <w:rFonts w:eastAsia="Times New Roman"/>
          <w:color w:val="000000"/>
          <w:lang w:eastAsia="en-AU"/>
        </w:rPr>
        <w:t>)</w:t>
      </w:r>
      <w:r>
        <w:rPr>
          <w:rFonts w:eastAsia="Times New Roman"/>
          <w:color w:val="000000"/>
          <w:lang w:eastAsia="en-AU"/>
        </w:rPr>
        <w:t>, subsection 8(1)</w:t>
      </w:r>
      <w:r w:rsidR="00780FCA" w:rsidRPr="00183079">
        <w:rPr>
          <w:color w:val="000000" w:themeColor="text1"/>
          <w:szCs w:val="24"/>
        </w:rPr>
        <w:t xml:space="preserve"> </w:t>
      </w:r>
      <w:r w:rsidR="00A96516">
        <w:rPr>
          <w:color w:val="000000" w:themeColor="text1"/>
          <w:szCs w:val="24"/>
        </w:rPr>
        <w:t>defines</w:t>
      </w:r>
      <w:r w:rsidR="00780FCA" w:rsidRPr="00183079">
        <w:rPr>
          <w:color w:val="000000" w:themeColor="text1"/>
          <w:szCs w:val="24"/>
        </w:rPr>
        <w:t xml:space="preserve"> </w:t>
      </w:r>
      <w:r w:rsidR="008C0574">
        <w:rPr>
          <w:color w:val="000000" w:themeColor="text1"/>
          <w:szCs w:val="24"/>
        </w:rPr>
        <w:t xml:space="preserve">an </w:t>
      </w:r>
      <w:r w:rsidR="00596198">
        <w:rPr>
          <w:color w:val="000000" w:themeColor="text1"/>
          <w:szCs w:val="24"/>
        </w:rPr>
        <w:t>IE</w:t>
      </w:r>
      <w:r w:rsidR="008C0574" w:rsidRPr="00E37C54">
        <w:rPr>
          <w:color w:val="000000" w:themeColor="text1"/>
          <w:szCs w:val="24"/>
        </w:rPr>
        <w:t xml:space="preserve"> project</w:t>
      </w:r>
      <w:r w:rsidR="008C0574">
        <w:rPr>
          <w:color w:val="000000" w:themeColor="text1"/>
          <w:szCs w:val="24"/>
        </w:rPr>
        <w:t xml:space="preserve"> </w:t>
      </w:r>
      <w:r w:rsidR="005F636F">
        <w:rPr>
          <w:color w:val="000000" w:themeColor="text1"/>
          <w:szCs w:val="24"/>
        </w:rPr>
        <w:t xml:space="preserve">(industrial equipment project) </w:t>
      </w:r>
      <w:r w:rsidR="00A96516">
        <w:rPr>
          <w:color w:val="000000" w:themeColor="text1"/>
          <w:szCs w:val="24"/>
        </w:rPr>
        <w:t>a</w:t>
      </w:r>
      <w:r w:rsidR="008C0574">
        <w:rPr>
          <w:color w:val="000000" w:themeColor="text1"/>
          <w:szCs w:val="24"/>
        </w:rPr>
        <w:t>s</w:t>
      </w:r>
      <w:r w:rsidR="00780FCA" w:rsidRPr="00183079">
        <w:rPr>
          <w:color w:val="000000" w:themeColor="text1"/>
          <w:szCs w:val="24"/>
        </w:rPr>
        <w:t xml:space="preserve"> an offsets project that </w:t>
      </w:r>
      <w:r w:rsidR="00A96516">
        <w:rPr>
          <w:color w:val="000000" w:themeColor="text1"/>
          <w:szCs w:val="24"/>
        </w:rPr>
        <w:t xml:space="preserve">applies </w:t>
      </w:r>
      <w:r w:rsidR="00F82DDD">
        <w:rPr>
          <w:color w:val="000000" w:themeColor="text1"/>
          <w:szCs w:val="24"/>
        </w:rPr>
        <w:t xml:space="preserve">upgrades to one or more </w:t>
      </w:r>
      <w:r w:rsidR="00F82DDD" w:rsidRPr="00E37C54">
        <w:rPr>
          <w:szCs w:val="24"/>
        </w:rPr>
        <w:t>IE units</w:t>
      </w:r>
      <w:r w:rsidR="00F82DDD">
        <w:rPr>
          <w:color w:val="000000" w:themeColor="text1"/>
          <w:szCs w:val="24"/>
        </w:rPr>
        <w:t xml:space="preserve"> </w:t>
      </w:r>
      <w:r w:rsidR="005F636F">
        <w:rPr>
          <w:color w:val="000000" w:themeColor="text1"/>
          <w:szCs w:val="24"/>
        </w:rPr>
        <w:t xml:space="preserve">(industrial equipment unit) </w:t>
      </w:r>
      <w:r w:rsidR="00347D2C">
        <w:rPr>
          <w:color w:val="000000" w:themeColor="text1"/>
          <w:szCs w:val="24"/>
        </w:rPr>
        <w:t xml:space="preserve">and </w:t>
      </w:r>
      <w:r w:rsidR="00F82DDD">
        <w:rPr>
          <w:color w:val="000000" w:themeColor="text1"/>
          <w:szCs w:val="24"/>
        </w:rPr>
        <w:t xml:space="preserve">that </w:t>
      </w:r>
      <w:r w:rsidR="008853BE">
        <w:rPr>
          <w:color w:val="000000" w:themeColor="text1"/>
          <w:szCs w:val="24"/>
        </w:rPr>
        <w:t>are</w:t>
      </w:r>
      <w:r w:rsidR="00F82DDD">
        <w:rPr>
          <w:color w:val="000000" w:themeColor="text1"/>
          <w:szCs w:val="24"/>
        </w:rPr>
        <w:t xml:space="preserve"> reasonabl</w:t>
      </w:r>
      <w:r w:rsidR="009E4A33">
        <w:rPr>
          <w:color w:val="000000" w:themeColor="text1"/>
          <w:szCs w:val="24"/>
        </w:rPr>
        <w:t>y</w:t>
      </w:r>
      <w:r w:rsidR="00F82DDD">
        <w:rPr>
          <w:color w:val="000000" w:themeColor="text1"/>
          <w:szCs w:val="24"/>
        </w:rPr>
        <w:t xml:space="preserve"> expect</w:t>
      </w:r>
      <w:r w:rsidR="009E4A33">
        <w:rPr>
          <w:color w:val="000000" w:themeColor="text1"/>
          <w:szCs w:val="24"/>
        </w:rPr>
        <w:t>ed to result in</w:t>
      </w:r>
      <w:r w:rsidR="00787FF7">
        <w:rPr>
          <w:color w:val="000000" w:themeColor="text1"/>
          <w:szCs w:val="24"/>
        </w:rPr>
        <w:t xml:space="preserve"> eligible carbon abatement</w:t>
      </w:r>
      <w:r w:rsidR="00285F5F">
        <w:rPr>
          <w:color w:val="000000" w:themeColor="text1"/>
          <w:szCs w:val="24"/>
        </w:rPr>
        <w:t xml:space="preserve"> </w:t>
      </w:r>
      <w:r w:rsidR="009E4A33">
        <w:rPr>
          <w:color w:val="000000" w:themeColor="text1"/>
          <w:szCs w:val="24"/>
        </w:rPr>
        <w:t>by</w:t>
      </w:r>
      <w:r w:rsidR="00A96516">
        <w:rPr>
          <w:color w:val="000000" w:themeColor="text1"/>
          <w:szCs w:val="24"/>
        </w:rPr>
        <w:t xml:space="preserve"> </w:t>
      </w:r>
      <w:r w:rsidR="00A96516" w:rsidRPr="00A96516">
        <w:t>increas</w:t>
      </w:r>
      <w:r w:rsidR="009E4A33">
        <w:t>ing</w:t>
      </w:r>
      <w:r w:rsidR="00A96516" w:rsidRPr="00A96516">
        <w:t xml:space="preserve"> the energy conversion efficiency</w:t>
      </w:r>
      <w:r w:rsidR="00285F5F">
        <w:t>,</w:t>
      </w:r>
      <w:r w:rsidR="00A96516" w:rsidRPr="00A96516">
        <w:t xml:space="preserve"> </w:t>
      </w:r>
      <w:r w:rsidR="007358E9">
        <w:t xml:space="preserve">by </w:t>
      </w:r>
      <w:r w:rsidR="009E4A33">
        <w:t>reducing</w:t>
      </w:r>
      <w:r w:rsidR="00A96516" w:rsidRPr="00A96516">
        <w:t xml:space="preserve"> the energy intensity or energy consumption of the</w:t>
      </w:r>
      <w:r w:rsidR="00A96516" w:rsidRPr="000B3BF4">
        <w:t xml:space="preserve"> </w:t>
      </w:r>
      <w:r w:rsidR="00A96516" w:rsidRPr="009E4A33">
        <w:t>IE unit</w:t>
      </w:r>
      <w:r w:rsidR="007358E9">
        <w:t xml:space="preserve">, or changing </w:t>
      </w:r>
      <w:r w:rsidR="007358E9" w:rsidRPr="00410415">
        <w:t>energy source</w:t>
      </w:r>
      <w:r w:rsidR="007358E9">
        <w:t>s</w:t>
      </w:r>
      <w:r w:rsidR="00787FF7">
        <w:rPr>
          <w:color w:val="000000" w:themeColor="text1"/>
          <w:szCs w:val="24"/>
        </w:rPr>
        <w:t>.</w:t>
      </w:r>
      <w:r w:rsidR="00780FCA" w:rsidRPr="00183079">
        <w:rPr>
          <w:color w:val="000000" w:themeColor="text1"/>
          <w:szCs w:val="24"/>
        </w:rPr>
        <w:t xml:space="preserve"> </w:t>
      </w:r>
    </w:p>
    <w:p w14:paraId="73ED7F77" w14:textId="77777777" w:rsidR="001E5DE7" w:rsidRPr="001E5DE7" w:rsidRDefault="001E5DE7" w:rsidP="001E5DE7">
      <w:pPr>
        <w:pStyle w:val="h6Subsec"/>
        <w:ind w:left="0"/>
        <w:rPr>
          <w:rFonts w:ascii="Times New Roman" w:hAnsi="Times New Roman"/>
          <w:strike/>
        </w:rPr>
      </w:pPr>
      <w:r w:rsidRPr="001E5DE7">
        <w:rPr>
          <w:rFonts w:ascii="Times New Roman" w:hAnsi="Times New Roman"/>
        </w:rPr>
        <w:t>Concepts relating to an IE unit</w:t>
      </w:r>
    </w:p>
    <w:p w14:paraId="73ED7F78" w14:textId="77777777" w:rsidR="00DD22B1" w:rsidRDefault="00FA2FCD" w:rsidP="00E7378F">
      <w:pPr>
        <w:pStyle w:val="tPara"/>
        <w:tabs>
          <w:tab w:val="clear" w:pos="1531"/>
          <w:tab w:val="right" w:pos="0"/>
        </w:tabs>
        <w:spacing w:before="0" w:after="120"/>
        <w:ind w:left="0" w:firstLine="0"/>
      </w:pPr>
      <w:r w:rsidRPr="001E5DE7">
        <w:rPr>
          <w:rFonts w:eastAsia="Times New Roman"/>
          <w:lang w:eastAsia="en-AU"/>
        </w:rPr>
        <w:t xml:space="preserve">Subsection 8(2) defines </w:t>
      </w:r>
      <w:r w:rsidRPr="001E5DE7">
        <w:t xml:space="preserve">a system of equipment as </w:t>
      </w:r>
      <w:r w:rsidR="006C0B7E" w:rsidRPr="001E5DE7">
        <w:t>a system of industrial equipment</w:t>
      </w:r>
      <w:r w:rsidR="00DD22B1">
        <w:t>:</w:t>
      </w:r>
    </w:p>
    <w:p w14:paraId="73ED7F79" w14:textId="77777777" w:rsidR="00DD22B1" w:rsidRDefault="006C0B7E" w:rsidP="00E7378F">
      <w:pPr>
        <w:pStyle w:val="ListBullet"/>
        <w:spacing w:after="120"/>
        <w:ind w:left="714" w:hanging="357"/>
      </w:pPr>
      <w:r w:rsidRPr="001E5DE7">
        <w:t xml:space="preserve">that includes at least one item of </w:t>
      </w:r>
      <w:r w:rsidRPr="0092051C">
        <w:rPr>
          <w:b/>
          <w:i/>
        </w:rPr>
        <w:t>energy-consuming equipment</w:t>
      </w:r>
      <w:r w:rsidRPr="001E5DE7">
        <w:t xml:space="preserve"> </w:t>
      </w:r>
    </w:p>
    <w:p w14:paraId="73ED7F7A" w14:textId="44A27F3A" w:rsidR="00A86329" w:rsidRPr="008E5474" w:rsidRDefault="00A86329" w:rsidP="00E7378F">
      <w:pPr>
        <w:pStyle w:val="ListBullet"/>
        <w:spacing w:after="120"/>
      </w:pPr>
      <w:r w:rsidRPr="008E5474">
        <w:t xml:space="preserve">whose elements are </w:t>
      </w:r>
      <w:r>
        <w:t>connected to each other, either directly or by means of other elements of the system</w:t>
      </w:r>
      <w:r w:rsidR="00E856D9">
        <w:t xml:space="preserve"> such as</w:t>
      </w:r>
      <w:r>
        <w:t xml:space="preserve"> dedicated transport mechanism</w:t>
      </w:r>
      <w:r w:rsidR="00E856D9">
        <w:t>s</w:t>
      </w:r>
      <w:r w:rsidR="00E24757">
        <w:t>,</w:t>
      </w:r>
      <w:r w:rsidR="00E856D9">
        <w:t xml:space="preserve"> or, where not phy</w:t>
      </w:r>
      <w:r w:rsidR="007358E9">
        <w:t>s</w:t>
      </w:r>
      <w:r w:rsidR="00E856D9">
        <w:t>ically connected, work together to produce a common service</w:t>
      </w:r>
    </w:p>
    <w:p w14:paraId="73ED7F7B" w14:textId="77777777" w:rsidR="00E446F5" w:rsidRDefault="00DD22B1" w:rsidP="00E7378F">
      <w:pPr>
        <w:pStyle w:val="ListBullet"/>
        <w:spacing w:after="120"/>
      </w:pPr>
      <w:r>
        <w:t xml:space="preserve">such that </w:t>
      </w:r>
      <w:r w:rsidR="006C0B7E" w:rsidRPr="001E5DE7">
        <w:t>the system as a whole can be treated as providing a particular service or services to the user in the context in which</w:t>
      </w:r>
      <w:r w:rsidR="005D4BEF">
        <w:t xml:space="preserve"> it</w:t>
      </w:r>
      <w:r w:rsidR="006C0B7E" w:rsidRPr="001E5DE7">
        <w:t xml:space="preserve"> is used.</w:t>
      </w:r>
      <w:r w:rsidR="000C54D0">
        <w:t xml:space="preserve"> </w:t>
      </w:r>
    </w:p>
    <w:p w14:paraId="73ED7F7C" w14:textId="77777777" w:rsidR="000A49E7" w:rsidRDefault="000C54D0" w:rsidP="00E7378F">
      <w:pPr>
        <w:pStyle w:val="tPara"/>
        <w:tabs>
          <w:tab w:val="clear" w:pos="1531"/>
          <w:tab w:val="right" w:pos="0"/>
        </w:tabs>
        <w:spacing w:before="0" w:after="120"/>
        <w:ind w:left="0" w:firstLine="0"/>
        <w:rPr>
          <w:rFonts w:eastAsia="Times New Roman"/>
          <w:lang w:eastAsia="en-AU"/>
        </w:rPr>
      </w:pPr>
      <w:r>
        <w:t>This subsection</w:t>
      </w:r>
      <w:r w:rsidR="00FA2FCD" w:rsidRPr="00A46CF0">
        <w:rPr>
          <w:rFonts w:eastAsia="Times New Roman"/>
          <w:lang w:eastAsia="en-AU"/>
        </w:rPr>
        <w:t xml:space="preserve"> permits equipment that is not </w:t>
      </w:r>
      <w:r w:rsidR="001013AC">
        <w:rPr>
          <w:rFonts w:eastAsia="Times New Roman"/>
          <w:lang w:eastAsia="en-AU"/>
        </w:rPr>
        <w:t>physically</w:t>
      </w:r>
      <w:r w:rsidR="00FA2FCD" w:rsidRPr="00A46CF0">
        <w:rPr>
          <w:rFonts w:eastAsia="Times New Roman"/>
          <w:lang w:eastAsia="en-AU"/>
        </w:rPr>
        <w:t xml:space="preserve"> connected </w:t>
      </w:r>
      <w:r w:rsidR="00A86329">
        <w:rPr>
          <w:rFonts w:eastAsia="Times New Roman"/>
          <w:lang w:eastAsia="en-AU"/>
        </w:rPr>
        <w:t xml:space="preserve">to other parts of the system </w:t>
      </w:r>
      <w:r w:rsidR="00FA2FCD" w:rsidRPr="00A46CF0">
        <w:rPr>
          <w:rFonts w:eastAsia="Times New Roman"/>
          <w:lang w:eastAsia="en-AU"/>
        </w:rPr>
        <w:t>to be part of an IE unit</w:t>
      </w:r>
      <w:r w:rsidR="00A86329">
        <w:rPr>
          <w:rFonts w:eastAsia="Times New Roman"/>
          <w:lang w:eastAsia="en-AU"/>
        </w:rPr>
        <w:t>. This</w:t>
      </w:r>
      <w:r w:rsidR="00FA2FCD" w:rsidRPr="00A46CF0">
        <w:rPr>
          <w:rFonts w:eastAsia="Times New Roman"/>
          <w:lang w:eastAsia="en-AU"/>
        </w:rPr>
        <w:t xml:space="preserve"> allow</w:t>
      </w:r>
      <w:r w:rsidR="00A86329">
        <w:rPr>
          <w:rFonts w:eastAsia="Times New Roman"/>
          <w:lang w:eastAsia="en-AU"/>
        </w:rPr>
        <w:t>s</w:t>
      </w:r>
      <w:r w:rsidR="00FA2FCD" w:rsidRPr="00A46CF0">
        <w:rPr>
          <w:rFonts w:eastAsia="Times New Roman"/>
          <w:lang w:eastAsia="en-AU"/>
        </w:rPr>
        <w:t xml:space="preserve"> proponents to include energy-using equipment that is required to be included in the energy boundary under section 11</w:t>
      </w:r>
      <w:r w:rsidR="00E446F5">
        <w:rPr>
          <w:rFonts w:eastAsia="Times New Roman"/>
          <w:lang w:eastAsia="en-AU"/>
        </w:rPr>
        <w:t>.</w:t>
      </w:r>
      <w:r w:rsidR="00FA2FCD" w:rsidRPr="00A46CF0">
        <w:rPr>
          <w:rFonts w:eastAsia="Times New Roman"/>
          <w:lang w:eastAsia="en-AU"/>
        </w:rPr>
        <w:t xml:space="preserve"> </w:t>
      </w:r>
      <w:r w:rsidR="00E446F5">
        <w:rPr>
          <w:rFonts w:eastAsia="Times New Roman"/>
          <w:lang w:eastAsia="en-AU"/>
        </w:rPr>
        <w:t>For example,</w:t>
      </w:r>
      <w:r w:rsidR="00FA2FCD" w:rsidRPr="00A46CF0">
        <w:rPr>
          <w:rFonts w:eastAsia="Times New Roman"/>
          <w:lang w:eastAsia="en-AU"/>
        </w:rPr>
        <w:t xml:space="preserve"> a</w:t>
      </w:r>
      <w:r w:rsidR="009F2AE1">
        <w:rPr>
          <w:rFonts w:eastAsia="Times New Roman"/>
          <w:lang w:eastAsia="en-AU"/>
        </w:rPr>
        <w:t xml:space="preserve"> dryer</w:t>
      </w:r>
      <w:r w:rsidR="00FA2FCD" w:rsidRPr="00A46CF0">
        <w:rPr>
          <w:rFonts w:eastAsia="Times New Roman"/>
          <w:lang w:eastAsia="en-AU"/>
        </w:rPr>
        <w:t xml:space="preserve"> that supplies </w:t>
      </w:r>
      <w:r w:rsidR="003269F8">
        <w:rPr>
          <w:rFonts w:eastAsia="Times New Roman"/>
          <w:lang w:eastAsia="en-AU"/>
        </w:rPr>
        <w:t>a solid fuel</w:t>
      </w:r>
      <w:r w:rsidR="003269F8" w:rsidRPr="00A46CF0">
        <w:rPr>
          <w:rFonts w:eastAsia="Times New Roman"/>
          <w:lang w:eastAsia="en-AU"/>
        </w:rPr>
        <w:t xml:space="preserve"> </w:t>
      </w:r>
      <w:r w:rsidR="00FA2FCD" w:rsidRPr="00A46CF0">
        <w:rPr>
          <w:rFonts w:eastAsia="Times New Roman"/>
          <w:lang w:eastAsia="en-AU"/>
        </w:rPr>
        <w:t xml:space="preserve">to </w:t>
      </w:r>
      <w:r w:rsidR="003269F8">
        <w:rPr>
          <w:rFonts w:eastAsia="Times New Roman"/>
          <w:lang w:eastAsia="en-AU"/>
        </w:rPr>
        <w:t xml:space="preserve">a </w:t>
      </w:r>
      <w:r w:rsidR="009F2AE1">
        <w:rPr>
          <w:rFonts w:eastAsia="Times New Roman"/>
          <w:lang w:eastAsia="en-AU"/>
        </w:rPr>
        <w:t>furnace</w:t>
      </w:r>
      <w:r w:rsidR="009F2AE1" w:rsidRPr="009F2AE1">
        <w:rPr>
          <w:rFonts w:eastAsia="Times New Roman"/>
          <w:lang w:eastAsia="en-AU"/>
        </w:rPr>
        <w:t xml:space="preserve"> </w:t>
      </w:r>
      <w:r w:rsidR="009F2AE1" w:rsidRPr="00A46CF0">
        <w:rPr>
          <w:rFonts w:eastAsia="Times New Roman"/>
          <w:lang w:eastAsia="en-AU"/>
        </w:rPr>
        <w:t>that is being upgraded</w:t>
      </w:r>
      <w:r w:rsidR="009F2AE1">
        <w:rPr>
          <w:rFonts w:eastAsia="Times New Roman"/>
          <w:lang w:eastAsia="en-AU"/>
        </w:rPr>
        <w:t>,</w:t>
      </w:r>
      <w:r w:rsidR="00FA2FCD" w:rsidRPr="00A46CF0">
        <w:rPr>
          <w:rFonts w:eastAsia="Times New Roman"/>
          <w:lang w:eastAsia="en-AU"/>
        </w:rPr>
        <w:t xml:space="preserve"> but is not directly connected to the </w:t>
      </w:r>
      <w:r w:rsidR="009F2AE1">
        <w:rPr>
          <w:rFonts w:eastAsia="Times New Roman"/>
          <w:lang w:eastAsia="en-AU"/>
        </w:rPr>
        <w:t>furnace,</w:t>
      </w:r>
      <w:r w:rsidR="00A86329">
        <w:rPr>
          <w:rFonts w:eastAsia="Times New Roman"/>
          <w:lang w:eastAsia="en-AU"/>
        </w:rPr>
        <w:t xml:space="preserve"> can be regarded as interconnected</w:t>
      </w:r>
      <w:r w:rsidR="00E24757">
        <w:rPr>
          <w:rFonts w:eastAsia="Times New Roman"/>
          <w:lang w:eastAsia="en-AU"/>
        </w:rPr>
        <w:t xml:space="preserve"> </w:t>
      </w:r>
      <w:r w:rsidR="00A86329">
        <w:rPr>
          <w:rFonts w:eastAsia="Times New Roman"/>
          <w:lang w:eastAsia="en-AU"/>
        </w:rPr>
        <w:t xml:space="preserve">if there is a conveyor used solely </w:t>
      </w:r>
      <w:r w:rsidR="009F2AE1">
        <w:rPr>
          <w:rFonts w:eastAsia="Times New Roman"/>
          <w:lang w:eastAsia="en-AU"/>
        </w:rPr>
        <w:t>to supply solid fuel to the furnace</w:t>
      </w:r>
      <w:r w:rsidR="00FA2FCD" w:rsidRPr="00A46CF0">
        <w:rPr>
          <w:rFonts w:eastAsia="Times New Roman"/>
          <w:lang w:eastAsia="en-AU"/>
        </w:rPr>
        <w:t>.</w:t>
      </w:r>
    </w:p>
    <w:p w14:paraId="73ED7F7D" w14:textId="77777777" w:rsidR="00C65138" w:rsidRDefault="00C77FF0" w:rsidP="00E7378F">
      <w:pPr>
        <w:pStyle w:val="tPara"/>
        <w:tabs>
          <w:tab w:val="clear" w:pos="1531"/>
          <w:tab w:val="right" w:pos="0"/>
        </w:tabs>
        <w:spacing w:before="0" w:after="120"/>
        <w:ind w:left="0" w:firstLine="0"/>
      </w:pPr>
      <w:r>
        <w:rPr>
          <w:rFonts w:eastAsia="Times New Roman"/>
          <w:lang w:eastAsia="en-AU"/>
        </w:rPr>
        <w:t>An</w:t>
      </w:r>
      <w:r w:rsidR="00A86329">
        <w:rPr>
          <w:rFonts w:eastAsia="Times New Roman"/>
          <w:lang w:eastAsia="en-AU"/>
        </w:rPr>
        <w:t>other</w:t>
      </w:r>
      <w:r>
        <w:rPr>
          <w:rFonts w:eastAsia="Times New Roman"/>
          <w:lang w:eastAsia="en-AU"/>
        </w:rPr>
        <w:t xml:space="preserve"> e</w:t>
      </w:r>
      <w:r w:rsidR="00CE2236">
        <w:rPr>
          <w:rFonts w:eastAsia="Times New Roman"/>
          <w:lang w:eastAsia="en-AU"/>
        </w:rPr>
        <w:t xml:space="preserve">xample of </w:t>
      </w:r>
      <w:r>
        <w:rPr>
          <w:rFonts w:eastAsia="Times New Roman"/>
          <w:lang w:eastAsia="en-AU"/>
        </w:rPr>
        <w:t xml:space="preserve">an eligible </w:t>
      </w:r>
      <w:r w:rsidR="00CE2236">
        <w:rPr>
          <w:rFonts w:eastAsia="Times New Roman"/>
          <w:lang w:eastAsia="en-AU"/>
        </w:rPr>
        <w:t xml:space="preserve">system </w:t>
      </w:r>
      <w:r w:rsidR="00E05056">
        <w:rPr>
          <w:rFonts w:eastAsia="Times New Roman"/>
          <w:lang w:eastAsia="en-AU"/>
        </w:rPr>
        <w:t>incorporating</w:t>
      </w:r>
      <w:r w:rsidR="00CE2236">
        <w:rPr>
          <w:rFonts w:eastAsia="Times New Roman"/>
          <w:lang w:eastAsia="en-AU"/>
        </w:rPr>
        <w:t xml:space="preserve"> energy-consuming equipment connec</w:t>
      </w:r>
      <w:r>
        <w:rPr>
          <w:rFonts w:eastAsia="Times New Roman"/>
          <w:lang w:eastAsia="en-AU"/>
        </w:rPr>
        <w:t>ted to non-</w:t>
      </w:r>
      <w:r w:rsidR="00CE2236">
        <w:rPr>
          <w:rFonts w:eastAsia="Times New Roman"/>
          <w:lang w:eastAsia="en-AU"/>
        </w:rPr>
        <w:t xml:space="preserve">energy consuming </w:t>
      </w:r>
      <w:r>
        <w:rPr>
          <w:rFonts w:eastAsia="Times New Roman"/>
          <w:lang w:eastAsia="en-AU"/>
        </w:rPr>
        <w:t xml:space="preserve">items </w:t>
      </w:r>
      <w:r w:rsidR="00E05056">
        <w:rPr>
          <w:rFonts w:eastAsia="Times New Roman"/>
          <w:lang w:eastAsia="en-AU"/>
        </w:rPr>
        <w:t>is</w:t>
      </w:r>
      <w:r>
        <w:rPr>
          <w:rFonts w:eastAsia="Times New Roman"/>
          <w:lang w:eastAsia="en-AU"/>
        </w:rPr>
        <w:t xml:space="preserve"> a b</w:t>
      </w:r>
      <w:r w:rsidR="00CE2236" w:rsidRPr="006670AD">
        <w:t>oiler</w:t>
      </w:r>
      <w:r w:rsidRPr="006670AD">
        <w:t xml:space="preserve"> connected to</w:t>
      </w:r>
      <w:r w:rsidR="00CE2236" w:rsidRPr="006670AD">
        <w:t xml:space="preserve"> pipes</w:t>
      </w:r>
      <w:r w:rsidRPr="006670AD">
        <w:t xml:space="preserve">, </w:t>
      </w:r>
      <w:r w:rsidR="00CE2236" w:rsidRPr="006670AD">
        <w:t>valves, heat exchangers</w:t>
      </w:r>
      <w:r w:rsidRPr="006670AD">
        <w:t xml:space="preserve"> and</w:t>
      </w:r>
      <w:r w:rsidR="00CE2236" w:rsidRPr="006670AD">
        <w:t xml:space="preserve"> heat recovery tubing</w:t>
      </w:r>
      <w:r w:rsidRPr="006670AD">
        <w:t xml:space="preserve">. </w:t>
      </w:r>
      <w:r w:rsidR="00E05056">
        <w:t>C</w:t>
      </w:r>
      <w:r w:rsidR="00E05056" w:rsidRPr="006670AD">
        <w:t xml:space="preserve">ompressed air storage and piping </w:t>
      </w:r>
      <w:r w:rsidR="00E05056">
        <w:t>are examples of items that could be included in a</w:t>
      </w:r>
      <w:r w:rsidRPr="006670AD">
        <w:t xml:space="preserve"> compress</w:t>
      </w:r>
      <w:r w:rsidR="00CE2236" w:rsidRPr="006670AD">
        <w:t xml:space="preserve">ed air </w:t>
      </w:r>
      <w:r w:rsidRPr="006670AD">
        <w:t>system</w:t>
      </w:r>
      <w:r w:rsidR="00E05056">
        <w:t xml:space="preserve"> as they are connected, although they</w:t>
      </w:r>
      <w:r w:rsidRPr="006670AD">
        <w:t xml:space="preserve"> do not co</w:t>
      </w:r>
      <w:r w:rsidR="00E05056">
        <w:t xml:space="preserve">nsume </w:t>
      </w:r>
      <w:r w:rsidR="00A86329">
        <w:t xml:space="preserve">fuel or electricity </w:t>
      </w:r>
      <w:r w:rsidR="00E05056">
        <w:t>themselves</w:t>
      </w:r>
      <w:r w:rsidR="00CE2236" w:rsidRPr="006670AD">
        <w:t>.</w:t>
      </w:r>
    </w:p>
    <w:p w14:paraId="73ED7F7E" w14:textId="73BEF52F" w:rsidR="00C65138" w:rsidRPr="00C65138" w:rsidRDefault="00C65138" w:rsidP="00E7378F">
      <w:pPr>
        <w:pStyle w:val="tPara"/>
        <w:tabs>
          <w:tab w:val="clear" w:pos="1531"/>
          <w:tab w:val="right" w:pos="0"/>
        </w:tabs>
        <w:spacing w:before="0" w:after="120"/>
        <w:ind w:left="0" w:firstLine="0"/>
      </w:pPr>
      <w:r>
        <w:t xml:space="preserve">One example of equipment that works together to produce a common service but may not be directly connected </w:t>
      </w:r>
      <w:r w:rsidR="008853BE">
        <w:t>is</w:t>
      </w:r>
      <w:r>
        <w:t xml:space="preserve"> a bank of pumps that jointly supply water to the same reservoir, via parallel pipes. Similarly, a pump and fan feeding water and combustion air to a boiler are not directly connected, yet both work together to produce steam, in conjunction with the boiler. </w:t>
      </w:r>
      <w:r w:rsidR="00EF466B">
        <w:t>An IE unit energy boundary may need to include equipment that works together to ensure that all the equipment that materially impact on emissions from project activities</w:t>
      </w:r>
      <w:r w:rsidR="00840EAF">
        <w:t xml:space="preserve"> is included </w:t>
      </w:r>
      <w:r w:rsidR="00EF466B">
        <w:t>(section 11).</w:t>
      </w:r>
    </w:p>
    <w:p w14:paraId="73ED7F7F" w14:textId="77777777" w:rsidR="001E5DE7" w:rsidRDefault="00FA2FCD" w:rsidP="00E7378F">
      <w:pPr>
        <w:spacing w:before="0" w:after="120" w:line="240" w:lineRule="auto"/>
      </w:pPr>
      <w:r>
        <w:rPr>
          <w:rFonts w:eastAsia="Times New Roman"/>
          <w:color w:val="000000"/>
          <w:lang w:eastAsia="en-AU"/>
        </w:rPr>
        <w:t>Subsection 8(3</w:t>
      </w:r>
      <w:r w:rsidRPr="00BE2A5D">
        <w:rPr>
          <w:rFonts w:eastAsia="Times New Roman"/>
          <w:color w:val="000000"/>
          <w:lang w:eastAsia="en-AU"/>
        </w:rPr>
        <w:t xml:space="preserve">) </w:t>
      </w:r>
      <w:r>
        <w:rPr>
          <w:rFonts w:eastAsia="Times New Roman"/>
          <w:color w:val="000000"/>
          <w:lang w:eastAsia="en-AU"/>
        </w:rPr>
        <w:t xml:space="preserve">defines the </w:t>
      </w:r>
      <w:r w:rsidRPr="00E37C54">
        <w:t>outputs</w:t>
      </w:r>
      <w:r w:rsidRPr="000B3BF4">
        <w:rPr>
          <w:b/>
          <w:i/>
        </w:rPr>
        <w:t xml:space="preserve"> </w:t>
      </w:r>
      <w:r w:rsidRPr="000B3BF4">
        <w:t>of a system of equipment a</w:t>
      </w:r>
      <w:r>
        <w:t>s</w:t>
      </w:r>
      <w:r w:rsidRPr="000B3BF4">
        <w:t xml:space="preserve"> the services that it </w:t>
      </w:r>
      <w:r w:rsidRPr="001341D4">
        <w:t xml:space="preserve">provides to </w:t>
      </w:r>
      <w:r w:rsidR="00CF3D57">
        <w:t>the user of an</w:t>
      </w:r>
      <w:r w:rsidRPr="001341D4">
        <w:t xml:space="preserve"> industrial plant</w:t>
      </w:r>
      <w:r>
        <w:t xml:space="preserve"> or similar site</w:t>
      </w:r>
      <w:r w:rsidRPr="000B3BF4">
        <w:t>.</w:t>
      </w:r>
      <w:r>
        <w:t xml:space="preserve"> </w:t>
      </w:r>
      <w:r w:rsidR="000E5BDF">
        <w:t>Outputs may or may not be IE services.</w:t>
      </w:r>
    </w:p>
    <w:p w14:paraId="73ED7F80" w14:textId="7FD0F4F8" w:rsidR="00707660" w:rsidRDefault="00FA2FCD" w:rsidP="00E7378F">
      <w:pPr>
        <w:spacing w:before="0" w:after="120" w:line="240" w:lineRule="auto"/>
      </w:pPr>
      <w:r>
        <w:t xml:space="preserve">The Determination restricts eligibility to defined </w:t>
      </w:r>
      <w:r w:rsidRPr="00E37C54">
        <w:rPr>
          <w:color w:val="000000"/>
        </w:rPr>
        <w:t>IE services</w:t>
      </w:r>
      <w:r w:rsidR="001E5DE7">
        <w:rPr>
          <w:color w:val="000000"/>
        </w:rPr>
        <w:t xml:space="preserve"> outlined in s</w:t>
      </w:r>
      <w:r w:rsidR="00CD7A4E">
        <w:rPr>
          <w:color w:val="000000"/>
        </w:rPr>
        <w:t>ubsection 8(</w:t>
      </w:r>
      <w:r>
        <w:rPr>
          <w:color w:val="000000"/>
        </w:rPr>
        <w:t>4</w:t>
      </w:r>
      <w:r w:rsidR="00CD7A4E" w:rsidRPr="00D92531">
        <w:rPr>
          <w:color w:val="000000"/>
        </w:rPr>
        <w:t>)</w:t>
      </w:r>
      <w:r w:rsidR="00CD7A4E">
        <w:rPr>
          <w:color w:val="000000"/>
        </w:rPr>
        <w:t xml:space="preserve"> as </w:t>
      </w:r>
      <w:r w:rsidR="00CD7A4E" w:rsidRPr="000B3BF4">
        <w:t>the following:</w:t>
      </w:r>
    </w:p>
    <w:p w14:paraId="73ED7F81" w14:textId="77777777" w:rsidR="00707660" w:rsidRPr="00004DF1" w:rsidRDefault="00707660" w:rsidP="00E7378F">
      <w:pPr>
        <w:pStyle w:val="tPara"/>
        <w:numPr>
          <w:ilvl w:val="0"/>
          <w:numId w:val="9"/>
        </w:numPr>
        <w:spacing w:before="0" w:after="120" w:line="276" w:lineRule="auto"/>
        <w:ind w:left="714" w:hanging="357"/>
        <w:contextualSpacing/>
        <w:jc w:val="left"/>
      </w:pPr>
      <w:r w:rsidRPr="00004DF1">
        <w:t xml:space="preserve">a pumping </w:t>
      </w:r>
      <w:r w:rsidR="00275F3E">
        <w:t xml:space="preserve">or gas compression </w:t>
      </w:r>
      <w:r w:rsidRPr="00004DF1">
        <w:t>service</w:t>
      </w:r>
    </w:p>
    <w:p w14:paraId="73ED7F82" w14:textId="77777777" w:rsidR="00707660" w:rsidRPr="00004DF1" w:rsidRDefault="00707660" w:rsidP="00E7378F">
      <w:pPr>
        <w:pStyle w:val="tPara"/>
        <w:numPr>
          <w:ilvl w:val="0"/>
          <w:numId w:val="9"/>
        </w:numPr>
        <w:spacing w:before="0" w:after="120"/>
      </w:pPr>
      <w:r w:rsidRPr="00004DF1">
        <w:tab/>
        <w:t>delivery of compressed air</w:t>
      </w:r>
    </w:p>
    <w:p w14:paraId="73ED7F83" w14:textId="77777777" w:rsidR="00C5773E" w:rsidRPr="00222B72" w:rsidRDefault="00707660" w:rsidP="00E7378F">
      <w:pPr>
        <w:pStyle w:val="tPara"/>
        <w:numPr>
          <w:ilvl w:val="0"/>
          <w:numId w:val="9"/>
        </w:numPr>
        <w:spacing w:before="0" w:after="120"/>
        <w:rPr>
          <w:i/>
        </w:rPr>
      </w:pPr>
      <w:r w:rsidRPr="00004DF1">
        <w:tab/>
        <w:t>ventilation</w:t>
      </w:r>
      <w:r w:rsidRPr="00BA1799">
        <w:t xml:space="preserve"> by means of ducted or partition ventilation fans, other than HVAC heating/cooling ventilation fans</w:t>
      </w:r>
    </w:p>
    <w:p w14:paraId="73ED7F84" w14:textId="77777777" w:rsidR="00707660" w:rsidRPr="00004DF1" w:rsidRDefault="00707660" w:rsidP="00E7378F">
      <w:pPr>
        <w:pStyle w:val="tPara"/>
        <w:numPr>
          <w:ilvl w:val="0"/>
          <w:numId w:val="9"/>
        </w:numPr>
        <w:spacing w:before="0" w:after="120"/>
      </w:pPr>
      <w:r w:rsidRPr="00004DF1">
        <w:lastRenderedPageBreak/>
        <w:tab/>
        <w:t>an industrial fan or industrial low pressure air blowing service</w:t>
      </w:r>
    </w:p>
    <w:p w14:paraId="73ED7F85" w14:textId="77777777" w:rsidR="00707660" w:rsidRPr="007A7965" w:rsidRDefault="00707660" w:rsidP="00E7378F">
      <w:pPr>
        <w:pStyle w:val="tPara"/>
        <w:numPr>
          <w:ilvl w:val="0"/>
          <w:numId w:val="9"/>
        </w:numPr>
        <w:spacing w:before="0" w:after="120"/>
      </w:pPr>
      <w:r w:rsidRPr="007A7965">
        <w:tab/>
        <w:t xml:space="preserve">processing or handling of materials, including, for example: </w:t>
      </w:r>
    </w:p>
    <w:p w14:paraId="73ED7F86" w14:textId="77777777" w:rsidR="00707660" w:rsidRPr="007A7965" w:rsidRDefault="00BA1799" w:rsidP="00E7378F">
      <w:pPr>
        <w:pStyle w:val="tSubpara"/>
        <w:tabs>
          <w:tab w:val="clear" w:pos="2211"/>
          <w:tab w:val="right" w:pos="0"/>
        </w:tabs>
        <w:spacing w:before="0" w:after="120"/>
        <w:ind w:left="0" w:firstLine="709"/>
      </w:pPr>
      <w:r w:rsidRPr="007A7965">
        <w:tab/>
        <w:t xml:space="preserve">(i) </w:t>
      </w:r>
      <w:r w:rsidR="00707660" w:rsidRPr="007A7965">
        <w:t xml:space="preserve">a </w:t>
      </w:r>
      <w:r w:rsidR="00707660" w:rsidRPr="00CE6236">
        <w:rPr>
          <w:rFonts w:eastAsia="Calibri"/>
          <w:szCs w:val="22"/>
          <w:lang w:eastAsia="en-US"/>
        </w:rPr>
        <w:t>crushing or grinding</w:t>
      </w:r>
      <w:r w:rsidR="00707660" w:rsidRPr="007A7965">
        <w:t xml:space="preserve"> circuit</w:t>
      </w:r>
    </w:p>
    <w:p w14:paraId="73ED7F87" w14:textId="77777777" w:rsidR="00707660" w:rsidRPr="007A7965" w:rsidRDefault="00707660" w:rsidP="00E7378F">
      <w:pPr>
        <w:pStyle w:val="tSubpara"/>
        <w:tabs>
          <w:tab w:val="clear" w:pos="2211"/>
          <w:tab w:val="right" w:pos="0"/>
        </w:tabs>
        <w:spacing w:before="0" w:after="120"/>
        <w:ind w:left="0" w:firstLine="709"/>
      </w:pPr>
      <w:r w:rsidRPr="007A7965">
        <w:tab/>
      </w:r>
      <w:r w:rsidR="00BA1799" w:rsidRPr="007A7965">
        <w:t xml:space="preserve">(ii) </w:t>
      </w:r>
      <w:r w:rsidRPr="007A7965">
        <w:t>mechanical processing, such as shredding or pulping</w:t>
      </w:r>
    </w:p>
    <w:p w14:paraId="73ED7F88" w14:textId="77777777" w:rsidR="00707660" w:rsidRPr="007A7965" w:rsidRDefault="00707660" w:rsidP="00E7378F">
      <w:pPr>
        <w:pStyle w:val="tSubpara"/>
        <w:tabs>
          <w:tab w:val="clear" w:pos="2211"/>
          <w:tab w:val="right" w:pos="0"/>
        </w:tabs>
        <w:spacing w:before="0" w:after="120"/>
        <w:ind w:left="0" w:firstLine="709"/>
      </w:pPr>
      <w:r w:rsidRPr="007A7965">
        <w:tab/>
      </w:r>
      <w:r w:rsidR="00BA1799" w:rsidRPr="007A7965">
        <w:t xml:space="preserve">(iii) </w:t>
      </w:r>
      <w:r w:rsidRPr="007A7965">
        <w:t>separation, mixing or sorting of materials</w:t>
      </w:r>
    </w:p>
    <w:p w14:paraId="73ED7F89" w14:textId="77777777" w:rsidR="00707660" w:rsidRPr="00004DF1" w:rsidRDefault="00707660" w:rsidP="00E7378F">
      <w:pPr>
        <w:pStyle w:val="tPara"/>
        <w:numPr>
          <w:ilvl w:val="0"/>
          <w:numId w:val="10"/>
        </w:numPr>
        <w:spacing w:before="0" w:after="120"/>
      </w:pPr>
      <w:r w:rsidRPr="00004DF1">
        <w:tab/>
        <w:t>a vacuum generation service</w:t>
      </w:r>
    </w:p>
    <w:p w14:paraId="73ED7F8A" w14:textId="77777777" w:rsidR="00707660" w:rsidRDefault="00707660" w:rsidP="00E7378F">
      <w:pPr>
        <w:pStyle w:val="tPara"/>
        <w:numPr>
          <w:ilvl w:val="0"/>
          <w:numId w:val="10"/>
        </w:numPr>
        <w:spacing w:before="0" w:after="120"/>
      </w:pPr>
      <w:r w:rsidRPr="00004DF1">
        <w:tab/>
        <w:t>refrigeration or industrial cooling</w:t>
      </w:r>
      <w:r w:rsidRPr="00D30AFA">
        <w:t xml:space="preserve"> (not including HVAC cooling)</w:t>
      </w:r>
    </w:p>
    <w:p w14:paraId="73ED7F8B" w14:textId="77777777" w:rsidR="00707660" w:rsidRPr="00004DF1" w:rsidRDefault="00707660" w:rsidP="00E7378F">
      <w:pPr>
        <w:pStyle w:val="tPara"/>
        <w:numPr>
          <w:ilvl w:val="0"/>
          <w:numId w:val="10"/>
        </w:numPr>
        <w:spacing w:before="0" w:after="120"/>
      </w:pPr>
      <w:r w:rsidRPr="00004DF1">
        <w:tab/>
        <w:t>process heating, including:</w:t>
      </w:r>
    </w:p>
    <w:p w14:paraId="73ED7F8C" w14:textId="77777777" w:rsidR="00707660" w:rsidRPr="00004DF1" w:rsidRDefault="00707660" w:rsidP="00E7378F">
      <w:pPr>
        <w:pStyle w:val="tSubpara"/>
        <w:tabs>
          <w:tab w:val="clear" w:pos="2211"/>
        </w:tabs>
        <w:spacing w:before="0" w:after="120"/>
        <w:ind w:left="709" w:hanging="709"/>
      </w:pPr>
      <w:r w:rsidRPr="00004DF1">
        <w:tab/>
      </w:r>
      <w:r w:rsidR="00BA1799">
        <w:tab/>
        <w:t xml:space="preserve">(i) </w:t>
      </w:r>
      <w:r w:rsidRPr="00004DF1">
        <w:t>heating or preheating of boilers</w:t>
      </w:r>
    </w:p>
    <w:p w14:paraId="73ED7F8D" w14:textId="77777777" w:rsidR="00707660" w:rsidRPr="00BA1799" w:rsidRDefault="00707660" w:rsidP="00E7378F">
      <w:pPr>
        <w:pStyle w:val="tSubpara"/>
        <w:tabs>
          <w:tab w:val="clear" w:pos="2211"/>
        </w:tabs>
        <w:spacing w:before="0" w:after="120"/>
        <w:ind w:left="709" w:hanging="709"/>
      </w:pPr>
      <w:r w:rsidRPr="00004DF1">
        <w:rPr>
          <w:rFonts w:eastAsia="Calibri"/>
        </w:rPr>
        <w:tab/>
      </w:r>
      <w:r w:rsidR="00BA1799" w:rsidRPr="00BA1799">
        <w:t xml:space="preserve">(ii) </w:t>
      </w:r>
      <w:r w:rsidRPr="00BA1799">
        <w:t>heating or preheating of kilns, ovens, roasters, furnaces or similar equipment</w:t>
      </w:r>
    </w:p>
    <w:p w14:paraId="73ED7F8E" w14:textId="77777777" w:rsidR="00707660" w:rsidRPr="00004DF1" w:rsidRDefault="00707660" w:rsidP="00E7378F">
      <w:pPr>
        <w:pStyle w:val="tPara"/>
        <w:numPr>
          <w:ilvl w:val="0"/>
          <w:numId w:val="11"/>
        </w:numPr>
        <w:spacing w:before="0" w:after="120"/>
        <w:ind w:left="714" w:hanging="357"/>
      </w:pPr>
      <w:r w:rsidRPr="00004DF1">
        <w:tab/>
        <w:t>any other heating service, other than HVAC heating, that uses heat, including waste heat, generated through the provision of an IE service listed above.</w:t>
      </w:r>
    </w:p>
    <w:p w14:paraId="73ED7F8F" w14:textId="14431C6A" w:rsidR="005B0930" w:rsidRDefault="005B0930" w:rsidP="00E7378F">
      <w:pPr>
        <w:spacing w:before="0" w:after="120" w:line="240" w:lineRule="auto"/>
        <w:rPr>
          <w:rFonts w:eastAsia="Times New Roman"/>
          <w:color w:val="000000"/>
          <w:lang w:eastAsia="en-AU"/>
        </w:rPr>
      </w:pPr>
      <w:r>
        <w:rPr>
          <w:rFonts w:eastAsia="Times New Roman"/>
          <w:color w:val="000000"/>
          <w:lang w:eastAsia="en-AU"/>
        </w:rPr>
        <w:t>H</w:t>
      </w:r>
      <w:r w:rsidR="00CD7A4E">
        <w:rPr>
          <w:rFonts w:eastAsia="Times New Roman"/>
          <w:color w:val="000000"/>
          <w:lang w:eastAsia="en-AU"/>
        </w:rPr>
        <w:t>eating and cooling that form</w:t>
      </w:r>
      <w:r>
        <w:rPr>
          <w:rFonts w:eastAsia="Times New Roman"/>
          <w:color w:val="000000"/>
          <w:lang w:eastAsia="en-AU"/>
        </w:rPr>
        <w:t>s</w:t>
      </w:r>
      <w:r w:rsidR="00CD7A4E">
        <w:rPr>
          <w:rFonts w:eastAsia="Times New Roman"/>
          <w:color w:val="000000"/>
          <w:lang w:eastAsia="en-AU"/>
        </w:rPr>
        <w:t xml:space="preserve"> part of HVAC systems are excluded because these systems are subject to significant climatic effects that cannot be accounted for under the method. </w:t>
      </w:r>
      <w:r>
        <w:rPr>
          <w:rFonts w:eastAsia="Times New Roman"/>
          <w:color w:val="000000"/>
          <w:lang w:eastAsia="en-AU"/>
        </w:rPr>
        <w:t>Proponents of such</w:t>
      </w:r>
      <w:r w:rsidR="00CD7A4E">
        <w:rPr>
          <w:rFonts w:eastAsia="Times New Roman"/>
          <w:color w:val="000000"/>
          <w:lang w:eastAsia="en-AU"/>
        </w:rPr>
        <w:t xml:space="preserve"> projects may use the </w:t>
      </w:r>
      <w:r>
        <w:rPr>
          <w:rFonts w:eastAsia="Times New Roman"/>
          <w:color w:val="000000"/>
          <w:lang w:eastAsia="en-AU"/>
        </w:rPr>
        <w:t xml:space="preserve">ERF </w:t>
      </w:r>
      <w:r w:rsidR="00CD7A4E">
        <w:rPr>
          <w:rFonts w:eastAsia="Times New Roman"/>
          <w:color w:val="000000"/>
          <w:lang w:eastAsia="en-AU"/>
        </w:rPr>
        <w:t xml:space="preserve">Industrial </w:t>
      </w:r>
      <w:r w:rsidR="00AC750F">
        <w:rPr>
          <w:rFonts w:eastAsia="Times New Roman"/>
          <w:color w:val="000000"/>
          <w:lang w:eastAsia="en-AU"/>
        </w:rPr>
        <w:t xml:space="preserve">Electricity and </w:t>
      </w:r>
      <w:r w:rsidR="00B709E0">
        <w:rPr>
          <w:rFonts w:eastAsia="Times New Roman"/>
          <w:color w:val="000000"/>
          <w:lang w:eastAsia="en-AU"/>
        </w:rPr>
        <w:t xml:space="preserve">Fuel </w:t>
      </w:r>
      <w:r w:rsidR="00CD7A4E">
        <w:rPr>
          <w:rFonts w:eastAsia="Times New Roman"/>
          <w:color w:val="000000"/>
          <w:lang w:eastAsia="en-AU"/>
        </w:rPr>
        <w:t>E</w:t>
      </w:r>
      <w:r w:rsidR="00AC750F">
        <w:rPr>
          <w:rFonts w:eastAsia="Times New Roman"/>
          <w:color w:val="000000"/>
          <w:lang w:eastAsia="en-AU"/>
        </w:rPr>
        <w:t>fficiency</w:t>
      </w:r>
      <w:r w:rsidR="00CD7A4E">
        <w:rPr>
          <w:rFonts w:eastAsia="Times New Roman"/>
          <w:color w:val="000000"/>
          <w:lang w:eastAsia="en-AU"/>
        </w:rPr>
        <w:t xml:space="preserve"> method.</w:t>
      </w:r>
      <w:r w:rsidR="004D1994">
        <w:rPr>
          <w:rStyle w:val="FootnoteReference"/>
          <w:rFonts w:eastAsia="Times New Roman"/>
          <w:color w:val="000000"/>
          <w:lang w:eastAsia="en-AU"/>
        </w:rPr>
        <w:footnoteReference w:id="2"/>
      </w:r>
    </w:p>
    <w:p w14:paraId="73ED7F90" w14:textId="77777777" w:rsidR="00AC750F" w:rsidRPr="00AC750F" w:rsidRDefault="00AC750F" w:rsidP="00E7378F">
      <w:pPr>
        <w:pStyle w:val="h6Subsec"/>
        <w:spacing w:before="0" w:after="120"/>
        <w:ind w:left="0"/>
        <w:rPr>
          <w:rFonts w:ascii="Times New Roman" w:hAnsi="Times New Roman"/>
          <w:strike/>
        </w:rPr>
      </w:pPr>
      <w:r w:rsidRPr="00AC750F">
        <w:rPr>
          <w:rFonts w:ascii="Times New Roman" w:hAnsi="Times New Roman"/>
        </w:rPr>
        <w:t>What an IE unit is</w:t>
      </w:r>
    </w:p>
    <w:p w14:paraId="73ED7F91" w14:textId="77777777" w:rsidR="00C54D31" w:rsidRDefault="00EC09CE" w:rsidP="00E7378F">
      <w:pPr>
        <w:spacing w:before="0" w:after="120" w:line="240" w:lineRule="auto"/>
        <w:rPr>
          <w:rFonts w:eastAsia="Times New Roman"/>
          <w:color w:val="000000"/>
          <w:lang w:eastAsia="en-AU"/>
        </w:rPr>
      </w:pPr>
      <w:r>
        <w:rPr>
          <w:rFonts w:eastAsia="Times New Roman"/>
          <w:color w:val="000000"/>
          <w:lang w:eastAsia="en-AU"/>
        </w:rPr>
        <w:t>Subsection 8(5</w:t>
      </w:r>
      <w:r w:rsidRPr="00D92531">
        <w:rPr>
          <w:rFonts w:eastAsia="Times New Roman"/>
          <w:color w:val="000000"/>
          <w:lang w:eastAsia="en-AU"/>
        </w:rPr>
        <w:t>)</w:t>
      </w:r>
      <w:r w:rsidR="00435578">
        <w:rPr>
          <w:rFonts w:eastAsia="Times New Roman"/>
          <w:color w:val="000000"/>
          <w:lang w:eastAsia="en-AU"/>
        </w:rPr>
        <w:t xml:space="preserve"> sets out the requirements </w:t>
      </w:r>
      <w:r w:rsidR="00435578" w:rsidRPr="00BE2A5D">
        <w:rPr>
          <w:rFonts w:eastAsia="Times New Roman"/>
          <w:color w:val="000000"/>
          <w:lang w:eastAsia="en-AU"/>
        </w:rPr>
        <w:t xml:space="preserve">that a </w:t>
      </w:r>
      <w:r w:rsidR="00435578">
        <w:rPr>
          <w:rFonts w:eastAsia="Times New Roman"/>
          <w:color w:val="000000"/>
          <w:lang w:eastAsia="en-AU"/>
        </w:rPr>
        <w:t>system</w:t>
      </w:r>
      <w:r w:rsidR="00435578" w:rsidRPr="00BE2A5D">
        <w:rPr>
          <w:rFonts w:eastAsia="Times New Roman"/>
          <w:color w:val="000000"/>
          <w:lang w:eastAsia="en-AU"/>
        </w:rPr>
        <w:t xml:space="preserve"> of </w:t>
      </w:r>
      <w:r w:rsidR="00435578">
        <w:rPr>
          <w:rFonts w:eastAsia="Times New Roman"/>
          <w:color w:val="000000"/>
          <w:lang w:eastAsia="en-AU"/>
        </w:rPr>
        <w:t>equipment</w:t>
      </w:r>
      <w:r w:rsidR="00435578" w:rsidRPr="00BE2A5D">
        <w:rPr>
          <w:rFonts w:eastAsia="Times New Roman"/>
          <w:color w:val="000000"/>
          <w:lang w:eastAsia="en-AU"/>
        </w:rPr>
        <w:t xml:space="preserve"> must </w:t>
      </w:r>
      <w:r w:rsidR="00435578">
        <w:rPr>
          <w:rFonts w:eastAsia="Times New Roman"/>
          <w:color w:val="000000"/>
          <w:lang w:eastAsia="en-AU"/>
        </w:rPr>
        <w:t>meet</w:t>
      </w:r>
      <w:r w:rsidR="00435578" w:rsidRPr="00BE2A5D">
        <w:rPr>
          <w:rFonts w:eastAsia="Times New Roman"/>
          <w:color w:val="000000"/>
          <w:lang w:eastAsia="en-AU"/>
        </w:rPr>
        <w:t xml:space="preserve"> in order to be classified as an </w:t>
      </w:r>
      <w:r w:rsidR="00435578" w:rsidRPr="00E37C54">
        <w:rPr>
          <w:rFonts w:eastAsia="Times New Roman"/>
          <w:color w:val="000000"/>
          <w:lang w:eastAsia="en-AU"/>
        </w:rPr>
        <w:t>IE unit</w:t>
      </w:r>
      <w:r w:rsidR="00815F32">
        <w:rPr>
          <w:rFonts w:eastAsia="Times New Roman"/>
          <w:color w:val="000000"/>
          <w:lang w:eastAsia="en-AU"/>
        </w:rPr>
        <w:t>.</w:t>
      </w:r>
    </w:p>
    <w:p w14:paraId="73ED7F92" w14:textId="77777777" w:rsidR="00A02057" w:rsidRPr="000B3BF4" w:rsidRDefault="00A02057" w:rsidP="00E7378F">
      <w:pPr>
        <w:spacing w:before="0" w:after="120" w:line="240" w:lineRule="auto"/>
      </w:pPr>
      <w:r w:rsidRPr="000B3BF4">
        <w:t xml:space="preserve">There will often be a choice as to what industrial or </w:t>
      </w:r>
      <w:r w:rsidR="0017172A">
        <w:t>related</w:t>
      </w:r>
      <w:r w:rsidR="0017172A" w:rsidRPr="000B3BF4">
        <w:t xml:space="preserve"> </w:t>
      </w:r>
      <w:r w:rsidRPr="000B3BF4">
        <w:t xml:space="preserve">equipment </w:t>
      </w:r>
      <w:r w:rsidR="0017172A">
        <w:t>should</w:t>
      </w:r>
      <w:r w:rsidRPr="000B3BF4">
        <w:t xml:space="preserve"> constitute an IE</w:t>
      </w:r>
      <w:r w:rsidR="0017172A">
        <w:t xml:space="preserve"> </w:t>
      </w:r>
      <w:r w:rsidRPr="000B3BF4">
        <w:t>unit for a project. The project proponent will need to choose systems in such a way that each of them:</w:t>
      </w:r>
    </w:p>
    <w:p w14:paraId="73ED7F93" w14:textId="77777777" w:rsidR="00A02057" w:rsidRPr="000B3BF4" w:rsidRDefault="00A02057" w:rsidP="00E7378F">
      <w:pPr>
        <w:pStyle w:val="ListBullet"/>
        <w:spacing w:after="120"/>
        <w:ind w:left="714" w:hanging="357"/>
      </w:pPr>
      <w:r w:rsidRPr="000B3BF4">
        <w:t>includes all equipment within an energy boundary (section</w:t>
      </w:r>
      <w:r w:rsidR="00CF5AC2">
        <w:t xml:space="preserve"> 11</w:t>
      </w:r>
      <w:r w:rsidR="00B51210">
        <w:t>)</w:t>
      </w:r>
      <w:r w:rsidR="00C54D31">
        <w:t>; and</w:t>
      </w:r>
    </w:p>
    <w:p w14:paraId="73ED7F94" w14:textId="6DA5CC05" w:rsidR="00A02057" w:rsidRPr="000B3BF4" w:rsidRDefault="00A02057" w:rsidP="00E7378F">
      <w:pPr>
        <w:pStyle w:val="ListBullet"/>
        <w:spacing w:after="120"/>
      </w:pPr>
      <w:r w:rsidRPr="000B3BF4">
        <w:t>has an associated IE upgrade that satisfies paragraph</w:t>
      </w:r>
      <w:r w:rsidR="00CF5AC2">
        <w:t xml:space="preserve"> </w:t>
      </w:r>
      <w:r w:rsidR="005D0235">
        <w:t>8</w:t>
      </w:r>
      <w:r w:rsidR="00CF5AC2">
        <w:t>(1)(b)</w:t>
      </w:r>
      <w:r w:rsidRPr="000B3BF4">
        <w:t xml:space="preserve"> and is not excluded by section </w:t>
      </w:r>
      <w:r w:rsidR="00CF5AC2">
        <w:t>10</w:t>
      </w:r>
      <w:r w:rsidR="00B709E0">
        <w:t>; and</w:t>
      </w:r>
    </w:p>
    <w:p w14:paraId="73ED7F95" w14:textId="7ACFBCC5" w:rsidR="00A02057" w:rsidRPr="000B3BF4" w:rsidRDefault="00A02057" w:rsidP="00E7378F">
      <w:pPr>
        <w:pStyle w:val="ListBullet"/>
        <w:spacing w:after="120"/>
      </w:pPr>
      <w:r w:rsidRPr="000B3BF4">
        <w:t>has appropriate output indicators (section</w:t>
      </w:r>
      <w:r w:rsidR="00CF5AC2">
        <w:t xml:space="preserve"> 1</w:t>
      </w:r>
      <w:r w:rsidR="00F0140D">
        <w:t>4</w:t>
      </w:r>
      <w:r w:rsidRPr="000B3BF4">
        <w:t xml:space="preserve">). </w:t>
      </w:r>
    </w:p>
    <w:p w14:paraId="73ED7F96" w14:textId="77777777" w:rsidR="00E446F5" w:rsidRDefault="00A02057" w:rsidP="00E7378F">
      <w:pPr>
        <w:spacing w:before="0" w:after="120" w:line="240" w:lineRule="auto"/>
        <w:rPr>
          <w:rFonts w:eastAsia="Times New Roman"/>
          <w:color w:val="000000"/>
          <w:lang w:eastAsia="en-AU"/>
        </w:rPr>
      </w:pPr>
      <w:r w:rsidRPr="00676FB1">
        <w:rPr>
          <w:rFonts w:eastAsia="Times New Roman"/>
          <w:color w:val="000000"/>
          <w:lang w:eastAsia="en-AU"/>
        </w:rPr>
        <w:t xml:space="preserve">For example, if the main energy consuming equipment is a pumping service, and the intended upgrade will improve the efficiency of the pumps, the proponent might choose to define the IE unit as consisting of the pumps themselves, and use the fluid </w:t>
      </w:r>
      <w:r w:rsidR="00676FB1" w:rsidRPr="00676FB1">
        <w:rPr>
          <w:rFonts w:eastAsia="Times New Roman"/>
          <w:color w:val="000000"/>
          <w:lang w:eastAsia="en-AU"/>
        </w:rPr>
        <w:t>flow from</w:t>
      </w:r>
      <w:r w:rsidRPr="00676FB1">
        <w:rPr>
          <w:rFonts w:eastAsia="Times New Roman"/>
          <w:color w:val="000000"/>
          <w:lang w:eastAsia="en-AU"/>
        </w:rPr>
        <w:t xml:space="preserve"> the pumps as the output indicator.  </w:t>
      </w:r>
    </w:p>
    <w:p w14:paraId="3A929A9B" w14:textId="77777777" w:rsidR="008B6BE0" w:rsidRDefault="00A02057" w:rsidP="00E7378F">
      <w:pPr>
        <w:spacing w:before="0" w:after="120" w:line="240" w:lineRule="auto"/>
        <w:rPr>
          <w:rFonts w:eastAsia="Times New Roman"/>
          <w:color w:val="000000"/>
          <w:lang w:eastAsia="en-AU"/>
        </w:rPr>
      </w:pPr>
      <w:r w:rsidRPr="00676FB1">
        <w:rPr>
          <w:rFonts w:eastAsia="Times New Roman"/>
          <w:color w:val="000000"/>
          <w:lang w:eastAsia="en-AU"/>
        </w:rPr>
        <w:t xml:space="preserve">However, if the intended upgrade will </w:t>
      </w:r>
      <w:r w:rsidR="003A106D" w:rsidRPr="00676FB1">
        <w:rPr>
          <w:rFonts w:eastAsia="Times New Roman"/>
          <w:color w:val="000000"/>
          <w:lang w:eastAsia="en-AU"/>
        </w:rPr>
        <w:t xml:space="preserve">affect the pumping system energy consumption by </w:t>
      </w:r>
      <w:r w:rsidRPr="00676FB1">
        <w:rPr>
          <w:rFonts w:eastAsia="Times New Roman"/>
          <w:color w:val="000000"/>
          <w:lang w:eastAsia="en-AU"/>
        </w:rPr>
        <w:t>improv</w:t>
      </w:r>
      <w:r w:rsidR="003A106D" w:rsidRPr="00676FB1">
        <w:rPr>
          <w:rFonts w:eastAsia="Times New Roman"/>
          <w:color w:val="000000"/>
          <w:lang w:eastAsia="en-AU"/>
        </w:rPr>
        <w:t>ing</w:t>
      </w:r>
      <w:r w:rsidRPr="00676FB1">
        <w:rPr>
          <w:rFonts w:eastAsia="Times New Roman"/>
          <w:color w:val="000000"/>
          <w:lang w:eastAsia="en-AU"/>
        </w:rPr>
        <w:t xml:space="preserve"> the efficiency of equipment such as pipes and valves supplied by the pumping system, the proponent might choose to define the IE </w:t>
      </w:r>
      <w:r w:rsidR="00AC750F">
        <w:rPr>
          <w:rFonts w:eastAsia="Times New Roman"/>
          <w:color w:val="000000"/>
          <w:lang w:eastAsia="en-AU"/>
        </w:rPr>
        <w:t xml:space="preserve">unit </w:t>
      </w:r>
      <w:r w:rsidRPr="00676FB1">
        <w:rPr>
          <w:rFonts w:eastAsia="Times New Roman"/>
          <w:color w:val="000000"/>
          <w:lang w:eastAsia="en-AU"/>
        </w:rPr>
        <w:t>to include that equipment</w:t>
      </w:r>
      <w:r w:rsidR="00E446F5">
        <w:rPr>
          <w:rFonts w:eastAsia="Times New Roman"/>
          <w:color w:val="000000"/>
          <w:lang w:eastAsia="en-AU"/>
        </w:rPr>
        <w:t>.</w:t>
      </w:r>
      <w:r w:rsidRPr="00676FB1">
        <w:rPr>
          <w:rFonts w:eastAsia="Times New Roman"/>
          <w:color w:val="000000"/>
          <w:lang w:eastAsia="en-AU"/>
        </w:rPr>
        <w:t xml:space="preserve"> </w:t>
      </w:r>
    </w:p>
    <w:p w14:paraId="73ED7F97" w14:textId="25420A45" w:rsidR="00A02057" w:rsidRDefault="00E446F5" w:rsidP="00E7378F">
      <w:pPr>
        <w:spacing w:before="0" w:after="120" w:line="240" w:lineRule="auto"/>
        <w:rPr>
          <w:rFonts w:eastAsia="Times New Roman"/>
          <w:color w:val="000000"/>
          <w:lang w:eastAsia="en-AU"/>
        </w:rPr>
      </w:pPr>
      <w:r>
        <w:rPr>
          <w:rFonts w:eastAsia="Times New Roman"/>
          <w:color w:val="000000"/>
          <w:lang w:eastAsia="en-AU"/>
        </w:rPr>
        <w:t>The proponent</w:t>
      </w:r>
      <w:r w:rsidR="00A02057" w:rsidRPr="00676FB1">
        <w:rPr>
          <w:rFonts w:eastAsia="Times New Roman"/>
          <w:color w:val="000000"/>
          <w:lang w:eastAsia="en-AU"/>
        </w:rPr>
        <w:t xml:space="preserve"> may </w:t>
      </w:r>
      <w:r>
        <w:rPr>
          <w:rFonts w:eastAsia="Times New Roman"/>
          <w:color w:val="000000"/>
          <w:lang w:eastAsia="en-AU"/>
        </w:rPr>
        <w:t xml:space="preserve">then </w:t>
      </w:r>
      <w:r w:rsidR="00A02057" w:rsidRPr="00676FB1">
        <w:rPr>
          <w:rFonts w:eastAsia="Times New Roman"/>
          <w:color w:val="000000"/>
          <w:lang w:eastAsia="en-AU"/>
        </w:rPr>
        <w:t>use a broader output indicator such as the output of the site as a whole</w:t>
      </w:r>
      <w:r w:rsidR="003A106D" w:rsidRPr="00676FB1">
        <w:rPr>
          <w:rFonts w:eastAsia="Times New Roman"/>
          <w:color w:val="000000"/>
          <w:lang w:eastAsia="en-AU"/>
        </w:rPr>
        <w:t xml:space="preserve">. This approach </w:t>
      </w:r>
      <w:r>
        <w:rPr>
          <w:rFonts w:eastAsia="Times New Roman"/>
          <w:color w:val="000000"/>
          <w:lang w:eastAsia="en-AU"/>
        </w:rPr>
        <w:t>may be</w:t>
      </w:r>
      <w:r w:rsidR="003A106D" w:rsidRPr="00676FB1">
        <w:rPr>
          <w:rFonts w:eastAsia="Times New Roman"/>
          <w:color w:val="000000"/>
          <w:lang w:eastAsia="en-AU"/>
        </w:rPr>
        <w:t xml:space="preserve"> appropriate</w:t>
      </w:r>
      <w:r w:rsidR="00A02057" w:rsidRPr="00676FB1">
        <w:rPr>
          <w:rFonts w:eastAsia="Times New Roman"/>
          <w:color w:val="000000"/>
          <w:lang w:eastAsia="en-AU"/>
        </w:rPr>
        <w:t xml:space="preserve"> if pump flow measurements are not available. </w:t>
      </w:r>
    </w:p>
    <w:p w14:paraId="73ED7F98" w14:textId="77777777" w:rsidR="00A86329" w:rsidRPr="00676FB1" w:rsidRDefault="00A86329" w:rsidP="00E7378F">
      <w:pPr>
        <w:spacing w:before="0" w:after="120" w:line="240" w:lineRule="auto"/>
        <w:rPr>
          <w:rFonts w:eastAsia="Times New Roman"/>
          <w:color w:val="000000"/>
          <w:lang w:eastAsia="en-AU"/>
        </w:rPr>
      </w:pPr>
      <w:r>
        <w:rPr>
          <w:rFonts w:eastAsia="Times New Roman"/>
          <w:color w:val="000000"/>
          <w:lang w:eastAsia="en-AU"/>
        </w:rPr>
        <w:lastRenderedPageBreak/>
        <w:t xml:space="preserve">Paragraph 8(5)(a) sets out that </w:t>
      </w:r>
      <w:r w:rsidR="00FC570C">
        <w:rPr>
          <w:rFonts w:eastAsia="Times New Roman"/>
          <w:color w:val="000000"/>
          <w:lang w:eastAsia="en-AU"/>
        </w:rPr>
        <w:t xml:space="preserve">a system of equipment that forms an IE unit must be either at one location, or </w:t>
      </w:r>
      <w:r w:rsidR="00FC570C" w:rsidRPr="005F636F">
        <w:t xml:space="preserve">at locations connected by a dedicated transport mechanism that is part of </w:t>
      </w:r>
      <w:r w:rsidR="005D4BEF">
        <w:t xml:space="preserve">the </w:t>
      </w:r>
      <w:r w:rsidR="00FC570C" w:rsidRPr="005F636F">
        <w:t>system (as explained under subsection 8(2) above).</w:t>
      </w:r>
    </w:p>
    <w:p w14:paraId="73ED7F99" w14:textId="77777777" w:rsidR="006F3376" w:rsidRPr="006F3376" w:rsidRDefault="006F3376" w:rsidP="00007F4C">
      <w:pPr>
        <w:pStyle w:val="tMain"/>
        <w:spacing w:before="0" w:line="240" w:lineRule="auto"/>
        <w:ind w:left="0" w:firstLine="0"/>
        <w:jc w:val="left"/>
        <w:rPr>
          <w:i/>
          <w:color w:val="000000"/>
        </w:rPr>
      </w:pPr>
      <w:r w:rsidRPr="006F3376">
        <w:rPr>
          <w:i/>
          <w:color w:val="000000"/>
        </w:rPr>
        <w:t>IE upgrades</w:t>
      </w:r>
    </w:p>
    <w:p w14:paraId="73ED7F9A" w14:textId="77777777" w:rsidR="00487ADE" w:rsidRPr="007B6D00" w:rsidRDefault="00EC09CE" w:rsidP="00E7378F">
      <w:pPr>
        <w:spacing w:before="0" w:after="120" w:line="240" w:lineRule="auto"/>
      </w:pPr>
      <w:r w:rsidRPr="001653A9">
        <w:t>Subsection 8(6)</w:t>
      </w:r>
      <w:r w:rsidR="00487ADE" w:rsidRPr="001653A9">
        <w:t xml:space="preserve"> defines </w:t>
      </w:r>
      <w:r w:rsidR="005F2F03" w:rsidRPr="001653A9">
        <w:t xml:space="preserve">an </w:t>
      </w:r>
      <w:r w:rsidR="00487ADE" w:rsidRPr="001653A9">
        <w:t xml:space="preserve">IE upgrade as </w:t>
      </w:r>
      <w:r w:rsidR="00487ADE" w:rsidRPr="007B6D00">
        <w:t>doing one or more of the following</w:t>
      </w:r>
      <w:r w:rsidR="00102755">
        <w:t xml:space="preserve"> to an IE unit</w:t>
      </w:r>
      <w:r w:rsidR="00B03E63">
        <w:t>, other than as maintenance</w:t>
      </w:r>
      <w:r w:rsidR="008437CE">
        <w:t>:</w:t>
      </w:r>
      <w:r w:rsidR="00487ADE" w:rsidRPr="007B6D00">
        <w:t xml:space="preserve"> </w:t>
      </w:r>
    </w:p>
    <w:p w14:paraId="73ED7F9B" w14:textId="0AA77017" w:rsidR="00487ADE" w:rsidRPr="007B6D00" w:rsidRDefault="00487ADE" w:rsidP="00E7378F">
      <w:pPr>
        <w:pStyle w:val="ListBullet"/>
        <w:spacing w:after="120"/>
        <w:ind w:left="714" w:hanging="357"/>
      </w:pPr>
      <w:r w:rsidRPr="007B6D00">
        <w:t>modifying, removing or replacing equipment of the unit</w:t>
      </w:r>
      <w:r w:rsidR="00CD7087">
        <w:t xml:space="preserve"> </w:t>
      </w:r>
    </w:p>
    <w:p w14:paraId="73ED7F9C" w14:textId="3F32B5A0" w:rsidR="00487ADE" w:rsidRPr="007B6D00" w:rsidRDefault="00487ADE" w:rsidP="00E7378F">
      <w:pPr>
        <w:pStyle w:val="ListBullet"/>
        <w:spacing w:after="120"/>
      </w:pPr>
      <w:r w:rsidRPr="007B6D00">
        <w:t>installing additional equipment in the unit</w:t>
      </w:r>
      <w:r w:rsidR="00CD7087">
        <w:t xml:space="preserve"> </w:t>
      </w:r>
    </w:p>
    <w:p w14:paraId="73ED7F9D" w14:textId="3D769A56" w:rsidR="00487ADE" w:rsidRPr="007B6D00" w:rsidRDefault="00487ADE" w:rsidP="00E7378F">
      <w:pPr>
        <w:pStyle w:val="ListBullet"/>
        <w:spacing w:after="120"/>
      </w:pPr>
      <w:r w:rsidRPr="007B6D00">
        <w:t>changing the way existing equipment of the</w:t>
      </w:r>
      <w:r w:rsidR="00B51210">
        <w:t xml:space="preserve"> unit is controlled or operated</w:t>
      </w:r>
    </w:p>
    <w:p w14:paraId="73ED7F9E" w14:textId="2BDADEF9" w:rsidR="00487ADE" w:rsidRPr="007B6D00" w:rsidRDefault="00487ADE" w:rsidP="00E7378F">
      <w:pPr>
        <w:pStyle w:val="ListBullet"/>
        <w:spacing w:after="120"/>
      </w:pPr>
      <w:r w:rsidRPr="007B6D00">
        <w:t xml:space="preserve">changing the energy sources or mix of </w:t>
      </w:r>
      <w:r w:rsidR="00B51210">
        <w:t>energy sources used by the unit.</w:t>
      </w:r>
    </w:p>
    <w:p w14:paraId="73ED7F9F" w14:textId="77777777" w:rsidR="00121BD0" w:rsidRDefault="00C84EF7" w:rsidP="00E7378F">
      <w:pPr>
        <w:pStyle w:val="tMain"/>
        <w:spacing w:before="0" w:after="120" w:line="240" w:lineRule="auto"/>
        <w:ind w:left="0" w:firstLine="0"/>
        <w:jc w:val="left"/>
      </w:pPr>
      <w:r>
        <w:t>C</w:t>
      </w:r>
      <w:r w:rsidR="00121BD0" w:rsidRPr="00121BD0">
        <w:t xml:space="preserve">hanging the energy sources or mix of </w:t>
      </w:r>
      <w:r w:rsidR="001C6A11">
        <w:t xml:space="preserve">energy sources used by the unit, commonly called </w:t>
      </w:r>
      <w:r w:rsidR="00121BD0" w:rsidRPr="00121BD0">
        <w:t>fuel switching</w:t>
      </w:r>
      <w:r w:rsidR="001C6A11">
        <w:t>,</w:t>
      </w:r>
      <w:r w:rsidR="00121BD0" w:rsidRPr="00121BD0">
        <w:t xml:space="preserve"> may </w:t>
      </w:r>
      <w:r w:rsidR="001C6A11">
        <w:t>require</w:t>
      </w:r>
      <w:r w:rsidR="00121BD0" w:rsidRPr="00121BD0">
        <w:t xml:space="preserve"> environmental </w:t>
      </w:r>
      <w:r w:rsidR="001C6A11">
        <w:t>approval from State governments</w:t>
      </w:r>
      <w:r w:rsidR="00121BD0" w:rsidRPr="00121BD0">
        <w:t xml:space="preserve">. </w:t>
      </w:r>
      <w:r w:rsidR="001C6A11">
        <w:t>Under section 28 of the Act, p</w:t>
      </w:r>
      <w:r w:rsidR="00121BD0" w:rsidRPr="00121BD0">
        <w:t xml:space="preserve">roponents will be required to </w:t>
      </w:r>
      <w:r w:rsidR="001C6A11">
        <w:t xml:space="preserve">obtain </w:t>
      </w:r>
      <w:r w:rsidR="009F617A">
        <w:t xml:space="preserve">any required </w:t>
      </w:r>
      <w:r w:rsidR="001C6A11">
        <w:t>regulatory approvals for a project before the end of the first reporting period</w:t>
      </w:r>
      <w:r w:rsidR="00121BD0" w:rsidRPr="00121BD0">
        <w:t>.</w:t>
      </w:r>
    </w:p>
    <w:p w14:paraId="73ED7FA0" w14:textId="089762BF" w:rsidR="00020097" w:rsidRDefault="00B03E63" w:rsidP="00E7378F">
      <w:pPr>
        <w:pStyle w:val="tMain"/>
        <w:spacing w:before="0" w:after="120" w:line="240" w:lineRule="auto"/>
        <w:ind w:left="0" w:firstLine="0"/>
        <w:jc w:val="left"/>
      </w:pPr>
      <w:r w:rsidRPr="00B03E63">
        <w:t xml:space="preserve">Subsection 8(7) sets out that in subsection 8(6), an action is done as maintenance if it is no more than is required to maintain the performance and reliability of </w:t>
      </w:r>
      <w:r>
        <w:t>the equipment in the IE unit</w:t>
      </w:r>
      <w:r w:rsidR="004328D7">
        <w:t>, or</w:t>
      </w:r>
      <w:r>
        <w:t xml:space="preserve"> </w:t>
      </w:r>
      <w:r w:rsidRPr="00B03E63">
        <w:t>is required or recommended by the man</w:t>
      </w:r>
      <w:r w:rsidR="00A163FE">
        <w:t>ufacturer or equipment supplier.</w:t>
      </w:r>
      <w:r w:rsidRPr="00B03E63">
        <w:t xml:space="preserve"> </w:t>
      </w:r>
      <w:r w:rsidR="00A163FE" w:rsidRPr="003B116A">
        <w:t>Similarly, the activities must do more than undertake non-ongoing maintenance of equipment</w:t>
      </w:r>
      <w:r w:rsidR="00EC0684">
        <w:t xml:space="preserve">. </w:t>
      </w:r>
    </w:p>
    <w:p w14:paraId="73ED7FA1" w14:textId="77777777" w:rsidR="00711FCA" w:rsidRDefault="00711FCA" w:rsidP="00E7378F">
      <w:pPr>
        <w:pStyle w:val="tMain"/>
        <w:spacing w:before="0" w:after="120" w:line="240" w:lineRule="auto"/>
        <w:ind w:left="0" w:firstLine="0"/>
        <w:jc w:val="left"/>
      </w:pPr>
      <w:r>
        <w:t xml:space="preserve">The intent of this provision is to credit only replacement and maintenance activities providing additional energy efficiency improvement than would occur in the ordinary course of business. The method is intended to </w:t>
      </w:r>
      <w:r w:rsidR="009C0D44">
        <w:t>credit</w:t>
      </w:r>
      <w:r>
        <w:t xml:space="preserve"> early upgrading of equipment </w:t>
      </w:r>
      <w:r w:rsidR="009C0D44">
        <w:t>in working order to</w:t>
      </w:r>
      <w:r>
        <w:t xml:space="preserve"> improve energy efficiency more than the standard ‘like for like’ replacement</w:t>
      </w:r>
      <w:r w:rsidR="00E7150F">
        <w:t xml:space="preserve"> that might be done to maintain reliability</w:t>
      </w:r>
      <w:r>
        <w:t xml:space="preserve">. </w:t>
      </w:r>
      <w:r w:rsidR="001D52F3">
        <w:t>I</w:t>
      </w:r>
      <w:r>
        <w:t xml:space="preserve">f equipment </w:t>
      </w:r>
      <w:r w:rsidR="009C0D44">
        <w:t xml:space="preserve">is upgraded </w:t>
      </w:r>
      <w:r w:rsidR="001D52F3">
        <w:t>towards the end of its life</w:t>
      </w:r>
      <w:r>
        <w:t xml:space="preserve">, the upgrade should provide a higher energy efficiency </w:t>
      </w:r>
      <w:r w:rsidR="009C0D44">
        <w:t xml:space="preserve">level </w:t>
      </w:r>
      <w:r>
        <w:t xml:space="preserve">than </w:t>
      </w:r>
      <w:r w:rsidR="001D52F3">
        <w:t>the typical</w:t>
      </w:r>
      <w:r>
        <w:t xml:space="preserve"> direct replacement</w:t>
      </w:r>
      <w:r w:rsidR="001D52F3">
        <w:t xml:space="preserve"> in the market</w:t>
      </w:r>
      <w:r>
        <w:t>.</w:t>
      </w:r>
      <w:r w:rsidR="001D52F3">
        <w:t xml:space="preserve"> This means that any minimum energy performance standards for the equipment would need to be exceeded. </w:t>
      </w:r>
    </w:p>
    <w:p w14:paraId="73ED7FA2" w14:textId="3CE2FCD4" w:rsidR="001D52F3" w:rsidRDefault="001D52F3" w:rsidP="00E7378F">
      <w:pPr>
        <w:pStyle w:val="tMain"/>
        <w:spacing w:before="0" w:after="120" w:line="240" w:lineRule="auto"/>
        <w:ind w:left="0" w:firstLine="0"/>
        <w:jc w:val="left"/>
      </w:pPr>
      <w:r>
        <w:t>An example of a normal replacement</w:t>
      </w:r>
      <w:r w:rsidRPr="00676FB1">
        <w:t xml:space="preserve"> </w:t>
      </w:r>
      <w:r>
        <w:t xml:space="preserve">activity that would </w:t>
      </w:r>
      <w:r w:rsidR="00763A7E">
        <w:t xml:space="preserve">not </w:t>
      </w:r>
      <w:r>
        <w:t>be eligible</w:t>
      </w:r>
      <w:r w:rsidRPr="00676FB1">
        <w:t xml:space="preserve"> </w:t>
      </w:r>
      <w:r>
        <w:t xml:space="preserve">is replacing </w:t>
      </w:r>
      <w:r w:rsidRPr="00676FB1">
        <w:t xml:space="preserve">worn-out </w:t>
      </w:r>
      <w:r>
        <w:t>flat-bladed pump impellers</w:t>
      </w:r>
      <w:r w:rsidRPr="00676FB1">
        <w:t xml:space="preserve"> with higher-performing </w:t>
      </w:r>
      <w:r>
        <w:t>curved blade impellers</w:t>
      </w:r>
      <w:r w:rsidRPr="00676FB1">
        <w:t xml:space="preserve"> that have replaced the original</w:t>
      </w:r>
      <w:r>
        <w:t xml:space="preserve"> blades</w:t>
      </w:r>
      <w:r w:rsidRPr="00676FB1">
        <w:t xml:space="preserve"> </w:t>
      </w:r>
      <w:r>
        <w:t>as replacement parts for that pump.</w:t>
      </w:r>
    </w:p>
    <w:p w14:paraId="73ED7FA3" w14:textId="77777777" w:rsidR="00B03E63" w:rsidRDefault="00EC0684" w:rsidP="00E7378F">
      <w:pPr>
        <w:pStyle w:val="tMain"/>
        <w:spacing w:before="0" w:after="120" w:line="240" w:lineRule="auto"/>
        <w:ind w:left="0" w:firstLine="0"/>
        <w:jc w:val="left"/>
      </w:pPr>
      <w:r>
        <w:t xml:space="preserve">An example of non-ongoing maintenance is a </w:t>
      </w:r>
      <w:r w:rsidR="00A163FE" w:rsidRPr="003B116A">
        <w:t xml:space="preserve">compressed air survey to identify and </w:t>
      </w:r>
      <w:r>
        <w:t>repair leaks at a point in time</w:t>
      </w:r>
      <w:r w:rsidR="00A163FE" w:rsidRPr="003B116A">
        <w:t xml:space="preserve">. The leak survey could </w:t>
      </w:r>
      <w:r w:rsidR="00EE4405">
        <w:t xml:space="preserve">still </w:t>
      </w:r>
      <w:r>
        <w:t xml:space="preserve">potentially </w:t>
      </w:r>
      <w:r w:rsidR="00A163FE" w:rsidRPr="003B116A">
        <w:t>be done as part of undertaking eligible activities such as correctly resizing a compressor or replacing other system components (e.g. compressed air storage tanks).</w:t>
      </w:r>
      <w:r w:rsidRPr="00EC0684">
        <w:t xml:space="preserve"> </w:t>
      </w:r>
      <w:r>
        <w:t>However, subsection 22(3) l</w:t>
      </w:r>
      <w:r w:rsidRPr="00A163FE">
        <w:t>imit</w:t>
      </w:r>
      <w:r>
        <w:t xml:space="preserve">s </w:t>
      </w:r>
      <w:r w:rsidRPr="00A163FE">
        <w:t>maintenance and other work concurrent with upgrade</w:t>
      </w:r>
      <w:r>
        <w:t xml:space="preserve"> to ensure that the method does not credit activities that would occur in the ordinary course of business, while encouraging sound maintenance practices</w:t>
      </w:r>
      <w:r w:rsidRPr="00A163FE">
        <w:t>.</w:t>
      </w:r>
    </w:p>
    <w:p w14:paraId="6DA30D63" w14:textId="6524F060" w:rsidR="00763A7E" w:rsidRPr="0071335A" w:rsidRDefault="00D92531" w:rsidP="00E7378F">
      <w:pPr>
        <w:spacing w:before="0" w:after="120" w:line="240" w:lineRule="auto"/>
        <w:rPr>
          <w:rFonts w:eastAsia="Times New Roman"/>
          <w:color w:val="000000"/>
          <w:lang w:eastAsia="en-AU"/>
        </w:rPr>
      </w:pPr>
      <w:r w:rsidRPr="0071335A">
        <w:rPr>
          <w:rFonts w:eastAsia="Times New Roman"/>
          <w:color w:val="000000"/>
          <w:lang w:eastAsia="en-AU"/>
        </w:rPr>
        <w:t>Subsection 8(</w:t>
      </w:r>
      <w:r w:rsidR="00B03E63" w:rsidRPr="0071335A">
        <w:rPr>
          <w:rFonts w:eastAsia="Times New Roman"/>
          <w:color w:val="000000"/>
          <w:lang w:eastAsia="en-AU"/>
        </w:rPr>
        <w:t>8</w:t>
      </w:r>
      <w:r w:rsidR="000E0DD5" w:rsidRPr="0071335A">
        <w:rPr>
          <w:rFonts w:eastAsia="Times New Roman"/>
          <w:color w:val="000000"/>
          <w:lang w:eastAsia="en-AU"/>
        </w:rPr>
        <w:t xml:space="preserve">) </w:t>
      </w:r>
      <w:r w:rsidR="00487ADE" w:rsidRPr="0071335A">
        <w:rPr>
          <w:rFonts w:eastAsia="Times New Roman"/>
          <w:color w:val="000000"/>
          <w:lang w:eastAsia="en-AU"/>
        </w:rPr>
        <w:t>defines the original unit as the IE unit in its form before the IE upgrade</w:t>
      </w:r>
      <w:r w:rsidR="009866CC" w:rsidRPr="0071335A">
        <w:rPr>
          <w:rFonts w:eastAsia="Times New Roman"/>
          <w:color w:val="000000"/>
          <w:lang w:eastAsia="en-AU"/>
        </w:rPr>
        <w:t>, while s</w:t>
      </w:r>
      <w:r w:rsidR="00B641E9" w:rsidRPr="0071335A">
        <w:rPr>
          <w:rFonts w:eastAsia="Times New Roman"/>
          <w:color w:val="000000"/>
          <w:lang w:eastAsia="en-AU"/>
        </w:rPr>
        <w:t>ubsection 8(</w:t>
      </w:r>
      <w:r w:rsidR="00B03E63" w:rsidRPr="0071335A">
        <w:rPr>
          <w:rFonts w:eastAsia="Times New Roman"/>
          <w:color w:val="000000"/>
          <w:lang w:eastAsia="en-AU"/>
        </w:rPr>
        <w:t>9</w:t>
      </w:r>
      <w:r w:rsidR="00B641E9" w:rsidRPr="0071335A">
        <w:rPr>
          <w:rFonts w:eastAsia="Times New Roman"/>
          <w:color w:val="000000"/>
          <w:lang w:eastAsia="en-AU"/>
        </w:rPr>
        <w:t>)</w:t>
      </w:r>
      <w:r w:rsidR="00487ADE" w:rsidRPr="0071335A">
        <w:rPr>
          <w:rFonts w:eastAsia="Times New Roman"/>
          <w:color w:val="000000"/>
          <w:lang w:eastAsia="en-AU"/>
        </w:rPr>
        <w:t xml:space="preserve"> defines the upgraded unit as the IE unit in its form after the IE upgrade</w:t>
      </w:r>
      <w:r w:rsidR="009866CC" w:rsidRPr="0071335A">
        <w:rPr>
          <w:rFonts w:eastAsia="Times New Roman"/>
          <w:color w:val="000000"/>
          <w:lang w:eastAsia="en-AU"/>
        </w:rPr>
        <w:t>.</w:t>
      </w:r>
    </w:p>
    <w:p w14:paraId="73ED7FA5" w14:textId="77777777" w:rsidR="00463FA0" w:rsidRPr="00275F3E" w:rsidRDefault="00463FA0" w:rsidP="00E7378F">
      <w:pPr>
        <w:pStyle w:val="tMain"/>
        <w:spacing w:before="0" w:after="120" w:line="240" w:lineRule="auto"/>
        <w:rPr>
          <w:i/>
        </w:rPr>
      </w:pPr>
      <w:r w:rsidRPr="00275F3E">
        <w:rPr>
          <w:i/>
        </w:rPr>
        <w:t>Transmission of fuel or electricity</w:t>
      </w:r>
    </w:p>
    <w:p w14:paraId="73ED7FA7" w14:textId="773D0FCF" w:rsidR="004769C9" w:rsidRDefault="00EC0684" w:rsidP="00007F4C">
      <w:pPr>
        <w:pStyle w:val="tMain"/>
        <w:spacing w:line="240" w:lineRule="auto"/>
        <w:ind w:left="0" w:firstLine="0"/>
        <w:jc w:val="left"/>
      </w:pPr>
      <w:r>
        <w:tab/>
        <w:t>Subsection 8(11</w:t>
      </w:r>
      <w:r w:rsidR="00463FA0">
        <w:t>) sets out that if a system of equipment includes equipment that distributes some of the fuel or electricity that enters it to equipment outside the system, the fuel or electricity distributed (the transmitted fuel or electricity) is not treated as energy consumed by the system of equipment.</w:t>
      </w:r>
      <w:r w:rsidR="00275F3E">
        <w:t xml:space="preserve"> This applies, for example, to shared wiring or piping that distributes energy to equipment that is included in the unit</w:t>
      </w:r>
      <w:r w:rsidR="00C84EF7">
        <w:t>,</w:t>
      </w:r>
      <w:r w:rsidR="00275F3E">
        <w:t xml:space="preserve"> and </w:t>
      </w:r>
      <w:r w:rsidR="0020015B">
        <w:t xml:space="preserve">also to </w:t>
      </w:r>
      <w:r w:rsidR="00275F3E">
        <w:t xml:space="preserve">equipment that is outside the unit. </w:t>
      </w:r>
    </w:p>
    <w:p w14:paraId="73ED7FA8" w14:textId="77777777" w:rsidR="000E0DD5" w:rsidRPr="00141E5B" w:rsidRDefault="000E0DD5" w:rsidP="00E7378F">
      <w:pPr>
        <w:pStyle w:val="ESA1Part"/>
        <w:spacing w:before="0" w:after="240"/>
      </w:pPr>
      <w:r w:rsidRPr="00141E5B">
        <w:rPr>
          <w:color w:val="000000"/>
        </w:rPr>
        <w:lastRenderedPageBreak/>
        <w:t>P</w:t>
      </w:r>
      <w:r w:rsidR="00C73993">
        <w:t>art 3</w:t>
      </w:r>
      <w:r w:rsidR="00C73993">
        <w:tab/>
      </w:r>
      <w:r w:rsidRPr="00141E5B">
        <w:t>Project requirements</w:t>
      </w:r>
    </w:p>
    <w:p w14:paraId="73ED7FA9" w14:textId="77777777" w:rsidR="000E0DD5" w:rsidRPr="00141E5B" w:rsidRDefault="000E0DD5" w:rsidP="00E7378F">
      <w:pPr>
        <w:pStyle w:val="ESA4Section"/>
        <w:spacing w:before="0" w:after="120"/>
      </w:pPr>
      <w:r>
        <w:t>9</w:t>
      </w:r>
      <w:r w:rsidRPr="00141E5B">
        <w:tab/>
        <w:t>Operation of this Part</w:t>
      </w:r>
    </w:p>
    <w:p w14:paraId="73ED7FAA" w14:textId="77777777" w:rsidR="000E0DD5" w:rsidRPr="00676FB1" w:rsidRDefault="00E446F5" w:rsidP="00007F4C">
      <w:pPr>
        <w:spacing w:before="0" w:after="120" w:line="240" w:lineRule="auto"/>
      </w:pPr>
      <w:r>
        <w:t>Under</w:t>
      </w:r>
      <w:r w:rsidR="000E0DD5" w:rsidRPr="00676FB1">
        <w:t xml:space="preserve"> paragraph 106(1)(b) of the Act</w:t>
      </w:r>
      <w:r>
        <w:t>,</w:t>
      </w:r>
      <w:r w:rsidR="000E0DD5" w:rsidRPr="00676FB1">
        <w:t xml:space="preserve"> a methodology determination must set out requirements for a project to be an eligible offsets project. Under paragraph 27(4)(c) of the Act, the Regulator must not declare that a project is an eligible offsets project unless the Regulator is satisfied that the project meets these requirements.</w:t>
      </w:r>
    </w:p>
    <w:p w14:paraId="73ED7FAB" w14:textId="6B0A1499" w:rsidR="00F85275" w:rsidRPr="00676FB1" w:rsidRDefault="000E0DD5" w:rsidP="00C50596">
      <w:pPr>
        <w:spacing w:before="0" w:after="240" w:line="240" w:lineRule="auto"/>
        <w:rPr>
          <w:szCs w:val="24"/>
        </w:rPr>
      </w:pPr>
      <w:r w:rsidRPr="00676FB1">
        <w:t xml:space="preserve">Part 3 of the Determination specifies requirements for a project to </w:t>
      </w:r>
      <w:r w:rsidR="00C73993" w:rsidRPr="00676FB1">
        <w:t>be an eligible offsets project.</w:t>
      </w:r>
    </w:p>
    <w:p w14:paraId="73ED7FAC" w14:textId="77777777" w:rsidR="00F85275" w:rsidRDefault="000E0DD5" w:rsidP="00007F4C">
      <w:pPr>
        <w:pStyle w:val="ESA4Section"/>
        <w:spacing w:before="0" w:after="120"/>
      </w:pPr>
      <w:r>
        <w:t>10</w:t>
      </w:r>
      <w:r w:rsidRPr="00141E5B">
        <w:tab/>
      </w:r>
      <w:r w:rsidR="00414299">
        <w:t>IE u</w:t>
      </w:r>
      <w:r w:rsidR="00F85275" w:rsidRPr="00BA7A7A">
        <w:t>nits that cannot be included in an eligible offsets project</w:t>
      </w:r>
    </w:p>
    <w:p w14:paraId="73ED7FAD" w14:textId="77777777" w:rsidR="00BF3F98" w:rsidRPr="0071335A" w:rsidRDefault="00BF3F98" w:rsidP="00E7378F">
      <w:pPr>
        <w:spacing w:before="0" w:after="120" w:line="240" w:lineRule="auto"/>
        <w:rPr>
          <w:rFonts w:eastAsia="Times New Roman"/>
          <w:color w:val="000000"/>
          <w:lang w:eastAsia="en-AU"/>
        </w:rPr>
      </w:pPr>
      <w:r w:rsidRPr="0071335A">
        <w:rPr>
          <w:rFonts w:eastAsia="Times New Roman"/>
          <w:color w:val="000000"/>
          <w:lang w:eastAsia="en-AU"/>
        </w:rPr>
        <w:t xml:space="preserve">Section 10 defines </w:t>
      </w:r>
      <w:r w:rsidR="006F3376" w:rsidRPr="0071335A">
        <w:rPr>
          <w:rFonts w:eastAsia="Times New Roman"/>
          <w:color w:val="000000"/>
          <w:lang w:eastAsia="en-AU"/>
        </w:rPr>
        <w:t>a range of exclusions from</w:t>
      </w:r>
      <w:r w:rsidR="003D54A7" w:rsidRPr="0071335A">
        <w:rPr>
          <w:rFonts w:eastAsia="Times New Roman"/>
          <w:color w:val="000000"/>
          <w:lang w:eastAsia="en-AU"/>
        </w:rPr>
        <w:t xml:space="preserve"> an IE project</w:t>
      </w:r>
      <w:r w:rsidR="00FC7B0B" w:rsidRPr="0071335A">
        <w:rPr>
          <w:rFonts w:eastAsia="Times New Roman"/>
          <w:color w:val="000000"/>
          <w:lang w:eastAsia="en-AU"/>
        </w:rPr>
        <w:t xml:space="preserve">, including </w:t>
      </w:r>
      <w:r w:rsidRPr="0071335A">
        <w:rPr>
          <w:rFonts w:eastAsia="Times New Roman"/>
          <w:color w:val="000000"/>
          <w:lang w:eastAsia="en-AU"/>
        </w:rPr>
        <w:t xml:space="preserve">the types of </w:t>
      </w:r>
      <w:r w:rsidR="00FC7B0B" w:rsidRPr="0071335A">
        <w:rPr>
          <w:rFonts w:eastAsia="Times New Roman"/>
          <w:color w:val="000000"/>
          <w:lang w:eastAsia="en-AU"/>
        </w:rPr>
        <w:t>activities, equipment and circumstances th</w:t>
      </w:r>
      <w:r w:rsidRPr="0071335A">
        <w:rPr>
          <w:rFonts w:eastAsia="Times New Roman"/>
          <w:color w:val="000000"/>
          <w:lang w:eastAsia="en-AU"/>
        </w:rPr>
        <w:t xml:space="preserve">at </w:t>
      </w:r>
      <w:r w:rsidR="00871477" w:rsidRPr="0071335A">
        <w:rPr>
          <w:rFonts w:eastAsia="Times New Roman"/>
          <w:color w:val="000000"/>
          <w:lang w:eastAsia="en-AU"/>
        </w:rPr>
        <w:t>cannot form</w:t>
      </w:r>
      <w:r w:rsidR="00D45E95" w:rsidRPr="0071335A">
        <w:rPr>
          <w:rFonts w:eastAsia="Times New Roman"/>
          <w:color w:val="000000"/>
          <w:lang w:eastAsia="en-AU"/>
        </w:rPr>
        <w:t xml:space="preserve"> part of an eligible project.</w:t>
      </w:r>
    </w:p>
    <w:p w14:paraId="73ED7FAE" w14:textId="77777777" w:rsidR="00A0717A" w:rsidRPr="00A0717A" w:rsidRDefault="00A0717A" w:rsidP="00A0717A">
      <w:pPr>
        <w:pStyle w:val="h6Subsec"/>
        <w:spacing w:before="0" w:after="120"/>
        <w:ind w:left="0"/>
        <w:rPr>
          <w:rFonts w:ascii="Times New Roman" w:eastAsia="Calibri" w:hAnsi="Times New Roman"/>
          <w:szCs w:val="22"/>
          <w:lang w:eastAsia="en-US"/>
        </w:rPr>
      </w:pPr>
      <w:r w:rsidRPr="00A0717A">
        <w:rPr>
          <w:rFonts w:ascii="Times New Roman" w:eastAsia="Calibri" w:hAnsi="Times New Roman"/>
          <w:szCs w:val="22"/>
          <w:lang w:eastAsia="en-US"/>
        </w:rPr>
        <w:t xml:space="preserve">Limit on energy </w:t>
      </w:r>
      <w:r w:rsidR="009E0794">
        <w:rPr>
          <w:rFonts w:ascii="Times New Roman" w:eastAsia="Calibri" w:hAnsi="Times New Roman"/>
          <w:szCs w:val="22"/>
          <w:lang w:eastAsia="en-US"/>
        </w:rPr>
        <w:t>consumption</w:t>
      </w:r>
      <w:r w:rsidR="00BA1799" w:rsidRPr="00A0717A">
        <w:rPr>
          <w:rFonts w:ascii="Times New Roman" w:eastAsia="Calibri" w:hAnsi="Times New Roman"/>
          <w:szCs w:val="22"/>
          <w:lang w:eastAsia="en-US"/>
        </w:rPr>
        <w:t xml:space="preserve"> </w:t>
      </w:r>
    </w:p>
    <w:p w14:paraId="73ED7FAF" w14:textId="77777777" w:rsidR="00801258" w:rsidRDefault="00A0717A" w:rsidP="00E7378F">
      <w:pPr>
        <w:pStyle w:val="tMain"/>
        <w:spacing w:before="0" w:after="120"/>
        <w:ind w:left="0" w:firstLine="0"/>
        <w:jc w:val="left"/>
      </w:pPr>
      <w:r w:rsidRPr="005C4FCC">
        <w:t xml:space="preserve">Subsection 10(1) sets out that an eligible offsets project </w:t>
      </w:r>
      <w:r w:rsidR="00871477">
        <w:t>cannot include a</w:t>
      </w:r>
      <w:r w:rsidR="00CB0992">
        <w:t xml:space="preserve"> particular</w:t>
      </w:r>
      <w:r w:rsidR="00871477">
        <w:t xml:space="preserve"> IE unit </w:t>
      </w:r>
      <w:r w:rsidRPr="007A7965">
        <w:t>if</w:t>
      </w:r>
      <w:r w:rsidR="00BA1799" w:rsidRPr="007A7965">
        <w:t xml:space="preserve"> the </w:t>
      </w:r>
      <w:r w:rsidR="0001749A">
        <w:t xml:space="preserve">annualised </w:t>
      </w:r>
      <w:r w:rsidR="00BA1799" w:rsidRPr="007A7965">
        <w:t>energy consumption of the IE unit</w:t>
      </w:r>
      <w:r w:rsidR="0001749A">
        <w:t xml:space="preserve">, calculated </w:t>
      </w:r>
      <w:r w:rsidR="00001954">
        <w:t>with</w:t>
      </w:r>
      <w:r w:rsidR="0001749A">
        <w:t xml:space="preserve"> reference to the baseline period</w:t>
      </w:r>
      <w:r w:rsidR="001C27B2">
        <w:t>,</w:t>
      </w:r>
      <w:r w:rsidR="0001749A">
        <w:t xml:space="preserve"> </w:t>
      </w:r>
      <w:r w:rsidR="00BA1799" w:rsidRPr="007A7965">
        <w:t xml:space="preserve">is greater than </w:t>
      </w:r>
      <w:r w:rsidR="00C84EF7">
        <w:t>500,000 giga</w:t>
      </w:r>
      <w:r w:rsidR="00BA1799" w:rsidRPr="007A7965">
        <w:t>joule</w:t>
      </w:r>
      <w:r w:rsidR="00AC7304">
        <w:t>s.</w:t>
      </w:r>
      <w:r w:rsidR="000002D3">
        <w:t xml:space="preserve"> </w:t>
      </w:r>
      <w:r w:rsidR="00BA1799" w:rsidRPr="007A7965">
        <w:t xml:space="preserve">This </w:t>
      </w:r>
      <w:r w:rsidR="00634C2C" w:rsidRPr="007A7965">
        <w:t>refers to</w:t>
      </w:r>
      <w:r w:rsidR="00BA1799" w:rsidRPr="007A7965">
        <w:t xml:space="preserve"> the </w:t>
      </w:r>
      <w:r w:rsidR="000002D3">
        <w:t xml:space="preserve">total energy consumption within the energy boundary, which can be described as the </w:t>
      </w:r>
      <w:r w:rsidR="00BA1799" w:rsidRPr="007A7965">
        <w:t xml:space="preserve">energy used by the unit to produce the </w:t>
      </w:r>
      <w:r w:rsidR="00487E97">
        <w:t>IE services</w:t>
      </w:r>
      <w:r w:rsidR="00BA1799" w:rsidRPr="007A7965">
        <w:t xml:space="preserve"> mentioned in subsection </w:t>
      </w:r>
      <w:r w:rsidR="00487E97">
        <w:t>8(4)</w:t>
      </w:r>
      <w:r w:rsidR="00CE2236">
        <w:t xml:space="preserve"> </w:t>
      </w:r>
      <w:r w:rsidR="00BA1799" w:rsidRPr="007A7965">
        <w:t xml:space="preserve">for all the sub-units. </w:t>
      </w:r>
      <w:r w:rsidR="005C4FCC" w:rsidRPr="007A7965">
        <w:t xml:space="preserve">This limit on the </w:t>
      </w:r>
      <w:r w:rsidR="00634C2C" w:rsidRPr="007A7965">
        <w:t>energy consumption of the IE unit</w:t>
      </w:r>
      <w:r w:rsidR="005C4FCC" w:rsidRPr="007A7965">
        <w:t xml:space="preserve"> is</w:t>
      </w:r>
      <w:r w:rsidR="00871477">
        <w:t xml:space="preserve"> </w:t>
      </w:r>
      <w:r w:rsidR="005C4FCC" w:rsidRPr="007A7965">
        <w:t xml:space="preserve">to ensure that the </w:t>
      </w:r>
      <w:r w:rsidR="00984908" w:rsidRPr="007A7965">
        <w:t xml:space="preserve">IEU </w:t>
      </w:r>
      <w:r w:rsidR="005C4FCC" w:rsidRPr="007A7965">
        <w:t xml:space="preserve">method is used for equipment and activities that are relatively self-contained, for which </w:t>
      </w:r>
      <w:r w:rsidR="00871477">
        <w:t>the</w:t>
      </w:r>
      <w:r w:rsidR="005C4FCC" w:rsidRPr="007A7965">
        <w:t xml:space="preserve"> simple measurement-based approach </w:t>
      </w:r>
      <w:r w:rsidR="00871477">
        <w:t xml:space="preserve">in the method </w:t>
      </w:r>
      <w:r w:rsidR="005C4FCC" w:rsidRPr="007A7965">
        <w:t>is appropriate.</w:t>
      </w:r>
      <w:r w:rsidR="00EB238D">
        <w:t xml:space="preserve"> In some instances the energy boundary may be defined more tightly to avoid the energy consumption limit, provided that the unit meets the energy boundary requirements in section 11. The </w:t>
      </w:r>
      <w:r w:rsidR="00C84EF7">
        <w:t>500,000 giga</w:t>
      </w:r>
      <w:r w:rsidR="00C84EF7" w:rsidRPr="007A7965">
        <w:t>joule</w:t>
      </w:r>
      <w:r w:rsidR="00C84EF7">
        <w:t xml:space="preserve"> </w:t>
      </w:r>
      <w:r w:rsidR="00EB238D">
        <w:t>limit applies regardless of whether the unit is broken up into sub-units.</w:t>
      </w:r>
    </w:p>
    <w:p w14:paraId="73ED7FB0" w14:textId="7CC52BA3" w:rsidR="00EB238D" w:rsidRPr="007A7965" w:rsidRDefault="00801258" w:rsidP="00E7378F">
      <w:pPr>
        <w:pStyle w:val="tMain"/>
        <w:spacing w:before="0" w:after="120"/>
        <w:ind w:left="0" w:firstLine="0"/>
      </w:pPr>
      <w:r w:rsidRPr="00A55C43">
        <w:t xml:space="preserve">By allowing for up to </w:t>
      </w:r>
      <w:r w:rsidR="00C84EF7">
        <w:t>500,000 giga</w:t>
      </w:r>
      <w:r w:rsidR="00C84EF7" w:rsidRPr="007A7965">
        <w:t>joule</w:t>
      </w:r>
      <w:r w:rsidR="00C84EF7">
        <w:t xml:space="preserve">s </w:t>
      </w:r>
      <w:r w:rsidRPr="00A55C43">
        <w:t>of energy consumption for an IE unit, the project proponent is able to include all substitutable equipment</w:t>
      </w:r>
      <w:r w:rsidR="006A161E" w:rsidRPr="00A55C43">
        <w:t xml:space="preserve"> within the energy boundary</w:t>
      </w:r>
      <w:r w:rsidR="009B3D9F" w:rsidRPr="00A55C43">
        <w:t>. This</w:t>
      </w:r>
      <w:r w:rsidRPr="00A55C43">
        <w:t xml:space="preserve"> </w:t>
      </w:r>
      <w:r w:rsidR="000002D3">
        <w:t xml:space="preserve">allows the method to be used for a wide range of industrial projects, and </w:t>
      </w:r>
      <w:r w:rsidR="00397D94">
        <w:t>allows</w:t>
      </w:r>
      <w:r w:rsidR="000002D3">
        <w:t xml:space="preserve"> proponents </w:t>
      </w:r>
      <w:r w:rsidR="00397D94">
        <w:t>to upgrade</w:t>
      </w:r>
      <w:r w:rsidR="000002D3">
        <w:t xml:space="preserve"> some components of a larger system</w:t>
      </w:r>
      <w:r w:rsidRPr="00A55C43">
        <w:t>.</w:t>
      </w:r>
      <w:r w:rsidR="00FD62B6">
        <w:t xml:space="preserve"> </w:t>
      </w:r>
      <w:r w:rsidR="006E6759">
        <w:t>Prior to an upgrade, t</w:t>
      </w:r>
      <w:r w:rsidR="00FD62B6">
        <w:t xml:space="preserve">he </w:t>
      </w:r>
      <w:r w:rsidR="000D4ADF">
        <w:t>500,000 gig</w:t>
      </w:r>
      <w:r w:rsidR="00FD62B6">
        <w:t xml:space="preserve">ajoule threshold should be </w:t>
      </w:r>
      <w:r w:rsidR="004F53B1">
        <w:t>estimated</w:t>
      </w:r>
      <w:r w:rsidR="00FD62B6">
        <w:t xml:space="preserve"> using energy content factors for fuels from the </w:t>
      </w:r>
      <w:r w:rsidR="00FD62B6" w:rsidRPr="00FD62B6">
        <w:t>NGER (Measurement) Determination</w:t>
      </w:r>
      <w:r w:rsidR="00FD62B6">
        <w:t>.</w:t>
      </w:r>
      <w:r w:rsidR="004F53B1">
        <w:t xml:space="preserve"> NGER reporting data can be used for this purpose where available.</w:t>
      </w:r>
      <w:r w:rsidR="006E6759">
        <w:t xml:space="preserve"> Alternatively, energy consumption for the unit can be estimated using equipment power ratings and estimated load profiles.</w:t>
      </w:r>
      <w:r w:rsidR="00DE4AF0">
        <w:t xml:space="preserve"> </w:t>
      </w:r>
      <w:r w:rsidR="00DE4AF0" w:rsidRPr="005C4FCC">
        <w:t>Subsection 10(1)</w:t>
      </w:r>
      <w:r w:rsidR="00DE4AF0">
        <w:t xml:space="preserve"> sets out that a</w:t>
      </w:r>
      <w:r w:rsidR="00DE4AF0" w:rsidRPr="00DE4AF0">
        <w:t>n IE unit cannot be included in an eligible offsets project</w:t>
      </w:r>
      <w:r w:rsidR="00DE4AF0">
        <w:t xml:space="preserve"> if the annualised energy consumption calculated using the specified equation is greater than </w:t>
      </w:r>
      <w:r w:rsidR="000D4ADF">
        <w:t>500,000 gigajoules</w:t>
      </w:r>
      <w:r w:rsidR="00DE4AF0">
        <w:t>.</w:t>
      </w:r>
    </w:p>
    <w:p w14:paraId="73ED7FB1" w14:textId="3328085F" w:rsidR="00A0717A" w:rsidRPr="007A7965" w:rsidRDefault="005C4FCC" w:rsidP="00E7378F">
      <w:pPr>
        <w:spacing w:before="0" w:after="120" w:line="240" w:lineRule="auto"/>
        <w:rPr>
          <w:szCs w:val="24"/>
        </w:rPr>
      </w:pPr>
      <w:r w:rsidRPr="007A7965">
        <w:t xml:space="preserve">The </w:t>
      </w:r>
      <w:r w:rsidR="00041E77">
        <w:t xml:space="preserve">ERF </w:t>
      </w:r>
      <w:r w:rsidRPr="007A7965">
        <w:t xml:space="preserve">Industrial Electricity and Fuel Efficiency method can </w:t>
      </w:r>
      <w:r w:rsidR="00871477">
        <w:t>apply</w:t>
      </w:r>
      <w:r w:rsidRPr="007A7965">
        <w:t xml:space="preserve"> to larger items of equipment </w:t>
      </w:r>
      <w:r w:rsidR="00871477">
        <w:t>where</w:t>
      </w:r>
      <w:r w:rsidRPr="007A7965">
        <w:t xml:space="preserve"> a more complex modelling approach is warranted</w:t>
      </w:r>
      <w:r w:rsidR="006B54D0">
        <w:t xml:space="preserve"> for more accurate emissions estimation</w:t>
      </w:r>
      <w:r w:rsidRPr="007A7965">
        <w:t xml:space="preserve">. Proponents have the flexibility to establish the minimum size of equipment that </w:t>
      </w:r>
      <w:r w:rsidR="008853BE">
        <w:t>is</w:t>
      </w:r>
      <w:r w:rsidRPr="007A7965">
        <w:t xml:space="preserve"> cost effective to include </w:t>
      </w:r>
      <w:r w:rsidRPr="007A7965">
        <w:rPr>
          <w:szCs w:val="24"/>
        </w:rPr>
        <w:t xml:space="preserve">in their </w:t>
      </w:r>
      <w:r w:rsidR="00D91020">
        <w:rPr>
          <w:szCs w:val="24"/>
        </w:rPr>
        <w:t xml:space="preserve">industrial equipment upgrades </w:t>
      </w:r>
      <w:r w:rsidRPr="007A7965">
        <w:rPr>
          <w:szCs w:val="24"/>
        </w:rPr>
        <w:t>projects.</w:t>
      </w:r>
    </w:p>
    <w:p w14:paraId="73ED7FB2" w14:textId="20A92395" w:rsidR="00463FA0" w:rsidRPr="0071335A" w:rsidRDefault="000D49F6" w:rsidP="00E7378F">
      <w:pPr>
        <w:spacing w:before="0" w:after="120" w:line="240" w:lineRule="auto"/>
        <w:rPr>
          <w:rFonts w:eastAsia="Times New Roman"/>
          <w:color w:val="000000"/>
          <w:lang w:eastAsia="en-AU"/>
        </w:rPr>
      </w:pPr>
      <w:r w:rsidRPr="0071335A">
        <w:rPr>
          <w:rFonts w:eastAsia="Times New Roman"/>
          <w:color w:val="000000"/>
          <w:lang w:eastAsia="en-AU"/>
        </w:rPr>
        <w:t xml:space="preserve">Division 4 requires a </w:t>
      </w:r>
      <w:r w:rsidR="00FB7002">
        <w:rPr>
          <w:rFonts w:eastAsia="Times New Roman"/>
          <w:color w:val="000000"/>
          <w:lang w:eastAsia="en-AU"/>
        </w:rPr>
        <w:t>measurement and verification professional (</w:t>
      </w:r>
      <w:r w:rsidR="00F84ED8">
        <w:rPr>
          <w:rFonts w:eastAsia="Times New Roman"/>
          <w:color w:val="000000"/>
          <w:lang w:eastAsia="en-AU"/>
        </w:rPr>
        <w:t>MVP</w:t>
      </w:r>
      <w:r w:rsidR="00FB7002">
        <w:rPr>
          <w:rFonts w:eastAsia="Times New Roman"/>
          <w:color w:val="000000"/>
          <w:lang w:eastAsia="en-AU"/>
        </w:rPr>
        <w:t>)</w:t>
      </w:r>
      <w:r w:rsidR="00734BCA" w:rsidRPr="0071335A">
        <w:rPr>
          <w:rFonts w:eastAsia="Times New Roman"/>
          <w:color w:val="000000"/>
          <w:lang w:eastAsia="en-AU"/>
        </w:rPr>
        <w:t xml:space="preserve"> </w:t>
      </w:r>
      <w:r w:rsidR="00871477" w:rsidRPr="0071335A">
        <w:rPr>
          <w:rFonts w:eastAsia="Times New Roman"/>
          <w:color w:val="000000"/>
          <w:lang w:eastAsia="en-AU"/>
        </w:rPr>
        <w:t xml:space="preserve">to </w:t>
      </w:r>
      <w:r w:rsidRPr="0071335A">
        <w:rPr>
          <w:rFonts w:eastAsia="Times New Roman"/>
          <w:color w:val="000000"/>
          <w:lang w:eastAsia="en-AU"/>
        </w:rPr>
        <w:t>confirm</w:t>
      </w:r>
      <w:r w:rsidR="009B3D9F" w:rsidRPr="0071335A">
        <w:rPr>
          <w:rFonts w:eastAsia="Times New Roman"/>
          <w:color w:val="000000"/>
          <w:lang w:eastAsia="en-AU"/>
        </w:rPr>
        <w:t>, in both the pre</w:t>
      </w:r>
      <w:r w:rsidR="00871477" w:rsidRPr="0071335A">
        <w:rPr>
          <w:rFonts w:eastAsia="Times New Roman"/>
          <w:color w:val="000000"/>
          <w:lang w:eastAsia="en-AU"/>
        </w:rPr>
        <w:t>-</w:t>
      </w:r>
      <w:r w:rsidR="009B3D9F" w:rsidRPr="0071335A">
        <w:rPr>
          <w:rFonts w:eastAsia="Times New Roman"/>
          <w:color w:val="000000"/>
          <w:lang w:eastAsia="en-AU"/>
        </w:rPr>
        <w:t xml:space="preserve"> and post</w:t>
      </w:r>
      <w:r w:rsidR="00871477" w:rsidRPr="0071335A">
        <w:rPr>
          <w:rFonts w:eastAsia="Times New Roman"/>
          <w:color w:val="000000"/>
          <w:lang w:eastAsia="en-AU"/>
        </w:rPr>
        <w:t>-</w:t>
      </w:r>
      <w:r w:rsidR="009B3D9F" w:rsidRPr="0071335A">
        <w:rPr>
          <w:rFonts w:eastAsia="Times New Roman"/>
          <w:color w:val="000000"/>
          <w:lang w:eastAsia="en-AU"/>
        </w:rPr>
        <w:t>upgrade declarations,</w:t>
      </w:r>
      <w:r w:rsidRPr="0071335A">
        <w:rPr>
          <w:rFonts w:eastAsia="Times New Roman"/>
          <w:color w:val="000000"/>
          <w:lang w:eastAsia="en-AU"/>
        </w:rPr>
        <w:t xml:space="preserve"> that this energy consumption </w:t>
      </w:r>
      <w:r w:rsidR="00D91020" w:rsidRPr="0071335A">
        <w:rPr>
          <w:rFonts w:eastAsia="Times New Roman"/>
          <w:color w:val="000000"/>
          <w:lang w:eastAsia="en-AU"/>
        </w:rPr>
        <w:t xml:space="preserve">limit </w:t>
      </w:r>
      <w:r w:rsidRPr="0071335A">
        <w:rPr>
          <w:rFonts w:eastAsia="Times New Roman"/>
          <w:color w:val="000000"/>
          <w:lang w:eastAsia="en-AU"/>
        </w:rPr>
        <w:t>is</w:t>
      </w:r>
      <w:r w:rsidR="009B3D9F" w:rsidRPr="0071335A">
        <w:rPr>
          <w:rFonts w:eastAsia="Times New Roman"/>
          <w:color w:val="000000"/>
          <w:lang w:eastAsia="en-AU"/>
        </w:rPr>
        <w:t xml:space="preserve"> met</w:t>
      </w:r>
      <w:r w:rsidR="00B03E63" w:rsidRPr="0071335A">
        <w:rPr>
          <w:rFonts w:eastAsia="Times New Roman"/>
          <w:color w:val="000000"/>
          <w:lang w:eastAsia="en-AU"/>
        </w:rPr>
        <w:t>.</w:t>
      </w:r>
      <w:r w:rsidR="0083285F" w:rsidRPr="0071335A">
        <w:rPr>
          <w:rFonts w:eastAsia="Times New Roman"/>
          <w:color w:val="000000"/>
          <w:lang w:eastAsia="en-AU"/>
        </w:rPr>
        <w:t xml:space="preserve"> </w:t>
      </w:r>
    </w:p>
    <w:p w14:paraId="73ED7FB3" w14:textId="77777777" w:rsidR="00463FA0" w:rsidRPr="00463FA0" w:rsidRDefault="00463FA0" w:rsidP="00E7378F">
      <w:pPr>
        <w:pStyle w:val="tPara"/>
        <w:spacing w:before="0" w:after="120" w:line="240" w:lineRule="auto"/>
        <w:rPr>
          <w:i/>
        </w:rPr>
      </w:pPr>
      <w:r w:rsidRPr="00463FA0">
        <w:rPr>
          <w:i/>
        </w:rPr>
        <w:t xml:space="preserve">Upgrade must be more than the normal course of business </w:t>
      </w:r>
    </w:p>
    <w:p w14:paraId="73ED7FB4" w14:textId="77777777" w:rsidR="00285406" w:rsidRDefault="00463FA0" w:rsidP="00E7378F">
      <w:pPr>
        <w:pStyle w:val="tPara"/>
        <w:spacing w:before="0" w:after="120" w:line="240" w:lineRule="auto"/>
        <w:ind w:left="0" w:firstLine="0"/>
        <w:jc w:val="left"/>
      </w:pPr>
      <w:r>
        <w:rPr>
          <w:i/>
        </w:rPr>
        <w:tab/>
      </w:r>
      <w:r w:rsidRPr="000E15D1">
        <w:t>Subsection 10(</w:t>
      </w:r>
      <w:r w:rsidR="00A163FE">
        <w:t>2</w:t>
      </w:r>
      <w:r w:rsidRPr="000E15D1">
        <w:t>) provides that an IE unit cannot be included in an eligible offsets project unless its IE upgrade is recommended in a report</w:t>
      </w:r>
      <w:r w:rsidR="00275F3E">
        <w:t xml:space="preserve">: </w:t>
      </w:r>
    </w:p>
    <w:p w14:paraId="73ED7FB5" w14:textId="2457AED2" w:rsidR="00285406" w:rsidRDefault="00285406" w:rsidP="00E7378F">
      <w:pPr>
        <w:pStyle w:val="ListBullet"/>
        <w:spacing w:after="120"/>
        <w:ind w:left="714" w:hanging="357"/>
      </w:pPr>
      <w:r>
        <w:t xml:space="preserve">from </w:t>
      </w:r>
      <w:r w:rsidR="00096DEA">
        <w:t>a Type 2 or Type 3</w:t>
      </w:r>
      <w:r w:rsidR="00463FA0" w:rsidRPr="000E15D1">
        <w:t xml:space="preserve"> energy audit </w:t>
      </w:r>
      <w:r>
        <w:t xml:space="preserve">conducted </w:t>
      </w:r>
      <w:r w:rsidR="00463FA0" w:rsidRPr="000E15D1">
        <w:t xml:space="preserve">in accordance with </w:t>
      </w:r>
      <w:r w:rsidR="00463FA0" w:rsidRPr="0092051C">
        <w:rPr>
          <w:i/>
        </w:rPr>
        <w:t>AS/NZS3598</w:t>
      </w:r>
      <w:r w:rsidR="00006800">
        <w:rPr>
          <w:i/>
        </w:rPr>
        <w:t>.2:2014</w:t>
      </w:r>
      <w:r w:rsidR="00463FA0" w:rsidRPr="0092051C">
        <w:t xml:space="preserve"> </w:t>
      </w:r>
      <w:r w:rsidR="000E15D1" w:rsidRPr="000E15D1">
        <w:t xml:space="preserve">or </w:t>
      </w:r>
      <w:r w:rsidR="00463FA0" w:rsidRPr="0092051C">
        <w:rPr>
          <w:i/>
        </w:rPr>
        <w:t>AS/NZS3598</w:t>
      </w:r>
      <w:r w:rsidR="00006800">
        <w:rPr>
          <w:i/>
        </w:rPr>
        <w:t>.1:2014</w:t>
      </w:r>
      <w:r w:rsidR="00463FA0" w:rsidRPr="000E15D1">
        <w:t xml:space="preserve"> </w:t>
      </w:r>
      <w:r w:rsidR="00275F3E">
        <w:t>as applicable</w:t>
      </w:r>
      <w:r>
        <w:t>, or</w:t>
      </w:r>
    </w:p>
    <w:p w14:paraId="73ED7FB6" w14:textId="77777777" w:rsidR="00285406" w:rsidRDefault="00285406" w:rsidP="00E7378F">
      <w:pPr>
        <w:pStyle w:val="ListBullet"/>
        <w:spacing w:after="120"/>
      </w:pPr>
      <w:r>
        <w:lastRenderedPageBreak/>
        <w:t>pr</w:t>
      </w:r>
      <w:r w:rsidR="000E15D1" w:rsidRPr="000E15D1">
        <w:t>oduced by a</w:t>
      </w:r>
      <w:r w:rsidR="00DB1A2A">
        <w:t xml:space="preserve">n </w:t>
      </w:r>
      <w:r w:rsidR="00DB1A2A" w:rsidRPr="005E59DE">
        <w:t>independent</w:t>
      </w:r>
      <w:r w:rsidR="000E15D1" w:rsidRPr="005E59DE">
        <w:t xml:space="preserve"> </w:t>
      </w:r>
      <w:r w:rsidR="00001954" w:rsidRPr="005E59DE">
        <w:t xml:space="preserve">professional energy services contractor or consultant </w:t>
      </w:r>
      <w:r w:rsidR="000E15D1" w:rsidRPr="005E59DE">
        <w:t xml:space="preserve">that </w:t>
      </w:r>
      <w:r w:rsidR="000E15D1" w:rsidRPr="000E15D1">
        <w:t xml:space="preserve">is competent to identify and evaluate the opportunities for energy savings. </w:t>
      </w:r>
    </w:p>
    <w:p w14:paraId="50991A7C" w14:textId="16A76134" w:rsidR="001F0010" w:rsidRPr="001F0010" w:rsidRDefault="00285406" w:rsidP="00E7378F">
      <w:pPr>
        <w:spacing w:before="0" w:after="120" w:line="240" w:lineRule="auto"/>
      </w:pPr>
      <w:r w:rsidRPr="0071335A">
        <w:rPr>
          <w:rFonts w:eastAsia="Times New Roman"/>
          <w:color w:val="000000"/>
          <w:lang w:eastAsia="en-AU"/>
        </w:rPr>
        <w:t>The report</w:t>
      </w:r>
      <w:r w:rsidR="000E15D1" w:rsidRPr="0071335A">
        <w:rPr>
          <w:rFonts w:eastAsia="Times New Roman"/>
          <w:color w:val="000000"/>
          <w:lang w:eastAsia="en-AU"/>
        </w:rPr>
        <w:t xml:space="preserve"> must be </w:t>
      </w:r>
      <w:r w:rsidRPr="0071335A">
        <w:rPr>
          <w:rFonts w:eastAsia="Times New Roman"/>
          <w:color w:val="000000"/>
          <w:lang w:eastAsia="en-AU"/>
        </w:rPr>
        <w:t>written</w:t>
      </w:r>
      <w:r w:rsidR="000E15D1" w:rsidRPr="0071335A">
        <w:rPr>
          <w:rFonts w:eastAsia="Times New Roman"/>
          <w:color w:val="000000"/>
          <w:lang w:eastAsia="en-AU"/>
        </w:rPr>
        <w:t xml:space="preserve"> </w:t>
      </w:r>
      <w:r w:rsidR="00275F3E" w:rsidRPr="0071335A">
        <w:rPr>
          <w:rFonts w:eastAsia="Times New Roman"/>
          <w:color w:val="000000"/>
          <w:lang w:eastAsia="en-AU"/>
        </w:rPr>
        <w:t>no more than two</w:t>
      </w:r>
      <w:r w:rsidR="000E15D1" w:rsidRPr="0071335A">
        <w:rPr>
          <w:rFonts w:eastAsia="Times New Roman"/>
          <w:color w:val="000000"/>
          <w:lang w:eastAsia="en-AU"/>
        </w:rPr>
        <w:t xml:space="preserve"> </w:t>
      </w:r>
      <w:r w:rsidRPr="0071335A">
        <w:rPr>
          <w:rFonts w:eastAsia="Times New Roman"/>
          <w:color w:val="000000"/>
          <w:lang w:eastAsia="en-AU"/>
        </w:rPr>
        <w:t xml:space="preserve">years </w:t>
      </w:r>
      <w:r w:rsidR="000E15D1" w:rsidRPr="0071335A">
        <w:rPr>
          <w:rFonts w:eastAsia="Times New Roman"/>
          <w:color w:val="000000"/>
          <w:lang w:eastAsia="en-AU"/>
        </w:rPr>
        <w:t xml:space="preserve">before the </w:t>
      </w:r>
      <w:r w:rsidRPr="0071335A">
        <w:rPr>
          <w:rFonts w:eastAsia="Times New Roman"/>
          <w:color w:val="000000"/>
          <w:lang w:eastAsia="en-AU"/>
        </w:rPr>
        <w:t xml:space="preserve">project </w:t>
      </w:r>
      <w:r w:rsidR="000E15D1" w:rsidRPr="0071335A">
        <w:rPr>
          <w:rFonts w:eastAsia="Times New Roman"/>
          <w:color w:val="000000"/>
          <w:lang w:eastAsia="en-AU"/>
        </w:rPr>
        <w:t>application.</w:t>
      </w:r>
      <w:r w:rsidR="00BD72CC" w:rsidRPr="0071335A">
        <w:rPr>
          <w:rFonts w:eastAsia="Times New Roman"/>
          <w:color w:val="000000"/>
          <w:lang w:eastAsia="en-AU"/>
        </w:rPr>
        <w:t xml:space="preserve"> Energy audits conducted to the applicable Australian </w:t>
      </w:r>
      <w:r w:rsidR="00652273">
        <w:rPr>
          <w:rFonts w:eastAsia="Times New Roman"/>
          <w:color w:val="000000"/>
          <w:lang w:eastAsia="en-AU"/>
        </w:rPr>
        <w:t>S</w:t>
      </w:r>
      <w:r w:rsidR="00BD72CC" w:rsidRPr="0071335A">
        <w:rPr>
          <w:rFonts w:eastAsia="Times New Roman"/>
          <w:color w:val="000000"/>
          <w:lang w:eastAsia="en-AU"/>
        </w:rPr>
        <w:t>tandard must conform with either Type 2 (detailed audit) or Type 3 (precision subsystem audit)</w:t>
      </w:r>
      <w:r w:rsidR="00C84EF7" w:rsidRPr="0071335A">
        <w:rPr>
          <w:rFonts w:eastAsia="Times New Roman"/>
          <w:color w:val="000000"/>
          <w:lang w:eastAsia="en-AU"/>
        </w:rPr>
        <w:t xml:space="preserve"> requirements</w:t>
      </w:r>
      <w:r w:rsidR="00BD72CC" w:rsidRPr="0071335A">
        <w:rPr>
          <w:rFonts w:eastAsia="Times New Roman"/>
          <w:color w:val="000000"/>
          <w:lang w:eastAsia="en-AU"/>
        </w:rPr>
        <w:t>, and the IE unit should be included within the scope of the audit.</w:t>
      </w:r>
      <w:r w:rsidR="00A035DD" w:rsidRPr="0071335A">
        <w:rPr>
          <w:rFonts w:eastAsia="Times New Roman"/>
          <w:color w:val="000000"/>
          <w:lang w:eastAsia="en-AU"/>
        </w:rPr>
        <w:t xml:space="preserve"> </w:t>
      </w:r>
      <w:r w:rsidR="00652273">
        <w:rPr>
          <w:rFonts w:eastAsia="Times New Roman"/>
          <w:color w:val="000000"/>
          <w:lang w:eastAsia="en-AU"/>
        </w:rPr>
        <w:t>The version</w:t>
      </w:r>
      <w:r w:rsidR="00006800">
        <w:rPr>
          <w:rFonts w:eastAsia="Times New Roman"/>
          <w:color w:val="000000"/>
          <w:lang w:eastAsia="en-AU"/>
        </w:rPr>
        <w:t>s</w:t>
      </w:r>
      <w:r w:rsidR="00652273">
        <w:rPr>
          <w:rFonts w:eastAsia="Times New Roman"/>
          <w:color w:val="000000"/>
          <w:lang w:eastAsia="en-AU"/>
        </w:rPr>
        <w:t xml:space="preserve"> of these</w:t>
      </w:r>
      <w:r w:rsidR="00906911">
        <w:rPr>
          <w:rFonts w:eastAsia="Times New Roman"/>
          <w:color w:val="000000"/>
          <w:lang w:eastAsia="en-AU"/>
        </w:rPr>
        <w:t xml:space="preserve"> standards </w:t>
      </w:r>
      <w:r w:rsidR="00652273">
        <w:rPr>
          <w:rFonts w:eastAsia="Times New Roman"/>
          <w:color w:val="000000"/>
          <w:lang w:eastAsia="en-AU"/>
        </w:rPr>
        <w:t xml:space="preserve">published in </w:t>
      </w:r>
      <w:r w:rsidR="00006800">
        <w:rPr>
          <w:rFonts w:eastAsia="Times New Roman"/>
          <w:color w:val="000000"/>
          <w:lang w:eastAsia="en-AU"/>
        </w:rPr>
        <w:t>October 2014 apply for the purposes of subsection 10(2)</w:t>
      </w:r>
      <w:r w:rsidR="00906911">
        <w:rPr>
          <w:rFonts w:eastAsia="Times New Roman"/>
          <w:color w:val="000000"/>
          <w:lang w:eastAsia="en-AU"/>
        </w:rPr>
        <w:t xml:space="preserve">. </w:t>
      </w:r>
      <w:r w:rsidR="00544C5F">
        <w:t xml:space="preserve">Australian Standards can be found via the Standards Australia website, </w:t>
      </w:r>
      <w:hyperlink r:id="rId18" w:history="1">
        <w:r w:rsidR="00544C5F" w:rsidRPr="00D949CF">
          <w:rPr>
            <w:rFonts w:eastAsia="Times New Roman"/>
            <w:szCs w:val="24"/>
            <w:u w:val="single"/>
            <w:lang w:eastAsia="en-AU"/>
          </w:rPr>
          <w:t>www.standards.org.au</w:t>
        </w:r>
      </w:hyperlink>
      <w:r w:rsidR="00544C5F" w:rsidRPr="001F0010">
        <w:t>.</w:t>
      </w:r>
      <w:r w:rsidR="001F0010" w:rsidRPr="001F0010">
        <w:t xml:space="preserve"> Energy</w:t>
      </w:r>
      <w:r w:rsidR="001F0010">
        <w:t xml:space="preserve"> service providers who perform energy audits to these standards would be expected to already have copies of these Australian Standards.</w:t>
      </w:r>
    </w:p>
    <w:p w14:paraId="73ED7FB7" w14:textId="1C99E802" w:rsidR="00285406" w:rsidRPr="001F0010" w:rsidRDefault="00A035DD" w:rsidP="00E7378F">
      <w:pPr>
        <w:spacing w:before="0" w:after="120" w:line="240" w:lineRule="auto"/>
        <w:rPr>
          <w:rFonts w:eastAsia="Times New Roman"/>
          <w:szCs w:val="24"/>
          <w:u w:val="single"/>
          <w:lang w:eastAsia="en-AU"/>
        </w:rPr>
      </w:pPr>
      <w:r w:rsidRPr="0071335A">
        <w:rPr>
          <w:rFonts w:eastAsia="Times New Roman"/>
          <w:color w:val="000000"/>
          <w:lang w:eastAsia="en-AU"/>
        </w:rPr>
        <w:t>The report mentioned in subsection 10(2) must be included in the pre-upgrade MVP declaration (section 24)</w:t>
      </w:r>
      <w:r w:rsidR="00001954" w:rsidRPr="0071335A">
        <w:rPr>
          <w:rFonts w:eastAsia="Times New Roman"/>
          <w:color w:val="000000"/>
          <w:lang w:eastAsia="en-AU"/>
        </w:rPr>
        <w:t>. To ensure independence, energy savings reports</w:t>
      </w:r>
      <w:r w:rsidR="00DB1A2A" w:rsidRPr="0071335A">
        <w:rPr>
          <w:rFonts w:eastAsia="Times New Roman"/>
          <w:color w:val="000000"/>
          <w:lang w:eastAsia="en-AU"/>
        </w:rPr>
        <w:t xml:space="preserve"> must not be produced by a MVP used for the project or a person with a financial interest in the project</w:t>
      </w:r>
      <w:r w:rsidR="00857055" w:rsidRPr="0071335A">
        <w:rPr>
          <w:rFonts w:eastAsia="Times New Roman"/>
          <w:color w:val="000000"/>
          <w:lang w:eastAsia="en-AU"/>
        </w:rPr>
        <w:t xml:space="preserve"> at the time when the report was produced</w:t>
      </w:r>
      <w:r w:rsidR="00DB1A2A" w:rsidRPr="0071335A">
        <w:rPr>
          <w:rFonts w:eastAsia="Times New Roman"/>
          <w:color w:val="000000"/>
          <w:lang w:eastAsia="en-AU"/>
        </w:rPr>
        <w:t>.</w:t>
      </w:r>
    </w:p>
    <w:p w14:paraId="73ED7FB8" w14:textId="77777777" w:rsidR="00840E58" w:rsidRPr="00840E58" w:rsidRDefault="00840E58" w:rsidP="00E7378F">
      <w:pPr>
        <w:pStyle w:val="tPara"/>
        <w:spacing w:before="0" w:after="120" w:line="240" w:lineRule="auto"/>
        <w:ind w:left="0" w:firstLine="0"/>
        <w:jc w:val="left"/>
        <w:rPr>
          <w:i/>
        </w:rPr>
      </w:pPr>
      <w:r w:rsidRPr="00840E58">
        <w:rPr>
          <w:i/>
        </w:rPr>
        <w:t>Units not operating before the upgrade excluded</w:t>
      </w:r>
    </w:p>
    <w:p w14:paraId="73ED7FB9" w14:textId="77777777" w:rsidR="00B600F9" w:rsidRPr="0071335A" w:rsidRDefault="002C36BB" w:rsidP="00E7378F">
      <w:pPr>
        <w:spacing w:before="0" w:after="120" w:line="240" w:lineRule="auto"/>
        <w:rPr>
          <w:rFonts w:eastAsia="Times New Roman"/>
          <w:color w:val="000000"/>
          <w:lang w:eastAsia="en-AU"/>
        </w:rPr>
      </w:pPr>
      <w:r w:rsidRPr="0071335A">
        <w:rPr>
          <w:rFonts w:eastAsia="Times New Roman"/>
          <w:color w:val="000000"/>
          <w:lang w:eastAsia="en-AU"/>
        </w:rPr>
        <w:t>Subsection 10(</w:t>
      </w:r>
      <w:r w:rsidR="00A163FE" w:rsidRPr="0071335A">
        <w:rPr>
          <w:rFonts w:eastAsia="Times New Roman"/>
          <w:color w:val="000000"/>
          <w:lang w:eastAsia="en-AU"/>
        </w:rPr>
        <w:t>3</w:t>
      </w:r>
      <w:r w:rsidRPr="0071335A">
        <w:rPr>
          <w:rFonts w:eastAsia="Times New Roman"/>
          <w:color w:val="000000"/>
          <w:lang w:eastAsia="en-AU"/>
        </w:rPr>
        <w:t>)</w:t>
      </w:r>
      <w:r w:rsidR="00D45E95" w:rsidRPr="0071335A">
        <w:rPr>
          <w:rFonts w:eastAsia="Times New Roman"/>
          <w:color w:val="000000"/>
          <w:lang w:eastAsia="en-AU"/>
        </w:rPr>
        <w:t xml:space="preserve"> excludes </w:t>
      </w:r>
      <w:r w:rsidR="004F4941" w:rsidRPr="0071335A">
        <w:rPr>
          <w:rFonts w:eastAsia="Times New Roman"/>
          <w:color w:val="000000"/>
          <w:lang w:eastAsia="en-AU"/>
        </w:rPr>
        <w:t>any</w:t>
      </w:r>
      <w:r w:rsidR="009B4E9E" w:rsidRPr="0071335A">
        <w:rPr>
          <w:rFonts w:eastAsia="Times New Roman"/>
          <w:color w:val="000000"/>
          <w:lang w:eastAsia="en-AU"/>
        </w:rPr>
        <w:t xml:space="preserve"> IE </w:t>
      </w:r>
      <w:r w:rsidR="00D45E95" w:rsidRPr="0071335A">
        <w:rPr>
          <w:rFonts w:eastAsia="Times New Roman"/>
          <w:color w:val="000000"/>
          <w:lang w:eastAsia="en-AU"/>
        </w:rPr>
        <w:t>unit that w</w:t>
      </w:r>
      <w:r w:rsidR="009B4E9E" w:rsidRPr="0071335A">
        <w:rPr>
          <w:rFonts w:eastAsia="Times New Roman"/>
          <w:color w:val="000000"/>
          <w:lang w:eastAsia="en-AU"/>
        </w:rPr>
        <w:t>as</w:t>
      </w:r>
      <w:r w:rsidR="00D45E95" w:rsidRPr="0071335A">
        <w:rPr>
          <w:rFonts w:eastAsia="Times New Roman"/>
          <w:color w:val="000000"/>
          <w:lang w:eastAsia="en-AU"/>
        </w:rPr>
        <w:t xml:space="preserve"> not operating prior to the upgrade from an eligible </w:t>
      </w:r>
      <w:r w:rsidR="00285406" w:rsidRPr="0071335A">
        <w:rPr>
          <w:rFonts w:eastAsia="Times New Roman"/>
          <w:color w:val="000000"/>
          <w:lang w:eastAsia="en-AU"/>
        </w:rPr>
        <w:t xml:space="preserve">offsets </w:t>
      </w:r>
      <w:r w:rsidR="00D45E95" w:rsidRPr="0071335A">
        <w:rPr>
          <w:rFonts w:eastAsia="Times New Roman"/>
          <w:color w:val="000000"/>
          <w:lang w:eastAsia="en-AU"/>
        </w:rPr>
        <w:t xml:space="preserve">project. </w:t>
      </w:r>
      <w:r w:rsidR="00CE147E" w:rsidRPr="0071335A">
        <w:rPr>
          <w:rFonts w:eastAsia="Times New Roman"/>
          <w:color w:val="000000"/>
          <w:lang w:eastAsia="en-AU"/>
        </w:rPr>
        <w:t xml:space="preserve">This </w:t>
      </w:r>
      <w:r w:rsidR="00863F73" w:rsidRPr="0071335A">
        <w:rPr>
          <w:rFonts w:eastAsia="Times New Roman"/>
          <w:color w:val="000000"/>
          <w:lang w:eastAsia="en-AU"/>
        </w:rPr>
        <w:t>sub</w:t>
      </w:r>
      <w:r w:rsidR="00CE147E" w:rsidRPr="0071335A">
        <w:rPr>
          <w:rFonts w:eastAsia="Times New Roman"/>
          <w:color w:val="000000"/>
          <w:lang w:eastAsia="en-AU"/>
        </w:rPr>
        <w:t xml:space="preserve">section </w:t>
      </w:r>
      <w:r w:rsidR="00737042" w:rsidRPr="0071335A">
        <w:rPr>
          <w:rFonts w:eastAsia="Times New Roman"/>
          <w:color w:val="000000"/>
          <w:lang w:eastAsia="en-AU"/>
        </w:rPr>
        <w:t>also excludes n</w:t>
      </w:r>
      <w:r w:rsidR="00D45E95" w:rsidRPr="0071335A">
        <w:rPr>
          <w:rFonts w:eastAsia="Times New Roman"/>
          <w:color w:val="000000"/>
          <w:lang w:eastAsia="en-AU"/>
        </w:rPr>
        <w:t>ew installations</w:t>
      </w:r>
      <w:r w:rsidR="00015A62" w:rsidRPr="0071335A">
        <w:rPr>
          <w:rFonts w:eastAsia="Times New Roman"/>
          <w:color w:val="000000"/>
          <w:lang w:eastAsia="en-AU"/>
        </w:rPr>
        <w:t xml:space="preserve"> where there was no equipment in operation </w:t>
      </w:r>
      <w:r w:rsidR="00DA0CCF" w:rsidRPr="0071335A">
        <w:rPr>
          <w:rFonts w:eastAsia="Times New Roman"/>
          <w:color w:val="000000"/>
          <w:lang w:eastAsia="en-AU"/>
        </w:rPr>
        <w:t xml:space="preserve">and providing the same output </w:t>
      </w:r>
      <w:r w:rsidR="00015A62" w:rsidRPr="0071335A">
        <w:rPr>
          <w:rFonts w:eastAsia="Times New Roman"/>
          <w:color w:val="000000"/>
          <w:lang w:eastAsia="en-AU"/>
        </w:rPr>
        <w:t>in the baseline period</w:t>
      </w:r>
      <w:r w:rsidR="00DC1C48" w:rsidRPr="0071335A">
        <w:rPr>
          <w:rFonts w:eastAsia="Times New Roman"/>
          <w:color w:val="000000"/>
          <w:lang w:eastAsia="en-AU"/>
        </w:rPr>
        <w:t xml:space="preserve">. These exclusions </w:t>
      </w:r>
      <w:r w:rsidR="00CE147E" w:rsidRPr="0071335A">
        <w:rPr>
          <w:rFonts w:eastAsia="Times New Roman"/>
          <w:color w:val="000000"/>
          <w:lang w:eastAsia="en-AU"/>
        </w:rPr>
        <w:t xml:space="preserve">are </w:t>
      </w:r>
      <w:r w:rsidR="00871477" w:rsidRPr="0071335A">
        <w:rPr>
          <w:rFonts w:eastAsia="Times New Roman"/>
          <w:color w:val="000000"/>
          <w:lang w:eastAsia="en-AU"/>
        </w:rPr>
        <w:t>necessary</w:t>
      </w:r>
      <w:r w:rsidR="00DC1C48" w:rsidRPr="0071335A">
        <w:rPr>
          <w:rFonts w:eastAsia="Times New Roman"/>
          <w:color w:val="000000"/>
          <w:lang w:eastAsia="en-AU"/>
        </w:rPr>
        <w:t xml:space="preserve"> because the </w:t>
      </w:r>
      <w:r w:rsidR="004F4941" w:rsidRPr="0071335A">
        <w:rPr>
          <w:rFonts w:eastAsia="Times New Roman"/>
          <w:color w:val="000000"/>
          <w:lang w:eastAsia="en-AU"/>
        </w:rPr>
        <w:t>calculations</w:t>
      </w:r>
      <w:r w:rsidR="00DC1C48" w:rsidRPr="0071335A">
        <w:rPr>
          <w:rFonts w:eastAsia="Times New Roman"/>
          <w:color w:val="000000"/>
          <w:lang w:eastAsia="en-AU"/>
        </w:rPr>
        <w:t xml:space="preserve"> require</w:t>
      </w:r>
      <w:r w:rsidR="00C3692C" w:rsidRPr="0071335A">
        <w:rPr>
          <w:rFonts w:eastAsia="Times New Roman"/>
          <w:color w:val="000000"/>
          <w:lang w:eastAsia="en-AU"/>
        </w:rPr>
        <w:t xml:space="preserve"> </w:t>
      </w:r>
      <w:r w:rsidR="004C1911" w:rsidRPr="0071335A">
        <w:rPr>
          <w:rFonts w:eastAsia="Times New Roman"/>
          <w:color w:val="000000"/>
          <w:lang w:eastAsia="en-AU"/>
        </w:rPr>
        <w:t>baseline</w:t>
      </w:r>
      <w:r w:rsidR="00DC1C48" w:rsidRPr="0071335A">
        <w:rPr>
          <w:rFonts w:eastAsia="Times New Roman"/>
          <w:color w:val="000000"/>
          <w:lang w:eastAsia="en-AU"/>
        </w:rPr>
        <w:t xml:space="preserve"> energy consumption data and </w:t>
      </w:r>
      <w:r w:rsidR="005F4D3D" w:rsidRPr="0071335A">
        <w:rPr>
          <w:rFonts w:eastAsia="Times New Roman"/>
          <w:color w:val="000000"/>
          <w:lang w:eastAsia="en-AU"/>
        </w:rPr>
        <w:t xml:space="preserve">require </w:t>
      </w:r>
      <w:r w:rsidR="00DC1C48" w:rsidRPr="0071335A">
        <w:rPr>
          <w:rFonts w:eastAsia="Times New Roman"/>
          <w:color w:val="000000"/>
          <w:lang w:eastAsia="en-AU"/>
        </w:rPr>
        <w:t xml:space="preserve">output indicators </w:t>
      </w:r>
      <w:r w:rsidR="005F4D3D" w:rsidRPr="0071335A">
        <w:rPr>
          <w:rFonts w:eastAsia="Times New Roman"/>
          <w:color w:val="000000"/>
          <w:lang w:eastAsia="en-AU"/>
        </w:rPr>
        <w:t xml:space="preserve">to be </w:t>
      </w:r>
      <w:r w:rsidR="00DC1C48" w:rsidRPr="0071335A">
        <w:rPr>
          <w:rFonts w:eastAsia="Times New Roman"/>
          <w:color w:val="000000"/>
          <w:lang w:eastAsia="en-AU"/>
        </w:rPr>
        <w:t xml:space="preserve">applicable to </w:t>
      </w:r>
      <w:r w:rsidR="005F4D3D" w:rsidRPr="0071335A">
        <w:rPr>
          <w:rFonts w:eastAsia="Times New Roman"/>
          <w:color w:val="000000"/>
          <w:lang w:eastAsia="en-AU"/>
        </w:rPr>
        <w:t xml:space="preserve">both </w:t>
      </w:r>
      <w:r w:rsidR="00DC1C48" w:rsidRPr="0071335A">
        <w:rPr>
          <w:rFonts w:eastAsia="Times New Roman"/>
          <w:color w:val="000000"/>
          <w:lang w:eastAsia="en-AU"/>
        </w:rPr>
        <w:t>the baseline data (the original unit) and the operating project data (the upgraded unit)</w:t>
      </w:r>
      <w:r w:rsidR="00D45E95" w:rsidRPr="0071335A">
        <w:rPr>
          <w:rFonts w:eastAsia="Times New Roman"/>
          <w:color w:val="000000"/>
          <w:lang w:eastAsia="en-AU"/>
        </w:rPr>
        <w:t>.</w:t>
      </w:r>
    </w:p>
    <w:p w14:paraId="73ED7FBA" w14:textId="77777777" w:rsidR="00840E58" w:rsidRPr="00840E58" w:rsidRDefault="00840E58" w:rsidP="00E7378F">
      <w:pPr>
        <w:pStyle w:val="tMain"/>
        <w:spacing w:before="0" w:after="120" w:line="240" w:lineRule="auto"/>
        <w:ind w:left="0" w:firstLine="0"/>
        <w:jc w:val="left"/>
        <w:rPr>
          <w:i/>
        </w:rPr>
      </w:pPr>
      <w:r w:rsidRPr="00840E58">
        <w:rPr>
          <w:i/>
        </w:rPr>
        <w:t>Irregularly or intermittently operating units excluded</w:t>
      </w:r>
    </w:p>
    <w:p w14:paraId="73ED7FBB" w14:textId="296ED5AA" w:rsidR="002A2820" w:rsidRDefault="002C36BB" w:rsidP="00E7378F">
      <w:pPr>
        <w:spacing w:before="0" w:after="120" w:line="240" w:lineRule="auto"/>
      </w:pPr>
      <w:r w:rsidRPr="0071335A">
        <w:rPr>
          <w:rFonts w:eastAsia="Times New Roman"/>
          <w:color w:val="000000"/>
          <w:lang w:eastAsia="en-AU"/>
        </w:rPr>
        <w:t>Subsection 10(</w:t>
      </w:r>
      <w:r w:rsidR="00C57C3A" w:rsidRPr="0071335A">
        <w:rPr>
          <w:rFonts w:eastAsia="Times New Roman"/>
          <w:color w:val="000000"/>
          <w:lang w:eastAsia="en-AU"/>
        </w:rPr>
        <w:t>4</w:t>
      </w:r>
      <w:r w:rsidRPr="0071335A">
        <w:rPr>
          <w:rFonts w:eastAsia="Times New Roman"/>
          <w:color w:val="000000"/>
          <w:lang w:eastAsia="en-AU"/>
        </w:rPr>
        <w:t>)</w:t>
      </w:r>
      <w:r w:rsidR="00D45E95" w:rsidRPr="0071335A">
        <w:rPr>
          <w:rFonts w:eastAsia="Times New Roman"/>
          <w:color w:val="000000"/>
          <w:lang w:eastAsia="en-AU"/>
        </w:rPr>
        <w:t xml:space="preserve"> excludes from eligible projects </w:t>
      </w:r>
      <w:r w:rsidR="009B4E9E" w:rsidRPr="0071335A">
        <w:rPr>
          <w:rFonts w:eastAsia="Times New Roman"/>
          <w:color w:val="000000"/>
          <w:lang w:eastAsia="en-AU"/>
        </w:rPr>
        <w:t xml:space="preserve">any IE unit that operates </w:t>
      </w:r>
      <w:r w:rsidR="00DA0CCF" w:rsidRPr="0071335A">
        <w:rPr>
          <w:rFonts w:eastAsia="Times New Roman"/>
          <w:color w:val="000000"/>
          <w:lang w:eastAsia="en-AU"/>
        </w:rPr>
        <w:t xml:space="preserve">only </w:t>
      </w:r>
      <w:r w:rsidR="009B4E9E" w:rsidRPr="0071335A">
        <w:rPr>
          <w:rFonts w:eastAsia="Times New Roman"/>
          <w:color w:val="000000"/>
          <w:lang w:eastAsia="en-AU"/>
        </w:rPr>
        <w:t>as a reser</w:t>
      </w:r>
      <w:r w:rsidR="00C3692C" w:rsidRPr="0071335A">
        <w:rPr>
          <w:rFonts w:eastAsia="Times New Roman"/>
          <w:color w:val="000000"/>
          <w:lang w:eastAsia="en-AU"/>
        </w:rPr>
        <w:t>ve, back-up or emergency system</w:t>
      </w:r>
      <w:r w:rsidR="009B4E9E" w:rsidRPr="0071335A">
        <w:rPr>
          <w:rFonts w:eastAsia="Times New Roman"/>
          <w:color w:val="000000"/>
          <w:lang w:eastAsia="en-AU"/>
        </w:rPr>
        <w:t>.</w:t>
      </w:r>
      <w:r w:rsidR="00DC1C48" w:rsidRPr="0071335A">
        <w:rPr>
          <w:rFonts w:eastAsia="Times New Roman"/>
          <w:color w:val="000000"/>
          <w:lang w:eastAsia="en-AU"/>
        </w:rPr>
        <w:t xml:space="preserve"> </w:t>
      </w:r>
      <w:r w:rsidR="00871477" w:rsidRPr="0071335A">
        <w:rPr>
          <w:rFonts w:eastAsia="Times New Roman"/>
          <w:color w:val="000000"/>
          <w:lang w:eastAsia="en-AU"/>
        </w:rPr>
        <w:t>I</w:t>
      </w:r>
      <w:r w:rsidR="00DC1C48" w:rsidRPr="0071335A">
        <w:rPr>
          <w:rFonts w:eastAsia="Times New Roman"/>
          <w:color w:val="000000"/>
          <w:lang w:eastAsia="en-AU"/>
        </w:rPr>
        <w:t xml:space="preserve">t is not possible to establish representative measurement periods when the operation of the equipment is </w:t>
      </w:r>
      <w:r w:rsidR="00C3692C" w:rsidRPr="0071335A">
        <w:rPr>
          <w:rFonts w:eastAsia="Times New Roman"/>
          <w:color w:val="000000"/>
          <w:lang w:eastAsia="en-AU"/>
        </w:rPr>
        <w:t>irregular and unpredictable</w:t>
      </w:r>
      <w:r w:rsidR="00C57C3A" w:rsidRPr="0071335A">
        <w:rPr>
          <w:rFonts w:eastAsia="Times New Roman"/>
          <w:color w:val="000000"/>
          <w:lang w:eastAsia="en-AU"/>
        </w:rPr>
        <w:t xml:space="preserve"> because it does not contribute to output during normal operation</w:t>
      </w:r>
      <w:r w:rsidR="00DC1C48" w:rsidRPr="0071335A">
        <w:rPr>
          <w:rFonts w:eastAsia="Times New Roman"/>
          <w:color w:val="000000"/>
          <w:lang w:eastAsia="en-AU"/>
        </w:rPr>
        <w:t>.</w:t>
      </w:r>
      <w:r w:rsidR="00C57C3A" w:rsidRPr="0071335A">
        <w:rPr>
          <w:rFonts w:eastAsia="Times New Roman"/>
          <w:color w:val="000000"/>
          <w:lang w:eastAsia="en-AU"/>
        </w:rPr>
        <w:t xml:space="preserve"> Examples include fire safety pumps that are occasionally tested, </w:t>
      </w:r>
      <w:r w:rsidR="00EE4405" w:rsidRPr="0071335A">
        <w:rPr>
          <w:rFonts w:eastAsia="Times New Roman"/>
          <w:color w:val="000000"/>
          <w:lang w:eastAsia="en-AU"/>
        </w:rPr>
        <w:t xml:space="preserve">or </w:t>
      </w:r>
      <w:r w:rsidR="00C57C3A" w:rsidRPr="0071335A">
        <w:rPr>
          <w:rFonts w:eastAsia="Times New Roman"/>
          <w:color w:val="000000"/>
          <w:lang w:eastAsia="en-AU"/>
        </w:rPr>
        <w:t xml:space="preserve">largely redundant equipment that only operates when other equipment is undergoing maintenance. On mine sites, dewatering pumps that are only </w:t>
      </w:r>
      <w:r w:rsidR="00C84EF7" w:rsidRPr="0071335A">
        <w:rPr>
          <w:rFonts w:eastAsia="Times New Roman"/>
          <w:color w:val="000000"/>
          <w:lang w:eastAsia="en-AU"/>
        </w:rPr>
        <w:t xml:space="preserve">operated </w:t>
      </w:r>
      <w:r w:rsidR="00C57C3A" w:rsidRPr="0071335A">
        <w:rPr>
          <w:rFonts w:eastAsia="Times New Roman"/>
          <w:color w:val="000000"/>
          <w:lang w:eastAsia="en-AU"/>
        </w:rPr>
        <w:t xml:space="preserve">due to flooding or unusually heavy rains </w:t>
      </w:r>
      <w:r w:rsidR="000B09E3">
        <w:rPr>
          <w:rFonts w:eastAsia="Times New Roman"/>
          <w:color w:val="000000"/>
          <w:lang w:eastAsia="en-AU"/>
        </w:rPr>
        <w:t>are</w:t>
      </w:r>
      <w:r w:rsidR="000B09E3" w:rsidRPr="0071335A">
        <w:rPr>
          <w:rFonts w:eastAsia="Times New Roman"/>
          <w:color w:val="000000"/>
          <w:lang w:eastAsia="en-AU"/>
        </w:rPr>
        <w:t xml:space="preserve"> </w:t>
      </w:r>
      <w:r w:rsidR="00C57C3A" w:rsidRPr="0071335A">
        <w:rPr>
          <w:rFonts w:eastAsia="Times New Roman"/>
          <w:color w:val="000000"/>
          <w:lang w:eastAsia="en-AU"/>
        </w:rPr>
        <w:t xml:space="preserve">also </w:t>
      </w:r>
      <w:r w:rsidR="00E24757" w:rsidRPr="0071335A">
        <w:rPr>
          <w:rFonts w:eastAsia="Times New Roman"/>
          <w:color w:val="000000"/>
          <w:lang w:eastAsia="en-AU"/>
        </w:rPr>
        <w:t>excluded</w:t>
      </w:r>
      <w:r w:rsidR="00C57C3A" w:rsidRPr="0071335A">
        <w:rPr>
          <w:rFonts w:eastAsia="Times New Roman"/>
          <w:color w:val="000000"/>
          <w:lang w:eastAsia="en-AU"/>
        </w:rPr>
        <w:t xml:space="preserve"> by this provision.</w:t>
      </w:r>
    </w:p>
    <w:p w14:paraId="73ED7FBC" w14:textId="77777777" w:rsidR="00840E58" w:rsidRPr="00840E58" w:rsidRDefault="00840E58" w:rsidP="00E7378F">
      <w:pPr>
        <w:pStyle w:val="tMain"/>
        <w:spacing w:before="0" w:after="120" w:line="240" w:lineRule="auto"/>
        <w:ind w:left="0" w:firstLine="0"/>
        <w:jc w:val="left"/>
        <w:rPr>
          <w:rFonts w:asciiTheme="minorHAnsi" w:hAnsiTheme="minorHAnsi"/>
          <w:i/>
        </w:rPr>
      </w:pPr>
      <w:r w:rsidRPr="00840E58">
        <w:rPr>
          <w:i/>
        </w:rPr>
        <w:t>Substantial change to capacity excluded</w:t>
      </w:r>
    </w:p>
    <w:p w14:paraId="73ED7FBD" w14:textId="77777777" w:rsidR="002C36BB" w:rsidRDefault="002C36BB" w:rsidP="00E7378F">
      <w:pPr>
        <w:spacing w:before="0" w:after="120" w:line="240" w:lineRule="auto"/>
      </w:pPr>
      <w:r>
        <w:t>Subsection 10(</w:t>
      </w:r>
      <w:r w:rsidR="00AA1F37">
        <w:t>5</w:t>
      </w:r>
      <w:r>
        <w:t>)</w:t>
      </w:r>
      <w:r w:rsidR="009B4E9E">
        <w:t xml:space="preserve"> excludes from eligible projects an</w:t>
      </w:r>
      <w:r w:rsidR="00C3692C">
        <w:t>y</w:t>
      </w:r>
      <w:r w:rsidR="009B4E9E">
        <w:t xml:space="preserve"> IE unit that undergoes a substantial change in capacity if</w:t>
      </w:r>
      <w:r w:rsidR="00015A62">
        <w:t xml:space="preserve"> it meets all of the following conditions</w:t>
      </w:r>
      <w:r w:rsidR="009B4E9E">
        <w:t>:</w:t>
      </w:r>
    </w:p>
    <w:p w14:paraId="73ED7FBE" w14:textId="77777777" w:rsidR="009B4E9E" w:rsidRPr="007B6D00" w:rsidRDefault="00C863E5" w:rsidP="00E7378F">
      <w:pPr>
        <w:pStyle w:val="ListBullet"/>
        <w:numPr>
          <w:ilvl w:val="0"/>
          <w:numId w:val="12"/>
        </w:numPr>
        <w:spacing w:after="120"/>
        <w:ind w:left="714" w:hanging="357"/>
      </w:pPr>
      <w:r>
        <w:t>The</w:t>
      </w:r>
      <w:r w:rsidR="009B4E9E" w:rsidRPr="007B6D00">
        <w:t xml:space="preserve"> IE upgrade involves replacing existing items of equipment, or insta</w:t>
      </w:r>
      <w:r w:rsidR="00015A62">
        <w:t>lling</w:t>
      </w:r>
      <w:r>
        <w:t xml:space="preserve"> additional </w:t>
      </w:r>
      <w:r w:rsidR="00015A62">
        <w:t>items of equipment.</w:t>
      </w:r>
    </w:p>
    <w:p w14:paraId="73ED7FBF" w14:textId="77777777" w:rsidR="009B4E9E" w:rsidRPr="007B6D00" w:rsidRDefault="00015A62" w:rsidP="00E7378F">
      <w:pPr>
        <w:pStyle w:val="ListBullet"/>
        <w:numPr>
          <w:ilvl w:val="0"/>
          <w:numId w:val="12"/>
        </w:numPr>
        <w:spacing w:after="120"/>
      </w:pPr>
      <w:r>
        <w:t>T</w:t>
      </w:r>
      <w:r w:rsidR="009B4E9E" w:rsidRPr="007B6D00">
        <w:t xml:space="preserve">he </w:t>
      </w:r>
      <w:r w:rsidR="00C863E5">
        <w:t>replacement or additional</w:t>
      </w:r>
      <w:r w:rsidR="009B4E9E" w:rsidRPr="007B6D00">
        <w:t xml:space="preserve"> items add directly to the rated power of the original IE u</w:t>
      </w:r>
      <w:r>
        <w:t>nit, rather than indirectly.</w:t>
      </w:r>
    </w:p>
    <w:p w14:paraId="73ED7FC0" w14:textId="77777777" w:rsidR="009B4E9E" w:rsidRPr="007B6D00" w:rsidRDefault="00015A62" w:rsidP="00E7378F">
      <w:pPr>
        <w:pStyle w:val="ListBullet"/>
        <w:numPr>
          <w:ilvl w:val="0"/>
          <w:numId w:val="12"/>
        </w:numPr>
        <w:spacing w:after="120"/>
      </w:pPr>
      <w:r>
        <w:t>T</w:t>
      </w:r>
      <w:r w:rsidR="009B4E9E" w:rsidRPr="007B6D00">
        <w:t xml:space="preserve">he additional rated power is more </w:t>
      </w:r>
      <w:r w:rsidR="009404B3">
        <w:t>than 20 per cent</w:t>
      </w:r>
      <w:r w:rsidR="009B4E9E" w:rsidRPr="00A256E9">
        <w:t xml:space="preserve"> of</w:t>
      </w:r>
      <w:r w:rsidR="009B4E9E" w:rsidRPr="007B6D00">
        <w:t xml:space="preserve"> the rated power of the original unit.   </w:t>
      </w:r>
    </w:p>
    <w:p w14:paraId="73ED7FC1" w14:textId="62987B87" w:rsidR="00445273" w:rsidRPr="00231020" w:rsidRDefault="009B4E9E" w:rsidP="00E7378F">
      <w:pPr>
        <w:shd w:val="clear" w:color="auto" w:fill="FFFFFF"/>
        <w:spacing w:before="0" w:after="120" w:line="240" w:lineRule="auto"/>
        <w:rPr>
          <w:rFonts w:eastAsia="Times New Roman"/>
          <w:szCs w:val="24"/>
          <w:lang w:eastAsia="en-AU"/>
        </w:rPr>
      </w:pPr>
      <w:r w:rsidRPr="00231020">
        <w:rPr>
          <w:rFonts w:eastAsia="Times New Roman"/>
          <w:szCs w:val="24"/>
          <w:lang w:eastAsia="en-AU"/>
        </w:rPr>
        <w:t xml:space="preserve">An </w:t>
      </w:r>
      <w:r w:rsidR="00A02057" w:rsidRPr="00231020">
        <w:rPr>
          <w:rFonts w:eastAsia="Times New Roman"/>
          <w:szCs w:val="24"/>
          <w:lang w:eastAsia="en-AU"/>
        </w:rPr>
        <w:t xml:space="preserve">example is an </w:t>
      </w:r>
      <w:r w:rsidRPr="00231020">
        <w:rPr>
          <w:rFonts w:eastAsia="Times New Roman"/>
          <w:szCs w:val="24"/>
          <w:lang w:eastAsia="en-AU"/>
        </w:rPr>
        <w:t>IE system consist</w:t>
      </w:r>
      <w:r w:rsidR="00A02057" w:rsidRPr="00231020">
        <w:rPr>
          <w:rFonts w:eastAsia="Times New Roman"/>
          <w:szCs w:val="24"/>
          <w:lang w:eastAsia="en-AU"/>
        </w:rPr>
        <w:t>ing</w:t>
      </w:r>
      <w:r w:rsidRPr="00231020">
        <w:rPr>
          <w:rFonts w:eastAsia="Times New Roman"/>
          <w:szCs w:val="24"/>
          <w:lang w:eastAsia="en-AU"/>
        </w:rPr>
        <w:t xml:space="preserve"> of a boiler that serves a number of other pieces of equipment</w:t>
      </w:r>
      <w:r w:rsidR="008A21E5" w:rsidRPr="00231020">
        <w:rPr>
          <w:rFonts w:eastAsia="Times New Roman"/>
          <w:szCs w:val="24"/>
          <w:lang w:eastAsia="en-AU"/>
        </w:rPr>
        <w:t>, where t</w:t>
      </w:r>
      <w:r w:rsidRPr="00231020">
        <w:rPr>
          <w:rFonts w:eastAsia="Times New Roman"/>
          <w:szCs w:val="24"/>
          <w:lang w:eastAsia="en-AU"/>
        </w:rPr>
        <w:t>he capacity of the boiler is a constraint on the capacity of the system.</w:t>
      </w:r>
      <w:r w:rsidR="002E6339" w:rsidRPr="00231020">
        <w:rPr>
          <w:rFonts w:eastAsia="Times New Roman"/>
          <w:szCs w:val="24"/>
          <w:lang w:eastAsia="en-AU"/>
        </w:rPr>
        <w:t xml:space="preserve"> </w:t>
      </w:r>
      <w:r w:rsidRPr="00231020">
        <w:rPr>
          <w:rFonts w:eastAsia="Times New Roman"/>
          <w:szCs w:val="24"/>
          <w:lang w:eastAsia="en-AU"/>
        </w:rPr>
        <w:t>Adding a second boiler w</w:t>
      </w:r>
      <w:r w:rsidR="00A02057" w:rsidRPr="00231020">
        <w:rPr>
          <w:rFonts w:eastAsia="Times New Roman"/>
          <w:szCs w:val="24"/>
          <w:lang w:eastAsia="en-AU"/>
        </w:rPr>
        <w:t>ould</w:t>
      </w:r>
      <w:r w:rsidRPr="00231020">
        <w:rPr>
          <w:rFonts w:eastAsia="Times New Roman"/>
          <w:szCs w:val="24"/>
          <w:lang w:eastAsia="en-AU"/>
        </w:rPr>
        <w:t xml:space="preserve"> add to the capacity of the unit directly</w:t>
      </w:r>
      <w:r w:rsidR="00AA1F37" w:rsidRPr="00231020">
        <w:rPr>
          <w:rFonts w:eastAsia="Times New Roman"/>
          <w:szCs w:val="24"/>
          <w:lang w:eastAsia="en-AU"/>
        </w:rPr>
        <w:t xml:space="preserve"> by changing the rated output of the unit</w:t>
      </w:r>
      <w:r w:rsidRPr="00231020">
        <w:rPr>
          <w:rFonts w:eastAsia="Times New Roman"/>
          <w:szCs w:val="24"/>
          <w:lang w:eastAsia="en-AU"/>
        </w:rPr>
        <w:t xml:space="preserve">, and </w:t>
      </w:r>
      <w:r w:rsidR="008853BE">
        <w:rPr>
          <w:rFonts w:eastAsia="Times New Roman"/>
          <w:szCs w:val="24"/>
          <w:lang w:eastAsia="en-AU"/>
        </w:rPr>
        <w:t>is</w:t>
      </w:r>
      <w:r w:rsidRPr="00231020">
        <w:rPr>
          <w:rFonts w:eastAsia="Times New Roman"/>
          <w:szCs w:val="24"/>
          <w:lang w:eastAsia="en-AU"/>
        </w:rPr>
        <w:t xml:space="preserve"> restricted under </w:t>
      </w:r>
      <w:r w:rsidR="00D17F4D" w:rsidRPr="00231020">
        <w:rPr>
          <w:rFonts w:eastAsia="Times New Roman"/>
          <w:szCs w:val="24"/>
          <w:lang w:eastAsia="en-AU"/>
        </w:rPr>
        <w:t>paragraph</w:t>
      </w:r>
      <w:r w:rsidR="00D17F4D">
        <w:rPr>
          <w:rFonts w:eastAsia="Times New Roman"/>
          <w:szCs w:val="24"/>
          <w:lang w:eastAsia="en-AU"/>
        </w:rPr>
        <w:t xml:space="preserve"> </w:t>
      </w:r>
      <w:r w:rsidR="00D17F4D" w:rsidRPr="00231020">
        <w:rPr>
          <w:rFonts w:eastAsia="Times New Roman"/>
          <w:szCs w:val="24"/>
          <w:lang w:eastAsia="en-AU"/>
        </w:rPr>
        <w:t>(</w:t>
      </w:r>
      <w:r w:rsidRPr="00231020">
        <w:rPr>
          <w:rFonts w:eastAsia="Times New Roman"/>
          <w:szCs w:val="24"/>
          <w:lang w:eastAsia="en-AU"/>
        </w:rPr>
        <w:t xml:space="preserve">c). Adding other pieces of equipment </w:t>
      </w:r>
      <w:r w:rsidR="008A21E5" w:rsidRPr="00231020">
        <w:rPr>
          <w:rFonts w:eastAsia="Times New Roman"/>
          <w:szCs w:val="24"/>
          <w:lang w:eastAsia="en-AU"/>
        </w:rPr>
        <w:t xml:space="preserve">relating to </w:t>
      </w:r>
      <w:r w:rsidRPr="00231020">
        <w:rPr>
          <w:rFonts w:eastAsia="Times New Roman"/>
          <w:szCs w:val="24"/>
          <w:lang w:eastAsia="en-AU"/>
        </w:rPr>
        <w:t xml:space="preserve">the boilers, such as </w:t>
      </w:r>
      <w:r w:rsidR="00AA1F37" w:rsidRPr="00231020">
        <w:rPr>
          <w:rFonts w:eastAsia="Times New Roman"/>
          <w:szCs w:val="24"/>
          <w:lang w:eastAsia="en-AU"/>
        </w:rPr>
        <w:t>more efficient heat exchangers or reducing heat losses</w:t>
      </w:r>
      <w:r w:rsidRPr="00231020">
        <w:rPr>
          <w:rFonts w:eastAsia="Times New Roman"/>
          <w:szCs w:val="24"/>
          <w:lang w:eastAsia="en-AU"/>
        </w:rPr>
        <w:t xml:space="preserve">, might </w:t>
      </w:r>
      <w:r w:rsidRPr="00231020">
        <w:rPr>
          <w:rFonts w:eastAsia="Times New Roman"/>
          <w:szCs w:val="24"/>
          <w:lang w:eastAsia="en-AU"/>
        </w:rPr>
        <w:lastRenderedPageBreak/>
        <w:t>add to the effective capacity of the unit indirectly (by making fuller use of the boiler), and would be permitted by paragraph (b)</w:t>
      </w:r>
      <w:r w:rsidR="00383A07">
        <w:rPr>
          <w:rFonts w:eastAsia="Times New Roman"/>
          <w:szCs w:val="24"/>
          <w:lang w:eastAsia="en-AU"/>
        </w:rPr>
        <w:t>.</w:t>
      </w:r>
    </w:p>
    <w:p w14:paraId="73ED7FC2" w14:textId="1DAC3269" w:rsidR="00667C09" w:rsidRDefault="005D4BEF" w:rsidP="00E7378F">
      <w:pPr>
        <w:pStyle w:val="tSubpara"/>
        <w:spacing w:before="0" w:after="120" w:line="240" w:lineRule="auto"/>
        <w:ind w:left="0" w:firstLine="0"/>
      </w:pPr>
      <w:r>
        <w:t xml:space="preserve">Subsection 10(5) of the </w:t>
      </w:r>
      <w:r w:rsidR="00231020">
        <w:t xml:space="preserve">method allows a 20 per cent increase in the rated power of the unit as a design contingency. </w:t>
      </w:r>
      <w:r>
        <w:t xml:space="preserve">Subsection 10(8) sets out </w:t>
      </w:r>
      <w:r w:rsidR="00196D6F">
        <w:t xml:space="preserve">that </w:t>
      </w:r>
      <w:r>
        <w:t>t</w:t>
      </w:r>
      <w:r w:rsidR="00667C09">
        <w:t>he rated power means the rated output power of the relevant equipment as specified by the manufacturer or, if the specifications are not known, then the input or output power determined by testing the equipment consistently before and after the upgrade.</w:t>
      </w:r>
      <w:r w:rsidR="00383A07">
        <w:t xml:space="preserve">  </w:t>
      </w:r>
    </w:p>
    <w:p w14:paraId="73ED7FC3" w14:textId="1101FF0F" w:rsidR="00AA1F37" w:rsidRPr="0071335A" w:rsidRDefault="00231020" w:rsidP="00E7378F">
      <w:pPr>
        <w:spacing w:before="0" w:after="120" w:line="240" w:lineRule="auto"/>
        <w:rPr>
          <w:rFonts w:eastAsia="Times New Roman"/>
          <w:color w:val="000000"/>
          <w:lang w:eastAsia="en-AU"/>
        </w:rPr>
      </w:pPr>
      <w:r w:rsidRPr="0071335A">
        <w:rPr>
          <w:rFonts w:eastAsia="Times New Roman"/>
          <w:color w:val="000000"/>
          <w:lang w:eastAsia="en-AU"/>
        </w:rPr>
        <w:t>It is common practice in engineering project design to incorporate a contingency factor in case the required loads have been miscalculated, and to accommodate some future growth. This contingency</w:t>
      </w:r>
      <w:r w:rsidR="00383A07" w:rsidRPr="0071335A">
        <w:rPr>
          <w:rFonts w:eastAsia="Times New Roman"/>
          <w:color w:val="000000"/>
          <w:lang w:eastAsia="en-AU"/>
        </w:rPr>
        <w:t xml:space="preserve"> reflects common engineering practice and is </w:t>
      </w:r>
      <w:r w:rsidR="00196D6F">
        <w:rPr>
          <w:rFonts w:eastAsia="Times New Roman"/>
          <w:color w:val="000000"/>
          <w:lang w:eastAsia="en-AU"/>
        </w:rPr>
        <w:t>typically in the region of 20 </w:t>
      </w:r>
      <w:r w:rsidRPr="0071335A">
        <w:rPr>
          <w:rFonts w:eastAsia="Times New Roman"/>
          <w:color w:val="000000"/>
          <w:lang w:eastAsia="en-AU"/>
        </w:rPr>
        <w:t xml:space="preserve">per cent of the design load. As the method requires baseline and project emissions to be measured at comparable loads that reflect annual output rates, the method verifies the improvement in </w:t>
      </w:r>
      <w:r w:rsidR="00C94F82" w:rsidRPr="0071335A">
        <w:rPr>
          <w:rFonts w:eastAsia="Times New Roman"/>
          <w:color w:val="000000"/>
          <w:lang w:eastAsia="en-AU"/>
        </w:rPr>
        <w:t>efficiency even if equipment capacity moderately increases.</w:t>
      </w:r>
    </w:p>
    <w:p w14:paraId="73ED7FC4" w14:textId="77777777" w:rsidR="002E6339" w:rsidRPr="002E6339" w:rsidRDefault="002E6339" w:rsidP="00E7378F">
      <w:pPr>
        <w:pStyle w:val="tSubpara"/>
        <w:spacing w:before="0" w:after="120" w:line="240" w:lineRule="auto"/>
        <w:ind w:left="0" w:firstLine="0"/>
        <w:jc w:val="left"/>
        <w:rPr>
          <w:i/>
        </w:rPr>
      </w:pPr>
      <w:r w:rsidRPr="002E6339">
        <w:rPr>
          <w:i/>
        </w:rPr>
        <w:t>Excluded vehicles</w:t>
      </w:r>
    </w:p>
    <w:p w14:paraId="73ED7FC5" w14:textId="77777777" w:rsidR="002E6339" w:rsidRDefault="002C36BB" w:rsidP="00E7378F">
      <w:pPr>
        <w:spacing w:before="0" w:after="120" w:line="240" w:lineRule="auto"/>
      </w:pPr>
      <w:r>
        <w:t>Subsection 10(</w:t>
      </w:r>
      <w:r w:rsidR="009F617A">
        <w:t>6</w:t>
      </w:r>
      <w:r>
        <w:t>)</w:t>
      </w:r>
      <w:r w:rsidR="00445273">
        <w:t xml:space="preserve"> excludes from eligible projects any </w:t>
      </w:r>
      <w:r w:rsidR="00C829C8">
        <w:t xml:space="preserve">original or upgraded </w:t>
      </w:r>
      <w:r w:rsidR="00445273">
        <w:t>unit</w:t>
      </w:r>
      <w:r w:rsidR="00C829C8">
        <w:t>s</w:t>
      </w:r>
      <w:r w:rsidR="00445273">
        <w:t xml:space="preserve"> </w:t>
      </w:r>
      <w:r w:rsidR="007E2B1B">
        <w:t>involving upgrades to</w:t>
      </w:r>
      <w:r w:rsidR="00001954">
        <w:t xml:space="preserve"> </w:t>
      </w:r>
      <w:r w:rsidR="00C829C8" w:rsidRPr="007B6D00">
        <w:t xml:space="preserve">a vehicle that could be covered by a land and sea transport project under the </w:t>
      </w:r>
      <w:r w:rsidR="00C829C8" w:rsidRPr="005C4FCC">
        <w:rPr>
          <w:i/>
        </w:rPr>
        <w:t>Carbon Credits (Carbon Farming Initiative—Land and Sea Transport) Me</w:t>
      </w:r>
      <w:r w:rsidR="009404B3" w:rsidRPr="005C4FCC">
        <w:rPr>
          <w:i/>
        </w:rPr>
        <w:t>thodology Determination 2015</w:t>
      </w:r>
      <w:r w:rsidR="007E2B1B">
        <w:rPr>
          <w:i/>
        </w:rPr>
        <w:t>.</w:t>
      </w:r>
    </w:p>
    <w:p w14:paraId="73ED7FC6" w14:textId="23E4B10D" w:rsidR="0071335A" w:rsidRPr="0071335A" w:rsidRDefault="002E6339" w:rsidP="00E7378F">
      <w:pPr>
        <w:spacing w:before="0" w:after="120" w:line="240" w:lineRule="auto"/>
        <w:rPr>
          <w:rFonts w:eastAsia="Times New Roman"/>
          <w:color w:val="000000"/>
          <w:lang w:eastAsia="en-AU"/>
        </w:rPr>
      </w:pPr>
      <w:r w:rsidRPr="0071335A">
        <w:rPr>
          <w:rFonts w:eastAsia="Times New Roman"/>
          <w:color w:val="000000"/>
          <w:lang w:eastAsia="en-AU"/>
        </w:rPr>
        <w:t>Th</w:t>
      </w:r>
      <w:r w:rsidR="007E2B1B" w:rsidRPr="0071335A">
        <w:rPr>
          <w:rFonts w:eastAsia="Times New Roman"/>
          <w:color w:val="000000"/>
          <w:lang w:eastAsia="en-AU"/>
        </w:rPr>
        <w:t>is</w:t>
      </w:r>
      <w:r w:rsidRPr="0071335A">
        <w:rPr>
          <w:rFonts w:eastAsia="Times New Roman"/>
          <w:color w:val="000000"/>
          <w:lang w:eastAsia="en-AU"/>
        </w:rPr>
        <w:t xml:space="preserve"> exclusion appl</w:t>
      </w:r>
      <w:r w:rsidR="007E2B1B" w:rsidRPr="0071335A">
        <w:rPr>
          <w:rFonts w:eastAsia="Times New Roman"/>
          <w:color w:val="000000"/>
          <w:lang w:eastAsia="en-AU"/>
        </w:rPr>
        <w:t>ies</w:t>
      </w:r>
      <w:r w:rsidRPr="0071335A">
        <w:rPr>
          <w:rFonts w:eastAsia="Times New Roman"/>
          <w:color w:val="000000"/>
          <w:lang w:eastAsia="en-AU"/>
        </w:rPr>
        <w:t xml:space="preserve"> because the Determination is intended to be applied to systems that operate at a single site, and is not suited to transport equipment.</w:t>
      </w:r>
    </w:p>
    <w:p w14:paraId="73ED7FC7" w14:textId="77777777" w:rsidR="002E6339" w:rsidRPr="00487E97" w:rsidRDefault="00222454" w:rsidP="00E7378F">
      <w:pPr>
        <w:pStyle w:val="h6Subsec"/>
        <w:spacing w:before="0" w:after="120"/>
        <w:ind w:left="0"/>
        <w:rPr>
          <w:i w:val="0"/>
        </w:rPr>
      </w:pPr>
      <w:r w:rsidRPr="00487E97">
        <w:rPr>
          <w:rFonts w:ascii="Times New Roman" w:hAnsi="Times New Roman"/>
        </w:rPr>
        <w:t>Biomass may be used as an energy source only if it is a RET</w:t>
      </w:r>
      <w:r w:rsidR="002E6339" w:rsidRPr="00487E97">
        <w:rPr>
          <w:i w:val="0"/>
        </w:rPr>
        <w:t xml:space="preserve"> </w:t>
      </w:r>
      <w:r w:rsidR="002E6339" w:rsidRPr="00487E97">
        <w:rPr>
          <w:rFonts w:ascii="Times New Roman" w:hAnsi="Times New Roman"/>
        </w:rPr>
        <w:t>energy source</w:t>
      </w:r>
    </w:p>
    <w:p w14:paraId="73ED7FC8" w14:textId="314691B1" w:rsidR="009E71E3" w:rsidRDefault="009E71E3" w:rsidP="00E7378F">
      <w:pPr>
        <w:shd w:val="clear" w:color="auto" w:fill="FFFFFF"/>
        <w:spacing w:before="0" w:after="120" w:line="240" w:lineRule="auto"/>
        <w:rPr>
          <w:rFonts w:eastAsia="Times New Roman"/>
          <w:szCs w:val="24"/>
          <w:lang w:eastAsia="en-AU"/>
        </w:rPr>
      </w:pPr>
      <w:r w:rsidRPr="009E71E3">
        <w:rPr>
          <w:rFonts w:eastAsia="Times New Roman"/>
          <w:szCs w:val="24"/>
          <w:lang w:eastAsia="en-AU"/>
        </w:rPr>
        <w:t>Paragraph 1</w:t>
      </w:r>
      <w:r w:rsidR="008A2F4D">
        <w:rPr>
          <w:rFonts w:eastAsia="Times New Roman"/>
          <w:szCs w:val="24"/>
          <w:lang w:eastAsia="en-AU"/>
        </w:rPr>
        <w:t>0</w:t>
      </w:r>
      <w:r w:rsidRPr="009E71E3">
        <w:rPr>
          <w:rFonts w:eastAsia="Times New Roman"/>
          <w:szCs w:val="24"/>
          <w:lang w:eastAsia="en-AU"/>
        </w:rPr>
        <w:t>(</w:t>
      </w:r>
      <w:r w:rsidR="00616D7C">
        <w:rPr>
          <w:rFonts w:eastAsia="Times New Roman"/>
          <w:szCs w:val="24"/>
          <w:lang w:eastAsia="en-AU"/>
        </w:rPr>
        <w:t>7</w:t>
      </w:r>
      <w:r w:rsidRPr="009E71E3">
        <w:rPr>
          <w:rFonts w:eastAsia="Times New Roman"/>
          <w:szCs w:val="24"/>
          <w:lang w:eastAsia="en-AU"/>
        </w:rPr>
        <w:t>)(</w:t>
      </w:r>
      <w:r w:rsidR="00F804A2">
        <w:rPr>
          <w:rFonts w:eastAsia="Times New Roman"/>
          <w:szCs w:val="24"/>
          <w:lang w:eastAsia="en-AU"/>
        </w:rPr>
        <w:t>a</w:t>
      </w:r>
      <w:r w:rsidR="00D7736E">
        <w:rPr>
          <w:rFonts w:eastAsia="Times New Roman"/>
          <w:szCs w:val="24"/>
          <w:lang w:eastAsia="en-AU"/>
        </w:rPr>
        <w:t xml:space="preserve">) </w:t>
      </w:r>
      <w:r w:rsidRPr="009E71E3">
        <w:rPr>
          <w:rFonts w:eastAsia="Times New Roman"/>
          <w:szCs w:val="24"/>
          <w:lang w:eastAsia="en-AU"/>
        </w:rPr>
        <w:t xml:space="preserve">excludes activities that directly involve the use of </w:t>
      </w:r>
      <w:r w:rsidRPr="00D15143">
        <w:rPr>
          <w:rFonts w:eastAsia="Times New Roman"/>
          <w:b/>
          <w:i/>
          <w:szCs w:val="24"/>
          <w:lang w:eastAsia="en-AU"/>
        </w:rPr>
        <w:t>biomass</w:t>
      </w:r>
      <w:r w:rsidRPr="009E71E3">
        <w:rPr>
          <w:rFonts w:eastAsia="Times New Roman"/>
          <w:szCs w:val="24"/>
          <w:lang w:eastAsia="en-AU"/>
        </w:rPr>
        <w:t xml:space="preserve"> as an energy source </w:t>
      </w:r>
      <w:r w:rsidR="00222454">
        <w:rPr>
          <w:rFonts w:eastAsia="Times New Roman"/>
          <w:szCs w:val="24"/>
          <w:lang w:eastAsia="en-AU"/>
        </w:rPr>
        <w:t>unless</w:t>
      </w:r>
      <w:r w:rsidRPr="009E71E3">
        <w:rPr>
          <w:rFonts w:eastAsia="Times New Roman"/>
          <w:szCs w:val="24"/>
          <w:lang w:eastAsia="en-AU"/>
        </w:rPr>
        <w:t xml:space="preserve"> the biomass is </w:t>
      </w:r>
      <w:r w:rsidR="00222454">
        <w:rPr>
          <w:rFonts w:eastAsia="Times New Roman"/>
          <w:szCs w:val="24"/>
          <w:lang w:eastAsia="en-AU"/>
        </w:rPr>
        <w:t xml:space="preserve">an eligible renewable energy source </w:t>
      </w:r>
      <w:r w:rsidRPr="009E71E3">
        <w:rPr>
          <w:rFonts w:eastAsia="Times New Roman"/>
          <w:szCs w:val="24"/>
          <w:lang w:eastAsia="en-AU"/>
        </w:rPr>
        <w:t xml:space="preserve">for the purposes of the </w:t>
      </w:r>
      <w:r w:rsidRPr="009E71E3">
        <w:rPr>
          <w:rFonts w:eastAsia="Times New Roman"/>
          <w:i/>
          <w:iCs/>
          <w:szCs w:val="24"/>
          <w:lang w:eastAsia="en-AU"/>
        </w:rPr>
        <w:t>Renewable Energy (Electricity) Act 2000</w:t>
      </w:r>
      <w:r w:rsidR="00487E97">
        <w:rPr>
          <w:rFonts w:eastAsia="Times New Roman"/>
          <w:i/>
          <w:iCs/>
          <w:szCs w:val="24"/>
          <w:lang w:eastAsia="en-AU"/>
        </w:rPr>
        <w:t xml:space="preserve"> </w:t>
      </w:r>
      <w:r w:rsidR="00487E97" w:rsidRPr="00487E97">
        <w:rPr>
          <w:rFonts w:eastAsia="Times New Roman"/>
          <w:iCs/>
          <w:szCs w:val="24"/>
          <w:lang w:eastAsia="en-AU"/>
        </w:rPr>
        <w:t>(</w:t>
      </w:r>
      <w:r w:rsidR="005028E8">
        <w:rPr>
          <w:rFonts w:eastAsia="Times New Roman"/>
          <w:iCs/>
          <w:szCs w:val="24"/>
          <w:lang w:eastAsia="en-AU"/>
        </w:rPr>
        <w:t>defined as</w:t>
      </w:r>
      <w:r w:rsidR="00487E97">
        <w:rPr>
          <w:rFonts w:eastAsia="Times New Roman"/>
          <w:i/>
          <w:iCs/>
          <w:szCs w:val="24"/>
          <w:lang w:eastAsia="en-AU"/>
        </w:rPr>
        <w:t xml:space="preserve"> </w:t>
      </w:r>
      <w:r w:rsidR="00487E97" w:rsidRPr="009E71E3">
        <w:rPr>
          <w:rFonts w:eastAsia="Times New Roman"/>
          <w:szCs w:val="24"/>
          <w:lang w:eastAsia="en-AU"/>
        </w:rPr>
        <w:t>a</w:t>
      </w:r>
      <w:r w:rsidR="00487E97">
        <w:rPr>
          <w:rFonts w:eastAsia="Times New Roman"/>
          <w:szCs w:val="24"/>
          <w:lang w:eastAsia="en-AU"/>
        </w:rPr>
        <w:t xml:space="preserve"> </w:t>
      </w:r>
      <w:r w:rsidR="00487E97" w:rsidRPr="005028E8">
        <w:rPr>
          <w:rFonts w:eastAsia="Times New Roman"/>
          <w:b/>
          <w:i/>
          <w:szCs w:val="24"/>
          <w:lang w:eastAsia="en-AU"/>
        </w:rPr>
        <w:t>RET energy source</w:t>
      </w:r>
      <w:r w:rsidR="00487E97">
        <w:rPr>
          <w:rFonts w:eastAsia="Times New Roman"/>
          <w:szCs w:val="24"/>
          <w:lang w:eastAsia="en-AU"/>
        </w:rPr>
        <w:t>)</w:t>
      </w:r>
      <w:r w:rsidRPr="009E71E3">
        <w:rPr>
          <w:rFonts w:eastAsia="Times New Roman"/>
          <w:szCs w:val="24"/>
          <w:lang w:eastAsia="en-AU"/>
        </w:rPr>
        <w:t xml:space="preserve">. For example, an activity involving changing the fuel source for a furnace from coal to biomass </w:t>
      </w:r>
      <w:r w:rsidR="005028E8">
        <w:rPr>
          <w:rFonts w:eastAsia="Times New Roman"/>
          <w:szCs w:val="24"/>
          <w:lang w:eastAsia="en-AU"/>
        </w:rPr>
        <w:t xml:space="preserve">that is </w:t>
      </w:r>
      <w:r w:rsidR="005028E8" w:rsidRPr="005028E8">
        <w:rPr>
          <w:rFonts w:eastAsia="Times New Roman"/>
          <w:szCs w:val="24"/>
          <w:u w:val="single"/>
          <w:lang w:eastAsia="en-AU"/>
        </w:rPr>
        <w:t>not</w:t>
      </w:r>
      <w:r w:rsidR="005028E8">
        <w:rPr>
          <w:rFonts w:eastAsia="Times New Roman"/>
          <w:szCs w:val="24"/>
          <w:lang w:eastAsia="en-AU"/>
        </w:rPr>
        <w:t xml:space="preserve"> a RET energy source </w:t>
      </w:r>
      <w:r w:rsidRPr="009E71E3">
        <w:rPr>
          <w:rFonts w:eastAsia="Times New Roman"/>
          <w:szCs w:val="24"/>
          <w:lang w:eastAsia="en-AU"/>
        </w:rPr>
        <w:t>is not covered by the</w:t>
      </w:r>
      <w:r w:rsidR="009404B3">
        <w:rPr>
          <w:rFonts w:eastAsia="Times New Roman"/>
          <w:szCs w:val="24"/>
          <w:lang w:eastAsia="en-AU"/>
        </w:rPr>
        <w:t xml:space="preserve"> </w:t>
      </w:r>
      <w:r w:rsidRPr="009E71E3">
        <w:rPr>
          <w:rFonts w:eastAsia="Times New Roman"/>
          <w:szCs w:val="24"/>
          <w:lang w:eastAsia="en-AU"/>
        </w:rPr>
        <w:t>Determination.</w:t>
      </w:r>
    </w:p>
    <w:p w14:paraId="73ED7FC9" w14:textId="77777777" w:rsidR="002F6C43" w:rsidRPr="009E71E3" w:rsidRDefault="002F6C43" w:rsidP="00E7378F">
      <w:pPr>
        <w:shd w:val="clear" w:color="auto" w:fill="FFFFFF"/>
        <w:spacing w:before="0" w:after="120" w:line="240" w:lineRule="auto"/>
        <w:rPr>
          <w:rFonts w:eastAsia="Times New Roman"/>
          <w:szCs w:val="24"/>
          <w:lang w:val="en-US" w:eastAsia="en-AU"/>
        </w:rPr>
      </w:pPr>
      <w:r w:rsidRPr="009E71E3">
        <w:rPr>
          <w:rFonts w:eastAsia="Times New Roman"/>
          <w:szCs w:val="24"/>
          <w:lang w:eastAsia="en-AU"/>
        </w:rPr>
        <w:t xml:space="preserve">Similarly, paragraph </w:t>
      </w:r>
      <w:r>
        <w:t>10(</w:t>
      </w:r>
      <w:r w:rsidR="00616D7C">
        <w:t>7</w:t>
      </w:r>
      <w:r>
        <w:t xml:space="preserve">)(b) </w:t>
      </w:r>
      <w:r w:rsidRPr="009E71E3">
        <w:rPr>
          <w:rFonts w:eastAsia="Times New Roman"/>
          <w:szCs w:val="24"/>
          <w:lang w:eastAsia="en-AU"/>
        </w:rPr>
        <w:t>exclude</w:t>
      </w:r>
      <w:r w:rsidR="005028E8">
        <w:rPr>
          <w:rFonts w:eastAsia="Times New Roman"/>
          <w:szCs w:val="24"/>
          <w:lang w:eastAsia="en-AU"/>
        </w:rPr>
        <w:t>s</w:t>
      </w:r>
      <w:r w:rsidRPr="009E71E3">
        <w:rPr>
          <w:rFonts w:eastAsia="Times New Roman"/>
          <w:szCs w:val="24"/>
          <w:lang w:eastAsia="en-AU"/>
        </w:rPr>
        <w:t xml:space="preserve"> </w:t>
      </w:r>
      <w:r>
        <w:rPr>
          <w:rFonts w:eastAsia="Times New Roman"/>
          <w:szCs w:val="24"/>
          <w:lang w:eastAsia="en-AU"/>
        </w:rPr>
        <w:t>IE units</w:t>
      </w:r>
      <w:r w:rsidRPr="009E71E3">
        <w:rPr>
          <w:rFonts w:eastAsia="Times New Roman"/>
          <w:szCs w:val="24"/>
          <w:lang w:eastAsia="en-AU"/>
        </w:rPr>
        <w:t xml:space="preserve"> </w:t>
      </w:r>
      <w:r>
        <w:rPr>
          <w:rFonts w:eastAsia="Times New Roman"/>
          <w:szCs w:val="24"/>
          <w:lang w:eastAsia="en-AU"/>
        </w:rPr>
        <w:t>for which</w:t>
      </w:r>
      <w:r w:rsidRPr="009E71E3">
        <w:rPr>
          <w:rFonts w:eastAsia="Times New Roman"/>
          <w:szCs w:val="24"/>
          <w:lang w:eastAsia="en-AU"/>
        </w:rPr>
        <w:t xml:space="preserve"> emissions </w:t>
      </w:r>
      <w:r>
        <w:rPr>
          <w:rFonts w:eastAsia="Times New Roman"/>
          <w:szCs w:val="24"/>
          <w:lang w:eastAsia="en-AU"/>
        </w:rPr>
        <w:t xml:space="preserve">would be </w:t>
      </w:r>
      <w:r w:rsidRPr="009E71E3">
        <w:rPr>
          <w:rFonts w:eastAsia="Times New Roman"/>
          <w:szCs w:val="24"/>
          <w:lang w:eastAsia="en-AU"/>
        </w:rPr>
        <w:t>reduce</w:t>
      </w:r>
      <w:r>
        <w:rPr>
          <w:rFonts w:eastAsia="Times New Roman"/>
          <w:szCs w:val="24"/>
          <w:lang w:eastAsia="en-AU"/>
        </w:rPr>
        <w:t>d</w:t>
      </w:r>
      <w:r w:rsidRPr="009E71E3">
        <w:rPr>
          <w:rFonts w:eastAsia="Times New Roman"/>
          <w:szCs w:val="24"/>
          <w:lang w:eastAsia="en-AU"/>
        </w:rPr>
        <w:t xml:space="preserve"> by moving from, for example, a gas-generated heat source to the capture and utilisation of waste heat from a device that consumes </w:t>
      </w:r>
      <w:r w:rsidR="00222454" w:rsidRPr="009E71E3">
        <w:rPr>
          <w:rFonts w:eastAsia="Times New Roman"/>
          <w:szCs w:val="24"/>
          <w:lang w:eastAsia="en-AU"/>
        </w:rPr>
        <w:t xml:space="preserve">biomass </w:t>
      </w:r>
      <w:r w:rsidR="00222454">
        <w:rPr>
          <w:rFonts w:eastAsia="Times New Roman"/>
          <w:szCs w:val="24"/>
          <w:lang w:eastAsia="en-AU"/>
        </w:rPr>
        <w:t xml:space="preserve">that is </w:t>
      </w:r>
      <w:r w:rsidR="005028E8">
        <w:rPr>
          <w:rFonts w:eastAsia="Times New Roman"/>
          <w:szCs w:val="24"/>
          <w:lang w:eastAsia="en-AU"/>
        </w:rPr>
        <w:t xml:space="preserve">not </w:t>
      </w:r>
      <w:r w:rsidR="00CC4C9D">
        <w:rPr>
          <w:rFonts w:eastAsia="Times New Roman"/>
          <w:szCs w:val="24"/>
          <w:lang w:eastAsia="en-AU"/>
        </w:rPr>
        <w:t xml:space="preserve">classified as </w:t>
      </w:r>
      <w:r w:rsidR="00222454">
        <w:rPr>
          <w:rFonts w:eastAsia="Times New Roman"/>
          <w:szCs w:val="24"/>
          <w:lang w:eastAsia="en-AU"/>
        </w:rPr>
        <w:t xml:space="preserve">a </w:t>
      </w:r>
      <w:r w:rsidRPr="009E71E3">
        <w:rPr>
          <w:rFonts w:eastAsia="Times New Roman"/>
          <w:szCs w:val="24"/>
          <w:lang w:eastAsia="en-AU"/>
        </w:rPr>
        <w:t>RET</w:t>
      </w:r>
      <w:r w:rsidR="00222454">
        <w:rPr>
          <w:rFonts w:eastAsia="Times New Roman"/>
          <w:szCs w:val="24"/>
          <w:lang w:eastAsia="en-AU"/>
        </w:rPr>
        <w:t xml:space="preserve"> energy source</w:t>
      </w:r>
      <w:r w:rsidRPr="009E71E3">
        <w:rPr>
          <w:rFonts w:eastAsia="Times New Roman"/>
          <w:szCs w:val="24"/>
          <w:lang w:eastAsia="en-AU"/>
        </w:rPr>
        <w:t xml:space="preserve">. </w:t>
      </w:r>
    </w:p>
    <w:p w14:paraId="73ED7FCA" w14:textId="0758B1C4" w:rsidR="002F6C43" w:rsidRPr="009E71E3" w:rsidRDefault="002F6C43" w:rsidP="00E7378F">
      <w:pPr>
        <w:shd w:val="clear" w:color="auto" w:fill="FFFFFF"/>
        <w:spacing w:before="0" w:after="120" w:line="240" w:lineRule="auto"/>
        <w:rPr>
          <w:rFonts w:eastAsia="Times New Roman"/>
          <w:szCs w:val="24"/>
          <w:lang w:val="en-US" w:eastAsia="en-AU"/>
        </w:rPr>
      </w:pPr>
      <w:r>
        <w:t xml:space="preserve">Subparagraph </w:t>
      </w:r>
      <w:r w:rsidRPr="009E71E3">
        <w:rPr>
          <w:rFonts w:eastAsia="Times New Roman"/>
          <w:szCs w:val="24"/>
          <w:lang w:eastAsia="en-AU"/>
        </w:rPr>
        <w:t>1</w:t>
      </w:r>
      <w:r>
        <w:rPr>
          <w:rFonts w:eastAsia="Times New Roman"/>
          <w:szCs w:val="24"/>
          <w:lang w:eastAsia="en-AU"/>
        </w:rPr>
        <w:t>0</w:t>
      </w:r>
      <w:r w:rsidRPr="009E71E3">
        <w:rPr>
          <w:rFonts w:eastAsia="Times New Roman"/>
          <w:szCs w:val="24"/>
          <w:lang w:eastAsia="en-AU"/>
        </w:rPr>
        <w:t>(</w:t>
      </w:r>
      <w:r w:rsidR="00616D7C">
        <w:rPr>
          <w:rFonts w:eastAsia="Times New Roman"/>
          <w:szCs w:val="24"/>
          <w:lang w:eastAsia="en-AU"/>
        </w:rPr>
        <w:t>7</w:t>
      </w:r>
      <w:r w:rsidRPr="009E71E3">
        <w:rPr>
          <w:rFonts w:eastAsia="Times New Roman"/>
          <w:szCs w:val="24"/>
          <w:lang w:eastAsia="en-AU"/>
        </w:rPr>
        <w:t>)(</w:t>
      </w:r>
      <w:r>
        <w:rPr>
          <w:rFonts w:eastAsia="Times New Roman"/>
          <w:szCs w:val="24"/>
          <w:lang w:eastAsia="en-AU"/>
        </w:rPr>
        <w:t>c</w:t>
      </w:r>
      <w:r w:rsidRPr="009E71E3">
        <w:rPr>
          <w:rFonts w:eastAsia="Times New Roman"/>
          <w:szCs w:val="24"/>
          <w:lang w:eastAsia="en-AU"/>
        </w:rPr>
        <w:t>)</w:t>
      </w:r>
      <w:r>
        <w:rPr>
          <w:rFonts w:eastAsia="Times New Roman"/>
          <w:szCs w:val="24"/>
          <w:lang w:eastAsia="en-AU"/>
        </w:rPr>
        <w:t>(i)</w:t>
      </w:r>
      <w:r w:rsidRPr="009E71E3">
        <w:rPr>
          <w:rFonts w:eastAsia="Times New Roman"/>
          <w:szCs w:val="24"/>
          <w:lang w:eastAsia="en-AU"/>
        </w:rPr>
        <w:t xml:space="preserve"> </w:t>
      </w:r>
      <w:r>
        <w:t>excludes activities that relate to</w:t>
      </w:r>
      <w:r>
        <w:rPr>
          <w:b/>
          <w:bCs/>
          <w:i/>
          <w:iCs/>
        </w:rPr>
        <w:t xml:space="preserve"> </w:t>
      </w:r>
      <w:r w:rsidRPr="002F6C43">
        <w:rPr>
          <w:bCs/>
          <w:iCs/>
        </w:rPr>
        <w:t>energy-consuming equipment</w:t>
      </w:r>
      <w:r>
        <w:t xml:space="preserve"> if the equipment utilises, as an energy source, a form of biomass that is not </w:t>
      </w:r>
      <w:r w:rsidR="001A791C">
        <w:t>a RET</w:t>
      </w:r>
      <w:r w:rsidR="00222454">
        <w:t xml:space="preserve"> energy source</w:t>
      </w:r>
      <w:r>
        <w:t xml:space="preserve">. For example, an activity that improves the efficiency of a furnace or boiler fuelled by </w:t>
      </w:r>
      <w:r w:rsidR="00222454">
        <w:t xml:space="preserve">biomass that is </w:t>
      </w:r>
      <w:r w:rsidR="00CC4C9D">
        <w:t xml:space="preserve">not </w:t>
      </w:r>
      <w:r w:rsidR="00222454">
        <w:t xml:space="preserve">a </w:t>
      </w:r>
      <w:r>
        <w:t>RET</w:t>
      </w:r>
      <w:r w:rsidR="00222454">
        <w:t xml:space="preserve"> energy source</w:t>
      </w:r>
      <w:r>
        <w:t xml:space="preserve"> </w:t>
      </w:r>
      <w:r w:rsidR="000B09E3">
        <w:t>is not</w:t>
      </w:r>
      <w:r>
        <w:t xml:space="preserve"> an eligible activity under the</w:t>
      </w:r>
      <w:r w:rsidR="00707660">
        <w:t xml:space="preserve"> </w:t>
      </w:r>
      <w:r>
        <w:t>Determination.</w:t>
      </w:r>
    </w:p>
    <w:p w14:paraId="73ED7FCB" w14:textId="77777777" w:rsidR="009E71E3" w:rsidRPr="009E71E3" w:rsidRDefault="007F5F1D" w:rsidP="00E7378F">
      <w:pPr>
        <w:shd w:val="clear" w:color="auto" w:fill="FFFFFF"/>
        <w:spacing w:before="0" w:after="120" w:line="240" w:lineRule="auto"/>
        <w:rPr>
          <w:rFonts w:eastAsia="Times New Roman"/>
          <w:szCs w:val="24"/>
          <w:lang w:val="en-US" w:eastAsia="en-AU"/>
        </w:rPr>
      </w:pPr>
      <w:r>
        <w:rPr>
          <w:rFonts w:eastAsia="Times New Roman"/>
          <w:szCs w:val="24"/>
          <w:lang w:eastAsia="en-AU"/>
        </w:rPr>
        <w:t>Subp</w:t>
      </w:r>
      <w:r w:rsidR="009E71E3" w:rsidRPr="009E71E3">
        <w:rPr>
          <w:rFonts w:eastAsia="Times New Roman"/>
          <w:szCs w:val="24"/>
          <w:lang w:eastAsia="en-AU"/>
        </w:rPr>
        <w:t>aragraph</w:t>
      </w:r>
      <w:r w:rsidR="002F6C43">
        <w:rPr>
          <w:rFonts w:eastAsia="Times New Roman"/>
          <w:szCs w:val="24"/>
          <w:lang w:eastAsia="en-AU"/>
        </w:rPr>
        <w:t xml:space="preserve"> </w:t>
      </w:r>
      <w:r w:rsidR="009E71E3" w:rsidRPr="009E71E3">
        <w:rPr>
          <w:rFonts w:eastAsia="Times New Roman"/>
          <w:szCs w:val="24"/>
          <w:lang w:eastAsia="en-AU"/>
        </w:rPr>
        <w:t>1</w:t>
      </w:r>
      <w:r w:rsidR="00D7736E">
        <w:rPr>
          <w:rFonts w:eastAsia="Times New Roman"/>
          <w:szCs w:val="24"/>
          <w:lang w:eastAsia="en-AU"/>
        </w:rPr>
        <w:t>0</w:t>
      </w:r>
      <w:r w:rsidR="009E71E3" w:rsidRPr="009E71E3">
        <w:rPr>
          <w:rFonts w:eastAsia="Times New Roman"/>
          <w:szCs w:val="24"/>
          <w:lang w:eastAsia="en-AU"/>
        </w:rPr>
        <w:t>(</w:t>
      </w:r>
      <w:r w:rsidR="00616D7C">
        <w:rPr>
          <w:rFonts w:eastAsia="Times New Roman"/>
          <w:szCs w:val="24"/>
          <w:lang w:eastAsia="en-AU"/>
        </w:rPr>
        <w:t>7</w:t>
      </w:r>
      <w:r w:rsidR="009E71E3" w:rsidRPr="009E71E3">
        <w:rPr>
          <w:rFonts w:eastAsia="Times New Roman"/>
          <w:szCs w:val="24"/>
          <w:lang w:eastAsia="en-AU"/>
        </w:rPr>
        <w:t>)(</w:t>
      </w:r>
      <w:r w:rsidR="00E921D9">
        <w:rPr>
          <w:rFonts w:eastAsia="Times New Roman"/>
          <w:szCs w:val="24"/>
          <w:lang w:eastAsia="en-AU"/>
        </w:rPr>
        <w:t>c</w:t>
      </w:r>
      <w:r w:rsidR="009E71E3" w:rsidRPr="009E71E3">
        <w:rPr>
          <w:rFonts w:eastAsia="Times New Roman"/>
          <w:szCs w:val="24"/>
          <w:lang w:eastAsia="en-AU"/>
        </w:rPr>
        <w:t>)</w:t>
      </w:r>
      <w:r w:rsidR="00E921D9">
        <w:rPr>
          <w:rFonts w:eastAsia="Times New Roman"/>
          <w:szCs w:val="24"/>
          <w:lang w:eastAsia="en-AU"/>
        </w:rPr>
        <w:t>(ii)</w:t>
      </w:r>
      <w:r w:rsidR="009E71E3" w:rsidRPr="009E71E3">
        <w:rPr>
          <w:rFonts w:eastAsia="Times New Roman"/>
          <w:szCs w:val="24"/>
          <w:lang w:eastAsia="en-AU"/>
        </w:rPr>
        <w:t xml:space="preserve"> excludes activities that relate to the use of off-grid electricity, heat, steam or cooling that is produced using biomass that is not </w:t>
      </w:r>
      <w:r w:rsidR="00CC4C9D">
        <w:rPr>
          <w:rFonts w:eastAsia="Times New Roman"/>
          <w:szCs w:val="24"/>
          <w:lang w:eastAsia="en-AU"/>
        </w:rPr>
        <w:t xml:space="preserve">a </w:t>
      </w:r>
      <w:r w:rsidR="00CC4C9D" w:rsidRPr="009E71E3">
        <w:rPr>
          <w:rFonts w:eastAsia="Times New Roman"/>
          <w:szCs w:val="24"/>
          <w:lang w:eastAsia="en-AU"/>
        </w:rPr>
        <w:t>RET</w:t>
      </w:r>
      <w:r w:rsidR="00CC4C9D">
        <w:rPr>
          <w:rFonts w:eastAsia="Times New Roman"/>
          <w:szCs w:val="24"/>
          <w:lang w:eastAsia="en-AU"/>
        </w:rPr>
        <w:t xml:space="preserve"> energy source</w:t>
      </w:r>
      <w:r w:rsidR="009E71E3" w:rsidRPr="009E71E3">
        <w:rPr>
          <w:rFonts w:eastAsia="Times New Roman"/>
          <w:szCs w:val="24"/>
          <w:lang w:eastAsia="en-AU"/>
        </w:rPr>
        <w:t xml:space="preserve">. </w:t>
      </w:r>
      <w:r w:rsidR="00E921D9">
        <w:rPr>
          <w:rFonts w:eastAsia="Times New Roman"/>
          <w:szCs w:val="24"/>
          <w:lang w:eastAsia="en-AU"/>
        </w:rPr>
        <w:t>This paragraph also</w:t>
      </w:r>
      <w:r w:rsidR="009E71E3" w:rsidRPr="009E71E3">
        <w:rPr>
          <w:rFonts w:eastAsia="Times New Roman"/>
          <w:szCs w:val="24"/>
          <w:lang w:eastAsia="en-AU"/>
        </w:rPr>
        <w:t xml:space="preserve"> excludes</w:t>
      </w:r>
      <w:r w:rsidR="00D7736E">
        <w:rPr>
          <w:rFonts w:eastAsia="Times New Roman"/>
          <w:szCs w:val="24"/>
          <w:lang w:eastAsia="en-AU"/>
        </w:rPr>
        <w:t xml:space="preserve"> IE units </w:t>
      </w:r>
      <w:r w:rsidR="00D7736E" w:rsidRPr="00E921D9">
        <w:rPr>
          <w:rFonts w:eastAsia="Times New Roman"/>
          <w:bCs/>
          <w:iCs/>
          <w:szCs w:val="24"/>
          <w:lang w:eastAsia="en-AU"/>
        </w:rPr>
        <w:t>for</w:t>
      </w:r>
      <w:r w:rsidR="009E71E3" w:rsidRPr="00E921D9">
        <w:rPr>
          <w:rFonts w:eastAsia="Times New Roman"/>
          <w:szCs w:val="24"/>
          <w:lang w:eastAsia="en-AU"/>
        </w:rPr>
        <w:t xml:space="preserve"> </w:t>
      </w:r>
      <w:r w:rsidR="009E71E3" w:rsidRPr="009E71E3">
        <w:rPr>
          <w:rFonts w:eastAsia="Times New Roman"/>
          <w:szCs w:val="24"/>
          <w:lang w:eastAsia="en-AU"/>
        </w:rPr>
        <w:t xml:space="preserve">which crediting </w:t>
      </w:r>
      <w:r w:rsidR="00E921D9">
        <w:rPr>
          <w:rFonts w:eastAsia="Times New Roman"/>
          <w:szCs w:val="24"/>
          <w:lang w:eastAsia="en-AU"/>
        </w:rPr>
        <w:t>is</w:t>
      </w:r>
      <w:r w:rsidR="009E71E3" w:rsidRPr="009E71E3">
        <w:rPr>
          <w:rFonts w:eastAsia="Times New Roman"/>
          <w:szCs w:val="24"/>
          <w:lang w:eastAsia="en-AU"/>
        </w:rPr>
        <w:t xml:space="preserve"> sought for a reduction in emissions </w:t>
      </w:r>
      <w:r w:rsidR="00E921D9">
        <w:rPr>
          <w:rFonts w:eastAsia="Times New Roman"/>
          <w:szCs w:val="24"/>
          <w:lang w:eastAsia="en-AU"/>
        </w:rPr>
        <w:t>derived from</w:t>
      </w:r>
      <w:r w:rsidR="009E71E3" w:rsidRPr="009E71E3">
        <w:rPr>
          <w:rFonts w:eastAsia="Times New Roman"/>
          <w:szCs w:val="24"/>
          <w:lang w:eastAsia="en-AU"/>
        </w:rPr>
        <w:t xml:space="preserve"> switching from electricity, heat, steam or cooling that is generated from one source, to off-grid electricity, heat, steam or cooling that is generated from </w:t>
      </w:r>
      <w:r w:rsidR="00CC4C9D" w:rsidRPr="009E71E3">
        <w:rPr>
          <w:rFonts w:eastAsia="Times New Roman"/>
          <w:szCs w:val="24"/>
          <w:lang w:eastAsia="en-AU"/>
        </w:rPr>
        <w:t xml:space="preserve">biomass that is not </w:t>
      </w:r>
      <w:r w:rsidR="00CC4C9D">
        <w:rPr>
          <w:rFonts w:eastAsia="Times New Roman"/>
          <w:szCs w:val="24"/>
          <w:lang w:eastAsia="en-AU"/>
        </w:rPr>
        <w:t xml:space="preserve">a </w:t>
      </w:r>
      <w:r w:rsidR="00CC4C9D" w:rsidRPr="009E71E3">
        <w:rPr>
          <w:rFonts w:eastAsia="Times New Roman"/>
          <w:szCs w:val="24"/>
          <w:lang w:eastAsia="en-AU"/>
        </w:rPr>
        <w:t>RET</w:t>
      </w:r>
      <w:r w:rsidR="00CC4C9D">
        <w:rPr>
          <w:rFonts w:eastAsia="Times New Roman"/>
          <w:szCs w:val="24"/>
          <w:lang w:eastAsia="en-AU"/>
        </w:rPr>
        <w:t xml:space="preserve"> energy source</w:t>
      </w:r>
      <w:r w:rsidR="009E71E3" w:rsidRPr="009E71E3">
        <w:rPr>
          <w:rFonts w:eastAsia="Times New Roman"/>
          <w:szCs w:val="24"/>
          <w:lang w:eastAsia="en-AU"/>
        </w:rPr>
        <w:t xml:space="preserve">. For example, a project proponent could not establish an activity that involves switching from </w:t>
      </w:r>
      <w:r w:rsidR="001A791C">
        <w:rPr>
          <w:rFonts w:eastAsia="Times New Roman"/>
          <w:szCs w:val="24"/>
          <w:lang w:eastAsia="en-AU"/>
        </w:rPr>
        <w:t>natural gas</w:t>
      </w:r>
      <w:r w:rsidR="009E71E3" w:rsidRPr="009E71E3">
        <w:rPr>
          <w:rFonts w:eastAsia="Times New Roman"/>
          <w:szCs w:val="24"/>
          <w:lang w:eastAsia="en-AU"/>
        </w:rPr>
        <w:t xml:space="preserve"> to </w:t>
      </w:r>
      <w:r w:rsidR="00222454" w:rsidRPr="009E71E3">
        <w:rPr>
          <w:rFonts w:eastAsia="Times New Roman"/>
          <w:szCs w:val="24"/>
          <w:lang w:eastAsia="en-AU"/>
        </w:rPr>
        <w:t xml:space="preserve">biomass </w:t>
      </w:r>
      <w:r w:rsidR="00222454">
        <w:rPr>
          <w:rFonts w:eastAsia="Times New Roman"/>
          <w:szCs w:val="24"/>
          <w:lang w:eastAsia="en-AU"/>
        </w:rPr>
        <w:t xml:space="preserve">that is </w:t>
      </w:r>
      <w:r w:rsidR="00E83359">
        <w:rPr>
          <w:rFonts w:eastAsia="Times New Roman"/>
          <w:szCs w:val="24"/>
          <w:lang w:eastAsia="en-AU"/>
        </w:rPr>
        <w:t xml:space="preserve">not </w:t>
      </w:r>
      <w:r w:rsidR="00222454">
        <w:rPr>
          <w:rFonts w:eastAsia="Times New Roman"/>
          <w:szCs w:val="24"/>
          <w:lang w:eastAsia="en-AU"/>
        </w:rPr>
        <w:t xml:space="preserve">a </w:t>
      </w:r>
      <w:r w:rsidR="009E71E3" w:rsidRPr="009E71E3">
        <w:rPr>
          <w:rFonts w:eastAsia="Times New Roman"/>
          <w:szCs w:val="24"/>
          <w:lang w:eastAsia="en-AU"/>
        </w:rPr>
        <w:t>RET</w:t>
      </w:r>
      <w:r w:rsidR="00222454">
        <w:rPr>
          <w:rFonts w:eastAsia="Times New Roman"/>
          <w:szCs w:val="24"/>
          <w:lang w:eastAsia="en-AU"/>
        </w:rPr>
        <w:t xml:space="preserve"> energy source</w:t>
      </w:r>
      <w:r w:rsidR="009E71E3" w:rsidRPr="009E71E3">
        <w:rPr>
          <w:rFonts w:eastAsia="Times New Roman"/>
          <w:szCs w:val="24"/>
          <w:lang w:eastAsia="en-AU"/>
        </w:rPr>
        <w:t xml:space="preserve">. </w:t>
      </w:r>
    </w:p>
    <w:p w14:paraId="73ED7FCC" w14:textId="08D84BF4" w:rsidR="009E71E3" w:rsidRPr="009E71E3" w:rsidRDefault="009E71E3" w:rsidP="00E7378F">
      <w:pPr>
        <w:shd w:val="clear" w:color="auto" w:fill="FFFFFF"/>
        <w:spacing w:before="0" w:after="120" w:line="240" w:lineRule="auto"/>
        <w:rPr>
          <w:rFonts w:eastAsia="Times New Roman"/>
          <w:szCs w:val="24"/>
          <w:lang w:val="en-US" w:eastAsia="en-AU"/>
        </w:rPr>
      </w:pPr>
      <w:r w:rsidRPr="009E71E3">
        <w:rPr>
          <w:rFonts w:eastAsia="Times New Roman"/>
          <w:szCs w:val="24"/>
          <w:lang w:eastAsia="en-AU"/>
        </w:rPr>
        <w:t>In this</w:t>
      </w:r>
      <w:r w:rsidR="00320F1D">
        <w:rPr>
          <w:rFonts w:eastAsia="Times New Roman"/>
          <w:szCs w:val="24"/>
          <w:lang w:eastAsia="en-AU"/>
        </w:rPr>
        <w:t xml:space="preserve"> Determin</w:t>
      </w:r>
      <w:r w:rsidRPr="009E71E3">
        <w:rPr>
          <w:rFonts w:eastAsia="Times New Roman"/>
          <w:szCs w:val="24"/>
          <w:lang w:eastAsia="en-AU"/>
        </w:rPr>
        <w:t xml:space="preserve">ation, off-grid electricity means the supply of electricity through a dedicated power line as opposed to the supply of electricity through an interconnected network of generators that are governed by the ordinary market arrangements of the major grids. Off-grid electricity is intended to cover electricity sourced directly from a generator even if there are </w:t>
      </w:r>
      <w:r w:rsidRPr="009E71E3">
        <w:rPr>
          <w:rFonts w:eastAsia="Times New Roman"/>
          <w:szCs w:val="24"/>
          <w:lang w:eastAsia="en-AU"/>
        </w:rPr>
        <w:lastRenderedPageBreak/>
        <w:t xml:space="preserve">other users of the electricity. For example, electricity would be considered off-grid electricity if it were produced at the site of the implementation or at a nearby site. </w:t>
      </w:r>
    </w:p>
    <w:p w14:paraId="73ED7FCD" w14:textId="610A7589" w:rsidR="005D4BEF" w:rsidRPr="0071335A" w:rsidRDefault="00320F1D" w:rsidP="00E7378F">
      <w:pPr>
        <w:shd w:val="clear" w:color="auto" w:fill="FFFFFF"/>
        <w:spacing w:before="0" w:after="240" w:line="240" w:lineRule="auto"/>
        <w:rPr>
          <w:rFonts w:eastAsia="Times New Roman"/>
          <w:szCs w:val="24"/>
          <w:lang w:eastAsia="en-AU"/>
        </w:rPr>
      </w:pPr>
      <w:r>
        <w:rPr>
          <w:rFonts w:eastAsia="Times New Roman"/>
          <w:szCs w:val="24"/>
          <w:lang w:eastAsia="en-AU"/>
        </w:rPr>
        <w:t xml:space="preserve">The exclusions in </w:t>
      </w:r>
      <w:r w:rsidR="00F9320E">
        <w:rPr>
          <w:rFonts w:eastAsia="Times New Roman"/>
          <w:szCs w:val="24"/>
          <w:lang w:eastAsia="en-AU"/>
        </w:rPr>
        <w:t>subsection</w:t>
      </w:r>
      <w:r>
        <w:rPr>
          <w:rFonts w:eastAsia="Times New Roman"/>
          <w:szCs w:val="24"/>
          <w:lang w:eastAsia="en-AU"/>
        </w:rPr>
        <w:t xml:space="preserve"> 10(</w:t>
      </w:r>
      <w:r w:rsidR="00463FA0">
        <w:rPr>
          <w:rFonts w:eastAsia="Times New Roman"/>
          <w:szCs w:val="24"/>
          <w:lang w:eastAsia="en-AU"/>
        </w:rPr>
        <w:t>8</w:t>
      </w:r>
      <w:r>
        <w:rPr>
          <w:rFonts w:eastAsia="Times New Roman"/>
          <w:szCs w:val="24"/>
          <w:lang w:eastAsia="en-AU"/>
        </w:rPr>
        <w:t>)</w:t>
      </w:r>
      <w:r w:rsidRPr="009E71E3">
        <w:rPr>
          <w:rFonts w:eastAsia="Times New Roman"/>
          <w:szCs w:val="24"/>
          <w:lang w:eastAsia="en-AU"/>
        </w:rPr>
        <w:t xml:space="preserve"> align the</w:t>
      </w:r>
      <w:r>
        <w:rPr>
          <w:rFonts w:eastAsia="Times New Roman"/>
          <w:szCs w:val="24"/>
          <w:lang w:eastAsia="en-AU"/>
        </w:rPr>
        <w:t xml:space="preserve"> </w:t>
      </w:r>
      <w:r w:rsidRPr="009E71E3">
        <w:rPr>
          <w:rFonts w:eastAsia="Times New Roman"/>
          <w:szCs w:val="24"/>
          <w:lang w:eastAsia="en-AU"/>
        </w:rPr>
        <w:t>Determination’s coverage of biomass with the R</w:t>
      </w:r>
      <w:r>
        <w:rPr>
          <w:rFonts w:eastAsia="Times New Roman"/>
          <w:szCs w:val="24"/>
          <w:lang w:eastAsia="en-AU"/>
        </w:rPr>
        <w:t xml:space="preserve">enewable </w:t>
      </w:r>
      <w:r w:rsidRPr="009E71E3">
        <w:rPr>
          <w:rFonts w:eastAsia="Times New Roman"/>
          <w:szCs w:val="24"/>
          <w:lang w:eastAsia="en-AU"/>
        </w:rPr>
        <w:t>E</w:t>
      </w:r>
      <w:r>
        <w:rPr>
          <w:rFonts w:eastAsia="Times New Roman"/>
          <w:szCs w:val="24"/>
          <w:lang w:eastAsia="en-AU"/>
        </w:rPr>
        <w:t xml:space="preserve">nergy </w:t>
      </w:r>
      <w:r w:rsidRPr="009E71E3">
        <w:rPr>
          <w:rFonts w:eastAsia="Times New Roman"/>
          <w:szCs w:val="24"/>
          <w:lang w:eastAsia="en-AU"/>
        </w:rPr>
        <w:t>T</w:t>
      </w:r>
      <w:r>
        <w:rPr>
          <w:rFonts w:eastAsia="Times New Roman"/>
          <w:szCs w:val="24"/>
          <w:lang w:eastAsia="en-AU"/>
        </w:rPr>
        <w:t>arget (RET)</w:t>
      </w:r>
      <w:r w:rsidRPr="009E71E3">
        <w:rPr>
          <w:rFonts w:eastAsia="Times New Roman"/>
          <w:szCs w:val="24"/>
          <w:lang w:eastAsia="en-AU"/>
        </w:rPr>
        <w:t xml:space="preserve"> scheme. The RET scheme covers a number of forms of biomass, and applies several tests and constraints to limit the risk of adverse impacts in relation to their use.</w:t>
      </w:r>
    </w:p>
    <w:p w14:paraId="73ED7FCE" w14:textId="77777777" w:rsidR="00F85275" w:rsidRDefault="00F85275" w:rsidP="00E7378F">
      <w:pPr>
        <w:pStyle w:val="ESA4Section"/>
        <w:spacing w:before="0" w:after="120"/>
      </w:pPr>
      <w:r w:rsidRPr="00414299">
        <w:t xml:space="preserve">11 </w:t>
      </w:r>
      <w:r w:rsidR="00414299">
        <w:tab/>
        <w:t xml:space="preserve">IE </w:t>
      </w:r>
      <w:r w:rsidRPr="00414299">
        <w:t>unit must include all equipment within an energy boundary</w:t>
      </w:r>
    </w:p>
    <w:p w14:paraId="73ED7FCF" w14:textId="77777777" w:rsidR="00896D90" w:rsidRDefault="00C54429" w:rsidP="00E7378F">
      <w:pPr>
        <w:pStyle w:val="tMain"/>
        <w:tabs>
          <w:tab w:val="clear" w:pos="794"/>
          <w:tab w:val="right" w:pos="-1843"/>
        </w:tabs>
        <w:spacing w:before="0" w:after="120"/>
        <w:ind w:left="0" w:firstLine="0"/>
        <w:jc w:val="left"/>
      </w:pPr>
      <w:r w:rsidRPr="0079630E">
        <w:t xml:space="preserve">Section 11 </w:t>
      </w:r>
      <w:r w:rsidR="002E22DB" w:rsidRPr="0079630E">
        <w:t xml:space="preserve">sets out the </w:t>
      </w:r>
      <w:r w:rsidRPr="0079630E">
        <w:t>require</w:t>
      </w:r>
      <w:r w:rsidR="002E22DB" w:rsidRPr="0079630E">
        <w:t>ment</w:t>
      </w:r>
      <w:r w:rsidR="00320F1D" w:rsidRPr="0079630E">
        <w:t>s for defin</w:t>
      </w:r>
      <w:r w:rsidR="007F5F1D">
        <w:t>ing</w:t>
      </w:r>
      <w:r w:rsidR="002E22DB" w:rsidRPr="0079630E">
        <w:t xml:space="preserve"> an energy boundary </w:t>
      </w:r>
      <w:r w:rsidR="00596198">
        <w:t>for an IE</w:t>
      </w:r>
      <w:r w:rsidR="00320F1D" w:rsidRPr="0079630E">
        <w:t xml:space="preserve"> unit</w:t>
      </w:r>
      <w:r w:rsidR="00D069C8" w:rsidRPr="0079630E">
        <w:t>.</w:t>
      </w:r>
      <w:r w:rsidR="001F2134">
        <w:t xml:space="preserve"> </w:t>
      </w:r>
      <w:r w:rsidR="00D069C8">
        <w:t>Also known as a ‘measurement boundary’, the</w:t>
      </w:r>
      <w:r w:rsidR="001F2134">
        <w:t xml:space="preserve"> energy boundary is a theoretical boundary or limit arou</w:t>
      </w:r>
      <w:r w:rsidR="00CB1542">
        <w:t xml:space="preserve">nd the IE unit. </w:t>
      </w:r>
    </w:p>
    <w:p w14:paraId="73ED7FD0" w14:textId="77777777" w:rsidR="009D2D17" w:rsidRDefault="00896D90" w:rsidP="00E7378F">
      <w:pPr>
        <w:pStyle w:val="tMain"/>
        <w:tabs>
          <w:tab w:val="clear" w:pos="794"/>
          <w:tab w:val="right" w:pos="-1843"/>
        </w:tabs>
        <w:spacing w:before="0" w:after="120"/>
        <w:ind w:left="0" w:firstLine="0"/>
        <w:jc w:val="left"/>
      </w:pPr>
      <w:r>
        <w:t>Subsection 11(1) sets out that the energy boundary requirements apply to both the original and the upgraded units. Subsections 11(2) and 11(3) set out what must be included in an energy boundary</w:t>
      </w:r>
      <w:r w:rsidRPr="00896D90">
        <w:t xml:space="preserve"> </w:t>
      </w:r>
      <w:r>
        <w:t>to ensure that all energy flows that materially affect the energy consumption of the equipment related to the project activities are included in abatement calculations.</w:t>
      </w:r>
      <w:r w:rsidR="00C65138">
        <w:t xml:space="preserve"> The effect of subsection 11(3) is </w:t>
      </w:r>
      <w:r w:rsidR="003F4A3D">
        <w:t>to include any equipment that could affect the abatement from the project activities, whether or not it is upgraded. For example, a grinding circuit upgrade may need to include the prior crushing process if the inputs from the crushing process vary enough to affect grinding circuit emissions.</w:t>
      </w:r>
    </w:p>
    <w:p w14:paraId="73ED7FD1" w14:textId="2983CDB2" w:rsidR="00093151" w:rsidRDefault="00A01E20" w:rsidP="00E7378F">
      <w:pPr>
        <w:pStyle w:val="tMain"/>
        <w:tabs>
          <w:tab w:val="clear" w:pos="794"/>
          <w:tab w:val="right" w:pos="-1843"/>
        </w:tabs>
        <w:spacing w:before="0" w:after="120"/>
        <w:ind w:left="0" w:firstLine="0"/>
        <w:jc w:val="left"/>
      </w:pPr>
      <w:r>
        <w:t>Subsection 11(4) sets out that an energy boundary must not include any equipment that is also included in another IE unit of the project (shared equipment) unless the shared equipment is not subject to the IE upgrade, and</w:t>
      </w:r>
      <w:r w:rsidRPr="00F6126C">
        <w:t xml:space="preserve"> </w:t>
      </w:r>
      <w:r>
        <w:t>the amount of energy consumed by the shared equipmen</w:t>
      </w:r>
      <w:r w:rsidR="00196D6F">
        <w:t>t is expected to be less than five per cent</w:t>
      </w:r>
      <w:r>
        <w:t xml:space="preserve"> of the energy used by each of the IE units served by it.</w:t>
      </w:r>
      <w:r w:rsidRPr="00F6126C">
        <w:t xml:space="preserve"> </w:t>
      </w:r>
      <w:r>
        <w:t xml:space="preserve">Any shared equipment must not transfer materials or energy between any of the IE units served by it. </w:t>
      </w:r>
      <w:r w:rsidR="00771856">
        <w:t xml:space="preserve">Shared equipment must be </w:t>
      </w:r>
      <w:r w:rsidR="00771856" w:rsidRPr="00771856">
        <w:t xml:space="preserve">within the energy boundary </w:t>
      </w:r>
      <w:r w:rsidR="00093151">
        <w:t xml:space="preserve">for an IE unit </w:t>
      </w:r>
      <w:r w:rsidR="00771856" w:rsidRPr="00771856">
        <w:t>for both the baseline period and the project measurement period</w:t>
      </w:r>
      <w:r w:rsidR="008A1BAC">
        <w:t>. As the baseline and project emissions cancel out in the calculations, this requirement prevents double-counting of shared equipment</w:t>
      </w:r>
      <w:r w:rsidR="00771856" w:rsidRPr="00771856">
        <w:t>.</w:t>
      </w:r>
      <w:r w:rsidR="00771856">
        <w:t xml:space="preserve"> </w:t>
      </w:r>
      <w:r>
        <w:t>Notes to the paragraph provide examples.</w:t>
      </w:r>
    </w:p>
    <w:p w14:paraId="73ED7FD2" w14:textId="77777777" w:rsidR="00093151" w:rsidRDefault="00093151" w:rsidP="00E7378F">
      <w:pPr>
        <w:pStyle w:val="tMain"/>
        <w:tabs>
          <w:tab w:val="clear" w:pos="794"/>
          <w:tab w:val="right" w:pos="-1843"/>
        </w:tabs>
        <w:spacing w:before="0" w:after="120"/>
        <w:ind w:left="0" w:firstLine="0"/>
        <w:jc w:val="left"/>
      </w:pPr>
      <w:r>
        <w:t>Subsection 11(4) limits sharing of equipment between IE units</w:t>
      </w:r>
      <w:r w:rsidR="00425121">
        <w:t xml:space="preserve">. In some cases equipment shared between two upgrades may not meet the requirements of subsection 11(4). This might occur, for example, if the shared equipment is part of </w:t>
      </w:r>
      <w:r w:rsidR="00FA0723">
        <w:t>more than one</w:t>
      </w:r>
      <w:r w:rsidR="00425121">
        <w:t xml:space="preserve"> upgrade. To </w:t>
      </w:r>
      <w:r w:rsidR="00FA0723">
        <w:t>accommodate all the</w:t>
      </w:r>
      <w:r w:rsidR="00425121">
        <w:t xml:space="preserve"> upgrades </w:t>
      </w:r>
      <w:r w:rsidR="00FA0723">
        <w:t>involving the shared equipment, the</w:t>
      </w:r>
      <w:r w:rsidR="00425121">
        <w:t xml:space="preserve"> energy boundary </w:t>
      </w:r>
      <w:r w:rsidR="00FA0723">
        <w:t xml:space="preserve">can be defined </w:t>
      </w:r>
      <w:r w:rsidR="00425121">
        <w:t xml:space="preserve">to include all the </w:t>
      </w:r>
      <w:r w:rsidR="00FA0723">
        <w:t>upgraded systems that use the</w:t>
      </w:r>
      <w:r w:rsidR="00425121">
        <w:t xml:space="preserve"> sh</w:t>
      </w:r>
      <w:r w:rsidR="00FA0723">
        <w:t>ared equipment</w:t>
      </w:r>
      <w:r w:rsidR="00425121">
        <w:t xml:space="preserve">. </w:t>
      </w:r>
      <w:r w:rsidR="00811AC8">
        <w:t>The different upgrades may be defined as sub-units if they do not have a common output indicator.</w:t>
      </w:r>
    </w:p>
    <w:p w14:paraId="73ED7FD3" w14:textId="77777777" w:rsidR="00896D90" w:rsidRPr="00186161" w:rsidRDefault="00896D90" w:rsidP="00E7378F">
      <w:pPr>
        <w:pStyle w:val="tMain"/>
        <w:tabs>
          <w:tab w:val="clear" w:pos="794"/>
          <w:tab w:val="right" w:pos="-1843"/>
        </w:tabs>
        <w:spacing w:before="0" w:after="120"/>
        <w:ind w:left="0" w:firstLine="0"/>
        <w:jc w:val="left"/>
      </w:pPr>
      <w:r>
        <w:t>Subsection 11(</w:t>
      </w:r>
      <w:r w:rsidR="002422EA">
        <w:t>5</w:t>
      </w:r>
      <w:r>
        <w:t xml:space="preserve">) sets out that a </w:t>
      </w:r>
      <w:r w:rsidRPr="00896D90">
        <w:t>unit must not include any equipment that does not contribute to the output of the unit unless the equipment is part of a partly independent sub-system specified under section 12, or the inclusion of that equipment has only a minor or trivial effect on abatement for the unit.</w:t>
      </w:r>
    </w:p>
    <w:p w14:paraId="73ED7FD4" w14:textId="694BF962" w:rsidR="0079630E" w:rsidRDefault="00285406" w:rsidP="00E7378F">
      <w:pPr>
        <w:pStyle w:val="tPara"/>
        <w:tabs>
          <w:tab w:val="right" w:pos="-1843"/>
        </w:tabs>
        <w:spacing w:before="0" w:after="120" w:line="240" w:lineRule="auto"/>
        <w:ind w:left="0" w:firstLine="0"/>
        <w:jc w:val="left"/>
      </w:pPr>
      <w:r>
        <w:t xml:space="preserve">Subsection </w:t>
      </w:r>
      <w:r w:rsidR="00AF432A">
        <w:t>11(</w:t>
      </w:r>
      <w:r>
        <w:t>6</w:t>
      </w:r>
      <w:r w:rsidR="00AF432A">
        <w:t xml:space="preserve">) </w:t>
      </w:r>
      <w:r w:rsidR="007F5F1D">
        <w:t xml:space="preserve">states </w:t>
      </w:r>
      <w:r w:rsidR="00AF432A">
        <w:t>that e</w:t>
      </w:r>
      <w:r w:rsidR="00C5235B" w:rsidRPr="00AF432A">
        <w:t>ach IE unit must</w:t>
      </w:r>
      <w:r w:rsidR="00BB34DF" w:rsidRPr="00AF432A">
        <w:t xml:space="preserve"> not draw </w:t>
      </w:r>
      <w:r w:rsidR="00390B36">
        <w:t>useful energy</w:t>
      </w:r>
      <w:r w:rsidR="00BB34DF" w:rsidRPr="00AF432A">
        <w:t xml:space="preserve"> from outside the IE unit</w:t>
      </w:r>
      <w:r w:rsidR="00A01E20" w:rsidRPr="00A01E20">
        <w:t xml:space="preserve"> </w:t>
      </w:r>
      <w:r w:rsidR="00A01E20">
        <w:t xml:space="preserve">apart from fuel or electricity with emissions factors </w:t>
      </w:r>
      <w:r w:rsidR="00A01E20" w:rsidRPr="00C50596">
        <w:t xml:space="preserve">listed in the </w:t>
      </w:r>
      <w:r w:rsidR="00A01E20" w:rsidRPr="00AA3C65">
        <w:t>NGER (Measurement) Determination</w:t>
      </w:r>
      <w:r w:rsidR="00A01E20">
        <w:t xml:space="preserve">. This allows </w:t>
      </w:r>
      <w:r w:rsidR="00AF432A">
        <w:t xml:space="preserve">all energy consumption for the unit </w:t>
      </w:r>
      <w:r w:rsidR="00A01E20">
        <w:t>to be converted into emissions using consistent emissions factors</w:t>
      </w:r>
      <w:r w:rsidR="0079630E">
        <w:t>.</w:t>
      </w:r>
    </w:p>
    <w:p w14:paraId="73ED7FD5" w14:textId="77777777" w:rsidR="0083285F" w:rsidRPr="005C4FCC" w:rsidRDefault="00A01E20" w:rsidP="00E7378F">
      <w:pPr>
        <w:pStyle w:val="tPara"/>
        <w:tabs>
          <w:tab w:val="right" w:pos="-1843"/>
        </w:tabs>
        <w:spacing w:before="0" w:after="120" w:line="240" w:lineRule="auto"/>
        <w:ind w:left="0" w:firstLine="0"/>
        <w:jc w:val="left"/>
      </w:pPr>
      <w:r>
        <w:lastRenderedPageBreak/>
        <w:t xml:space="preserve">Subsection 11(7) defines useful energy as </w:t>
      </w:r>
      <w:r w:rsidRPr="00A01E20">
        <w:t>fuel, electricity, heat, steam, cooling or useful physical work</w:t>
      </w:r>
      <w:r>
        <w:t>.</w:t>
      </w:r>
      <w:r w:rsidRPr="00A01E20">
        <w:t xml:space="preserve"> </w:t>
      </w:r>
      <w:r w:rsidR="0079630E" w:rsidRPr="005C4FCC">
        <w:t xml:space="preserve">Physical work is considered ‘useful’ if it </w:t>
      </w:r>
      <w:r w:rsidR="00267368" w:rsidRPr="005C4FCC">
        <w:t>changes</w:t>
      </w:r>
      <w:r w:rsidR="0079630E" w:rsidRPr="005C4FCC">
        <w:t xml:space="preserve"> the energy consumption of the equipment</w:t>
      </w:r>
      <w:r w:rsidR="00DC3779" w:rsidRPr="005C4FCC">
        <w:t xml:space="preserve"> in an IE unit that is upgraded</w:t>
      </w:r>
      <w:r w:rsidR="0079630E" w:rsidRPr="005C4FCC">
        <w:t>. For example, if water is supplied to a pump station at high speed</w:t>
      </w:r>
      <w:r w:rsidR="00DC3779" w:rsidRPr="005C4FCC">
        <w:t xml:space="preserve"> (e.g. from a storage reservoir</w:t>
      </w:r>
      <w:r w:rsidR="00EC6FBB" w:rsidRPr="005C4FCC">
        <w:t xml:space="preserve"> at higher elevation</w:t>
      </w:r>
      <w:r w:rsidR="00DC3779" w:rsidRPr="005C4FCC">
        <w:t>)</w:t>
      </w:r>
      <w:r w:rsidR="0079630E" w:rsidRPr="005C4FCC">
        <w:t xml:space="preserve"> and this kinetic energy is </w:t>
      </w:r>
      <w:r w:rsidR="00267368" w:rsidRPr="005C4FCC">
        <w:t>dissipated in a storage tank</w:t>
      </w:r>
      <w:r w:rsidR="0079630E" w:rsidRPr="005C4FCC">
        <w:t xml:space="preserve">, this </w:t>
      </w:r>
      <w:r w:rsidR="00267368" w:rsidRPr="005C4FCC">
        <w:t>kinetic</w:t>
      </w:r>
      <w:r w:rsidR="0079630E" w:rsidRPr="005C4FCC">
        <w:t xml:space="preserve"> energy would not </w:t>
      </w:r>
      <w:r w:rsidR="00267368" w:rsidRPr="005C4FCC">
        <w:t>need to be included in the boundary</w:t>
      </w:r>
      <w:r w:rsidR="0079630E" w:rsidRPr="005C4FCC">
        <w:t xml:space="preserve">. On the other hand, </w:t>
      </w:r>
      <w:r w:rsidR="00EC6FBB" w:rsidRPr="005C4FCC">
        <w:t>consider</w:t>
      </w:r>
      <w:r w:rsidR="0079630E" w:rsidRPr="005C4FCC">
        <w:t xml:space="preserve"> </w:t>
      </w:r>
      <w:r w:rsidR="00724D12" w:rsidRPr="005C4FCC">
        <w:t xml:space="preserve">two air </w:t>
      </w:r>
      <w:r w:rsidR="00EC6FBB" w:rsidRPr="005C4FCC">
        <w:t xml:space="preserve">compressors being used in sequence, with the first </w:t>
      </w:r>
      <w:r w:rsidR="00724D12" w:rsidRPr="005C4FCC">
        <w:t xml:space="preserve">compressor </w:t>
      </w:r>
      <w:r w:rsidR="00EC6FBB" w:rsidRPr="005C4FCC">
        <w:t xml:space="preserve">boosting the inlet pressure for the second. </w:t>
      </w:r>
      <w:r w:rsidR="00724D12" w:rsidRPr="005C4FCC">
        <w:t>Since the power requirements for a compressor depend on the pressure that the compressor needs to generate,</w:t>
      </w:r>
      <w:r w:rsidR="0079630E" w:rsidRPr="005C4FCC">
        <w:t xml:space="preserve"> </w:t>
      </w:r>
      <w:r w:rsidR="00D11237">
        <w:t xml:space="preserve">if the second compressor is </w:t>
      </w:r>
      <w:r w:rsidR="00D11237" w:rsidRPr="00B908D1">
        <w:t>upgraded</w:t>
      </w:r>
      <w:r w:rsidR="00D11237" w:rsidRPr="005C4FCC" w:rsidDel="00B908D1">
        <w:t xml:space="preserve"> </w:t>
      </w:r>
      <w:r w:rsidR="0079630E" w:rsidRPr="005C4FCC">
        <w:t xml:space="preserve">the </w:t>
      </w:r>
      <w:r w:rsidR="00724D12" w:rsidRPr="005C4FCC">
        <w:t>electricity</w:t>
      </w:r>
      <w:r w:rsidR="00DC3779" w:rsidRPr="005C4FCC">
        <w:t xml:space="preserve"> consumption by the </w:t>
      </w:r>
      <w:r w:rsidR="00724D12" w:rsidRPr="005C4FCC">
        <w:t>first compressor</w:t>
      </w:r>
      <w:r w:rsidR="00267368" w:rsidRPr="005C4FCC">
        <w:t xml:space="preserve"> must also be included </w:t>
      </w:r>
      <w:r w:rsidR="00724D12" w:rsidRPr="005C4FCC">
        <w:t>in the energy boundary.</w:t>
      </w:r>
    </w:p>
    <w:p w14:paraId="73ED7FD6" w14:textId="22AB2508" w:rsidR="00E859D4" w:rsidRPr="00DA4879" w:rsidRDefault="000F2EFD" w:rsidP="00E7378F">
      <w:pPr>
        <w:pStyle w:val="tPara"/>
        <w:tabs>
          <w:tab w:val="right" w:pos="-1843"/>
        </w:tabs>
        <w:spacing w:before="0" w:after="120" w:line="240" w:lineRule="auto"/>
        <w:ind w:left="0" w:firstLine="0"/>
        <w:jc w:val="left"/>
      </w:pPr>
      <w:r>
        <w:t>Viewed as a whole, section 11 and the definition of an IE project in section 8</w:t>
      </w:r>
      <w:r w:rsidR="007A597E">
        <w:t xml:space="preserve"> are intended to accommodate activities involving a range of energy efficiency improvements to self-contained energy consuming systems. This architecture enables upgrades to a range of different components, including heat recovery and improvements to equipment such as heat exchangers that only consume energy indirectly. At the same time, the Determination ensures that abatement is genuine because all energy flows related to the project are accounted for, and all interactive effects are included within the energy boundary.</w:t>
      </w:r>
    </w:p>
    <w:p w14:paraId="73ED7FD7" w14:textId="77777777" w:rsidR="00593EF9" w:rsidRPr="00103E03" w:rsidRDefault="004C1055" w:rsidP="00E7378F">
      <w:pPr>
        <w:pStyle w:val="tPara"/>
        <w:tabs>
          <w:tab w:val="right" w:pos="-1843"/>
        </w:tabs>
        <w:spacing w:before="0" w:after="120" w:line="240" w:lineRule="auto"/>
        <w:ind w:left="0" w:firstLine="0"/>
        <w:jc w:val="left"/>
      </w:pPr>
      <w:r w:rsidRPr="00103E03">
        <w:t>Notes to section 11 clarify that proponents may include equipment not subject to the upgrade within the energy boundary in order to exploit existing metering</w:t>
      </w:r>
      <w:r w:rsidR="002B3AD7" w:rsidRPr="00103E03">
        <w:t>.</w:t>
      </w:r>
      <w:r w:rsidR="00140A05" w:rsidRPr="00103E03">
        <w:t xml:space="preserve"> </w:t>
      </w:r>
      <w:r w:rsidR="007A3D3B" w:rsidRPr="00103E03">
        <w:t>Project proponents are not required to select</w:t>
      </w:r>
      <w:r w:rsidR="001A1FAF" w:rsidRPr="00103E03">
        <w:t xml:space="preserve"> the smallest possible energy boundar</w:t>
      </w:r>
      <w:r w:rsidR="007A3D3B" w:rsidRPr="00103E03">
        <w:t>y for an IE unit. A</w:t>
      </w:r>
      <w:r w:rsidR="001A1FAF" w:rsidRPr="00103E03">
        <w:t xml:space="preserve"> wider energy boundary </w:t>
      </w:r>
      <w:r w:rsidR="007A3D3B" w:rsidRPr="00103E03">
        <w:t xml:space="preserve">may be chosen, for example, to </w:t>
      </w:r>
      <w:r w:rsidR="00103E03" w:rsidRPr="00103E03">
        <w:t>use existing</w:t>
      </w:r>
      <w:r w:rsidR="007A3D3B" w:rsidRPr="00103E03">
        <w:t xml:space="preserve"> metering </w:t>
      </w:r>
      <w:r w:rsidR="001A1FAF" w:rsidRPr="00103E03">
        <w:t>or</w:t>
      </w:r>
      <w:r w:rsidR="007A3D3B" w:rsidRPr="00103E03">
        <w:t xml:space="preserve"> to allow the use of a more accurate</w:t>
      </w:r>
      <w:r w:rsidR="001A1FAF" w:rsidRPr="00103E03">
        <w:t xml:space="preserve"> output indicator.</w:t>
      </w:r>
      <w:r w:rsidR="00103E03" w:rsidRPr="00103E03">
        <w:t xml:space="preserve"> The intent is that w</w:t>
      </w:r>
      <w:r w:rsidR="000C4813" w:rsidRPr="00103E03">
        <w:t xml:space="preserve">here </w:t>
      </w:r>
      <w:r w:rsidR="000764D3" w:rsidRPr="00103E03">
        <w:t>applicable</w:t>
      </w:r>
      <w:r w:rsidR="000C4813" w:rsidRPr="00103E03">
        <w:t xml:space="preserve">, the energy consumption of </w:t>
      </w:r>
      <w:r w:rsidR="000764D3" w:rsidRPr="00103E03">
        <w:t>separately metered</w:t>
      </w:r>
      <w:r w:rsidR="000C4813" w:rsidRPr="00103E03">
        <w:t xml:space="preserve"> equipment may be deducted from a larger boundary</w:t>
      </w:r>
      <w:r w:rsidR="007A3D3B" w:rsidRPr="00103E03">
        <w:t xml:space="preserve"> to achieve a more accurate energy boundary</w:t>
      </w:r>
      <w:r w:rsidR="000764D3" w:rsidRPr="00103E03">
        <w:t>.</w:t>
      </w:r>
    </w:p>
    <w:p w14:paraId="73ED7FD8" w14:textId="77777777" w:rsidR="00463AB1" w:rsidRPr="0071335A" w:rsidRDefault="00DD3211" w:rsidP="00E7378F">
      <w:pPr>
        <w:shd w:val="clear" w:color="auto" w:fill="FFFFFF"/>
        <w:spacing w:before="0" w:after="240" w:line="240" w:lineRule="auto"/>
        <w:rPr>
          <w:rFonts w:eastAsia="Times New Roman"/>
          <w:szCs w:val="24"/>
          <w:lang w:eastAsia="en-AU"/>
        </w:rPr>
      </w:pPr>
      <w:r w:rsidRPr="0071335A">
        <w:rPr>
          <w:rFonts w:eastAsia="Times New Roman"/>
          <w:szCs w:val="24"/>
          <w:lang w:eastAsia="en-AU"/>
        </w:rPr>
        <w:t>T</w:t>
      </w:r>
      <w:r w:rsidR="00C54429" w:rsidRPr="0071335A">
        <w:rPr>
          <w:rFonts w:eastAsia="Times New Roman"/>
          <w:szCs w:val="24"/>
          <w:lang w:eastAsia="en-AU"/>
        </w:rPr>
        <w:t xml:space="preserve">he original unit and the upgraded unit </w:t>
      </w:r>
      <w:r w:rsidRPr="0071335A">
        <w:rPr>
          <w:rFonts w:eastAsia="Times New Roman"/>
          <w:szCs w:val="24"/>
          <w:lang w:eastAsia="en-AU"/>
        </w:rPr>
        <w:t xml:space="preserve">are not required </w:t>
      </w:r>
      <w:r w:rsidR="00C54429" w:rsidRPr="0071335A">
        <w:rPr>
          <w:rFonts w:eastAsia="Times New Roman"/>
          <w:szCs w:val="24"/>
          <w:lang w:eastAsia="en-AU"/>
        </w:rPr>
        <w:t xml:space="preserve">to have the same energy boundary.  However, </w:t>
      </w:r>
      <w:r w:rsidRPr="0071335A">
        <w:rPr>
          <w:rFonts w:eastAsia="Times New Roman"/>
          <w:szCs w:val="24"/>
          <w:lang w:eastAsia="en-AU"/>
        </w:rPr>
        <w:t>since</w:t>
      </w:r>
      <w:r w:rsidR="00C54429" w:rsidRPr="0071335A">
        <w:rPr>
          <w:rFonts w:eastAsia="Times New Roman"/>
          <w:szCs w:val="24"/>
          <w:lang w:eastAsia="en-AU"/>
        </w:rPr>
        <w:t xml:space="preserve"> the outputs and output indicators </w:t>
      </w:r>
      <w:r w:rsidRPr="0071335A">
        <w:rPr>
          <w:rFonts w:eastAsia="Times New Roman"/>
          <w:szCs w:val="24"/>
          <w:lang w:eastAsia="en-AU"/>
        </w:rPr>
        <w:t>must remain</w:t>
      </w:r>
      <w:r w:rsidR="00C54429" w:rsidRPr="0071335A">
        <w:rPr>
          <w:rFonts w:eastAsia="Times New Roman"/>
          <w:szCs w:val="24"/>
          <w:lang w:eastAsia="en-AU"/>
        </w:rPr>
        <w:t xml:space="preserve"> unchanged </w:t>
      </w:r>
      <w:r w:rsidRPr="0071335A">
        <w:rPr>
          <w:rFonts w:eastAsia="Times New Roman"/>
          <w:szCs w:val="24"/>
          <w:lang w:eastAsia="en-AU"/>
        </w:rPr>
        <w:t xml:space="preserve">following an upgrade, </w:t>
      </w:r>
      <w:r w:rsidR="00C54429" w:rsidRPr="0071335A">
        <w:rPr>
          <w:rFonts w:eastAsia="Times New Roman"/>
          <w:szCs w:val="24"/>
          <w:lang w:eastAsia="en-AU"/>
        </w:rPr>
        <w:t xml:space="preserve">the energy boundary can </w:t>
      </w:r>
      <w:r w:rsidRPr="0071335A">
        <w:rPr>
          <w:rFonts w:eastAsia="Times New Roman"/>
          <w:szCs w:val="24"/>
          <w:lang w:eastAsia="en-AU"/>
        </w:rPr>
        <w:t xml:space="preserve">only </w:t>
      </w:r>
      <w:r w:rsidR="00C54429" w:rsidRPr="0071335A">
        <w:rPr>
          <w:rFonts w:eastAsia="Times New Roman"/>
          <w:szCs w:val="24"/>
          <w:lang w:eastAsia="en-AU"/>
        </w:rPr>
        <w:t xml:space="preserve">change to the extent </w:t>
      </w:r>
      <w:r w:rsidRPr="0071335A">
        <w:rPr>
          <w:rFonts w:eastAsia="Times New Roman"/>
          <w:szCs w:val="24"/>
          <w:lang w:eastAsia="en-AU"/>
        </w:rPr>
        <w:t>that the IE unit is changed by</w:t>
      </w:r>
      <w:r w:rsidR="00C54429" w:rsidRPr="0071335A">
        <w:rPr>
          <w:rFonts w:eastAsia="Times New Roman"/>
          <w:szCs w:val="24"/>
          <w:lang w:eastAsia="en-AU"/>
        </w:rPr>
        <w:t xml:space="preserve"> the upgrade, </w:t>
      </w:r>
      <w:r w:rsidRPr="0071335A">
        <w:rPr>
          <w:rFonts w:eastAsia="Times New Roman"/>
          <w:szCs w:val="24"/>
          <w:lang w:eastAsia="en-AU"/>
        </w:rPr>
        <w:t>e</w:t>
      </w:r>
      <w:r w:rsidR="00775140" w:rsidRPr="0071335A">
        <w:rPr>
          <w:rFonts w:eastAsia="Times New Roman"/>
          <w:szCs w:val="24"/>
          <w:lang w:eastAsia="en-AU"/>
        </w:rPr>
        <w:t>.</w:t>
      </w:r>
      <w:r w:rsidRPr="0071335A">
        <w:rPr>
          <w:rFonts w:eastAsia="Times New Roman"/>
          <w:szCs w:val="24"/>
          <w:lang w:eastAsia="en-AU"/>
        </w:rPr>
        <w:t>g</w:t>
      </w:r>
      <w:r w:rsidR="00775140" w:rsidRPr="0071335A">
        <w:rPr>
          <w:rFonts w:eastAsia="Times New Roman"/>
          <w:szCs w:val="24"/>
          <w:lang w:eastAsia="en-AU"/>
        </w:rPr>
        <w:t>.</w:t>
      </w:r>
      <w:r w:rsidR="00C54429" w:rsidRPr="0071335A">
        <w:rPr>
          <w:rFonts w:eastAsia="Times New Roman"/>
          <w:szCs w:val="24"/>
          <w:lang w:eastAsia="en-AU"/>
        </w:rPr>
        <w:t xml:space="preserve"> excluding removed equipment and including any installed equipment or components.</w:t>
      </w:r>
      <w:r w:rsidR="00C54429" w:rsidRPr="0071335A">
        <w:rPr>
          <w:rFonts w:eastAsia="Times New Roman"/>
          <w:szCs w:val="24"/>
          <w:lang w:eastAsia="en-AU"/>
        </w:rPr>
        <w:tab/>
      </w:r>
    </w:p>
    <w:p w14:paraId="73ED7FD9" w14:textId="77777777" w:rsidR="00C27DED" w:rsidRPr="00896D90" w:rsidRDefault="00F9320E" w:rsidP="00E7378F">
      <w:pPr>
        <w:spacing w:before="0" w:after="120" w:line="240" w:lineRule="auto"/>
        <w:rPr>
          <w:u w:val="single"/>
        </w:rPr>
      </w:pPr>
      <w:r w:rsidRPr="00896D90">
        <w:rPr>
          <w:u w:val="single"/>
        </w:rPr>
        <w:t>12 Partly</w:t>
      </w:r>
      <w:r w:rsidR="00C27DED" w:rsidRPr="00896D90">
        <w:rPr>
          <w:u w:val="single"/>
        </w:rPr>
        <w:t xml:space="preserve"> independent sub-system of an IE unit</w:t>
      </w:r>
    </w:p>
    <w:p w14:paraId="73ED7FDA" w14:textId="77777777" w:rsidR="00C27DED" w:rsidRDefault="005E088F" w:rsidP="00E7378F">
      <w:pPr>
        <w:spacing w:before="0" w:after="120" w:line="240" w:lineRule="auto"/>
      </w:pPr>
      <w:r>
        <w:t xml:space="preserve">Section 12 allows for the exclusion of </w:t>
      </w:r>
      <w:r w:rsidR="00896D90">
        <w:t xml:space="preserve">fuel or electricity that is attributable to an energy output that is not consumed by the unit. </w:t>
      </w:r>
      <w:r w:rsidR="00C27DED">
        <w:t>If an IE unit has a partly independent sub-system that draws fuel or electricity and provides steam, heat, cooling or compressed air partly to other parts of the IE unit and partly to external equipment, th</w:t>
      </w:r>
      <w:r w:rsidR="00896D90">
        <w:t>is provision allows the</w:t>
      </w:r>
      <w:r w:rsidR="00C27DED">
        <w:t xml:space="preserve"> fuel or electricity </w:t>
      </w:r>
      <w:r w:rsidR="00896D90">
        <w:t>consumed outside the unit to be excluded</w:t>
      </w:r>
      <w:r w:rsidR="00C27DED">
        <w:t xml:space="preserve"> from the abatement calculations.</w:t>
      </w:r>
    </w:p>
    <w:p w14:paraId="73ED7FDB" w14:textId="77777777" w:rsidR="00596B0C" w:rsidRDefault="005E088F" w:rsidP="00E7378F">
      <w:pPr>
        <w:spacing w:before="0" w:after="120" w:line="240" w:lineRule="auto"/>
      </w:pPr>
      <w:r>
        <w:t>A</w:t>
      </w:r>
      <w:r w:rsidR="00C27DED">
        <w:t xml:space="preserve"> sub-s</w:t>
      </w:r>
      <w:r>
        <w:t xml:space="preserve">ystem may be partly independent if </w:t>
      </w:r>
      <w:r w:rsidR="00C27DED">
        <w:t>the sub-system</w:t>
      </w:r>
      <w:r>
        <w:t xml:space="preserve"> </w:t>
      </w:r>
      <w:r w:rsidR="00C27DED">
        <w:t xml:space="preserve">does not consume useful energy from outside the sub-system other than fuel or electricity </w:t>
      </w:r>
      <w:r w:rsidR="009A6096">
        <w:t>with NGER emissions factors</w:t>
      </w:r>
      <w:r>
        <w:t xml:space="preserve">, </w:t>
      </w:r>
      <w:r w:rsidR="009A6096">
        <w:t xml:space="preserve">and </w:t>
      </w:r>
      <w:r w:rsidR="00C27DED">
        <w:t xml:space="preserve">does not supply useful energy to the rest of the IE </w:t>
      </w:r>
      <w:r>
        <w:t>unit apart from its output</w:t>
      </w:r>
      <w:r w:rsidR="00896D90">
        <w:t>.</w:t>
      </w:r>
      <w:r>
        <w:t xml:space="preserve"> </w:t>
      </w:r>
      <w:r w:rsidR="009A6096">
        <w:t xml:space="preserve">Outputs for a partly independent subsystem </w:t>
      </w:r>
      <w:r w:rsidR="00596B0C">
        <w:t xml:space="preserve">are steam, heated or cooled fluids, or compressed air. </w:t>
      </w:r>
      <w:r w:rsidR="00896D90">
        <w:t>T</w:t>
      </w:r>
      <w:r w:rsidR="00C27DED">
        <w:t xml:space="preserve">he energy content of the internal and external outputs </w:t>
      </w:r>
      <w:r w:rsidR="00896D90">
        <w:t>must</w:t>
      </w:r>
      <w:r w:rsidR="00C27DED">
        <w:t xml:space="preserve"> be </w:t>
      </w:r>
      <w:r w:rsidR="00896D90">
        <w:t xml:space="preserve">able to be </w:t>
      </w:r>
      <w:r w:rsidR="00C27DED">
        <w:t xml:space="preserve">monitored in accordance with section </w:t>
      </w:r>
      <w:r w:rsidR="00725D48">
        <w:t>38</w:t>
      </w:r>
      <w:r w:rsidR="002422EA">
        <w:t xml:space="preserve">. </w:t>
      </w:r>
    </w:p>
    <w:p w14:paraId="73ED7FDC" w14:textId="77777777" w:rsidR="00C27DED" w:rsidRDefault="00596B0C" w:rsidP="00E7378F">
      <w:pPr>
        <w:spacing w:before="0" w:after="120" w:line="240" w:lineRule="auto"/>
      </w:pPr>
      <w:r>
        <w:t>Subsections 12(2) to 12(3) specify t</w:t>
      </w:r>
      <w:r w:rsidR="002422EA">
        <w:t>he fuel or electricity consumed by the unit must be attributed based on the measured proportion of the energy output consumed within the unit</w:t>
      </w:r>
      <w:r w:rsidR="00132813">
        <w:t xml:space="preserve">, and must be net of the energy content of any lower grade energy being returned to the partly independent </w:t>
      </w:r>
      <w:r w:rsidR="00F9320E">
        <w:t>subsystem. For</w:t>
      </w:r>
      <w:r w:rsidR="002422EA">
        <w:t xml:space="preserve"> example, if a boiler supplies two thirds of its steam output (by energy content) to the IE unit, then one third of the steam output of the boiler can be excluded </w:t>
      </w:r>
      <w:r w:rsidR="002422EA">
        <w:lastRenderedPageBreak/>
        <w:t xml:space="preserve">from the boundary. </w:t>
      </w:r>
      <w:r w:rsidR="007E2B1B">
        <w:t>As any energy returned to the partly independent subsystem must be netted out, the method requires measurement of the energy returned in accordance with section 38.</w:t>
      </w:r>
    </w:p>
    <w:p w14:paraId="73ED7FDD" w14:textId="77777777" w:rsidR="003D1A37" w:rsidRDefault="003D1A37" w:rsidP="00E7378F">
      <w:pPr>
        <w:spacing w:before="0" w:after="120" w:line="240" w:lineRule="auto"/>
      </w:pPr>
      <w:r>
        <w:t xml:space="preserve">Energy </w:t>
      </w:r>
      <w:r w:rsidR="005C75CB">
        <w:t xml:space="preserve">returned to the system </w:t>
      </w:r>
      <w:r>
        <w:t>is lower grade if it has a lower useful energy content, such as lower temperature steam, or lower pressure compressed air</w:t>
      </w:r>
      <w:r w:rsidR="005C75CB">
        <w:t>. In cooling applications, a fluid with a higher temperature may be considered lower grade.</w:t>
      </w:r>
    </w:p>
    <w:p w14:paraId="73ED7FDE" w14:textId="77777777" w:rsidR="00112F83" w:rsidRPr="0071335A" w:rsidRDefault="00112F83" w:rsidP="00E7378F">
      <w:pPr>
        <w:shd w:val="clear" w:color="auto" w:fill="FFFFFF"/>
        <w:spacing w:before="0" w:after="240" w:line="240" w:lineRule="auto"/>
        <w:rPr>
          <w:rFonts w:eastAsia="Times New Roman"/>
          <w:szCs w:val="24"/>
          <w:lang w:eastAsia="en-AU"/>
        </w:rPr>
      </w:pPr>
      <w:r w:rsidRPr="0071335A">
        <w:rPr>
          <w:rFonts w:eastAsia="Times New Roman"/>
          <w:szCs w:val="24"/>
          <w:lang w:eastAsia="en-AU"/>
        </w:rPr>
        <w:t xml:space="preserve">Due to the requirements in section 11, an independent subsystem can only be included in one IE unit. Rather than being separate units, any overlapping </w:t>
      </w:r>
      <w:r w:rsidR="007E2B1B" w:rsidRPr="0071335A">
        <w:rPr>
          <w:rFonts w:eastAsia="Times New Roman"/>
          <w:szCs w:val="24"/>
          <w:lang w:eastAsia="en-AU"/>
        </w:rPr>
        <w:t>subsystems</w:t>
      </w:r>
      <w:r w:rsidRPr="0071335A">
        <w:rPr>
          <w:rFonts w:eastAsia="Times New Roman"/>
          <w:szCs w:val="24"/>
          <w:lang w:eastAsia="en-AU"/>
        </w:rPr>
        <w:t xml:space="preserve"> should be combined into a single unit. </w:t>
      </w:r>
    </w:p>
    <w:p w14:paraId="73ED7FDF" w14:textId="77777777" w:rsidR="00F85275" w:rsidRPr="00267368" w:rsidRDefault="00F85275" w:rsidP="00E7378F">
      <w:pPr>
        <w:pStyle w:val="ESA4Section"/>
        <w:spacing w:before="0" w:after="120"/>
      </w:pPr>
      <w:bookmarkStart w:id="1" w:name="_Toc438727304"/>
      <w:r w:rsidRPr="00267368">
        <w:t>1</w:t>
      </w:r>
      <w:r w:rsidR="00C27DED">
        <w:t xml:space="preserve">3 </w:t>
      </w:r>
      <w:r w:rsidRPr="00267368">
        <w:tab/>
        <w:t xml:space="preserve">Dividing an </w:t>
      </w:r>
      <w:r w:rsidR="00BB34DF" w:rsidRPr="00267368">
        <w:t>IE</w:t>
      </w:r>
      <w:r w:rsidRPr="00267368">
        <w:t xml:space="preserve"> unit into sub-unit</w:t>
      </w:r>
      <w:bookmarkEnd w:id="1"/>
      <w:r w:rsidRPr="00267368">
        <w:t>s</w:t>
      </w:r>
    </w:p>
    <w:p w14:paraId="73ED7FE0" w14:textId="77777777" w:rsidR="005B6288" w:rsidRPr="00775140" w:rsidRDefault="00BB34DF" w:rsidP="00E7378F">
      <w:pPr>
        <w:pStyle w:val="tMain"/>
        <w:tabs>
          <w:tab w:val="clear" w:pos="794"/>
          <w:tab w:val="right" w:pos="-1843"/>
        </w:tabs>
        <w:spacing w:before="0" w:after="120" w:line="240" w:lineRule="auto"/>
        <w:ind w:left="0" w:firstLine="0"/>
        <w:jc w:val="left"/>
      </w:pPr>
      <w:r w:rsidRPr="00775140">
        <w:t>Section 1</w:t>
      </w:r>
      <w:r w:rsidR="00C27DED">
        <w:t>3</w:t>
      </w:r>
      <w:r w:rsidRPr="00775140">
        <w:t xml:space="preserve"> </w:t>
      </w:r>
      <w:r w:rsidR="00591985" w:rsidRPr="00775140">
        <w:t xml:space="preserve">allows the project proponent to divide an IE unit into </w:t>
      </w:r>
      <w:r w:rsidR="0085534D" w:rsidRPr="00A26211">
        <w:rPr>
          <w:b/>
          <w:i/>
        </w:rPr>
        <w:t>sub-units</w:t>
      </w:r>
      <w:r w:rsidR="00A26211">
        <w:t>—</w:t>
      </w:r>
      <w:r w:rsidR="00591985" w:rsidRPr="00775140">
        <w:t>subsystems of industrial or commercial equipment</w:t>
      </w:r>
      <w:r w:rsidR="00596198">
        <w:t xml:space="preserve"> that form part of an IE</w:t>
      </w:r>
      <w:r w:rsidR="0085534D" w:rsidRPr="00775140">
        <w:t xml:space="preserve"> unit. These sub-units are</w:t>
      </w:r>
      <w:r w:rsidR="00591985" w:rsidRPr="00775140">
        <w:t xml:space="preserve"> </w:t>
      </w:r>
      <w:r w:rsidR="00C51001" w:rsidRPr="00775140">
        <w:t xml:space="preserve">used as the basis </w:t>
      </w:r>
      <w:r w:rsidR="0085534D" w:rsidRPr="00775140">
        <w:t xml:space="preserve">for </w:t>
      </w:r>
      <w:r w:rsidR="00C51001" w:rsidRPr="00775140">
        <w:t xml:space="preserve">abatement calculations, </w:t>
      </w:r>
      <w:r w:rsidR="0085534D" w:rsidRPr="00775140">
        <w:t>enabling the transfer of energy (e</w:t>
      </w:r>
      <w:r w:rsidR="00F749EA">
        <w:t>.</w:t>
      </w:r>
      <w:r w:rsidR="0085534D" w:rsidRPr="00775140">
        <w:t>g. as heat) to sub-units that have different output indicators from other sub-units within the energy boundary for an IE unit</w:t>
      </w:r>
      <w:r w:rsidR="00591985" w:rsidRPr="00775140">
        <w:t xml:space="preserve">. </w:t>
      </w:r>
      <w:r w:rsidR="005B6288" w:rsidRPr="00775140">
        <w:t>This approach also gives proponents the flexibility to make use of existing sub-metering.</w:t>
      </w:r>
    </w:p>
    <w:p w14:paraId="73ED7FE1" w14:textId="77777777" w:rsidR="0074556B" w:rsidRPr="00775140" w:rsidRDefault="00C51001" w:rsidP="00E7378F">
      <w:pPr>
        <w:pStyle w:val="tMain"/>
        <w:tabs>
          <w:tab w:val="clear" w:pos="794"/>
          <w:tab w:val="right" w:pos="-1843"/>
        </w:tabs>
        <w:spacing w:before="0" w:after="120" w:line="240" w:lineRule="auto"/>
        <w:ind w:left="0" w:firstLine="0"/>
        <w:jc w:val="left"/>
      </w:pPr>
      <w:r w:rsidRPr="00775140">
        <w:t>If the IE unit is not divided</w:t>
      </w:r>
      <w:r w:rsidR="0085534D" w:rsidRPr="00775140">
        <w:t xml:space="preserve"> into sub-units</w:t>
      </w:r>
      <w:r w:rsidRPr="00775140">
        <w:t xml:space="preserve">, the whole of the unit is taken to be the </w:t>
      </w:r>
      <w:r w:rsidRPr="00775140">
        <w:rPr>
          <w:b/>
          <w:i/>
        </w:rPr>
        <w:t>sub-unit</w:t>
      </w:r>
      <w:r w:rsidR="0085534D" w:rsidRPr="00775140">
        <w:rPr>
          <w:b/>
          <w:i/>
        </w:rPr>
        <w:t xml:space="preserve"> </w:t>
      </w:r>
      <w:r w:rsidR="0085534D" w:rsidRPr="00775140">
        <w:t>for calculation purposes</w:t>
      </w:r>
      <w:r w:rsidRPr="00775140">
        <w:t xml:space="preserve">. </w:t>
      </w:r>
      <w:r w:rsidR="005B6288" w:rsidRPr="00775140">
        <w:rPr>
          <w:rFonts w:eastAsia="Calibri"/>
        </w:rPr>
        <w:t>Where all potential sub-units have the same overall output indicator, using the complete IE unit will simplify the calculations.</w:t>
      </w:r>
    </w:p>
    <w:p w14:paraId="73ED7FE2" w14:textId="77777777" w:rsidR="00C931F4" w:rsidRPr="0071335A" w:rsidRDefault="00BB34DF" w:rsidP="00E7378F">
      <w:pPr>
        <w:shd w:val="clear" w:color="auto" w:fill="FFFFFF"/>
        <w:spacing w:before="0" w:after="240" w:line="240" w:lineRule="auto"/>
        <w:rPr>
          <w:rFonts w:eastAsia="Times New Roman"/>
          <w:szCs w:val="24"/>
          <w:lang w:eastAsia="en-AU"/>
        </w:rPr>
      </w:pPr>
      <w:r w:rsidRPr="0071335A">
        <w:rPr>
          <w:rFonts w:eastAsia="Times New Roman"/>
          <w:szCs w:val="24"/>
          <w:lang w:eastAsia="en-AU"/>
        </w:rPr>
        <w:t xml:space="preserve">A sub-unit may consist of equipment that is not directly affected by any part of the upgrade. It must draw at least some energy from outside the </w:t>
      </w:r>
      <w:r w:rsidR="0074556B" w:rsidRPr="0071335A">
        <w:rPr>
          <w:rFonts w:eastAsia="Times New Roman"/>
          <w:szCs w:val="24"/>
          <w:lang w:eastAsia="en-AU"/>
        </w:rPr>
        <w:t>IE unit</w:t>
      </w:r>
      <w:r w:rsidRPr="0071335A">
        <w:rPr>
          <w:rFonts w:eastAsia="Times New Roman"/>
          <w:szCs w:val="24"/>
          <w:lang w:eastAsia="en-AU"/>
        </w:rPr>
        <w:t xml:space="preserve"> so that the abatement calculations can be made. However, this energy could be supplementary to the energy provided by other sub-units, e</w:t>
      </w:r>
      <w:r w:rsidR="00C931F4" w:rsidRPr="0071335A">
        <w:rPr>
          <w:rFonts w:eastAsia="Times New Roman"/>
          <w:szCs w:val="24"/>
          <w:lang w:eastAsia="en-AU"/>
        </w:rPr>
        <w:t>.</w:t>
      </w:r>
      <w:r w:rsidRPr="0071335A">
        <w:rPr>
          <w:rFonts w:eastAsia="Times New Roman"/>
          <w:szCs w:val="24"/>
          <w:lang w:eastAsia="en-AU"/>
        </w:rPr>
        <w:t>g. recovered heat.</w:t>
      </w:r>
      <w:r w:rsidR="0085534D" w:rsidRPr="0071335A">
        <w:rPr>
          <w:rFonts w:eastAsia="Times New Roman"/>
          <w:szCs w:val="24"/>
          <w:lang w:eastAsia="en-AU"/>
        </w:rPr>
        <w:t xml:space="preserve"> </w:t>
      </w:r>
    </w:p>
    <w:p w14:paraId="73ED7FE3" w14:textId="77777777" w:rsidR="00F85275" w:rsidRDefault="00BB34DF" w:rsidP="00E7378F">
      <w:pPr>
        <w:spacing w:before="0" w:after="120" w:line="240" w:lineRule="auto"/>
        <w:rPr>
          <w:u w:val="single"/>
        </w:rPr>
      </w:pPr>
      <w:r>
        <w:rPr>
          <w:u w:val="single"/>
        </w:rPr>
        <w:t>1</w:t>
      </w:r>
      <w:r w:rsidR="00C27DED">
        <w:rPr>
          <w:u w:val="single"/>
        </w:rPr>
        <w:t>4</w:t>
      </w:r>
      <w:r>
        <w:rPr>
          <w:u w:val="single"/>
        </w:rPr>
        <w:tab/>
        <w:t>IE</w:t>
      </w:r>
      <w:r w:rsidR="00F85275" w:rsidRPr="00F85275">
        <w:rPr>
          <w:u w:val="single"/>
        </w:rPr>
        <w:t xml:space="preserve"> unit must have output indicators</w:t>
      </w:r>
    </w:p>
    <w:p w14:paraId="73ED7FE4" w14:textId="62772C54" w:rsidR="0037467D" w:rsidRDefault="0074556B" w:rsidP="00E7378F">
      <w:pPr>
        <w:pStyle w:val="ntoHeading"/>
        <w:tabs>
          <w:tab w:val="clear" w:pos="709"/>
        </w:tabs>
        <w:spacing w:before="0" w:after="120"/>
        <w:ind w:left="0" w:firstLine="0"/>
        <w:rPr>
          <w:sz w:val="24"/>
          <w:szCs w:val="24"/>
        </w:rPr>
      </w:pPr>
      <w:r w:rsidRPr="0074556B">
        <w:rPr>
          <w:sz w:val="24"/>
          <w:szCs w:val="24"/>
        </w:rPr>
        <w:t>Section 1</w:t>
      </w:r>
      <w:r w:rsidR="00C27DED">
        <w:rPr>
          <w:sz w:val="24"/>
          <w:szCs w:val="24"/>
        </w:rPr>
        <w:t>4</w:t>
      </w:r>
      <w:r w:rsidRPr="0074556B">
        <w:rPr>
          <w:sz w:val="24"/>
          <w:szCs w:val="24"/>
        </w:rPr>
        <w:t xml:space="preserve"> </w:t>
      </w:r>
      <w:r w:rsidR="0020697C">
        <w:rPr>
          <w:sz w:val="24"/>
          <w:szCs w:val="24"/>
        </w:rPr>
        <w:t xml:space="preserve">sets out </w:t>
      </w:r>
      <w:r w:rsidR="00196D6F">
        <w:rPr>
          <w:sz w:val="24"/>
          <w:szCs w:val="24"/>
        </w:rPr>
        <w:t>that</w:t>
      </w:r>
      <w:r w:rsidR="00FF00C4">
        <w:rPr>
          <w:sz w:val="24"/>
          <w:szCs w:val="24"/>
        </w:rPr>
        <w:t xml:space="preserve"> </w:t>
      </w:r>
      <w:r w:rsidR="00196D6F">
        <w:rPr>
          <w:sz w:val="24"/>
          <w:szCs w:val="24"/>
        </w:rPr>
        <w:t xml:space="preserve">the </w:t>
      </w:r>
      <w:r w:rsidR="00FF00C4">
        <w:rPr>
          <w:sz w:val="24"/>
          <w:szCs w:val="24"/>
        </w:rPr>
        <w:t>project proponent</w:t>
      </w:r>
      <w:r w:rsidR="001F2134" w:rsidRPr="0074556B">
        <w:rPr>
          <w:sz w:val="24"/>
          <w:szCs w:val="24"/>
        </w:rPr>
        <w:t xml:space="preserve"> </w:t>
      </w:r>
      <w:r w:rsidR="009A4F81">
        <w:rPr>
          <w:sz w:val="24"/>
          <w:szCs w:val="24"/>
        </w:rPr>
        <w:t xml:space="preserve">must </w:t>
      </w:r>
      <w:r w:rsidR="001F2134" w:rsidRPr="0074556B">
        <w:rPr>
          <w:sz w:val="24"/>
          <w:szCs w:val="24"/>
        </w:rPr>
        <w:t>specif</w:t>
      </w:r>
      <w:r w:rsidR="00FF00C4">
        <w:rPr>
          <w:sz w:val="24"/>
          <w:szCs w:val="24"/>
        </w:rPr>
        <w:t>y</w:t>
      </w:r>
      <w:r w:rsidR="001F2134" w:rsidRPr="0074556B">
        <w:rPr>
          <w:sz w:val="24"/>
          <w:szCs w:val="24"/>
        </w:rPr>
        <w:t xml:space="preserve"> a set of outputs and an appropriate </w:t>
      </w:r>
      <w:r w:rsidR="001F2134" w:rsidRPr="00956B95">
        <w:rPr>
          <w:sz w:val="24"/>
          <w:szCs w:val="24"/>
        </w:rPr>
        <w:t>output indicator for each sub-unit.</w:t>
      </w:r>
      <w:r w:rsidR="00D52AB4" w:rsidRPr="00956B95">
        <w:rPr>
          <w:sz w:val="24"/>
          <w:szCs w:val="24"/>
        </w:rPr>
        <w:t xml:space="preserve"> </w:t>
      </w:r>
      <w:r w:rsidR="00994FE7" w:rsidRPr="00956B95">
        <w:rPr>
          <w:sz w:val="24"/>
          <w:szCs w:val="24"/>
        </w:rPr>
        <w:t xml:space="preserve">This includes specifying the </w:t>
      </w:r>
      <w:r w:rsidR="00F6126C">
        <w:rPr>
          <w:sz w:val="24"/>
          <w:szCs w:val="24"/>
        </w:rPr>
        <w:t xml:space="preserve">reference </w:t>
      </w:r>
      <w:r w:rsidR="00994FE7" w:rsidRPr="00956B95">
        <w:rPr>
          <w:sz w:val="24"/>
          <w:szCs w:val="24"/>
        </w:rPr>
        <w:t xml:space="preserve">output indicator for use in </w:t>
      </w:r>
      <w:r w:rsidR="00994FE7" w:rsidRPr="002422EA">
        <w:rPr>
          <w:sz w:val="24"/>
          <w:szCs w:val="24"/>
        </w:rPr>
        <w:t xml:space="preserve">subsection </w:t>
      </w:r>
      <w:r w:rsidR="003974B1">
        <w:rPr>
          <w:sz w:val="24"/>
          <w:szCs w:val="24"/>
        </w:rPr>
        <w:t>23</w:t>
      </w:r>
      <w:r w:rsidR="00994FE7" w:rsidRPr="002422EA">
        <w:rPr>
          <w:sz w:val="24"/>
          <w:szCs w:val="24"/>
        </w:rPr>
        <w:t>(2).</w:t>
      </w:r>
      <w:r w:rsidR="00727AC6" w:rsidRPr="00956B95">
        <w:rPr>
          <w:sz w:val="24"/>
          <w:szCs w:val="24"/>
        </w:rPr>
        <w:t xml:space="preserve"> </w:t>
      </w:r>
      <w:r w:rsidR="002E18A2" w:rsidRPr="00956B95">
        <w:rPr>
          <w:sz w:val="24"/>
          <w:szCs w:val="24"/>
        </w:rPr>
        <w:t>T</w:t>
      </w:r>
      <w:r w:rsidR="00727AC6" w:rsidRPr="00956B95">
        <w:rPr>
          <w:sz w:val="24"/>
          <w:szCs w:val="24"/>
        </w:rPr>
        <w:t xml:space="preserve">he </w:t>
      </w:r>
      <w:r w:rsidR="00F6126C">
        <w:rPr>
          <w:sz w:val="24"/>
          <w:szCs w:val="24"/>
        </w:rPr>
        <w:t>reference</w:t>
      </w:r>
      <w:r w:rsidR="00727AC6" w:rsidRPr="00956B95">
        <w:rPr>
          <w:sz w:val="24"/>
          <w:szCs w:val="24"/>
        </w:rPr>
        <w:t xml:space="preserve"> output indicator </w:t>
      </w:r>
      <w:r w:rsidR="00956B95" w:rsidRPr="00956B95">
        <w:rPr>
          <w:sz w:val="24"/>
          <w:szCs w:val="24"/>
        </w:rPr>
        <w:t xml:space="preserve">is </w:t>
      </w:r>
      <w:r w:rsidR="00727AC6" w:rsidRPr="00956B95">
        <w:rPr>
          <w:sz w:val="24"/>
          <w:szCs w:val="24"/>
        </w:rPr>
        <w:t>used to establish that the output in the measurement period is representative of normal operation</w:t>
      </w:r>
      <w:r w:rsidR="00956B95" w:rsidRPr="00956B95">
        <w:rPr>
          <w:sz w:val="24"/>
          <w:szCs w:val="24"/>
        </w:rPr>
        <w:t xml:space="preserve">. </w:t>
      </w:r>
    </w:p>
    <w:p w14:paraId="73ED7FE5" w14:textId="0F3B5413" w:rsidR="00956B95" w:rsidRPr="00956B95" w:rsidRDefault="0037467D" w:rsidP="00E7378F">
      <w:pPr>
        <w:pStyle w:val="ntoHeading"/>
        <w:tabs>
          <w:tab w:val="clear" w:pos="709"/>
        </w:tabs>
        <w:spacing w:before="0" w:after="120"/>
        <w:ind w:left="0" w:firstLine="0"/>
        <w:rPr>
          <w:color w:val="0000FF"/>
          <w:sz w:val="24"/>
          <w:szCs w:val="24"/>
        </w:rPr>
      </w:pPr>
      <w:r>
        <w:rPr>
          <w:sz w:val="24"/>
          <w:szCs w:val="24"/>
        </w:rPr>
        <w:t>Notes to the section clarify that t</w:t>
      </w:r>
      <w:r w:rsidR="00956B95" w:rsidRPr="00956B95">
        <w:rPr>
          <w:sz w:val="24"/>
          <w:szCs w:val="24"/>
        </w:rPr>
        <w:t>his indicator</w:t>
      </w:r>
      <w:r w:rsidR="00727AC6" w:rsidRPr="00956B95">
        <w:rPr>
          <w:sz w:val="24"/>
          <w:szCs w:val="24"/>
        </w:rPr>
        <w:t xml:space="preserve"> would be expected to be the same as the output indicator in section</w:t>
      </w:r>
      <w:r w:rsidR="00956B95" w:rsidRPr="00956B95">
        <w:rPr>
          <w:sz w:val="24"/>
          <w:szCs w:val="24"/>
        </w:rPr>
        <w:t xml:space="preserve"> 1</w:t>
      </w:r>
      <w:r w:rsidR="00656509">
        <w:rPr>
          <w:sz w:val="24"/>
          <w:szCs w:val="24"/>
        </w:rPr>
        <w:t>4</w:t>
      </w:r>
      <w:r w:rsidR="00727AC6" w:rsidRPr="00956B95">
        <w:rPr>
          <w:sz w:val="24"/>
          <w:szCs w:val="24"/>
        </w:rPr>
        <w:t>, unless data relating to the latter is not</w:t>
      </w:r>
      <w:r w:rsidR="00196D6F">
        <w:rPr>
          <w:sz w:val="24"/>
          <w:szCs w:val="24"/>
        </w:rPr>
        <w:t xml:space="preserve"> available for the whole of the </w:t>
      </w:r>
      <w:r w:rsidR="00727AC6" w:rsidRPr="00956B95">
        <w:rPr>
          <w:sz w:val="24"/>
          <w:szCs w:val="24"/>
        </w:rPr>
        <w:t>12</w:t>
      </w:r>
      <w:r w:rsidR="00196D6F">
        <w:rPr>
          <w:sz w:val="24"/>
          <w:szCs w:val="24"/>
        </w:rPr>
        <w:t> </w:t>
      </w:r>
      <w:r w:rsidR="00727AC6" w:rsidRPr="00956B95">
        <w:rPr>
          <w:sz w:val="24"/>
          <w:szCs w:val="24"/>
        </w:rPr>
        <w:t>month period that ends at the end of the baseline period.</w:t>
      </w:r>
      <w:r w:rsidR="00956B95" w:rsidRPr="00956B95">
        <w:rPr>
          <w:sz w:val="24"/>
          <w:szCs w:val="24"/>
        </w:rPr>
        <w:t xml:space="preserve"> In that case, the proponent may use another indicator for which data is available for the section </w:t>
      </w:r>
      <w:r w:rsidR="002422EA">
        <w:rPr>
          <w:sz w:val="24"/>
          <w:szCs w:val="24"/>
        </w:rPr>
        <w:t>2</w:t>
      </w:r>
      <w:r w:rsidR="003974B1">
        <w:rPr>
          <w:sz w:val="24"/>
          <w:szCs w:val="24"/>
        </w:rPr>
        <w:t>3</w:t>
      </w:r>
      <w:r w:rsidR="002422EA" w:rsidRPr="00956B95">
        <w:rPr>
          <w:sz w:val="24"/>
          <w:szCs w:val="24"/>
        </w:rPr>
        <w:t xml:space="preserve"> </w:t>
      </w:r>
      <w:r w:rsidR="00956B95" w:rsidRPr="00956B95">
        <w:rPr>
          <w:sz w:val="24"/>
          <w:szCs w:val="24"/>
        </w:rPr>
        <w:t>test.</w:t>
      </w:r>
      <w:r>
        <w:rPr>
          <w:sz w:val="24"/>
          <w:szCs w:val="24"/>
        </w:rPr>
        <w:t xml:space="preserve"> This clarification ensures that proponents can use detailed site metering data (</w:t>
      </w:r>
      <w:r w:rsidR="00F9320E">
        <w:rPr>
          <w:sz w:val="24"/>
          <w:szCs w:val="24"/>
        </w:rPr>
        <w:t>e.g.</w:t>
      </w:r>
      <w:r>
        <w:rPr>
          <w:sz w:val="24"/>
          <w:szCs w:val="24"/>
        </w:rPr>
        <w:t xml:space="preserve"> for a month) where available to make baseline and operating measurements even if the meters are not connected to a data historian. </w:t>
      </w:r>
    </w:p>
    <w:p w14:paraId="73ED7FE6" w14:textId="77777777" w:rsidR="00441656" w:rsidRPr="00727AC6" w:rsidRDefault="00441656" w:rsidP="00E7378F">
      <w:pPr>
        <w:pStyle w:val="ntoHeading"/>
        <w:tabs>
          <w:tab w:val="clear" w:pos="709"/>
          <w:tab w:val="left" w:pos="-1701"/>
        </w:tabs>
        <w:spacing w:before="0" w:after="120"/>
        <w:ind w:left="0" w:firstLine="0"/>
        <w:rPr>
          <w:i/>
        </w:rPr>
      </w:pPr>
      <w:r w:rsidRPr="00727AC6">
        <w:rPr>
          <w:i/>
          <w:sz w:val="24"/>
          <w:szCs w:val="24"/>
        </w:rPr>
        <w:t>Output indicator required for the IE unit, or for each sub-unit</w:t>
      </w:r>
    </w:p>
    <w:p w14:paraId="73ED7FE7" w14:textId="77777777" w:rsidR="0071335A" w:rsidRPr="0071335A" w:rsidRDefault="009A4F81" w:rsidP="00E7378F">
      <w:pPr>
        <w:pStyle w:val="tMain"/>
        <w:tabs>
          <w:tab w:val="clear" w:pos="794"/>
          <w:tab w:val="right" w:pos="-1843"/>
        </w:tabs>
        <w:spacing w:before="0" w:after="120"/>
        <w:ind w:left="0" w:firstLine="0"/>
        <w:jc w:val="left"/>
      </w:pPr>
      <w:r w:rsidRPr="0071335A">
        <w:t>Subsection 1</w:t>
      </w:r>
      <w:r w:rsidR="00656509" w:rsidRPr="0071335A">
        <w:t>4</w:t>
      </w:r>
      <w:r w:rsidRPr="0071335A">
        <w:t>(1) sets out f</w:t>
      </w:r>
      <w:r w:rsidR="00AD4FBB" w:rsidRPr="0071335A">
        <w:t xml:space="preserve">or each IE unit of the project, the </w:t>
      </w:r>
      <w:r w:rsidR="005816B0" w:rsidRPr="0071335A">
        <w:t xml:space="preserve">information the </w:t>
      </w:r>
      <w:r w:rsidR="00AD4FBB" w:rsidRPr="0071335A">
        <w:t>project proponent must specify</w:t>
      </w:r>
      <w:r w:rsidR="005816B0" w:rsidRPr="0071335A">
        <w:t xml:space="preserve"> in relation to each IEU sub-unit. </w:t>
      </w:r>
    </w:p>
    <w:p w14:paraId="73ED7FE8" w14:textId="77777777" w:rsidR="00AC1A34" w:rsidRPr="0071335A" w:rsidRDefault="00AC1A34" w:rsidP="00E7378F">
      <w:pPr>
        <w:pStyle w:val="ntoHeading"/>
        <w:tabs>
          <w:tab w:val="clear" w:pos="709"/>
          <w:tab w:val="left" w:pos="-1701"/>
        </w:tabs>
        <w:spacing w:before="0" w:after="120"/>
        <w:ind w:left="0" w:firstLine="0"/>
        <w:rPr>
          <w:i/>
          <w:sz w:val="24"/>
          <w:szCs w:val="24"/>
        </w:rPr>
      </w:pPr>
      <w:r w:rsidRPr="0071335A">
        <w:rPr>
          <w:i/>
          <w:sz w:val="24"/>
          <w:szCs w:val="24"/>
        </w:rPr>
        <w:t>Requirements for outputs and output indicators</w:t>
      </w:r>
    </w:p>
    <w:p w14:paraId="73ED7FE9" w14:textId="77777777" w:rsidR="005816B0" w:rsidRPr="007A7965" w:rsidRDefault="005816B0" w:rsidP="00E7378F">
      <w:pPr>
        <w:pStyle w:val="ntoHeading"/>
        <w:tabs>
          <w:tab w:val="clear" w:pos="709"/>
          <w:tab w:val="left" w:pos="-1701"/>
        </w:tabs>
        <w:spacing w:before="0" w:after="120"/>
        <w:ind w:left="0" w:firstLine="0"/>
        <w:rPr>
          <w:color w:val="000000" w:themeColor="text1"/>
          <w:sz w:val="24"/>
          <w:szCs w:val="24"/>
        </w:rPr>
      </w:pPr>
      <w:r w:rsidRPr="007A7965">
        <w:rPr>
          <w:color w:val="000000" w:themeColor="text1"/>
          <w:sz w:val="24"/>
          <w:szCs w:val="24"/>
        </w:rPr>
        <w:t>Subsection 1</w:t>
      </w:r>
      <w:r w:rsidR="00656509">
        <w:rPr>
          <w:color w:val="000000" w:themeColor="text1"/>
          <w:sz w:val="24"/>
          <w:szCs w:val="24"/>
        </w:rPr>
        <w:t>4</w:t>
      </w:r>
      <w:r w:rsidRPr="007A7965">
        <w:rPr>
          <w:color w:val="000000" w:themeColor="text1"/>
          <w:sz w:val="24"/>
          <w:szCs w:val="24"/>
        </w:rPr>
        <w:t xml:space="preserve">(2) sets out that the IE unit must physically and directly contribute to generating the </w:t>
      </w:r>
      <w:r>
        <w:rPr>
          <w:color w:val="000000" w:themeColor="text1"/>
          <w:sz w:val="24"/>
          <w:szCs w:val="24"/>
        </w:rPr>
        <w:t>output</w:t>
      </w:r>
      <w:r w:rsidRPr="007A7965">
        <w:rPr>
          <w:color w:val="000000" w:themeColor="text1"/>
          <w:sz w:val="24"/>
          <w:szCs w:val="24"/>
        </w:rPr>
        <w:t xml:space="preserve">. For example, if steam from an upgraded boiler is used in a dryer to produce an output of powdered milk, the steam physically contributes to the output. In practice, this means that omitting the IE unit would prevent the generation of the outputs, or significantly </w:t>
      </w:r>
      <w:r w:rsidRPr="007A7965">
        <w:rPr>
          <w:color w:val="000000" w:themeColor="text1"/>
          <w:sz w:val="24"/>
          <w:szCs w:val="24"/>
        </w:rPr>
        <w:lastRenderedPageBreak/>
        <w:t>reduce the available range or rate of output. The choice of output indicator will depend on where the boundary of the unit is drawn—e.g. if the boundary of a unit consisting of a pumping system is drawn at the outlet of the pumps, the output may be a pumping service; if it is drawn around equipment served by the pumps, it is the service delivered by that equipment.</w:t>
      </w:r>
    </w:p>
    <w:p w14:paraId="73ED7FEA" w14:textId="77777777" w:rsidR="0078206B" w:rsidRDefault="004463B7" w:rsidP="00E7378F">
      <w:pPr>
        <w:pStyle w:val="tPara"/>
        <w:spacing w:before="0" w:after="120" w:line="240" w:lineRule="auto"/>
        <w:ind w:left="0" w:firstLine="0"/>
        <w:jc w:val="left"/>
      </w:pPr>
      <w:r w:rsidRPr="007A7965">
        <w:rPr>
          <w:color w:val="000000" w:themeColor="text1"/>
        </w:rPr>
        <w:t>Subsection 1</w:t>
      </w:r>
      <w:r w:rsidR="00656509">
        <w:rPr>
          <w:color w:val="000000" w:themeColor="text1"/>
        </w:rPr>
        <w:t>4</w:t>
      </w:r>
      <w:r w:rsidRPr="007A7965">
        <w:rPr>
          <w:color w:val="000000" w:themeColor="text1"/>
        </w:rPr>
        <w:t xml:space="preserve">(3) specifies that an </w:t>
      </w:r>
      <w:r w:rsidR="001F2134" w:rsidRPr="007A7965">
        <w:rPr>
          <w:color w:val="000000" w:themeColor="text1"/>
        </w:rPr>
        <w:t>output indicator</w:t>
      </w:r>
      <w:r w:rsidR="003A1FD9">
        <w:rPr>
          <w:color w:val="000000" w:themeColor="text1"/>
        </w:rPr>
        <w:t xml:space="preserve"> for</w:t>
      </w:r>
      <w:r w:rsidR="001F2134" w:rsidRPr="007A7965">
        <w:rPr>
          <w:color w:val="000000" w:themeColor="text1"/>
        </w:rPr>
        <w:t xml:space="preserve"> </w:t>
      </w:r>
      <w:r w:rsidR="003A1FD9" w:rsidRPr="007A7965">
        <w:rPr>
          <w:color w:val="000000" w:themeColor="text1"/>
        </w:rPr>
        <w:t xml:space="preserve">an IE unit </w:t>
      </w:r>
      <w:r w:rsidRPr="007A7965">
        <w:rPr>
          <w:color w:val="000000" w:themeColor="text1"/>
        </w:rPr>
        <w:t>must be either</w:t>
      </w:r>
      <w:r w:rsidR="009D6894">
        <w:rPr>
          <w:color w:val="000000" w:themeColor="text1"/>
        </w:rPr>
        <w:t xml:space="preserve"> a directly measurable</w:t>
      </w:r>
      <w:r w:rsidRPr="007A7965">
        <w:rPr>
          <w:color w:val="000000" w:themeColor="text1"/>
        </w:rPr>
        <w:t xml:space="preserve"> </w:t>
      </w:r>
      <w:r w:rsidRPr="00EE2AB5">
        <w:rPr>
          <w:color w:val="000000" w:themeColor="text1"/>
        </w:rPr>
        <w:t xml:space="preserve">primary </w:t>
      </w:r>
      <w:r w:rsidR="00EA468B" w:rsidRPr="00EE2AB5">
        <w:rPr>
          <w:color w:val="000000" w:themeColor="text1"/>
        </w:rPr>
        <w:t>parameter</w:t>
      </w:r>
      <w:r w:rsidR="00EA468B" w:rsidRPr="007A7965" w:rsidDel="00EA468B">
        <w:rPr>
          <w:b/>
          <w:i/>
          <w:color w:val="000000" w:themeColor="text1"/>
        </w:rPr>
        <w:t xml:space="preserve"> </w:t>
      </w:r>
      <w:r w:rsidR="00EA468B" w:rsidRPr="007A7965">
        <w:rPr>
          <w:color w:val="000000" w:themeColor="text1"/>
        </w:rPr>
        <w:t xml:space="preserve">or a </w:t>
      </w:r>
      <w:r w:rsidR="00EA468B" w:rsidRPr="00EE2AB5">
        <w:rPr>
          <w:color w:val="000000" w:themeColor="text1"/>
        </w:rPr>
        <w:t>derived indicator</w:t>
      </w:r>
      <w:r w:rsidR="00EA468B" w:rsidRPr="007A7965">
        <w:rPr>
          <w:color w:val="000000" w:themeColor="text1"/>
        </w:rPr>
        <w:t xml:space="preserve"> </w:t>
      </w:r>
      <w:r w:rsidR="00FE4965">
        <w:rPr>
          <w:color w:val="000000" w:themeColor="text1"/>
        </w:rPr>
        <w:t>that</w:t>
      </w:r>
      <w:r w:rsidR="009E304C">
        <w:rPr>
          <w:color w:val="000000" w:themeColor="text1"/>
        </w:rPr>
        <w:t xml:space="preserve"> </w:t>
      </w:r>
      <w:r w:rsidR="00EA468B" w:rsidRPr="007A7965">
        <w:rPr>
          <w:color w:val="000000" w:themeColor="text1"/>
        </w:rPr>
        <w:t>combin</w:t>
      </w:r>
      <w:r w:rsidR="009E304C">
        <w:rPr>
          <w:color w:val="000000" w:themeColor="text1"/>
        </w:rPr>
        <w:t>es</w:t>
      </w:r>
      <w:r w:rsidR="00EA468B" w:rsidRPr="007A7965">
        <w:rPr>
          <w:color w:val="000000" w:themeColor="text1"/>
        </w:rPr>
        <w:t xml:space="preserve"> </w:t>
      </w:r>
      <w:r w:rsidR="009D6894">
        <w:rPr>
          <w:color w:val="000000" w:themeColor="text1"/>
        </w:rPr>
        <w:t>two</w:t>
      </w:r>
      <w:r w:rsidR="00EA468B" w:rsidRPr="007A7965">
        <w:rPr>
          <w:color w:val="000000" w:themeColor="text1"/>
        </w:rPr>
        <w:t xml:space="preserve"> or more primary parameters</w:t>
      </w:r>
      <w:r w:rsidR="0078206B">
        <w:rPr>
          <w:color w:val="000000" w:themeColor="text1"/>
        </w:rPr>
        <w:t xml:space="preserve"> and verifiable standard constants or measures. </w:t>
      </w:r>
      <w:r w:rsidR="0078206B">
        <w:t xml:space="preserve">Expressed as </w:t>
      </w:r>
      <w:r w:rsidR="0078206B" w:rsidRPr="00613E63">
        <w:t>mathematical formula</w:t>
      </w:r>
      <w:r w:rsidR="0078206B">
        <w:t>e</w:t>
      </w:r>
      <w:r w:rsidR="0078206B" w:rsidRPr="00613E63">
        <w:t xml:space="preserve">, </w:t>
      </w:r>
      <w:r w:rsidR="0078206B">
        <w:rPr>
          <w:color w:val="000000" w:themeColor="text1"/>
        </w:rPr>
        <w:t>i</w:t>
      </w:r>
      <w:r w:rsidR="009D6894">
        <w:rPr>
          <w:color w:val="000000" w:themeColor="text1"/>
        </w:rPr>
        <w:t>ndicators</w:t>
      </w:r>
      <w:r w:rsidR="00EA468B" w:rsidRPr="007A7965">
        <w:rPr>
          <w:color w:val="000000" w:themeColor="text1"/>
        </w:rPr>
        <w:t xml:space="preserve"> may </w:t>
      </w:r>
      <w:r w:rsidR="0078206B">
        <w:rPr>
          <w:color w:val="000000" w:themeColor="text1"/>
        </w:rPr>
        <w:t xml:space="preserve">be derived from data </w:t>
      </w:r>
      <w:r w:rsidR="00EA468B" w:rsidRPr="007A7965">
        <w:rPr>
          <w:color w:val="000000" w:themeColor="text1"/>
        </w:rPr>
        <w:t>includ</w:t>
      </w:r>
      <w:r w:rsidR="0078206B">
        <w:rPr>
          <w:color w:val="000000" w:themeColor="text1"/>
        </w:rPr>
        <w:t>ing</w:t>
      </w:r>
      <w:r w:rsidR="00EA468B" w:rsidRPr="007A7965">
        <w:rPr>
          <w:color w:val="000000" w:themeColor="text1"/>
        </w:rPr>
        <w:t xml:space="preserve"> physical constants, material properties or other </w:t>
      </w:r>
      <w:r w:rsidR="00EA468B">
        <w:t xml:space="preserve">verifiable </w:t>
      </w:r>
      <w:r w:rsidR="00EA468B" w:rsidRPr="00167DCB">
        <w:t>stipulated data that do not diminish the precision of the calculation.</w:t>
      </w:r>
      <w:r w:rsidR="0078206B" w:rsidRPr="0078206B">
        <w:t xml:space="preserve"> </w:t>
      </w:r>
      <w:r w:rsidR="0078206B" w:rsidRPr="003A1FD9">
        <w:rPr>
          <w:rFonts w:eastAsia="Times New Roman"/>
          <w:szCs w:val="24"/>
          <w:lang w:eastAsia="en-AU"/>
        </w:rPr>
        <w:t>Data is ‘verifiable’ if it is documented by a suitable source, such as engineering handbooks, in Australian or ISO standards, or similar sources.</w:t>
      </w:r>
    </w:p>
    <w:p w14:paraId="73ED7FEB" w14:textId="2E7EC2FC" w:rsidR="0078206B" w:rsidRPr="0078206B" w:rsidRDefault="0078206B" w:rsidP="00E7378F">
      <w:pPr>
        <w:pStyle w:val="tMain"/>
        <w:tabs>
          <w:tab w:val="clear" w:pos="794"/>
          <w:tab w:val="right" w:pos="-1843"/>
        </w:tabs>
        <w:spacing w:before="0" w:after="120"/>
        <w:ind w:left="0" w:firstLine="0"/>
        <w:jc w:val="left"/>
      </w:pPr>
      <w:r w:rsidRPr="003A1FD9">
        <w:t>By allowing the output indicator to be a derived indicator, the</w:t>
      </w:r>
      <w:r w:rsidR="009E304C">
        <w:t xml:space="preserve"> Determination</w:t>
      </w:r>
      <w:r w:rsidRPr="003A1FD9">
        <w:t xml:space="preserve"> recognises that not all data </w:t>
      </w:r>
      <w:r w:rsidR="00090E47">
        <w:t>can</w:t>
      </w:r>
      <w:r w:rsidRPr="003A1FD9">
        <w:t xml:space="preserve"> be measured directly. For example, the</w:t>
      </w:r>
      <w:r w:rsidR="009E304C">
        <w:t xml:space="preserve"> Determination</w:t>
      </w:r>
      <w:r w:rsidR="009E304C" w:rsidRPr="003A1FD9">
        <w:t xml:space="preserve"> </w:t>
      </w:r>
      <w:r w:rsidRPr="003A1FD9">
        <w:t xml:space="preserve">may allow for the use of standardised temperatures and pressures to normalise compressed air flow measurements, or may allow the use of steam property tables if steam is an output. </w:t>
      </w:r>
    </w:p>
    <w:p w14:paraId="73ED7FEC" w14:textId="500B186F" w:rsidR="00EA468B" w:rsidRPr="00090E47" w:rsidRDefault="0078206B" w:rsidP="00E7378F">
      <w:pPr>
        <w:pStyle w:val="tPara"/>
        <w:spacing w:before="0" w:after="120" w:line="240" w:lineRule="auto"/>
        <w:ind w:left="0" w:firstLine="0"/>
        <w:jc w:val="left"/>
        <w:rPr>
          <w:color w:val="000000" w:themeColor="text1"/>
        </w:rPr>
      </w:pPr>
      <w:r>
        <w:t xml:space="preserve">Derived indicators can also </w:t>
      </w:r>
      <w:r w:rsidR="00090E47">
        <w:t xml:space="preserve">account for some more complex circumstances. </w:t>
      </w:r>
      <w:r>
        <w:t xml:space="preserve">For example, a combined indicator for a boiler producing steam at high and low temperatures might be a weighted average of the tonnage of the two steam outputs. In this case, steam output levels </w:t>
      </w:r>
      <w:r w:rsidR="0037467D">
        <w:t xml:space="preserve">should </w:t>
      </w:r>
      <w:r>
        <w:t>be weighted according to the energy content of the two steam outputs</w:t>
      </w:r>
      <w:r w:rsidR="0037467D">
        <w:t xml:space="preserve"> in order to provide accurate results</w:t>
      </w:r>
      <w:r>
        <w:t xml:space="preserve">. </w:t>
      </w:r>
    </w:p>
    <w:p w14:paraId="73ED7FED" w14:textId="77777777" w:rsidR="00DE788C" w:rsidRDefault="004402BD" w:rsidP="00E7378F">
      <w:pPr>
        <w:pStyle w:val="tPara"/>
        <w:spacing w:before="0" w:after="120" w:line="240" w:lineRule="auto"/>
        <w:ind w:left="0" w:firstLine="0"/>
        <w:jc w:val="left"/>
      </w:pPr>
      <w:r w:rsidRPr="004402BD">
        <w:t>Subsection 1</w:t>
      </w:r>
      <w:r w:rsidR="00656509">
        <w:t>4</w:t>
      </w:r>
      <w:r w:rsidRPr="004402BD">
        <w:t xml:space="preserve">(4) sets out that </w:t>
      </w:r>
      <w:r>
        <w:t>a</w:t>
      </w:r>
      <w:r w:rsidR="00DE788C">
        <w:t xml:space="preserve">n output indicator must be </w:t>
      </w:r>
      <w:r w:rsidR="00DE788C" w:rsidRPr="00067F49">
        <w:t xml:space="preserve">appropriate for the </w:t>
      </w:r>
      <w:r w:rsidR="00DE788C">
        <w:t>sub-unit</w:t>
      </w:r>
      <w:r w:rsidR="00DE788C" w:rsidRPr="00067F49">
        <w:t xml:space="preserve"> both before and after the upgrade</w:t>
      </w:r>
      <w:r w:rsidR="00C931F4" w:rsidRPr="0074556B">
        <w:rPr>
          <w:szCs w:val="24"/>
        </w:rPr>
        <w:t>—e</w:t>
      </w:r>
      <w:r w:rsidR="00C931F4">
        <w:rPr>
          <w:szCs w:val="24"/>
        </w:rPr>
        <w:t>.</w:t>
      </w:r>
      <w:r w:rsidR="00C931F4" w:rsidRPr="0074556B">
        <w:rPr>
          <w:szCs w:val="24"/>
        </w:rPr>
        <w:t>g</w:t>
      </w:r>
      <w:r w:rsidR="00C931F4">
        <w:rPr>
          <w:szCs w:val="24"/>
        </w:rPr>
        <w:t>.</w:t>
      </w:r>
      <w:r w:rsidR="00C931F4" w:rsidRPr="0074556B">
        <w:rPr>
          <w:szCs w:val="24"/>
        </w:rPr>
        <w:t xml:space="preserve"> </w:t>
      </w:r>
      <w:r>
        <w:t xml:space="preserve">if a refrigeration system upgrade coincides with a change in storage temperature, such as changing from storing dairy products to </w:t>
      </w:r>
      <w:r w:rsidR="00090E47">
        <w:t xml:space="preserve">storing </w:t>
      </w:r>
      <w:r>
        <w:t>bananas, the output indicator would need to be able to account for the differences in storage temperatures for the two products.</w:t>
      </w:r>
    </w:p>
    <w:p w14:paraId="73ED7FEE" w14:textId="77777777" w:rsidR="001B3E62" w:rsidRDefault="004402BD" w:rsidP="00E7378F">
      <w:pPr>
        <w:pStyle w:val="tMain"/>
        <w:tabs>
          <w:tab w:val="clear" w:pos="794"/>
          <w:tab w:val="right" w:pos="-567"/>
        </w:tabs>
        <w:spacing w:before="0" w:after="120" w:line="240" w:lineRule="auto"/>
        <w:ind w:left="0" w:firstLine="0"/>
        <w:jc w:val="left"/>
      </w:pPr>
      <w:r>
        <w:t xml:space="preserve">Subsection </w:t>
      </w:r>
      <w:r w:rsidR="00F678BD">
        <w:t>1</w:t>
      </w:r>
      <w:r w:rsidR="00656509">
        <w:t>4</w:t>
      </w:r>
      <w:r w:rsidR="00F678BD">
        <w:t xml:space="preserve">(5) sets out that output indicators are appropriate if they </w:t>
      </w:r>
      <w:r w:rsidR="001F2134" w:rsidRPr="0074556B">
        <w:t>a</w:t>
      </w:r>
      <w:r w:rsidR="00F678BD">
        <w:t>re</w:t>
      </w:r>
      <w:r w:rsidR="001F2134" w:rsidRPr="0074556B">
        <w:t xml:space="preserve"> measurable quantit</w:t>
      </w:r>
      <w:r w:rsidR="00F678BD">
        <w:t>ies</w:t>
      </w:r>
      <w:r w:rsidR="001F2134" w:rsidRPr="0074556B">
        <w:t>, or function</w:t>
      </w:r>
      <w:r w:rsidR="00F678BD">
        <w:t>s</w:t>
      </w:r>
      <w:r w:rsidR="001F2134" w:rsidRPr="0074556B">
        <w:t xml:space="preserve"> of measurable quantities, that </w:t>
      </w:r>
      <w:r w:rsidR="00F678BD">
        <w:t>are</w:t>
      </w:r>
      <w:r w:rsidR="001F2134" w:rsidRPr="0074556B">
        <w:t xml:space="preserve"> reasonable measure</w:t>
      </w:r>
      <w:r w:rsidR="00F678BD">
        <w:t>s</w:t>
      </w:r>
      <w:r w:rsidR="001F2134" w:rsidRPr="0074556B">
        <w:t>, or prox</w:t>
      </w:r>
      <w:r w:rsidR="00F678BD">
        <w:t>ies</w:t>
      </w:r>
      <w:r w:rsidR="001F2134" w:rsidRPr="0074556B">
        <w:t xml:space="preserve"> for, the output</w:t>
      </w:r>
      <w:r w:rsidR="00F678BD">
        <w:t>s</w:t>
      </w:r>
      <w:r w:rsidR="001F2134" w:rsidRPr="0074556B">
        <w:t xml:space="preserve">.  </w:t>
      </w:r>
      <w:r w:rsidR="001B3E62">
        <w:t>Output indicators must be</w:t>
      </w:r>
      <w:r w:rsidR="001B3E62" w:rsidRPr="00613E63">
        <w:t xml:space="preserve"> measurable in units that comply with the </w:t>
      </w:r>
      <w:r w:rsidR="001B3E62" w:rsidRPr="00C931F4">
        <w:rPr>
          <w:i/>
        </w:rPr>
        <w:t>National Measurement Act 1960</w:t>
      </w:r>
      <w:r w:rsidR="001B3E62">
        <w:t>.</w:t>
      </w:r>
      <w:r w:rsidR="007E2B1B">
        <w:t xml:space="preserve"> </w:t>
      </w:r>
      <w:r w:rsidR="001F2134" w:rsidRPr="0074556B">
        <w:t>Indicators can be very straightforward—e</w:t>
      </w:r>
      <w:r w:rsidR="005C4FCC">
        <w:t>.g. litres of water pumped, or</w:t>
      </w:r>
      <w:r w:rsidR="001F2134" w:rsidRPr="0074556B">
        <w:t xml:space="preserve"> tonnes of ore moved on a conveyor belt.  However, it may be necessary to use indicators that are more complex or less direct</w:t>
      </w:r>
      <w:r w:rsidR="00F678BD">
        <w:t>, such as</w:t>
      </w:r>
      <w:r w:rsidR="001F2134" w:rsidRPr="0074556B">
        <w:t xml:space="preserve"> tonnes of product of the site served by the IE unit.</w:t>
      </w:r>
      <w:r w:rsidR="00FF00C4">
        <w:t xml:space="preserve"> </w:t>
      </w:r>
      <w:r w:rsidR="001B3E62" w:rsidRPr="001B3E62">
        <w:t xml:space="preserve"> </w:t>
      </w:r>
    </w:p>
    <w:p w14:paraId="73ED7FEF" w14:textId="54B540D3" w:rsidR="00D905D4" w:rsidRDefault="001B3E62" w:rsidP="00E7378F">
      <w:pPr>
        <w:pStyle w:val="tPara"/>
        <w:spacing w:before="0" w:after="120" w:line="240" w:lineRule="auto"/>
        <w:ind w:left="0" w:firstLine="0"/>
        <w:jc w:val="left"/>
      </w:pPr>
      <w:r w:rsidRPr="001B3E62">
        <w:t>The output indicator or reference output indicator may be specified so as to combine measurements from two or more distinct outputs</w:t>
      </w:r>
      <w:r w:rsidR="00D905D4">
        <w:t xml:space="preserve"> where the</w:t>
      </w:r>
      <w:r w:rsidRPr="001B3E62">
        <w:t xml:space="preserve"> </w:t>
      </w:r>
      <w:r w:rsidR="007E2B1B">
        <w:t xml:space="preserve">outputs require similar energy consumption. </w:t>
      </w:r>
      <w:r w:rsidR="00D905D4">
        <w:t xml:space="preserve">Energy consumption requirements are sufficiently similar if the equipment is used for similar times and loads to produce each output. In addition, if thermal processes are involved—each output is produced at similar temperatures. An example of a similar output could be a production line producing </w:t>
      </w:r>
      <w:r w:rsidR="00FC6077">
        <w:t xml:space="preserve">both </w:t>
      </w:r>
      <w:r w:rsidR="00D905D4">
        <w:t>frozen cauliflower and frozen broccoli.</w:t>
      </w:r>
    </w:p>
    <w:p w14:paraId="73ED7FF0" w14:textId="4884CB13" w:rsidR="00FF00C4" w:rsidRDefault="00D905D4" w:rsidP="00E7378F">
      <w:pPr>
        <w:pStyle w:val="tPara"/>
        <w:spacing w:before="0" w:after="120" w:line="240" w:lineRule="auto"/>
        <w:ind w:left="0" w:firstLine="0"/>
        <w:jc w:val="left"/>
      </w:pPr>
      <w:r>
        <w:t xml:space="preserve">Where outputs are not similar, </w:t>
      </w:r>
      <w:r w:rsidR="001B3E62" w:rsidRPr="001B3E62">
        <w:t xml:space="preserve">measurements for each distinct output must separately satisfy the </w:t>
      </w:r>
      <w:r w:rsidR="001B3E62" w:rsidRPr="00D15143">
        <w:rPr>
          <w:b/>
          <w:i/>
        </w:rPr>
        <w:t>output representativeness criterion</w:t>
      </w:r>
      <w:r w:rsidR="001B3E62" w:rsidRPr="001B3E62">
        <w:t xml:space="preserve"> in section 23</w:t>
      </w:r>
      <w:r>
        <w:t>. That is, the rate of production of each output must be comparable to the annual rate for each distinct output</w:t>
      </w:r>
      <w:r w:rsidR="001B3E62" w:rsidRPr="001B3E62">
        <w:t>.</w:t>
      </w:r>
    </w:p>
    <w:p w14:paraId="73ED7FF1" w14:textId="77777777" w:rsidR="00750F11" w:rsidRDefault="00750F11" w:rsidP="00E7378F">
      <w:pPr>
        <w:pStyle w:val="ntoHeading"/>
        <w:tabs>
          <w:tab w:val="clear" w:pos="709"/>
          <w:tab w:val="left" w:pos="-1701"/>
        </w:tabs>
        <w:spacing w:before="0" w:after="120"/>
        <w:ind w:left="0" w:firstLine="0"/>
        <w:rPr>
          <w:sz w:val="24"/>
          <w:szCs w:val="24"/>
        </w:rPr>
      </w:pPr>
      <w:r>
        <w:rPr>
          <w:sz w:val="24"/>
          <w:szCs w:val="24"/>
        </w:rPr>
        <w:t>Subsection 1</w:t>
      </w:r>
      <w:r w:rsidR="00656509">
        <w:rPr>
          <w:sz w:val="24"/>
          <w:szCs w:val="24"/>
        </w:rPr>
        <w:t>4</w:t>
      </w:r>
      <w:r>
        <w:rPr>
          <w:sz w:val="24"/>
          <w:szCs w:val="24"/>
        </w:rPr>
        <w:t>(6) sets out that, for</w:t>
      </w:r>
      <w:r w:rsidRPr="00750F11">
        <w:rPr>
          <w:sz w:val="24"/>
          <w:szCs w:val="24"/>
        </w:rPr>
        <w:t xml:space="preserve"> an IE unit, a primary parameter m</w:t>
      </w:r>
      <w:r>
        <w:rPr>
          <w:sz w:val="24"/>
          <w:szCs w:val="24"/>
        </w:rPr>
        <w:t>eans a measurable quantity relating to</w:t>
      </w:r>
      <w:r w:rsidRPr="00750F11">
        <w:rPr>
          <w:sz w:val="24"/>
          <w:szCs w:val="24"/>
        </w:rPr>
        <w:t xml:space="preserve"> an input, internal transfer or intermediate or final product of the facility served by the IE unit. Derived indicators may be calculated from data including physical constants, material properties or other verifiable stipulated data that do not diminish the precision of the calculation.</w:t>
      </w:r>
    </w:p>
    <w:p w14:paraId="73ED7FF2" w14:textId="77777777" w:rsidR="001F2134" w:rsidRPr="0074556B" w:rsidRDefault="001F2134" w:rsidP="00007F4C">
      <w:pPr>
        <w:pStyle w:val="ntoHeading"/>
        <w:tabs>
          <w:tab w:val="clear" w:pos="709"/>
          <w:tab w:val="left" w:pos="-1701"/>
        </w:tabs>
        <w:spacing w:before="0" w:after="240"/>
        <w:ind w:left="0" w:firstLine="0"/>
        <w:rPr>
          <w:sz w:val="24"/>
          <w:szCs w:val="24"/>
        </w:rPr>
      </w:pPr>
      <w:r w:rsidRPr="0074556B">
        <w:rPr>
          <w:sz w:val="24"/>
          <w:szCs w:val="24"/>
        </w:rPr>
        <w:lastRenderedPageBreak/>
        <w:t>Outputs can be grouped together and treated as a single output if an output indicator can be found that is appropriate for them together. A project proponent may need to divide a unit into several sub-units to be able to provide appropriate output indicators</w:t>
      </w:r>
      <w:r w:rsidR="00FE4965">
        <w:rPr>
          <w:sz w:val="24"/>
          <w:szCs w:val="24"/>
        </w:rPr>
        <w:t xml:space="preserve"> (see above)</w:t>
      </w:r>
      <w:r w:rsidRPr="0074556B">
        <w:rPr>
          <w:sz w:val="24"/>
          <w:szCs w:val="24"/>
        </w:rPr>
        <w:t>.</w:t>
      </w:r>
    </w:p>
    <w:p w14:paraId="73ED7FF3" w14:textId="77777777" w:rsidR="000E0DD5" w:rsidRPr="00141E5B" w:rsidRDefault="00F85275" w:rsidP="009A7431">
      <w:pPr>
        <w:pStyle w:val="ESA4Section"/>
        <w:spacing w:before="0" w:after="120"/>
      </w:pPr>
      <w:r>
        <w:t>1</w:t>
      </w:r>
      <w:r w:rsidR="00656509">
        <w:t>5</w:t>
      </w:r>
      <w:r>
        <w:tab/>
      </w:r>
      <w:r w:rsidR="000E0DD5" w:rsidRPr="00141E5B">
        <w:t>Information to be included in application</w:t>
      </w:r>
      <w:r w:rsidR="00C931F4">
        <w:t xml:space="preserve"> for declaration</w:t>
      </w:r>
    </w:p>
    <w:p w14:paraId="73ED7FF4" w14:textId="77777777" w:rsidR="006A50C4" w:rsidRDefault="000E0DD5" w:rsidP="00E7378F">
      <w:pPr>
        <w:spacing w:before="0" w:after="120"/>
      </w:pPr>
      <w:r w:rsidRPr="003D67FE">
        <w:t xml:space="preserve">Section 22 of the Act provides that a person may apply to the Regulator for the declaration of an offsets project as an eligible offsets project. </w:t>
      </w:r>
    </w:p>
    <w:p w14:paraId="73ED7FF5" w14:textId="296F6B60" w:rsidR="000A3B4B" w:rsidRPr="00E7378F" w:rsidRDefault="000E0DD5" w:rsidP="00E7378F">
      <w:pPr>
        <w:pStyle w:val="ntoHeading"/>
        <w:tabs>
          <w:tab w:val="clear" w:pos="709"/>
          <w:tab w:val="left" w:pos="-1701"/>
        </w:tabs>
        <w:spacing w:before="0" w:after="240"/>
        <w:ind w:left="0" w:firstLine="0"/>
        <w:rPr>
          <w:sz w:val="24"/>
          <w:szCs w:val="24"/>
        </w:rPr>
      </w:pPr>
      <w:r w:rsidRPr="00E7378F">
        <w:rPr>
          <w:sz w:val="24"/>
          <w:szCs w:val="24"/>
        </w:rPr>
        <w:t>Section 1</w:t>
      </w:r>
      <w:r w:rsidR="00656509" w:rsidRPr="00E7378F">
        <w:rPr>
          <w:sz w:val="24"/>
          <w:szCs w:val="24"/>
        </w:rPr>
        <w:t>5</w:t>
      </w:r>
      <w:r w:rsidRPr="00E7378F">
        <w:rPr>
          <w:sz w:val="24"/>
          <w:szCs w:val="24"/>
        </w:rPr>
        <w:t xml:space="preserve"> of the Determination </w:t>
      </w:r>
      <w:r w:rsidR="00FA7928" w:rsidRPr="00E7378F">
        <w:rPr>
          <w:sz w:val="24"/>
          <w:szCs w:val="24"/>
        </w:rPr>
        <w:t>sets out the</w:t>
      </w:r>
      <w:r w:rsidRPr="00E7378F">
        <w:rPr>
          <w:sz w:val="24"/>
          <w:szCs w:val="24"/>
        </w:rPr>
        <w:t xml:space="preserve"> information </w:t>
      </w:r>
      <w:r w:rsidR="00FA7928" w:rsidRPr="00E7378F">
        <w:rPr>
          <w:sz w:val="24"/>
          <w:szCs w:val="24"/>
        </w:rPr>
        <w:t xml:space="preserve">required </w:t>
      </w:r>
      <w:r w:rsidRPr="00E7378F">
        <w:rPr>
          <w:sz w:val="24"/>
          <w:szCs w:val="24"/>
        </w:rPr>
        <w:t xml:space="preserve">in </w:t>
      </w:r>
      <w:r w:rsidR="00FA7928" w:rsidRPr="00E7378F">
        <w:rPr>
          <w:sz w:val="24"/>
          <w:szCs w:val="24"/>
        </w:rPr>
        <w:t>an</w:t>
      </w:r>
      <w:r w:rsidRPr="00E7378F">
        <w:rPr>
          <w:sz w:val="24"/>
          <w:szCs w:val="24"/>
        </w:rPr>
        <w:t xml:space="preserve"> application for </w:t>
      </w:r>
      <w:r w:rsidR="000A3B4B" w:rsidRPr="00E7378F">
        <w:rPr>
          <w:sz w:val="24"/>
          <w:szCs w:val="24"/>
        </w:rPr>
        <w:t xml:space="preserve">declaration of </w:t>
      </w:r>
      <w:r w:rsidRPr="00E7378F">
        <w:rPr>
          <w:sz w:val="24"/>
          <w:szCs w:val="24"/>
        </w:rPr>
        <w:t>a</w:t>
      </w:r>
      <w:r w:rsidR="00414299" w:rsidRPr="00E7378F">
        <w:rPr>
          <w:sz w:val="24"/>
          <w:szCs w:val="24"/>
        </w:rPr>
        <w:t>n IE</w:t>
      </w:r>
      <w:r w:rsidRPr="00E7378F">
        <w:rPr>
          <w:sz w:val="24"/>
          <w:szCs w:val="24"/>
        </w:rPr>
        <w:t xml:space="preserve"> project</w:t>
      </w:r>
      <w:r w:rsidR="00FA7928" w:rsidRPr="00E7378F">
        <w:rPr>
          <w:sz w:val="24"/>
          <w:szCs w:val="24"/>
        </w:rPr>
        <w:t xml:space="preserve">. </w:t>
      </w:r>
      <w:r w:rsidR="00E80565" w:rsidRPr="00E7378F">
        <w:rPr>
          <w:sz w:val="24"/>
          <w:szCs w:val="24"/>
        </w:rPr>
        <w:t xml:space="preserve"> </w:t>
      </w:r>
    </w:p>
    <w:p w14:paraId="73ED7FF6" w14:textId="77777777" w:rsidR="000E0DD5" w:rsidRPr="00141E5B" w:rsidRDefault="000E0DD5" w:rsidP="00007F4C">
      <w:pPr>
        <w:pStyle w:val="ESA4Section"/>
        <w:spacing w:before="0" w:after="100"/>
      </w:pPr>
      <w:r>
        <w:t>1</w:t>
      </w:r>
      <w:r w:rsidR="00CD1C16">
        <w:t>6</w:t>
      </w:r>
      <w:r w:rsidRPr="00141E5B">
        <w:tab/>
        <w:t xml:space="preserve">Disposal of equipment </w:t>
      </w:r>
      <w:r w:rsidR="00414299">
        <w:t>and other components</w:t>
      </w:r>
    </w:p>
    <w:p w14:paraId="73ED7FF7" w14:textId="77777777" w:rsidR="00946485" w:rsidRDefault="000E0DD5" w:rsidP="00E7378F">
      <w:pPr>
        <w:spacing w:before="0" w:after="120" w:line="240" w:lineRule="auto"/>
        <w:rPr>
          <w:color w:val="000000"/>
        </w:rPr>
      </w:pPr>
      <w:r>
        <w:rPr>
          <w:color w:val="000000"/>
        </w:rPr>
        <w:t>S</w:t>
      </w:r>
      <w:r w:rsidR="00C734BB">
        <w:rPr>
          <w:color w:val="000000"/>
        </w:rPr>
        <w:t xml:space="preserve">ubsection </w:t>
      </w:r>
      <w:r>
        <w:rPr>
          <w:color w:val="000000"/>
        </w:rPr>
        <w:t>1</w:t>
      </w:r>
      <w:r w:rsidR="00CD1C16">
        <w:rPr>
          <w:color w:val="000000"/>
        </w:rPr>
        <w:t>6</w:t>
      </w:r>
      <w:r w:rsidR="00C734BB">
        <w:rPr>
          <w:color w:val="000000"/>
        </w:rPr>
        <w:t>(1)</w:t>
      </w:r>
      <w:r>
        <w:rPr>
          <w:color w:val="000000"/>
        </w:rPr>
        <w:t xml:space="preserve"> requires that if </w:t>
      </w:r>
      <w:r w:rsidRPr="00141E5B">
        <w:rPr>
          <w:color w:val="000000"/>
        </w:rPr>
        <w:t xml:space="preserve">equipment is removed from a site as </w:t>
      </w:r>
      <w:r w:rsidR="000A3B4B">
        <w:rPr>
          <w:color w:val="000000"/>
        </w:rPr>
        <w:t>part of</w:t>
      </w:r>
      <w:r w:rsidR="00884415">
        <w:rPr>
          <w:color w:val="000000"/>
        </w:rPr>
        <w:t xml:space="preserve"> a project</w:t>
      </w:r>
      <w:r w:rsidR="00946485">
        <w:rPr>
          <w:color w:val="000000"/>
        </w:rPr>
        <w:t xml:space="preserve">, or in association with </w:t>
      </w:r>
      <w:r w:rsidR="0004553B">
        <w:rPr>
          <w:color w:val="000000"/>
        </w:rPr>
        <w:t>a project</w:t>
      </w:r>
      <w:r w:rsidR="00946485">
        <w:rPr>
          <w:color w:val="000000"/>
        </w:rPr>
        <w:t>, and is replaced by equipment that is</w:t>
      </w:r>
      <w:r w:rsidR="00422C48">
        <w:rPr>
          <w:color w:val="000000"/>
        </w:rPr>
        <w:t>:</w:t>
      </w:r>
    </w:p>
    <w:p w14:paraId="73ED7FF8" w14:textId="77777777" w:rsidR="00946485" w:rsidRPr="0092051C" w:rsidRDefault="00946485" w:rsidP="00E7378F">
      <w:pPr>
        <w:pStyle w:val="ListBullet"/>
        <w:spacing w:after="120"/>
        <w:ind w:left="714" w:hanging="357"/>
      </w:pPr>
      <w:r w:rsidRPr="0092051C">
        <w:t xml:space="preserve">of the same type </w:t>
      </w:r>
    </w:p>
    <w:p w14:paraId="73ED7FF9" w14:textId="77777777" w:rsidR="00946485" w:rsidRPr="0092051C" w:rsidRDefault="00946485" w:rsidP="00E7378F">
      <w:pPr>
        <w:pStyle w:val="ListBullet"/>
        <w:spacing w:after="120"/>
      </w:pPr>
      <w:r w:rsidRPr="0092051C">
        <w:t>of similar capacity</w:t>
      </w:r>
      <w:r w:rsidR="00FE4965" w:rsidRPr="0092051C">
        <w:t>,</w:t>
      </w:r>
      <w:r w:rsidRPr="0092051C">
        <w:t xml:space="preserve"> and</w:t>
      </w:r>
    </w:p>
    <w:p w14:paraId="73ED7FFA" w14:textId="2A085346" w:rsidR="00946485" w:rsidRPr="0092051C" w:rsidRDefault="00946485" w:rsidP="00E7378F">
      <w:pPr>
        <w:pStyle w:val="ListBullet"/>
        <w:spacing w:after="120"/>
      </w:pPr>
      <w:r w:rsidRPr="0092051C">
        <w:t>materially more efficient than the existing equipment at its best efficiency point</w:t>
      </w:r>
      <w:r w:rsidR="0058414D" w:rsidRPr="0092051C">
        <w:t>,</w:t>
      </w:r>
    </w:p>
    <w:p w14:paraId="73ED7FFB" w14:textId="77777777" w:rsidR="00946485" w:rsidRPr="007A7965" w:rsidRDefault="00422C48" w:rsidP="00E7378F">
      <w:pPr>
        <w:pStyle w:val="tSubpara"/>
        <w:spacing w:before="0" w:after="120"/>
        <w:rPr>
          <w:color w:val="000000" w:themeColor="text1"/>
        </w:rPr>
      </w:pPr>
      <w:r w:rsidRPr="007A7965">
        <w:rPr>
          <w:color w:val="000000" w:themeColor="text1"/>
        </w:rPr>
        <w:t>then the removed equipment must be disposed of and not refurbished or re-used.</w:t>
      </w:r>
    </w:p>
    <w:p w14:paraId="73ED7FFC" w14:textId="327702B0" w:rsidR="000E0DD5" w:rsidRPr="007A7965" w:rsidRDefault="00A72838" w:rsidP="00E7378F">
      <w:pPr>
        <w:spacing w:before="0" w:after="120" w:line="240" w:lineRule="auto"/>
        <w:rPr>
          <w:color w:val="000000" w:themeColor="text1"/>
        </w:rPr>
      </w:pPr>
      <w:r w:rsidRPr="007A7965">
        <w:rPr>
          <w:color w:val="000000" w:themeColor="text1"/>
          <w:szCs w:val="24"/>
        </w:rPr>
        <w:t>An</w:t>
      </w:r>
      <w:r w:rsidR="00422C48" w:rsidRPr="007A7965">
        <w:rPr>
          <w:color w:val="000000" w:themeColor="text1"/>
          <w:szCs w:val="24"/>
        </w:rPr>
        <w:t xml:space="preserve"> example</w:t>
      </w:r>
      <w:r w:rsidR="000A3B4B" w:rsidRPr="007A7965">
        <w:rPr>
          <w:color w:val="000000" w:themeColor="text1"/>
          <w:szCs w:val="24"/>
        </w:rPr>
        <w:t xml:space="preserve"> </w:t>
      </w:r>
      <w:r w:rsidR="008853BE">
        <w:rPr>
          <w:color w:val="000000" w:themeColor="text1"/>
          <w:szCs w:val="24"/>
        </w:rPr>
        <w:t>is</w:t>
      </w:r>
      <w:r w:rsidR="00884415" w:rsidRPr="007A7965">
        <w:rPr>
          <w:color w:val="000000" w:themeColor="text1"/>
          <w:szCs w:val="24"/>
        </w:rPr>
        <w:t xml:space="preserve"> replacing</w:t>
      </w:r>
      <w:r w:rsidR="000E0DD5" w:rsidRPr="007A7965">
        <w:rPr>
          <w:color w:val="000000" w:themeColor="text1"/>
        </w:rPr>
        <w:t xml:space="preserve"> energy-consuming appliances with more efficient models. This </w:t>
      </w:r>
      <w:r w:rsidRPr="007A7965">
        <w:rPr>
          <w:color w:val="000000" w:themeColor="text1"/>
        </w:rPr>
        <w:t xml:space="preserve">clause </w:t>
      </w:r>
      <w:r w:rsidR="000E0DD5" w:rsidRPr="007A7965">
        <w:rPr>
          <w:color w:val="000000" w:themeColor="text1"/>
        </w:rPr>
        <w:t xml:space="preserve">ensures compliance with the offsets integrity standard that requires </w:t>
      </w:r>
      <w:r w:rsidR="00A65DED" w:rsidRPr="007A7965">
        <w:rPr>
          <w:color w:val="000000" w:themeColor="text1"/>
        </w:rPr>
        <w:t xml:space="preserve">any </w:t>
      </w:r>
      <w:r w:rsidR="000E0DD5" w:rsidRPr="007A7965">
        <w:rPr>
          <w:color w:val="000000" w:themeColor="text1"/>
        </w:rPr>
        <w:t>increase in emissions resulting from the project to be accounted for.</w:t>
      </w:r>
    </w:p>
    <w:p w14:paraId="73ED7FFD" w14:textId="77777777" w:rsidR="003C12AF" w:rsidRPr="007A7965" w:rsidRDefault="003C12AF" w:rsidP="00E7378F">
      <w:pPr>
        <w:pStyle w:val="tMain"/>
        <w:spacing w:before="0" w:after="120"/>
        <w:ind w:left="0" w:firstLine="0"/>
        <w:rPr>
          <w:color w:val="000000" w:themeColor="text1"/>
        </w:rPr>
      </w:pPr>
      <w:r w:rsidRPr="007A7965">
        <w:rPr>
          <w:color w:val="000000" w:themeColor="text1"/>
        </w:rPr>
        <w:t xml:space="preserve">Subsection </w:t>
      </w:r>
      <w:r w:rsidR="00CD1C16">
        <w:rPr>
          <w:color w:val="000000" w:themeColor="text1"/>
        </w:rPr>
        <w:t>16</w:t>
      </w:r>
      <w:r w:rsidRPr="007A7965">
        <w:rPr>
          <w:color w:val="000000" w:themeColor="text1"/>
        </w:rPr>
        <w:t xml:space="preserve">(2) explains that </w:t>
      </w:r>
      <w:r w:rsidR="009003F2" w:rsidRPr="007A7965">
        <w:rPr>
          <w:color w:val="000000" w:themeColor="text1"/>
        </w:rPr>
        <w:t xml:space="preserve">in </w:t>
      </w:r>
      <w:r w:rsidR="00622761">
        <w:rPr>
          <w:color w:val="000000" w:themeColor="text1"/>
        </w:rPr>
        <w:t xml:space="preserve">subparagraph </w:t>
      </w:r>
      <w:r w:rsidR="00CD1C16">
        <w:rPr>
          <w:color w:val="000000" w:themeColor="text1"/>
        </w:rPr>
        <w:t>16</w:t>
      </w:r>
      <w:r w:rsidR="009003F2" w:rsidRPr="007A7965">
        <w:rPr>
          <w:color w:val="000000" w:themeColor="text1"/>
        </w:rPr>
        <w:t xml:space="preserve">(1)(b)(i) </w:t>
      </w:r>
      <w:r w:rsidRPr="007A7965">
        <w:rPr>
          <w:color w:val="000000" w:themeColor="text1"/>
        </w:rPr>
        <w:t xml:space="preserve">the </w:t>
      </w:r>
      <w:r w:rsidRPr="007A7965">
        <w:rPr>
          <w:b/>
          <w:i/>
          <w:color w:val="000000" w:themeColor="text1"/>
        </w:rPr>
        <w:t>type</w:t>
      </w:r>
      <w:r w:rsidRPr="007A7965">
        <w:rPr>
          <w:color w:val="000000" w:themeColor="text1"/>
        </w:rPr>
        <w:t xml:space="preserve"> of a piece of equipment refers to the function it performs in the IE unit and the way it performs it. </w:t>
      </w:r>
    </w:p>
    <w:p w14:paraId="73ED7FFE" w14:textId="77777777" w:rsidR="003C12AF" w:rsidRPr="007A7965" w:rsidRDefault="003C12AF" w:rsidP="00E7378F">
      <w:pPr>
        <w:pStyle w:val="tMain"/>
        <w:spacing w:before="0" w:after="120"/>
        <w:ind w:left="0" w:firstLine="0"/>
        <w:rPr>
          <w:color w:val="000000" w:themeColor="text1"/>
        </w:rPr>
      </w:pPr>
      <w:r w:rsidRPr="007A7965">
        <w:rPr>
          <w:color w:val="000000" w:themeColor="text1"/>
        </w:rPr>
        <w:tab/>
      </w:r>
      <w:r w:rsidR="0053496E" w:rsidRPr="007A7965">
        <w:rPr>
          <w:color w:val="000000" w:themeColor="text1"/>
        </w:rPr>
        <w:t xml:space="preserve">Subsection </w:t>
      </w:r>
      <w:r w:rsidR="00CD1C16">
        <w:rPr>
          <w:color w:val="000000" w:themeColor="text1"/>
        </w:rPr>
        <w:t>16</w:t>
      </w:r>
      <w:r w:rsidR="0053496E" w:rsidRPr="007A7965">
        <w:rPr>
          <w:color w:val="000000" w:themeColor="text1"/>
        </w:rPr>
        <w:t>(</w:t>
      </w:r>
      <w:r w:rsidR="0004553B">
        <w:rPr>
          <w:color w:val="000000" w:themeColor="text1"/>
        </w:rPr>
        <w:t>3</w:t>
      </w:r>
      <w:r w:rsidR="0053496E" w:rsidRPr="007A7965">
        <w:rPr>
          <w:color w:val="000000" w:themeColor="text1"/>
        </w:rPr>
        <w:t xml:space="preserve">) explains that </w:t>
      </w:r>
      <w:r w:rsidR="009003F2" w:rsidRPr="007A7965">
        <w:rPr>
          <w:color w:val="000000" w:themeColor="text1"/>
        </w:rPr>
        <w:t xml:space="preserve">in </w:t>
      </w:r>
      <w:r w:rsidR="00622761">
        <w:rPr>
          <w:color w:val="000000" w:themeColor="text1"/>
        </w:rPr>
        <w:t xml:space="preserve">subparagraph </w:t>
      </w:r>
      <w:r w:rsidR="00CD1C16">
        <w:rPr>
          <w:color w:val="000000" w:themeColor="text1"/>
        </w:rPr>
        <w:t>16</w:t>
      </w:r>
      <w:r w:rsidR="009003F2" w:rsidRPr="007A7965">
        <w:rPr>
          <w:color w:val="000000" w:themeColor="text1"/>
        </w:rPr>
        <w:t xml:space="preserve">(1)(b)(ii) </w:t>
      </w:r>
      <w:r w:rsidRPr="007A7965">
        <w:rPr>
          <w:color w:val="000000" w:themeColor="text1"/>
        </w:rPr>
        <w:t xml:space="preserve">the </w:t>
      </w:r>
      <w:r w:rsidRPr="007A7965">
        <w:rPr>
          <w:b/>
          <w:i/>
          <w:color w:val="000000" w:themeColor="text1"/>
        </w:rPr>
        <w:t>capacity</w:t>
      </w:r>
      <w:r w:rsidRPr="007A7965">
        <w:rPr>
          <w:color w:val="000000" w:themeColor="text1"/>
        </w:rPr>
        <w:t xml:space="preserve"> of a piece of equipment means the appropriate measurable capacity in relation to its function</w:t>
      </w:r>
      <w:r w:rsidR="000F3DB4">
        <w:rPr>
          <w:color w:val="000000" w:themeColor="text1"/>
        </w:rPr>
        <w:t>, such as the</w:t>
      </w:r>
      <w:r w:rsidRPr="007A7965">
        <w:rPr>
          <w:color w:val="000000" w:themeColor="text1"/>
        </w:rPr>
        <w:t xml:space="preserve"> power output</w:t>
      </w:r>
      <w:r w:rsidR="000F3DB4">
        <w:rPr>
          <w:color w:val="000000" w:themeColor="text1"/>
        </w:rPr>
        <w:t xml:space="preserve"> of a motor.</w:t>
      </w:r>
      <w:r w:rsidR="0053496E" w:rsidRPr="007A7965">
        <w:rPr>
          <w:color w:val="000000" w:themeColor="text1"/>
        </w:rPr>
        <w:t xml:space="preserve"> T</w:t>
      </w:r>
      <w:r w:rsidRPr="007A7965">
        <w:rPr>
          <w:color w:val="000000" w:themeColor="text1"/>
        </w:rPr>
        <w:t>wo items of equipment are of similar capacity if the difference between their measures of capacity is no more than</w:t>
      </w:r>
      <w:r w:rsidR="00FE4965">
        <w:rPr>
          <w:color w:val="000000" w:themeColor="text1"/>
        </w:rPr>
        <w:t xml:space="preserve"> five per cent</w:t>
      </w:r>
      <w:r w:rsidRPr="007A7965">
        <w:rPr>
          <w:color w:val="000000" w:themeColor="text1"/>
        </w:rPr>
        <w:t xml:space="preserve"> of the smaller</w:t>
      </w:r>
      <w:r w:rsidR="00C02E1F">
        <w:rPr>
          <w:color w:val="000000" w:themeColor="text1"/>
        </w:rPr>
        <w:t xml:space="preserve"> capacity</w:t>
      </w:r>
      <w:r w:rsidRPr="007A7965">
        <w:rPr>
          <w:color w:val="000000" w:themeColor="text1"/>
        </w:rPr>
        <w:t>.</w:t>
      </w:r>
    </w:p>
    <w:p w14:paraId="73ED7FFF" w14:textId="77777777" w:rsidR="009E7311" w:rsidRPr="009E7311" w:rsidRDefault="0092004F" w:rsidP="00E7378F">
      <w:pPr>
        <w:spacing w:before="0" w:after="120" w:line="240" w:lineRule="auto"/>
        <w:rPr>
          <w:color w:val="000000"/>
        </w:rPr>
      </w:pPr>
      <w:r w:rsidRPr="009E7311">
        <w:rPr>
          <w:color w:val="000000"/>
        </w:rPr>
        <w:t>Subsection</w:t>
      </w:r>
      <w:r w:rsidR="00C734BB" w:rsidRPr="009E7311">
        <w:rPr>
          <w:color w:val="000000"/>
        </w:rPr>
        <w:t xml:space="preserve"> </w:t>
      </w:r>
      <w:r w:rsidR="00CD1C16">
        <w:rPr>
          <w:color w:val="000000"/>
        </w:rPr>
        <w:t>16</w:t>
      </w:r>
      <w:r w:rsidR="00760B76" w:rsidRPr="009E7311">
        <w:rPr>
          <w:color w:val="000000"/>
        </w:rPr>
        <w:t>(</w:t>
      </w:r>
      <w:r w:rsidR="005617D8" w:rsidRPr="009E7311">
        <w:rPr>
          <w:color w:val="000000"/>
        </w:rPr>
        <w:t>4</w:t>
      </w:r>
      <w:r w:rsidR="00760B76" w:rsidRPr="009E7311">
        <w:rPr>
          <w:color w:val="000000"/>
        </w:rPr>
        <w:t>)</w:t>
      </w:r>
      <w:r w:rsidRPr="009E7311">
        <w:rPr>
          <w:color w:val="000000"/>
        </w:rPr>
        <w:t xml:space="preserve"> </w:t>
      </w:r>
      <w:r w:rsidR="00C734BB" w:rsidRPr="009E7311">
        <w:rPr>
          <w:color w:val="000000"/>
        </w:rPr>
        <w:t xml:space="preserve">sets out that </w:t>
      </w:r>
      <w:r w:rsidR="009E7311" w:rsidRPr="009E7311">
        <w:rPr>
          <w:color w:val="000000"/>
        </w:rPr>
        <w:t>for paragraph</w:t>
      </w:r>
      <w:r w:rsidR="006B4707">
        <w:rPr>
          <w:color w:val="000000"/>
        </w:rPr>
        <w:t xml:space="preserve"> </w:t>
      </w:r>
      <w:r w:rsidR="00CD1C16">
        <w:rPr>
          <w:color w:val="000000"/>
        </w:rPr>
        <w:t>16</w:t>
      </w:r>
      <w:r w:rsidR="006B4707">
        <w:rPr>
          <w:color w:val="000000"/>
        </w:rPr>
        <w:t>(1)(b)(iii)</w:t>
      </w:r>
      <w:r w:rsidR="009E7311" w:rsidRPr="009E7311">
        <w:rPr>
          <w:color w:val="000000"/>
        </w:rPr>
        <w:t>, a replacement item of equipment is materially more efficient than the existing equipment if its energy efficiency or energy intensity at the best efficiency point is more than</w:t>
      </w:r>
      <w:r w:rsidR="009E7311">
        <w:rPr>
          <w:color w:val="000000"/>
        </w:rPr>
        <w:t xml:space="preserve"> five per cent</w:t>
      </w:r>
      <w:r w:rsidR="009E7311" w:rsidRPr="009E7311">
        <w:rPr>
          <w:color w:val="000000"/>
        </w:rPr>
        <w:t xml:space="preserve"> greater.</w:t>
      </w:r>
      <w:r w:rsidR="009E7311">
        <w:rPr>
          <w:color w:val="000000"/>
        </w:rPr>
        <w:t xml:space="preserve"> For example, a boiler with a maximum efficiency of 85 per cent would be materially more efficient than a boiler with an efficiency of conversion of fuel into steam energy (enthalpy) of 79 per cent. </w:t>
      </w:r>
    </w:p>
    <w:p w14:paraId="73ED8000" w14:textId="77777777" w:rsidR="0057489E" w:rsidRDefault="000D067C" w:rsidP="00E7378F">
      <w:pPr>
        <w:pStyle w:val="tMain"/>
        <w:spacing w:before="0" w:after="120" w:line="240" w:lineRule="auto"/>
        <w:ind w:left="0" w:firstLine="0"/>
        <w:jc w:val="left"/>
        <w:rPr>
          <w:color w:val="000000" w:themeColor="text1"/>
        </w:rPr>
      </w:pPr>
      <w:r>
        <w:rPr>
          <w:color w:val="000000" w:themeColor="text1"/>
        </w:rPr>
        <w:t>A</w:t>
      </w:r>
      <w:r w:rsidR="0092004F" w:rsidRPr="007A7965">
        <w:rPr>
          <w:color w:val="000000" w:themeColor="text1"/>
        </w:rPr>
        <w:t xml:space="preserve">n item of energy consuming equipment or </w:t>
      </w:r>
      <w:r w:rsidR="003C12AF" w:rsidRPr="007A7965">
        <w:rPr>
          <w:color w:val="000000" w:themeColor="text1"/>
        </w:rPr>
        <w:t xml:space="preserve">a </w:t>
      </w:r>
      <w:r w:rsidR="0092004F" w:rsidRPr="007A7965">
        <w:rPr>
          <w:color w:val="000000" w:themeColor="text1"/>
        </w:rPr>
        <w:t xml:space="preserve">component that is removed </w:t>
      </w:r>
      <w:r w:rsidR="003C12AF" w:rsidRPr="007A7965">
        <w:rPr>
          <w:color w:val="000000" w:themeColor="text1"/>
        </w:rPr>
        <w:t xml:space="preserve">may </w:t>
      </w:r>
      <w:r w:rsidR="0092004F" w:rsidRPr="007A7965">
        <w:rPr>
          <w:color w:val="000000" w:themeColor="text1"/>
        </w:rPr>
        <w:t xml:space="preserve">be broken down into components and recycled, </w:t>
      </w:r>
      <w:r w:rsidR="00C734BB" w:rsidRPr="007A7965">
        <w:rPr>
          <w:color w:val="000000" w:themeColor="text1"/>
        </w:rPr>
        <w:t>provided that recycled</w:t>
      </w:r>
      <w:r w:rsidR="00073BAF">
        <w:rPr>
          <w:color w:val="000000" w:themeColor="text1"/>
        </w:rPr>
        <w:t xml:space="preserve"> </w:t>
      </w:r>
      <w:r w:rsidR="00C734BB" w:rsidRPr="007A7965">
        <w:rPr>
          <w:color w:val="000000" w:themeColor="text1"/>
        </w:rPr>
        <w:t xml:space="preserve">components are not </w:t>
      </w:r>
      <w:r w:rsidR="0092004F" w:rsidRPr="007A7965">
        <w:rPr>
          <w:color w:val="000000" w:themeColor="text1"/>
        </w:rPr>
        <w:t>use</w:t>
      </w:r>
      <w:r w:rsidR="00C734BB" w:rsidRPr="007A7965">
        <w:rPr>
          <w:color w:val="000000" w:themeColor="text1"/>
        </w:rPr>
        <w:t xml:space="preserve">d </w:t>
      </w:r>
      <w:r w:rsidR="0092004F" w:rsidRPr="007A7965">
        <w:rPr>
          <w:color w:val="000000" w:themeColor="text1"/>
        </w:rPr>
        <w:t>in an application with the same primary purpose as the original energy consuming equipment.</w:t>
      </w:r>
      <w:r w:rsidR="00C734BB" w:rsidRPr="007A7965">
        <w:rPr>
          <w:color w:val="000000" w:themeColor="text1"/>
        </w:rPr>
        <w:t xml:space="preserve"> </w:t>
      </w:r>
    </w:p>
    <w:p w14:paraId="73ED8001" w14:textId="07F2C7E7" w:rsidR="0057489E" w:rsidRPr="0057489E" w:rsidRDefault="00073BAF" w:rsidP="00E7378F">
      <w:pPr>
        <w:pStyle w:val="tMain"/>
        <w:spacing w:before="0" w:after="120" w:line="240" w:lineRule="auto"/>
        <w:ind w:left="0" w:firstLine="0"/>
        <w:jc w:val="left"/>
        <w:rPr>
          <w:color w:val="000000" w:themeColor="text1"/>
        </w:rPr>
      </w:pPr>
      <w:r w:rsidRPr="0057489E">
        <w:rPr>
          <w:color w:val="000000" w:themeColor="text1"/>
        </w:rPr>
        <w:t xml:space="preserve">Notes to section </w:t>
      </w:r>
      <w:r w:rsidR="00CD1C16">
        <w:rPr>
          <w:color w:val="000000" w:themeColor="text1"/>
        </w:rPr>
        <w:t>16</w:t>
      </w:r>
      <w:r w:rsidRPr="0057489E">
        <w:rPr>
          <w:color w:val="000000" w:themeColor="text1"/>
        </w:rPr>
        <w:t xml:space="preserve"> clarify that disposal is not required where the item is replaced by one that is substantially different to the original, not merely more efficient. This includes, for example</w:t>
      </w:r>
      <w:r w:rsidR="00F9320E" w:rsidRPr="0057489E">
        <w:rPr>
          <w:color w:val="000000" w:themeColor="text1"/>
        </w:rPr>
        <w:t>, replacing</w:t>
      </w:r>
      <w:r w:rsidRPr="0057489E">
        <w:rPr>
          <w:color w:val="000000" w:themeColor="text1"/>
        </w:rPr>
        <w:t xml:space="preserve"> a motor with a less powerful one that is still adequate for the job, or replacing an air compressor or pump with a different type that has better part-load </w:t>
      </w:r>
      <w:r w:rsidRPr="0057489E">
        <w:t xml:space="preserve">performance. </w:t>
      </w:r>
      <w:r w:rsidR="0057489E">
        <w:rPr>
          <w:color w:val="000000" w:themeColor="text1"/>
        </w:rPr>
        <w:t xml:space="preserve">In this way, </w:t>
      </w:r>
      <w:r w:rsidR="0057489E" w:rsidRPr="0057489E">
        <w:rPr>
          <w:color w:val="000000" w:themeColor="text1"/>
        </w:rPr>
        <w:t>the</w:t>
      </w:r>
      <w:r w:rsidR="0057489E">
        <w:rPr>
          <w:color w:val="000000" w:themeColor="text1"/>
        </w:rPr>
        <w:t xml:space="preserve"> Determination</w:t>
      </w:r>
      <w:r w:rsidR="0057489E" w:rsidRPr="0057489E">
        <w:rPr>
          <w:color w:val="000000" w:themeColor="text1"/>
        </w:rPr>
        <w:t xml:space="preserve"> allows for equipment that is reasonably efficient to be used as spare parts, or used in a more appropriate application. It does not restrict proponents from on-selling equipment that is not fundamentally inefficient</w:t>
      </w:r>
      <w:r w:rsidR="007C7BAC">
        <w:rPr>
          <w:color w:val="000000" w:themeColor="text1"/>
        </w:rPr>
        <w:t xml:space="preserve">. In this way the method allows users </w:t>
      </w:r>
      <w:r w:rsidR="00F9320E">
        <w:rPr>
          <w:color w:val="000000" w:themeColor="text1"/>
        </w:rPr>
        <w:t>to reconfigure</w:t>
      </w:r>
      <w:r w:rsidR="007C7BAC">
        <w:rPr>
          <w:color w:val="000000" w:themeColor="text1"/>
        </w:rPr>
        <w:t xml:space="preserve"> equipme</w:t>
      </w:r>
      <w:r w:rsidR="00EA1E8F">
        <w:rPr>
          <w:color w:val="000000" w:themeColor="text1"/>
        </w:rPr>
        <w:t>nt in the unit to better match</w:t>
      </w:r>
      <w:r w:rsidR="007C7BAC">
        <w:rPr>
          <w:color w:val="000000" w:themeColor="text1"/>
        </w:rPr>
        <w:t xml:space="preserve"> the load profile of the site</w:t>
      </w:r>
      <w:r w:rsidR="00D905D4">
        <w:rPr>
          <w:color w:val="000000" w:themeColor="text1"/>
        </w:rPr>
        <w:t xml:space="preserve">—the type of measure identified through </w:t>
      </w:r>
      <w:r w:rsidR="007C7BAC">
        <w:rPr>
          <w:color w:val="000000" w:themeColor="text1"/>
        </w:rPr>
        <w:t xml:space="preserve">a detailed energy audit </w:t>
      </w:r>
      <w:r w:rsidR="00D905D4">
        <w:rPr>
          <w:color w:val="000000" w:themeColor="text1"/>
        </w:rPr>
        <w:t xml:space="preserve">according to </w:t>
      </w:r>
      <w:r w:rsidR="00D905D4" w:rsidRPr="00F04178">
        <w:rPr>
          <w:i/>
          <w:color w:val="000000" w:themeColor="text1"/>
        </w:rPr>
        <w:t>AS/NZS3598.2:2014</w:t>
      </w:r>
      <w:r w:rsidR="007C7BAC">
        <w:rPr>
          <w:color w:val="000000" w:themeColor="text1"/>
        </w:rPr>
        <w:t>.</w:t>
      </w:r>
    </w:p>
    <w:p w14:paraId="73ED8002" w14:textId="77777777" w:rsidR="00C02E1F" w:rsidRPr="007A7965" w:rsidRDefault="00073BAF" w:rsidP="00E7378F">
      <w:pPr>
        <w:pStyle w:val="tMain"/>
        <w:spacing w:before="0" w:after="120" w:line="240" w:lineRule="auto"/>
        <w:ind w:left="0" w:firstLine="0"/>
        <w:jc w:val="left"/>
        <w:rPr>
          <w:color w:val="000000" w:themeColor="text1"/>
        </w:rPr>
      </w:pPr>
      <w:r>
        <w:lastRenderedPageBreak/>
        <w:t>W</w:t>
      </w:r>
      <w:r w:rsidR="00C02E1F">
        <w:rPr>
          <w:color w:val="000000" w:themeColor="text1"/>
        </w:rPr>
        <w:t xml:space="preserve">here disposal is required under subsection </w:t>
      </w:r>
      <w:r w:rsidR="00CD1C16">
        <w:rPr>
          <w:color w:val="000000" w:themeColor="text1"/>
        </w:rPr>
        <w:t>16</w:t>
      </w:r>
      <w:r w:rsidR="00C02E1F">
        <w:rPr>
          <w:color w:val="000000" w:themeColor="text1"/>
        </w:rPr>
        <w:t>(1)</w:t>
      </w:r>
      <w:r w:rsidR="00C02E1F" w:rsidRPr="007A7965">
        <w:rPr>
          <w:color w:val="000000" w:themeColor="text1"/>
        </w:rPr>
        <w:t>, the project proponent may comply with this clause by:</w:t>
      </w:r>
    </w:p>
    <w:p w14:paraId="73ED8003" w14:textId="77777777" w:rsidR="00C02E1F" w:rsidRPr="0092051C" w:rsidRDefault="00C02E1F" w:rsidP="00E7378F">
      <w:pPr>
        <w:pStyle w:val="ListBullet"/>
        <w:spacing w:after="120"/>
        <w:ind w:left="714" w:hanging="357"/>
      </w:pPr>
      <w:r w:rsidRPr="0092051C">
        <w:t>rendering any components that have been removed not usable or refurbishable before disposal</w:t>
      </w:r>
      <w:r w:rsidR="00FE4965" w:rsidRPr="0092051C">
        <w:t>,</w:t>
      </w:r>
      <w:r w:rsidRPr="0092051C">
        <w:t xml:space="preserve"> or</w:t>
      </w:r>
    </w:p>
    <w:p w14:paraId="73ED8004" w14:textId="77777777" w:rsidR="009003F2" w:rsidRPr="0092051C" w:rsidRDefault="00C02E1F" w:rsidP="00E7378F">
      <w:pPr>
        <w:pStyle w:val="ListBullet"/>
        <w:spacing w:after="120"/>
      </w:pPr>
      <w:r w:rsidRPr="0092051C">
        <w:t>selling or otherwise transferring removed components to a third party such as a scrap dealer or recycling business if they receive an assurance that the components will not be refurbished or re</w:t>
      </w:r>
      <w:r w:rsidRPr="0092051C">
        <w:noBreakHyphen/>
        <w:t xml:space="preserve">used. </w:t>
      </w:r>
    </w:p>
    <w:p w14:paraId="73ED8005" w14:textId="7E6C1A72" w:rsidR="000E0DD5" w:rsidRDefault="000E0DD5" w:rsidP="00E7378F">
      <w:pPr>
        <w:spacing w:before="0" w:after="240" w:line="240" w:lineRule="auto"/>
      </w:pPr>
      <w:r w:rsidRPr="00141E5B">
        <w:t xml:space="preserve">Under </w:t>
      </w:r>
      <w:r w:rsidR="0004553B">
        <w:t>sub</w:t>
      </w:r>
      <w:r w:rsidRPr="00141E5B">
        <w:t>section 3</w:t>
      </w:r>
      <w:r>
        <w:t>6</w:t>
      </w:r>
      <w:r w:rsidR="009B0B72">
        <w:t>(2</w:t>
      </w:r>
      <w:r w:rsidR="0004553B">
        <w:t>)</w:t>
      </w:r>
      <w:r w:rsidRPr="00141E5B">
        <w:t xml:space="preserve"> of the Determination, project proponents </w:t>
      </w:r>
      <w:r>
        <w:t>are further</w:t>
      </w:r>
      <w:r w:rsidRPr="00141E5B">
        <w:t xml:space="preserve"> required to keep a record of the disposal of equipment, including evidence that the disposal was conducted in accordance with any other applicable legislative requirements. </w:t>
      </w:r>
    </w:p>
    <w:p w14:paraId="73ED8006" w14:textId="77777777" w:rsidR="000E0DD5" w:rsidRPr="00141E5B" w:rsidRDefault="00C73993" w:rsidP="00E7378F">
      <w:pPr>
        <w:pStyle w:val="ESA1Part"/>
        <w:spacing w:before="0" w:after="240"/>
      </w:pPr>
      <w:r>
        <w:lastRenderedPageBreak/>
        <w:t>Part 4</w:t>
      </w:r>
      <w:r>
        <w:tab/>
      </w:r>
      <w:r w:rsidR="000E0DD5" w:rsidRPr="00141E5B">
        <w:t>Net abatement amount</w:t>
      </w:r>
    </w:p>
    <w:p w14:paraId="73ED8007" w14:textId="77777777" w:rsidR="000E0DD5" w:rsidRPr="00141E5B" w:rsidRDefault="000E0DD5" w:rsidP="00E7378F">
      <w:pPr>
        <w:pStyle w:val="ESA2Division"/>
        <w:spacing w:before="0" w:after="240" w:line="240" w:lineRule="auto"/>
      </w:pPr>
      <w:r w:rsidRPr="00141E5B">
        <w:t xml:space="preserve">Division 1 </w:t>
      </w:r>
      <w:r w:rsidRPr="00141E5B">
        <w:tab/>
        <w:t>Preliminary</w:t>
      </w:r>
    </w:p>
    <w:p w14:paraId="73ED8008" w14:textId="77777777" w:rsidR="000E0DD5" w:rsidRPr="00141E5B" w:rsidRDefault="000E0DD5" w:rsidP="00B95886">
      <w:pPr>
        <w:pStyle w:val="ESA4Section"/>
        <w:spacing w:before="0" w:after="120"/>
      </w:pPr>
      <w:r>
        <w:t>1</w:t>
      </w:r>
      <w:r w:rsidR="00CD1C16">
        <w:t>7</w:t>
      </w:r>
      <w:r w:rsidRPr="00141E5B">
        <w:tab/>
        <w:t>Operation of this Part</w:t>
      </w:r>
    </w:p>
    <w:p w14:paraId="73ED800A" w14:textId="3A9BDB0F" w:rsidR="000A3B4B" w:rsidRPr="002F4C34" w:rsidRDefault="000E0DD5" w:rsidP="00B95886">
      <w:pPr>
        <w:spacing w:before="0" w:after="240" w:line="240" w:lineRule="auto"/>
      </w:pPr>
      <w:r w:rsidRPr="002F4C34">
        <w:t>Paragraph 106(1)(c) of the Act provides that a methodology determination must specify how to calculate the carbon dioxide equivalent (CO</w:t>
      </w:r>
      <w:r w:rsidRPr="002F4C34">
        <w:rPr>
          <w:vertAlign w:val="subscript"/>
        </w:rPr>
        <w:t>2</w:t>
      </w:r>
      <w:r w:rsidRPr="002F4C34">
        <w:t>-e) net abatement amount for a</w:t>
      </w:r>
      <w:r w:rsidR="000B29D0" w:rsidRPr="002F4C34">
        <w:t xml:space="preserve">n industrial equipment upgrade </w:t>
      </w:r>
      <w:r w:rsidRPr="002F4C34">
        <w:t>project in relation to a reporting period. Part 4 sets out this calculation.</w:t>
      </w:r>
    </w:p>
    <w:p w14:paraId="73ED800B" w14:textId="77777777" w:rsidR="000E0DD5" w:rsidRPr="00141E5B" w:rsidRDefault="000E0DD5" w:rsidP="00007F4C">
      <w:pPr>
        <w:pStyle w:val="ESA4Section"/>
        <w:spacing w:before="0" w:after="120"/>
      </w:pPr>
      <w:r>
        <w:t>1</w:t>
      </w:r>
      <w:r w:rsidR="00CD1C16">
        <w:t>8</w:t>
      </w:r>
      <w:r w:rsidRPr="00141E5B">
        <w:tab/>
        <w:t>Overview of gases accounted for in abatement calculations</w:t>
      </w:r>
    </w:p>
    <w:p w14:paraId="73ED800C" w14:textId="143F92DC" w:rsidR="000E0DD5" w:rsidRPr="00141E5B" w:rsidRDefault="000E0DD5" w:rsidP="009A7431">
      <w:pPr>
        <w:spacing w:before="0" w:line="240" w:lineRule="auto"/>
        <w:rPr>
          <w:rFonts w:eastAsia="Times New Roman"/>
          <w:lang w:eastAsia="en-AU"/>
        </w:rPr>
      </w:pPr>
      <w:r w:rsidRPr="00141E5B">
        <w:t xml:space="preserve">Section </w:t>
      </w:r>
      <w:r>
        <w:t>1</w:t>
      </w:r>
      <w:r w:rsidR="00FA2CE2">
        <w:t>8</w:t>
      </w:r>
      <w:r w:rsidRPr="00141E5B">
        <w:t xml:space="preserve"> provides a summary of the emissions sources assessed in the Determination in order to determine the net abatement amount. The emissions sources which need to be taken into account when calculating abatement for the project are set out in the following table:</w:t>
      </w:r>
      <w:r w:rsidRPr="00141E5B">
        <w:rPr>
          <w:rFonts w:eastAsia="Times New Roman"/>
          <w:lang w:eastAsia="en-AU"/>
        </w:rPr>
        <w:t xml:space="preserve"> </w:t>
      </w:r>
    </w:p>
    <w:tbl>
      <w:tblPr>
        <w:tblW w:w="9151" w:type="dxa"/>
        <w:jc w:val="center"/>
        <w:tblCellMar>
          <w:left w:w="0" w:type="dxa"/>
          <w:right w:w="0" w:type="dxa"/>
        </w:tblCellMar>
        <w:tblLook w:val="04A0" w:firstRow="1" w:lastRow="0" w:firstColumn="1" w:lastColumn="0" w:noHBand="0" w:noVBand="1"/>
      </w:tblPr>
      <w:tblGrid>
        <w:gridCol w:w="108"/>
        <w:gridCol w:w="653"/>
        <w:gridCol w:w="61"/>
        <w:gridCol w:w="2533"/>
        <w:gridCol w:w="804"/>
        <w:gridCol w:w="1729"/>
        <w:gridCol w:w="507"/>
        <w:gridCol w:w="2026"/>
        <w:gridCol w:w="730"/>
      </w:tblGrid>
      <w:tr w:rsidR="000E0DD5" w:rsidRPr="00141E5B" w14:paraId="73ED8011" w14:textId="77777777" w:rsidTr="008E6720">
        <w:trPr>
          <w:tblHeader/>
          <w:jc w:val="center"/>
        </w:trPr>
        <w:tc>
          <w:tcPr>
            <w:tcW w:w="761" w:type="dxa"/>
            <w:gridSpan w:val="2"/>
            <w:tcBorders>
              <w:top w:val="nil"/>
              <w:left w:val="nil"/>
              <w:bottom w:val="single" w:sz="12" w:space="0" w:color="auto"/>
              <w:right w:val="nil"/>
            </w:tcBorders>
          </w:tcPr>
          <w:p w14:paraId="73ED800D" w14:textId="77777777" w:rsidR="000E0DD5" w:rsidRPr="00C73993" w:rsidRDefault="000E0DD5" w:rsidP="00007F4C">
            <w:pPr>
              <w:pStyle w:val="TableHeading"/>
              <w:spacing w:before="0" w:after="120"/>
              <w:rPr>
                <w:rFonts w:eastAsia="Calibri"/>
              </w:rPr>
            </w:pPr>
          </w:p>
        </w:tc>
        <w:tc>
          <w:tcPr>
            <w:tcW w:w="3398" w:type="dxa"/>
            <w:gridSpan w:val="3"/>
            <w:tcBorders>
              <w:top w:val="nil"/>
              <w:left w:val="nil"/>
              <w:bottom w:val="single" w:sz="12" w:space="0" w:color="auto"/>
              <w:right w:val="nil"/>
            </w:tcBorders>
            <w:tcMar>
              <w:top w:w="0" w:type="dxa"/>
              <w:left w:w="108" w:type="dxa"/>
              <w:bottom w:w="0" w:type="dxa"/>
              <w:right w:w="108" w:type="dxa"/>
            </w:tcMar>
            <w:hideMark/>
          </w:tcPr>
          <w:p w14:paraId="73ED800E" w14:textId="77777777" w:rsidR="000E0DD5" w:rsidRPr="00C73993" w:rsidRDefault="000E0DD5" w:rsidP="00007F4C">
            <w:pPr>
              <w:pStyle w:val="TableHeading"/>
              <w:rPr>
                <w:rFonts w:eastAsia="Calibri"/>
              </w:rPr>
            </w:pPr>
          </w:p>
        </w:tc>
        <w:tc>
          <w:tcPr>
            <w:tcW w:w="2236" w:type="dxa"/>
            <w:gridSpan w:val="2"/>
            <w:tcBorders>
              <w:top w:val="nil"/>
              <w:left w:val="nil"/>
              <w:bottom w:val="single" w:sz="12" w:space="0" w:color="auto"/>
              <w:right w:val="nil"/>
            </w:tcBorders>
            <w:tcMar>
              <w:top w:w="0" w:type="dxa"/>
              <w:left w:w="108" w:type="dxa"/>
              <w:bottom w:w="0" w:type="dxa"/>
              <w:right w:w="108" w:type="dxa"/>
            </w:tcMar>
            <w:hideMark/>
          </w:tcPr>
          <w:p w14:paraId="73ED800F" w14:textId="77777777" w:rsidR="000E0DD5" w:rsidRPr="00C73993" w:rsidRDefault="000E0DD5" w:rsidP="00007F4C">
            <w:pPr>
              <w:pStyle w:val="TableHeading"/>
              <w:rPr>
                <w:rFonts w:eastAsia="Calibri"/>
              </w:rPr>
            </w:pPr>
          </w:p>
        </w:tc>
        <w:tc>
          <w:tcPr>
            <w:tcW w:w="2756" w:type="dxa"/>
            <w:gridSpan w:val="2"/>
            <w:tcBorders>
              <w:top w:val="nil"/>
              <w:left w:val="nil"/>
              <w:bottom w:val="single" w:sz="12" w:space="0" w:color="auto"/>
              <w:right w:val="nil"/>
            </w:tcBorders>
            <w:tcMar>
              <w:top w:w="0" w:type="dxa"/>
              <w:left w:w="108" w:type="dxa"/>
              <w:bottom w:w="0" w:type="dxa"/>
              <w:right w:w="108" w:type="dxa"/>
            </w:tcMar>
            <w:hideMark/>
          </w:tcPr>
          <w:p w14:paraId="73ED8010" w14:textId="77777777" w:rsidR="000E0DD5" w:rsidRPr="00C73993" w:rsidRDefault="000E0DD5" w:rsidP="00007F4C">
            <w:pPr>
              <w:pStyle w:val="TableHeading"/>
              <w:rPr>
                <w:rFonts w:eastAsia="Calibri"/>
              </w:rPr>
            </w:pPr>
          </w:p>
        </w:tc>
      </w:tr>
      <w:tr w:rsidR="008E6720" w:rsidRPr="00BE1FD6" w14:paraId="73ED8013"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blHeader/>
        </w:trPr>
        <w:tc>
          <w:tcPr>
            <w:tcW w:w="8313" w:type="dxa"/>
            <w:gridSpan w:val="7"/>
            <w:tcBorders>
              <w:top w:val="single" w:sz="12" w:space="0" w:color="auto"/>
              <w:bottom w:val="single" w:sz="6" w:space="0" w:color="auto"/>
            </w:tcBorders>
            <w:shd w:val="clear" w:color="auto" w:fill="auto"/>
          </w:tcPr>
          <w:p w14:paraId="73ED8012" w14:textId="77777777" w:rsidR="008E6720" w:rsidRPr="008E6720" w:rsidRDefault="008E6720" w:rsidP="00007F4C">
            <w:pPr>
              <w:pStyle w:val="TableHeading"/>
            </w:pPr>
            <w:r w:rsidRPr="008E6720">
              <w:t>Greenhouse gases and emissions sources</w:t>
            </w:r>
          </w:p>
        </w:tc>
      </w:tr>
      <w:tr w:rsidR="008E6720" w:rsidRPr="00BE1FD6" w14:paraId="73ED8018"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blHeader/>
        </w:trPr>
        <w:tc>
          <w:tcPr>
            <w:tcW w:w="714" w:type="dxa"/>
            <w:gridSpan w:val="2"/>
            <w:tcBorders>
              <w:top w:val="single" w:sz="6" w:space="0" w:color="auto"/>
              <w:bottom w:val="single" w:sz="12" w:space="0" w:color="auto"/>
            </w:tcBorders>
            <w:shd w:val="clear" w:color="auto" w:fill="auto"/>
          </w:tcPr>
          <w:p w14:paraId="73ED8014" w14:textId="77777777" w:rsidR="008E6720" w:rsidRPr="008E6720" w:rsidRDefault="008E6720" w:rsidP="00007F4C">
            <w:pPr>
              <w:pStyle w:val="TableHeading"/>
            </w:pPr>
            <w:r w:rsidRPr="008E6720">
              <w:t>Item</w:t>
            </w:r>
          </w:p>
        </w:tc>
        <w:tc>
          <w:tcPr>
            <w:tcW w:w="2533" w:type="dxa"/>
            <w:tcBorders>
              <w:top w:val="single" w:sz="6" w:space="0" w:color="auto"/>
              <w:bottom w:val="single" w:sz="12" w:space="0" w:color="auto"/>
            </w:tcBorders>
            <w:shd w:val="clear" w:color="auto" w:fill="auto"/>
          </w:tcPr>
          <w:p w14:paraId="73ED8015" w14:textId="77777777" w:rsidR="008E6720" w:rsidRPr="008E6720" w:rsidRDefault="008E6720" w:rsidP="00007F4C">
            <w:pPr>
              <w:pStyle w:val="TableHeading"/>
            </w:pPr>
            <w:r w:rsidRPr="008E6720">
              <w:t>Relevant emissions calculation</w:t>
            </w:r>
          </w:p>
        </w:tc>
        <w:tc>
          <w:tcPr>
            <w:tcW w:w="2533" w:type="dxa"/>
            <w:gridSpan w:val="2"/>
            <w:tcBorders>
              <w:top w:val="single" w:sz="6" w:space="0" w:color="auto"/>
              <w:bottom w:val="single" w:sz="12" w:space="0" w:color="auto"/>
            </w:tcBorders>
            <w:shd w:val="clear" w:color="auto" w:fill="auto"/>
          </w:tcPr>
          <w:p w14:paraId="73ED8016" w14:textId="77777777" w:rsidR="008E6720" w:rsidRPr="008E6720" w:rsidRDefault="008E6720" w:rsidP="00007F4C">
            <w:pPr>
              <w:pStyle w:val="TableHeading"/>
            </w:pPr>
            <w:r w:rsidRPr="008E6720">
              <w:t>Emissions source</w:t>
            </w:r>
          </w:p>
        </w:tc>
        <w:tc>
          <w:tcPr>
            <w:tcW w:w="2533" w:type="dxa"/>
            <w:gridSpan w:val="2"/>
            <w:tcBorders>
              <w:top w:val="single" w:sz="6" w:space="0" w:color="auto"/>
              <w:bottom w:val="single" w:sz="12" w:space="0" w:color="auto"/>
            </w:tcBorders>
            <w:shd w:val="clear" w:color="auto" w:fill="auto"/>
          </w:tcPr>
          <w:p w14:paraId="73ED8017" w14:textId="77777777" w:rsidR="008E6720" w:rsidRPr="008E6720" w:rsidRDefault="008E6720" w:rsidP="00007F4C">
            <w:pPr>
              <w:pStyle w:val="TableHeading"/>
            </w:pPr>
            <w:r w:rsidRPr="008E6720">
              <w:t>Greenhouse gas</w:t>
            </w:r>
          </w:p>
        </w:tc>
      </w:tr>
      <w:tr w:rsidR="008E6720" w:rsidRPr="00BE1FD6" w14:paraId="73ED801F"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rPr>
        <w:tc>
          <w:tcPr>
            <w:tcW w:w="714" w:type="dxa"/>
            <w:gridSpan w:val="2"/>
            <w:tcBorders>
              <w:top w:val="single" w:sz="12" w:space="0" w:color="auto"/>
            </w:tcBorders>
            <w:shd w:val="clear" w:color="auto" w:fill="auto"/>
          </w:tcPr>
          <w:p w14:paraId="73ED8019" w14:textId="77777777" w:rsidR="008E6720" w:rsidRPr="008E6720" w:rsidRDefault="008E6720" w:rsidP="00007F4C">
            <w:pPr>
              <w:pStyle w:val="Tabletext"/>
            </w:pPr>
            <w:r w:rsidRPr="008E6720">
              <w:t>1</w:t>
            </w:r>
          </w:p>
        </w:tc>
        <w:tc>
          <w:tcPr>
            <w:tcW w:w="2533" w:type="dxa"/>
            <w:tcBorders>
              <w:top w:val="single" w:sz="12" w:space="0" w:color="auto"/>
            </w:tcBorders>
            <w:shd w:val="clear" w:color="auto" w:fill="auto"/>
          </w:tcPr>
          <w:p w14:paraId="73ED801A" w14:textId="77777777" w:rsidR="008E6720" w:rsidRPr="008E6720" w:rsidRDefault="008E6720" w:rsidP="00007F4C">
            <w:pPr>
              <w:pStyle w:val="Tabletext"/>
            </w:pPr>
            <w:r w:rsidRPr="008E6720">
              <w:t xml:space="preserve">Baseline emissions for an IE unit or sub-unit </w:t>
            </w:r>
          </w:p>
        </w:tc>
        <w:tc>
          <w:tcPr>
            <w:tcW w:w="2533" w:type="dxa"/>
            <w:gridSpan w:val="2"/>
            <w:tcBorders>
              <w:top w:val="single" w:sz="12" w:space="0" w:color="auto"/>
            </w:tcBorders>
            <w:shd w:val="clear" w:color="auto" w:fill="auto"/>
          </w:tcPr>
          <w:p w14:paraId="73ED801B" w14:textId="77777777" w:rsidR="008E6720" w:rsidRPr="008E6720" w:rsidRDefault="008E6720" w:rsidP="00007F4C">
            <w:pPr>
              <w:pStyle w:val="Tabletext"/>
            </w:pPr>
            <w:r w:rsidRPr="008E6720">
              <w:t>Fuel consumption emissions</w:t>
            </w:r>
          </w:p>
        </w:tc>
        <w:tc>
          <w:tcPr>
            <w:tcW w:w="2533" w:type="dxa"/>
            <w:gridSpan w:val="2"/>
            <w:tcBorders>
              <w:top w:val="single" w:sz="12" w:space="0" w:color="auto"/>
            </w:tcBorders>
            <w:shd w:val="clear" w:color="auto" w:fill="auto"/>
          </w:tcPr>
          <w:p w14:paraId="73ED801C" w14:textId="77777777" w:rsidR="008E6720" w:rsidRPr="008E6720" w:rsidRDefault="008E6720" w:rsidP="00007F4C">
            <w:pPr>
              <w:pStyle w:val="Tabletext"/>
            </w:pPr>
            <w:r w:rsidRPr="008E6720">
              <w:t>Carbon dioxide (CO</w:t>
            </w:r>
            <w:r w:rsidRPr="008E6720">
              <w:rPr>
                <w:vertAlign w:val="subscript"/>
              </w:rPr>
              <w:t>2</w:t>
            </w:r>
            <w:r w:rsidRPr="008E6720">
              <w:t>)</w:t>
            </w:r>
          </w:p>
          <w:p w14:paraId="73ED801D" w14:textId="77777777" w:rsidR="008E6720" w:rsidRPr="008E6720" w:rsidRDefault="008E6720" w:rsidP="00007F4C">
            <w:pPr>
              <w:pStyle w:val="Tabletext"/>
            </w:pPr>
            <w:r w:rsidRPr="008E6720">
              <w:t>Methane (CH</w:t>
            </w:r>
            <w:r w:rsidRPr="008E6720">
              <w:rPr>
                <w:vertAlign w:val="subscript"/>
              </w:rPr>
              <w:t>4</w:t>
            </w:r>
            <w:r w:rsidRPr="008E6720">
              <w:t>)</w:t>
            </w:r>
          </w:p>
          <w:p w14:paraId="73ED801E" w14:textId="77777777" w:rsidR="008E6720" w:rsidRPr="008E6720" w:rsidRDefault="008E6720" w:rsidP="00007F4C">
            <w:pPr>
              <w:pStyle w:val="Tabletext"/>
            </w:pPr>
            <w:r w:rsidRPr="008E6720">
              <w:t>Nitrous oxide (N</w:t>
            </w:r>
            <w:r w:rsidRPr="008E6720">
              <w:rPr>
                <w:vertAlign w:val="subscript"/>
              </w:rPr>
              <w:t>2</w:t>
            </w:r>
            <w:r w:rsidRPr="008E6720">
              <w:t>O)</w:t>
            </w:r>
          </w:p>
        </w:tc>
      </w:tr>
      <w:tr w:rsidR="008E6720" w:rsidRPr="00BE1FD6" w14:paraId="73ED8026"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rPr>
        <w:tc>
          <w:tcPr>
            <w:tcW w:w="714" w:type="dxa"/>
            <w:gridSpan w:val="2"/>
            <w:shd w:val="clear" w:color="auto" w:fill="auto"/>
          </w:tcPr>
          <w:p w14:paraId="73ED8020" w14:textId="77777777" w:rsidR="008E6720" w:rsidRPr="008E6720" w:rsidRDefault="008E6720" w:rsidP="00007F4C">
            <w:pPr>
              <w:pStyle w:val="Tabletext"/>
            </w:pPr>
            <w:r w:rsidRPr="008E6720">
              <w:t>2</w:t>
            </w:r>
          </w:p>
        </w:tc>
        <w:tc>
          <w:tcPr>
            <w:tcW w:w="2533" w:type="dxa"/>
            <w:shd w:val="clear" w:color="auto" w:fill="auto"/>
          </w:tcPr>
          <w:p w14:paraId="73ED8021" w14:textId="77777777" w:rsidR="008E6720" w:rsidRPr="008E6720" w:rsidRDefault="008E6720" w:rsidP="00007F4C">
            <w:pPr>
              <w:pStyle w:val="Tabletext"/>
            </w:pPr>
            <w:r w:rsidRPr="008E6720">
              <w:t xml:space="preserve">Baseline emissions for an IE unit or sub-unit </w:t>
            </w:r>
          </w:p>
        </w:tc>
        <w:tc>
          <w:tcPr>
            <w:tcW w:w="2533" w:type="dxa"/>
            <w:gridSpan w:val="2"/>
            <w:shd w:val="clear" w:color="auto" w:fill="auto"/>
          </w:tcPr>
          <w:p w14:paraId="73ED8022" w14:textId="77777777" w:rsidR="008E6720" w:rsidRPr="008E6720" w:rsidRDefault="008E6720" w:rsidP="00007F4C">
            <w:pPr>
              <w:pStyle w:val="Tabletext"/>
            </w:pPr>
            <w:r w:rsidRPr="008E6720">
              <w:t>Electricity consumption emissions</w:t>
            </w:r>
          </w:p>
        </w:tc>
        <w:tc>
          <w:tcPr>
            <w:tcW w:w="2533" w:type="dxa"/>
            <w:gridSpan w:val="2"/>
            <w:shd w:val="clear" w:color="auto" w:fill="auto"/>
          </w:tcPr>
          <w:p w14:paraId="73ED8023" w14:textId="77777777" w:rsidR="008E6720" w:rsidRPr="008E6720" w:rsidRDefault="008E6720" w:rsidP="00007F4C">
            <w:pPr>
              <w:pStyle w:val="Tabletext"/>
            </w:pPr>
            <w:r w:rsidRPr="008E6720">
              <w:t>Carbon dioxide (CO</w:t>
            </w:r>
            <w:r w:rsidRPr="008E6720">
              <w:rPr>
                <w:vertAlign w:val="subscript"/>
              </w:rPr>
              <w:t>2</w:t>
            </w:r>
            <w:r w:rsidRPr="008E6720">
              <w:t>)</w:t>
            </w:r>
          </w:p>
          <w:p w14:paraId="73ED8024" w14:textId="77777777" w:rsidR="008E6720" w:rsidRPr="008E6720" w:rsidRDefault="008E6720" w:rsidP="00007F4C">
            <w:pPr>
              <w:pStyle w:val="Tabletext"/>
            </w:pPr>
            <w:r w:rsidRPr="008E6720">
              <w:t>Methane (CH</w:t>
            </w:r>
            <w:r w:rsidRPr="008E6720">
              <w:rPr>
                <w:vertAlign w:val="subscript"/>
              </w:rPr>
              <w:t>4</w:t>
            </w:r>
            <w:r w:rsidRPr="008E6720">
              <w:t>)</w:t>
            </w:r>
          </w:p>
          <w:p w14:paraId="73ED8025" w14:textId="77777777" w:rsidR="008E6720" w:rsidRPr="008E6720" w:rsidRDefault="008E6720" w:rsidP="00007F4C">
            <w:pPr>
              <w:pStyle w:val="Tabletext"/>
            </w:pPr>
            <w:r w:rsidRPr="008E6720">
              <w:t>Nitrous oxide (N</w:t>
            </w:r>
            <w:r w:rsidRPr="008E6720">
              <w:rPr>
                <w:vertAlign w:val="subscript"/>
              </w:rPr>
              <w:t>2</w:t>
            </w:r>
            <w:r w:rsidRPr="008E6720">
              <w:t>O)</w:t>
            </w:r>
          </w:p>
        </w:tc>
      </w:tr>
      <w:tr w:rsidR="008E6720" w:rsidRPr="00BE1FD6" w14:paraId="73ED802D"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rPr>
        <w:tc>
          <w:tcPr>
            <w:tcW w:w="714" w:type="dxa"/>
            <w:gridSpan w:val="2"/>
            <w:shd w:val="clear" w:color="auto" w:fill="auto"/>
          </w:tcPr>
          <w:p w14:paraId="73ED8027" w14:textId="77777777" w:rsidR="008E6720" w:rsidRPr="008E6720" w:rsidRDefault="008E6720" w:rsidP="00007F4C">
            <w:pPr>
              <w:pStyle w:val="Tabletext"/>
            </w:pPr>
            <w:r w:rsidRPr="008E6720">
              <w:t>3</w:t>
            </w:r>
          </w:p>
        </w:tc>
        <w:tc>
          <w:tcPr>
            <w:tcW w:w="2533" w:type="dxa"/>
            <w:shd w:val="clear" w:color="auto" w:fill="auto"/>
          </w:tcPr>
          <w:p w14:paraId="73ED8028" w14:textId="77777777" w:rsidR="008E6720" w:rsidRPr="008E6720" w:rsidRDefault="008E6720" w:rsidP="00007F4C">
            <w:pPr>
              <w:pStyle w:val="Tabletext"/>
            </w:pPr>
            <w:r w:rsidRPr="008E6720">
              <w:t xml:space="preserve">Operating emissions or measured emissions for an IE unit or sub-unit </w:t>
            </w:r>
          </w:p>
        </w:tc>
        <w:tc>
          <w:tcPr>
            <w:tcW w:w="2533" w:type="dxa"/>
            <w:gridSpan w:val="2"/>
            <w:shd w:val="clear" w:color="auto" w:fill="auto"/>
          </w:tcPr>
          <w:p w14:paraId="73ED8029" w14:textId="77777777" w:rsidR="008E6720" w:rsidRPr="008E6720" w:rsidRDefault="008E6720" w:rsidP="00007F4C">
            <w:pPr>
              <w:pStyle w:val="Tabletext"/>
            </w:pPr>
            <w:r w:rsidRPr="008E6720">
              <w:t>Fuel consumption emissions</w:t>
            </w:r>
          </w:p>
        </w:tc>
        <w:tc>
          <w:tcPr>
            <w:tcW w:w="2533" w:type="dxa"/>
            <w:gridSpan w:val="2"/>
            <w:shd w:val="clear" w:color="auto" w:fill="auto"/>
          </w:tcPr>
          <w:p w14:paraId="73ED802A" w14:textId="77777777" w:rsidR="008E6720" w:rsidRPr="008E6720" w:rsidRDefault="008E6720" w:rsidP="00007F4C">
            <w:pPr>
              <w:pStyle w:val="Tabletext"/>
            </w:pPr>
            <w:r w:rsidRPr="008E6720">
              <w:t>Carbon dioxide (CO</w:t>
            </w:r>
            <w:r w:rsidRPr="008E6720">
              <w:rPr>
                <w:vertAlign w:val="subscript"/>
              </w:rPr>
              <w:t>2</w:t>
            </w:r>
            <w:r w:rsidRPr="008E6720">
              <w:t>)</w:t>
            </w:r>
          </w:p>
          <w:p w14:paraId="73ED802B" w14:textId="77777777" w:rsidR="008E6720" w:rsidRPr="008E6720" w:rsidRDefault="008E6720" w:rsidP="00007F4C">
            <w:pPr>
              <w:pStyle w:val="Tabletext"/>
            </w:pPr>
            <w:r w:rsidRPr="008E6720">
              <w:t>Methane (CH</w:t>
            </w:r>
            <w:r w:rsidRPr="008E6720">
              <w:rPr>
                <w:vertAlign w:val="subscript"/>
              </w:rPr>
              <w:t>4</w:t>
            </w:r>
            <w:r w:rsidRPr="008E6720">
              <w:t>)</w:t>
            </w:r>
          </w:p>
          <w:p w14:paraId="73ED802C" w14:textId="77777777" w:rsidR="008E6720" w:rsidRPr="008E6720" w:rsidRDefault="008E6720" w:rsidP="00007F4C">
            <w:pPr>
              <w:pStyle w:val="Tabletext"/>
            </w:pPr>
            <w:r w:rsidRPr="008E6720">
              <w:t>Nitrous oxide (N</w:t>
            </w:r>
            <w:r w:rsidRPr="008E6720">
              <w:rPr>
                <w:vertAlign w:val="subscript"/>
              </w:rPr>
              <w:t>2</w:t>
            </w:r>
            <w:r w:rsidRPr="008E6720">
              <w:t>O)</w:t>
            </w:r>
          </w:p>
        </w:tc>
      </w:tr>
      <w:tr w:rsidR="008E6720" w:rsidRPr="00BE1FD6" w14:paraId="73ED8034" w14:textId="77777777" w:rsidTr="008E6720">
        <w:tblPrEx>
          <w:jc w:val="left"/>
          <w:tblBorders>
            <w:top w:val="single" w:sz="4" w:space="0" w:color="auto"/>
            <w:bottom w:val="single" w:sz="2" w:space="0" w:color="auto"/>
            <w:insideH w:val="single" w:sz="4" w:space="0" w:color="auto"/>
          </w:tblBorders>
          <w:tblCellMar>
            <w:left w:w="108" w:type="dxa"/>
            <w:right w:w="108" w:type="dxa"/>
          </w:tblCellMar>
          <w:tblLook w:val="0000" w:firstRow="0" w:lastRow="0" w:firstColumn="0" w:lastColumn="0" w:noHBand="0" w:noVBand="0"/>
        </w:tblPrEx>
        <w:trPr>
          <w:gridBefore w:val="1"/>
          <w:gridAfter w:val="1"/>
          <w:wBefore w:w="108" w:type="dxa"/>
          <w:wAfter w:w="730" w:type="dxa"/>
        </w:trPr>
        <w:tc>
          <w:tcPr>
            <w:tcW w:w="714" w:type="dxa"/>
            <w:gridSpan w:val="2"/>
            <w:shd w:val="clear" w:color="auto" w:fill="auto"/>
          </w:tcPr>
          <w:p w14:paraId="73ED802E" w14:textId="77777777" w:rsidR="008E6720" w:rsidRPr="008E6720" w:rsidRDefault="008E6720" w:rsidP="00007F4C">
            <w:pPr>
              <w:pStyle w:val="Tabletext"/>
            </w:pPr>
            <w:r w:rsidRPr="008E6720">
              <w:t>4</w:t>
            </w:r>
          </w:p>
        </w:tc>
        <w:tc>
          <w:tcPr>
            <w:tcW w:w="2533" w:type="dxa"/>
            <w:shd w:val="clear" w:color="auto" w:fill="auto"/>
          </w:tcPr>
          <w:p w14:paraId="73ED802F" w14:textId="77777777" w:rsidR="008E6720" w:rsidRPr="008E6720" w:rsidRDefault="008E6720" w:rsidP="00007F4C">
            <w:pPr>
              <w:pStyle w:val="Tabletext"/>
            </w:pPr>
            <w:r w:rsidRPr="008E6720">
              <w:t xml:space="preserve">Operating emissions or measured emissions for an IE unit or sub-unit </w:t>
            </w:r>
          </w:p>
        </w:tc>
        <w:tc>
          <w:tcPr>
            <w:tcW w:w="2533" w:type="dxa"/>
            <w:gridSpan w:val="2"/>
            <w:shd w:val="clear" w:color="auto" w:fill="auto"/>
          </w:tcPr>
          <w:p w14:paraId="73ED8030" w14:textId="77777777" w:rsidR="008E6720" w:rsidRPr="008E6720" w:rsidRDefault="008E6720" w:rsidP="00007F4C">
            <w:pPr>
              <w:pStyle w:val="Tabletext"/>
            </w:pPr>
            <w:r w:rsidRPr="008E6720">
              <w:t>Electricity consumption emissions</w:t>
            </w:r>
          </w:p>
        </w:tc>
        <w:tc>
          <w:tcPr>
            <w:tcW w:w="2533" w:type="dxa"/>
            <w:gridSpan w:val="2"/>
            <w:shd w:val="clear" w:color="auto" w:fill="auto"/>
          </w:tcPr>
          <w:p w14:paraId="73ED8031" w14:textId="77777777" w:rsidR="008E6720" w:rsidRPr="008E6720" w:rsidRDefault="008E6720" w:rsidP="00007F4C">
            <w:pPr>
              <w:pStyle w:val="Tabletext"/>
            </w:pPr>
            <w:r w:rsidRPr="008E6720">
              <w:t>Carbon dioxide (CO</w:t>
            </w:r>
            <w:r w:rsidRPr="008E6720">
              <w:rPr>
                <w:vertAlign w:val="subscript"/>
              </w:rPr>
              <w:t>2</w:t>
            </w:r>
            <w:r w:rsidRPr="008E6720">
              <w:t>)</w:t>
            </w:r>
          </w:p>
          <w:p w14:paraId="73ED8032" w14:textId="77777777" w:rsidR="008E6720" w:rsidRPr="008E6720" w:rsidRDefault="008E6720" w:rsidP="00007F4C">
            <w:pPr>
              <w:pStyle w:val="Tabletext"/>
            </w:pPr>
            <w:r w:rsidRPr="008E6720">
              <w:t>Methane (CH</w:t>
            </w:r>
            <w:r w:rsidRPr="008E6720">
              <w:rPr>
                <w:vertAlign w:val="subscript"/>
              </w:rPr>
              <w:t>4</w:t>
            </w:r>
            <w:r w:rsidRPr="008E6720">
              <w:t>)</w:t>
            </w:r>
          </w:p>
          <w:p w14:paraId="73ED8033" w14:textId="77777777" w:rsidR="008E6720" w:rsidRPr="008E6720" w:rsidRDefault="008E6720" w:rsidP="00007F4C">
            <w:pPr>
              <w:pStyle w:val="Tabletext"/>
            </w:pPr>
            <w:r w:rsidRPr="008E6720">
              <w:t>Nitrous oxide (N</w:t>
            </w:r>
            <w:r w:rsidRPr="008E6720">
              <w:rPr>
                <w:vertAlign w:val="subscript"/>
              </w:rPr>
              <w:t>2</w:t>
            </w:r>
            <w:r w:rsidRPr="008E6720">
              <w:t>O)</w:t>
            </w:r>
          </w:p>
        </w:tc>
      </w:tr>
    </w:tbl>
    <w:p w14:paraId="73ED8036" w14:textId="7748C5D7" w:rsidR="000A3B4B" w:rsidRPr="00B95886" w:rsidRDefault="000E0DD5" w:rsidP="00B95886">
      <w:pPr>
        <w:spacing w:before="240" w:after="240" w:line="240" w:lineRule="auto"/>
      </w:pPr>
      <w:r w:rsidRPr="00141E5B">
        <w:t>The Determination covers scope 1 emissions from onsite fuel combustion and scope 2 emissions from electricity consumed onsite. It does not cover scope 3 emissions associated with the extraction and processing of fossil fuels or the manufacture, transportation, installation and disposal or decommissioning of building elements. It is a</w:t>
      </w:r>
      <w:r w:rsidR="00FE4965">
        <w:t xml:space="preserve">n ERF </w:t>
      </w:r>
      <w:r w:rsidRPr="00141E5B">
        <w:t xml:space="preserve">scheme-wide policy to exclude scope 3 emissions from baseline and project emissions sources. </w:t>
      </w:r>
    </w:p>
    <w:p w14:paraId="73ED8037" w14:textId="77777777" w:rsidR="008E6720" w:rsidRPr="00141E5B" w:rsidRDefault="008E6720" w:rsidP="00007F4C">
      <w:pPr>
        <w:pStyle w:val="ESA2Division"/>
        <w:spacing w:before="0" w:after="240" w:line="240" w:lineRule="auto"/>
      </w:pPr>
      <w:r w:rsidRPr="00141E5B">
        <w:t xml:space="preserve">Division </w:t>
      </w:r>
      <w:r>
        <w:t>2</w:t>
      </w:r>
      <w:r w:rsidRPr="00141E5B">
        <w:t xml:space="preserve"> </w:t>
      </w:r>
      <w:r w:rsidRPr="00141E5B">
        <w:tab/>
      </w:r>
      <w:r>
        <w:t>IE units and data to be used in calculations</w:t>
      </w:r>
    </w:p>
    <w:p w14:paraId="73ED8038" w14:textId="77777777" w:rsidR="000E0DD5" w:rsidRPr="00141E5B" w:rsidRDefault="00CD1C16" w:rsidP="00B95886">
      <w:pPr>
        <w:pStyle w:val="ESA4Section"/>
        <w:spacing w:before="0" w:after="120"/>
      </w:pPr>
      <w:r>
        <w:t>19</w:t>
      </w:r>
      <w:r w:rsidR="000E0DD5" w:rsidRPr="00141E5B">
        <w:tab/>
        <w:t>When a</w:t>
      </w:r>
      <w:r w:rsidR="008E6720">
        <w:t>n IE unit</w:t>
      </w:r>
      <w:r w:rsidR="000E0DD5" w:rsidRPr="00141E5B">
        <w:t xml:space="preserve"> </w:t>
      </w:r>
      <w:r w:rsidR="000A3B4B">
        <w:t>must be excluded from</w:t>
      </w:r>
      <w:r w:rsidR="000E0DD5" w:rsidRPr="00141E5B">
        <w:t xml:space="preserve"> calculations</w:t>
      </w:r>
    </w:p>
    <w:p w14:paraId="73ED8039" w14:textId="77777777" w:rsidR="000E0DD5" w:rsidRPr="00141E5B" w:rsidRDefault="000E0DD5" w:rsidP="00B95886">
      <w:pPr>
        <w:spacing w:before="0" w:after="120" w:line="240" w:lineRule="auto"/>
        <w:rPr>
          <w:lang w:eastAsia="en-AU"/>
        </w:rPr>
      </w:pPr>
      <w:r w:rsidRPr="00141E5B">
        <w:rPr>
          <w:lang w:eastAsia="en-AU"/>
        </w:rPr>
        <w:t xml:space="preserve">Section </w:t>
      </w:r>
      <w:r w:rsidR="00CD1C16">
        <w:rPr>
          <w:lang w:eastAsia="en-AU"/>
        </w:rPr>
        <w:t>19</w:t>
      </w:r>
      <w:r w:rsidR="00656509">
        <w:rPr>
          <w:lang w:eastAsia="en-AU"/>
        </w:rPr>
        <w:t xml:space="preserve"> </w:t>
      </w:r>
      <w:r w:rsidR="007A2642">
        <w:rPr>
          <w:lang w:eastAsia="en-AU"/>
        </w:rPr>
        <w:t xml:space="preserve">sets out </w:t>
      </w:r>
      <w:r w:rsidRPr="00141E5B">
        <w:rPr>
          <w:lang w:eastAsia="en-AU"/>
        </w:rPr>
        <w:t>rules for when a</w:t>
      </w:r>
      <w:r w:rsidR="00FE713B">
        <w:rPr>
          <w:lang w:eastAsia="en-AU"/>
        </w:rPr>
        <w:t>n IE unit</w:t>
      </w:r>
      <w:r w:rsidRPr="00141E5B">
        <w:rPr>
          <w:lang w:eastAsia="en-AU"/>
        </w:rPr>
        <w:t xml:space="preserve"> m</w:t>
      </w:r>
      <w:r w:rsidR="00970ABB">
        <w:rPr>
          <w:lang w:eastAsia="en-AU"/>
        </w:rPr>
        <w:t>ust</w:t>
      </w:r>
      <w:r w:rsidRPr="00141E5B">
        <w:rPr>
          <w:lang w:eastAsia="en-AU"/>
        </w:rPr>
        <w:t xml:space="preserve"> </w:t>
      </w:r>
      <w:r w:rsidR="00735D0A">
        <w:rPr>
          <w:lang w:eastAsia="en-AU"/>
        </w:rPr>
        <w:t xml:space="preserve">not </w:t>
      </w:r>
      <w:r w:rsidRPr="00141E5B">
        <w:rPr>
          <w:lang w:eastAsia="en-AU"/>
        </w:rPr>
        <w:t xml:space="preserve">be included in abatement calculations. </w:t>
      </w:r>
    </w:p>
    <w:p w14:paraId="73ED803A" w14:textId="07C07099" w:rsidR="00FA525F" w:rsidRDefault="00EA1E8F" w:rsidP="00B95886">
      <w:pPr>
        <w:spacing w:before="0" w:after="120" w:line="240" w:lineRule="auto"/>
        <w:rPr>
          <w:lang w:eastAsia="en-AU"/>
        </w:rPr>
      </w:pPr>
      <w:r>
        <w:rPr>
          <w:lang w:eastAsia="en-AU"/>
        </w:rPr>
        <w:t>Subsection</w:t>
      </w:r>
      <w:r w:rsidR="000E0DD5">
        <w:rPr>
          <w:lang w:eastAsia="en-AU"/>
        </w:rPr>
        <w:t xml:space="preserve"> </w:t>
      </w:r>
      <w:r w:rsidR="00CD1C16">
        <w:rPr>
          <w:lang w:eastAsia="en-AU"/>
        </w:rPr>
        <w:t>19</w:t>
      </w:r>
      <w:r w:rsidR="000E0DD5">
        <w:rPr>
          <w:lang w:eastAsia="en-AU"/>
        </w:rPr>
        <w:t>(1)</w:t>
      </w:r>
      <w:r w:rsidR="002F4C34">
        <w:rPr>
          <w:lang w:eastAsia="en-AU"/>
        </w:rPr>
        <w:t xml:space="preserve"> set</w:t>
      </w:r>
      <w:r w:rsidR="004160E1">
        <w:rPr>
          <w:lang w:eastAsia="en-AU"/>
        </w:rPr>
        <w:t>s</w:t>
      </w:r>
      <w:r w:rsidR="002F4C34">
        <w:rPr>
          <w:lang w:eastAsia="en-AU"/>
        </w:rPr>
        <w:t xml:space="preserve"> out that an IE unit must have both pre-upgrade</w:t>
      </w:r>
      <w:r w:rsidR="000E0DD5">
        <w:rPr>
          <w:lang w:eastAsia="en-AU"/>
        </w:rPr>
        <w:t xml:space="preserve"> </w:t>
      </w:r>
      <w:r w:rsidR="002F4C34">
        <w:rPr>
          <w:lang w:eastAsia="en-AU"/>
        </w:rPr>
        <w:t>and post-upgrade declarations</w:t>
      </w:r>
      <w:r w:rsidR="00970ABB">
        <w:rPr>
          <w:lang w:eastAsia="en-AU"/>
        </w:rPr>
        <w:t xml:space="preserve"> which</w:t>
      </w:r>
      <w:r w:rsidR="002F4C34">
        <w:rPr>
          <w:lang w:eastAsia="en-AU"/>
        </w:rPr>
        <w:t xml:space="preserve"> verify the </w:t>
      </w:r>
      <w:r w:rsidR="00FA525F">
        <w:rPr>
          <w:lang w:eastAsia="en-AU"/>
        </w:rPr>
        <w:t xml:space="preserve">appropriateness of the </w:t>
      </w:r>
      <w:r w:rsidR="002F4C34">
        <w:rPr>
          <w:lang w:eastAsia="en-AU"/>
        </w:rPr>
        <w:t>measurement periods and emissions rates</w:t>
      </w:r>
      <w:r w:rsidR="00FA525F">
        <w:rPr>
          <w:lang w:eastAsia="en-AU"/>
        </w:rPr>
        <w:t xml:space="preserve">. </w:t>
      </w:r>
    </w:p>
    <w:p w14:paraId="73ED803B" w14:textId="77777777" w:rsidR="000E0DD5" w:rsidRDefault="005A1F41" w:rsidP="00B95886">
      <w:pPr>
        <w:spacing w:before="0" w:after="120" w:line="240" w:lineRule="auto"/>
        <w:rPr>
          <w:lang w:eastAsia="en-AU"/>
        </w:rPr>
      </w:pPr>
      <w:r w:rsidRPr="0084028C">
        <w:rPr>
          <w:lang w:eastAsia="en-AU"/>
        </w:rPr>
        <w:t>Subp</w:t>
      </w:r>
      <w:r w:rsidR="00FA525F" w:rsidRPr="0084028C">
        <w:rPr>
          <w:lang w:eastAsia="en-AU"/>
        </w:rPr>
        <w:t xml:space="preserve">aragraph </w:t>
      </w:r>
      <w:r w:rsidR="00CD1C16">
        <w:rPr>
          <w:lang w:eastAsia="en-AU"/>
        </w:rPr>
        <w:t>19</w:t>
      </w:r>
      <w:r w:rsidR="00FA525F" w:rsidRPr="0084028C">
        <w:rPr>
          <w:lang w:eastAsia="en-AU"/>
        </w:rPr>
        <w:t>(</w:t>
      </w:r>
      <w:r w:rsidR="004160E1" w:rsidRPr="0084028C">
        <w:rPr>
          <w:lang w:eastAsia="en-AU"/>
        </w:rPr>
        <w:t>2</w:t>
      </w:r>
      <w:r w:rsidR="00FA525F" w:rsidRPr="0084028C">
        <w:rPr>
          <w:lang w:eastAsia="en-AU"/>
        </w:rPr>
        <w:t>)(</w:t>
      </w:r>
      <w:r w:rsidR="004160E1" w:rsidRPr="0084028C">
        <w:rPr>
          <w:lang w:eastAsia="en-AU"/>
        </w:rPr>
        <w:t>a</w:t>
      </w:r>
      <w:r w:rsidR="00FA525F" w:rsidRPr="0084028C">
        <w:rPr>
          <w:lang w:eastAsia="en-AU"/>
        </w:rPr>
        <w:t>)</w:t>
      </w:r>
      <w:r w:rsidRPr="0084028C">
        <w:rPr>
          <w:lang w:eastAsia="en-AU"/>
        </w:rPr>
        <w:t>(i)</w:t>
      </w:r>
      <w:r w:rsidR="00FA525F" w:rsidRPr="0084028C">
        <w:rPr>
          <w:lang w:eastAsia="en-AU"/>
        </w:rPr>
        <w:t xml:space="preserve"> sets out that </w:t>
      </w:r>
      <w:r w:rsidR="00FE713B" w:rsidRPr="0084028C">
        <w:rPr>
          <w:lang w:eastAsia="en-AU"/>
        </w:rPr>
        <w:t>an</w:t>
      </w:r>
      <w:r w:rsidR="00970ABB" w:rsidRPr="0084028C">
        <w:rPr>
          <w:lang w:eastAsia="en-AU"/>
        </w:rPr>
        <w:t xml:space="preserve"> IE unit must not be included in abatement calculations </w:t>
      </w:r>
      <w:r w:rsidR="00970ABB" w:rsidRPr="0084028C">
        <w:t xml:space="preserve">for a reporting period if, during the reporting period or a previous reporting </w:t>
      </w:r>
      <w:r w:rsidR="00970ABB" w:rsidRPr="0084028C">
        <w:lastRenderedPageBreak/>
        <w:t>period,</w:t>
      </w:r>
      <w:r w:rsidR="00970ABB" w:rsidRPr="0084028C">
        <w:rPr>
          <w:lang w:eastAsia="en-AU"/>
        </w:rPr>
        <w:t xml:space="preserve"> the project proponent undertook an</w:t>
      </w:r>
      <w:r w:rsidR="00FE713B" w:rsidRPr="0084028C">
        <w:rPr>
          <w:lang w:eastAsia="en-AU"/>
        </w:rPr>
        <w:t xml:space="preserve">y activity (whether </w:t>
      </w:r>
      <w:r w:rsidR="002F4C34" w:rsidRPr="0084028C">
        <w:rPr>
          <w:lang w:eastAsia="en-AU"/>
        </w:rPr>
        <w:t xml:space="preserve">or </w:t>
      </w:r>
      <w:r w:rsidR="00FE713B" w:rsidRPr="0084028C">
        <w:rPr>
          <w:lang w:eastAsia="en-AU"/>
        </w:rPr>
        <w:t xml:space="preserve">not </w:t>
      </w:r>
      <w:r w:rsidR="002F4C34" w:rsidRPr="0084028C">
        <w:rPr>
          <w:lang w:eastAsia="en-AU"/>
        </w:rPr>
        <w:t xml:space="preserve">a </w:t>
      </w:r>
      <w:r w:rsidR="00FE713B" w:rsidRPr="0084028C">
        <w:rPr>
          <w:lang w:eastAsia="en-AU"/>
        </w:rPr>
        <w:t xml:space="preserve">project activity) at the facility served by the IE unit </w:t>
      </w:r>
      <w:r w:rsidR="00FA525F" w:rsidRPr="0084028C">
        <w:rPr>
          <w:lang w:eastAsia="en-AU"/>
        </w:rPr>
        <w:t xml:space="preserve">that </w:t>
      </w:r>
      <w:r w:rsidRPr="0084028C">
        <w:rPr>
          <w:lang w:eastAsia="en-AU"/>
        </w:rPr>
        <w:t>is excluded from</w:t>
      </w:r>
      <w:r w:rsidR="00FE713B" w:rsidRPr="0084028C">
        <w:rPr>
          <w:lang w:eastAsia="en-AU"/>
        </w:rPr>
        <w:t xml:space="preserve"> eligible offsets </w:t>
      </w:r>
      <w:r w:rsidR="00FE713B">
        <w:rPr>
          <w:lang w:eastAsia="en-AU"/>
        </w:rPr>
        <w:t>project</w:t>
      </w:r>
      <w:r>
        <w:rPr>
          <w:lang w:eastAsia="en-AU"/>
        </w:rPr>
        <w:t>s under the legislative rules for subparagraph 27(4A)(c)(</w:t>
      </w:r>
      <w:r w:rsidR="00735D0A">
        <w:rPr>
          <w:lang w:eastAsia="en-AU"/>
        </w:rPr>
        <w:t>ii</w:t>
      </w:r>
      <w:r>
        <w:rPr>
          <w:lang w:eastAsia="en-AU"/>
        </w:rPr>
        <w:t>) of the Act.</w:t>
      </w:r>
      <w:r w:rsidR="0084028C">
        <w:rPr>
          <w:sz w:val="22"/>
        </w:rPr>
        <w:t xml:space="preserve"> </w:t>
      </w:r>
      <w:r>
        <w:rPr>
          <w:lang w:eastAsia="en-AU"/>
        </w:rPr>
        <w:t xml:space="preserve">Subparagraph </w:t>
      </w:r>
      <w:r w:rsidR="00CD1C16">
        <w:rPr>
          <w:lang w:eastAsia="en-AU"/>
        </w:rPr>
        <w:t>19</w:t>
      </w:r>
      <w:r>
        <w:rPr>
          <w:lang w:eastAsia="en-AU"/>
        </w:rPr>
        <w:t>(</w:t>
      </w:r>
      <w:r w:rsidR="0084028C">
        <w:rPr>
          <w:lang w:eastAsia="en-AU"/>
        </w:rPr>
        <w:t>2</w:t>
      </w:r>
      <w:r>
        <w:rPr>
          <w:lang w:eastAsia="en-AU"/>
        </w:rPr>
        <w:t>)(</w:t>
      </w:r>
      <w:r w:rsidR="002422EA">
        <w:rPr>
          <w:lang w:eastAsia="en-AU"/>
        </w:rPr>
        <w:t>a</w:t>
      </w:r>
      <w:r>
        <w:rPr>
          <w:lang w:eastAsia="en-AU"/>
        </w:rPr>
        <w:t xml:space="preserve">)(ii) clarifies that this exclusion </w:t>
      </w:r>
      <w:r w:rsidR="00641D98">
        <w:rPr>
          <w:lang w:eastAsia="en-AU"/>
        </w:rPr>
        <w:t xml:space="preserve">only </w:t>
      </w:r>
      <w:r>
        <w:rPr>
          <w:lang w:eastAsia="en-AU"/>
        </w:rPr>
        <w:t>applies where an activity</w:t>
      </w:r>
      <w:r w:rsidR="00FE713B">
        <w:rPr>
          <w:lang w:eastAsia="en-AU"/>
        </w:rPr>
        <w:t xml:space="preserve"> could r</w:t>
      </w:r>
      <w:r w:rsidR="00735D0A">
        <w:rPr>
          <w:lang w:eastAsia="en-AU"/>
        </w:rPr>
        <w:t xml:space="preserve">easonably be expected to </w:t>
      </w:r>
      <w:r w:rsidR="00641D98">
        <w:rPr>
          <w:lang w:eastAsia="en-AU"/>
        </w:rPr>
        <w:t>cause a change in</w:t>
      </w:r>
      <w:r w:rsidR="00FE713B">
        <w:rPr>
          <w:lang w:eastAsia="en-AU"/>
        </w:rPr>
        <w:t xml:space="preserve"> the level of abatement </w:t>
      </w:r>
      <w:r>
        <w:rPr>
          <w:lang w:eastAsia="en-AU"/>
        </w:rPr>
        <w:t>for the IE unit</w:t>
      </w:r>
      <w:r w:rsidR="00FE713B">
        <w:rPr>
          <w:lang w:eastAsia="en-AU"/>
        </w:rPr>
        <w:t xml:space="preserve"> in the measurement period</w:t>
      </w:r>
      <w:r w:rsidR="00641D98">
        <w:rPr>
          <w:lang w:eastAsia="en-AU"/>
        </w:rPr>
        <w:t xml:space="preserve"> that is not minor or trivial</w:t>
      </w:r>
      <w:r w:rsidR="00FE713B">
        <w:rPr>
          <w:lang w:eastAsia="en-AU"/>
        </w:rPr>
        <w:t>.</w:t>
      </w:r>
    </w:p>
    <w:p w14:paraId="73ED803C" w14:textId="04FC9967" w:rsidR="00281A2D" w:rsidRDefault="00281A2D" w:rsidP="00B95886">
      <w:pPr>
        <w:spacing w:before="0" w:after="120" w:line="240" w:lineRule="auto"/>
        <w:rPr>
          <w:lang w:eastAsia="en-AU"/>
        </w:rPr>
      </w:pPr>
      <w:r>
        <w:rPr>
          <w:lang w:eastAsia="en-AU"/>
        </w:rPr>
        <w:t xml:space="preserve">Paragraph </w:t>
      </w:r>
      <w:r w:rsidR="00CD1C16">
        <w:rPr>
          <w:lang w:eastAsia="en-AU"/>
        </w:rPr>
        <w:t>19</w:t>
      </w:r>
      <w:r>
        <w:rPr>
          <w:lang w:eastAsia="en-AU"/>
        </w:rPr>
        <w:t>(</w:t>
      </w:r>
      <w:r w:rsidR="004160E1">
        <w:rPr>
          <w:lang w:eastAsia="en-AU"/>
        </w:rPr>
        <w:t>2</w:t>
      </w:r>
      <w:r>
        <w:rPr>
          <w:lang w:eastAsia="en-AU"/>
        </w:rPr>
        <w:t>)(</w:t>
      </w:r>
      <w:r w:rsidR="004160E1">
        <w:rPr>
          <w:lang w:eastAsia="en-AU"/>
        </w:rPr>
        <w:t>b</w:t>
      </w:r>
      <w:r>
        <w:rPr>
          <w:lang w:eastAsia="en-AU"/>
        </w:rPr>
        <w:t xml:space="preserve">) sets out that proponents must exclude any </w:t>
      </w:r>
      <w:r w:rsidR="00A13D0B">
        <w:rPr>
          <w:lang w:eastAsia="en-AU"/>
        </w:rPr>
        <w:t xml:space="preserve">upgraded </w:t>
      </w:r>
      <w:r>
        <w:rPr>
          <w:lang w:eastAsia="en-AU"/>
        </w:rPr>
        <w:t xml:space="preserve">units from </w:t>
      </w:r>
      <w:r w:rsidR="00A13D0B">
        <w:rPr>
          <w:lang w:eastAsia="en-AU"/>
        </w:rPr>
        <w:t xml:space="preserve">abatement </w:t>
      </w:r>
      <w:r>
        <w:rPr>
          <w:lang w:eastAsia="en-AU"/>
        </w:rPr>
        <w:t xml:space="preserve">calculations where energy consuming equipment that forms part of those units has been decommissioned during the </w:t>
      </w:r>
      <w:r w:rsidR="00A13D0B">
        <w:rPr>
          <w:lang w:eastAsia="en-AU"/>
        </w:rPr>
        <w:t xml:space="preserve">relevant reporting </w:t>
      </w:r>
      <w:r>
        <w:rPr>
          <w:lang w:eastAsia="en-AU"/>
        </w:rPr>
        <w:t xml:space="preserve">period. This provision is to prevent crediting of any abatement arising from </w:t>
      </w:r>
      <w:r w:rsidR="00A13D0B">
        <w:rPr>
          <w:lang w:eastAsia="en-AU"/>
        </w:rPr>
        <w:t>decommission</w:t>
      </w:r>
      <w:r w:rsidR="003454A4">
        <w:rPr>
          <w:lang w:eastAsia="en-AU"/>
        </w:rPr>
        <w:t>ed</w:t>
      </w:r>
      <w:r w:rsidR="00A13D0B">
        <w:rPr>
          <w:lang w:eastAsia="en-AU"/>
        </w:rPr>
        <w:t xml:space="preserve"> </w:t>
      </w:r>
      <w:r>
        <w:rPr>
          <w:lang w:eastAsia="en-AU"/>
        </w:rPr>
        <w:t>equipment as distinct from project activities.</w:t>
      </w:r>
    </w:p>
    <w:p w14:paraId="73ED803D" w14:textId="07DC80C1" w:rsidR="005D1C20" w:rsidRDefault="005D1C20" w:rsidP="00B95886">
      <w:pPr>
        <w:spacing w:before="0" w:after="120" w:line="240" w:lineRule="auto"/>
        <w:rPr>
          <w:lang w:eastAsia="en-AU"/>
        </w:rPr>
      </w:pPr>
      <w:r>
        <w:rPr>
          <w:lang w:eastAsia="en-AU"/>
        </w:rPr>
        <w:t xml:space="preserve">Paragraph 19(2)(c) sets out that </w:t>
      </w:r>
      <w:r w:rsidRPr="00D517E4">
        <w:t>unit</w:t>
      </w:r>
      <w:r>
        <w:t>s</w:t>
      </w:r>
      <w:r w:rsidRPr="00D517E4">
        <w:t xml:space="preserve"> operate</w:t>
      </w:r>
      <w:r>
        <w:t xml:space="preserve">d only as </w:t>
      </w:r>
      <w:r w:rsidRPr="00D517E4">
        <w:t>reserve, back-up or emergency system</w:t>
      </w:r>
      <w:r>
        <w:t xml:space="preserve">s cannot be included in the calculations, as measurements </w:t>
      </w:r>
      <w:r w:rsidR="000B650C">
        <w:t xml:space="preserve">of these systems </w:t>
      </w:r>
      <w:r w:rsidR="008853BE">
        <w:t xml:space="preserve">are not </w:t>
      </w:r>
      <w:r>
        <w:t>representative</w:t>
      </w:r>
      <w:r w:rsidR="000B650C">
        <w:t xml:space="preserve"> of normal operation</w:t>
      </w:r>
      <w:r>
        <w:t xml:space="preserve">. Paragraphs </w:t>
      </w:r>
      <w:r>
        <w:rPr>
          <w:lang w:eastAsia="en-AU"/>
        </w:rPr>
        <w:t>19(2)(d) to 19(2)(f)</w:t>
      </w:r>
      <w:r w:rsidR="000B650C">
        <w:rPr>
          <w:lang w:eastAsia="en-AU"/>
        </w:rPr>
        <w:t xml:space="preserve"> set out exclusions related to biomass that is not a RET energy source.</w:t>
      </w:r>
    </w:p>
    <w:p w14:paraId="73ED803E" w14:textId="77777777" w:rsidR="00600A53" w:rsidRPr="007A7965" w:rsidRDefault="000E0DD5" w:rsidP="00007F4C">
      <w:pPr>
        <w:spacing w:before="0" w:after="240" w:line="240" w:lineRule="auto"/>
        <w:rPr>
          <w:color w:val="000000" w:themeColor="text1"/>
          <w:lang w:eastAsia="en-AU"/>
        </w:rPr>
      </w:pPr>
      <w:r w:rsidRPr="00141E5B">
        <w:rPr>
          <w:lang w:eastAsia="en-AU"/>
        </w:rPr>
        <w:t xml:space="preserve">Subsection </w:t>
      </w:r>
      <w:r w:rsidR="00CD1C16">
        <w:rPr>
          <w:lang w:eastAsia="en-AU"/>
        </w:rPr>
        <w:t>19</w:t>
      </w:r>
      <w:r w:rsidR="00FE713B">
        <w:rPr>
          <w:lang w:eastAsia="en-AU"/>
        </w:rPr>
        <w:t>(</w:t>
      </w:r>
      <w:r w:rsidR="0048329B">
        <w:rPr>
          <w:lang w:eastAsia="en-AU"/>
        </w:rPr>
        <w:t>3</w:t>
      </w:r>
      <w:r w:rsidRPr="00141E5B">
        <w:rPr>
          <w:lang w:eastAsia="en-AU"/>
        </w:rPr>
        <w:t xml:space="preserve">) </w:t>
      </w:r>
      <w:r w:rsidR="00600A53">
        <w:rPr>
          <w:lang w:eastAsia="en-AU"/>
        </w:rPr>
        <w:t>sets out</w:t>
      </w:r>
      <w:r w:rsidR="00600A53" w:rsidRPr="00141E5B">
        <w:rPr>
          <w:lang w:eastAsia="en-AU"/>
        </w:rPr>
        <w:t xml:space="preserve"> </w:t>
      </w:r>
      <w:r w:rsidRPr="00141E5B">
        <w:rPr>
          <w:lang w:eastAsia="en-AU"/>
        </w:rPr>
        <w:t xml:space="preserve">that a proponent may choose to </w:t>
      </w:r>
      <w:r w:rsidR="00600A53">
        <w:rPr>
          <w:lang w:eastAsia="en-AU"/>
        </w:rPr>
        <w:t>ex</w:t>
      </w:r>
      <w:r w:rsidRPr="00141E5B">
        <w:rPr>
          <w:lang w:eastAsia="en-AU"/>
        </w:rPr>
        <w:t>clude a</w:t>
      </w:r>
      <w:r w:rsidR="00600A53">
        <w:rPr>
          <w:lang w:eastAsia="en-AU"/>
        </w:rPr>
        <w:t>n IE unit</w:t>
      </w:r>
      <w:r w:rsidR="00F066CF">
        <w:rPr>
          <w:lang w:eastAsia="en-AU"/>
        </w:rPr>
        <w:t xml:space="preserve"> </w:t>
      </w:r>
      <w:r w:rsidR="00600A53">
        <w:rPr>
          <w:lang w:eastAsia="en-AU"/>
        </w:rPr>
        <w:t>from</w:t>
      </w:r>
      <w:r w:rsidR="00600A53" w:rsidRPr="00141E5B">
        <w:rPr>
          <w:lang w:eastAsia="en-AU"/>
        </w:rPr>
        <w:t xml:space="preserve"> </w:t>
      </w:r>
      <w:r w:rsidRPr="00141E5B">
        <w:rPr>
          <w:lang w:eastAsia="en-AU"/>
        </w:rPr>
        <w:t xml:space="preserve">abatement </w:t>
      </w:r>
      <w:r w:rsidRPr="007A7965">
        <w:rPr>
          <w:color w:val="000000" w:themeColor="text1"/>
          <w:lang w:eastAsia="en-AU"/>
        </w:rPr>
        <w:t xml:space="preserve">calculations for a </w:t>
      </w:r>
      <w:r w:rsidR="0048329B">
        <w:rPr>
          <w:color w:val="000000" w:themeColor="text1"/>
          <w:lang w:eastAsia="en-AU"/>
        </w:rPr>
        <w:t>reporting</w:t>
      </w:r>
      <w:r w:rsidR="0048329B" w:rsidRPr="007A7965">
        <w:rPr>
          <w:color w:val="000000" w:themeColor="text1"/>
          <w:lang w:eastAsia="en-AU"/>
        </w:rPr>
        <w:t xml:space="preserve"> </w:t>
      </w:r>
      <w:r w:rsidRPr="007A7965">
        <w:rPr>
          <w:color w:val="000000" w:themeColor="text1"/>
          <w:lang w:eastAsia="en-AU"/>
        </w:rPr>
        <w:t xml:space="preserve">period even if </w:t>
      </w:r>
      <w:r w:rsidR="00600A53" w:rsidRPr="007A7965">
        <w:rPr>
          <w:color w:val="000000" w:themeColor="text1"/>
          <w:lang w:eastAsia="en-AU"/>
        </w:rPr>
        <w:t xml:space="preserve">that </w:t>
      </w:r>
      <w:r w:rsidR="00600A53" w:rsidRPr="007A7965">
        <w:rPr>
          <w:color w:val="000000" w:themeColor="text1"/>
        </w:rPr>
        <w:t xml:space="preserve">IE unit has been included in abatement calculations for a prior </w:t>
      </w:r>
      <w:r w:rsidR="0048329B">
        <w:rPr>
          <w:color w:val="000000" w:themeColor="text1"/>
        </w:rPr>
        <w:t>reporting</w:t>
      </w:r>
      <w:r w:rsidR="00600A53" w:rsidRPr="007A7965">
        <w:rPr>
          <w:color w:val="000000" w:themeColor="text1"/>
        </w:rPr>
        <w:t xml:space="preserve"> period.</w:t>
      </w:r>
      <w:r w:rsidR="00D03195" w:rsidRPr="007A7965">
        <w:rPr>
          <w:color w:val="000000" w:themeColor="text1"/>
        </w:rPr>
        <w:t xml:space="preserve"> O</w:t>
      </w:r>
      <w:r w:rsidR="00600A53" w:rsidRPr="007A7965">
        <w:rPr>
          <w:color w:val="000000" w:themeColor="text1"/>
        </w:rPr>
        <w:t>nce the project proponent excludes a</w:t>
      </w:r>
      <w:r w:rsidR="00D03195" w:rsidRPr="007A7965">
        <w:rPr>
          <w:color w:val="000000" w:themeColor="text1"/>
        </w:rPr>
        <w:t>n IE</w:t>
      </w:r>
      <w:r w:rsidR="00600A53" w:rsidRPr="007A7965">
        <w:rPr>
          <w:color w:val="000000" w:themeColor="text1"/>
        </w:rPr>
        <w:t xml:space="preserve"> unit from </w:t>
      </w:r>
      <w:r w:rsidR="00D03195" w:rsidRPr="007A7965">
        <w:rPr>
          <w:color w:val="000000" w:themeColor="text1"/>
        </w:rPr>
        <w:t>abatement</w:t>
      </w:r>
      <w:r w:rsidR="00600A53" w:rsidRPr="007A7965">
        <w:rPr>
          <w:color w:val="000000" w:themeColor="text1"/>
        </w:rPr>
        <w:t xml:space="preserve"> calculations, </w:t>
      </w:r>
      <w:r w:rsidR="00D03195" w:rsidRPr="007A7965">
        <w:rPr>
          <w:color w:val="000000" w:themeColor="text1"/>
        </w:rPr>
        <w:t>it</w:t>
      </w:r>
      <w:r w:rsidR="00600A53" w:rsidRPr="007A7965">
        <w:rPr>
          <w:color w:val="000000" w:themeColor="text1"/>
        </w:rPr>
        <w:t xml:space="preserve"> must be excluded </w:t>
      </w:r>
      <w:r w:rsidR="00D03195" w:rsidRPr="007A7965">
        <w:rPr>
          <w:color w:val="000000" w:themeColor="text1"/>
        </w:rPr>
        <w:t xml:space="preserve">from all subsequent </w:t>
      </w:r>
      <w:r w:rsidR="0048329B">
        <w:rPr>
          <w:color w:val="000000" w:themeColor="text1"/>
        </w:rPr>
        <w:t>reporting</w:t>
      </w:r>
      <w:r w:rsidR="00D03195" w:rsidRPr="007A7965">
        <w:rPr>
          <w:color w:val="000000" w:themeColor="text1"/>
        </w:rPr>
        <w:t xml:space="preserve"> periods </w:t>
      </w:r>
      <w:r w:rsidR="00B075EB">
        <w:rPr>
          <w:color w:val="000000" w:themeColor="text1"/>
        </w:rPr>
        <w:t xml:space="preserve">for </w:t>
      </w:r>
      <w:r w:rsidR="00600A53" w:rsidRPr="007A7965">
        <w:rPr>
          <w:color w:val="000000" w:themeColor="text1"/>
        </w:rPr>
        <w:t>the re</w:t>
      </w:r>
      <w:r w:rsidR="00B075EB">
        <w:rPr>
          <w:color w:val="000000" w:themeColor="text1"/>
        </w:rPr>
        <w:t>mainder</w:t>
      </w:r>
      <w:r w:rsidR="00600A53" w:rsidRPr="007A7965">
        <w:rPr>
          <w:color w:val="000000" w:themeColor="text1"/>
        </w:rPr>
        <w:t xml:space="preserve"> of the crediting period. </w:t>
      </w:r>
    </w:p>
    <w:p w14:paraId="73ED803F" w14:textId="77777777" w:rsidR="000E0DD5" w:rsidRPr="00141E5B" w:rsidRDefault="006318D1" w:rsidP="00B95886">
      <w:pPr>
        <w:pStyle w:val="ESA4Section"/>
        <w:spacing w:before="0" w:after="120"/>
      </w:pPr>
      <w:r>
        <w:t>2</w:t>
      </w:r>
      <w:r w:rsidR="00CD1C16">
        <w:t>0</w:t>
      </w:r>
      <w:r w:rsidR="000E0DD5" w:rsidRPr="00141E5B">
        <w:tab/>
        <w:t>Data sources</w:t>
      </w:r>
    </w:p>
    <w:p w14:paraId="73ED8040" w14:textId="77777777" w:rsidR="000E0DD5" w:rsidRPr="00141E5B" w:rsidRDefault="000E0DD5" w:rsidP="00B95886">
      <w:pPr>
        <w:spacing w:before="0" w:after="120" w:line="240" w:lineRule="auto"/>
        <w:rPr>
          <w:lang w:eastAsia="en-AU"/>
        </w:rPr>
      </w:pPr>
      <w:r>
        <w:rPr>
          <w:lang w:eastAsia="en-AU"/>
        </w:rPr>
        <w:t>Section</w:t>
      </w:r>
      <w:r w:rsidRPr="00141E5B">
        <w:rPr>
          <w:lang w:eastAsia="en-AU"/>
        </w:rPr>
        <w:t xml:space="preserve"> </w:t>
      </w:r>
      <w:r w:rsidR="006318D1">
        <w:rPr>
          <w:lang w:eastAsia="en-AU"/>
        </w:rPr>
        <w:t>2</w:t>
      </w:r>
      <w:r w:rsidR="00CD1C16">
        <w:rPr>
          <w:lang w:eastAsia="en-AU"/>
        </w:rPr>
        <w:t>0</w:t>
      </w:r>
      <w:r w:rsidRPr="00141E5B">
        <w:rPr>
          <w:lang w:eastAsia="en-AU"/>
        </w:rPr>
        <w:t xml:space="preserve"> sets out the data sources that a proponent </w:t>
      </w:r>
      <w:r>
        <w:rPr>
          <w:lang w:eastAsia="en-AU"/>
        </w:rPr>
        <w:t>may</w:t>
      </w:r>
      <w:r w:rsidRPr="00141E5B">
        <w:rPr>
          <w:lang w:eastAsia="en-AU"/>
        </w:rPr>
        <w:t xml:space="preserve"> use </w:t>
      </w:r>
      <w:r>
        <w:rPr>
          <w:lang w:eastAsia="en-AU"/>
        </w:rPr>
        <w:t>when</w:t>
      </w:r>
      <w:r w:rsidRPr="00141E5B">
        <w:rPr>
          <w:lang w:eastAsia="en-AU"/>
        </w:rPr>
        <w:t xml:space="preserve"> calculati</w:t>
      </w:r>
      <w:r>
        <w:rPr>
          <w:lang w:eastAsia="en-AU"/>
        </w:rPr>
        <w:t>ng</w:t>
      </w:r>
      <w:r w:rsidRPr="002A53B6">
        <w:rPr>
          <w:lang w:eastAsia="en-AU"/>
        </w:rPr>
        <w:t xml:space="preserve"> </w:t>
      </w:r>
      <w:r w:rsidR="00A44AA0">
        <w:rPr>
          <w:lang w:eastAsia="en-AU"/>
        </w:rPr>
        <w:t xml:space="preserve">emissions </w:t>
      </w:r>
      <w:r>
        <w:rPr>
          <w:lang w:eastAsia="en-AU"/>
        </w:rPr>
        <w:t>abatement</w:t>
      </w:r>
      <w:r w:rsidRPr="00141E5B">
        <w:rPr>
          <w:lang w:eastAsia="en-AU"/>
        </w:rPr>
        <w:t xml:space="preserve">. </w:t>
      </w:r>
      <w:r>
        <w:rPr>
          <w:lang w:eastAsia="en-AU"/>
        </w:rPr>
        <w:t>Paragraph</w:t>
      </w:r>
      <w:r w:rsidRPr="00141E5B">
        <w:rPr>
          <w:lang w:eastAsia="en-AU"/>
        </w:rPr>
        <w:t xml:space="preserve"> </w:t>
      </w:r>
      <w:r w:rsidR="00CD2362">
        <w:rPr>
          <w:lang w:eastAsia="en-AU"/>
        </w:rPr>
        <w:t>20</w:t>
      </w:r>
      <w:r w:rsidRPr="00141E5B">
        <w:rPr>
          <w:lang w:eastAsia="en-AU"/>
        </w:rPr>
        <w:t xml:space="preserve">(a) </w:t>
      </w:r>
      <w:r>
        <w:rPr>
          <w:lang w:eastAsia="en-AU"/>
        </w:rPr>
        <w:t xml:space="preserve">allows proponents to </w:t>
      </w:r>
      <w:r w:rsidRPr="00141E5B">
        <w:rPr>
          <w:lang w:eastAsia="en-AU"/>
        </w:rPr>
        <w:t>choose</w:t>
      </w:r>
      <w:r>
        <w:rPr>
          <w:lang w:eastAsia="en-AU"/>
        </w:rPr>
        <w:t xml:space="preserve"> from</w:t>
      </w:r>
      <w:r w:rsidRPr="00141E5B">
        <w:rPr>
          <w:lang w:eastAsia="en-AU"/>
        </w:rPr>
        <w:t xml:space="preserve"> one of two </w:t>
      </w:r>
      <w:r>
        <w:rPr>
          <w:lang w:eastAsia="en-AU"/>
        </w:rPr>
        <w:t>sources</w:t>
      </w:r>
      <w:r w:rsidRPr="00141E5B">
        <w:rPr>
          <w:lang w:eastAsia="en-AU"/>
        </w:rPr>
        <w:t xml:space="preserve"> to </w:t>
      </w:r>
      <w:r>
        <w:rPr>
          <w:lang w:eastAsia="en-AU"/>
        </w:rPr>
        <w:t xml:space="preserve">establish the energy consumption associated with </w:t>
      </w:r>
      <w:r w:rsidR="00641D98" w:rsidRPr="00514A6A">
        <w:rPr>
          <w:b/>
          <w:i/>
          <w:lang w:eastAsia="en-AU"/>
        </w:rPr>
        <w:t>government supported</w:t>
      </w:r>
      <w:r w:rsidRPr="00514A6A">
        <w:rPr>
          <w:b/>
          <w:i/>
          <w:lang w:eastAsia="en-AU"/>
        </w:rPr>
        <w:t xml:space="preserve"> renewable energy</w:t>
      </w:r>
      <w:r w:rsidR="00A44AA0">
        <w:rPr>
          <w:lang w:eastAsia="en-AU"/>
        </w:rPr>
        <w:t xml:space="preserve"> consumed by the IE unit or sub-unit</w:t>
      </w:r>
      <w:r w:rsidR="00F8365F">
        <w:rPr>
          <w:lang w:eastAsia="en-AU"/>
        </w:rPr>
        <w:t>:</w:t>
      </w:r>
      <w:r w:rsidR="00A44AA0">
        <w:rPr>
          <w:lang w:eastAsia="en-AU"/>
        </w:rPr>
        <w:t xml:space="preserve"> </w:t>
      </w:r>
      <w:r w:rsidRPr="00141E5B">
        <w:rPr>
          <w:lang w:eastAsia="en-AU"/>
        </w:rPr>
        <w:t>direct</w:t>
      </w:r>
      <w:r w:rsidR="00CD2362">
        <w:rPr>
          <w:lang w:eastAsia="en-AU"/>
        </w:rPr>
        <w:t xml:space="preserve"> </w:t>
      </w:r>
      <w:r w:rsidRPr="00141E5B">
        <w:rPr>
          <w:lang w:eastAsia="en-AU"/>
        </w:rPr>
        <w:t xml:space="preserve">metering </w:t>
      </w:r>
      <w:r w:rsidR="00931D39">
        <w:rPr>
          <w:lang w:eastAsia="en-AU"/>
        </w:rPr>
        <w:t>data</w:t>
      </w:r>
      <w:r w:rsidR="00CD1C16">
        <w:rPr>
          <w:lang w:eastAsia="en-AU"/>
        </w:rPr>
        <w:t xml:space="preserve"> in accordance with section 38</w:t>
      </w:r>
      <w:r w:rsidRPr="00141E5B">
        <w:rPr>
          <w:lang w:eastAsia="en-AU"/>
        </w:rPr>
        <w:t xml:space="preserve">, or billing data. </w:t>
      </w:r>
    </w:p>
    <w:p w14:paraId="73ED8041" w14:textId="77777777" w:rsidR="002B311F" w:rsidRDefault="000E0DD5" w:rsidP="00B95886">
      <w:pPr>
        <w:spacing w:before="0" w:after="120" w:line="240" w:lineRule="auto"/>
        <w:rPr>
          <w:lang w:eastAsia="en-AU"/>
        </w:rPr>
      </w:pPr>
      <w:r>
        <w:rPr>
          <w:lang w:eastAsia="en-AU"/>
        </w:rPr>
        <w:t>Paragraph</w:t>
      </w:r>
      <w:r w:rsidRPr="00141E5B">
        <w:rPr>
          <w:lang w:eastAsia="en-AU"/>
        </w:rPr>
        <w:t xml:space="preserve"> </w:t>
      </w:r>
      <w:r w:rsidR="00CD2362">
        <w:rPr>
          <w:lang w:eastAsia="en-AU"/>
        </w:rPr>
        <w:t>2</w:t>
      </w:r>
      <w:r w:rsidR="00CD1C16">
        <w:rPr>
          <w:lang w:eastAsia="en-AU"/>
        </w:rPr>
        <w:t>0</w:t>
      </w:r>
      <w:r w:rsidRPr="00141E5B">
        <w:rPr>
          <w:lang w:eastAsia="en-AU"/>
        </w:rPr>
        <w:t>(b)</w:t>
      </w:r>
      <w:r>
        <w:rPr>
          <w:lang w:eastAsia="en-AU"/>
        </w:rPr>
        <w:t xml:space="preserve"> </w:t>
      </w:r>
      <w:r w:rsidRPr="00290B4E">
        <w:rPr>
          <w:lang w:eastAsia="en-AU"/>
        </w:rPr>
        <w:t xml:space="preserve">allows proponents to choose from one of two sources to establish consumption </w:t>
      </w:r>
      <w:r w:rsidR="00F8365F">
        <w:rPr>
          <w:lang w:eastAsia="en-AU"/>
        </w:rPr>
        <w:t>of energy that is not</w:t>
      </w:r>
      <w:r w:rsidRPr="00290B4E">
        <w:rPr>
          <w:lang w:eastAsia="en-AU"/>
        </w:rPr>
        <w:t xml:space="preserve"> </w:t>
      </w:r>
      <w:r w:rsidR="00641D98">
        <w:rPr>
          <w:lang w:eastAsia="en-AU"/>
        </w:rPr>
        <w:t>government supported</w:t>
      </w:r>
      <w:r w:rsidRPr="00290B4E">
        <w:rPr>
          <w:lang w:eastAsia="en-AU"/>
        </w:rPr>
        <w:t xml:space="preserve"> renewable energy</w:t>
      </w:r>
      <w:r w:rsidR="00F8365F">
        <w:rPr>
          <w:lang w:eastAsia="en-AU"/>
        </w:rPr>
        <w:t>:</w:t>
      </w:r>
      <w:r w:rsidR="00257AF6" w:rsidRPr="00290B4E">
        <w:rPr>
          <w:lang w:eastAsia="en-AU"/>
        </w:rPr>
        <w:t xml:space="preserve"> </w:t>
      </w:r>
      <w:r w:rsidRPr="00290B4E">
        <w:rPr>
          <w:lang w:eastAsia="en-AU"/>
        </w:rPr>
        <w:t>data from utility bills, or metering/sub-metering data collected on</w:t>
      </w:r>
      <w:r w:rsidR="00F8365F">
        <w:rPr>
          <w:lang w:eastAsia="en-AU"/>
        </w:rPr>
        <w:t>-</w:t>
      </w:r>
      <w:r w:rsidRPr="00290B4E">
        <w:rPr>
          <w:lang w:eastAsia="en-AU"/>
        </w:rPr>
        <w:t xml:space="preserve">site. </w:t>
      </w:r>
    </w:p>
    <w:p w14:paraId="73ED8042" w14:textId="77777777" w:rsidR="00A44AA0" w:rsidRPr="001C2DE6" w:rsidRDefault="00C27D70" w:rsidP="00750F11">
      <w:pPr>
        <w:spacing w:before="0" w:after="240" w:line="240" w:lineRule="auto"/>
      </w:pPr>
      <w:r>
        <w:rPr>
          <w:lang w:eastAsia="en-AU"/>
        </w:rPr>
        <w:t>Paragraph</w:t>
      </w:r>
      <w:r w:rsidRPr="00141E5B">
        <w:rPr>
          <w:lang w:eastAsia="en-AU"/>
        </w:rPr>
        <w:t xml:space="preserve"> </w:t>
      </w:r>
      <w:r w:rsidR="002F6D86">
        <w:rPr>
          <w:lang w:eastAsia="en-AU"/>
        </w:rPr>
        <w:t>2</w:t>
      </w:r>
      <w:r w:rsidR="00CD1C16">
        <w:rPr>
          <w:lang w:eastAsia="en-AU"/>
        </w:rPr>
        <w:t>0</w:t>
      </w:r>
      <w:r w:rsidRPr="00141E5B">
        <w:rPr>
          <w:lang w:eastAsia="en-AU"/>
        </w:rPr>
        <w:t>(</w:t>
      </w:r>
      <w:r>
        <w:rPr>
          <w:lang w:eastAsia="en-AU"/>
        </w:rPr>
        <w:t>c</w:t>
      </w:r>
      <w:r w:rsidRPr="00141E5B">
        <w:rPr>
          <w:lang w:eastAsia="en-AU"/>
        </w:rPr>
        <w:t>)</w:t>
      </w:r>
      <w:r>
        <w:rPr>
          <w:lang w:eastAsia="en-AU"/>
        </w:rPr>
        <w:t xml:space="preserve"> specifies that </w:t>
      </w:r>
      <w:r w:rsidR="002B311F">
        <w:rPr>
          <w:lang w:eastAsia="en-AU"/>
        </w:rPr>
        <w:t xml:space="preserve">the only allowable data sources for calculating emissions attributable to the outputs of an </w:t>
      </w:r>
      <w:r w:rsidR="00F8365F">
        <w:rPr>
          <w:lang w:eastAsia="en-AU"/>
        </w:rPr>
        <w:t xml:space="preserve">IE </w:t>
      </w:r>
      <w:r>
        <w:rPr>
          <w:lang w:eastAsia="en-AU"/>
        </w:rPr>
        <w:t>unit or sub</w:t>
      </w:r>
      <w:r w:rsidR="00AD40AA">
        <w:rPr>
          <w:lang w:eastAsia="en-AU"/>
        </w:rPr>
        <w:t>-</w:t>
      </w:r>
      <w:r>
        <w:rPr>
          <w:lang w:eastAsia="en-AU"/>
        </w:rPr>
        <w:t xml:space="preserve">unit </w:t>
      </w:r>
      <w:r w:rsidR="002B311F">
        <w:rPr>
          <w:lang w:eastAsia="en-AU"/>
        </w:rPr>
        <w:t xml:space="preserve">are </w:t>
      </w:r>
      <w:r>
        <w:rPr>
          <w:lang w:eastAsia="en-AU"/>
        </w:rPr>
        <w:t xml:space="preserve">measured primary </w:t>
      </w:r>
      <w:r w:rsidR="00D03195">
        <w:rPr>
          <w:lang w:eastAsia="en-AU"/>
        </w:rPr>
        <w:t>parameters</w:t>
      </w:r>
      <w:r w:rsidR="004E3064">
        <w:rPr>
          <w:lang w:eastAsia="en-AU"/>
        </w:rPr>
        <w:t xml:space="preserve"> </w:t>
      </w:r>
      <w:r w:rsidR="002B311F">
        <w:rPr>
          <w:lang w:eastAsia="en-AU"/>
        </w:rPr>
        <w:t>and</w:t>
      </w:r>
      <w:r w:rsidR="004E3064">
        <w:rPr>
          <w:lang w:eastAsia="en-AU"/>
        </w:rPr>
        <w:t xml:space="preserve"> </w:t>
      </w:r>
      <w:r w:rsidR="004E3064" w:rsidRPr="002B311F">
        <w:t>verifiable standard constants or measures</w:t>
      </w:r>
      <w:r w:rsidRPr="002B311F">
        <w:rPr>
          <w:lang w:eastAsia="en-AU"/>
        </w:rPr>
        <w:t xml:space="preserve">. </w:t>
      </w:r>
      <w:r>
        <w:rPr>
          <w:lang w:eastAsia="en-AU"/>
        </w:rPr>
        <w:t xml:space="preserve">That is, they must be </w:t>
      </w:r>
      <w:r w:rsidRPr="00613E63">
        <w:t>measurable q</w:t>
      </w:r>
      <w:r>
        <w:t>uantities</w:t>
      </w:r>
      <w:r w:rsidRPr="00613E63">
        <w:t xml:space="preserve"> of input</w:t>
      </w:r>
      <w:r>
        <w:t>s</w:t>
      </w:r>
      <w:r w:rsidRPr="00613E63">
        <w:t>, internal transfer</w:t>
      </w:r>
      <w:r>
        <w:t>s</w:t>
      </w:r>
      <w:r w:rsidRPr="00613E63">
        <w:t xml:space="preserve"> or intermediate or final product</w:t>
      </w:r>
      <w:r>
        <w:t>s</w:t>
      </w:r>
      <w:r w:rsidRPr="00613E63">
        <w:t xml:space="preserve"> of the facility served by the IE </w:t>
      </w:r>
      <w:r>
        <w:t>unit</w:t>
      </w:r>
      <w:r w:rsidR="002B311F">
        <w:t xml:space="preserve"> or sub</w:t>
      </w:r>
      <w:r w:rsidR="00AD40AA">
        <w:t>-</w:t>
      </w:r>
      <w:r w:rsidR="002B311F">
        <w:t>unit</w:t>
      </w:r>
      <w:r>
        <w:t>.</w:t>
      </w:r>
      <w:r w:rsidR="00750F11">
        <w:t xml:space="preserve"> </w:t>
      </w:r>
      <w:r w:rsidR="00A44AA0">
        <w:t xml:space="preserve">The </w:t>
      </w:r>
      <w:r w:rsidR="002B311F">
        <w:t xml:space="preserve">data </w:t>
      </w:r>
      <w:r w:rsidR="00A44AA0">
        <w:t xml:space="preserve">sources set out in section </w:t>
      </w:r>
      <w:r w:rsidR="00CD1C16">
        <w:t>20</w:t>
      </w:r>
      <w:r w:rsidR="002422EA">
        <w:t xml:space="preserve"> </w:t>
      </w:r>
      <w:r w:rsidR="00A44AA0">
        <w:t>may be used to develop a derived indicator</w:t>
      </w:r>
      <w:r w:rsidR="00A44AA0" w:rsidRPr="0018463D">
        <w:rPr>
          <w:color w:val="FF0000"/>
        </w:rPr>
        <w:t xml:space="preserve"> </w:t>
      </w:r>
      <w:r w:rsidR="00A44AA0" w:rsidRPr="001C2DE6">
        <w:t xml:space="preserve">by combining </w:t>
      </w:r>
      <w:r w:rsidR="00732DC7">
        <w:t>two</w:t>
      </w:r>
      <w:r w:rsidR="00A44AA0" w:rsidRPr="001C2DE6">
        <w:t xml:space="preserve"> or more primary parameters</w:t>
      </w:r>
      <w:r w:rsidR="00750F11">
        <w:t xml:space="preserve"> (section 13)</w:t>
      </w:r>
      <w:r w:rsidR="00857A06" w:rsidRPr="001C2DE6">
        <w:t xml:space="preserve">. </w:t>
      </w:r>
    </w:p>
    <w:p w14:paraId="73ED8043" w14:textId="77777777" w:rsidR="00C27D70" w:rsidRPr="00141E5B" w:rsidRDefault="00C27D70" w:rsidP="00B95886">
      <w:pPr>
        <w:pStyle w:val="ESA4Section"/>
        <w:spacing w:before="0" w:after="120"/>
      </w:pPr>
      <w:r>
        <w:t>2</w:t>
      </w:r>
      <w:r w:rsidR="00CD1C16">
        <w:t>1</w:t>
      </w:r>
      <w:r w:rsidRPr="00141E5B">
        <w:t xml:space="preserve"> </w:t>
      </w:r>
      <w:r w:rsidRPr="00141E5B">
        <w:tab/>
      </w:r>
      <w:r>
        <w:t>Use of grid data for energy returned to the grid</w:t>
      </w:r>
    </w:p>
    <w:p w14:paraId="73ED8044" w14:textId="77777777" w:rsidR="00C27D70" w:rsidRPr="00141E5B" w:rsidRDefault="00C27D70" w:rsidP="00007F4C">
      <w:pPr>
        <w:spacing w:before="0" w:after="240" w:line="240" w:lineRule="auto"/>
        <w:rPr>
          <w:lang w:eastAsia="en-AU"/>
        </w:rPr>
      </w:pPr>
      <w:r>
        <w:rPr>
          <w:lang w:eastAsia="en-AU"/>
        </w:rPr>
        <w:t>Section 2</w:t>
      </w:r>
      <w:r w:rsidR="00CD1C16">
        <w:rPr>
          <w:lang w:eastAsia="en-AU"/>
        </w:rPr>
        <w:t>1</w:t>
      </w:r>
      <w:r>
        <w:rPr>
          <w:lang w:eastAsia="en-AU"/>
        </w:rPr>
        <w:t xml:space="preserve"> provides that in </w:t>
      </w:r>
      <w:r w:rsidR="002F6D86">
        <w:rPr>
          <w:lang w:eastAsia="en-AU"/>
        </w:rPr>
        <w:t>determining</w:t>
      </w:r>
      <w:r>
        <w:rPr>
          <w:lang w:eastAsia="en-AU"/>
        </w:rPr>
        <w:t xml:space="preserve"> a quantity of </w:t>
      </w:r>
      <w:r w:rsidR="002F6D86">
        <w:rPr>
          <w:lang w:eastAsia="en-AU"/>
        </w:rPr>
        <w:t>government supported renewable energy</w:t>
      </w:r>
      <w:r>
        <w:rPr>
          <w:lang w:eastAsia="en-AU"/>
        </w:rPr>
        <w:t xml:space="preserve"> for a period, if the proponent use</w:t>
      </w:r>
      <w:r w:rsidR="002F6D86">
        <w:rPr>
          <w:lang w:eastAsia="en-AU"/>
        </w:rPr>
        <w:t>s</w:t>
      </w:r>
      <w:r>
        <w:rPr>
          <w:lang w:eastAsia="en-AU"/>
        </w:rPr>
        <w:t xml:space="preserve"> data </w:t>
      </w:r>
      <w:r w:rsidR="002F6D86">
        <w:rPr>
          <w:lang w:eastAsia="en-AU"/>
        </w:rPr>
        <w:t>obtained other than</w:t>
      </w:r>
      <w:r>
        <w:rPr>
          <w:lang w:eastAsia="en-AU"/>
        </w:rPr>
        <w:t xml:space="preserve"> by monitoring in accordance with </w:t>
      </w:r>
      <w:r w:rsidRPr="00931D39">
        <w:rPr>
          <w:lang w:eastAsia="en-AU"/>
        </w:rPr>
        <w:t xml:space="preserve">section </w:t>
      </w:r>
      <w:r w:rsidR="00725D48">
        <w:rPr>
          <w:lang w:eastAsia="en-AU"/>
        </w:rPr>
        <w:t>38</w:t>
      </w:r>
      <w:r>
        <w:rPr>
          <w:lang w:eastAsia="en-AU"/>
        </w:rPr>
        <w:t xml:space="preserve">, the quantity must be calculated as the difference between the total amount of renewable electricity generated </w:t>
      </w:r>
      <w:r w:rsidR="00290B4E">
        <w:rPr>
          <w:lang w:eastAsia="en-AU"/>
        </w:rPr>
        <w:t xml:space="preserve">by the equipment </w:t>
      </w:r>
      <w:r>
        <w:rPr>
          <w:lang w:eastAsia="en-AU"/>
        </w:rPr>
        <w:t>during the period and the amount of that electricity that was exported to the grid.</w:t>
      </w:r>
    </w:p>
    <w:p w14:paraId="73ED8045" w14:textId="77777777" w:rsidR="004D1BD4" w:rsidRDefault="004D1BD4" w:rsidP="00007F4C">
      <w:pPr>
        <w:pStyle w:val="ESA2Division"/>
        <w:spacing w:before="0" w:after="240" w:line="240" w:lineRule="auto"/>
      </w:pPr>
      <w:r w:rsidRPr="00141E5B">
        <w:t xml:space="preserve">Division 3 </w:t>
      </w:r>
      <w:r w:rsidRPr="00141E5B">
        <w:tab/>
      </w:r>
      <w:r>
        <w:t xml:space="preserve">Setting </w:t>
      </w:r>
      <w:r w:rsidR="00290B4E">
        <w:t>the</w:t>
      </w:r>
      <w:r>
        <w:t xml:space="preserve"> measurement periods</w:t>
      </w:r>
    </w:p>
    <w:p w14:paraId="73ED8046" w14:textId="77777777" w:rsidR="00290B4E" w:rsidRDefault="004D1BD4" w:rsidP="00B95886">
      <w:pPr>
        <w:pStyle w:val="ESA4Section"/>
        <w:spacing w:before="0" w:after="120"/>
      </w:pPr>
      <w:r>
        <w:t>2</w:t>
      </w:r>
      <w:r w:rsidR="00CD1C16">
        <w:t>2</w:t>
      </w:r>
      <w:r w:rsidRPr="00141E5B">
        <w:t xml:space="preserve"> </w:t>
      </w:r>
      <w:r w:rsidRPr="00141E5B">
        <w:tab/>
      </w:r>
      <w:r>
        <w:t>Setting the measurement period</w:t>
      </w:r>
      <w:r w:rsidR="00290B4E">
        <w:t>s</w:t>
      </w:r>
      <w:r w:rsidR="00656509">
        <w:t xml:space="preserve"> and reference period</w:t>
      </w:r>
    </w:p>
    <w:p w14:paraId="73ED8047" w14:textId="77777777" w:rsidR="002213AD" w:rsidRDefault="002F6D86" w:rsidP="00B95886">
      <w:pPr>
        <w:spacing w:before="0" w:after="120" w:line="240" w:lineRule="auto"/>
        <w:rPr>
          <w:lang w:eastAsia="en-AU"/>
        </w:rPr>
      </w:pPr>
      <w:r>
        <w:rPr>
          <w:lang w:eastAsia="en-AU"/>
        </w:rPr>
        <w:t>Sub</w:t>
      </w:r>
      <w:r w:rsidR="00A61C53" w:rsidRPr="0099569C">
        <w:rPr>
          <w:lang w:eastAsia="en-AU"/>
        </w:rPr>
        <w:t>section 2</w:t>
      </w:r>
      <w:r w:rsidR="00CD1C16">
        <w:rPr>
          <w:lang w:eastAsia="en-AU"/>
        </w:rPr>
        <w:t>2</w:t>
      </w:r>
      <w:r w:rsidR="00A61C53" w:rsidRPr="0099569C">
        <w:rPr>
          <w:lang w:eastAsia="en-AU"/>
        </w:rPr>
        <w:t>(1) sets out t</w:t>
      </w:r>
      <w:r w:rsidR="00290B4E" w:rsidRPr="0099569C">
        <w:rPr>
          <w:lang w:eastAsia="en-AU"/>
        </w:rPr>
        <w:t xml:space="preserve">he </w:t>
      </w:r>
      <w:r w:rsidR="002213AD">
        <w:rPr>
          <w:lang w:eastAsia="en-AU"/>
        </w:rPr>
        <w:t xml:space="preserve">requirement for a </w:t>
      </w:r>
      <w:r w:rsidR="00290B4E" w:rsidRPr="0099569C">
        <w:rPr>
          <w:lang w:eastAsia="en-AU"/>
        </w:rPr>
        <w:t xml:space="preserve">project proponent </w:t>
      </w:r>
      <w:r w:rsidR="002213AD">
        <w:rPr>
          <w:lang w:eastAsia="en-AU"/>
        </w:rPr>
        <w:t>to</w:t>
      </w:r>
      <w:r w:rsidR="002213AD" w:rsidRPr="0099569C">
        <w:rPr>
          <w:lang w:eastAsia="en-AU"/>
        </w:rPr>
        <w:t xml:space="preserve"> </w:t>
      </w:r>
      <w:r w:rsidR="00290B4E" w:rsidRPr="0099569C">
        <w:rPr>
          <w:lang w:eastAsia="en-AU"/>
        </w:rPr>
        <w:t xml:space="preserve">set </w:t>
      </w:r>
      <w:r w:rsidR="00A61C53" w:rsidRPr="0099569C">
        <w:rPr>
          <w:lang w:eastAsia="en-AU"/>
        </w:rPr>
        <w:t xml:space="preserve">a </w:t>
      </w:r>
      <w:r w:rsidR="00A61C53" w:rsidRPr="006309B2">
        <w:rPr>
          <w:lang w:eastAsia="en-AU"/>
        </w:rPr>
        <w:t>baseline period</w:t>
      </w:r>
      <w:r w:rsidR="00A61C53" w:rsidRPr="0099569C">
        <w:rPr>
          <w:lang w:eastAsia="en-AU"/>
        </w:rPr>
        <w:t xml:space="preserve"> before the upgrade and a</w:t>
      </w:r>
      <w:r w:rsidR="00290B4E" w:rsidRPr="0099569C">
        <w:rPr>
          <w:lang w:eastAsia="en-AU"/>
        </w:rPr>
        <w:t xml:space="preserve"> </w:t>
      </w:r>
      <w:r w:rsidR="00290B4E" w:rsidRPr="006309B2">
        <w:rPr>
          <w:lang w:eastAsia="en-AU"/>
        </w:rPr>
        <w:t>project measurement period</w:t>
      </w:r>
      <w:r w:rsidR="00290B4E" w:rsidRPr="0099569C">
        <w:rPr>
          <w:lang w:eastAsia="en-AU"/>
        </w:rPr>
        <w:t xml:space="preserve"> after the upgrade.</w:t>
      </w:r>
      <w:r w:rsidR="00A61C53" w:rsidRPr="0099569C">
        <w:rPr>
          <w:lang w:eastAsia="en-AU"/>
        </w:rPr>
        <w:t xml:space="preserve"> </w:t>
      </w:r>
      <w:r w:rsidR="00485D10" w:rsidRPr="0099569C">
        <w:rPr>
          <w:lang w:eastAsia="en-AU"/>
        </w:rPr>
        <w:t xml:space="preserve">These are the same </w:t>
      </w:r>
      <w:r w:rsidR="00485D10" w:rsidRPr="0099569C">
        <w:rPr>
          <w:lang w:eastAsia="en-AU"/>
        </w:rPr>
        <w:lastRenderedPageBreak/>
        <w:t xml:space="preserve">periods that must be applied </w:t>
      </w:r>
      <w:r w:rsidR="006309B2">
        <w:rPr>
          <w:lang w:eastAsia="en-AU"/>
        </w:rPr>
        <w:t xml:space="preserve">for comparison with </w:t>
      </w:r>
      <w:r w:rsidR="00485D10" w:rsidRPr="0099569C">
        <w:rPr>
          <w:lang w:eastAsia="en-AU"/>
        </w:rPr>
        <w:t>reference output data for the output representativeness criterion (</w:t>
      </w:r>
      <w:r w:rsidR="00D2701B">
        <w:rPr>
          <w:lang w:eastAsia="en-AU"/>
        </w:rPr>
        <w:t xml:space="preserve">see </w:t>
      </w:r>
      <w:r w:rsidR="00485D10" w:rsidRPr="0099569C">
        <w:rPr>
          <w:lang w:eastAsia="en-AU"/>
        </w:rPr>
        <w:t>section</w:t>
      </w:r>
      <w:r w:rsidR="0086180E">
        <w:rPr>
          <w:lang w:eastAsia="en-AU"/>
        </w:rPr>
        <w:t xml:space="preserve"> </w:t>
      </w:r>
      <w:r w:rsidR="003974B1">
        <w:rPr>
          <w:lang w:eastAsia="en-AU"/>
        </w:rPr>
        <w:t>23</w:t>
      </w:r>
      <w:r w:rsidR="00485D10" w:rsidRPr="0099569C">
        <w:rPr>
          <w:lang w:eastAsia="en-AU"/>
        </w:rPr>
        <w:t>).</w:t>
      </w:r>
      <w:r w:rsidR="002213AD">
        <w:rPr>
          <w:lang w:eastAsia="en-AU"/>
        </w:rPr>
        <w:t xml:space="preserve"> </w:t>
      </w:r>
    </w:p>
    <w:p w14:paraId="73ED8048" w14:textId="1DD8C863" w:rsidR="006309B2" w:rsidRDefault="006309B2" w:rsidP="006309B2">
      <w:pPr>
        <w:spacing w:before="0" w:after="240" w:line="240" w:lineRule="auto"/>
        <w:rPr>
          <w:lang w:eastAsia="en-AU"/>
        </w:rPr>
      </w:pPr>
      <w:r w:rsidRPr="006309B2">
        <w:rPr>
          <w:lang w:eastAsia="en-AU"/>
        </w:rPr>
        <w:t>Subsection 2</w:t>
      </w:r>
      <w:r w:rsidR="00CD1C16">
        <w:rPr>
          <w:lang w:eastAsia="en-AU"/>
        </w:rPr>
        <w:t>2</w:t>
      </w:r>
      <w:r w:rsidRPr="006309B2">
        <w:rPr>
          <w:lang w:eastAsia="en-AU"/>
        </w:rPr>
        <w:t xml:space="preserve">(2) sets out that the </w:t>
      </w:r>
      <w:r w:rsidR="00E813F0">
        <w:rPr>
          <w:lang w:eastAsia="en-AU"/>
        </w:rPr>
        <w:t xml:space="preserve">entire </w:t>
      </w:r>
      <w:r w:rsidRPr="006309B2">
        <w:rPr>
          <w:lang w:eastAsia="en-AU"/>
        </w:rPr>
        <w:t xml:space="preserve">baseline period must be included in the </w:t>
      </w:r>
      <w:r w:rsidR="00E813F0">
        <w:rPr>
          <w:lang w:eastAsia="en-AU"/>
        </w:rPr>
        <w:t xml:space="preserve">reference </w:t>
      </w:r>
      <w:r w:rsidRPr="006309B2">
        <w:rPr>
          <w:lang w:eastAsia="en-AU"/>
        </w:rPr>
        <w:t>period over which the reference output is to be measured for the output representativeness criterion (section 2</w:t>
      </w:r>
      <w:r w:rsidR="00CD1C16">
        <w:rPr>
          <w:lang w:eastAsia="en-AU"/>
        </w:rPr>
        <w:t>3</w:t>
      </w:r>
      <w:r w:rsidR="003974B1">
        <w:rPr>
          <w:lang w:eastAsia="en-AU"/>
        </w:rPr>
        <w:t>)</w:t>
      </w:r>
      <w:r w:rsidRPr="006309B2">
        <w:rPr>
          <w:lang w:eastAsia="en-AU"/>
        </w:rPr>
        <w:t xml:space="preserve">. </w:t>
      </w:r>
      <w:r w:rsidR="00E813F0">
        <w:rPr>
          <w:lang w:eastAsia="en-AU"/>
        </w:rPr>
        <w:t xml:space="preserve"> The reference period </w:t>
      </w:r>
      <w:r w:rsidR="00B8511F">
        <w:rPr>
          <w:lang w:eastAsia="en-AU"/>
        </w:rPr>
        <w:t xml:space="preserve">must be for 365 days. Where the period </w:t>
      </w:r>
      <w:r w:rsidR="00E813F0">
        <w:rPr>
          <w:lang w:eastAsia="en-AU"/>
        </w:rPr>
        <w:t>include</w:t>
      </w:r>
      <w:r w:rsidR="00B8511F">
        <w:rPr>
          <w:lang w:eastAsia="en-AU"/>
        </w:rPr>
        <w:t>s</w:t>
      </w:r>
      <w:r w:rsidR="00E813F0">
        <w:rPr>
          <w:lang w:eastAsia="en-AU"/>
        </w:rPr>
        <w:t xml:space="preserve"> </w:t>
      </w:r>
      <w:r w:rsidR="00E813F0" w:rsidRPr="008131BE">
        <w:rPr>
          <w:b/>
          <w:i/>
          <w:lang w:eastAsia="en-AU"/>
        </w:rPr>
        <w:t>excisable intervals</w:t>
      </w:r>
      <w:r w:rsidR="007A256D">
        <w:rPr>
          <w:lang w:eastAsia="en-AU"/>
        </w:rPr>
        <w:t xml:space="preserve"> in accordance with subsection 22(8), </w:t>
      </w:r>
      <w:r w:rsidR="00B8511F">
        <w:rPr>
          <w:lang w:eastAsia="en-AU"/>
        </w:rPr>
        <w:t>additional time equivalent to the length of any excisable periods must be added so that the period is exactly 365 days</w:t>
      </w:r>
      <w:r w:rsidR="007A256D">
        <w:rPr>
          <w:lang w:eastAsia="en-AU"/>
        </w:rPr>
        <w:t xml:space="preserve">. </w:t>
      </w:r>
    </w:p>
    <w:p w14:paraId="73ED8049" w14:textId="77777777" w:rsidR="003974B1" w:rsidRDefault="003974B1" w:rsidP="00B95886">
      <w:pPr>
        <w:pStyle w:val="h6Subsec"/>
        <w:spacing w:before="0" w:after="120"/>
        <w:ind w:left="0"/>
        <w:rPr>
          <w:rFonts w:ascii="Times New Roman" w:hAnsi="Times New Roman"/>
        </w:rPr>
      </w:pPr>
      <w:r w:rsidRPr="003974B1">
        <w:rPr>
          <w:rFonts w:ascii="Times New Roman" w:hAnsi="Times New Roman"/>
        </w:rPr>
        <w:t>Limit on maintenance and other work concurrent with upgrade</w:t>
      </w:r>
    </w:p>
    <w:p w14:paraId="73ED804A" w14:textId="52F7A958" w:rsidR="003974B1" w:rsidRPr="00D35948" w:rsidRDefault="003974B1" w:rsidP="00B95886">
      <w:pPr>
        <w:pStyle w:val="notetext"/>
        <w:spacing w:before="0" w:after="120"/>
        <w:ind w:left="0" w:firstLine="0"/>
        <w:rPr>
          <w:sz w:val="24"/>
        </w:rPr>
      </w:pPr>
      <w:r w:rsidRPr="00D35948">
        <w:rPr>
          <w:sz w:val="24"/>
        </w:rPr>
        <w:t>Subsection 22(</w:t>
      </w:r>
      <w:r w:rsidR="00713CBF">
        <w:rPr>
          <w:sz w:val="24"/>
        </w:rPr>
        <w:t>4</w:t>
      </w:r>
      <w:r w:rsidRPr="00D35948">
        <w:rPr>
          <w:sz w:val="24"/>
        </w:rPr>
        <w:t>) set</w:t>
      </w:r>
      <w:r w:rsidR="00EA1E8F">
        <w:rPr>
          <w:sz w:val="24"/>
        </w:rPr>
        <w:t>s</w:t>
      </w:r>
      <w:r w:rsidRPr="00D35948">
        <w:rPr>
          <w:sz w:val="24"/>
        </w:rPr>
        <w:t xml:space="preserve"> out that the baseline period and the project measurement period must be chosen so that any normal maintenance or replacement activities as set out in subsection 8(6) are either not part of the IE upgrade, or will not have a significant effect on abatement for an IE unit. </w:t>
      </w:r>
      <w:r w:rsidR="00D35948" w:rsidRPr="00D35948">
        <w:rPr>
          <w:sz w:val="24"/>
        </w:rPr>
        <w:t>Subsection 22(</w:t>
      </w:r>
      <w:r w:rsidR="007A256D">
        <w:rPr>
          <w:sz w:val="24"/>
        </w:rPr>
        <w:t>5</w:t>
      </w:r>
      <w:r w:rsidR="00D35948" w:rsidRPr="00D35948">
        <w:rPr>
          <w:sz w:val="24"/>
        </w:rPr>
        <w:t>) clarifies that where</w:t>
      </w:r>
      <w:r w:rsidRPr="00D35948">
        <w:rPr>
          <w:sz w:val="24"/>
        </w:rPr>
        <w:t xml:space="preserve"> a numerical estimate </w:t>
      </w:r>
      <w:r w:rsidR="00D35948" w:rsidRPr="00D35948">
        <w:rPr>
          <w:sz w:val="24"/>
        </w:rPr>
        <w:t>can be made</w:t>
      </w:r>
      <w:r w:rsidRPr="00D35948">
        <w:rPr>
          <w:sz w:val="24"/>
        </w:rPr>
        <w:t xml:space="preserve">, a proportion of </w:t>
      </w:r>
      <w:r w:rsidR="00D35948" w:rsidRPr="00D35948">
        <w:rPr>
          <w:sz w:val="24"/>
        </w:rPr>
        <w:t>over</w:t>
      </w:r>
      <w:r w:rsidRPr="00D35948">
        <w:rPr>
          <w:sz w:val="24"/>
        </w:rPr>
        <w:t xml:space="preserve"> 20</w:t>
      </w:r>
      <w:r w:rsidR="00D35948" w:rsidRPr="00D35948">
        <w:rPr>
          <w:sz w:val="24"/>
        </w:rPr>
        <w:t xml:space="preserve"> per cent</w:t>
      </w:r>
      <w:r w:rsidRPr="00D35948">
        <w:rPr>
          <w:sz w:val="24"/>
        </w:rPr>
        <w:t xml:space="preserve"> </w:t>
      </w:r>
      <w:r w:rsidR="00D35948" w:rsidRPr="00D35948">
        <w:rPr>
          <w:sz w:val="24"/>
        </w:rPr>
        <w:t>is considered</w:t>
      </w:r>
      <w:r w:rsidRPr="00D35948">
        <w:rPr>
          <w:sz w:val="24"/>
        </w:rPr>
        <w:t xml:space="preserve"> significant</w:t>
      </w:r>
      <w:r w:rsidR="00B8511F">
        <w:rPr>
          <w:sz w:val="24"/>
        </w:rPr>
        <w:t>, based on the Pareto principle</w:t>
      </w:r>
      <w:r w:rsidRPr="00D35948">
        <w:rPr>
          <w:sz w:val="24"/>
        </w:rPr>
        <w:t>.</w:t>
      </w:r>
      <w:r w:rsidR="00713CBF">
        <w:rPr>
          <w:sz w:val="24"/>
        </w:rPr>
        <w:t xml:space="preserve"> Subsection 22(3) clarifies that the limits on these activities may be assessed based on reasonable expectations in the pre-upgrade declaration (section 24). </w:t>
      </w:r>
      <w:r w:rsidR="00D17F4D">
        <w:rPr>
          <w:sz w:val="24"/>
        </w:rPr>
        <w:t>This ensures</w:t>
      </w:r>
      <w:r w:rsidR="00E24757">
        <w:rPr>
          <w:sz w:val="24"/>
        </w:rPr>
        <w:t xml:space="preserve"> that the </w:t>
      </w:r>
      <w:r w:rsidR="00F84ED8">
        <w:rPr>
          <w:sz w:val="24"/>
        </w:rPr>
        <w:t>MVP</w:t>
      </w:r>
      <w:r w:rsidR="00E24757">
        <w:rPr>
          <w:sz w:val="24"/>
        </w:rPr>
        <w:t xml:space="preserve"> has not made a false declaration if unexpected maintenance issues occur which result in significant abatement.</w:t>
      </w:r>
    </w:p>
    <w:p w14:paraId="73ED804B" w14:textId="3C4E4BE5" w:rsidR="00925869" w:rsidRDefault="007F5049" w:rsidP="00B95886">
      <w:pPr>
        <w:spacing w:before="0" w:after="120" w:line="240" w:lineRule="auto"/>
        <w:rPr>
          <w:color w:val="000000" w:themeColor="text1"/>
        </w:rPr>
      </w:pPr>
      <w:r>
        <w:rPr>
          <w:color w:val="000000" w:themeColor="text1"/>
        </w:rPr>
        <w:t>Subsection</w:t>
      </w:r>
      <w:r w:rsidR="00EA1E8F">
        <w:rPr>
          <w:color w:val="000000" w:themeColor="text1"/>
        </w:rPr>
        <w:t>s</w:t>
      </w:r>
      <w:r>
        <w:rPr>
          <w:color w:val="000000" w:themeColor="text1"/>
        </w:rPr>
        <w:t xml:space="preserve"> 2</w:t>
      </w:r>
      <w:r w:rsidR="00CD1C16">
        <w:rPr>
          <w:color w:val="000000" w:themeColor="text1"/>
        </w:rPr>
        <w:t>2</w:t>
      </w:r>
      <w:r>
        <w:rPr>
          <w:color w:val="000000" w:themeColor="text1"/>
        </w:rPr>
        <w:t>(</w:t>
      </w:r>
      <w:r w:rsidR="00D35948">
        <w:rPr>
          <w:color w:val="000000" w:themeColor="text1"/>
        </w:rPr>
        <w:t>5</w:t>
      </w:r>
      <w:r>
        <w:rPr>
          <w:color w:val="000000" w:themeColor="text1"/>
        </w:rPr>
        <w:t xml:space="preserve">) </w:t>
      </w:r>
      <w:r w:rsidR="006309B2">
        <w:rPr>
          <w:color w:val="000000" w:themeColor="text1"/>
        </w:rPr>
        <w:t>to 2</w:t>
      </w:r>
      <w:r w:rsidR="00CD1C16">
        <w:rPr>
          <w:color w:val="000000" w:themeColor="text1"/>
        </w:rPr>
        <w:t>2</w:t>
      </w:r>
      <w:r w:rsidR="006309B2">
        <w:rPr>
          <w:color w:val="000000" w:themeColor="text1"/>
        </w:rPr>
        <w:t>(</w:t>
      </w:r>
      <w:r w:rsidR="00D35948">
        <w:rPr>
          <w:color w:val="000000" w:themeColor="text1"/>
        </w:rPr>
        <w:t>7</w:t>
      </w:r>
      <w:r w:rsidR="006309B2">
        <w:rPr>
          <w:color w:val="000000" w:themeColor="text1"/>
        </w:rPr>
        <w:t xml:space="preserve">) </w:t>
      </w:r>
      <w:r>
        <w:rPr>
          <w:color w:val="000000" w:themeColor="text1"/>
        </w:rPr>
        <w:t xml:space="preserve">set out that </w:t>
      </w:r>
      <w:r w:rsidR="00D2701B" w:rsidRPr="007A7965">
        <w:rPr>
          <w:color w:val="000000" w:themeColor="text1"/>
        </w:rPr>
        <w:t>measurement period</w:t>
      </w:r>
      <w:r w:rsidR="006309B2">
        <w:rPr>
          <w:color w:val="000000" w:themeColor="text1"/>
        </w:rPr>
        <w:t>s</w:t>
      </w:r>
      <w:r w:rsidR="00D2701B" w:rsidRPr="007A7965">
        <w:rPr>
          <w:color w:val="000000" w:themeColor="text1"/>
        </w:rPr>
        <w:t xml:space="preserve"> </w:t>
      </w:r>
      <w:r w:rsidR="001D3C35">
        <w:rPr>
          <w:color w:val="000000" w:themeColor="text1"/>
        </w:rPr>
        <w:t xml:space="preserve">and </w:t>
      </w:r>
      <w:r w:rsidR="006309B2">
        <w:rPr>
          <w:color w:val="000000" w:themeColor="text1"/>
        </w:rPr>
        <w:t xml:space="preserve">the </w:t>
      </w:r>
      <w:r w:rsidR="001D3C35">
        <w:rPr>
          <w:color w:val="000000" w:themeColor="text1"/>
        </w:rPr>
        <w:t xml:space="preserve">reference period </w:t>
      </w:r>
      <w:r w:rsidR="00D2701B" w:rsidRPr="007A7965">
        <w:rPr>
          <w:color w:val="000000" w:themeColor="text1"/>
        </w:rPr>
        <w:t xml:space="preserve">must be a continuous </w:t>
      </w:r>
      <w:r w:rsidR="002213AD">
        <w:rPr>
          <w:color w:val="000000" w:themeColor="text1"/>
        </w:rPr>
        <w:t>block of time</w:t>
      </w:r>
      <w:r w:rsidR="006309B2">
        <w:rPr>
          <w:color w:val="000000" w:themeColor="text1"/>
        </w:rPr>
        <w:t>, excluding any intervals that are excisable under subsection 2</w:t>
      </w:r>
      <w:r w:rsidR="00CD1C16">
        <w:rPr>
          <w:color w:val="000000" w:themeColor="text1"/>
        </w:rPr>
        <w:t>2</w:t>
      </w:r>
      <w:r w:rsidR="006309B2">
        <w:rPr>
          <w:color w:val="000000" w:themeColor="text1"/>
        </w:rPr>
        <w:t>(</w:t>
      </w:r>
      <w:r w:rsidR="00D35948">
        <w:rPr>
          <w:color w:val="000000" w:themeColor="text1"/>
        </w:rPr>
        <w:t>7</w:t>
      </w:r>
      <w:r w:rsidR="006309B2">
        <w:rPr>
          <w:color w:val="000000" w:themeColor="text1"/>
        </w:rPr>
        <w:t>)</w:t>
      </w:r>
      <w:r w:rsidR="00D2701B" w:rsidRPr="0081728B">
        <w:rPr>
          <w:color w:val="000000" w:themeColor="text1"/>
        </w:rPr>
        <w:t>.</w:t>
      </w:r>
      <w:r w:rsidR="002213AD">
        <w:rPr>
          <w:color w:val="000000" w:themeColor="text1"/>
        </w:rPr>
        <w:t xml:space="preserve"> </w:t>
      </w:r>
      <w:r w:rsidR="006309B2" w:rsidRPr="006309B2">
        <w:rPr>
          <w:color w:val="000000" w:themeColor="text1"/>
        </w:rPr>
        <w:t>Subsection 2</w:t>
      </w:r>
      <w:r w:rsidR="00CD1C16">
        <w:rPr>
          <w:color w:val="000000" w:themeColor="text1"/>
        </w:rPr>
        <w:t>2</w:t>
      </w:r>
      <w:r w:rsidR="006309B2" w:rsidRPr="006309B2">
        <w:rPr>
          <w:color w:val="000000" w:themeColor="text1"/>
        </w:rPr>
        <w:t>(</w:t>
      </w:r>
      <w:r w:rsidR="0015590C">
        <w:rPr>
          <w:color w:val="000000" w:themeColor="text1"/>
        </w:rPr>
        <w:t>8</w:t>
      </w:r>
      <w:r w:rsidR="006309B2" w:rsidRPr="006309B2">
        <w:rPr>
          <w:color w:val="000000" w:themeColor="text1"/>
        </w:rPr>
        <w:t xml:space="preserve">) defines the conditions for a time interval </w:t>
      </w:r>
      <w:r w:rsidR="00F9320E">
        <w:rPr>
          <w:color w:val="000000" w:themeColor="text1"/>
        </w:rPr>
        <w:t>to be</w:t>
      </w:r>
      <w:r w:rsidR="00F9320E" w:rsidRPr="006309B2">
        <w:rPr>
          <w:color w:val="000000" w:themeColor="text1"/>
        </w:rPr>
        <w:t xml:space="preserve"> </w:t>
      </w:r>
      <w:r w:rsidR="006309B2" w:rsidRPr="006309B2">
        <w:rPr>
          <w:color w:val="000000" w:themeColor="text1"/>
        </w:rPr>
        <w:t xml:space="preserve">an excisable interval for the IE unit, for example the </w:t>
      </w:r>
      <w:r w:rsidR="006309B2" w:rsidRPr="00D15143">
        <w:rPr>
          <w:b/>
          <w:i/>
          <w:color w:val="000000" w:themeColor="text1"/>
        </w:rPr>
        <w:t>commissioning period</w:t>
      </w:r>
      <w:r w:rsidR="006309B2" w:rsidRPr="006309B2">
        <w:rPr>
          <w:color w:val="000000" w:themeColor="text1"/>
        </w:rPr>
        <w:t xml:space="preserve"> for the unit or the period </w:t>
      </w:r>
      <w:r w:rsidR="00F9320E" w:rsidRPr="006309B2">
        <w:rPr>
          <w:color w:val="000000" w:themeColor="text1"/>
        </w:rPr>
        <w:t>of a</w:t>
      </w:r>
      <w:r w:rsidR="006309B2" w:rsidRPr="006309B2">
        <w:rPr>
          <w:color w:val="000000" w:themeColor="text1"/>
        </w:rPr>
        <w:t xml:space="preserve"> start-up or shut-down sequence that is not part of the normal cycle of operation. </w:t>
      </w:r>
    </w:p>
    <w:p w14:paraId="73ED804C" w14:textId="138B7911" w:rsidR="00925869" w:rsidRPr="00925869" w:rsidRDefault="00925869" w:rsidP="00B95886">
      <w:pPr>
        <w:spacing w:before="0" w:after="120" w:line="240" w:lineRule="auto"/>
        <w:rPr>
          <w:lang w:eastAsia="en-AU"/>
        </w:rPr>
      </w:pPr>
      <w:r w:rsidRPr="0071335A">
        <w:rPr>
          <w:lang w:eastAsia="en-AU"/>
        </w:rPr>
        <w:t xml:space="preserve">The method allows measurement periods to include </w:t>
      </w:r>
      <w:r w:rsidR="00F9320E" w:rsidRPr="0071335A">
        <w:rPr>
          <w:lang w:eastAsia="en-AU"/>
        </w:rPr>
        <w:t>start-up</w:t>
      </w:r>
      <w:r w:rsidRPr="0071335A">
        <w:rPr>
          <w:lang w:eastAsia="en-AU"/>
        </w:rPr>
        <w:t xml:space="preserve"> periods that form part of the typical operation of an IE unit. For example, if an industrial compressed air system is restarted each day, the start-up can be included. However, it must be excluded from a one</w:t>
      </w:r>
      <w:r w:rsidR="00EA1E8F">
        <w:rPr>
          <w:lang w:eastAsia="en-AU"/>
        </w:rPr>
        <w:t> </w:t>
      </w:r>
      <w:r w:rsidRPr="0071335A">
        <w:rPr>
          <w:lang w:eastAsia="en-AU"/>
        </w:rPr>
        <w:t>month measurement period if the system is normally only restarted every six months for maintenance purposes.</w:t>
      </w:r>
    </w:p>
    <w:p w14:paraId="73ED804D" w14:textId="77777777" w:rsidR="00A128EB" w:rsidRPr="00A128EB" w:rsidRDefault="00A128EB" w:rsidP="00B95886">
      <w:pPr>
        <w:pStyle w:val="h6Subsec"/>
        <w:spacing w:before="0" w:after="120"/>
        <w:ind w:left="0"/>
        <w:rPr>
          <w:rFonts w:ascii="Times New Roman" w:hAnsi="Times New Roman"/>
        </w:rPr>
      </w:pPr>
      <w:r w:rsidRPr="00A128EB">
        <w:rPr>
          <w:rFonts w:ascii="Times New Roman" w:hAnsi="Times New Roman"/>
        </w:rPr>
        <w:t>Measurement periods must be close to the time of the upgrade</w:t>
      </w:r>
    </w:p>
    <w:p w14:paraId="73ED804E" w14:textId="5F8C30B2" w:rsidR="00E579C5" w:rsidRDefault="002F1ECE" w:rsidP="00B95886">
      <w:pPr>
        <w:pStyle w:val="notetext"/>
        <w:spacing w:before="0" w:after="120"/>
        <w:ind w:left="0" w:firstLine="0"/>
        <w:rPr>
          <w:sz w:val="24"/>
          <w:szCs w:val="24"/>
        </w:rPr>
      </w:pPr>
      <w:r>
        <w:rPr>
          <w:sz w:val="24"/>
        </w:rPr>
        <w:t>T</w:t>
      </w:r>
      <w:r w:rsidR="00A61C53" w:rsidRPr="00011FBB">
        <w:rPr>
          <w:sz w:val="24"/>
        </w:rPr>
        <w:t xml:space="preserve">o ensure that the baseline period is close enough to the </w:t>
      </w:r>
      <w:r>
        <w:rPr>
          <w:sz w:val="24"/>
        </w:rPr>
        <w:t xml:space="preserve">IE </w:t>
      </w:r>
      <w:r w:rsidR="00A61C53" w:rsidRPr="00011FBB">
        <w:rPr>
          <w:sz w:val="24"/>
        </w:rPr>
        <w:t>upgrade to be representative,</w:t>
      </w:r>
      <w:r w:rsidR="00A61C53" w:rsidRPr="0099569C">
        <w:t xml:space="preserve"> </w:t>
      </w:r>
      <w:r w:rsidR="00A61C53" w:rsidRPr="007A7965">
        <w:rPr>
          <w:sz w:val="24"/>
          <w:szCs w:val="24"/>
        </w:rPr>
        <w:t>subsection 2</w:t>
      </w:r>
      <w:r w:rsidR="00CD1C16">
        <w:rPr>
          <w:sz w:val="24"/>
          <w:szCs w:val="24"/>
        </w:rPr>
        <w:t>2</w:t>
      </w:r>
      <w:r w:rsidR="00A61C53" w:rsidRPr="007A7965">
        <w:rPr>
          <w:sz w:val="24"/>
          <w:szCs w:val="24"/>
        </w:rPr>
        <w:t>(</w:t>
      </w:r>
      <w:r w:rsidR="0015590C">
        <w:rPr>
          <w:sz w:val="24"/>
          <w:szCs w:val="24"/>
        </w:rPr>
        <w:t>9</w:t>
      </w:r>
      <w:r w:rsidR="00A61C53" w:rsidRPr="007A7965">
        <w:rPr>
          <w:sz w:val="24"/>
          <w:szCs w:val="24"/>
        </w:rPr>
        <w:t xml:space="preserve">) </w:t>
      </w:r>
      <w:r>
        <w:rPr>
          <w:sz w:val="24"/>
          <w:szCs w:val="24"/>
        </w:rPr>
        <w:t>requires</w:t>
      </w:r>
      <w:r w:rsidR="00A61C53" w:rsidRPr="007A7965">
        <w:rPr>
          <w:sz w:val="24"/>
          <w:szCs w:val="24"/>
        </w:rPr>
        <w:t xml:space="preserve"> that</w:t>
      </w:r>
      <w:r w:rsidR="00A61C53" w:rsidRPr="007A7965">
        <w:rPr>
          <w:rFonts w:ascii="Arial" w:hAnsi="Arial"/>
          <w:i/>
          <w:sz w:val="24"/>
          <w:szCs w:val="24"/>
        </w:rPr>
        <w:t xml:space="preserve"> </w:t>
      </w:r>
      <w:r w:rsidR="00A61C53" w:rsidRPr="007A7965">
        <w:rPr>
          <w:sz w:val="24"/>
          <w:szCs w:val="24"/>
        </w:rPr>
        <w:t>th</w:t>
      </w:r>
      <w:r w:rsidR="00290B4E" w:rsidRPr="007A7965">
        <w:rPr>
          <w:sz w:val="24"/>
          <w:szCs w:val="24"/>
        </w:rPr>
        <w:t xml:space="preserve">e baseline period </w:t>
      </w:r>
      <w:r w:rsidR="007A7965">
        <w:rPr>
          <w:sz w:val="24"/>
          <w:szCs w:val="24"/>
        </w:rPr>
        <w:t xml:space="preserve">for an IE unit </w:t>
      </w:r>
      <w:r w:rsidR="00290B4E" w:rsidRPr="007A7965">
        <w:rPr>
          <w:sz w:val="24"/>
          <w:szCs w:val="24"/>
        </w:rPr>
        <w:t xml:space="preserve">must end within 12 months </w:t>
      </w:r>
      <w:r w:rsidR="0099569C" w:rsidRPr="007A7965">
        <w:rPr>
          <w:sz w:val="24"/>
          <w:szCs w:val="24"/>
        </w:rPr>
        <w:t xml:space="preserve">of commissioning </w:t>
      </w:r>
      <w:r w:rsidR="00A61C53" w:rsidRPr="007A7965">
        <w:rPr>
          <w:sz w:val="24"/>
          <w:szCs w:val="24"/>
        </w:rPr>
        <w:t>the upgraded unit</w:t>
      </w:r>
      <w:r w:rsidR="00290B4E" w:rsidRPr="007A7965">
        <w:rPr>
          <w:sz w:val="24"/>
          <w:szCs w:val="24"/>
        </w:rPr>
        <w:t>.</w:t>
      </w:r>
      <w:r w:rsidR="00A61C53" w:rsidRPr="007A7965">
        <w:rPr>
          <w:sz w:val="24"/>
          <w:szCs w:val="24"/>
        </w:rPr>
        <w:t xml:space="preserve"> </w:t>
      </w:r>
      <w:r w:rsidR="00982A9A" w:rsidRPr="007A7965">
        <w:rPr>
          <w:sz w:val="24"/>
          <w:szCs w:val="24"/>
        </w:rPr>
        <w:t>If the baseline period approved for a unit in the pre-upgrade declaration fails this provision</w:t>
      </w:r>
      <w:r w:rsidR="002F6D86" w:rsidRPr="007A7965">
        <w:rPr>
          <w:sz w:val="24"/>
          <w:szCs w:val="24"/>
        </w:rPr>
        <w:t>,</w:t>
      </w:r>
      <w:r w:rsidR="00982A9A" w:rsidRPr="007A7965">
        <w:rPr>
          <w:sz w:val="24"/>
          <w:szCs w:val="24"/>
        </w:rPr>
        <w:t xml:space="preserve"> the project proponent may collect the necessary baseline data for a later pre-upgrade period that meets this provision, subject to documentati</w:t>
      </w:r>
      <w:r w:rsidR="00F84ED8">
        <w:rPr>
          <w:sz w:val="24"/>
          <w:szCs w:val="24"/>
        </w:rPr>
        <w:t>on and approval by a MVP</w:t>
      </w:r>
      <w:r w:rsidR="00982A9A" w:rsidRPr="007A7965">
        <w:rPr>
          <w:sz w:val="24"/>
          <w:szCs w:val="24"/>
        </w:rPr>
        <w:t xml:space="preserve"> in the post-upgrade declaration. </w:t>
      </w:r>
    </w:p>
    <w:p w14:paraId="73ED804F" w14:textId="77777777" w:rsidR="004633B4" w:rsidRDefault="004633B4" w:rsidP="00B95886">
      <w:pPr>
        <w:pStyle w:val="notetext"/>
        <w:spacing w:before="0" w:after="120"/>
        <w:ind w:left="0" w:firstLine="0"/>
        <w:rPr>
          <w:sz w:val="24"/>
          <w:szCs w:val="24"/>
        </w:rPr>
      </w:pPr>
      <w:r>
        <w:rPr>
          <w:sz w:val="24"/>
          <w:szCs w:val="24"/>
        </w:rPr>
        <w:t>Subsection 2</w:t>
      </w:r>
      <w:r w:rsidR="00CD1C16">
        <w:rPr>
          <w:sz w:val="24"/>
          <w:szCs w:val="24"/>
        </w:rPr>
        <w:t>2</w:t>
      </w:r>
      <w:r>
        <w:rPr>
          <w:sz w:val="24"/>
          <w:szCs w:val="24"/>
        </w:rPr>
        <w:t>(</w:t>
      </w:r>
      <w:r w:rsidR="0015590C">
        <w:rPr>
          <w:sz w:val="24"/>
          <w:szCs w:val="24"/>
        </w:rPr>
        <w:t>10</w:t>
      </w:r>
      <w:r>
        <w:rPr>
          <w:sz w:val="24"/>
          <w:szCs w:val="24"/>
        </w:rPr>
        <w:t xml:space="preserve">) sets out that the </w:t>
      </w:r>
      <w:r w:rsidRPr="004633B4">
        <w:rPr>
          <w:sz w:val="24"/>
          <w:szCs w:val="24"/>
        </w:rPr>
        <w:t xml:space="preserve">project measurement period for an IE unit must begin within 18 months </w:t>
      </w:r>
      <w:r>
        <w:rPr>
          <w:sz w:val="24"/>
          <w:szCs w:val="24"/>
        </w:rPr>
        <w:t>from commissioning</w:t>
      </w:r>
      <w:r w:rsidRPr="004633B4">
        <w:rPr>
          <w:sz w:val="24"/>
          <w:szCs w:val="24"/>
        </w:rPr>
        <w:t xml:space="preserve"> the upgraded unit</w:t>
      </w:r>
      <w:r>
        <w:rPr>
          <w:sz w:val="24"/>
          <w:szCs w:val="24"/>
        </w:rPr>
        <w:t xml:space="preserve"> in order to limit the amount of time that elapses between baseline and project measurements. This period is long enough to accommodate </w:t>
      </w:r>
      <w:r w:rsidR="00925869">
        <w:rPr>
          <w:sz w:val="24"/>
          <w:szCs w:val="24"/>
        </w:rPr>
        <w:t>metering installation during annual refurbishments, or other unexpected events affecting a unit.</w:t>
      </w:r>
      <w:r>
        <w:rPr>
          <w:sz w:val="24"/>
          <w:szCs w:val="24"/>
        </w:rPr>
        <w:t xml:space="preserve"> </w:t>
      </w:r>
    </w:p>
    <w:p w14:paraId="73ED8050" w14:textId="5B597E86" w:rsidR="00596B0C" w:rsidRPr="00E579C5" w:rsidRDefault="00596B0C" w:rsidP="00B95886">
      <w:pPr>
        <w:spacing w:before="0" w:after="120" w:line="240" w:lineRule="auto"/>
        <w:rPr>
          <w:szCs w:val="24"/>
        </w:rPr>
      </w:pPr>
      <w:r>
        <w:t>U</w:t>
      </w:r>
      <w:r w:rsidRPr="00150CE2">
        <w:t>nder section 69 of the Act, the crediting period of a project is required to start within 18</w:t>
      </w:r>
      <w:r w:rsidR="00F84ED8">
        <w:t> </w:t>
      </w:r>
      <w:r w:rsidRPr="00150CE2">
        <w:t>months of the project being registered (</w:t>
      </w:r>
      <w:r w:rsidR="00F9320E" w:rsidRPr="00150CE2">
        <w:t>i.e.</w:t>
      </w:r>
      <w:r w:rsidRPr="00150CE2">
        <w:t xml:space="preserve"> declared an eligible offsets project). The project measurement period could start as soon as the project is registered. As the project may receive credits for seven years, any IE units </w:t>
      </w:r>
      <w:r w:rsidRPr="00D15143">
        <w:rPr>
          <w:b/>
          <w:i/>
        </w:rPr>
        <w:t>commissioned</w:t>
      </w:r>
      <w:r w:rsidRPr="00150CE2">
        <w:t xml:space="preserve"> after this date will obtain credits for less than seven years. Proponents are able to delay the start of the crediting period for up to 18 months from registration in order to maximise the period over which the IE units in a project are credited.</w:t>
      </w:r>
      <w:r w:rsidRPr="005C4FCC">
        <w:t xml:space="preserve"> </w:t>
      </w:r>
    </w:p>
    <w:p w14:paraId="73ED8051" w14:textId="77777777" w:rsidR="00A128EB" w:rsidRPr="00A128EB" w:rsidRDefault="00A128EB" w:rsidP="00B95886">
      <w:pPr>
        <w:pStyle w:val="h6Subsec"/>
        <w:spacing w:before="0" w:after="120"/>
        <w:ind w:left="0"/>
        <w:rPr>
          <w:rFonts w:ascii="Times New Roman" w:hAnsi="Times New Roman"/>
        </w:rPr>
      </w:pPr>
      <w:r w:rsidRPr="00A128EB">
        <w:rPr>
          <w:rFonts w:ascii="Times New Roman" w:hAnsi="Times New Roman"/>
        </w:rPr>
        <w:lastRenderedPageBreak/>
        <w:t>Measurement periods must be representative</w:t>
      </w:r>
    </w:p>
    <w:p w14:paraId="73ED8052" w14:textId="77777777" w:rsidR="00290B4E" w:rsidRPr="00150CE2" w:rsidRDefault="00EA1253" w:rsidP="00B95886">
      <w:pPr>
        <w:pStyle w:val="notetext"/>
        <w:spacing w:before="0" w:after="120"/>
        <w:ind w:left="0" w:firstLine="0"/>
        <w:rPr>
          <w:sz w:val="24"/>
          <w:szCs w:val="24"/>
        </w:rPr>
      </w:pPr>
      <w:r w:rsidRPr="00150CE2">
        <w:rPr>
          <w:sz w:val="24"/>
          <w:szCs w:val="24"/>
        </w:rPr>
        <w:t>Subsection 2</w:t>
      </w:r>
      <w:r w:rsidR="00CD1C16">
        <w:rPr>
          <w:sz w:val="24"/>
          <w:szCs w:val="24"/>
        </w:rPr>
        <w:t>2</w:t>
      </w:r>
      <w:r w:rsidRPr="00150CE2">
        <w:rPr>
          <w:sz w:val="24"/>
          <w:szCs w:val="24"/>
        </w:rPr>
        <w:t>(</w:t>
      </w:r>
      <w:r w:rsidR="00D35948">
        <w:rPr>
          <w:sz w:val="24"/>
          <w:szCs w:val="24"/>
        </w:rPr>
        <w:t>1</w:t>
      </w:r>
      <w:r w:rsidR="003F5422">
        <w:rPr>
          <w:sz w:val="24"/>
          <w:szCs w:val="24"/>
        </w:rPr>
        <w:t>1</w:t>
      </w:r>
      <w:r w:rsidRPr="00150CE2">
        <w:rPr>
          <w:sz w:val="24"/>
          <w:szCs w:val="24"/>
        </w:rPr>
        <w:t>) sets out that m</w:t>
      </w:r>
      <w:r w:rsidR="00290B4E" w:rsidRPr="00150CE2">
        <w:rPr>
          <w:sz w:val="24"/>
          <w:szCs w:val="24"/>
        </w:rPr>
        <w:t xml:space="preserve">easurement periods </w:t>
      </w:r>
      <w:r w:rsidR="001D3C35">
        <w:rPr>
          <w:sz w:val="24"/>
          <w:szCs w:val="24"/>
        </w:rPr>
        <w:t xml:space="preserve">and the reference period </w:t>
      </w:r>
      <w:r w:rsidR="00290B4E" w:rsidRPr="00150CE2">
        <w:rPr>
          <w:sz w:val="24"/>
          <w:szCs w:val="24"/>
        </w:rPr>
        <w:t xml:space="preserve">must be representative </w:t>
      </w:r>
      <w:r w:rsidRPr="00150CE2">
        <w:rPr>
          <w:sz w:val="24"/>
          <w:szCs w:val="24"/>
        </w:rPr>
        <w:t xml:space="preserve">of the </w:t>
      </w:r>
      <w:r w:rsidR="00E578C9" w:rsidRPr="00150CE2">
        <w:rPr>
          <w:sz w:val="24"/>
          <w:szCs w:val="24"/>
        </w:rPr>
        <w:t xml:space="preserve">expected </w:t>
      </w:r>
      <w:r w:rsidRPr="00150CE2">
        <w:rPr>
          <w:sz w:val="24"/>
          <w:szCs w:val="24"/>
        </w:rPr>
        <w:t>operation of the IE unit and its energy consumption over the crediting period. Specifically, each measurement period must:</w:t>
      </w:r>
      <w:r w:rsidR="00290B4E" w:rsidRPr="00150CE2">
        <w:rPr>
          <w:sz w:val="24"/>
          <w:szCs w:val="24"/>
        </w:rPr>
        <w:t xml:space="preserve"> </w:t>
      </w:r>
    </w:p>
    <w:p w14:paraId="73ED8053" w14:textId="77777777" w:rsidR="00290B4E" w:rsidRPr="00150CE2" w:rsidRDefault="00290B4E" w:rsidP="00B95886">
      <w:pPr>
        <w:pStyle w:val="ListBullet"/>
        <w:spacing w:after="120"/>
        <w:ind w:left="714" w:hanging="357"/>
      </w:pPr>
      <w:r w:rsidRPr="00150CE2">
        <w:t>cover any normal variation in output or e</w:t>
      </w:r>
      <w:r w:rsidR="002F6D86" w:rsidRPr="00150CE2">
        <w:t>nergy use</w:t>
      </w:r>
    </w:p>
    <w:p w14:paraId="73ED8054" w14:textId="77777777" w:rsidR="00290B4E" w:rsidRPr="00150CE2" w:rsidRDefault="00E578C9" w:rsidP="00B95886">
      <w:pPr>
        <w:pStyle w:val="ListBullet"/>
        <w:spacing w:after="120"/>
      </w:pPr>
      <w:r w:rsidRPr="00150CE2">
        <w:t xml:space="preserve">cover representative parts of the different seasons or other periods, </w:t>
      </w:r>
      <w:r w:rsidR="00290B4E" w:rsidRPr="00150CE2">
        <w:t>if the unit is subject to any seasonal or other periodic variations in output or energy use</w:t>
      </w:r>
      <w:r w:rsidR="006A50C4">
        <w:t>, and</w:t>
      </w:r>
      <w:r w:rsidR="00290B4E" w:rsidRPr="00150CE2">
        <w:t xml:space="preserve"> </w:t>
      </w:r>
    </w:p>
    <w:p w14:paraId="73ED8055" w14:textId="77777777" w:rsidR="001B4180" w:rsidRPr="00150CE2" w:rsidRDefault="00290B4E" w:rsidP="00B95886">
      <w:pPr>
        <w:pStyle w:val="ListBullet"/>
        <w:spacing w:after="120"/>
      </w:pPr>
      <w:r w:rsidRPr="00150CE2">
        <w:t>cover a typical range of operating conditions for the original unit.</w:t>
      </w:r>
    </w:p>
    <w:p w14:paraId="73ED8056" w14:textId="77777777" w:rsidR="00A128EB" w:rsidRPr="00A128EB" w:rsidRDefault="00290B4E" w:rsidP="001653A9">
      <w:pPr>
        <w:spacing w:before="0" w:after="240" w:line="240" w:lineRule="auto"/>
      </w:pPr>
      <w:r w:rsidRPr="00150CE2">
        <w:t xml:space="preserve">The measurement period </w:t>
      </w:r>
      <w:r w:rsidR="001D3C35">
        <w:t xml:space="preserve">and reference period </w:t>
      </w:r>
      <w:r w:rsidRPr="00150CE2">
        <w:t xml:space="preserve">must </w:t>
      </w:r>
      <w:r w:rsidR="00EA1253" w:rsidRPr="00150CE2">
        <w:t xml:space="preserve">account for changes in output, external </w:t>
      </w:r>
      <w:r w:rsidR="001B4180" w:rsidRPr="00150CE2">
        <w:t xml:space="preserve">factors such as climate, </w:t>
      </w:r>
      <w:r w:rsidRPr="00150CE2">
        <w:t>input or output quality and type that mater</w:t>
      </w:r>
      <w:r w:rsidR="001B4180" w:rsidRPr="00150CE2">
        <w:t xml:space="preserve">ially affect energy consumption, </w:t>
      </w:r>
      <w:r w:rsidRPr="00150CE2">
        <w:t>the fuel mix</w:t>
      </w:r>
      <w:r w:rsidR="001B4180" w:rsidRPr="00150CE2">
        <w:t>, operating schedules (</w:t>
      </w:r>
      <w:r w:rsidRPr="00150CE2">
        <w:t>in</w:t>
      </w:r>
      <w:r w:rsidR="001B4180" w:rsidRPr="00150CE2">
        <w:t xml:space="preserve">cluding start-ups and shutdowns) and </w:t>
      </w:r>
      <w:r w:rsidR="002F6D86" w:rsidRPr="00150CE2">
        <w:t xml:space="preserve">changes in </w:t>
      </w:r>
      <w:r w:rsidRPr="00150CE2">
        <w:t>equipment or equipment configuration.</w:t>
      </w:r>
    </w:p>
    <w:p w14:paraId="73ED8057" w14:textId="77777777" w:rsidR="00290B4E" w:rsidRPr="0099569C" w:rsidRDefault="009308F9" w:rsidP="00B95886">
      <w:pPr>
        <w:pStyle w:val="ESA4Section"/>
        <w:spacing w:before="0" w:after="120"/>
        <w:rPr>
          <w:color w:val="auto"/>
        </w:rPr>
      </w:pPr>
      <w:bookmarkStart w:id="2" w:name="_Toc456793719"/>
      <w:r w:rsidRPr="0099569C">
        <w:rPr>
          <w:color w:val="auto"/>
        </w:rPr>
        <w:t>2</w:t>
      </w:r>
      <w:r w:rsidR="00CD1C16">
        <w:rPr>
          <w:color w:val="auto"/>
        </w:rPr>
        <w:t>3</w:t>
      </w:r>
      <w:r w:rsidRPr="0099569C">
        <w:rPr>
          <w:color w:val="auto"/>
        </w:rPr>
        <w:tab/>
      </w:r>
      <w:r w:rsidR="00290B4E" w:rsidRPr="0099569C">
        <w:rPr>
          <w:color w:val="auto"/>
        </w:rPr>
        <w:t>The output representativeness criterion</w:t>
      </w:r>
      <w:bookmarkEnd w:id="2"/>
    </w:p>
    <w:p w14:paraId="73ED8058" w14:textId="4FECDCF8" w:rsidR="00877CA6" w:rsidRPr="005C4FCC" w:rsidRDefault="0030745B" w:rsidP="00B95886">
      <w:pPr>
        <w:pStyle w:val="tMain"/>
        <w:spacing w:before="0" w:after="120" w:line="240" w:lineRule="auto"/>
        <w:ind w:left="0" w:firstLine="0"/>
        <w:jc w:val="left"/>
      </w:pPr>
      <w:r>
        <w:t>For the baseline and project measurement periods to be comparable, both periods must meet the output representativeness criterion.</w:t>
      </w:r>
      <w:r w:rsidR="008314EB">
        <w:t xml:space="preserve"> </w:t>
      </w:r>
      <w:r w:rsidR="00877CA6" w:rsidRPr="0099569C">
        <w:t>Subsection 2</w:t>
      </w:r>
      <w:r w:rsidR="00CD1C16">
        <w:t>3</w:t>
      </w:r>
      <w:r w:rsidR="00877CA6" w:rsidRPr="0099569C">
        <w:t>(1) sets out that a</w:t>
      </w:r>
      <w:r w:rsidR="00290B4E" w:rsidRPr="0099569C">
        <w:t xml:space="preserve"> baseline period or a project measurement period in relation to an IE unit satisfies the </w:t>
      </w:r>
      <w:r w:rsidR="00290B4E" w:rsidRPr="0099569C">
        <w:rPr>
          <w:b/>
          <w:i/>
        </w:rPr>
        <w:t>output representativeness criterion</w:t>
      </w:r>
      <w:r w:rsidR="00290B4E" w:rsidRPr="0099569C">
        <w:t xml:space="preserve"> </w:t>
      </w:r>
      <w:r w:rsidR="00C640A3">
        <w:t>for</w:t>
      </w:r>
      <w:r w:rsidR="00290B4E" w:rsidRPr="0099569C">
        <w:t xml:space="preserve"> a sub-unit if the annualised output of the sub-unit during the period is </w:t>
      </w:r>
      <w:r w:rsidR="00290B4E" w:rsidRPr="005C4FCC">
        <w:t>within 15</w:t>
      </w:r>
      <w:r w:rsidR="00C640A3">
        <w:t> </w:t>
      </w:r>
      <w:r w:rsidR="008314EB" w:rsidRPr="005C4FCC">
        <w:t>per cent</w:t>
      </w:r>
      <w:r w:rsidR="00290B4E" w:rsidRPr="005C4FCC">
        <w:t xml:space="preserve"> of the reference output.</w:t>
      </w:r>
      <w:r w:rsidR="009308F9" w:rsidRPr="005C4FCC">
        <w:t xml:space="preserve"> </w:t>
      </w:r>
      <w:r w:rsidR="000F53F3" w:rsidRPr="005C4FCC">
        <w:t>This requirement ensure</w:t>
      </w:r>
      <w:r w:rsidR="00D12267">
        <w:t>s</w:t>
      </w:r>
      <w:r w:rsidR="000F53F3" w:rsidRPr="005C4FCC">
        <w:t xml:space="preserve"> both measurement periods coincide with normal operation while providing some </w:t>
      </w:r>
      <w:r w:rsidR="008314EB" w:rsidRPr="005C4FCC">
        <w:t xml:space="preserve">margin </w:t>
      </w:r>
      <w:r w:rsidR="000F53F3" w:rsidRPr="005C4FCC">
        <w:t>for</w:t>
      </w:r>
      <w:r w:rsidR="005E11FE" w:rsidRPr="005C4FCC">
        <w:t xml:space="preserve"> output to vary between </w:t>
      </w:r>
      <w:r w:rsidR="000F53F3" w:rsidRPr="005C4FCC">
        <w:t xml:space="preserve">the </w:t>
      </w:r>
      <w:r w:rsidR="005E11FE" w:rsidRPr="005C4FCC">
        <w:t>two periods due to measurement uncertainty</w:t>
      </w:r>
      <w:r w:rsidR="000F53F3" w:rsidRPr="005C4FCC">
        <w:t xml:space="preserve">. </w:t>
      </w:r>
      <w:r w:rsidR="00030893" w:rsidRPr="005C4FCC">
        <w:t>T</w:t>
      </w:r>
      <w:r w:rsidR="00A164D5" w:rsidRPr="005C4FCC">
        <w:t>his level was chosen because t</w:t>
      </w:r>
      <w:r w:rsidR="00030893" w:rsidRPr="005C4FCC">
        <w:t xml:space="preserve">he combined uncertainty of two relative precision </w:t>
      </w:r>
      <w:r w:rsidR="00A164D5" w:rsidRPr="005C4FCC">
        <w:t>(tolerance) figures of 15 per</w:t>
      </w:r>
      <w:r w:rsidR="005C4FCC">
        <w:t xml:space="preserve"> </w:t>
      </w:r>
      <w:r w:rsidR="00A164D5" w:rsidRPr="005C4FCC">
        <w:t>cent is under 25 per cent</w:t>
      </w:r>
      <w:r w:rsidR="00DC05EA">
        <w:t xml:space="preserve">. </w:t>
      </w:r>
      <w:r w:rsidR="00DC05EA" w:rsidRPr="00033E4A">
        <w:t xml:space="preserve">This level of uncertainty is considered accurate enough to not require </w:t>
      </w:r>
      <w:r w:rsidR="00A164D5" w:rsidRPr="00033E4A">
        <w:t xml:space="preserve">an accuracy factor discount under the Industrial Electricity and Fuel </w:t>
      </w:r>
      <w:r w:rsidR="005C4FCC" w:rsidRPr="00033E4A">
        <w:t>E</w:t>
      </w:r>
      <w:r w:rsidR="00A164D5" w:rsidRPr="00033E4A">
        <w:t xml:space="preserve">fficiency </w:t>
      </w:r>
      <w:r w:rsidR="00F84ED8">
        <w:t xml:space="preserve">ERF </w:t>
      </w:r>
      <w:r w:rsidR="00A164D5" w:rsidRPr="00033E4A">
        <w:t>method</w:t>
      </w:r>
      <w:r w:rsidR="00DC05EA" w:rsidRPr="00033E4A">
        <w:t xml:space="preserve"> or the equivalent method under the Energy Savings Scheme in New South Wales</w:t>
      </w:r>
      <w:r w:rsidR="00A164D5" w:rsidRPr="00033E4A">
        <w:t>.</w:t>
      </w:r>
    </w:p>
    <w:p w14:paraId="73ED8059" w14:textId="77777777" w:rsidR="00290B4E" w:rsidRPr="0099569C" w:rsidRDefault="00877CA6" w:rsidP="00B95886">
      <w:pPr>
        <w:pStyle w:val="tMain"/>
        <w:spacing w:before="0" w:after="120" w:line="240" w:lineRule="auto"/>
        <w:ind w:left="0" w:firstLine="0"/>
        <w:jc w:val="left"/>
      </w:pPr>
      <w:r w:rsidRPr="0099569C">
        <w:t>Subsection 2</w:t>
      </w:r>
      <w:r w:rsidR="00CD1C16">
        <w:t>3</w:t>
      </w:r>
      <w:r w:rsidRPr="0099569C">
        <w:t xml:space="preserve">(2) </w:t>
      </w:r>
      <w:r w:rsidR="002B26C6">
        <w:t>defines</w:t>
      </w:r>
      <w:r w:rsidRPr="0099569C">
        <w:t xml:space="preserve"> </w:t>
      </w:r>
      <w:r w:rsidR="0099569C">
        <w:t>t</w:t>
      </w:r>
      <w:r w:rsidR="00290B4E" w:rsidRPr="0099569C">
        <w:t xml:space="preserve">he </w:t>
      </w:r>
      <w:r w:rsidR="00290B4E" w:rsidRPr="0099569C">
        <w:rPr>
          <w:b/>
          <w:i/>
        </w:rPr>
        <w:t xml:space="preserve">reference output </w:t>
      </w:r>
      <w:r w:rsidR="00290B4E" w:rsidRPr="0099569C">
        <w:t xml:space="preserve">of the sub-unit </w:t>
      </w:r>
      <w:r w:rsidR="002B26C6">
        <w:t>a</w:t>
      </w:r>
      <w:r w:rsidR="00290B4E" w:rsidRPr="0099569C">
        <w:t>s the total output</w:t>
      </w:r>
      <w:r w:rsidR="00A130EC">
        <w:t xml:space="preserve"> of the sub-unit in the reference period</w:t>
      </w:r>
      <w:r w:rsidR="00290B4E" w:rsidRPr="0099569C">
        <w:t xml:space="preserve">, as measured by the </w:t>
      </w:r>
      <w:r w:rsidR="009E7311">
        <w:t>reference</w:t>
      </w:r>
      <w:r w:rsidR="00E62348">
        <w:t xml:space="preserve"> </w:t>
      </w:r>
      <w:r w:rsidR="00CD1C16">
        <w:t>output indicator</w:t>
      </w:r>
      <w:r w:rsidR="00A130EC">
        <w:t>.</w:t>
      </w:r>
    </w:p>
    <w:p w14:paraId="73ED805A" w14:textId="77777777" w:rsidR="00290B4E" w:rsidRDefault="00290B4E" w:rsidP="00B95886">
      <w:pPr>
        <w:pStyle w:val="tMain"/>
        <w:spacing w:before="0" w:after="120" w:line="240" w:lineRule="auto"/>
        <w:ind w:left="0" w:firstLine="0"/>
        <w:jc w:val="left"/>
      </w:pPr>
      <w:r w:rsidRPr="003E336C">
        <w:rPr>
          <w:color w:val="0000FF"/>
        </w:rPr>
        <w:tab/>
      </w:r>
      <w:r w:rsidR="00D15FA4" w:rsidRPr="0099569C">
        <w:t>Subsection 2</w:t>
      </w:r>
      <w:r w:rsidR="00CD1C16">
        <w:t>3</w:t>
      </w:r>
      <w:r w:rsidR="00D15FA4">
        <w:t>(3</w:t>
      </w:r>
      <w:r w:rsidR="00D15FA4" w:rsidRPr="0099569C">
        <w:t xml:space="preserve">) </w:t>
      </w:r>
      <w:r w:rsidR="002B26C6">
        <w:t xml:space="preserve">defines </w:t>
      </w:r>
      <w:r w:rsidR="00D15FA4">
        <w:t>t</w:t>
      </w:r>
      <w:r w:rsidRPr="0099569C">
        <w:t xml:space="preserve">he </w:t>
      </w:r>
      <w:r w:rsidRPr="0099569C">
        <w:rPr>
          <w:b/>
          <w:i/>
        </w:rPr>
        <w:t xml:space="preserve">annualised output </w:t>
      </w:r>
      <w:r w:rsidRPr="0099569C">
        <w:t xml:space="preserve">of the sub-unit </w:t>
      </w:r>
      <w:r w:rsidR="00A10A42">
        <w:t>a</w:t>
      </w:r>
      <w:r w:rsidRPr="0099569C">
        <w:t>s the total output of the unit for the period, as measured by th</w:t>
      </w:r>
      <w:r w:rsidR="00877CA6" w:rsidRPr="0099569C">
        <w:t xml:space="preserve">e relevant output indicator, </w:t>
      </w:r>
      <w:r w:rsidR="0047432A" w:rsidRPr="0099569C">
        <w:t>converted into an annualised figure.</w:t>
      </w:r>
    </w:p>
    <w:p w14:paraId="73ED805B" w14:textId="77777777" w:rsidR="00A130EC" w:rsidRPr="00A130EC" w:rsidRDefault="00A130EC" w:rsidP="00A130EC">
      <w:pPr>
        <w:pStyle w:val="tMain"/>
        <w:spacing w:before="0" w:after="240" w:line="240" w:lineRule="auto"/>
        <w:ind w:left="0" w:firstLine="0"/>
      </w:pPr>
      <w:r w:rsidRPr="0099569C">
        <w:t>Subsection 2</w:t>
      </w:r>
      <w:r w:rsidR="00CD1C16">
        <w:t>3</w:t>
      </w:r>
      <w:r>
        <w:t>(4</w:t>
      </w:r>
      <w:r w:rsidRPr="0099569C">
        <w:t xml:space="preserve">) </w:t>
      </w:r>
      <w:r>
        <w:t xml:space="preserve">sets out that if a reporting period includes any excisable intervals in relation to an IE unit the project proponent must </w:t>
      </w:r>
      <w:r w:rsidR="00925869">
        <w:t xml:space="preserve">exclude these excisable intervals from the </w:t>
      </w:r>
      <w:r w:rsidR="00F9320E">
        <w:t xml:space="preserve">reporting </w:t>
      </w:r>
      <w:r>
        <w:t>period</w:t>
      </w:r>
      <w:r w:rsidR="00925869">
        <w:t xml:space="preserve"> for that unit</w:t>
      </w:r>
      <w:r>
        <w:t>.</w:t>
      </w:r>
    </w:p>
    <w:p w14:paraId="73ED805C" w14:textId="77777777" w:rsidR="0006397A" w:rsidRPr="0006397A" w:rsidRDefault="0006397A" w:rsidP="00007F4C">
      <w:pPr>
        <w:pStyle w:val="ESA2Division"/>
        <w:spacing w:before="0" w:after="240" w:line="240" w:lineRule="auto"/>
        <w:rPr>
          <w:rFonts w:eastAsia="Times New Roman"/>
          <w:lang w:eastAsia="en-AU"/>
        </w:rPr>
      </w:pPr>
      <w:bookmarkStart w:id="3" w:name="_Toc456793720"/>
      <w:r>
        <w:rPr>
          <w:rFonts w:eastAsia="Times New Roman"/>
          <w:lang w:eastAsia="en-AU"/>
        </w:rPr>
        <w:t>Division 4</w:t>
      </w:r>
      <w:r>
        <w:rPr>
          <w:rFonts w:eastAsia="Times New Roman"/>
          <w:lang w:eastAsia="en-AU"/>
        </w:rPr>
        <w:tab/>
      </w:r>
      <w:r w:rsidRPr="0006397A">
        <w:rPr>
          <w:rFonts w:eastAsia="Times New Roman"/>
          <w:lang w:eastAsia="en-AU"/>
        </w:rPr>
        <w:t>Pre-upgrade and post-upgrade declarations</w:t>
      </w:r>
      <w:bookmarkEnd w:id="3"/>
    </w:p>
    <w:p w14:paraId="73ED805D" w14:textId="61DA7EB5" w:rsidR="0006397A" w:rsidRPr="0006397A" w:rsidRDefault="0006397A" w:rsidP="00B95886">
      <w:pPr>
        <w:pStyle w:val="ESA4Section"/>
        <w:spacing w:before="0" w:after="120"/>
      </w:pPr>
      <w:bookmarkStart w:id="4" w:name="_Toc456793721"/>
      <w:r>
        <w:t>2</w:t>
      </w:r>
      <w:r w:rsidR="00CD1C16">
        <w:t>4</w:t>
      </w:r>
      <w:r>
        <w:tab/>
      </w:r>
      <w:r w:rsidRPr="0006397A">
        <w:t xml:space="preserve">Pre-upgrade declaration by </w:t>
      </w:r>
      <w:r w:rsidR="006B4707">
        <w:t xml:space="preserve">a </w:t>
      </w:r>
      <w:bookmarkEnd w:id="4"/>
      <w:r w:rsidR="00F84ED8">
        <w:t>MVP</w:t>
      </w:r>
    </w:p>
    <w:p w14:paraId="73ED805E" w14:textId="2B5D1EFA" w:rsidR="0006397A" w:rsidRPr="0099569C" w:rsidRDefault="0006397A" w:rsidP="00B95886">
      <w:pPr>
        <w:pStyle w:val="tMain"/>
        <w:spacing w:before="0" w:after="120" w:line="240" w:lineRule="auto"/>
        <w:ind w:left="0" w:firstLine="0"/>
        <w:jc w:val="left"/>
      </w:pPr>
      <w:r w:rsidRPr="003E336C">
        <w:rPr>
          <w:color w:val="0000FF"/>
        </w:rPr>
        <w:tab/>
      </w:r>
      <w:r w:rsidR="003B330F" w:rsidRPr="0099569C">
        <w:t xml:space="preserve">Section </w:t>
      </w:r>
      <w:r w:rsidR="00CD1C16">
        <w:t xml:space="preserve">24 </w:t>
      </w:r>
      <w:r w:rsidR="003B330F" w:rsidRPr="0099569C">
        <w:t>set</w:t>
      </w:r>
      <w:r w:rsidR="00223997">
        <w:t>s</w:t>
      </w:r>
      <w:r w:rsidR="003B330F" w:rsidRPr="0099569C">
        <w:t xml:space="preserve"> out that proponents must </w:t>
      </w:r>
      <w:r w:rsidR="00BB14B8">
        <w:t>gain</w:t>
      </w:r>
      <w:r w:rsidR="00BB14B8" w:rsidRPr="0099569C">
        <w:t xml:space="preserve"> </w:t>
      </w:r>
      <w:r w:rsidR="003B330F" w:rsidRPr="0099569C">
        <w:t xml:space="preserve">a </w:t>
      </w:r>
      <w:r w:rsidRPr="0099569C">
        <w:rPr>
          <w:b/>
          <w:i/>
        </w:rPr>
        <w:t>pre-upgrade declaration</w:t>
      </w:r>
      <w:r w:rsidRPr="0099569C">
        <w:t xml:space="preserve"> </w:t>
      </w:r>
      <w:r w:rsidR="00BB14B8">
        <w:t>from</w:t>
      </w:r>
      <w:r w:rsidR="00BB14B8" w:rsidRPr="0099569C">
        <w:t xml:space="preserve"> </w:t>
      </w:r>
      <w:r w:rsidR="00F84ED8">
        <w:t>a</w:t>
      </w:r>
      <w:r w:rsidR="003B330F" w:rsidRPr="0099569C">
        <w:t xml:space="preserve"> MVP</w:t>
      </w:r>
      <w:r w:rsidR="00995EEF">
        <w:t xml:space="preserve"> (</w:t>
      </w:r>
      <w:r w:rsidR="00F9320E">
        <w:t>i.e.</w:t>
      </w:r>
      <w:r w:rsidR="00995EEF">
        <w:t xml:space="preserve"> a </w:t>
      </w:r>
      <w:r w:rsidR="00995EEF" w:rsidRPr="007A7965">
        <w:t>measurement and verification professional</w:t>
      </w:r>
      <w:r w:rsidR="00995EEF">
        <w:t xml:space="preserve"> who satisfies section 26)</w:t>
      </w:r>
      <w:r w:rsidR="003B330F" w:rsidRPr="0099569C">
        <w:t xml:space="preserve"> </w:t>
      </w:r>
      <w:r w:rsidRPr="0099569C">
        <w:t xml:space="preserve">about an original unit after the end of the baseline </w:t>
      </w:r>
      <w:r w:rsidR="00F9320E" w:rsidRPr="0099569C">
        <w:t>period</w:t>
      </w:r>
      <w:r w:rsidR="00F9320E">
        <w:t xml:space="preserve">. </w:t>
      </w:r>
      <w:r w:rsidR="00EA1E8F">
        <w:t>MVP</w:t>
      </w:r>
      <w:r w:rsidR="00A47BA9">
        <w:t>s</w:t>
      </w:r>
      <w:r w:rsidR="00D64FB4" w:rsidRPr="0099569C">
        <w:t xml:space="preserve"> </w:t>
      </w:r>
      <w:r w:rsidRPr="0099569C">
        <w:t>may make a declaration using more than one document.</w:t>
      </w:r>
    </w:p>
    <w:p w14:paraId="73ED805F" w14:textId="77777777" w:rsidR="00523991" w:rsidRDefault="00D64FB4" w:rsidP="00B95886">
      <w:pPr>
        <w:pStyle w:val="tMain"/>
        <w:spacing w:before="0" w:after="120" w:line="240" w:lineRule="auto"/>
        <w:ind w:left="0" w:firstLine="0"/>
        <w:jc w:val="left"/>
      </w:pPr>
      <w:r w:rsidRPr="0099569C">
        <w:t>Subsection 2</w:t>
      </w:r>
      <w:r w:rsidR="00D35948">
        <w:t>4</w:t>
      </w:r>
      <w:r w:rsidRPr="0099569C">
        <w:t xml:space="preserve">(4) sets out </w:t>
      </w:r>
      <w:r w:rsidR="000140C6">
        <w:t xml:space="preserve">the details that must be included in a signed or electronically authenticated pre-upgrade MVP declaration in order to provide sufficient evidence for the findings in the declaration. </w:t>
      </w:r>
      <w:r w:rsidR="0006397A" w:rsidRPr="0099569C">
        <w:tab/>
      </w:r>
    </w:p>
    <w:p w14:paraId="73ED8060" w14:textId="4478354B" w:rsidR="001027B5" w:rsidRDefault="00FD66CB" w:rsidP="00B95886">
      <w:pPr>
        <w:pStyle w:val="tMain"/>
        <w:spacing w:before="0" w:after="120" w:line="240" w:lineRule="auto"/>
        <w:ind w:left="0" w:firstLine="0"/>
        <w:jc w:val="left"/>
      </w:pPr>
      <w:r w:rsidRPr="007A497B">
        <w:lastRenderedPageBreak/>
        <w:t>S</w:t>
      </w:r>
      <w:r w:rsidR="00863F73">
        <w:t>ubs</w:t>
      </w:r>
      <w:r w:rsidRPr="007A497B">
        <w:t>ection 2</w:t>
      </w:r>
      <w:r w:rsidR="00D35948">
        <w:t>4</w:t>
      </w:r>
      <w:r w:rsidRPr="007A497B">
        <w:t>(5) s</w:t>
      </w:r>
      <w:r w:rsidR="00A274C8">
        <w:t>tates</w:t>
      </w:r>
      <w:r w:rsidRPr="007A497B">
        <w:t xml:space="preserve"> that </w:t>
      </w:r>
      <w:r w:rsidR="00EA1E8F">
        <w:t>MVP</w:t>
      </w:r>
      <w:r w:rsidR="00D12267">
        <w:t>s</w:t>
      </w:r>
      <w:r w:rsidR="0006397A" w:rsidRPr="007A497B">
        <w:t xml:space="preserve"> may provide a pre-upgrade declaration only if </w:t>
      </w:r>
      <w:r w:rsidRPr="007A497B">
        <w:t>they are</w:t>
      </w:r>
      <w:r w:rsidR="009A2CC2" w:rsidRPr="007A497B">
        <w:t xml:space="preserve"> satisfied that</w:t>
      </w:r>
      <w:r w:rsidR="0006397A" w:rsidRPr="007A497B">
        <w:t xml:space="preserve"> the</w:t>
      </w:r>
      <w:r w:rsidR="00B41832" w:rsidRPr="007A497B">
        <w:t>y have received all the information from</w:t>
      </w:r>
      <w:r w:rsidR="0006397A" w:rsidRPr="007A497B">
        <w:t xml:space="preserve"> </w:t>
      </w:r>
      <w:r w:rsidR="00D457F6">
        <w:t xml:space="preserve">the </w:t>
      </w:r>
      <w:r w:rsidR="0006397A" w:rsidRPr="007A497B">
        <w:t xml:space="preserve">project proponent </w:t>
      </w:r>
      <w:r w:rsidR="00B41832" w:rsidRPr="007A497B">
        <w:t>that they need</w:t>
      </w:r>
      <w:r w:rsidRPr="007A497B">
        <w:t xml:space="preserve"> to make the declaration. </w:t>
      </w:r>
      <w:r w:rsidR="00EA1E8F">
        <w:t>MVP</w:t>
      </w:r>
      <w:r w:rsidRPr="007A497B">
        <w:t xml:space="preserve">s must also be satisfied that </w:t>
      </w:r>
      <w:r w:rsidR="0006397A" w:rsidRPr="007A497B">
        <w:t xml:space="preserve">the information </w:t>
      </w:r>
      <w:r w:rsidR="002B26C6">
        <w:t xml:space="preserve">they </w:t>
      </w:r>
      <w:r w:rsidR="0006397A" w:rsidRPr="007A497B">
        <w:t xml:space="preserve">receive is accurate and does </w:t>
      </w:r>
      <w:r w:rsidR="00B41832" w:rsidRPr="007A497B">
        <w:t>not contain anything misleading.</w:t>
      </w:r>
      <w:r w:rsidR="004708FB" w:rsidRPr="007A497B">
        <w:t xml:space="preserve"> </w:t>
      </w:r>
    </w:p>
    <w:p w14:paraId="73ED8061" w14:textId="3794CCE8" w:rsidR="002B26C6" w:rsidRDefault="002B26C6" w:rsidP="00B95886">
      <w:pPr>
        <w:pStyle w:val="tMain"/>
        <w:spacing w:before="0" w:after="120" w:line="240" w:lineRule="auto"/>
        <w:ind w:left="0" w:firstLine="0"/>
        <w:jc w:val="left"/>
      </w:pPr>
      <w:r>
        <w:t>T</w:t>
      </w:r>
      <w:r w:rsidR="008A3CA1" w:rsidRPr="00F37D01">
        <w:t xml:space="preserve">o </w:t>
      </w:r>
      <w:r>
        <w:t>be satisfied as to</w:t>
      </w:r>
      <w:r w:rsidR="008A3CA1" w:rsidRPr="00F37D01">
        <w:t xml:space="preserve"> the content of </w:t>
      </w:r>
      <w:r>
        <w:t>a</w:t>
      </w:r>
      <w:r w:rsidR="008A3CA1" w:rsidRPr="00F37D01">
        <w:t xml:space="preserve"> declaration</w:t>
      </w:r>
      <w:r w:rsidR="008A3CA1">
        <w:t>,</w:t>
      </w:r>
      <w:r w:rsidR="006B0535" w:rsidRPr="00F37D01">
        <w:t xml:space="preserve"> </w:t>
      </w:r>
      <w:r w:rsidR="00A47BA9">
        <w:t xml:space="preserve">a </w:t>
      </w:r>
      <w:r w:rsidR="00EA1E8F">
        <w:t>MVP</w:t>
      </w:r>
      <w:r w:rsidR="00A47BA9">
        <w:t xml:space="preserve"> </w:t>
      </w:r>
      <w:r w:rsidR="00FD66CB" w:rsidRPr="00F37D01">
        <w:t xml:space="preserve">may </w:t>
      </w:r>
      <w:r w:rsidR="008A3CA1">
        <w:t>need to undertake</w:t>
      </w:r>
      <w:r w:rsidR="008A3CA1" w:rsidRPr="00F37D01">
        <w:t xml:space="preserve"> </w:t>
      </w:r>
      <w:r w:rsidR="00FD66CB" w:rsidRPr="00F37D01">
        <w:t>site visits or inspection</w:t>
      </w:r>
      <w:r w:rsidR="008A3CA1">
        <w:t>s</w:t>
      </w:r>
      <w:r w:rsidR="00FD66CB" w:rsidRPr="00F37D01">
        <w:t xml:space="preserve"> or</w:t>
      </w:r>
      <w:r w:rsidR="008A3CA1">
        <w:t xml:space="preserve"> to</w:t>
      </w:r>
      <w:r w:rsidR="00FD66CB" w:rsidRPr="00F37D01">
        <w:t xml:space="preserve"> </w:t>
      </w:r>
      <w:r w:rsidR="006B0535" w:rsidRPr="00F37D01">
        <w:t>us</w:t>
      </w:r>
      <w:r w:rsidR="008A3CA1">
        <w:t>e</w:t>
      </w:r>
      <w:r w:rsidR="006B0535" w:rsidRPr="00F37D01">
        <w:t xml:space="preserve"> </w:t>
      </w:r>
      <w:r w:rsidR="00FD66CB" w:rsidRPr="00F37D01">
        <w:t>monitoring equipment.</w:t>
      </w:r>
      <w:r w:rsidR="004E059B">
        <w:t xml:space="preserve"> I</w:t>
      </w:r>
      <w:r w:rsidR="004E059B" w:rsidRPr="004E059B">
        <w:t xml:space="preserve">nformation required for the declaration </w:t>
      </w:r>
      <w:r w:rsidR="000140C6">
        <w:t xml:space="preserve">is outlined in the notes </w:t>
      </w:r>
      <w:r w:rsidR="006A00ED">
        <w:t>following</w:t>
      </w:r>
      <w:r w:rsidR="000140C6">
        <w:t xml:space="preserve"> subsection 2</w:t>
      </w:r>
      <w:r w:rsidR="00D35948">
        <w:t>4</w:t>
      </w:r>
      <w:r w:rsidR="000140C6">
        <w:t>(5).</w:t>
      </w:r>
    </w:p>
    <w:p w14:paraId="73ED8062" w14:textId="2232383A" w:rsidR="0006397A" w:rsidRPr="00F37D01" w:rsidRDefault="002876F9" w:rsidP="00596B0C">
      <w:pPr>
        <w:pStyle w:val="tMain"/>
        <w:spacing w:before="0" w:after="240" w:line="240" w:lineRule="auto"/>
        <w:ind w:left="0" w:firstLine="0"/>
        <w:jc w:val="left"/>
      </w:pPr>
      <w:r>
        <w:t>S</w:t>
      </w:r>
      <w:r w:rsidR="00863F73">
        <w:t>ubs</w:t>
      </w:r>
      <w:r>
        <w:t>ection 2</w:t>
      </w:r>
      <w:r w:rsidR="00D35948">
        <w:t>4</w:t>
      </w:r>
      <w:r>
        <w:t>(6) states that</w:t>
      </w:r>
      <w:r w:rsidR="00A47BA9">
        <w:t xml:space="preserve"> </w:t>
      </w:r>
      <w:r w:rsidR="00EA1E8F">
        <w:t>MVP</w:t>
      </w:r>
      <w:r w:rsidR="00D12267">
        <w:t>s</w:t>
      </w:r>
      <w:r w:rsidR="00A47BA9">
        <w:t xml:space="preserve"> </w:t>
      </w:r>
      <w:r w:rsidR="002B26C6" w:rsidRPr="00004DF1">
        <w:t>who provide the project proponent with a pre-upgrade declaration must provide at the same time written evidence supporting</w:t>
      </w:r>
      <w:r>
        <w:t xml:space="preserve"> their statements</w:t>
      </w:r>
      <w:r w:rsidR="002B26C6" w:rsidRPr="00004DF1">
        <w:t>, including the calculations, assumptions, information and inputs used.</w:t>
      </w:r>
      <w:r w:rsidR="000140C6">
        <w:t xml:space="preserve"> </w:t>
      </w:r>
    </w:p>
    <w:p w14:paraId="73ED8063" w14:textId="77777777" w:rsidR="006B0535" w:rsidRPr="006B0535" w:rsidRDefault="0006397A" w:rsidP="00B95886">
      <w:pPr>
        <w:pStyle w:val="ESA4Section"/>
        <w:spacing w:before="0" w:after="120"/>
      </w:pPr>
      <w:bookmarkStart w:id="5" w:name="_Toc456793722"/>
      <w:r>
        <w:t>2</w:t>
      </w:r>
      <w:r w:rsidR="00725D48">
        <w:t>5</w:t>
      </w:r>
      <w:r>
        <w:tab/>
      </w:r>
      <w:r w:rsidRPr="0006397A">
        <w:t>Post-upgrade declaration by MVP</w:t>
      </w:r>
      <w:bookmarkEnd w:id="5"/>
    </w:p>
    <w:p w14:paraId="73ED8064" w14:textId="0834B292" w:rsidR="006B0535" w:rsidRPr="00777ED7" w:rsidRDefault="006B0535" w:rsidP="00B95886">
      <w:pPr>
        <w:pStyle w:val="tMain"/>
        <w:spacing w:before="0" w:after="120" w:line="240" w:lineRule="auto"/>
        <w:ind w:left="0" w:firstLine="0"/>
        <w:jc w:val="left"/>
      </w:pPr>
      <w:r w:rsidRPr="00777ED7">
        <w:t>Section 2</w:t>
      </w:r>
      <w:r w:rsidR="00D35948">
        <w:t>5</w:t>
      </w:r>
      <w:r w:rsidRPr="00777ED7">
        <w:t xml:space="preserve"> set</w:t>
      </w:r>
      <w:r w:rsidR="00BB14B8">
        <w:t>s</w:t>
      </w:r>
      <w:r w:rsidRPr="00777ED7">
        <w:t xml:space="preserve"> out </w:t>
      </w:r>
      <w:r w:rsidR="004C1911">
        <w:t xml:space="preserve">that proponents must </w:t>
      </w:r>
      <w:r w:rsidR="00BB14B8">
        <w:t xml:space="preserve">gain </w:t>
      </w:r>
      <w:r w:rsidR="004C1911">
        <w:t xml:space="preserve">a </w:t>
      </w:r>
      <w:r w:rsidRPr="00777ED7">
        <w:rPr>
          <w:b/>
          <w:i/>
        </w:rPr>
        <w:t>post-upgrade declaration</w:t>
      </w:r>
      <w:r w:rsidRPr="00777ED7">
        <w:t xml:space="preserve"> </w:t>
      </w:r>
      <w:r w:rsidR="00BB14B8">
        <w:t>from</w:t>
      </w:r>
      <w:r w:rsidR="00BB14B8" w:rsidRPr="00777ED7">
        <w:t xml:space="preserve"> </w:t>
      </w:r>
      <w:r w:rsidR="00A47BA9">
        <w:t xml:space="preserve">a </w:t>
      </w:r>
      <w:r w:rsidR="00EA1E8F">
        <w:t xml:space="preserve">MVP </w:t>
      </w:r>
      <w:r w:rsidRPr="00777ED7">
        <w:t xml:space="preserve">about an upgraded unit </w:t>
      </w:r>
      <w:r w:rsidR="00995EEF">
        <w:t xml:space="preserve">and </w:t>
      </w:r>
      <w:r w:rsidRPr="00777ED7">
        <w:t xml:space="preserve">that </w:t>
      </w:r>
      <w:r w:rsidR="00995EEF">
        <w:t xml:space="preserve">this declaration </w:t>
      </w:r>
      <w:r w:rsidRPr="00777ED7">
        <w:t xml:space="preserve">must be made after the end of the </w:t>
      </w:r>
      <w:r w:rsidR="00BB14B8">
        <w:t>project</w:t>
      </w:r>
      <w:r w:rsidR="00BB14B8" w:rsidRPr="00777ED7">
        <w:t xml:space="preserve"> </w:t>
      </w:r>
      <w:r w:rsidRPr="00777ED7">
        <w:t xml:space="preserve">measurement period, following the upgrade of the IE unit. </w:t>
      </w:r>
      <w:r w:rsidR="00A47BA9">
        <w:t xml:space="preserve">A </w:t>
      </w:r>
      <w:r w:rsidR="00EA1E8F">
        <w:t>MVP</w:t>
      </w:r>
      <w:r w:rsidR="00F9320E" w:rsidRPr="00777ED7">
        <w:t xml:space="preserve"> may</w:t>
      </w:r>
      <w:r w:rsidRPr="00777ED7">
        <w:t xml:space="preserve"> make a declaration using more than one document.</w:t>
      </w:r>
    </w:p>
    <w:p w14:paraId="73ED8065" w14:textId="3D33397E" w:rsidR="00F02518" w:rsidRPr="00777ED7" w:rsidRDefault="00523991" w:rsidP="00B95886">
      <w:pPr>
        <w:pStyle w:val="tMain"/>
        <w:tabs>
          <w:tab w:val="clear" w:pos="794"/>
        </w:tabs>
        <w:spacing w:before="0" w:after="120" w:line="240" w:lineRule="auto"/>
        <w:ind w:left="0" w:firstLine="0"/>
      </w:pPr>
      <w:r>
        <w:t>Subsection 2</w:t>
      </w:r>
      <w:r w:rsidR="00D35948">
        <w:t>5</w:t>
      </w:r>
      <w:r w:rsidR="006B0535" w:rsidRPr="00777ED7">
        <w:t xml:space="preserve">(4) sets out </w:t>
      </w:r>
      <w:r w:rsidR="0021453E">
        <w:t xml:space="preserve">the details that must be included in </w:t>
      </w:r>
      <w:r w:rsidR="006B0535" w:rsidRPr="00777ED7">
        <w:t xml:space="preserve">a </w:t>
      </w:r>
      <w:r w:rsidR="00161687" w:rsidRPr="00777ED7">
        <w:t xml:space="preserve">signed </w:t>
      </w:r>
      <w:r w:rsidR="0006397A" w:rsidRPr="00777ED7">
        <w:t>o</w:t>
      </w:r>
      <w:r w:rsidR="00161687" w:rsidRPr="00777ED7">
        <w:t>r electronically authenticated</w:t>
      </w:r>
      <w:r w:rsidR="0006397A" w:rsidRPr="00777ED7">
        <w:t xml:space="preserve"> </w:t>
      </w:r>
      <w:r w:rsidR="0021453E" w:rsidRPr="0021453E">
        <w:t>post-upgrade declaration</w:t>
      </w:r>
      <w:r w:rsidR="0021453E" w:rsidRPr="00777ED7">
        <w:t xml:space="preserve"> </w:t>
      </w:r>
      <w:r w:rsidR="0021453E">
        <w:t>by</w:t>
      </w:r>
      <w:r w:rsidR="0006397A" w:rsidRPr="00777ED7">
        <w:t xml:space="preserve"> </w:t>
      </w:r>
      <w:r w:rsidR="00EA1E8F">
        <w:t>a</w:t>
      </w:r>
      <w:r w:rsidR="0021453E" w:rsidRPr="00777ED7">
        <w:t xml:space="preserve"> </w:t>
      </w:r>
      <w:r w:rsidR="0006397A" w:rsidRPr="00777ED7">
        <w:t>MV</w:t>
      </w:r>
      <w:r>
        <w:t>P</w:t>
      </w:r>
      <w:r w:rsidR="0021453E">
        <w:t>.</w:t>
      </w:r>
    </w:p>
    <w:p w14:paraId="73ED8066" w14:textId="0F61C1A9" w:rsidR="00AF73A2" w:rsidRDefault="00F02518" w:rsidP="00B95886">
      <w:pPr>
        <w:pStyle w:val="tMain"/>
        <w:spacing w:before="0" w:after="120" w:line="240" w:lineRule="auto"/>
        <w:ind w:left="0" w:firstLine="0"/>
        <w:jc w:val="left"/>
      </w:pPr>
      <w:r w:rsidRPr="005C4FCC">
        <w:t>Paragraph 2</w:t>
      </w:r>
      <w:r w:rsidR="00D35948">
        <w:t>5</w:t>
      </w:r>
      <w:r w:rsidRPr="005C4FCC">
        <w:t>(4)(</w:t>
      </w:r>
      <w:r w:rsidR="00C004CC">
        <w:t>h</w:t>
      </w:r>
      <w:r w:rsidRPr="005C4FCC">
        <w:t xml:space="preserve">) </w:t>
      </w:r>
      <w:r w:rsidR="00BD4CAA">
        <w:t>requires the</w:t>
      </w:r>
      <w:r w:rsidRPr="005C4FCC">
        <w:t xml:space="preserve"> MVP</w:t>
      </w:r>
      <w:r w:rsidR="00BD4CAA">
        <w:t xml:space="preserve"> to</w:t>
      </w:r>
      <w:r w:rsidRPr="005C4FCC">
        <w:t xml:space="preserve"> confirm they are satisfied that the </w:t>
      </w:r>
      <w:r w:rsidR="00995EEF">
        <w:t>amount</w:t>
      </w:r>
      <w:r w:rsidR="00995EEF" w:rsidRPr="005C4FCC">
        <w:t xml:space="preserve"> </w:t>
      </w:r>
      <w:r w:rsidRPr="005C4FCC">
        <w:t xml:space="preserve">of abatement produced by the IE upgrade is </w:t>
      </w:r>
      <w:r w:rsidR="00E6178E" w:rsidRPr="005C4FCC">
        <w:t xml:space="preserve">consistent with the abatement being predominantly the result of </w:t>
      </w:r>
      <w:r w:rsidRPr="005C4FCC">
        <w:t>the IE upgrade</w:t>
      </w:r>
      <w:r w:rsidR="006D6C64">
        <w:t xml:space="preserve"> rather than other factors</w:t>
      </w:r>
      <w:r w:rsidR="00E6178E" w:rsidRPr="005C4FCC">
        <w:t xml:space="preserve">. </w:t>
      </w:r>
      <w:r w:rsidR="00DC6975" w:rsidRPr="00777ED7">
        <w:t>To make this assessment</w:t>
      </w:r>
      <w:r w:rsidR="00BD4CAA">
        <w:t>,</w:t>
      </w:r>
      <w:r w:rsidR="00DC6975" w:rsidRPr="00777ED7">
        <w:t xml:space="preserve"> </w:t>
      </w:r>
      <w:r w:rsidR="00A47BA9">
        <w:t xml:space="preserve">a </w:t>
      </w:r>
      <w:r w:rsidR="00EA1E8F">
        <w:t>MVP</w:t>
      </w:r>
      <w:r w:rsidR="00F9320E" w:rsidRPr="00777ED7">
        <w:t xml:space="preserve"> would</w:t>
      </w:r>
      <w:r w:rsidR="00DC6975" w:rsidRPr="00777ED7">
        <w:t xml:space="preserve"> typically need to see some data for the two measurement periods</w:t>
      </w:r>
      <w:r w:rsidR="006D6C64">
        <w:t>.</w:t>
      </w:r>
      <w:r w:rsidR="00DC6975" w:rsidRPr="00777ED7">
        <w:t xml:space="preserve"> This assessment could be made based on the MVP’s knowledge of the </w:t>
      </w:r>
      <w:r w:rsidR="000E3BE0" w:rsidRPr="00777ED7">
        <w:t xml:space="preserve">impact of </w:t>
      </w:r>
      <w:r w:rsidR="006D6C64">
        <w:t xml:space="preserve">other </w:t>
      </w:r>
      <w:r w:rsidR="000E3BE0" w:rsidRPr="00777ED7">
        <w:t>factors on energy consumption emissions, with simple calculations if necessary.</w:t>
      </w:r>
      <w:r w:rsidR="0006397A" w:rsidRPr="00777ED7">
        <w:tab/>
      </w:r>
    </w:p>
    <w:p w14:paraId="73ED8067" w14:textId="64103579" w:rsidR="00784443" w:rsidRPr="003B116A" w:rsidRDefault="00411688" w:rsidP="00B95886">
      <w:pPr>
        <w:pStyle w:val="tPara"/>
        <w:tabs>
          <w:tab w:val="clear" w:pos="1531"/>
          <w:tab w:val="right" w:pos="0"/>
        </w:tabs>
        <w:spacing w:before="0" w:after="120"/>
        <w:ind w:left="0" w:firstLine="0"/>
        <w:jc w:val="left"/>
      </w:pPr>
      <w:r w:rsidRPr="00777ED7">
        <w:t>S</w:t>
      </w:r>
      <w:r w:rsidR="00863F73">
        <w:t>ubs</w:t>
      </w:r>
      <w:r w:rsidRPr="00777ED7">
        <w:t>ection 2</w:t>
      </w:r>
      <w:r w:rsidR="00D35948">
        <w:t>5</w:t>
      </w:r>
      <w:r w:rsidRPr="00777ED7">
        <w:t xml:space="preserve">(5) sets out that </w:t>
      </w:r>
      <w:r w:rsidR="00A47BA9">
        <w:t xml:space="preserve">a </w:t>
      </w:r>
      <w:r w:rsidR="00EA1E8F">
        <w:t>MVP</w:t>
      </w:r>
      <w:r w:rsidR="000923DE">
        <w:t xml:space="preserve"> </w:t>
      </w:r>
      <w:r w:rsidRPr="00777ED7">
        <w:t xml:space="preserve">may provide a post-upgrade declaration only if they are satisfied that </w:t>
      </w:r>
      <w:r w:rsidR="0053676A">
        <w:t>the declaration is accurate</w:t>
      </w:r>
      <w:r w:rsidR="009E7311">
        <w:t>. MVPs must also be satisfied that</w:t>
      </w:r>
      <w:r w:rsidR="0053676A">
        <w:t xml:space="preserve"> </w:t>
      </w:r>
      <w:r w:rsidR="009E7311">
        <w:t>they have</w:t>
      </w:r>
      <w:r w:rsidR="00470959" w:rsidRPr="00004DF1">
        <w:t xml:space="preserve"> received from the project proponent any information about the IE unit that </w:t>
      </w:r>
      <w:r w:rsidR="009E7311">
        <w:t>they</w:t>
      </w:r>
      <w:r w:rsidR="00470959" w:rsidRPr="00004DF1">
        <w:t xml:space="preserve"> </w:t>
      </w:r>
      <w:r w:rsidR="009E7311">
        <w:t>requested</w:t>
      </w:r>
      <w:r w:rsidR="009E7311" w:rsidRPr="00004DF1">
        <w:t xml:space="preserve"> </w:t>
      </w:r>
      <w:r w:rsidR="009E7311">
        <w:t xml:space="preserve">in order </w:t>
      </w:r>
      <w:r w:rsidR="00470959" w:rsidRPr="00004DF1">
        <w:t xml:space="preserve">to make the declaration and </w:t>
      </w:r>
      <w:r w:rsidR="00470959">
        <w:t>also that the information received</w:t>
      </w:r>
      <w:r w:rsidRPr="00777ED7">
        <w:t xml:space="preserve"> is accurate and does not contain anything misleading. </w:t>
      </w:r>
      <w:r w:rsidR="00784443">
        <w:t xml:space="preserve">Notes to the section list </w:t>
      </w:r>
      <w:r w:rsidR="00784443" w:rsidRPr="00270E57">
        <w:t xml:space="preserve">information </w:t>
      </w:r>
      <w:r w:rsidR="00784443" w:rsidRPr="003B116A">
        <w:t>that MVPs are likely to require in order to make the declaration, and will need to request if they do not already have it from involvement in implementing or testing the upgraded IE unit.</w:t>
      </w:r>
    </w:p>
    <w:p w14:paraId="73ED8068" w14:textId="09462369" w:rsidR="00411688" w:rsidRPr="00777ED7" w:rsidRDefault="00411688" w:rsidP="00B95886">
      <w:pPr>
        <w:pStyle w:val="tPara"/>
        <w:tabs>
          <w:tab w:val="clear" w:pos="1531"/>
          <w:tab w:val="right" w:pos="0"/>
        </w:tabs>
        <w:spacing w:before="0" w:after="240"/>
        <w:ind w:left="0" w:firstLine="0"/>
        <w:jc w:val="left"/>
      </w:pPr>
      <w:r w:rsidRPr="00777ED7">
        <w:t>S</w:t>
      </w:r>
      <w:r w:rsidR="00863F73">
        <w:t>ubs</w:t>
      </w:r>
      <w:r w:rsidRPr="00777ED7">
        <w:t>ection 2</w:t>
      </w:r>
      <w:r w:rsidR="00D35948">
        <w:t>5</w:t>
      </w:r>
      <w:r w:rsidR="00F84ED8">
        <w:t>(6) sets out that a</w:t>
      </w:r>
      <w:r w:rsidRPr="00777ED7">
        <w:t xml:space="preserve"> MVP who provides the project proponent with a post-upgrade declaration must also provide </w:t>
      </w:r>
      <w:r w:rsidR="00746989">
        <w:t xml:space="preserve">at the same time </w:t>
      </w:r>
      <w:r w:rsidRPr="00777ED7">
        <w:t>written evidence supporting the</w:t>
      </w:r>
      <w:r w:rsidR="00BD4CAA">
        <w:t>ir</w:t>
      </w:r>
      <w:r w:rsidRPr="00777ED7">
        <w:t xml:space="preserve"> statements, including the calculations, assumptions, information and inputs used.</w:t>
      </w:r>
    </w:p>
    <w:p w14:paraId="73ED8069" w14:textId="38932BED" w:rsidR="0006397A" w:rsidRPr="0006397A" w:rsidRDefault="0006397A" w:rsidP="00B95886">
      <w:pPr>
        <w:pStyle w:val="ESA4Section"/>
        <w:spacing w:before="0" w:after="120"/>
      </w:pPr>
      <w:bookmarkStart w:id="6" w:name="_Toc456793723"/>
      <w:r>
        <w:t>2</w:t>
      </w:r>
      <w:r w:rsidR="00725D48">
        <w:t>6</w:t>
      </w:r>
      <w:r>
        <w:tab/>
      </w:r>
      <w:r w:rsidR="00F84ED8">
        <w:t>Qualifications of a</w:t>
      </w:r>
      <w:r w:rsidRPr="0006397A">
        <w:t xml:space="preserve"> MVP</w:t>
      </w:r>
      <w:bookmarkEnd w:id="6"/>
    </w:p>
    <w:p w14:paraId="73ED806A" w14:textId="77777777" w:rsidR="0006397A" w:rsidRPr="00777ED7" w:rsidRDefault="00FB56FA" w:rsidP="00B95886">
      <w:pPr>
        <w:pStyle w:val="tMain"/>
        <w:tabs>
          <w:tab w:val="clear" w:pos="794"/>
          <w:tab w:val="right" w:pos="-2552"/>
        </w:tabs>
        <w:spacing w:before="0" w:after="120" w:line="240" w:lineRule="auto"/>
        <w:ind w:left="0" w:firstLine="0"/>
        <w:jc w:val="left"/>
        <w:rPr>
          <w:lang w:val="en-US"/>
        </w:rPr>
      </w:pPr>
      <w:r w:rsidRPr="00777ED7">
        <w:t>Section 2</w:t>
      </w:r>
      <w:r w:rsidR="00D35948">
        <w:t>6</w:t>
      </w:r>
      <w:r w:rsidR="0079779F">
        <w:t xml:space="preserve"> </w:t>
      </w:r>
      <w:r w:rsidRPr="00777ED7">
        <w:t xml:space="preserve">sets out that </w:t>
      </w:r>
      <w:r w:rsidR="0006397A" w:rsidRPr="00777ED7">
        <w:t>pre-upgrade or post-grade declaration</w:t>
      </w:r>
      <w:r w:rsidRPr="00777ED7">
        <w:t>s can only be provided by</w:t>
      </w:r>
      <w:r w:rsidR="00AF73A2">
        <w:t xml:space="preserve"> </w:t>
      </w:r>
      <w:r w:rsidR="00725BFE" w:rsidRPr="00777ED7">
        <w:t xml:space="preserve">MVPs </w:t>
      </w:r>
      <w:r w:rsidR="00AF73A2">
        <w:t>who</w:t>
      </w:r>
      <w:r w:rsidRPr="00777ED7">
        <w:t>:</w:t>
      </w:r>
    </w:p>
    <w:p w14:paraId="73ED806B" w14:textId="353260B9" w:rsidR="0006397A" w:rsidRPr="00777ED7" w:rsidRDefault="00AF73A2" w:rsidP="00B95886">
      <w:pPr>
        <w:pStyle w:val="ListBullet"/>
        <w:spacing w:after="120"/>
        <w:ind w:left="714" w:hanging="357"/>
      </w:pPr>
      <w:r>
        <w:t xml:space="preserve">are </w:t>
      </w:r>
      <w:r w:rsidR="0006397A" w:rsidRPr="00777ED7">
        <w:t xml:space="preserve">either </w:t>
      </w:r>
      <w:r w:rsidR="00E82D0D">
        <w:t xml:space="preserve">an </w:t>
      </w:r>
      <w:r w:rsidR="0006397A" w:rsidRPr="00777ED7">
        <w:t>independent professional</w:t>
      </w:r>
      <w:r w:rsidR="00E82D0D">
        <w:t xml:space="preserve"> </w:t>
      </w:r>
      <w:r w:rsidR="00CF48F1">
        <w:t xml:space="preserve">energy services </w:t>
      </w:r>
      <w:r w:rsidR="00E82D0D">
        <w:t>contractor or consultant</w:t>
      </w:r>
      <w:r w:rsidR="0006397A" w:rsidRPr="00777ED7">
        <w:t xml:space="preserve">, or </w:t>
      </w:r>
      <w:r>
        <w:t>are</w:t>
      </w:r>
      <w:r w:rsidR="0006397A" w:rsidRPr="00777ED7">
        <w:t xml:space="preserve"> employed as </w:t>
      </w:r>
      <w:r w:rsidR="00E82D0D">
        <w:t xml:space="preserve">a </w:t>
      </w:r>
      <w:r w:rsidR="00725BFE" w:rsidRPr="00777ED7">
        <w:t>professional engineer</w:t>
      </w:r>
      <w:r w:rsidR="00EB7553">
        <w:t xml:space="preserve"> or as </w:t>
      </w:r>
      <w:r w:rsidR="00E82D0D">
        <w:t xml:space="preserve">a </w:t>
      </w:r>
      <w:r w:rsidR="00EA1E8F">
        <w:t>MVP</w:t>
      </w:r>
      <w:r w:rsidR="009B084E">
        <w:t xml:space="preserve">; </w:t>
      </w:r>
      <w:r w:rsidR="00B82C06">
        <w:t>and</w:t>
      </w:r>
    </w:p>
    <w:p w14:paraId="73ED806C" w14:textId="12EB16E3" w:rsidR="0006397A" w:rsidRPr="00E37DA5" w:rsidRDefault="00EB7553" w:rsidP="00B95886">
      <w:pPr>
        <w:pStyle w:val="ListBullet"/>
        <w:spacing w:after="120"/>
      </w:pPr>
      <w:r>
        <w:t>are</w:t>
      </w:r>
      <w:r w:rsidR="00725BFE" w:rsidRPr="00777ED7">
        <w:t xml:space="preserve"> </w:t>
      </w:r>
      <w:r w:rsidR="002F52B3">
        <w:t xml:space="preserve">a </w:t>
      </w:r>
      <w:r w:rsidR="00725BFE" w:rsidRPr="00777ED7">
        <w:t>Certified Measurement and Verification Professional</w:t>
      </w:r>
      <w:r w:rsidR="00C15A21">
        <w:t>;</w:t>
      </w:r>
      <w:r w:rsidR="002F52B3">
        <w:t xml:space="preserve"> a </w:t>
      </w:r>
      <w:r w:rsidR="00725BFE" w:rsidRPr="00777ED7">
        <w:t>Certified Professional Engineer</w:t>
      </w:r>
      <w:r>
        <w:t xml:space="preserve"> or equivalent</w:t>
      </w:r>
      <w:r w:rsidR="00C15A21">
        <w:t>;</w:t>
      </w:r>
      <w:r w:rsidR="002F52B3">
        <w:t xml:space="preserve"> or </w:t>
      </w:r>
      <w:r w:rsidR="00B37715">
        <w:t xml:space="preserve">a </w:t>
      </w:r>
      <w:r w:rsidR="00725BFE" w:rsidRPr="00B600F9">
        <w:t>professional engineer</w:t>
      </w:r>
      <w:r w:rsidRPr="00B600F9">
        <w:t xml:space="preserve"> with a </w:t>
      </w:r>
      <w:r w:rsidR="00725BFE" w:rsidRPr="00B600F9">
        <w:t xml:space="preserve">relevant university degree </w:t>
      </w:r>
      <w:r w:rsidR="00C0165A" w:rsidRPr="00B600F9">
        <w:t xml:space="preserve">accredited for the grade of Professional Engineer by Engineers Australia </w:t>
      </w:r>
      <w:r w:rsidR="00C15A21">
        <w:t>and</w:t>
      </w:r>
      <w:r w:rsidR="00725BFE" w:rsidRPr="00B600F9">
        <w:t xml:space="preserve"> at least </w:t>
      </w:r>
      <w:r w:rsidR="00F84ED8">
        <w:t>three</w:t>
      </w:r>
      <w:r w:rsidR="00725BFE" w:rsidRPr="00B600F9">
        <w:t xml:space="preserve"> years’ </w:t>
      </w:r>
      <w:r w:rsidR="00CF48F1">
        <w:t xml:space="preserve">professional engineering </w:t>
      </w:r>
      <w:r w:rsidR="00725BFE" w:rsidRPr="00B600F9">
        <w:t xml:space="preserve">experience </w:t>
      </w:r>
      <w:r w:rsidR="00CF48F1">
        <w:t xml:space="preserve">that includes </w:t>
      </w:r>
      <w:r w:rsidR="00725BFE" w:rsidRPr="00B600F9">
        <w:t>energy auditing, energy measurement and verification or energy system project design, analysis and installation.</w:t>
      </w:r>
      <w:r w:rsidR="00725BFE" w:rsidRPr="00E37DA5">
        <w:t xml:space="preserve"> </w:t>
      </w:r>
    </w:p>
    <w:p w14:paraId="73ED806D" w14:textId="0BCC21FF" w:rsidR="0052160A" w:rsidRPr="00777ED7" w:rsidRDefault="00725BFE" w:rsidP="00B95886">
      <w:pPr>
        <w:spacing w:before="0" w:after="240" w:line="240" w:lineRule="auto"/>
      </w:pPr>
      <w:r>
        <w:lastRenderedPageBreak/>
        <w:t xml:space="preserve">This section </w:t>
      </w:r>
      <w:r w:rsidR="006C65D6">
        <w:t>provides</w:t>
      </w:r>
      <w:r>
        <w:t xml:space="preserve"> objective criteria for </w:t>
      </w:r>
      <w:r w:rsidR="00A47BA9">
        <w:t xml:space="preserve">a </w:t>
      </w:r>
      <w:r w:rsidR="00EA1E8F">
        <w:t>MVP</w:t>
      </w:r>
      <w:r w:rsidR="00A47BA9">
        <w:t xml:space="preserve"> </w:t>
      </w:r>
      <w:r w:rsidR="00EB1209">
        <w:t xml:space="preserve">by </w:t>
      </w:r>
      <w:r w:rsidR="001C2833">
        <w:t xml:space="preserve">incorporating </w:t>
      </w:r>
      <w:r>
        <w:t>external verification of qualifications</w:t>
      </w:r>
      <w:r w:rsidR="00903967">
        <w:t>,</w:t>
      </w:r>
      <w:r w:rsidR="006C65D6">
        <w:t xml:space="preserve"> </w:t>
      </w:r>
      <w:r w:rsidR="001C2833">
        <w:t>while</w:t>
      </w:r>
      <w:r w:rsidR="00E6059F">
        <w:t xml:space="preserve"> recognis</w:t>
      </w:r>
      <w:r w:rsidR="001C2833">
        <w:t>ing</w:t>
      </w:r>
      <w:r w:rsidR="00E6059F">
        <w:t xml:space="preserve"> professional experience. </w:t>
      </w:r>
    </w:p>
    <w:p w14:paraId="73ED806E" w14:textId="77777777" w:rsidR="000E0DD5" w:rsidRPr="00141E5B" w:rsidRDefault="000E0DD5" w:rsidP="00007F4C">
      <w:pPr>
        <w:pStyle w:val="ESA2Division"/>
        <w:spacing w:before="0" w:after="240" w:line="240" w:lineRule="auto"/>
      </w:pPr>
      <w:bookmarkStart w:id="7" w:name="OLE_LINK1"/>
      <w:bookmarkStart w:id="8" w:name="OLE_LINK2"/>
      <w:r w:rsidRPr="00141E5B">
        <w:t xml:space="preserve">Division </w:t>
      </w:r>
      <w:r w:rsidR="00777ED7">
        <w:t>5</w:t>
      </w:r>
      <w:r w:rsidR="00777ED7">
        <w:tab/>
      </w:r>
      <w:r w:rsidRPr="00141E5B">
        <w:t>Method for calculating net abatement amount</w:t>
      </w:r>
    </w:p>
    <w:bookmarkEnd w:id="7"/>
    <w:bookmarkEnd w:id="8"/>
    <w:p w14:paraId="73ED806F" w14:textId="77777777" w:rsidR="004D1BD4" w:rsidRPr="004D1BD4" w:rsidRDefault="004D1BD4" w:rsidP="00007F4C">
      <w:pPr>
        <w:pStyle w:val="ESA4Section"/>
        <w:spacing w:before="0" w:after="240"/>
        <w:rPr>
          <w:b/>
          <w:u w:val="none"/>
        </w:rPr>
      </w:pPr>
      <w:r w:rsidRPr="004D1BD4">
        <w:rPr>
          <w:b/>
          <w:u w:val="none"/>
        </w:rPr>
        <w:t>Subdivision 1</w:t>
      </w:r>
      <w:r w:rsidR="005B1F69" w:rsidRPr="00777ED7">
        <w:rPr>
          <w:u w:val="none"/>
        </w:rPr>
        <w:t>—</w:t>
      </w:r>
      <w:r w:rsidRPr="004D1BD4">
        <w:rPr>
          <w:b/>
          <w:u w:val="none"/>
        </w:rPr>
        <w:t>General provisions</w:t>
      </w:r>
    </w:p>
    <w:p w14:paraId="73ED8070" w14:textId="77777777" w:rsidR="000E0DD5" w:rsidRPr="00141E5B" w:rsidRDefault="000E0DD5" w:rsidP="00B95886">
      <w:pPr>
        <w:pStyle w:val="ESA4Section"/>
        <w:spacing w:before="0" w:after="120"/>
      </w:pPr>
      <w:r w:rsidRPr="00141E5B">
        <w:t>2</w:t>
      </w:r>
      <w:r w:rsidR="00725D48">
        <w:t>7</w:t>
      </w:r>
      <w:r w:rsidRPr="00141E5B">
        <w:tab/>
        <w:t>Summary</w:t>
      </w:r>
    </w:p>
    <w:p w14:paraId="73ED8071" w14:textId="676E10F1" w:rsidR="000E0DD5" w:rsidRPr="00141E5B" w:rsidRDefault="003F0E49" w:rsidP="00007F4C">
      <w:pPr>
        <w:spacing w:before="0" w:after="240" w:line="240" w:lineRule="auto"/>
      </w:pPr>
      <w:r>
        <w:t>S</w:t>
      </w:r>
      <w:r w:rsidR="000E0DD5" w:rsidRPr="00141E5B">
        <w:t xml:space="preserve">ection </w:t>
      </w:r>
      <w:r w:rsidR="002244E7">
        <w:t>2</w:t>
      </w:r>
      <w:r w:rsidR="00725D48">
        <w:t>7</w:t>
      </w:r>
      <w:r w:rsidR="002244E7">
        <w:t xml:space="preserve"> </w:t>
      </w:r>
      <w:r w:rsidR="000E0DD5" w:rsidRPr="00141E5B">
        <w:t>summarises the method for calculating the net abatement amount</w:t>
      </w:r>
      <w:r w:rsidR="00FB56FA">
        <w:t xml:space="preserve"> </w:t>
      </w:r>
      <w:r w:rsidR="005A0EBE">
        <w:t xml:space="preserve">for an </w:t>
      </w:r>
      <w:r w:rsidR="00570689">
        <w:t>IEU</w:t>
      </w:r>
      <w:r w:rsidR="00B12660">
        <w:t xml:space="preserve"> project</w:t>
      </w:r>
      <w:r w:rsidR="00FB56FA">
        <w:t xml:space="preserve">. </w:t>
      </w:r>
      <w:r w:rsidR="005B21E6">
        <w:t>Proponents should note that some potential IE units may need to be excluded from the calculations under section 1</w:t>
      </w:r>
      <w:r w:rsidR="00725D48">
        <w:t>9</w:t>
      </w:r>
      <w:r w:rsidR="005B21E6">
        <w:t xml:space="preserve"> of th</w:t>
      </w:r>
      <w:r>
        <w:t>e</w:t>
      </w:r>
      <w:r w:rsidR="005B21E6">
        <w:t xml:space="preserve"> Determination. </w:t>
      </w:r>
    </w:p>
    <w:p w14:paraId="73ED8072" w14:textId="77777777" w:rsidR="000E0DD5" w:rsidRPr="00141E5B" w:rsidRDefault="000E0DD5" w:rsidP="00B95886">
      <w:pPr>
        <w:pStyle w:val="ESA4Section"/>
        <w:spacing w:before="0" w:after="120"/>
      </w:pPr>
      <w:r w:rsidRPr="00141E5B">
        <w:t>2</w:t>
      </w:r>
      <w:r w:rsidR="00725D48">
        <w:t>8</w:t>
      </w:r>
      <w:r w:rsidRPr="00141E5B">
        <w:tab/>
        <w:t>Net abatement amount for the project (</w:t>
      </w:r>
      <w:r w:rsidRPr="00141E5B">
        <w:rPr>
          <w:i/>
        </w:rPr>
        <w:t>A</w:t>
      </w:r>
      <w:r w:rsidRPr="00141E5B">
        <w:t>)</w:t>
      </w:r>
    </w:p>
    <w:p w14:paraId="73ED8073" w14:textId="77777777" w:rsidR="00B12660" w:rsidRDefault="00B12660" w:rsidP="00B95886">
      <w:pPr>
        <w:spacing w:before="0" w:after="120" w:line="240" w:lineRule="auto"/>
      </w:pPr>
      <w:r>
        <w:t xml:space="preserve">Section </w:t>
      </w:r>
      <w:r w:rsidR="002244E7">
        <w:t>2</w:t>
      </w:r>
      <w:r w:rsidR="00725D48">
        <w:t>8</w:t>
      </w:r>
      <w:r w:rsidR="002244E7">
        <w:t xml:space="preserve"> </w:t>
      </w:r>
      <w:r>
        <w:t>sets out that t</w:t>
      </w:r>
      <w:r w:rsidR="000E0DD5" w:rsidRPr="00141E5B">
        <w:t xml:space="preserve">he net abatement amount is worked out </w:t>
      </w:r>
      <w:r w:rsidR="00570689">
        <w:t>by multiplying</w:t>
      </w:r>
      <w:r>
        <w:t xml:space="preserve"> the difference between the baseline emissions and </w:t>
      </w:r>
      <w:r w:rsidR="00EB7553">
        <w:t>project emissions rates</w:t>
      </w:r>
      <w:r w:rsidR="00570689">
        <w:t xml:space="preserve"> by</w:t>
      </w:r>
      <w:r w:rsidR="001C69BD">
        <w:t xml:space="preserve"> the number of days of operation for the upgraded u</w:t>
      </w:r>
      <w:r w:rsidR="00777ED7">
        <w:t>nit during the reporting period</w:t>
      </w:r>
      <w:r w:rsidR="00EB7553">
        <w:t>,</w:t>
      </w:r>
      <w:r w:rsidR="001C69BD">
        <w:t xml:space="preserve"> and </w:t>
      </w:r>
      <w:r w:rsidR="00570689">
        <w:t xml:space="preserve">by </w:t>
      </w:r>
      <w:r w:rsidR="001C69BD">
        <w:t xml:space="preserve">a </w:t>
      </w:r>
      <w:r w:rsidR="00570689">
        <w:t xml:space="preserve">tabulated </w:t>
      </w:r>
      <w:r w:rsidR="001C69BD">
        <w:t>decay coefficient.</w:t>
      </w:r>
      <w:r w:rsidR="005B21E6">
        <w:t xml:space="preserve"> This product is summed across all sub-units for the project. Any negative abatement from previous reporting periods is then deducted.</w:t>
      </w:r>
    </w:p>
    <w:p w14:paraId="73ED8074" w14:textId="4FCB8D45" w:rsidR="005A0EBE" w:rsidRPr="00C0165A" w:rsidRDefault="001C69BD" w:rsidP="00B95886">
      <w:pPr>
        <w:spacing w:before="0" w:after="240" w:line="240" w:lineRule="auto"/>
      </w:pPr>
      <w:r w:rsidRPr="00C0165A">
        <w:t xml:space="preserve">The decay coefficient </w:t>
      </w:r>
      <w:r w:rsidR="005A0EBE" w:rsidRPr="00C0165A">
        <w:t>is</w:t>
      </w:r>
      <w:r w:rsidR="005A0EBE" w:rsidRPr="00C0165A">
        <w:rPr>
          <w:szCs w:val="24"/>
        </w:rPr>
        <w:t xml:space="preserve"> used to account for the increasing uncertainty that the operating measurement period will be representative of output in each successive reporting period, and to account for gradual reductions in the effectiveness of the </w:t>
      </w:r>
      <w:r w:rsidR="003D75C1">
        <w:rPr>
          <w:szCs w:val="24"/>
        </w:rPr>
        <w:t xml:space="preserve">upgraded </w:t>
      </w:r>
      <w:r w:rsidR="005A0EBE" w:rsidRPr="00C0165A">
        <w:rPr>
          <w:szCs w:val="24"/>
        </w:rPr>
        <w:t xml:space="preserve">equipment or process. </w:t>
      </w:r>
      <w:r w:rsidR="00EB7553" w:rsidRPr="00C0165A">
        <w:rPr>
          <w:szCs w:val="24"/>
        </w:rPr>
        <w:t xml:space="preserve">The coefficients are </w:t>
      </w:r>
      <w:r w:rsidR="00B83ACA">
        <w:rPr>
          <w:szCs w:val="24"/>
        </w:rPr>
        <w:t>taken</w:t>
      </w:r>
      <w:r w:rsidR="00B83ACA" w:rsidRPr="00C0165A">
        <w:rPr>
          <w:szCs w:val="24"/>
        </w:rPr>
        <w:t xml:space="preserve"> </w:t>
      </w:r>
      <w:r w:rsidR="00EB7553" w:rsidRPr="00C0165A">
        <w:rPr>
          <w:szCs w:val="24"/>
        </w:rPr>
        <w:t xml:space="preserve">from the Industrial Electricity and Fuel Efficiency </w:t>
      </w:r>
      <w:r w:rsidR="00F84ED8">
        <w:rPr>
          <w:szCs w:val="24"/>
        </w:rPr>
        <w:t xml:space="preserve">ERF </w:t>
      </w:r>
      <w:r w:rsidR="00EB7553" w:rsidRPr="00C0165A">
        <w:rPr>
          <w:szCs w:val="24"/>
        </w:rPr>
        <w:t xml:space="preserve">method. </w:t>
      </w:r>
      <w:r w:rsidR="005A0EBE" w:rsidRPr="00C0165A">
        <w:rPr>
          <w:szCs w:val="24"/>
        </w:rPr>
        <w:t>The decay factor provides an incentive to measure output for the entire crediting period as it does not apply when</w:t>
      </w:r>
      <w:r w:rsidR="008365DA" w:rsidRPr="00C0165A">
        <w:rPr>
          <w:szCs w:val="24"/>
        </w:rPr>
        <w:t xml:space="preserve"> measured</w:t>
      </w:r>
      <w:r w:rsidR="005A0EBE" w:rsidRPr="00C0165A">
        <w:rPr>
          <w:szCs w:val="24"/>
        </w:rPr>
        <w:t xml:space="preserve"> output for a reporting period meets the representativeness criterion (section </w:t>
      </w:r>
      <w:r w:rsidR="002244E7" w:rsidRPr="00C0165A">
        <w:rPr>
          <w:szCs w:val="24"/>
        </w:rPr>
        <w:t>2</w:t>
      </w:r>
      <w:r w:rsidR="00725D48">
        <w:rPr>
          <w:szCs w:val="24"/>
        </w:rPr>
        <w:t>3</w:t>
      </w:r>
      <w:r w:rsidR="005A0EBE" w:rsidRPr="00C0165A">
        <w:rPr>
          <w:szCs w:val="24"/>
        </w:rPr>
        <w:t>).</w:t>
      </w:r>
    </w:p>
    <w:p w14:paraId="73ED8075" w14:textId="77777777" w:rsidR="000E0DD5" w:rsidRPr="00141E5B" w:rsidRDefault="00BD7EF3" w:rsidP="00007F4C">
      <w:pPr>
        <w:pStyle w:val="ESA2Division"/>
        <w:spacing w:before="0" w:after="240" w:line="240" w:lineRule="auto"/>
      </w:pPr>
      <w:r w:rsidRPr="00141E5B">
        <w:t xml:space="preserve">Division </w:t>
      </w:r>
      <w:r>
        <w:t>6</w:t>
      </w:r>
      <w:r>
        <w:tab/>
      </w:r>
      <w:r w:rsidR="004B65E4">
        <w:t>Calculation of baseline and project emissions rates</w:t>
      </w:r>
    </w:p>
    <w:p w14:paraId="73ED8076" w14:textId="77777777" w:rsidR="000E0DD5" w:rsidRPr="00141E5B" w:rsidRDefault="00725D48" w:rsidP="00007F4C">
      <w:pPr>
        <w:pStyle w:val="ESA4Section"/>
        <w:spacing w:before="0" w:after="240"/>
      </w:pPr>
      <w:r>
        <w:t>29</w:t>
      </w:r>
      <w:r w:rsidR="000E0DD5" w:rsidRPr="008365DA">
        <w:tab/>
      </w:r>
      <w:r w:rsidR="000E4B2F" w:rsidRPr="008365DA">
        <w:t>Baseline emissions rate for a sub-unit</w:t>
      </w:r>
      <w:r w:rsidR="000E0DD5" w:rsidRPr="008365DA">
        <w:t xml:space="preserve"> (</w:t>
      </w:r>
      <w:r w:rsidR="000E4B2F" w:rsidRPr="008365DA">
        <w:rPr>
          <w:i/>
        </w:rPr>
        <w:t>ER</w:t>
      </w:r>
      <w:r w:rsidR="000E4B2F" w:rsidRPr="008365DA">
        <w:rPr>
          <w:i/>
          <w:vertAlign w:val="subscript"/>
        </w:rPr>
        <w:t>B,i</w:t>
      </w:r>
      <w:r w:rsidR="000E0DD5" w:rsidRPr="008365DA">
        <w:t>)</w:t>
      </w:r>
    </w:p>
    <w:p w14:paraId="73ED8077" w14:textId="77777777" w:rsidR="004F36D2" w:rsidRDefault="003F0E49" w:rsidP="00B95886">
      <w:pPr>
        <w:spacing w:before="0" w:after="120" w:line="240" w:lineRule="auto"/>
      </w:pPr>
      <w:r>
        <w:t xml:space="preserve">Section </w:t>
      </w:r>
      <w:r w:rsidR="00725D48">
        <w:t>29</w:t>
      </w:r>
      <w:r w:rsidR="002244E7" w:rsidRPr="008365DA">
        <w:t xml:space="preserve"> </w:t>
      </w:r>
      <w:r w:rsidR="0066411D" w:rsidRPr="008365DA">
        <w:t>sets out the calculation of the daily baseline emissions rate as</w:t>
      </w:r>
      <w:r w:rsidR="00FD1DF8">
        <w:t xml:space="preserve"> </w:t>
      </w:r>
      <w:r w:rsidR="00F934FC">
        <w:t xml:space="preserve">the total emissions from the sub-unit’s fuel </w:t>
      </w:r>
      <w:r w:rsidR="005C6314">
        <w:t xml:space="preserve">and electricity </w:t>
      </w:r>
      <w:r w:rsidR="00F934FC">
        <w:t xml:space="preserve">consumption during the baseline period </w:t>
      </w:r>
      <w:r w:rsidR="005C6314">
        <w:t xml:space="preserve">divided by </w:t>
      </w:r>
      <w:r w:rsidR="005C6314" w:rsidRPr="008365DA">
        <w:t xml:space="preserve">the number of days </w:t>
      </w:r>
      <w:r w:rsidR="005C6314">
        <w:t>in the baseline period (</w:t>
      </w:r>
      <w:r w:rsidR="005C6314" w:rsidRPr="008365DA">
        <w:t xml:space="preserve">to </w:t>
      </w:r>
      <w:r w:rsidR="005C6314">
        <w:t>provide</w:t>
      </w:r>
      <w:r w:rsidR="005C6314" w:rsidRPr="008365DA">
        <w:t xml:space="preserve"> a daily rate</w:t>
      </w:r>
      <w:r w:rsidR="005C6314">
        <w:t xml:space="preserve">) and </w:t>
      </w:r>
      <w:r w:rsidR="005C6314" w:rsidRPr="008365DA">
        <w:t>multipl</w:t>
      </w:r>
      <w:r w:rsidR="005C6314">
        <w:t>ied</w:t>
      </w:r>
      <w:r w:rsidR="005C6314" w:rsidRPr="008365DA">
        <w:t xml:space="preserve"> by a</w:t>
      </w:r>
      <w:r w:rsidR="005C6314">
        <w:t>n</w:t>
      </w:r>
      <w:r w:rsidR="005C6314" w:rsidRPr="008365DA">
        <w:t xml:space="preserve"> adjustment factor.</w:t>
      </w:r>
    </w:p>
    <w:p w14:paraId="73ED8078" w14:textId="77777777" w:rsidR="004F36D2" w:rsidRPr="00A445AF" w:rsidRDefault="004F36D2" w:rsidP="00B95886">
      <w:pPr>
        <w:spacing w:before="0" w:after="120" w:line="240" w:lineRule="auto"/>
      </w:pPr>
      <w:r w:rsidRPr="00A445AF">
        <w:t xml:space="preserve">The adjustment factor adjusts the abatement credit based on energy intensity if this provides a more conservative result. </w:t>
      </w:r>
      <w:r w:rsidR="00D4480F">
        <w:t xml:space="preserve">The adjustment factor addresses the risk of gaming by proponents who reduce levels of output in the project measurement period, as compared to the baseline period, within the range permitted by the representativeness criterion in section </w:t>
      </w:r>
      <w:r w:rsidR="00725D48">
        <w:t>23</w:t>
      </w:r>
      <w:r w:rsidR="00D4480F">
        <w:t xml:space="preserve">. </w:t>
      </w:r>
    </w:p>
    <w:p w14:paraId="73ED8079" w14:textId="77777777" w:rsidR="00F934FC" w:rsidRDefault="004F36D2" w:rsidP="00B95886">
      <w:pPr>
        <w:spacing w:before="0" w:after="120" w:line="240" w:lineRule="auto"/>
      </w:pPr>
      <w:r w:rsidRPr="00A445AF">
        <w:t xml:space="preserve">If the rate of output during the </w:t>
      </w:r>
      <w:r w:rsidR="00410EF9">
        <w:t xml:space="preserve">project </w:t>
      </w:r>
      <w:r w:rsidRPr="00A445AF">
        <w:t>measur</w:t>
      </w:r>
      <w:r>
        <w:t>ement</w:t>
      </w:r>
      <w:r w:rsidRPr="00A445AF">
        <w:t xml:space="preserve"> period is lower than during the baseline period, the baseline emissions rate used in abatement calculations is the baseline emissions intensity multiplied by the output in the operating measurement period, adjusted for the length of the two periods. </w:t>
      </w:r>
    </w:p>
    <w:p w14:paraId="73ED807A" w14:textId="2548ABBD" w:rsidR="00FE790F" w:rsidRPr="00C92891" w:rsidRDefault="00FE790F" w:rsidP="00B95886">
      <w:pPr>
        <w:shd w:val="clear" w:color="auto" w:fill="FFFFFF"/>
        <w:spacing w:before="0" w:after="120" w:line="240" w:lineRule="auto"/>
        <w:rPr>
          <w:rFonts w:eastAsia="Times New Roman"/>
          <w:szCs w:val="24"/>
          <w:lang w:val="en-US" w:eastAsia="en-AU"/>
        </w:rPr>
      </w:pPr>
      <w:r w:rsidRPr="00C92891">
        <w:rPr>
          <w:rFonts w:eastAsia="Times New Roman"/>
          <w:szCs w:val="24"/>
          <w:lang w:eastAsia="en-AU"/>
        </w:rPr>
        <w:t xml:space="preserve">The electricity emissions factor to be used refers to scope 2 emissions from the electricity grid to which the site is connected, and is to be taken from the </w:t>
      </w:r>
      <w:r w:rsidRPr="00C92891">
        <w:rPr>
          <w:rFonts w:eastAsia="Times New Roman"/>
          <w:b/>
          <w:bCs/>
          <w:i/>
          <w:iCs/>
          <w:szCs w:val="24"/>
          <w:lang w:eastAsia="en-AU"/>
        </w:rPr>
        <w:t>NGA Factors document</w:t>
      </w:r>
      <w:r w:rsidRPr="00C92891">
        <w:rPr>
          <w:rFonts w:eastAsia="Times New Roman"/>
          <w:szCs w:val="24"/>
          <w:lang w:eastAsia="en-AU"/>
        </w:rPr>
        <w:t xml:space="preserve"> published</w:t>
      </w:r>
      <w:r w:rsidR="0054271C">
        <w:rPr>
          <w:rFonts w:eastAsia="Times New Roman"/>
          <w:szCs w:val="24"/>
          <w:lang w:eastAsia="en-AU"/>
        </w:rPr>
        <w:t xml:space="preserve"> </w:t>
      </w:r>
      <w:r w:rsidRPr="00C92891">
        <w:rPr>
          <w:rFonts w:eastAsia="Times New Roman"/>
          <w:szCs w:val="24"/>
          <w:lang w:eastAsia="en-AU"/>
        </w:rPr>
        <w:t>on the Department’s website</w:t>
      </w:r>
      <w:r w:rsidR="00010A33">
        <w:rPr>
          <w:rFonts w:eastAsia="Times New Roman"/>
          <w:szCs w:val="24"/>
          <w:lang w:eastAsia="en-AU"/>
        </w:rPr>
        <w:t xml:space="preserve">, </w:t>
      </w:r>
      <w:hyperlink r:id="rId19" w:history="1">
        <w:r w:rsidR="00010A33" w:rsidRPr="00B104C8">
          <w:rPr>
            <w:rStyle w:val="Hyperlink"/>
            <w:rFonts w:eastAsia="Times New Roman"/>
            <w:color w:val="auto"/>
            <w:szCs w:val="24"/>
            <w:lang w:eastAsia="en-AU"/>
          </w:rPr>
          <w:t>www.environment.gov.au</w:t>
        </w:r>
      </w:hyperlink>
      <w:r w:rsidR="00010A33" w:rsidRPr="00B104C8">
        <w:rPr>
          <w:rFonts w:eastAsia="Times New Roman"/>
          <w:szCs w:val="24"/>
          <w:lang w:eastAsia="en-AU"/>
        </w:rPr>
        <w:t>, a</w:t>
      </w:r>
      <w:r w:rsidR="00010A33">
        <w:rPr>
          <w:rFonts w:eastAsia="Times New Roman"/>
          <w:szCs w:val="24"/>
          <w:lang w:eastAsia="en-AU"/>
        </w:rPr>
        <w:t xml:space="preserve">nd updated </w:t>
      </w:r>
      <w:r w:rsidRPr="00C92891">
        <w:rPr>
          <w:rFonts w:eastAsia="Times New Roman"/>
          <w:szCs w:val="24"/>
          <w:lang w:eastAsia="en-AU"/>
        </w:rPr>
        <w:t>from time to time. If the site is connected to an electricity grid for which there is an</w:t>
      </w:r>
      <w:r w:rsidR="00A445AF">
        <w:rPr>
          <w:rFonts w:eastAsia="Times New Roman"/>
          <w:szCs w:val="24"/>
          <w:lang w:eastAsia="en-AU"/>
        </w:rPr>
        <w:t xml:space="preserve"> </w:t>
      </w:r>
      <w:r w:rsidRPr="00C92891">
        <w:rPr>
          <w:rFonts w:eastAsia="Times New Roman"/>
          <w:szCs w:val="24"/>
          <w:lang w:eastAsia="en-AU"/>
        </w:rPr>
        <w:t xml:space="preserve">emissions factor included in the NGA Factors document, then proponents would </w:t>
      </w:r>
      <w:r w:rsidR="008853BE">
        <w:rPr>
          <w:rFonts w:eastAsia="Times New Roman"/>
          <w:szCs w:val="24"/>
          <w:lang w:eastAsia="en-AU"/>
        </w:rPr>
        <w:t xml:space="preserve">need to </w:t>
      </w:r>
      <w:r w:rsidRPr="00C92891">
        <w:rPr>
          <w:rFonts w:eastAsia="Times New Roman"/>
          <w:szCs w:val="24"/>
          <w:lang w:eastAsia="en-AU"/>
        </w:rPr>
        <w:t xml:space="preserve">apply that emissions factor from the NGA Factors document, as in force on the day the project is declared an eligible offsets </w:t>
      </w:r>
      <w:r w:rsidRPr="00C92891">
        <w:rPr>
          <w:rFonts w:eastAsia="Times New Roman"/>
          <w:szCs w:val="24"/>
          <w:lang w:eastAsia="en-AU"/>
        </w:rPr>
        <w:lastRenderedPageBreak/>
        <w:t>project. The NGA Factors document will clearly identify the table of emissions factors relevant to this definition.</w:t>
      </w:r>
    </w:p>
    <w:p w14:paraId="73ED807B" w14:textId="77777777" w:rsidR="0066411D" w:rsidRPr="00A445AF" w:rsidRDefault="00FE790F" w:rsidP="00007F4C">
      <w:pPr>
        <w:spacing w:before="0" w:after="240" w:line="240" w:lineRule="auto"/>
      </w:pPr>
      <w:r w:rsidRPr="00C92891">
        <w:rPr>
          <w:rFonts w:eastAsia="Times New Roman"/>
          <w:szCs w:val="24"/>
          <w:lang w:eastAsia="en-AU"/>
        </w:rPr>
        <w:t>If the site is connected to a grid other than one of the electricity grids for which emissions factors are included in the NGA Factors document, or a source other than an electricity grid, then the</w:t>
      </w:r>
      <w:r w:rsidR="00EE33BC">
        <w:rPr>
          <w:rFonts w:eastAsia="Times New Roman"/>
          <w:szCs w:val="24"/>
          <w:lang w:eastAsia="en-AU"/>
        </w:rPr>
        <w:t xml:space="preserve"> proponent may use other sources. The</w:t>
      </w:r>
      <w:r w:rsidRPr="00C92891">
        <w:rPr>
          <w:rFonts w:eastAsia="Times New Roman"/>
          <w:szCs w:val="24"/>
          <w:lang w:eastAsia="en-AU"/>
        </w:rPr>
        <w:t xml:space="preserve"> proponent could apply an emissions factor provided by the supplier of the electricity that reflects the emissions intensity of the electricity on the </w:t>
      </w:r>
      <w:r w:rsidRPr="00D15143">
        <w:rPr>
          <w:rFonts w:eastAsia="Times New Roman"/>
          <w:b/>
          <w:i/>
          <w:szCs w:val="24"/>
          <w:lang w:eastAsia="en-AU"/>
        </w:rPr>
        <w:t>declaration day</w:t>
      </w:r>
      <w:r w:rsidRPr="00C92891">
        <w:rPr>
          <w:rFonts w:eastAsia="Times New Roman"/>
          <w:szCs w:val="24"/>
          <w:lang w:eastAsia="en-AU"/>
        </w:rPr>
        <w:t xml:space="preserve">, or the factor for off-grid electricity published in the NGA Factors document as in force on the day the project is declared an eligible offsets project. </w:t>
      </w:r>
    </w:p>
    <w:p w14:paraId="73ED807C" w14:textId="77777777" w:rsidR="000E0DD5" w:rsidRPr="00611CC7" w:rsidRDefault="00725D48" w:rsidP="00623169">
      <w:pPr>
        <w:pStyle w:val="ESA4Section"/>
        <w:spacing w:before="0" w:after="120"/>
      </w:pPr>
      <w:r>
        <w:t>30</w:t>
      </w:r>
      <w:r w:rsidR="000E0DD5" w:rsidRPr="00611CC7">
        <w:tab/>
      </w:r>
      <w:r w:rsidR="00E80122" w:rsidRPr="00611CC7">
        <w:t>Project emissions rate for a sub-unit (</w:t>
      </w:r>
      <w:r w:rsidR="00E80122" w:rsidRPr="00611CC7">
        <w:rPr>
          <w:i/>
        </w:rPr>
        <w:t>ER</w:t>
      </w:r>
      <w:r w:rsidR="00E80122" w:rsidRPr="00611CC7">
        <w:rPr>
          <w:i/>
          <w:vertAlign w:val="subscript"/>
        </w:rPr>
        <w:t>P,i</w:t>
      </w:r>
      <w:r w:rsidR="00E80122" w:rsidRPr="00611CC7">
        <w:t>)</w:t>
      </w:r>
    </w:p>
    <w:p w14:paraId="73ED807D" w14:textId="77777777" w:rsidR="00E80122" w:rsidRPr="00611CC7" w:rsidRDefault="00E80122" w:rsidP="00623169">
      <w:pPr>
        <w:spacing w:before="0" w:after="120" w:line="240" w:lineRule="auto"/>
      </w:pPr>
      <w:r w:rsidRPr="00611CC7">
        <w:t xml:space="preserve">Equation </w:t>
      </w:r>
      <w:r w:rsidR="00265DBE" w:rsidRPr="00611CC7">
        <w:t>4</w:t>
      </w:r>
      <w:r w:rsidRPr="00611CC7">
        <w:t xml:space="preserve"> sets out the calculation of the daily </w:t>
      </w:r>
      <w:r w:rsidR="00142D20">
        <w:t>project</w:t>
      </w:r>
      <w:r w:rsidR="00142D20" w:rsidRPr="00611CC7">
        <w:t xml:space="preserve"> </w:t>
      </w:r>
      <w:r w:rsidRPr="00611CC7">
        <w:t xml:space="preserve">emissions rate as the sum of emissions for each fuel type </w:t>
      </w:r>
      <w:r w:rsidR="00142D20">
        <w:t xml:space="preserve">and for electricity, </w:t>
      </w:r>
      <w:r w:rsidRPr="00611CC7">
        <w:t xml:space="preserve">divided by the number of days </w:t>
      </w:r>
      <w:r w:rsidR="00142D20">
        <w:t xml:space="preserve">in the project measurement period </w:t>
      </w:r>
      <w:r w:rsidRPr="00611CC7">
        <w:t>to give a daily rate.</w:t>
      </w:r>
    </w:p>
    <w:p w14:paraId="73ED807F" w14:textId="44C6473D" w:rsidR="000E0DD5" w:rsidRPr="00611CC7" w:rsidRDefault="00E80122" w:rsidP="00007F4C">
      <w:pPr>
        <w:spacing w:before="0" w:after="240" w:line="240" w:lineRule="auto"/>
      </w:pPr>
      <w:r w:rsidRPr="00611CC7">
        <w:t xml:space="preserve">The emissions for each fuel type are determined as the product of measured energy consumption during the </w:t>
      </w:r>
      <w:r w:rsidR="00265DBE" w:rsidRPr="00611CC7">
        <w:t>operating measurement</w:t>
      </w:r>
      <w:r w:rsidRPr="00611CC7">
        <w:t xml:space="preserve"> period, </w:t>
      </w:r>
      <w:r w:rsidR="00BB3FB4">
        <w:t xml:space="preserve">converted into gigajoules using </w:t>
      </w:r>
      <w:r w:rsidRPr="00611CC7">
        <w:t>an energy content factor</w:t>
      </w:r>
      <w:r w:rsidR="00BB3FB4">
        <w:t>, and multiplied</w:t>
      </w:r>
      <w:r w:rsidRPr="00611CC7">
        <w:t xml:space="preserve"> by an emissions factor</w:t>
      </w:r>
      <w:r w:rsidR="00645EA9">
        <w:t>,</w:t>
      </w:r>
      <w:r w:rsidRPr="00611CC7">
        <w:t xml:space="preserve"> summ</w:t>
      </w:r>
      <w:r w:rsidR="00645EA9">
        <w:t>ing together the result</w:t>
      </w:r>
      <w:r w:rsidRPr="00611CC7">
        <w:t xml:space="preserve"> </w:t>
      </w:r>
      <w:r w:rsidR="00645EA9">
        <w:t>for each</w:t>
      </w:r>
      <w:r w:rsidRPr="00611CC7">
        <w:t xml:space="preserve"> type of greenhouse gas emitted by the sub-unit. Energy content </w:t>
      </w:r>
      <w:r w:rsidR="00645EA9">
        <w:t xml:space="preserve">factors </w:t>
      </w:r>
      <w:r w:rsidRPr="00611CC7">
        <w:t>and emissions factors</w:t>
      </w:r>
      <w:r w:rsidR="00645EA9">
        <w:t xml:space="preserve"> </w:t>
      </w:r>
      <w:r w:rsidR="00645EA9" w:rsidRPr="008365DA">
        <w:t xml:space="preserve">must be determined in accordance with the </w:t>
      </w:r>
      <w:r w:rsidR="00645EA9" w:rsidRPr="00D15143">
        <w:t>NGER (Measurement) Determination</w:t>
      </w:r>
      <w:r w:rsidR="00645EA9" w:rsidRPr="008365DA">
        <w:t xml:space="preserve">. </w:t>
      </w:r>
    </w:p>
    <w:p w14:paraId="73ED8080" w14:textId="77777777" w:rsidR="0006056F" w:rsidRPr="00BA7A7A" w:rsidRDefault="0006056F" w:rsidP="00007F4C">
      <w:pPr>
        <w:pStyle w:val="ESA1Part"/>
        <w:spacing w:before="0" w:after="240"/>
      </w:pPr>
      <w:bookmarkStart w:id="9" w:name="_Toc409428250"/>
      <w:bookmarkStart w:id="10" w:name="_Toc426728001"/>
      <w:bookmarkStart w:id="11" w:name="_Toc456793731"/>
      <w:r>
        <w:lastRenderedPageBreak/>
        <w:t>Part 5</w:t>
      </w:r>
      <w:r w:rsidRPr="00BA7A7A">
        <w:t>—Reporting, notification and record-keeping requirements</w:t>
      </w:r>
      <w:bookmarkEnd w:id="9"/>
      <w:bookmarkEnd w:id="10"/>
      <w:bookmarkEnd w:id="11"/>
    </w:p>
    <w:p w14:paraId="73ED8081" w14:textId="77777777" w:rsidR="005C1078" w:rsidRPr="00141E5B" w:rsidRDefault="005C1078" w:rsidP="00623169">
      <w:pPr>
        <w:spacing w:before="0" w:after="120" w:line="240" w:lineRule="auto"/>
        <w:rPr>
          <w:lang w:eastAsia="en-AU"/>
        </w:rPr>
      </w:pPr>
      <w:r w:rsidRPr="00141E5B">
        <w:rPr>
          <w:lang w:eastAsia="en-AU"/>
        </w:rPr>
        <w:t>Subsection 106(3) of the Act provides that a methodology determination may subject the project proponent of an eligible offsets project to specified reporting, notification, record</w:t>
      </w:r>
      <w:r w:rsidRPr="00141E5B">
        <w:rPr>
          <w:lang w:eastAsia="en-AU"/>
        </w:rPr>
        <w:noBreakHyphen/>
        <w:t xml:space="preserve">keeping and monitoring requirements. </w:t>
      </w:r>
    </w:p>
    <w:p w14:paraId="73ED8082" w14:textId="77777777" w:rsidR="005C1078" w:rsidRPr="00141E5B" w:rsidRDefault="005C1078" w:rsidP="00007F4C">
      <w:pPr>
        <w:spacing w:before="0" w:after="240" w:line="240" w:lineRule="auto"/>
        <w:rPr>
          <w:lang w:eastAsia="en-AU"/>
        </w:rPr>
      </w:pPr>
      <w:r w:rsidRPr="00141E5B">
        <w:rPr>
          <w:lang w:eastAsia="en-AU"/>
        </w:rPr>
        <w:t>Under Parts 17 and 21 of the Act, a failure to comply with these requirements may constitute a breach of a civil penalty provision and a financial penalty may be payable.</w:t>
      </w:r>
    </w:p>
    <w:p w14:paraId="73ED8083" w14:textId="77777777" w:rsidR="005C1078" w:rsidRPr="007A2642" w:rsidRDefault="005C1078" w:rsidP="00623169">
      <w:pPr>
        <w:spacing w:before="0" w:after="120" w:line="240" w:lineRule="auto"/>
        <w:rPr>
          <w:u w:val="single"/>
        </w:rPr>
      </w:pPr>
      <w:r w:rsidRPr="007A2642">
        <w:rPr>
          <w:u w:val="single"/>
        </w:rPr>
        <w:t>Reporting periods</w:t>
      </w:r>
    </w:p>
    <w:p w14:paraId="73ED8084" w14:textId="77777777" w:rsidR="005C1078" w:rsidRPr="00141E5B" w:rsidRDefault="005C1078" w:rsidP="00623169">
      <w:pPr>
        <w:spacing w:before="0" w:after="120" w:line="240" w:lineRule="auto"/>
      </w:pPr>
      <w:r w:rsidRPr="00141E5B">
        <w:t>The Act and subordinate legislation provide for flexible reporting periods generally between six months and two years in duration (with monthly reporting available if abatement in a reporting period meets or exceeds 2000 tonnes of carbon dioxide equivalent).</w:t>
      </w:r>
    </w:p>
    <w:p w14:paraId="73ED8085" w14:textId="77777777" w:rsidR="005C1078" w:rsidRPr="00141E5B" w:rsidRDefault="005C1078" w:rsidP="00623169">
      <w:pPr>
        <w:spacing w:before="0" w:after="120" w:line="240" w:lineRule="auto"/>
      </w:pPr>
      <w:r w:rsidRPr="00141E5B">
        <w:rPr>
          <w:color w:val="000000"/>
          <w:u w:val="single"/>
        </w:rPr>
        <w:t>Audit requirements</w:t>
      </w:r>
    </w:p>
    <w:p w14:paraId="73ED8086" w14:textId="77777777" w:rsidR="005C1078" w:rsidRPr="00141E5B" w:rsidRDefault="005C1078" w:rsidP="00623169">
      <w:pPr>
        <w:spacing w:before="0" w:after="120" w:line="240" w:lineRule="auto"/>
      </w:pPr>
      <w:r w:rsidRPr="00141E5B">
        <w:t xml:space="preserve">The Act provides for a risk-based approach to auditing emissions reductions. Subsections 13(1) and 76(4) of the Act provide for legislative rules to be made by the Minister, specifying the level of assurance, and the frequency and scope of the audit report that must be provided with project reports for different types of projects. These can be found in the </w:t>
      </w:r>
      <w:r w:rsidRPr="00141E5B">
        <w:rPr>
          <w:i/>
        </w:rPr>
        <w:t>Carbon Credits (Carbon Farming Initiative) Rule 2015.</w:t>
      </w:r>
    </w:p>
    <w:p w14:paraId="73ED8087" w14:textId="77777777" w:rsidR="005C1078" w:rsidRPr="00141E5B" w:rsidRDefault="005C1078" w:rsidP="00623169">
      <w:pPr>
        <w:spacing w:before="0" w:after="120" w:line="240" w:lineRule="auto"/>
        <w:rPr>
          <w:u w:val="single"/>
        </w:rPr>
      </w:pPr>
      <w:r w:rsidRPr="00141E5B">
        <w:rPr>
          <w:u w:val="single"/>
        </w:rPr>
        <w:t>Reporting, notification and record-keeping requirements</w:t>
      </w:r>
    </w:p>
    <w:p w14:paraId="73ED8088" w14:textId="05A7BAD7" w:rsidR="0006056F" w:rsidRDefault="005C1078" w:rsidP="00007F4C">
      <w:pPr>
        <w:spacing w:before="0" w:after="240" w:line="240" w:lineRule="auto"/>
      </w:pPr>
      <w:r w:rsidRPr="00141E5B">
        <w:t xml:space="preserve">In addition to the requirements in the Determination, the Act and the </w:t>
      </w:r>
      <w:r w:rsidRPr="00141E5B">
        <w:rPr>
          <w:i/>
        </w:rPr>
        <w:t xml:space="preserve">Carbon Credits (Carbon Farming Initiative) Rule 2015 </w:t>
      </w:r>
      <w:r w:rsidRPr="00141E5B">
        <w:t xml:space="preserve">specify other reporting, notification, record-keeping, and monitoring requirements that apply to all </w:t>
      </w:r>
      <w:r w:rsidR="00ED7EA4">
        <w:t>Emissions Reduction Fund</w:t>
      </w:r>
      <w:r w:rsidRPr="00141E5B">
        <w:t xml:space="preserve"> projects. </w:t>
      </w:r>
    </w:p>
    <w:p w14:paraId="73ED8089" w14:textId="77777777" w:rsidR="0006056F" w:rsidRPr="00BA7A7A" w:rsidRDefault="006629D9" w:rsidP="00007F4C">
      <w:pPr>
        <w:pStyle w:val="ESA2Division"/>
        <w:spacing w:before="0" w:after="240"/>
      </w:pPr>
      <w:bookmarkStart w:id="12" w:name="_Toc409428251"/>
      <w:bookmarkStart w:id="13" w:name="_Toc426728002"/>
      <w:bookmarkStart w:id="14" w:name="_Toc456793732"/>
      <w:r>
        <w:t>Division 1</w:t>
      </w:r>
      <w:r>
        <w:tab/>
      </w:r>
      <w:r w:rsidR="0006056F" w:rsidRPr="00BA7A7A">
        <w:t>Offsets report requirements</w:t>
      </w:r>
      <w:bookmarkEnd w:id="12"/>
      <w:bookmarkEnd w:id="13"/>
      <w:bookmarkEnd w:id="14"/>
    </w:p>
    <w:p w14:paraId="73ED808A" w14:textId="77777777" w:rsidR="0006056F" w:rsidRPr="00F930A5" w:rsidRDefault="00772983" w:rsidP="00623169">
      <w:pPr>
        <w:pStyle w:val="ESA4Section"/>
        <w:spacing w:before="0" w:after="120"/>
      </w:pPr>
      <w:bookmarkStart w:id="15" w:name="_Toc409428252"/>
      <w:bookmarkStart w:id="16" w:name="_Toc426728003"/>
      <w:bookmarkStart w:id="17" w:name="_Toc456793733"/>
      <w:r>
        <w:t>3</w:t>
      </w:r>
      <w:r w:rsidR="00725D48">
        <w:t>1</w:t>
      </w:r>
      <w:r>
        <w:tab/>
      </w:r>
      <w:r w:rsidR="0006056F" w:rsidRPr="00BA7A7A">
        <w:t>Operation of this Division</w:t>
      </w:r>
      <w:bookmarkEnd w:id="15"/>
      <w:bookmarkEnd w:id="16"/>
      <w:bookmarkEnd w:id="17"/>
    </w:p>
    <w:p w14:paraId="73ED808B" w14:textId="74AB7F0F" w:rsidR="00394F59" w:rsidRPr="00F930A5" w:rsidRDefault="00F84ED8" w:rsidP="00007F4C">
      <w:pPr>
        <w:spacing w:before="0" w:after="240" w:line="240" w:lineRule="auto"/>
        <w:rPr>
          <w:color w:val="000000"/>
        </w:rPr>
      </w:pPr>
      <w:r>
        <w:t>Part 5, D</w:t>
      </w:r>
      <w:r w:rsidR="00394F59" w:rsidRPr="00141E5B">
        <w:t xml:space="preserve">ivision 1 sets out </w:t>
      </w:r>
      <w:r w:rsidR="00B17D82" w:rsidRPr="00141E5B">
        <w:t xml:space="preserve">specified </w:t>
      </w:r>
      <w:r w:rsidR="00394F59" w:rsidRPr="00141E5B">
        <w:t>information that must be included in an offsets report about a</w:t>
      </w:r>
      <w:r w:rsidR="00A20A4E">
        <w:t xml:space="preserve">n </w:t>
      </w:r>
      <w:r w:rsidR="00FD06A6">
        <w:t>IEU</w:t>
      </w:r>
      <w:r w:rsidR="00394F59" w:rsidRPr="00141E5B">
        <w:t xml:space="preserve"> project.</w:t>
      </w:r>
    </w:p>
    <w:p w14:paraId="73ED808C" w14:textId="7EA28162" w:rsidR="0006056F" w:rsidRPr="00707CE1" w:rsidRDefault="00772983" w:rsidP="00623169">
      <w:pPr>
        <w:pStyle w:val="ESA4Section"/>
        <w:spacing w:before="0" w:after="120"/>
      </w:pPr>
      <w:bookmarkStart w:id="18" w:name="_Toc426728004"/>
      <w:bookmarkStart w:id="19" w:name="_Toc456793734"/>
      <w:r>
        <w:t>3</w:t>
      </w:r>
      <w:r w:rsidR="00725D48">
        <w:t>2</w:t>
      </w:r>
      <w:r>
        <w:tab/>
      </w:r>
      <w:r w:rsidR="0006056F" w:rsidRPr="00707CE1">
        <w:t>Information that must be included in an offsets report</w:t>
      </w:r>
      <w:bookmarkEnd w:id="18"/>
      <w:bookmarkEnd w:id="19"/>
      <w:r w:rsidR="0006056F" w:rsidRPr="00707CE1">
        <w:t xml:space="preserve"> </w:t>
      </w:r>
    </w:p>
    <w:p w14:paraId="73ED808D" w14:textId="0EB78F1E" w:rsidR="00A86BD1" w:rsidRPr="00A20A4E" w:rsidRDefault="00A86BD1" w:rsidP="00623169">
      <w:pPr>
        <w:spacing w:before="0" w:after="120" w:line="240" w:lineRule="auto"/>
      </w:pPr>
      <w:r w:rsidRPr="00A20A4E">
        <w:t xml:space="preserve">Further to requirements under the Act and subordinate legislation, section </w:t>
      </w:r>
      <w:r w:rsidR="002244E7">
        <w:t>33</w:t>
      </w:r>
      <w:r w:rsidR="002244E7" w:rsidRPr="00A20A4E">
        <w:t xml:space="preserve"> </w:t>
      </w:r>
      <w:r w:rsidRPr="00A20A4E">
        <w:t xml:space="preserve">sets out specific additional information that </w:t>
      </w:r>
      <w:r w:rsidR="00CC29DB">
        <w:t>a project proponent need</w:t>
      </w:r>
      <w:r w:rsidR="008853BE">
        <w:t>s</w:t>
      </w:r>
      <w:r w:rsidR="00CC29DB">
        <w:t xml:space="preserve"> to include</w:t>
      </w:r>
      <w:r w:rsidRPr="00A20A4E">
        <w:t xml:space="preserve"> in each offsets report for an </w:t>
      </w:r>
      <w:r w:rsidR="003F0E49">
        <w:t xml:space="preserve">IEU </w:t>
      </w:r>
      <w:r w:rsidRPr="00A20A4E">
        <w:t xml:space="preserve">project. </w:t>
      </w:r>
    </w:p>
    <w:p w14:paraId="73ED808E" w14:textId="77777777" w:rsidR="0006056F" w:rsidRPr="00A20A4E" w:rsidRDefault="00772983" w:rsidP="00623169">
      <w:pPr>
        <w:spacing w:before="0" w:after="120" w:line="240" w:lineRule="auto"/>
      </w:pPr>
      <w:r w:rsidRPr="00A20A4E">
        <w:t>S</w:t>
      </w:r>
      <w:r w:rsidR="00BD17E3" w:rsidRPr="00A20A4E">
        <w:t>ubs</w:t>
      </w:r>
      <w:r w:rsidRPr="00A20A4E">
        <w:t>ection 3</w:t>
      </w:r>
      <w:r w:rsidR="00725D48">
        <w:t>2</w:t>
      </w:r>
      <w:r w:rsidR="00BD17E3" w:rsidRPr="00A20A4E">
        <w:t>(1)</w:t>
      </w:r>
      <w:r w:rsidRPr="00A20A4E">
        <w:t xml:space="preserve"> sets out </w:t>
      </w:r>
      <w:r w:rsidR="000C789A">
        <w:t xml:space="preserve">the details </w:t>
      </w:r>
      <w:r w:rsidRPr="00A20A4E">
        <w:t>that a</w:t>
      </w:r>
      <w:r w:rsidR="0006056F" w:rsidRPr="00A20A4E">
        <w:t xml:space="preserve">n offsets report </w:t>
      </w:r>
      <w:r w:rsidR="00E53A19">
        <w:t xml:space="preserve">must include </w:t>
      </w:r>
      <w:r w:rsidR="0006056F" w:rsidRPr="00A20A4E">
        <w:t xml:space="preserve">for </w:t>
      </w:r>
      <w:r w:rsidR="00E53A19" w:rsidRPr="00A20A4E">
        <w:t xml:space="preserve">each IE unit </w:t>
      </w:r>
      <w:r w:rsidR="00E53A19">
        <w:t xml:space="preserve">in </w:t>
      </w:r>
      <w:r w:rsidR="0006056F" w:rsidRPr="00A20A4E">
        <w:t>a reporting period</w:t>
      </w:r>
      <w:r w:rsidR="00E53A19">
        <w:t xml:space="preserve">. </w:t>
      </w:r>
      <w:r w:rsidR="00BD17E3" w:rsidRPr="00A20A4E">
        <w:t>Subsection 3</w:t>
      </w:r>
      <w:r w:rsidR="00725D48">
        <w:t>2</w:t>
      </w:r>
      <w:r w:rsidR="00BD17E3" w:rsidRPr="00A20A4E">
        <w:t>(2) s</w:t>
      </w:r>
      <w:r w:rsidR="00F01A5B">
        <w:t>tates</w:t>
      </w:r>
      <w:r w:rsidR="00BD17E3" w:rsidRPr="00A20A4E">
        <w:t xml:space="preserve"> that f</w:t>
      </w:r>
      <w:r w:rsidR="0006056F" w:rsidRPr="00A20A4E">
        <w:t>or an</w:t>
      </w:r>
      <w:r w:rsidR="00BD17E3" w:rsidRPr="00A20A4E">
        <w:t>y</w:t>
      </w:r>
      <w:r w:rsidR="0006056F" w:rsidRPr="00A20A4E">
        <w:t xml:space="preserve"> IE unit that was included in calculations for an earlier reporting period</w:t>
      </w:r>
      <w:r w:rsidR="003F777A" w:rsidRPr="00A20A4E">
        <w:t xml:space="preserve"> </w:t>
      </w:r>
      <w:r w:rsidR="00C44A93">
        <w:t>bu</w:t>
      </w:r>
      <w:r w:rsidR="003F777A" w:rsidRPr="00A20A4E">
        <w:t xml:space="preserve">t </w:t>
      </w:r>
      <w:r w:rsidR="0006056F" w:rsidRPr="00A20A4E">
        <w:t>is not included in calculations for the</w:t>
      </w:r>
      <w:r w:rsidR="003F777A" w:rsidRPr="00A20A4E">
        <w:t xml:space="preserve"> applicable</w:t>
      </w:r>
      <w:r w:rsidR="0006056F" w:rsidRPr="00A20A4E">
        <w:t xml:space="preserve"> reporting period</w:t>
      </w:r>
      <w:r w:rsidR="003F777A" w:rsidRPr="00A20A4E">
        <w:t>,</w:t>
      </w:r>
      <w:r w:rsidR="0006056F" w:rsidRPr="00A20A4E">
        <w:t xml:space="preserve"> the report must stat</w:t>
      </w:r>
      <w:r w:rsidR="003F777A" w:rsidRPr="00A20A4E">
        <w:t>e the reason for the exclusion</w:t>
      </w:r>
      <w:r w:rsidR="0006056F" w:rsidRPr="00A20A4E">
        <w:t>.</w:t>
      </w:r>
    </w:p>
    <w:p w14:paraId="73ED808F" w14:textId="77777777" w:rsidR="0006056F" w:rsidRDefault="003F777A" w:rsidP="00007F4C">
      <w:pPr>
        <w:spacing w:before="0" w:after="240" w:line="240" w:lineRule="auto"/>
      </w:pPr>
      <w:r w:rsidRPr="00A20A4E">
        <w:t>Subsection 3</w:t>
      </w:r>
      <w:r w:rsidR="00725D48">
        <w:t>2</w:t>
      </w:r>
      <w:r w:rsidRPr="00A20A4E">
        <w:t>(3) s</w:t>
      </w:r>
      <w:r w:rsidR="00F80D63">
        <w:t>tates</w:t>
      </w:r>
      <w:r w:rsidRPr="00A20A4E">
        <w:t xml:space="preserve"> that </w:t>
      </w:r>
      <w:r w:rsidR="0006056F" w:rsidRPr="00A20A4E">
        <w:t>in the circumstances described in paragraph </w:t>
      </w:r>
      <w:r w:rsidR="00BB48EE">
        <w:t>6(2)(b)</w:t>
      </w:r>
      <w:r w:rsidR="0006056F" w:rsidRPr="00A20A4E">
        <w:t xml:space="preserve">, </w:t>
      </w:r>
      <w:r w:rsidR="00F01A5B">
        <w:t xml:space="preserve">then </w:t>
      </w:r>
      <w:r w:rsidR="0006056F" w:rsidRPr="00A20A4E">
        <w:t xml:space="preserve">the offsets report about the </w:t>
      </w:r>
      <w:r w:rsidR="00F80D63">
        <w:t xml:space="preserve">IEU </w:t>
      </w:r>
      <w:r w:rsidR="0006056F" w:rsidRPr="00A20A4E">
        <w:t>project must describe the reasons why it was not possible to define or calculate the factor or parameter by reference to the instrument or writing in force at the end of the reporting period.</w:t>
      </w:r>
    </w:p>
    <w:p w14:paraId="73ED8090" w14:textId="77777777" w:rsidR="003F777A" w:rsidRDefault="003F777A" w:rsidP="00007F4C">
      <w:pPr>
        <w:pStyle w:val="ESA2Division"/>
        <w:spacing w:before="0" w:after="240"/>
      </w:pPr>
      <w:r>
        <w:lastRenderedPageBreak/>
        <w:t xml:space="preserve">Division </w:t>
      </w:r>
      <w:r w:rsidR="000021E8">
        <w:t>2</w:t>
      </w:r>
      <w:r>
        <w:tab/>
      </w:r>
      <w:r w:rsidR="000021E8">
        <w:t>Notification</w:t>
      </w:r>
      <w:r w:rsidRPr="00BA7A7A">
        <w:t xml:space="preserve"> requirements</w:t>
      </w:r>
    </w:p>
    <w:p w14:paraId="73ED8091" w14:textId="77777777" w:rsidR="000021E8" w:rsidRPr="00FD3DDC" w:rsidRDefault="000021E8" w:rsidP="00623169">
      <w:pPr>
        <w:pStyle w:val="ESA4Section"/>
        <w:spacing w:before="0" w:after="120"/>
      </w:pPr>
      <w:bookmarkStart w:id="20" w:name="_Toc409428255"/>
      <w:bookmarkStart w:id="21" w:name="_Toc426728006"/>
      <w:bookmarkStart w:id="22" w:name="_Toc456793736"/>
      <w:r>
        <w:t>3</w:t>
      </w:r>
      <w:r w:rsidR="00725D48">
        <w:t>3</w:t>
      </w:r>
      <w:r>
        <w:tab/>
      </w:r>
      <w:r w:rsidRPr="00BA7A7A">
        <w:t>Operation of this Division</w:t>
      </w:r>
      <w:bookmarkEnd w:id="20"/>
      <w:bookmarkEnd w:id="21"/>
      <w:bookmarkEnd w:id="22"/>
      <w:r w:rsidRPr="00BA7A7A">
        <w:t xml:space="preserve"> </w:t>
      </w:r>
    </w:p>
    <w:p w14:paraId="73ED8092" w14:textId="44A72DD2" w:rsidR="003520ED" w:rsidRPr="00222BF8" w:rsidRDefault="00F84ED8" w:rsidP="00007F4C">
      <w:pPr>
        <w:spacing w:before="0" w:after="240" w:line="240" w:lineRule="auto"/>
      </w:pPr>
      <w:r>
        <w:t>Part 5, D</w:t>
      </w:r>
      <w:r w:rsidR="003520ED" w:rsidRPr="00222BF8">
        <w:t>ivision 2 sets out requirements</w:t>
      </w:r>
      <w:r w:rsidR="00B17D82">
        <w:t xml:space="preserve"> </w:t>
      </w:r>
      <w:r w:rsidR="00B17D82" w:rsidRPr="00222BF8">
        <w:t xml:space="preserve">for </w:t>
      </w:r>
      <w:r w:rsidR="00BB7CD1">
        <w:t xml:space="preserve">notifying the Regulator about matters relating to </w:t>
      </w:r>
      <w:r w:rsidR="00B17D82" w:rsidRPr="00222BF8">
        <w:t xml:space="preserve">an </w:t>
      </w:r>
      <w:r w:rsidR="00B17D82">
        <w:t>I</w:t>
      </w:r>
      <w:r w:rsidR="00BB7CD1">
        <w:t xml:space="preserve">EU </w:t>
      </w:r>
      <w:r w:rsidR="00B17D82" w:rsidRPr="00222BF8">
        <w:t>project</w:t>
      </w:r>
      <w:r w:rsidR="003520ED" w:rsidRPr="00222BF8">
        <w:t>.</w:t>
      </w:r>
      <w:r w:rsidR="003520ED">
        <w:t xml:space="preserve"> </w:t>
      </w:r>
    </w:p>
    <w:p w14:paraId="73ED8093" w14:textId="77777777" w:rsidR="000021E8" w:rsidRPr="00FD3DDC" w:rsidRDefault="000021E8" w:rsidP="00623169">
      <w:pPr>
        <w:pStyle w:val="ESA4Section"/>
        <w:spacing w:before="0" w:after="120"/>
      </w:pPr>
      <w:bookmarkStart w:id="23" w:name="_Toc409428256"/>
      <w:bookmarkStart w:id="24" w:name="_Toc426728007"/>
      <w:bookmarkStart w:id="25" w:name="_Toc456793737"/>
      <w:r>
        <w:t>3</w:t>
      </w:r>
      <w:r w:rsidR="00725D48">
        <w:t>4</w:t>
      </w:r>
      <w:r>
        <w:tab/>
      </w:r>
      <w:r w:rsidRPr="00FD3DDC">
        <w:t>Notification requirements</w:t>
      </w:r>
      <w:bookmarkEnd w:id="23"/>
      <w:bookmarkEnd w:id="24"/>
      <w:bookmarkEnd w:id="25"/>
      <w:r w:rsidRPr="00FD3DDC">
        <w:t xml:space="preserve"> </w:t>
      </w:r>
    </w:p>
    <w:p w14:paraId="73ED8094" w14:textId="77777777" w:rsidR="000021E8" w:rsidRPr="00A20A4E" w:rsidRDefault="000021E8" w:rsidP="00007F4C">
      <w:pPr>
        <w:spacing w:before="0" w:after="240" w:line="240" w:lineRule="auto"/>
      </w:pPr>
      <w:r w:rsidRPr="00A20A4E">
        <w:t>Section 3</w:t>
      </w:r>
      <w:r w:rsidR="00D35948">
        <w:t>4</w:t>
      </w:r>
      <w:r w:rsidRPr="00A20A4E">
        <w:t xml:space="preserve"> </w:t>
      </w:r>
      <w:r w:rsidR="004450D4">
        <w:t>requires</w:t>
      </w:r>
      <w:r w:rsidRPr="00A20A4E">
        <w:t xml:space="preserve"> the project proponent </w:t>
      </w:r>
      <w:r w:rsidR="004450D4">
        <w:t>to</w:t>
      </w:r>
      <w:r w:rsidR="004450D4" w:rsidRPr="00A20A4E">
        <w:t xml:space="preserve"> </w:t>
      </w:r>
      <w:r w:rsidRPr="00A20A4E">
        <w:t xml:space="preserve">notify the Regulator of any safety or product performance issues with equipment installed or proposed to be installed in relation to the </w:t>
      </w:r>
      <w:r w:rsidR="004450D4">
        <w:t xml:space="preserve">IEU </w:t>
      </w:r>
      <w:r w:rsidRPr="00A20A4E">
        <w:t xml:space="preserve">project as soon as possible after the proponent becomes aware of </w:t>
      </w:r>
      <w:r w:rsidR="004450D4">
        <w:t>any</w:t>
      </w:r>
      <w:r w:rsidR="004450D4" w:rsidRPr="00A20A4E">
        <w:t xml:space="preserve"> </w:t>
      </w:r>
      <w:r w:rsidRPr="00A20A4E">
        <w:t>issue.</w:t>
      </w:r>
    </w:p>
    <w:p w14:paraId="73ED8095" w14:textId="77777777" w:rsidR="00280F3D" w:rsidRDefault="00280F3D" w:rsidP="00007F4C">
      <w:pPr>
        <w:pStyle w:val="ESA2Division"/>
        <w:spacing w:before="0" w:after="240"/>
      </w:pPr>
      <w:r>
        <w:t>Division 3</w:t>
      </w:r>
      <w:r>
        <w:tab/>
        <w:t>Record-keeping</w:t>
      </w:r>
      <w:r w:rsidRPr="00BA7A7A">
        <w:t xml:space="preserve"> requirements</w:t>
      </w:r>
    </w:p>
    <w:p w14:paraId="73ED8096" w14:textId="77777777" w:rsidR="00280F3D" w:rsidRPr="00FD3DDC" w:rsidRDefault="00280F3D" w:rsidP="00623169">
      <w:pPr>
        <w:pStyle w:val="ESA4Section"/>
        <w:spacing w:before="0" w:after="120"/>
      </w:pPr>
      <w:r>
        <w:t>3</w:t>
      </w:r>
      <w:r w:rsidR="00725D48">
        <w:t>5</w:t>
      </w:r>
      <w:r>
        <w:tab/>
      </w:r>
      <w:r w:rsidRPr="00BA7A7A">
        <w:t xml:space="preserve">Operation of this Division </w:t>
      </w:r>
    </w:p>
    <w:p w14:paraId="73ED8097" w14:textId="64501E81" w:rsidR="003520ED" w:rsidRPr="00141E5B" w:rsidRDefault="00B17D82" w:rsidP="00007F4C">
      <w:pPr>
        <w:spacing w:before="0" w:after="240" w:line="240" w:lineRule="auto"/>
        <w:rPr>
          <w:color w:val="000000"/>
        </w:rPr>
      </w:pPr>
      <w:r>
        <w:t>Part 5,</w:t>
      </w:r>
      <w:r w:rsidR="003520ED" w:rsidRPr="00141E5B">
        <w:t xml:space="preserve"> </w:t>
      </w:r>
      <w:r w:rsidR="00F84ED8">
        <w:t>D</w:t>
      </w:r>
      <w:r w:rsidR="003520ED" w:rsidRPr="00141E5B">
        <w:t xml:space="preserve">ivision </w:t>
      </w:r>
      <w:r w:rsidR="003520ED">
        <w:t>3</w:t>
      </w:r>
      <w:r w:rsidR="003520ED" w:rsidRPr="00141E5B">
        <w:t xml:space="preserve"> sets out record-keeping requirements for a</w:t>
      </w:r>
      <w:r w:rsidR="003520ED">
        <w:t xml:space="preserve">n </w:t>
      </w:r>
      <w:r w:rsidRPr="00D15143">
        <w:rPr>
          <w:b/>
          <w:i/>
        </w:rPr>
        <w:t>eligible IEU</w:t>
      </w:r>
      <w:r w:rsidR="003520ED" w:rsidRPr="00D15143">
        <w:rPr>
          <w:b/>
          <w:i/>
        </w:rPr>
        <w:t xml:space="preserve"> project</w:t>
      </w:r>
      <w:r w:rsidR="003520ED" w:rsidRPr="00141E5B">
        <w:t>.</w:t>
      </w:r>
    </w:p>
    <w:p w14:paraId="73ED8098" w14:textId="77777777" w:rsidR="00280F3D" w:rsidRPr="00FD3DDC" w:rsidRDefault="00280F3D" w:rsidP="00623169">
      <w:pPr>
        <w:pStyle w:val="ESA4Section"/>
        <w:spacing w:before="0" w:after="120"/>
      </w:pPr>
      <w:r>
        <w:t>3</w:t>
      </w:r>
      <w:r w:rsidR="00725D48">
        <w:t>6</w:t>
      </w:r>
      <w:r>
        <w:tab/>
      </w:r>
      <w:r w:rsidR="005C1078">
        <w:t>R</w:t>
      </w:r>
      <w:r>
        <w:t>ecord-keeping</w:t>
      </w:r>
      <w:r w:rsidRPr="00FD3DDC">
        <w:t xml:space="preserve"> requirements </w:t>
      </w:r>
    </w:p>
    <w:p w14:paraId="73ED8099" w14:textId="77777777" w:rsidR="00F930A5" w:rsidRPr="00A20A4E" w:rsidRDefault="00280F3D" w:rsidP="00623169">
      <w:pPr>
        <w:spacing w:before="0" w:after="120" w:line="240" w:lineRule="auto"/>
      </w:pPr>
      <w:r w:rsidRPr="00A20A4E">
        <w:t>S</w:t>
      </w:r>
      <w:r w:rsidR="00A86BD1" w:rsidRPr="00A20A4E">
        <w:t>ubs</w:t>
      </w:r>
      <w:r w:rsidRPr="00A20A4E">
        <w:t>ection 3</w:t>
      </w:r>
      <w:r w:rsidR="00D35948">
        <w:t>6</w:t>
      </w:r>
      <w:r w:rsidR="00A86BD1" w:rsidRPr="00A20A4E">
        <w:t>(1)</w:t>
      </w:r>
      <w:r w:rsidRPr="00A20A4E">
        <w:t xml:space="preserve"> </w:t>
      </w:r>
      <w:r w:rsidR="00A86BD1" w:rsidRPr="00A20A4E">
        <w:t>s</w:t>
      </w:r>
      <w:r w:rsidR="00B17D82">
        <w:t>tates that in addition to</w:t>
      </w:r>
      <w:r w:rsidR="00F930A5" w:rsidRPr="00A20A4E">
        <w:t xml:space="preserve"> keeping any other relevant records, the project proponent must keep records </w:t>
      </w:r>
      <w:r w:rsidR="00B17D82">
        <w:t>for</w:t>
      </w:r>
      <w:r w:rsidR="00F930A5" w:rsidRPr="00A20A4E">
        <w:t xml:space="preserve"> each IE unit that identif</w:t>
      </w:r>
      <w:r w:rsidR="00B17D82">
        <w:t>y</w:t>
      </w:r>
      <w:r w:rsidR="00F930A5" w:rsidRPr="00A20A4E">
        <w:t xml:space="preserve"> the location of:</w:t>
      </w:r>
    </w:p>
    <w:p w14:paraId="73ED809A" w14:textId="20F29BC4" w:rsidR="00F930A5" w:rsidRPr="00A20A4E" w:rsidRDefault="00F930A5" w:rsidP="00623169">
      <w:pPr>
        <w:pStyle w:val="ListBullet"/>
        <w:spacing w:after="120"/>
        <w:ind w:left="714" w:hanging="357"/>
      </w:pPr>
      <w:r w:rsidRPr="00A20A4E">
        <w:t>all the energy</w:t>
      </w:r>
      <w:r w:rsidR="00BB7CD1">
        <w:t>-</w:t>
      </w:r>
      <w:r w:rsidRPr="00A20A4E">
        <w:t xml:space="preserve">consuming </w:t>
      </w:r>
      <w:r w:rsidR="00BB7CD1">
        <w:t>equipment</w:t>
      </w:r>
      <w:r w:rsidR="00BB7CD1" w:rsidRPr="00A20A4E">
        <w:t xml:space="preserve"> </w:t>
      </w:r>
      <w:r w:rsidR="00B17D82">
        <w:t>with</w:t>
      </w:r>
      <w:r w:rsidRPr="00A20A4E">
        <w:t xml:space="preserve">in the </w:t>
      </w:r>
      <w:r w:rsidR="00B17D82">
        <w:t>energy</w:t>
      </w:r>
      <w:r w:rsidR="00B17D82" w:rsidRPr="00A20A4E">
        <w:t xml:space="preserve"> </w:t>
      </w:r>
      <w:r w:rsidRPr="00A20A4E">
        <w:t>boundary</w:t>
      </w:r>
    </w:p>
    <w:p w14:paraId="73ED809B" w14:textId="234B6D74" w:rsidR="00F930A5" w:rsidRPr="00A20A4E" w:rsidRDefault="00F930A5" w:rsidP="00623169">
      <w:pPr>
        <w:pStyle w:val="ListBullet"/>
        <w:spacing w:after="120"/>
        <w:ind w:left="714" w:hanging="357"/>
      </w:pPr>
      <w:r w:rsidRPr="00A20A4E">
        <w:t>equipment that measures the co</w:t>
      </w:r>
      <w:r w:rsidR="00F80DF9">
        <w:t>nsumption of th</w:t>
      </w:r>
      <w:r w:rsidR="00BB7CD1">
        <w:t>e energy-consuming equipment</w:t>
      </w:r>
    </w:p>
    <w:p w14:paraId="73ED809C" w14:textId="696604AA" w:rsidR="00F930A5" w:rsidRDefault="00F930A5" w:rsidP="00623169">
      <w:pPr>
        <w:pStyle w:val="ListBullet"/>
        <w:spacing w:after="120"/>
        <w:ind w:left="714" w:hanging="357"/>
      </w:pPr>
      <w:r w:rsidRPr="00A20A4E">
        <w:t>the supply of energy for that consumption.</w:t>
      </w:r>
    </w:p>
    <w:p w14:paraId="73ED809D" w14:textId="4324F247" w:rsidR="003520ED" w:rsidRPr="00A20A4E" w:rsidRDefault="00A86BD1" w:rsidP="00623169">
      <w:pPr>
        <w:spacing w:before="0" w:after="120" w:line="240" w:lineRule="auto"/>
      </w:pPr>
      <w:r w:rsidRPr="00A20A4E">
        <w:t>Subsection 3</w:t>
      </w:r>
      <w:r w:rsidR="00D35948">
        <w:t>6</w:t>
      </w:r>
      <w:r w:rsidRPr="00A20A4E">
        <w:t>(</w:t>
      </w:r>
      <w:r w:rsidR="00BB7CD1">
        <w:t>2</w:t>
      </w:r>
      <w:r w:rsidRPr="00A20A4E">
        <w:t>) sets out that t</w:t>
      </w:r>
      <w:r w:rsidR="00F930A5" w:rsidRPr="00A20A4E">
        <w:t xml:space="preserve">he project proponent must keep records that </w:t>
      </w:r>
      <w:r w:rsidR="00CA5D00">
        <w:t>show</w:t>
      </w:r>
      <w:r w:rsidR="00CA5D00" w:rsidRPr="00A20A4E">
        <w:t xml:space="preserve"> </w:t>
      </w:r>
      <w:r w:rsidR="00F930A5" w:rsidRPr="00A20A4E">
        <w:t>that any equipment removed as part of the project was disposed of in accordance with section 1</w:t>
      </w:r>
      <w:r w:rsidRPr="00A20A4E">
        <w:t>6</w:t>
      </w:r>
      <w:r w:rsidR="00F930A5" w:rsidRPr="00A20A4E">
        <w:t xml:space="preserve"> and any other applicable legislative requirements.</w:t>
      </w:r>
      <w:r w:rsidR="00596198">
        <w:t xml:space="preserve"> </w:t>
      </w:r>
      <w:r w:rsidR="003520ED" w:rsidRPr="00A20A4E">
        <w:t>The requirement to keep records of the disposal of equipment only appl</w:t>
      </w:r>
      <w:r w:rsidR="008853BE">
        <w:t>ies</w:t>
      </w:r>
      <w:r w:rsidR="003520ED" w:rsidRPr="00A20A4E">
        <w:t xml:space="preserve"> when the equipment is removed and disposed of as part of a project activity that has an effect on the abatement calculations that is not minor or trivial.  </w:t>
      </w:r>
    </w:p>
    <w:p w14:paraId="73ED809E" w14:textId="3BA9FEBC" w:rsidR="000E0DD5" w:rsidRDefault="003520ED" w:rsidP="00623169">
      <w:pPr>
        <w:spacing w:before="0" w:after="120" w:line="240" w:lineRule="auto"/>
      </w:pPr>
      <w:r w:rsidRPr="00A20A4E">
        <w:t>In addition to the above record-keeping requirements, there are general requirements under the Act and legislative rules that apply to all E</w:t>
      </w:r>
      <w:r w:rsidR="00AA3C65">
        <w:t xml:space="preserve">missions </w:t>
      </w:r>
      <w:r w:rsidRPr="00A20A4E">
        <w:t>R</w:t>
      </w:r>
      <w:r w:rsidR="00AA3C65">
        <w:t xml:space="preserve">eduction </w:t>
      </w:r>
      <w:r w:rsidRPr="00A20A4E">
        <w:t>F</w:t>
      </w:r>
      <w:r w:rsidR="00AA3C65">
        <w:t>und</w:t>
      </w:r>
      <w:r w:rsidRPr="00A20A4E">
        <w:t xml:space="preserve"> projects. Proponents are required to keep evidence of their compliance with </w:t>
      </w:r>
      <w:r w:rsidR="00CA5D00">
        <w:t xml:space="preserve">all </w:t>
      </w:r>
      <w:r w:rsidRPr="00A20A4E">
        <w:t xml:space="preserve">project requirements and </w:t>
      </w:r>
      <w:r w:rsidR="00CA5D00">
        <w:t xml:space="preserve">records to show </w:t>
      </w:r>
      <w:r w:rsidRPr="00A20A4E">
        <w:t xml:space="preserve">that calculations </w:t>
      </w:r>
      <w:r w:rsidR="00CA5D00">
        <w:t>have been</w:t>
      </w:r>
      <w:r w:rsidR="00CA5D00" w:rsidRPr="00A20A4E">
        <w:t xml:space="preserve"> </w:t>
      </w:r>
      <w:r w:rsidRPr="00A20A4E">
        <w:t>done correctly according to the methodology</w:t>
      </w:r>
      <w:r>
        <w:t xml:space="preserve">. </w:t>
      </w:r>
      <w:bookmarkStart w:id="26" w:name="_Toc318098665"/>
      <w:bookmarkStart w:id="27" w:name="_Toc319521136"/>
    </w:p>
    <w:p w14:paraId="73ED80A0" w14:textId="42EB30AF" w:rsidR="000E6EA9" w:rsidRDefault="00BB7CD1" w:rsidP="00623169">
      <w:pPr>
        <w:spacing w:before="0" w:after="240" w:line="240" w:lineRule="auto"/>
      </w:pPr>
      <w:r w:rsidRPr="00D11237">
        <w:t>Subsection 3</w:t>
      </w:r>
      <w:r w:rsidR="00D35948">
        <w:t>6</w:t>
      </w:r>
      <w:r w:rsidRPr="00D11237">
        <w:t>(3) specifies that i</w:t>
      </w:r>
      <w:r w:rsidR="00CA5D00" w:rsidRPr="00D11237">
        <w:t>f, in the circumstances described in paragraph 6(2)(b), a factor or parameter is defined or calculated for a reporting period by reference to an instrument or writing as in force from time to time, the offsets report about the project for the reporting period must describe the reasons why it was not possible to define or calculate the factor or parameter by reference to the instrument or writing as in force at the end of the reporting period.</w:t>
      </w:r>
    </w:p>
    <w:p w14:paraId="73ED80A1" w14:textId="77777777" w:rsidR="000E6EA9" w:rsidRPr="00C0165A" w:rsidRDefault="000E6EA9" w:rsidP="000E6EA9">
      <w:pPr>
        <w:pStyle w:val="ESA2Division"/>
        <w:spacing w:before="0" w:after="240"/>
        <w:rPr>
          <w:color w:val="auto"/>
        </w:rPr>
      </w:pPr>
      <w:r w:rsidRPr="00C0165A">
        <w:rPr>
          <w:color w:val="auto"/>
        </w:rPr>
        <w:t xml:space="preserve">Division </w:t>
      </w:r>
      <w:r w:rsidR="0045613F">
        <w:rPr>
          <w:color w:val="auto"/>
        </w:rPr>
        <w:t>4</w:t>
      </w:r>
      <w:r w:rsidRPr="00C0165A">
        <w:rPr>
          <w:color w:val="auto"/>
        </w:rPr>
        <w:tab/>
        <w:t>Monitoring</w:t>
      </w:r>
    </w:p>
    <w:p w14:paraId="73ED80A2" w14:textId="77777777" w:rsidR="000E6EA9" w:rsidRPr="00C0165A" w:rsidRDefault="000E6EA9" w:rsidP="00623169">
      <w:pPr>
        <w:pStyle w:val="ESA4Section"/>
        <w:spacing w:before="0" w:after="120"/>
        <w:rPr>
          <w:color w:val="auto"/>
        </w:rPr>
      </w:pPr>
      <w:r w:rsidRPr="00C0165A">
        <w:rPr>
          <w:color w:val="auto"/>
        </w:rPr>
        <w:t>3</w:t>
      </w:r>
      <w:r w:rsidR="00725D48">
        <w:rPr>
          <w:color w:val="auto"/>
        </w:rPr>
        <w:t>7</w:t>
      </w:r>
      <w:r w:rsidRPr="00C0165A">
        <w:rPr>
          <w:color w:val="auto"/>
        </w:rPr>
        <w:tab/>
        <w:t>Operation of this Division</w:t>
      </w:r>
    </w:p>
    <w:p w14:paraId="73ED80A3" w14:textId="66C7ECDC" w:rsidR="00906D13" w:rsidRPr="00C0165A" w:rsidRDefault="00F84ED8" w:rsidP="00623169">
      <w:pPr>
        <w:spacing w:before="0" w:after="240" w:line="240" w:lineRule="auto"/>
        <w:rPr>
          <w:szCs w:val="24"/>
        </w:rPr>
      </w:pPr>
      <w:r>
        <w:rPr>
          <w:szCs w:val="24"/>
        </w:rPr>
        <w:t>Part 5, D</w:t>
      </w:r>
      <w:r w:rsidR="00906D13" w:rsidRPr="00C0165A">
        <w:rPr>
          <w:szCs w:val="24"/>
        </w:rPr>
        <w:t xml:space="preserve">ivision </w:t>
      </w:r>
      <w:r w:rsidR="0045613F">
        <w:rPr>
          <w:szCs w:val="24"/>
        </w:rPr>
        <w:t xml:space="preserve">4 </w:t>
      </w:r>
      <w:r w:rsidR="00906D13" w:rsidRPr="00C0165A">
        <w:rPr>
          <w:szCs w:val="24"/>
        </w:rPr>
        <w:t xml:space="preserve">sets out requirements </w:t>
      </w:r>
      <w:r w:rsidR="00B17D82">
        <w:rPr>
          <w:szCs w:val="24"/>
        </w:rPr>
        <w:t>for</w:t>
      </w:r>
      <w:r w:rsidR="00B17D82" w:rsidRPr="00C0165A">
        <w:rPr>
          <w:szCs w:val="24"/>
        </w:rPr>
        <w:t xml:space="preserve"> </w:t>
      </w:r>
      <w:r w:rsidR="00906D13" w:rsidRPr="00C0165A">
        <w:rPr>
          <w:szCs w:val="24"/>
        </w:rPr>
        <w:t>monitor</w:t>
      </w:r>
      <w:r w:rsidR="00B17D82">
        <w:rPr>
          <w:szCs w:val="24"/>
        </w:rPr>
        <w:t>ing</w:t>
      </w:r>
      <w:r w:rsidR="00906D13" w:rsidRPr="00C0165A">
        <w:rPr>
          <w:szCs w:val="24"/>
        </w:rPr>
        <w:t xml:space="preserve"> an</w:t>
      </w:r>
      <w:r w:rsidR="00B17D82">
        <w:rPr>
          <w:szCs w:val="24"/>
        </w:rPr>
        <w:t xml:space="preserve"> </w:t>
      </w:r>
      <w:r w:rsidR="00B17D82" w:rsidRPr="00C0165A">
        <w:rPr>
          <w:szCs w:val="24"/>
        </w:rPr>
        <w:t>eligible</w:t>
      </w:r>
      <w:r w:rsidR="00906D13" w:rsidRPr="00C0165A">
        <w:rPr>
          <w:szCs w:val="24"/>
        </w:rPr>
        <w:t xml:space="preserve"> </w:t>
      </w:r>
      <w:r w:rsidR="0045613F">
        <w:rPr>
          <w:szCs w:val="24"/>
        </w:rPr>
        <w:t>IEU</w:t>
      </w:r>
      <w:r w:rsidR="00906D13" w:rsidRPr="00C0165A">
        <w:rPr>
          <w:szCs w:val="24"/>
        </w:rPr>
        <w:t xml:space="preserve"> project. </w:t>
      </w:r>
    </w:p>
    <w:p w14:paraId="73ED80A4" w14:textId="77777777" w:rsidR="000E6EA9" w:rsidRPr="00C0165A" w:rsidRDefault="000E6EA9" w:rsidP="00007F4C">
      <w:pPr>
        <w:spacing w:line="240" w:lineRule="auto"/>
        <w:rPr>
          <w:lang w:val="en-US" w:eastAsia="en-AU"/>
        </w:rPr>
      </w:pPr>
    </w:p>
    <w:p w14:paraId="73ED80A5" w14:textId="77777777" w:rsidR="000E6EA9" w:rsidRPr="00B745A9" w:rsidRDefault="000E6EA9" w:rsidP="00623169">
      <w:pPr>
        <w:pStyle w:val="ESA4Section"/>
        <w:spacing w:before="0" w:after="120"/>
        <w:rPr>
          <w:color w:val="auto"/>
        </w:rPr>
      </w:pPr>
      <w:bookmarkStart w:id="28" w:name="_Toc413163737"/>
      <w:bookmarkEnd w:id="26"/>
      <w:bookmarkEnd w:id="27"/>
      <w:r w:rsidRPr="00B745A9">
        <w:rPr>
          <w:color w:val="auto"/>
        </w:rPr>
        <w:lastRenderedPageBreak/>
        <w:t>3</w:t>
      </w:r>
      <w:r w:rsidR="00725D48">
        <w:rPr>
          <w:color w:val="auto"/>
        </w:rPr>
        <w:t>8</w:t>
      </w:r>
      <w:r w:rsidRPr="00B745A9">
        <w:rPr>
          <w:color w:val="auto"/>
        </w:rPr>
        <w:tab/>
        <w:t xml:space="preserve">Monitoring requirements—general  </w:t>
      </w:r>
      <w:bookmarkEnd w:id="28"/>
    </w:p>
    <w:p w14:paraId="73ED80A6" w14:textId="77777777" w:rsidR="00531A92" w:rsidRPr="00C0165A" w:rsidRDefault="009E221E" w:rsidP="00623169">
      <w:pPr>
        <w:pStyle w:val="tMain"/>
        <w:spacing w:before="0" w:after="120"/>
        <w:ind w:left="0" w:firstLine="0"/>
        <w:jc w:val="left"/>
      </w:pPr>
      <w:r w:rsidRPr="00C0165A">
        <w:t xml:space="preserve">Subsection </w:t>
      </w:r>
      <w:r w:rsidR="00725D48">
        <w:t>38</w:t>
      </w:r>
      <w:r w:rsidRPr="00C0165A">
        <w:t>(</w:t>
      </w:r>
      <w:r w:rsidR="00531A92" w:rsidRPr="00C0165A">
        <w:t>1</w:t>
      </w:r>
      <w:r w:rsidRPr="00C0165A">
        <w:t xml:space="preserve">) </w:t>
      </w:r>
      <w:r w:rsidR="00657F82">
        <w:t>requires</w:t>
      </w:r>
      <w:r w:rsidR="00657F82" w:rsidRPr="00C0165A">
        <w:t xml:space="preserve"> </w:t>
      </w:r>
      <w:r w:rsidR="004F4730" w:rsidRPr="00C0165A">
        <w:t xml:space="preserve">that for each IE unit, </w:t>
      </w:r>
      <w:r w:rsidR="00531A92" w:rsidRPr="00C0165A">
        <w:t xml:space="preserve">the </w:t>
      </w:r>
      <w:r w:rsidR="00CC29DB">
        <w:t xml:space="preserve">project proponent must monitor </w:t>
      </w:r>
      <w:r w:rsidR="00531A92" w:rsidRPr="00C0165A">
        <w:t xml:space="preserve">fuel and electricity consumption within </w:t>
      </w:r>
      <w:r w:rsidR="00657F82">
        <w:t>the</w:t>
      </w:r>
      <w:r w:rsidR="00657F82" w:rsidRPr="00C0165A">
        <w:t xml:space="preserve"> </w:t>
      </w:r>
      <w:r w:rsidR="00531A92" w:rsidRPr="00C0165A">
        <w:t>energy boundary separately to other energy use at the site during the baseline period and the project measurement period.</w:t>
      </w:r>
      <w:r w:rsidR="004F4730" w:rsidRPr="00C0165A">
        <w:t xml:space="preserve"> </w:t>
      </w:r>
      <w:r w:rsidR="005A27FF" w:rsidRPr="00C0165A">
        <w:t>This requirement ensures that the energy measurements used in the abatement calculations reflect changes within the energy boundary.</w:t>
      </w:r>
    </w:p>
    <w:p w14:paraId="73ED80A7" w14:textId="77777777" w:rsidR="00A460E2" w:rsidRDefault="00522C0B" w:rsidP="00623169">
      <w:pPr>
        <w:pStyle w:val="subsection"/>
        <w:spacing w:before="0" w:after="120"/>
        <w:ind w:left="0" w:firstLine="0"/>
        <w:rPr>
          <w:szCs w:val="24"/>
        </w:rPr>
      </w:pPr>
      <w:r>
        <w:rPr>
          <w:szCs w:val="24"/>
        </w:rPr>
        <w:t xml:space="preserve">Subsection </w:t>
      </w:r>
      <w:r w:rsidR="00725D48">
        <w:rPr>
          <w:szCs w:val="24"/>
        </w:rPr>
        <w:t>38</w:t>
      </w:r>
      <w:r>
        <w:rPr>
          <w:szCs w:val="24"/>
        </w:rPr>
        <w:t>(2) requires that i</w:t>
      </w:r>
      <w:r w:rsidRPr="00522C0B">
        <w:rPr>
          <w:szCs w:val="24"/>
        </w:rPr>
        <w:t>f the IE unit includes a partly independent sub-</w:t>
      </w:r>
      <w:r>
        <w:rPr>
          <w:szCs w:val="24"/>
        </w:rPr>
        <w:t xml:space="preserve">system </w:t>
      </w:r>
      <w:r w:rsidR="000B1DC0">
        <w:rPr>
          <w:szCs w:val="24"/>
        </w:rPr>
        <w:t xml:space="preserve">then energy flows associated with </w:t>
      </w:r>
      <w:r w:rsidR="000B1DC0" w:rsidRPr="00522C0B">
        <w:rPr>
          <w:szCs w:val="24"/>
        </w:rPr>
        <w:t>the internal and external outputs of the sub-system</w:t>
      </w:r>
      <w:r w:rsidR="000B1DC0">
        <w:rPr>
          <w:szCs w:val="24"/>
        </w:rPr>
        <w:t xml:space="preserve"> </w:t>
      </w:r>
      <w:r>
        <w:rPr>
          <w:szCs w:val="24"/>
        </w:rPr>
        <w:t xml:space="preserve">(mentioned in section 12) </w:t>
      </w:r>
      <w:r w:rsidRPr="00522C0B">
        <w:rPr>
          <w:szCs w:val="24"/>
        </w:rPr>
        <w:t>must be monitored separately</w:t>
      </w:r>
      <w:r w:rsidR="001D1EF2">
        <w:rPr>
          <w:szCs w:val="24"/>
        </w:rPr>
        <w:t xml:space="preserve">, including </w:t>
      </w:r>
      <w:r w:rsidR="001D1EF2" w:rsidRPr="001D1EF2">
        <w:rPr>
          <w:szCs w:val="24"/>
        </w:rPr>
        <w:t xml:space="preserve">any lower grade energy that was created </w:t>
      </w:r>
      <w:r w:rsidR="001D1EF2">
        <w:rPr>
          <w:szCs w:val="24"/>
        </w:rPr>
        <w:t>and returned to</w:t>
      </w:r>
      <w:r w:rsidR="001D1EF2" w:rsidRPr="001D1EF2">
        <w:rPr>
          <w:szCs w:val="24"/>
        </w:rPr>
        <w:t xml:space="preserve"> the partly independent subsystem</w:t>
      </w:r>
      <w:r w:rsidRPr="00522C0B">
        <w:rPr>
          <w:szCs w:val="24"/>
        </w:rPr>
        <w:t>.</w:t>
      </w:r>
      <w:r w:rsidR="002244E7">
        <w:rPr>
          <w:szCs w:val="24"/>
        </w:rPr>
        <w:t xml:space="preserve"> This provision allows energy flows that are consumed outside the unit to be accurately measured and excluded from the boundary.</w:t>
      </w:r>
    </w:p>
    <w:p w14:paraId="73ED80A8" w14:textId="77777777" w:rsidR="00A460E2" w:rsidRDefault="00522C0B" w:rsidP="00623169">
      <w:pPr>
        <w:pStyle w:val="subsection"/>
        <w:spacing w:before="0" w:after="120"/>
        <w:ind w:left="0" w:firstLine="0"/>
        <w:rPr>
          <w:szCs w:val="24"/>
        </w:rPr>
      </w:pPr>
      <w:r>
        <w:rPr>
          <w:szCs w:val="24"/>
        </w:rPr>
        <w:t xml:space="preserve">Subsection </w:t>
      </w:r>
      <w:r w:rsidR="00725D48">
        <w:rPr>
          <w:szCs w:val="24"/>
        </w:rPr>
        <w:t>38</w:t>
      </w:r>
      <w:r>
        <w:rPr>
          <w:szCs w:val="24"/>
        </w:rPr>
        <w:t>(3) requires that i</w:t>
      </w:r>
      <w:r w:rsidRPr="00522C0B">
        <w:rPr>
          <w:szCs w:val="24"/>
        </w:rPr>
        <w:t>f any fuel or electricity drawn by the unit is transmitted fuel or electricity as mentioned in subsection 8(10), the amounts transmitted must also be monitored separately.</w:t>
      </w:r>
      <w:r w:rsidR="002244E7">
        <w:rPr>
          <w:szCs w:val="24"/>
        </w:rPr>
        <w:t xml:space="preserve"> This provision allows energy flows that are distributed through the unit boundary but not consumed by the unit to be accurately measured and excluded from the boundary.</w:t>
      </w:r>
    </w:p>
    <w:p w14:paraId="73ED80A9" w14:textId="77777777" w:rsidR="009E221E" w:rsidRPr="00C0165A" w:rsidRDefault="00531A92" w:rsidP="00623169">
      <w:pPr>
        <w:pStyle w:val="subsection"/>
        <w:spacing w:before="0" w:after="120"/>
        <w:ind w:left="0" w:firstLine="0"/>
        <w:rPr>
          <w:szCs w:val="24"/>
        </w:rPr>
      </w:pPr>
      <w:r w:rsidRPr="00C0165A">
        <w:rPr>
          <w:szCs w:val="24"/>
        </w:rPr>
        <w:t xml:space="preserve">Subsection </w:t>
      </w:r>
      <w:r w:rsidR="00725D48">
        <w:rPr>
          <w:szCs w:val="24"/>
        </w:rPr>
        <w:t>38</w:t>
      </w:r>
      <w:r w:rsidR="00500BBA">
        <w:rPr>
          <w:szCs w:val="24"/>
        </w:rPr>
        <w:t>(</w:t>
      </w:r>
      <w:r w:rsidR="00A460E2">
        <w:rPr>
          <w:szCs w:val="24"/>
        </w:rPr>
        <w:t>4</w:t>
      </w:r>
      <w:r w:rsidR="009E221E" w:rsidRPr="00C0165A">
        <w:rPr>
          <w:szCs w:val="24"/>
        </w:rPr>
        <w:t xml:space="preserve">) </w:t>
      </w:r>
      <w:r w:rsidR="00EA0B22">
        <w:rPr>
          <w:szCs w:val="24"/>
        </w:rPr>
        <w:t>sets a requirement to monitor</w:t>
      </w:r>
      <w:r w:rsidR="009E221E" w:rsidRPr="00C0165A">
        <w:rPr>
          <w:szCs w:val="24"/>
        </w:rPr>
        <w:t xml:space="preserve"> the equipment </w:t>
      </w:r>
      <w:r w:rsidR="00EA0B22">
        <w:rPr>
          <w:szCs w:val="24"/>
        </w:rPr>
        <w:t>that is used to</w:t>
      </w:r>
      <w:r w:rsidR="00EA0B22" w:rsidRPr="00C0165A">
        <w:rPr>
          <w:szCs w:val="24"/>
        </w:rPr>
        <w:t xml:space="preserve"> </w:t>
      </w:r>
      <w:r w:rsidR="009E221E" w:rsidRPr="00C0165A">
        <w:rPr>
          <w:szCs w:val="24"/>
        </w:rPr>
        <w:t xml:space="preserve">monitor </w:t>
      </w:r>
      <w:r w:rsidR="00EA0B22">
        <w:rPr>
          <w:szCs w:val="24"/>
        </w:rPr>
        <w:t xml:space="preserve">fuel and </w:t>
      </w:r>
      <w:r w:rsidR="009E221E" w:rsidRPr="00C0165A">
        <w:rPr>
          <w:szCs w:val="24"/>
        </w:rPr>
        <w:t xml:space="preserve">energy </w:t>
      </w:r>
      <w:r w:rsidR="00EA0B22">
        <w:rPr>
          <w:szCs w:val="24"/>
        </w:rPr>
        <w:t>consumption, during the relevant period.</w:t>
      </w:r>
      <w:r w:rsidR="009E221E" w:rsidRPr="00C0165A">
        <w:rPr>
          <w:szCs w:val="24"/>
        </w:rPr>
        <w:t xml:space="preserve"> </w:t>
      </w:r>
      <w:r w:rsidR="00EA0B22">
        <w:rPr>
          <w:szCs w:val="24"/>
        </w:rPr>
        <w:t xml:space="preserve">This </w:t>
      </w:r>
      <w:r w:rsidR="009E221E" w:rsidRPr="00C0165A">
        <w:rPr>
          <w:szCs w:val="24"/>
        </w:rPr>
        <w:t>includ</w:t>
      </w:r>
      <w:r w:rsidR="00EA0B22">
        <w:rPr>
          <w:szCs w:val="24"/>
        </w:rPr>
        <w:t>es monitor</w:t>
      </w:r>
      <w:r w:rsidR="009E221E" w:rsidRPr="00C0165A">
        <w:rPr>
          <w:szCs w:val="24"/>
        </w:rPr>
        <w:t>ing the verification of data</w:t>
      </w:r>
      <w:r w:rsidR="00EA0B22">
        <w:rPr>
          <w:szCs w:val="24"/>
        </w:rPr>
        <w:t xml:space="preserve"> and checking for any</w:t>
      </w:r>
      <w:r w:rsidR="009E221E" w:rsidRPr="00C0165A">
        <w:rPr>
          <w:szCs w:val="24"/>
        </w:rPr>
        <w:t xml:space="preserve"> evidence of bias or drift, and </w:t>
      </w:r>
      <w:r w:rsidR="00EA0B22">
        <w:rPr>
          <w:szCs w:val="24"/>
        </w:rPr>
        <w:t xml:space="preserve">assessing </w:t>
      </w:r>
      <w:r w:rsidR="009E221E" w:rsidRPr="00C0165A">
        <w:rPr>
          <w:szCs w:val="24"/>
        </w:rPr>
        <w:t>the integrity of any anti</w:t>
      </w:r>
      <w:r w:rsidR="009E221E" w:rsidRPr="00C0165A">
        <w:rPr>
          <w:szCs w:val="24"/>
        </w:rPr>
        <w:noBreakHyphen/>
        <w:t xml:space="preserve">tampering measures applied to the equipment. </w:t>
      </w:r>
    </w:p>
    <w:p w14:paraId="73ED80AA" w14:textId="6FA86ED4" w:rsidR="005A27FF" w:rsidRPr="00C0165A" w:rsidRDefault="005A27FF" w:rsidP="00623169">
      <w:pPr>
        <w:pStyle w:val="subsection"/>
        <w:spacing w:before="0" w:after="120"/>
        <w:ind w:left="0" w:firstLine="0"/>
        <w:rPr>
          <w:szCs w:val="24"/>
        </w:rPr>
      </w:pPr>
      <w:r w:rsidRPr="00C0165A">
        <w:rPr>
          <w:szCs w:val="24"/>
        </w:rPr>
        <w:t xml:space="preserve">Subsection </w:t>
      </w:r>
      <w:r w:rsidR="00725D48">
        <w:rPr>
          <w:szCs w:val="24"/>
        </w:rPr>
        <w:t>38</w:t>
      </w:r>
      <w:r w:rsidRPr="00C0165A">
        <w:rPr>
          <w:szCs w:val="24"/>
        </w:rPr>
        <w:t>(</w:t>
      </w:r>
      <w:r w:rsidR="00A460E2">
        <w:rPr>
          <w:szCs w:val="24"/>
        </w:rPr>
        <w:t>5</w:t>
      </w:r>
      <w:r w:rsidRPr="00C0165A">
        <w:rPr>
          <w:szCs w:val="24"/>
        </w:rPr>
        <w:t xml:space="preserve">) </w:t>
      </w:r>
      <w:r w:rsidR="008E23C7" w:rsidRPr="00C0165A">
        <w:rPr>
          <w:szCs w:val="24"/>
        </w:rPr>
        <w:t xml:space="preserve">requires </w:t>
      </w:r>
      <w:r w:rsidR="0063710A">
        <w:rPr>
          <w:szCs w:val="24"/>
        </w:rPr>
        <w:t xml:space="preserve">that </w:t>
      </w:r>
      <w:r w:rsidR="008E23C7" w:rsidRPr="00C0165A">
        <w:rPr>
          <w:szCs w:val="24"/>
        </w:rPr>
        <w:t xml:space="preserve">the measurements of electricity consumption reflect the </w:t>
      </w:r>
      <w:r w:rsidR="0062582F">
        <w:rPr>
          <w:szCs w:val="24"/>
        </w:rPr>
        <w:t>active energy</w:t>
      </w:r>
      <w:r w:rsidR="008E23C7" w:rsidRPr="00C0165A">
        <w:rPr>
          <w:szCs w:val="24"/>
        </w:rPr>
        <w:t xml:space="preserve"> consumption</w:t>
      </w:r>
      <w:r w:rsidR="00EA0B22">
        <w:rPr>
          <w:szCs w:val="24"/>
        </w:rPr>
        <w:t xml:space="preserve"> (</w:t>
      </w:r>
      <w:r w:rsidR="00EA0B22" w:rsidRPr="00C0165A">
        <w:rPr>
          <w:szCs w:val="24"/>
        </w:rPr>
        <w:t xml:space="preserve">also referred to as </w:t>
      </w:r>
      <w:r w:rsidR="0062582F">
        <w:rPr>
          <w:szCs w:val="24"/>
        </w:rPr>
        <w:t>the real power consumption</w:t>
      </w:r>
      <w:r w:rsidR="00EA0B22">
        <w:rPr>
          <w:szCs w:val="24"/>
        </w:rPr>
        <w:t xml:space="preserve">). </w:t>
      </w:r>
      <w:r w:rsidR="002F6BF2" w:rsidRPr="002F6BF2">
        <w:t xml:space="preserve"> </w:t>
      </w:r>
      <w:r w:rsidR="002F6BF2" w:rsidRPr="002F6BF2">
        <w:rPr>
          <w:szCs w:val="24"/>
        </w:rPr>
        <w:t xml:space="preserve">Active energy consumption measures ‘real’ power by integrating active power with respect to time. </w:t>
      </w:r>
      <w:r w:rsidR="0062582F">
        <w:rPr>
          <w:szCs w:val="24"/>
        </w:rPr>
        <w:t xml:space="preserve">The active component of electric power is what powers </w:t>
      </w:r>
      <w:r w:rsidR="002C1296">
        <w:rPr>
          <w:szCs w:val="24"/>
        </w:rPr>
        <w:t xml:space="preserve">equipment such as </w:t>
      </w:r>
      <w:r w:rsidR="0062582F">
        <w:rPr>
          <w:szCs w:val="24"/>
        </w:rPr>
        <w:t>moto</w:t>
      </w:r>
      <w:r w:rsidR="002C1296">
        <w:rPr>
          <w:szCs w:val="24"/>
        </w:rPr>
        <w:t>rs.</w:t>
      </w:r>
      <w:r w:rsidR="002C1296">
        <w:rPr>
          <w:color w:val="0070C0"/>
          <w:szCs w:val="24"/>
        </w:rPr>
        <w:t xml:space="preserve"> </w:t>
      </w:r>
      <w:r w:rsidR="00066AA7" w:rsidRPr="00C0165A">
        <w:t xml:space="preserve">This requirement is consistent with the IPMVP (International protocol for measurement and verification of performance), which requires that the </w:t>
      </w:r>
      <w:r w:rsidR="002C1296">
        <w:t>real</w:t>
      </w:r>
      <w:r w:rsidR="002C1296" w:rsidRPr="00C0165A">
        <w:t xml:space="preserve"> </w:t>
      </w:r>
      <w:r w:rsidR="00066AA7" w:rsidRPr="00C0165A">
        <w:t xml:space="preserve">power </w:t>
      </w:r>
      <w:r w:rsidR="002C1296">
        <w:t xml:space="preserve">consumption </w:t>
      </w:r>
      <w:r w:rsidR="00066AA7" w:rsidRPr="00C0165A">
        <w:t xml:space="preserve">be measured rather than estimated. </w:t>
      </w:r>
      <w:r w:rsidR="008E23C7" w:rsidRPr="00C0165A">
        <w:rPr>
          <w:szCs w:val="24"/>
        </w:rPr>
        <w:t xml:space="preserve">This is </w:t>
      </w:r>
      <w:r w:rsidR="00066AA7" w:rsidRPr="00C0165A">
        <w:rPr>
          <w:szCs w:val="24"/>
        </w:rPr>
        <w:t>because p</w:t>
      </w:r>
      <w:r w:rsidR="008163B7" w:rsidRPr="00C0165A">
        <w:rPr>
          <w:szCs w:val="24"/>
        </w:rPr>
        <w:t xml:space="preserve">ower factor can vary </w:t>
      </w:r>
      <w:r w:rsidR="00066AA7" w:rsidRPr="00C0165A">
        <w:rPr>
          <w:szCs w:val="24"/>
        </w:rPr>
        <w:t xml:space="preserve">in the order of 10-15 per cent </w:t>
      </w:r>
      <w:r w:rsidR="008163B7" w:rsidRPr="00C0165A">
        <w:rPr>
          <w:szCs w:val="24"/>
        </w:rPr>
        <w:t xml:space="preserve">due to the </w:t>
      </w:r>
      <w:r w:rsidR="00066AA7" w:rsidRPr="00C0165A">
        <w:rPr>
          <w:szCs w:val="24"/>
        </w:rPr>
        <w:t xml:space="preserve">changes in the </w:t>
      </w:r>
      <w:r w:rsidR="008163B7" w:rsidRPr="00C0165A">
        <w:rPr>
          <w:szCs w:val="24"/>
        </w:rPr>
        <w:t xml:space="preserve">balance between resistive, inductive and </w:t>
      </w:r>
      <w:r w:rsidR="00872217" w:rsidRPr="00C0165A">
        <w:rPr>
          <w:szCs w:val="24"/>
        </w:rPr>
        <w:t>capacit</w:t>
      </w:r>
      <w:r w:rsidR="00742E28">
        <w:rPr>
          <w:szCs w:val="24"/>
        </w:rPr>
        <w:t>at</w:t>
      </w:r>
      <w:r w:rsidR="00872217" w:rsidRPr="00C0165A">
        <w:rPr>
          <w:szCs w:val="24"/>
        </w:rPr>
        <w:t>ive</w:t>
      </w:r>
      <w:r w:rsidR="008163B7" w:rsidRPr="00C0165A">
        <w:rPr>
          <w:szCs w:val="24"/>
        </w:rPr>
        <w:t xml:space="preserve"> lo</w:t>
      </w:r>
      <w:r w:rsidR="00066AA7" w:rsidRPr="00C0165A">
        <w:rPr>
          <w:szCs w:val="24"/>
        </w:rPr>
        <w:t xml:space="preserve">ads on the circuit over time, or if power factor correction is installed. </w:t>
      </w:r>
    </w:p>
    <w:p w14:paraId="73ED80AB" w14:textId="77777777" w:rsidR="00A6728E" w:rsidRPr="00C0165A" w:rsidRDefault="00C248F0" w:rsidP="00623169">
      <w:pPr>
        <w:pStyle w:val="subsection"/>
        <w:spacing w:before="0" w:after="120"/>
        <w:ind w:left="0" w:firstLine="0"/>
        <w:rPr>
          <w:szCs w:val="24"/>
        </w:rPr>
      </w:pPr>
      <w:r w:rsidRPr="00C0165A">
        <w:rPr>
          <w:szCs w:val="24"/>
        </w:rPr>
        <w:t xml:space="preserve">Subsection </w:t>
      </w:r>
      <w:r w:rsidR="00725D48">
        <w:rPr>
          <w:szCs w:val="24"/>
        </w:rPr>
        <w:t>38</w:t>
      </w:r>
      <w:r w:rsidRPr="00C0165A">
        <w:rPr>
          <w:szCs w:val="24"/>
        </w:rPr>
        <w:t>(</w:t>
      </w:r>
      <w:r w:rsidR="00522C0B">
        <w:rPr>
          <w:szCs w:val="24"/>
        </w:rPr>
        <w:t>6</w:t>
      </w:r>
      <w:r w:rsidRPr="00C0165A">
        <w:rPr>
          <w:szCs w:val="24"/>
        </w:rPr>
        <w:t xml:space="preserve">) </w:t>
      </w:r>
      <w:r w:rsidR="00A6728E" w:rsidRPr="00C0165A">
        <w:rPr>
          <w:szCs w:val="24"/>
        </w:rPr>
        <w:t>provides that the quantit</w:t>
      </w:r>
      <w:r w:rsidR="0063710A">
        <w:rPr>
          <w:szCs w:val="24"/>
        </w:rPr>
        <w:t>ies</w:t>
      </w:r>
      <w:r w:rsidR="00A6728E" w:rsidRPr="00C0165A">
        <w:rPr>
          <w:szCs w:val="24"/>
        </w:rPr>
        <w:t xml:space="preserve"> of electricity consumed and fuel combusted must be measured</w:t>
      </w:r>
      <w:r w:rsidR="00A6728E" w:rsidRPr="00C0165A">
        <w:rPr>
          <w:szCs w:val="24"/>
          <w:vertAlign w:val="subscript"/>
        </w:rPr>
        <w:t xml:space="preserve"> </w:t>
      </w:r>
      <w:r w:rsidR="00A6728E" w:rsidRPr="00C0165A">
        <w:rPr>
          <w:szCs w:val="24"/>
        </w:rPr>
        <w:t xml:space="preserve">using an approach that is consistent with the </w:t>
      </w:r>
      <w:r w:rsidR="00A6728E" w:rsidRPr="00D15143">
        <w:rPr>
          <w:szCs w:val="24"/>
        </w:rPr>
        <w:t>NGER (Measurement) Determination</w:t>
      </w:r>
      <w:r w:rsidR="00707660">
        <w:rPr>
          <w:szCs w:val="24"/>
        </w:rPr>
        <w:t xml:space="preserve"> </w:t>
      </w:r>
      <w:r w:rsidR="00627618">
        <w:rPr>
          <w:szCs w:val="24"/>
        </w:rPr>
        <w:t>or</w:t>
      </w:r>
      <w:r w:rsidR="00A6728E" w:rsidRPr="00C0165A">
        <w:rPr>
          <w:szCs w:val="24"/>
        </w:rPr>
        <w:t xml:space="preserve"> the </w:t>
      </w:r>
      <w:r w:rsidR="00A6728E" w:rsidRPr="00627618">
        <w:rPr>
          <w:b/>
          <w:i/>
          <w:szCs w:val="24"/>
        </w:rPr>
        <w:t>National Measurement Act 1960</w:t>
      </w:r>
      <w:r w:rsidR="00A6728E" w:rsidRPr="00C0165A">
        <w:rPr>
          <w:szCs w:val="24"/>
        </w:rPr>
        <w:t>. If th</w:t>
      </w:r>
      <w:r w:rsidR="0063710A">
        <w:rPr>
          <w:szCs w:val="24"/>
        </w:rPr>
        <w:t>is is</w:t>
      </w:r>
      <w:r w:rsidR="00A6728E" w:rsidRPr="00C0165A">
        <w:rPr>
          <w:szCs w:val="24"/>
        </w:rPr>
        <w:t xml:space="preserve"> not practicable, proponents may use an approach consistent with relevant Australian, international or industry standards. </w:t>
      </w:r>
    </w:p>
    <w:p w14:paraId="73ED80AC" w14:textId="77777777" w:rsidR="00A6728E" w:rsidRPr="00C0165A" w:rsidRDefault="00A6728E" w:rsidP="00623169">
      <w:pPr>
        <w:pStyle w:val="subsection"/>
        <w:spacing w:before="0" w:after="120"/>
        <w:ind w:left="0" w:firstLine="0"/>
        <w:rPr>
          <w:szCs w:val="24"/>
        </w:rPr>
      </w:pPr>
      <w:r w:rsidRPr="00C0165A">
        <w:rPr>
          <w:szCs w:val="24"/>
        </w:rPr>
        <w:t xml:space="preserve">Subsection </w:t>
      </w:r>
      <w:r w:rsidR="00725D48">
        <w:rPr>
          <w:szCs w:val="24"/>
        </w:rPr>
        <w:t>38</w:t>
      </w:r>
      <w:r w:rsidRPr="00C0165A">
        <w:rPr>
          <w:szCs w:val="24"/>
        </w:rPr>
        <w:t>(</w:t>
      </w:r>
      <w:r w:rsidR="00522C0B">
        <w:rPr>
          <w:szCs w:val="24"/>
        </w:rPr>
        <w:t>7</w:t>
      </w:r>
      <w:r w:rsidRPr="00C0165A">
        <w:rPr>
          <w:szCs w:val="24"/>
        </w:rPr>
        <w:t xml:space="preserve">) provides that if a parameter is measured in accordance with industry practice, the same practice must be used consistently </w:t>
      </w:r>
      <w:r w:rsidR="0063710A">
        <w:rPr>
          <w:szCs w:val="24"/>
        </w:rPr>
        <w:t xml:space="preserve">in all future periods </w:t>
      </w:r>
      <w:r w:rsidRPr="00C0165A">
        <w:rPr>
          <w:szCs w:val="24"/>
        </w:rPr>
        <w:t>to</w:t>
      </w:r>
      <w:r w:rsidRPr="00C0165A">
        <w:t xml:space="preserve"> </w:t>
      </w:r>
      <w:r w:rsidRPr="00C0165A">
        <w:rPr>
          <w:szCs w:val="24"/>
        </w:rPr>
        <w:t>prevent alterations from changing the abatement amount.</w:t>
      </w:r>
      <w:r w:rsidR="00E5615E">
        <w:rPr>
          <w:szCs w:val="24"/>
        </w:rPr>
        <w:t xml:space="preserve"> </w:t>
      </w:r>
    </w:p>
    <w:p w14:paraId="73ED80AD" w14:textId="77777777" w:rsidR="00A6728E" w:rsidRDefault="00A6728E" w:rsidP="00623169">
      <w:pPr>
        <w:pStyle w:val="subsection"/>
        <w:spacing w:before="0" w:after="240"/>
        <w:ind w:left="0" w:firstLine="0"/>
        <w:rPr>
          <w:szCs w:val="24"/>
        </w:rPr>
      </w:pPr>
      <w:r w:rsidRPr="00C0165A">
        <w:rPr>
          <w:szCs w:val="24"/>
        </w:rPr>
        <w:t xml:space="preserve">Subsection </w:t>
      </w:r>
      <w:r w:rsidR="00725D48">
        <w:rPr>
          <w:szCs w:val="24"/>
        </w:rPr>
        <w:t>38</w:t>
      </w:r>
      <w:r w:rsidRPr="00C0165A">
        <w:rPr>
          <w:szCs w:val="24"/>
        </w:rPr>
        <w:t>(</w:t>
      </w:r>
      <w:r w:rsidR="00522C0B">
        <w:rPr>
          <w:szCs w:val="24"/>
        </w:rPr>
        <w:t>8</w:t>
      </w:r>
      <w:r w:rsidRPr="00C0165A">
        <w:rPr>
          <w:szCs w:val="24"/>
        </w:rPr>
        <w:t xml:space="preserve">) </w:t>
      </w:r>
      <w:r w:rsidR="0045613F">
        <w:rPr>
          <w:szCs w:val="24"/>
        </w:rPr>
        <w:t>allows</w:t>
      </w:r>
      <w:r w:rsidRPr="00C0165A">
        <w:rPr>
          <w:szCs w:val="24"/>
        </w:rPr>
        <w:t xml:space="preserve"> the project proponent </w:t>
      </w:r>
      <w:r w:rsidR="0045613F">
        <w:rPr>
          <w:szCs w:val="24"/>
        </w:rPr>
        <w:t>to</w:t>
      </w:r>
      <w:r w:rsidR="0045613F" w:rsidRPr="00C0165A">
        <w:rPr>
          <w:szCs w:val="24"/>
        </w:rPr>
        <w:t xml:space="preserve"> </w:t>
      </w:r>
      <w:r w:rsidR="0045613F">
        <w:rPr>
          <w:szCs w:val="24"/>
        </w:rPr>
        <w:t xml:space="preserve">take </w:t>
      </w:r>
      <w:r w:rsidRPr="00C0165A">
        <w:rPr>
          <w:szCs w:val="24"/>
        </w:rPr>
        <w:t>measure</w:t>
      </w:r>
      <w:r w:rsidR="0045613F">
        <w:rPr>
          <w:szCs w:val="24"/>
        </w:rPr>
        <w:t>ments</w:t>
      </w:r>
      <w:r w:rsidRPr="00C0165A">
        <w:rPr>
          <w:szCs w:val="24"/>
        </w:rPr>
        <w:t xml:space="preserve"> directly or </w:t>
      </w:r>
      <w:r w:rsidR="0063710A">
        <w:rPr>
          <w:szCs w:val="24"/>
        </w:rPr>
        <w:t>to use</w:t>
      </w:r>
      <w:r w:rsidRPr="00C0165A">
        <w:rPr>
          <w:szCs w:val="24"/>
        </w:rPr>
        <w:t xml:space="preserve"> a proxy method that enables the value of the parameter to be reliably calculated. </w:t>
      </w:r>
      <w:r w:rsidR="002244E7">
        <w:rPr>
          <w:szCs w:val="24"/>
        </w:rPr>
        <w:t xml:space="preserve">Subsection </w:t>
      </w:r>
      <w:r w:rsidR="00725D48">
        <w:rPr>
          <w:szCs w:val="24"/>
        </w:rPr>
        <w:t>38</w:t>
      </w:r>
      <w:r w:rsidR="002244E7">
        <w:rPr>
          <w:szCs w:val="24"/>
        </w:rPr>
        <w:t xml:space="preserve">(9) sets out that </w:t>
      </w:r>
      <w:r w:rsidRPr="00C0165A">
        <w:rPr>
          <w:szCs w:val="24"/>
        </w:rPr>
        <w:t>proxy method</w:t>
      </w:r>
      <w:r w:rsidR="002244E7">
        <w:rPr>
          <w:szCs w:val="24"/>
        </w:rPr>
        <w:t>s may include</w:t>
      </w:r>
      <w:r w:rsidRPr="00C0165A">
        <w:rPr>
          <w:szCs w:val="24"/>
        </w:rPr>
        <w:t xml:space="preserve"> measuring the temperature and pressure of </w:t>
      </w:r>
      <w:r w:rsidR="002244E7">
        <w:rPr>
          <w:szCs w:val="24"/>
        </w:rPr>
        <w:t>fluid</w:t>
      </w:r>
      <w:r w:rsidR="002244E7" w:rsidRPr="00C0165A">
        <w:rPr>
          <w:szCs w:val="24"/>
        </w:rPr>
        <w:t xml:space="preserve"> </w:t>
      </w:r>
      <w:r w:rsidRPr="00C0165A">
        <w:rPr>
          <w:szCs w:val="24"/>
        </w:rPr>
        <w:t>flow</w:t>
      </w:r>
      <w:r w:rsidR="002244E7">
        <w:rPr>
          <w:szCs w:val="24"/>
        </w:rPr>
        <w:t>s</w:t>
      </w:r>
      <w:r w:rsidRPr="00C0165A">
        <w:rPr>
          <w:szCs w:val="24"/>
        </w:rPr>
        <w:t xml:space="preserve"> to calculate energy flow using the flow rate and tabulated enthalpy (energy content) values for </w:t>
      </w:r>
      <w:r w:rsidR="002244E7">
        <w:rPr>
          <w:szCs w:val="24"/>
        </w:rPr>
        <w:t>the fluid</w:t>
      </w:r>
      <w:r w:rsidR="002244E7" w:rsidRPr="00C0165A">
        <w:rPr>
          <w:szCs w:val="24"/>
        </w:rPr>
        <w:t xml:space="preserve"> </w:t>
      </w:r>
      <w:r w:rsidRPr="00C0165A">
        <w:rPr>
          <w:szCs w:val="24"/>
        </w:rPr>
        <w:t xml:space="preserve">at these temperatures and pressures. </w:t>
      </w:r>
      <w:r w:rsidR="002244E7">
        <w:rPr>
          <w:szCs w:val="24"/>
        </w:rPr>
        <w:t xml:space="preserve">Subsection </w:t>
      </w:r>
      <w:r w:rsidR="00725D48">
        <w:rPr>
          <w:szCs w:val="24"/>
        </w:rPr>
        <w:t>38</w:t>
      </w:r>
      <w:r w:rsidR="002244E7">
        <w:rPr>
          <w:szCs w:val="24"/>
        </w:rPr>
        <w:t>(10) sets out that o</w:t>
      </w:r>
      <w:r w:rsidR="002244E7" w:rsidRPr="00C0165A">
        <w:rPr>
          <w:szCs w:val="24"/>
        </w:rPr>
        <w:t xml:space="preserve">nce </w:t>
      </w:r>
      <w:r w:rsidRPr="00C0165A">
        <w:rPr>
          <w:szCs w:val="24"/>
        </w:rPr>
        <w:t>a proxy value or method is chosen it must be used consistently.</w:t>
      </w:r>
    </w:p>
    <w:p w14:paraId="73ED80AE" w14:textId="77777777" w:rsidR="000A708E" w:rsidRPr="00C0165A" w:rsidRDefault="000A708E" w:rsidP="00A6728E">
      <w:pPr>
        <w:pStyle w:val="subsection"/>
        <w:ind w:left="0" w:firstLine="0"/>
        <w:rPr>
          <w:szCs w:val="24"/>
        </w:rPr>
      </w:pPr>
    </w:p>
    <w:p w14:paraId="73ED80AF" w14:textId="77777777" w:rsidR="000E6EA9" w:rsidRPr="00C0165A" w:rsidRDefault="00725D48" w:rsidP="00623169">
      <w:pPr>
        <w:pStyle w:val="ESA4Section"/>
        <w:spacing w:before="0" w:after="120"/>
        <w:rPr>
          <w:color w:val="auto"/>
        </w:rPr>
      </w:pPr>
      <w:r>
        <w:rPr>
          <w:color w:val="auto"/>
        </w:rPr>
        <w:lastRenderedPageBreak/>
        <w:t>39</w:t>
      </w:r>
      <w:r w:rsidR="000E6EA9" w:rsidRPr="00C0165A">
        <w:rPr>
          <w:color w:val="auto"/>
        </w:rPr>
        <w:tab/>
        <w:t>Monitoring requirements— government supported renewable energy</w:t>
      </w:r>
    </w:p>
    <w:p w14:paraId="73ED80B0" w14:textId="77777777" w:rsidR="004B49FE" w:rsidRPr="00C0165A" w:rsidRDefault="004B49FE" w:rsidP="00623169">
      <w:pPr>
        <w:spacing w:before="0" w:after="120" w:line="240" w:lineRule="auto"/>
        <w:rPr>
          <w:rFonts w:eastAsia="Times New Roman"/>
          <w:szCs w:val="24"/>
          <w:lang w:val="en-US" w:eastAsia="en-AU"/>
        </w:rPr>
      </w:pPr>
      <w:r w:rsidRPr="00C0165A">
        <w:rPr>
          <w:rFonts w:eastAsia="Times New Roman"/>
          <w:szCs w:val="24"/>
          <w:lang w:eastAsia="en-AU"/>
        </w:rPr>
        <w:t xml:space="preserve">Section </w:t>
      </w:r>
      <w:r w:rsidR="00725D48">
        <w:rPr>
          <w:rFonts w:eastAsia="Times New Roman"/>
          <w:szCs w:val="24"/>
          <w:lang w:eastAsia="en-AU"/>
        </w:rPr>
        <w:t>39</w:t>
      </w:r>
      <w:r w:rsidR="004779C3">
        <w:rPr>
          <w:rFonts w:eastAsia="Times New Roman"/>
          <w:szCs w:val="24"/>
          <w:lang w:eastAsia="en-AU"/>
        </w:rPr>
        <w:t xml:space="preserve"> </w:t>
      </w:r>
      <w:r w:rsidRPr="00C0165A">
        <w:rPr>
          <w:rFonts w:eastAsia="Times New Roman"/>
          <w:szCs w:val="24"/>
          <w:lang w:eastAsia="en-AU"/>
        </w:rPr>
        <w:t>sets out the monitoring requirement</w:t>
      </w:r>
      <w:r w:rsidR="00C9778C">
        <w:rPr>
          <w:rFonts w:eastAsia="Times New Roman"/>
          <w:szCs w:val="24"/>
          <w:lang w:eastAsia="en-AU"/>
        </w:rPr>
        <w:t>s</w:t>
      </w:r>
      <w:r w:rsidRPr="00C0165A">
        <w:rPr>
          <w:rFonts w:eastAsia="Times New Roman"/>
          <w:szCs w:val="24"/>
          <w:lang w:eastAsia="en-AU"/>
        </w:rPr>
        <w:t xml:space="preserve"> that need to be followed if a proponent chooses to directly monitor </w:t>
      </w:r>
      <w:r w:rsidR="00FD410E" w:rsidRPr="00514A6A">
        <w:t>government supported renewable energy</w:t>
      </w:r>
      <w:r w:rsidRPr="00C0165A">
        <w:rPr>
          <w:rFonts w:eastAsia="Times New Roman"/>
          <w:szCs w:val="24"/>
          <w:lang w:eastAsia="en-AU"/>
        </w:rPr>
        <w:t xml:space="preserve"> at a site. The quantity must be monitored in kilowatt hours (annually or more frequently) in one of two ways: </w:t>
      </w:r>
    </w:p>
    <w:p w14:paraId="73ED80B1" w14:textId="0D42CC7F" w:rsidR="004B49FE" w:rsidRPr="00652273" w:rsidRDefault="00111D51" w:rsidP="00623169">
      <w:pPr>
        <w:numPr>
          <w:ilvl w:val="0"/>
          <w:numId w:val="8"/>
        </w:numPr>
        <w:spacing w:before="0" w:after="120"/>
        <w:ind w:left="714" w:hanging="357"/>
        <w:rPr>
          <w:rFonts w:eastAsia="Times New Roman"/>
          <w:szCs w:val="24"/>
          <w:lang w:eastAsia="en-AU"/>
        </w:rPr>
      </w:pPr>
      <w:r>
        <w:rPr>
          <w:rFonts w:eastAsia="Times New Roman"/>
          <w:szCs w:val="24"/>
          <w:lang w:eastAsia="en-AU"/>
        </w:rPr>
        <w:t>U</w:t>
      </w:r>
      <w:r w:rsidR="004B49FE" w:rsidRPr="00C0165A">
        <w:rPr>
          <w:rFonts w:eastAsia="Times New Roman"/>
          <w:szCs w:val="24"/>
          <w:lang w:eastAsia="en-AU"/>
        </w:rPr>
        <w:t xml:space="preserve">sing a meter to monitor onsite electricity generation, in accordance with the relevant electricity metering requirements of the National Measurement Institute (see </w:t>
      </w:r>
      <w:r w:rsidR="004B49FE" w:rsidRPr="00C0165A">
        <w:rPr>
          <w:rFonts w:eastAsia="Times New Roman"/>
          <w:i/>
          <w:iCs/>
          <w:szCs w:val="24"/>
          <w:lang w:eastAsia="en-AU"/>
        </w:rPr>
        <w:t>NMI M 6 Electricity Meters</w:t>
      </w:r>
      <w:r w:rsidR="004B49FE" w:rsidRPr="00C0165A">
        <w:rPr>
          <w:rFonts w:eastAsia="Times New Roman"/>
          <w:szCs w:val="24"/>
          <w:lang w:eastAsia="en-AU"/>
        </w:rPr>
        <w:t>)</w:t>
      </w:r>
      <w:r w:rsidR="004B49FE" w:rsidRPr="00652273">
        <w:rPr>
          <w:rFonts w:eastAsia="Times New Roman"/>
          <w:szCs w:val="24"/>
          <w:lang w:eastAsia="en-AU"/>
        </w:rPr>
        <w:t>.</w:t>
      </w:r>
      <w:r w:rsidR="00652273" w:rsidRPr="00652273">
        <w:rPr>
          <w:rFonts w:eastAsia="Times New Roman"/>
          <w:szCs w:val="24"/>
          <w:lang w:eastAsia="en-AU"/>
        </w:rPr>
        <w:t xml:space="preserve"> </w:t>
      </w:r>
      <w:r w:rsidR="00006800">
        <w:rPr>
          <w:rFonts w:eastAsia="Times New Roman"/>
          <w:szCs w:val="24"/>
          <w:lang w:eastAsia="en-AU"/>
        </w:rPr>
        <w:t xml:space="preserve">A reference to this document in the Determination is a reference to the document in force or existing from time to time. </w:t>
      </w:r>
      <w:r w:rsidR="00652273" w:rsidRPr="00652273">
        <w:rPr>
          <w:rFonts w:eastAsia="Times New Roman"/>
          <w:szCs w:val="24"/>
          <w:lang w:eastAsia="en-AU"/>
        </w:rPr>
        <w:t xml:space="preserve">The latest version </w:t>
      </w:r>
      <w:r w:rsidR="00006800">
        <w:rPr>
          <w:rFonts w:eastAsia="Times New Roman"/>
          <w:szCs w:val="24"/>
          <w:lang w:eastAsia="en-AU"/>
        </w:rPr>
        <w:t>is available</w:t>
      </w:r>
      <w:r w:rsidR="00437ABC">
        <w:rPr>
          <w:rFonts w:eastAsia="Times New Roman"/>
          <w:szCs w:val="24"/>
          <w:lang w:eastAsia="en-AU"/>
        </w:rPr>
        <w:t xml:space="preserve"> at </w:t>
      </w:r>
      <w:hyperlink r:id="rId20" w:history="1">
        <w:r w:rsidR="00437ABC" w:rsidRPr="00437ABC">
          <w:rPr>
            <w:rFonts w:eastAsia="Times New Roman"/>
            <w:szCs w:val="24"/>
            <w:u w:val="single"/>
            <w:lang w:eastAsia="en-AU"/>
          </w:rPr>
          <w:t>http://www.measurement.gov.au</w:t>
        </w:r>
      </w:hyperlink>
      <w:r w:rsidR="00652273" w:rsidRPr="00652273">
        <w:rPr>
          <w:rFonts w:eastAsia="Times New Roman"/>
          <w:szCs w:val="24"/>
          <w:lang w:eastAsia="en-AU"/>
        </w:rPr>
        <w:t>.</w:t>
      </w:r>
    </w:p>
    <w:p w14:paraId="73ED80B2" w14:textId="77777777" w:rsidR="004B49FE" w:rsidRPr="00C0165A" w:rsidRDefault="00111D51" w:rsidP="00623169">
      <w:pPr>
        <w:numPr>
          <w:ilvl w:val="0"/>
          <w:numId w:val="8"/>
        </w:numPr>
        <w:spacing w:before="0" w:after="120"/>
        <w:ind w:left="714" w:hanging="357"/>
        <w:rPr>
          <w:rFonts w:ascii="Helvetica Neue" w:eastAsia="Times New Roman" w:hAnsi="Helvetica Neue"/>
          <w:sz w:val="19"/>
          <w:szCs w:val="19"/>
          <w:lang w:val="en-US" w:eastAsia="en-AU"/>
        </w:rPr>
      </w:pPr>
      <w:r>
        <w:rPr>
          <w:rFonts w:eastAsia="Times New Roman"/>
          <w:szCs w:val="24"/>
          <w:lang w:eastAsia="en-AU"/>
        </w:rPr>
        <w:t>U</w:t>
      </w:r>
      <w:r w:rsidR="004B49FE" w:rsidRPr="00C0165A">
        <w:rPr>
          <w:rFonts w:eastAsia="Times New Roman"/>
          <w:szCs w:val="24"/>
          <w:lang w:eastAsia="en-AU"/>
        </w:rPr>
        <w:t xml:space="preserve">sing an inverter to monitor onsite electricity generation, </w:t>
      </w:r>
      <w:r>
        <w:rPr>
          <w:rFonts w:eastAsia="Times New Roman"/>
          <w:szCs w:val="24"/>
          <w:lang w:eastAsia="en-AU"/>
        </w:rPr>
        <w:t>in accordance with</w:t>
      </w:r>
      <w:r w:rsidR="004B49FE" w:rsidRPr="00C0165A">
        <w:rPr>
          <w:rFonts w:eastAsia="Times New Roman"/>
          <w:szCs w:val="24"/>
          <w:lang w:eastAsia="en-AU"/>
        </w:rPr>
        <w:t xml:space="preserve"> the requirements of Australian Standard AS 4777 or </w:t>
      </w:r>
      <w:r w:rsidR="00C84EF7">
        <w:rPr>
          <w:rFonts w:eastAsia="Times New Roman"/>
          <w:szCs w:val="24"/>
          <w:lang w:eastAsia="en-AU"/>
        </w:rPr>
        <w:t>inclusion</w:t>
      </w:r>
      <w:r w:rsidR="00C84EF7" w:rsidRPr="00C0165A">
        <w:rPr>
          <w:rFonts w:eastAsia="Times New Roman"/>
          <w:szCs w:val="24"/>
          <w:lang w:eastAsia="en-AU"/>
        </w:rPr>
        <w:t xml:space="preserve"> on</w:t>
      </w:r>
      <w:r w:rsidR="004B49FE" w:rsidRPr="00C0165A">
        <w:rPr>
          <w:rFonts w:eastAsia="Times New Roman"/>
          <w:szCs w:val="24"/>
          <w:lang w:eastAsia="en-AU"/>
        </w:rPr>
        <w:t xml:space="preserve"> the list of approved inverters that is maintained by the Clean Energy Council (at </w:t>
      </w:r>
      <w:hyperlink r:id="rId21" w:history="1">
        <w:r w:rsidR="004B49FE" w:rsidRPr="00C0165A">
          <w:rPr>
            <w:rFonts w:eastAsia="Times New Roman"/>
            <w:szCs w:val="24"/>
            <w:u w:val="single"/>
            <w:lang w:eastAsia="en-AU"/>
          </w:rPr>
          <w:t>www.solaraccreditation.com.au</w:t>
        </w:r>
      </w:hyperlink>
      <w:r w:rsidR="004B49FE" w:rsidRPr="00C0165A">
        <w:rPr>
          <w:rFonts w:eastAsia="Times New Roman"/>
          <w:szCs w:val="24"/>
          <w:lang w:eastAsia="en-AU"/>
        </w:rPr>
        <w:t>).</w:t>
      </w:r>
      <w:r w:rsidR="004B49FE" w:rsidRPr="00C0165A">
        <w:rPr>
          <w:rFonts w:ascii="Helvetica Neue" w:eastAsia="Times New Roman" w:hAnsi="Helvetica Neue"/>
          <w:sz w:val="19"/>
          <w:szCs w:val="19"/>
          <w:lang w:val="en-US" w:eastAsia="en-AU"/>
        </w:rPr>
        <w:t xml:space="preserve"> </w:t>
      </w:r>
    </w:p>
    <w:p w14:paraId="73ED80B3" w14:textId="0B82DB6A" w:rsidR="000E6EA9" w:rsidRPr="00C0165A" w:rsidRDefault="004B49FE" w:rsidP="00623169">
      <w:pPr>
        <w:spacing w:before="0" w:after="240" w:line="240" w:lineRule="auto"/>
        <w:rPr>
          <w:rFonts w:eastAsia="Times New Roman"/>
          <w:szCs w:val="24"/>
          <w:lang w:val="en-US" w:eastAsia="en-AU"/>
        </w:rPr>
      </w:pPr>
      <w:r w:rsidRPr="000044EF">
        <w:rPr>
          <w:rFonts w:eastAsia="Times New Roman"/>
          <w:szCs w:val="24"/>
          <w:lang w:eastAsia="en-AU"/>
        </w:rPr>
        <w:t xml:space="preserve">An alternative method to determine data for subsidised renewable electricity at a site is set out in </w:t>
      </w:r>
      <w:r w:rsidR="00906D13" w:rsidRPr="000044EF">
        <w:rPr>
          <w:rFonts w:eastAsia="Times New Roman"/>
          <w:szCs w:val="24"/>
          <w:lang w:eastAsia="en-AU"/>
        </w:rPr>
        <w:t>sub</w:t>
      </w:r>
      <w:r w:rsidRPr="000044EF">
        <w:rPr>
          <w:rFonts w:eastAsia="Times New Roman"/>
          <w:szCs w:val="24"/>
          <w:lang w:eastAsia="en-AU"/>
        </w:rPr>
        <w:t>paragraph 2</w:t>
      </w:r>
      <w:r w:rsidR="00FD410E" w:rsidRPr="000044EF">
        <w:rPr>
          <w:rFonts w:eastAsia="Times New Roman"/>
          <w:szCs w:val="24"/>
          <w:lang w:eastAsia="en-AU"/>
        </w:rPr>
        <w:t>0</w:t>
      </w:r>
      <w:r w:rsidRPr="000044EF">
        <w:rPr>
          <w:rFonts w:eastAsia="Times New Roman"/>
          <w:szCs w:val="24"/>
          <w:lang w:eastAsia="en-AU"/>
        </w:rPr>
        <w:t>(</w:t>
      </w:r>
      <w:r w:rsidR="00FD410E" w:rsidRPr="000044EF">
        <w:rPr>
          <w:rFonts w:eastAsia="Times New Roman"/>
          <w:szCs w:val="24"/>
          <w:lang w:eastAsia="en-AU"/>
        </w:rPr>
        <w:t>a</w:t>
      </w:r>
      <w:r w:rsidRPr="000044EF">
        <w:rPr>
          <w:rFonts w:eastAsia="Times New Roman"/>
          <w:szCs w:val="24"/>
          <w:lang w:eastAsia="en-AU"/>
        </w:rPr>
        <w:t>)</w:t>
      </w:r>
      <w:r w:rsidR="00906D13" w:rsidRPr="000044EF">
        <w:rPr>
          <w:rFonts w:eastAsia="Times New Roman"/>
          <w:szCs w:val="24"/>
          <w:lang w:eastAsia="en-AU"/>
        </w:rPr>
        <w:t>(i</w:t>
      </w:r>
      <w:r w:rsidR="000044EF" w:rsidRPr="000044EF">
        <w:rPr>
          <w:rFonts w:eastAsia="Times New Roman"/>
          <w:szCs w:val="24"/>
          <w:lang w:eastAsia="en-AU"/>
        </w:rPr>
        <w:t>i</w:t>
      </w:r>
      <w:r w:rsidR="00906D13" w:rsidRPr="000044EF">
        <w:rPr>
          <w:rFonts w:eastAsia="Times New Roman"/>
          <w:szCs w:val="24"/>
          <w:lang w:eastAsia="en-AU"/>
        </w:rPr>
        <w:t>)</w:t>
      </w:r>
      <w:r w:rsidRPr="000044EF">
        <w:rPr>
          <w:rFonts w:eastAsia="Times New Roman"/>
          <w:szCs w:val="24"/>
          <w:lang w:eastAsia="en-AU"/>
        </w:rPr>
        <w:t>. This method is included to reduce the compliance burden on proponents in cases where the quantity required to be measured is not separately metered.</w:t>
      </w:r>
      <w:r w:rsidR="006F2C5E">
        <w:rPr>
          <w:rFonts w:eastAsia="Times New Roman"/>
          <w:szCs w:val="24"/>
          <w:lang w:eastAsia="en-AU"/>
        </w:rPr>
        <w:t xml:space="preserve"> </w:t>
      </w:r>
      <w:r w:rsidR="002A72F4">
        <w:rPr>
          <w:rFonts w:eastAsia="Times New Roman"/>
          <w:szCs w:val="24"/>
          <w:lang w:eastAsia="en-AU"/>
        </w:rPr>
        <w:t xml:space="preserve">Where Section 39 refers to </w:t>
      </w:r>
      <w:r w:rsidR="006F2C5E" w:rsidRPr="00C0165A">
        <w:rPr>
          <w:rFonts w:eastAsia="Times New Roman"/>
          <w:szCs w:val="24"/>
          <w:lang w:eastAsia="en-AU"/>
        </w:rPr>
        <w:t>Australian Standard AS 4777</w:t>
      </w:r>
      <w:r w:rsidR="002A72F4">
        <w:rPr>
          <w:rFonts w:eastAsia="Times New Roman"/>
          <w:szCs w:val="24"/>
          <w:lang w:eastAsia="en-AU"/>
        </w:rPr>
        <w:t xml:space="preserve">, the </w:t>
      </w:r>
      <w:r w:rsidR="00006800">
        <w:rPr>
          <w:rFonts w:eastAsia="Times New Roman"/>
          <w:szCs w:val="24"/>
          <w:lang w:eastAsia="en-AU"/>
        </w:rPr>
        <w:t>version that applies is the version of of AS 4777 in force or existing from time to time</w:t>
      </w:r>
      <w:r w:rsidR="006F2C5E">
        <w:t>.</w:t>
      </w:r>
      <w:r w:rsidR="00D949CF">
        <w:t xml:space="preserve"> Australian Standards can be found via the Standards Australia website, </w:t>
      </w:r>
      <w:hyperlink r:id="rId22" w:history="1">
        <w:r w:rsidR="00D949CF" w:rsidRPr="00D949CF">
          <w:rPr>
            <w:rFonts w:eastAsia="Times New Roman"/>
            <w:szCs w:val="24"/>
            <w:u w:val="single"/>
            <w:lang w:eastAsia="en-AU"/>
          </w:rPr>
          <w:t>www.standards.org.au</w:t>
        </w:r>
      </w:hyperlink>
      <w:r w:rsidR="00D949CF">
        <w:t>.</w:t>
      </w:r>
    </w:p>
    <w:p w14:paraId="73ED80B4" w14:textId="77777777" w:rsidR="000E6EA9" w:rsidRPr="00C0165A" w:rsidRDefault="000E6EA9" w:rsidP="00623169">
      <w:pPr>
        <w:pStyle w:val="ESA4Section"/>
        <w:spacing w:before="0" w:after="120"/>
        <w:rPr>
          <w:color w:val="auto"/>
        </w:rPr>
      </w:pPr>
      <w:r w:rsidRPr="00C0165A">
        <w:rPr>
          <w:color w:val="auto"/>
        </w:rPr>
        <w:t>4</w:t>
      </w:r>
      <w:r w:rsidR="00725D48">
        <w:rPr>
          <w:color w:val="auto"/>
        </w:rPr>
        <w:t>0</w:t>
      </w:r>
      <w:r w:rsidRPr="00C0165A">
        <w:rPr>
          <w:color w:val="auto"/>
        </w:rPr>
        <w:tab/>
        <w:t xml:space="preserve">Monitoring equipment  </w:t>
      </w:r>
    </w:p>
    <w:p w14:paraId="73ED80B5" w14:textId="77777777" w:rsidR="000E6EA9" w:rsidRPr="00C0165A" w:rsidRDefault="009E221E" w:rsidP="00007F4C">
      <w:pPr>
        <w:spacing w:before="0" w:after="240" w:line="240" w:lineRule="auto"/>
      </w:pPr>
      <w:r w:rsidRPr="00C0165A">
        <w:t xml:space="preserve">Section </w:t>
      </w:r>
      <w:r w:rsidR="005B7C31" w:rsidRPr="00C0165A">
        <w:t>4</w:t>
      </w:r>
      <w:r w:rsidR="00725D48">
        <w:t>0</w:t>
      </w:r>
      <w:r w:rsidRPr="00C0165A">
        <w:t xml:space="preserve"> </w:t>
      </w:r>
      <w:r w:rsidR="00C9778C">
        <w:t>requir</w:t>
      </w:r>
      <w:r w:rsidR="00C9778C" w:rsidRPr="00C0165A">
        <w:t xml:space="preserve">es </w:t>
      </w:r>
      <w:r w:rsidRPr="00C0165A">
        <w:t xml:space="preserve">that the measuring equipment used </w:t>
      </w:r>
      <w:r w:rsidR="00C9778C">
        <w:t>to meet</w:t>
      </w:r>
      <w:r w:rsidR="00C9778C" w:rsidRPr="00C0165A">
        <w:t xml:space="preserve"> </w:t>
      </w:r>
      <w:r w:rsidR="00B17D82">
        <w:t xml:space="preserve">the </w:t>
      </w:r>
      <w:r w:rsidR="00C9778C">
        <w:t>monitoring requirements</w:t>
      </w:r>
      <w:r w:rsidRPr="00C0165A">
        <w:t xml:space="preserve"> </w:t>
      </w:r>
      <w:r w:rsidR="00B17D82">
        <w:t xml:space="preserve">in </w:t>
      </w:r>
      <w:r w:rsidR="00B17D82" w:rsidRPr="00C0165A">
        <w:t>section 3</w:t>
      </w:r>
      <w:r w:rsidR="00725D48">
        <w:t>8</w:t>
      </w:r>
      <w:r w:rsidR="00B17D82">
        <w:t xml:space="preserve"> </w:t>
      </w:r>
      <w:r w:rsidRPr="00C0165A">
        <w:t>must be calibrated by an accredited technician</w:t>
      </w:r>
      <w:r w:rsidR="00C9778C">
        <w:t xml:space="preserve"> </w:t>
      </w:r>
      <w:r w:rsidR="00C9778C" w:rsidRPr="00004DF1">
        <w:t>in accordance with the manufacturer’s specifications for the equipment</w:t>
      </w:r>
      <w:r w:rsidRPr="00C0165A">
        <w:t xml:space="preserve"> and </w:t>
      </w:r>
      <w:r w:rsidR="00C9778C">
        <w:t xml:space="preserve">must be </w:t>
      </w:r>
      <w:r w:rsidRPr="00C0165A">
        <w:t xml:space="preserve">installed and operated in accordance with the manufacturer’s specifications for the equipment. </w:t>
      </w:r>
    </w:p>
    <w:p w14:paraId="73ED80B7" w14:textId="7DFD1021" w:rsidR="00FE718C" w:rsidRDefault="000E6EA9" w:rsidP="00623169">
      <w:pPr>
        <w:pStyle w:val="ESA1Part"/>
        <w:spacing w:after="240"/>
      </w:pPr>
      <w:r w:rsidRPr="00141E5B">
        <w:lastRenderedPageBreak/>
        <w:t xml:space="preserve">Part 6 </w:t>
      </w:r>
      <w:r w:rsidRPr="00141E5B">
        <w:tab/>
      </w:r>
      <w:r w:rsidRPr="00141E5B">
        <w:tab/>
        <w:t>Dividing a</w:t>
      </w:r>
      <w:r>
        <w:t>n IEU project</w:t>
      </w:r>
    </w:p>
    <w:p w14:paraId="73ED80B8" w14:textId="77777777" w:rsidR="000E6EA9" w:rsidRPr="00141E5B" w:rsidRDefault="009E221E" w:rsidP="00623169">
      <w:pPr>
        <w:pStyle w:val="ESA4Section"/>
        <w:spacing w:before="0" w:after="120"/>
      </w:pPr>
      <w:r>
        <w:t>4</w:t>
      </w:r>
      <w:r w:rsidR="00725D48">
        <w:t>1</w:t>
      </w:r>
      <w:r w:rsidR="000E6EA9" w:rsidRPr="00141E5B">
        <w:tab/>
      </w:r>
      <w:r w:rsidR="000E6EA9" w:rsidRPr="00BA7A7A">
        <w:t>Division of project for reporting purposes</w:t>
      </w:r>
    </w:p>
    <w:p w14:paraId="73ED80B9" w14:textId="77777777" w:rsidR="000E6EA9" w:rsidRDefault="000E6EA9" w:rsidP="00623169">
      <w:pPr>
        <w:spacing w:before="0" w:after="120" w:line="240" w:lineRule="auto"/>
      </w:pPr>
      <w:r>
        <w:t xml:space="preserve">Section </w:t>
      </w:r>
      <w:r w:rsidR="00FE718C">
        <w:t>41</w:t>
      </w:r>
      <w:r w:rsidRPr="00141E5B">
        <w:t xml:space="preserve"> </w:t>
      </w:r>
      <w:r w:rsidR="00C9778C">
        <w:t xml:space="preserve">allows </w:t>
      </w:r>
      <w:r w:rsidRPr="00141E5B">
        <w:t xml:space="preserve">an eligible </w:t>
      </w:r>
      <w:r w:rsidR="00C9778C">
        <w:t>IEU</w:t>
      </w:r>
      <w:r w:rsidR="00C9778C" w:rsidRPr="00141E5B">
        <w:t xml:space="preserve"> </w:t>
      </w:r>
      <w:r w:rsidRPr="00141E5B">
        <w:t>project</w:t>
      </w:r>
      <w:r w:rsidR="00C9778C">
        <w:t xml:space="preserve"> to</w:t>
      </w:r>
      <w:r w:rsidRPr="00BA7A7A">
        <w:t xml:space="preserve"> be </w:t>
      </w:r>
      <w:r w:rsidR="00C9778C">
        <w:t>sub-</w:t>
      </w:r>
      <w:r w:rsidRPr="00BA7A7A">
        <w:t xml:space="preserve">divided </w:t>
      </w:r>
      <w:r w:rsidR="00C9778C">
        <w:t xml:space="preserve">for reporting purposes </w:t>
      </w:r>
      <w:r w:rsidRPr="00BA7A7A">
        <w:t>into parts</w:t>
      </w:r>
      <w:r w:rsidR="00C9778C">
        <w:t xml:space="preserve"> comprising</w:t>
      </w:r>
      <w:r w:rsidRPr="00BA7A7A">
        <w:t> </w:t>
      </w:r>
      <w:r>
        <w:t>one or more IE units</w:t>
      </w:r>
      <w:r w:rsidRPr="00FD3DDC">
        <w:t>.</w:t>
      </w:r>
    </w:p>
    <w:p w14:paraId="73ED80BA" w14:textId="77777777" w:rsidR="00657EC5" w:rsidRDefault="00657EC5" w:rsidP="00007F4C">
      <w:pPr>
        <w:spacing w:before="0" w:after="240"/>
        <w:sectPr w:rsidR="00657EC5" w:rsidSect="002E5093">
          <w:headerReference w:type="default" r:id="rId23"/>
          <w:headerReference w:type="first" r:id="rId24"/>
          <w:pgSz w:w="11906" w:h="16838" w:code="9"/>
          <w:pgMar w:top="1440" w:right="1440" w:bottom="1440" w:left="1418" w:header="709" w:footer="709" w:gutter="0"/>
          <w:cols w:space="708"/>
          <w:titlePg/>
          <w:docGrid w:linePitch="360"/>
        </w:sectPr>
      </w:pPr>
    </w:p>
    <w:p w14:paraId="645BFEBF" w14:textId="77777777" w:rsidR="00E70F35" w:rsidRDefault="00E70F35" w:rsidP="00E70F35">
      <w:pPr>
        <w:rPr>
          <w:szCs w:val="24"/>
        </w:rPr>
      </w:pPr>
      <w:r>
        <w:rPr>
          <w:b/>
          <w:bCs/>
          <w:szCs w:val="24"/>
        </w:rPr>
        <w:lastRenderedPageBreak/>
        <w:t>Statement of Compatibility with Human Rights</w:t>
      </w:r>
    </w:p>
    <w:p w14:paraId="3848E25E" w14:textId="77777777" w:rsidR="00E70F35" w:rsidRDefault="00E70F35" w:rsidP="00E70F35">
      <w:pPr>
        <w:rPr>
          <w:szCs w:val="24"/>
        </w:rPr>
      </w:pPr>
      <w:r>
        <w:rPr>
          <w:i/>
          <w:iCs/>
          <w:szCs w:val="24"/>
        </w:rPr>
        <w:t>Prepared in accordance with Part 3 of the Human Rights (Parliamentary Scrutiny) Act 2011</w:t>
      </w:r>
    </w:p>
    <w:p w14:paraId="5F210916" w14:textId="46C45215" w:rsidR="00E70F35" w:rsidRDefault="00E70F35" w:rsidP="00E70F35">
      <w:pPr>
        <w:rPr>
          <w:szCs w:val="24"/>
        </w:rPr>
      </w:pPr>
      <w:r>
        <w:rPr>
          <w:szCs w:val="24"/>
        </w:rPr>
        <w:t xml:space="preserve">The </w:t>
      </w:r>
      <w:r>
        <w:rPr>
          <w:i/>
        </w:rPr>
        <w:t>Carbon Credits (Carbon Farming Initiative—</w:t>
      </w:r>
      <w:r w:rsidRPr="00E70F35">
        <w:rPr>
          <w:i/>
        </w:rPr>
        <w:t>Industrial Equipment Upgrades) Methodology Determination 2018</w:t>
      </w:r>
    </w:p>
    <w:p w14:paraId="11668223" w14:textId="77777777" w:rsidR="00E70F35" w:rsidRDefault="00E70F35" w:rsidP="00E70F35">
      <w:pPr>
        <w:rPr>
          <w:szCs w:val="24"/>
        </w:rPr>
      </w:pPr>
      <w:r>
        <w:rPr>
          <w:szCs w:val="24"/>
        </w:rPr>
        <w:t xml:space="preserve">This Legislative Instrument is compatible with the human rights and freedoms recognised or declared in the international instruments listed in section 3 of the </w:t>
      </w:r>
      <w:r>
        <w:rPr>
          <w:i/>
          <w:iCs/>
          <w:szCs w:val="24"/>
        </w:rPr>
        <w:t>Human Rights (Parliamentary Scrutiny) Act 2011</w:t>
      </w:r>
      <w:r>
        <w:rPr>
          <w:szCs w:val="24"/>
        </w:rPr>
        <w:t>.</w:t>
      </w:r>
    </w:p>
    <w:p w14:paraId="249B36D5" w14:textId="77777777" w:rsidR="00E70F35" w:rsidRDefault="00E70F35" w:rsidP="00E70F35">
      <w:pPr>
        <w:rPr>
          <w:szCs w:val="24"/>
        </w:rPr>
      </w:pPr>
      <w:r>
        <w:rPr>
          <w:b/>
          <w:bCs/>
          <w:szCs w:val="24"/>
        </w:rPr>
        <w:t>Overview of the Legislative Instrument</w:t>
      </w:r>
    </w:p>
    <w:p w14:paraId="7193531B" w14:textId="5A70291A" w:rsidR="00E70F35" w:rsidRDefault="00E70F35" w:rsidP="00E70F35">
      <w:pPr>
        <w:rPr>
          <w:szCs w:val="24"/>
        </w:rPr>
      </w:pPr>
      <w:r>
        <w:t xml:space="preserve">The </w:t>
      </w:r>
      <w:r>
        <w:rPr>
          <w:i/>
        </w:rPr>
        <w:t>Carbon Credits (Carbon Farming Initiative—</w:t>
      </w:r>
      <w:r w:rsidRPr="00E70F35">
        <w:rPr>
          <w:i/>
        </w:rPr>
        <w:t>Industrial Equipment Upgrades</w:t>
      </w:r>
      <w:r>
        <w:rPr>
          <w:i/>
        </w:rPr>
        <w:t>) Methodology Determination 2018</w:t>
      </w:r>
      <w:r>
        <w:rPr>
          <w:szCs w:val="24"/>
        </w:rPr>
        <w:t xml:space="preserve"> </w:t>
      </w:r>
      <w:r w:rsidRPr="00AC470E">
        <w:t>sets out the deta</w:t>
      </w:r>
      <w:r>
        <w:t xml:space="preserve">iled rules for implementing </w:t>
      </w:r>
      <w:r w:rsidRPr="00AC470E">
        <w:t xml:space="preserve">offsets projects that avoid greenhouse gas emissions by </w:t>
      </w:r>
      <w:r>
        <w:t xml:space="preserve">reducing energy consumption associated with common types of </w:t>
      </w:r>
      <w:r w:rsidRPr="00657EC5">
        <w:t>industrial equipment including boilers, pu</w:t>
      </w:r>
      <w:r>
        <w:t>mps and process heating systems</w:t>
      </w:r>
      <w:r>
        <w:rPr>
          <w:szCs w:val="24"/>
        </w:rPr>
        <w:t>.</w:t>
      </w:r>
    </w:p>
    <w:p w14:paraId="3BE828D2" w14:textId="7DA721CD" w:rsidR="00E70F35" w:rsidRDefault="00E70F35" w:rsidP="00E70F35">
      <w:pPr>
        <w:rPr>
          <w:szCs w:val="24"/>
        </w:rPr>
      </w:pPr>
      <w:r>
        <w:rPr>
          <w:szCs w:val="24"/>
        </w:rPr>
        <w:t xml:space="preserve">Project proponents wishing to implement the Determination must make an application to the Clean Energy Regulator (the Regulator) and meet the eligibility requirements set out under the </w:t>
      </w:r>
      <w:r>
        <w:rPr>
          <w:i/>
          <w:iCs/>
          <w:szCs w:val="24"/>
        </w:rPr>
        <w:t>Carbon Credits (Carbon Farming Initiative) Act 2011</w:t>
      </w:r>
      <w:r>
        <w:rPr>
          <w:szCs w:val="24"/>
        </w:rPr>
        <w:t>. Offsets projects that are approved by the Reg</w:t>
      </w:r>
      <w:r w:rsidR="004F182B">
        <w:rPr>
          <w:szCs w:val="24"/>
        </w:rPr>
        <w:t>ulator can generate Australian Carbon Credit U</w:t>
      </w:r>
      <w:r>
        <w:rPr>
          <w:szCs w:val="24"/>
        </w:rPr>
        <w:t>nits.</w:t>
      </w:r>
    </w:p>
    <w:p w14:paraId="5472DD6D" w14:textId="77777777" w:rsidR="00E70F35" w:rsidRDefault="00E70F35" w:rsidP="00E70F35">
      <w:pPr>
        <w:rPr>
          <w:szCs w:val="24"/>
        </w:rPr>
      </w:pPr>
      <w:r>
        <w:rPr>
          <w:b/>
          <w:bCs/>
          <w:szCs w:val="24"/>
        </w:rPr>
        <w:t>Human rights implications</w:t>
      </w:r>
    </w:p>
    <w:p w14:paraId="55A56FF8" w14:textId="77777777" w:rsidR="00E70F35" w:rsidRDefault="00E70F35" w:rsidP="00E70F35">
      <w:pPr>
        <w:rPr>
          <w:szCs w:val="24"/>
        </w:rPr>
      </w:pPr>
      <w:r>
        <w:rPr>
          <w:szCs w:val="24"/>
        </w:rPr>
        <w:t>This Legislative Instrument does not engage any of the applicable rights or freedoms.</w:t>
      </w:r>
    </w:p>
    <w:p w14:paraId="46C560F9" w14:textId="77777777" w:rsidR="00E70F35" w:rsidRDefault="00E70F35" w:rsidP="00E70F35">
      <w:pPr>
        <w:rPr>
          <w:szCs w:val="24"/>
        </w:rPr>
      </w:pPr>
      <w:r>
        <w:rPr>
          <w:b/>
          <w:bCs/>
          <w:szCs w:val="24"/>
        </w:rPr>
        <w:t>Conclusion</w:t>
      </w:r>
    </w:p>
    <w:p w14:paraId="1D260F2B" w14:textId="77777777" w:rsidR="00E70F35" w:rsidRDefault="00E70F35" w:rsidP="00E70F35">
      <w:pPr>
        <w:rPr>
          <w:szCs w:val="24"/>
        </w:rPr>
      </w:pPr>
      <w:r>
        <w:rPr>
          <w:szCs w:val="24"/>
        </w:rPr>
        <w:t>This Legislative Instrument is compatible with human rights as it does not raise any human rights issues.</w:t>
      </w:r>
    </w:p>
    <w:p w14:paraId="73ED80BB" w14:textId="3C8BA2EA" w:rsidR="00F60CC8" w:rsidRPr="00776A73" w:rsidRDefault="00E70F35" w:rsidP="00776A73">
      <w:pPr>
        <w:rPr>
          <w:szCs w:val="24"/>
        </w:rPr>
      </w:pPr>
      <w:r>
        <w:rPr>
          <w:b/>
          <w:bCs/>
          <w:szCs w:val="24"/>
        </w:rPr>
        <w:t>Josh Frydenberg, Minister for the Environment and Energy</w:t>
      </w:r>
    </w:p>
    <w:sectPr w:rsidR="00F60CC8" w:rsidRPr="00776A73" w:rsidSect="002E5093">
      <w:headerReference w:type="first" r:id="rId25"/>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D80C3" w14:textId="77777777" w:rsidR="009B084E" w:rsidRDefault="009B084E" w:rsidP="00621DDE">
      <w:r>
        <w:separator/>
      </w:r>
    </w:p>
    <w:p w14:paraId="73ED80C4" w14:textId="77777777" w:rsidR="009B084E" w:rsidRDefault="009B084E"/>
  </w:endnote>
  <w:endnote w:type="continuationSeparator" w:id="0">
    <w:p w14:paraId="73ED80C5" w14:textId="77777777" w:rsidR="009B084E" w:rsidRDefault="009B084E" w:rsidP="00621DDE">
      <w:r>
        <w:continuationSeparator/>
      </w:r>
    </w:p>
    <w:p w14:paraId="73ED80C6" w14:textId="77777777" w:rsidR="009B084E" w:rsidRDefault="009B084E"/>
  </w:endnote>
  <w:endnote w:type="continuationNotice" w:id="1">
    <w:p w14:paraId="73ED80C7" w14:textId="77777777" w:rsidR="009B084E" w:rsidRDefault="009B084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2954"/>
      <w:docPartObj>
        <w:docPartGallery w:val="Page Numbers (Bottom of Page)"/>
        <w:docPartUnique/>
      </w:docPartObj>
    </w:sdtPr>
    <w:sdtEndPr/>
    <w:sdtContent>
      <w:p w14:paraId="73ED80C8" w14:textId="77777777" w:rsidR="009B084E" w:rsidRDefault="009B084E">
        <w:pPr>
          <w:pStyle w:val="Footer"/>
          <w:jc w:val="center"/>
        </w:pPr>
        <w:r>
          <w:fldChar w:fldCharType="begin"/>
        </w:r>
        <w:r>
          <w:instrText xml:space="preserve"> PAGE   \* MERGEFORMAT </w:instrText>
        </w:r>
        <w:r>
          <w:fldChar w:fldCharType="separate"/>
        </w:r>
        <w:r w:rsidR="00085537">
          <w:rPr>
            <w:noProof/>
          </w:rPr>
          <w:t>31</w:t>
        </w:r>
        <w:r>
          <w:rPr>
            <w:noProof/>
          </w:rPr>
          <w:fldChar w:fldCharType="end"/>
        </w:r>
      </w:p>
    </w:sdtContent>
  </w:sdt>
  <w:p w14:paraId="73ED80C9" w14:textId="77777777" w:rsidR="009B084E" w:rsidRDefault="009B0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934119"/>
      <w:docPartObj>
        <w:docPartGallery w:val="Page Numbers (Bottom of Page)"/>
        <w:docPartUnique/>
      </w:docPartObj>
    </w:sdtPr>
    <w:sdtEndPr>
      <w:rPr>
        <w:noProof/>
      </w:rPr>
    </w:sdtEndPr>
    <w:sdtContent>
      <w:p w14:paraId="03BB576F" w14:textId="734E3677" w:rsidR="003A20DD" w:rsidRDefault="003A20DD">
        <w:pPr>
          <w:pStyle w:val="Footer"/>
          <w:jc w:val="center"/>
        </w:pPr>
        <w:r>
          <w:fldChar w:fldCharType="begin"/>
        </w:r>
        <w:r>
          <w:instrText xml:space="preserve"> PAGE   \* MERGEFORMAT </w:instrText>
        </w:r>
        <w:r>
          <w:fldChar w:fldCharType="separate"/>
        </w:r>
        <w:r w:rsidR="00085537">
          <w:rPr>
            <w:noProof/>
          </w:rPr>
          <w:t>32</w:t>
        </w:r>
        <w:r>
          <w:rPr>
            <w:noProof/>
          </w:rPr>
          <w:fldChar w:fldCharType="end"/>
        </w:r>
      </w:p>
    </w:sdtContent>
  </w:sdt>
  <w:p w14:paraId="6353239F" w14:textId="77777777" w:rsidR="003A20DD" w:rsidRDefault="003A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D80BE" w14:textId="77777777" w:rsidR="009B084E" w:rsidRDefault="009B084E" w:rsidP="00621DDE">
      <w:r>
        <w:separator/>
      </w:r>
    </w:p>
    <w:p w14:paraId="73ED80BF" w14:textId="77777777" w:rsidR="009B084E" w:rsidRDefault="009B084E"/>
  </w:footnote>
  <w:footnote w:type="continuationSeparator" w:id="0">
    <w:p w14:paraId="73ED80C0" w14:textId="77777777" w:rsidR="009B084E" w:rsidRDefault="009B084E" w:rsidP="00621DDE">
      <w:r>
        <w:continuationSeparator/>
      </w:r>
    </w:p>
    <w:p w14:paraId="73ED80C1" w14:textId="77777777" w:rsidR="009B084E" w:rsidRDefault="009B084E"/>
  </w:footnote>
  <w:footnote w:type="continuationNotice" w:id="1">
    <w:p w14:paraId="73ED80C2" w14:textId="77777777" w:rsidR="009B084E" w:rsidRDefault="009B084E">
      <w:pPr>
        <w:spacing w:before="0" w:line="240" w:lineRule="auto"/>
      </w:pPr>
    </w:p>
  </w:footnote>
  <w:footnote w:id="2">
    <w:p w14:paraId="73ED80CC" w14:textId="2D2ADFE3" w:rsidR="009B084E" w:rsidRDefault="009B084E">
      <w:pPr>
        <w:pStyle w:val="FootnoteText"/>
      </w:pPr>
      <w:r>
        <w:rPr>
          <w:rStyle w:val="FootnoteReference"/>
        </w:rPr>
        <w:footnoteRef/>
      </w:r>
      <w:r>
        <w:t xml:space="preserve"> As set out in the </w:t>
      </w:r>
      <w:r w:rsidRPr="00EF19D6">
        <w:rPr>
          <w:i/>
        </w:rPr>
        <w:t>Carbon Credits (Carbon Farming Initiative—</w:t>
      </w:r>
      <w:r w:rsidRPr="0060767E">
        <w:rPr>
          <w:i/>
          <w:lang w:eastAsia="en-AU"/>
        </w:rPr>
        <w:t xml:space="preserve">Industrial </w:t>
      </w:r>
      <w:r>
        <w:rPr>
          <w:i/>
          <w:lang w:eastAsia="en-AU"/>
        </w:rPr>
        <w:t>Electricity and Fuel Efficiency</w:t>
      </w:r>
      <w:r w:rsidRPr="00EF19D6">
        <w:rPr>
          <w:i/>
        </w:rPr>
        <w:t>) Methodology Determination</w:t>
      </w:r>
      <w:r>
        <w:rPr>
          <w:i/>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78BAA" w14:textId="40009779" w:rsidR="009B084E" w:rsidRDefault="009B084E" w:rsidP="00776A73">
    <w:pPr>
      <w:jc w:val="right"/>
      <w:rPr>
        <w:b/>
        <w:bCs/>
        <w:szCs w:val="24"/>
      </w:rPr>
    </w:pPr>
    <w:r>
      <w:rPr>
        <w:b/>
        <w:bCs/>
        <w:szCs w:val="24"/>
      </w:rPr>
      <w:t>Attachment B</w:t>
    </w:r>
  </w:p>
  <w:p w14:paraId="73ED80CA" w14:textId="3813DB0E" w:rsidR="009B084E" w:rsidRPr="00BC05C8" w:rsidRDefault="009B084E" w:rsidP="00D045C1">
    <w:pPr>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80CB" w14:textId="77777777" w:rsidR="009B084E" w:rsidRDefault="009B08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4CD6D" w14:textId="2ADE621A" w:rsidR="009B084E" w:rsidRDefault="009B084E" w:rsidP="00776A73">
    <w:pPr>
      <w:jc w:val="right"/>
      <w:rPr>
        <w:b/>
        <w:bCs/>
        <w:szCs w:val="24"/>
      </w:rPr>
    </w:pPr>
    <w:r>
      <w:rPr>
        <w:b/>
        <w:bCs/>
        <w:szCs w:val="24"/>
      </w:rPr>
      <w:t>Attachment A</w:t>
    </w:r>
  </w:p>
  <w:p w14:paraId="1829987B" w14:textId="77777777" w:rsidR="009B084E" w:rsidRPr="00BC05C8" w:rsidRDefault="009B084E" w:rsidP="00D045C1">
    <w:pPr>
      <w:jc w:val="right"/>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84BDA" w14:textId="31F52641" w:rsidR="009B084E" w:rsidRDefault="009B084E" w:rsidP="00776A73">
    <w:pPr>
      <w:jc w:val="right"/>
      <w:rPr>
        <w:b/>
        <w:bCs/>
        <w:szCs w:val="24"/>
      </w:rPr>
    </w:pPr>
    <w:r>
      <w:rPr>
        <w:b/>
        <w:bCs/>
        <w:szCs w:val="24"/>
      </w:rPr>
      <w:t>Attachment B</w:t>
    </w:r>
  </w:p>
  <w:p w14:paraId="5C52C322" w14:textId="77777777" w:rsidR="009B084E" w:rsidRPr="00BC05C8" w:rsidRDefault="009B084E" w:rsidP="00D045C1">
    <w:pP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EDA41D8"/>
    <w:multiLevelType w:val="hybridMultilevel"/>
    <w:tmpl w:val="5C2EAF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745BC2"/>
    <w:multiLevelType w:val="multilevel"/>
    <w:tmpl w:val="E5E89F92"/>
    <w:numStyleLink w:val="BulletList"/>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12672E"/>
    <w:multiLevelType w:val="hybridMultilevel"/>
    <w:tmpl w:val="1B5CEF26"/>
    <w:lvl w:ilvl="0" w:tplc="0C090017">
      <w:start w:val="1"/>
      <w:numFmt w:val="lowerLetter"/>
      <w:lvlText w:val="%1)"/>
      <w:lvlJc w:val="left"/>
      <w:pPr>
        <w:ind w:left="720" w:hanging="360"/>
      </w:pPr>
      <w:rPr>
        <w:rFonts w:hint="default"/>
      </w:rPr>
    </w:lvl>
    <w:lvl w:ilvl="1" w:tplc="ECD2CA4C">
      <w:start w:val="1"/>
      <w:numFmt w:val="bullet"/>
      <w:lvlText w:val="o"/>
      <w:lvlJc w:val="left"/>
      <w:pPr>
        <w:ind w:left="1440" w:hanging="360"/>
      </w:pPr>
      <w:rPr>
        <w:rFonts w:ascii="Courier New" w:hAnsi="Courier New" w:cs="Courier New" w:hint="default"/>
      </w:rPr>
    </w:lvl>
    <w:lvl w:ilvl="2" w:tplc="4C247928" w:tentative="1">
      <w:start w:val="1"/>
      <w:numFmt w:val="bullet"/>
      <w:lvlText w:val=""/>
      <w:lvlJc w:val="left"/>
      <w:pPr>
        <w:ind w:left="2160" w:hanging="360"/>
      </w:pPr>
      <w:rPr>
        <w:rFonts w:ascii="Wingdings" w:hAnsi="Wingdings" w:hint="default"/>
      </w:rPr>
    </w:lvl>
    <w:lvl w:ilvl="3" w:tplc="50844DEE" w:tentative="1">
      <w:start w:val="1"/>
      <w:numFmt w:val="bullet"/>
      <w:lvlText w:val=""/>
      <w:lvlJc w:val="left"/>
      <w:pPr>
        <w:ind w:left="2880" w:hanging="360"/>
      </w:pPr>
      <w:rPr>
        <w:rFonts w:ascii="Symbol" w:hAnsi="Symbol" w:hint="default"/>
      </w:rPr>
    </w:lvl>
    <w:lvl w:ilvl="4" w:tplc="31921F3C" w:tentative="1">
      <w:start w:val="1"/>
      <w:numFmt w:val="bullet"/>
      <w:lvlText w:val="o"/>
      <w:lvlJc w:val="left"/>
      <w:pPr>
        <w:ind w:left="3600" w:hanging="360"/>
      </w:pPr>
      <w:rPr>
        <w:rFonts w:ascii="Courier New" w:hAnsi="Courier New" w:cs="Courier New" w:hint="default"/>
      </w:rPr>
    </w:lvl>
    <w:lvl w:ilvl="5" w:tplc="BF7C8864" w:tentative="1">
      <w:start w:val="1"/>
      <w:numFmt w:val="bullet"/>
      <w:lvlText w:val=""/>
      <w:lvlJc w:val="left"/>
      <w:pPr>
        <w:ind w:left="4320" w:hanging="360"/>
      </w:pPr>
      <w:rPr>
        <w:rFonts w:ascii="Wingdings" w:hAnsi="Wingdings" w:hint="default"/>
      </w:rPr>
    </w:lvl>
    <w:lvl w:ilvl="6" w:tplc="EF9A716C" w:tentative="1">
      <w:start w:val="1"/>
      <w:numFmt w:val="bullet"/>
      <w:lvlText w:val=""/>
      <w:lvlJc w:val="left"/>
      <w:pPr>
        <w:ind w:left="5040" w:hanging="360"/>
      </w:pPr>
      <w:rPr>
        <w:rFonts w:ascii="Symbol" w:hAnsi="Symbol" w:hint="default"/>
      </w:rPr>
    </w:lvl>
    <w:lvl w:ilvl="7" w:tplc="DECA9856" w:tentative="1">
      <w:start w:val="1"/>
      <w:numFmt w:val="bullet"/>
      <w:lvlText w:val="o"/>
      <w:lvlJc w:val="left"/>
      <w:pPr>
        <w:ind w:left="5760" w:hanging="360"/>
      </w:pPr>
      <w:rPr>
        <w:rFonts w:ascii="Courier New" w:hAnsi="Courier New" w:cs="Courier New" w:hint="default"/>
      </w:rPr>
    </w:lvl>
    <w:lvl w:ilvl="8" w:tplc="84E8625A" w:tentative="1">
      <w:start w:val="1"/>
      <w:numFmt w:val="bullet"/>
      <w:lvlText w:val=""/>
      <w:lvlJc w:val="left"/>
      <w:pPr>
        <w:ind w:left="6480" w:hanging="360"/>
      </w:pPr>
      <w:rPr>
        <w:rFonts w:ascii="Wingdings" w:hAnsi="Wingdings" w:hint="default"/>
      </w:rPr>
    </w:lvl>
  </w:abstractNum>
  <w:abstractNum w:abstractNumId="5" w15:restartNumberingAfterBreak="0">
    <w:nsid w:val="3E6F57C9"/>
    <w:multiLevelType w:val="hybridMultilevel"/>
    <w:tmpl w:val="E79A9B92"/>
    <w:lvl w:ilvl="0" w:tplc="406A8196">
      <w:start w:val="1"/>
      <w:numFmt w:val="bullet"/>
      <w:pStyle w:val="ListBullet"/>
      <w:lvlText w:val=""/>
      <w:lvlJc w:val="left"/>
      <w:pPr>
        <w:ind w:left="720" w:hanging="360"/>
      </w:pPr>
      <w:rPr>
        <w:rFonts w:ascii="Symbol" w:hAnsi="Symbol" w:hint="default"/>
      </w:rPr>
    </w:lvl>
    <w:lvl w:ilvl="1" w:tplc="ECD2CA4C">
      <w:start w:val="1"/>
      <w:numFmt w:val="bullet"/>
      <w:lvlText w:val="o"/>
      <w:lvlJc w:val="left"/>
      <w:pPr>
        <w:ind w:left="1440" w:hanging="360"/>
      </w:pPr>
      <w:rPr>
        <w:rFonts w:ascii="Courier New" w:hAnsi="Courier New" w:cs="Courier New" w:hint="default"/>
      </w:rPr>
    </w:lvl>
    <w:lvl w:ilvl="2" w:tplc="4C247928" w:tentative="1">
      <w:start w:val="1"/>
      <w:numFmt w:val="bullet"/>
      <w:lvlText w:val=""/>
      <w:lvlJc w:val="left"/>
      <w:pPr>
        <w:ind w:left="2160" w:hanging="360"/>
      </w:pPr>
      <w:rPr>
        <w:rFonts w:ascii="Wingdings" w:hAnsi="Wingdings" w:hint="default"/>
      </w:rPr>
    </w:lvl>
    <w:lvl w:ilvl="3" w:tplc="50844DEE" w:tentative="1">
      <w:start w:val="1"/>
      <w:numFmt w:val="bullet"/>
      <w:lvlText w:val=""/>
      <w:lvlJc w:val="left"/>
      <w:pPr>
        <w:ind w:left="2880" w:hanging="360"/>
      </w:pPr>
      <w:rPr>
        <w:rFonts w:ascii="Symbol" w:hAnsi="Symbol" w:hint="default"/>
      </w:rPr>
    </w:lvl>
    <w:lvl w:ilvl="4" w:tplc="31921F3C" w:tentative="1">
      <w:start w:val="1"/>
      <w:numFmt w:val="bullet"/>
      <w:lvlText w:val="o"/>
      <w:lvlJc w:val="left"/>
      <w:pPr>
        <w:ind w:left="3600" w:hanging="360"/>
      </w:pPr>
      <w:rPr>
        <w:rFonts w:ascii="Courier New" w:hAnsi="Courier New" w:cs="Courier New" w:hint="default"/>
      </w:rPr>
    </w:lvl>
    <w:lvl w:ilvl="5" w:tplc="BF7C8864" w:tentative="1">
      <w:start w:val="1"/>
      <w:numFmt w:val="bullet"/>
      <w:lvlText w:val=""/>
      <w:lvlJc w:val="left"/>
      <w:pPr>
        <w:ind w:left="4320" w:hanging="360"/>
      </w:pPr>
      <w:rPr>
        <w:rFonts w:ascii="Wingdings" w:hAnsi="Wingdings" w:hint="default"/>
      </w:rPr>
    </w:lvl>
    <w:lvl w:ilvl="6" w:tplc="EF9A716C" w:tentative="1">
      <w:start w:val="1"/>
      <w:numFmt w:val="bullet"/>
      <w:lvlText w:val=""/>
      <w:lvlJc w:val="left"/>
      <w:pPr>
        <w:ind w:left="5040" w:hanging="360"/>
      </w:pPr>
      <w:rPr>
        <w:rFonts w:ascii="Symbol" w:hAnsi="Symbol" w:hint="default"/>
      </w:rPr>
    </w:lvl>
    <w:lvl w:ilvl="7" w:tplc="DECA9856" w:tentative="1">
      <w:start w:val="1"/>
      <w:numFmt w:val="bullet"/>
      <w:lvlText w:val="o"/>
      <w:lvlJc w:val="left"/>
      <w:pPr>
        <w:ind w:left="5760" w:hanging="360"/>
      </w:pPr>
      <w:rPr>
        <w:rFonts w:ascii="Courier New" w:hAnsi="Courier New" w:cs="Courier New" w:hint="default"/>
      </w:rPr>
    </w:lvl>
    <w:lvl w:ilvl="8" w:tplc="84E8625A" w:tentative="1">
      <w:start w:val="1"/>
      <w:numFmt w:val="bullet"/>
      <w:lvlText w:val=""/>
      <w:lvlJc w:val="left"/>
      <w:pPr>
        <w:ind w:left="6480" w:hanging="360"/>
      </w:pPr>
      <w:rPr>
        <w:rFonts w:ascii="Wingdings" w:hAnsi="Wingdings" w:hint="default"/>
      </w:rPr>
    </w:lvl>
  </w:abstractNum>
  <w:abstractNum w:abstractNumId="6" w15:restartNumberingAfterBreak="0">
    <w:nsid w:val="5D4F5E92"/>
    <w:multiLevelType w:val="multilevel"/>
    <w:tmpl w:val="F73A1070"/>
    <w:name w:val="main numbering"/>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642F3075"/>
    <w:multiLevelType w:val="hybridMultilevel"/>
    <w:tmpl w:val="7754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898CC72"/>
    <w:numStyleLink w:val="KeyPoints"/>
  </w:abstractNum>
  <w:abstractNum w:abstractNumId="9" w15:restartNumberingAfterBreak="0">
    <w:nsid w:val="69FC35B2"/>
    <w:multiLevelType w:val="hybridMultilevel"/>
    <w:tmpl w:val="5AFA8A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C37B71"/>
    <w:multiLevelType w:val="multilevel"/>
    <w:tmpl w:val="BFD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1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0"/>
  </w:num>
  <w:num w:numId="3">
    <w:abstractNumId w:val="3"/>
  </w:num>
  <w:num w:numId="4">
    <w:abstractNumId w:val="8"/>
  </w:num>
  <w:num w:numId="5">
    <w:abstractNumId w:val="2"/>
  </w:num>
  <w:num w:numId="6">
    <w:abstractNumId w:val="11"/>
  </w:num>
  <w:num w:numId="7">
    <w:abstractNumId w:val="5"/>
  </w:num>
  <w:num w:numId="8">
    <w:abstractNumId w:val="10"/>
  </w:num>
  <w:num w:numId="9">
    <w:abstractNumId w:val="9"/>
  </w:num>
  <w:num w:numId="10">
    <w:abstractNumId w:val="1"/>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246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99"/>
    <w:rsid w:val="0000025A"/>
    <w:rsid w:val="000002A7"/>
    <w:rsid w:val="000002D3"/>
    <w:rsid w:val="00001954"/>
    <w:rsid w:val="00001CDD"/>
    <w:rsid w:val="000021E8"/>
    <w:rsid w:val="00002908"/>
    <w:rsid w:val="000035A2"/>
    <w:rsid w:val="000044EF"/>
    <w:rsid w:val="00005399"/>
    <w:rsid w:val="000056AC"/>
    <w:rsid w:val="000056C0"/>
    <w:rsid w:val="00005701"/>
    <w:rsid w:val="00006800"/>
    <w:rsid w:val="00007156"/>
    <w:rsid w:val="000072D2"/>
    <w:rsid w:val="00007323"/>
    <w:rsid w:val="00007D1D"/>
    <w:rsid w:val="00007F4C"/>
    <w:rsid w:val="0001095D"/>
    <w:rsid w:val="000109EF"/>
    <w:rsid w:val="00010A33"/>
    <w:rsid w:val="00010EB4"/>
    <w:rsid w:val="00010FF8"/>
    <w:rsid w:val="000117CD"/>
    <w:rsid w:val="00011B30"/>
    <w:rsid w:val="00011C13"/>
    <w:rsid w:val="00011FBB"/>
    <w:rsid w:val="000125B2"/>
    <w:rsid w:val="0001274A"/>
    <w:rsid w:val="000129AF"/>
    <w:rsid w:val="000138A0"/>
    <w:rsid w:val="000140C6"/>
    <w:rsid w:val="0001550F"/>
    <w:rsid w:val="00015A62"/>
    <w:rsid w:val="00015FB6"/>
    <w:rsid w:val="00015FC1"/>
    <w:rsid w:val="0001600A"/>
    <w:rsid w:val="0001687B"/>
    <w:rsid w:val="00016B16"/>
    <w:rsid w:val="0001749A"/>
    <w:rsid w:val="00017CCD"/>
    <w:rsid w:val="00017F38"/>
    <w:rsid w:val="00020055"/>
    <w:rsid w:val="00020097"/>
    <w:rsid w:val="0002096F"/>
    <w:rsid w:val="00020CD3"/>
    <w:rsid w:val="000218C0"/>
    <w:rsid w:val="00021E9F"/>
    <w:rsid w:val="000222E8"/>
    <w:rsid w:val="000228D3"/>
    <w:rsid w:val="00023365"/>
    <w:rsid w:val="00023835"/>
    <w:rsid w:val="00023C79"/>
    <w:rsid w:val="00023F52"/>
    <w:rsid w:val="0002480A"/>
    <w:rsid w:val="00024BAB"/>
    <w:rsid w:val="000257A3"/>
    <w:rsid w:val="00025877"/>
    <w:rsid w:val="00025C0F"/>
    <w:rsid w:val="0002619A"/>
    <w:rsid w:val="00026AA6"/>
    <w:rsid w:val="00026D62"/>
    <w:rsid w:val="00026F47"/>
    <w:rsid w:val="00030056"/>
    <w:rsid w:val="000302F7"/>
    <w:rsid w:val="000304C0"/>
    <w:rsid w:val="00030893"/>
    <w:rsid w:val="00030DC5"/>
    <w:rsid w:val="00032305"/>
    <w:rsid w:val="000326C3"/>
    <w:rsid w:val="00032C01"/>
    <w:rsid w:val="00032E42"/>
    <w:rsid w:val="00032EBE"/>
    <w:rsid w:val="0003333F"/>
    <w:rsid w:val="000338D6"/>
    <w:rsid w:val="00033E4A"/>
    <w:rsid w:val="00034279"/>
    <w:rsid w:val="0003474E"/>
    <w:rsid w:val="00034F23"/>
    <w:rsid w:val="0003511C"/>
    <w:rsid w:val="0003516A"/>
    <w:rsid w:val="00035A0B"/>
    <w:rsid w:val="00036128"/>
    <w:rsid w:val="0003613D"/>
    <w:rsid w:val="0003616F"/>
    <w:rsid w:val="00036E9F"/>
    <w:rsid w:val="0003786B"/>
    <w:rsid w:val="0004004E"/>
    <w:rsid w:val="00040212"/>
    <w:rsid w:val="000411C7"/>
    <w:rsid w:val="0004128E"/>
    <w:rsid w:val="000413E2"/>
    <w:rsid w:val="000417C6"/>
    <w:rsid w:val="00041E77"/>
    <w:rsid w:val="00041FFC"/>
    <w:rsid w:val="000420F2"/>
    <w:rsid w:val="00042435"/>
    <w:rsid w:val="00042633"/>
    <w:rsid w:val="0004268A"/>
    <w:rsid w:val="00042C4B"/>
    <w:rsid w:val="000431A9"/>
    <w:rsid w:val="00043236"/>
    <w:rsid w:val="000435CA"/>
    <w:rsid w:val="000439C8"/>
    <w:rsid w:val="00043FD5"/>
    <w:rsid w:val="00044385"/>
    <w:rsid w:val="000443E5"/>
    <w:rsid w:val="00044431"/>
    <w:rsid w:val="0004477A"/>
    <w:rsid w:val="0004490C"/>
    <w:rsid w:val="00044D22"/>
    <w:rsid w:val="0004553B"/>
    <w:rsid w:val="00045E28"/>
    <w:rsid w:val="000460D7"/>
    <w:rsid w:val="000465D0"/>
    <w:rsid w:val="00047C06"/>
    <w:rsid w:val="0005005B"/>
    <w:rsid w:val="000500EC"/>
    <w:rsid w:val="0005046E"/>
    <w:rsid w:val="00051D53"/>
    <w:rsid w:val="00051FE6"/>
    <w:rsid w:val="0005212E"/>
    <w:rsid w:val="000528DD"/>
    <w:rsid w:val="00052FAD"/>
    <w:rsid w:val="00053937"/>
    <w:rsid w:val="0005569F"/>
    <w:rsid w:val="0005585F"/>
    <w:rsid w:val="00056255"/>
    <w:rsid w:val="00057551"/>
    <w:rsid w:val="00057663"/>
    <w:rsid w:val="0006056F"/>
    <w:rsid w:val="000618CD"/>
    <w:rsid w:val="00061A30"/>
    <w:rsid w:val="00062A29"/>
    <w:rsid w:val="00062BBF"/>
    <w:rsid w:val="000632DC"/>
    <w:rsid w:val="00063614"/>
    <w:rsid w:val="0006397A"/>
    <w:rsid w:val="00063DBB"/>
    <w:rsid w:val="0006482F"/>
    <w:rsid w:val="00064B6A"/>
    <w:rsid w:val="00064D23"/>
    <w:rsid w:val="00064E18"/>
    <w:rsid w:val="00065A89"/>
    <w:rsid w:val="00065C07"/>
    <w:rsid w:val="00065CB4"/>
    <w:rsid w:val="00065D06"/>
    <w:rsid w:val="00065FF7"/>
    <w:rsid w:val="000667DB"/>
    <w:rsid w:val="00066AA7"/>
    <w:rsid w:val="00066BFC"/>
    <w:rsid w:val="000675D4"/>
    <w:rsid w:val="000677D8"/>
    <w:rsid w:val="00070626"/>
    <w:rsid w:val="00070789"/>
    <w:rsid w:val="00070BEE"/>
    <w:rsid w:val="00071634"/>
    <w:rsid w:val="000716AB"/>
    <w:rsid w:val="00073371"/>
    <w:rsid w:val="0007375A"/>
    <w:rsid w:val="0007385A"/>
    <w:rsid w:val="00073BAF"/>
    <w:rsid w:val="00073BF5"/>
    <w:rsid w:val="00074182"/>
    <w:rsid w:val="000751CD"/>
    <w:rsid w:val="000756E4"/>
    <w:rsid w:val="000764CD"/>
    <w:rsid w:val="000764D3"/>
    <w:rsid w:val="000767E8"/>
    <w:rsid w:val="000769F2"/>
    <w:rsid w:val="00076B50"/>
    <w:rsid w:val="00076BF8"/>
    <w:rsid w:val="00077095"/>
    <w:rsid w:val="000774C1"/>
    <w:rsid w:val="0008048E"/>
    <w:rsid w:val="00080C79"/>
    <w:rsid w:val="00080CE0"/>
    <w:rsid w:val="00080D9A"/>
    <w:rsid w:val="00080FE9"/>
    <w:rsid w:val="0008121E"/>
    <w:rsid w:val="000819BE"/>
    <w:rsid w:val="00081B55"/>
    <w:rsid w:val="000822CF"/>
    <w:rsid w:val="000822E2"/>
    <w:rsid w:val="00082753"/>
    <w:rsid w:val="00085537"/>
    <w:rsid w:val="000855F0"/>
    <w:rsid w:val="00086355"/>
    <w:rsid w:val="000870E8"/>
    <w:rsid w:val="0008730F"/>
    <w:rsid w:val="000875D5"/>
    <w:rsid w:val="00087B83"/>
    <w:rsid w:val="00087BD5"/>
    <w:rsid w:val="000903E8"/>
    <w:rsid w:val="0009062C"/>
    <w:rsid w:val="00090E47"/>
    <w:rsid w:val="00091AA9"/>
    <w:rsid w:val="00091DF6"/>
    <w:rsid w:val="00091FDF"/>
    <w:rsid w:val="0009200C"/>
    <w:rsid w:val="0009205E"/>
    <w:rsid w:val="000923DE"/>
    <w:rsid w:val="00092852"/>
    <w:rsid w:val="00092890"/>
    <w:rsid w:val="00093151"/>
    <w:rsid w:val="00093293"/>
    <w:rsid w:val="00093967"/>
    <w:rsid w:val="00094661"/>
    <w:rsid w:val="00094C2F"/>
    <w:rsid w:val="00095BF5"/>
    <w:rsid w:val="00096064"/>
    <w:rsid w:val="00096619"/>
    <w:rsid w:val="00096C07"/>
    <w:rsid w:val="00096DEA"/>
    <w:rsid w:val="00096F8C"/>
    <w:rsid w:val="000970F6"/>
    <w:rsid w:val="000971F1"/>
    <w:rsid w:val="0009737B"/>
    <w:rsid w:val="0009799F"/>
    <w:rsid w:val="00097CC0"/>
    <w:rsid w:val="000A00A9"/>
    <w:rsid w:val="000A1221"/>
    <w:rsid w:val="000A1673"/>
    <w:rsid w:val="000A1F1B"/>
    <w:rsid w:val="000A1F23"/>
    <w:rsid w:val="000A2132"/>
    <w:rsid w:val="000A24E2"/>
    <w:rsid w:val="000A259B"/>
    <w:rsid w:val="000A2966"/>
    <w:rsid w:val="000A29B4"/>
    <w:rsid w:val="000A2EFA"/>
    <w:rsid w:val="000A3B4B"/>
    <w:rsid w:val="000A40E0"/>
    <w:rsid w:val="000A4748"/>
    <w:rsid w:val="000A49E7"/>
    <w:rsid w:val="000A6C66"/>
    <w:rsid w:val="000A708E"/>
    <w:rsid w:val="000A7112"/>
    <w:rsid w:val="000A79E3"/>
    <w:rsid w:val="000A7B9D"/>
    <w:rsid w:val="000B0108"/>
    <w:rsid w:val="000B0324"/>
    <w:rsid w:val="000B03F4"/>
    <w:rsid w:val="000B09E3"/>
    <w:rsid w:val="000B0D6E"/>
    <w:rsid w:val="000B1A2F"/>
    <w:rsid w:val="000B1DC0"/>
    <w:rsid w:val="000B1ECA"/>
    <w:rsid w:val="000B220D"/>
    <w:rsid w:val="000B29D0"/>
    <w:rsid w:val="000B2B98"/>
    <w:rsid w:val="000B365E"/>
    <w:rsid w:val="000B37F2"/>
    <w:rsid w:val="000B3A3D"/>
    <w:rsid w:val="000B4376"/>
    <w:rsid w:val="000B44B5"/>
    <w:rsid w:val="000B4A03"/>
    <w:rsid w:val="000B5356"/>
    <w:rsid w:val="000B55F8"/>
    <w:rsid w:val="000B5A9B"/>
    <w:rsid w:val="000B650C"/>
    <w:rsid w:val="000B66BD"/>
    <w:rsid w:val="000B68DF"/>
    <w:rsid w:val="000B72BA"/>
    <w:rsid w:val="000B7333"/>
    <w:rsid w:val="000B74F9"/>
    <w:rsid w:val="000B7C94"/>
    <w:rsid w:val="000B7F6A"/>
    <w:rsid w:val="000C2977"/>
    <w:rsid w:val="000C2A65"/>
    <w:rsid w:val="000C319A"/>
    <w:rsid w:val="000C332B"/>
    <w:rsid w:val="000C3DCA"/>
    <w:rsid w:val="000C403B"/>
    <w:rsid w:val="000C407B"/>
    <w:rsid w:val="000C415C"/>
    <w:rsid w:val="000C42ED"/>
    <w:rsid w:val="000C42F0"/>
    <w:rsid w:val="000C4813"/>
    <w:rsid w:val="000C54D0"/>
    <w:rsid w:val="000C5E44"/>
    <w:rsid w:val="000C6007"/>
    <w:rsid w:val="000C6377"/>
    <w:rsid w:val="000C6E0A"/>
    <w:rsid w:val="000C6EC3"/>
    <w:rsid w:val="000C789A"/>
    <w:rsid w:val="000D067C"/>
    <w:rsid w:val="000D0A80"/>
    <w:rsid w:val="000D1A62"/>
    <w:rsid w:val="000D313B"/>
    <w:rsid w:val="000D344E"/>
    <w:rsid w:val="000D3815"/>
    <w:rsid w:val="000D3E8C"/>
    <w:rsid w:val="000D40C6"/>
    <w:rsid w:val="000D40DE"/>
    <w:rsid w:val="000D428A"/>
    <w:rsid w:val="000D4415"/>
    <w:rsid w:val="000D4835"/>
    <w:rsid w:val="000D49F6"/>
    <w:rsid w:val="000D4ADF"/>
    <w:rsid w:val="000D50A6"/>
    <w:rsid w:val="000D5160"/>
    <w:rsid w:val="000D5647"/>
    <w:rsid w:val="000D5B81"/>
    <w:rsid w:val="000D74CB"/>
    <w:rsid w:val="000D7ABC"/>
    <w:rsid w:val="000E094A"/>
    <w:rsid w:val="000E0A6A"/>
    <w:rsid w:val="000E0B2B"/>
    <w:rsid w:val="000E0DD5"/>
    <w:rsid w:val="000E1326"/>
    <w:rsid w:val="000E15D1"/>
    <w:rsid w:val="000E1CEF"/>
    <w:rsid w:val="000E2636"/>
    <w:rsid w:val="000E2C4A"/>
    <w:rsid w:val="000E2F16"/>
    <w:rsid w:val="000E3331"/>
    <w:rsid w:val="000E3BE0"/>
    <w:rsid w:val="000E476A"/>
    <w:rsid w:val="000E47CC"/>
    <w:rsid w:val="000E4B2F"/>
    <w:rsid w:val="000E4C9E"/>
    <w:rsid w:val="000E59B9"/>
    <w:rsid w:val="000E5BDF"/>
    <w:rsid w:val="000E6B98"/>
    <w:rsid w:val="000E6EA9"/>
    <w:rsid w:val="000E752F"/>
    <w:rsid w:val="000E7E5E"/>
    <w:rsid w:val="000F0066"/>
    <w:rsid w:val="000F029F"/>
    <w:rsid w:val="000F037B"/>
    <w:rsid w:val="000F0469"/>
    <w:rsid w:val="000F0F7A"/>
    <w:rsid w:val="000F2188"/>
    <w:rsid w:val="000F2BC7"/>
    <w:rsid w:val="000F2EFD"/>
    <w:rsid w:val="000F2F4A"/>
    <w:rsid w:val="000F340F"/>
    <w:rsid w:val="000F3DB4"/>
    <w:rsid w:val="000F3FCD"/>
    <w:rsid w:val="000F40C5"/>
    <w:rsid w:val="000F4AA2"/>
    <w:rsid w:val="000F4F39"/>
    <w:rsid w:val="000F53F3"/>
    <w:rsid w:val="000F5C9D"/>
    <w:rsid w:val="000F5E0E"/>
    <w:rsid w:val="000F5FD7"/>
    <w:rsid w:val="000F6000"/>
    <w:rsid w:val="000F6397"/>
    <w:rsid w:val="000F6E5B"/>
    <w:rsid w:val="000F737D"/>
    <w:rsid w:val="000F76F5"/>
    <w:rsid w:val="000F79CB"/>
    <w:rsid w:val="001005B4"/>
    <w:rsid w:val="001005CE"/>
    <w:rsid w:val="001013AC"/>
    <w:rsid w:val="0010160B"/>
    <w:rsid w:val="00101D54"/>
    <w:rsid w:val="001023CD"/>
    <w:rsid w:val="00102755"/>
    <w:rsid w:val="001027B5"/>
    <w:rsid w:val="001028AC"/>
    <w:rsid w:val="00102BE6"/>
    <w:rsid w:val="00103C61"/>
    <w:rsid w:val="00103E03"/>
    <w:rsid w:val="00104196"/>
    <w:rsid w:val="00104583"/>
    <w:rsid w:val="001045E5"/>
    <w:rsid w:val="00104613"/>
    <w:rsid w:val="00104822"/>
    <w:rsid w:val="0010545D"/>
    <w:rsid w:val="00106067"/>
    <w:rsid w:val="00106090"/>
    <w:rsid w:val="00106521"/>
    <w:rsid w:val="00107139"/>
    <w:rsid w:val="00107785"/>
    <w:rsid w:val="001101CA"/>
    <w:rsid w:val="00110BE8"/>
    <w:rsid w:val="00111C7B"/>
    <w:rsid w:val="00111D51"/>
    <w:rsid w:val="00111E99"/>
    <w:rsid w:val="0011264E"/>
    <w:rsid w:val="00112830"/>
    <w:rsid w:val="00112A2A"/>
    <w:rsid w:val="00112AD1"/>
    <w:rsid w:val="00112F83"/>
    <w:rsid w:val="00113027"/>
    <w:rsid w:val="001131B9"/>
    <w:rsid w:val="00113A00"/>
    <w:rsid w:val="00114722"/>
    <w:rsid w:val="001148E5"/>
    <w:rsid w:val="00114949"/>
    <w:rsid w:val="00114EA7"/>
    <w:rsid w:val="00115283"/>
    <w:rsid w:val="001157E7"/>
    <w:rsid w:val="00116876"/>
    <w:rsid w:val="001168A1"/>
    <w:rsid w:val="00116A3E"/>
    <w:rsid w:val="00116D3C"/>
    <w:rsid w:val="00116FC2"/>
    <w:rsid w:val="00117783"/>
    <w:rsid w:val="00117D39"/>
    <w:rsid w:val="00117EAD"/>
    <w:rsid w:val="00120047"/>
    <w:rsid w:val="0012034F"/>
    <w:rsid w:val="0012081F"/>
    <w:rsid w:val="00120910"/>
    <w:rsid w:val="00120A11"/>
    <w:rsid w:val="0012174D"/>
    <w:rsid w:val="00121BD0"/>
    <w:rsid w:val="00121D29"/>
    <w:rsid w:val="00121EA1"/>
    <w:rsid w:val="00121FEF"/>
    <w:rsid w:val="00122288"/>
    <w:rsid w:val="001222B0"/>
    <w:rsid w:val="00122554"/>
    <w:rsid w:val="0012429A"/>
    <w:rsid w:val="00124B02"/>
    <w:rsid w:val="00125031"/>
    <w:rsid w:val="001250A6"/>
    <w:rsid w:val="0012624E"/>
    <w:rsid w:val="00127555"/>
    <w:rsid w:val="001279C8"/>
    <w:rsid w:val="00127E42"/>
    <w:rsid w:val="00130448"/>
    <w:rsid w:val="001309AA"/>
    <w:rsid w:val="00130E38"/>
    <w:rsid w:val="0013107F"/>
    <w:rsid w:val="00131368"/>
    <w:rsid w:val="00132006"/>
    <w:rsid w:val="00132237"/>
    <w:rsid w:val="00132367"/>
    <w:rsid w:val="0013263E"/>
    <w:rsid w:val="00132813"/>
    <w:rsid w:val="00133478"/>
    <w:rsid w:val="001336AE"/>
    <w:rsid w:val="00133E53"/>
    <w:rsid w:val="00133F4A"/>
    <w:rsid w:val="001341D4"/>
    <w:rsid w:val="0013436E"/>
    <w:rsid w:val="001346EE"/>
    <w:rsid w:val="00135304"/>
    <w:rsid w:val="0013559F"/>
    <w:rsid w:val="00135748"/>
    <w:rsid w:val="00135884"/>
    <w:rsid w:val="00135CB6"/>
    <w:rsid w:val="00136240"/>
    <w:rsid w:val="00136A63"/>
    <w:rsid w:val="00136C4D"/>
    <w:rsid w:val="00136F33"/>
    <w:rsid w:val="00137328"/>
    <w:rsid w:val="001375DF"/>
    <w:rsid w:val="00137923"/>
    <w:rsid w:val="00137968"/>
    <w:rsid w:val="001403F3"/>
    <w:rsid w:val="0014075D"/>
    <w:rsid w:val="00140A05"/>
    <w:rsid w:val="0014141F"/>
    <w:rsid w:val="001414CB"/>
    <w:rsid w:val="00141745"/>
    <w:rsid w:val="00141AE1"/>
    <w:rsid w:val="001422C9"/>
    <w:rsid w:val="0014261B"/>
    <w:rsid w:val="00142819"/>
    <w:rsid w:val="00142D20"/>
    <w:rsid w:val="0014399C"/>
    <w:rsid w:val="00143FE6"/>
    <w:rsid w:val="001443B6"/>
    <w:rsid w:val="001445B4"/>
    <w:rsid w:val="001446CE"/>
    <w:rsid w:val="00144D47"/>
    <w:rsid w:val="0014543F"/>
    <w:rsid w:val="00145489"/>
    <w:rsid w:val="00145961"/>
    <w:rsid w:val="00145EFB"/>
    <w:rsid w:val="001462F7"/>
    <w:rsid w:val="00146483"/>
    <w:rsid w:val="00146DCD"/>
    <w:rsid w:val="00146FA7"/>
    <w:rsid w:val="00147090"/>
    <w:rsid w:val="001473C6"/>
    <w:rsid w:val="00147AFF"/>
    <w:rsid w:val="001503E0"/>
    <w:rsid w:val="001504A6"/>
    <w:rsid w:val="00150647"/>
    <w:rsid w:val="00150CE2"/>
    <w:rsid w:val="001518DE"/>
    <w:rsid w:val="001534B5"/>
    <w:rsid w:val="00153AC4"/>
    <w:rsid w:val="00154010"/>
    <w:rsid w:val="0015482E"/>
    <w:rsid w:val="0015492E"/>
    <w:rsid w:val="00154E19"/>
    <w:rsid w:val="00154FF9"/>
    <w:rsid w:val="001552BF"/>
    <w:rsid w:val="0015534B"/>
    <w:rsid w:val="00155752"/>
    <w:rsid w:val="0015590C"/>
    <w:rsid w:val="00155BC8"/>
    <w:rsid w:val="00156605"/>
    <w:rsid w:val="00156E43"/>
    <w:rsid w:val="001570F0"/>
    <w:rsid w:val="00160264"/>
    <w:rsid w:val="00160F7B"/>
    <w:rsid w:val="00161103"/>
    <w:rsid w:val="00161687"/>
    <w:rsid w:val="00161AAD"/>
    <w:rsid w:val="00161E72"/>
    <w:rsid w:val="00162535"/>
    <w:rsid w:val="001628ED"/>
    <w:rsid w:val="0016339A"/>
    <w:rsid w:val="00163594"/>
    <w:rsid w:val="00163BC1"/>
    <w:rsid w:val="00163D7F"/>
    <w:rsid w:val="001642E7"/>
    <w:rsid w:val="001645EF"/>
    <w:rsid w:val="00164843"/>
    <w:rsid w:val="00164A10"/>
    <w:rsid w:val="00164C12"/>
    <w:rsid w:val="00164CA5"/>
    <w:rsid w:val="00164E25"/>
    <w:rsid w:val="001653A9"/>
    <w:rsid w:val="001660E3"/>
    <w:rsid w:val="0016677B"/>
    <w:rsid w:val="00166C3A"/>
    <w:rsid w:val="00166FBE"/>
    <w:rsid w:val="0016703E"/>
    <w:rsid w:val="00167688"/>
    <w:rsid w:val="001678BF"/>
    <w:rsid w:val="0016792D"/>
    <w:rsid w:val="00167998"/>
    <w:rsid w:val="00167A3E"/>
    <w:rsid w:val="001701E7"/>
    <w:rsid w:val="001707AE"/>
    <w:rsid w:val="001707E8"/>
    <w:rsid w:val="001713BD"/>
    <w:rsid w:val="0017172A"/>
    <w:rsid w:val="00173107"/>
    <w:rsid w:val="001735EC"/>
    <w:rsid w:val="00173648"/>
    <w:rsid w:val="001737B1"/>
    <w:rsid w:val="00173B0A"/>
    <w:rsid w:val="00173DCB"/>
    <w:rsid w:val="00174B93"/>
    <w:rsid w:val="00175155"/>
    <w:rsid w:val="00175443"/>
    <w:rsid w:val="00175A80"/>
    <w:rsid w:val="00176018"/>
    <w:rsid w:val="00176B65"/>
    <w:rsid w:val="00177011"/>
    <w:rsid w:val="0017756B"/>
    <w:rsid w:val="001775B7"/>
    <w:rsid w:val="00180228"/>
    <w:rsid w:val="001807B0"/>
    <w:rsid w:val="00180953"/>
    <w:rsid w:val="00180C2D"/>
    <w:rsid w:val="00180E10"/>
    <w:rsid w:val="001810B6"/>
    <w:rsid w:val="00181B12"/>
    <w:rsid w:val="0018344C"/>
    <w:rsid w:val="001837FB"/>
    <w:rsid w:val="00183A0A"/>
    <w:rsid w:val="00183E93"/>
    <w:rsid w:val="001849F1"/>
    <w:rsid w:val="00184A83"/>
    <w:rsid w:val="0018535B"/>
    <w:rsid w:val="0018599C"/>
    <w:rsid w:val="00186161"/>
    <w:rsid w:val="00186B1B"/>
    <w:rsid w:val="00186E01"/>
    <w:rsid w:val="00186ECE"/>
    <w:rsid w:val="00186EE0"/>
    <w:rsid w:val="00187651"/>
    <w:rsid w:val="00187D6C"/>
    <w:rsid w:val="00187E8C"/>
    <w:rsid w:val="001907D8"/>
    <w:rsid w:val="00190830"/>
    <w:rsid w:val="0019095C"/>
    <w:rsid w:val="001929A8"/>
    <w:rsid w:val="001930A2"/>
    <w:rsid w:val="00193B71"/>
    <w:rsid w:val="00194971"/>
    <w:rsid w:val="0019533B"/>
    <w:rsid w:val="001955B5"/>
    <w:rsid w:val="00195EDD"/>
    <w:rsid w:val="00196164"/>
    <w:rsid w:val="001961B4"/>
    <w:rsid w:val="001966E7"/>
    <w:rsid w:val="00196D6F"/>
    <w:rsid w:val="0019770A"/>
    <w:rsid w:val="001977E5"/>
    <w:rsid w:val="001A075F"/>
    <w:rsid w:val="001A0B36"/>
    <w:rsid w:val="001A1FAF"/>
    <w:rsid w:val="001A3742"/>
    <w:rsid w:val="001A3A64"/>
    <w:rsid w:val="001A3B3E"/>
    <w:rsid w:val="001A3FAD"/>
    <w:rsid w:val="001A4543"/>
    <w:rsid w:val="001A4661"/>
    <w:rsid w:val="001A46E2"/>
    <w:rsid w:val="001A49CF"/>
    <w:rsid w:val="001A4FB4"/>
    <w:rsid w:val="001A55EF"/>
    <w:rsid w:val="001A5692"/>
    <w:rsid w:val="001A5DD9"/>
    <w:rsid w:val="001A636C"/>
    <w:rsid w:val="001A6E70"/>
    <w:rsid w:val="001A7597"/>
    <w:rsid w:val="001A791C"/>
    <w:rsid w:val="001A7A9C"/>
    <w:rsid w:val="001A7BBA"/>
    <w:rsid w:val="001B04CE"/>
    <w:rsid w:val="001B0BE6"/>
    <w:rsid w:val="001B0C2C"/>
    <w:rsid w:val="001B0E1A"/>
    <w:rsid w:val="001B1008"/>
    <w:rsid w:val="001B11F0"/>
    <w:rsid w:val="001B13EE"/>
    <w:rsid w:val="001B1471"/>
    <w:rsid w:val="001B16B5"/>
    <w:rsid w:val="001B1E8D"/>
    <w:rsid w:val="001B24A4"/>
    <w:rsid w:val="001B2B87"/>
    <w:rsid w:val="001B2CE1"/>
    <w:rsid w:val="001B2FBE"/>
    <w:rsid w:val="001B3DA1"/>
    <w:rsid w:val="001B3E62"/>
    <w:rsid w:val="001B4180"/>
    <w:rsid w:val="001B457F"/>
    <w:rsid w:val="001B48ED"/>
    <w:rsid w:val="001B5572"/>
    <w:rsid w:val="001B55E1"/>
    <w:rsid w:val="001B569F"/>
    <w:rsid w:val="001B5F1F"/>
    <w:rsid w:val="001B671C"/>
    <w:rsid w:val="001C082F"/>
    <w:rsid w:val="001C0A13"/>
    <w:rsid w:val="001C0CAE"/>
    <w:rsid w:val="001C131C"/>
    <w:rsid w:val="001C1E04"/>
    <w:rsid w:val="001C1EEE"/>
    <w:rsid w:val="001C1F90"/>
    <w:rsid w:val="001C1FE0"/>
    <w:rsid w:val="001C2039"/>
    <w:rsid w:val="001C2182"/>
    <w:rsid w:val="001C27B2"/>
    <w:rsid w:val="001C2833"/>
    <w:rsid w:val="001C298B"/>
    <w:rsid w:val="001C2D61"/>
    <w:rsid w:val="001C2DE6"/>
    <w:rsid w:val="001C2E70"/>
    <w:rsid w:val="001C33B1"/>
    <w:rsid w:val="001C35BA"/>
    <w:rsid w:val="001C3857"/>
    <w:rsid w:val="001C3DFF"/>
    <w:rsid w:val="001C401C"/>
    <w:rsid w:val="001C426A"/>
    <w:rsid w:val="001C4F4D"/>
    <w:rsid w:val="001C5314"/>
    <w:rsid w:val="001C5CA2"/>
    <w:rsid w:val="001C695E"/>
    <w:rsid w:val="001C69BD"/>
    <w:rsid w:val="001C6A11"/>
    <w:rsid w:val="001C6E48"/>
    <w:rsid w:val="001C77A2"/>
    <w:rsid w:val="001D07B9"/>
    <w:rsid w:val="001D1969"/>
    <w:rsid w:val="001D1D96"/>
    <w:rsid w:val="001D1EF2"/>
    <w:rsid w:val="001D3C0D"/>
    <w:rsid w:val="001D3C35"/>
    <w:rsid w:val="001D3C5D"/>
    <w:rsid w:val="001D3D5B"/>
    <w:rsid w:val="001D3E6E"/>
    <w:rsid w:val="001D4F87"/>
    <w:rsid w:val="001D52F3"/>
    <w:rsid w:val="001D5BA8"/>
    <w:rsid w:val="001D5F82"/>
    <w:rsid w:val="001D65D9"/>
    <w:rsid w:val="001D6A63"/>
    <w:rsid w:val="001D6F3D"/>
    <w:rsid w:val="001D7000"/>
    <w:rsid w:val="001D72AE"/>
    <w:rsid w:val="001D77AA"/>
    <w:rsid w:val="001D7900"/>
    <w:rsid w:val="001E0058"/>
    <w:rsid w:val="001E0114"/>
    <w:rsid w:val="001E0304"/>
    <w:rsid w:val="001E0DAF"/>
    <w:rsid w:val="001E107B"/>
    <w:rsid w:val="001E195D"/>
    <w:rsid w:val="001E2BEF"/>
    <w:rsid w:val="001E2DA6"/>
    <w:rsid w:val="001E3771"/>
    <w:rsid w:val="001E4674"/>
    <w:rsid w:val="001E55A6"/>
    <w:rsid w:val="001E5DE7"/>
    <w:rsid w:val="001E60A6"/>
    <w:rsid w:val="001E611C"/>
    <w:rsid w:val="001E629C"/>
    <w:rsid w:val="001E77A3"/>
    <w:rsid w:val="001E7987"/>
    <w:rsid w:val="001F0010"/>
    <w:rsid w:val="001F0044"/>
    <w:rsid w:val="001F0680"/>
    <w:rsid w:val="001F0792"/>
    <w:rsid w:val="001F0962"/>
    <w:rsid w:val="001F1699"/>
    <w:rsid w:val="001F1939"/>
    <w:rsid w:val="001F2134"/>
    <w:rsid w:val="001F2B92"/>
    <w:rsid w:val="001F2D71"/>
    <w:rsid w:val="001F39F2"/>
    <w:rsid w:val="001F4AF4"/>
    <w:rsid w:val="001F4C09"/>
    <w:rsid w:val="001F6667"/>
    <w:rsid w:val="001F6803"/>
    <w:rsid w:val="001F6E16"/>
    <w:rsid w:val="001F7286"/>
    <w:rsid w:val="001F748C"/>
    <w:rsid w:val="001F74C6"/>
    <w:rsid w:val="001F74E2"/>
    <w:rsid w:val="001F75BA"/>
    <w:rsid w:val="001F7F00"/>
    <w:rsid w:val="0020015B"/>
    <w:rsid w:val="00200387"/>
    <w:rsid w:val="00200551"/>
    <w:rsid w:val="0020112E"/>
    <w:rsid w:val="002012AB"/>
    <w:rsid w:val="002022A3"/>
    <w:rsid w:val="00203E0E"/>
    <w:rsid w:val="00204232"/>
    <w:rsid w:val="00204DCA"/>
    <w:rsid w:val="00205C9F"/>
    <w:rsid w:val="00205D7C"/>
    <w:rsid w:val="002061BE"/>
    <w:rsid w:val="00206876"/>
    <w:rsid w:val="0020697C"/>
    <w:rsid w:val="00206980"/>
    <w:rsid w:val="00206AA5"/>
    <w:rsid w:val="00206D0E"/>
    <w:rsid w:val="00207251"/>
    <w:rsid w:val="00207E53"/>
    <w:rsid w:val="00207E61"/>
    <w:rsid w:val="002105F1"/>
    <w:rsid w:val="002106F5"/>
    <w:rsid w:val="002119E0"/>
    <w:rsid w:val="00211AA5"/>
    <w:rsid w:val="00212792"/>
    <w:rsid w:val="00212B5F"/>
    <w:rsid w:val="00213490"/>
    <w:rsid w:val="00214038"/>
    <w:rsid w:val="0021453E"/>
    <w:rsid w:val="00215230"/>
    <w:rsid w:val="0021603A"/>
    <w:rsid w:val="002161AE"/>
    <w:rsid w:val="002166C0"/>
    <w:rsid w:val="00216746"/>
    <w:rsid w:val="0021677C"/>
    <w:rsid w:val="00217082"/>
    <w:rsid w:val="002174FE"/>
    <w:rsid w:val="002175C6"/>
    <w:rsid w:val="002204ED"/>
    <w:rsid w:val="00221059"/>
    <w:rsid w:val="00221322"/>
    <w:rsid w:val="002213AD"/>
    <w:rsid w:val="00221778"/>
    <w:rsid w:val="00221995"/>
    <w:rsid w:val="002219D1"/>
    <w:rsid w:val="00221A1D"/>
    <w:rsid w:val="00222092"/>
    <w:rsid w:val="00222454"/>
    <w:rsid w:val="0022259F"/>
    <w:rsid w:val="00222B72"/>
    <w:rsid w:val="00223982"/>
    <w:rsid w:val="00223997"/>
    <w:rsid w:val="00223AB4"/>
    <w:rsid w:val="002244E7"/>
    <w:rsid w:val="00224772"/>
    <w:rsid w:val="00224912"/>
    <w:rsid w:val="00224FCE"/>
    <w:rsid w:val="002250C9"/>
    <w:rsid w:val="00225113"/>
    <w:rsid w:val="00225853"/>
    <w:rsid w:val="002260B2"/>
    <w:rsid w:val="002262B8"/>
    <w:rsid w:val="002267CA"/>
    <w:rsid w:val="00227545"/>
    <w:rsid w:val="002307E7"/>
    <w:rsid w:val="00230DEA"/>
    <w:rsid w:val="00231020"/>
    <w:rsid w:val="00232CB0"/>
    <w:rsid w:val="00232D5B"/>
    <w:rsid w:val="0023402E"/>
    <w:rsid w:val="0023407C"/>
    <w:rsid w:val="00234ADE"/>
    <w:rsid w:val="002358E2"/>
    <w:rsid w:val="00235BF9"/>
    <w:rsid w:val="00237140"/>
    <w:rsid w:val="0023732C"/>
    <w:rsid w:val="00240094"/>
    <w:rsid w:val="002400BD"/>
    <w:rsid w:val="00240104"/>
    <w:rsid w:val="00240116"/>
    <w:rsid w:val="002406B7"/>
    <w:rsid w:val="00240927"/>
    <w:rsid w:val="0024096C"/>
    <w:rsid w:val="002415F1"/>
    <w:rsid w:val="00241904"/>
    <w:rsid w:val="002419B8"/>
    <w:rsid w:val="00241F1D"/>
    <w:rsid w:val="0024216C"/>
    <w:rsid w:val="002422EA"/>
    <w:rsid w:val="00243131"/>
    <w:rsid w:val="00243A93"/>
    <w:rsid w:val="00243B0F"/>
    <w:rsid w:val="00243D8E"/>
    <w:rsid w:val="00243EE6"/>
    <w:rsid w:val="00244089"/>
    <w:rsid w:val="0024431E"/>
    <w:rsid w:val="0024500C"/>
    <w:rsid w:val="0024563A"/>
    <w:rsid w:val="002459C4"/>
    <w:rsid w:val="00245C29"/>
    <w:rsid w:val="00246B92"/>
    <w:rsid w:val="00246BFB"/>
    <w:rsid w:val="00246F14"/>
    <w:rsid w:val="00246F90"/>
    <w:rsid w:val="00247076"/>
    <w:rsid w:val="002473F7"/>
    <w:rsid w:val="00247789"/>
    <w:rsid w:val="0025005E"/>
    <w:rsid w:val="00251253"/>
    <w:rsid w:val="002522D6"/>
    <w:rsid w:val="00252868"/>
    <w:rsid w:val="00252B99"/>
    <w:rsid w:val="00253A1B"/>
    <w:rsid w:val="00253A41"/>
    <w:rsid w:val="00253E2D"/>
    <w:rsid w:val="00254425"/>
    <w:rsid w:val="00254583"/>
    <w:rsid w:val="00254FAB"/>
    <w:rsid w:val="00255692"/>
    <w:rsid w:val="0025575C"/>
    <w:rsid w:val="002561F9"/>
    <w:rsid w:val="002565DF"/>
    <w:rsid w:val="0025688A"/>
    <w:rsid w:val="00257A43"/>
    <w:rsid w:val="00257AF6"/>
    <w:rsid w:val="00261676"/>
    <w:rsid w:val="00261F81"/>
    <w:rsid w:val="0026240F"/>
    <w:rsid w:val="0026250B"/>
    <w:rsid w:val="00262729"/>
    <w:rsid w:val="00263157"/>
    <w:rsid w:val="0026394B"/>
    <w:rsid w:val="00263995"/>
    <w:rsid w:val="00263EDE"/>
    <w:rsid w:val="00264957"/>
    <w:rsid w:val="00264D3C"/>
    <w:rsid w:val="002652CC"/>
    <w:rsid w:val="0026572A"/>
    <w:rsid w:val="0026595D"/>
    <w:rsid w:val="00265DBE"/>
    <w:rsid w:val="0026619D"/>
    <w:rsid w:val="002668BF"/>
    <w:rsid w:val="00267368"/>
    <w:rsid w:val="0026770C"/>
    <w:rsid w:val="00267AED"/>
    <w:rsid w:val="002701E3"/>
    <w:rsid w:val="00270506"/>
    <w:rsid w:val="002709DF"/>
    <w:rsid w:val="00270B63"/>
    <w:rsid w:val="00270D8A"/>
    <w:rsid w:val="00270DD3"/>
    <w:rsid w:val="00271B4F"/>
    <w:rsid w:val="00272564"/>
    <w:rsid w:val="00273480"/>
    <w:rsid w:val="0027431D"/>
    <w:rsid w:val="00274503"/>
    <w:rsid w:val="00274BBD"/>
    <w:rsid w:val="002750CB"/>
    <w:rsid w:val="00275F3E"/>
    <w:rsid w:val="002766A5"/>
    <w:rsid w:val="0027733D"/>
    <w:rsid w:val="00277C5B"/>
    <w:rsid w:val="00277C86"/>
    <w:rsid w:val="00277C91"/>
    <w:rsid w:val="00277EDC"/>
    <w:rsid w:val="002800CD"/>
    <w:rsid w:val="002804C9"/>
    <w:rsid w:val="00280669"/>
    <w:rsid w:val="00280C73"/>
    <w:rsid w:val="00280F3D"/>
    <w:rsid w:val="00281084"/>
    <w:rsid w:val="00281183"/>
    <w:rsid w:val="002815B3"/>
    <w:rsid w:val="00281737"/>
    <w:rsid w:val="00281740"/>
    <w:rsid w:val="00281814"/>
    <w:rsid w:val="002818ED"/>
    <w:rsid w:val="00281A2D"/>
    <w:rsid w:val="00281E82"/>
    <w:rsid w:val="00281FB5"/>
    <w:rsid w:val="00282D81"/>
    <w:rsid w:val="00282D99"/>
    <w:rsid w:val="00282F52"/>
    <w:rsid w:val="0028348D"/>
    <w:rsid w:val="0028363D"/>
    <w:rsid w:val="00284294"/>
    <w:rsid w:val="002848DB"/>
    <w:rsid w:val="0028495C"/>
    <w:rsid w:val="00284D5E"/>
    <w:rsid w:val="00284D7F"/>
    <w:rsid w:val="00284FDA"/>
    <w:rsid w:val="00285406"/>
    <w:rsid w:val="0028560F"/>
    <w:rsid w:val="0028578A"/>
    <w:rsid w:val="00285883"/>
    <w:rsid w:val="00285899"/>
    <w:rsid w:val="00285F5F"/>
    <w:rsid w:val="00286545"/>
    <w:rsid w:val="0028705A"/>
    <w:rsid w:val="00287194"/>
    <w:rsid w:val="002876F9"/>
    <w:rsid w:val="00290327"/>
    <w:rsid w:val="002904F7"/>
    <w:rsid w:val="00290B4E"/>
    <w:rsid w:val="002917BD"/>
    <w:rsid w:val="002919F4"/>
    <w:rsid w:val="00291F96"/>
    <w:rsid w:val="0029213E"/>
    <w:rsid w:val="00292AF2"/>
    <w:rsid w:val="00292DFC"/>
    <w:rsid w:val="00293831"/>
    <w:rsid w:val="00293ABF"/>
    <w:rsid w:val="00293C29"/>
    <w:rsid w:val="00293CA4"/>
    <w:rsid w:val="00295302"/>
    <w:rsid w:val="0029550F"/>
    <w:rsid w:val="00295933"/>
    <w:rsid w:val="00295E4E"/>
    <w:rsid w:val="002963DE"/>
    <w:rsid w:val="002971F0"/>
    <w:rsid w:val="00297FA1"/>
    <w:rsid w:val="002A0454"/>
    <w:rsid w:val="002A04C8"/>
    <w:rsid w:val="002A0A13"/>
    <w:rsid w:val="002A1044"/>
    <w:rsid w:val="002A188F"/>
    <w:rsid w:val="002A2303"/>
    <w:rsid w:val="002A2820"/>
    <w:rsid w:val="002A3461"/>
    <w:rsid w:val="002A3B81"/>
    <w:rsid w:val="002A4140"/>
    <w:rsid w:val="002A4BC2"/>
    <w:rsid w:val="002A5470"/>
    <w:rsid w:val="002A5940"/>
    <w:rsid w:val="002A602B"/>
    <w:rsid w:val="002A69D8"/>
    <w:rsid w:val="002A72F4"/>
    <w:rsid w:val="002A73A3"/>
    <w:rsid w:val="002A78C6"/>
    <w:rsid w:val="002A7B9C"/>
    <w:rsid w:val="002B0067"/>
    <w:rsid w:val="002B0840"/>
    <w:rsid w:val="002B0B86"/>
    <w:rsid w:val="002B0CA0"/>
    <w:rsid w:val="002B153D"/>
    <w:rsid w:val="002B17EF"/>
    <w:rsid w:val="002B18E3"/>
    <w:rsid w:val="002B1F4E"/>
    <w:rsid w:val="002B204D"/>
    <w:rsid w:val="002B2584"/>
    <w:rsid w:val="002B26C6"/>
    <w:rsid w:val="002B311F"/>
    <w:rsid w:val="002B3380"/>
    <w:rsid w:val="002B3AD7"/>
    <w:rsid w:val="002B3D1B"/>
    <w:rsid w:val="002B3F22"/>
    <w:rsid w:val="002B46B8"/>
    <w:rsid w:val="002B4D31"/>
    <w:rsid w:val="002B4F11"/>
    <w:rsid w:val="002B520C"/>
    <w:rsid w:val="002B5B50"/>
    <w:rsid w:val="002B5F07"/>
    <w:rsid w:val="002B64D6"/>
    <w:rsid w:val="002B677F"/>
    <w:rsid w:val="002B6F1D"/>
    <w:rsid w:val="002B6F27"/>
    <w:rsid w:val="002B7754"/>
    <w:rsid w:val="002B7AE8"/>
    <w:rsid w:val="002C0B12"/>
    <w:rsid w:val="002C1296"/>
    <w:rsid w:val="002C1A0B"/>
    <w:rsid w:val="002C1C15"/>
    <w:rsid w:val="002C1F46"/>
    <w:rsid w:val="002C239E"/>
    <w:rsid w:val="002C24FA"/>
    <w:rsid w:val="002C2C2F"/>
    <w:rsid w:val="002C36BB"/>
    <w:rsid w:val="002C38B9"/>
    <w:rsid w:val="002C44BA"/>
    <w:rsid w:val="002C4913"/>
    <w:rsid w:val="002C4A9C"/>
    <w:rsid w:val="002C4EA6"/>
    <w:rsid w:val="002C51D9"/>
    <w:rsid w:val="002C5544"/>
    <w:rsid w:val="002C554F"/>
    <w:rsid w:val="002C67C0"/>
    <w:rsid w:val="002C69F3"/>
    <w:rsid w:val="002C6AF2"/>
    <w:rsid w:val="002C6CBA"/>
    <w:rsid w:val="002C704C"/>
    <w:rsid w:val="002C778A"/>
    <w:rsid w:val="002C77A5"/>
    <w:rsid w:val="002C7A80"/>
    <w:rsid w:val="002C7B68"/>
    <w:rsid w:val="002D06D5"/>
    <w:rsid w:val="002D0812"/>
    <w:rsid w:val="002D0D4F"/>
    <w:rsid w:val="002D0D9D"/>
    <w:rsid w:val="002D175E"/>
    <w:rsid w:val="002D1A8D"/>
    <w:rsid w:val="002D2285"/>
    <w:rsid w:val="002D23C0"/>
    <w:rsid w:val="002D3593"/>
    <w:rsid w:val="002D428E"/>
    <w:rsid w:val="002D44BC"/>
    <w:rsid w:val="002D46A5"/>
    <w:rsid w:val="002D5334"/>
    <w:rsid w:val="002D549F"/>
    <w:rsid w:val="002D6088"/>
    <w:rsid w:val="002D7236"/>
    <w:rsid w:val="002D7347"/>
    <w:rsid w:val="002E00BD"/>
    <w:rsid w:val="002E0A43"/>
    <w:rsid w:val="002E0C01"/>
    <w:rsid w:val="002E149E"/>
    <w:rsid w:val="002E1587"/>
    <w:rsid w:val="002E17CA"/>
    <w:rsid w:val="002E18A2"/>
    <w:rsid w:val="002E228B"/>
    <w:rsid w:val="002E22DB"/>
    <w:rsid w:val="002E24F3"/>
    <w:rsid w:val="002E2E0C"/>
    <w:rsid w:val="002E3A01"/>
    <w:rsid w:val="002E41E8"/>
    <w:rsid w:val="002E5093"/>
    <w:rsid w:val="002E59CE"/>
    <w:rsid w:val="002E59E6"/>
    <w:rsid w:val="002E5A9F"/>
    <w:rsid w:val="002E6339"/>
    <w:rsid w:val="002E67E6"/>
    <w:rsid w:val="002E6B8D"/>
    <w:rsid w:val="002E791D"/>
    <w:rsid w:val="002F012D"/>
    <w:rsid w:val="002F06E1"/>
    <w:rsid w:val="002F1170"/>
    <w:rsid w:val="002F1345"/>
    <w:rsid w:val="002F1517"/>
    <w:rsid w:val="002F16D8"/>
    <w:rsid w:val="002F17AD"/>
    <w:rsid w:val="002F1ECE"/>
    <w:rsid w:val="002F2151"/>
    <w:rsid w:val="002F2A33"/>
    <w:rsid w:val="002F354F"/>
    <w:rsid w:val="002F38E1"/>
    <w:rsid w:val="002F4742"/>
    <w:rsid w:val="002F4A08"/>
    <w:rsid w:val="002F4B3F"/>
    <w:rsid w:val="002F4C34"/>
    <w:rsid w:val="002F52B3"/>
    <w:rsid w:val="002F53FE"/>
    <w:rsid w:val="002F54C9"/>
    <w:rsid w:val="002F55B4"/>
    <w:rsid w:val="002F58C0"/>
    <w:rsid w:val="002F5B5F"/>
    <w:rsid w:val="002F5DC8"/>
    <w:rsid w:val="002F5DFB"/>
    <w:rsid w:val="002F6BF2"/>
    <w:rsid w:val="002F6C43"/>
    <w:rsid w:val="002F6D86"/>
    <w:rsid w:val="002F701F"/>
    <w:rsid w:val="002F7165"/>
    <w:rsid w:val="002F71A7"/>
    <w:rsid w:val="002F767F"/>
    <w:rsid w:val="002F7A31"/>
    <w:rsid w:val="002F7BEC"/>
    <w:rsid w:val="002F7D19"/>
    <w:rsid w:val="00300BE2"/>
    <w:rsid w:val="00300C16"/>
    <w:rsid w:val="003021DA"/>
    <w:rsid w:val="0030268C"/>
    <w:rsid w:val="00302B3C"/>
    <w:rsid w:val="00303120"/>
    <w:rsid w:val="003042BB"/>
    <w:rsid w:val="003043A7"/>
    <w:rsid w:val="003044FD"/>
    <w:rsid w:val="00304552"/>
    <w:rsid w:val="00304793"/>
    <w:rsid w:val="00304C24"/>
    <w:rsid w:val="003056E2"/>
    <w:rsid w:val="00305B10"/>
    <w:rsid w:val="003060FC"/>
    <w:rsid w:val="00306162"/>
    <w:rsid w:val="00306229"/>
    <w:rsid w:val="00306A78"/>
    <w:rsid w:val="003073EC"/>
    <w:rsid w:val="0030745B"/>
    <w:rsid w:val="00307599"/>
    <w:rsid w:val="003075D9"/>
    <w:rsid w:val="00307CEA"/>
    <w:rsid w:val="00311708"/>
    <w:rsid w:val="00311A88"/>
    <w:rsid w:val="00311AA9"/>
    <w:rsid w:val="00312039"/>
    <w:rsid w:val="00312B8D"/>
    <w:rsid w:val="003131BF"/>
    <w:rsid w:val="0031368F"/>
    <w:rsid w:val="00313ADD"/>
    <w:rsid w:val="00313B49"/>
    <w:rsid w:val="00313BD6"/>
    <w:rsid w:val="00314532"/>
    <w:rsid w:val="00314686"/>
    <w:rsid w:val="003146C5"/>
    <w:rsid w:val="00314B6A"/>
    <w:rsid w:val="00314FA8"/>
    <w:rsid w:val="00315B12"/>
    <w:rsid w:val="003166CD"/>
    <w:rsid w:val="00316887"/>
    <w:rsid w:val="00316FD5"/>
    <w:rsid w:val="003178B5"/>
    <w:rsid w:val="00317E7B"/>
    <w:rsid w:val="00320E4F"/>
    <w:rsid w:val="00320F1D"/>
    <w:rsid w:val="00321C83"/>
    <w:rsid w:val="00322955"/>
    <w:rsid w:val="003243BC"/>
    <w:rsid w:val="003248DB"/>
    <w:rsid w:val="00324AFA"/>
    <w:rsid w:val="00324B45"/>
    <w:rsid w:val="0032509D"/>
    <w:rsid w:val="00325262"/>
    <w:rsid w:val="003252CF"/>
    <w:rsid w:val="00325380"/>
    <w:rsid w:val="00326040"/>
    <w:rsid w:val="00326812"/>
    <w:rsid w:val="003269F8"/>
    <w:rsid w:val="00326A9D"/>
    <w:rsid w:val="003273C7"/>
    <w:rsid w:val="00327863"/>
    <w:rsid w:val="00330E5A"/>
    <w:rsid w:val="003315E7"/>
    <w:rsid w:val="00331D72"/>
    <w:rsid w:val="00331FC1"/>
    <w:rsid w:val="00333175"/>
    <w:rsid w:val="0033333F"/>
    <w:rsid w:val="0033399D"/>
    <w:rsid w:val="00333AC1"/>
    <w:rsid w:val="003343E6"/>
    <w:rsid w:val="00335D25"/>
    <w:rsid w:val="00335F5E"/>
    <w:rsid w:val="003363CF"/>
    <w:rsid w:val="003364EE"/>
    <w:rsid w:val="00336C3D"/>
    <w:rsid w:val="00337BC1"/>
    <w:rsid w:val="00337D4B"/>
    <w:rsid w:val="00337E29"/>
    <w:rsid w:val="00340544"/>
    <w:rsid w:val="00340C84"/>
    <w:rsid w:val="00340DBF"/>
    <w:rsid w:val="00341D19"/>
    <w:rsid w:val="003427E6"/>
    <w:rsid w:val="003447E0"/>
    <w:rsid w:val="00344EAD"/>
    <w:rsid w:val="003454A4"/>
    <w:rsid w:val="00347101"/>
    <w:rsid w:val="00347D2C"/>
    <w:rsid w:val="00350FCD"/>
    <w:rsid w:val="003511C2"/>
    <w:rsid w:val="0035139B"/>
    <w:rsid w:val="00351EF3"/>
    <w:rsid w:val="003520ED"/>
    <w:rsid w:val="0035229F"/>
    <w:rsid w:val="00352413"/>
    <w:rsid w:val="00352B1A"/>
    <w:rsid w:val="0035350D"/>
    <w:rsid w:val="00353EDB"/>
    <w:rsid w:val="00353F86"/>
    <w:rsid w:val="003542B6"/>
    <w:rsid w:val="003542D7"/>
    <w:rsid w:val="003561DD"/>
    <w:rsid w:val="0035776C"/>
    <w:rsid w:val="00357963"/>
    <w:rsid w:val="00357C49"/>
    <w:rsid w:val="00357D4B"/>
    <w:rsid w:val="003603DB"/>
    <w:rsid w:val="00360509"/>
    <w:rsid w:val="0036080E"/>
    <w:rsid w:val="00360ADA"/>
    <w:rsid w:val="00360CCE"/>
    <w:rsid w:val="0036122E"/>
    <w:rsid w:val="00362E78"/>
    <w:rsid w:val="003632C3"/>
    <w:rsid w:val="00363612"/>
    <w:rsid w:val="003639CB"/>
    <w:rsid w:val="003645FC"/>
    <w:rsid w:val="0036484F"/>
    <w:rsid w:val="0036494E"/>
    <w:rsid w:val="003655ED"/>
    <w:rsid w:val="00365A7A"/>
    <w:rsid w:val="00365D05"/>
    <w:rsid w:val="003660A1"/>
    <w:rsid w:val="00366683"/>
    <w:rsid w:val="00366C7B"/>
    <w:rsid w:val="0036753E"/>
    <w:rsid w:val="00367860"/>
    <w:rsid w:val="00370476"/>
    <w:rsid w:val="00372138"/>
    <w:rsid w:val="00372DD2"/>
    <w:rsid w:val="003735B7"/>
    <w:rsid w:val="00373902"/>
    <w:rsid w:val="00373B5D"/>
    <w:rsid w:val="00373C66"/>
    <w:rsid w:val="00373FB5"/>
    <w:rsid w:val="0037467D"/>
    <w:rsid w:val="00374ACF"/>
    <w:rsid w:val="003758A5"/>
    <w:rsid w:val="0037592C"/>
    <w:rsid w:val="0037644A"/>
    <w:rsid w:val="00376B7E"/>
    <w:rsid w:val="00377653"/>
    <w:rsid w:val="00377AB9"/>
    <w:rsid w:val="0038171A"/>
    <w:rsid w:val="00381817"/>
    <w:rsid w:val="00381992"/>
    <w:rsid w:val="003821CE"/>
    <w:rsid w:val="003825F8"/>
    <w:rsid w:val="00382632"/>
    <w:rsid w:val="00383A07"/>
    <w:rsid w:val="00383AB9"/>
    <w:rsid w:val="00383B8A"/>
    <w:rsid w:val="00383CF4"/>
    <w:rsid w:val="00384124"/>
    <w:rsid w:val="00384B20"/>
    <w:rsid w:val="00385D34"/>
    <w:rsid w:val="00385D38"/>
    <w:rsid w:val="00385F84"/>
    <w:rsid w:val="00386811"/>
    <w:rsid w:val="00386C72"/>
    <w:rsid w:val="00386DED"/>
    <w:rsid w:val="00387280"/>
    <w:rsid w:val="00387643"/>
    <w:rsid w:val="003876F6"/>
    <w:rsid w:val="00387B29"/>
    <w:rsid w:val="00387BE6"/>
    <w:rsid w:val="00387CB0"/>
    <w:rsid w:val="00387E4D"/>
    <w:rsid w:val="003909B1"/>
    <w:rsid w:val="00390B02"/>
    <w:rsid w:val="00390B36"/>
    <w:rsid w:val="003919C0"/>
    <w:rsid w:val="00391C4B"/>
    <w:rsid w:val="00391E6F"/>
    <w:rsid w:val="00391ECD"/>
    <w:rsid w:val="00392E97"/>
    <w:rsid w:val="0039301C"/>
    <w:rsid w:val="00393EE4"/>
    <w:rsid w:val="00393F1E"/>
    <w:rsid w:val="003941A7"/>
    <w:rsid w:val="003941D3"/>
    <w:rsid w:val="00394605"/>
    <w:rsid w:val="00394A6E"/>
    <w:rsid w:val="00394F59"/>
    <w:rsid w:val="003959A3"/>
    <w:rsid w:val="0039635D"/>
    <w:rsid w:val="00396A80"/>
    <w:rsid w:val="00396E84"/>
    <w:rsid w:val="003974B1"/>
    <w:rsid w:val="003974E4"/>
    <w:rsid w:val="00397D94"/>
    <w:rsid w:val="00397E8B"/>
    <w:rsid w:val="003A0442"/>
    <w:rsid w:val="003A0C38"/>
    <w:rsid w:val="003A0F2C"/>
    <w:rsid w:val="003A0F50"/>
    <w:rsid w:val="003A106D"/>
    <w:rsid w:val="003A11C1"/>
    <w:rsid w:val="003A1E50"/>
    <w:rsid w:val="003A1FD9"/>
    <w:rsid w:val="003A20DD"/>
    <w:rsid w:val="003A2CA5"/>
    <w:rsid w:val="003A2D18"/>
    <w:rsid w:val="003A2E69"/>
    <w:rsid w:val="003A3A79"/>
    <w:rsid w:val="003A3C08"/>
    <w:rsid w:val="003A3DF4"/>
    <w:rsid w:val="003A41F2"/>
    <w:rsid w:val="003A4A11"/>
    <w:rsid w:val="003A4B1E"/>
    <w:rsid w:val="003A5685"/>
    <w:rsid w:val="003A5730"/>
    <w:rsid w:val="003A5B96"/>
    <w:rsid w:val="003A5C0E"/>
    <w:rsid w:val="003A60BC"/>
    <w:rsid w:val="003A6E79"/>
    <w:rsid w:val="003A781D"/>
    <w:rsid w:val="003A7D4C"/>
    <w:rsid w:val="003B0365"/>
    <w:rsid w:val="003B07AC"/>
    <w:rsid w:val="003B086F"/>
    <w:rsid w:val="003B116A"/>
    <w:rsid w:val="003B1BDC"/>
    <w:rsid w:val="003B224C"/>
    <w:rsid w:val="003B267B"/>
    <w:rsid w:val="003B2B0A"/>
    <w:rsid w:val="003B2C27"/>
    <w:rsid w:val="003B330F"/>
    <w:rsid w:val="003B510D"/>
    <w:rsid w:val="003B5202"/>
    <w:rsid w:val="003B5BFC"/>
    <w:rsid w:val="003B5CB1"/>
    <w:rsid w:val="003B5CB8"/>
    <w:rsid w:val="003B6072"/>
    <w:rsid w:val="003B62F7"/>
    <w:rsid w:val="003B66A8"/>
    <w:rsid w:val="003B72C4"/>
    <w:rsid w:val="003B731A"/>
    <w:rsid w:val="003B7D6B"/>
    <w:rsid w:val="003B7DA6"/>
    <w:rsid w:val="003C0531"/>
    <w:rsid w:val="003C11DB"/>
    <w:rsid w:val="003C12AF"/>
    <w:rsid w:val="003C1636"/>
    <w:rsid w:val="003C2154"/>
    <w:rsid w:val="003C21A7"/>
    <w:rsid w:val="003C2A30"/>
    <w:rsid w:val="003C3A8B"/>
    <w:rsid w:val="003C46D1"/>
    <w:rsid w:val="003C478D"/>
    <w:rsid w:val="003C522E"/>
    <w:rsid w:val="003C5F80"/>
    <w:rsid w:val="003C7127"/>
    <w:rsid w:val="003C72A2"/>
    <w:rsid w:val="003C741F"/>
    <w:rsid w:val="003C76B5"/>
    <w:rsid w:val="003C7EB6"/>
    <w:rsid w:val="003C7F84"/>
    <w:rsid w:val="003D0559"/>
    <w:rsid w:val="003D08A2"/>
    <w:rsid w:val="003D16A5"/>
    <w:rsid w:val="003D1A37"/>
    <w:rsid w:val="003D1ABB"/>
    <w:rsid w:val="003D1F6E"/>
    <w:rsid w:val="003D24DF"/>
    <w:rsid w:val="003D2AB9"/>
    <w:rsid w:val="003D2B5F"/>
    <w:rsid w:val="003D37B0"/>
    <w:rsid w:val="003D411F"/>
    <w:rsid w:val="003D4284"/>
    <w:rsid w:val="003D46FA"/>
    <w:rsid w:val="003D4A2F"/>
    <w:rsid w:val="003D54A7"/>
    <w:rsid w:val="003D5D70"/>
    <w:rsid w:val="003D6045"/>
    <w:rsid w:val="003D61DB"/>
    <w:rsid w:val="003D67FE"/>
    <w:rsid w:val="003D6966"/>
    <w:rsid w:val="003D73F9"/>
    <w:rsid w:val="003D75C1"/>
    <w:rsid w:val="003D7873"/>
    <w:rsid w:val="003D7DC2"/>
    <w:rsid w:val="003E08E4"/>
    <w:rsid w:val="003E0DAF"/>
    <w:rsid w:val="003E1B42"/>
    <w:rsid w:val="003E1C2C"/>
    <w:rsid w:val="003E1DAA"/>
    <w:rsid w:val="003E1F52"/>
    <w:rsid w:val="003E2AEC"/>
    <w:rsid w:val="003E3022"/>
    <w:rsid w:val="003E3936"/>
    <w:rsid w:val="003E3AEF"/>
    <w:rsid w:val="003E3B53"/>
    <w:rsid w:val="003E3C92"/>
    <w:rsid w:val="003E3F77"/>
    <w:rsid w:val="003E4316"/>
    <w:rsid w:val="003E4645"/>
    <w:rsid w:val="003E4886"/>
    <w:rsid w:val="003E5683"/>
    <w:rsid w:val="003E6D04"/>
    <w:rsid w:val="003E6D3F"/>
    <w:rsid w:val="003E79F5"/>
    <w:rsid w:val="003E7D2E"/>
    <w:rsid w:val="003F09D8"/>
    <w:rsid w:val="003F0CC2"/>
    <w:rsid w:val="003F0E49"/>
    <w:rsid w:val="003F1815"/>
    <w:rsid w:val="003F1C3D"/>
    <w:rsid w:val="003F2797"/>
    <w:rsid w:val="003F3214"/>
    <w:rsid w:val="003F361D"/>
    <w:rsid w:val="003F408E"/>
    <w:rsid w:val="003F40DF"/>
    <w:rsid w:val="003F41A7"/>
    <w:rsid w:val="003F422B"/>
    <w:rsid w:val="003F46DC"/>
    <w:rsid w:val="003F4A3D"/>
    <w:rsid w:val="003F50E1"/>
    <w:rsid w:val="003F5422"/>
    <w:rsid w:val="003F54BE"/>
    <w:rsid w:val="003F589E"/>
    <w:rsid w:val="003F5BF1"/>
    <w:rsid w:val="003F5D9C"/>
    <w:rsid w:val="003F68B0"/>
    <w:rsid w:val="003F71D1"/>
    <w:rsid w:val="003F731D"/>
    <w:rsid w:val="003F7461"/>
    <w:rsid w:val="003F76E6"/>
    <w:rsid w:val="003F777A"/>
    <w:rsid w:val="003F7AA6"/>
    <w:rsid w:val="003F7F09"/>
    <w:rsid w:val="004000CD"/>
    <w:rsid w:val="0040046A"/>
    <w:rsid w:val="00400B1F"/>
    <w:rsid w:val="0040126E"/>
    <w:rsid w:val="004016BC"/>
    <w:rsid w:val="004017D3"/>
    <w:rsid w:val="00401C56"/>
    <w:rsid w:val="004026B0"/>
    <w:rsid w:val="00402E32"/>
    <w:rsid w:val="00403629"/>
    <w:rsid w:val="00404965"/>
    <w:rsid w:val="00404C15"/>
    <w:rsid w:val="0040520B"/>
    <w:rsid w:val="00405400"/>
    <w:rsid w:val="00405562"/>
    <w:rsid w:val="00405716"/>
    <w:rsid w:val="00405CD6"/>
    <w:rsid w:val="00406164"/>
    <w:rsid w:val="00406510"/>
    <w:rsid w:val="004066E8"/>
    <w:rsid w:val="004068B7"/>
    <w:rsid w:val="0040716E"/>
    <w:rsid w:val="0040734B"/>
    <w:rsid w:val="004077BB"/>
    <w:rsid w:val="004103EF"/>
    <w:rsid w:val="00410BEF"/>
    <w:rsid w:val="00410EF9"/>
    <w:rsid w:val="00411688"/>
    <w:rsid w:val="00411711"/>
    <w:rsid w:val="00411F8A"/>
    <w:rsid w:val="00412306"/>
    <w:rsid w:val="00412376"/>
    <w:rsid w:val="004123C7"/>
    <w:rsid w:val="0041358B"/>
    <w:rsid w:val="00413AA4"/>
    <w:rsid w:val="00413E26"/>
    <w:rsid w:val="00413E29"/>
    <w:rsid w:val="00413FE0"/>
    <w:rsid w:val="00414299"/>
    <w:rsid w:val="004142DA"/>
    <w:rsid w:val="00414417"/>
    <w:rsid w:val="00414931"/>
    <w:rsid w:val="00415264"/>
    <w:rsid w:val="00415619"/>
    <w:rsid w:val="004160E1"/>
    <w:rsid w:val="00416F30"/>
    <w:rsid w:val="004178E1"/>
    <w:rsid w:val="00417FCB"/>
    <w:rsid w:val="00420F37"/>
    <w:rsid w:val="004215B8"/>
    <w:rsid w:val="00421FB6"/>
    <w:rsid w:val="00422C48"/>
    <w:rsid w:val="0042323D"/>
    <w:rsid w:val="00423993"/>
    <w:rsid w:val="00424FDB"/>
    <w:rsid w:val="00425121"/>
    <w:rsid w:val="0042563A"/>
    <w:rsid w:val="004259B8"/>
    <w:rsid w:val="0042634C"/>
    <w:rsid w:val="004264E9"/>
    <w:rsid w:val="0042657D"/>
    <w:rsid w:val="004269BE"/>
    <w:rsid w:val="00427043"/>
    <w:rsid w:val="004272DF"/>
    <w:rsid w:val="004273B8"/>
    <w:rsid w:val="00427775"/>
    <w:rsid w:val="004278A8"/>
    <w:rsid w:val="00427D12"/>
    <w:rsid w:val="00427F27"/>
    <w:rsid w:val="004304A9"/>
    <w:rsid w:val="004307E0"/>
    <w:rsid w:val="00430F17"/>
    <w:rsid w:val="00431532"/>
    <w:rsid w:val="00431626"/>
    <w:rsid w:val="004319AB"/>
    <w:rsid w:val="00431D72"/>
    <w:rsid w:val="004324DC"/>
    <w:rsid w:val="004325E2"/>
    <w:rsid w:val="004328D7"/>
    <w:rsid w:val="00432ED4"/>
    <w:rsid w:val="00433101"/>
    <w:rsid w:val="00433478"/>
    <w:rsid w:val="0043368B"/>
    <w:rsid w:val="00433CA2"/>
    <w:rsid w:val="0043431A"/>
    <w:rsid w:val="0043457C"/>
    <w:rsid w:val="00434841"/>
    <w:rsid w:val="00434A63"/>
    <w:rsid w:val="00434D25"/>
    <w:rsid w:val="00435578"/>
    <w:rsid w:val="004360B1"/>
    <w:rsid w:val="00436283"/>
    <w:rsid w:val="00436528"/>
    <w:rsid w:val="00436B7A"/>
    <w:rsid w:val="0043742D"/>
    <w:rsid w:val="004374CB"/>
    <w:rsid w:val="00437ABC"/>
    <w:rsid w:val="004402BD"/>
    <w:rsid w:val="00441656"/>
    <w:rsid w:val="00441872"/>
    <w:rsid w:val="00441F84"/>
    <w:rsid w:val="004433DF"/>
    <w:rsid w:val="0044470C"/>
    <w:rsid w:val="004450D4"/>
    <w:rsid w:val="00445273"/>
    <w:rsid w:val="00445A24"/>
    <w:rsid w:val="00445CE7"/>
    <w:rsid w:val="004463B7"/>
    <w:rsid w:val="00446B85"/>
    <w:rsid w:val="00447AC0"/>
    <w:rsid w:val="0045053F"/>
    <w:rsid w:val="004506EA"/>
    <w:rsid w:val="00450DB9"/>
    <w:rsid w:val="0045117C"/>
    <w:rsid w:val="00451399"/>
    <w:rsid w:val="004513C5"/>
    <w:rsid w:val="004513F3"/>
    <w:rsid w:val="00452459"/>
    <w:rsid w:val="00454C6F"/>
    <w:rsid w:val="00454E83"/>
    <w:rsid w:val="00455636"/>
    <w:rsid w:val="0045581D"/>
    <w:rsid w:val="00455DCD"/>
    <w:rsid w:val="0045613F"/>
    <w:rsid w:val="00456611"/>
    <w:rsid w:val="004567CD"/>
    <w:rsid w:val="0045683E"/>
    <w:rsid w:val="00456D15"/>
    <w:rsid w:val="004571EA"/>
    <w:rsid w:val="004573BB"/>
    <w:rsid w:val="0045743E"/>
    <w:rsid w:val="00457A76"/>
    <w:rsid w:val="00457F76"/>
    <w:rsid w:val="00461C14"/>
    <w:rsid w:val="00461EA1"/>
    <w:rsid w:val="00462237"/>
    <w:rsid w:val="004622DC"/>
    <w:rsid w:val="00462BD0"/>
    <w:rsid w:val="00462D4B"/>
    <w:rsid w:val="004633B4"/>
    <w:rsid w:val="0046343A"/>
    <w:rsid w:val="00463AB1"/>
    <w:rsid w:val="00463D9A"/>
    <w:rsid w:val="00463FA0"/>
    <w:rsid w:val="00464680"/>
    <w:rsid w:val="0046518F"/>
    <w:rsid w:val="004668B4"/>
    <w:rsid w:val="0046711C"/>
    <w:rsid w:val="00467137"/>
    <w:rsid w:val="004673A3"/>
    <w:rsid w:val="0046755B"/>
    <w:rsid w:val="00467E76"/>
    <w:rsid w:val="004706AC"/>
    <w:rsid w:val="004708FB"/>
    <w:rsid w:val="00470959"/>
    <w:rsid w:val="004711CE"/>
    <w:rsid w:val="0047180A"/>
    <w:rsid w:val="0047188A"/>
    <w:rsid w:val="00472C95"/>
    <w:rsid w:val="004733A0"/>
    <w:rsid w:val="004737AC"/>
    <w:rsid w:val="0047432A"/>
    <w:rsid w:val="00474900"/>
    <w:rsid w:val="0047576B"/>
    <w:rsid w:val="004769C9"/>
    <w:rsid w:val="004777C0"/>
    <w:rsid w:val="004779C3"/>
    <w:rsid w:val="0048020B"/>
    <w:rsid w:val="00481ADB"/>
    <w:rsid w:val="00481CDB"/>
    <w:rsid w:val="00481E58"/>
    <w:rsid w:val="00482247"/>
    <w:rsid w:val="00482593"/>
    <w:rsid w:val="00482B02"/>
    <w:rsid w:val="00482DE8"/>
    <w:rsid w:val="00482E8C"/>
    <w:rsid w:val="0048329B"/>
    <w:rsid w:val="00483595"/>
    <w:rsid w:val="00483631"/>
    <w:rsid w:val="004838FD"/>
    <w:rsid w:val="00484163"/>
    <w:rsid w:val="00484A4D"/>
    <w:rsid w:val="00484DFE"/>
    <w:rsid w:val="0048546C"/>
    <w:rsid w:val="00485B60"/>
    <w:rsid w:val="00485D10"/>
    <w:rsid w:val="00486371"/>
    <w:rsid w:val="004868E9"/>
    <w:rsid w:val="00486C7F"/>
    <w:rsid w:val="00486F1F"/>
    <w:rsid w:val="0048722A"/>
    <w:rsid w:val="00487ADE"/>
    <w:rsid w:val="00487B2C"/>
    <w:rsid w:val="00487E97"/>
    <w:rsid w:val="004905BB"/>
    <w:rsid w:val="00490B49"/>
    <w:rsid w:val="00490BE8"/>
    <w:rsid w:val="00490C3F"/>
    <w:rsid w:val="00491852"/>
    <w:rsid w:val="00491CB8"/>
    <w:rsid w:val="00492019"/>
    <w:rsid w:val="0049214B"/>
    <w:rsid w:val="0049251B"/>
    <w:rsid w:val="00492985"/>
    <w:rsid w:val="00493697"/>
    <w:rsid w:val="00493BBF"/>
    <w:rsid w:val="00494081"/>
    <w:rsid w:val="004946FF"/>
    <w:rsid w:val="00494CB0"/>
    <w:rsid w:val="00494ECC"/>
    <w:rsid w:val="004950D9"/>
    <w:rsid w:val="004957E4"/>
    <w:rsid w:val="00495C21"/>
    <w:rsid w:val="00495EDC"/>
    <w:rsid w:val="004961A9"/>
    <w:rsid w:val="004963FE"/>
    <w:rsid w:val="00496405"/>
    <w:rsid w:val="004964F2"/>
    <w:rsid w:val="00496983"/>
    <w:rsid w:val="00496E0E"/>
    <w:rsid w:val="00496F1C"/>
    <w:rsid w:val="004971CD"/>
    <w:rsid w:val="00497ABA"/>
    <w:rsid w:val="004A00B6"/>
    <w:rsid w:val="004A03F2"/>
    <w:rsid w:val="004A0D87"/>
    <w:rsid w:val="004A1A00"/>
    <w:rsid w:val="004A1DCF"/>
    <w:rsid w:val="004A29A3"/>
    <w:rsid w:val="004A2E8B"/>
    <w:rsid w:val="004A3836"/>
    <w:rsid w:val="004A388B"/>
    <w:rsid w:val="004A42E8"/>
    <w:rsid w:val="004A45AC"/>
    <w:rsid w:val="004A48AD"/>
    <w:rsid w:val="004A4EA6"/>
    <w:rsid w:val="004A4F4C"/>
    <w:rsid w:val="004A56A4"/>
    <w:rsid w:val="004A610B"/>
    <w:rsid w:val="004A6270"/>
    <w:rsid w:val="004A643B"/>
    <w:rsid w:val="004A7A0C"/>
    <w:rsid w:val="004B1043"/>
    <w:rsid w:val="004B1347"/>
    <w:rsid w:val="004B15EB"/>
    <w:rsid w:val="004B1DDD"/>
    <w:rsid w:val="004B245C"/>
    <w:rsid w:val="004B246B"/>
    <w:rsid w:val="004B28E6"/>
    <w:rsid w:val="004B2C98"/>
    <w:rsid w:val="004B3953"/>
    <w:rsid w:val="004B3AF1"/>
    <w:rsid w:val="004B4171"/>
    <w:rsid w:val="004B4388"/>
    <w:rsid w:val="004B47E0"/>
    <w:rsid w:val="004B49FE"/>
    <w:rsid w:val="004B5284"/>
    <w:rsid w:val="004B587F"/>
    <w:rsid w:val="004B58C8"/>
    <w:rsid w:val="004B6493"/>
    <w:rsid w:val="004B659B"/>
    <w:rsid w:val="004B65E4"/>
    <w:rsid w:val="004B6DDE"/>
    <w:rsid w:val="004B6E48"/>
    <w:rsid w:val="004B70D0"/>
    <w:rsid w:val="004B7B45"/>
    <w:rsid w:val="004B7E55"/>
    <w:rsid w:val="004B7F15"/>
    <w:rsid w:val="004C02C8"/>
    <w:rsid w:val="004C044D"/>
    <w:rsid w:val="004C0AF3"/>
    <w:rsid w:val="004C0BB4"/>
    <w:rsid w:val="004C0F1A"/>
    <w:rsid w:val="004C1055"/>
    <w:rsid w:val="004C1911"/>
    <w:rsid w:val="004C207F"/>
    <w:rsid w:val="004C20D8"/>
    <w:rsid w:val="004C2532"/>
    <w:rsid w:val="004C3286"/>
    <w:rsid w:val="004C3329"/>
    <w:rsid w:val="004C3A56"/>
    <w:rsid w:val="004C4971"/>
    <w:rsid w:val="004C4DAD"/>
    <w:rsid w:val="004C4EE8"/>
    <w:rsid w:val="004C50BB"/>
    <w:rsid w:val="004C55D4"/>
    <w:rsid w:val="004C5B60"/>
    <w:rsid w:val="004C77C6"/>
    <w:rsid w:val="004C7AA9"/>
    <w:rsid w:val="004C7CF5"/>
    <w:rsid w:val="004D013B"/>
    <w:rsid w:val="004D0147"/>
    <w:rsid w:val="004D0187"/>
    <w:rsid w:val="004D0734"/>
    <w:rsid w:val="004D1994"/>
    <w:rsid w:val="004D1BD4"/>
    <w:rsid w:val="004D29E5"/>
    <w:rsid w:val="004D3275"/>
    <w:rsid w:val="004D32D3"/>
    <w:rsid w:val="004D3564"/>
    <w:rsid w:val="004D3688"/>
    <w:rsid w:val="004D3F85"/>
    <w:rsid w:val="004D4254"/>
    <w:rsid w:val="004D562E"/>
    <w:rsid w:val="004D5C87"/>
    <w:rsid w:val="004D608D"/>
    <w:rsid w:val="004D6263"/>
    <w:rsid w:val="004D6DF4"/>
    <w:rsid w:val="004D7202"/>
    <w:rsid w:val="004D76DC"/>
    <w:rsid w:val="004D7782"/>
    <w:rsid w:val="004D7A17"/>
    <w:rsid w:val="004D7D4F"/>
    <w:rsid w:val="004E0287"/>
    <w:rsid w:val="004E0300"/>
    <w:rsid w:val="004E059B"/>
    <w:rsid w:val="004E082C"/>
    <w:rsid w:val="004E2136"/>
    <w:rsid w:val="004E2252"/>
    <w:rsid w:val="004E225B"/>
    <w:rsid w:val="004E2744"/>
    <w:rsid w:val="004E2E77"/>
    <w:rsid w:val="004E3064"/>
    <w:rsid w:val="004E35B4"/>
    <w:rsid w:val="004E3657"/>
    <w:rsid w:val="004E3736"/>
    <w:rsid w:val="004E3738"/>
    <w:rsid w:val="004E3F5E"/>
    <w:rsid w:val="004E43CE"/>
    <w:rsid w:val="004E4533"/>
    <w:rsid w:val="004E4909"/>
    <w:rsid w:val="004E4DE9"/>
    <w:rsid w:val="004E4E3E"/>
    <w:rsid w:val="004E50A9"/>
    <w:rsid w:val="004E5CAF"/>
    <w:rsid w:val="004E5D73"/>
    <w:rsid w:val="004E5E03"/>
    <w:rsid w:val="004E6566"/>
    <w:rsid w:val="004E67CA"/>
    <w:rsid w:val="004E69E4"/>
    <w:rsid w:val="004E70ED"/>
    <w:rsid w:val="004E7178"/>
    <w:rsid w:val="004E717D"/>
    <w:rsid w:val="004E7C7F"/>
    <w:rsid w:val="004E7D2D"/>
    <w:rsid w:val="004F0615"/>
    <w:rsid w:val="004F07C6"/>
    <w:rsid w:val="004F0939"/>
    <w:rsid w:val="004F182B"/>
    <w:rsid w:val="004F2141"/>
    <w:rsid w:val="004F2304"/>
    <w:rsid w:val="004F30CB"/>
    <w:rsid w:val="004F33DD"/>
    <w:rsid w:val="004F36D2"/>
    <w:rsid w:val="004F4730"/>
    <w:rsid w:val="004F4941"/>
    <w:rsid w:val="004F4DC2"/>
    <w:rsid w:val="004F53B1"/>
    <w:rsid w:val="004F630F"/>
    <w:rsid w:val="004F631D"/>
    <w:rsid w:val="004F6900"/>
    <w:rsid w:val="004F7753"/>
    <w:rsid w:val="004F7763"/>
    <w:rsid w:val="005007D0"/>
    <w:rsid w:val="00500B14"/>
    <w:rsid w:val="00500BBA"/>
    <w:rsid w:val="00501350"/>
    <w:rsid w:val="0050142D"/>
    <w:rsid w:val="00501F95"/>
    <w:rsid w:val="0050254D"/>
    <w:rsid w:val="005028E8"/>
    <w:rsid w:val="00503A7C"/>
    <w:rsid w:val="00503E28"/>
    <w:rsid w:val="00503E7B"/>
    <w:rsid w:val="00504AD4"/>
    <w:rsid w:val="00505449"/>
    <w:rsid w:val="0050567F"/>
    <w:rsid w:val="005056EF"/>
    <w:rsid w:val="00506DD5"/>
    <w:rsid w:val="005100CA"/>
    <w:rsid w:val="00510657"/>
    <w:rsid w:val="00510A6B"/>
    <w:rsid w:val="0051127C"/>
    <w:rsid w:val="005113A9"/>
    <w:rsid w:val="0051166A"/>
    <w:rsid w:val="00511B7E"/>
    <w:rsid w:val="00512481"/>
    <w:rsid w:val="0051362E"/>
    <w:rsid w:val="00514A6A"/>
    <w:rsid w:val="00514D14"/>
    <w:rsid w:val="00514F9F"/>
    <w:rsid w:val="00514FE7"/>
    <w:rsid w:val="0051575F"/>
    <w:rsid w:val="00516D89"/>
    <w:rsid w:val="00516EF1"/>
    <w:rsid w:val="005175DA"/>
    <w:rsid w:val="0052011E"/>
    <w:rsid w:val="00520404"/>
    <w:rsid w:val="005206B3"/>
    <w:rsid w:val="00520D9D"/>
    <w:rsid w:val="00521384"/>
    <w:rsid w:val="0052160A"/>
    <w:rsid w:val="005222C7"/>
    <w:rsid w:val="00522C0B"/>
    <w:rsid w:val="0052302A"/>
    <w:rsid w:val="00523863"/>
    <w:rsid w:val="00523991"/>
    <w:rsid w:val="00523C7C"/>
    <w:rsid w:val="00524168"/>
    <w:rsid w:val="00525E9E"/>
    <w:rsid w:val="00526572"/>
    <w:rsid w:val="005271F6"/>
    <w:rsid w:val="0052749F"/>
    <w:rsid w:val="00527648"/>
    <w:rsid w:val="00527DE0"/>
    <w:rsid w:val="00530748"/>
    <w:rsid w:val="00531A6A"/>
    <w:rsid w:val="00531A92"/>
    <w:rsid w:val="00531BAB"/>
    <w:rsid w:val="005325AD"/>
    <w:rsid w:val="00532852"/>
    <w:rsid w:val="0053349D"/>
    <w:rsid w:val="005336D5"/>
    <w:rsid w:val="005339D4"/>
    <w:rsid w:val="00533FE1"/>
    <w:rsid w:val="00534422"/>
    <w:rsid w:val="005348A0"/>
    <w:rsid w:val="0053496E"/>
    <w:rsid w:val="00535061"/>
    <w:rsid w:val="005354C5"/>
    <w:rsid w:val="00535CC5"/>
    <w:rsid w:val="0053676A"/>
    <w:rsid w:val="005368F5"/>
    <w:rsid w:val="00536B3A"/>
    <w:rsid w:val="00536CFC"/>
    <w:rsid w:val="0053719D"/>
    <w:rsid w:val="00537259"/>
    <w:rsid w:val="00537E56"/>
    <w:rsid w:val="00537FC8"/>
    <w:rsid w:val="005400A4"/>
    <w:rsid w:val="00540495"/>
    <w:rsid w:val="00540B56"/>
    <w:rsid w:val="00540E1B"/>
    <w:rsid w:val="0054110C"/>
    <w:rsid w:val="00541197"/>
    <w:rsid w:val="005411D3"/>
    <w:rsid w:val="00541637"/>
    <w:rsid w:val="00541C83"/>
    <w:rsid w:val="00541F4B"/>
    <w:rsid w:val="00542336"/>
    <w:rsid w:val="0054271C"/>
    <w:rsid w:val="00542D2A"/>
    <w:rsid w:val="00544C5F"/>
    <w:rsid w:val="00545B4D"/>
    <w:rsid w:val="00546384"/>
    <w:rsid w:val="00546AE4"/>
    <w:rsid w:val="00546D08"/>
    <w:rsid w:val="00546EB2"/>
    <w:rsid w:val="00546FB4"/>
    <w:rsid w:val="005479DA"/>
    <w:rsid w:val="00547D21"/>
    <w:rsid w:val="0055029F"/>
    <w:rsid w:val="0055051C"/>
    <w:rsid w:val="0055081E"/>
    <w:rsid w:val="00551022"/>
    <w:rsid w:val="00551192"/>
    <w:rsid w:val="0055130D"/>
    <w:rsid w:val="00551602"/>
    <w:rsid w:val="00551621"/>
    <w:rsid w:val="0055229E"/>
    <w:rsid w:val="0055277E"/>
    <w:rsid w:val="005529D9"/>
    <w:rsid w:val="005531E6"/>
    <w:rsid w:val="0055358D"/>
    <w:rsid w:val="00553710"/>
    <w:rsid w:val="00553843"/>
    <w:rsid w:val="005539BD"/>
    <w:rsid w:val="00553EF0"/>
    <w:rsid w:val="00553F8B"/>
    <w:rsid w:val="005542F1"/>
    <w:rsid w:val="00554627"/>
    <w:rsid w:val="00554EE7"/>
    <w:rsid w:val="00555AD1"/>
    <w:rsid w:val="005565CC"/>
    <w:rsid w:val="0055768A"/>
    <w:rsid w:val="00560A5B"/>
    <w:rsid w:val="00560B6F"/>
    <w:rsid w:val="005615DC"/>
    <w:rsid w:val="0056168B"/>
    <w:rsid w:val="005617D8"/>
    <w:rsid w:val="00561AEF"/>
    <w:rsid w:val="00561E42"/>
    <w:rsid w:val="00562158"/>
    <w:rsid w:val="0056254D"/>
    <w:rsid w:val="005626F9"/>
    <w:rsid w:val="005628EA"/>
    <w:rsid w:val="00563285"/>
    <w:rsid w:val="005641D8"/>
    <w:rsid w:val="005643A6"/>
    <w:rsid w:val="00564564"/>
    <w:rsid w:val="00564DB4"/>
    <w:rsid w:val="00564F33"/>
    <w:rsid w:val="0056507F"/>
    <w:rsid w:val="0056532F"/>
    <w:rsid w:val="00565A85"/>
    <w:rsid w:val="0056611E"/>
    <w:rsid w:val="00566305"/>
    <w:rsid w:val="00567A3F"/>
    <w:rsid w:val="00567F7E"/>
    <w:rsid w:val="00570214"/>
    <w:rsid w:val="00570568"/>
    <w:rsid w:val="00570689"/>
    <w:rsid w:val="00571293"/>
    <w:rsid w:val="00571681"/>
    <w:rsid w:val="00571C81"/>
    <w:rsid w:val="005720B8"/>
    <w:rsid w:val="00572299"/>
    <w:rsid w:val="005726B3"/>
    <w:rsid w:val="00572AF1"/>
    <w:rsid w:val="00572E35"/>
    <w:rsid w:val="00573C2B"/>
    <w:rsid w:val="00573FA0"/>
    <w:rsid w:val="0057489E"/>
    <w:rsid w:val="005752F7"/>
    <w:rsid w:val="0057588D"/>
    <w:rsid w:val="00576803"/>
    <w:rsid w:val="0057684E"/>
    <w:rsid w:val="00576B12"/>
    <w:rsid w:val="0057765E"/>
    <w:rsid w:val="0057771B"/>
    <w:rsid w:val="00577861"/>
    <w:rsid w:val="00577C82"/>
    <w:rsid w:val="005804A9"/>
    <w:rsid w:val="00580BFA"/>
    <w:rsid w:val="00580E82"/>
    <w:rsid w:val="005811EF"/>
    <w:rsid w:val="00581457"/>
    <w:rsid w:val="00581697"/>
    <w:rsid w:val="005816B0"/>
    <w:rsid w:val="00581719"/>
    <w:rsid w:val="00582366"/>
    <w:rsid w:val="005823CF"/>
    <w:rsid w:val="00582575"/>
    <w:rsid w:val="00582F80"/>
    <w:rsid w:val="00583A07"/>
    <w:rsid w:val="0058414D"/>
    <w:rsid w:val="00584B76"/>
    <w:rsid w:val="0058553B"/>
    <w:rsid w:val="005867D1"/>
    <w:rsid w:val="005869E0"/>
    <w:rsid w:val="005871DC"/>
    <w:rsid w:val="00587AE7"/>
    <w:rsid w:val="00590023"/>
    <w:rsid w:val="00590B54"/>
    <w:rsid w:val="0059156C"/>
    <w:rsid w:val="00591985"/>
    <w:rsid w:val="005924B6"/>
    <w:rsid w:val="005925D0"/>
    <w:rsid w:val="005927CF"/>
    <w:rsid w:val="00592BF9"/>
    <w:rsid w:val="00592D42"/>
    <w:rsid w:val="00592E3E"/>
    <w:rsid w:val="0059392F"/>
    <w:rsid w:val="00593EF9"/>
    <w:rsid w:val="00594182"/>
    <w:rsid w:val="005945CD"/>
    <w:rsid w:val="00595E58"/>
    <w:rsid w:val="00595FA3"/>
    <w:rsid w:val="00596198"/>
    <w:rsid w:val="00596B0C"/>
    <w:rsid w:val="00596F50"/>
    <w:rsid w:val="005973FC"/>
    <w:rsid w:val="005979D4"/>
    <w:rsid w:val="00597BA5"/>
    <w:rsid w:val="005A0302"/>
    <w:rsid w:val="005A0E8F"/>
    <w:rsid w:val="005A0EBE"/>
    <w:rsid w:val="005A11E2"/>
    <w:rsid w:val="005A1270"/>
    <w:rsid w:val="005A1A24"/>
    <w:rsid w:val="005A1F41"/>
    <w:rsid w:val="005A2669"/>
    <w:rsid w:val="005A27FF"/>
    <w:rsid w:val="005A28C8"/>
    <w:rsid w:val="005A2B0C"/>
    <w:rsid w:val="005A2B12"/>
    <w:rsid w:val="005A2B6B"/>
    <w:rsid w:val="005A3323"/>
    <w:rsid w:val="005A345C"/>
    <w:rsid w:val="005A38D2"/>
    <w:rsid w:val="005A3A87"/>
    <w:rsid w:val="005A3E49"/>
    <w:rsid w:val="005A5304"/>
    <w:rsid w:val="005A57A3"/>
    <w:rsid w:val="005A63C8"/>
    <w:rsid w:val="005A69E9"/>
    <w:rsid w:val="005A7444"/>
    <w:rsid w:val="005A7708"/>
    <w:rsid w:val="005A778D"/>
    <w:rsid w:val="005A7ECA"/>
    <w:rsid w:val="005B0400"/>
    <w:rsid w:val="005B0930"/>
    <w:rsid w:val="005B0F2B"/>
    <w:rsid w:val="005B1297"/>
    <w:rsid w:val="005B1538"/>
    <w:rsid w:val="005B1716"/>
    <w:rsid w:val="005B1C05"/>
    <w:rsid w:val="005B1EC3"/>
    <w:rsid w:val="005B1F69"/>
    <w:rsid w:val="005B21E6"/>
    <w:rsid w:val="005B21F7"/>
    <w:rsid w:val="005B2350"/>
    <w:rsid w:val="005B2A42"/>
    <w:rsid w:val="005B2E7D"/>
    <w:rsid w:val="005B3455"/>
    <w:rsid w:val="005B3732"/>
    <w:rsid w:val="005B4588"/>
    <w:rsid w:val="005B4C69"/>
    <w:rsid w:val="005B4D4F"/>
    <w:rsid w:val="005B5C6A"/>
    <w:rsid w:val="005B5FFA"/>
    <w:rsid w:val="005B6288"/>
    <w:rsid w:val="005B666D"/>
    <w:rsid w:val="005B6C8F"/>
    <w:rsid w:val="005B710D"/>
    <w:rsid w:val="005B77D0"/>
    <w:rsid w:val="005B780B"/>
    <w:rsid w:val="005B78AA"/>
    <w:rsid w:val="005B7A5E"/>
    <w:rsid w:val="005B7B0D"/>
    <w:rsid w:val="005B7B59"/>
    <w:rsid w:val="005B7C31"/>
    <w:rsid w:val="005C01A2"/>
    <w:rsid w:val="005C047E"/>
    <w:rsid w:val="005C0D4E"/>
    <w:rsid w:val="005C1078"/>
    <w:rsid w:val="005C24C0"/>
    <w:rsid w:val="005C275B"/>
    <w:rsid w:val="005C28C8"/>
    <w:rsid w:val="005C2F7B"/>
    <w:rsid w:val="005C3D42"/>
    <w:rsid w:val="005C4FCC"/>
    <w:rsid w:val="005C51ED"/>
    <w:rsid w:val="005C55F4"/>
    <w:rsid w:val="005C562F"/>
    <w:rsid w:val="005C6300"/>
    <w:rsid w:val="005C6314"/>
    <w:rsid w:val="005C6904"/>
    <w:rsid w:val="005C75CB"/>
    <w:rsid w:val="005C7E1C"/>
    <w:rsid w:val="005D0235"/>
    <w:rsid w:val="005D0A2C"/>
    <w:rsid w:val="005D117E"/>
    <w:rsid w:val="005D171B"/>
    <w:rsid w:val="005D1914"/>
    <w:rsid w:val="005D1A85"/>
    <w:rsid w:val="005D1C20"/>
    <w:rsid w:val="005D1CC0"/>
    <w:rsid w:val="005D27A7"/>
    <w:rsid w:val="005D3087"/>
    <w:rsid w:val="005D3252"/>
    <w:rsid w:val="005D39DB"/>
    <w:rsid w:val="005D4255"/>
    <w:rsid w:val="005D4BEF"/>
    <w:rsid w:val="005D5026"/>
    <w:rsid w:val="005D5E90"/>
    <w:rsid w:val="005D5F11"/>
    <w:rsid w:val="005D70C6"/>
    <w:rsid w:val="005D738A"/>
    <w:rsid w:val="005D73AC"/>
    <w:rsid w:val="005D76E6"/>
    <w:rsid w:val="005E088F"/>
    <w:rsid w:val="005E0EAC"/>
    <w:rsid w:val="005E0F76"/>
    <w:rsid w:val="005E11FE"/>
    <w:rsid w:val="005E1E90"/>
    <w:rsid w:val="005E2823"/>
    <w:rsid w:val="005E319E"/>
    <w:rsid w:val="005E3283"/>
    <w:rsid w:val="005E33FE"/>
    <w:rsid w:val="005E34F3"/>
    <w:rsid w:val="005E4062"/>
    <w:rsid w:val="005E40BB"/>
    <w:rsid w:val="005E59DE"/>
    <w:rsid w:val="005E5A39"/>
    <w:rsid w:val="005E619A"/>
    <w:rsid w:val="005E62F7"/>
    <w:rsid w:val="005E6C9A"/>
    <w:rsid w:val="005E71A8"/>
    <w:rsid w:val="005E735F"/>
    <w:rsid w:val="005F08B4"/>
    <w:rsid w:val="005F0CD0"/>
    <w:rsid w:val="005F0F44"/>
    <w:rsid w:val="005F1587"/>
    <w:rsid w:val="005F17AC"/>
    <w:rsid w:val="005F182A"/>
    <w:rsid w:val="005F1C33"/>
    <w:rsid w:val="005F1CE5"/>
    <w:rsid w:val="005F1F0B"/>
    <w:rsid w:val="005F20DD"/>
    <w:rsid w:val="005F2D43"/>
    <w:rsid w:val="005F2E9B"/>
    <w:rsid w:val="005F2F03"/>
    <w:rsid w:val="005F31CA"/>
    <w:rsid w:val="005F38CA"/>
    <w:rsid w:val="005F4018"/>
    <w:rsid w:val="005F4425"/>
    <w:rsid w:val="005F4D3D"/>
    <w:rsid w:val="005F4F71"/>
    <w:rsid w:val="005F5271"/>
    <w:rsid w:val="005F5661"/>
    <w:rsid w:val="005F5EE9"/>
    <w:rsid w:val="005F636F"/>
    <w:rsid w:val="005F6CB2"/>
    <w:rsid w:val="005F78B3"/>
    <w:rsid w:val="0060074B"/>
    <w:rsid w:val="00600773"/>
    <w:rsid w:val="006007F6"/>
    <w:rsid w:val="00600A53"/>
    <w:rsid w:val="00600DA8"/>
    <w:rsid w:val="00600DE3"/>
    <w:rsid w:val="0060118B"/>
    <w:rsid w:val="006012E0"/>
    <w:rsid w:val="0060147E"/>
    <w:rsid w:val="00601914"/>
    <w:rsid w:val="00601FA5"/>
    <w:rsid w:val="00602BE3"/>
    <w:rsid w:val="00602D32"/>
    <w:rsid w:val="00603034"/>
    <w:rsid w:val="00603872"/>
    <w:rsid w:val="00603EA4"/>
    <w:rsid w:val="00604167"/>
    <w:rsid w:val="00604F0D"/>
    <w:rsid w:val="006058D5"/>
    <w:rsid w:val="00606470"/>
    <w:rsid w:val="006065C1"/>
    <w:rsid w:val="00606DA6"/>
    <w:rsid w:val="0060741D"/>
    <w:rsid w:val="0060767E"/>
    <w:rsid w:val="0061084D"/>
    <w:rsid w:val="00610B14"/>
    <w:rsid w:val="0061139A"/>
    <w:rsid w:val="0061177F"/>
    <w:rsid w:val="00611CC7"/>
    <w:rsid w:val="0061240F"/>
    <w:rsid w:val="006127D4"/>
    <w:rsid w:val="00612B68"/>
    <w:rsid w:val="0061337C"/>
    <w:rsid w:val="006138FF"/>
    <w:rsid w:val="00613991"/>
    <w:rsid w:val="00613B06"/>
    <w:rsid w:val="00615735"/>
    <w:rsid w:val="00615CC5"/>
    <w:rsid w:val="0061659C"/>
    <w:rsid w:val="00616D7C"/>
    <w:rsid w:val="006177EA"/>
    <w:rsid w:val="006201D5"/>
    <w:rsid w:val="00620809"/>
    <w:rsid w:val="00620FE3"/>
    <w:rsid w:val="006210C6"/>
    <w:rsid w:val="006213FF"/>
    <w:rsid w:val="006215F9"/>
    <w:rsid w:val="00621DDE"/>
    <w:rsid w:val="00622562"/>
    <w:rsid w:val="00622761"/>
    <w:rsid w:val="00622B44"/>
    <w:rsid w:val="00622C2D"/>
    <w:rsid w:val="00622D5B"/>
    <w:rsid w:val="00622DF3"/>
    <w:rsid w:val="00622E81"/>
    <w:rsid w:val="00623169"/>
    <w:rsid w:val="006235F7"/>
    <w:rsid w:val="0062480C"/>
    <w:rsid w:val="00624D53"/>
    <w:rsid w:val="00624EBE"/>
    <w:rsid w:val="00625133"/>
    <w:rsid w:val="00625144"/>
    <w:rsid w:val="0062567C"/>
    <w:rsid w:val="0062582F"/>
    <w:rsid w:val="00626DC8"/>
    <w:rsid w:val="00627343"/>
    <w:rsid w:val="00627618"/>
    <w:rsid w:val="0063050D"/>
    <w:rsid w:val="00630808"/>
    <w:rsid w:val="006309B2"/>
    <w:rsid w:val="00631165"/>
    <w:rsid w:val="006318D1"/>
    <w:rsid w:val="00631FAF"/>
    <w:rsid w:val="006320D3"/>
    <w:rsid w:val="0063236F"/>
    <w:rsid w:val="006323B2"/>
    <w:rsid w:val="006324C1"/>
    <w:rsid w:val="0063348A"/>
    <w:rsid w:val="00633905"/>
    <w:rsid w:val="00634699"/>
    <w:rsid w:val="00634C2C"/>
    <w:rsid w:val="00634DD3"/>
    <w:rsid w:val="0063588D"/>
    <w:rsid w:val="00635FD5"/>
    <w:rsid w:val="0063710A"/>
    <w:rsid w:val="00637157"/>
    <w:rsid w:val="006379E7"/>
    <w:rsid w:val="00637B29"/>
    <w:rsid w:val="00637F76"/>
    <w:rsid w:val="00640372"/>
    <w:rsid w:val="00640E30"/>
    <w:rsid w:val="006411CC"/>
    <w:rsid w:val="006415F1"/>
    <w:rsid w:val="00641897"/>
    <w:rsid w:val="00641D98"/>
    <w:rsid w:val="00642340"/>
    <w:rsid w:val="006429A8"/>
    <w:rsid w:val="00642A28"/>
    <w:rsid w:val="00642DFC"/>
    <w:rsid w:val="00642EC6"/>
    <w:rsid w:val="006437E9"/>
    <w:rsid w:val="00643DD3"/>
    <w:rsid w:val="00643FB5"/>
    <w:rsid w:val="006442FD"/>
    <w:rsid w:val="006447EC"/>
    <w:rsid w:val="00644DC0"/>
    <w:rsid w:val="00645620"/>
    <w:rsid w:val="00645EA9"/>
    <w:rsid w:val="006462DC"/>
    <w:rsid w:val="00646745"/>
    <w:rsid w:val="00646CFD"/>
    <w:rsid w:val="00647191"/>
    <w:rsid w:val="00647245"/>
    <w:rsid w:val="0064727F"/>
    <w:rsid w:val="0064754F"/>
    <w:rsid w:val="006478CC"/>
    <w:rsid w:val="00647CEF"/>
    <w:rsid w:val="00647EFA"/>
    <w:rsid w:val="006501A9"/>
    <w:rsid w:val="00650284"/>
    <w:rsid w:val="00650DA0"/>
    <w:rsid w:val="0065130B"/>
    <w:rsid w:val="006516FC"/>
    <w:rsid w:val="00652273"/>
    <w:rsid w:val="006522E9"/>
    <w:rsid w:val="0065340B"/>
    <w:rsid w:val="00653649"/>
    <w:rsid w:val="00653782"/>
    <w:rsid w:val="00654BC3"/>
    <w:rsid w:val="00655474"/>
    <w:rsid w:val="0065556C"/>
    <w:rsid w:val="00655D34"/>
    <w:rsid w:val="006564FF"/>
    <w:rsid w:val="00656509"/>
    <w:rsid w:val="00656607"/>
    <w:rsid w:val="006567D6"/>
    <w:rsid w:val="006575AA"/>
    <w:rsid w:val="00657721"/>
    <w:rsid w:val="00657CF9"/>
    <w:rsid w:val="00657EC5"/>
    <w:rsid w:val="00657F82"/>
    <w:rsid w:val="0066015E"/>
    <w:rsid w:val="00660A72"/>
    <w:rsid w:val="00660D0A"/>
    <w:rsid w:val="006610E5"/>
    <w:rsid w:val="00661953"/>
    <w:rsid w:val="00662158"/>
    <w:rsid w:val="00662469"/>
    <w:rsid w:val="006629D9"/>
    <w:rsid w:val="00663C1A"/>
    <w:rsid w:val="00664041"/>
    <w:rsid w:val="0066411D"/>
    <w:rsid w:val="006647E2"/>
    <w:rsid w:val="00664B91"/>
    <w:rsid w:val="00664E53"/>
    <w:rsid w:val="00665A1C"/>
    <w:rsid w:val="00666393"/>
    <w:rsid w:val="006665FD"/>
    <w:rsid w:val="006670AD"/>
    <w:rsid w:val="006670FA"/>
    <w:rsid w:val="006673B3"/>
    <w:rsid w:val="006673EE"/>
    <w:rsid w:val="00667689"/>
    <w:rsid w:val="00667B8E"/>
    <w:rsid w:val="00667C09"/>
    <w:rsid w:val="00670666"/>
    <w:rsid w:val="0067073B"/>
    <w:rsid w:val="00670C22"/>
    <w:rsid w:val="00670F95"/>
    <w:rsid w:val="00671895"/>
    <w:rsid w:val="00671AB3"/>
    <w:rsid w:val="006721D4"/>
    <w:rsid w:val="00672958"/>
    <w:rsid w:val="00672FD6"/>
    <w:rsid w:val="0067310A"/>
    <w:rsid w:val="00673172"/>
    <w:rsid w:val="00673E0F"/>
    <w:rsid w:val="00673F3B"/>
    <w:rsid w:val="00674A99"/>
    <w:rsid w:val="00674E3B"/>
    <w:rsid w:val="00675018"/>
    <w:rsid w:val="0067514A"/>
    <w:rsid w:val="00675A6E"/>
    <w:rsid w:val="00675B18"/>
    <w:rsid w:val="00676293"/>
    <w:rsid w:val="00676680"/>
    <w:rsid w:val="006769D5"/>
    <w:rsid w:val="00676FB1"/>
    <w:rsid w:val="006771CD"/>
    <w:rsid w:val="006772DE"/>
    <w:rsid w:val="006776B4"/>
    <w:rsid w:val="006802B7"/>
    <w:rsid w:val="00680433"/>
    <w:rsid w:val="006805F2"/>
    <w:rsid w:val="00680D21"/>
    <w:rsid w:val="00680EB4"/>
    <w:rsid w:val="006817A5"/>
    <w:rsid w:val="00681B9A"/>
    <w:rsid w:val="00681E1F"/>
    <w:rsid w:val="0068233A"/>
    <w:rsid w:val="00682851"/>
    <w:rsid w:val="00682F9E"/>
    <w:rsid w:val="00683530"/>
    <w:rsid w:val="0068417D"/>
    <w:rsid w:val="00684F4A"/>
    <w:rsid w:val="0068571A"/>
    <w:rsid w:val="00686AAB"/>
    <w:rsid w:val="00686BB5"/>
    <w:rsid w:val="00686C75"/>
    <w:rsid w:val="00687710"/>
    <w:rsid w:val="006911F1"/>
    <w:rsid w:val="006916C5"/>
    <w:rsid w:val="00691845"/>
    <w:rsid w:val="006924C2"/>
    <w:rsid w:val="00693009"/>
    <w:rsid w:val="006933BB"/>
    <w:rsid w:val="00693F5A"/>
    <w:rsid w:val="00693F95"/>
    <w:rsid w:val="00693FDE"/>
    <w:rsid w:val="00694970"/>
    <w:rsid w:val="00695B7E"/>
    <w:rsid w:val="00695D45"/>
    <w:rsid w:val="00695EC8"/>
    <w:rsid w:val="006969B7"/>
    <w:rsid w:val="00696B12"/>
    <w:rsid w:val="00696BA5"/>
    <w:rsid w:val="00696FC9"/>
    <w:rsid w:val="006972B4"/>
    <w:rsid w:val="00697B5C"/>
    <w:rsid w:val="00697C89"/>
    <w:rsid w:val="006A00ED"/>
    <w:rsid w:val="006A0D12"/>
    <w:rsid w:val="006A161E"/>
    <w:rsid w:val="006A227C"/>
    <w:rsid w:val="006A2BE9"/>
    <w:rsid w:val="006A3C84"/>
    <w:rsid w:val="006A3DD6"/>
    <w:rsid w:val="006A44CF"/>
    <w:rsid w:val="006A457C"/>
    <w:rsid w:val="006A46E5"/>
    <w:rsid w:val="006A4DD2"/>
    <w:rsid w:val="006A4FE2"/>
    <w:rsid w:val="006A50C4"/>
    <w:rsid w:val="006A552F"/>
    <w:rsid w:val="006A6042"/>
    <w:rsid w:val="006A6693"/>
    <w:rsid w:val="006A74A8"/>
    <w:rsid w:val="006A7D3F"/>
    <w:rsid w:val="006B0535"/>
    <w:rsid w:val="006B0AB2"/>
    <w:rsid w:val="006B0B78"/>
    <w:rsid w:val="006B0C38"/>
    <w:rsid w:val="006B0DA4"/>
    <w:rsid w:val="006B1785"/>
    <w:rsid w:val="006B17F2"/>
    <w:rsid w:val="006B1D6E"/>
    <w:rsid w:val="006B2230"/>
    <w:rsid w:val="006B2F09"/>
    <w:rsid w:val="006B4707"/>
    <w:rsid w:val="006B4858"/>
    <w:rsid w:val="006B50A3"/>
    <w:rsid w:val="006B50DA"/>
    <w:rsid w:val="006B54D0"/>
    <w:rsid w:val="006B5528"/>
    <w:rsid w:val="006B55DA"/>
    <w:rsid w:val="006B63BA"/>
    <w:rsid w:val="006B66B2"/>
    <w:rsid w:val="006B75A4"/>
    <w:rsid w:val="006B78B6"/>
    <w:rsid w:val="006B7B14"/>
    <w:rsid w:val="006C0B7E"/>
    <w:rsid w:val="006C0D1E"/>
    <w:rsid w:val="006C134D"/>
    <w:rsid w:val="006C149E"/>
    <w:rsid w:val="006C16BE"/>
    <w:rsid w:val="006C23B6"/>
    <w:rsid w:val="006C2795"/>
    <w:rsid w:val="006C2F2B"/>
    <w:rsid w:val="006C3030"/>
    <w:rsid w:val="006C4162"/>
    <w:rsid w:val="006C461D"/>
    <w:rsid w:val="006C4FC0"/>
    <w:rsid w:val="006C5622"/>
    <w:rsid w:val="006C5991"/>
    <w:rsid w:val="006C632F"/>
    <w:rsid w:val="006C63BC"/>
    <w:rsid w:val="006C65D6"/>
    <w:rsid w:val="006C704B"/>
    <w:rsid w:val="006D064A"/>
    <w:rsid w:val="006D075E"/>
    <w:rsid w:val="006D080E"/>
    <w:rsid w:val="006D13B8"/>
    <w:rsid w:val="006D218E"/>
    <w:rsid w:val="006D25B4"/>
    <w:rsid w:val="006D2E19"/>
    <w:rsid w:val="006D436A"/>
    <w:rsid w:val="006D547D"/>
    <w:rsid w:val="006D5943"/>
    <w:rsid w:val="006D5E2C"/>
    <w:rsid w:val="006D6C64"/>
    <w:rsid w:val="006D76D8"/>
    <w:rsid w:val="006E0B4F"/>
    <w:rsid w:val="006E0D20"/>
    <w:rsid w:val="006E0FC7"/>
    <w:rsid w:val="006E16F3"/>
    <w:rsid w:val="006E17B9"/>
    <w:rsid w:val="006E18DF"/>
    <w:rsid w:val="006E18FF"/>
    <w:rsid w:val="006E1C9A"/>
    <w:rsid w:val="006E2093"/>
    <w:rsid w:val="006E28EA"/>
    <w:rsid w:val="006E2D59"/>
    <w:rsid w:val="006E2DDB"/>
    <w:rsid w:val="006E2F23"/>
    <w:rsid w:val="006E35BB"/>
    <w:rsid w:val="006E37A2"/>
    <w:rsid w:val="006E39A4"/>
    <w:rsid w:val="006E419E"/>
    <w:rsid w:val="006E420E"/>
    <w:rsid w:val="006E4E9B"/>
    <w:rsid w:val="006E6022"/>
    <w:rsid w:val="006E6172"/>
    <w:rsid w:val="006E629F"/>
    <w:rsid w:val="006E6759"/>
    <w:rsid w:val="006E6A7A"/>
    <w:rsid w:val="006F07D3"/>
    <w:rsid w:val="006F10B5"/>
    <w:rsid w:val="006F12F2"/>
    <w:rsid w:val="006F1FC6"/>
    <w:rsid w:val="006F2605"/>
    <w:rsid w:val="006F2A0A"/>
    <w:rsid w:val="006F2C5E"/>
    <w:rsid w:val="006F2D2F"/>
    <w:rsid w:val="006F3376"/>
    <w:rsid w:val="006F34A3"/>
    <w:rsid w:val="006F36EC"/>
    <w:rsid w:val="006F37C6"/>
    <w:rsid w:val="006F4555"/>
    <w:rsid w:val="006F4C2F"/>
    <w:rsid w:val="006F4D0A"/>
    <w:rsid w:val="006F4DDD"/>
    <w:rsid w:val="006F5E31"/>
    <w:rsid w:val="006F6454"/>
    <w:rsid w:val="006F6905"/>
    <w:rsid w:val="006F6D69"/>
    <w:rsid w:val="006F77CC"/>
    <w:rsid w:val="006F7F5B"/>
    <w:rsid w:val="00700397"/>
    <w:rsid w:val="00700AE9"/>
    <w:rsid w:val="00700E8D"/>
    <w:rsid w:val="00700EA8"/>
    <w:rsid w:val="007019D4"/>
    <w:rsid w:val="00701CF3"/>
    <w:rsid w:val="00702078"/>
    <w:rsid w:val="00703131"/>
    <w:rsid w:val="00703863"/>
    <w:rsid w:val="00703A83"/>
    <w:rsid w:val="00703C15"/>
    <w:rsid w:val="007040CE"/>
    <w:rsid w:val="00705AEA"/>
    <w:rsid w:val="00706596"/>
    <w:rsid w:val="00706EB6"/>
    <w:rsid w:val="007071CB"/>
    <w:rsid w:val="00707205"/>
    <w:rsid w:val="00707270"/>
    <w:rsid w:val="00707660"/>
    <w:rsid w:val="007078E4"/>
    <w:rsid w:val="00707DB4"/>
    <w:rsid w:val="0071088D"/>
    <w:rsid w:val="007109F3"/>
    <w:rsid w:val="00710DC4"/>
    <w:rsid w:val="0071115F"/>
    <w:rsid w:val="0071142E"/>
    <w:rsid w:val="00711FCA"/>
    <w:rsid w:val="00712AC9"/>
    <w:rsid w:val="00712EDC"/>
    <w:rsid w:val="0071335A"/>
    <w:rsid w:val="0071378D"/>
    <w:rsid w:val="00713B51"/>
    <w:rsid w:val="00713CBF"/>
    <w:rsid w:val="007141C0"/>
    <w:rsid w:val="00714690"/>
    <w:rsid w:val="00714839"/>
    <w:rsid w:val="00714F58"/>
    <w:rsid w:val="00715150"/>
    <w:rsid w:val="0071588B"/>
    <w:rsid w:val="0071597A"/>
    <w:rsid w:val="00716D3A"/>
    <w:rsid w:val="007173ED"/>
    <w:rsid w:val="00717D2B"/>
    <w:rsid w:val="007205D9"/>
    <w:rsid w:val="00720A5C"/>
    <w:rsid w:val="00721260"/>
    <w:rsid w:val="0072192E"/>
    <w:rsid w:val="00721C8C"/>
    <w:rsid w:val="00721C9E"/>
    <w:rsid w:val="00721FD9"/>
    <w:rsid w:val="007221CD"/>
    <w:rsid w:val="0072254E"/>
    <w:rsid w:val="0072275A"/>
    <w:rsid w:val="00722987"/>
    <w:rsid w:val="00722BA8"/>
    <w:rsid w:val="007245AE"/>
    <w:rsid w:val="00724D12"/>
    <w:rsid w:val="00725BFE"/>
    <w:rsid w:val="00725C59"/>
    <w:rsid w:val="00725CA7"/>
    <w:rsid w:val="00725CD2"/>
    <w:rsid w:val="00725D48"/>
    <w:rsid w:val="00725D7A"/>
    <w:rsid w:val="007266D8"/>
    <w:rsid w:val="007267BD"/>
    <w:rsid w:val="007279C9"/>
    <w:rsid w:val="00727AC6"/>
    <w:rsid w:val="007306FC"/>
    <w:rsid w:val="00730B1E"/>
    <w:rsid w:val="00730CF7"/>
    <w:rsid w:val="0073187E"/>
    <w:rsid w:val="00731D27"/>
    <w:rsid w:val="00731EBC"/>
    <w:rsid w:val="00732412"/>
    <w:rsid w:val="00732658"/>
    <w:rsid w:val="007327C7"/>
    <w:rsid w:val="00732DC7"/>
    <w:rsid w:val="0073310D"/>
    <w:rsid w:val="0073457D"/>
    <w:rsid w:val="00734ACE"/>
    <w:rsid w:val="00734B99"/>
    <w:rsid w:val="00734BCA"/>
    <w:rsid w:val="00734F87"/>
    <w:rsid w:val="007358E9"/>
    <w:rsid w:val="00735D0A"/>
    <w:rsid w:val="00736C1C"/>
    <w:rsid w:val="00736C1E"/>
    <w:rsid w:val="00736CC4"/>
    <w:rsid w:val="00736DF1"/>
    <w:rsid w:val="00737042"/>
    <w:rsid w:val="0073780B"/>
    <w:rsid w:val="00737C07"/>
    <w:rsid w:val="00737F45"/>
    <w:rsid w:val="007404D1"/>
    <w:rsid w:val="00740DF4"/>
    <w:rsid w:val="00740EA8"/>
    <w:rsid w:val="00741704"/>
    <w:rsid w:val="00741D28"/>
    <w:rsid w:val="00741EC8"/>
    <w:rsid w:val="00742213"/>
    <w:rsid w:val="007422C8"/>
    <w:rsid w:val="007429FB"/>
    <w:rsid w:val="00742E28"/>
    <w:rsid w:val="00742FF4"/>
    <w:rsid w:val="00743AAB"/>
    <w:rsid w:val="00743EAA"/>
    <w:rsid w:val="00744470"/>
    <w:rsid w:val="007446EE"/>
    <w:rsid w:val="0074476E"/>
    <w:rsid w:val="00744F4F"/>
    <w:rsid w:val="00745239"/>
    <w:rsid w:val="0074556B"/>
    <w:rsid w:val="007456FB"/>
    <w:rsid w:val="00745AA5"/>
    <w:rsid w:val="007461E4"/>
    <w:rsid w:val="00746643"/>
    <w:rsid w:val="0074683B"/>
    <w:rsid w:val="00746989"/>
    <w:rsid w:val="007502FC"/>
    <w:rsid w:val="00750410"/>
    <w:rsid w:val="00750CAB"/>
    <w:rsid w:val="00750F11"/>
    <w:rsid w:val="00751137"/>
    <w:rsid w:val="00751B35"/>
    <w:rsid w:val="00751D6C"/>
    <w:rsid w:val="00752496"/>
    <w:rsid w:val="007528E7"/>
    <w:rsid w:val="00752AC8"/>
    <w:rsid w:val="00753015"/>
    <w:rsid w:val="0075305C"/>
    <w:rsid w:val="00753E1D"/>
    <w:rsid w:val="007549D6"/>
    <w:rsid w:val="00754BCA"/>
    <w:rsid w:val="00755011"/>
    <w:rsid w:val="007559F4"/>
    <w:rsid w:val="00755BC5"/>
    <w:rsid w:val="00755D84"/>
    <w:rsid w:val="007560F0"/>
    <w:rsid w:val="007567A8"/>
    <w:rsid w:val="00756D36"/>
    <w:rsid w:val="00757239"/>
    <w:rsid w:val="0075745F"/>
    <w:rsid w:val="007577F8"/>
    <w:rsid w:val="007578AE"/>
    <w:rsid w:val="00757D5F"/>
    <w:rsid w:val="00757FBB"/>
    <w:rsid w:val="007607F2"/>
    <w:rsid w:val="00760B76"/>
    <w:rsid w:val="00761962"/>
    <w:rsid w:val="00761ABE"/>
    <w:rsid w:val="00761AD5"/>
    <w:rsid w:val="00761D6A"/>
    <w:rsid w:val="00761DEB"/>
    <w:rsid w:val="007623AC"/>
    <w:rsid w:val="00762D57"/>
    <w:rsid w:val="007630AE"/>
    <w:rsid w:val="007631B7"/>
    <w:rsid w:val="00763A7E"/>
    <w:rsid w:val="00763E4F"/>
    <w:rsid w:val="007644AA"/>
    <w:rsid w:val="00764D16"/>
    <w:rsid w:val="00764E7A"/>
    <w:rsid w:val="00765AAE"/>
    <w:rsid w:val="00765DFB"/>
    <w:rsid w:val="0076650B"/>
    <w:rsid w:val="0077051D"/>
    <w:rsid w:val="00770646"/>
    <w:rsid w:val="00770AE5"/>
    <w:rsid w:val="00770BD5"/>
    <w:rsid w:val="0077147E"/>
    <w:rsid w:val="00771856"/>
    <w:rsid w:val="00772983"/>
    <w:rsid w:val="00773507"/>
    <w:rsid w:val="007736E6"/>
    <w:rsid w:val="00774004"/>
    <w:rsid w:val="00774E11"/>
    <w:rsid w:val="00775140"/>
    <w:rsid w:val="0077593B"/>
    <w:rsid w:val="007766C0"/>
    <w:rsid w:val="00776A73"/>
    <w:rsid w:val="00776DC9"/>
    <w:rsid w:val="00776F6B"/>
    <w:rsid w:val="00777788"/>
    <w:rsid w:val="007778F0"/>
    <w:rsid w:val="00777ED7"/>
    <w:rsid w:val="00777F25"/>
    <w:rsid w:val="00780755"/>
    <w:rsid w:val="00780756"/>
    <w:rsid w:val="007807B3"/>
    <w:rsid w:val="00780FCA"/>
    <w:rsid w:val="007813F7"/>
    <w:rsid w:val="007818AA"/>
    <w:rsid w:val="00781967"/>
    <w:rsid w:val="00781DC8"/>
    <w:rsid w:val="00781EE5"/>
    <w:rsid w:val="0078206B"/>
    <w:rsid w:val="00782353"/>
    <w:rsid w:val="00782977"/>
    <w:rsid w:val="00782A8A"/>
    <w:rsid w:val="00783491"/>
    <w:rsid w:val="00783CBD"/>
    <w:rsid w:val="00784443"/>
    <w:rsid w:val="007844E6"/>
    <w:rsid w:val="0078484F"/>
    <w:rsid w:val="00784A58"/>
    <w:rsid w:val="00785124"/>
    <w:rsid w:val="007851F5"/>
    <w:rsid w:val="00786956"/>
    <w:rsid w:val="00787FF7"/>
    <w:rsid w:val="00791757"/>
    <w:rsid w:val="00791BFB"/>
    <w:rsid w:val="00792C0B"/>
    <w:rsid w:val="00792E16"/>
    <w:rsid w:val="00792E5C"/>
    <w:rsid w:val="00793469"/>
    <w:rsid w:val="00793778"/>
    <w:rsid w:val="0079429E"/>
    <w:rsid w:val="00794E44"/>
    <w:rsid w:val="00795B03"/>
    <w:rsid w:val="00795B75"/>
    <w:rsid w:val="0079630E"/>
    <w:rsid w:val="007968C9"/>
    <w:rsid w:val="00796FB8"/>
    <w:rsid w:val="0079779F"/>
    <w:rsid w:val="00797A3C"/>
    <w:rsid w:val="007A0123"/>
    <w:rsid w:val="007A0280"/>
    <w:rsid w:val="007A0582"/>
    <w:rsid w:val="007A088C"/>
    <w:rsid w:val="007A0D41"/>
    <w:rsid w:val="007A1955"/>
    <w:rsid w:val="007A24D6"/>
    <w:rsid w:val="007A256D"/>
    <w:rsid w:val="007A2570"/>
    <w:rsid w:val="007A25EE"/>
    <w:rsid w:val="007A2642"/>
    <w:rsid w:val="007A2BB9"/>
    <w:rsid w:val="007A2EE4"/>
    <w:rsid w:val="007A3606"/>
    <w:rsid w:val="007A360F"/>
    <w:rsid w:val="007A3953"/>
    <w:rsid w:val="007A3C27"/>
    <w:rsid w:val="007A3D3B"/>
    <w:rsid w:val="007A41B3"/>
    <w:rsid w:val="007A497B"/>
    <w:rsid w:val="007A5139"/>
    <w:rsid w:val="007A597E"/>
    <w:rsid w:val="007A62AA"/>
    <w:rsid w:val="007A6345"/>
    <w:rsid w:val="007A7842"/>
    <w:rsid w:val="007A785B"/>
    <w:rsid w:val="007A7965"/>
    <w:rsid w:val="007B065B"/>
    <w:rsid w:val="007B0770"/>
    <w:rsid w:val="007B0F5F"/>
    <w:rsid w:val="007B1363"/>
    <w:rsid w:val="007B167F"/>
    <w:rsid w:val="007B170E"/>
    <w:rsid w:val="007B1B4A"/>
    <w:rsid w:val="007B27F3"/>
    <w:rsid w:val="007B2D03"/>
    <w:rsid w:val="007B39FF"/>
    <w:rsid w:val="007B3B90"/>
    <w:rsid w:val="007B4852"/>
    <w:rsid w:val="007B4EEB"/>
    <w:rsid w:val="007B4F90"/>
    <w:rsid w:val="007B526D"/>
    <w:rsid w:val="007B52C8"/>
    <w:rsid w:val="007B558F"/>
    <w:rsid w:val="007B5C27"/>
    <w:rsid w:val="007B7866"/>
    <w:rsid w:val="007B7AB9"/>
    <w:rsid w:val="007C0105"/>
    <w:rsid w:val="007C08E9"/>
    <w:rsid w:val="007C118B"/>
    <w:rsid w:val="007C1742"/>
    <w:rsid w:val="007C2844"/>
    <w:rsid w:val="007C2ED3"/>
    <w:rsid w:val="007C2F32"/>
    <w:rsid w:val="007C356A"/>
    <w:rsid w:val="007C3AD5"/>
    <w:rsid w:val="007C3EF8"/>
    <w:rsid w:val="007C4203"/>
    <w:rsid w:val="007C4FED"/>
    <w:rsid w:val="007C574B"/>
    <w:rsid w:val="007C5A78"/>
    <w:rsid w:val="007C6067"/>
    <w:rsid w:val="007C61A3"/>
    <w:rsid w:val="007C6669"/>
    <w:rsid w:val="007C6A80"/>
    <w:rsid w:val="007C6B6E"/>
    <w:rsid w:val="007C7BAC"/>
    <w:rsid w:val="007C7C6B"/>
    <w:rsid w:val="007C7E81"/>
    <w:rsid w:val="007C7FAD"/>
    <w:rsid w:val="007D0298"/>
    <w:rsid w:val="007D13FA"/>
    <w:rsid w:val="007D17A7"/>
    <w:rsid w:val="007D1C4E"/>
    <w:rsid w:val="007D2B14"/>
    <w:rsid w:val="007D2C53"/>
    <w:rsid w:val="007D33F9"/>
    <w:rsid w:val="007D3D72"/>
    <w:rsid w:val="007D4960"/>
    <w:rsid w:val="007D4F43"/>
    <w:rsid w:val="007D5098"/>
    <w:rsid w:val="007D50E7"/>
    <w:rsid w:val="007D55C9"/>
    <w:rsid w:val="007D5FC1"/>
    <w:rsid w:val="007D60E6"/>
    <w:rsid w:val="007D62FF"/>
    <w:rsid w:val="007D64AA"/>
    <w:rsid w:val="007D682F"/>
    <w:rsid w:val="007D6916"/>
    <w:rsid w:val="007D6C82"/>
    <w:rsid w:val="007D6D8C"/>
    <w:rsid w:val="007D72B0"/>
    <w:rsid w:val="007D7354"/>
    <w:rsid w:val="007D73BF"/>
    <w:rsid w:val="007D76D6"/>
    <w:rsid w:val="007D789B"/>
    <w:rsid w:val="007E0248"/>
    <w:rsid w:val="007E0289"/>
    <w:rsid w:val="007E0631"/>
    <w:rsid w:val="007E0CFF"/>
    <w:rsid w:val="007E0F19"/>
    <w:rsid w:val="007E10E7"/>
    <w:rsid w:val="007E2B1B"/>
    <w:rsid w:val="007E2B47"/>
    <w:rsid w:val="007E3D27"/>
    <w:rsid w:val="007E423D"/>
    <w:rsid w:val="007E45CF"/>
    <w:rsid w:val="007E4864"/>
    <w:rsid w:val="007E5059"/>
    <w:rsid w:val="007E5879"/>
    <w:rsid w:val="007E5C86"/>
    <w:rsid w:val="007E6ABD"/>
    <w:rsid w:val="007E6E86"/>
    <w:rsid w:val="007E7221"/>
    <w:rsid w:val="007E7C68"/>
    <w:rsid w:val="007F0626"/>
    <w:rsid w:val="007F08CC"/>
    <w:rsid w:val="007F0E1D"/>
    <w:rsid w:val="007F10E9"/>
    <w:rsid w:val="007F1545"/>
    <w:rsid w:val="007F1834"/>
    <w:rsid w:val="007F1B48"/>
    <w:rsid w:val="007F1CDF"/>
    <w:rsid w:val="007F2081"/>
    <w:rsid w:val="007F22DE"/>
    <w:rsid w:val="007F27D0"/>
    <w:rsid w:val="007F2908"/>
    <w:rsid w:val="007F2A79"/>
    <w:rsid w:val="007F2DC3"/>
    <w:rsid w:val="007F3A63"/>
    <w:rsid w:val="007F42C6"/>
    <w:rsid w:val="007F4A83"/>
    <w:rsid w:val="007F5049"/>
    <w:rsid w:val="007F5F1D"/>
    <w:rsid w:val="007F6241"/>
    <w:rsid w:val="007F7D6C"/>
    <w:rsid w:val="00800061"/>
    <w:rsid w:val="008001DA"/>
    <w:rsid w:val="00800679"/>
    <w:rsid w:val="00801258"/>
    <w:rsid w:val="0080190E"/>
    <w:rsid w:val="008039A5"/>
    <w:rsid w:val="00804E3B"/>
    <w:rsid w:val="00805703"/>
    <w:rsid w:val="00805DD1"/>
    <w:rsid w:val="0080665A"/>
    <w:rsid w:val="00806A15"/>
    <w:rsid w:val="00807287"/>
    <w:rsid w:val="0080754F"/>
    <w:rsid w:val="0081045F"/>
    <w:rsid w:val="008107E1"/>
    <w:rsid w:val="00811AC8"/>
    <w:rsid w:val="00811D0A"/>
    <w:rsid w:val="00812339"/>
    <w:rsid w:val="00812E00"/>
    <w:rsid w:val="008131BE"/>
    <w:rsid w:val="00814598"/>
    <w:rsid w:val="00814D6E"/>
    <w:rsid w:val="0081535D"/>
    <w:rsid w:val="00815810"/>
    <w:rsid w:val="00815E72"/>
    <w:rsid w:val="00815F32"/>
    <w:rsid w:val="008163B7"/>
    <w:rsid w:val="008167C6"/>
    <w:rsid w:val="00816945"/>
    <w:rsid w:val="00816D11"/>
    <w:rsid w:val="008170CD"/>
    <w:rsid w:val="0081728B"/>
    <w:rsid w:val="00817994"/>
    <w:rsid w:val="00817B67"/>
    <w:rsid w:val="00820196"/>
    <w:rsid w:val="00820773"/>
    <w:rsid w:val="008207C4"/>
    <w:rsid w:val="00820A73"/>
    <w:rsid w:val="00821218"/>
    <w:rsid w:val="00821EEE"/>
    <w:rsid w:val="00823766"/>
    <w:rsid w:val="00823BAC"/>
    <w:rsid w:val="00824399"/>
    <w:rsid w:val="00824BDD"/>
    <w:rsid w:val="00824BEC"/>
    <w:rsid w:val="00824E89"/>
    <w:rsid w:val="00825880"/>
    <w:rsid w:val="00825924"/>
    <w:rsid w:val="00825C46"/>
    <w:rsid w:val="0082640A"/>
    <w:rsid w:val="008267A0"/>
    <w:rsid w:val="00826AEF"/>
    <w:rsid w:val="00826F6D"/>
    <w:rsid w:val="00827510"/>
    <w:rsid w:val="00827A9D"/>
    <w:rsid w:val="00827B56"/>
    <w:rsid w:val="00827BD2"/>
    <w:rsid w:val="00827FF9"/>
    <w:rsid w:val="008311E2"/>
    <w:rsid w:val="00831489"/>
    <w:rsid w:val="008314EB"/>
    <w:rsid w:val="0083159A"/>
    <w:rsid w:val="0083208C"/>
    <w:rsid w:val="00832119"/>
    <w:rsid w:val="0083285F"/>
    <w:rsid w:val="008339DC"/>
    <w:rsid w:val="00834543"/>
    <w:rsid w:val="008350AE"/>
    <w:rsid w:val="008351F9"/>
    <w:rsid w:val="008365DA"/>
    <w:rsid w:val="00837004"/>
    <w:rsid w:val="008377A2"/>
    <w:rsid w:val="008378A7"/>
    <w:rsid w:val="00837F6B"/>
    <w:rsid w:val="0084028C"/>
    <w:rsid w:val="008404BC"/>
    <w:rsid w:val="00840501"/>
    <w:rsid w:val="00840729"/>
    <w:rsid w:val="00840D2C"/>
    <w:rsid w:val="00840E58"/>
    <w:rsid w:val="00840EAF"/>
    <w:rsid w:val="008411A5"/>
    <w:rsid w:val="008417AD"/>
    <w:rsid w:val="00843206"/>
    <w:rsid w:val="008433FD"/>
    <w:rsid w:val="008437CE"/>
    <w:rsid w:val="00843B52"/>
    <w:rsid w:val="00843C84"/>
    <w:rsid w:val="00844340"/>
    <w:rsid w:val="008443DE"/>
    <w:rsid w:val="00844459"/>
    <w:rsid w:val="00844762"/>
    <w:rsid w:val="00844B61"/>
    <w:rsid w:val="00844FCB"/>
    <w:rsid w:val="00845233"/>
    <w:rsid w:val="008457D5"/>
    <w:rsid w:val="00845BEB"/>
    <w:rsid w:val="00845F6B"/>
    <w:rsid w:val="00846563"/>
    <w:rsid w:val="00846EE6"/>
    <w:rsid w:val="008470D8"/>
    <w:rsid w:val="00847555"/>
    <w:rsid w:val="00847AA9"/>
    <w:rsid w:val="00847F05"/>
    <w:rsid w:val="008500ED"/>
    <w:rsid w:val="008502D7"/>
    <w:rsid w:val="008503C0"/>
    <w:rsid w:val="008504E8"/>
    <w:rsid w:val="0085077B"/>
    <w:rsid w:val="00850786"/>
    <w:rsid w:val="0085093B"/>
    <w:rsid w:val="00850CF9"/>
    <w:rsid w:val="00850FE1"/>
    <w:rsid w:val="00851323"/>
    <w:rsid w:val="008518CB"/>
    <w:rsid w:val="00851E10"/>
    <w:rsid w:val="00851F3B"/>
    <w:rsid w:val="00852144"/>
    <w:rsid w:val="008533A1"/>
    <w:rsid w:val="0085342C"/>
    <w:rsid w:val="00853A72"/>
    <w:rsid w:val="00854762"/>
    <w:rsid w:val="0085534D"/>
    <w:rsid w:val="008559FB"/>
    <w:rsid w:val="008567A3"/>
    <w:rsid w:val="00857055"/>
    <w:rsid w:val="00857A06"/>
    <w:rsid w:val="00857D50"/>
    <w:rsid w:val="00857E56"/>
    <w:rsid w:val="008602A7"/>
    <w:rsid w:val="00860B90"/>
    <w:rsid w:val="00860F81"/>
    <w:rsid w:val="00861226"/>
    <w:rsid w:val="0086144F"/>
    <w:rsid w:val="0086179A"/>
    <w:rsid w:val="0086180E"/>
    <w:rsid w:val="00861990"/>
    <w:rsid w:val="00861BD5"/>
    <w:rsid w:val="00861F91"/>
    <w:rsid w:val="008620A1"/>
    <w:rsid w:val="00862D83"/>
    <w:rsid w:val="00863142"/>
    <w:rsid w:val="0086345F"/>
    <w:rsid w:val="008635CA"/>
    <w:rsid w:val="008635FC"/>
    <w:rsid w:val="00863BBF"/>
    <w:rsid w:val="00863BC7"/>
    <w:rsid w:val="00863C20"/>
    <w:rsid w:val="00863F73"/>
    <w:rsid w:val="008640EC"/>
    <w:rsid w:val="00864998"/>
    <w:rsid w:val="00865E97"/>
    <w:rsid w:val="00866635"/>
    <w:rsid w:val="00866854"/>
    <w:rsid w:val="00866CFA"/>
    <w:rsid w:val="00867589"/>
    <w:rsid w:val="008678D5"/>
    <w:rsid w:val="00867AA1"/>
    <w:rsid w:val="008700E3"/>
    <w:rsid w:val="00870BFB"/>
    <w:rsid w:val="00871477"/>
    <w:rsid w:val="00871FBD"/>
    <w:rsid w:val="008720C1"/>
    <w:rsid w:val="00872144"/>
    <w:rsid w:val="00872217"/>
    <w:rsid w:val="00872650"/>
    <w:rsid w:val="00872700"/>
    <w:rsid w:val="00872A6D"/>
    <w:rsid w:val="00873529"/>
    <w:rsid w:val="008737D6"/>
    <w:rsid w:val="00873EB4"/>
    <w:rsid w:val="00873F0E"/>
    <w:rsid w:val="00874260"/>
    <w:rsid w:val="008748F1"/>
    <w:rsid w:val="00875475"/>
    <w:rsid w:val="008756DC"/>
    <w:rsid w:val="00875938"/>
    <w:rsid w:val="00875F10"/>
    <w:rsid w:val="0087630F"/>
    <w:rsid w:val="008763ED"/>
    <w:rsid w:val="008771E6"/>
    <w:rsid w:val="00877CA6"/>
    <w:rsid w:val="00877D8B"/>
    <w:rsid w:val="00880557"/>
    <w:rsid w:val="00881252"/>
    <w:rsid w:val="0088147D"/>
    <w:rsid w:val="0088198A"/>
    <w:rsid w:val="00881F03"/>
    <w:rsid w:val="00881F5D"/>
    <w:rsid w:val="00882147"/>
    <w:rsid w:val="00882434"/>
    <w:rsid w:val="008825E2"/>
    <w:rsid w:val="008827B9"/>
    <w:rsid w:val="008830E1"/>
    <w:rsid w:val="008835E2"/>
    <w:rsid w:val="00883645"/>
    <w:rsid w:val="00883A8A"/>
    <w:rsid w:val="00883FC8"/>
    <w:rsid w:val="008841F4"/>
    <w:rsid w:val="00884415"/>
    <w:rsid w:val="008853BE"/>
    <w:rsid w:val="008856EB"/>
    <w:rsid w:val="008858CC"/>
    <w:rsid w:val="00885CF4"/>
    <w:rsid w:val="0088608D"/>
    <w:rsid w:val="00886578"/>
    <w:rsid w:val="008871E3"/>
    <w:rsid w:val="008873AF"/>
    <w:rsid w:val="00887486"/>
    <w:rsid w:val="00887698"/>
    <w:rsid w:val="008879AC"/>
    <w:rsid w:val="008903C1"/>
    <w:rsid w:val="00890C49"/>
    <w:rsid w:val="008912DE"/>
    <w:rsid w:val="00891424"/>
    <w:rsid w:val="008915C8"/>
    <w:rsid w:val="008918F2"/>
    <w:rsid w:val="00891F21"/>
    <w:rsid w:val="0089216A"/>
    <w:rsid w:val="00893950"/>
    <w:rsid w:val="008939C7"/>
    <w:rsid w:val="008947DC"/>
    <w:rsid w:val="00894978"/>
    <w:rsid w:val="008949D4"/>
    <w:rsid w:val="00895276"/>
    <w:rsid w:val="00895387"/>
    <w:rsid w:val="00895462"/>
    <w:rsid w:val="00895722"/>
    <w:rsid w:val="00895A86"/>
    <w:rsid w:val="0089604A"/>
    <w:rsid w:val="00896691"/>
    <w:rsid w:val="00896D90"/>
    <w:rsid w:val="00896DE3"/>
    <w:rsid w:val="00897C04"/>
    <w:rsid w:val="008A0FAB"/>
    <w:rsid w:val="008A1155"/>
    <w:rsid w:val="008A15DE"/>
    <w:rsid w:val="008A1BAC"/>
    <w:rsid w:val="008A21E5"/>
    <w:rsid w:val="008A2CBD"/>
    <w:rsid w:val="008A2F4D"/>
    <w:rsid w:val="008A322F"/>
    <w:rsid w:val="008A35D1"/>
    <w:rsid w:val="008A3CA1"/>
    <w:rsid w:val="008A3F3E"/>
    <w:rsid w:val="008A4381"/>
    <w:rsid w:val="008A43FF"/>
    <w:rsid w:val="008A49E4"/>
    <w:rsid w:val="008A4C06"/>
    <w:rsid w:val="008A4C88"/>
    <w:rsid w:val="008A4FD2"/>
    <w:rsid w:val="008A5B1A"/>
    <w:rsid w:val="008A5D20"/>
    <w:rsid w:val="008A60A0"/>
    <w:rsid w:val="008A6177"/>
    <w:rsid w:val="008A6523"/>
    <w:rsid w:val="008A7087"/>
    <w:rsid w:val="008A75D4"/>
    <w:rsid w:val="008A75EB"/>
    <w:rsid w:val="008B00B1"/>
    <w:rsid w:val="008B068B"/>
    <w:rsid w:val="008B0A60"/>
    <w:rsid w:val="008B0B75"/>
    <w:rsid w:val="008B16B7"/>
    <w:rsid w:val="008B2094"/>
    <w:rsid w:val="008B22D7"/>
    <w:rsid w:val="008B2492"/>
    <w:rsid w:val="008B26C1"/>
    <w:rsid w:val="008B280C"/>
    <w:rsid w:val="008B3136"/>
    <w:rsid w:val="008B3535"/>
    <w:rsid w:val="008B3BE1"/>
    <w:rsid w:val="008B4DA0"/>
    <w:rsid w:val="008B5A4D"/>
    <w:rsid w:val="008B61D5"/>
    <w:rsid w:val="008B61DC"/>
    <w:rsid w:val="008B6241"/>
    <w:rsid w:val="008B6BE0"/>
    <w:rsid w:val="008B7131"/>
    <w:rsid w:val="008B76D4"/>
    <w:rsid w:val="008B7AD4"/>
    <w:rsid w:val="008C0293"/>
    <w:rsid w:val="008C0574"/>
    <w:rsid w:val="008C07AA"/>
    <w:rsid w:val="008C0C37"/>
    <w:rsid w:val="008C116B"/>
    <w:rsid w:val="008C15E5"/>
    <w:rsid w:val="008C1E82"/>
    <w:rsid w:val="008C2C70"/>
    <w:rsid w:val="008C2F5B"/>
    <w:rsid w:val="008C2FF3"/>
    <w:rsid w:val="008C3078"/>
    <w:rsid w:val="008C3423"/>
    <w:rsid w:val="008C3C34"/>
    <w:rsid w:val="008C4104"/>
    <w:rsid w:val="008C41CD"/>
    <w:rsid w:val="008C48B2"/>
    <w:rsid w:val="008C4C4E"/>
    <w:rsid w:val="008C5531"/>
    <w:rsid w:val="008C5595"/>
    <w:rsid w:val="008C5EC1"/>
    <w:rsid w:val="008C6557"/>
    <w:rsid w:val="008C7368"/>
    <w:rsid w:val="008C74C7"/>
    <w:rsid w:val="008C7B79"/>
    <w:rsid w:val="008D0097"/>
    <w:rsid w:val="008D0357"/>
    <w:rsid w:val="008D0A0E"/>
    <w:rsid w:val="008D16AA"/>
    <w:rsid w:val="008D2460"/>
    <w:rsid w:val="008D269E"/>
    <w:rsid w:val="008D27DC"/>
    <w:rsid w:val="008D2B01"/>
    <w:rsid w:val="008D2D3C"/>
    <w:rsid w:val="008D34AA"/>
    <w:rsid w:val="008D4AAF"/>
    <w:rsid w:val="008D4B05"/>
    <w:rsid w:val="008D59CA"/>
    <w:rsid w:val="008D6661"/>
    <w:rsid w:val="008D68FF"/>
    <w:rsid w:val="008D691E"/>
    <w:rsid w:val="008D6B91"/>
    <w:rsid w:val="008E1081"/>
    <w:rsid w:val="008E1389"/>
    <w:rsid w:val="008E197E"/>
    <w:rsid w:val="008E19E2"/>
    <w:rsid w:val="008E1A4F"/>
    <w:rsid w:val="008E1B80"/>
    <w:rsid w:val="008E1EC1"/>
    <w:rsid w:val="008E23C7"/>
    <w:rsid w:val="008E270E"/>
    <w:rsid w:val="008E27B9"/>
    <w:rsid w:val="008E293F"/>
    <w:rsid w:val="008E2B91"/>
    <w:rsid w:val="008E3B83"/>
    <w:rsid w:val="008E3E1B"/>
    <w:rsid w:val="008E43FF"/>
    <w:rsid w:val="008E49AB"/>
    <w:rsid w:val="008E51BE"/>
    <w:rsid w:val="008E522C"/>
    <w:rsid w:val="008E62FF"/>
    <w:rsid w:val="008E6720"/>
    <w:rsid w:val="008E6B80"/>
    <w:rsid w:val="008E735C"/>
    <w:rsid w:val="008E73DA"/>
    <w:rsid w:val="008E7510"/>
    <w:rsid w:val="008E7A72"/>
    <w:rsid w:val="008E7B26"/>
    <w:rsid w:val="008E7B67"/>
    <w:rsid w:val="008F05E6"/>
    <w:rsid w:val="008F0C52"/>
    <w:rsid w:val="008F0C57"/>
    <w:rsid w:val="008F2042"/>
    <w:rsid w:val="008F2303"/>
    <w:rsid w:val="008F2521"/>
    <w:rsid w:val="008F289E"/>
    <w:rsid w:val="008F2A04"/>
    <w:rsid w:val="008F2D1A"/>
    <w:rsid w:val="008F3122"/>
    <w:rsid w:val="008F3295"/>
    <w:rsid w:val="008F3BCD"/>
    <w:rsid w:val="008F423C"/>
    <w:rsid w:val="008F4A99"/>
    <w:rsid w:val="008F58A9"/>
    <w:rsid w:val="008F6FEF"/>
    <w:rsid w:val="008F734F"/>
    <w:rsid w:val="008F73CE"/>
    <w:rsid w:val="00900244"/>
    <w:rsid w:val="009003F2"/>
    <w:rsid w:val="00901054"/>
    <w:rsid w:val="00901163"/>
    <w:rsid w:val="009025D4"/>
    <w:rsid w:val="00902655"/>
    <w:rsid w:val="00902C5F"/>
    <w:rsid w:val="00902D43"/>
    <w:rsid w:val="00903176"/>
    <w:rsid w:val="00903967"/>
    <w:rsid w:val="00903AAB"/>
    <w:rsid w:val="00903C55"/>
    <w:rsid w:val="009045B7"/>
    <w:rsid w:val="0090498F"/>
    <w:rsid w:val="00905200"/>
    <w:rsid w:val="00905795"/>
    <w:rsid w:val="00905A79"/>
    <w:rsid w:val="00905D81"/>
    <w:rsid w:val="00905D89"/>
    <w:rsid w:val="009064E2"/>
    <w:rsid w:val="00906542"/>
    <w:rsid w:val="00906911"/>
    <w:rsid w:val="00906D13"/>
    <w:rsid w:val="00910BC1"/>
    <w:rsid w:val="00910E3B"/>
    <w:rsid w:val="009128CB"/>
    <w:rsid w:val="00913271"/>
    <w:rsid w:val="00913A6F"/>
    <w:rsid w:val="00913FBD"/>
    <w:rsid w:val="00914DBE"/>
    <w:rsid w:val="00915310"/>
    <w:rsid w:val="009157B2"/>
    <w:rsid w:val="00915BA3"/>
    <w:rsid w:val="00915BEF"/>
    <w:rsid w:val="00916006"/>
    <w:rsid w:val="00916E91"/>
    <w:rsid w:val="009172D2"/>
    <w:rsid w:val="00917B58"/>
    <w:rsid w:val="00917F91"/>
    <w:rsid w:val="00917FDA"/>
    <w:rsid w:val="0092001A"/>
    <w:rsid w:val="0092004F"/>
    <w:rsid w:val="0092051C"/>
    <w:rsid w:val="009205DA"/>
    <w:rsid w:val="0092137A"/>
    <w:rsid w:val="0092138B"/>
    <w:rsid w:val="009217B2"/>
    <w:rsid w:val="00921A5A"/>
    <w:rsid w:val="00921D15"/>
    <w:rsid w:val="00922277"/>
    <w:rsid w:val="0092279A"/>
    <w:rsid w:val="00922B25"/>
    <w:rsid w:val="00922BC4"/>
    <w:rsid w:val="00922C25"/>
    <w:rsid w:val="00922D3C"/>
    <w:rsid w:val="009237DC"/>
    <w:rsid w:val="00923822"/>
    <w:rsid w:val="009238DC"/>
    <w:rsid w:val="00923ACD"/>
    <w:rsid w:val="00923C43"/>
    <w:rsid w:val="00924023"/>
    <w:rsid w:val="009248F4"/>
    <w:rsid w:val="00924B7F"/>
    <w:rsid w:val="00924E08"/>
    <w:rsid w:val="009252EF"/>
    <w:rsid w:val="00925426"/>
    <w:rsid w:val="00925869"/>
    <w:rsid w:val="00925FFB"/>
    <w:rsid w:val="00926450"/>
    <w:rsid w:val="00926792"/>
    <w:rsid w:val="009267DB"/>
    <w:rsid w:val="00926ACA"/>
    <w:rsid w:val="00926B85"/>
    <w:rsid w:val="00926F25"/>
    <w:rsid w:val="00927A8F"/>
    <w:rsid w:val="009308F9"/>
    <w:rsid w:val="00930D5D"/>
    <w:rsid w:val="0093119D"/>
    <w:rsid w:val="00931351"/>
    <w:rsid w:val="00931353"/>
    <w:rsid w:val="009315AE"/>
    <w:rsid w:val="009318C9"/>
    <w:rsid w:val="00931994"/>
    <w:rsid w:val="00931D39"/>
    <w:rsid w:val="009322A7"/>
    <w:rsid w:val="00932357"/>
    <w:rsid w:val="0093254D"/>
    <w:rsid w:val="00932592"/>
    <w:rsid w:val="00932D34"/>
    <w:rsid w:val="00933339"/>
    <w:rsid w:val="00935274"/>
    <w:rsid w:val="00935539"/>
    <w:rsid w:val="00935637"/>
    <w:rsid w:val="00935C8B"/>
    <w:rsid w:val="00935CAC"/>
    <w:rsid w:val="00937521"/>
    <w:rsid w:val="00937BF3"/>
    <w:rsid w:val="00937DA5"/>
    <w:rsid w:val="00940137"/>
    <w:rsid w:val="0094041E"/>
    <w:rsid w:val="009404B3"/>
    <w:rsid w:val="00940733"/>
    <w:rsid w:val="00940763"/>
    <w:rsid w:val="00940D80"/>
    <w:rsid w:val="009410F0"/>
    <w:rsid w:val="00941674"/>
    <w:rsid w:val="00941C1D"/>
    <w:rsid w:val="009421DE"/>
    <w:rsid w:val="00942BA5"/>
    <w:rsid w:val="00943682"/>
    <w:rsid w:val="00943E3C"/>
    <w:rsid w:val="00944095"/>
    <w:rsid w:val="009440AB"/>
    <w:rsid w:val="009443E6"/>
    <w:rsid w:val="00944618"/>
    <w:rsid w:val="009448E8"/>
    <w:rsid w:val="009459F7"/>
    <w:rsid w:val="00945A98"/>
    <w:rsid w:val="00946485"/>
    <w:rsid w:val="0094676B"/>
    <w:rsid w:val="009471F5"/>
    <w:rsid w:val="009501DA"/>
    <w:rsid w:val="00950222"/>
    <w:rsid w:val="0095047E"/>
    <w:rsid w:val="00950796"/>
    <w:rsid w:val="0095094C"/>
    <w:rsid w:val="009509ED"/>
    <w:rsid w:val="009516C0"/>
    <w:rsid w:val="009516FA"/>
    <w:rsid w:val="00951AC5"/>
    <w:rsid w:val="00951CDC"/>
    <w:rsid w:val="00952148"/>
    <w:rsid w:val="009525D0"/>
    <w:rsid w:val="0095285F"/>
    <w:rsid w:val="00952B1C"/>
    <w:rsid w:val="009533BF"/>
    <w:rsid w:val="0095341E"/>
    <w:rsid w:val="009538C7"/>
    <w:rsid w:val="009539B5"/>
    <w:rsid w:val="00953AD3"/>
    <w:rsid w:val="00953B8D"/>
    <w:rsid w:val="00953BA8"/>
    <w:rsid w:val="00954EFC"/>
    <w:rsid w:val="00955003"/>
    <w:rsid w:val="0095563A"/>
    <w:rsid w:val="00955657"/>
    <w:rsid w:val="00955FF9"/>
    <w:rsid w:val="0095613C"/>
    <w:rsid w:val="009562F2"/>
    <w:rsid w:val="00956751"/>
    <w:rsid w:val="00956B95"/>
    <w:rsid w:val="009572FB"/>
    <w:rsid w:val="00957332"/>
    <w:rsid w:val="00960BBF"/>
    <w:rsid w:val="009611BF"/>
    <w:rsid w:val="0096144A"/>
    <w:rsid w:val="00961C35"/>
    <w:rsid w:val="00961CB4"/>
    <w:rsid w:val="0096264B"/>
    <w:rsid w:val="0096288E"/>
    <w:rsid w:val="009631AF"/>
    <w:rsid w:val="00963870"/>
    <w:rsid w:val="00963AE6"/>
    <w:rsid w:val="009648BF"/>
    <w:rsid w:val="00964E77"/>
    <w:rsid w:val="009651EE"/>
    <w:rsid w:val="009655C3"/>
    <w:rsid w:val="00965BA6"/>
    <w:rsid w:val="009666EE"/>
    <w:rsid w:val="009671D6"/>
    <w:rsid w:val="00967940"/>
    <w:rsid w:val="00967D56"/>
    <w:rsid w:val="00970A38"/>
    <w:rsid w:val="00970ABB"/>
    <w:rsid w:val="00971F0E"/>
    <w:rsid w:val="00971FCC"/>
    <w:rsid w:val="009721CD"/>
    <w:rsid w:val="00972933"/>
    <w:rsid w:val="0097371F"/>
    <w:rsid w:val="009741D8"/>
    <w:rsid w:val="0097430A"/>
    <w:rsid w:val="0097435E"/>
    <w:rsid w:val="009743C6"/>
    <w:rsid w:val="00974D5F"/>
    <w:rsid w:val="00975288"/>
    <w:rsid w:val="0097679C"/>
    <w:rsid w:val="00976C36"/>
    <w:rsid w:val="0097715B"/>
    <w:rsid w:val="00977374"/>
    <w:rsid w:val="0097757F"/>
    <w:rsid w:val="009800EF"/>
    <w:rsid w:val="0098042E"/>
    <w:rsid w:val="009804FE"/>
    <w:rsid w:val="00980849"/>
    <w:rsid w:val="00980A11"/>
    <w:rsid w:val="00980D55"/>
    <w:rsid w:val="00981509"/>
    <w:rsid w:val="0098163F"/>
    <w:rsid w:val="009819BF"/>
    <w:rsid w:val="00981C9B"/>
    <w:rsid w:val="009824CB"/>
    <w:rsid w:val="00982A9A"/>
    <w:rsid w:val="009839E8"/>
    <w:rsid w:val="0098485A"/>
    <w:rsid w:val="00984908"/>
    <w:rsid w:val="00984D4C"/>
    <w:rsid w:val="00984F8B"/>
    <w:rsid w:val="00985575"/>
    <w:rsid w:val="00985C9E"/>
    <w:rsid w:val="00986460"/>
    <w:rsid w:val="009865C9"/>
    <w:rsid w:val="009866CC"/>
    <w:rsid w:val="00986CDA"/>
    <w:rsid w:val="00986D81"/>
    <w:rsid w:val="00987E1D"/>
    <w:rsid w:val="00990B06"/>
    <w:rsid w:val="00992115"/>
    <w:rsid w:val="00992171"/>
    <w:rsid w:val="009927F6"/>
    <w:rsid w:val="009928EA"/>
    <w:rsid w:val="0099311B"/>
    <w:rsid w:val="00994A02"/>
    <w:rsid w:val="00994A11"/>
    <w:rsid w:val="00994FE7"/>
    <w:rsid w:val="00995305"/>
    <w:rsid w:val="0099531E"/>
    <w:rsid w:val="0099569C"/>
    <w:rsid w:val="009958D5"/>
    <w:rsid w:val="00995EEF"/>
    <w:rsid w:val="009968AF"/>
    <w:rsid w:val="00996A5A"/>
    <w:rsid w:val="00997336"/>
    <w:rsid w:val="009976B9"/>
    <w:rsid w:val="009A0F0A"/>
    <w:rsid w:val="009A0FA8"/>
    <w:rsid w:val="009A1284"/>
    <w:rsid w:val="009A1989"/>
    <w:rsid w:val="009A1B2B"/>
    <w:rsid w:val="009A1EB8"/>
    <w:rsid w:val="009A29A1"/>
    <w:rsid w:val="009A2BC6"/>
    <w:rsid w:val="009A2CC2"/>
    <w:rsid w:val="009A331A"/>
    <w:rsid w:val="009A4424"/>
    <w:rsid w:val="009A4494"/>
    <w:rsid w:val="009A4537"/>
    <w:rsid w:val="009A4969"/>
    <w:rsid w:val="009A4C3F"/>
    <w:rsid w:val="009A4F81"/>
    <w:rsid w:val="009A5174"/>
    <w:rsid w:val="009A5244"/>
    <w:rsid w:val="009A6096"/>
    <w:rsid w:val="009A6C83"/>
    <w:rsid w:val="009A6F03"/>
    <w:rsid w:val="009A73F1"/>
    <w:rsid w:val="009A7431"/>
    <w:rsid w:val="009A7934"/>
    <w:rsid w:val="009A7ADF"/>
    <w:rsid w:val="009B05DE"/>
    <w:rsid w:val="009B084E"/>
    <w:rsid w:val="009B0B38"/>
    <w:rsid w:val="009B0B72"/>
    <w:rsid w:val="009B135B"/>
    <w:rsid w:val="009B22AD"/>
    <w:rsid w:val="009B22CA"/>
    <w:rsid w:val="009B2334"/>
    <w:rsid w:val="009B2367"/>
    <w:rsid w:val="009B2571"/>
    <w:rsid w:val="009B2924"/>
    <w:rsid w:val="009B29AD"/>
    <w:rsid w:val="009B2D89"/>
    <w:rsid w:val="009B30C2"/>
    <w:rsid w:val="009B372D"/>
    <w:rsid w:val="009B3A03"/>
    <w:rsid w:val="009B3B05"/>
    <w:rsid w:val="009B3D9F"/>
    <w:rsid w:val="009B424A"/>
    <w:rsid w:val="009B427A"/>
    <w:rsid w:val="009B48CE"/>
    <w:rsid w:val="009B4DA8"/>
    <w:rsid w:val="009B4E9E"/>
    <w:rsid w:val="009B4EA3"/>
    <w:rsid w:val="009B5033"/>
    <w:rsid w:val="009B520E"/>
    <w:rsid w:val="009B5AA8"/>
    <w:rsid w:val="009B5D23"/>
    <w:rsid w:val="009B64B6"/>
    <w:rsid w:val="009B65DF"/>
    <w:rsid w:val="009B6CB4"/>
    <w:rsid w:val="009B718A"/>
    <w:rsid w:val="009B79DB"/>
    <w:rsid w:val="009C013E"/>
    <w:rsid w:val="009C040A"/>
    <w:rsid w:val="009C097F"/>
    <w:rsid w:val="009C0D44"/>
    <w:rsid w:val="009C1A6B"/>
    <w:rsid w:val="009C1B7F"/>
    <w:rsid w:val="009C22AB"/>
    <w:rsid w:val="009C25D1"/>
    <w:rsid w:val="009C28EF"/>
    <w:rsid w:val="009C29BD"/>
    <w:rsid w:val="009C2B64"/>
    <w:rsid w:val="009C31B2"/>
    <w:rsid w:val="009C32E2"/>
    <w:rsid w:val="009C33BB"/>
    <w:rsid w:val="009C35C0"/>
    <w:rsid w:val="009C4650"/>
    <w:rsid w:val="009C58FD"/>
    <w:rsid w:val="009C64CC"/>
    <w:rsid w:val="009C66FE"/>
    <w:rsid w:val="009C67FA"/>
    <w:rsid w:val="009C6B31"/>
    <w:rsid w:val="009C6C4C"/>
    <w:rsid w:val="009C6FED"/>
    <w:rsid w:val="009C73C0"/>
    <w:rsid w:val="009C73D5"/>
    <w:rsid w:val="009C7718"/>
    <w:rsid w:val="009D05E5"/>
    <w:rsid w:val="009D19BF"/>
    <w:rsid w:val="009D2188"/>
    <w:rsid w:val="009D22AD"/>
    <w:rsid w:val="009D2522"/>
    <w:rsid w:val="009D267C"/>
    <w:rsid w:val="009D2BA1"/>
    <w:rsid w:val="009D2D04"/>
    <w:rsid w:val="009D2D17"/>
    <w:rsid w:val="009D3529"/>
    <w:rsid w:val="009D4306"/>
    <w:rsid w:val="009D4B14"/>
    <w:rsid w:val="009D52C1"/>
    <w:rsid w:val="009D5743"/>
    <w:rsid w:val="009D5E10"/>
    <w:rsid w:val="009D6894"/>
    <w:rsid w:val="009E0658"/>
    <w:rsid w:val="009E0794"/>
    <w:rsid w:val="009E12D4"/>
    <w:rsid w:val="009E17CB"/>
    <w:rsid w:val="009E1864"/>
    <w:rsid w:val="009E195D"/>
    <w:rsid w:val="009E1C47"/>
    <w:rsid w:val="009E221E"/>
    <w:rsid w:val="009E2C13"/>
    <w:rsid w:val="009E304C"/>
    <w:rsid w:val="009E33B5"/>
    <w:rsid w:val="009E425D"/>
    <w:rsid w:val="009E4400"/>
    <w:rsid w:val="009E4531"/>
    <w:rsid w:val="009E4A33"/>
    <w:rsid w:val="009E4D52"/>
    <w:rsid w:val="009E4F07"/>
    <w:rsid w:val="009E52DB"/>
    <w:rsid w:val="009E5BDE"/>
    <w:rsid w:val="009E5D21"/>
    <w:rsid w:val="009E5DB4"/>
    <w:rsid w:val="009E63F3"/>
    <w:rsid w:val="009E6FDF"/>
    <w:rsid w:val="009E71E3"/>
    <w:rsid w:val="009E72BB"/>
    <w:rsid w:val="009E7311"/>
    <w:rsid w:val="009E751D"/>
    <w:rsid w:val="009E761B"/>
    <w:rsid w:val="009E7AD7"/>
    <w:rsid w:val="009E7BC3"/>
    <w:rsid w:val="009F026F"/>
    <w:rsid w:val="009F0DEF"/>
    <w:rsid w:val="009F0E5A"/>
    <w:rsid w:val="009F0FAE"/>
    <w:rsid w:val="009F17B6"/>
    <w:rsid w:val="009F1A22"/>
    <w:rsid w:val="009F2AE1"/>
    <w:rsid w:val="009F2EE9"/>
    <w:rsid w:val="009F3C96"/>
    <w:rsid w:val="009F3D62"/>
    <w:rsid w:val="009F471B"/>
    <w:rsid w:val="009F4FF5"/>
    <w:rsid w:val="009F5870"/>
    <w:rsid w:val="009F5F0D"/>
    <w:rsid w:val="009F617A"/>
    <w:rsid w:val="009F63BD"/>
    <w:rsid w:val="009F6BCD"/>
    <w:rsid w:val="009F6FE9"/>
    <w:rsid w:val="009F70E1"/>
    <w:rsid w:val="009F7D65"/>
    <w:rsid w:val="00A00776"/>
    <w:rsid w:val="00A007CC"/>
    <w:rsid w:val="00A00824"/>
    <w:rsid w:val="00A00A35"/>
    <w:rsid w:val="00A00DE7"/>
    <w:rsid w:val="00A00E41"/>
    <w:rsid w:val="00A0153D"/>
    <w:rsid w:val="00A01E20"/>
    <w:rsid w:val="00A02057"/>
    <w:rsid w:val="00A0226E"/>
    <w:rsid w:val="00A027CB"/>
    <w:rsid w:val="00A03372"/>
    <w:rsid w:val="00A035DD"/>
    <w:rsid w:val="00A03990"/>
    <w:rsid w:val="00A04230"/>
    <w:rsid w:val="00A04982"/>
    <w:rsid w:val="00A04E0A"/>
    <w:rsid w:val="00A04F12"/>
    <w:rsid w:val="00A0512B"/>
    <w:rsid w:val="00A05151"/>
    <w:rsid w:val="00A05985"/>
    <w:rsid w:val="00A05FB6"/>
    <w:rsid w:val="00A063DE"/>
    <w:rsid w:val="00A065DC"/>
    <w:rsid w:val="00A068DD"/>
    <w:rsid w:val="00A06A44"/>
    <w:rsid w:val="00A06CD8"/>
    <w:rsid w:val="00A070F0"/>
    <w:rsid w:val="00A07158"/>
    <w:rsid w:val="00A0717A"/>
    <w:rsid w:val="00A0786E"/>
    <w:rsid w:val="00A07AD6"/>
    <w:rsid w:val="00A07C8B"/>
    <w:rsid w:val="00A10A42"/>
    <w:rsid w:val="00A115A5"/>
    <w:rsid w:val="00A11C11"/>
    <w:rsid w:val="00A1226B"/>
    <w:rsid w:val="00A12629"/>
    <w:rsid w:val="00A128EB"/>
    <w:rsid w:val="00A130EC"/>
    <w:rsid w:val="00A13D0B"/>
    <w:rsid w:val="00A146E7"/>
    <w:rsid w:val="00A1544F"/>
    <w:rsid w:val="00A15D99"/>
    <w:rsid w:val="00A15E38"/>
    <w:rsid w:val="00A163FE"/>
    <w:rsid w:val="00A16448"/>
    <w:rsid w:val="00A164D5"/>
    <w:rsid w:val="00A16689"/>
    <w:rsid w:val="00A168C1"/>
    <w:rsid w:val="00A169EC"/>
    <w:rsid w:val="00A1720B"/>
    <w:rsid w:val="00A173E1"/>
    <w:rsid w:val="00A174C5"/>
    <w:rsid w:val="00A20312"/>
    <w:rsid w:val="00A2032E"/>
    <w:rsid w:val="00A20A4E"/>
    <w:rsid w:val="00A20BC7"/>
    <w:rsid w:val="00A2171B"/>
    <w:rsid w:val="00A22580"/>
    <w:rsid w:val="00A22C9B"/>
    <w:rsid w:val="00A22F49"/>
    <w:rsid w:val="00A230D7"/>
    <w:rsid w:val="00A23179"/>
    <w:rsid w:val="00A24229"/>
    <w:rsid w:val="00A244B9"/>
    <w:rsid w:val="00A24EB8"/>
    <w:rsid w:val="00A256E9"/>
    <w:rsid w:val="00A2570F"/>
    <w:rsid w:val="00A25800"/>
    <w:rsid w:val="00A25AF3"/>
    <w:rsid w:val="00A25E75"/>
    <w:rsid w:val="00A2613A"/>
    <w:rsid w:val="00A26211"/>
    <w:rsid w:val="00A262C5"/>
    <w:rsid w:val="00A263D6"/>
    <w:rsid w:val="00A264E4"/>
    <w:rsid w:val="00A26772"/>
    <w:rsid w:val="00A26A56"/>
    <w:rsid w:val="00A274C8"/>
    <w:rsid w:val="00A279AE"/>
    <w:rsid w:val="00A302B3"/>
    <w:rsid w:val="00A307B6"/>
    <w:rsid w:val="00A307ED"/>
    <w:rsid w:val="00A30E40"/>
    <w:rsid w:val="00A31463"/>
    <w:rsid w:val="00A31700"/>
    <w:rsid w:val="00A320AF"/>
    <w:rsid w:val="00A32112"/>
    <w:rsid w:val="00A329A7"/>
    <w:rsid w:val="00A336D9"/>
    <w:rsid w:val="00A3370A"/>
    <w:rsid w:val="00A33881"/>
    <w:rsid w:val="00A33EAA"/>
    <w:rsid w:val="00A33FCA"/>
    <w:rsid w:val="00A34047"/>
    <w:rsid w:val="00A346BE"/>
    <w:rsid w:val="00A34E77"/>
    <w:rsid w:val="00A35B89"/>
    <w:rsid w:val="00A360A4"/>
    <w:rsid w:val="00A3651E"/>
    <w:rsid w:val="00A3684E"/>
    <w:rsid w:val="00A36948"/>
    <w:rsid w:val="00A369C8"/>
    <w:rsid w:val="00A36EC9"/>
    <w:rsid w:val="00A37608"/>
    <w:rsid w:val="00A40D21"/>
    <w:rsid w:val="00A4116B"/>
    <w:rsid w:val="00A42C39"/>
    <w:rsid w:val="00A42C57"/>
    <w:rsid w:val="00A4343D"/>
    <w:rsid w:val="00A43AF1"/>
    <w:rsid w:val="00A43F4B"/>
    <w:rsid w:val="00A44300"/>
    <w:rsid w:val="00A445AF"/>
    <w:rsid w:val="00A4487C"/>
    <w:rsid w:val="00A44AA0"/>
    <w:rsid w:val="00A44B54"/>
    <w:rsid w:val="00A45468"/>
    <w:rsid w:val="00A46035"/>
    <w:rsid w:val="00A460E2"/>
    <w:rsid w:val="00A4699D"/>
    <w:rsid w:val="00A46C48"/>
    <w:rsid w:val="00A46CF0"/>
    <w:rsid w:val="00A46E06"/>
    <w:rsid w:val="00A474A5"/>
    <w:rsid w:val="00A4760F"/>
    <w:rsid w:val="00A47BA9"/>
    <w:rsid w:val="00A47DE0"/>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746"/>
    <w:rsid w:val="00A54860"/>
    <w:rsid w:val="00A54BB3"/>
    <w:rsid w:val="00A54C94"/>
    <w:rsid w:val="00A55402"/>
    <w:rsid w:val="00A555B0"/>
    <w:rsid w:val="00A55C43"/>
    <w:rsid w:val="00A56BBA"/>
    <w:rsid w:val="00A570CB"/>
    <w:rsid w:val="00A57630"/>
    <w:rsid w:val="00A57799"/>
    <w:rsid w:val="00A57A0A"/>
    <w:rsid w:val="00A6080D"/>
    <w:rsid w:val="00A608B1"/>
    <w:rsid w:val="00A60C28"/>
    <w:rsid w:val="00A612DA"/>
    <w:rsid w:val="00A61BDE"/>
    <w:rsid w:val="00A61C53"/>
    <w:rsid w:val="00A6267F"/>
    <w:rsid w:val="00A6272D"/>
    <w:rsid w:val="00A62E9F"/>
    <w:rsid w:val="00A62FBD"/>
    <w:rsid w:val="00A6318D"/>
    <w:rsid w:val="00A63866"/>
    <w:rsid w:val="00A63C01"/>
    <w:rsid w:val="00A65154"/>
    <w:rsid w:val="00A65769"/>
    <w:rsid w:val="00A65A55"/>
    <w:rsid w:val="00A65A5E"/>
    <w:rsid w:val="00A65DED"/>
    <w:rsid w:val="00A6607F"/>
    <w:rsid w:val="00A66729"/>
    <w:rsid w:val="00A66E2D"/>
    <w:rsid w:val="00A66E49"/>
    <w:rsid w:val="00A66F07"/>
    <w:rsid w:val="00A6728E"/>
    <w:rsid w:val="00A67EF5"/>
    <w:rsid w:val="00A70482"/>
    <w:rsid w:val="00A70520"/>
    <w:rsid w:val="00A7094F"/>
    <w:rsid w:val="00A70A50"/>
    <w:rsid w:val="00A70CAF"/>
    <w:rsid w:val="00A70DA0"/>
    <w:rsid w:val="00A70EE0"/>
    <w:rsid w:val="00A71430"/>
    <w:rsid w:val="00A71D2E"/>
    <w:rsid w:val="00A7240B"/>
    <w:rsid w:val="00A72501"/>
    <w:rsid w:val="00A72838"/>
    <w:rsid w:val="00A729DF"/>
    <w:rsid w:val="00A72AAA"/>
    <w:rsid w:val="00A7351E"/>
    <w:rsid w:val="00A73594"/>
    <w:rsid w:val="00A736CD"/>
    <w:rsid w:val="00A73986"/>
    <w:rsid w:val="00A73BB9"/>
    <w:rsid w:val="00A73F71"/>
    <w:rsid w:val="00A757DE"/>
    <w:rsid w:val="00A767EB"/>
    <w:rsid w:val="00A76B79"/>
    <w:rsid w:val="00A77AB0"/>
    <w:rsid w:val="00A77AE9"/>
    <w:rsid w:val="00A8033A"/>
    <w:rsid w:val="00A81476"/>
    <w:rsid w:val="00A8198C"/>
    <w:rsid w:val="00A81AC9"/>
    <w:rsid w:val="00A82510"/>
    <w:rsid w:val="00A825D1"/>
    <w:rsid w:val="00A82959"/>
    <w:rsid w:val="00A82F16"/>
    <w:rsid w:val="00A8327A"/>
    <w:rsid w:val="00A833B1"/>
    <w:rsid w:val="00A83D45"/>
    <w:rsid w:val="00A84C06"/>
    <w:rsid w:val="00A861C3"/>
    <w:rsid w:val="00A86329"/>
    <w:rsid w:val="00A8668B"/>
    <w:rsid w:val="00A86920"/>
    <w:rsid w:val="00A86BD1"/>
    <w:rsid w:val="00A87142"/>
    <w:rsid w:val="00A87A57"/>
    <w:rsid w:val="00A87E23"/>
    <w:rsid w:val="00A90249"/>
    <w:rsid w:val="00A90287"/>
    <w:rsid w:val="00A9033E"/>
    <w:rsid w:val="00A913EC"/>
    <w:rsid w:val="00A915F9"/>
    <w:rsid w:val="00A91710"/>
    <w:rsid w:val="00A92559"/>
    <w:rsid w:val="00A9287F"/>
    <w:rsid w:val="00A92BD9"/>
    <w:rsid w:val="00A92D5B"/>
    <w:rsid w:val="00A92E4C"/>
    <w:rsid w:val="00A92F14"/>
    <w:rsid w:val="00A93545"/>
    <w:rsid w:val="00A9395A"/>
    <w:rsid w:val="00A954B3"/>
    <w:rsid w:val="00A95C83"/>
    <w:rsid w:val="00A95EF4"/>
    <w:rsid w:val="00A95F31"/>
    <w:rsid w:val="00A9633F"/>
    <w:rsid w:val="00A96516"/>
    <w:rsid w:val="00A96664"/>
    <w:rsid w:val="00A96890"/>
    <w:rsid w:val="00A96C4A"/>
    <w:rsid w:val="00A9775E"/>
    <w:rsid w:val="00A97809"/>
    <w:rsid w:val="00A9794F"/>
    <w:rsid w:val="00A979ED"/>
    <w:rsid w:val="00A97A20"/>
    <w:rsid w:val="00AA0A42"/>
    <w:rsid w:val="00AA0C42"/>
    <w:rsid w:val="00AA0D83"/>
    <w:rsid w:val="00AA0EE5"/>
    <w:rsid w:val="00AA13B8"/>
    <w:rsid w:val="00AA1A77"/>
    <w:rsid w:val="00AA1F37"/>
    <w:rsid w:val="00AA205B"/>
    <w:rsid w:val="00AA268D"/>
    <w:rsid w:val="00AA294D"/>
    <w:rsid w:val="00AA2E3E"/>
    <w:rsid w:val="00AA35DF"/>
    <w:rsid w:val="00AA3669"/>
    <w:rsid w:val="00AA3A8D"/>
    <w:rsid w:val="00AA3C65"/>
    <w:rsid w:val="00AA41BC"/>
    <w:rsid w:val="00AA4B6D"/>
    <w:rsid w:val="00AA4E60"/>
    <w:rsid w:val="00AA4F7E"/>
    <w:rsid w:val="00AA4FE4"/>
    <w:rsid w:val="00AA5131"/>
    <w:rsid w:val="00AA56A4"/>
    <w:rsid w:val="00AA575C"/>
    <w:rsid w:val="00AA6186"/>
    <w:rsid w:val="00AA7DA6"/>
    <w:rsid w:val="00AB037E"/>
    <w:rsid w:val="00AB0618"/>
    <w:rsid w:val="00AB0DF9"/>
    <w:rsid w:val="00AB0E83"/>
    <w:rsid w:val="00AB1185"/>
    <w:rsid w:val="00AB147B"/>
    <w:rsid w:val="00AB1CE0"/>
    <w:rsid w:val="00AB2201"/>
    <w:rsid w:val="00AB29BA"/>
    <w:rsid w:val="00AB2B84"/>
    <w:rsid w:val="00AB2BFB"/>
    <w:rsid w:val="00AB2DC4"/>
    <w:rsid w:val="00AB391F"/>
    <w:rsid w:val="00AB3C3E"/>
    <w:rsid w:val="00AB3E8D"/>
    <w:rsid w:val="00AB433D"/>
    <w:rsid w:val="00AB4828"/>
    <w:rsid w:val="00AB4F35"/>
    <w:rsid w:val="00AB53A7"/>
    <w:rsid w:val="00AB552C"/>
    <w:rsid w:val="00AB58B9"/>
    <w:rsid w:val="00AB5EAF"/>
    <w:rsid w:val="00AB5F46"/>
    <w:rsid w:val="00AB61F6"/>
    <w:rsid w:val="00AB6452"/>
    <w:rsid w:val="00AB6D31"/>
    <w:rsid w:val="00AB6DE2"/>
    <w:rsid w:val="00AB7026"/>
    <w:rsid w:val="00AB7BD5"/>
    <w:rsid w:val="00AC02CD"/>
    <w:rsid w:val="00AC0420"/>
    <w:rsid w:val="00AC046C"/>
    <w:rsid w:val="00AC0612"/>
    <w:rsid w:val="00AC064B"/>
    <w:rsid w:val="00AC0AEB"/>
    <w:rsid w:val="00AC13A7"/>
    <w:rsid w:val="00AC1866"/>
    <w:rsid w:val="00AC1A34"/>
    <w:rsid w:val="00AC2EEF"/>
    <w:rsid w:val="00AC3163"/>
    <w:rsid w:val="00AC343A"/>
    <w:rsid w:val="00AC4565"/>
    <w:rsid w:val="00AC461E"/>
    <w:rsid w:val="00AC5F79"/>
    <w:rsid w:val="00AC69AC"/>
    <w:rsid w:val="00AC6C64"/>
    <w:rsid w:val="00AC6FED"/>
    <w:rsid w:val="00AC7304"/>
    <w:rsid w:val="00AC750F"/>
    <w:rsid w:val="00AC7DBD"/>
    <w:rsid w:val="00AD0BD8"/>
    <w:rsid w:val="00AD14F1"/>
    <w:rsid w:val="00AD1B5E"/>
    <w:rsid w:val="00AD1B90"/>
    <w:rsid w:val="00AD1F78"/>
    <w:rsid w:val="00AD22C2"/>
    <w:rsid w:val="00AD2432"/>
    <w:rsid w:val="00AD25FD"/>
    <w:rsid w:val="00AD266E"/>
    <w:rsid w:val="00AD2994"/>
    <w:rsid w:val="00AD3046"/>
    <w:rsid w:val="00AD3981"/>
    <w:rsid w:val="00AD40AA"/>
    <w:rsid w:val="00AD4FBB"/>
    <w:rsid w:val="00AD5D7D"/>
    <w:rsid w:val="00AD6042"/>
    <w:rsid w:val="00AD6385"/>
    <w:rsid w:val="00AD688C"/>
    <w:rsid w:val="00AD6C02"/>
    <w:rsid w:val="00AD7036"/>
    <w:rsid w:val="00AE008F"/>
    <w:rsid w:val="00AE011F"/>
    <w:rsid w:val="00AE0628"/>
    <w:rsid w:val="00AE0F3D"/>
    <w:rsid w:val="00AE12FB"/>
    <w:rsid w:val="00AE1A2A"/>
    <w:rsid w:val="00AE1D82"/>
    <w:rsid w:val="00AE1D97"/>
    <w:rsid w:val="00AE1E7A"/>
    <w:rsid w:val="00AE2F0F"/>
    <w:rsid w:val="00AE5A7C"/>
    <w:rsid w:val="00AE5C00"/>
    <w:rsid w:val="00AE6882"/>
    <w:rsid w:val="00AE6DA4"/>
    <w:rsid w:val="00AE6DAB"/>
    <w:rsid w:val="00AE6FF8"/>
    <w:rsid w:val="00AE7521"/>
    <w:rsid w:val="00AE7A3E"/>
    <w:rsid w:val="00AE7B84"/>
    <w:rsid w:val="00AE7C81"/>
    <w:rsid w:val="00AF01B4"/>
    <w:rsid w:val="00AF0AD9"/>
    <w:rsid w:val="00AF116F"/>
    <w:rsid w:val="00AF187A"/>
    <w:rsid w:val="00AF1DD5"/>
    <w:rsid w:val="00AF1F55"/>
    <w:rsid w:val="00AF25E5"/>
    <w:rsid w:val="00AF263F"/>
    <w:rsid w:val="00AF2917"/>
    <w:rsid w:val="00AF2B58"/>
    <w:rsid w:val="00AF2C61"/>
    <w:rsid w:val="00AF2C7F"/>
    <w:rsid w:val="00AF315A"/>
    <w:rsid w:val="00AF32B5"/>
    <w:rsid w:val="00AF370D"/>
    <w:rsid w:val="00AF3AEE"/>
    <w:rsid w:val="00AF432A"/>
    <w:rsid w:val="00AF43AC"/>
    <w:rsid w:val="00AF53CB"/>
    <w:rsid w:val="00AF5A3F"/>
    <w:rsid w:val="00AF672E"/>
    <w:rsid w:val="00AF6D9A"/>
    <w:rsid w:val="00AF6F57"/>
    <w:rsid w:val="00AF73A2"/>
    <w:rsid w:val="00AF7A8D"/>
    <w:rsid w:val="00AF7BDF"/>
    <w:rsid w:val="00B00CA6"/>
    <w:rsid w:val="00B00EB2"/>
    <w:rsid w:val="00B00EF2"/>
    <w:rsid w:val="00B0134B"/>
    <w:rsid w:val="00B0197E"/>
    <w:rsid w:val="00B028E1"/>
    <w:rsid w:val="00B02F88"/>
    <w:rsid w:val="00B03656"/>
    <w:rsid w:val="00B03E63"/>
    <w:rsid w:val="00B040FC"/>
    <w:rsid w:val="00B04B32"/>
    <w:rsid w:val="00B04C35"/>
    <w:rsid w:val="00B05714"/>
    <w:rsid w:val="00B05C52"/>
    <w:rsid w:val="00B060C2"/>
    <w:rsid w:val="00B06438"/>
    <w:rsid w:val="00B0673E"/>
    <w:rsid w:val="00B06951"/>
    <w:rsid w:val="00B06A9E"/>
    <w:rsid w:val="00B0730E"/>
    <w:rsid w:val="00B075B1"/>
    <w:rsid w:val="00B075EB"/>
    <w:rsid w:val="00B103A6"/>
    <w:rsid w:val="00B10438"/>
    <w:rsid w:val="00B104C8"/>
    <w:rsid w:val="00B106FF"/>
    <w:rsid w:val="00B1084D"/>
    <w:rsid w:val="00B110E3"/>
    <w:rsid w:val="00B11532"/>
    <w:rsid w:val="00B1176B"/>
    <w:rsid w:val="00B11C16"/>
    <w:rsid w:val="00B12660"/>
    <w:rsid w:val="00B12691"/>
    <w:rsid w:val="00B127AD"/>
    <w:rsid w:val="00B12ACF"/>
    <w:rsid w:val="00B12C8F"/>
    <w:rsid w:val="00B12D12"/>
    <w:rsid w:val="00B135B3"/>
    <w:rsid w:val="00B137F9"/>
    <w:rsid w:val="00B13C10"/>
    <w:rsid w:val="00B14587"/>
    <w:rsid w:val="00B14742"/>
    <w:rsid w:val="00B14A1D"/>
    <w:rsid w:val="00B14FE6"/>
    <w:rsid w:val="00B15F86"/>
    <w:rsid w:val="00B16154"/>
    <w:rsid w:val="00B164C5"/>
    <w:rsid w:val="00B165B6"/>
    <w:rsid w:val="00B16E2E"/>
    <w:rsid w:val="00B170F9"/>
    <w:rsid w:val="00B17D82"/>
    <w:rsid w:val="00B2011D"/>
    <w:rsid w:val="00B20488"/>
    <w:rsid w:val="00B21EA4"/>
    <w:rsid w:val="00B22022"/>
    <w:rsid w:val="00B22064"/>
    <w:rsid w:val="00B22619"/>
    <w:rsid w:val="00B22C23"/>
    <w:rsid w:val="00B22F03"/>
    <w:rsid w:val="00B23327"/>
    <w:rsid w:val="00B23982"/>
    <w:rsid w:val="00B23B81"/>
    <w:rsid w:val="00B23F8D"/>
    <w:rsid w:val="00B24297"/>
    <w:rsid w:val="00B24796"/>
    <w:rsid w:val="00B2500E"/>
    <w:rsid w:val="00B25EA8"/>
    <w:rsid w:val="00B2647F"/>
    <w:rsid w:val="00B267C1"/>
    <w:rsid w:val="00B27041"/>
    <w:rsid w:val="00B273A3"/>
    <w:rsid w:val="00B30799"/>
    <w:rsid w:val="00B30E67"/>
    <w:rsid w:val="00B30FEB"/>
    <w:rsid w:val="00B3151C"/>
    <w:rsid w:val="00B3184D"/>
    <w:rsid w:val="00B31932"/>
    <w:rsid w:val="00B32150"/>
    <w:rsid w:val="00B32498"/>
    <w:rsid w:val="00B32569"/>
    <w:rsid w:val="00B339D1"/>
    <w:rsid w:val="00B33C39"/>
    <w:rsid w:val="00B33E59"/>
    <w:rsid w:val="00B3465C"/>
    <w:rsid w:val="00B34CA1"/>
    <w:rsid w:val="00B34D55"/>
    <w:rsid w:val="00B3605D"/>
    <w:rsid w:val="00B363D5"/>
    <w:rsid w:val="00B364A6"/>
    <w:rsid w:val="00B36938"/>
    <w:rsid w:val="00B36B3C"/>
    <w:rsid w:val="00B36CC9"/>
    <w:rsid w:val="00B371AB"/>
    <w:rsid w:val="00B37715"/>
    <w:rsid w:val="00B37E83"/>
    <w:rsid w:val="00B4048F"/>
    <w:rsid w:val="00B41267"/>
    <w:rsid w:val="00B41590"/>
    <w:rsid w:val="00B41832"/>
    <w:rsid w:val="00B419F7"/>
    <w:rsid w:val="00B41C3A"/>
    <w:rsid w:val="00B4258F"/>
    <w:rsid w:val="00B425F5"/>
    <w:rsid w:val="00B43628"/>
    <w:rsid w:val="00B4364B"/>
    <w:rsid w:val="00B439B9"/>
    <w:rsid w:val="00B43CBC"/>
    <w:rsid w:val="00B43CDA"/>
    <w:rsid w:val="00B43F56"/>
    <w:rsid w:val="00B44566"/>
    <w:rsid w:val="00B447D6"/>
    <w:rsid w:val="00B45755"/>
    <w:rsid w:val="00B45FDD"/>
    <w:rsid w:val="00B46009"/>
    <w:rsid w:val="00B46021"/>
    <w:rsid w:val="00B471EA"/>
    <w:rsid w:val="00B473A8"/>
    <w:rsid w:val="00B47C9C"/>
    <w:rsid w:val="00B47DDA"/>
    <w:rsid w:val="00B50855"/>
    <w:rsid w:val="00B50B33"/>
    <w:rsid w:val="00B511EC"/>
    <w:rsid w:val="00B51210"/>
    <w:rsid w:val="00B512CA"/>
    <w:rsid w:val="00B512F8"/>
    <w:rsid w:val="00B514BC"/>
    <w:rsid w:val="00B52155"/>
    <w:rsid w:val="00B5257D"/>
    <w:rsid w:val="00B52F43"/>
    <w:rsid w:val="00B53488"/>
    <w:rsid w:val="00B53523"/>
    <w:rsid w:val="00B53790"/>
    <w:rsid w:val="00B53AC3"/>
    <w:rsid w:val="00B53D16"/>
    <w:rsid w:val="00B54C9F"/>
    <w:rsid w:val="00B55A28"/>
    <w:rsid w:val="00B55A5C"/>
    <w:rsid w:val="00B55E68"/>
    <w:rsid w:val="00B5718E"/>
    <w:rsid w:val="00B573F7"/>
    <w:rsid w:val="00B57F89"/>
    <w:rsid w:val="00B600F9"/>
    <w:rsid w:val="00B60C0B"/>
    <w:rsid w:val="00B60C9B"/>
    <w:rsid w:val="00B615A2"/>
    <w:rsid w:val="00B61B76"/>
    <w:rsid w:val="00B6289F"/>
    <w:rsid w:val="00B63467"/>
    <w:rsid w:val="00B634F5"/>
    <w:rsid w:val="00B637C0"/>
    <w:rsid w:val="00B637C5"/>
    <w:rsid w:val="00B641E9"/>
    <w:rsid w:val="00B64584"/>
    <w:rsid w:val="00B66084"/>
    <w:rsid w:val="00B66536"/>
    <w:rsid w:val="00B67706"/>
    <w:rsid w:val="00B67A69"/>
    <w:rsid w:val="00B70381"/>
    <w:rsid w:val="00B70867"/>
    <w:rsid w:val="00B709E0"/>
    <w:rsid w:val="00B70CDF"/>
    <w:rsid w:val="00B70F7A"/>
    <w:rsid w:val="00B71640"/>
    <w:rsid w:val="00B7165B"/>
    <w:rsid w:val="00B71D9F"/>
    <w:rsid w:val="00B72081"/>
    <w:rsid w:val="00B7237B"/>
    <w:rsid w:val="00B72C57"/>
    <w:rsid w:val="00B745A9"/>
    <w:rsid w:val="00B74B20"/>
    <w:rsid w:val="00B74C46"/>
    <w:rsid w:val="00B74C8C"/>
    <w:rsid w:val="00B753CD"/>
    <w:rsid w:val="00B754AF"/>
    <w:rsid w:val="00B7556A"/>
    <w:rsid w:val="00B76A86"/>
    <w:rsid w:val="00B76C25"/>
    <w:rsid w:val="00B7723D"/>
    <w:rsid w:val="00B776EF"/>
    <w:rsid w:val="00B80422"/>
    <w:rsid w:val="00B8071E"/>
    <w:rsid w:val="00B8075B"/>
    <w:rsid w:val="00B808A2"/>
    <w:rsid w:val="00B80C1D"/>
    <w:rsid w:val="00B81157"/>
    <w:rsid w:val="00B814C3"/>
    <w:rsid w:val="00B81FE6"/>
    <w:rsid w:val="00B82844"/>
    <w:rsid w:val="00B828C3"/>
    <w:rsid w:val="00B82C06"/>
    <w:rsid w:val="00B82C65"/>
    <w:rsid w:val="00B833AA"/>
    <w:rsid w:val="00B83A5A"/>
    <w:rsid w:val="00B83ACA"/>
    <w:rsid w:val="00B84371"/>
    <w:rsid w:val="00B847C1"/>
    <w:rsid w:val="00B84B20"/>
    <w:rsid w:val="00B84BC1"/>
    <w:rsid w:val="00B8511F"/>
    <w:rsid w:val="00B85345"/>
    <w:rsid w:val="00B856CF"/>
    <w:rsid w:val="00B85752"/>
    <w:rsid w:val="00B857F1"/>
    <w:rsid w:val="00B85A4E"/>
    <w:rsid w:val="00B8694A"/>
    <w:rsid w:val="00B86A5E"/>
    <w:rsid w:val="00B86CE3"/>
    <w:rsid w:val="00B908D1"/>
    <w:rsid w:val="00B9098A"/>
    <w:rsid w:val="00B90BB1"/>
    <w:rsid w:val="00B911DB"/>
    <w:rsid w:val="00B9127E"/>
    <w:rsid w:val="00B915E5"/>
    <w:rsid w:val="00B91934"/>
    <w:rsid w:val="00B91D25"/>
    <w:rsid w:val="00B928A1"/>
    <w:rsid w:val="00B92942"/>
    <w:rsid w:val="00B92F60"/>
    <w:rsid w:val="00B93281"/>
    <w:rsid w:val="00B93292"/>
    <w:rsid w:val="00B93A5A"/>
    <w:rsid w:val="00B94220"/>
    <w:rsid w:val="00B94413"/>
    <w:rsid w:val="00B945EA"/>
    <w:rsid w:val="00B94BB9"/>
    <w:rsid w:val="00B95216"/>
    <w:rsid w:val="00B952B9"/>
    <w:rsid w:val="00B956FB"/>
    <w:rsid w:val="00B95871"/>
    <w:rsid w:val="00B95886"/>
    <w:rsid w:val="00B95B2D"/>
    <w:rsid w:val="00B960D4"/>
    <w:rsid w:val="00B961C6"/>
    <w:rsid w:val="00B96645"/>
    <w:rsid w:val="00B966B5"/>
    <w:rsid w:val="00B97391"/>
    <w:rsid w:val="00B97A8F"/>
    <w:rsid w:val="00BA04CE"/>
    <w:rsid w:val="00BA073F"/>
    <w:rsid w:val="00BA10A4"/>
    <w:rsid w:val="00BA12F4"/>
    <w:rsid w:val="00BA1548"/>
    <w:rsid w:val="00BA15B4"/>
    <w:rsid w:val="00BA1799"/>
    <w:rsid w:val="00BA2E22"/>
    <w:rsid w:val="00BA389F"/>
    <w:rsid w:val="00BA406C"/>
    <w:rsid w:val="00BA504F"/>
    <w:rsid w:val="00BA56D5"/>
    <w:rsid w:val="00BA62E0"/>
    <w:rsid w:val="00BA6A5D"/>
    <w:rsid w:val="00BA789A"/>
    <w:rsid w:val="00BA7F6B"/>
    <w:rsid w:val="00BB0132"/>
    <w:rsid w:val="00BB0413"/>
    <w:rsid w:val="00BB144B"/>
    <w:rsid w:val="00BB1459"/>
    <w:rsid w:val="00BB14B8"/>
    <w:rsid w:val="00BB183A"/>
    <w:rsid w:val="00BB1B26"/>
    <w:rsid w:val="00BB2419"/>
    <w:rsid w:val="00BB271E"/>
    <w:rsid w:val="00BB2998"/>
    <w:rsid w:val="00BB2EA9"/>
    <w:rsid w:val="00BB33EC"/>
    <w:rsid w:val="00BB34DF"/>
    <w:rsid w:val="00BB3FB4"/>
    <w:rsid w:val="00BB48EE"/>
    <w:rsid w:val="00BB49D7"/>
    <w:rsid w:val="00BB4A36"/>
    <w:rsid w:val="00BB4E18"/>
    <w:rsid w:val="00BB5C7E"/>
    <w:rsid w:val="00BB5F9B"/>
    <w:rsid w:val="00BB60A4"/>
    <w:rsid w:val="00BB698B"/>
    <w:rsid w:val="00BB6A6D"/>
    <w:rsid w:val="00BB6FA6"/>
    <w:rsid w:val="00BB7243"/>
    <w:rsid w:val="00BB7CD1"/>
    <w:rsid w:val="00BB7E9C"/>
    <w:rsid w:val="00BC0248"/>
    <w:rsid w:val="00BC05C8"/>
    <w:rsid w:val="00BC0A86"/>
    <w:rsid w:val="00BC0F10"/>
    <w:rsid w:val="00BC0FA6"/>
    <w:rsid w:val="00BC116A"/>
    <w:rsid w:val="00BC1D32"/>
    <w:rsid w:val="00BC1F4B"/>
    <w:rsid w:val="00BC211C"/>
    <w:rsid w:val="00BC275A"/>
    <w:rsid w:val="00BC33AF"/>
    <w:rsid w:val="00BC3843"/>
    <w:rsid w:val="00BC3894"/>
    <w:rsid w:val="00BC3965"/>
    <w:rsid w:val="00BC3D86"/>
    <w:rsid w:val="00BC417A"/>
    <w:rsid w:val="00BC42B7"/>
    <w:rsid w:val="00BC463F"/>
    <w:rsid w:val="00BC465A"/>
    <w:rsid w:val="00BC4AE6"/>
    <w:rsid w:val="00BC511D"/>
    <w:rsid w:val="00BC5676"/>
    <w:rsid w:val="00BC65FB"/>
    <w:rsid w:val="00BC6BBD"/>
    <w:rsid w:val="00BC71EE"/>
    <w:rsid w:val="00BC7D56"/>
    <w:rsid w:val="00BD0EAC"/>
    <w:rsid w:val="00BD17E3"/>
    <w:rsid w:val="00BD1EA2"/>
    <w:rsid w:val="00BD2069"/>
    <w:rsid w:val="00BD28BE"/>
    <w:rsid w:val="00BD2AC6"/>
    <w:rsid w:val="00BD2F3D"/>
    <w:rsid w:val="00BD3E68"/>
    <w:rsid w:val="00BD4CAA"/>
    <w:rsid w:val="00BD634A"/>
    <w:rsid w:val="00BD6554"/>
    <w:rsid w:val="00BD7185"/>
    <w:rsid w:val="00BD72CC"/>
    <w:rsid w:val="00BD7784"/>
    <w:rsid w:val="00BD7A1E"/>
    <w:rsid w:val="00BD7EF3"/>
    <w:rsid w:val="00BD7F99"/>
    <w:rsid w:val="00BE00D0"/>
    <w:rsid w:val="00BE1220"/>
    <w:rsid w:val="00BE1770"/>
    <w:rsid w:val="00BE17E7"/>
    <w:rsid w:val="00BE2412"/>
    <w:rsid w:val="00BE2A5D"/>
    <w:rsid w:val="00BE2F78"/>
    <w:rsid w:val="00BE32BA"/>
    <w:rsid w:val="00BE42C6"/>
    <w:rsid w:val="00BE44C5"/>
    <w:rsid w:val="00BE4541"/>
    <w:rsid w:val="00BE46D9"/>
    <w:rsid w:val="00BE480F"/>
    <w:rsid w:val="00BE4926"/>
    <w:rsid w:val="00BE5769"/>
    <w:rsid w:val="00BE5B3B"/>
    <w:rsid w:val="00BE7778"/>
    <w:rsid w:val="00BF0850"/>
    <w:rsid w:val="00BF0A47"/>
    <w:rsid w:val="00BF0E8B"/>
    <w:rsid w:val="00BF109B"/>
    <w:rsid w:val="00BF1386"/>
    <w:rsid w:val="00BF14DD"/>
    <w:rsid w:val="00BF1D45"/>
    <w:rsid w:val="00BF2068"/>
    <w:rsid w:val="00BF2692"/>
    <w:rsid w:val="00BF2AB3"/>
    <w:rsid w:val="00BF2E23"/>
    <w:rsid w:val="00BF38D9"/>
    <w:rsid w:val="00BF3F98"/>
    <w:rsid w:val="00BF4933"/>
    <w:rsid w:val="00BF4C36"/>
    <w:rsid w:val="00BF4D7A"/>
    <w:rsid w:val="00BF51C9"/>
    <w:rsid w:val="00BF5B10"/>
    <w:rsid w:val="00BF6339"/>
    <w:rsid w:val="00BF6A03"/>
    <w:rsid w:val="00BF6FC7"/>
    <w:rsid w:val="00BF7566"/>
    <w:rsid w:val="00BF7D2E"/>
    <w:rsid w:val="00C004CC"/>
    <w:rsid w:val="00C00DB6"/>
    <w:rsid w:val="00C012C0"/>
    <w:rsid w:val="00C0165A"/>
    <w:rsid w:val="00C019A9"/>
    <w:rsid w:val="00C021C9"/>
    <w:rsid w:val="00C0231C"/>
    <w:rsid w:val="00C02E1F"/>
    <w:rsid w:val="00C0326D"/>
    <w:rsid w:val="00C039A2"/>
    <w:rsid w:val="00C03D22"/>
    <w:rsid w:val="00C04425"/>
    <w:rsid w:val="00C04B8E"/>
    <w:rsid w:val="00C0623A"/>
    <w:rsid w:val="00C0734D"/>
    <w:rsid w:val="00C101C5"/>
    <w:rsid w:val="00C1028F"/>
    <w:rsid w:val="00C10668"/>
    <w:rsid w:val="00C111BA"/>
    <w:rsid w:val="00C113FA"/>
    <w:rsid w:val="00C11589"/>
    <w:rsid w:val="00C119E3"/>
    <w:rsid w:val="00C11D99"/>
    <w:rsid w:val="00C11E45"/>
    <w:rsid w:val="00C126A5"/>
    <w:rsid w:val="00C12FDB"/>
    <w:rsid w:val="00C1306E"/>
    <w:rsid w:val="00C13070"/>
    <w:rsid w:val="00C13432"/>
    <w:rsid w:val="00C13F94"/>
    <w:rsid w:val="00C143BB"/>
    <w:rsid w:val="00C14C5B"/>
    <w:rsid w:val="00C15560"/>
    <w:rsid w:val="00C156AB"/>
    <w:rsid w:val="00C157DC"/>
    <w:rsid w:val="00C15A21"/>
    <w:rsid w:val="00C16908"/>
    <w:rsid w:val="00C16AA8"/>
    <w:rsid w:val="00C16EA6"/>
    <w:rsid w:val="00C17EDC"/>
    <w:rsid w:val="00C203F1"/>
    <w:rsid w:val="00C20A70"/>
    <w:rsid w:val="00C21CE9"/>
    <w:rsid w:val="00C223CC"/>
    <w:rsid w:val="00C2277D"/>
    <w:rsid w:val="00C22816"/>
    <w:rsid w:val="00C22AEF"/>
    <w:rsid w:val="00C23209"/>
    <w:rsid w:val="00C2457C"/>
    <w:rsid w:val="00C248F0"/>
    <w:rsid w:val="00C24FAB"/>
    <w:rsid w:val="00C2503F"/>
    <w:rsid w:val="00C25D8D"/>
    <w:rsid w:val="00C26347"/>
    <w:rsid w:val="00C2684D"/>
    <w:rsid w:val="00C26A51"/>
    <w:rsid w:val="00C26B37"/>
    <w:rsid w:val="00C277C5"/>
    <w:rsid w:val="00C27B00"/>
    <w:rsid w:val="00C27D70"/>
    <w:rsid w:val="00C27DED"/>
    <w:rsid w:val="00C305AB"/>
    <w:rsid w:val="00C30A94"/>
    <w:rsid w:val="00C30BA9"/>
    <w:rsid w:val="00C30D56"/>
    <w:rsid w:val="00C316F3"/>
    <w:rsid w:val="00C31D0F"/>
    <w:rsid w:val="00C31FD4"/>
    <w:rsid w:val="00C32087"/>
    <w:rsid w:val="00C32953"/>
    <w:rsid w:val="00C32C75"/>
    <w:rsid w:val="00C3384E"/>
    <w:rsid w:val="00C34196"/>
    <w:rsid w:val="00C3495C"/>
    <w:rsid w:val="00C353CA"/>
    <w:rsid w:val="00C35FA4"/>
    <w:rsid w:val="00C36700"/>
    <w:rsid w:val="00C36749"/>
    <w:rsid w:val="00C3692C"/>
    <w:rsid w:val="00C36A79"/>
    <w:rsid w:val="00C36BF6"/>
    <w:rsid w:val="00C36C20"/>
    <w:rsid w:val="00C36D9A"/>
    <w:rsid w:val="00C36F10"/>
    <w:rsid w:val="00C370F1"/>
    <w:rsid w:val="00C37230"/>
    <w:rsid w:val="00C37894"/>
    <w:rsid w:val="00C40640"/>
    <w:rsid w:val="00C408C1"/>
    <w:rsid w:val="00C40F35"/>
    <w:rsid w:val="00C411A5"/>
    <w:rsid w:val="00C41617"/>
    <w:rsid w:val="00C4169D"/>
    <w:rsid w:val="00C4197D"/>
    <w:rsid w:val="00C41BDD"/>
    <w:rsid w:val="00C42D36"/>
    <w:rsid w:val="00C43DC5"/>
    <w:rsid w:val="00C44122"/>
    <w:rsid w:val="00C44A93"/>
    <w:rsid w:val="00C450CB"/>
    <w:rsid w:val="00C455AD"/>
    <w:rsid w:val="00C45CD1"/>
    <w:rsid w:val="00C45D15"/>
    <w:rsid w:val="00C465D6"/>
    <w:rsid w:val="00C4703F"/>
    <w:rsid w:val="00C4756C"/>
    <w:rsid w:val="00C4789D"/>
    <w:rsid w:val="00C478BD"/>
    <w:rsid w:val="00C50596"/>
    <w:rsid w:val="00C51001"/>
    <w:rsid w:val="00C512D6"/>
    <w:rsid w:val="00C51771"/>
    <w:rsid w:val="00C52293"/>
    <w:rsid w:val="00C5235B"/>
    <w:rsid w:val="00C527AE"/>
    <w:rsid w:val="00C52E9A"/>
    <w:rsid w:val="00C53059"/>
    <w:rsid w:val="00C53439"/>
    <w:rsid w:val="00C53643"/>
    <w:rsid w:val="00C53D15"/>
    <w:rsid w:val="00C54093"/>
    <w:rsid w:val="00C54429"/>
    <w:rsid w:val="00C5461D"/>
    <w:rsid w:val="00C548D5"/>
    <w:rsid w:val="00C54AE9"/>
    <w:rsid w:val="00C54D31"/>
    <w:rsid w:val="00C54EBB"/>
    <w:rsid w:val="00C56C47"/>
    <w:rsid w:val="00C571CD"/>
    <w:rsid w:val="00C57564"/>
    <w:rsid w:val="00C5773E"/>
    <w:rsid w:val="00C57971"/>
    <w:rsid w:val="00C57C3A"/>
    <w:rsid w:val="00C57E63"/>
    <w:rsid w:val="00C609DA"/>
    <w:rsid w:val="00C61693"/>
    <w:rsid w:val="00C619E7"/>
    <w:rsid w:val="00C61C0C"/>
    <w:rsid w:val="00C624D8"/>
    <w:rsid w:val="00C6314C"/>
    <w:rsid w:val="00C6344D"/>
    <w:rsid w:val="00C640A3"/>
    <w:rsid w:val="00C642D4"/>
    <w:rsid w:val="00C6508F"/>
    <w:rsid w:val="00C65138"/>
    <w:rsid w:val="00C66008"/>
    <w:rsid w:val="00C66544"/>
    <w:rsid w:val="00C66586"/>
    <w:rsid w:val="00C6694E"/>
    <w:rsid w:val="00C66B89"/>
    <w:rsid w:val="00C66FAB"/>
    <w:rsid w:val="00C671EE"/>
    <w:rsid w:val="00C67296"/>
    <w:rsid w:val="00C676C4"/>
    <w:rsid w:val="00C679E2"/>
    <w:rsid w:val="00C704B8"/>
    <w:rsid w:val="00C7068B"/>
    <w:rsid w:val="00C70828"/>
    <w:rsid w:val="00C70EBC"/>
    <w:rsid w:val="00C7115F"/>
    <w:rsid w:val="00C71E93"/>
    <w:rsid w:val="00C7234B"/>
    <w:rsid w:val="00C727AC"/>
    <w:rsid w:val="00C72ACE"/>
    <w:rsid w:val="00C72EEA"/>
    <w:rsid w:val="00C730DC"/>
    <w:rsid w:val="00C732BD"/>
    <w:rsid w:val="00C734BB"/>
    <w:rsid w:val="00C734DA"/>
    <w:rsid w:val="00C735A8"/>
    <w:rsid w:val="00C73993"/>
    <w:rsid w:val="00C7414C"/>
    <w:rsid w:val="00C74481"/>
    <w:rsid w:val="00C74FB2"/>
    <w:rsid w:val="00C7581E"/>
    <w:rsid w:val="00C75EA3"/>
    <w:rsid w:val="00C7669A"/>
    <w:rsid w:val="00C76CB6"/>
    <w:rsid w:val="00C76F0D"/>
    <w:rsid w:val="00C77A89"/>
    <w:rsid w:val="00C77FF0"/>
    <w:rsid w:val="00C8021A"/>
    <w:rsid w:val="00C804EA"/>
    <w:rsid w:val="00C8064A"/>
    <w:rsid w:val="00C81882"/>
    <w:rsid w:val="00C81A04"/>
    <w:rsid w:val="00C81D60"/>
    <w:rsid w:val="00C81D7E"/>
    <w:rsid w:val="00C82122"/>
    <w:rsid w:val="00C829C8"/>
    <w:rsid w:val="00C8325E"/>
    <w:rsid w:val="00C8328C"/>
    <w:rsid w:val="00C83C45"/>
    <w:rsid w:val="00C8441D"/>
    <w:rsid w:val="00C84EF7"/>
    <w:rsid w:val="00C85537"/>
    <w:rsid w:val="00C85A0A"/>
    <w:rsid w:val="00C85F93"/>
    <w:rsid w:val="00C863E5"/>
    <w:rsid w:val="00C86437"/>
    <w:rsid w:val="00C86777"/>
    <w:rsid w:val="00C86B03"/>
    <w:rsid w:val="00C86DF5"/>
    <w:rsid w:val="00C8756A"/>
    <w:rsid w:val="00C87649"/>
    <w:rsid w:val="00C87666"/>
    <w:rsid w:val="00C8795A"/>
    <w:rsid w:val="00C907B3"/>
    <w:rsid w:val="00C90A24"/>
    <w:rsid w:val="00C90CAE"/>
    <w:rsid w:val="00C90EFF"/>
    <w:rsid w:val="00C912CC"/>
    <w:rsid w:val="00C91515"/>
    <w:rsid w:val="00C91932"/>
    <w:rsid w:val="00C91AC8"/>
    <w:rsid w:val="00C91C04"/>
    <w:rsid w:val="00C924A9"/>
    <w:rsid w:val="00C92541"/>
    <w:rsid w:val="00C92700"/>
    <w:rsid w:val="00C92891"/>
    <w:rsid w:val="00C931F4"/>
    <w:rsid w:val="00C93512"/>
    <w:rsid w:val="00C93A9A"/>
    <w:rsid w:val="00C94E2D"/>
    <w:rsid w:val="00C94F82"/>
    <w:rsid w:val="00C95316"/>
    <w:rsid w:val="00C95751"/>
    <w:rsid w:val="00C95857"/>
    <w:rsid w:val="00C95EC1"/>
    <w:rsid w:val="00C95F01"/>
    <w:rsid w:val="00C963D9"/>
    <w:rsid w:val="00C96814"/>
    <w:rsid w:val="00C96864"/>
    <w:rsid w:val="00C968C7"/>
    <w:rsid w:val="00C976E0"/>
    <w:rsid w:val="00C9778C"/>
    <w:rsid w:val="00C97856"/>
    <w:rsid w:val="00C979AC"/>
    <w:rsid w:val="00C97AD4"/>
    <w:rsid w:val="00CA03FF"/>
    <w:rsid w:val="00CA0985"/>
    <w:rsid w:val="00CA0B67"/>
    <w:rsid w:val="00CA0BDE"/>
    <w:rsid w:val="00CA106B"/>
    <w:rsid w:val="00CA172A"/>
    <w:rsid w:val="00CA1A34"/>
    <w:rsid w:val="00CA271B"/>
    <w:rsid w:val="00CA2D6E"/>
    <w:rsid w:val="00CA3263"/>
    <w:rsid w:val="00CA3FEF"/>
    <w:rsid w:val="00CA441F"/>
    <w:rsid w:val="00CA4EE5"/>
    <w:rsid w:val="00CA520A"/>
    <w:rsid w:val="00CA5465"/>
    <w:rsid w:val="00CA5D00"/>
    <w:rsid w:val="00CA5EAF"/>
    <w:rsid w:val="00CA631D"/>
    <w:rsid w:val="00CA6448"/>
    <w:rsid w:val="00CA69D1"/>
    <w:rsid w:val="00CA7519"/>
    <w:rsid w:val="00CA79AD"/>
    <w:rsid w:val="00CA79BE"/>
    <w:rsid w:val="00CA7CC7"/>
    <w:rsid w:val="00CB03A9"/>
    <w:rsid w:val="00CB0992"/>
    <w:rsid w:val="00CB1542"/>
    <w:rsid w:val="00CB1776"/>
    <w:rsid w:val="00CB19D9"/>
    <w:rsid w:val="00CB3F77"/>
    <w:rsid w:val="00CB4178"/>
    <w:rsid w:val="00CB4266"/>
    <w:rsid w:val="00CB46D1"/>
    <w:rsid w:val="00CB4944"/>
    <w:rsid w:val="00CB4EAC"/>
    <w:rsid w:val="00CB5C9F"/>
    <w:rsid w:val="00CB6420"/>
    <w:rsid w:val="00CB67BE"/>
    <w:rsid w:val="00CB6B80"/>
    <w:rsid w:val="00CB6C9E"/>
    <w:rsid w:val="00CB7451"/>
    <w:rsid w:val="00CB75C7"/>
    <w:rsid w:val="00CB76A9"/>
    <w:rsid w:val="00CB7C52"/>
    <w:rsid w:val="00CB7C7B"/>
    <w:rsid w:val="00CC0866"/>
    <w:rsid w:val="00CC2206"/>
    <w:rsid w:val="00CC2882"/>
    <w:rsid w:val="00CC29DB"/>
    <w:rsid w:val="00CC2C3A"/>
    <w:rsid w:val="00CC2D62"/>
    <w:rsid w:val="00CC2D66"/>
    <w:rsid w:val="00CC2DDB"/>
    <w:rsid w:val="00CC2EF3"/>
    <w:rsid w:val="00CC32DD"/>
    <w:rsid w:val="00CC3456"/>
    <w:rsid w:val="00CC3528"/>
    <w:rsid w:val="00CC4998"/>
    <w:rsid w:val="00CC4C9D"/>
    <w:rsid w:val="00CC4D07"/>
    <w:rsid w:val="00CC4D9D"/>
    <w:rsid w:val="00CC4DCF"/>
    <w:rsid w:val="00CC55C0"/>
    <w:rsid w:val="00CC6B7A"/>
    <w:rsid w:val="00CC6F5B"/>
    <w:rsid w:val="00CC70A2"/>
    <w:rsid w:val="00CC72FF"/>
    <w:rsid w:val="00CC7FAB"/>
    <w:rsid w:val="00CD01D4"/>
    <w:rsid w:val="00CD1C16"/>
    <w:rsid w:val="00CD1C6A"/>
    <w:rsid w:val="00CD1D9D"/>
    <w:rsid w:val="00CD2029"/>
    <w:rsid w:val="00CD2362"/>
    <w:rsid w:val="00CD23F6"/>
    <w:rsid w:val="00CD37C0"/>
    <w:rsid w:val="00CD4268"/>
    <w:rsid w:val="00CD479B"/>
    <w:rsid w:val="00CD590C"/>
    <w:rsid w:val="00CD621D"/>
    <w:rsid w:val="00CD663B"/>
    <w:rsid w:val="00CD6BE3"/>
    <w:rsid w:val="00CD7087"/>
    <w:rsid w:val="00CD7609"/>
    <w:rsid w:val="00CD7A4E"/>
    <w:rsid w:val="00CD7BF7"/>
    <w:rsid w:val="00CE02E6"/>
    <w:rsid w:val="00CE0320"/>
    <w:rsid w:val="00CE147E"/>
    <w:rsid w:val="00CE18EF"/>
    <w:rsid w:val="00CE218D"/>
    <w:rsid w:val="00CE2236"/>
    <w:rsid w:val="00CE2453"/>
    <w:rsid w:val="00CE3112"/>
    <w:rsid w:val="00CE3EFF"/>
    <w:rsid w:val="00CE4046"/>
    <w:rsid w:val="00CE4326"/>
    <w:rsid w:val="00CE6236"/>
    <w:rsid w:val="00CE794B"/>
    <w:rsid w:val="00CF0499"/>
    <w:rsid w:val="00CF0EC1"/>
    <w:rsid w:val="00CF13E4"/>
    <w:rsid w:val="00CF1F72"/>
    <w:rsid w:val="00CF22AD"/>
    <w:rsid w:val="00CF293D"/>
    <w:rsid w:val="00CF3436"/>
    <w:rsid w:val="00CF3547"/>
    <w:rsid w:val="00CF3D57"/>
    <w:rsid w:val="00CF48F1"/>
    <w:rsid w:val="00CF4BE2"/>
    <w:rsid w:val="00CF4D22"/>
    <w:rsid w:val="00CF5AC2"/>
    <w:rsid w:val="00CF5AF2"/>
    <w:rsid w:val="00CF5D30"/>
    <w:rsid w:val="00CF60B0"/>
    <w:rsid w:val="00CF6CDD"/>
    <w:rsid w:val="00CF7C3F"/>
    <w:rsid w:val="00D004C7"/>
    <w:rsid w:val="00D00FA5"/>
    <w:rsid w:val="00D019EA"/>
    <w:rsid w:val="00D01A65"/>
    <w:rsid w:val="00D02BF8"/>
    <w:rsid w:val="00D03195"/>
    <w:rsid w:val="00D035BB"/>
    <w:rsid w:val="00D035F9"/>
    <w:rsid w:val="00D0369A"/>
    <w:rsid w:val="00D037AF"/>
    <w:rsid w:val="00D037EC"/>
    <w:rsid w:val="00D045C1"/>
    <w:rsid w:val="00D045C3"/>
    <w:rsid w:val="00D04B3D"/>
    <w:rsid w:val="00D059D8"/>
    <w:rsid w:val="00D063D1"/>
    <w:rsid w:val="00D069C8"/>
    <w:rsid w:val="00D06E76"/>
    <w:rsid w:val="00D074D6"/>
    <w:rsid w:val="00D07A25"/>
    <w:rsid w:val="00D07C88"/>
    <w:rsid w:val="00D1011B"/>
    <w:rsid w:val="00D101C7"/>
    <w:rsid w:val="00D11237"/>
    <w:rsid w:val="00D11647"/>
    <w:rsid w:val="00D11EBC"/>
    <w:rsid w:val="00D11F2F"/>
    <w:rsid w:val="00D11FF4"/>
    <w:rsid w:val="00D12267"/>
    <w:rsid w:val="00D12623"/>
    <w:rsid w:val="00D134BD"/>
    <w:rsid w:val="00D1431F"/>
    <w:rsid w:val="00D15143"/>
    <w:rsid w:val="00D1531B"/>
    <w:rsid w:val="00D15FA4"/>
    <w:rsid w:val="00D16595"/>
    <w:rsid w:val="00D16A3A"/>
    <w:rsid w:val="00D16E12"/>
    <w:rsid w:val="00D17189"/>
    <w:rsid w:val="00D17AED"/>
    <w:rsid w:val="00D17DA1"/>
    <w:rsid w:val="00D17F4D"/>
    <w:rsid w:val="00D20F43"/>
    <w:rsid w:val="00D21048"/>
    <w:rsid w:val="00D213B2"/>
    <w:rsid w:val="00D2153D"/>
    <w:rsid w:val="00D2207F"/>
    <w:rsid w:val="00D22445"/>
    <w:rsid w:val="00D22711"/>
    <w:rsid w:val="00D227DB"/>
    <w:rsid w:val="00D22C47"/>
    <w:rsid w:val="00D249D0"/>
    <w:rsid w:val="00D24AC2"/>
    <w:rsid w:val="00D253E8"/>
    <w:rsid w:val="00D2548E"/>
    <w:rsid w:val="00D25D63"/>
    <w:rsid w:val="00D26367"/>
    <w:rsid w:val="00D26677"/>
    <w:rsid w:val="00D2692C"/>
    <w:rsid w:val="00D2693B"/>
    <w:rsid w:val="00D26986"/>
    <w:rsid w:val="00D26FD2"/>
    <w:rsid w:val="00D26FDF"/>
    <w:rsid w:val="00D2701B"/>
    <w:rsid w:val="00D275E1"/>
    <w:rsid w:val="00D2761C"/>
    <w:rsid w:val="00D304DF"/>
    <w:rsid w:val="00D30ABC"/>
    <w:rsid w:val="00D31724"/>
    <w:rsid w:val="00D31787"/>
    <w:rsid w:val="00D31A5C"/>
    <w:rsid w:val="00D31AF0"/>
    <w:rsid w:val="00D31DC2"/>
    <w:rsid w:val="00D3224C"/>
    <w:rsid w:val="00D3235B"/>
    <w:rsid w:val="00D323F4"/>
    <w:rsid w:val="00D32BD1"/>
    <w:rsid w:val="00D32C38"/>
    <w:rsid w:val="00D330D8"/>
    <w:rsid w:val="00D33163"/>
    <w:rsid w:val="00D338E6"/>
    <w:rsid w:val="00D3427C"/>
    <w:rsid w:val="00D34B12"/>
    <w:rsid w:val="00D35049"/>
    <w:rsid w:val="00D35948"/>
    <w:rsid w:val="00D35CA2"/>
    <w:rsid w:val="00D35CA5"/>
    <w:rsid w:val="00D36361"/>
    <w:rsid w:val="00D36ABE"/>
    <w:rsid w:val="00D3778F"/>
    <w:rsid w:val="00D37C5D"/>
    <w:rsid w:val="00D402B1"/>
    <w:rsid w:val="00D410FD"/>
    <w:rsid w:val="00D42A7A"/>
    <w:rsid w:val="00D42D72"/>
    <w:rsid w:val="00D43024"/>
    <w:rsid w:val="00D431A2"/>
    <w:rsid w:val="00D43575"/>
    <w:rsid w:val="00D436E5"/>
    <w:rsid w:val="00D4480F"/>
    <w:rsid w:val="00D452CE"/>
    <w:rsid w:val="00D4573F"/>
    <w:rsid w:val="00D457F6"/>
    <w:rsid w:val="00D45BB6"/>
    <w:rsid w:val="00D45E95"/>
    <w:rsid w:val="00D45EB1"/>
    <w:rsid w:val="00D46580"/>
    <w:rsid w:val="00D4658D"/>
    <w:rsid w:val="00D472F8"/>
    <w:rsid w:val="00D47ABF"/>
    <w:rsid w:val="00D50083"/>
    <w:rsid w:val="00D5082B"/>
    <w:rsid w:val="00D5131E"/>
    <w:rsid w:val="00D51F07"/>
    <w:rsid w:val="00D51FF7"/>
    <w:rsid w:val="00D52811"/>
    <w:rsid w:val="00D52AB4"/>
    <w:rsid w:val="00D52BDD"/>
    <w:rsid w:val="00D531BC"/>
    <w:rsid w:val="00D54A3A"/>
    <w:rsid w:val="00D54F64"/>
    <w:rsid w:val="00D54F65"/>
    <w:rsid w:val="00D55284"/>
    <w:rsid w:val="00D559F3"/>
    <w:rsid w:val="00D55A20"/>
    <w:rsid w:val="00D5612F"/>
    <w:rsid w:val="00D57032"/>
    <w:rsid w:val="00D57452"/>
    <w:rsid w:val="00D575AF"/>
    <w:rsid w:val="00D576C2"/>
    <w:rsid w:val="00D6008B"/>
    <w:rsid w:val="00D606B6"/>
    <w:rsid w:val="00D60A06"/>
    <w:rsid w:val="00D60B3C"/>
    <w:rsid w:val="00D61096"/>
    <w:rsid w:val="00D622F0"/>
    <w:rsid w:val="00D625E8"/>
    <w:rsid w:val="00D628B7"/>
    <w:rsid w:val="00D62922"/>
    <w:rsid w:val="00D633E5"/>
    <w:rsid w:val="00D63CAE"/>
    <w:rsid w:val="00D63CBA"/>
    <w:rsid w:val="00D64247"/>
    <w:rsid w:val="00D64A9C"/>
    <w:rsid w:val="00D64C65"/>
    <w:rsid w:val="00D64E53"/>
    <w:rsid w:val="00D64FB4"/>
    <w:rsid w:val="00D65130"/>
    <w:rsid w:val="00D65518"/>
    <w:rsid w:val="00D657A6"/>
    <w:rsid w:val="00D664E0"/>
    <w:rsid w:val="00D667D3"/>
    <w:rsid w:val="00D66AF0"/>
    <w:rsid w:val="00D66DC5"/>
    <w:rsid w:val="00D66EB5"/>
    <w:rsid w:val="00D67002"/>
    <w:rsid w:val="00D70531"/>
    <w:rsid w:val="00D705A0"/>
    <w:rsid w:val="00D70980"/>
    <w:rsid w:val="00D71039"/>
    <w:rsid w:val="00D72413"/>
    <w:rsid w:val="00D724AA"/>
    <w:rsid w:val="00D72BB2"/>
    <w:rsid w:val="00D733BB"/>
    <w:rsid w:val="00D738A8"/>
    <w:rsid w:val="00D738BD"/>
    <w:rsid w:val="00D7475A"/>
    <w:rsid w:val="00D75496"/>
    <w:rsid w:val="00D765C1"/>
    <w:rsid w:val="00D7736E"/>
    <w:rsid w:val="00D77A38"/>
    <w:rsid w:val="00D81463"/>
    <w:rsid w:val="00D82891"/>
    <w:rsid w:val="00D82CCA"/>
    <w:rsid w:val="00D82D52"/>
    <w:rsid w:val="00D83247"/>
    <w:rsid w:val="00D83326"/>
    <w:rsid w:val="00D83714"/>
    <w:rsid w:val="00D83994"/>
    <w:rsid w:val="00D839C1"/>
    <w:rsid w:val="00D8487B"/>
    <w:rsid w:val="00D84A1C"/>
    <w:rsid w:val="00D85855"/>
    <w:rsid w:val="00D85A6D"/>
    <w:rsid w:val="00D85B8C"/>
    <w:rsid w:val="00D86519"/>
    <w:rsid w:val="00D865C1"/>
    <w:rsid w:val="00D86B4A"/>
    <w:rsid w:val="00D87CDB"/>
    <w:rsid w:val="00D905D4"/>
    <w:rsid w:val="00D91020"/>
    <w:rsid w:val="00D91496"/>
    <w:rsid w:val="00D91D89"/>
    <w:rsid w:val="00D92161"/>
    <w:rsid w:val="00D92531"/>
    <w:rsid w:val="00D9298E"/>
    <w:rsid w:val="00D931EE"/>
    <w:rsid w:val="00D93511"/>
    <w:rsid w:val="00D9409B"/>
    <w:rsid w:val="00D94416"/>
    <w:rsid w:val="00D945F6"/>
    <w:rsid w:val="00D949CF"/>
    <w:rsid w:val="00D94B22"/>
    <w:rsid w:val="00D950C2"/>
    <w:rsid w:val="00D95A00"/>
    <w:rsid w:val="00D964F2"/>
    <w:rsid w:val="00D96530"/>
    <w:rsid w:val="00D9661F"/>
    <w:rsid w:val="00D96F65"/>
    <w:rsid w:val="00D96F9D"/>
    <w:rsid w:val="00D971C3"/>
    <w:rsid w:val="00D97721"/>
    <w:rsid w:val="00D97AB3"/>
    <w:rsid w:val="00DA0BB1"/>
    <w:rsid w:val="00DA0CCF"/>
    <w:rsid w:val="00DA0D7E"/>
    <w:rsid w:val="00DA1EA5"/>
    <w:rsid w:val="00DA2A4B"/>
    <w:rsid w:val="00DA3188"/>
    <w:rsid w:val="00DA3A76"/>
    <w:rsid w:val="00DA4879"/>
    <w:rsid w:val="00DA4A71"/>
    <w:rsid w:val="00DA520C"/>
    <w:rsid w:val="00DA590D"/>
    <w:rsid w:val="00DA65DF"/>
    <w:rsid w:val="00DA6C31"/>
    <w:rsid w:val="00DA6E91"/>
    <w:rsid w:val="00DA6F02"/>
    <w:rsid w:val="00DA723C"/>
    <w:rsid w:val="00DA7404"/>
    <w:rsid w:val="00DA7A80"/>
    <w:rsid w:val="00DB040C"/>
    <w:rsid w:val="00DB0BD8"/>
    <w:rsid w:val="00DB1269"/>
    <w:rsid w:val="00DB1A2A"/>
    <w:rsid w:val="00DB2515"/>
    <w:rsid w:val="00DB2A8D"/>
    <w:rsid w:val="00DB2AE8"/>
    <w:rsid w:val="00DB3496"/>
    <w:rsid w:val="00DB38F8"/>
    <w:rsid w:val="00DB48BC"/>
    <w:rsid w:val="00DB48E4"/>
    <w:rsid w:val="00DB49C5"/>
    <w:rsid w:val="00DB4A56"/>
    <w:rsid w:val="00DB4EAD"/>
    <w:rsid w:val="00DB4FC7"/>
    <w:rsid w:val="00DB51B1"/>
    <w:rsid w:val="00DB5737"/>
    <w:rsid w:val="00DB6141"/>
    <w:rsid w:val="00DB65F8"/>
    <w:rsid w:val="00DB67A0"/>
    <w:rsid w:val="00DB683D"/>
    <w:rsid w:val="00DB71DC"/>
    <w:rsid w:val="00DB7A65"/>
    <w:rsid w:val="00DC05EA"/>
    <w:rsid w:val="00DC0829"/>
    <w:rsid w:val="00DC0E5B"/>
    <w:rsid w:val="00DC108A"/>
    <w:rsid w:val="00DC1C48"/>
    <w:rsid w:val="00DC2AEF"/>
    <w:rsid w:val="00DC3779"/>
    <w:rsid w:val="00DC3F2D"/>
    <w:rsid w:val="00DC442B"/>
    <w:rsid w:val="00DC46B5"/>
    <w:rsid w:val="00DC4D4E"/>
    <w:rsid w:val="00DC4EDA"/>
    <w:rsid w:val="00DC53FB"/>
    <w:rsid w:val="00DC57D5"/>
    <w:rsid w:val="00DC61B3"/>
    <w:rsid w:val="00DC6866"/>
    <w:rsid w:val="00DC6975"/>
    <w:rsid w:val="00DC69AF"/>
    <w:rsid w:val="00DC6AA0"/>
    <w:rsid w:val="00DC7228"/>
    <w:rsid w:val="00DC7465"/>
    <w:rsid w:val="00DC7731"/>
    <w:rsid w:val="00DC7FA4"/>
    <w:rsid w:val="00DC7FD7"/>
    <w:rsid w:val="00DD017C"/>
    <w:rsid w:val="00DD0365"/>
    <w:rsid w:val="00DD1716"/>
    <w:rsid w:val="00DD1CCD"/>
    <w:rsid w:val="00DD2147"/>
    <w:rsid w:val="00DD22B1"/>
    <w:rsid w:val="00DD2BB4"/>
    <w:rsid w:val="00DD3211"/>
    <w:rsid w:val="00DD3A6A"/>
    <w:rsid w:val="00DD3A9F"/>
    <w:rsid w:val="00DD3AC1"/>
    <w:rsid w:val="00DD3B87"/>
    <w:rsid w:val="00DD4342"/>
    <w:rsid w:val="00DD486C"/>
    <w:rsid w:val="00DD49B4"/>
    <w:rsid w:val="00DD4F76"/>
    <w:rsid w:val="00DD505F"/>
    <w:rsid w:val="00DD557D"/>
    <w:rsid w:val="00DD5C3C"/>
    <w:rsid w:val="00DD628F"/>
    <w:rsid w:val="00DD694B"/>
    <w:rsid w:val="00DD6A9D"/>
    <w:rsid w:val="00DD6C7E"/>
    <w:rsid w:val="00DD6D69"/>
    <w:rsid w:val="00DD6E55"/>
    <w:rsid w:val="00DD6F14"/>
    <w:rsid w:val="00DD6F62"/>
    <w:rsid w:val="00DD70AC"/>
    <w:rsid w:val="00DE04A2"/>
    <w:rsid w:val="00DE0514"/>
    <w:rsid w:val="00DE0B2F"/>
    <w:rsid w:val="00DE0E71"/>
    <w:rsid w:val="00DE10B3"/>
    <w:rsid w:val="00DE30B2"/>
    <w:rsid w:val="00DE3792"/>
    <w:rsid w:val="00DE3E60"/>
    <w:rsid w:val="00DE444A"/>
    <w:rsid w:val="00DE4AF0"/>
    <w:rsid w:val="00DE4BF2"/>
    <w:rsid w:val="00DE4EF8"/>
    <w:rsid w:val="00DE4FEB"/>
    <w:rsid w:val="00DE50C8"/>
    <w:rsid w:val="00DE512E"/>
    <w:rsid w:val="00DE5274"/>
    <w:rsid w:val="00DE5299"/>
    <w:rsid w:val="00DE5807"/>
    <w:rsid w:val="00DE5968"/>
    <w:rsid w:val="00DE63B5"/>
    <w:rsid w:val="00DE64AE"/>
    <w:rsid w:val="00DE715F"/>
    <w:rsid w:val="00DE788C"/>
    <w:rsid w:val="00DF0757"/>
    <w:rsid w:val="00DF0FD1"/>
    <w:rsid w:val="00DF1188"/>
    <w:rsid w:val="00DF14D0"/>
    <w:rsid w:val="00DF2CD9"/>
    <w:rsid w:val="00DF2D6E"/>
    <w:rsid w:val="00DF33DC"/>
    <w:rsid w:val="00DF36CB"/>
    <w:rsid w:val="00DF4245"/>
    <w:rsid w:val="00DF4507"/>
    <w:rsid w:val="00DF4648"/>
    <w:rsid w:val="00DF4BB2"/>
    <w:rsid w:val="00DF4DC1"/>
    <w:rsid w:val="00DF5400"/>
    <w:rsid w:val="00DF56D7"/>
    <w:rsid w:val="00DF5C94"/>
    <w:rsid w:val="00DF650E"/>
    <w:rsid w:val="00DF688B"/>
    <w:rsid w:val="00DF779C"/>
    <w:rsid w:val="00DF7946"/>
    <w:rsid w:val="00DF79A1"/>
    <w:rsid w:val="00DF7A64"/>
    <w:rsid w:val="00DF7DB6"/>
    <w:rsid w:val="00DF7E41"/>
    <w:rsid w:val="00E0064B"/>
    <w:rsid w:val="00E00D5E"/>
    <w:rsid w:val="00E0142B"/>
    <w:rsid w:val="00E027EE"/>
    <w:rsid w:val="00E02E72"/>
    <w:rsid w:val="00E03978"/>
    <w:rsid w:val="00E04186"/>
    <w:rsid w:val="00E041A2"/>
    <w:rsid w:val="00E0477B"/>
    <w:rsid w:val="00E049FD"/>
    <w:rsid w:val="00E05056"/>
    <w:rsid w:val="00E055BC"/>
    <w:rsid w:val="00E057C4"/>
    <w:rsid w:val="00E05D76"/>
    <w:rsid w:val="00E05F57"/>
    <w:rsid w:val="00E06155"/>
    <w:rsid w:val="00E07401"/>
    <w:rsid w:val="00E07C20"/>
    <w:rsid w:val="00E07FE1"/>
    <w:rsid w:val="00E10082"/>
    <w:rsid w:val="00E10E44"/>
    <w:rsid w:val="00E10EF4"/>
    <w:rsid w:val="00E112CA"/>
    <w:rsid w:val="00E1179D"/>
    <w:rsid w:val="00E11AEE"/>
    <w:rsid w:val="00E11AF0"/>
    <w:rsid w:val="00E11E98"/>
    <w:rsid w:val="00E12BFB"/>
    <w:rsid w:val="00E1438F"/>
    <w:rsid w:val="00E15FDD"/>
    <w:rsid w:val="00E1655F"/>
    <w:rsid w:val="00E16B78"/>
    <w:rsid w:val="00E16BBE"/>
    <w:rsid w:val="00E17A4A"/>
    <w:rsid w:val="00E202EC"/>
    <w:rsid w:val="00E2090C"/>
    <w:rsid w:val="00E2155F"/>
    <w:rsid w:val="00E21E06"/>
    <w:rsid w:val="00E22AB4"/>
    <w:rsid w:val="00E237E9"/>
    <w:rsid w:val="00E24459"/>
    <w:rsid w:val="00E244CB"/>
    <w:rsid w:val="00E24757"/>
    <w:rsid w:val="00E24917"/>
    <w:rsid w:val="00E25383"/>
    <w:rsid w:val="00E25541"/>
    <w:rsid w:val="00E260BB"/>
    <w:rsid w:val="00E26D1F"/>
    <w:rsid w:val="00E26E4F"/>
    <w:rsid w:val="00E26E98"/>
    <w:rsid w:val="00E275A1"/>
    <w:rsid w:val="00E27CC9"/>
    <w:rsid w:val="00E3074D"/>
    <w:rsid w:val="00E308CC"/>
    <w:rsid w:val="00E3135F"/>
    <w:rsid w:val="00E32034"/>
    <w:rsid w:val="00E328F3"/>
    <w:rsid w:val="00E32DED"/>
    <w:rsid w:val="00E33F20"/>
    <w:rsid w:val="00E34C72"/>
    <w:rsid w:val="00E3503A"/>
    <w:rsid w:val="00E352EC"/>
    <w:rsid w:val="00E37C53"/>
    <w:rsid w:val="00E37C54"/>
    <w:rsid w:val="00E37D78"/>
    <w:rsid w:val="00E37DA5"/>
    <w:rsid w:val="00E4047F"/>
    <w:rsid w:val="00E40C74"/>
    <w:rsid w:val="00E41635"/>
    <w:rsid w:val="00E41D9C"/>
    <w:rsid w:val="00E41FF8"/>
    <w:rsid w:val="00E42531"/>
    <w:rsid w:val="00E425CC"/>
    <w:rsid w:val="00E43C63"/>
    <w:rsid w:val="00E446F5"/>
    <w:rsid w:val="00E44923"/>
    <w:rsid w:val="00E45119"/>
    <w:rsid w:val="00E4523C"/>
    <w:rsid w:val="00E453FA"/>
    <w:rsid w:val="00E454A7"/>
    <w:rsid w:val="00E45739"/>
    <w:rsid w:val="00E45934"/>
    <w:rsid w:val="00E4608F"/>
    <w:rsid w:val="00E46107"/>
    <w:rsid w:val="00E467B0"/>
    <w:rsid w:val="00E47C9A"/>
    <w:rsid w:val="00E509DA"/>
    <w:rsid w:val="00E50D7C"/>
    <w:rsid w:val="00E50E54"/>
    <w:rsid w:val="00E52246"/>
    <w:rsid w:val="00E52286"/>
    <w:rsid w:val="00E5246A"/>
    <w:rsid w:val="00E531EE"/>
    <w:rsid w:val="00E533F9"/>
    <w:rsid w:val="00E5341E"/>
    <w:rsid w:val="00E53A19"/>
    <w:rsid w:val="00E54090"/>
    <w:rsid w:val="00E54725"/>
    <w:rsid w:val="00E54953"/>
    <w:rsid w:val="00E550BA"/>
    <w:rsid w:val="00E55582"/>
    <w:rsid w:val="00E5609F"/>
    <w:rsid w:val="00E5615E"/>
    <w:rsid w:val="00E562CF"/>
    <w:rsid w:val="00E578C9"/>
    <w:rsid w:val="00E579C5"/>
    <w:rsid w:val="00E600D4"/>
    <w:rsid w:val="00E60150"/>
    <w:rsid w:val="00E6059F"/>
    <w:rsid w:val="00E6085A"/>
    <w:rsid w:val="00E60B72"/>
    <w:rsid w:val="00E60C4A"/>
    <w:rsid w:val="00E6178E"/>
    <w:rsid w:val="00E618E7"/>
    <w:rsid w:val="00E619C0"/>
    <w:rsid w:val="00E61EF6"/>
    <w:rsid w:val="00E61FF4"/>
    <w:rsid w:val="00E6222B"/>
    <w:rsid w:val="00E62348"/>
    <w:rsid w:val="00E623DE"/>
    <w:rsid w:val="00E6288D"/>
    <w:rsid w:val="00E6382D"/>
    <w:rsid w:val="00E641B7"/>
    <w:rsid w:val="00E655D0"/>
    <w:rsid w:val="00E65A6D"/>
    <w:rsid w:val="00E65DEA"/>
    <w:rsid w:val="00E65FA7"/>
    <w:rsid w:val="00E66150"/>
    <w:rsid w:val="00E665F3"/>
    <w:rsid w:val="00E66BC7"/>
    <w:rsid w:val="00E67049"/>
    <w:rsid w:val="00E67ECF"/>
    <w:rsid w:val="00E70C61"/>
    <w:rsid w:val="00E70E61"/>
    <w:rsid w:val="00E70F35"/>
    <w:rsid w:val="00E7150F"/>
    <w:rsid w:val="00E71DCE"/>
    <w:rsid w:val="00E72225"/>
    <w:rsid w:val="00E72419"/>
    <w:rsid w:val="00E72841"/>
    <w:rsid w:val="00E72AA1"/>
    <w:rsid w:val="00E72F46"/>
    <w:rsid w:val="00E7378F"/>
    <w:rsid w:val="00E74563"/>
    <w:rsid w:val="00E74645"/>
    <w:rsid w:val="00E74F24"/>
    <w:rsid w:val="00E752A0"/>
    <w:rsid w:val="00E75430"/>
    <w:rsid w:val="00E75AE3"/>
    <w:rsid w:val="00E76C9F"/>
    <w:rsid w:val="00E774F1"/>
    <w:rsid w:val="00E80122"/>
    <w:rsid w:val="00E80565"/>
    <w:rsid w:val="00E80E54"/>
    <w:rsid w:val="00E81236"/>
    <w:rsid w:val="00E8138C"/>
    <w:rsid w:val="00E813F0"/>
    <w:rsid w:val="00E81669"/>
    <w:rsid w:val="00E81832"/>
    <w:rsid w:val="00E81D72"/>
    <w:rsid w:val="00E8288D"/>
    <w:rsid w:val="00E829C8"/>
    <w:rsid w:val="00E82D0D"/>
    <w:rsid w:val="00E82F8F"/>
    <w:rsid w:val="00E83359"/>
    <w:rsid w:val="00E848DB"/>
    <w:rsid w:val="00E8492E"/>
    <w:rsid w:val="00E85187"/>
    <w:rsid w:val="00E856D9"/>
    <w:rsid w:val="00E859D4"/>
    <w:rsid w:val="00E85A3B"/>
    <w:rsid w:val="00E86716"/>
    <w:rsid w:val="00E867EA"/>
    <w:rsid w:val="00E86E03"/>
    <w:rsid w:val="00E86F7D"/>
    <w:rsid w:val="00E87849"/>
    <w:rsid w:val="00E87999"/>
    <w:rsid w:val="00E87B74"/>
    <w:rsid w:val="00E90907"/>
    <w:rsid w:val="00E90A09"/>
    <w:rsid w:val="00E90C58"/>
    <w:rsid w:val="00E90FDD"/>
    <w:rsid w:val="00E91FF3"/>
    <w:rsid w:val="00E921D9"/>
    <w:rsid w:val="00E938E9"/>
    <w:rsid w:val="00E93AA6"/>
    <w:rsid w:val="00E95F2D"/>
    <w:rsid w:val="00E96CDD"/>
    <w:rsid w:val="00E96D42"/>
    <w:rsid w:val="00E97271"/>
    <w:rsid w:val="00E972E7"/>
    <w:rsid w:val="00E97435"/>
    <w:rsid w:val="00E97734"/>
    <w:rsid w:val="00E977DA"/>
    <w:rsid w:val="00E978A6"/>
    <w:rsid w:val="00E97F61"/>
    <w:rsid w:val="00EA009E"/>
    <w:rsid w:val="00EA0B21"/>
    <w:rsid w:val="00EA0B22"/>
    <w:rsid w:val="00EA0F26"/>
    <w:rsid w:val="00EA1253"/>
    <w:rsid w:val="00EA1574"/>
    <w:rsid w:val="00EA1AC6"/>
    <w:rsid w:val="00EA1E8F"/>
    <w:rsid w:val="00EA3346"/>
    <w:rsid w:val="00EA34B0"/>
    <w:rsid w:val="00EA3661"/>
    <w:rsid w:val="00EA39C8"/>
    <w:rsid w:val="00EA3FAF"/>
    <w:rsid w:val="00EA468B"/>
    <w:rsid w:val="00EA486D"/>
    <w:rsid w:val="00EA5085"/>
    <w:rsid w:val="00EA5115"/>
    <w:rsid w:val="00EA544F"/>
    <w:rsid w:val="00EA5A57"/>
    <w:rsid w:val="00EA69E0"/>
    <w:rsid w:val="00EA6EF2"/>
    <w:rsid w:val="00EA6F84"/>
    <w:rsid w:val="00EA70EE"/>
    <w:rsid w:val="00EA7682"/>
    <w:rsid w:val="00EB09C0"/>
    <w:rsid w:val="00EB1209"/>
    <w:rsid w:val="00EB15B0"/>
    <w:rsid w:val="00EB1CF1"/>
    <w:rsid w:val="00EB238D"/>
    <w:rsid w:val="00EB2798"/>
    <w:rsid w:val="00EB2A42"/>
    <w:rsid w:val="00EB2ED4"/>
    <w:rsid w:val="00EB3F61"/>
    <w:rsid w:val="00EB464D"/>
    <w:rsid w:val="00EB4DB9"/>
    <w:rsid w:val="00EB5A77"/>
    <w:rsid w:val="00EB5C9C"/>
    <w:rsid w:val="00EB6124"/>
    <w:rsid w:val="00EB67B9"/>
    <w:rsid w:val="00EB7553"/>
    <w:rsid w:val="00EB7B1A"/>
    <w:rsid w:val="00EC05A8"/>
    <w:rsid w:val="00EC0684"/>
    <w:rsid w:val="00EC0827"/>
    <w:rsid w:val="00EC09CE"/>
    <w:rsid w:val="00EC0A89"/>
    <w:rsid w:val="00EC1C7E"/>
    <w:rsid w:val="00EC1D3C"/>
    <w:rsid w:val="00EC23B9"/>
    <w:rsid w:val="00EC2818"/>
    <w:rsid w:val="00EC300B"/>
    <w:rsid w:val="00EC34DA"/>
    <w:rsid w:val="00EC37DB"/>
    <w:rsid w:val="00EC3BCB"/>
    <w:rsid w:val="00EC4582"/>
    <w:rsid w:val="00EC4745"/>
    <w:rsid w:val="00EC4EF8"/>
    <w:rsid w:val="00EC4FF6"/>
    <w:rsid w:val="00EC5974"/>
    <w:rsid w:val="00EC5B2C"/>
    <w:rsid w:val="00EC6825"/>
    <w:rsid w:val="00EC6917"/>
    <w:rsid w:val="00EC6986"/>
    <w:rsid w:val="00EC69B4"/>
    <w:rsid w:val="00EC6B38"/>
    <w:rsid w:val="00EC6D09"/>
    <w:rsid w:val="00EC6FBB"/>
    <w:rsid w:val="00EC77E2"/>
    <w:rsid w:val="00ED04DC"/>
    <w:rsid w:val="00ED0862"/>
    <w:rsid w:val="00ED0A8E"/>
    <w:rsid w:val="00ED1D90"/>
    <w:rsid w:val="00ED1E8B"/>
    <w:rsid w:val="00ED2916"/>
    <w:rsid w:val="00ED3DDF"/>
    <w:rsid w:val="00ED40E0"/>
    <w:rsid w:val="00ED46C5"/>
    <w:rsid w:val="00ED4818"/>
    <w:rsid w:val="00ED553A"/>
    <w:rsid w:val="00ED55CF"/>
    <w:rsid w:val="00ED5647"/>
    <w:rsid w:val="00ED5728"/>
    <w:rsid w:val="00ED5E78"/>
    <w:rsid w:val="00ED6E5A"/>
    <w:rsid w:val="00ED7E53"/>
    <w:rsid w:val="00ED7EA4"/>
    <w:rsid w:val="00ED7FA8"/>
    <w:rsid w:val="00EE0156"/>
    <w:rsid w:val="00EE0440"/>
    <w:rsid w:val="00EE0CC5"/>
    <w:rsid w:val="00EE0D2C"/>
    <w:rsid w:val="00EE14AF"/>
    <w:rsid w:val="00EE1735"/>
    <w:rsid w:val="00EE1E5A"/>
    <w:rsid w:val="00EE292B"/>
    <w:rsid w:val="00EE2AB5"/>
    <w:rsid w:val="00EE2AEB"/>
    <w:rsid w:val="00EE3155"/>
    <w:rsid w:val="00EE33BC"/>
    <w:rsid w:val="00EE34E8"/>
    <w:rsid w:val="00EE4405"/>
    <w:rsid w:val="00EE4C32"/>
    <w:rsid w:val="00EE6510"/>
    <w:rsid w:val="00EE672A"/>
    <w:rsid w:val="00EE6932"/>
    <w:rsid w:val="00EE767E"/>
    <w:rsid w:val="00EE7AD2"/>
    <w:rsid w:val="00EF0423"/>
    <w:rsid w:val="00EF0791"/>
    <w:rsid w:val="00EF0DCB"/>
    <w:rsid w:val="00EF13FF"/>
    <w:rsid w:val="00EF19D6"/>
    <w:rsid w:val="00EF30BB"/>
    <w:rsid w:val="00EF37A2"/>
    <w:rsid w:val="00EF37D0"/>
    <w:rsid w:val="00EF3B81"/>
    <w:rsid w:val="00EF404D"/>
    <w:rsid w:val="00EF45E7"/>
    <w:rsid w:val="00EF466B"/>
    <w:rsid w:val="00EF4791"/>
    <w:rsid w:val="00EF4E7B"/>
    <w:rsid w:val="00EF55AE"/>
    <w:rsid w:val="00EF5A63"/>
    <w:rsid w:val="00EF741F"/>
    <w:rsid w:val="00EF754D"/>
    <w:rsid w:val="00EF7628"/>
    <w:rsid w:val="00EF7C63"/>
    <w:rsid w:val="00F012DB"/>
    <w:rsid w:val="00F0140D"/>
    <w:rsid w:val="00F01A21"/>
    <w:rsid w:val="00F01A5B"/>
    <w:rsid w:val="00F02518"/>
    <w:rsid w:val="00F030D8"/>
    <w:rsid w:val="00F035DB"/>
    <w:rsid w:val="00F0370A"/>
    <w:rsid w:val="00F03D84"/>
    <w:rsid w:val="00F04178"/>
    <w:rsid w:val="00F06363"/>
    <w:rsid w:val="00F063A4"/>
    <w:rsid w:val="00F0641C"/>
    <w:rsid w:val="00F066CF"/>
    <w:rsid w:val="00F071D2"/>
    <w:rsid w:val="00F0759E"/>
    <w:rsid w:val="00F076A6"/>
    <w:rsid w:val="00F076AB"/>
    <w:rsid w:val="00F0795E"/>
    <w:rsid w:val="00F07AB5"/>
    <w:rsid w:val="00F10F0B"/>
    <w:rsid w:val="00F1159E"/>
    <w:rsid w:val="00F117C1"/>
    <w:rsid w:val="00F11B62"/>
    <w:rsid w:val="00F11E4B"/>
    <w:rsid w:val="00F11F22"/>
    <w:rsid w:val="00F12201"/>
    <w:rsid w:val="00F1297B"/>
    <w:rsid w:val="00F13046"/>
    <w:rsid w:val="00F13339"/>
    <w:rsid w:val="00F13FEE"/>
    <w:rsid w:val="00F14C00"/>
    <w:rsid w:val="00F14C5B"/>
    <w:rsid w:val="00F14D77"/>
    <w:rsid w:val="00F1546B"/>
    <w:rsid w:val="00F154F2"/>
    <w:rsid w:val="00F15ADF"/>
    <w:rsid w:val="00F16085"/>
    <w:rsid w:val="00F1670F"/>
    <w:rsid w:val="00F16F0B"/>
    <w:rsid w:val="00F175E0"/>
    <w:rsid w:val="00F17BC1"/>
    <w:rsid w:val="00F211ED"/>
    <w:rsid w:val="00F21377"/>
    <w:rsid w:val="00F21410"/>
    <w:rsid w:val="00F2158F"/>
    <w:rsid w:val="00F21772"/>
    <w:rsid w:val="00F21993"/>
    <w:rsid w:val="00F221FA"/>
    <w:rsid w:val="00F22611"/>
    <w:rsid w:val="00F22A1A"/>
    <w:rsid w:val="00F22B78"/>
    <w:rsid w:val="00F22E32"/>
    <w:rsid w:val="00F2338F"/>
    <w:rsid w:val="00F23DB2"/>
    <w:rsid w:val="00F24211"/>
    <w:rsid w:val="00F244B8"/>
    <w:rsid w:val="00F24E1F"/>
    <w:rsid w:val="00F24F34"/>
    <w:rsid w:val="00F25086"/>
    <w:rsid w:val="00F25839"/>
    <w:rsid w:val="00F25B57"/>
    <w:rsid w:val="00F25D33"/>
    <w:rsid w:val="00F25F3E"/>
    <w:rsid w:val="00F265A8"/>
    <w:rsid w:val="00F26950"/>
    <w:rsid w:val="00F273C7"/>
    <w:rsid w:val="00F27A9A"/>
    <w:rsid w:val="00F27C7C"/>
    <w:rsid w:val="00F27F85"/>
    <w:rsid w:val="00F30E10"/>
    <w:rsid w:val="00F30F19"/>
    <w:rsid w:val="00F318E6"/>
    <w:rsid w:val="00F3194F"/>
    <w:rsid w:val="00F31B89"/>
    <w:rsid w:val="00F32909"/>
    <w:rsid w:val="00F32D60"/>
    <w:rsid w:val="00F330C7"/>
    <w:rsid w:val="00F336B9"/>
    <w:rsid w:val="00F341E6"/>
    <w:rsid w:val="00F344A2"/>
    <w:rsid w:val="00F34A1D"/>
    <w:rsid w:val="00F3545A"/>
    <w:rsid w:val="00F35B73"/>
    <w:rsid w:val="00F35C72"/>
    <w:rsid w:val="00F37029"/>
    <w:rsid w:val="00F37597"/>
    <w:rsid w:val="00F37D01"/>
    <w:rsid w:val="00F4159C"/>
    <w:rsid w:val="00F41704"/>
    <w:rsid w:val="00F4174B"/>
    <w:rsid w:val="00F41771"/>
    <w:rsid w:val="00F41A8D"/>
    <w:rsid w:val="00F41AD1"/>
    <w:rsid w:val="00F41EBA"/>
    <w:rsid w:val="00F43A16"/>
    <w:rsid w:val="00F44181"/>
    <w:rsid w:val="00F44208"/>
    <w:rsid w:val="00F4478E"/>
    <w:rsid w:val="00F46B1A"/>
    <w:rsid w:val="00F471EA"/>
    <w:rsid w:val="00F473F1"/>
    <w:rsid w:val="00F50ED9"/>
    <w:rsid w:val="00F51636"/>
    <w:rsid w:val="00F51869"/>
    <w:rsid w:val="00F5192B"/>
    <w:rsid w:val="00F51C1B"/>
    <w:rsid w:val="00F520ED"/>
    <w:rsid w:val="00F522BF"/>
    <w:rsid w:val="00F52355"/>
    <w:rsid w:val="00F545A3"/>
    <w:rsid w:val="00F54C02"/>
    <w:rsid w:val="00F54E90"/>
    <w:rsid w:val="00F55246"/>
    <w:rsid w:val="00F55923"/>
    <w:rsid w:val="00F55A34"/>
    <w:rsid w:val="00F55ECB"/>
    <w:rsid w:val="00F560C8"/>
    <w:rsid w:val="00F566B2"/>
    <w:rsid w:val="00F56F02"/>
    <w:rsid w:val="00F5727C"/>
    <w:rsid w:val="00F572E3"/>
    <w:rsid w:val="00F573AC"/>
    <w:rsid w:val="00F602C6"/>
    <w:rsid w:val="00F606DE"/>
    <w:rsid w:val="00F60ACE"/>
    <w:rsid w:val="00F60C5F"/>
    <w:rsid w:val="00F60CC8"/>
    <w:rsid w:val="00F60CEF"/>
    <w:rsid w:val="00F60D06"/>
    <w:rsid w:val="00F6126C"/>
    <w:rsid w:val="00F6173D"/>
    <w:rsid w:val="00F61812"/>
    <w:rsid w:val="00F61AA6"/>
    <w:rsid w:val="00F6287E"/>
    <w:rsid w:val="00F62A68"/>
    <w:rsid w:val="00F62AC7"/>
    <w:rsid w:val="00F6367B"/>
    <w:rsid w:val="00F6368D"/>
    <w:rsid w:val="00F6398C"/>
    <w:rsid w:val="00F63B10"/>
    <w:rsid w:val="00F64FE1"/>
    <w:rsid w:val="00F6596B"/>
    <w:rsid w:val="00F660DB"/>
    <w:rsid w:val="00F666B9"/>
    <w:rsid w:val="00F678BD"/>
    <w:rsid w:val="00F71AD9"/>
    <w:rsid w:val="00F71D7F"/>
    <w:rsid w:val="00F7213B"/>
    <w:rsid w:val="00F7304F"/>
    <w:rsid w:val="00F731F1"/>
    <w:rsid w:val="00F740AD"/>
    <w:rsid w:val="00F74175"/>
    <w:rsid w:val="00F74858"/>
    <w:rsid w:val="00F749EA"/>
    <w:rsid w:val="00F74B08"/>
    <w:rsid w:val="00F74F2B"/>
    <w:rsid w:val="00F75447"/>
    <w:rsid w:val="00F7568E"/>
    <w:rsid w:val="00F75C2B"/>
    <w:rsid w:val="00F7686A"/>
    <w:rsid w:val="00F774BB"/>
    <w:rsid w:val="00F7782B"/>
    <w:rsid w:val="00F77E77"/>
    <w:rsid w:val="00F800C0"/>
    <w:rsid w:val="00F8034D"/>
    <w:rsid w:val="00F804A2"/>
    <w:rsid w:val="00F807A6"/>
    <w:rsid w:val="00F80B5D"/>
    <w:rsid w:val="00F80D63"/>
    <w:rsid w:val="00F80DF9"/>
    <w:rsid w:val="00F81AB4"/>
    <w:rsid w:val="00F82245"/>
    <w:rsid w:val="00F82DDD"/>
    <w:rsid w:val="00F833B8"/>
    <w:rsid w:val="00F83478"/>
    <w:rsid w:val="00F8365F"/>
    <w:rsid w:val="00F84ED8"/>
    <w:rsid w:val="00F84F6D"/>
    <w:rsid w:val="00F85275"/>
    <w:rsid w:val="00F862D5"/>
    <w:rsid w:val="00F8766F"/>
    <w:rsid w:val="00F9024F"/>
    <w:rsid w:val="00F90322"/>
    <w:rsid w:val="00F904B3"/>
    <w:rsid w:val="00F90DD3"/>
    <w:rsid w:val="00F914AF"/>
    <w:rsid w:val="00F91691"/>
    <w:rsid w:val="00F92365"/>
    <w:rsid w:val="00F92C3E"/>
    <w:rsid w:val="00F930A5"/>
    <w:rsid w:val="00F9320E"/>
    <w:rsid w:val="00F934FC"/>
    <w:rsid w:val="00F9392C"/>
    <w:rsid w:val="00F93B14"/>
    <w:rsid w:val="00F93EC3"/>
    <w:rsid w:val="00F93F19"/>
    <w:rsid w:val="00F946E4"/>
    <w:rsid w:val="00F94833"/>
    <w:rsid w:val="00F94AB4"/>
    <w:rsid w:val="00F9649F"/>
    <w:rsid w:val="00F964CE"/>
    <w:rsid w:val="00F96673"/>
    <w:rsid w:val="00F96A1F"/>
    <w:rsid w:val="00F96C2C"/>
    <w:rsid w:val="00F96FAA"/>
    <w:rsid w:val="00F97AD5"/>
    <w:rsid w:val="00FA045A"/>
    <w:rsid w:val="00FA0723"/>
    <w:rsid w:val="00FA0943"/>
    <w:rsid w:val="00FA1289"/>
    <w:rsid w:val="00FA1306"/>
    <w:rsid w:val="00FA1386"/>
    <w:rsid w:val="00FA2343"/>
    <w:rsid w:val="00FA2CE2"/>
    <w:rsid w:val="00FA2FCD"/>
    <w:rsid w:val="00FA319A"/>
    <w:rsid w:val="00FA4F9B"/>
    <w:rsid w:val="00FA5129"/>
    <w:rsid w:val="00FA525F"/>
    <w:rsid w:val="00FA530E"/>
    <w:rsid w:val="00FA59E8"/>
    <w:rsid w:val="00FA629A"/>
    <w:rsid w:val="00FA63D2"/>
    <w:rsid w:val="00FA6713"/>
    <w:rsid w:val="00FA6EC5"/>
    <w:rsid w:val="00FA78B0"/>
    <w:rsid w:val="00FA7928"/>
    <w:rsid w:val="00FB0311"/>
    <w:rsid w:val="00FB12F6"/>
    <w:rsid w:val="00FB1C6C"/>
    <w:rsid w:val="00FB28F0"/>
    <w:rsid w:val="00FB2DC4"/>
    <w:rsid w:val="00FB354B"/>
    <w:rsid w:val="00FB3718"/>
    <w:rsid w:val="00FB4250"/>
    <w:rsid w:val="00FB484E"/>
    <w:rsid w:val="00FB512D"/>
    <w:rsid w:val="00FB56FA"/>
    <w:rsid w:val="00FB5824"/>
    <w:rsid w:val="00FB7002"/>
    <w:rsid w:val="00FB71F5"/>
    <w:rsid w:val="00FB7A0C"/>
    <w:rsid w:val="00FC085A"/>
    <w:rsid w:val="00FC0A85"/>
    <w:rsid w:val="00FC0ABE"/>
    <w:rsid w:val="00FC0DB2"/>
    <w:rsid w:val="00FC1D96"/>
    <w:rsid w:val="00FC1E68"/>
    <w:rsid w:val="00FC1FC2"/>
    <w:rsid w:val="00FC248B"/>
    <w:rsid w:val="00FC266E"/>
    <w:rsid w:val="00FC28A3"/>
    <w:rsid w:val="00FC2DE7"/>
    <w:rsid w:val="00FC3217"/>
    <w:rsid w:val="00FC3F70"/>
    <w:rsid w:val="00FC3FCB"/>
    <w:rsid w:val="00FC45F1"/>
    <w:rsid w:val="00FC48E0"/>
    <w:rsid w:val="00FC4A97"/>
    <w:rsid w:val="00FC4B6E"/>
    <w:rsid w:val="00FC4FFC"/>
    <w:rsid w:val="00FC505A"/>
    <w:rsid w:val="00FC5321"/>
    <w:rsid w:val="00FC5461"/>
    <w:rsid w:val="00FC570C"/>
    <w:rsid w:val="00FC573C"/>
    <w:rsid w:val="00FC5AF3"/>
    <w:rsid w:val="00FC6077"/>
    <w:rsid w:val="00FC617D"/>
    <w:rsid w:val="00FC63AD"/>
    <w:rsid w:val="00FC686F"/>
    <w:rsid w:val="00FC7020"/>
    <w:rsid w:val="00FC7841"/>
    <w:rsid w:val="00FC7B0B"/>
    <w:rsid w:val="00FD06A6"/>
    <w:rsid w:val="00FD09B2"/>
    <w:rsid w:val="00FD0D54"/>
    <w:rsid w:val="00FD1260"/>
    <w:rsid w:val="00FD1BFB"/>
    <w:rsid w:val="00FD1D5B"/>
    <w:rsid w:val="00FD1DF8"/>
    <w:rsid w:val="00FD27A9"/>
    <w:rsid w:val="00FD2B8A"/>
    <w:rsid w:val="00FD2BED"/>
    <w:rsid w:val="00FD31B3"/>
    <w:rsid w:val="00FD36E3"/>
    <w:rsid w:val="00FD3901"/>
    <w:rsid w:val="00FD3B58"/>
    <w:rsid w:val="00FD3CA8"/>
    <w:rsid w:val="00FD3E8D"/>
    <w:rsid w:val="00FD3EAF"/>
    <w:rsid w:val="00FD3EC0"/>
    <w:rsid w:val="00FD410E"/>
    <w:rsid w:val="00FD467D"/>
    <w:rsid w:val="00FD49B4"/>
    <w:rsid w:val="00FD4E5F"/>
    <w:rsid w:val="00FD58D9"/>
    <w:rsid w:val="00FD5A42"/>
    <w:rsid w:val="00FD62B6"/>
    <w:rsid w:val="00FD66CB"/>
    <w:rsid w:val="00FD767C"/>
    <w:rsid w:val="00FD7731"/>
    <w:rsid w:val="00FD77D2"/>
    <w:rsid w:val="00FD7827"/>
    <w:rsid w:val="00FD78C8"/>
    <w:rsid w:val="00FD7FD6"/>
    <w:rsid w:val="00FE0568"/>
    <w:rsid w:val="00FE1721"/>
    <w:rsid w:val="00FE1732"/>
    <w:rsid w:val="00FE1D24"/>
    <w:rsid w:val="00FE1DC7"/>
    <w:rsid w:val="00FE2776"/>
    <w:rsid w:val="00FE2DEA"/>
    <w:rsid w:val="00FE3CAB"/>
    <w:rsid w:val="00FE3EC0"/>
    <w:rsid w:val="00FE43A7"/>
    <w:rsid w:val="00FE45D3"/>
    <w:rsid w:val="00FE4965"/>
    <w:rsid w:val="00FE4B24"/>
    <w:rsid w:val="00FE4C3C"/>
    <w:rsid w:val="00FE5797"/>
    <w:rsid w:val="00FE597F"/>
    <w:rsid w:val="00FE68BE"/>
    <w:rsid w:val="00FE713B"/>
    <w:rsid w:val="00FE718C"/>
    <w:rsid w:val="00FE730A"/>
    <w:rsid w:val="00FE73DE"/>
    <w:rsid w:val="00FE790F"/>
    <w:rsid w:val="00FF00C4"/>
    <w:rsid w:val="00FF0CEF"/>
    <w:rsid w:val="00FF1008"/>
    <w:rsid w:val="00FF1075"/>
    <w:rsid w:val="00FF10B9"/>
    <w:rsid w:val="00FF29D6"/>
    <w:rsid w:val="00FF3002"/>
    <w:rsid w:val="00FF3F5A"/>
    <w:rsid w:val="00FF40B2"/>
    <w:rsid w:val="00FF4954"/>
    <w:rsid w:val="00FF4ACA"/>
    <w:rsid w:val="00FF55B3"/>
    <w:rsid w:val="00FF5EE3"/>
    <w:rsid w:val="00FF60B5"/>
    <w:rsid w:val="00FF6646"/>
    <w:rsid w:val="00FF687E"/>
    <w:rsid w:val="00FF690A"/>
    <w:rsid w:val="00FF76A1"/>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o:shapelayout v:ext="edit">
      <o:idmap v:ext="edit" data="1"/>
    </o:shapelayout>
  </w:shapeDefaults>
  <w:decimalSymbol w:val="."/>
  <w:listSeparator w:val=","/>
  <w14:docId w14:val="73ED7F13"/>
  <w15:docId w15:val="{9FD52CB8-94EF-4555-82F2-3A726356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E9"/>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locked/>
    <w:rsid w:val="006065C1"/>
    <w:rPr>
      <w:rFonts w:eastAsia="Times New Roman"/>
      <w:sz w:val="24"/>
      <w:szCs w:val="22"/>
      <w:lang w:eastAsia="en-US"/>
    </w:rPr>
  </w:style>
  <w:style w:type="paragraph" w:customStyle="1" w:styleId="Dash">
    <w:name w:val="Dash"/>
    <w:basedOn w:val="Normal"/>
    <w:link w:val="DashChar"/>
    <w:qFormat/>
    <w:rsid w:val="006065C1"/>
    <w:pPr>
      <w:numPr>
        <w:ilvl w:val="1"/>
        <w:numId w:val="6"/>
      </w:numPr>
      <w:spacing w:after="120"/>
    </w:pPr>
    <w:rPr>
      <w:rFonts w:ascii="Calibri" w:eastAsia="Times New Roman" w:hAnsi="Calibri"/>
    </w:rPr>
  </w:style>
  <w:style w:type="paragraph" w:customStyle="1" w:styleId="DoubleDot">
    <w:name w:val="Double Dot"/>
    <w:basedOn w:val="Normal"/>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uiPriority w:val="99"/>
    <w:rsid w:val="003B5BFC"/>
    <w:pPr>
      <w:tabs>
        <w:tab w:val="num" w:pos="520"/>
      </w:tabs>
      <w:ind w:left="520" w:hanging="520"/>
    </w:pPr>
  </w:style>
  <w:style w:type="character" w:customStyle="1" w:styleId="OutlineNumbered1Char">
    <w:name w:val="Outline Numbered 1 Char"/>
    <w:basedOn w:val="BulletChar"/>
    <w:link w:val="OutlineNumbered1"/>
    <w:uiPriority w:val="99"/>
    <w:locked/>
    <w:rsid w:val="003B5BFC"/>
    <w:rPr>
      <w:rFonts w:eastAsia="Times New Roman"/>
      <w:sz w:val="22"/>
      <w:szCs w:val="22"/>
      <w:lang w:eastAsia="en-US"/>
    </w:rPr>
  </w:style>
  <w:style w:type="paragraph" w:customStyle="1" w:styleId="OutlineNumbered2">
    <w:name w:val="Outline Numbered 2"/>
    <w:basedOn w:val="Normal"/>
    <w:uiPriority w:val="99"/>
    <w:rsid w:val="003B5BFC"/>
    <w:pPr>
      <w:tabs>
        <w:tab w:val="num" w:pos="1040"/>
      </w:tabs>
      <w:ind w:left="1040" w:hanging="520"/>
    </w:pPr>
  </w:style>
  <w:style w:type="paragraph" w:customStyle="1" w:styleId="OutlineNumbered3">
    <w:name w:val="Outline Numbered 3"/>
    <w:basedOn w:val="Normal"/>
    <w:uiPriority w:val="99"/>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basedOn w:val="Normal"/>
    <w:link w:val="FootnoteTextChar"/>
    <w:uiPriority w:val="99"/>
    <w:rsid w:val="005B4D4F"/>
    <w:pPr>
      <w:spacing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numPr>
        <w:ilvl w:val="3"/>
        <w:numId w:val="5"/>
      </w:numPr>
    </w:pPr>
  </w:style>
  <w:style w:type="paragraph" w:styleId="ListBullet5">
    <w:name w:val="List Bullet 5"/>
    <w:basedOn w:val="Normal"/>
    <w:uiPriority w:val="99"/>
    <w:unhideWhenUsed/>
    <w:locked/>
    <w:rsid w:val="007C4FED"/>
    <w:pPr>
      <w:numPr>
        <w:ilvl w:val="4"/>
        <w:numId w:val="5"/>
      </w:numPr>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numPr>
        <w:ilvl w:val="3"/>
        <w:numId w:val="4"/>
      </w:numPr>
    </w:pPr>
  </w:style>
  <w:style w:type="paragraph" w:styleId="ListNumber5">
    <w:name w:val="List Number 5"/>
    <w:basedOn w:val="Normal"/>
    <w:uiPriority w:val="99"/>
    <w:locked/>
    <w:rsid w:val="007C4FED"/>
    <w:pPr>
      <w:numPr>
        <w:ilvl w:val="4"/>
        <w:numId w:val="4"/>
      </w:numPr>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n_Para"/>
    <w:basedOn w:val="Normal"/>
    <w:qFormat/>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n_Main"/>
    <w:basedOn w:val="Normal"/>
    <w:qFormat/>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Schedule">
    <w:name w:val="ES_A 1. Schedule"/>
    <w:basedOn w:val="Heading2"/>
    <w:next w:val="Normal"/>
    <w:link w:val="ESA1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ScheduleChar">
    <w:name w:val="ES_A 1. Schedule Char"/>
    <w:basedOn w:val="DefaultParagraphFont"/>
    <w:link w:val="ESA1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aliases w:val="SubsectionHead,ssh"/>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2E5093"/>
    <w:pPr>
      <w:pageBreakBefore/>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2E5093"/>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TableHeading">
    <w:name w:val="TableHeading"/>
    <w:aliases w:val="th"/>
    <w:basedOn w:val="Normal"/>
    <w:next w:val="Tabletext"/>
    <w:rsid w:val="000E0DD5"/>
    <w:pPr>
      <w:keepNext/>
      <w:spacing w:before="60" w:line="240" w:lineRule="atLeast"/>
    </w:pPr>
    <w:rPr>
      <w:rFonts w:eastAsia="Times New Roman"/>
      <w:b/>
      <w:sz w:val="20"/>
      <w:szCs w:val="20"/>
      <w:lang w:eastAsia="en-AU"/>
    </w:rPr>
  </w:style>
  <w:style w:type="paragraph" w:customStyle="1" w:styleId="53ItemHeading3">
    <w:name w:val="5.3 Item Heading 3"/>
    <w:basedOn w:val="Normal"/>
    <w:link w:val="53ItemHeading3Char"/>
    <w:qFormat/>
    <w:rsid w:val="000E0DD5"/>
    <w:pPr>
      <w:spacing w:before="60" w:after="120" w:line="280" w:lineRule="exact"/>
      <w:ind w:firstLine="142"/>
    </w:pPr>
    <w:rPr>
      <w:rFonts w:ascii="Arial" w:eastAsia="Times New Roman" w:hAnsi="Arial" w:cs="Arial"/>
      <w:b/>
      <w:sz w:val="20"/>
      <w:szCs w:val="24"/>
    </w:rPr>
  </w:style>
  <w:style w:type="character" w:customStyle="1" w:styleId="53ItemHeading3Char">
    <w:name w:val="5.3 Item Heading 3 Char"/>
    <w:basedOn w:val="DefaultParagraphFont"/>
    <w:link w:val="53ItemHeading3"/>
    <w:rsid w:val="000E0DD5"/>
    <w:rPr>
      <w:rFonts w:ascii="Arial" w:eastAsia="Times New Roman" w:hAnsi="Arial" w:cs="Arial"/>
      <w:b/>
      <w:szCs w:val="24"/>
      <w:lang w:eastAsia="en-US"/>
    </w:rPr>
  </w:style>
  <w:style w:type="paragraph" w:customStyle="1" w:styleId="SOText">
    <w:name w:val="SO Text"/>
    <w:aliases w:val="sot"/>
    <w:link w:val="SOTextChar"/>
    <w:rsid w:val="000E0DD5"/>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rPr>
  </w:style>
  <w:style w:type="character" w:customStyle="1" w:styleId="SOTextChar">
    <w:name w:val="SO Text Char"/>
    <w:aliases w:val="sot Char"/>
    <w:link w:val="SOText"/>
    <w:rsid w:val="000E0DD5"/>
    <w:rPr>
      <w:rFonts w:ascii="Times New Roman" w:hAnsi="Times New Roman"/>
      <w:sz w:val="22"/>
    </w:rPr>
  </w:style>
  <w:style w:type="paragraph" w:customStyle="1" w:styleId="SOPara">
    <w:name w:val="SO Para"/>
    <w:aliases w:val="soa"/>
    <w:basedOn w:val="SOText"/>
    <w:link w:val="SOParaChar"/>
    <w:qFormat/>
    <w:rsid w:val="000E0DD5"/>
    <w:pPr>
      <w:tabs>
        <w:tab w:val="right" w:pos="1786"/>
      </w:tabs>
      <w:spacing w:before="40"/>
      <w:ind w:left="2070" w:hanging="936"/>
    </w:pPr>
  </w:style>
  <w:style w:type="character" w:customStyle="1" w:styleId="SOParaChar">
    <w:name w:val="SO Para Char"/>
    <w:aliases w:val="soa Char"/>
    <w:link w:val="SOPara"/>
    <w:rsid w:val="000E0DD5"/>
    <w:rPr>
      <w:rFonts w:ascii="Times New Roman" w:hAnsi="Times New Roman"/>
      <w:sz w:val="22"/>
    </w:rPr>
  </w:style>
  <w:style w:type="paragraph" w:customStyle="1" w:styleId="notedraft">
    <w:name w:val="note(draft)"/>
    <w:aliases w:val="nd"/>
    <w:basedOn w:val="Normal"/>
    <w:rsid w:val="000E0DD5"/>
    <w:pPr>
      <w:spacing w:before="240" w:line="240" w:lineRule="auto"/>
      <w:ind w:left="284" w:hanging="284"/>
    </w:pPr>
    <w:rPr>
      <w:rFonts w:eastAsia="Times New Roman"/>
      <w:i/>
      <w:szCs w:val="20"/>
      <w:lang w:eastAsia="en-AU"/>
    </w:rPr>
  </w:style>
  <w:style w:type="paragraph" w:customStyle="1" w:styleId="Penalty">
    <w:name w:val="Penalty"/>
    <w:basedOn w:val="Normal"/>
    <w:rsid w:val="000E0DD5"/>
    <w:pPr>
      <w:tabs>
        <w:tab w:val="left" w:pos="2977"/>
      </w:tabs>
      <w:spacing w:before="180" w:line="240" w:lineRule="auto"/>
      <w:ind w:left="1985" w:hanging="851"/>
    </w:pPr>
    <w:rPr>
      <w:rFonts w:eastAsia="Times New Roman"/>
      <w:sz w:val="22"/>
      <w:szCs w:val="20"/>
      <w:lang w:eastAsia="en-AU"/>
    </w:rPr>
  </w:style>
  <w:style w:type="paragraph" w:customStyle="1" w:styleId="h6subsec0">
    <w:name w:val="h6subsec"/>
    <w:basedOn w:val="Normal"/>
    <w:rsid w:val="000E0DD5"/>
    <w:pPr>
      <w:spacing w:before="100" w:beforeAutospacing="1" w:after="100" w:afterAutospacing="1" w:line="240" w:lineRule="auto"/>
    </w:pPr>
    <w:rPr>
      <w:rFonts w:eastAsia="Times New Roman"/>
      <w:szCs w:val="24"/>
      <w:lang w:eastAsia="en-AU"/>
    </w:rPr>
  </w:style>
  <w:style w:type="paragraph" w:customStyle="1" w:styleId="tableheading0">
    <w:name w:val="tableheading"/>
    <w:basedOn w:val="Normal"/>
    <w:rsid w:val="000E0DD5"/>
    <w:pPr>
      <w:spacing w:before="100" w:beforeAutospacing="1" w:after="100" w:afterAutospacing="1" w:line="240" w:lineRule="auto"/>
    </w:pPr>
    <w:rPr>
      <w:rFonts w:eastAsia="Times New Roman"/>
      <w:szCs w:val="24"/>
      <w:lang w:eastAsia="en-AU"/>
    </w:rPr>
  </w:style>
  <w:style w:type="paragraph" w:customStyle="1" w:styleId="tabletext1">
    <w:name w:val="tabletext"/>
    <w:basedOn w:val="Normal"/>
    <w:rsid w:val="000E0DD5"/>
    <w:pPr>
      <w:spacing w:before="100" w:beforeAutospacing="1" w:after="100" w:afterAutospacing="1" w:line="240" w:lineRule="auto"/>
    </w:pPr>
    <w:rPr>
      <w:rFonts w:eastAsia="Times New Roman"/>
      <w:szCs w:val="24"/>
      <w:lang w:eastAsia="en-AU"/>
    </w:rPr>
  </w:style>
  <w:style w:type="paragraph" w:customStyle="1" w:styleId="definition00">
    <w:name w:val="definition0"/>
    <w:basedOn w:val="Normal"/>
    <w:rsid w:val="000E0DD5"/>
    <w:pPr>
      <w:spacing w:before="100" w:beforeAutospacing="1" w:after="100" w:afterAutospacing="1" w:line="240" w:lineRule="auto"/>
    </w:pPr>
    <w:rPr>
      <w:rFonts w:eastAsia="Times New Roman"/>
      <w:szCs w:val="24"/>
      <w:lang w:eastAsia="en-AU"/>
    </w:rPr>
  </w:style>
  <w:style w:type="paragraph" w:styleId="BodyText">
    <w:name w:val="Body Text"/>
    <w:basedOn w:val="Normal"/>
    <w:link w:val="BodyTextChar"/>
    <w:locked/>
    <w:rsid w:val="0060767E"/>
    <w:pPr>
      <w:spacing w:before="160" w:after="160" w:line="288" w:lineRule="auto"/>
      <w:jc w:val="both"/>
    </w:pPr>
    <w:rPr>
      <w:rFonts w:ascii="Arial" w:eastAsia="SimSun" w:hAnsi="Arial" w:cs="Arial"/>
      <w:sz w:val="20"/>
      <w:szCs w:val="20"/>
      <w:lang w:eastAsia="zh-CN"/>
    </w:rPr>
  </w:style>
  <w:style w:type="character" w:customStyle="1" w:styleId="BodyTextChar">
    <w:name w:val="Body Text Char"/>
    <w:basedOn w:val="DefaultParagraphFont"/>
    <w:link w:val="BodyText"/>
    <w:rsid w:val="0060767E"/>
    <w:rPr>
      <w:rFonts w:ascii="Arial" w:eastAsia="SimSun" w:hAnsi="Arial" w:cs="Arial"/>
      <w:lang w:eastAsia="zh-CN"/>
    </w:rPr>
  </w:style>
  <w:style w:type="paragraph" w:customStyle="1" w:styleId="ttFooter">
    <w:name w:val="tt_Footer"/>
    <w:basedOn w:val="Normal"/>
    <w:rsid w:val="009E195D"/>
    <w:pPr>
      <w:tabs>
        <w:tab w:val="center" w:pos="4153"/>
        <w:tab w:val="right" w:pos="8363"/>
      </w:tabs>
      <w:spacing w:before="20" w:after="40" w:line="260" w:lineRule="atLeast"/>
      <w:jc w:val="center"/>
    </w:pPr>
    <w:rPr>
      <w:rFonts w:ascii="Arial" w:hAnsi="Arial"/>
      <w:i/>
      <w:sz w:val="18"/>
      <w:szCs w:val="20"/>
    </w:rPr>
  </w:style>
  <w:style w:type="paragraph" w:customStyle="1" w:styleId="ntoHeading">
    <w:name w:val="n_to_Heading"/>
    <w:aliases w:val="nm,note(margin)"/>
    <w:basedOn w:val="Normal"/>
    <w:qFormat/>
    <w:rsid w:val="009E195D"/>
    <w:pPr>
      <w:tabs>
        <w:tab w:val="left" w:pos="709"/>
      </w:tabs>
      <w:spacing w:line="240" w:lineRule="auto"/>
      <w:ind w:left="709" w:hanging="709"/>
    </w:pPr>
    <w:rPr>
      <w:rFonts w:eastAsia="Times New Roman"/>
      <w:sz w:val="18"/>
      <w:szCs w:val="20"/>
      <w:lang w:eastAsia="en-AU"/>
    </w:rPr>
  </w:style>
  <w:style w:type="paragraph" w:customStyle="1" w:styleId="nSubpara">
    <w:name w:val="n_Subpara"/>
    <w:basedOn w:val="Normal"/>
    <w:qFormat/>
    <w:rsid w:val="00A02057"/>
    <w:pPr>
      <w:tabs>
        <w:tab w:val="right" w:pos="2948"/>
      </w:tabs>
      <w:spacing w:before="0" w:after="100" w:line="220" w:lineRule="exact"/>
      <w:ind w:left="3119" w:hanging="3119"/>
    </w:pPr>
    <w:rPr>
      <w:sz w:val="18"/>
      <w:szCs w:val="20"/>
    </w:rPr>
  </w:style>
  <w:style w:type="paragraph" w:customStyle="1" w:styleId="h3Div">
    <w:name w:val="h3_Div"/>
    <w:aliases w:val="ActHead 3,d"/>
    <w:basedOn w:val="Normal"/>
    <w:next w:val="Normal"/>
    <w:qFormat/>
    <w:rsid w:val="0006397A"/>
    <w:pPr>
      <w:keepNext/>
      <w:keepLines/>
      <w:spacing w:before="240" w:line="240" w:lineRule="auto"/>
      <w:ind w:left="1134" w:hanging="1134"/>
      <w:outlineLvl w:val="2"/>
    </w:pPr>
    <w:rPr>
      <w:rFonts w:eastAsia="Times New Roman"/>
      <w:b/>
      <w:kern w:val="28"/>
      <w:sz w:val="28"/>
      <w:szCs w:val="20"/>
      <w:lang w:eastAsia="en-AU"/>
    </w:rPr>
  </w:style>
  <w:style w:type="paragraph" w:customStyle="1" w:styleId="h2Part">
    <w:name w:val="h2_Part"/>
    <w:aliases w:val="ActHead 2,p"/>
    <w:basedOn w:val="Normal"/>
    <w:next w:val="Normal"/>
    <w:qFormat/>
    <w:rsid w:val="0006056F"/>
    <w:pPr>
      <w:keepNext/>
      <w:keepLines/>
      <w:pageBreakBefore/>
      <w:spacing w:before="280" w:line="240" w:lineRule="auto"/>
      <w:ind w:left="1134" w:hanging="1134"/>
      <w:outlineLvl w:val="1"/>
    </w:pPr>
    <w:rPr>
      <w:rFonts w:eastAsia="Times New Roman"/>
      <w:b/>
      <w:kern w:val="28"/>
      <w:sz w:val="32"/>
      <w:szCs w:val="20"/>
      <w:lang w:eastAsia="en-AU"/>
    </w:rPr>
  </w:style>
  <w:style w:type="paragraph" w:customStyle="1" w:styleId="tSubsub">
    <w:name w:val="t_Subsub"/>
    <w:aliases w:val="paragraph(sub-sub),aaa"/>
    <w:basedOn w:val="Normal"/>
    <w:rsid w:val="0006056F"/>
    <w:pPr>
      <w:tabs>
        <w:tab w:val="right" w:pos="2722"/>
      </w:tabs>
      <w:spacing w:before="40" w:line="240" w:lineRule="auto"/>
      <w:ind w:left="2835" w:hanging="2835"/>
    </w:pPr>
    <w:rPr>
      <w:rFonts w:eastAsia="Times New Roman"/>
      <w:sz w:val="22"/>
      <w:szCs w:val="20"/>
      <w:lang w:eastAsia="en-AU"/>
    </w:rPr>
  </w:style>
  <w:style w:type="paragraph" w:styleId="TOC3">
    <w:name w:val="toc 3"/>
    <w:basedOn w:val="Normal"/>
    <w:next w:val="Normal"/>
    <w:autoRedefine/>
    <w:uiPriority w:val="39"/>
    <w:semiHidden/>
    <w:unhideWhenUsed/>
    <w:locked/>
    <w:rsid w:val="00725BFE"/>
    <w:pPr>
      <w:spacing w:after="100"/>
      <w:ind w:left="480"/>
    </w:pPr>
  </w:style>
  <w:style w:type="paragraph" w:styleId="DocumentMap">
    <w:name w:val="Document Map"/>
    <w:basedOn w:val="Normal"/>
    <w:link w:val="DocumentMapChar"/>
    <w:uiPriority w:val="99"/>
    <w:semiHidden/>
    <w:unhideWhenUsed/>
    <w:locked/>
    <w:rsid w:val="00132006"/>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2006"/>
    <w:rPr>
      <w:rFonts w:ascii="Tahoma" w:hAnsi="Tahoma" w:cs="Tahoma"/>
      <w:sz w:val="16"/>
      <w:szCs w:val="16"/>
      <w:lang w:eastAsia="en-US"/>
    </w:rPr>
  </w:style>
  <w:style w:type="paragraph" w:customStyle="1" w:styleId="ActHead8">
    <w:name w:val="ActHead 8"/>
    <w:aliases w:val="ad"/>
    <w:basedOn w:val="Normal"/>
    <w:next w:val="Normal"/>
    <w:qFormat/>
    <w:rsid w:val="001027B5"/>
    <w:pPr>
      <w:keepNext/>
      <w:keepLines/>
      <w:spacing w:before="240" w:line="240" w:lineRule="auto"/>
      <w:ind w:left="1134" w:hanging="1134"/>
      <w:outlineLvl w:val="7"/>
    </w:pPr>
    <w:rPr>
      <w:rFonts w:ascii="Arial" w:eastAsia="Times New Roman" w:hAnsi="Arial"/>
      <w:b/>
      <w:kern w:val="28"/>
      <w:sz w:val="26"/>
      <w:szCs w:val="20"/>
      <w:lang w:eastAsia="en-AU"/>
    </w:rPr>
  </w:style>
  <w:style w:type="paragraph" w:customStyle="1" w:styleId="ShortT">
    <w:name w:val="ShortT"/>
    <w:basedOn w:val="Normal"/>
    <w:next w:val="Normal"/>
    <w:qFormat/>
    <w:rsid w:val="00850786"/>
    <w:pPr>
      <w:spacing w:before="0" w:line="240" w:lineRule="auto"/>
    </w:pPr>
    <w:rPr>
      <w:rFonts w:eastAsia="Times New Roman"/>
      <w:b/>
      <w:sz w:val="40"/>
      <w:szCs w:val="20"/>
      <w:lang w:eastAsia="en-AU"/>
    </w:rPr>
  </w:style>
  <w:style w:type="paragraph" w:customStyle="1" w:styleId="CompiledMadeUnder">
    <w:name w:val="CompiledMadeUnder"/>
    <w:basedOn w:val="Normal"/>
    <w:next w:val="Normal"/>
    <w:rsid w:val="00850786"/>
    <w:pPr>
      <w:spacing w:before="0" w:line="260" w:lineRule="atLeast"/>
    </w:pPr>
    <w:rPr>
      <w:rFonts w:eastAsia="Times New Roman"/>
      <w:i/>
      <w:szCs w:val="24"/>
      <w:lang w:eastAsia="en-AU"/>
    </w:rPr>
  </w:style>
  <w:style w:type="paragraph" w:customStyle="1" w:styleId="MadeunderText">
    <w:name w:val="MadeunderText"/>
    <w:basedOn w:val="Normal"/>
    <w:next w:val="CompiledMadeUnder"/>
    <w:rsid w:val="00850786"/>
    <w:pPr>
      <w:spacing w:before="240" w:line="260" w:lineRule="atLeast"/>
    </w:pPr>
    <w:rPr>
      <w:rFonts w:eastAsia="Times New Roman"/>
      <w:szCs w:val="24"/>
      <w:lang w:eastAsia="en-AU"/>
    </w:rPr>
  </w:style>
  <w:style w:type="paragraph" w:customStyle="1" w:styleId="BoxText">
    <w:name w:val="BoxText"/>
    <w:aliases w:val="bt"/>
    <w:basedOn w:val="Normal"/>
    <w:qFormat/>
    <w:rsid w:val="00333AC1"/>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sz w:val="22"/>
      <w:szCs w:val="20"/>
      <w:lang w:eastAsia="en-AU"/>
    </w:rPr>
  </w:style>
  <w:style w:type="paragraph" w:styleId="TOC8">
    <w:name w:val="toc 8"/>
    <w:basedOn w:val="Normal"/>
    <w:next w:val="Normal"/>
    <w:autoRedefine/>
    <w:uiPriority w:val="39"/>
    <w:semiHidden/>
    <w:unhideWhenUsed/>
    <w:locked/>
    <w:rsid w:val="00470959"/>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78674305">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264507909">
      <w:bodyDiv w:val="1"/>
      <w:marLeft w:val="0"/>
      <w:marRight w:val="0"/>
      <w:marTop w:val="0"/>
      <w:marBottom w:val="0"/>
      <w:divBdr>
        <w:top w:val="none" w:sz="0" w:space="0" w:color="auto"/>
        <w:left w:val="none" w:sz="0" w:space="0" w:color="auto"/>
        <w:bottom w:val="none" w:sz="0" w:space="0" w:color="auto"/>
        <w:right w:val="none" w:sz="0" w:space="0" w:color="auto"/>
      </w:divBdr>
    </w:div>
    <w:div w:id="336923932">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848372493">
      <w:bodyDiv w:val="1"/>
      <w:marLeft w:val="0"/>
      <w:marRight w:val="0"/>
      <w:marTop w:val="0"/>
      <w:marBottom w:val="0"/>
      <w:divBdr>
        <w:top w:val="none" w:sz="0" w:space="0" w:color="auto"/>
        <w:left w:val="none" w:sz="0" w:space="0" w:color="auto"/>
        <w:bottom w:val="none" w:sz="0" w:space="0" w:color="auto"/>
        <w:right w:val="none" w:sz="0" w:space="0" w:color="auto"/>
      </w:divBdr>
      <w:divsChild>
        <w:div w:id="1501969150">
          <w:marLeft w:val="0"/>
          <w:marRight w:val="0"/>
          <w:marTop w:val="0"/>
          <w:marBottom w:val="0"/>
          <w:divBdr>
            <w:top w:val="none" w:sz="0" w:space="0" w:color="auto"/>
            <w:left w:val="none" w:sz="0" w:space="0" w:color="auto"/>
            <w:bottom w:val="none" w:sz="0" w:space="0" w:color="auto"/>
            <w:right w:val="none" w:sz="0" w:space="0" w:color="auto"/>
          </w:divBdr>
          <w:divsChild>
            <w:div w:id="1880120302">
              <w:marLeft w:val="0"/>
              <w:marRight w:val="0"/>
              <w:marTop w:val="0"/>
              <w:marBottom w:val="0"/>
              <w:divBdr>
                <w:top w:val="none" w:sz="0" w:space="0" w:color="auto"/>
                <w:left w:val="none" w:sz="0" w:space="0" w:color="auto"/>
                <w:bottom w:val="none" w:sz="0" w:space="0" w:color="auto"/>
                <w:right w:val="none" w:sz="0" w:space="0" w:color="auto"/>
              </w:divBdr>
              <w:divsChild>
                <w:div w:id="1868635418">
                  <w:marLeft w:val="0"/>
                  <w:marRight w:val="0"/>
                  <w:marTop w:val="0"/>
                  <w:marBottom w:val="0"/>
                  <w:divBdr>
                    <w:top w:val="none" w:sz="0" w:space="0" w:color="auto"/>
                    <w:left w:val="none" w:sz="0" w:space="0" w:color="auto"/>
                    <w:bottom w:val="none" w:sz="0" w:space="0" w:color="auto"/>
                    <w:right w:val="none" w:sz="0" w:space="0" w:color="auto"/>
                  </w:divBdr>
                  <w:divsChild>
                    <w:div w:id="451289323">
                      <w:marLeft w:val="0"/>
                      <w:marRight w:val="0"/>
                      <w:marTop w:val="0"/>
                      <w:marBottom w:val="0"/>
                      <w:divBdr>
                        <w:top w:val="none" w:sz="0" w:space="0" w:color="auto"/>
                        <w:left w:val="none" w:sz="0" w:space="0" w:color="auto"/>
                        <w:bottom w:val="none" w:sz="0" w:space="0" w:color="auto"/>
                        <w:right w:val="none" w:sz="0" w:space="0" w:color="auto"/>
                      </w:divBdr>
                      <w:divsChild>
                        <w:div w:id="1340817306">
                          <w:marLeft w:val="0"/>
                          <w:marRight w:val="0"/>
                          <w:marTop w:val="0"/>
                          <w:marBottom w:val="0"/>
                          <w:divBdr>
                            <w:top w:val="none" w:sz="0" w:space="0" w:color="auto"/>
                            <w:left w:val="none" w:sz="0" w:space="0" w:color="auto"/>
                            <w:bottom w:val="none" w:sz="0" w:space="0" w:color="auto"/>
                            <w:right w:val="none" w:sz="0" w:space="0" w:color="auto"/>
                          </w:divBdr>
                          <w:divsChild>
                            <w:div w:id="2054649870">
                              <w:marLeft w:val="0"/>
                              <w:marRight w:val="0"/>
                              <w:marTop w:val="0"/>
                              <w:marBottom w:val="0"/>
                              <w:divBdr>
                                <w:top w:val="none" w:sz="0" w:space="0" w:color="auto"/>
                                <w:left w:val="none" w:sz="0" w:space="0" w:color="auto"/>
                                <w:bottom w:val="none" w:sz="0" w:space="0" w:color="auto"/>
                                <w:right w:val="none" w:sz="0" w:space="0" w:color="auto"/>
                              </w:divBdr>
                              <w:divsChild>
                                <w:div w:id="1277253358">
                                  <w:marLeft w:val="0"/>
                                  <w:marRight w:val="0"/>
                                  <w:marTop w:val="0"/>
                                  <w:marBottom w:val="0"/>
                                  <w:divBdr>
                                    <w:top w:val="none" w:sz="0" w:space="0" w:color="auto"/>
                                    <w:left w:val="none" w:sz="0" w:space="0" w:color="auto"/>
                                    <w:bottom w:val="none" w:sz="0" w:space="0" w:color="auto"/>
                                    <w:right w:val="none" w:sz="0" w:space="0" w:color="auto"/>
                                  </w:divBdr>
                                  <w:divsChild>
                                    <w:div w:id="1227372256">
                                      <w:marLeft w:val="0"/>
                                      <w:marRight w:val="0"/>
                                      <w:marTop w:val="0"/>
                                      <w:marBottom w:val="0"/>
                                      <w:divBdr>
                                        <w:top w:val="none" w:sz="0" w:space="0" w:color="auto"/>
                                        <w:left w:val="none" w:sz="0" w:space="0" w:color="auto"/>
                                        <w:bottom w:val="none" w:sz="0" w:space="0" w:color="auto"/>
                                        <w:right w:val="none" w:sz="0" w:space="0" w:color="auto"/>
                                      </w:divBdr>
                                      <w:divsChild>
                                        <w:div w:id="549192636">
                                          <w:marLeft w:val="0"/>
                                          <w:marRight w:val="0"/>
                                          <w:marTop w:val="0"/>
                                          <w:marBottom w:val="0"/>
                                          <w:divBdr>
                                            <w:top w:val="none" w:sz="0" w:space="0" w:color="auto"/>
                                            <w:left w:val="none" w:sz="0" w:space="0" w:color="auto"/>
                                            <w:bottom w:val="none" w:sz="0" w:space="0" w:color="auto"/>
                                            <w:right w:val="none" w:sz="0" w:space="0" w:color="auto"/>
                                          </w:divBdr>
                                          <w:divsChild>
                                            <w:div w:id="1235042009">
                                              <w:marLeft w:val="0"/>
                                              <w:marRight w:val="0"/>
                                              <w:marTop w:val="0"/>
                                              <w:marBottom w:val="0"/>
                                              <w:divBdr>
                                                <w:top w:val="none" w:sz="0" w:space="0" w:color="auto"/>
                                                <w:left w:val="none" w:sz="0" w:space="0" w:color="auto"/>
                                                <w:bottom w:val="none" w:sz="0" w:space="0" w:color="auto"/>
                                                <w:right w:val="none" w:sz="0" w:space="0" w:color="auto"/>
                                              </w:divBdr>
                                              <w:divsChild>
                                                <w:div w:id="1823889059">
                                                  <w:marLeft w:val="0"/>
                                                  <w:marRight w:val="0"/>
                                                  <w:marTop w:val="0"/>
                                                  <w:marBottom w:val="0"/>
                                                  <w:divBdr>
                                                    <w:top w:val="none" w:sz="0" w:space="0" w:color="auto"/>
                                                    <w:left w:val="none" w:sz="0" w:space="0" w:color="auto"/>
                                                    <w:bottom w:val="none" w:sz="0" w:space="0" w:color="auto"/>
                                                    <w:right w:val="none" w:sz="0" w:space="0" w:color="auto"/>
                                                  </w:divBdr>
                                                  <w:divsChild>
                                                    <w:div w:id="613638360">
                                                      <w:marLeft w:val="0"/>
                                                      <w:marRight w:val="0"/>
                                                      <w:marTop w:val="0"/>
                                                      <w:marBottom w:val="0"/>
                                                      <w:divBdr>
                                                        <w:top w:val="none" w:sz="0" w:space="0" w:color="auto"/>
                                                        <w:left w:val="none" w:sz="0" w:space="0" w:color="auto"/>
                                                        <w:bottom w:val="none" w:sz="0" w:space="0" w:color="auto"/>
                                                        <w:right w:val="none" w:sz="0" w:space="0" w:color="auto"/>
                                                      </w:divBdr>
                                                      <w:divsChild>
                                                        <w:div w:id="4888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73635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1017345555">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07140078">
      <w:bodyDiv w:val="1"/>
      <w:marLeft w:val="0"/>
      <w:marRight w:val="0"/>
      <w:marTop w:val="0"/>
      <w:marBottom w:val="0"/>
      <w:divBdr>
        <w:top w:val="none" w:sz="0" w:space="0" w:color="auto"/>
        <w:left w:val="none" w:sz="0" w:space="0" w:color="auto"/>
        <w:bottom w:val="none" w:sz="0" w:space="0" w:color="auto"/>
        <w:right w:val="none" w:sz="0" w:space="0" w:color="auto"/>
      </w:divBdr>
      <w:divsChild>
        <w:div w:id="618729652">
          <w:marLeft w:val="0"/>
          <w:marRight w:val="0"/>
          <w:marTop w:val="0"/>
          <w:marBottom w:val="0"/>
          <w:divBdr>
            <w:top w:val="none" w:sz="0" w:space="0" w:color="auto"/>
            <w:left w:val="none" w:sz="0" w:space="0" w:color="auto"/>
            <w:bottom w:val="none" w:sz="0" w:space="0" w:color="auto"/>
            <w:right w:val="none" w:sz="0" w:space="0" w:color="auto"/>
          </w:divBdr>
          <w:divsChild>
            <w:div w:id="145441754">
              <w:marLeft w:val="0"/>
              <w:marRight w:val="0"/>
              <w:marTop w:val="0"/>
              <w:marBottom w:val="0"/>
              <w:divBdr>
                <w:top w:val="none" w:sz="0" w:space="0" w:color="auto"/>
                <w:left w:val="none" w:sz="0" w:space="0" w:color="auto"/>
                <w:bottom w:val="none" w:sz="0" w:space="0" w:color="auto"/>
                <w:right w:val="none" w:sz="0" w:space="0" w:color="auto"/>
              </w:divBdr>
              <w:divsChild>
                <w:div w:id="144207533">
                  <w:marLeft w:val="0"/>
                  <w:marRight w:val="0"/>
                  <w:marTop w:val="0"/>
                  <w:marBottom w:val="0"/>
                  <w:divBdr>
                    <w:top w:val="none" w:sz="0" w:space="0" w:color="auto"/>
                    <w:left w:val="none" w:sz="0" w:space="0" w:color="auto"/>
                    <w:bottom w:val="none" w:sz="0" w:space="0" w:color="auto"/>
                    <w:right w:val="none" w:sz="0" w:space="0" w:color="auto"/>
                  </w:divBdr>
                  <w:divsChild>
                    <w:div w:id="903292821">
                      <w:marLeft w:val="0"/>
                      <w:marRight w:val="0"/>
                      <w:marTop w:val="0"/>
                      <w:marBottom w:val="0"/>
                      <w:divBdr>
                        <w:top w:val="none" w:sz="0" w:space="0" w:color="auto"/>
                        <w:left w:val="none" w:sz="0" w:space="0" w:color="auto"/>
                        <w:bottom w:val="none" w:sz="0" w:space="0" w:color="auto"/>
                        <w:right w:val="none" w:sz="0" w:space="0" w:color="auto"/>
                      </w:divBdr>
                      <w:divsChild>
                        <w:div w:id="1276445080">
                          <w:marLeft w:val="0"/>
                          <w:marRight w:val="0"/>
                          <w:marTop w:val="0"/>
                          <w:marBottom w:val="0"/>
                          <w:divBdr>
                            <w:top w:val="none" w:sz="0" w:space="0" w:color="auto"/>
                            <w:left w:val="none" w:sz="0" w:space="0" w:color="auto"/>
                            <w:bottom w:val="none" w:sz="0" w:space="0" w:color="auto"/>
                            <w:right w:val="none" w:sz="0" w:space="0" w:color="auto"/>
                          </w:divBdr>
                          <w:divsChild>
                            <w:div w:id="2069497098">
                              <w:marLeft w:val="0"/>
                              <w:marRight w:val="0"/>
                              <w:marTop w:val="0"/>
                              <w:marBottom w:val="0"/>
                              <w:divBdr>
                                <w:top w:val="none" w:sz="0" w:space="0" w:color="auto"/>
                                <w:left w:val="none" w:sz="0" w:space="0" w:color="auto"/>
                                <w:bottom w:val="none" w:sz="0" w:space="0" w:color="auto"/>
                                <w:right w:val="none" w:sz="0" w:space="0" w:color="auto"/>
                              </w:divBdr>
                              <w:divsChild>
                                <w:div w:id="2128037065">
                                  <w:marLeft w:val="0"/>
                                  <w:marRight w:val="0"/>
                                  <w:marTop w:val="0"/>
                                  <w:marBottom w:val="0"/>
                                  <w:divBdr>
                                    <w:top w:val="none" w:sz="0" w:space="0" w:color="auto"/>
                                    <w:left w:val="none" w:sz="0" w:space="0" w:color="auto"/>
                                    <w:bottom w:val="none" w:sz="0" w:space="0" w:color="auto"/>
                                    <w:right w:val="none" w:sz="0" w:space="0" w:color="auto"/>
                                  </w:divBdr>
                                  <w:divsChild>
                                    <w:div w:id="619800139">
                                      <w:marLeft w:val="0"/>
                                      <w:marRight w:val="0"/>
                                      <w:marTop w:val="0"/>
                                      <w:marBottom w:val="0"/>
                                      <w:divBdr>
                                        <w:top w:val="none" w:sz="0" w:space="0" w:color="auto"/>
                                        <w:left w:val="none" w:sz="0" w:space="0" w:color="auto"/>
                                        <w:bottom w:val="none" w:sz="0" w:space="0" w:color="auto"/>
                                        <w:right w:val="none" w:sz="0" w:space="0" w:color="auto"/>
                                      </w:divBdr>
                                      <w:divsChild>
                                        <w:div w:id="48001980">
                                          <w:marLeft w:val="0"/>
                                          <w:marRight w:val="0"/>
                                          <w:marTop w:val="0"/>
                                          <w:marBottom w:val="0"/>
                                          <w:divBdr>
                                            <w:top w:val="none" w:sz="0" w:space="0" w:color="auto"/>
                                            <w:left w:val="none" w:sz="0" w:space="0" w:color="auto"/>
                                            <w:bottom w:val="none" w:sz="0" w:space="0" w:color="auto"/>
                                            <w:right w:val="none" w:sz="0" w:space="0" w:color="auto"/>
                                          </w:divBdr>
                                          <w:divsChild>
                                            <w:div w:id="1181241790">
                                              <w:marLeft w:val="0"/>
                                              <w:marRight w:val="0"/>
                                              <w:marTop w:val="0"/>
                                              <w:marBottom w:val="0"/>
                                              <w:divBdr>
                                                <w:top w:val="none" w:sz="0" w:space="0" w:color="auto"/>
                                                <w:left w:val="none" w:sz="0" w:space="0" w:color="auto"/>
                                                <w:bottom w:val="none" w:sz="0" w:space="0" w:color="auto"/>
                                                <w:right w:val="none" w:sz="0" w:space="0" w:color="auto"/>
                                              </w:divBdr>
                                              <w:divsChild>
                                                <w:div w:id="603805000">
                                                  <w:marLeft w:val="0"/>
                                                  <w:marRight w:val="0"/>
                                                  <w:marTop w:val="0"/>
                                                  <w:marBottom w:val="0"/>
                                                  <w:divBdr>
                                                    <w:top w:val="none" w:sz="0" w:space="0" w:color="auto"/>
                                                    <w:left w:val="none" w:sz="0" w:space="0" w:color="auto"/>
                                                    <w:bottom w:val="none" w:sz="0" w:space="0" w:color="auto"/>
                                                    <w:right w:val="none" w:sz="0" w:space="0" w:color="auto"/>
                                                  </w:divBdr>
                                                  <w:divsChild>
                                                    <w:div w:id="792021769">
                                                      <w:marLeft w:val="0"/>
                                                      <w:marRight w:val="0"/>
                                                      <w:marTop w:val="0"/>
                                                      <w:marBottom w:val="0"/>
                                                      <w:divBdr>
                                                        <w:top w:val="none" w:sz="0" w:space="0" w:color="auto"/>
                                                        <w:left w:val="none" w:sz="0" w:space="0" w:color="auto"/>
                                                        <w:bottom w:val="none" w:sz="0" w:space="0" w:color="auto"/>
                                                        <w:right w:val="none" w:sz="0" w:space="0" w:color="auto"/>
                                                      </w:divBdr>
                                                      <w:divsChild>
                                                        <w:div w:id="11218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40968728">
      <w:bodyDiv w:val="1"/>
      <w:marLeft w:val="0"/>
      <w:marRight w:val="0"/>
      <w:marTop w:val="0"/>
      <w:marBottom w:val="0"/>
      <w:divBdr>
        <w:top w:val="none" w:sz="0" w:space="0" w:color="auto"/>
        <w:left w:val="none" w:sz="0" w:space="0" w:color="auto"/>
        <w:bottom w:val="none" w:sz="0" w:space="0" w:color="auto"/>
        <w:right w:val="none" w:sz="0" w:space="0" w:color="auto"/>
      </w:divBdr>
      <w:divsChild>
        <w:div w:id="1842159647">
          <w:marLeft w:val="0"/>
          <w:marRight w:val="0"/>
          <w:marTop w:val="0"/>
          <w:marBottom w:val="0"/>
          <w:divBdr>
            <w:top w:val="none" w:sz="0" w:space="0" w:color="auto"/>
            <w:left w:val="none" w:sz="0" w:space="0" w:color="auto"/>
            <w:bottom w:val="none" w:sz="0" w:space="0" w:color="auto"/>
            <w:right w:val="none" w:sz="0" w:space="0" w:color="auto"/>
          </w:divBdr>
          <w:divsChild>
            <w:div w:id="781650390">
              <w:marLeft w:val="0"/>
              <w:marRight w:val="0"/>
              <w:marTop w:val="0"/>
              <w:marBottom w:val="0"/>
              <w:divBdr>
                <w:top w:val="none" w:sz="0" w:space="0" w:color="auto"/>
                <w:left w:val="none" w:sz="0" w:space="0" w:color="auto"/>
                <w:bottom w:val="none" w:sz="0" w:space="0" w:color="auto"/>
                <w:right w:val="none" w:sz="0" w:space="0" w:color="auto"/>
              </w:divBdr>
              <w:divsChild>
                <w:div w:id="1770806546">
                  <w:marLeft w:val="0"/>
                  <w:marRight w:val="0"/>
                  <w:marTop w:val="0"/>
                  <w:marBottom w:val="0"/>
                  <w:divBdr>
                    <w:top w:val="none" w:sz="0" w:space="0" w:color="auto"/>
                    <w:left w:val="none" w:sz="0" w:space="0" w:color="auto"/>
                    <w:bottom w:val="none" w:sz="0" w:space="0" w:color="auto"/>
                    <w:right w:val="none" w:sz="0" w:space="0" w:color="auto"/>
                  </w:divBdr>
                  <w:divsChild>
                    <w:div w:id="1617297554">
                      <w:marLeft w:val="0"/>
                      <w:marRight w:val="0"/>
                      <w:marTop w:val="0"/>
                      <w:marBottom w:val="0"/>
                      <w:divBdr>
                        <w:top w:val="none" w:sz="0" w:space="0" w:color="auto"/>
                        <w:left w:val="none" w:sz="0" w:space="0" w:color="auto"/>
                        <w:bottom w:val="none" w:sz="0" w:space="0" w:color="auto"/>
                        <w:right w:val="none" w:sz="0" w:space="0" w:color="auto"/>
                      </w:divBdr>
                      <w:divsChild>
                        <w:div w:id="2117484174">
                          <w:marLeft w:val="0"/>
                          <w:marRight w:val="0"/>
                          <w:marTop w:val="0"/>
                          <w:marBottom w:val="0"/>
                          <w:divBdr>
                            <w:top w:val="none" w:sz="0" w:space="0" w:color="auto"/>
                            <w:left w:val="none" w:sz="0" w:space="0" w:color="auto"/>
                            <w:bottom w:val="none" w:sz="0" w:space="0" w:color="auto"/>
                            <w:right w:val="none" w:sz="0" w:space="0" w:color="auto"/>
                          </w:divBdr>
                          <w:divsChild>
                            <w:div w:id="1308896586">
                              <w:marLeft w:val="0"/>
                              <w:marRight w:val="0"/>
                              <w:marTop w:val="0"/>
                              <w:marBottom w:val="0"/>
                              <w:divBdr>
                                <w:top w:val="none" w:sz="0" w:space="0" w:color="auto"/>
                                <w:left w:val="none" w:sz="0" w:space="0" w:color="auto"/>
                                <w:bottom w:val="none" w:sz="0" w:space="0" w:color="auto"/>
                                <w:right w:val="none" w:sz="0" w:space="0" w:color="auto"/>
                              </w:divBdr>
                              <w:divsChild>
                                <w:div w:id="1536691650">
                                  <w:marLeft w:val="0"/>
                                  <w:marRight w:val="0"/>
                                  <w:marTop w:val="0"/>
                                  <w:marBottom w:val="0"/>
                                  <w:divBdr>
                                    <w:top w:val="none" w:sz="0" w:space="0" w:color="auto"/>
                                    <w:left w:val="none" w:sz="0" w:space="0" w:color="auto"/>
                                    <w:bottom w:val="none" w:sz="0" w:space="0" w:color="auto"/>
                                    <w:right w:val="none" w:sz="0" w:space="0" w:color="auto"/>
                                  </w:divBdr>
                                  <w:divsChild>
                                    <w:div w:id="691810426">
                                      <w:marLeft w:val="0"/>
                                      <w:marRight w:val="0"/>
                                      <w:marTop w:val="0"/>
                                      <w:marBottom w:val="0"/>
                                      <w:divBdr>
                                        <w:top w:val="none" w:sz="0" w:space="0" w:color="auto"/>
                                        <w:left w:val="none" w:sz="0" w:space="0" w:color="auto"/>
                                        <w:bottom w:val="none" w:sz="0" w:space="0" w:color="auto"/>
                                        <w:right w:val="none" w:sz="0" w:space="0" w:color="auto"/>
                                      </w:divBdr>
                                      <w:divsChild>
                                        <w:div w:id="723915788">
                                          <w:marLeft w:val="0"/>
                                          <w:marRight w:val="0"/>
                                          <w:marTop w:val="0"/>
                                          <w:marBottom w:val="0"/>
                                          <w:divBdr>
                                            <w:top w:val="none" w:sz="0" w:space="0" w:color="auto"/>
                                            <w:left w:val="none" w:sz="0" w:space="0" w:color="auto"/>
                                            <w:bottom w:val="none" w:sz="0" w:space="0" w:color="auto"/>
                                            <w:right w:val="none" w:sz="0" w:space="0" w:color="auto"/>
                                          </w:divBdr>
                                          <w:divsChild>
                                            <w:div w:id="2143881187">
                                              <w:marLeft w:val="0"/>
                                              <w:marRight w:val="0"/>
                                              <w:marTop w:val="0"/>
                                              <w:marBottom w:val="0"/>
                                              <w:divBdr>
                                                <w:top w:val="none" w:sz="0" w:space="0" w:color="auto"/>
                                                <w:left w:val="none" w:sz="0" w:space="0" w:color="auto"/>
                                                <w:bottom w:val="none" w:sz="0" w:space="0" w:color="auto"/>
                                                <w:right w:val="none" w:sz="0" w:space="0" w:color="auto"/>
                                              </w:divBdr>
                                              <w:divsChild>
                                                <w:div w:id="12583696">
                                                  <w:marLeft w:val="0"/>
                                                  <w:marRight w:val="0"/>
                                                  <w:marTop w:val="0"/>
                                                  <w:marBottom w:val="0"/>
                                                  <w:divBdr>
                                                    <w:top w:val="none" w:sz="0" w:space="0" w:color="auto"/>
                                                    <w:left w:val="none" w:sz="0" w:space="0" w:color="auto"/>
                                                    <w:bottom w:val="none" w:sz="0" w:space="0" w:color="auto"/>
                                                    <w:right w:val="none" w:sz="0" w:space="0" w:color="auto"/>
                                                  </w:divBdr>
                                                  <w:divsChild>
                                                    <w:div w:id="1200506721">
                                                      <w:marLeft w:val="0"/>
                                                      <w:marRight w:val="0"/>
                                                      <w:marTop w:val="0"/>
                                                      <w:marBottom w:val="0"/>
                                                      <w:divBdr>
                                                        <w:top w:val="none" w:sz="0" w:space="0" w:color="auto"/>
                                                        <w:left w:val="none" w:sz="0" w:space="0" w:color="auto"/>
                                                        <w:bottom w:val="none" w:sz="0" w:space="0" w:color="auto"/>
                                                        <w:right w:val="none" w:sz="0" w:space="0" w:color="auto"/>
                                                      </w:divBdr>
                                                      <w:divsChild>
                                                        <w:div w:id="896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38019081">
      <w:bodyDiv w:val="1"/>
      <w:marLeft w:val="0"/>
      <w:marRight w:val="0"/>
      <w:marTop w:val="0"/>
      <w:marBottom w:val="0"/>
      <w:divBdr>
        <w:top w:val="none" w:sz="0" w:space="0" w:color="auto"/>
        <w:left w:val="none" w:sz="0" w:space="0" w:color="auto"/>
        <w:bottom w:val="none" w:sz="0" w:space="0" w:color="auto"/>
        <w:right w:val="none" w:sz="0" w:space="0" w:color="auto"/>
      </w:divBdr>
      <w:divsChild>
        <w:div w:id="1518999980">
          <w:marLeft w:val="0"/>
          <w:marRight w:val="0"/>
          <w:marTop w:val="0"/>
          <w:marBottom w:val="0"/>
          <w:divBdr>
            <w:top w:val="none" w:sz="0" w:space="0" w:color="auto"/>
            <w:left w:val="none" w:sz="0" w:space="0" w:color="auto"/>
            <w:bottom w:val="none" w:sz="0" w:space="0" w:color="auto"/>
            <w:right w:val="none" w:sz="0" w:space="0" w:color="auto"/>
          </w:divBdr>
          <w:divsChild>
            <w:div w:id="1892695050">
              <w:marLeft w:val="0"/>
              <w:marRight w:val="0"/>
              <w:marTop w:val="0"/>
              <w:marBottom w:val="0"/>
              <w:divBdr>
                <w:top w:val="none" w:sz="0" w:space="0" w:color="auto"/>
                <w:left w:val="none" w:sz="0" w:space="0" w:color="auto"/>
                <w:bottom w:val="none" w:sz="0" w:space="0" w:color="auto"/>
                <w:right w:val="none" w:sz="0" w:space="0" w:color="auto"/>
              </w:divBdr>
              <w:divsChild>
                <w:div w:id="907614226">
                  <w:marLeft w:val="0"/>
                  <w:marRight w:val="0"/>
                  <w:marTop w:val="0"/>
                  <w:marBottom w:val="0"/>
                  <w:divBdr>
                    <w:top w:val="none" w:sz="0" w:space="0" w:color="auto"/>
                    <w:left w:val="none" w:sz="0" w:space="0" w:color="auto"/>
                    <w:bottom w:val="none" w:sz="0" w:space="0" w:color="auto"/>
                    <w:right w:val="none" w:sz="0" w:space="0" w:color="auto"/>
                  </w:divBdr>
                  <w:divsChild>
                    <w:div w:id="1229072945">
                      <w:marLeft w:val="0"/>
                      <w:marRight w:val="0"/>
                      <w:marTop w:val="0"/>
                      <w:marBottom w:val="0"/>
                      <w:divBdr>
                        <w:top w:val="none" w:sz="0" w:space="0" w:color="auto"/>
                        <w:left w:val="none" w:sz="0" w:space="0" w:color="auto"/>
                        <w:bottom w:val="none" w:sz="0" w:space="0" w:color="auto"/>
                        <w:right w:val="none" w:sz="0" w:space="0" w:color="auto"/>
                      </w:divBdr>
                      <w:divsChild>
                        <w:div w:id="128400143">
                          <w:marLeft w:val="0"/>
                          <w:marRight w:val="0"/>
                          <w:marTop w:val="0"/>
                          <w:marBottom w:val="0"/>
                          <w:divBdr>
                            <w:top w:val="none" w:sz="0" w:space="0" w:color="auto"/>
                            <w:left w:val="none" w:sz="0" w:space="0" w:color="auto"/>
                            <w:bottom w:val="none" w:sz="0" w:space="0" w:color="auto"/>
                            <w:right w:val="none" w:sz="0" w:space="0" w:color="auto"/>
                          </w:divBdr>
                          <w:divsChild>
                            <w:div w:id="547913053">
                              <w:marLeft w:val="0"/>
                              <w:marRight w:val="0"/>
                              <w:marTop w:val="0"/>
                              <w:marBottom w:val="0"/>
                              <w:divBdr>
                                <w:top w:val="none" w:sz="0" w:space="0" w:color="auto"/>
                                <w:left w:val="none" w:sz="0" w:space="0" w:color="auto"/>
                                <w:bottom w:val="none" w:sz="0" w:space="0" w:color="auto"/>
                                <w:right w:val="none" w:sz="0" w:space="0" w:color="auto"/>
                              </w:divBdr>
                              <w:divsChild>
                                <w:div w:id="55974865">
                                  <w:marLeft w:val="0"/>
                                  <w:marRight w:val="0"/>
                                  <w:marTop w:val="0"/>
                                  <w:marBottom w:val="0"/>
                                  <w:divBdr>
                                    <w:top w:val="none" w:sz="0" w:space="0" w:color="auto"/>
                                    <w:left w:val="none" w:sz="0" w:space="0" w:color="auto"/>
                                    <w:bottom w:val="none" w:sz="0" w:space="0" w:color="auto"/>
                                    <w:right w:val="none" w:sz="0" w:space="0" w:color="auto"/>
                                  </w:divBdr>
                                  <w:divsChild>
                                    <w:div w:id="1835223829">
                                      <w:marLeft w:val="0"/>
                                      <w:marRight w:val="0"/>
                                      <w:marTop w:val="0"/>
                                      <w:marBottom w:val="0"/>
                                      <w:divBdr>
                                        <w:top w:val="none" w:sz="0" w:space="0" w:color="auto"/>
                                        <w:left w:val="none" w:sz="0" w:space="0" w:color="auto"/>
                                        <w:bottom w:val="none" w:sz="0" w:space="0" w:color="auto"/>
                                        <w:right w:val="none" w:sz="0" w:space="0" w:color="auto"/>
                                      </w:divBdr>
                                      <w:divsChild>
                                        <w:div w:id="2146654123">
                                          <w:marLeft w:val="0"/>
                                          <w:marRight w:val="0"/>
                                          <w:marTop w:val="0"/>
                                          <w:marBottom w:val="0"/>
                                          <w:divBdr>
                                            <w:top w:val="none" w:sz="0" w:space="0" w:color="auto"/>
                                            <w:left w:val="none" w:sz="0" w:space="0" w:color="auto"/>
                                            <w:bottom w:val="none" w:sz="0" w:space="0" w:color="auto"/>
                                            <w:right w:val="none" w:sz="0" w:space="0" w:color="auto"/>
                                          </w:divBdr>
                                          <w:divsChild>
                                            <w:div w:id="965739273">
                                              <w:marLeft w:val="0"/>
                                              <w:marRight w:val="0"/>
                                              <w:marTop w:val="0"/>
                                              <w:marBottom w:val="0"/>
                                              <w:divBdr>
                                                <w:top w:val="none" w:sz="0" w:space="0" w:color="auto"/>
                                                <w:left w:val="none" w:sz="0" w:space="0" w:color="auto"/>
                                                <w:bottom w:val="none" w:sz="0" w:space="0" w:color="auto"/>
                                                <w:right w:val="none" w:sz="0" w:space="0" w:color="auto"/>
                                              </w:divBdr>
                                              <w:divsChild>
                                                <w:div w:id="2084182303">
                                                  <w:marLeft w:val="0"/>
                                                  <w:marRight w:val="0"/>
                                                  <w:marTop w:val="0"/>
                                                  <w:marBottom w:val="0"/>
                                                  <w:divBdr>
                                                    <w:top w:val="none" w:sz="0" w:space="0" w:color="auto"/>
                                                    <w:left w:val="none" w:sz="0" w:space="0" w:color="auto"/>
                                                    <w:bottom w:val="none" w:sz="0" w:space="0" w:color="auto"/>
                                                    <w:right w:val="none" w:sz="0" w:space="0" w:color="auto"/>
                                                  </w:divBdr>
                                                  <w:divsChild>
                                                    <w:div w:id="596796279">
                                                      <w:marLeft w:val="0"/>
                                                      <w:marRight w:val="0"/>
                                                      <w:marTop w:val="0"/>
                                                      <w:marBottom w:val="0"/>
                                                      <w:divBdr>
                                                        <w:top w:val="none" w:sz="0" w:space="0" w:color="auto"/>
                                                        <w:left w:val="none" w:sz="0" w:space="0" w:color="auto"/>
                                                        <w:bottom w:val="none" w:sz="0" w:space="0" w:color="auto"/>
                                                        <w:right w:val="none" w:sz="0" w:space="0" w:color="auto"/>
                                                      </w:divBdr>
                                                      <w:divsChild>
                                                        <w:div w:id="13066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42353598">
      <w:bodyDiv w:val="1"/>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 w:id="1993093846">
      <w:bodyDiv w:val="1"/>
      <w:marLeft w:val="0"/>
      <w:marRight w:val="0"/>
      <w:marTop w:val="0"/>
      <w:marBottom w:val="0"/>
      <w:divBdr>
        <w:top w:val="none" w:sz="0" w:space="0" w:color="auto"/>
        <w:left w:val="none" w:sz="0" w:space="0" w:color="auto"/>
        <w:bottom w:val="none" w:sz="0" w:space="0" w:color="auto"/>
        <w:right w:val="none" w:sz="0" w:space="0" w:color="auto"/>
      </w:divBdr>
      <w:divsChild>
        <w:div w:id="255066388">
          <w:marLeft w:val="0"/>
          <w:marRight w:val="0"/>
          <w:marTop w:val="0"/>
          <w:marBottom w:val="0"/>
          <w:divBdr>
            <w:top w:val="none" w:sz="0" w:space="0" w:color="auto"/>
            <w:left w:val="none" w:sz="0" w:space="0" w:color="auto"/>
            <w:bottom w:val="none" w:sz="0" w:space="0" w:color="auto"/>
            <w:right w:val="none" w:sz="0" w:space="0" w:color="auto"/>
          </w:divBdr>
          <w:divsChild>
            <w:div w:id="1413311469">
              <w:marLeft w:val="0"/>
              <w:marRight w:val="0"/>
              <w:marTop w:val="0"/>
              <w:marBottom w:val="0"/>
              <w:divBdr>
                <w:top w:val="none" w:sz="0" w:space="0" w:color="auto"/>
                <w:left w:val="none" w:sz="0" w:space="0" w:color="auto"/>
                <w:bottom w:val="none" w:sz="0" w:space="0" w:color="auto"/>
                <w:right w:val="none" w:sz="0" w:space="0" w:color="auto"/>
              </w:divBdr>
              <w:divsChild>
                <w:div w:id="943226080">
                  <w:marLeft w:val="0"/>
                  <w:marRight w:val="0"/>
                  <w:marTop w:val="0"/>
                  <w:marBottom w:val="0"/>
                  <w:divBdr>
                    <w:top w:val="none" w:sz="0" w:space="0" w:color="auto"/>
                    <w:left w:val="none" w:sz="0" w:space="0" w:color="auto"/>
                    <w:bottom w:val="none" w:sz="0" w:space="0" w:color="auto"/>
                    <w:right w:val="none" w:sz="0" w:space="0" w:color="auto"/>
                  </w:divBdr>
                  <w:divsChild>
                    <w:div w:id="1381322952">
                      <w:marLeft w:val="0"/>
                      <w:marRight w:val="0"/>
                      <w:marTop w:val="0"/>
                      <w:marBottom w:val="0"/>
                      <w:divBdr>
                        <w:top w:val="none" w:sz="0" w:space="0" w:color="auto"/>
                        <w:left w:val="none" w:sz="0" w:space="0" w:color="auto"/>
                        <w:bottom w:val="none" w:sz="0" w:space="0" w:color="auto"/>
                        <w:right w:val="none" w:sz="0" w:space="0" w:color="auto"/>
                      </w:divBdr>
                      <w:divsChild>
                        <w:div w:id="73818247">
                          <w:marLeft w:val="0"/>
                          <w:marRight w:val="0"/>
                          <w:marTop w:val="0"/>
                          <w:marBottom w:val="0"/>
                          <w:divBdr>
                            <w:top w:val="none" w:sz="0" w:space="0" w:color="auto"/>
                            <w:left w:val="none" w:sz="0" w:space="0" w:color="auto"/>
                            <w:bottom w:val="none" w:sz="0" w:space="0" w:color="auto"/>
                            <w:right w:val="none" w:sz="0" w:space="0" w:color="auto"/>
                          </w:divBdr>
                          <w:divsChild>
                            <w:div w:id="1804732630">
                              <w:marLeft w:val="0"/>
                              <w:marRight w:val="0"/>
                              <w:marTop w:val="0"/>
                              <w:marBottom w:val="0"/>
                              <w:divBdr>
                                <w:top w:val="none" w:sz="0" w:space="0" w:color="auto"/>
                                <w:left w:val="none" w:sz="0" w:space="0" w:color="auto"/>
                                <w:bottom w:val="none" w:sz="0" w:space="0" w:color="auto"/>
                                <w:right w:val="none" w:sz="0" w:space="0" w:color="auto"/>
                              </w:divBdr>
                              <w:divsChild>
                                <w:div w:id="324162041">
                                  <w:marLeft w:val="0"/>
                                  <w:marRight w:val="0"/>
                                  <w:marTop w:val="0"/>
                                  <w:marBottom w:val="0"/>
                                  <w:divBdr>
                                    <w:top w:val="none" w:sz="0" w:space="0" w:color="auto"/>
                                    <w:left w:val="none" w:sz="0" w:space="0" w:color="auto"/>
                                    <w:bottom w:val="none" w:sz="0" w:space="0" w:color="auto"/>
                                    <w:right w:val="none" w:sz="0" w:space="0" w:color="auto"/>
                                  </w:divBdr>
                                  <w:divsChild>
                                    <w:div w:id="1746105046">
                                      <w:marLeft w:val="0"/>
                                      <w:marRight w:val="0"/>
                                      <w:marTop w:val="0"/>
                                      <w:marBottom w:val="0"/>
                                      <w:divBdr>
                                        <w:top w:val="none" w:sz="0" w:space="0" w:color="auto"/>
                                        <w:left w:val="none" w:sz="0" w:space="0" w:color="auto"/>
                                        <w:bottom w:val="none" w:sz="0" w:space="0" w:color="auto"/>
                                        <w:right w:val="none" w:sz="0" w:space="0" w:color="auto"/>
                                      </w:divBdr>
                                      <w:divsChild>
                                        <w:div w:id="2120565877">
                                          <w:marLeft w:val="0"/>
                                          <w:marRight w:val="0"/>
                                          <w:marTop w:val="0"/>
                                          <w:marBottom w:val="0"/>
                                          <w:divBdr>
                                            <w:top w:val="none" w:sz="0" w:space="0" w:color="auto"/>
                                            <w:left w:val="none" w:sz="0" w:space="0" w:color="auto"/>
                                            <w:bottom w:val="none" w:sz="0" w:space="0" w:color="auto"/>
                                            <w:right w:val="none" w:sz="0" w:space="0" w:color="auto"/>
                                          </w:divBdr>
                                          <w:divsChild>
                                            <w:div w:id="882132683">
                                              <w:marLeft w:val="0"/>
                                              <w:marRight w:val="0"/>
                                              <w:marTop w:val="0"/>
                                              <w:marBottom w:val="0"/>
                                              <w:divBdr>
                                                <w:top w:val="none" w:sz="0" w:space="0" w:color="auto"/>
                                                <w:left w:val="none" w:sz="0" w:space="0" w:color="auto"/>
                                                <w:bottom w:val="none" w:sz="0" w:space="0" w:color="auto"/>
                                                <w:right w:val="none" w:sz="0" w:space="0" w:color="auto"/>
                                              </w:divBdr>
                                              <w:divsChild>
                                                <w:div w:id="1532650441">
                                                  <w:marLeft w:val="0"/>
                                                  <w:marRight w:val="0"/>
                                                  <w:marTop w:val="0"/>
                                                  <w:marBottom w:val="0"/>
                                                  <w:divBdr>
                                                    <w:top w:val="none" w:sz="0" w:space="0" w:color="auto"/>
                                                    <w:left w:val="none" w:sz="0" w:space="0" w:color="auto"/>
                                                    <w:bottom w:val="none" w:sz="0" w:space="0" w:color="auto"/>
                                                    <w:right w:val="none" w:sz="0" w:space="0" w:color="auto"/>
                                                  </w:divBdr>
                                                  <w:divsChild>
                                                    <w:div w:id="25713422">
                                                      <w:marLeft w:val="0"/>
                                                      <w:marRight w:val="0"/>
                                                      <w:marTop w:val="0"/>
                                                      <w:marBottom w:val="0"/>
                                                      <w:divBdr>
                                                        <w:top w:val="none" w:sz="0" w:space="0" w:color="auto"/>
                                                        <w:left w:val="none" w:sz="0" w:space="0" w:color="auto"/>
                                                        <w:bottom w:val="none" w:sz="0" w:space="0" w:color="auto"/>
                                                        <w:right w:val="none" w:sz="0" w:space="0" w:color="auto"/>
                                                      </w:divBdr>
                                                      <w:divsChild>
                                                        <w:div w:id="14270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644167">
      <w:bodyDiv w:val="1"/>
      <w:marLeft w:val="0"/>
      <w:marRight w:val="0"/>
      <w:marTop w:val="0"/>
      <w:marBottom w:val="0"/>
      <w:divBdr>
        <w:top w:val="none" w:sz="0" w:space="0" w:color="auto"/>
        <w:left w:val="none" w:sz="0" w:space="0" w:color="auto"/>
        <w:bottom w:val="none" w:sz="0" w:space="0" w:color="auto"/>
        <w:right w:val="none" w:sz="0" w:space="0" w:color="auto"/>
      </w:divBdr>
    </w:div>
    <w:div w:id="2129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hyperlink" Target="https://www.standards.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laraccreditation.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290115.spire.environment.gov.au/290003/123/IEU%20-Final%20package/www.legislation.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easurement.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environment.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standards.org.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cordNumber xmlns="d8430d0f-47e2-4fb7-b3bb-dd4f7c79b414" xsi:nil="true"/>
    <PublicationYear xmlns="d8430d0f-47e2-4fb7-b3bb-dd4f7c79b414" xsi:nil="true"/>
    <IconOverlay xmlns="http://schemas.microsoft.com/sharepoint/v4" xsi:nil="true"/>
    <Approval xmlns="d8430d0f-47e2-4fb7-b3bb-dd4f7c79b414" xsi:nil="true"/>
    <Function xmlns="d8430d0f-47e2-4fb7-b3bb-dd4f7c79b414" xsi:nil="true"/>
    <DocumentDescription xmlns="d8430d0f-47e2-4fb7-b3bb-dd4f7c79b41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4E48EA4F3B432C4583D93528396F9AD3" ma:contentTypeVersion="6" ma:contentTypeDescription="SPIRE Document" ma:contentTypeScope="" ma:versionID="151e28c33da8a9d0e1ebd2f7adca9c2b">
  <xsd:schema xmlns:xsd="http://www.w3.org/2001/XMLSchema" xmlns:xs="http://www.w3.org/2001/XMLSchema" xmlns:p="http://schemas.microsoft.com/office/2006/metadata/properties" xmlns:ns2="d8430d0f-47e2-4fb7-b3bb-dd4f7c79b414" xmlns:ns3="http://schemas.microsoft.com/sharepoint/v4" targetNamespace="http://schemas.microsoft.com/office/2006/metadata/properties" ma:root="true" ma:fieldsID="80fce8e49bb559cef82aadcebaf8abe3"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1AB9A-748A-42D1-AB55-A7F6BD0F60FC}">
  <ds:schemaRefs>
    <ds:schemaRef ds:uri="http://schemas.microsoft.com/sharepoint/v3/contenttype/forms"/>
  </ds:schemaRefs>
</ds:datastoreItem>
</file>

<file path=customXml/itemProps2.xml><?xml version="1.0" encoding="utf-8"?>
<ds:datastoreItem xmlns:ds="http://schemas.openxmlformats.org/officeDocument/2006/customXml" ds:itemID="{45E7DBAD-3084-4A9A-B311-AEF005C29428}">
  <ds:schemaRefs>
    <ds:schemaRef ds:uri="http://schemas.microsoft.com/office/2006/metadata/properties"/>
    <ds:schemaRef ds:uri="http://purl.org/dc/terms/"/>
    <ds:schemaRef ds:uri="http://schemas.microsoft.com/sharepoint/v4"/>
    <ds:schemaRef ds:uri="http://purl.org/dc/dcmitype/"/>
    <ds:schemaRef ds:uri="d8430d0f-47e2-4fb7-b3bb-dd4f7c79b41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9D5C7CB-41DC-4AA0-8557-2D0A664EE071}">
  <ds:schemaRefs>
    <ds:schemaRef ds:uri="http://schemas.microsoft.com/sharepoint/events"/>
  </ds:schemaRefs>
</ds:datastoreItem>
</file>

<file path=customXml/itemProps4.xml><?xml version="1.0" encoding="utf-8"?>
<ds:datastoreItem xmlns:ds="http://schemas.openxmlformats.org/officeDocument/2006/customXml" ds:itemID="{4AE0DE6B-3962-4C11-958E-BCC7012064A7}">
  <ds:schemaRefs>
    <ds:schemaRef ds:uri="http://schemas.microsoft.com/office/2006/metadata/customXsn"/>
  </ds:schemaRefs>
</ds:datastoreItem>
</file>

<file path=customXml/itemProps5.xml><?xml version="1.0" encoding="utf-8"?>
<ds:datastoreItem xmlns:ds="http://schemas.openxmlformats.org/officeDocument/2006/customXml" ds:itemID="{B36A769C-8A62-439F-BA2B-38F02263B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892AEE-5269-4032-B821-B8A2C796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8111F239.dotm</Template>
  <TotalTime>0</TotalTime>
  <Pages>32</Pages>
  <Words>13116</Words>
  <Characters>74762</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Att A - MS18-000890 - Industrial Equipment Upgrades - ES (revised) final pdms</vt:lpstr>
    </vt:vector>
  </TitlesOfParts>
  <Company>DEWHA</Company>
  <LinksUpToDate>false</LinksUpToDate>
  <CharactersWithSpaces>87703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A - MS18-000890 - Industrial Equipment Upgrades - ES (revised) final pdms</dc:title>
  <dc:subject/>
  <dc:creator>Huw Morgan</dc:creator>
  <cp:keywords/>
  <dc:description/>
  <cp:lastModifiedBy>Nick Twohig</cp:lastModifiedBy>
  <cp:revision>2</cp:revision>
  <cp:lastPrinted>2018-07-30T02:10:00Z</cp:lastPrinted>
  <dcterms:created xsi:type="dcterms:W3CDTF">2018-08-28T01:00:00Z</dcterms:created>
  <dcterms:modified xsi:type="dcterms:W3CDTF">2018-08-28T01:00:00Z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0x01010053158623521E02459344FD72CDD99ED6004E48EA4F3B432C4583D93528396F9AD3</vt:lpwstr>
  </property>
  <property fmtid="{D5CDD505-2E9C-101B-9397-08002B2CF9AE}" pid="3" name="RecordPoint_ActiveItemUniqueId">
    <vt:lpwstr>{2da1aec9-fcdb-48a2-a59c-a6d99ee96193}</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{804538f0-66cd-4f0b-b2ea-09b21d4f109e}</vt:lpwstr>
  </property>
  <property fmtid="{D5CDD505-2E9C-101B-9397-08002B2CF9AE}" pid="8" name="RecordPoint_ActiveItemWebId">
    <vt:lpwstr>{cad10a62-87e6-42dc-86ca-7501b0731301}</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