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1AF0F7B1"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2F5BA1D" w14:textId="768D40DD" w:rsidR="00C9681B" w:rsidRPr="00CD2AE2" w:rsidRDefault="00C9681B" w:rsidP="00C9681B">
      <w:pPr>
        <w:keepNext/>
        <w:spacing w:after="0" w:line="240" w:lineRule="auto"/>
        <w:ind w:right="91"/>
        <w:jc w:val="center"/>
        <w:outlineLvl w:val="5"/>
        <w:rPr>
          <w:rFonts w:ascii="Times New Roman" w:eastAsia="Times New Roman" w:hAnsi="Times New Roman" w:cs="Times New Roman"/>
          <w:b/>
          <w:sz w:val="24"/>
          <w:szCs w:val="24"/>
          <w:lang w:eastAsia="en-AU"/>
        </w:rPr>
      </w:pPr>
      <w:r w:rsidRPr="00CD2AE2">
        <w:rPr>
          <w:rFonts w:ascii="Times New Roman" w:eastAsia="Times New Roman" w:hAnsi="Times New Roman" w:cs="Times New Roman"/>
          <w:b/>
          <w:sz w:val="24"/>
          <w:szCs w:val="24"/>
          <w:lang w:eastAsia="en-AU"/>
        </w:rPr>
        <w:t xml:space="preserve">Issued by the </w:t>
      </w:r>
      <w:r>
        <w:rPr>
          <w:rFonts w:ascii="Times New Roman" w:eastAsia="Times New Roman" w:hAnsi="Times New Roman" w:cs="Times New Roman"/>
          <w:b/>
          <w:sz w:val="24"/>
          <w:szCs w:val="24"/>
          <w:lang w:eastAsia="en-AU"/>
        </w:rPr>
        <w:t xml:space="preserve">Authority of the </w:t>
      </w:r>
      <w:r w:rsidRPr="00CD2AE2">
        <w:rPr>
          <w:rFonts w:ascii="Times New Roman" w:eastAsia="Times New Roman" w:hAnsi="Times New Roman" w:cs="Times New Roman"/>
          <w:b/>
          <w:sz w:val="24"/>
          <w:szCs w:val="24"/>
          <w:lang w:eastAsia="en-AU"/>
        </w:rPr>
        <w:t>Minister for Resources and Northern Australia</w:t>
      </w:r>
      <w:r w:rsidR="00EC37F2">
        <w:rPr>
          <w:rFonts w:ascii="Times New Roman" w:eastAsia="Times New Roman" w:hAnsi="Times New Roman" w:cs="Times New Roman"/>
          <w:b/>
          <w:sz w:val="24"/>
          <w:szCs w:val="24"/>
          <w:lang w:eastAsia="en-AU"/>
        </w:rPr>
        <w:t xml:space="preserve">, </w:t>
      </w:r>
      <w:r w:rsidR="00040EE3">
        <w:rPr>
          <w:rFonts w:ascii="Times New Roman" w:eastAsia="Times New Roman" w:hAnsi="Times New Roman" w:cs="Times New Roman"/>
          <w:b/>
          <w:sz w:val="24"/>
          <w:szCs w:val="24"/>
          <w:lang w:eastAsia="en-AU"/>
        </w:rPr>
        <w:br/>
      </w:r>
      <w:r w:rsidR="00EC37F2">
        <w:rPr>
          <w:rFonts w:ascii="Times New Roman" w:eastAsia="Times New Roman" w:hAnsi="Times New Roman" w:cs="Times New Roman"/>
          <w:b/>
          <w:sz w:val="24"/>
          <w:szCs w:val="24"/>
          <w:lang w:eastAsia="en-AU"/>
        </w:rPr>
        <w:t>Senator the Hon Matt Canavan</w:t>
      </w:r>
      <w:r w:rsidRPr="00CD2AE2">
        <w:rPr>
          <w:rFonts w:ascii="Times New Roman" w:eastAsia="Times New Roman" w:hAnsi="Times New Roman" w:cs="Times New Roman"/>
          <w:b/>
          <w:sz w:val="24"/>
          <w:szCs w:val="24"/>
          <w:lang w:eastAsia="en-AU"/>
        </w:rPr>
        <w:t xml:space="preserve"> </w:t>
      </w:r>
    </w:p>
    <w:p w14:paraId="6E97042B" w14:textId="77777777" w:rsidR="00E205CD" w:rsidRDefault="00E205CD" w:rsidP="005B1948">
      <w:pPr>
        <w:spacing w:before="240" w:after="0"/>
        <w:jc w:val="center"/>
        <w:rPr>
          <w:rFonts w:ascii="Times New Roman" w:hAnsi="Times New Roman" w:cs="Times New Roman"/>
          <w:i/>
          <w:sz w:val="24"/>
          <w:szCs w:val="24"/>
        </w:rPr>
      </w:pPr>
      <w:r>
        <w:rPr>
          <w:rFonts w:ascii="Times New Roman" w:hAnsi="Times New Roman" w:cs="Times New Roman"/>
          <w:i/>
          <w:sz w:val="24"/>
          <w:szCs w:val="24"/>
        </w:rPr>
        <w:t>Offshore Minerals Act</w:t>
      </w:r>
      <w:r w:rsidRPr="001442F5">
        <w:rPr>
          <w:rFonts w:ascii="Times New Roman" w:hAnsi="Times New Roman" w:cs="Times New Roman"/>
          <w:i/>
          <w:sz w:val="24"/>
          <w:szCs w:val="24"/>
        </w:rPr>
        <w:t xml:space="preserve"> </w:t>
      </w:r>
      <w:r>
        <w:rPr>
          <w:rFonts w:ascii="Times New Roman" w:hAnsi="Times New Roman" w:cs="Times New Roman"/>
          <w:i/>
          <w:sz w:val="24"/>
          <w:szCs w:val="24"/>
        </w:rPr>
        <w:t>1994</w:t>
      </w:r>
    </w:p>
    <w:p w14:paraId="30D1F4E4" w14:textId="53BB21C4" w:rsidR="00521C8C" w:rsidRPr="00396C31" w:rsidRDefault="00521C8C" w:rsidP="005B1948">
      <w:pPr>
        <w:spacing w:before="240" w:after="0"/>
        <w:jc w:val="center"/>
        <w:rPr>
          <w:rFonts w:ascii="Times New Roman" w:hAnsi="Times New Roman" w:cs="Times New Roman"/>
          <w:i/>
          <w:sz w:val="24"/>
          <w:szCs w:val="24"/>
        </w:rPr>
      </w:pPr>
      <w:r w:rsidRPr="00521C8C">
        <w:rPr>
          <w:rFonts w:ascii="Times New Roman" w:hAnsi="Times New Roman" w:cs="Times New Roman"/>
          <w:i/>
          <w:sz w:val="24"/>
          <w:szCs w:val="24"/>
        </w:rPr>
        <w:t>Offshore Minerals (</w:t>
      </w:r>
      <w:r w:rsidR="001A5CD2" w:rsidRPr="00521C8C">
        <w:rPr>
          <w:rFonts w:ascii="Times New Roman" w:hAnsi="Times New Roman" w:cs="Times New Roman"/>
          <w:i/>
          <w:sz w:val="24"/>
          <w:szCs w:val="24"/>
        </w:rPr>
        <w:t xml:space="preserve">Multiple Applications for </w:t>
      </w:r>
      <w:r w:rsidR="003E719D">
        <w:rPr>
          <w:rFonts w:ascii="Times New Roman" w:hAnsi="Times New Roman" w:cs="Times New Roman"/>
          <w:i/>
          <w:sz w:val="24"/>
          <w:szCs w:val="24"/>
        </w:rPr>
        <w:t xml:space="preserve">Exploration or Mining </w:t>
      </w:r>
      <w:r w:rsidR="001A5CD2" w:rsidRPr="00521C8C">
        <w:rPr>
          <w:rFonts w:ascii="Times New Roman" w:hAnsi="Times New Roman" w:cs="Times New Roman"/>
          <w:i/>
          <w:sz w:val="24"/>
          <w:szCs w:val="24"/>
        </w:rPr>
        <w:t>Licences</w:t>
      </w:r>
      <w:r w:rsidRPr="00521C8C">
        <w:rPr>
          <w:rFonts w:ascii="Times New Roman" w:hAnsi="Times New Roman" w:cs="Times New Roman"/>
          <w:i/>
          <w:sz w:val="24"/>
          <w:szCs w:val="24"/>
        </w:rPr>
        <w:t>) Regulations 2018</w:t>
      </w:r>
    </w:p>
    <w:p w14:paraId="199207AC" w14:textId="0EAA9135" w:rsidR="000D0E22" w:rsidRDefault="000D0E22" w:rsidP="001F2F8F">
      <w:pPr>
        <w:spacing w:beforeLines="100" w:before="240" w:afterLines="100" w:after="240" w:line="259" w:lineRule="auto"/>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F184BD8" w14:textId="39D06D73" w:rsidR="008029A6" w:rsidRDefault="008029A6" w:rsidP="008029A6">
      <w:pPr>
        <w:spacing w:beforeLines="100" w:before="240" w:afterLines="100" w:after="240" w:line="259" w:lineRule="auto"/>
        <w:rPr>
          <w:rFonts w:ascii="Helvetica Neue" w:hAnsi="Helvetica Neue"/>
          <w:sz w:val="19"/>
          <w:szCs w:val="19"/>
        </w:rPr>
      </w:pPr>
      <w:r w:rsidRPr="003D019A">
        <w:rPr>
          <w:rFonts w:ascii="Times New Roman" w:hAnsi="Times New Roman" w:cs="Times New Roman"/>
          <w:color w:val="000000" w:themeColor="text1"/>
          <w:sz w:val="24"/>
          <w:szCs w:val="24"/>
        </w:rPr>
        <w:t xml:space="preserve">The </w:t>
      </w:r>
      <w:r w:rsidRPr="00E52569">
        <w:rPr>
          <w:rFonts w:ascii="Times New Roman" w:hAnsi="Times New Roman" w:cs="Times New Roman"/>
          <w:i/>
          <w:sz w:val="24"/>
          <w:szCs w:val="24"/>
        </w:rPr>
        <w:t xml:space="preserve">Offshore </w:t>
      </w:r>
      <w:r>
        <w:rPr>
          <w:rFonts w:ascii="Times New Roman" w:hAnsi="Times New Roman" w:cs="Times New Roman"/>
          <w:i/>
          <w:sz w:val="24"/>
          <w:szCs w:val="24"/>
        </w:rPr>
        <w:t xml:space="preserve">Minerals </w:t>
      </w:r>
      <w:r w:rsidRPr="00E52569">
        <w:rPr>
          <w:rFonts w:ascii="Times New Roman" w:hAnsi="Times New Roman" w:cs="Times New Roman"/>
          <w:i/>
          <w:sz w:val="24"/>
          <w:szCs w:val="24"/>
        </w:rPr>
        <w:t>Act 1994</w:t>
      </w:r>
      <w:r>
        <w:rPr>
          <w:rFonts w:ascii="Times New Roman" w:hAnsi="Times New Roman" w:cs="Times New Roman"/>
          <w:color w:val="000000" w:themeColor="text1"/>
          <w:sz w:val="24"/>
          <w:szCs w:val="24"/>
        </w:rPr>
        <w:t xml:space="preserve"> (</w:t>
      </w:r>
      <w:r w:rsidRPr="0077266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Act)</w:t>
      </w:r>
      <w:r w:rsidRPr="003D019A">
        <w:rPr>
          <w:rFonts w:ascii="Times New Roman" w:hAnsi="Times New Roman" w:cs="Times New Roman"/>
          <w:color w:val="000000" w:themeColor="text1"/>
          <w:sz w:val="24"/>
          <w:szCs w:val="24"/>
        </w:rPr>
        <w:t xml:space="preserve"> </w:t>
      </w:r>
      <w:r w:rsidR="00AC5E54">
        <w:rPr>
          <w:rFonts w:ascii="Times New Roman" w:hAnsi="Times New Roman" w:cs="Times New Roman"/>
          <w:color w:val="000000" w:themeColor="text1"/>
          <w:sz w:val="24"/>
          <w:szCs w:val="24"/>
        </w:rPr>
        <w:t>provides the legal framework for the exploration for, and mining of, minerals (other than petroleum) in offshore areas</w:t>
      </w:r>
      <w:r w:rsidRPr="001454F9">
        <w:rPr>
          <w:rFonts w:ascii="Times New Roman" w:hAnsi="Times New Roman" w:cs="Times New Roman"/>
          <w:color w:val="000000" w:themeColor="text1"/>
          <w:sz w:val="24"/>
          <w:szCs w:val="24"/>
        </w:rPr>
        <w:t>.</w:t>
      </w:r>
    </w:p>
    <w:p w14:paraId="40E9C44C" w14:textId="0518EC50" w:rsidR="008029A6" w:rsidRDefault="005B1948" w:rsidP="005B1948">
      <w:pPr>
        <w:spacing w:beforeLines="100" w:before="240" w:afterLines="100" w:after="240" w:line="259" w:lineRule="auto"/>
        <w:rPr>
          <w:rFonts w:ascii="Times New Roman" w:hAnsi="Times New Roman" w:cs="Times New Roman"/>
          <w:sz w:val="24"/>
          <w:szCs w:val="24"/>
        </w:rPr>
      </w:pPr>
      <w:r w:rsidRPr="00552793">
        <w:rPr>
          <w:rFonts w:ascii="Times New Roman" w:hAnsi="Times New Roman" w:cs="Times New Roman"/>
          <w:sz w:val="24"/>
          <w:szCs w:val="24"/>
        </w:rPr>
        <w:t>Sectio</w:t>
      </w:r>
      <w:r>
        <w:rPr>
          <w:rFonts w:ascii="Times New Roman" w:hAnsi="Times New Roman" w:cs="Times New Roman"/>
          <w:sz w:val="24"/>
          <w:szCs w:val="24"/>
        </w:rPr>
        <w:t>n 440 of the Act</w:t>
      </w:r>
      <w:r w:rsidRPr="00552793">
        <w:rPr>
          <w:rFonts w:ascii="Times New Roman" w:hAnsi="Times New Roman" w:cs="Times New Roman"/>
          <w:sz w:val="24"/>
          <w:szCs w:val="24"/>
        </w:rPr>
        <w:t xml:space="preserve"> </w:t>
      </w:r>
      <w:r w:rsidR="00542DA2" w:rsidRPr="001454F9">
        <w:rPr>
          <w:rFonts w:ascii="Times New Roman" w:hAnsi="Times New Roman" w:cs="Times New Roman"/>
          <w:color w:val="000000" w:themeColor="text1"/>
          <w:sz w:val="24"/>
          <w:szCs w:val="24"/>
        </w:rPr>
        <w:t>provides that the Governor-General may make regulations prescribing matters either required or permitted by the Act to be prescribed, or necessary or convenient to be prescribed for carrying out or giving effect to the Act.</w:t>
      </w:r>
    </w:p>
    <w:p w14:paraId="30A53637" w14:textId="51FE3845" w:rsidR="00AC5E54" w:rsidRPr="002A1E94" w:rsidRDefault="00AC5E54" w:rsidP="005B1948">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sz w:val="24"/>
          <w:szCs w:val="24"/>
        </w:rPr>
        <w:t>Sections 58 and 203 of the Act provide for dealing with multiple applications for an exploration licence or mining licence</w:t>
      </w:r>
      <w:r w:rsidR="001D4E0C">
        <w:rPr>
          <w:rFonts w:ascii="Times New Roman" w:hAnsi="Times New Roman" w:cs="Times New Roman"/>
          <w:sz w:val="24"/>
          <w:szCs w:val="24"/>
        </w:rPr>
        <w:t xml:space="preserve"> over a block</w:t>
      </w:r>
      <w:r>
        <w:rPr>
          <w:rFonts w:ascii="Times New Roman" w:hAnsi="Times New Roman" w:cs="Times New Roman"/>
          <w:sz w:val="24"/>
          <w:szCs w:val="24"/>
        </w:rPr>
        <w:t xml:space="preserve">. Subsections 58(2) and 203(2) provide that if applications are lodged within a particular time of each other, and the </w:t>
      </w:r>
      <w:r w:rsidR="000F612D">
        <w:rPr>
          <w:rFonts w:ascii="Times New Roman" w:hAnsi="Times New Roman" w:cs="Times New Roman"/>
          <w:sz w:val="24"/>
          <w:szCs w:val="24"/>
        </w:rPr>
        <w:t xml:space="preserve">time </w:t>
      </w:r>
      <w:r>
        <w:rPr>
          <w:rFonts w:ascii="Times New Roman" w:hAnsi="Times New Roman" w:cs="Times New Roman"/>
          <w:sz w:val="24"/>
          <w:szCs w:val="24"/>
        </w:rPr>
        <w:t>is less than the time prescribed by the regulations, the Designated Authority must determine the order in which the applications are to be dealt with by drawing lots in the way prescribed by the regulations.</w:t>
      </w:r>
    </w:p>
    <w:p w14:paraId="2263FC7D" w14:textId="22963D64" w:rsidR="00B03EA2" w:rsidRDefault="00B03EA2" w:rsidP="008029A6">
      <w:pPr>
        <w:spacing w:beforeLines="100" w:before="240" w:afterLines="100" w:after="240" w:line="259" w:lineRule="auto"/>
        <w:rPr>
          <w:rFonts w:ascii="Times New Roman" w:hAnsi="Times New Roman" w:cs="Times New Roman"/>
          <w:sz w:val="24"/>
          <w:szCs w:val="24"/>
        </w:rPr>
      </w:pPr>
      <w:r w:rsidRPr="00AE1145">
        <w:rPr>
          <w:rFonts w:ascii="Times New Roman" w:hAnsi="Times New Roman" w:cs="Times New Roman"/>
          <w:sz w:val="24"/>
          <w:szCs w:val="24"/>
        </w:rPr>
        <w:t xml:space="preserve">The </w:t>
      </w:r>
      <w:r w:rsidRPr="001442F5">
        <w:rPr>
          <w:rFonts w:ascii="Times New Roman" w:hAnsi="Times New Roman" w:cs="Times New Roman"/>
          <w:i/>
          <w:sz w:val="24"/>
          <w:szCs w:val="24"/>
        </w:rPr>
        <w:t>Offshore Minerals (</w:t>
      </w:r>
      <w:r>
        <w:rPr>
          <w:rFonts w:ascii="Times New Roman" w:hAnsi="Times New Roman" w:cs="Times New Roman"/>
          <w:i/>
          <w:sz w:val="24"/>
          <w:szCs w:val="24"/>
        </w:rPr>
        <w:t>Ballot Procedures</w:t>
      </w:r>
      <w:r w:rsidRPr="001442F5">
        <w:rPr>
          <w:rFonts w:ascii="Times New Roman" w:hAnsi="Times New Roman" w:cs="Times New Roman"/>
          <w:i/>
          <w:sz w:val="24"/>
          <w:szCs w:val="24"/>
        </w:rPr>
        <w:t xml:space="preserve">) Regulations </w:t>
      </w:r>
      <w:r>
        <w:rPr>
          <w:rFonts w:ascii="Times New Roman" w:hAnsi="Times New Roman" w:cs="Times New Roman"/>
          <w:sz w:val="24"/>
          <w:szCs w:val="24"/>
        </w:rPr>
        <w:t xml:space="preserve">(the </w:t>
      </w:r>
      <w:r w:rsidRPr="00AE1145">
        <w:rPr>
          <w:rFonts w:ascii="Times New Roman" w:hAnsi="Times New Roman" w:cs="Times New Roman"/>
          <w:sz w:val="24"/>
          <w:szCs w:val="24"/>
        </w:rPr>
        <w:t>sunsetting Regulations</w:t>
      </w:r>
      <w:r>
        <w:rPr>
          <w:rFonts w:ascii="Times New Roman" w:hAnsi="Times New Roman" w:cs="Times New Roman"/>
          <w:sz w:val="24"/>
          <w:szCs w:val="24"/>
        </w:rPr>
        <w:t>), which are due to sunset on 1 October 2018,</w:t>
      </w:r>
      <w:r w:rsidRPr="00AE1145">
        <w:rPr>
          <w:rFonts w:ascii="Times New Roman" w:hAnsi="Times New Roman" w:cs="Times New Roman"/>
          <w:sz w:val="24"/>
          <w:szCs w:val="24"/>
        </w:rPr>
        <w:t xml:space="preserve"> prescribe the time of lodgement</w:t>
      </w:r>
      <w:r w:rsidR="000F612D">
        <w:rPr>
          <w:rFonts w:ascii="Times New Roman" w:hAnsi="Times New Roman" w:cs="Times New Roman"/>
          <w:sz w:val="24"/>
          <w:szCs w:val="24"/>
        </w:rPr>
        <w:t xml:space="preserve"> of applications</w:t>
      </w:r>
      <w:r w:rsidRPr="00AE1145">
        <w:rPr>
          <w:rFonts w:ascii="Times New Roman" w:hAnsi="Times New Roman" w:cs="Times New Roman"/>
          <w:sz w:val="24"/>
          <w:szCs w:val="24"/>
        </w:rPr>
        <w:t xml:space="preserve">, the manner of lodgement and the </w:t>
      </w:r>
      <w:r w:rsidR="000F612D">
        <w:rPr>
          <w:rFonts w:ascii="Times New Roman" w:hAnsi="Times New Roman" w:cs="Times New Roman"/>
          <w:sz w:val="24"/>
          <w:szCs w:val="24"/>
        </w:rPr>
        <w:t xml:space="preserve">ballot </w:t>
      </w:r>
      <w:r w:rsidRPr="00AE1145">
        <w:rPr>
          <w:rFonts w:ascii="Times New Roman" w:hAnsi="Times New Roman" w:cs="Times New Roman"/>
          <w:sz w:val="24"/>
          <w:szCs w:val="24"/>
        </w:rPr>
        <w:t xml:space="preserve">procedures </w:t>
      </w:r>
      <w:r w:rsidR="000F612D">
        <w:rPr>
          <w:rFonts w:ascii="Times New Roman" w:hAnsi="Times New Roman" w:cs="Times New Roman"/>
          <w:sz w:val="24"/>
          <w:szCs w:val="24"/>
        </w:rPr>
        <w:t>for the purposes of subsections 58(2) and 203(2) of the Act</w:t>
      </w:r>
      <w:r w:rsidRPr="00AE1145">
        <w:rPr>
          <w:rFonts w:ascii="Times New Roman" w:hAnsi="Times New Roman" w:cs="Times New Roman"/>
          <w:sz w:val="24"/>
          <w:szCs w:val="24"/>
        </w:rPr>
        <w:t>.</w:t>
      </w:r>
    </w:p>
    <w:p w14:paraId="558CFCA3" w14:textId="70509505" w:rsidR="008029A6" w:rsidRDefault="008029A6" w:rsidP="008029A6">
      <w:pPr>
        <w:spacing w:beforeLines="100" w:before="240" w:afterLines="100" w:after="240" w:line="259"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Department of Industry, Innovation and Science (the </w:t>
      </w:r>
      <w:r w:rsidR="00040EE3">
        <w:rPr>
          <w:rFonts w:ascii="Times New Roman" w:hAnsi="Times New Roman" w:cs="Times New Roman"/>
          <w:sz w:val="24"/>
          <w:szCs w:val="24"/>
        </w:rPr>
        <w:t>department</w:t>
      </w:r>
      <w:r>
        <w:rPr>
          <w:rFonts w:ascii="Times New Roman" w:hAnsi="Times New Roman" w:cs="Times New Roman"/>
          <w:sz w:val="24"/>
          <w:szCs w:val="24"/>
        </w:rPr>
        <w:t xml:space="preserve">) </w:t>
      </w:r>
      <w:r w:rsidRPr="00BD6678">
        <w:rPr>
          <w:rFonts w:ascii="Times New Roman" w:eastAsia="Times New Roman" w:hAnsi="Times New Roman" w:cs="Times New Roman"/>
          <w:sz w:val="24"/>
          <w:szCs w:val="24"/>
          <w:lang w:eastAsia="en-AU"/>
        </w:rPr>
        <w:t xml:space="preserve">has conducted a review of the </w:t>
      </w:r>
      <w:r>
        <w:rPr>
          <w:rFonts w:ascii="Times New Roman" w:hAnsi="Times New Roman" w:cs="Times New Roman"/>
          <w:sz w:val="24"/>
          <w:szCs w:val="24"/>
        </w:rPr>
        <w:t>sunsetting</w:t>
      </w:r>
      <w:r w:rsidRPr="000C7568">
        <w:rPr>
          <w:rFonts w:ascii="Times New Roman" w:hAnsi="Times New Roman" w:cs="Times New Roman"/>
          <w:sz w:val="24"/>
          <w:szCs w:val="24"/>
        </w:rPr>
        <w:t xml:space="preserve"> Regulations</w:t>
      </w:r>
      <w:r w:rsidRPr="007838DB">
        <w:rPr>
          <w:rFonts w:ascii="Times New Roman" w:hAnsi="Times New Roman" w:cs="Times New Roman"/>
          <w:sz w:val="24"/>
          <w:szCs w:val="24"/>
        </w:rPr>
        <w:t xml:space="preserve"> </w:t>
      </w:r>
      <w:r>
        <w:rPr>
          <w:rFonts w:ascii="Times New Roman" w:hAnsi="Times New Roman" w:cs="Times New Roman"/>
          <w:sz w:val="24"/>
          <w:szCs w:val="24"/>
        </w:rPr>
        <w:t>a</w:t>
      </w:r>
      <w:r w:rsidRPr="00BD6678">
        <w:rPr>
          <w:rFonts w:ascii="Times New Roman" w:eastAsia="Times New Roman" w:hAnsi="Times New Roman" w:cs="Times New Roman"/>
          <w:sz w:val="24"/>
          <w:szCs w:val="24"/>
          <w:lang w:eastAsia="en-AU"/>
        </w:rPr>
        <w:t xml:space="preserve">nd determined that they should be remade </w:t>
      </w:r>
      <w:r>
        <w:rPr>
          <w:rFonts w:ascii="Times New Roman" w:eastAsia="Times New Roman" w:hAnsi="Times New Roman" w:cs="Times New Roman"/>
          <w:sz w:val="24"/>
          <w:szCs w:val="24"/>
          <w:lang w:eastAsia="en-AU"/>
        </w:rPr>
        <w:t xml:space="preserve">without substantive change. </w:t>
      </w:r>
      <w:r w:rsidR="000F612D">
        <w:rPr>
          <w:rFonts w:ascii="Times New Roman" w:eastAsia="Times New Roman" w:hAnsi="Times New Roman" w:cs="Times New Roman"/>
          <w:sz w:val="24"/>
          <w:szCs w:val="24"/>
          <w:lang w:eastAsia="en-AU"/>
        </w:rPr>
        <w:t xml:space="preserve">To date, only a few licences have been granted under the Act. There has therefore been </w:t>
      </w:r>
      <w:r w:rsidR="003B49E0">
        <w:rPr>
          <w:rFonts w:ascii="Times New Roman" w:eastAsia="Times New Roman" w:hAnsi="Times New Roman" w:cs="Times New Roman"/>
          <w:sz w:val="24"/>
          <w:szCs w:val="24"/>
          <w:lang w:eastAsia="en-AU"/>
        </w:rPr>
        <w:t>limited</w:t>
      </w:r>
      <w:r w:rsidR="000F612D">
        <w:rPr>
          <w:rFonts w:ascii="Times New Roman" w:eastAsia="Times New Roman" w:hAnsi="Times New Roman" w:cs="Times New Roman"/>
          <w:sz w:val="24"/>
          <w:szCs w:val="24"/>
          <w:lang w:eastAsia="en-AU"/>
        </w:rPr>
        <w:t xml:space="preserve"> opportunity to assess whether the current timeframes and procedures are operating effectively.</w:t>
      </w:r>
    </w:p>
    <w:p w14:paraId="19E2713C" w14:textId="5E71D1A8" w:rsidR="00876812" w:rsidRDefault="00B03EA2" w:rsidP="00B03EA2">
      <w:pPr>
        <w:spacing w:beforeLines="100" w:before="240" w:afterLines="100" w:after="240" w:line="259" w:lineRule="auto"/>
        <w:rPr>
          <w:rFonts w:ascii="Times New Roman" w:hAnsi="Times New Roman" w:cs="Times New Roman"/>
          <w:color w:val="000000" w:themeColor="text1"/>
          <w:sz w:val="24"/>
          <w:szCs w:val="24"/>
        </w:rPr>
      </w:pPr>
      <w:r w:rsidRPr="005663AC">
        <w:rPr>
          <w:rFonts w:ascii="Times New Roman" w:hAnsi="Times New Roman" w:cs="Times New Roman"/>
          <w:color w:val="000000" w:themeColor="text1"/>
          <w:sz w:val="24"/>
          <w:szCs w:val="24"/>
        </w:rPr>
        <w:t xml:space="preserve">The purpose of the </w:t>
      </w:r>
      <w:r w:rsidRPr="009148B2">
        <w:rPr>
          <w:rFonts w:ascii="Times New Roman" w:hAnsi="Times New Roman" w:cs="Times New Roman"/>
          <w:i/>
          <w:sz w:val="24"/>
          <w:szCs w:val="24"/>
        </w:rPr>
        <w:t>Offshore Minerals (</w:t>
      </w:r>
      <w:r w:rsidR="001A5CD2" w:rsidRPr="009148B2">
        <w:rPr>
          <w:rFonts w:ascii="Times New Roman" w:hAnsi="Times New Roman" w:cs="Times New Roman"/>
          <w:i/>
          <w:sz w:val="24"/>
          <w:szCs w:val="24"/>
        </w:rPr>
        <w:t xml:space="preserve">Multiple Applications for </w:t>
      </w:r>
      <w:r w:rsidR="003E719D" w:rsidRPr="009148B2">
        <w:rPr>
          <w:rFonts w:ascii="Times New Roman" w:hAnsi="Times New Roman" w:cs="Times New Roman"/>
          <w:i/>
          <w:sz w:val="24"/>
          <w:szCs w:val="24"/>
        </w:rPr>
        <w:t xml:space="preserve">Exploration or Mining </w:t>
      </w:r>
      <w:r w:rsidR="001A5CD2" w:rsidRPr="009148B2">
        <w:rPr>
          <w:rFonts w:ascii="Times New Roman" w:hAnsi="Times New Roman" w:cs="Times New Roman"/>
          <w:i/>
          <w:sz w:val="24"/>
          <w:szCs w:val="24"/>
        </w:rPr>
        <w:t>Licences</w:t>
      </w:r>
      <w:r w:rsidRPr="009148B2">
        <w:rPr>
          <w:rFonts w:ascii="Times New Roman" w:hAnsi="Times New Roman" w:cs="Times New Roman"/>
          <w:i/>
          <w:sz w:val="24"/>
          <w:szCs w:val="24"/>
        </w:rPr>
        <w:t>) Regulations</w:t>
      </w:r>
      <w:r w:rsidR="000F612D" w:rsidRPr="009148B2">
        <w:rPr>
          <w:rFonts w:ascii="Times New Roman" w:hAnsi="Times New Roman" w:cs="Times New Roman"/>
          <w:i/>
          <w:sz w:val="24"/>
          <w:szCs w:val="24"/>
        </w:rPr>
        <w:t xml:space="preserve"> 2018</w:t>
      </w:r>
      <w:r>
        <w:rPr>
          <w:rFonts w:ascii="Times New Roman" w:hAnsi="Times New Roman" w:cs="Times New Roman"/>
          <w:i/>
          <w:sz w:val="24"/>
          <w:szCs w:val="24"/>
        </w:rPr>
        <w:t xml:space="preserve"> </w:t>
      </w:r>
      <w:r w:rsidRPr="005663AC">
        <w:rPr>
          <w:rFonts w:ascii="Times New Roman" w:hAnsi="Times New Roman" w:cs="Times New Roman"/>
          <w:color w:val="000000" w:themeColor="text1"/>
          <w:sz w:val="24"/>
          <w:szCs w:val="24"/>
        </w:rPr>
        <w:t>(the 2018 Regulations) is to remake the sunsetting Regulations in substantially the same form with amendments to ensure consistency with current drafting practices, including simplifying language</w:t>
      </w:r>
      <w:r w:rsidR="00670BD1">
        <w:rPr>
          <w:rFonts w:ascii="Times New Roman" w:hAnsi="Times New Roman" w:cs="Times New Roman"/>
          <w:color w:val="000000" w:themeColor="text1"/>
          <w:sz w:val="24"/>
          <w:szCs w:val="24"/>
        </w:rPr>
        <w:t xml:space="preserve"> </w:t>
      </w:r>
      <w:r w:rsidR="00670BD1" w:rsidRPr="1285F912">
        <w:rPr>
          <w:rFonts w:ascii="Times New Roman" w:hAnsi="Times New Roman" w:cs="Times New Roman"/>
          <w:color w:val="000000" w:themeColor="text1"/>
          <w:sz w:val="24"/>
          <w:szCs w:val="24"/>
        </w:rPr>
        <w:t>and restructuring provisions for ease of navigation.</w:t>
      </w:r>
      <w:r w:rsidR="00876812">
        <w:rPr>
          <w:rFonts w:ascii="Times New Roman" w:hAnsi="Times New Roman" w:cs="Times New Roman"/>
          <w:color w:val="000000" w:themeColor="text1"/>
          <w:sz w:val="24"/>
          <w:szCs w:val="24"/>
        </w:rPr>
        <w:t xml:space="preserve"> </w:t>
      </w:r>
    </w:p>
    <w:p w14:paraId="31E0C6AF" w14:textId="55F6E8A1" w:rsidR="00B03EA2" w:rsidRPr="005663AC" w:rsidRDefault="00876812" w:rsidP="00B03EA2">
      <w:pPr>
        <w:spacing w:beforeLines="100" w:before="240" w:afterLines="100" w:after="24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2018 Regulations also omit provisions relating to the manner of lodgement of applications, as there is a risk that this is outside the regulation-making power in the Act. Applicants and Designated Authorities may instead rely on provisions of the Commonwealth </w:t>
      </w:r>
      <w:r>
        <w:rPr>
          <w:rFonts w:ascii="Times New Roman" w:hAnsi="Times New Roman" w:cs="Times New Roman"/>
          <w:i/>
          <w:color w:val="000000" w:themeColor="text1"/>
          <w:sz w:val="24"/>
          <w:szCs w:val="24"/>
        </w:rPr>
        <w:t>Electronic Transactions Act 1999</w:t>
      </w:r>
      <w:r>
        <w:rPr>
          <w:rFonts w:ascii="Times New Roman" w:hAnsi="Times New Roman" w:cs="Times New Roman"/>
          <w:color w:val="000000" w:themeColor="text1"/>
          <w:sz w:val="24"/>
          <w:szCs w:val="24"/>
        </w:rPr>
        <w:t xml:space="preserve"> and</w:t>
      </w:r>
      <w:r w:rsidR="001F5ECE">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Acts Interpretation Act 1901</w:t>
      </w:r>
      <w:r w:rsidR="00992055">
        <w:rPr>
          <w:rFonts w:ascii="Times New Roman" w:hAnsi="Times New Roman" w:cs="Times New Roman"/>
          <w:color w:val="000000" w:themeColor="text1"/>
          <w:sz w:val="24"/>
          <w:szCs w:val="24"/>
        </w:rPr>
        <w:t xml:space="preserve"> (the AI Act)</w:t>
      </w:r>
      <w:r>
        <w:rPr>
          <w:rFonts w:ascii="Times New Roman" w:hAnsi="Times New Roman" w:cs="Times New Roman"/>
          <w:color w:val="000000" w:themeColor="text1"/>
          <w:sz w:val="24"/>
          <w:szCs w:val="24"/>
        </w:rPr>
        <w:t xml:space="preserve">, which respectively provide for the manner of lodgement of information (including applications) in electronic form, and for the manner of service (including lodgement) of documents (including applications).    </w:t>
      </w:r>
    </w:p>
    <w:p w14:paraId="45015BD8" w14:textId="777E39AC" w:rsidR="008029A6" w:rsidRPr="00AF5270" w:rsidRDefault="008029A6" w:rsidP="00546F43">
      <w:pPr>
        <w:spacing w:beforeLines="100" w:before="240" w:afterLines="100" w:after="240" w:line="259" w:lineRule="auto"/>
        <w:rPr>
          <w:rFonts w:ascii="Times New Roman" w:hAnsi="Times New Roman" w:cs="Times New Roman"/>
          <w:sz w:val="24"/>
          <w:szCs w:val="24"/>
        </w:rPr>
      </w:pPr>
      <w:r w:rsidRPr="002A1E94">
        <w:rPr>
          <w:rFonts w:ascii="Times New Roman" w:hAnsi="Times New Roman" w:cs="Times New Roman"/>
          <w:sz w:val="24"/>
          <w:szCs w:val="24"/>
        </w:rPr>
        <w:lastRenderedPageBreak/>
        <w:t xml:space="preserve">Subsection 33(3) of the </w:t>
      </w:r>
      <w:r w:rsidR="00992055">
        <w:rPr>
          <w:rFonts w:ascii="Times New Roman" w:hAnsi="Times New Roman" w:cs="Times New Roman"/>
          <w:sz w:val="24"/>
          <w:szCs w:val="24"/>
        </w:rPr>
        <w:t xml:space="preserve">AI </w:t>
      </w:r>
      <w:r w:rsidRPr="00546F43">
        <w:rPr>
          <w:rFonts w:ascii="Times New Roman" w:hAnsi="Times New Roman" w:cs="Times New Roman"/>
          <w:sz w:val="24"/>
          <w:szCs w:val="24"/>
        </w:rPr>
        <w:t>Act</w:t>
      </w:r>
      <w:r w:rsidRPr="002A1E94">
        <w:rPr>
          <w:rFonts w:ascii="Times New Roman" w:hAnsi="Times New Roman" w:cs="Times New Roman"/>
          <w:sz w:val="24"/>
          <w:szCs w:val="24"/>
        </w:rPr>
        <w:t xml:space="preserve"> 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w:t>
      </w:r>
      <w:r>
        <w:rPr>
          <w:rFonts w:ascii="Times New Roman" w:hAnsi="Times New Roman" w:cs="Times New Roman"/>
          <w:sz w:val="24"/>
          <w:szCs w:val="24"/>
        </w:rPr>
        <w:t xml:space="preserve">The </w:t>
      </w:r>
      <w:r w:rsidRPr="000C7568">
        <w:rPr>
          <w:rFonts w:ascii="Times New Roman" w:hAnsi="Times New Roman" w:cs="Times New Roman"/>
          <w:sz w:val="24"/>
          <w:szCs w:val="24"/>
        </w:rPr>
        <w:t>2018</w:t>
      </w:r>
      <w:r>
        <w:rPr>
          <w:rFonts w:ascii="Times New Roman" w:hAnsi="Times New Roman" w:cs="Times New Roman"/>
          <w:sz w:val="24"/>
          <w:szCs w:val="24"/>
        </w:rPr>
        <w:t> </w:t>
      </w:r>
      <w:r w:rsidRPr="000C7568">
        <w:rPr>
          <w:rFonts w:ascii="Times New Roman" w:hAnsi="Times New Roman" w:cs="Times New Roman"/>
          <w:sz w:val="24"/>
          <w:szCs w:val="24"/>
        </w:rPr>
        <w:t>Regulations</w:t>
      </w:r>
      <w:r w:rsidRPr="007838D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A1E94">
        <w:rPr>
          <w:rFonts w:ascii="Times New Roman" w:hAnsi="Times New Roman" w:cs="Times New Roman"/>
          <w:sz w:val="24"/>
          <w:szCs w:val="24"/>
        </w:rPr>
        <w:t>repeal</w:t>
      </w:r>
      <w:r>
        <w:rPr>
          <w:rFonts w:ascii="Times New Roman" w:hAnsi="Times New Roman" w:cs="Times New Roman"/>
          <w:sz w:val="24"/>
          <w:szCs w:val="24"/>
        </w:rPr>
        <w:t xml:space="preserve"> the sunsetting Regulations.</w:t>
      </w:r>
      <w:r w:rsidRPr="00546F43">
        <w:rPr>
          <w:rFonts w:ascii="Times New Roman" w:hAnsi="Times New Roman" w:cs="Times New Roman"/>
          <w:sz w:val="24"/>
          <w:szCs w:val="24"/>
        </w:rPr>
        <w:t xml:space="preserve"> </w:t>
      </w:r>
    </w:p>
    <w:p w14:paraId="602D5565" w14:textId="66F7AB4A" w:rsidR="008029A6" w:rsidRPr="00523224" w:rsidRDefault="008029A6" w:rsidP="00523224">
      <w:pPr>
        <w:spacing w:beforeLines="100" w:before="240" w:afterLines="100" w:after="240" w:line="259" w:lineRule="auto"/>
        <w:rPr>
          <w:rFonts w:ascii="Times New Roman" w:hAnsi="Times New Roman" w:cs="Times New Roman"/>
          <w:sz w:val="24"/>
          <w:szCs w:val="24"/>
        </w:rPr>
      </w:pPr>
      <w:r w:rsidRPr="00523224">
        <w:rPr>
          <w:rFonts w:ascii="Times New Roman" w:hAnsi="Times New Roman" w:cs="Times New Roman"/>
          <w:sz w:val="24"/>
          <w:szCs w:val="24"/>
        </w:rPr>
        <w:t xml:space="preserve">A provision-by-provision description of the 2018 Regulations is set out at </w:t>
      </w:r>
      <w:r w:rsidRPr="00523224">
        <w:rPr>
          <w:rFonts w:ascii="Times New Roman" w:hAnsi="Times New Roman" w:cs="Times New Roman"/>
          <w:sz w:val="24"/>
          <w:szCs w:val="24"/>
          <w:u w:val="single"/>
        </w:rPr>
        <w:t>Attachment A</w:t>
      </w:r>
      <w:r w:rsidRPr="00523224">
        <w:rPr>
          <w:rFonts w:ascii="Times New Roman" w:hAnsi="Times New Roman" w:cs="Times New Roman"/>
          <w:sz w:val="24"/>
          <w:szCs w:val="24"/>
        </w:rPr>
        <w:t>.</w:t>
      </w:r>
      <w:r w:rsidR="00A83F43" w:rsidRPr="00523224">
        <w:rPr>
          <w:rFonts w:ascii="Times New Roman" w:hAnsi="Times New Roman" w:cs="Times New Roman"/>
          <w:sz w:val="24"/>
          <w:szCs w:val="24"/>
        </w:rPr>
        <w:t xml:space="preserve"> Finding tables, which set out equivalent provisions in the sunsetting Regulations to provisions in the 2018 Regulations and vice versa, are at </w:t>
      </w:r>
      <w:r w:rsidR="00A83F43" w:rsidRPr="00523224">
        <w:rPr>
          <w:rFonts w:ascii="Times New Roman" w:hAnsi="Times New Roman" w:cs="Times New Roman"/>
          <w:sz w:val="24"/>
          <w:szCs w:val="24"/>
          <w:u w:val="single"/>
        </w:rPr>
        <w:t>Attachment B</w:t>
      </w:r>
      <w:r w:rsidR="00A83F43" w:rsidRPr="00523224">
        <w:rPr>
          <w:rFonts w:ascii="Times New Roman" w:hAnsi="Times New Roman" w:cs="Times New Roman"/>
          <w:sz w:val="24"/>
          <w:szCs w:val="24"/>
        </w:rPr>
        <w:t xml:space="preserve">.  </w:t>
      </w:r>
    </w:p>
    <w:p w14:paraId="1204FA38" w14:textId="77777777" w:rsidR="000D0E22" w:rsidRDefault="000D0E22" w:rsidP="001F2F8F">
      <w:pPr>
        <w:spacing w:beforeLines="100" w:before="240" w:afterLines="100" w:after="240" w:line="259" w:lineRule="auto"/>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13C58293" w14:textId="67D434E3" w:rsidR="00A449A1" w:rsidRDefault="008029A6" w:rsidP="008029A6">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sz w:val="24"/>
          <w:szCs w:val="24"/>
        </w:rPr>
        <w:t>State and Northern Territory governments were</w:t>
      </w:r>
      <w:r w:rsidRPr="00E85758">
        <w:rPr>
          <w:rFonts w:ascii="Times New Roman" w:hAnsi="Times New Roman" w:cs="Times New Roman"/>
          <w:sz w:val="24"/>
          <w:szCs w:val="24"/>
        </w:rPr>
        <w:t xml:space="preserve"> consulted </w:t>
      </w:r>
      <w:r>
        <w:rPr>
          <w:rFonts w:ascii="Times New Roman" w:hAnsi="Times New Roman" w:cs="Times New Roman"/>
          <w:sz w:val="24"/>
          <w:szCs w:val="24"/>
        </w:rPr>
        <w:t>during</w:t>
      </w:r>
      <w:r w:rsidRPr="00E85758">
        <w:rPr>
          <w:rFonts w:ascii="Times New Roman" w:hAnsi="Times New Roman" w:cs="Times New Roman"/>
          <w:sz w:val="24"/>
          <w:szCs w:val="24"/>
        </w:rPr>
        <w:t xml:space="preserve"> the </w:t>
      </w:r>
      <w:r w:rsidR="00EC37F2">
        <w:rPr>
          <w:rFonts w:ascii="Times New Roman" w:hAnsi="Times New Roman" w:cs="Times New Roman"/>
          <w:sz w:val="24"/>
          <w:szCs w:val="24"/>
        </w:rPr>
        <w:t xml:space="preserve">drafting </w:t>
      </w:r>
      <w:r w:rsidRPr="00E85758">
        <w:rPr>
          <w:rFonts w:ascii="Times New Roman" w:hAnsi="Times New Roman" w:cs="Times New Roman"/>
          <w:sz w:val="24"/>
          <w:szCs w:val="24"/>
        </w:rPr>
        <w:t xml:space="preserve">of </w:t>
      </w:r>
      <w:r>
        <w:rPr>
          <w:rFonts w:ascii="Times New Roman" w:hAnsi="Times New Roman" w:cs="Times New Roman"/>
          <w:sz w:val="24"/>
          <w:szCs w:val="24"/>
        </w:rPr>
        <w:t>the 2018 Regulations</w:t>
      </w:r>
      <w:r w:rsidRPr="00E85758">
        <w:rPr>
          <w:rFonts w:ascii="Times New Roman" w:hAnsi="Times New Roman" w:cs="Times New Roman"/>
          <w:sz w:val="24"/>
          <w:szCs w:val="24"/>
        </w:rPr>
        <w:t>.</w:t>
      </w:r>
      <w:r>
        <w:rPr>
          <w:rFonts w:ascii="Times New Roman" w:hAnsi="Times New Roman" w:cs="Times New Roman"/>
          <w:sz w:val="24"/>
          <w:szCs w:val="24"/>
        </w:rPr>
        <w:t xml:space="preserve"> Jurisdictions were advised of the proposal to remake the sunsetting Regulations with no substantive change at the March 2018 meeting of the Upstream Petroleum Resources Working Group of the Council of Australian Governments’ Energy Council, with comments sought by 11 April 2018. </w:t>
      </w:r>
      <w:r w:rsidR="00A449A1">
        <w:rPr>
          <w:rFonts w:ascii="Times New Roman" w:eastAsia="Times New Roman" w:hAnsi="Times New Roman" w:cs="Times New Roman"/>
          <w:sz w:val="24"/>
          <w:szCs w:val="24"/>
          <w:lang w:eastAsia="en-AU"/>
        </w:rPr>
        <w:t>No comments were received</w:t>
      </w:r>
      <w:r w:rsidR="00821835">
        <w:rPr>
          <w:rFonts w:ascii="Times New Roman" w:eastAsia="Times New Roman" w:hAnsi="Times New Roman" w:cs="Times New Roman"/>
          <w:sz w:val="24"/>
          <w:szCs w:val="24"/>
          <w:lang w:eastAsia="en-AU"/>
        </w:rPr>
        <w:t>.</w:t>
      </w:r>
      <w:r w:rsidR="00A449A1" w:rsidDel="006673B8">
        <w:rPr>
          <w:rFonts w:ascii="Times New Roman" w:hAnsi="Times New Roman" w:cs="Times New Roman"/>
          <w:sz w:val="24"/>
          <w:szCs w:val="24"/>
        </w:rPr>
        <w:t xml:space="preserve"> </w:t>
      </w:r>
    </w:p>
    <w:p w14:paraId="2406F181" w14:textId="6006BC32" w:rsidR="008029A6" w:rsidRDefault="008029A6" w:rsidP="008029A6">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sz w:val="24"/>
          <w:szCs w:val="24"/>
        </w:rPr>
        <w:t xml:space="preserve">The offshore minerals industry in Australia is relatively small. In order to consult with the industry, and ensure broader awareness of the proposal to </w:t>
      </w:r>
      <w:r w:rsidR="00670BD1">
        <w:rPr>
          <w:rFonts w:ascii="Times New Roman" w:hAnsi="Times New Roman" w:cs="Times New Roman"/>
          <w:sz w:val="24"/>
          <w:szCs w:val="24"/>
        </w:rPr>
        <w:t>re</w:t>
      </w:r>
      <w:r>
        <w:rPr>
          <w:rFonts w:ascii="Times New Roman" w:hAnsi="Times New Roman" w:cs="Times New Roman"/>
          <w:sz w:val="24"/>
          <w:szCs w:val="24"/>
        </w:rPr>
        <w:t xml:space="preserve">make the </w:t>
      </w:r>
      <w:r w:rsidR="00436B9B">
        <w:rPr>
          <w:rFonts w:ascii="Times New Roman" w:hAnsi="Times New Roman" w:cs="Times New Roman"/>
          <w:sz w:val="24"/>
          <w:szCs w:val="24"/>
        </w:rPr>
        <w:t xml:space="preserve">sunsetting </w:t>
      </w:r>
      <w:r>
        <w:rPr>
          <w:rFonts w:ascii="Times New Roman" w:hAnsi="Times New Roman" w:cs="Times New Roman"/>
          <w:sz w:val="24"/>
          <w:szCs w:val="24"/>
        </w:rPr>
        <w:t xml:space="preserve">Regulations, information about the proposal and an invitation to comment were published on the </w:t>
      </w:r>
      <w:r w:rsidR="00040EE3">
        <w:rPr>
          <w:rFonts w:ascii="Times New Roman" w:hAnsi="Times New Roman" w:cs="Times New Roman"/>
          <w:sz w:val="24"/>
          <w:szCs w:val="24"/>
        </w:rPr>
        <w:t xml:space="preserve">department’s </w:t>
      </w:r>
      <w:r>
        <w:rPr>
          <w:rFonts w:ascii="Times New Roman" w:hAnsi="Times New Roman" w:cs="Times New Roman"/>
          <w:sz w:val="24"/>
          <w:szCs w:val="24"/>
        </w:rPr>
        <w:t>Consultation Hub. Interested stakeholders were also advised through an issue of Australian Petroleum News. Comments in relation to the proposal were sought by 13 April</w:t>
      </w:r>
      <w:r w:rsidR="00670BD1">
        <w:rPr>
          <w:rFonts w:ascii="Times New Roman" w:hAnsi="Times New Roman" w:cs="Times New Roman"/>
          <w:sz w:val="24"/>
          <w:szCs w:val="24"/>
        </w:rPr>
        <w:t xml:space="preserve"> 2018</w:t>
      </w:r>
      <w:r>
        <w:rPr>
          <w:rFonts w:ascii="Times New Roman" w:hAnsi="Times New Roman" w:cs="Times New Roman"/>
          <w:sz w:val="24"/>
          <w:szCs w:val="24"/>
        </w:rPr>
        <w:t xml:space="preserve">. </w:t>
      </w:r>
      <w:r w:rsidR="001270A2" w:rsidRPr="001270A2">
        <w:rPr>
          <w:rFonts w:ascii="Times New Roman" w:hAnsi="Times New Roman" w:cs="Times New Roman"/>
          <w:sz w:val="24"/>
          <w:szCs w:val="24"/>
        </w:rPr>
        <w:t>One submission was received; however</w:t>
      </w:r>
      <w:r w:rsidR="00B22F1D">
        <w:rPr>
          <w:rFonts w:ascii="Times New Roman" w:hAnsi="Times New Roman" w:cs="Times New Roman"/>
          <w:sz w:val="24"/>
          <w:szCs w:val="24"/>
        </w:rPr>
        <w:t>,</w:t>
      </w:r>
      <w:r w:rsidR="001270A2" w:rsidRPr="001270A2">
        <w:rPr>
          <w:rFonts w:ascii="Times New Roman" w:hAnsi="Times New Roman" w:cs="Times New Roman"/>
          <w:sz w:val="24"/>
          <w:szCs w:val="24"/>
        </w:rPr>
        <w:t xml:space="preserve"> the content of the submission related to matters outside the scop</w:t>
      </w:r>
      <w:r w:rsidR="001270A2">
        <w:rPr>
          <w:rFonts w:ascii="Times New Roman" w:hAnsi="Times New Roman" w:cs="Times New Roman"/>
          <w:sz w:val="24"/>
          <w:szCs w:val="24"/>
        </w:rPr>
        <w:t>e of the sunsetting Regulations</w:t>
      </w:r>
      <w:r>
        <w:rPr>
          <w:rFonts w:ascii="Times New Roman" w:hAnsi="Times New Roman" w:cs="Times New Roman"/>
          <w:sz w:val="24"/>
          <w:szCs w:val="24"/>
        </w:rPr>
        <w:t>.</w:t>
      </w:r>
    </w:p>
    <w:p w14:paraId="796928A1" w14:textId="77777777" w:rsidR="005B1948" w:rsidRPr="00E85758" w:rsidRDefault="005B1948" w:rsidP="005B1948">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b/>
          <w:sz w:val="24"/>
          <w:szCs w:val="24"/>
          <w:u w:val="single"/>
        </w:rPr>
        <w:t>Regulatory Impact</w:t>
      </w:r>
    </w:p>
    <w:p w14:paraId="6F13EB3D" w14:textId="6D6FF179" w:rsidR="008029A6" w:rsidRPr="00D20D0F" w:rsidRDefault="008029A6" w:rsidP="008029A6">
      <w:pPr>
        <w:spacing w:beforeLines="100" w:before="240" w:afterLines="100" w:after="240" w:line="259" w:lineRule="auto"/>
        <w:rPr>
          <w:rFonts w:ascii="Times New Roman" w:hAnsi="Times New Roman" w:cs="Times New Roman"/>
          <w:sz w:val="24"/>
          <w:szCs w:val="24"/>
        </w:rPr>
      </w:pPr>
      <w:r w:rsidRPr="00D20D0F">
        <w:rPr>
          <w:rFonts w:ascii="Times New Roman" w:hAnsi="Times New Roman" w:cs="Times New Roman"/>
          <w:sz w:val="24"/>
          <w:szCs w:val="24"/>
        </w:rPr>
        <w:t xml:space="preserve">The Office of Best Practice Regulation (OBPR) has confirmed that a Regulation Impact Statement is not required for the 2018 Regulations. The OBPR reference is ID </w:t>
      </w:r>
      <w:r w:rsidR="003A16F2" w:rsidRPr="00817842">
        <w:rPr>
          <w:rFonts w:ascii="Times New Roman" w:hAnsi="Times New Roman" w:cs="Times New Roman"/>
          <w:sz w:val="24"/>
          <w:szCs w:val="24"/>
        </w:rPr>
        <w:t>22</w:t>
      </w:r>
      <w:r w:rsidR="003A16F2">
        <w:rPr>
          <w:rFonts w:ascii="Times New Roman" w:hAnsi="Times New Roman" w:cs="Times New Roman"/>
          <w:sz w:val="24"/>
          <w:szCs w:val="24"/>
        </w:rPr>
        <w:t>729</w:t>
      </w:r>
      <w:r w:rsidRPr="00D20D0F">
        <w:rPr>
          <w:rFonts w:ascii="Times New Roman" w:hAnsi="Times New Roman" w:cs="Times New Roman"/>
          <w:sz w:val="24"/>
          <w:szCs w:val="24"/>
        </w:rPr>
        <w:t>.</w:t>
      </w:r>
    </w:p>
    <w:p w14:paraId="44B3ABB5" w14:textId="77777777" w:rsidR="005B1948" w:rsidRPr="00E85758" w:rsidRDefault="005B1948" w:rsidP="005B1948">
      <w:pPr>
        <w:spacing w:beforeLines="100" w:before="240" w:afterLines="100" w:after="240" w:line="259" w:lineRule="auto"/>
        <w:rPr>
          <w:rFonts w:ascii="Times New Roman" w:hAnsi="Times New Roman" w:cs="Times New Roman"/>
          <w:b/>
          <w:sz w:val="24"/>
          <w:szCs w:val="24"/>
          <w:u w:val="single"/>
        </w:rPr>
      </w:pPr>
      <w:r w:rsidRPr="00E85758">
        <w:rPr>
          <w:rFonts w:ascii="Times New Roman" w:hAnsi="Times New Roman" w:cs="Times New Roman"/>
          <w:b/>
          <w:sz w:val="24"/>
          <w:szCs w:val="24"/>
          <w:u w:val="single"/>
        </w:rPr>
        <w:t>Statement of Compatibility with Human Rights</w:t>
      </w:r>
    </w:p>
    <w:p w14:paraId="3BCF076F" w14:textId="16816822" w:rsidR="005B1948" w:rsidRPr="00BD6678" w:rsidRDefault="005B1948" w:rsidP="00546F43">
      <w:pPr>
        <w:shd w:val="clear" w:color="auto" w:fill="FFFFFF"/>
        <w:spacing w:beforeLines="100" w:before="240" w:afterLines="100" w:after="240" w:line="259" w:lineRule="auto"/>
        <w:rPr>
          <w:rFonts w:ascii="Times New Roman" w:eastAsia="Times New Roman" w:hAnsi="Times New Roman" w:cs="Times New Roman"/>
          <w:sz w:val="24"/>
          <w:szCs w:val="24"/>
          <w:lang w:val="en-US" w:eastAsia="en-AU"/>
        </w:rPr>
      </w:pPr>
      <w:r w:rsidRPr="00BD6678">
        <w:rPr>
          <w:rFonts w:ascii="Times New Roman" w:eastAsia="Times New Roman" w:hAnsi="Times New Roman" w:cs="Times New Roman"/>
          <w:sz w:val="24"/>
          <w:szCs w:val="24"/>
          <w:lang w:eastAsia="en-AU"/>
        </w:rPr>
        <w:t xml:space="preserve">Subsection 9(1) of the </w:t>
      </w:r>
      <w:r w:rsidRPr="00BD6678">
        <w:rPr>
          <w:rFonts w:ascii="Times New Roman" w:eastAsia="Times New Roman" w:hAnsi="Times New Roman" w:cs="Times New Roman"/>
          <w:i/>
          <w:iCs/>
          <w:sz w:val="24"/>
          <w:szCs w:val="24"/>
          <w:lang w:eastAsia="en-AU"/>
        </w:rPr>
        <w:t>Human Rights (Parliamentary Scrutiny) Act 2011</w:t>
      </w:r>
      <w:r w:rsidRPr="00BD6678">
        <w:rPr>
          <w:rFonts w:ascii="Times New Roman" w:eastAsia="Times New Roman" w:hAnsi="Times New Roman" w:cs="Times New Roman"/>
          <w:sz w:val="24"/>
          <w:szCs w:val="24"/>
          <w:lang w:eastAsia="en-AU"/>
        </w:rPr>
        <w:t xml:space="preserve"> requires the rule-maker of a legislative instrument to which section 42 (disallowance) of the </w:t>
      </w:r>
      <w:r w:rsidRPr="00BD6678">
        <w:rPr>
          <w:rFonts w:ascii="Times New Roman" w:eastAsia="Times New Roman" w:hAnsi="Times New Roman" w:cs="Times New Roman"/>
          <w:i/>
          <w:iCs/>
          <w:sz w:val="24"/>
          <w:szCs w:val="24"/>
          <w:lang w:eastAsia="en-AU"/>
        </w:rPr>
        <w:t>Legislation Act 2003</w:t>
      </w:r>
      <w:r w:rsidRPr="00BD6678">
        <w:rPr>
          <w:rFonts w:ascii="Times New Roman" w:eastAsia="Times New Roman" w:hAnsi="Times New Roman" w:cs="Times New Roman"/>
          <w:sz w:val="24"/>
          <w:szCs w:val="24"/>
          <w:lang w:eastAsia="en-AU"/>
        </w:rPr>
        <w:t xml:space="preserve"> applies to cause a statement of compatibility to be prepared in respect of that legislative instrument. A Statement of Compatibility with Human Rights has been prepared to meet that requirement and is set out at </w:t>
      </w:r>
      <w:r w:rsidRPr="00BD6678">
        <w:rPr>
          <w:rFonts w:ascii="Times New Roman" w:eastAsia="Times New Roman" w:hAnsi="Times New Roman" w:cs="Times New Roman"/>
          <w:sz w:val="24"/>
          <w:szCs w:val="24"/>
          <w:u w:val="single"/>
          <w:lang w:eastAsia="en-AU"/>
        </w:rPr>
        <w:t xml:space="preserve">Attachment </w:t>
      </w:r>
      <w:r w:rsidR="001A5CD2">
        <w:rPr>
          <w:rFonts w:ascii="Times New Roman" w:eastAsia="Times New Roman" w:hAnsi="Times New Roman" w:cs="Times New Roman"/>
          <w:sz w:val="24"/>
          <w:szCs w:val="24"/>
          <w:u w:val="single"/>
          <w:lang w:eastAsia="en-AU"/>
        </w:rPr>
        <w:t>C</w:t>
      </w:r>
      <w:r w:rsidRPr="00BD6678">
        <w:rPr>
          <w:rFonts w:ascii="Times New Roman" w:eastAsia="Times New Roman" w:hAnsi="Times New Roman" w:cs="Times New Roman"/>
          <w:sz w:val="24"/>
          <w:szCs w:val="24"/>
          <w:lang w:eastAsia="en-AU"/>
        </w:rPr>
        <w:t>.</w:t>
      </w:r>
    </w:p>
    <w:p w14:paraId="786BE34A" w14:textId="77777777" w:rsidR="005B1948" w:rsidRDefault="005B1948">
      <w:pPr>
        <w:rPr>
          <w:rFonts w:ascii="Times New Roman" w:hAnsi="Times New Roman" w:cs="Times New Roman"/>
          <w:b/>
          <w:sz w:val="24"/>
          <w:szCs w:val="24"/>
        </w:rPr>
      </w:pPr>
      <w:r>
        <w:rPr>
          <w:rFonts w:ascii="Times New Roman" w:hAnsi="Times New Roman" w:cs="Times New Roman"/>
          <w:b/>
          <w:sz w:val="24"/>
          <w:szCs w:val="24"/>
        </w:rPr>
        <w:br w:type="page"/>
      </w:r>
    </w:p>
    <w:p w14:paraId="038BDFC2" w14:textId="3E73B823" w:rsidR="00C45059" w:rsidRDefault="00C45059" w:rsidP="00C45059">
      <w:pPr>
        <w:spacing w:before="240" w:after="240"/>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51507EA" w14:textId="7307AD2D"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E14905" w:rsidRPr="00DA31FB">
        <w:rPr>
          <w:rFonts w:ascii="Times New Roman" w:hAnsi="Times New Roman" w:cs="Times New Roman"/>
          <w:b/>
          <w:i/>
          <w:sz w:val="24"/>
          <w:szCs w:val="24"/>
          <w:u w:val="single"/>
        </w:rPr>
        <w:t>Offshore Minerals (</w:t>
      </w:r>
      <w:r w:rsidR="00B82A67" w:rsidRPr="00DA31FB">
        <w:rPr>
          <w:rFonts w:ascii="Times New Roman" w:hAnsi="Times New Roman" w:cs="Times New Roman"/>
          <w:b/>
          <w:i/>
          <w:sz w:val="24"/>
          <w:szCs w:val="24"/>
          <w:u w:val="single"/>
        </w:rPr>
        <w:t xml:space="preserve">Multiple Applications for </w:t>
      </w:r>
      <w:r w:rsidR="003E719D" w:rsidRPr="00417132">
        <w:rPr>
          <w:rFonts w:ascii="Times New Roman" w:hAnsi="Times New Roman" w:cs="Times New Roman"/>
          <w:b/>
          <w:i/>
          <w:sz w:val="24"/>
          <w:szCs w:val="24"/>
          <w:u w:val="single"/>
        </w:rPr>
        <w:t>Exploration or Mining</w:t>
      </w:r>
      <w:r w:rsidR="003E719D" w:rsidRPr="00DA31FB">
        <w:rPr>
          <w:rFonts w:ascii="Times New Roman" w:hAnsi="Times New Roman" w:cs="Times New Roman"/>
          <w:i/>
          <w:sz w:val="24"/>
          <w:szCs w:val="24"/>
        </w:rPr>
        <w:t xml:space="preserve"> </w:t>
      </w:r>
      <w:r w:rsidR="00B82A67" w:rsidRPr="00DA31FB">
        <w:rPr>
          <w:rFonts w:ascii="Times New Roman" w:hAnsi="Times New Roman" w:cs="Times New Roman"/>
          <w:b/>
          <w:i/>
          <w:sz w:val="24"/>
          <w:szCs w:val="24"/>
          <w:u w:val="single"/>
        </w:rPr>
        <w:t>Licences</w:t>
      </w:r>
      <w:r w:rsidR="00E14905" w:rsidRPr="00DA31FB">
        <w:rPr>
          <w:rFonts w:ascii="Times New Roman" w:hAnsi="Times New Roman" w:cs="Times New Roman"/>
          <w:b/>
          <w:i/>
          <w:sz w:val="24"/>
          <w:szCs w:val="24"/>
          <w:u w:val="single"/>
        </w:rPr>
        <w:t>) Regulations 2018</w:t>
      </w:r>
    </w:p>
    <w:p w14:paraId="52C229D2" w14:textId="77777777" w:rsidR="00066ABB" w:rsidRPr="00307AA4" w:rsidRDefault="00066ABB" w:rsidP="00066ABB">
      <w:pPr>
        <w:spacing w:after="0" w:line="240" w:lineRule="auto"/>
        <w:rPr>
          <w:rFonts w:ascii="Times New Roman" w:hAnsi="Times New Roman" w:cs="Times New Roman"/>
          <w:b/>
          <w:bCs/>
          <w:sz w:val="28"/>
          <w:szCs w:val="28"/>
        </w:rPr>
      </w:pPr>
      <w:r w:rsidRPr="00307AA4">
        <w:rPr>
          <w:rFonts w:ascii="Times New Roman" w:hAnsi="Times New Roman" w:cs="Times New Roman"/>
          <w:b/>
          <w:bCs/>
          <w:sz w:val="28"/>
          <w:szCs w:val="28"/>
        </w:rPr>
        <w:t>Part 1</w:t>
      </w:r>
      <w:r w:rsidRPr="00307AA4">
        <w:rPr>
          <w:rFonts w:ascii="Times New Roman" w:hAnsi="Times New Roman" w:cs="Times New Roman"/>
          <w:b/>
          <w:sz w:val="28"/>
          <w:szCs w:val="28"/>
        </w:rPr>
        <w:t>—</w:t>
      </w:r>
      <w:r w:rsidRPr="00307AA4">
        <w:rPr>
          <w:rFonts w:ascii="Times New Roman" w:hAnsi="Times New Roman" w:cs="Times New Roman"/>
          <w:b/>
          <w:bCs/>
          <w:sz w:val="28"/>
          <w:szCs w:val="28"/>
        </w:rPr>
        <w:t>Preliminary</w:t>
      </w:r>
    </w:p>
    <w:p w14:paraId="698630D5" w14:textId="1898A4DC" w:rsidR="00BE264E" w:rsidRPr="006745C3" w:rsidRDefault="00BE264E" w:rsidP="00BE264E">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w:t>
      </w:r>
    </w:p>
    <w:p w14:paraId="5C0C5523" w14:textId="18CD2995" w:rsidR="00BE264E" w:rsidRDefault="00BE264E" w:rsidP="00BE264E">
      <w:pPr>
        <w:tabs>
          <w:tab w:val="left" w:pos="5220"/>
        </w:tabs>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15535C">
        <w:rPr>
          <w:rFonts w:ascii="Times New Roman" w:hAnsi="Times New Roman" w:cs="Times New Roman"/>
          <w:sz w:val="24"/>
          <w:szCs w:val="24"/>
        </w:rPr>
        <w:t xml:space="preserve">provides that </w:t>
      </w:r>
      <w:r w:rsidR="0015535C" w:rsidRPr="006745C3">
        <w:rPr>
          <w:rFonts w:ascii="Times New Roman" w:hAnsi="Times New Roman" w:cs="Times New Roman"/>
          <w:sz w:val="24"/>
          <w:szCs w:val="24"/>
        </w:rPr>
        <w:t xml:space="preserve">the </w:t>
      </w:r>
      <w:r w:rsidR="00477E16">
        <w:rPr>
          <w:rFonts w:ascii="Times New Roman" w:hAnsi="Times New Roman" w:cs="Times New Roman"/>
          <w:sz w:val="24"/>
          <w:szCs w:val="24"/>
        </w:rPr>
        <w:t>name of the instrument</w:t>
      </w:r>
      <w:r w:rsidR="00477E16" w:rsidRPr="000B33B2">
        <w:rPr>
          <w:rFonts w:ascii="Times New Roman" w:hAnsi="Times New Roman" w:cs="Times New Roman"/>
          <w:sz w:val="24"/>
          <w:szCs w:val="24"/>
        </w:rPr>
        <w:t xml:space="preserve"> </w:t>
      </w:r>
      <w:r w:rsidR="0015535C">
        <w:rPr>
          <w:rFonts w:ascii="Times New Roman" w:hAnsi="Times New Roman" w:cs="Times New Roman"/>
          <w:sz w:val="24"/>
          <w:szCs w:val="24"/>
        </w:rPr>
        <w:t xml:space="preserve">is </w:t>
      </w:r>
      <w:r w:rsidR="0015535C" w:rsidRPr="006745C3">
        <w:rPr>
          <w:rFonts w:ascii="Times New Roman" w:hAnsi="Times New Roman" w:cs="Times New Roman"/>
          <w:sz w:val="24"/>
          <w:szCs w:val="24"/>
        </w:rPr>
        <w:t>the</w:t>
      </w:r>
      <w:r w:rsidR="0015535C">
        <w:rPr>
          <w:rFonts w:ascii="Times New Roman" w:hAnsi="Times New Roman" w:cs="Times New Roman"/>
          <w:sz w:val="24"/>
          <w:szCs w:val="24"/>
        </w:rPr>
        <w:t xml:space="preserve"> </w:t>
      </w:r>
      <w:r w:rsidRPr="00DA31FB">
        <w:rPr>
          <w:rFonts w:ascii="Times New Roman" w:hAnsi="Times New Roman" w:cs="Times New Roman"/>
          <w:i/>
          <w:sz w:val="24"/>
          <w:szCs w:val="24"/>
        </w:rPr>
        <w:t>Offshore Minerals (</w:t>
      </w:r>
      <w:r w:rsidR="001A5CD2" w:rsidRPr="00DA31FB">
        <w:rPr>
          <w:rFonts w:ascii="Times New Roman" w:hAnsi="Times New Roman" w:cs="Times New Roman"/>
          <w:i/>
          <w:sz w:val="24"/>
          <w:szCs w:val="24"/>
        </w:rPr>
        <w:t xml:space="preserve">Multiple Applications for </w:t>
      </w:r>
      <w:r w:rsidR="003E719D" w:rsidRPr="00DA31FB">
        <w:rPr>
          <w:rFonts w:ascii="Times New Roman" w:hAnsi="Times New Roman" w:cs="Times New Roman"/>
          <w:i/>
          <w:sz w:val="24"/>
          <w:szCs w:val="24"/>
        </w:rPr>
        <w:t xml:space="preserve">Exploration or Mining </w:t>
      </w:r>
      <w:r w:rsidR="001A5CD2" w:rsidRPr="00DA31FB">
        <w:rPr>
          <w:rFonts w:ascii="Times New Roman" w:hAnsi="Times New Roman" w:cs="Times New Roman"/>
          <w:i/>
          <w:sz w:val="24"/>
          <w:szCs w:val="24"/>
        </w:rPr>
        <w:t>Licences</w:t>
      </w:r>
      <w:r w:rsidRPr="00DA31FB">
        <w:rPr>
          <w:rFonts w:ascii="Times New Roman" w:hAnsi="Times New Roman" w:cs="Times New Roman"/>
          <w:i/>
          <w:sz w:val="24"/>
          <w:szCs w:val="24"/>
        </w:rPr>
        <w:t>) Regulations 2018</w:t>
      </w:r>
      <w:r>
        <w:rPr>
          <w:rFonts w:ascii="Times New Roman" w:hAnsi="Times New Roman" w:cs="Times New Roman"/>
          <w:i/>
          <w:sz w:val="24"/>
          <w:szCs w:val="24"/>
        </w:rPr>
        <w:t xml:space="preserve"> </w:t>
      </w:r>
      <w:r>
        <w:rPr>
          <w:rFonts w:ascii="Times New Roman" w:hAnsi="Times New Roman" w:cs="Times New Roman"/>
          <w:sz w:val="24"/>
          <w:szCs w:val="24"/>
        </w:rPr>
        <w:t>(</w:t>
      </w:r>
      <w:r w:rsidR="00224C6F">
        <w:rPr>
          <w:rFonts w:ascii="Times New Roman" w:hAnsi="Times New Roman" w:cs="Times New Roman"/>
          <w:sz w:val="24"/>
          <w:szCs w:val="24"/>
        </w:rPr>
        <w:t xml:space="preserve">the </w:t>
      </w:r>
      <w:r w:rsidR="005B1948">
        <w:rPr>
          <w:rFonts w:ascii="Times New Roman" w:hAnsi="Times New Roman" w:cs="Times New Roman"/>
          <w:sz w:val="24"/>
          <w:szCs w:val="24"/>
        </w:rPr>
        <w:t>2018</w:t>
      </w:r>
      <w:r>
        <w:rPr>
          <w:rFonts w:ascii="Times New Roman" w:hAnsi="Times New Roman" w:cs="Times New Roman"/>
          <w:sz w:val="24"/>
          <w:szCs w:val="24"/>
        </w:rPr>
        <w:t xml:space="preserve"> Regulations).</w:t>
      </w:r>
    </w:p>
    <w:p w14:paraId="602AFFEC" w14:textId="77777777" w:rsidR="00BE264E" w:rsidRPr="006745C3" w:rsidRDefault="00BE264E" w:rsidP="00BE264E">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F3FE608" w14:textId="77777777" w:rsidR="0015535C" w:rsidRPr="00267922" w:rsidRDefault="0015535C" w:rsidP="0015535C">
      <w:pPr>
        <w:tabs>
          <w:tab w:val="left" w:pos="2610"/>
        </w:tabs>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Pr>
          <w:rFonts w:ascii="Times New Roman" w:hAnsi="Times New Roman" w:cs="Times New Roman"/>
          <w:sz w:val="24"/>
          <w:szCs w:val="24"/>
        </w:rPr>
        <w:t xml:space="preserve">2018 </w:t>
      </w:r>
      <w:r w:rsidRPr="00267922">
        <w:rPr>
          <w:rFonts w:ascii="Times New Roman" w:hAnsi="Times New Roman" w:cs="Times New Roman"/>
          <w:sz w:val="24"/>
          <w:szCs w:val="24"/>
        </w:rPr>
        <w:t xml:space="preserve">Regulations commence on the day after </w:t>
      </w:r>
      <w:r>
        <w:rPr>
          <w:rFonts w:ascii="Times New Roman" w:hAnsi="Times New Roman" w:cs="Times New Roman"/>
          <w:sz w:val="24"/>
          <w:szCs w:val="24"/>
        </w:rPr>
        <w:t xml:space="preserve">the instrument is </w:t>
      </w:r>
      <w:r w:rsidRPr="00267922">
        <w:rPr>
          <w:rFonts w:ascii="Times New Roman" w:hAnsi="Times New Roman" w:cs="Times New Roman"/>
          <w:sz w:val="24"/>
          <w:szCs w:val="24"/>
        </w:rPr>
        <w:t xml:space="preserve">registered on the Federal Register of Legislation. </w:t>
      </w:r>
    </w:p>
    <w:p w14:paraId="26237C13" w14:textId="77777777" w:rsidR="00BE264E" w:rsidRPr="006745C3" w:rsidRDefault="00BE264E" w:rsidP="00BE264E">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3A5BACC2" w14:textId="107B006B" w:rsidR="00BE264E" w:rsidRDefault="00BE264E" w:rsidP="00BE264E">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provides that the </w:t>
      </w:r>
      <w:r w:rsidR="005B1948">
        <w:rPr>
          <w:rFonts w:ascii="Times New Roman" w:hAnsi="Times New Roman" w:cs="Times New Roman"/>
          <w:sz w:val="24"/>
          <w:szCs w:val="24"/>
        </w:rPr>
        <w:t xml:space="preserve">2018 </w:t>
      </w:r>
      <w:r w:rsidRPr="000B33B2">
        <w:rPr>
          <w:rFonts w:ascii="Times New Roman" w:hAnsi="Times New Roman" w:cs="Times New Roman"/>
          <w:sz w:val="24"/>
          <w:szCs w:val="24"/>
        </w:rPr>
        <w:t xml:space="preserve">Regulations </w:t>
      </w:r>
      <w:r w:rsidR="00477E16">
        <w:rPr>
          <w:rFonts w:ascii="Times New Roman" w:hAnsi="Times New Roman" w:cs="Times New Roman"/>
          <w:sz w:val="24"/>
          <w:szCs w:val="24"/>
        </w:rPr>
        <w:t xml:space="preserve">are made under </w:t>
      </w:r>
      <w:r w:rsidRPr="000B33B2">
        <w:rPr>
          <w:rFonts w:ascii="Times New Roman" w:hAnsi="Times New Roman" w:cs="Times New Roman"/>
          <w:sz w:val="24"/>
          <w:szCs w:val="24"/>
        </w:rPr>
        <w:t xml:space="preserve">the </w:t>
      </w:r>
      <w:r w:rsidRPr="00267922">
        <w:rPr>
          <w:rFonts w:ascii="Times New Roman" w:hAnsi="Times New Roman" w:cs="Times New Roman"/>
          <w:i/>
          <w:sz w:val="24"/>
          <w:szCs w:val="24"/>
        </w:rPr>
        <w:t>Offshore</w:t>
      </w:r>
      <w:r w:rsidR="006F6729">
        <w:rPr>
          <w:rFonts w:ascii="Times New Roman" w:hAnsi="Times New Roman" w:cs="Times New Roman"/>
          <w:i/>
          <w:sz w:val="24"/>
          <w:szCs w:val="24"/>
        </w:rPr>
        <w:t> </w:t>
      </w:r>
      <w:r w:rsidRPr="00267922">
        <w:rPr>
          <w:rFonts w:ascii="Times New Roman" w:hAnsi="Times New Roman" w:cs="Times New Roman"/>
          <w:i/>
          <w:sz w:val="24"/>
          <w:szCs w:val="24"/>
        </w:rPr>
        <w:t xml:space="preserve">Minerals </w:t>
      </w:r>
      <w:r>
        <w:rPr>
          <w:rFonts w:ascii="Times New Roman" w:hAnsi="Times New Roman" w:cs="Times New Roman"/>
          <w:i/>
          <w:sz w:val="24"/>
          <w:szCs w:val="24"/>
        </w:rPr>
        <w:t>Act 19</w:t>
      </w:r>
      <w:r w:rsidR="006F6729">
        <w:rPr>
          <w:rFonts w:ascii="Times New Roman" w:hAnsi="Times New Roman" w:cs="Times New Roman"/>
          <w:i/>
          <w:sz w:val="24"/>
          <w:szCs w:val="24"/>
        </w:rPr>
        <w:t>94</w:t>
      </w:r>
      <w:r>
        <w:rPr>
          <w:rFonts w:ascii="Times New Roman" w:hAnsi="Times New Roman" w:cs="Times New Roman"/>
          <w:i/>
          <w:sz w:val="24"/>
          <w:szCs w:val="24"/>
        </w:rPr>
        <w:t xml:space="preserve"> </w:t>
      </w:r>
      <w:r w:rsidRPr="000B33B2">
        <w:rPr>
          <w:rFonts w:ascii="Times New Roman" w:hAnsi="Times New Roman" w:cs="Times New Roman"/>
          <w:sz w:val="24"/>
          <w:szCs w:val="24"/>
        </w:rPr>
        <w:t>(the</w:t>
      </w:r>
      <w:r>
        <w:rPr>
          <w:rFonts w:ascii="Times New Roman" w:hAnsi="Times New Roman" w:cs="Times New Roman"/>
          <w:sz w:val="24"/>
          <w:szCs w:val="24"/>
        </w:rPr>
        <w:t xml:space="preserve"> Act). The applicable provision</w:t>
      </w:r>
      <w:r w:rsidR="006673B8">
        <w:rPr>
          <w:rFonts w:ascii="Times New Roman" w:hAnsi="Times New Roman" w:cs="Times New Roman"/>
          <w:sz w:val="24"/>
          <w:szCs w:val="24"/>
        </w:rPr>
        <w:t>s</w:t>
      </w:r>
      <w:r w:rsidRPr="000B33B2">
        <w:rPr>
          <w:rFonts w:ascii="Times New Roman" w:hAnsi="Times New Roman" w:cs="Times New Roman"/>
          <w:sz w:val="24"/>
          <w:szCs w:val="24"/>
        </w:rPr>
        <w:t xml:space="preserve"> tha</w:t>
      </w:r>
      <w:r>
        <w:rPr>
          <w:rFonts w:ascii="Times New Roman" w:hAnsi="Times New Roman" w:cs="Times New Roman"/>
          <w:sz w:val="24"/>
          <w:szCs w:val="24"/>
        </w:rPr>
        <w:t xml:space="preserve">t provide authority </w:t>
      </w:r>
      <w:r w:rsidR="006673B8">
        <w:rPr>
          <w:rFonts w:ascii="Times New Roman" w:hAnsi="Times New Roman" w:cs="Times New Roman"/>
          <w:sz w:val="24"/>
          <w:szCs w:val="24"/>
        </w:rPr>
        <w:t xml:space="preserve">are </w:t>
      </w:r>
      <w:r w:rsidR="00B03EA2">
        <w:rPr>
          <w:rFonts w:ascii="Times New Roman" w:hAnsi="Times New Roman" w:cs="Times New Roman"/>
          <w:sz w:val="24"/>
          <w:szCs w:val="24"/>
        </w:rPr>
        <w:t xml:space="preserve">subsections 440(1), 58(2) and 203(2) </w:t>
      </w:r>
      <w:r w:rsidR="00B03EA2" w:rsidRPr="000B33B2">
        <w:rPr>
          <w:rFonts w:ascii="Times New Roman" w:hAnsi="Times New Roman" w:cs="Times New Roman"/>
          <w:sz w:val="24"/>
          <w:szCs w:val="24"/>
        </w:rPr>
        <w:t>of the Act</w:t>
      </w:r>
      <w:r w:rsidRPr="000B33B2">
        <w:rPr>
          <w:rFonts w:ascii="Times New Roman" w:hAnsi="Times New Roman" w:cs="Times New Roman"/>
          <w:sz w:val="24"/>
          <w:szCs w:val="24"/>
        </w:rPr>
        <w:t>.</w:t>
      </w:r>
    </w:p>
    <w:p w14:paraId="69FF6FBB" w14:textId="77777777" w:rsidR="00BE264E" w:rsidRDefault="00BE264E" w:rsidP="00BE264E">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3ACE2B14" w14:textId="77777777" w:rsidR="00477E16" w:rsidRDefault="00477E16" w:rsidP="00477E16">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w:t>
      </w:r>
      <w:r>
        <w:rPr>
          <w:rFonts w:ascii="Times New Roman" w:hAnsi="Times New Roman" w:cs="Times New Roman"/>
          <w:sz w:val="24"/>
          <w:szCs w:val="24"/>
        </w:rPr>
        <w:t xml:space="preserve">is a machinery provision that enables the </w:t>
      </w:r>
      <w:r w:rsidRPr="000B33B2">
        <w:rPr>
          <w:rFonts w:ascii="Times New Roman" w:hAnsi="Times New Roman" w:cs="Times New Roman"/>
          <w:sz w:val="24"/>
          <w:szCs w:val="24"/>
        </w:rPr>
        <w:t xml:space="preserve">Schedule </w:t>
      </w:r>
      <w:r>
        <w:rPr>
          <w:rFonts w:ascii="Times New Roman" w:hAnsi="Times New Roman" w:cs="Times New Roman"/>
          <w:sz w:val="24"/>
          <w:szCs w:val="24"/>
        </w:rPr>
        <w:t>to the 2018 Regulations to operate according to its terms</w:t>
      </w:r>
      <w:r w:rsidRPr="000B33B2">
        <w:rPr>
          <w:rFonts w:ascii="Times New Roman" w:hAnsi="Times New Roman" w:cs="Times New Roman"/>
          <w:sz w:val="24"/>
          <w:szCs w:val="24"/>
        </w:rPr>
        <w:t>.</w:t>
      </w:r>
    </w:p>
    <w:p w14:paraId="3C637D97" w14:textId="6F1502F5" w:rsidR="00C5630E" w:rsidRDefault="00BE264E" w:rsidP="00066ABB">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066ABB">
        <w:rPr>
          <w:rFonts w:ascii="Times New Roman" w:hAnsi="Times New Roman" w:cs="Times New Roman"/>
          <w:b/>
          <w:sz w:val="24"/>
          <w:szCs w:val="24"/>
        </w:rPr>
        <w:t>Definitions</w:t>
      </w:r>
    </w:p>
    <w:p w14:paraId="6CCAA07E" w14:textId="63641FFF" w:rsidR="00477E16" w:rsidRDefault="00477E16" w:rsidP="00477E16">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provides for the </w:t>
      </w:r>
      <w:r>
        <w:rPr>
          <w:rFonts w:ascii="Times New Roman" w:hAnsi="Times New Roman" w:cs="Times New Roman"/>
          <w:sz w:val="24"/>
          <w:szCs w:val="24"/>
        </w:rPr>
        <w:t xml:space="preserve">definitions of terms used in the 2018 </w:t>
      </w:r>
      <w:r w:rsidRPr="000B33B2">
        <w:rPr>
          <w:rFonts w:ascii="Times New Roman" w:hAnsi="Times New Roman" w:cs="Times New Roman"/>
          <w:sz w:val="24"/>
          <w:szCs w:val="24"/>
        </w:rPr>
        <w:t>Regulations</w:t>
      </w:r>
      <w:r w:rsidRPr="00D9407C">
        <w:rPr>
          <w:rFonts w:ascii="Times New Roman" w:hAnsi="Times New Roman" w:cs="Times New Roman"/>
          <w:sz w:val="24"/>
          <w:szCs w:val="24"/>
        </w:rPr>
        <w:t>.</w:t>
      </w:r>
    </w:p>
    <w:p w14:paraId="1E57C2B7" w14:textId="300706CF" w:rsidR="00521C8C" w:rsidRDefault="00066ABB" w:rsidP="00066ABB">
      <w:pPr>
        <w:spacing w:after="0" w:line="240" w:lineRule="auto"/>
        <w:rPr>
          <w:rFonts w:ascii="Times New Roman" w:hAnsi="Times New Roman" w:cs="Times New Roman"/>
          <w:b/>
          <w:bCs/>
          <w:sz w:val="28"/>
          <w:szCs w:val="28"/>
        </w:rPr>
      </w:pPr>
      <w:bookmarkStart w:id="1" w:name="_Toc513725810"/>
      <w:r w:rsidRPr="00066ABB">
        <w:rPr>
          <w:rFonts w:ascii="Times New Roman" w:hAnsi="Times New Roman" w:cs="Times New Roman"/>
          <w:b/>
          <w:bCs/>
          <w:sz w:val="28"/>
          <w:szCs w:val="28"/>
        </w:rPr>
        <w:t>Part 2—How multiple applications are dealt with</w:t>
      </w:r>
      <w:bookmarkEnd w:id="1"/>
    </w:p>
    <w:p w14:paraId="6EA3B7B8" w14:textId="77777777" w:rsidR="00066ABB" w:rsidRDefault="00066ABB" w:rsidP="00066ABB">
      <w:pPr>
        <w:spacing w:after="0" w:line="240" w:lineRule="auto"/>
        <w:rPr>
          <w:rFonts w:ascii="Times New Roman" w:hAnsi="Times New Roman" w:cs="Times New Roman"/>
          <w:b/>
          <w:bCs/>
          <w:sz w:val="28"/>
          <w:szCs w:val="28"/>
        </w:rPr>
      </w:pPr>
    </w:p>
    <w:p w14:paraId="1464C3AF" w14:textId="31AEF766" w:rsidR="00066ABB" w:rsidRDefault="00521C8C" w:rsidP="00417132">
      <w:pPr>
        <w:spacing w:after="0"/>
        <w:rPr>
          <w:rFonts w:ascii="Times New Roman" w:hAnsi="Times New Roman" w:cs="Times New Roman"/>
          <w:b/>
          <w:sz w:val="24"/>
          <w:szCs w:val="24"/>
        </w:rPr>
      </w:pPr>
      <w:r>
        <w:rPr>
          <w:rFonts w:ascii="Times New Roman" w:hAnsi="Times New Roman" w:cs="Times New Roman"/>
          <w:b/>
          <w:sz w:val="24"/>
          <w:szCs w:val="24"/>
        </w:rPr>
        <w:t>Section 6</w:t>
      </w:r>
      <w:r w:rsidR="00066ABB">
        <w:rPr>
          <w:rFonts w:ascii="Times New Roman" w:hAnsi="Times New Roman" w:cs="Times New Roman"/>
          <w:b/>
          <w:sz w:val="24"/>
          <w:szCs w:val="24"/>
        </w:rPr>
        <w:t xml:space="preserve"> – </w:t>
      </w:r>
      <w:r>
        <w:rPr>
          <w:rFonts w:ascii="Times New Roman" w:hAnsi="Times New Roman" w:cs="Times New Roman"/>
          <w:b/>
          <w:sz w:val="24"/>
          <w:szCs w:val="24"/>
        </w:rPr>
        <w:t xml:space="preserve">When applications made </w:t>
      </w:r>
      <w:r w:rsidR="001A5CD2">
        <w:rPr>
          <w:rFonts w:ascii="Times New Roman" w:hAnsi="Times New Roman" w:cs="Times New Roman"/>
          <w:b/>
          <w:sz w:val="24"/>
          <w:szCs w:val="24"/>
        </w:rPr>
        <w:t xml:space="preserve">other than by electronic communication or pre-paid post are taken to have been lodged </w:t>
      </w:r>
    </w:p>
    <w:p w14:paraId="1923DA52" w14:textId="46E45413" w:rsidR="00870AEE" w:rsidRDefault="00870AEE" w:rsidP="00417132">
      <w:pPr>
        <w:spacing w:after="0"/>
        <w:rPr>
          <w:rFonts w:ascii="Times New Roman" w:hAnsi="Times New Roman" w:cs="Times New Roman"/>
          <w:b/>
          <w:sz w:val="24"/>
          <w:szCs w:val="24"/>
        </w:rPr>
      </w:pPr>
    </w:p>
    <w:p w14:paraId="6A262E50" w14:textId="0BD30F2A" w:rsidR="00F70A4E" w:rsidRDefault="00870AEE" w:rsidP="00417132">
      <w:pPr>
        <w:spacing w:after="0"/>
        <w:rPr>
          <w:rFonts w:ascii="Times New Roman" w:hAnsi="Times New Roman" w:cs="Times New Roman"/>
          <w:sz w:val="24"/>
          <w:szCs w:val="24"/>
        </w:rPr>
      </w:pPr>
      <w:r w:rsidRPr="00870AEE">
        <w:rPr>
          <w:rFonts w:ascii="Times New Roman" w:hAnsi="Times New Roman" w:cs="Times New Roman"/>
          <w:sz w:val="24"/>
          <w:szCs w:val="24"/>
        </w:rPr>
        <w:t xml:space="preserve">This section </w:t>
      </w:r>
      <w:r w:rsidR="00AE7244">
        <w:rPr>
          <w:rFonts w:ascii="Times New Roman" w:hAnsi="Times New Roman" w:cs="Times New Roman"/>
          <w:sz w:val="24"/>
          <w:szCs w:val="24"/>
        </w:rPr>
        <w:t xml:space="preserve">provides </w:t>
      </w:r>
      <w:r w:rsidR="00F70A4E">
        <w:rPr>
          <w:rFonts w:ascii="Times New Roman" w:hAnsi="Times New Roman" w:cs="Times New Roman"/>
          <w:sz w:val="24"/>
          <w:szCs w:val="24"/>
        </w:rPr>
        <w:t>that</w:t>
      </w:r>
      <w:r w:rsidR="00AE7244">
        <w:rPr>
          <w:rFonts w:ascii="Times New Roman" w:hAnsi="Times New Roman" w:cs="Times New Roman"/>
          <w:sz w:val="24"/>
          <w:szCs w:val="24"/>
        </w:rPr>
        <w:t xml:space="preserve"> an application is taken to have been lodged</w:t>
      </w:r>
      <w:r w:rsidR="00F70A4E">
        <w:rPr>
          <w:rFonts w:ascii="Times New Roman" w:hAnsi="Times New Roman" w:cs="Times New Roman"/>
          <w:sz w:val="24"/>
          <w:szCs w:val="24"/>
        </w:rPr>
        <w:t xml:space="preserve"> at the time it is received at the principal office of the Designated Authority</w:t>
      </w:r>
      <w:r w:rsidR="00AE7244">
        <w:rPr>
          <w:rFonts w:ascii="Times New Roman" w:hAnsi="Times New Roman" w:cs="Times New Roman"/>
          <w:sz w:val="24"/>
          <w:szCs w:val="24"/>
        </w:rPr>
        <w:t xml:space="preserve">, if </w:t>
      </w:r>
      <w:r w:rsidR="00F70A4E">
        <w:rPr>
          <w:rFonts w:ascii="Times New Roman" w:hAnsi="Times New Roman" w:cs="Times New Roman"/>
          <w:sz w:val="24"/>
          <w:szCs w:val="24"/>
        </w:rPr>
        <w:t>it is lodged in a manner other than by electronic communication or pre-paid post</w:t>
      </w:r>
      <w:r w:rsidR="00B432B3">
        <w:rPr>
          <w:rFonts w:ascii="Times New Roman" w:hAnsi="Times New Roman" w:cs="Times New Roman"/>
          <w:sz w:val="24"/>
          <w:szCs w:val="24"/>
        </w:rPr>
        <w:t xml:space="preserve"> (for example, by courier or personal delivery)</w:t>
      </w:r>
      <w:r w:rsidR="00F70A4E">
        <w:rPr>
          <w:rFonts w:ascii="Times New Roman" w:hAnsi="Times New Roman" w:cs="Times New Roman"/>
          <w:sz w:val="24"/>
          <w:szCs w:val="24"/>
        </w:rPr>
        <w:t>.</w:t>
      </w:r>
      <w:r w:rsidR="00B432B3">
        <w:rPr>
          <w:rFonts w:ascii="Times New Roman" w:hAnsi="Times New Roman" w:cs="Times New Roman"/>
          <w:sz w:val="24"/>
          <w:szCs w:val="24"/>
        </w:rPr>
        <w:t xml:space="preserve"> </w:t>
      </w:r>
      <w:r w:rsidR="006422A1">
        <w:rPr>
          <w:rFonts w:ascii="Times New Roman" w:hAnsi="Times New Roman" w:cs="Times New Roman"/>
          <w:sz w:val="24"/>
          <w:szCs w:val="24"/>
        </w:rPr>
        <w:t xml:space="preserve">As a result of the definition in section 5, the “principal office of the Designated Authority” is the principal office of the Department of State administered by the </w:t>
      </w:r>
      <w:r w:rsidR="00737CA1">
        <w:rPr>
          <w:rFonts w:ascii="Times New Roman" w:hAnsi="Times New Roman" w:cs="Times New Roman"/>
          <w:sz w:val="24"/>
          <w:szCs w:val="24"/>
        </w:rPr>
        <w:t xml:space="preserve">relevant </w:t>
      </w:r>
      <w:r w:rsidR="006422A1">
        <w:rPr>
          <w:rFonts w:ascii="Times New Roman" w:hAnsi="Times New Roman" w:cs="Times New Roman"/>
          <w:sz w:val="24"/>
          <w:szCs w:val="24"/>
        </w:rPr>
        <w:t>Designated Authority.</w:t>
      </w:r>
    </w:p>
    <w:p w14:paraId="12A4044A" w14:textId="77777777" w:rsidR="006422A1" w:rsidRDefault="006422A1" w:rsidP="00417132">
      <w:pPr>
        <w:spacing w:after="0"/>
        <w:rPr>
          <w:rFonts w:ascii="Times New Roman" w:hAnsi="Times New Roman" w:cs="Times New Roman"/>
          <w:sz w:val="24"/>
          <w:szCs w:val="24"/>
        </w:rPr>
      </w:pPr>
    </w:p>
    <w:p w14:paraId="6CE803AE" w14:textId="6F68D73C" w:rsidR="00CB0EFB" w:rsidRPr="00417132" w:rsidRDefault="006422A1" w:rsidP="00417132">
      <w:pPr>
        <w:spacing w:after="0"/>
        <w:rPr>
          <w:i/>
          <w:szCs w:val="24"/>
        </w:rPr>
      </w:pPr>
      <w:r>
        <w:rPr>
          <w:rFonts w:ascii="Times New Roman" w:hAnsi="Times New Roman" w:cs="Times New Roman"/>
          <w:sz w:val="24"/>
          <w:szCs w:val="24"/>
        </w:rPr>
        <w:t xml:space="preserve">Specific provision for the time of lodgement is necessary as subsections 58(2) and 203(2) of the Act require applications for exploration or mining licences that cover the same block to </w:t>
      </w:r>
      <w:r>
        <w:rPr>
          <w:rFonts w:ascii="Times New Roman" w:hAnsi="Times New Roman" w:cs="Times New Roman"/>
          <w:sz w:val="24"/>
          <w:szCs w:val="24"/>
        </w:rPr>
        <w:lastRenderedPageBreak/>
        <w:t xml:space="preserve">be dealt with in the order determined by drawing lots, if the applications are lodged within a particular time of each other. That time is prescribed by the 2018 Regulations as 30 minutes (see section 7).  </w:t>
      </w:r>
      <w:r w:rsidR="00570A22" w:rsidRPr="00570A22">
        <w:rPr>
          <w:rFonts w:ascii="Times New Roman" w:eastAsia="Times New Roman" w:hAnsi="Times New Roman" w:cs="Times New Roman"/>
          <w:color w:val="000000"/>
          <w:sz w:val="24"/>
          <w:szCs w:val="24"/>
          <w:lang w:eastAsia="en-AU"/>
        </w:rPr>
        <w:t> </w:t>
      </w:r>
      <w:r w:rsidR="00CB0EFB" w:rsidRPr="00417132">
        <w:rPr>
          <w:rFonts w:ascii="Times New Roman" w:hAnsi="Times New Roman" w:cs="Times New Roman"/>
          <w:sz w:val="24"/>
          <w:szCs w:val="24"/>
        </w:rPr>
        <w:t xml:space="preserve">The </w:t>
      </w:r>
      <w:r w:rsidR="008C6C07" w:rsidRPr="00417132">
        <w:rPr>
          <w:rFonts w:ascii="Times New Roman" w:hAnsi="Times New Roman" w:cs="Times New Roman"/>
          <w:color w:val="000000" w:themeColor="text1"/>
          <w:sz w:val="24"/>
          <w:szCs w:val="24"/>
        </w:rPr>
        <w:t>Electronic Transactions Act 1999 (</w:t>
      </w:r>
      <w:r w:rsidR="00487F60" w:rsidRPr="00417132">
        <w:rPr>
          <w:rFonts w:ascii="Times New Roman" w:hAnsi="Times New Roman" w:cs="Times New Roman"/>
          <w:color w:val="000000" w:themeColor="text1"/>
          <w:sz w:val="24"/>
          <w:szCs w:val="24"/>
        </w:rPr>
        <w:t xml:space="preserve">the </w:t>
      </w:r>
      <w:r w:rsidR="00CB0EFB" w:rsidRPr="00417132">
        <w:rPr>
          <w:rFonts w:ascii="Times New Roman" w:hAnsi="Times New Roman" w:cs="Times New Roman"/>
          <w:sz w:val="24"/>
          <w:szCs w:val="24"/>
        </w:rPr>
        <w:t>ET Act</w:t>
      </w:r>
      <w:r w:rsidR="008C6C07" w:rsidRPr="00417132">
        <w:rPr>
          <w:rFonts w:ascii="Times New Roman" w:hAnsi="Times New Roman" w:cs="Times New Roman"/>
          <w:sz w:val="24"/>
          <w:szCs w:val="24"/>
        </w:rPr>
        <w:t>)</w:t>
      </w:r>
      <w:r w:rsidR="00CB0EFB" w:rsidRPr="00417132">
        <w:rPr>
          <w:rFonts w:ascii="Times New Roman" w:hAnsi="Times New Roman" w:cs="Times New Roman"/>
          <w:sz w:val="24"/>
          <w:szCs w:val="24"/>
        </w:rPr>
        <w:t xml:space="preserve"> and the</w:t>
      </w:r>
      <w:r w:rsidR="008C6C07" w:rsidRPr="00417132">
        <w:rPr>
          <w:rFonts w:ascii="Times New Roman" w:hAnsi="Times New Roman" w:cs="Times New Roman"/>
          <w:sz w:val="24"/>
          <w:szCs w:val="24"/>
        </w:rPr>
        <w:t xml:space="preserve"> Acts Interpretation Act 1901</w:t>
      </w:r>
      <w:r w:rsidR="00CB0EFB" w:rsidRPr="00417132">
        <w:rPr>
          <w:rFonts w:ascii="Times New Roman" w:hAnsi="Times New Roman" w:cs="Times New Roman"/>
          <w:sz w:val="24"/>
          <w:szCs w:val="24"/>
        </w:rPr>
        <w:t xml:space="preserve"> </w:t>
      </w:r>
      <w:r w:rsidR="008C6C07" w:rsidRPr="00417132">
        <w:rPr>
          <w:rFonts w:ascii="Times New Roman" w:hAnsi="Times New Roman" w:cs="Times New Roman"/>
          <w:sz w:val="24"/>
          <w:szCs w:val="24"/>
        </w:rPr>
        <w:t>(</w:t>
      </w:r>
      <w:r w:rsidR="00487F60" w:rsidRPr="00417132">
        <w:rPr>
          <w:rFonts w:ascii="Times New Roman" w:hAnsi="Times New Roman" w:cs="Times New Roman"/>
          <w:sz w:val="24"/>
          <w:szCs w:val="24"/>
        </w:rPr>
        <w:t xml:space="preserve">the </w:t>
      </w:r>
      <w:r w:rsidR="00CB0EFB" w:rsidRPr="00417132">
        <w:rPr>
          <w:rFonts w:ascii="Times New Roman" w:hAnsi="Times New Roman" w:cs="Times New Roman"/>
          <w:sz w:val="24"/>
          <w:szCs w:val="24"/>
        </w:rPr>
        <w:t>AI Act</w:t>
      </w:r>
      <w:r w:rsidR="008C6C07" w:rsidRPr="00417132">
        <w:rPr>
          <w:rFonts w:ascii="Times New Roman" w:hAnsi="Times New Roman" w:cs="Times New Roman"/>
          <w:sz w:val="24"/>
          <w:szCs w:val="24"/>
        </w:rPr>
        <w:t>)</w:t>
      </w:r>
      <w:r w:rsidR="00CB0EFB" w:rsidRPr="00417132">
        <w:rPr>
          <w:rFonts w:ascii="Times New Roman" w:hAnsi="Times New Roman" w:cs="Times New Roman"/>
          <w:sz w:val="24"/>
          <w:szCs w:val="24"/>
        </w:rPr>
        <w:t xml:space="preserve"> apply to applications for exploration licences and mining licences submitted under the Act. The ET Act provides that if a person is required or permitted to give information in writing under a Commonwealth Act, the person may give the information by means of electronic communication. Subsection 9(5) of the ET Act provides that “giving information” includes making an application. </w:t>
      </w:r>
    </w:p>
    <w:p w14:paraId="7A7732B0" w14:textId="1BE21210" w:rsidR="00CB0EFB" w:rsidRDefault="00CB0EFB" w:rsidP="00417132">
      <w:pPr>
        <w:pStyle w:val="notedraft"/>
        <w:spacing w:line="276" w:lineRule="auto"/>
        <w:ind w:left="0" w:firstLine="0"/>
        <w:rPr>
          <w:i w:val="0"/>
        </w:rPr>
      </w:pPr>
      <w:r w:rsidRPr="00523224">
        <w:rPr>
          <w:i w:val="0"/>
          <w:color w:val="000000"/>
          <w:szCs w:val="24"/>
        </w:rPr>
        <w:t>Section 14A of the ET Act provides for the time of receipt (lodgement) of electronic communications.</w:t>
      </w:r>
      <w:r>
        <w:rPr>
          <w:i w:val="0"/>
        </w:rPr>
        <w:t xml:space="preserve"> Section 14A provides that the time of receipt of the electronic communication is the time when the electronic communication becomes capable of being retrieved by the addressee at an electronic address designated by the addressee.  </w:t>
      </w:r>
    </w:p>
    <w:p w14:paraId="6E9D85A9" w14:textId="77777777" w:rsidR="00CB0EFB" w:rsidRDefault="00CB0EFB" w:rsidP="00417132">
      <w:pPr>
        <w:spacing w:after="0"/>
        <w:ind w:right="91"/>
        <w:rPr>
          <w:rFonts w:ascii="Times New Roman" w:eastAsia="Times New Roman" w:hAnsi="Times New Roman" w:cs="Times New Roman"/>
          <w:color w:val="000000"/>
          <w:sz w:val="24"/>
          <w:szCs w:val="24"/>
          <w:lang w:eastAsia="en-AU"/>
        </w:rPr>
      </w:pPr>
    </w:p>
    <w:p w14:paraId="3AF96333" w14:textId="0EF98778" w:rsidR="00737CA1" w:rsidRDefault="00CB0EFB" w:rsidP="00417132">
      <w:pPr>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AI Act provides for </w:t>
      </w:r>
      <w:r w:rsidR="0072715E">
        <w:rPr>
          <w:rFonts w:ascii="Times New Roman" w:eastAsia="Times New Roman" w:hAnsi="Times New Roman" w:cs="Times New Roman"/>
          <w:color w:val="000000"/>
          <w:sz w:val="24"/>
          <w:szCs w:val="24"/>
          <w:lang w:eastAsia="en-AU"/>
        </w:rPr>
        <w:t>d</w:t>
      </w:r>
      <w:r>
        <w:rPr>
          <w:rFonts w:ascii="Times New Roman" w:eastAsia="Times New Roman" w:hAnsi="Times New Roman" w:cs="Times New Roman"/>
          <w:color w:val="000000"/>
          <w:sz w:val="24"/>
          <w:szCs w:val="24"/>
          <w:lang w:eastAsia="en-AU"/>
        </w:rPr>
        <w:t>ocuments</w:t>
      </w:r>
      <w:r w:rsidR="0072715E">
        <w:rPr>
          <w:rFonts w:ascii="Times New Roman" w:eastAsia="Times New Roman" w:hAnsi="Times New Roman" w:cs="Times New Roman"/>
          <w:color w:val="000000"/>
          <w:sz w:val="24"/>
          <w:szCs w:val="24"/>
          <w:lang w:eastAsia="en-AU"/>
        </w:rPr>
        <w:t xml:space="preserve"> (such as an application for an exploration or mining licence)</w:t>
      </w:r>
      <w:r>
        <w:rPr>
          <w:rFonts w:ascii="Times New Roman" w:eastAsia="Times New Roman" w:hAnsi="Times New Roman" w:cs="Times New Roman"/>
          <w:color w:val="000000"/>
          <w:sz w:val="24"/>
          <w:szCs w:val="24"/>
          <w:lang w:eastAsia="en-AU"/>
        </w:rPr>
        <w:t xml:space="preserve"> </w:t>
      </w:r>
      <w:r w:rsidR="0072715E">
        <w:rPr>
          <w:rFonts w:ascii="Times New Roman" w:eastAsia="Times New Roman" w:hAnsi="Times New Roman" w:cs="Times New Roman"/>
          <w:color w:val="000000"/>
          <w:sz w:val="24"/>
          <w:szCs w:val="24"/>
          <w:lang w:eastAsia="en-AU"/>
        </w:rPr>
        <w:t xml:space="preserve">that are </w:t>
      </w:r>
      <w:r>
        <w:rPr>
          <w:rFonts w:ascii="Times New Roman" w:eastAsia="Times New Roman" w:hAnsi="Times New Roman" w:cs="Times New Roman"/>
          <w:color w:val="000000"/>
          <w:sz w:val="24"/>
          <w:szCs w:val="24"/>
          <w:lang w:eastAsia="en-AU"/>
        </w:rPr>
        <w:t>require</w:t>
      </w:r>
      <w:r w:rsidR="0072715E">
        <w:rPr>
          <w:rFonts w:ascii="Times New Roman" w:eastAsia="Times New Roman" w:hAnsi="Times New Roman" w:cs="Times New Roman"/>
          <w:color w:val="000000"/>
          <w:sz w:val="24"/>
          <w:szCs w:val="24"/>
          <w:lang w:eastAsia="en-AU"/>
        </w:rPr>
        <w:t>d</w:t>
      </w:r>
      <w:r>
        <w:rPr>
          <w:rFonts w:ascii="Times New Roman" w:eastAsia="Times New Roman" w:hAnsi="Times New Roman" w:cs="Times New Roman"/>
          <w:color w:val="000000"/>
          <w:sz w:val="24"/>
          <w:szCs w:val="24"/>
          <w:lang w:eastAsia="en-AU"/>
        </w:rPr>
        <w:t xml:space="preserve"> or permit</w:t>
      </w:r>
      <w:r w:rsidR="0072715E">
        <w:rPr>
          <w:rFonts w:ascii="Times New Roman" w:eastAsia="Times New Roman" w:hAnsi="Times New Roman" w:cs="Times New Roman"/>
          <w:color w:val="000000"/>
          <w:sz w:val="24"/>
          <w:szCs w:val="24"/>
          <w:lang w:eastAsia="en-AU"/>
        </w:rPr>
        <w:t>ted</w:t>
      </w:r>
      <w:r>
        <w:rPr>
          <w:rFonts w:ascii="Times New Roman" w:eastAsia="Times New Roman" w:hAnsi="Times New Roman" w:cs="Times New Roman"/>
          <w:color w:val="000000"/>
          <w:sz w:val="24"/>
          <w:szCs w:val="24"/>
          <w:lang w:eastAsia="en-AU"/>
        </w:rPr>
        <w:t xml:space="preserve"> to be served on a person</w:t>
      </w:r>
      <w:r w:rsidR="0072715E">
        <w:rPr>
          <w:rFonts w:ascii="Times New Roman" w:eastAsia="Times New Roman" w:hAnsi="Times New Roman" w:cs="Times New Roman"/>
          <w:color w:val="000000"/>
          <w:sz w:val="24"/>
          <w:szCs w:val="24"/>
          <w:lang w:eastAsia="en-AU"/>
        </w:rPr>
        <w:t xml:space="preserve"> under a Commonwealth Act (including lodgement of an application) to be given by means of personal delivery or pre-paid post. </w:t>
      </w:r>
      <w:r w:rsidR="00570A22" w:rsidRPr="00570A22">
        <w:rPr>
          <w:rFonts w:ascii="Times New Roman" w:eastAsia="Times New Roman" w:hAnsi="Times New Roman" w:cs="Times New Roman"/>
          <w:color w:val="000000"/>
          <w:sz w:val="24"/>
          <w:szCs w:val="24"/>
          <w:lang w:eastAsia="en-AU"/>
        </w:rPr>
        <w:t xml:space="preserve">Section 29 of the AI Act provides </w:t>
      </w:r>
      <w:r w:rsidR="0072715E">
        <w:rPr>
          <w:rFonts w:ascii="Times New Roman" w:eastAsia="Times New Roman" w:hAnsi="Times New Roman" w:cs="Times New Roman"/>
          <w:color w:val="000000"/>
          <w:sz w:val="24"/>
          <w:szCs w:val="24"/>
          <w:lang w:eastAsia="en-AU"/>
        </w:rPr>
        <w:t xml:space="preserve">for the time of lodgement of applications made by pre-paid post. Lodgement </w:t>
      </w:r>
      <w:r w:rsidR="00570A22" w:rsidRPr="00570A22">
        <w:rPr>
          <w:rFonts w:ascii="Times New Roman" w:eastAsia="Times New Roman" w:hAnsi="Times New Roman" w:cs="Times New Roman"/>
          <w:color w:val="000000"/>
          <w:sz w:val="24"/>
          <w:szCs w:val="24"/>
          <w:lang w:eastAsia="en-AU"/>
        </w:rPr>
        <w:t xml:space="preserve">is </w:t>
      </w:r>
      <w:r w:rsidR="0072715E">
        <w:rPr>
          <w:rFonts w:ascii="Times New Roman" w:eastAsia="Times New Roman" w:hAnsi="Times New Roman" w:cs="Times New Roman"/>
          <w:color w:val="000000"/>
          <w:sz w:val="24"/>
          <w:szCs w:val="24"/>
          <w:lang w:eastAsia="en-AU"/>
        </w:rPr>
        <w:t>taken</w:t>
      </w:r>
      <w:r w:rsidR="0072715E" w:rsidRPr="00570A22">
        <w:rPr>
          <w:rFonts w:ascii="Times New Roman" w:eastAsia="Times New Roman" w:hAnsi="Times New Roman" w:cs="Times New Roman"/>
          <w:color w:val="000000"/>
          <w:sz w:val="24"/>
          <w:szCs w:val="24"/>
          <w:lang w:eastAsia="en-AU"/>
        </w:rPr>
        <w:t xml:space="preserve"> </w:t>
      </w:r>
      <w:r w:rsidR="00570A22" w:rsidRPr="00570A22">
        <w:rPr>
          <w:rFonts w:ascii="Times New Roman" w:eastAsia="Times New Roman" w:hAnsi="Times New Roman" w:cs="Times New Roman"/>
          <w:color w:val="000000"/>
          <w:sz w:val="24"/>
          <w:szCs w:val="24"/>
          <w:lang w:eastAsia="en-AU"/>
        </w:rPr>
        <w:t xml:space="preserve">to have been effected “at the time at which the letter would be delivered in the ordinary course of post”. </w:t>
      </w:r>
    </w:p>
    <w:p w14:paraId="52599799" w14:textId="77777777" w:rsidR="00737CA1" w:rsidRDefault="00737CA1" w:rsidP="00417132">
      <w:pPr>
        <w:spacing w:after="0"/>
        <w:ind w:right="91"/>
        <w:rPr>
          <w:rFonts w:ascii="Times New Roman" w:eastAsia="Times New Roman" w:hAnsi="Times New Roman" w:cs="Times New Roman"/>
          <w:color w:val="000000"/>
          <w:sz w:val="24"/>
          <w:szCs w:val="24"/>
          <w:lang w:eastAsia="en-AU"/>
        </w:rPr>
      </w:pPr>
    </w:p>
    <w:p w14:paraId="3EFB3F69" w14:textId="77777777" w:rsidR="00C27623" w:rsidRDefault="00570A22" w:rsidP="00417132">
      <w:pPr>
        <w:spacing w:after="0"/>
        <w:ind w:right="91"/>
        <w:rPr>
          <w:rFonts w:ascii="Times New Roman" w:eastAsia="Times New Roman" w:hAnsi="Times New Roman" w:cs="Times New Roman"/>
          <w:color w:val="000000"/>
          <w:sz w:val="24"/>
          <w:szCs w:val="24"/>
          <w:lang w:eastAsia="en-AU"/>
        </w:rPr>
      </w:pPr>
      <w:r w:rsidRPr="00570A22">
        <w:rPr>
          <w:rFonts w:ascii="Times New Roman" w:eastAsia="Times New Roman" w:hAnsi="Times New Roman" w:cs="Times New Roman"/>
          <w:color w:val="000000"/>
          <w:sz w:val="24"/>
          <w:szCs w:val="24"/>
          <w:lang w:eastAsia="en-AU"/>
        </w:rPr>
        <w:t xml:space="preserve">Section 29 </w:t>
      </w:r>
      <w:r w:rsidR="00737CA1">
        <w:rPr>
          <w:rFonts w:ascii="Times New Roman" w:eastAsia="Times New Roman" w:hAnsi="Times New Roman" w:cs="Times New Roman"/>
          <w:color w:val="000000"/>
          <w:sz w:val="24"/>
          <w:szCs w:val="24"/>
          <w:lang w:eastAsia="en-AU"/>
        </w:rPr>
        <w:t xml:space="preserve">of the AI Act </w:t>
      </w:r>
      <w:r w:rsidRPr="00570A22">
        <w:rPr>
          <w:rFonts w:ascii="Times New Roman" w:eastAsia="Times New Roman" w:hAnsi="Times New Roman" w:cs="Times New Roman"/>
          <w:color w:val="000000"/>
          <w:sz w:val="24"/>
          <w:szCs w:val="24"/>
          <w:lang w:eastAsia="en-AU"/>
        </w:rPr>
        <w:t>does not apply to the personal delivery of a notice of a decision.</w:t>
      </w:r>
      <w:r w:rsidR="0072715E">
        <w:rPr>
          <w:rFonts w:ascii="Times New Roman" w:eastAsia="Times New Roman" w:hAnsi="Times New Roman" w:cs="Times New Roman"/>
          <w:color w:val="000000"/>
          <w:sz w:val="24"/>
          <w:szCs w:val="24"/>
          <w:lang w:eastAsia="en-AU"/>
        </w:rPr>
        <w:t xml:space="preserve"> As discussed above, this is provided for by section 6 of the 2018 Regulations.</w:t>
      </w:r>
      <w:r w:rsidRPr="00570A22">
        <w:rPr>
          <w:rFonts w:ascii="Times New Roman" w:eastAsia="Times New Roman" w:hAnsi="Times New Roman" w:cs="Times New Roman"/>
          <w:color w:val="000000"/>
          <w:sz w:val="24"/>
          <w:szCs w:val="24"/>
          <w:lang w:eastAsia="en-AU"/>
        </w:rPr>
        <w:t xml:space="preserve"> </w:t>
      </w:r>
    </w:p>
    <w:p w14:paraId="0FD0BA17" w14:textId="77777777" w:rsidR="00C27623" w:rsidRDefault="00C27623" w:rsidP="00417132">
      <w:pPr>
        <w:spacing w:after="0"/>
        <w:ind w:right="91"/>
        <w:rPr>
          <w:rFonts w:ascii="Times New Roman" w:eastAsia="Times New Roman" w:hAnsi="Times New Roman" w:cs="Times New Roman"/>
          <w:color w:val="000000"/>
          <w:sz w:val="24"/>
          <w:szCs w:val="24"/>
          <w:lang w:eastAsia="en-AU"/>
        </w:rPr>
      </w:pPr>
    </w:p>
    <w:p w14:paraId="7B341D04" w14:textId="4F7547C8" w:rsidR="00BC46F2" w:rsidRDefault="00285F2D" w:rsidP="00417132">
      <w:pPr>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There is no provision of the Act that appears to expressly require or permit the 2018 Regulations to deal with the time of lodgement of applications under the Act. </w:t>
      </w:r>
      <w:r w:rsidR="00C27623">
        <w:rPr>
          <w:rFonts w:ascii="Times New Roman" w:eastAsia="Times New Roman" w:hAnsi="Times New Roman" w:cs="Times New Roman"/>
          <w:color w:val="000000"/>
          <w:sz w:val="24"/>
          <w:szCs w:val="24"/>
          <w:lang w:eastAsia="en-AU"/>
        </w:rPr>
        <w:t xml:space="preserve">Section 6 </w:t>
      </w:r>
      <w:r>
        <w:rPr>
          <w:rFonts w:ascii="Times New Roman" w:eastAsia="Times New Roman" w:hAnsi="Times New Roman" w:cs="Times New Roman"/>
          <w:color w:val="000000"/>
          <w:sz w:val="24"/>
          <w:szCs w:val="24"/>
          <w:lang w:eastAsia="en-AU"/>
        </w:rPr>
        <w:t xml:space="preserve">therefore </w:t>
      </w:r>
      <w:r w:rsidR="00C27623">
        <w:rPr>
          <w:rFonts w:ascii="Times New Roman" w:eastAsia="Times New Roman" w:hAnsi="Times New Roman" w:cs="Times New Roman"/>
          <w:color w:val="000000"/>
          <w:sz w:val="24"/>
          <w:szCs w:val="24"/>
          <w:lang w:eastAsia="en-AU"/>
        </w:rPr>
        <w:t>relies on the necessary and convenient power in paragraph (b) of the regulation-making power in subsection 440(1)</w:t>
      </w:r>
      <w:r>
        <w:rPr>
          <w:rFonts w:ascii="Times New Roman" w:eastAsia="Times New Roman" w:hAnsi="Times New Roman" w:cs="Times New Roman"/>
          <w:color w:val="000000"/>
          <w:sz w:val="24"/>
          <w:szCs w:val="24"/>
          <w:lang w:eastAsia="en-AU"/>
        </w:rPr>
        <w:t xml:space="preserve"> of the Act</w:t>
      </w:r>
      <w:r w:rsidR="00C27623">
        <w:rPr>
          <w:rFonts w:ascii="Times New Roman" w:eastAsia="Times New Roman" w:hAnsi="Times New Roman" w:cs="Times New Roman"/>
          <w:color w:val="000000"/>
          <w:sz w:val="24"/>
          <w:szCs w:val="24"/>
          <w:lang w:eastAsia="en-AU"/>
        </w:rPr>
        <w:t xml:space="preserve">. </w:t>
      </w:r>
    </w:p>
    <w:p w14:paraId="6AA8F5A0" w14:textId="77777777" w:rsidR="00BC46F2" w:rsidRDefault="00BC46F2" w:rsidP="00417132">
      <w:pPr>
        <w:spacing w:after="0"/>
        <w:ind w:right="91"/>
        <w:rPr>
          <w:rFonts w:ascii="Times New Roman" w:eastAsia="Times New Roman" w:hAnsi="Times New Roman" w:cs="Times New Roman"/>
          <w:color w:val="000000"/>
          <w:sz w:val="24"/>
          <w:szCs w:val="24"/>
          <w:lang w:eastAsia="en-AU"/>
        </w:rPr>
      </w:pPr>
    </w:p>
    <w:p w14:paraId="1950AAF5" w14:textId="1E9D54F8" w:rsidR="00BC46F2" w:rsidRDefault="00BC46F2" w:rsidP="00417132">
      <w:pPr>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Designated Authorities should note the time of lodgement of applications for exploration licences and mining licences, in case another application for an exploration licence or mining licence covering the same block is received within the prescribed timeframe.</w:t>
      </w:r>
    </w:p>
    <w:p w14:paraId="1B362E78" w14:textId="39242CD7" w:rsidR="00C62E13" w:rsidRDefault="00C62E13" w:rsidP="00417132">
      <w:pPr>
        <w:spacing w:after="0"/>
        <w:ind w:right="91"/>
        <w:rPr>
          <w:rFonts w:ascii="Times New Roman" w:eastAsia="Times New Roman" w:hAnsi="Times New Roman" w:cs="Times New Roman"/>
          <w:color w:val="000000"/>
          <w:sz w:val="24"/>
          <w:szCs w:val="24"/>
          <w:lang w:eastAsia="en-AU"/>
        </w:rPr>
      </w:pPr>
    </w:p>
    <w:p w14:paraId="5DD1151F" w14:textId="39C7DDBA" w:rsidR="00C62E13" w:rsidRPr="00BC46F2" w:rsidRDefault="00C62E13" w:rsidP="00417132">
      <w:pPr>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Paragraphs 54(1)(b) and 199(1)(b) of the Act respectively require applications for exploration and mining licences to be made “in the approved manner”. Section 4 of the Act defines “approved” as approved by the Designated Authority under section 41 of the Act.</w:t>
      </w:r>
    </w:p>
    <w:p w14:paraId="09809E00" w14:textId="77777777" w:rsidR="005A3BCF" w:rsidRDefault="005A3BCF" w:rsidP="00066ABB">
      <w:pPr>
        <w:spacing w:after="0" w:line="240" w:lineRule="auto"/>
        <w:rPr>
          <w:rFonts w:ascii="Times New Roman" w:hAnsi="Times New Roman" w:cs="Times New Roman"/>
          <w:b/>
          <w:sz w:val="24"/>
          <w:szCs w:val="24"/>
        </w:rPr>
      </w:pPr>
    </w:p>
    <w:p w14:paraId="6BF4DE40" w14:textId="5508BA56" w:rsidR="001A5CD2" w:rsidRDefault="001A5CD2" w:rsidP="00066ABB">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7 – Time in relation to lodgement of applications</w:t>
      </w:r>
    </w:p>
    <w:p w14:paraId="7ADF2751" w14:textId="77777777" w:rsidR="005E5057" w:rsidRDefault="005E5057" w:rsidP="00066ABB">
      <w:pPr>
        <w:spacing w:after="0" w:line="240" w:lineRule="auto"/>
        <w:rPr>
          <w:rFonts w:ascii="Times New Roman" w:hAnsi="Times New Roman" w:cs="Times New Roman"/>
          <w:b/>
          <w:sz w:val="24"/>
          <w:szCs w:val="24"/>
        </w:rPr>
      </w:pPr>
    </w:p>
    <w:p w14:paraId="5DF44962" w14:textId="24161302" w:rsidR="005E5057" w:rsidRPr="005E5057" w:rsidRDefault="00AC54FA" w:rsidP="00417132">
      <w:pPr>
        <w:spacing w:after="0"/>
        <w:rPr>
          <w:rFonts w:ascii="Times New Roman" w:hAnsi="Times New Roman" w:cs="Times New Roman"/>
          <w:sz w:val="24"/>
          <w:szCs w:val="24"/>
        </w:rPr>
      </w:pPr>
      <w:r>
        <w:rPr>
          <w:rFonts w:ascii="Times New Roman" w:hAnsi="Times New Roman" w:cs="Times New Roman"/>
          <w:sz w:val="24"/>
          <w:szCs w:val="24"/>
        </w:rPr>
        <w:t>This section p</w:t>
      </w:r>
      <w:r w:rsidR="005E5057">
        <w:rPr>
          <w:rFonts w:ascii="Times New Roman" w:hAnsi="Times New Roman" w:cs="Times New Roman"/>
          <w:sz w:val="24"/>
          <w:szCs w:val="24"/>
        </w:rPr>
        <w:t xml:space="preserve">rescribes 30 minutes </w:t>
      </w:r>
      <w:r w:rsidR="00FE2841">
        <w:rPr>
          <w:rFonts w:ascii="Times New Roman" w:hAnsi="Times New Roman" w:cs="Times New Roman"/>
          <w:sz w:val="24"/>
          <w:szCs w:val="24"/>
        </w:rPr>
        <w:t xml:space="preserve">as the time </w:t>
      </w:r>
      <w:r w:rsidR="005E5057">
        <w:rPr>
          <w:rFonts w:ascii="Times New Roman" w:hAnsi="Times New Roman" w:cs="Times New Roman"/>
          <w:sz w:val="24"/>
          <w:szCs w:val="24"/>
        </w:rPr>
        <w:t xml:space="preserve">within which multiple applications for exploration </w:t>
      </w:r>
      <w:r w:rsidR="002914B1">
        <w:rPr>
          <w:rFonts w:ascii="Times New Roman" w:hAnsi="Times New Roman" w:cs="Times New Roman"/>
          <w:sz w:val="24"/>
          <w:szCs w:val="24"/>
        </w:rPr>
        <w:t xml:space="preserve">or </w:t>
      </w:r>
      <w:r w:rsidR="005E5057">
        <w:rPr>
          <w:rFonts w:ascii="Times New Roman" w:hAnsi="Times New Roman" w:cs="Times New Roman"/>
          <w:sz w:val="24"/>
          <w:szCs w:val="24"/>
        </w:rPr>
        <w:t>mining licences</w:t>
      </w:r>
      <w:r w:rsidR="00FE2841">
        <w:rPr>
          <w:rFonts w:ascii="Times New Roman" w:hAnsi="Times New Roman" w:cs="Times New Roman"/>
          <w:sz w:val="24"/>
          <w:szCs w:val="24"/>
        </w:rPr>
        <w:t xml:space="preserve"> over a block</w:t>
      </w:r>
      <w:r w:rsidR="005E5057">
        <w:rPr>
          <w:rFonts w:ascii="Times New Roman" w:hAnsi="Times New Roman" w:cs="Times New Roman"/>
          <w:sz w:val="24"/>
          <w:szCs w:val="24"/>
        </w:rPr>
        <w:t xml:space="preserve"> have to be lodged in order to have the</w:t>
      </w:r>
      <w:r w:rsidR="00FE2841">
        <w:rPr>
          <w:rFonts w:ascii="Times New Roman" w:hAnsi="Times New Roman" w:cs="Times New Roman"/>
          <w:sz w:val="24"/>
          <w:szCs w:val="24"/>
        </w:rPr>
        <w:t xml:space="preserve"> order in which they will be dealt with</w:t>
      </w:r>
      <w:r w:rsidR="005E5057">
        <w:rPr>
          <w:rFonts w:ascii="Times New Roman" w:hAnsi="Times New Roman" w:cs="Times New Roman"/>
          <w:sz w:val="24"/>
          <w:szCs w:val="24"/>
        </w:rPr>
        <w:t xml:space="preserve"> determined by </w:t>
      </w:r>
      <w:r w:rsidR="00FE2841">
        <w:rPr>
          <w:rFonts w:ascii="Times New Roman" w:hAnsi="Times New Roman" w:cs="Times New Roman"/>
          <w:sz w:val="24"/>
          <w:szCs w:val="24"/>
        </w:rPr>
        <w:t xml:space="preserve">drawing </w:t>
      </w:r>
      <w:r w:rsidR="005E5057">
        <w:rPr>
          <w:rFonts w:ascii="Times New Roman" w:hAnsi="Times New Roman" w:cs="Times New Roman"/>
          <w:sz w:val="24"/>
          <w:szCs w:val="24"/>
        </w:rPr>
        <w:t>lot</w:t>
      </w:r>
      <w:r w:rsidR="00FE2841">
        <w:rPr>
          <w:rFonts w:ascii="Times New Roman" w:hAnsi="Times New Roman" w:cs="Times New Roman"/>
          <w:sz w:val="24"/>
          <w:szCs w:val="24"/>
        </w:rPr>
        <w:t>s</w:t>
      </w:r>
      <w:r w:rsidR="005E5057">
        <w:rPr>
          <w:rFonts w:ascii="Times New Roman" w:hAnsi="Times New Roman" w:cs="Times New Roman"/>
          <w:sz w:val="24"/>
          <w:szCs w:val="24"/>
        </w:rPr>
        <w:t>.</w:t>
      </w:r>
    </w:p>
    <w:p w14:paraId="60165D5E" w14:textId="77777777" w:rsidR="001A5CD2" w:rsidRDefault="001A5CD2" w:rsidP="00066ABB">
      <w:pPr>
        <w:spacing w:after="0" w:line="240" w:lineRule="auto"/>
        <w:rPr>
          <w:rFonts w:ascii="Times New Roman" w:hAnsi="Times New Roman" w:cs="Times New Roman"/>
          <w:b/>
          <w:sz w:val="24"/>
          <w:szCs w:val="24"/>
        </w:rPr>
      </w:pPr>
    </w:p>
    <w:p w14:paraId="6EE12BBB" w14:textId="387D413C" w:rsidR="001A5CD2" w:rsidRDefault="001A5CD2" w:rsidP="00066ABB">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8 – Way of drawing lots</w:t>
      </w:r>
    </w:p>
    <w:p w14:paraId="5459D771" w14:textId="77777777" w:rsidR="00AC54FA" w:rsidRDefault="00AC54FA" w:rsidP="00066ABB">
      <w:pPr>
        <w:spacing w:after="0" w:line="240" w:lineRule="auto"/>
        <w:rPr>
          <w:rFonts w:ascii="Times New Roman" w:hAnsi="Times New Roman" w:cs="Times New Roman"/>
          <w:b/>
          <w:sz w:val="24"/>
          <w:szCs w:val="24"/>
        </w:rPr>
      </w:pPr>
    </w:p>
    <w:p w14:paraId="4328953F" w14:textId="37B49352" w:rsidR="00AC54FA" w:rsidRDefault="00AC54FA" w:rsidP="00417132">
      <w:pPr>
        <w:spacing w:after="0"/>
        <w:rPr>
          <w:rFonts w:ascii="Times New Roman" w:hAnsi="Times New Roman" w:cs="Times New Roman"/>
          <w:sz w:val="24"/>
          <w:szCs w:val="24"/>
        </w:rPr>
      </w:pPr>
      <w:r w:rsidRPr="00C74710">
        <w:rPr>
          <w:rFonts w:ascii="Times New Roman" w:hAnsi="Times New Roman" w:cs="Times New Roman"/>
          <w:sz w:val="24"/>
          <w:szCs w:val="24"/>
        </w:rPr>
        <w:lastRenderedPageBreak/>
        <w:t xml:space="preserve">This section sets out the procedures that are to be </w:t>
      </w:r>
      <w:r w:rsidR="00E82E7C" w:rsidRPr="00C74710">
        <w:rPr>
          <w:rFonts w:ascii="Times New Roman" w:hAnsi="Times New Roman" w:cs="Times New Roman"/>
          <w:sz w:val="24"/>
          <w:szCs w:val="24"/>
        </w:rPr>
        <w:t>follow</w:t>
      </w:r>
      <w:r w:rsidR="004B04C1" w:rsidRPr="00C74710">
        <w:rPr>
          <w:rFonts w:ascii="Times New Roman" w:hAnsi="Times New Roman" w:cs="Times New Roman"/>
          <w:sz w:val="24"/>
          <w:szCs w:val="24"/>
        </w:rPr>
        <w:t>ed in the drawing of lots</w:t>
      </w:r>
      <w:r w:rsidR="004D6A51">
        <w:rPr>
          <w:rFonts w:ascii="Times New Roman" w:hAnsi="Times New Roman" w:cs="Times New Roman"/>
          <w:sz w:val="24"/>
          <w:szCs w:val="24"/>
        </w:rPr>
        <w:t xml:space="preserve"> to determine the order in which multiple applications for an exploration or mining licence over a block will be dealt with, if they are lodged within 30 minutes of each other</w:t>
      </w:r>
      <w:r w:rsidR="004B04C1" w:rsidRPr="00C74710">
        <w:rPr>
          <w:rFonts w:ascii="Times New Roman" w:hAnsi="Times New Roman" w:cs="Times New Roman"/>
          <w:sz w:val="24"/>
          <w:szCs w:val="24"/>
        </w:rPr>
        <w:t>.</w:t>
      </w:r>
    </w:p>
    <w:p w14:paraId="1309AF4C" w14:textId="4A99A0AB" w:rsidR="004425E2" w:rsidRDefault="004425E2" w:rsidP="00417132">
      <w:pPr>
        <w:spacing w:after="0"/>
        <w:rPr>
          <w:rFonts w:ascii="Times New Roman" w:hAnsi="Times New Roman" w:cs="Times New Roman"/>
          <w:sz w:val="24"/>
          <w:szCs w:val="24"/>
        </w:rPr>
      </w:pPr>
    </w:p>
    <w:p w14:paraId="0429972F" w14:textId="1405EED4" w:rsidR="004425E2" w:rsidRPr="00C74710" w:rsidRDefault="004425E2" w:rsidP="00417132">
      <w:pPr>
        <w:spacing w:after="0"/>
        <w:rPr>
          <w:rFonts w:ascii="Times New Roman" w:hAnsi="Times New Roman" w:cs="Times New Roman"/>
          <w:sz w:val="24"/>
          <w:szCs w:val="24"/>
        </w:rPr>
      </w:pPr>
      <w:r>
        <w:rPr>
          <w:rFonts w:ascii="Times New Roman" w:hAnsi="Times New Roman" w:cs="Times New Roman"/>
          <w:sz w:val="24"/>
          <w:szCs w:val="24"/>
        </w:rPr>
        <w:t xml:space="preserve">Subsection 8(2) requires the Designated Authority to give each applicant written notice of the time and place of the draw at least seven days before the draw. Subsection 438(2) of the Act deals with the manner of service of documents on an applicant for a licence. </w:t>
      </w:r>
    </w:p>
    <w:p w14:paraId="401ECBB6" w14:textId="7FE78C77" w:rsidR="00521C8C" w:rsidRDefault="00521C8C" w:rsidP="00066ABB">
      <w:pPr>
        <w:spacing w:after="0" w:line="240" w:lineRule="auto"/>
        <w:rPr>
          <w:rFonts w:ascii="Times New Roman" w:hAnsi="Times New Roman" w:cs="Times New Roman"/>
          <w:b/>
          <w:bCs/>
          <w:sz w:val="28"/>
          <w:szCs w:val="28"/>
        </w:rPr>
      </w:pPr>
    </w:p>
    <w:p w14:paraId="18FB6893" w14:textId="45DD0196" w:rsidR="00521C8C" w:rsidRDefault="00521C8C" w:rsidP="00066ABB">
      <w:pPr>
        <w:spacing w:after="0" w:line="240" w:lineRule="auto"/>
        <w:rPr>
          <w:rFonts w:ascii="Times New Roman" w:hAnsi="Times New Roman" w:cs="Times New Roman"/>
          <w:b/>
          <w:bCs/>
          <w:sz w:val="28"/>
          <w:szCs w:val="28"/>
        </w:rPr>
      </w:pPr>
      <w:r w:rsidRPr="00066ABB">
        <w:rPr>
          <w:rFonts w:ascii="Times New Roman" w:hAnsi="Times New Roman" w:cs="Times New Roman"/>
          <w:b/>
          <w:bCs/>
          <w:sz w:val="28"/>
          <w:szCs w:val="28"/>
        </w:rPr>
        <w:t xml:space="preserve">Part </w:t>
      </w:r>
      <w:r>
        <w:rPr>
          <w:rFonts w:ascii="Times New Roman" w:hAnsi="Times New Roman" w:cs="Times New Roman"/>
          <w:b/>
          <w:bCs/>
          <w:sz w:val="28"/>
          <w:szCs w:val="28"/>
        </w:rPr>
        <w:t>3</w:t>
      </w:r>
      <w:r w:rsidRPr="00066ABB">
        <w:rPr>
          <w:rFonts w:ascii="Times New Roman" w:hAnsi="Times New Roman" w:cs="Times New Roman"/>
          <w:b/>
          <w:bCs/>
          <w:sz w:val="28"/>
          <w:szCs w:val="28"/>
        </w:rPr>
        <w:t>—</w:t>
      </w:r>
      <w:r>
        <w:rPr>
          <w:rFonts w:ascii="Times New Roman" w:hAnsi="Times New Roman" w:cs="Times New Roman"/>
          <w:b/>
          <w:bCs/>
          <w:sz w:val="28"/>
          <w:szCs w:val="28"/>
        </w:rPr>
        <w:t>Application, saving and transitional provisions</w:t>
      </w:r>
    </w:p>
    <w:p w14:paraId="08D603DB" w14:textId="77777777" w:rsidR="00521C8C" w:rsidRDefault="00521C8C" w:rsidP="00066ABB">
      <w:pPr>
        <w:spacing w:after="0" w:line="240" w:lineRule="auto"/>
        <w:rPr>
          <w:rFonts w:ascii="Times New Roman" w:hAnsi="Times New Roman" w:cs="Times New Roman"/>
          <w:b/>
          <w:bCs/>
          <w:sz w:val="28"/>
          <w:szCs w:val="28"/>
        </w:rPr>
      </w:pPr>
    </w:p>
    <w:p w14:paraId="1460EF9D" w14:textId="0F01C461" w:rsidR="00521C8C" w:rsidRDefault="00521C8C" w:rsidP="00066ABB">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9 – Application of this instrument</w:t>
      </w:r>
    </w:p>
    <w:p w14:paraId="3234D79E" w14:textId="1217FCEC" w:rsidR="00D0088A" w:rsidRDefault="00D0088A" w:rsidP="00066ABB">
      <w:pPr>
        <w:spacing w:after="0" w:line="240" w:lineRule="auto"/>
        <w:rPr>
          <w:rFonts w:ascii="Times New Roman" w:hAnsi="Times New Roman" w:cs="Times New Roman"/>
          <w:b/>
          <w:sz w:val="24"/>
          <w:szCs w:val="24"/>
        </w:rPr>
      </w:pPr>
    </w:p>
    <w:p w14:paraId="3335CD13" w14:textId="3F970825" w:rsidR="00D0088A" w:rsidRDefault="00D0088A" w:rsidP="00417132">
      <w:pPr>
        <w:spacing w:after="0"/>
        <w:rPr>
          <w:rFonts w:ascii="Times New Roman" w:hAnsi="Times New Roman" w:cs="Times New Roman"/>
          <w:sz w:val="24"/>
          <w:szCs w:val="24"/>
        </w:rPr>
      </w:pPr>
      <w:r>
        <w:rPr>
          <w:rFonts w:ascii="Times New Roman" w:hAnsi="Times New Roman" w:cs="Times New Roman"/>
          <w:sz w:val="24"/>
          <w:szCs w:val="24"/>
        </w:rPr>
        <w:t xml:space="preserve">This section provides that the 2018 Regulations </w:t>
      </w:r>
      <w:r w:rsidR="008475A6">
        <w:rPr>
          <w:rFonts w:ascii="Times New Roman" w:hAnsi="Times New Roman" w:cs="Times New Roman"/>
          <w:sz w:val="24"/>
          <w:szCs w:val="24"/>
        </w:rPr>
        <w:t>apply</w:t>
      </w:r>
      <w:r>
        <w:rPr>
          <w:rFonts w:ascii="Times New Roman" w:hAnsi="Times New Roman" w:cs="Times New Roman"/>
          <w:sz w:val="24"/>
          <w:szCs w:val="24"/>
        </w:rPr>
        <w:t xml:space="preserve"> to applications for an exploration or mining licence made on or after the commencement of the instrument.</w:t>
      </w:r>
    </w:p>
    <w:p w14:paraId="72DBCC01" w14:textId="77777777" w:rsidR="003540A1" w:rsidRDefault="003540A1" w:rsidP="00417132">
      <w:pPr>
        <w:spacing w:after="0"/>
        <w:rPr>
          <w:rFonts w:ascii="Times New Roman" w:hAnsi="Times New Roman" w:cs="Times New Roman"/>
          <w:sz w:val="24"/>
          <w:szCs w:val="24"/>
        </w:rPr>
      </w:pPr>
    </w:p>
    <w:p w14:paraId="06532CC2" w14:textId="77777777" w:rsidR="003540A1" w:rsidRDefault="003540A1" w:rsidP="00417132">
      <w:pPr>
        <w:spacing w:after="0"/>
        <w:rPr>
          <w:rFonts w:ascii="Times New Roman" w:hAnsi="Times New Roman" w:cs="Times New Roman"/>
          <w:sz w:val="24"/>
          <w:szCs w:val="24"/>
        </w:rPr>
      </w:pPr>
      <w:r>
        <w:rPr>
          <w:rFonts w:ascii="Times New Roman" w:hAnsi="Times New Roman" w:cs="Times New Roman"/>
          <w:sz w:val="24"/>
          <w:szCs w:val="24"/>
        </w:rPr>
        <w:t>As the situation dealt with by the sunsetting Regulations has not occurred in practice, a savings provision has not been included.</w:t>
      </w:r>
    </w:p>
    <w:p w14:paraId="61A71730" w14:textId="77777777" w:rsidR="00BE264E" w:rsidRDefault="00BE264E" w:rsidP="00BE264E">
      <w:pPr>
        <w:spacing w:before="240"/>
        <w:rPr>
          <w:rFonts w:ascii="Times New Roman" w:hAnsi="Times New Roman" w:cs="Times New Roman"/>
          <w:b/>
          <w:sz w:val="24"/>
          <w:szCs w:val="24"/>
        </w:rPr>
      </w:pPr>
      <w:r>
        <w:rPr>
          <w:rFonts w:ascii="Times New Roman" w:hAnsi="Times New Roman" w:cs="Times New Roman"/>
          <w:b/>
          <w:sz w:val="24"/>
          <w:szCs w:val="24"/>
        </w:rPr>
        <w:t>Schedule 1</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8E11FC">
        <w:rPr>
          <w:rFonts w:ascii="Times New Roman" w:hAnsi="Times New Roman" w:cs="Times New Roman"/>
          <w:b/>
          <w:sz w:val="24"/>
          <w:szCs w:val="24"/>
        </w:rPr>
        <w:t xml:space="preserve"> </w:t>
      </w:r>
      <w:r>
        <w:rPr>
          <w:rFonts w:ascii="Times New Roman" w:hAnsi="Times New Roman" w:cs="Times New Roman"/>
          <w:b/>
          <w:sz w:val="24"/>
          <w:szCs w:val="24"/>
        </w:rPr>
        <w:t>Repeals</w:t>
      </w:r>
    </w:p>
    <w:p w14:paraId="62316E38" w14:textId="55D2DD0D" w:rsidR="00BE264E" w:rsidRDefault="008673BC" w:rsidP="00417132">
      <w:pPr>
        <w:spacing w:before="240"/>
        <w:rPr>
          <w:rFonts w:ascii="Times New Roman" w:hAnsi="Times New Roman" w:cs="Times New Roman"/>
          <w:sz w:val="24"/>
          <w:szCs w:val="24"/>
        </w:rPr>
      </w:pPr>
      <w:r w:rsidRPr="008673BC">
        <w:rPr>
          <w:rFonts w:ascii="Times New Roman" w:hAnsi="Times New Roman" w:cs="Times New Roman"/>
          <w:sz w:val="24"/>
          <w:szCs w:val="24"/>
        </w:rPr>
        <w:t>This Schedule provide</w:t>
      </w:r>
      <w:r>
        <w:rPr>
          <w:rFonts w:ascii="Times New Roman" w:hAnsi="Times New Roman" w:cs="Times New Roman"/>
          <w:sz w:val="24"/>
          <w:szCs w:val="24"/>
        </w:rPr>
        <w:t>s</w:t>
      </w:r>
      <w:r w:rsidRPr="008673BC">
        <w:rPr>
          <w:rFonts w:ascii="Times New Roman" w:hAnsi="Times New Roman" w:cs="Times New Roman"/>
          <w:sz w:val="24"/>
          <w:szCs w:val="24"/>
        </w:rPr>
        <w:t xml:space="preserve"> that the whole of the sunsetting </w:t>
      </w:r>
      <w:r w:rsidR="00BE264E" w:rsidRPr="00E82223">
        <w:rPr>
          <w:rFonts w:ascii="Times New Roman" w:hAnsi="Times New Roman" w:cs="Times New Roman"/>
          <w:i/>
          <w:sz w:val="24"/>
          <w:szCs w:val="24"/>
        </w:rPr>
        <w:t>Offshore Minerals (</w:t>
      </w:r>
      <w:r w:rsidR="006F6729">
        <w:rPr>
          <w:rFonts w:ascii="Times New Roman" w:hAnsi="Times New Roman" w:cs="Times New Roman"/>
          <w:i/>
          <w:sz w:val="24"/>
          <w:szCs w:val="24"/>
        </w:rPr>
        <w:t>Ballot Procedures</w:t>
      </w:r>
      <w:r w:rsidR="00BE264E">
        <w:rPr>
          <w:rFonts w:ascii="Times New Roman" w:hAnsi="Times New Roman" w:cs="Times New Roman"/>
          <w:i/>
          <w:sz w:val="24"/>
          <w:szCs w:val="24"/>
        </w:rPr>
        <w:t>) Regulations</w:t>
      </w:r>
      <w:r>
        <w:rPr>
          <w:rFonts w:ascii="Times New Roman" w:hAnsi="Times New Roman" w:cs="Times New Roman"/>
          <w:i/>
          <w:sz w:val="24"/>
          <w:szCs w:val="24"/>
        </w:rPr>
        <w:t xml:space="preserve"> </w:t>
      </w:r>
      <w:r>
        <w:rPr>
          <w:rFonts w:ascii="Times New Roman" w:hAnsi="Times New Roman" w:cs="Times New Roman"/>
          <w:sz w:val="24"/>
          <w:szCs w:val="24"/>
        </w:rPr>
        <w:t>is repealed</w:t>
      </w:r>
      <w:r w:rsidR="00BE264E" w:rsidRPr="00267922">
        <w:rPr>
          <w:rFonts w:ascii="Times New Roman" w:hAnsi="Times New Roman" w:cs="Times New Roman"/>
          <w:sz w:val="24"/>
          <w:szCs w:val="24"/>
        </w:rPr>
        <w:t>.</w:t>
      </w:r>
    </w:p>
    <w:p w14:paraId="4FCC32AE" w14:textId="3FF11041" w:rsidR="00D369E8" w:rsidRDefault="00D369E8" w:rsidP="00417132">
      <w:pPr>
        <w:pStyle w:val="notedraft"/>
        <w:spacing w:line="276" w:lineRule="auto"/>
        <w:ind w:left="0" w:firstLine="0"/>
        <w:rPr>
          <w:i w:val="0"/>
        </w:rPr>
      </w:pPr>
      <w:r>
        <w:rPr>
          <w:i w:val="0"/>
        </w:rPr>
        <w:t xml:space="preserve">Several changes have been made in the 2018 Regulations compared to the sunsetting Regulations. The key changes are discussed below. Other changes </w:t>
      </w:r>
      <w:r w:rsidR="00337386">
        <w:rPr>
          <w:i w:val="0"/>
        </w:rPr>
        <w:t>are directed at improving</w:t>
      </w:r>
      <w:r>
        <w:rPr>
          <w:i w:val="0"/>
        </w:rPr>
        <w:t xml:space="preserve"> the clarity</w:t>
      </w:r>
      <w:r w:rsidR="00337386">
        <w:rPr>
          <w:i w:val="0"/>
        </w:rPr>
        <w:t xml:space="preserve"> of the regulations</w:t>
      </w:r>
      <w:r w:rsidR="00C63538">
        <w:rPr>
          <w:i w:val="0"/>
        </w:rPr>
        <w:t xml:space="preserve"> and/or reflect current drafting practice</w:t>
      </w:r>
      <w:r w:rsidR="00337386">
        <w:rPr>
          <w:i w:val="0"/>
        </w:rPr>
        <w:t>, but do not change the substance.</w:t>
      </w:r>
    </w:p>
    <w:p w14:paraId="1CFE4DDA" w14:textId="3A6EAA65" w:rsidR="004023EB" w:rsidRDefault="004023EB" w:rsidP="00CF2DA6">
      <w:pPr>
        <w:pStyle w:val="notedraft"/>
        <w:ind w:left="0" w:firstLine="0"/>
        <w:rPr>
          <w:i w:val="0"/>
        </w:rPr>
      </w:pPr>
      <w:r>
        <w:t>Name of the Regulations</w:t>
      </w:r>
    </w:p>
    <w:p w14:paraId="67BC35F3" w14:textId="527F64F1" w:rsidR="004023EB" w:rsidRDefault="004023EB" w:rsidP="00417132">
      <w:pPr>
        <w:pStyle w:val="notedraft"/>
        <w:spacing w:line="276" w:lineRule="auto"/>
        <w:ind w:left="0" w:firstLine="0"/>
        <w:rPr>
          <w:i w:val="0"/>
        </w:rPr>
      </w:pPr>
      <w:r>
        <w:rPr>
          <w:i w:val="0"/>
        </w:rPr>
        <w:t>The name of the Regulations has been changed to reflect the language used in the Act. The Act does not refer to “ballot procedures”.</w:t>
      </w:r>
    </w:p>
    <w:p w14:paraId="21FE9476" w14:textId="3C9C16EA" w:rsidR="00D369E8" w:rsidRPr="0091465E" w:rsidRDefault="00D369E8" w:rsidP="00CF2DA6">
      <w:pPr>
        <w:pStyle w:val="notedraft"/>
        <w:ind w:left="0" w:firstLine="0"/>
      </w:pPr>
      <w:r>
        <w:t>References to delegate of the Designated Authority</w:t>
      </w:r>
    </w:p>
    <w:p w14:paraId="7D6E6394" w14:textId="3F304B0C" w:rsidR="00DC002A" w:rsidRDefault="00D369E8" w:rsidP="00417132">
      <w:pPr>
        <w:pStyle w:val="notedraft"/>
        <w:spacing w:line="276" w:lineRule="auto"/>
        <w:ind w:left="0" w:firstLine="0"/>
        <w:rPr>
          <w:i w:val="0"/>
        </w:rPr>
      </w:pPr>
      <w:r>
        <w:rPr>
          <w:i w:val="0"/>
        </w:rPr>
        <w:t>The sunsetting Regulations provide for the role and responsibilities of the delegate of the Designated Authority in relation to the drawing of lots. These r</w:t>
      </w:r>
      <w:r w:rsidR="00CF2DA6" w:rsidRPr="005F7CE2">
        <w:rPr>
          <w:i w:val="0"/>
        </w:rPr>
        <w:t>eference</w:t>
      </w:r>
      <w:r>
        <w:rPr>
          <w:i w:val="0"/>
        </w:rPr>
        <w:t>s</w:t>
      </w:r>
      <w:r w:rsidR="00CF2DA6" w:rsidRPr="005F7CE2">
        <w:rPr>
          <w:i w:val="0"/>
        </w:rPr>
        <w:t xml:space="preserve"> </w:t>
      </w:r>
      <w:r w:rsidR="00CF2DA6">
        <w:rPr>
          <w:i w:val="0"/>
        </w:rPr>
        <w:t>ha</w:t>
      </w:r>
      <w:r>
        <w:rPr>
          <w:i w:val="0"/>
        </w:rPr>
        <w:t>ve</w:t>
      </w:r>
      <w:r w:rsidR="00CF2DA6">
        <w:rPr>
          <w:i w:val="0"/>
        </w:rPr>
        <w:t xml:space="preserve"> been </w:t>
      </w:r>
      <w:r>
        <w:rPr>
          <w:i w:val="0"/>
        </w:rPr>
        <w:t>replaced with references to the Designated Authority,</w:t>
      </w:r>
      <w:r w:rsidR="00CF2DA6">
        <w:rPr>
          <w:i w:val="0"/>
        </w:rPr>
        <w:t xml:space="preserve"> </w:t>
      </w:r>
      <w:r w:rsidR="00CF2DA6" w:rsidRPr="005F7CE2">
        <w:rPr>
          <w:i w:val="0"/>
        </w:rPr>
        <w:t xml:space="preserve">as under section 419 of the Act a Designated Authority may delegate to a person all or any of the powers or functions of the Designated Authority under </w:t>
      </w:r>
      <w:r w:rsidR="00CF2DA6" w:rsidRPr="00520510">
        <w:rPr>
          <w:i w:val="0"/>
        </w:rPr>
        <w:t>regulations made under the Act.</w:t>
      </w:r>
    </w:p>
    <w:p w14:paraId="17C74EC8" w14:textId="495A0A11" w:rsidR="00D369E8" w:rsidRDefault="00D369E8" w:rsidP="00CF2DA6">
      <w:pPr>
        <w:pStyle w:val="notedraft"/>
        <w:ind w:left="0" w:firstLine="0"/>
        <w:rPr>
          <w:i w:val="0"/>
        </w:rPr>
      </w:pPr>
      <w:r>
        <w:t>Regulation 4 of the sunsetting Regulations</w:t>
      </w:r>
    </w:p>
    <w:p w14:paraId="7B6B8E16" w14:textId="341C107E" w:rsidR="00CB0EFB" w:rsidRDefault="00D369E8" w:rsidP="00417132">
      <w:pPr>
        <w:pStyle w:val="notedraft"/>
        <w:spacing w:line="276" w:lineRule="auto"/>
        <w:ind w:left="0" w:firstLine="0"/>
        <w:rPr>
          <w:i w:val="0"/>
        </w:rPr>
      </w:pPr>
      <w:r>
        <w:rPr>
          <w:i w:val="0"/>
        </w:rPr>
        <w:t>The content of r</w:t>
      </w:r>
      <w:r w:rsidR="00DC002A">
        <w:rPr>
          <w:i w:val="0"/>
        </w:rPr>
        <w:t xml:space="preserve">egulation 4 of the sunsetting Regulations has been omitted from the 2018 Regulations, to the extent to which it purported to provide for the manner of lodgement of an application for an exploration licence or a mining licence. This does not appear to be </w:t>
      </w:r>
      <w:r w:rsidR="00DC002A">
        <w:rPr>
          <w:i w:val="0"/>
        </w:rPr>
        <w:lastRenderedPageBreak/>
        <w:t>supported by a regulation-making power in the Act. Subsection 54(3) of the Act provides that an application for an exploration licence must be lodged with the Designated Authority. Subsection 199(3) provides similarly in relation to an application for a mining licence. The breadth of these provisions suggests they cannot be narrowed by regulations.</w:t>
      </w:r>
      <w:r w:rsidR="00CB0EFB">
        <w:rPr>
          <w:i w:val="0"/>
        </w:rPr>
        <w:t xml:space="preserve"> </w:t>
      </w:r>
    </w:p>
    <w:p w14:paraId="0A98FA3A" w14:textId="1611099E" w:rsidR="00DC002A" w:rsidRDefault="00C63538" w:rsidP="00417132">
      <w:pPr>
        <w:pStyle w:val="notedraft"/>
        <w:spacing w:line="276" w:lineRule="auto"/>
        <w:ind w:left="0" w:firstLine="0"/>
        <w:rPr>
          <w:i w:val="0"/>
        </w:rPr>
      </w:pPr>
      <w:r>
        <w:rPr>
          <w:i w:val="0"/>
        </w:rPr>
        <w:t>The provisions of the sunsetting Regulations that dealt with the time of lodgement of applications lodged by post or electronic message have also been omitted – s</w:t>
      </w:r>
      <w:r w:rsidR="00CB0EFB">
        <w:rPr>
          <w:i w:val="0"/>
        </w:rPr>
        <w:t>ee</w:t>
      </w:r>
      <w:r>
        <w:rPr>
          <w:i w:val="0"/>
        </w:rPr>
        <w:t xml:space="preserve"> </w:t>
      </w:r>
      <w:r w:rsidR="00CB0EFB">
        <w:rPr>
          <w:i w:val="0"/>
        </w:rPr>
        <w:t>discussion in section 6 regarding the application of the ET Act and the AI Act to applications for licences under the Act.</w:t>
      </w:r>
      <w:r>
        <w:rPr>
          <w:i w:val="0"/>
        </w:rPr>
        <w:t xml:space="preserve"> Section 6 of the 2018 Regulations provides for the time of lodgement of applications received other than by electronic communication or pre-paid post. </w:t>
      </w:r>
    </w:p>
    <w:p w14:paraId="4C90CC2D" w14:textId="77777777" w:rsidR="00CF2DA6" w:rsidRDefault="00CF2DA6" w:rsidP="00D0088A">
      <w:pPr>
        <w:spacing w:before="240" w:line="240" w:lineRule="auto"/>
        <w:rPr>
          <w:rFonts w:ascii="Times New Roman" w:hAnsi="Times New Roman" w:cs="Times New Roman"/>
          <w:sz w:val="24"/>
          <w:szCs w:val="24"/>
        </w:rPr>
      </w:pPr>
    </w:p>
    <w:p w14:paraId="35F50125" w14:textId="77777777" w:rsidR="00366EF0" w:rsidRDefault="00366EF0" w:rsidP="000D0E22">
      <w:pPr>
        <w:spacing w:before="240" w:after="240"/>
        <w:rPr>
          <w:rFonts w:ascii="Times New Roman" w:hAnsi="Times New Roman" w:cs="Times New Roman"/>
          <w:b/>
          <w:sz w:val="24"/>
          <w:szCs w:val="24"/>
        </w:rPr>
      </w:pPr>
    </w:p>
    <w:p w14:paraId="43234575" w14:textId="77777777" w:rsidR="001A5CD2" w:rsidRDefault="001A5CD2" w:rsidP="001A5CD2">
      <w:pPr>
        <w:spacing w:before="240" w:after="240"/>
        <w:jc w:val="right"/>
        <w:rPr>
          <w:rFonts w:ascii="Times New Roman" w:hAnsi="Times New Roman" w:cs="Times New Roman"/>
          <w:b/>
          <w:sz w:val="24"/>
          <w:szCs w:val="24"/>
        </w:rPr>
      </w:pPr>
    </w:p>
    <w:p w14:paraId="3500F53E" w14:textId="77777777" w:rsidR="001A5CD2" w:rsidRDefault="001A5CD2">
      <w:pPr>
        <w:rPr>
          <w:rFonts w:ascii="Times New Roman" w:hAnsi="Times New Roman" w:cs="Times New Roman"/>
          <w:b/>
          <w:sz w:val="24"/>
          <w:szCs w:val="24"/>
        </w:rPr>
      </w:pPr>
      <w:r>
        <w:rPr>
          <w:rFonts w:ascii="Times New Roman" w:hAnsi="Times New Roman" w:cs="Times New Roman"/>
          <w:b/>
          <w:sz w:val="24"/>
          <w:szCs w:val="24"/>
        </w:rPr>
        <w:br w:type="page"/>
      </w:r>
    </w:p>
    <w:p w14:paraId="0A7CB377" w14:textId="1372675D" w:rsidR="001A5CD2" w:rsidRDefault="001A5CD2" w:rsidP="00AA24FE">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19390E5C" w14:textId="34E79F73" w:rsidR="00AA24FE" w:rsidRPr="00B80D1A" w:rsidRDefault="00AA24FE" w:rsidP="00AA24FE">
      <w:pPr>
        <w:spacing w:after="120" w:line="240" w:lineRule="auto"/>
        <w:rPr>
          <w:rFonts w:ascii="Times New Roman" w:hAnsi="Times New Roman" w:cs="Times New Roman"/>
          <w:b/>
          <w:bCs/>
          <w:sz w:val="24"/>
          <w:szCs w:val="24"/>
          <w:u w:val="single"/>
        </w:rPr>
      </w:pPr>
      <w:r w:rsidRPr="00B80D1A">
        <w:rPr>
          <w:rFonts w:ascii="Times New Roman" w:hAnsi="Times New Roman" w:cs="Times New Roman"/>
          <w:b/>
          <w:bCs/>
          <w:sz w:val="24"/>
          <w:szCs w:val="24"/>
          <w:u w:val="single"/>
        </w:rPr>
        <w:t>Finding table</w:t>
      </w:r>
    </w:p>
    <w:p w14:paraId="3CE8AE2C" w14:textId="34DCE069" w:rsidR="00AA24FE" w:rsidRPr="00887182" w:rsidRDefault="00AA24FE" w:rsidP="00417132">
      <w:pPr>
        <w:rPr>
          <w:rFonts w:ascii="Times New Roman" w:hAnsi="Times New Roman" w:cs="Times New Roman"/>
          <w:sz w:val="24"/>
          <w:szCs w:val="24"/>
        </w:rPr>
      </w:pPr>
      <w:r w:rsidRPr="00887182">
        <w:rPr>
          <w:rFonts w:ascii="Times New Roman" w:hAnsi="Times New Roman" w:cs="Times New Roman"/>
          <w:sz w:val="24"/>
          <w:szCs w:val="24"/>
        </w:rPr>
        <w:t xml:space="preserve">As a result of some of the changes outlined in </w:t>
      </w:r>
      <w:r w:rsidRPr="00440295">
        <w:rPr>
          <w:rFonts w:ascii="Times New Roman" w:hAnsi="Times New Roman" w:cs="Times New Roman"/>
          <w:sz w:val="24"/>
          <w:szCs w:val="24"/>
          <w:u w:val="single"/>
        </w:rPr>
        <w:t>Attachment A</w:t>
      </w:r>
      <w:r w:rsidRPr="00887182">
        <w:rPr>
          <w:rFonts w:ascii="Times New Roman" w:hAnsi="Times New Roman" w:cs="Times New Roman"/>
          <w:sz w:val="24"/>
          <w:szCs w:val="24"/>
        </w:rPr>
        <w:t xml:space="preserve"> </w:t>
      </w:r>
      <w:r w:rsidR="00AB1AF1">
        <w:rPr>
          <w:rFonts w:ascii="Times New Roman" w:hAnsi="Times New Roman" w:cs="Times New Roman"/>
          <w:sz w:val="24"/>
          <w:szCs w:val="24"/>
        </w:rPr>
        <w:t xml:space="preserve">and the inclusion of additional provisions to deal with commencement, repeal of the sunsetting Regulations, etc., </w:t>
      </w:r>
      <w:r w:rsidRPr="00887182">
        <w:rPr>
          <w:rFonts w:ascii="Times New Roman" w:hAnsi="Times New Roman" w:cs="Times New Roman"/>
          <w:sz w:val="24"/>
          <w:szCs w:val="24"/>
        </w:rPr>
        <w:t xml:space="preserve">it was necessary to renumber the provisions in the Regulations. This explanatory statement includes </w:t>
      </w:r>
      <w:r w:rsidR="00B44185">
        <w:rPr>
          <w:rFonts w:ascii="Times New Roman" w:hAnsi="Times New Roman" w:cs="Times New Roman"/>
          <w:sz w:val="24"/>
          <w:szCs w:val="24"/>
        </w:rPr>
        <w:t xml:space="preserve">a </w:t>
      </w:r>
      <w:r w:rsidRPr="00887182">
        <w:rPr>
          <w:rFonts w:ascii="Times New Roman" w:hAnsi="Times New Roman" w:cs="Times New Roman"/>
          <w:sz w:val="24"/>
          <w:szCs w:val="24"/>
        </w:rPr>
        <w:t>finding table to assist in identifying which provision in the Regulations corresponds to a provision in the old law that has been rewritten o</w:t>
      </w:r>
      <w:r>
        <w:rPr>
          <w:rFonts w:ascii="Times New Roman" w:hAnsi="Times New Roman" w:cs="Times New Roman"/>
          <w:sz w:val="24"/>
          <w:szCs w:val="24"/>
        </w:rPr>
        <w:t>r consolidated, and vice versa.</w:t>
      </w:r>
    </w:p>
    <w:p w14:paraId="458FD3E6" w14:textId="7244F45E" w:rsidR="00AA24FE" w:rsidRDefault="00AA24FE" w:rsidP="00417132">
      <w:pPr>
        <w:pStyle w:val="Default"/>
        <w:spacing w:after="27" w:line="276" w:lineRule="auto"/>
        <w:rPr>
          <w:sz w:val="23"/>
          <w:szCs w:val="23"/>
        </w:rPr>
      </w:pPr>
      <w:r>
        <w:rPr>
          <w:sz w:val="23"/>
          <w:szCs w:val="23"/>
        </w:rPr>
        <w:t xml:space="preserve">In the finding table, references to </w:t>
      </w:r>
      <w:r w:rsidRPr="00887182">
        <w:t xml:space="preserve">the </w:t>
      </w:r>
      <w:r>
        <w:t>sunsetting Regulations</w:t>
      </w:r>
      <w:r w:rsidRPr="00887182">
        <w:t xml:space="preserve"> </w:t>
      </w:r>
      <w:r>
        <w:rPr>
          <w:sz w:val="23"/>
          <w:szCs w:val="23"/>
        </w:rPr>
        <w:t xml:space="preserve">are to provisions in the </w:t>
      </w:r>
      <w:r w:rsidRPr="1285F912">
        <w:rPr>
          <w:i/>
          <w:iCs/>
        </w:rPr>
        <w:t>Offshore Minerals (</w:t>
      </w:r>
      <w:r>
        <w:rPr>
          <w:i/>
          <w:iCs/>
        </w:rPr>
        <w:t>Ballot</w:t>
      </w:r>
      <w:r w:rsidR="00A83F43">
        <w:rPr>
          <w:i/>
          <w:iCs/>
        </w:rPr>
        <w:t xml:space="preserve"> Procedures</w:t>
      </w:r>
      <w:r w:rsidRPr="1285F912">
        <w:rPr>
          <w:i/>
          <w:iCs/>
        </w:rPr>
        <w:t>) Regulations</w:t>
      </w:r>
      <w:r>
        <w:rPr>
          <w:sz w:val="23"/>
          <w:szCs w:val="23"/>
        </w:rPr>
        <w:t xml:space="preserve">, and references to the 2018 Regulations are to provisions in the </w:t>
      </w:r>
      <w:r w:rsidRPr="008B0E90">
        <w:rPr>
          <w:i/>
          <w:iCs/>
        </w:rPr>
        <w:t>Offshore Minerals (</w:t>
      </w:r>
      <w:r w:rsidR="00440295" w:rsidRPr="008B0E90">
        <w:rPr>
          <w:i/>
          <w:iCs/>
        </w:rPr>
        <w:t xml:space="preserve">Multiple Applications for </w:t>
      </w:r>
      <w:r w:rsidR="003E719D" w:rsidRPr="008B0E90">
        <w:rPr>
          <w:i/>
        </w:rPr>
        <w:t xml:space="preserve">Exploration or Mining </w:t>
      </w:r>
      <w:r w:rsidR="00440295" w:rsidRPr="008B0E90">
        <w:rPr>
          <w:i/>
          <w:iCs/>
        </w:rPr>
        <w:t>Licences</w:t>
      </w:r>
      <w:r w:rsidRPr="008B0E90">
        <w:rPr>
          <w:i/>
          <w:iCs/>
        </w:rPr>
        <w:t>) Regulations 2018</w:t>
      </w:r>
      <w:r>
        <w:rPr>
          <w:sz w:val="23"/>
          <w:szCs w:val="23"/>
        </w:rPr>
        <w:t xml:space="preserve">. </w:t>
      </w:r>
      <w:r w:rsidR="004C6554">
        <w:rPr>
          <w:iCs/>
          <w:sz w:val="23"/>
          <w:szCs w:val="23"/>
        </w:rPr>
        <w:t>“N</w:t>
      </w:r>
      <w:r w:rsidRPr="00545B39">
        <w:rPr>
          <w:iCs/>
          <w:sz w:val="23"/>
          <w:szCs w:val="23"/>
        </w:rPr>
        <w:t>o equivalent</w:t>
      </w:r>
      <w:r w:rsidR="004C6554">
        <w:rPr>
          <w:iCs/>
          <w:sz w:val="23"/>
          <w:szCs w:val="23"/>
        </w:rPr>
        <w:t>”</w:t>
      </w:r>
      <w:r w:rsidRPr="1285F912">
        <w:rPr>
          <w:i/>
          <w:iCs/>
          <w:sz w:val="23"/>
          <w:szCs w:val="23"/>
        </w:rPr>
        <w:t xml:space="preserve"> </w:t>
      </w:r>
      <w:r>
        <w:rPr>
          <w:sz w:val="23"/>
          <w:szCs w:val="23"/>
        </w:rPr>
        <w:t xml:space="preserve">means that this is a new provision that has no equivalent in the sunsetting Regulations. </w:t>
      </w:r>
    </w:p>
    <w:p w14:paraId="182CFA83" w14:textId="77777777" w:rsidR="004C6554" w:rsidRDefault="004C6554" w:rsidP="00545B39">
      <w:pPr>
        <w:pStyle w:val="Default"/>
        <w:spacing w:after="27"/>
        <w:ind w:left="720"/>
        <w:rPr>
          <w:sz w:val="23"/>
          <w:szCs w:val="23"/>
        </w:rPr>
      </w:pPr>
    </w:p>
    <w:p w14:paraId="3C47FDE1" w14:textId="5A5FAAC4" w:rsidR="00AA24FE" w:rsidRPr="00113973" w:rsidRDefault="00AA24FE" w:rsidP="00AA24FE">
      <w:pPr>
        <w:spacing w:after="240"/>
        <w:rPr>
          <w:rFonts w:ascii="Times New Roman" w:hAnsi="Times New Roman" w:cs="Times New Roman"/>
          <w:b/>
          <w:bCs/>
          <w:sz w:val="24"/>
          <w:szCs w:val="24"/>
        </w:rPr>
      </w:pPr>
      <w:r w:rsidRPr="1285F912">
        <w:rPr>
          <w:rFonts w:ascii="Times New Roman" w:hAnsi="Times New Roman" w:cs="Times New Roman"/>
          <w:b/>
          <w:bCs/>
          <w:sz w:val="24"/>
          <w:szCs w:val="24"/>
        </w:rPr>
        <w:t>Table: 2018 Regulations to Sunsetting Regulations</w:t>
      </w:r>
    </w:p>
    <w:tbl>
      <w:tblPr>
        <w:tblStyle w:val="TableGrid"/>
        <w:tblW w:w="0" w:type="auto"/>
        <w:tblLook w:val="04A0" w:firstRow="1" w:lastRow="0" w:firstColumn="1" w:lastColumn="0" w:noHBand="0" w:noVBand="1"/>
      </w:tblPr>
      <w:tblGrid>
        <w:gridCol w:w="2835"/>
        <w:gridCol w:w="2835"/>
      </w:tblGrid>
      <w:tr w:rsidR="00AA24FE" w14:paraId="084DF57C" w14:textId="77777777" w:rsidTr="00C16806">
        <w:tc>
          <w:tcPr>
            <w:tcW w:w="2835" w:type="dxa"/>
            <w:shd w:val="clear" w:color="auto" w:fill="D9D9D9" w:themeFill="background1" w:themeFillShade="D9"/>
          </w:tcPr>
          <w:p w14:paraId="30E378EE" w14:textId="77777777" w:rsidR="00AA24FE" w:rsidRPr="00113973" w:rsidRDefault="00AA24FE" w:rsidP="00C16806">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2018 Regulations</w:t>
            </w:r>
          </w:p>
        </w:tc>
        <w:tc>
          <w:tcPr>
            <w:tcW w:w="2835" w:type="dxa"/>
            <w:shd w:val="clear" w:color="auto" w:fill="D9D9D9" w:themeFill="background1" w:themeFillShade="D9"/>
          </w:tcPr>
          <w:p w14:paraId="21A31449" w14:textId="77777777" w:rsidR="00AA24FE" w:rsidRPr="00113973" w:rsidRDefault="00AA24FE" w:rsidP="00C16806">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Sunsetting Regulations</w:t>
            </w:r>
          </w:p>
        </w:tc>
      </w:tr>
      <w:tr w:rsidR="00AA24FE" w14:paraId="59C76014" w14:textId="77777777" w:rsidTr="00C16806">
        <w:tc>
          <w:tcPr>
            <w:tcW w:w="2835" w:type="dxa"/>
            <w:shd w:val="clear" w:color="auto" w:fill="auto"/>
          </w:tcPr>
          <w:p w14:paraId="31CF5C08" w14:textId="77777777" w:rsidR="00AA24FE" w:rsidRDefault="00AA24FE" w:rsidP="00AA24FE">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shd w:val="clear" w:color="auto" w:fill="auto"/>
          </w:tcPr>
          <w:p w14:paraId="7B0A6B68" w14:textId="77777777" w:rsidR="00AA24FE" w:rsidRDefault="00AA24FE" w:rsidP="00AA24FE">
            <w:pPr>
              <w:jc w:val="center"/>
              <w:rPr>
                <w:rFonts w:ascii="Times New Roman" w:hAnsi="Times New Roman" w:cs="Times New Roman"/>
                <w:sz w:val="24"/>
                <w:szCs w:val="24"/>
              </w:rPr>
            </w:pPr>
            <w:r>
              <w:rPr>
                <w:rFonts w:ascii="Times New Roman" w:hAnsi="Times New Roman" w:cs="Times New Roman"/>
                <w:sz w:val="24"/>
                <w:szCs w:val="24"/>
              </w:rPr>
              <w:t>1</w:t>
            </w:r>
          </w:p>
        </w:tc>
      </w:tr>
      <w:tr w:rsidR="00AA24FE" w14:paraId="0DFFFBF4" w14:textId="77777777" w:rsidTr="00C16806">
        <w:tc>
          <w:tcPr>
            <w:tcW w:w="2835" w:type="dxa"/>
            <w:shd w:val="clear" w:color="auto" w:fill="auto"/>
          </w:tcPr>
          <w:p w14:paraId="50BDBD4D"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shd w:val="clear" w:color="auto" w:fill="auto"/>
          </w:tcPr>
          <w:p w14:paraId="1A140B3E"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AA24FE" w14:paraId="72A8C9C2" w14:textId="77777777" w:rsidTr="00C16806">
        <w:tc>
          <w:tcPr>
            <w:tcW w:w="2835" w:type="dxa"/>
            <w:shd w:val="clear" w:color="auto" w:fill="auto"/>
          </w:tcPr>
          <w:p w14:paraId="30717C7C"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shd w:val="clear" w:color="auto" w:fill="auto"/>
          </w:tcPr>
          <w:p w14:paraId="0CC16768"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AA24FE" w14:paraId="3D431AF4" w14:textId="77777777" w:rsidTr="00C16806">
        <w:tc>
          <w:tcPr>
            <w:tcW w:w="2835" w:type="dxa"/>
            <w:shd w:val="clear" w:color="auto" w:fill="auto"/>
          </w:tcPr>
          <w:p w14:paraId="50511488"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shd w:val="clear" w:color="auto" w:fill="auto"/>
          </w:tcPr>
          <w:p w14:paraId="518D8563"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AA24FE" w14:paraId="31F08664" w14:textId="77777777" w:rsidTr="00C16806">
        <w:tc>
          <w:tcPr>
            <w:tcW w:w="2835" w:type="dxa"/>
            <w:shd w:val="clear" w:color="auto" w:fill="auto"/>
          </w:tcPr>
          <w:p w14:paraId="526DE35F"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shd w:val="clear" w:color="auto" w:fill="auto"/>
          </w:tcPr>
          <w:p w14:paraId="5CB8A075" w14:textId="5E169AEE" w:rsidR="00AA24FE" w:rsidRDefault="005E5057" w:rsidP="00C16806">
            <w:pPr>
              <w:jc w:val="center"/>
              <w:rPr>
                <w:rFonts w:ascii="Times New Roman" w:hAnsi="Times New Roman" w:cs="Times New Roman"/>
                <w:sz w:val="24"/>
                <w:szCs w:val="24"/>
              </w:rPr>
            </w:pPr>
            <w:r>
              <w:rPr>
                <w:rFonts w:ascii="Times New Roman" w:hAnsi="Times New Roman" w:cs="Times New Roman"/>
                <w:sz w:val="24"/>
                <w:szCs w:val="24"/>
              </w:rPr>
              <w:t>2</w:t>
            </w:r>
          </w:p>
        </w:tc>
      </w:tr>
      <w:tr w:rsidR="00AA24FE" w14:paraId="76557257" w14:textId="77777777" w:rsidTr="00C16806">
        <w:tc>
          <w:tcPr>
            <w:tcW w:w="2835" w:type="dxa"/>
            <w:shd w:val="clear" w:color="auto" w:fill="auto"/>
          </w:tcPr>
          <w:p w14:paraId="736074A7"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shd w:val="clear" w:color="auto" w:fill="auto"/>
          </w:tcPr>
          <w:p w14:paraId="56683210" w14:textId="6B7C0870" w:rsidR="00AA24FE" w:rsidRDefault="005E5057" w:rsidP="00C16806">
            <w:pPr>
              <w:jc w:val="center"/>
              <w:rPr>
                <w:rFonts w:ascii="Times New Roman" w:hAnsi="Times New Roman" w:cs="Times New Roman"/>
                <w:sz w:val="24"/>
                <w:szCs w:val="24"/>
              </w:rPr>
            </w:pPr>
            <w:r>
              <w:rPr>
                <w:rFonts w:ascii="Times New Roman" w:hAnsi="Times New Roman" w:cs="Times New Roman"/>
                <w:sz w:val="24"/>
                <w:szCs w:val="24"/>
              </w:rPr>
              <w:t>4</w:t>
            </w:r>
            <w:r w:rsidR="00AA24FE">
              <w:rPr>
                <w:rFonts w:ascii="Times New Roman" w:hAnsi="Times New Roman" w:cs="Times New Roman"/>
                <w:sz w:val="24"/>
                <w:szCs w:val="24"/>
              </w:rPr>
              <w:t xml:space="preserve">  </w:t>
            </w:r>
          </w:p>
        </w:tc>
      </w:tr>
      <w:tr w:rsidR="00AA24FE" w14:paraId="47A1DB20" w14:textId="77777777" w:rsidTr="00C16806">
        <w:tc>
          <w:tcPr>
            <w:tcW w:w="2835" w:type="dxa"/>
            <w:shd w:val="clear" w:color="auto" w:fill="auto"/>
          </w:tcPr>
          <w:p w14:paraId="47106E57"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shd w:val="clear" w:color="auto" w:fill="auto"/>
          </w:tcPr>
          <w:p w14:paraId="5C65C776" w14:textId="206C19D3" w:rsidR="00AA24FE" w:rsidRDefault="005E5057" w:rsidP="00C16806">
            <w:pPr>
              <w:jc w:val="center"/>
              <w:rPr>
                <w:rFonts w:ascii="Times New Roman" w:hAnsi="Times New Roman" w:cs="Times New Roman"/>
                <w:sz w:val="24"/>
                <w:szCs w:val="24"/>
              </w:rPr>
            </w:pPr>
            <w:r>
              <w:rPr>
                <w:rFonts w:ascii="Times New Roman" w:hAnsi="Times New Roman" w:cs="Times New Roman"/>
                <w:sz w:val="24"/>
                <w:szCs w:val="24"/>
              </w:rPr>
              <w:t>3</w:t>
            </w:r>
          </w:p>
        </w:tc>
      </w:tr>
      <w:tr w:rsidR="00AA24FE" w14:paraId="6A6DCA35" w14:textId="77777777" w:rsidTr="00C16806">
        <w:tc>
          <w:tcPr>
            <w:tcW w:w="2835" w:type="dxa"/>
            <w:shd w:val="clear" w:color="auto" w:fill="auto"/>
          </w:tcPr>
          <w:p w14:paraId="27602BA0"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shd w:val="clear" w:color="auto" w:fill="auto"/>
          </w:tcPr>
          <w:p w14:paraId="2F765A2A" w14:textId="35AD0898" w:rsidR="00AA24FE" w:rsidRDefault="00AC54FA" w:rsidP="00C16806">
            <w:pPr>
              <w:jc w:val="center"/>
              <w:rPr>
                <w:rFonts w:ascii="Times New Roman" w:hAnsi="Times New Roman" w:cs="Times New Roman"/>
                <w:sz w:val="24"/>
                <w:szCs w:val="24"/>
              </w:rPr>
            </w:pPr>
            <w:r>
              <w:rPr>
                <w:rFonts w:ascii="Times New Roman" w:hAnsi="Times New Roman" w:cs="Times New Roman"/>
                <w:sz w:val="24"/>
                <w:szCs w:val="24"/>
              </w:rPr>
              <w:t>5</w:t>
            </w:r>
          </w:p>
        </w:tc>
      </w:tr>
      <w:tr w:rsidR="00AA24FE" w14:paraId="78B31436" w14:textId="77777777" w:rsidTr="00C16806">
        <w:tc>
          <w:tcPr>
            <w:tcW w:w="2835" w:type="dxa"/>
            <w:shd w:val="clear" w:color="auto" w:fill="auto"/>
          </w:tcPr>
          <w:p w14:paraId="10F34200" w14:textId="77777777" w:rsidR="00AA24FE" w:rsidRDefault="00AA24FE" w:rsidP="00C16806">
            <w:pPr>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shd w:val="clear" w:color="auto" w:fill="auto"/>
          </w:tcPr>
          <w:p w14:paraId="5F37BF4F" w14:textId="27A7DE2B" w:rsidR="0036624C" w:rsidRDefault="00195379" w:rsidP="0036624C">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36624C" w14:paraId="7938C262" w14:textId="77777777" w:rsidTr="00C16806">
        <w:tc>
          <w:tcPr>
            <w:tcW w:w="2835" w:type="dxa"/>
            <w:shd w:val="clear" w:color="auto" w:fill="auto"/>
          </w:tcPr>
          <w:p w14:paraId="6EF20E7F" w14:textId="71ECCF75" w:rsidR="0036624C" w:rsidRDefault="0036624C" w:rsidP="00C16806">
            <w:pPr>
              <w:jc w:val="center"/>
              <w:rPr>
                <w:rFonts w:ascii="Times New Roman" w:hAnsi="Times New Roman" w:cs="Times New Roman"/>
                <w:sz w:val="24"/>
                <w:szCs w:val="24"/>
              </w:rPr>
            </w:pPr>
            <w:r>
              <w:rPr>
                <w:rFonts w:ascii="Times New Roman" w:hAnsi="Times New Roman" w:cs="Times New Roman"/>
                <w:sz w:val="24"/>
                <w:szCs w:val="24"/>
              </w:rPr>
              <w:t>Sc</w:t>
            </w:r>
            <w:r w:rsidR="00870AEE">
              <w:rPr>
                <w:rFonts w:ascii="Times New Roman" w:hAnsi="Times New Roman" w:cs="Times New Roman"/>
                <w:sz w:val="24"/>
                <w:szCs w:val="24"/>
              </w:rPr>
              <w:t>hedule 1</w:t>
            </w:r>
          </w:p>
        </w:tc>
        <w:tc>
          <w:tcPr>
            <w:tcW w:w="2835" w:type="dxa"/>
            <w:shd w:val="clear" w:color="auto" w:fill="auto"/>
          </w:tcPr>
          <w:p w14:paraId="57231DBD" w14:textId="0E62CA60" w:rsidR="0036624C" w:rsidRDefault="00870AEE" w:rsidP="0036624C">
            <w:pPr>
              <w:jc w:val="center"/>
              <w:rPr>
                <w:rFonts w:ascii="Times New Roman" w:hAnsi="Times New Roman" w:cs="Times New Roman"/>
                <w:sz w:val="24"/>
                <w:szCs w:val="24"/>
              </w:rPr>
            </w:pPr>
            <w:r>
              <w:rPr>
                <w:rFonts w:ascii="Times New Roman" w:hAnsi="Times New Roman" w:cs="Times New Roman"/>
                <w:sz w:val="24"/>
                <w:szCs w:val="24"/>
              </w:rPr>
              <w:t>No equivalent</w:t>
            </w:r>
          </w:p>
        </w:tc>
      </w:tr>
    </w:tbl>
    <w:p w14:paraId="5534556C" w14:textId="77777777" w:rsidR="00AA24FE" w:rsidRDefault="00AA24FE" w:rsidP="00AA24FE">
      <w:pPr>
        <w:rPr>
          <w:rFonts w:ascii="Times New Roman" w:hAnsi="Times New Roman" w:cs="Times New Roman"/>
          <w:sz w:val="24"/>
          <w:szCs w:val="24"/>
        </w:rPr>
      </w:pPr>
    </w:p>
    <w:p w14:paraId="76BFDF02" w14:textId="77777777" w:rsidR="00AA24FE" w:rsidRPr="007D5299" w:rsidRDefault="00AA24FE" w:rsidP="00AA24FE">
      <w:pPr>
        <w:tabs>
          <w:tab w:val="left" w:pos="1440"/>
        </w:tabs>
        <w:rPr>
          <w:rFonts w:ascii="Times New Roman" w:hAnsi="Times New Roman" w:cs="Times New Roman"/>
          <w:sz w:val="24"/>
          <w:szCs w:val="24"/>
        </w:rPr>
        <w:sectPr w:rsidR="00AA24FE" w:rsidRPr="007D5299">
          <w:footerReference w:type="default" r:id="rId11"/>
          <w:pgSz w:w="11906" w:h="16838"/>
          <w:pgMar w:top="1440" w:right="1440" w:bottom="1440" w:left="1440" w:header="708" w:footer="708" w:gutter="0"/>
          <w:cols w:space="708"/>
          <w:docGrid w:linePitch="360"/>
        </w:sectPr>
      </w:pPr>
    </w:p>
    <w:p w14:paraId="712B97FE" w14:textId="65CB5DA1" w:rsidR="00C45059" w:rsidRDefault="00C45059" w:rsidP="00AA24FE">
      <w:pPr>
        <w:tabs>
          <w:tab w:val="left" w:pos="855"/>
        </w:tabs>
        <w:spacing w:before="240" w:after="24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r w:rsidR="00AA24FE">
        <w:rPr>
          <w:rFonts w:ascii="Times New Roman" w:hAnsi="Times New Roman" w:cs="Times New Roman"/>
          <w:b/>
          <w:sz w:val="24"/>
          <w:szCs w:val="24"/>
        </w:rPr>
        <w:t>C</w:t>
      </w: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CB0DB44" w14:textId="2216B8C8" w:rsidR="00547F8D" w:rsidRPr="00547F8D" w:rsidRDefault="00C9681B" w:rsidP="00547F8D">
      <w:pPr>
        <w:spacing w:before="240" w:after="240"/>
        <w:jc w:val="center"/>
        <w:rPr>
          <w:rFonts w:ascii="Times New Roman" w:hAnsi="Times New Roman" w:cs="Times New Roman"/>
          <w:i/>
          <w:sz w:val="24"/>
          <w:szCs w:val="24"/>
        </w:rPr>
      </w:pPr>
      <w:r w:rsidRPr="008B0E90">
        <w:rPr>
          <w:rFonts w:ascii="Times New Roman" w:hAnsi="Times New Roman" w:cs="Times New Roman"/>
          <w:i/>
          <w:sz w:val="24"/>
          <w:szCs w:val="24"/>
        </w:rPr>
        <w:t>Offshore Minerals (</w:t>
      </w:r>
      <w:r w:rsidR="00102EC0" w:rsidRPr="008B0E90">
        <w:rPr>
          <w:rFonts w:ascii="Times New Roman" w:hAnsi="Times New Roman" w:cs="Times New Roman"/>
          <w:i/>
          <w:sz w:val="24"/>
          <w:szCs w:val="24"/>
        </w:rPr>
        <w:t xml:space="preserve">Multiple Applications for </w:t>
      </w:r>
      <w:r w:rsidR="003E719D" w:rsidRPr="008B0E90">
        <w:rPr>
          <w:rFonts w:ascii="Times New Roman" w:hAnsi="Times New Roman" w:cs="Times New Roman"/>
          <w:i/>
          <w:sz w:val="24"/>
          <w:szCs w:val="24"/>
        </w:rPr>
        <w:t xml:space="preserve">Exploration or Mining </w:t>
      </w:r>
      <w:r w:rsidR="00102EC0" w:rsidRPr="008B0E90">
        <w:rPr>
          <w:rFonts w:ascii="Times New Roman" w:hAnsi="Times New Roman" w:cs="Times New Roman"/>
          <w:i/>
          <w:sz w:val="24"/>
          <w:szCs w:val="24"/>
        </w:rPr>
        <w:t>Licences</w:t>
      </w:r>
      <w:r w:rsidRPr="008B0E90">
        <w:rPr>
          <w:rFonts w:ascii="Times New Roman" w:hAnsi="Times New Roman" w:cs="Times New Roman"/>
          <w:i/>
          <w:sz w:val="24"/>
          <w:szCs w:val="24"/>
        </w:rPr>
        <w:t>) Regulations 2018</w:t>
      </w:r>
    </w:p>
    <w:p w14:paraId="2A138164" w14:textId="16129503" w:rsidR="00C9681B" w:rsidRPr="00547F8D" w:rsidRDefault="00C9681B" w:rsidP="00C9681B">
      <w:pPr>
        <w:spacing w:before="240" w:after="240"/>
        <w:rPr>
          <w:rFonts w:ascii="Times New Roman" w:hAnsi="Times New Roman" w:cs="Times New Roman"/>
          <w:sz w:val="24"/>
          <w:szCs w:val="24"/>
        </w:rPr>
      </w:pPr>
      <w:r w:rsidRPr="00547F8D">
        <w:rPr>
          <w:rFonts w:ascii="Times New Roman" w:hAnsi="Times New Roman" w:cs="Times New Roman"/>
          <w:sz w:val="24"/>
          <w:szCs w:val="24"/>
        </w:rPr>
        <w:t>Th</w:t>
      </w:r>
      <w:r w:rsidR="000F72F5">
        <w:rPr>
          <w:rFonts w:ascii="Times New Roman" w:hAnsi="Times New Roman" w:cs="Times New Roman"/>
          <w:sz w:val="24"/>
          <w:szCs w:val="24"/>
        </w:rPr>
        <w:t>e</w:t>
      </w:r>
      <w:r>
        <w:rPr>
          <w:rFonts w:ascii="Times New Roman" w:hAnsi="Times New Roman" w:cs="Times New Roman"/>
          <w:sz w:val="24"/>
          <w:szCs w:val="24"/>
        </w:rPr>
        <w:t>s</w:t>
      </w:r>
      <w:r w:rsidR="000F72F5">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w:t>
      </w:r>
      <w:r w:rsidR="000F72F5">
        <w:rPr>
          <w:rFonts w:ascii="Times New Roman" w:hAnsi="Times New Roman" w:cs="Times New Roman"/>
          <w:sz w:val="24"/>
          <w:szCs w:val="24"/>
        </w:rPr>
        <w:t>s</w:t>
      </w:r>
      <w:r>
        <w:rPr>
          <w:rFonts w:ascii="Times New Roman" w:hAnsi="Times New Roman" w:cs="Times New Roman"/>
          <w:sz w:val="24"/>
          <w:szCs w:val="24"/>
        </w:rPr>
        <w:t xml:space="preserve"> </w:t>
      </w:r>
      <w:r w:rsidR="000F72F5">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95799C5" w14:textId="77777777" w:rsidR="00C9681B" w:rsidRPr="00547F8D" w:rsidRDefault="00C9681B" w:rsidP="00C9681B">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0B2ED23" w14:textId="758DC4DE" w:rsidR="00C9681B" w:rsidRPr="00627E40" w:rsidRDefault="00C9681B" w:rsidP="00C9681B">
      <w:pPr>
        <w:spacing w:before="240" w:after="240"/>
        <w:rPr>
          <w:rFonts w:ascii="Times New Roman" w:hAnsi="Times New Roman" w:cs="Times New Roman"/>
          <w:sz w:val="24"/>
          <w:szCs w:val="24"/>
        </w:rPr>
      </w:pPr>
      <w:r w:rsidRPr="00627E40">
        <w:rPr>
          <w:rFonts w:ascii="Times New Roman" w:hAnsi="Times New Roman" w:cs="Times New Roman"/>
          <w:sz w:val="24"/>
          <w:szCs w:val="24"/>
        </w:rPr>
        <w:t xml:space="preserve">The </w:t>
      </w:r>
      <w:r w:rsidRPr="008B0E90">
        <w:rPr>
          <w:rFonts w:ascii="Times New Roman" w:hAnsi="Times New Roman" w:cs="Times New Roman"/>
          <w:i/>
          <w:sz w:val="24"/>
          <w:szCs w:val="24"/>
        </w:rPr>
        <w:t>Offshore Minerals (</w:t>
      </w:r>
      <w:r w:rsidR="00102EC0" w:rsidRPr="008B0E90">
        <w:rPr>
          <w:rFonts w:ascii="Times New Roman" w:hAnsi="Times New Roman" w:cs="Times New Roman"/>
          <w:i/>
          <w:sz w:val="24"/>
          <w:szCs w:val="24"/>
        </w:rPr>
        <w:t xml:space="preserve">Multiple Applications for </w:t>
      </w:r>
      <w:r w:rsidR="003E719D" w:rsidRPr="008B0E90">
        <w:rPr>
          <w:rFonts w:ascii="Times New Roman" w:hAnsi="Times New Roman" w:cs="Times New Roman"/>
          <w:i/>
          <w:sz w:val="24"/>
          <w:szCs w:val="24"/>
        </w:rPr>
        <w:t xml:space="preserve">Exploration or Mining </w:t>
      </w:r>
      <w:r w:rsidR="00102EC0" w:rsidRPr="008B0E90">
        <w:rPr>
          <w:rFonts w:ascii="Times New Roman" w:hAnsi="Times New Roman" w:cs="Times New Roman"/>
          <w:i/>
          <w:sz w:val="24"/>
          <w:szCs w:val="24"/>
        </w:rPr>
        <w:t>Licences</w:t>
      </w:r>
      <w:r w:rsidRPr="008B0E90">
        <w:rPr>
          <w:rFonts w:ascii="Times New Roman" w:hAnsi="Times New Roman" w:cs="Times New Roman"/>
          <w:i/>
          <w:sz w:val="24"/>
          <w:szCs w:val="24"/>
        </w:rPr>
        <w:t>) Regulations 2018</w:t>
      </w:r>
      <w:r w:rsidRPr="00627E40">
        <w:rPr>
          <w:rFonts w:ascii="Times New Roman" w:hAnsi="Times New Roman" w:cs="Times New Roman"/>
          <w:sz w:val="24"/>
          <w:szCs w:val="24"/>
        </w:rPr>
        <w:t xml:space="preserve"> </w:t>
      </w:r>
      <w:r>
        <w:rPr>
          <w:rFonts w:ascii="Times New Roman" w:hAnsi="Times New Roman" w:cs="Times New Roman"/>
          <w:sz w:val="24"/>
          <w:szCs w:val="24"/>
        </w:rPr>
        <w:t>(</w:t>
      </w:r>
      <w:r w:rsidR="000F72F5">
        <w:rPr>
          <w:rFonts w:ascii="Times New Roman" w:hAnsi="Times New Roman" w:cs="Times New Roman"/>
          <w:sz w:val="24"/>
          <w:szCs w:val="24"/>
        </w:rPr>
        <w:t xml:space="preserve">the </w:t>
      </w:r>
      <w:r>
        <w:rPr>
          <w:rFonts w:ascii="Times New Roman" w:hAnsi="Times New Roman" w:cs="Times New Roman"/>
          <w:sz w:val="24"/>
          <w:szCs w:val="24"/>
        </w:rPr>
        <w:t>2018 Regulations</w:t>
      </w:r>
      <w:r w:rsidRPr="00627E40">
        <w:rPr>
          <w:rFonts w:ascii="Times New Roman" w:hAnsi="Times New Roman" w:cs="Times New Roman"/>
          <w:sz w:val="24"/>
          <w:szCs w:val="24"/>
        </w:rPr>
        <w:t xml:space="preserve">) </w:t>
      </w:r>
      <w:r w:rsidR="000F72F5">
        <w:rPr>
          <w:rFonts w:ascii="Times New Roman" w:hAnsi="Times New Roman" w:cs="Times New Roman"/>
          <w:sz w:val="24"/>
          <w:szCs w:val="24"/>
        </w:rPr>
        <w:t>are</w:t>
      </w:r>
      <w:r w:rsidRPr="00627E40">
        <w:rPr>
          <w:rFonts w:ascii="Times New Roman" w:hAnsi="Times New Roman" w:cs="Times New Roman"/>
          <w:sz w:val="24"/>
          <w:szCs w:val="24"/>
        </w:rPr>
        <w:t xml:space="preserve"> a legislative instrument for the purposes of the </w:t>
      </w:r>
      <w:r w:rsidRPr="00DD3F4D">
        <w:rPr>
          <w:rFonts w:ascii="Times New Roman" w:hAnsi="Times New Roman" w:cs="Times New Roman"/>
          <w:i/>
          <w:sz w:val="24"/>
          <w:szCs w:val="24"/>
        </w:rPr>
        <w:t>Legislation Act 2003</w:t>
      </w:r>
      <w:r w:rsidRPr="00627E40">
        <w:rPr>
          <w:rFonts w:ascii="Times New Roman" w:hAnsi="Times New Roman" w:cs="Times New Roman"/>
          <w:sz w:val="24"/>
          <w:szCs w:val="24"/>
        </w:rPr>
        <w:t>.</w:t>
      </w:r>
    </w:p>
    <w:p w14:paraId="2B403800" w14:textId="25EC5C32" w:rsidR="00C9681B" w:rsidRPr="00627E40" w:rsidRDefault="00C9681B" w:rsidP="00C9681B">
      <w:pPr>
        <w:spacing w:before="240" w:after="240"/>
        <w:rPr>
          <w:rFonts w:ascii="Times New Roman" w:hAnsi="Times New Roman" w:cs="Times New Roman"/>
          <w:sz w:val="24"/>
          <w:szCs w:val="24"/>
        </w:rPr>
      </w:pPr>
      <w:r>
        <w:rPr>
          <w:rFonts w:ascii="Times New Roman" w:hAnsi="Times New Roman" w:cs="Times New Roman"/>
          <w:sz w:val="24"/>
          <w:szCs w:val="24"/>
        </w:rPr>
        <w:t>The 2018 Regulations</w:t>
      </w:r>
      <w:r w:rsidRPr="00627E40">
        <w:rPr>
          <w:rFonts w:ascii="Times New Roman" w:hAnsi="Times New Roman" w:cs="Times New Roman"/>
          <w:sz w:val="24"/>
          <w:szCs w:val="24"/>
        </w:rPr>
        <w:t xml:space="preserve"> </w:t>
      </w:r>
      <w:r w:rsidR="000F72F5">
        <w:rPr>
          <w:rFonts w:ascii="Times New Roman" w:hAnsi="Times New Roman" w:cs="Times New Roman"/>
          <w:sz w:val="24"/>
          <w:szCs w:val="24"/>
        </w:rPr>
        <w:t>are</w:t>
      </w:r>
      <w:r w:rsidR="000F72F5" w:rsidRPr="00627E40">
        <w:rPr>
          <w:rFonts w:ascii="Times New Roman" w:hAnsi="Times New Roman" w:cs="Times New Roman"/>
          <w:sz w:val="24"/>
          <w:szCs w:val="24"/>
        </w:rPr>
        <w:t xml:space="preserve"> </w:t>
      </w:r>
      <w:r w:rsidRPr="00627E40">
        <w:rPr>
          <w:rFonts w:ascii="Times New Roman" w:hAnsi="Times New Roman" w:cs="Times New Roman"/>
          <w:sz w:val="24"/>
          <w:szCs w:val="24"/>
        </w:rPr>
        <w:t xml:space="preserve">prepared under </w:t>
      </w:r>
      <w:r>
        <w:rPr>
          <w:rFonts w:ascii="Times New Roman" w:hAnsi="Times New Roman" w:cs="Times New Roman"/>
          <w:sz w:val="24"/>
          <w:szCs w:val="24"/>
        </w:rPr>
        <w:t>section 440</w:t>
      </w:r>
      <w:r w:rsidRPr="00627E40">
        <w:rPr>
          <w:rFonts w:ascii="Times New Roman" w:hAnsi="Times New Roman" w:cs="Times New Roman"/>
          <w:sz w:val="24"/>
          <w:szCs w:val="24"/>
        </w:rPr>
        <w:t xml:space="preserve"> of the </w:t>
      </w:r>
      <w:r w:rsidRPr="00DD3F4D">
        <w:rPr>
          <w:rFonts w:ascii="Times New Roman" w:hAnsi="Times New Roman" w:cs="Times New Roman"/>
          <w:i/>
          <w:sz w:val="24"/>
          <w:szCs w:val="24"/>
        </w:rPr>
        <w:t xml:space="preserve">Offshore Minerals Act </w:t>
      </w:r>
      <w:r w:rsidR="000F72F5">
        <w:rPr>
          <w:rFonts w:ascii="Times New Roman" w:hAnsi="Times New Roman" w:cs="Times New Roman"/>
          <w:i/>
          <w:sz w:val="24"/>
          <w:szCs w:val="24"/>
        </w:rPr>
        <w:t>1994</w:t>
      </w:r>
      <w:r w:rsidRPr="00DD3F4D">
        <w:rPr>
          <w:rFonts w:ascii="Times New Roman" w:hAnsi="Times New Roman" w:cs="Times New Roman"/>
          <w:sz w:val="24"/>
          <w:szCs w:val="24"/>
        </w:rPr>
        <w:t xml:space="preserve"> </w:t>
      </w:r>
      <w:r w:rsidRPr="00627E40">
        <w:rPr>
          <w:rFonts w:ascii="Times New Roman" w:hAnsi="Times New Roman" w:cs="Times New Roman"/>
          <w:sz w:val="24"/>
          <w:szCs w:val="24"/>
        </w:rPr>
        <w:t>(the</w:t>
      </w:r>
      <w:r>
        <w:rPr>
          <w:rFonts w:ascii="Times New Roman" w:hAnsi="Times New Roman" w:cs="Times New Roman"/>
          <w:sz w:val="24"/>
          <w:szCs w:val="24"/>
        </w:rPr>
        <w:t> </w:t>
      </w:r>
      <w:r w:rsidRPr="00627E40">
        <w:rPr>
          <w:rFonts w:ascii="Times New Roman" w:hAnsi="Times New Roman" w:cs="Times New Roman"/>
          <w:sz w:val="24"/>
          <w:szCs w:val="24"/>
        </w:rPr>
        <w:t xml:space="preserve">Act), and repeal and remake the </w:t>
      </w:r>
      <w:r w:rsidR="006673B8">
        <w:rPr>
          <w:rFonts w:ascii="Times New Roman" w:hAnsi="Times New Roman" w:cs="Times New Roman"/>
          <w:i/>
          <w:sz w:val="24"/>
          <w:szCs w:val="24"/>
        </w:rPr>
        <w:t xml:space="preserve">Offshore Minerals (Ballot Procedures) Regulations </w:t>
      </w:r>
      <w:r w:rsidRPr="00627E40">
        <w:rPr>
          <w:rFonts w:ascii="Times New Roman" w:hAnsi="Times New Roman" w:cs="Times New Roman"/>
          <w:sz w:val="24"/>
          <w:szCs w:val="24"/>
        </w:rPr>
        <w:t>(</w:t>
      </w:r>
      <w:r w:rsidR="006673B8">
        <w:rPr>
          <w:rFonts w:ascii="Times New Roman" w:hAnsi="Times New Roman" w:cs="Times New Roman"/>
          <w:sz w:val="24"/>
          <w:szCs w:val="24"/>
        </w:rPr>
        <w:t>the sunsetting </w:t>
      </w:r>
      <w:r>
        <w:rPr>
          <w:rFonts w:ascii="Times New Roman" w:hAnsi="Times New Roman" w:cs="Times New Roman"/>
          <w:sz w:val="24"/>
          <w:szCs w:val="24"/>
        </w:rPr>
        <w:t>Regulations</w:t>
      </w:r>
      <w:r w:rsidRPr="00627E40">
        <w:rPr>
          <w:rFonts w:ascii="Times New Roman" w:hAnsi="Times New Roman" w:cs="Times New Roman"/>
          <w:sz w:val="24"/>
          <w:szCs w:val="24"/>
        </w:rPr>
        <w:t>),</w:t>
      </w:r>
      <w:r>
        <w:rPr>
          <w:rFonts w:ascii="Times New Roman" w:hAnsi="Times New Roman" w:cs="Times New Roman"/>
          <w:sz w:val="24"/>
          <w:szCs w:val="24"/>
        </w:rPr>
        <w:t xml:space="preserve"> due to sunset on 1 October 2018</w:t>
      </w:r>
      <w:r w:rsidRPr="00627E40">
        <w:rPr>
          <w:rFonts w:ascii="Times New Roman" w:hAnsi="Times New Roman" w:cs="Times New Roman"/>
          <w:sz w:val="24"/>
          <w:szCs w:val="24"/>
        </w:rPr>
        <w:t>.</w:t>
      </w:r>
    </w:p>
    <w:p w14:paraId="0F72C96D" w14:textId="7DB38F9C" w:rsidR="006673B8" w:rsidRPr="00627E40" w:rsidRDefault="00C9681B" w:rsidP="00546F43">
      <w:pPr>
        <w:spacing w:before="240" w:after="240"/>
        <w:rPr>
          <w:rFonts w:ascii="Times New Roman" w:hAnsi="Times New Roman" w:cs="Times New Roman"/>
          <w:sz w:val="24"/>
          <w:szCs w:val="24"/>
        </w:rPr>
      </w:pPr>
      <w:r w:rsidRPr="009C6570">
        <w:rPr>
          <w:rFonts w:ascii="Times New Roman" w:hAnsi="Times New Roman" w:cs="Times New Roman"/>
          <w:sz w:val="24"/>
          <w:szCs w:val="24"/>
        </w:rPr>
        <w:t xml:space="preserve">The </w:t>
      </w:r>
      <w:r w:rsidR="006673B8" w:rsidRPr="009C6570">
        <w:rPr>
          <w:rFonts w:ascii="Times New Roman" w:hAnsi="Times New Roman" w:cs="Times New Roman"/>
          <w:sz w:val="24"/>
          <w:szCs w:val="24"/>
        </w:rPr>
        <w:t xml:space="preserve">sunsetting </w:t>
      </w:r>
      <w:r w:rsidRPr="009C6570">
        <w:rPr>
          <w:rFonts w:ascii="Times New Roman" w:hAnsi="Times New Roman" w:cs="Times New Roman"/>
          <w:sz w:val="24"/>
          <w:szCs w:val="24"/>
        </w:rPr>
        <w:t>Regulations prescribe</w:t>
      </w:r>
      <w:r w:rsidR="009C6570">
        <w:rPr>
          <w:rFonts w:ascii="Times New Roman" w:hAnsi="Times New Roman" w:cs="Times New Roman"/>
          <w:sz w:val="24"/>
          <w:szCs w:val="24"/>
        </w:rPr>
        <w:t>,</w:t>
      </w:r>
      <w:r w:rsidRPr="009C6570">
        <w:rPr>
          <w:rFonts w:ascii="Times New Roman" w:hAnsi="Times New Roman" w:cs="Times New Roman"/>
          <w:sz w:val="24"/>
          <w:szCs w:val="24"/>
        </w:rPr>
        <w:t xml:space="preserve"> </w:t>
      </w:r>
      <w:r w:rsidR="009C6570">
        <w:rPr>
          <w:rFonts w:ascii="Times New Roman" w:hAnsi="Times New Roman" w:cs="Times New Roman"/>
          <w:sz w:val="24"/>
          <w:szCs w:val="24"/>
        </w:rPr>
        <w:t xml:space="preserve">for the purposes of the Act, </w:t>
      </w:r>
      <w:r w:rsidRPr="009C6570">
        <w:rPr>
          <w:rFonts w:ascii="Times New Roman" w:hAnsi="Times New Roman" w:cs="Times New Roman"/>
          <w:sz w:val="24"/>
          <w:szCs w:val="24"/>
        </w:rPr>
        <w:t xml:space="preserve">the </w:t>
      </w:r>
      <w:r w:rsidR="009C6570">
        <w:rPr>
          <w:rFonts w:ascii="Times New Roman" w:hAnsi="Times New Roman" w:cs="Times New Roman"/>
          <w:sz w:val="24"/>
          <w:szCs w:val="24"/>
        </w:rPr>
        <w:t xml:space="preserve">procedure for determining the order in </w:t>
      </w:r>
      <w:r w:rsidR="006673B8" w:rsidRPr="009C6570">
        <w:rPr>
          <w:rFonts w:ascii="Times New Roman" w:hAnsi="Times New Roman" w:cs="Times New Roman"/>
          <w:sz w:val="24"/>
          <w:szCs w:val="24"/>
        </w:rPr>
        <w:t xml:space="preserve">which multiple applications for </w:t>
      </w:r>
      <w:r w:rsidR="000A5186">
        <w:rPr>
          <w:rFonts w:ascii="Times New Roman" w:hAnsi="Times New Roman" w:cs="Times New Roman"/>
          <w:sz w:val="24"/>
          <w:szCs w:val="24"/>
        </w:rPr>
        <w:t xml:space="preserve">an exploration licence or mining licence covering </w:t>
      </w:r>
      <w:r w:rsidR="000C79AC">
        <w:rPr>
          <w:rFonts w:ascii="Times New Roman" w:hAnsi="Times New Roman" w:cs="Times New Roman"/>
          <w:sz w:val="24"/>
          <w:szCs w:val="24"/>
        </w:rPr>
        <w:t>a block</w:t>
      </w:r>
      <w:r w:rsidR="006673B8" w:rsidRPr="009C6570">
        <w:rPr>
          <w:rFonts w:ascii="Times New Roman" w:hAnsi="Times New Roman" w:cs="Times New Roman"/>
          <w:sz w:val="24"/>
          <w:szCs w:val="24"/>
        </w:rPr>
        <w:t xml:space="preserve"> will be considered</w:t>
      </w:r>
      <w:r w:rsidR="009C6570">
        <w:rPr>
          <w:rFonts w:ascii="Times New Roman" w:hAnsi="Times New Roman" w:cs="Times New Roman"/>
          <w:sz w:val="24"/>
          <w:szCs w:val="24"/>
        </w:rPr>
        <w:t xml:space="preserve">, when those applications are received within a </w:t>
      </w:r>
      <w:r w:rsidR="000A5186">
        <w:rPr>
          <w:rFonts w:ascii="Times New Roman" w:hAnsi="Times New Roman" w:cs="Times New Roman"/>
          <w:sz w:val="24"/>
          <w:szCs w:val="24"/>
        </w:rPr>
        <w:t>prescribed</w:t>
      </w:r>
      <w:r w:rsidR="009C6570">
        <w:rPr>
          <w:rFonts w:ascii="Times New Roman" w:hAnsi="Times New Roman" w:cs="Times New Roman"/>
          <w:sz w:val="24"/>
          <w:szCs w:val="24"/>
        </w:rPr>
        <w:t xml:space="preserve"> time of each other</w:t>
      </w:r>
      <w:r w:rsidR="006673B8" w:rsidRPr="009C6570">
        <w:rPr>
          <w:rFonts w:ascii="Times New Roman" w:hAnsi="Times New Roman" w:cs="Times New Roman"/>
          <w:sz w:val="24"/>
          <w:szCs w:val="24"/>
        </w:rPr>
        <w:t xml:space="preserve">. The </w:t>
      </w:r>
      <w:r w:rsidR="009C6570">
        <w:rPr>
          <w:rFonts w:ascii="Times New Roman" w:hAnsi="Times New Roman" w:cs="Times New Roman"/>
          <w:sz w:val="24"/>
          <w:szCs w:val="24"/>
        </w:rPr>
        <w:t>matters</w:t>
      </w:r>
      <w:r w:rsidR="006673B8" w:rsidRPr="009C6570">
        <w:rPr>
          <w:rFonts w:ascii="Times New Roman" w:hAnsi="Times New Roman" w:cs="Times New Roman"/>
          <w:sz w:val="24"/>
          <w:szCs w:val="24"/>
        </w:rPr>
        <w:t xml:space="preserve"> prescribed include the </w:t>
      </w:r>
      <w:r w:rsidR="009C6570">
        <w:rPr>
          <w:rFonts w:ascii="Times New Roman" w:hAnsi="Times New Roman" w:cs="Times New Roman"/>
          <w:sz w:val="24"/>
          <w:szCs w:val="24"/>
        </w:rPr>
        <w:t xml:space="preserve">relevant </w:t>
      </w:r>
      <w:r w:rsidR="006673B8" w:rsidRPr="009C6570">
        <w:rPr>
          <w:rFonts w:ascii="Times New Roman" w:hAnsi="Times New Roman" w:cs="Times New Roman"/>
          <w:sz w:val="24"/>
          <w:szCs w:val="24"/>
        </w:rPr>
        <w:t>time</w:t>
      </w:r>
      <w:r w:rsidR="009C6570">
        <w:rPr>
          <w:rFonts w:ascii="Times New Roman" w:hAnsi="Times New Roman" w:cs="Times New Roman"/>
          <w:sz w:val="24"/>
          <w:szCs w:val="24"/>
        </w:rPr>
        <w:t>frame</w:t>
      </w:r>
      <w:r w:rsidR="006673B8" w:rsidRPr="009C6570">
        <w:rPr>
          <w:rFonts w:ascii="Times New Roman" w:hAnsi="Times New Roman" w:cs="Times New Roman"/>
          <w:sz w:val="24"/>
          <w:szCs w:val="24"/>
        </w:rPr>
        <w:t xml:space="preserve"> and the procedure</w:t>
      </w:r>
      <w:r w:rsidR="009C6570">
        <w:rPr>
          <w:rFonts w:ascii="Times New Roman" w:hAnsi="Times New Roman" w:cs="Times New Roman"/>
          <w:sz w:val="24"/>
          <w:szCs w:val="24"/>
        </w:rPr>
        <w:t xml:space="preserve"> for determining the order of consideration of applications</w:t>
      </w:r>
      <w:r w:rsidR="000C79AC">
        <w:rPr>
          <w:rFonts w:ascii="Times New Roman" w:hAnsi="Times New Roman" w:cs="Times New Roman"/>
          <w:sz w:val="24"/>
          <w:szCs w:val="24"/>
        </w:rPr>
        <w:t xml:space="preserve"> by the drawing of lots</w:t>
      </w:r>
      <w:r w:rsidR="006673B8" w:rsidRPr="009C6570">
        <w:rPr>
          <w:rFonts w:ascii="Times New Roman" w:hAnsi="Times New Roman" w:cs="Times New Roman"/>
          <w:sz w:val="24"/>
          <w:szCs w:val="24"/>
        </w:rPr>
        <w:t xml:space="preserve">. </w:t>
      </w:r>
      <w:r w:rsidR="006673B8">
        <w:rPr>
          <w:rFonts w:ascii="Times New Roman" w:hAnsi="Times New Roman" w:cs="Times New Roman"/>
          <w:sz w:val="24"/>
          <w:szCs w:val="24"/>
        </w:rPr>
        <w:t xml:space="preserve">A review of the sunsetting Regulations </w:t>
      </w:r>
      <w:r w:rsidR="006673B8" w:rsidRPr="00E447DE">
        <w:rPr>
          <w:rFonts w:ascii="Times New Roman" w:hAnsi="Times New Roman" w:cs="Times New Roman"/>
          <w:sz w:val="24"/>
          <w:szCs w:val="24"/>
        </w:rPr>
        <w:t xml:space="preserve">determined that the Regulations </w:t>
      </w:r>
      <w:r w:rsidR="006673B8">
        <w:rPr>
          <w:rFonts w:ascii="Times New Roman" w:hAnsi="Times New Roman" w:cs="Times New Roman"/>
          <w:sz w:val="24"/>
          <w:szCs w:val="24"/>
        </w:rPr>
        <w:t>are</w:t>
      </w:r>
      <w:r w:rsidR="006673B8" w:rsidRPr="00E447DE">
        <w:rPr>
          <w:rFonts w:ascii="Times New Roman" w:hAnsi="Times New Roman" w:cs="Times New Roman"/>
          <w:sz w:val="24"/>
          <w:szCs w:val="24"/>
        </w:rPr>
        <w:t xml:space="preserve"> still required</w:t>
      </w:r>
      <w:r w:rsidR="006673B8">
        <w:rPr>
          <w:rFonts w:ascii="Times New Roman" w:hAnsi="Times New Roman" w:cs="Times New Roman"/>
          <w:sz w:val="24"/>
          <w:szCs w:val="24"/>
        </w:rPr>
        <w:t>.</w:t>
      </w:r>
      <w:r w:rsidR="006673B8" w:rsidRPr="00E447DE">
        <w:rPr>
          <w:rFonts w:ascii="Times New Roman" w:hAnsi="Times New Roman" w:cs="Times New Roman"/>
          <w:sz w:val="24"/>
          <w:szCs w:val="24"/>
        </w:rPr>
        <w:t xml:space="preserve"> </w:t>
      </w:r>
      <w:r w:rsidR="006673B8">
        <w:rPr>
          <w:rFonts w:ascii="Times New Roman" w:hAnsi="Times New Roman" w:cs="Times New Roman"/>
          <w:sz w:val="24"/>
          <w:szCs w:val="24"/>
        </w:rPr>
        <w:t>The 2018 Regulations remake the sunsetting Regulations without substantive change</w:t>
      </w:r>
      <w:r w:rsidR="006673B8" w:rsidRPr="00E447DE">
        <w:rPr>
          <w:rFonts w:ascii="Times New Roman" w:hAnsi="Times New Roman" w:cs="Times New Roman"/>
          <w:sz w:val="24"/>
          <w:szCs w:val="24"/>
        </w:rPr>
        <w:t>.</w:t>
      </w:r>
    </w:p>
    <w:p w14:paraId="70D214CF" w14:textId="77777777" w:rsidR="00C9681B" w:rsidRPr="00DD3F4D" w:rsidRDefault="00C9681B" w:rsidP="00C9681B">
      <w:pPr>
        <w:spacing w:after="240"/>
        <w:rPr>
          <w:rFonts w:ascii="Times New Roman" w:hAnsi="Times New Roman" w:cs="Times New Roman"/>
          <w:b/>
          <w:sz w:val="24"/>
          <w:szCs w:val="24"/>
        </w:rPr>
      </w:pPr>
      <w:r w:rsidRPr="00DD3F4D">
        <w:rPr>
          <w:rFonts w:ascii="Times New Roman" w:hAnsi="Times New Roman" w:cs="Times New Roman"/>
          <w:b/>
          <w:sz w:val="24"/>
          <w:szCs w:val="24"/>
        </w:rPr>
        <w:t>Human rights implications</w:t>
      </w:r>
    </w:p>
    <w:p w14:paraId="46753F83" w14:textId="77777777" w:rsidR="00C9681B" w:rsidRPr="00627E40" w:rsidRDefault="00C9681B" w:rsidP="00C9681B">
      <w:pPr>
        <w:spacing w:before="240" w:after="240"/>
        <w:rPr>
          <w:rFonts w:ascii="Times New Roman" w:hAnsi="Times New Roman" w:cs="Times New Roman"/>
          <w:sz w:val="24"/>
          <w:szCs w:val="24"/>
        </w:rPr>
      </w:pPr>
      <w:r w:rsidRPr="00627E40">
        <w:rPr>
          <w:rFonts w:ascii="Times New Roman" w:hAnsi="Times New Roman" w:cs="Times New Roman"/>
          <w:sz w:val="24"/>
          <w:szCs w:val="24"/>
        </w:rPr>
        <w:t xml:space="preserve">The </w:t>
      </w:r>
      <w:r>
        <w:rPr>
          <w:rFonts w:ascii="Times New Roman" w:hAnsi="Times New Roman" w:cs="Times New Roman"/>
          <w:sz w:val="24"/>
          <w:szCs w:val="24"/>
        </w:rPr>
        <w:t>2018 Regulations</w:t>
      </w:r>
      <w:r w:rsidRPr="00627E40">
        <w:rPr>
          <w:rFonts w:ascii="Times New Roman" w:hAnsi="Times New Roman" w:cs="Times New Roman"/>
          <w:sz w:val="24"/>
          <w:szCs w:val="24"/>
        </w:rPr>
        <w:t xml:space="preserve"> do not engage any of the applicable rights or freedoms.</w:t>
      </w:r>
    </w:p>
    <w:p w14:paraId="29A9800D" w14:textId="77777777" w:rsidR="00C9681B" w:rsidRPr="00DD3F4D" w:rsidRDefault="00C9681B" w:rsidP="00C9681B">
      <w:pPr>
        <w:spacing w:before="240" w:after="240"/>
        <w:rPr>
          <w:rFonts w:ascii="Times New Roman" w:hAnsi="Times New Roman" w:cs="Times New Roman"/>
          <w:b/>
          <w:sz w:val="24"/>
          <w:szCs w:val="24"/>
        </w:rPr>
      </w:pPr>
      <w:r w:rsidRPr="00DD3F4D">
        <w:rPr>
          <w:rFonts w:ascii="Times New Roman" w:hAnsi="Times New Roman" w:cs="Times New Roman"/>
          <w:b/>
          <w:sz w:val="24"/>
          <w:szCs w:val="24"/>
        </w:rPr>
        <w:t>Conclusion</w:t>
      </w:r>
    </w:p>
    <w:p w14:paraId="23675858" w14:textId="24C9D8CC" w:rsidR="00547F8D" w:rsidRPr="00547F8D" w:rsidRDefault="00C9681B" w:rsidP="00C9681B">
      <w:pPr>
        <w:spacing w:before="120" w:after="120"/>
        <w:rPr>
          <w:rFonts w:ascii="Times New Roman" w:hAnsi="Times New Roman" w:cs="Times New Roman"/>
          <w:sz w:val="24"/>
          <w:szCs w:val="24"/>
        </w:rPr>
      </w:pPr>
      <w:r w:rsidRPr="003E1C77">
        <w:rPr>
          <w:rFonts w:ascii="Times New Roman" w:hAnsi="Times New Roman" w:cs="Times New Roman"/>
          <w:sz w:val="24"/>
          <w:szCs w:val="24"/>
        </w:rPr>
        <w:t xml:space="preserve">The </w:t>
      </w:r>
      <w:r w:rsidR="009C6570">
        <w:rPr>
          <w:rFonts w:ascii="Times New Roman" w:hAnsi="Times New Roman" w:cs="Times New Roman"/>
          <w:sz w:val="24"/>
          <w:szCs w:val="24"/>
        </w:rPr>
        <w:t xml:space="preserve">2018 </w:t>
      </w:r>
      <w:r w:rsidRPr="003E1C77">
        <w:rPr>
          <w:rFonts w:ascii="Times New Roman" w:hAnsi="Times New Roman" w:cs="Times New Roman"/>
          <w:sz w:val="24"/>
          <w:szCs w:val="24"/>
        </w:rPr>
        <w:t>Regulations are compatible with human rights, as they do not raise any human rights issues.</w:t>
      </w:r>
    </w:p>
    <w:p w14:paraId="2581694C" w14:textId="77777777" w:rsidR="006673B8" w:rsidRPr="00547F8D" w:rsidRDefault="006673B8" w:rsidP="006673B8">
      <w:pPr>
        <w:spacing w:before="120" w:after="120"/>
        <w:jc w:val="center"/>
        <w:rPr>
          <w:rFonts w:ascii="Times New Roman" w:hAnsi="Times New Roman" w:cs="Times New Roman"/>
          <w:sz w:val="24"/>
          <w:szCs w:val="24"/>
        </w:rPr>
      </w:pPr>
    </w:p>
    <w:p w14:paraId="70B15B1A" w14:textId="4D9DDDD6" w:rsidR="006673B8" w:rsidRPr="00546F43" w:rsidRDefault="006673B8" w:rsidP="006673B8">
      <w:pPr>
        <w:spacing w:line="240" w:lineRule="auto"/>
        <w:jc w:val="center"/>
        <w:rPr>
          <w:rFonts w:ascii="Times New Roman" w:hAnsi="Times New Roman"/>
          <w:b/>
          <w:sz w:val="24"/>
          <w:szCs w:val="24"/>
        </w:rPr>
      </w:pPr>
      <w:r w:rsidRPr="00546F43">
        <w:rPr>
          <w:rFonts w:ascii="Times New Roman" w:hAnsi="Times New Roman"/>
          <w:b/>
          <w:sz w:val="24"/>
          <w:szCs w:val="24"/>
        </w:rPr>
        <w:t>Senator the Hon Matt Canavan</w:t>
      </w:r>
    </w:p>
    <w:p w14:paraId="5F00F41F" w14:textId="77777777" w:rsidR="006673B8" w:rsidRPr="00546F43" w:rsidRDefault="006673B8" w:rsidP="006673B8">
      <w:pPr>
        <w:spacing w:line="240" w:lineRule="auto"/>
        <w:jc w:val="center"/>
        <w:rPr>
          <w:rFonts w:ascii="Times New Roman" w:hAnsi="Times New Roman"/>
          <w:b/>
          <w:sz w:val="24"/>
          <w:szCs w:val="24"/>
        </w:rPr>
      </w:pPr>
      <w:r w:rsidRPr="00546F43">
        <w:rPr>
          <w:rFonts w:ascii="Times New Roman" w:hAnsi="Times New Roman"/>
          <w:b/>
          <w:sz w:val="24"/>
          <w:szCs w:val="24"/>
        </w:rPr>
        <w:t>Minister for Resources and Northern Australia</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23DDE" w14:textId="77777777" w:rsidR="001F5ECE" w:rsidRDefault="001F5ECE" w:rsidP="001F5ECE">
      <w:pPr>
        <w:spacing w:after="0" w:line="240" w:lineRule="auto"/>
      </w:pPr>
      <w:r>
        <w:separator/>
      </w:r>
    </w:p>
  </w:endnote>
  <w:endnote w:type="continuationSeparator" w:id="0">
    <w:p w14:paraId="4EDDB807" w14:textId="77777777" w:rsidR="001F5ECE" w:rsidRDefault="001F5ECE" w:rsidP="001F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4768"/>
      <w:docPartObj>
        <w:docPartGallery w:val="Page Numbers (Bottom of Page)"/>
        <w:docPartUnique/>
      </w:docPartObj>
    </w:sdtPr>
    <w:sdtEndPr>
      <w:rPr>
        <w:noProof/>
      </w:rPr>
    </w:sdtEndPr>
    <w:sdtContent>
      <w:p w14:paraId="2F9B6DF5" w14:textId="46530BB7" w:rsidR="001F5ECE" w:rsidRDefault="001F5ECE">
        <w:pPr>
          <w:pStyle w:val="Footer"/>
          <w:jc w:val="center"/>
        </w:pPr>
        <w:r>
          <w:fldChar w:fldCharType="begin"/>
        </w:r>
        <w:r>
          <w:instrText xml:space="preserve"> PAGE   \* MERGEFORMAT </w:instrText>
        </w:r>
        <w:r>
          <w:fldChar w:fldCharType="separate"/>
        </w:r>
        <w:r w:rsidR="003B38A2">
          <w:rPr>
            <w:noProof/>
          </w:rPr>
          <w:t>1</w:t>
        </w:r>
        <w:r>
          <w:rPr>
            <w:noProof/>
          </w:rPr>
          <w:fldChar w:fldCharType="end"/>
        </w:r>
      </w:p>
    </w:sdtContent>
  </w:sdt>
  <w:p w14:paraId="2BBDC8D5" w14:textId="77777777" w:rsidR="001F5ECE" w:rsidRDefault="001F5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F81D2" w14:textId="77777777" w:rsidR="001F5ECE" w:rsidRDefault="001F5ECE" w:rsidP="001F5ECE">
      <w:pPr>
        <w:spacing w:after="0" w:line="240" w:lineRule="auto"/>
      </w:pPr>
      <w:r>
        <w:separator/>
      </w:r>
    </w:p>
  </w:footnote>
  <w:footnote w:type="continuationSeparator" w:id="0">
    <w:p w14:paraId="47F56BE4" w14:textId="77777777" w:rsidR="001F5ECE" w:rsidRDefault="001F5ECE" w:rsidP="001F5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751FE"/>
    <w:multiLevelType w:val="hybridMultilevel"/>
    <w:tmpl w:val="EBBE9DA0"/>
    <w:lvl w:ilvl="0" w:tplc="2FAC69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34D"/>
    <w:rsid w:val="00016C01"/>
    <w:rsid w:val="000409F3"/>
    <w:rsid w:val="00040EE3"/>
    <w:rsid w:val="00066ABB"/>
    <w:rsid w:val="00075215"/>
    <w:rsid w:val="000A5186"/>
    <w:rsid w:val="000C720B"/>
    <w:rsid w:val="000C79AC"/>
    <w:rsid w:val="000D0E22"/>
    <w:rsid w:val="000F612D"/>
    <w:rsid w:val="000F72F5"/>
    <w:rsid w:val="00102EC0"/>
    <w:rsid w:val="001270A2"/>
    <w:rsid w:val="0013767C"/>
    <w:rsid w:val="001442F5"/>
    <w:rsid w:val="00150B9D"/>
    <w:rsid w:val="0015535C"/>
    <w:rsid w:val="00176597"/>
    <w:rsid w:val="00195379"/>
    <w:rsid w:val="001A5CD2"/>
    <w:rsid w:val="001B67BD"/>
    <w:rsid w:val="001C4195"/>
    <w:rsid w:val="001D4E0C"/>
    <w:rsid w:val="001F2F8F"/>
    <w:rsid w:val="001F5ECE"/>
    <w:rsid w:val="00224C6F"/>
    <w:rsid w:val="00264259"/>
    <w:rsid w:val="00285F2D"/>
    <w:rsid w:val="00291317"/>
    <w:rsid w:val="002914B1"/>
    <w:rsid w:val="002A1E94"/>
    <w:rsid w:val="002D354C"/>
    <w:rsid w:val="002E21B2"/>
    <w:rsid w:val="002E3895"/>
    <w:rsid w:val="002F501D"/>
    <w:rsid w:val="00325D26"/>
    <w:rsid w:val="00337386"/>
    <w:rsid w:val="003540A1"/>
    <w:rsid w:val="0036624C"/>
    <w:rsid w:val="00366EF0"/>
    <w:rsid w:val="00396C31"/>
    <w:rsid w:val="003A16F2"/>
    <w:rsid w:val="003B38A2"/>
    <w:rsid w:val="003B49E0"/>
    <w:rsid w:val="003C41F0"/>
    <w:rsid w:val="003D019A"/>
    <w:rsid w:val="003E719D"/>
    <w:rsid w:val="004023EB"/>
    <w:rsid w:val="00417132"/>
    <w:rsid w:val="00436B9B"/>
    <w:rsid w:val="00440295"/>
    <w:rsid w:val="004425E2"/>
    <w:rsid w:val="00450617"/>
    <w:rsid w:val="004521CC"/>
    <w:rsid w:val="00471A11"/>
    <w:rsid w:val="00477E16"/>
    <w:rsid w:val="00487F60"/>
    <w:rsid w:val="00493031"/>
    <w:rsid w:val="004B04C1"/>
    <w:rsid w:val="004C6554"/>
    <w:rsid w:val="004D20BA"/>
    <w:rsid w:val="004D6A51"/>
    <w:rsid w:val="00504CBC"/>
    <w:rsid w:val="00520510"/>
    <w:rsid w:val="00521C8C"/>
    <w:rsid w:val="00523224"/>
    <w:rsid w:val="00542DA2"/>
    <w:rsid w:val="00545B39"/>
    <w:rsid w:val="00546F43"/>
    <w:rsid w:val="00547F8D"/>
    <w:rsid w:val="00552793"/>
    <w:rsid w:val="005528E7"/>
    <w:rsid w:val="00570A22"/>
    <w:rsid w:val="005A3BCF"/>
    <w:rsid w:val="005B1948"/>
    <w:rsid w:val="005D043C"/>
    <w:rsid w:val="005E5057"/>
    <w:rsid w:val="005F7CE2"/>
    <w:rsid w:val="006422A1"/>
    <w:rsid w:val="006472E0"/>
    <w:rsid w:val="006673B8"/>
    <w:rsid w:val="00670BD1"/>
    <w:rsid w:val="006745C3"/>
    <w:rsid w:val="006B14D3"/>
    <w:rsid w:val="006F6729"/>
    <w:rsid w:val="007013FE"/>
    <w:rsid w:val="00702529"/>
    <w:rsid w:val="0072540E"/>
    <w:rsid w:val="0072715E"/>
    <w:rsid w:val="00737CA1"/>
    <w:rsid w:val="00737ECC"/>
    <w:rsid w:val="007838DB"/>
    <w:rsid w:val="007A6901"/>
    <w:rsid w:val="008029A6"/>
    <w:rsid w:val="00821835"/>
    <w:rsid w:val="008475A6"/>
    <w:rsid w:val="008673BC"/>
    <w:rsid w:val="00870AEE"/>
    <w:rsid w:val="00876812"/>
    <w:rsid w:val="00880AA0"/>
    <w:rsid w:val="00882263"/>
    <w:rsid w:val="008B0E90"/>
    <w:rsid w:val="008C0C38"/>
    <w:rsid w:val="008C6C07"/>
    <w:rsid w:val="008E2EA6"/>
    <w:rsid w:val="008E67F1"/>
    <w:rsid w:val="0091465E"/>
    <w:rsid w:val="009148B2"/>
    <w:rsid w:val="009224DC"/>
    <w:rsid w:val="00953646"/>
    <w:rsid w:val="00972D0E"/>
    <w:rsid w:val="009907D6"/>
    <w:rsid w:val="00992055"/>
    <w:rsid w:val="009A2E73"/>
    <w:rsid w:val="009C6570"/>
    <w:rsid w:val="009E7BE3"/>
    <w:rsid w:val="00A234C9"/>
    <w:rsid w:val="00A449A1"/>
    <w:rsid w:val="00A649FA"/>
    <w:rsid w:val="00A80F70"/>
    <w:rsid w:val="00A83F43"/>
    <w:rsid w:val="00AA24FE"/>
    <w:rsid w:val="00AA2870"/>
    <w:rsid w:val="00AB1AF1"/>
    <w:rsid w:val="00AC54FA"/>
    <w:rsid w:val="00AC5E54"/>
    <w:rsid w:val="00AE7244"/>
    <w:rsid w:val="00B03EA2"/>
    <w:rsid w:val="00B22F1D"/>
    <w:rsid w:val="00B432B3"/>
    <w:rsid w:val="00B44185"/>
    <w:rsid w:val="00B4616C"/>
    <w:rsid w:val="00B82A67"/>
    <w:rsid w:val="00B92694"/>
    <w:rsid w:val="00BB4C36"/>
    <w:rsid w:val="00BC46F2"/>
    <w:rsid w:val="00BC6B21"/>
    <w:rsid w:val="00BE264E"/>
    <w:rsid w:val="00C27623"/>
    <w:rsid w:val="00C34BB3"/>
    <w:rsid w:val="00C45059"/>
    <w:rsid w:val="00C5630E"/>
    <w:rsid w:val="00C62E13"/>
    <w:rsid w:val="00C63538"/>
    <w:rsid w:val="00C64546"/>
    <w:rsid w:val="00C715E8"/>
    <w:rsid w:val="00C74710"/>
    <w:rsid w:val="00C7798B"/>
    <w:rsid w:val="00C9681B"/>
    <w:rsid w:val="00CA26A0"/>
    <w:rsid w:val="00CA361B"/>
    <w:rsid w:val="00CB0EFB"/>
    <w:rsid w:val="00CE3EF5"/>
    <w:rsid w:val="00CF2DA6"/>
    <w:rsid w:val="00D0088A"/>
    <w:rsid w:val="00D01B6C"/>
    <w:rsid w:val="00D3615A"/>
    <w:rsid w:val="00D369E8"/>
    <w:rsid w:val="00D45DFF"/>
    <w:rsid w:val="00D53101"/>
    <w:rsid w:val="00D71A16"/>
    <w:rsid w:val="00DA31FB"/>
    <w:rsid w:val="00DC002A"/>
    <w:rsid w:val="00DF78AE"/>
    <w:rsid w:val="00E14905"/>
    <w:rsid w:val="00E205CD"/>
    <w:rsid w:val="00E81346"/>
    <w:rsid w:val="00E82E7C"/>
    <w:rsid w:val="00E85758"/>
    <w:rsid w:val="00EC37F2"/>
    <w:rsid w:val="00EC6D53"/>
    <w:rsid w:val="00ED0039"/>
    <w:rsid w:val="00F05F4B"/>
    <w:rsid w:val="00F51C83"/>
    <w:rsid w:val="00F70A4E"/>
    <w:rsid w:val="00F95F7A"/>
    <w:rsid w:val="00FE2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E9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527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9681B"/>
    <w:rPr>
      <w:sz w:val="16"/>
      <w:szCs w:val="16"/>
    </w:rPr>
  </w:style>
  <w:style w:type="paragraph" w:styleId="CommentText">
    <w:name w:val="annotation text"/>
    <w:basedOn w:val="Normal"/>
    <w:link w:val="CommentTextChar"/>
    <w:uiPriority w:val="99"/>
    <w:semiHidden/>
    <w:unhideWhenUsed/>
    <w:rsid w:val="00C9681B"/>
    <w:pPr>
      <w:spacing w:line="240" w:lineRule="auto"/>
    </w:pPr>
    <w:rPr>
      <w:sz w:val="20"/>
      <w:szCs w:val="20"/>
    </w:rPr>
  </w:style>
  <w:style w:type="character" w:customStyle="1" w:styleId="CommentTextChar">
    <w:name w:val="Comment Text Char"/>
    <w:basedOn w:val="DefaultParagraphFont"/>
    <w:link w:val="CommentText"/>
    <w:uiPriority w:val="99"/>
    <w:semiHidden/>
    <w:rsid w:val="00C9681B"/>
    <w:rPr>
      <w:sz w:val="20"/>
      <w:szCs w:val="20"/>
    </w:rPr>
  </w:style>
  <w:style w:type="paragraph" w:styleId="BalloonText">
    <w:name w:val="Balloon Text"/>
    <w:basedOn w:val="Normal"/>
    <w:link w:val="BalloonTextChar"/>
    <w:uiPriority w:val="99"/>
    <w:semiHidden/>
    <w:unhideWhenUsed/>
    <w:rsid w:val="00C9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81B"/>
    <w:rPr>
      <w:rFonts w:ascii="Segoe UI" w:hAnsi="Segoe UI" w:cs="Segoe UI"/>
      <w:sz w:val="18"/>
      <w:szCs w:val="18"/>
    </w:rPr>
  </w:style>
  <w:style w:type="character" w:customStyle="1" w:styleId="CharPartNo">
    <w:name w:val="CharPartNo"/>
    <w:basedOn w:val="DefaultParagraphFont"/>
    <w:qFormat/>
    <w:rsid w:val="00066ABB"/>
  </w:style>
  <w:style w:type="character" w:customStyle="1" w:styleId="CharPartText">
    <w:name w:val="CharPartText"/>
    <w:basedOn w:val="DefaultParagraphFont"/>
    <w:qFormat/>
    <w:rsid w:val="00066ABB"/>
  </w:style>
  <w:style w:type="table" w:styleId="TableGrid">
    <w:name w:val="Table Grid"/>
    <w:basedOn w:val="TableNormal"/>
    <w:uiPriority w:val="39"/>
    <w:rsid w:val="00A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basedOn w:val="Normal"/>
    <w:link w:val="subsectionChar"/>
    <w:rsid w:val="008E67F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8E67F1"/>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8E67F1"/>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8E67F1"/>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8E67F1"/>
    <w:rPr>
      <w:rFonts w:ascii="Times New Roman" w:eastAsia="Times New Roman" w:hAnsi="Times New Roman" w:cs="Times New Roman"/>
      <w:szCs w:val="20"/>
      <w:lang w:eastAsia="en-AU"/>
    </w:rPr>
  </w:style>
  <w:style w:type="character" w:customStyle="1" w:styleId="notetextChar">
    <w:name w:val="note(text) Char"/>
    <w:aliases w:val="n Char"/>
    <w:link w:val="notetext"/>
    <w:rsid w:val="008E67F1"/>
    <w:rPr>
      <w:rFonts w:ascii="Times New Roman" w:eastAsia="Times New Roman" w:hAnsi="Times New Roman" w:cs="Times New Roman"/>
      <w:sz w:val="18"/>
      <w:szCs w:val="20"/>
      <w:lang w:eastAsia="en-AU"/>
    </w:rPr>
  </w:style>
  <w:style w:type="paragraph" w:customStyle="1" w:styleId="notedraft">
    <w:name w:val="note(draft)"/>
    <w:aliases w:val="nd"/>
    <w:basedOn w:val="Normal"/>
    <w:rsid w:val="008E67F1"/>
    <w:pPr>
      <w:spacing w:before="240" w:after="0" w:line="240" w:lineRule="auto"/>
      <w:ind w:left="284" w:hanging="284"/>
    </w:pPr>
    <w:rPr>
      <w:rFonts w:ascii="Times New Roman" w:eastAsia="Times New Roman" w:hAnsi="Times New Roman" w:cs="Times New Roman"/>
      <w:i/>
      <w:sz w:val="24"/>
      <w:szCs w:val="20"/>
      <w:lang w:eastAsia="en-AU"/>
    </w:rPr>
  </w:style>
  <w:style w:type="paragraph" w:styleId="CommentSubject">
    <w:name w:val="annotation subject"/>
    <w:basedOn w:val="CommentText"/>
    <w:next w:val="CommentText"/>
    <w:link w:val="CommentSubjectChar"/>
    <w:uiPriority w:val="99"/>
    <w:semiHidden/>
    <w:unhideWhenUsed/>
    <w:rsid w:val="00CA361B"/>
    <w:rPr>
      <w:b/>
      <w:bCs/>
    </w:rPr>
  </w:style>
  <w:style w:type="character" w:customStyle="1" w:styleId="CommentSubjectChar">
    <w:name w:val="Comment Subject Char"/>
    <w:basedOn w:val="CommentTextChar"/>
    <w:link w:val="CommentSubject"/>
    <w:uiPriority w:val="99"/>
    <w:semiHidden/>
    <w:rsid w:val="00CA361B"/>
    <w:rPr>
      <w:b/>
      <w:bCs/>
      <w:sz w:val="20"/>
      <w:szCs w:val="20"/>
    </w:rPr>
  </w:style>
  <w:style w:type="paragraph" w:styleId="Header">
    <w:name w:val="header"/>
    <w:basedOn w:val="Normal"/>
    <w:link w:val="HeaderChar"/>
    <w:uiPriority w:val="99"/>
    <w:unhideWhenUsed/>
    <w:rsid w:val="001F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ECE"/>
  </w:style>
  <w:style w:type="paragraph" w:styleId="Footer">
    <w:name w:val="footer"/>
    <w:basedOn w:val="Normal"/>
    <w:link w:val="FooterChar"/>
    <w:uiPriority w:val="99"/>
    <w:unhideWhenUsed/>
    <w:rsid w:val="001F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ECE"/>
  </w:style>
  <w:style w:type="paragraph" w:styleId="Revision">
    <w:name w:val="Revision"/>
    <w:hidden/>
    <w:uiPriority w:val="99"/>
    <w:semiHidden/>
    <w:rsid w:val="00B46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3125">
      <w:bodyDiv w:val="1"/>
      <w:marLeft w:val="0"/>
      <w:marRight w:val="0"/>
      <w:marTop w:val="0"/>
      <w:marBottom w:val="0"/>
      <w:divBdr>
        <w:top w:val="none" w:sz="0" w:space="0" w:color="auto"/>
        <w:left w:val="none" w:sz="0" w:space="0" w:color="auto"/>
        <w:bottom w:val="none" w:sz="0" w:space="0" w:color="auto"/>
        <w:right w:val="none" w:sz="0" w:space="0" w:color="auto"/>
      </w:divBdr>
      <w:divsChild>
        <w:div w:id="1493721586">
          <w:marLeft w:val="0"/>
          <w:marRight w:val="0"/>
          <w:marTop w:val="0"/>
          <w:marBottom w:val="0"/>
          <w:divBdr>
            <w:top w:val="none" w:sz="0" w:space="0" w:color="auto"/>
            <w:left w:val="none" w:sz="0" w:space="0" w:color="auto"/>
            <w:bottom w:val="none" w:sz="0" w:space="0" w:color="auto"/>
            <w:right w:val="none" w:sz="0" w:space="0" w:color="auto"/>
          </w:divBdr>
          <w:divsChild>
            <w:div w:id="1475369142">
              <w:marLeft w:val="0"/>
              <w:marRight w:val="0"/>
              <w:marTop w:val="0"/>
              <w:marBottom w:val="0"/>
              <w:divBdr>
                <w:top w:val="none" w:sz="0" w:space="0" w:color="auto"/>
                <w:left w:val="none" w:sz="0" w:space="0" w:color="auto"/>
                <w:bottom w:val="none" w:sz="0" w:space="0" w:color="auto"/>
                <w:right w:val="none" w:sz="0" w:space="0" w:color="auto"/>
              </w:divBdr>
              <w:divsChild>
                <w:div w:id="2019237228">
                  <w:marLeft w:val="0"/>
                  <w:marRight w:val="0"/>
                  <w:marTop w:val="0"/>
                  <w:marBottom w:val="0"/>
                  <w:divBdr>
                    <w:top w:val="none" w:sz="0" w:space="0" w:color="auto"/>
                    <w:left w:val="none" w:sz="0" w:space="0" w:color="auto"/>
                    <w:bottom w:val="none" w:sz="0" w:space="0" w:color="auto"/>
                    <w:right w:val="none" w:sz="0" w:space="0" w:color="auto"/>
                  </w:divBdr>
                  <w:divsChild>
                    <w:div w:id="209223305">
                      <w:marLeft w:val="0"/>
                      <w:marRight w:val="0"/>
                      <w:marTop w:val="0"/>
                      <w:marBottom w:val="0"/>
                      <w:divBdr>
                        <w:top w:val="none" w:sz="0" w:space="0" w:color="auto"/>
                        <w:left w:val="none" w:sz="0" w:space="0" w:color="auto"/>
                        <w:bottom w:val="none" w:sz="0" w:space="0" w:color="auto"/>
                        <w:right w:val="none" w:sz="0" w:space="0" w:color="auto"/>
                      </w:divBdr>
                      <w:divsChild>
                        <w:div w:id="1714041656">
                          <w:marLeft w:val="0"/>
                          <w:marRight w:val="0"/>
                          <w:marTop w:val="0"/>
                          <w:marBottom w:val="0"/>
                          <w:divBdr>
                            <w:top w:val="none" w:sz="0" w:space="0" w:color="auto"/>
                            <w:left w:val="none" w:sz="0" w:space="0" w:color="auto"/>
                            <w:bottom w:val="none" w:sz="0" w:space="0" w:color="auto"/>
                            <w:right w:val="none" w:sz="0" w:space="0" w:color="auto"/>
                          </w:divBdr>
                          <w:divsChild>
                            <w:div w:id="1810319901">
                              <w:marLeft w:val="0"/>
                              <w:marRight w:val="0"/>
                              <w:marTop w:val="0"/>
                              <w:marBottom w:val="0"/>
                              <w:divBdr>
                                <w:top w:val="none" w:sz="0" w:space="0" w:color="auto"/>
                                <w:left w:val="none" w:sz="0" w:space="0" w:color="auto"/>
                                <w:bottom w:val="none" w:sz="0" w:space="0" w:color="auto"/>
                                <w:right w:val="none" w:sz="0" w:space="0" w:color="auto"/>
                              </w:divBdr>
                              <w:divsChild>
                                <w:div w:id="877859737">
                                  <w:marLeft w:val="0"/>
                                  <w:marRight w:val="0"/>
                                  <w:marTop w:val="0"/>
                                  <w:marBottom w:val="0"/>
                                  <w:divBdr>
                                    <w:top w:val="none" w:sz="0" w:space="0" w:color="auto"/>
                                    <w:left w:val="none" w:sz="0" w:space="0" w:color="auto"/>
                                    <w:bottom w:val="none" w:sz="0" w:space="0" w:color="auto"/>
                                    <w:right w:val="none" w:sz="0" w:space="0" w:color="auto"/>
                                  </w:divBdr>
                                  <w:divsChild>
                                    <w:div w:id="1229074113">
                                      <w:marLeft w:val="0"/>
                                      <w:marRight w:val="0"/>
                                      <w:marTop w:val="0"/>
                                      <w:marBottom w:val="0"/>
                                      <w:divBdr>
                                        <w:top w:val="none" w:sz="0" w:space="0" w:color="auto"/>
                                        <w:left w:val="none" w:sz="0" w:space="0" w:color="auto"/>
                                        <w:bottom w:val="none" w:sz="0" w:space="0" w:color="auto"/>
                                        <w:right w:val="none" w:sz="0" w:space="0" w:color="auto"/>
                                      </w:divBdr>
                                      <w:divsChild>
                                        <w:div w:id="467473798">
                                          <w:marLeft w:val="0"/>
                                          <w:marRight w:val="0"/>
                                          <w:marTop w:val="0"/>
                                          <w:marBottom w:val="0"/>
                                          <w:divBdr>
                                            <w:top w:val="none" w:sz="0" w:space="0" w:color="auto"/>
                                            <w:left w:val="none" w:sz="0" w:space="0" w:color="auto"/>
                                            <w:bottom w:val="none" w:sz="0" w:space="0" w:color="auto"/>
                                            <w:right w:val="none" w:sz="0" w:space="0" w:color="auto"/>
                                          </w:divBdr>
                                          <w:divsChild>
                                            <w:div w:id="1340157776">
                                              <w:marLeft w:val="0"/>
                                              <w:marRight w:val="0"/>
                                              <w:marTop w:val="0"/>
                                              <w:marBottom w:val="0"/>
                                              <w:divBdr>
                                                <w:top w:val="none" w:sz="0" w:space="0" w:color="auto"/>
                                                <w:left w:val="none" w:sz="0" w:space="0" w:color="auto"/>
                                                <w:bottom w:val="none" w:sz="0" w:space="0" w:color="auto"/>
                                                <w:right w:val="none" w:sz="0" w:space="0" w:color="auto"/>
                                              </w:divBdr>
                                              <w:divsChild>
                                                <w:div w:id="1798136310">
                                                  <w:marLeft w:val="0"/>
                                                  <w:marRight w:val="0"/>
                                                  <w:marTop w:val="0"/>
                                                  <w:marBottom w:val="0"/>
                                                  <w:divBdr>
                                                    <w:top w:val="none" w:sz="0" w:space="0" w:color="auto"/>
                                                    <w:left w:val="none" w:sz="0" w:space="0" w:color="auto"/>
                                                    <w:bottom w:val="none" w:sz="0" w:space="0" w:color="auto"/>
                                                    <w:right w:val="none" w:sz="0" w:space="0" w:color="auto"/>
                                                  </w:divBdr>
                                                  <w:divsChild>
                                                    <w:div w:id="17502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5646">
      <w:bodyDiv w:val="1"/>
      <w:marLeft w:val="0"/>
      <w:marRight w:val="0"/>
      <w:marTop w:val="0"/>
      <w:marBottom w:val="0"/>
      <w:divBdr>
        <w:top w:val="none" w:sz="0" w:space="0" w:color="auto"/>
        <w:left w:val="none" w:sz="0" w:space="0" w:color="auto"/>
        <w:bottom w:val="none" w:sz="0" w:space="0" w:color="auto"/>
        <w:right w:val="none" w:sz="0" w:space="0" w:color="auto"/>
      </w:divBdr>
    </w:div>
    <w:div w:id="1279416047">
      <w:bodyDiv w:val="1"/>
      <w:marLeft w:val="0"/>
      <w:marRight w:val="0"/>
      <w:marTop w:val="0"/>
      <w:marBottom w:val="0"/>
      <w:divBdr>
        <w:top w:val="none" w:sz="0" w:space="0" w:color="auto"/>
        <w:left w:val="none" w:sz="0" w:space="0" w:color="auto"/>
        <w:bottom w:val="none" w:sz="0" w:space="0" w:color="auto"/>
        <w:right w:val="none" w:sz="0" w:space="0" w:color="auto"/>
      </w:divBdr>
    </w:div>
    <w:div w:id="1698387125">
      <w:bodyDiv w:val="1"/>
      <w:marLeft w:val="0"/>
      <w:marRight w:val="0"/>
      <w:marTop w:val="0"/>
      <w:marBottom w:val="0"/>
      <w:divBdr>
        <w:top w:val="none" w:sz="0" w:space="0" w:color="auto"/>
        <w:left w:val="none" w:sz="0" w:space="0" w:color="auto"/>
        <w:bottom w:val="none" w:sz="0" w:space="0" w:color="auto"/>
        <w:right w:val="none" w:sz="0" w:space="0" w:color="auto"/>
      </w:divBdr>
    </w:div>
    <w:div w:id="1847137485">
      <w:bodyDiv w:val="1"/>
      <w:marLeft w:val="0"/>
      <w:marRight w:val="0"/>
      <w:marTop w:val="0"/>
      <w:marBottom w:val="0"/>
      <w:divBdr>
        <w:top w:val="none" w:sz="0" w:space="0" w:color="auto"/>
        <w:left w:val="none" w:sz="0" w:space="0" w:color="auto"/>
        <w:bottom w:val="none" w:sz="0" w:space="0" w:color="auto"/>
        <w:right w:val="none" w:sz="0" w:space="0" w:color="auto"/>
      </w:divBdr>
    </w:div>
    <w:div w:id="19771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723</Value>
      <Value>151</Value>
      <Value>3</Value>
      <Value>513</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64628879-cb16-4650-8031-de1b8c98cea4">
      <Terms xmlns="http://schemas.microsoft.com/office/infopath/2007/PartnerControls"/>
    </adb9bed2e36e4a93af574aeb444da63e>
    <_dlc_DocId xmlns="64628879-cb16-4650-8031-de1b8c98cea4">SEF43VY7DDAF-832118599-187</_dlc_DocId>
    <_dlc_DocIdUrl xmlns="64628879-cb16-4650-8031-de1b8c98cea4">
      <Url>https://dochub/div/corporate/businessfunctions/legalservices/legislation/legislativeinstruments/_layouts/15/DocIdRedir.aspx?ID=SEF43VY7DDAF-832118599-187</Url>
      <Description>SEF43VY7DDAF-832118599-187</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49FCEA-39AF-4508-9015-2F2BE540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6E8-8D31-46B9-91F7-B436202A5717}">
  <ds:schemaRefs>
    <ds:schemaRef ds:uri="64628879-cb16-4650-8031-de1b8c98cea4"/>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1BD4547-16C7-4C32-A77A-7F66036BBB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Robinson, Lisa</cp:lastModifiedBy>
  <cp:revision>2</cp:revision>
  <cp:lastPrinted>2018-06-04T22:17:00Z</cp:lastPrinted>
  <dcterms:created xsi:type="dcterms:W3CDTF">2018-08-27T00:10:00Z</dcterms:created>
  <dcterms:modified xsi:type="dcterms:W3CDTF">2018-08-27T00:10:00Z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723;#2018|224abc7b-6f7e-4064-b773-6750976429b5</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151;#Paper|4fd73e9f-ceb6-4d3f-8d1d-e6ca9b922532</vt:lpwstr>
  </property>
  <property fmtid="{D5CDD505-2E9C-101B-9397-08002B2CF9AE}" pid="9" name="DocHub_SecurityClassification">
    <vt:lpwstr>3;#UNCLASSIFIED|6106d03b-a1a0-4e30-9d91-d5e9fb4314f9</vt:lpwstr>
  </property>
  <property fmtid="{D5CDD505-2E9C-101B-9397-08002B2CF9AE}" pid="10" name="_dlc_DocIdItemGuid">
    <vt:lpwstr>2cd24ed3-e87a-4d6e-980a-68531e0d375a</vt:lpwstr>
  </property>
  <property fmtid="{D5CDD505-2E9C-101B-9397-08002B2CF9AE}" pid="11" name="DocHub_GroupsOtherEntities">
    <vt:lpwstr/>
  </property>
  <property fmtid="{D5CDD505-2E9C-101B-9397-08002B2CF9AE}" pid="12" name="DocHub_GovernmentEntities">
    <vt:lpwstr/>
  </property>
  <property fmtid="{D5CDD505-2E9C-101B-9397-08002B2CF9AE}" pid="13" name="DocHub_OrganisationEntities">
    <vt:lpwstr/>
  </property>
  <property fmtid="{D5CDD505-2E9C-101B-9397-08002B2CF9AE}" pid="14" name="DocHub_State">
    <vt:lpwstr/>
  </property>
  <property fmtid="{D5CDD505-2E9C-101B-9397-08002B2CF9AE}" pid="15" name="DocHub_WorkTopic">
    <vt:lpwstr>398;#Regulatory Amendments|3608f5a8-caf1-4b36-838b-389f9030a449</vt:lpwstr>
  </property>
  <property fmtid="{D5CDD505-2E9C-101B-9397-08002B2CF9AE}" pid="16" name="DocHub_EnergyMineralResources">
    <vt:lpwstr/>
  </property>
  <property fmtid="{D5CDD505-2E9C-101B-9397-08002B2CF9AE}" pid="17" name="DocHub_LegalClient">
    <vt:lpwstr/>
  </property>
</Properties>
</file>