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1AF0F7B1" w:rsidR="002E3895" w:rsidRDefault="1285F912" w:rsidP="1285F912">
      <w:pPr>
        <w:jc w:val="center"/>
        <w:rPr>
          <w:rFonts w:ascii="Times New Roman" w:hAnsi="Times New Roman" w:cs="Times New Roman"/>
          <w:b/>
          <w:bCs/>
          <w:sz w:val="24"/>
          <w:szCs w:val="24"/>
          <w:u w:val="single"/>
        </w:rPr>
      </w:pPr>
      <w:r w:rsidRPr="1285F912">
        <w:rPr>
          <w:rFonts w:ascii="Times New Roman" w:hAnsi="Times New Roman" w:cs="Times New Roman"/>
          <w:b/>
          <w:bCs/>
          <w:sz w:val="24"/>
          <w:szCs w:val="24"/>
          <w:u w:val="single"/>
        </w:rPr>
        <w:t>EXPLANATORY STATEMENT</w:t>
      </w:r>
    </w:p>
    <w:p w14:paraId="7FA59706" w14:textId="68767ADB" w:rsidR="00396C31" w:rsidRPr="00CB0155" w:rsidRDefault="1285F912" w:rsidP="1285F912">
      <w:pPr>
        <w:keepNext/>
        <w:spacing w:after="0" w:line="240" w:lineRule="auto"/>
        <w:ind w:right="91"/>
        <w:jc w:val="center"/>
        <w:outlineLvl w:val="5"/>
        <w:rPr>
          <w:rFonts w:ascii="Times New Roman" w:eastAsia="Times New Roman" w:hAnsi="Times New Roman" w:cs="Times New Roman"/>
          <w:b/>
          <w:bCs/>
          <w:sz w:val="24"/>
          <w:szCs w:val="24"/>
          <w:lang w:eastAsia="en-AU"/>
        </w:rPr>
      </w:pPr>
      <w:r w:rsidRPr="1285F912">
        <w:rPr>
          <w:rFonts w:ascii="Times New Roman" w:eastAsia="Times New Roman" w:hAnsi="Times New Roman" w:cs="Times New Roman"/>
          <w:b/>
          <w:bCs/>
          <w:sz w:val="24"/>
          <w:szCs w:val="24"/>
          <w:lang w:eastAsia="en-AU"/>
        </w:rPr>
        <w:t>Issued by the Authority of the Minister for Resources and Northern Australia</w:t>
      </w:r>
      <w:r w:rsidR="00C44861">
        <w:rPr>
          <w:rFonts w:ascii="Times New Roman" w:eastAsia="Times New Roman" w:hAnsi="Times New Roman" w:cs="Times New Roman"/>
          <w:b/>
          <w:bCs/>
          <w:sz w:val="24"/>
          <w:szCs w:val="24"/>
          <w:lang w:eastAsia="en-AU"/>
        </w:rPr>
        <w:t xml:space="preserve">, </w:t>
      </w:r>
      <w:r w:rsidR="003E1C4F">
        <w:rPr>
          <w:rFonts w:ascii="Times New Roman" w:eastAsia="Times New Roman" w:hAnsi="Times New Roman" w:cs="Times New Roman"/>
          <w:b/>
          <w:bCs/>
          <w:sz w:val="24"/>
          <w:szCs w:val="24"/>
          <w:lang w:eastAsia="en-AU"/>
        </w:rPr>
        <w:br/>
      </w:r>
      <w:r w:rsidR="00C44861">
        <w:rPr>
          <w:rFonts w:ascii="Times New Roman" w:eastAsia="Times New Roman" w:hAnsi="Times New Roman" w:cs="Times New Roman"/>
          <w:b/>
          <w:bCs/>
          <w:sz w:val="24"/>
          <w:szCs w:val="24"/>
          <w:lang w:eastAsia="en-AU"/>
        </w:rPr>
        <w:t>Senator the Hon Matt Canavan</w:t>
      </w:r>
      <w:r w:rsidRPr="1285F912">
        <w:rPr>
          <w:rFonts w:ascii="Times New Roman" w:eastAsia="Times New Roman" w:hAnsi="Times New Roman" w:cs="Times New Roman"/>
          <w:b/>
          <w:bCs/>
          <w:sz w:val="24"/>
          <w:szCs w:val="24"/>
          <w:lang w:eastAsia="en-AU"/>
        </w:rPr>
        <w:t xml:space="preserve"> </w:t>
      </w:r>
    </w:p>
    <w:p w14:paraId="7B8A89BD" w14:textId="3D5670F8" w:rsidR="000D0E22" w:rsidRPr="00396C31" w:rsidRDefault="1285F912" w:rsidP="1285F912">
      <w:pPr>
        <w:spacing w:before="240" w:after="0"/>
        <w:jc w:val="center"/>
        <w:rPr>
          <w:rFonts w:ascii="Times New Roman" w:hAnsi="Times New Roman" w:cs="Times New Roman"/>
          <w:i/>
          <w:iCs/>
          <w:sz w:val="24"/>
          <w:szCs w:val="24"/>
        </w:rPr>
      </w:pPr>
      <w:r w:rsidRPr="1285F912">
        <w:rPr>
          <w:rFonts w:ascii="Times New Roman" w:hAnsi="Times New Roman" w:cs="Times New Roman"/>
          <w:i/>
          <w:iCs/>
          <w:sz w:val="24"/>
          <w:szCs w:val="24"/>
        </w:rPr>
        <w:t>Offshore Minerals Act 1994</w:t>
      </w:r>
    </w:p>
    <w:p w14:paraId="12A2C02F" w14:textId="790E6A74" w:rsidR="00396C31" w:rsidRDefault="1285F912" w:rsidP="1285F912">
      <w:pPr>
        <w:spacing w:before="120" w:after="360"/>
        <w:jc w:val="center"/>
        <w:rPr>
          <w:rFonts w:ascii="Times New Roman" w:hAnsi="Times New Roman" w:cs="Times New Roman"/>
          <w:i/>
          <w:iCs/>
          <w:sz w:val="24"/>
          <w:szCs w:val="24"/>
        </w:rPr>
      </w:pPr>
      <w:r w:rsidRPr="1285F912">
        <w:rPr>
          <w:rFonts w:ascii="Times New Roman" w:hAnsi="Times New Roman" w:cs="Times New Roman"/>
          <w:i/>
          <w:iCs/>
          <w:sz w:val="24"/>
          <w:szCs w:val="24"/>
        </w:rPr>
        <w:t>Offshore Minerals (</w:t>
      </w:r>
      <w:r w:rsidR="00C062B3">
        <w:rPr>
          <w:rFonts w:ascii="Times New Roman" w:hAnsi="Times New Roman" w:cs="Times New Roman"/>
          <w:i/>
          <w:iCs/>
          <w:sz w:val="24"/>
          <w:szCs w:val="24"/>
        </w:rPr>
        <w:t>Exploration Activities</w:t>
      </w:r>
      <w:r w:rsidRPr="1285F912">
        <w:rPr>
          <w:rFonts w:ascii="Times New Roman" w:hAnsi="Times New Roman" w:cs="Times New Roman"/>
          <w:i/>
          <w:iCs/>
          <w:sz w:val="24"/>
          <w:szCs w:val="24"/>
        </w:rPr>
        <w:t>) Regulations 2018</w:t>
      </w:r>
    </w:p>
    <w:p w14:paraId="199207AC" w14:textId="7B7ABE1E" w:rsidR="000D0E22" w:rsidRDefault="1285F912" w:rsidP="1285F912">
      <w:pPr>
        <w:spacing w:beforeLines="100" w:before="240" w:afterLines="100" w:after="240" w:line="259" w:lineRule="auto"/>
        <w:rPr>
          <w:rFonts w:ascii="Times New Roman" w:hAnsi="Times New Roman" w:cs="Times New Roman"/>
          <w:b/>
          <w:bCs/>
          <w:sz w:val="24"/>
          <w:szCs w:val="24"/>
          <w:u w:val="single"/>
        </w:rPr>
      </w:pPr>
      <w:r w:rsidRPr="1285F912">
        <w:rPr>
          <w:rFonts w:ascii="Times New Roman" w:hAnsi="Times New Roman" w:cs="Times New Roman"/>
          <w:b/>
          <w:bCs/>
          <w:sz w:val="24"/>
          <w:szCs w:val="24"/>
          <w:u w:val="single"/>
        </w:rPr>
        <w:t xml:space="preserve">Purpose and Operation </w:t>
      </w:r>
    </w:p>
    <w:p w14:paraId="43DCD578" w14:textId="11A37D14" w:rsidR="00547419" w:rsidRDefault="1285F912" w:rsidP="1285F912">
      <w:pPr>
        <w:spacing w:beforeLines="100" w:before="240" w:afterLines="100" w:after="240" w:line="259" w:lineRule="auto"/>
        <w:rPr>
          <w:rFonts w:ascii="Helvetica Neue" w:hAnsi="Helvetica Neue"/>
          <w:sz w:val="19"/>
          <w:szCs w:val="19"/>
        </w:rPr>
      </w:pPr>
      <w:r w:rsidRPr="1285F912">
        <w:rPr>
          <w:rFonts w:ascii="Times New Roman" w:hAnsi="Times New Roman" w:cs="Times New Roman"/>
          <w:color w:val="000000" w:themeColor="text1"/>
          <w:sz w:val="24"/>
          <w:szCs w:val="24"/>
        </w:rPr>
        <w:t xml:space="preserve">The </w:t>
      </w:r>
      <w:r w:rsidRPr="1285F912">
        <w:rPr>
          <w:rFonts w:ascii="Times New Roman" w:hAnsi="Times New Roman" w:cs="Times New Roman"/>
          <w:i/>
          <w:iCs/>
          <w:sz w:val="24"/>
          <w:szCs w:val="24"/>
        </w:rPr>
        <w:t>Offshore Minerals Act 1994</w:t>
      </w:r>
      <w:r w:rsidRPr="1285F912">
        <w:rPr>
          <w:rFonts w:ascii="Times New Roman" w:hAnsi="Times New Roman" w:cs="Times New Roman"/>
          <w:color w:val="000000" w:themeColor="text1"/>
          <w:sz w:val="24"/>
          <w:szCs w:val="24"/>
        </w:rPr>
        <w:t xml:space="preserve"> (the Act) provides the legal framework for the exploration for, and mining of, minerals (other than petroleum)</w:t>
      </w:r>
      <w:bookmarkStart w:id="0" w:name="_GoBack"/>
      <w:bookmarkEnd w:id="0"/>
      <w:r w:rsidRPr="1285F912">
        <w:rPr>
          <w:rFonts w:ascii="Times New Roman" w:hAnsi="Times New Roman" w:cs="Times New Roman"/>
          <w:color w:val="000000" w:themeColor="text1"/>
          <w:sz w:val="24"/>
          <w:szCs w:val="24"/>
        </w:rPr>
        <w:t xml:space="preserve"> in offshore areas. The Act is administered on a day-to-day basis by the states and </w:t>
      </w:r>
      <w:r w:rsidR="00CE7F0E">
        <w:rPr>
          <w:rFonts w:ascii="Times New Roman" w:hAnsi="Times New Roman" w:cs="Times New Roman"/>
          <w:color w:val="000000" w:themeColor="text1"/>
          <w:sz w:val="24"/>
          <w:szCs w:val="24"/>
        </w:rPr>
        <w:t xml:space="preserve">the </w:t>
      </w:r>
      <w:r w:rsidRPr="1285F912">
        <w:rPr>
          <w:rFonts w:ascii="Times New Roman" w:hAnsi="Times New Roman" w:cs="Times New Roman"/>
          <w:color w:val="000000" w:themeColor="text1"/>
          <w:sz w:val="24"/>
          <w:szCs w:val="24"/>
        </w:rPr>
        <w:t>Northern Territory (the Designated Authorities) on behalf of the Commonwealth.</w:t>
      </w:r>
    </w:p>
    <w:p w14:paraId="09F631DE" w14:textId="5BDAA9E3" w:rsidR="00547419" w:rsidRDefault="1285F912" w:rsidP="1285F912">
      <w:pPr>
        <w:spacing w:beforeLines="100" w:before="240" w:afterLines="100" w:after="240" w:line="259" w:lineRule="auto"/>
        <w:rPr>
          <w:rFonts w:ascii="Times New Roman" w:hAnsi="Times New Roman" w:cs="Times New Roman"/>
          <w:color w:val="000000" w:themeColor="text1"/>
          <w:sz w:val="24"/>
          <w:szCs w:val="24"/>
        </w:rPr>
      </w:pPr>
      <w:r w:rsidRPr="1285F912">
        <w:rPr>
          <w:rFonts w:ascii="Times New Roman" w:hAnsi="Times New Roman" w:cs="Times New Roman"/>
          <w:sz w:val="24"/>
          <w:szCs w:val="24"/>
        </w:rPr>
        <w:t xml:space="preserve">Subsection 440(1) of the Act </w:t>
      </w:r>
      <w:r w:rsidRPr="1285F912">
        <w:rPr>
          <w:rFonts w:ascii="Times New Roman" w:hAnsi="Times New Roman" w:cs="Times New Roman"/>
          <w:color w:val="000000" w:themeColor="text1"/>
          <w:sz w:val="24"/>
          <w:szCs w:val="24"/>
        </w:rPr>
        <w:t>provides that the Governor-General may make regulations prescribing matters either required or permitted by the Act to be prescribed, or necessary or convenient to be prescribed for carrying out or giving effect to the Act. Paragraphs 440(2)(f) and (</w:t>
      </w:r>
      <w:r w:rsidR="00125E2F">
        <w:rPr>
          <w:rFonts w:ascii="Times New Roman" w:hAnsi="Times New Roman" w:cs="Times New Roman"/>
          <w:color w:val="000000" w:themeColor="text1"/>
          <w:sz w:val="24"/>
          <w:szCs w:val="24"/>
        </w:rPr>
        <w:t>h</w:t>
      </w:r>
      <w:r w:rsidRPr="1285F912">
        <w:rPr>
          <w:rFonts w:ascii="Times New Roman" w:hAnsi="Times New Roman" w:cs="Times New Roman"/>
          <w:color w:val="000000" w:themeColor="text1"/>
          <w:sz w:val="24"/>
          <w:szCs w:val="24"/>
        </w:rPr>
        <w:t xml:space="preserve">) provide that, without limiting subsection 440(1), regulations may provide for the keeping of records, cores or samples, and the </w:t>
      </w:r>
      <w:r w:rsidR="00125E2F">
        <w:rPr>
          <w:rFonts w:ascii="Times New Roman" w:hAnsi="Times New Roman" w:cs="Times New Roman"/>
          <w:color w:val="000000" w:themeColor="text1"/>
          <w:sz w:val="24"/>
          <w:szCs w:val="24"/>
        </w:rPr>
        <w:t>making of returns</w:t>
      </w:r>
      <w:r w:rsidRPr="1285F912">
        <w:rPr>
          <w:rFonts w:ascii="Times New Roman" w:hAnsi="Times New Roman" w:cs="Times New Roman"/>
          <w:color w:val="000000" w:themeColor="text1"/>
          <w:sz w:val="24"/>
          <w:szCs w:val="24"/>
        </w:rPr>
        <w:t>.</w:t>
      </w:r>
    </w:p>
    <w:p w14:paraId="770B8624" w14:textId="112D8912" w:rsidR="00547419" w:rsidRDefault="1285F912" w:rsidP="1285F912">
      <w:pPr>
        <w:spacing w:after="120"/>
        <w:rPr>
          <w:rFonts w:ascii="Times New Roman" w:hAnsi="Times New Roman" w:cs="Times New Roman"/>
          <w:sz w:val="24"/>
          <w:szCs w:val="24"/>
        </w:rPr>
      </w:pPr>
      <w:r w:rsidRPr="1285F912">
        <w:rPr>
          <w:rFonts w:ascii="Times New Roman" w:hAnsi="Times New Roman" w:cs="Times New Roman"/>
          <w:color w:val="000000" w:themeColor="text1"/>
          <w:sz w:val="24"/>
          <w:szCs w:val="24"/>
        </w:rPr>
        <w:t xml:space="preserve">Section 124 of the Act provides that an exploration licence holder must keep whatever records, cores and samples, and </w:t>
      </w:r>
      <w:r w:rsidR="00125E2F">
        <w:rPr>
          <w:rFonts w:ascii="Times New Roman" w:hAnsi="Times New Roman" w:cs="Times New Roman"/>
          <w:color w:val="000000" w:themeColor="text1"/>
          <w:sz w:val="24"/>
          <w:szCs w:val="24"/>
        </w:rPr>
        <w:t>make</w:t>
      </w:r>
      <w:r w:rsidRPr="1285F912">
        <w:rPr>
          <w:rFonts w:ascii="Times New Roman" w:hAnsi="Times New Roman" w:cs="Times New Roman"/>
          <w:color w:val="000000" w:themeColor="text1"/>
          <w:sz w:val="24"/>
          <w:szCs w:val="24"/>
        </w:rPr>
        <w:t xml:space="preserve"> whatever </w:t>
      </w:r>
      <w:r w:rsidR="00125E2F">
        <w:rPr>
          <w:rFonts w:ascii="Times New Roman" w:hAnsi="Times New Roman" w:cs="Times New Roman"/>
          <w:color w:val="000000" w:themeColor="text1"/>
          <w:sz w:val="24"/>
          <w:szCs w:val="24"/>
        </w:rPr>
        <w:t>returns</w:t>
      </w:r>
      <w:r w:rsidRPr="1285F912">
        <w:rPr>
          <w:rFonts w:ascii="Times New Roman" w:hAnsi="Times New Roman" w:cs="Times New Roman"/>
          <w:color w:val="000000" w:themeColor="text1"/>
          <w:sz w:val="24"/>
          <w:szCs w:val="24"/>
        </w:rPr>
        <w:t>, that are necessary to comply with the regulations. Sections 184, 261 and 309 make equivalent provision in relation to holders of retention licences, mining licences and works licences respectively.</w:t>
      </w:r>
    </w:p>
    <w:p w14:paraId="10260AF7" w14:textId="4D1AC302" w:rsidR="00547419" w:rsidRDefault="1285F912" w:rsidP="1285F912">
      <w:pPr>
        <w:spacing w:beforeLines="100" w:before="240" w:afterLines="100" w:after="240" w:line="259" w:lineRule="auto"/>
        <w:rPr>
          <w:rFonts w:ascii="Times New Roman" w:hAnsi="Times New Roman" w:cs="Times New Roman"/>
          <w:color w:val="000000" w:themeColor="text1"/>
          <w:sz w:val="24"/>
          <w:szCs w:val="24"/>
        </w:rPr>
      </w:pPr>
      <w:r w:rsidRPr="1285F912">
        <w:rPr>
          <w:rFonts w:ascii="Times New Roman" w:hAnsi="Times New Roman" w:cs="Times New Roman"/>
          <w:color w:val="000000" w:themeColor="text1"/>
          <w:sz w:val="24"/>
          <w:szCs w:val="24"/>
        </w:rPr>
        <w:t xml:space="preserve">The </w:t>
      </w:r>
      <w:r w:rsidRPr="1285F912">
        <w:rPr>
          <w:rFonts w:ascii="Times New Roman" w:hAnsi="Times New Roman" w:cs="Times New Roman"/>
          <w:i/>
          <w:iCs/>
          <w:color w:val="000000" w:themeColor="text1"/>
          <w:sz w:val="24"/>
          <w:szCs w:val="24"/>
        </w:rPr>
        <w:t>Offshore Minerals (Data Lodgment and Reporting) Regulations 1996</w:t>
      </w:r>
      <w:r w:rsidRPr="1285F912">
        <w:rPr>
          <w:rFonts w:ascii="Times New Roman" w:hAnsi="Times New Roman" w:cs="Times New Roman"/>
          <w:color w:val="000000" w:themeColor="text1"/>
          <w:sz w:val="24"/>
          <w:szCs w:val="24"/>
        </w:rPr>
        <w:t xml:space="preserve"> (the sunsetting Regulations), which are due to sunset on 1 April 2019, detail the manner in which samples, reports and other data derived from offshore minerals exploration authorised under the Act are to be kept and provided to the relevant Designated Authority.</w:t>
      </w:r>
    </w:p>
    <w:p w14:paraId="0230C9CE" w14:textId="25E41E06" w:rsidR="007B4941" w:rsidRPr="007B4941" w:rsidRDefault="1285F912" w:rsidP="1285F912">
      <w:pPr>
        <w:spacing w:beforeLines="100" w:before="240" w:afterLines="100" w:after="240" w:line="259" w:lineRule="auto"/>
        <w:rPr>
          <w:rFonts w:ascii="Times New Roman" w:eastAsia="Times New Roman" w:hAnsi="Times New Roman" w:cs="Times New Roman"/>
          <w:sz w:val="24"/>
          <w:szCs w:val="24"/>
          <w:lang w:eastAsia="en-AU"/>
        </w:rPr>
      </w:pPr>
      <w:r w:rsidRPr="1285F912">
        <w:rPr>
          <w:rFonts w:ascii="Times New Roman" w:hAnsi="Times New Roman" w:cs="Times New Roman"/>
          <w:sz w:val="24"/>
          <w:szCs w:val="24"/>
        </w:rPr>
        <w:t xml:space="preserve">The Department of Industry, Innovation and Science (the </w:t>
      </w:r>
      <w:r w:rsidR="00676D54">
        <w:rPr>
          <w:rFonts w:ascii="Times New Roman" w:hAnsi="Times New Roman" w:cs="Times New Roman"/>
          <w:sz w:val="24"/>
          <w:szCs w:val="24"/>
        </w:rPr>
        <w:t>d</w:t>
      </w:r>
      <w:r w:rsidRPr="1285F912">
        <w:rPr>
          <w:rFonts w:ascii="Times New Roman" w:hAnsi="Times New Roman" w:cs="Times New Roman"/>
          <w:sz w:val="24"/>
          <w:szCs w:val="24"/>
        </w:rPr>
        <w:t xml:space="preserve">epartment) </w:t>
      </w:r>
      <w:r w:rsidRPr="1285F912">
        <w:rPr>
          <w:rFonts w:ascii="Times New Roman" w:eastAsia="Times New Roman" w:hAnsi="Times New Roman" w:cs="Times New Roman"/>
          <w:sz w:val="24"/>
          <w:szCs w:val="24"/>
          <w:lang w:eastAsia="en-AU"/>
        </w:rPr>
        <w:t xml:space="preserve">has conducted a review of the </w:t>
      </w:r>
      <w:r w:rsidRPr="1285F912">
        <w:rPr>
          <w:rFonts w:ascii="Times New Roman" w:hAnsi="Times New Roman" w:cs="Times New Roman"/>
          <w:sz w:val="24"/>
          <w:szCs w:val="24"/>
        </w:rPr>
        <w:t>sunsetting Regulations a</w:t>
      </w:r>
      <w:r w:rsidRPr="1285F912">
        <w:rPr>
          <w:rFonts w:ascii="Times New Roman" w:eastAsia="Times New Roman" w:hAnsi="Times New Roman" w:cs="Times New Roman"/>
          <w:sz w:val="24"/>
          <w:szCs w:val="24"/>
          <w:lang w:eastAsia="en-AU"/>
        </w:rPr>
        <w:t xml:space="preserve">nd determined that they should be remade in an updated form that retains provisions that continue to be required, updates references where necessary and removes provisions that are redundant or superfluous. </w:t>
      </w:r>
    </w:p>
    <w:p w14:paraId="5CAC58F5" w14:textId="3916EEAF" w:rsidR="00547419" w:rsidRPr="005663AC" w:rsidRDefault="1285F912" w:rsidP="1285F912">
      <w:pPr>
        <w:spacing w:beforeLines="100" w:before="240" w:afterLines="100" w:after="240" w:line="259" w:lineRule="auto"/>
        <w:rPr>
          <w:rFonts w:ascii="Times New Roman" w:hAnsi="Times New Roman" w:cs="Times New Roman"/>
          <w:color w:val="000000" w:themeColor="text1"/>
          <w:sz w:val="24"/>
          <w:szCs w:val="24"/>
        </w:rPr>
      </w:pPr>
      <w:r w:rsidRPr="1285F912">
        <w:rPr>
          <w:rFonts w:ascii="Times New Roman" w:hAnsi="Times New Roman" w:cs="Times New Roman"/>
          <w:color w:val="000000" w:themeColor="text1"/>
          <w:sz w:val="24"/>
          <w:szCs w:val="24"/>
        </w:rPr>
        <w:t xml:space="preserve">The purpose of the </w:t>
      </w:r>
      <w:r w:rsidRPr="1285F912">
        <w:rPr>
          <w:rFonts w:ascii="Times New Roman" w:hAnsi="Times New Roman" w:cs="Times New Roman"/>
          <w:i/>
          <w:iCs/>
          <w:sz w:val="24"/>
          <w:szCs w:val="24"/>
        </w:rPr>
        <w:t>Offshore Minerals (</w:t>
      </w:r>
      <w:r w:rsidR="00C062B3">
        <w:rPr>
          <w:rFonts w:ascii="Times New Roman" w:hAnsi="Times New Roman" w:cs="Times New Roman"/>
          <w:i/>
          <w:iCs/>
          <w:sz w:val="24"/>
          <w:szCs w:val="24"/>
        </w:rPr>
        <w:t>Exploration Activities</w:t>
      </w:r>
      <w:r w:rsidRPr="1285F912">
        <w:rPr>
          <w:rFonts w:ascii="Times New Roman" w:hAnsi="Times New Roman" w:cs="Times New Roman"/>
          <w:i/>
          <w:iCs/>
          <w:sz w:val="24"/>
          <w:szCs w:val="24"/>
        </w:rPr>
        <w:t xml:space="preserve">) Regulations </w:t>
      </w:r>
      <w:r w:rsidRPr="1285F912">
        <w:rPr>
          <w:rFonts w:ascii="Times New Roman" w:hAnsi="Times New Roman" w:cs="Times New Roman"/>
          <w:i/>
          <w:iCs/>
          <w:color w:val="000000" w:themeColor="text1"/>
          <w:sz w:val="24"/>
          <w:szCs w:val="24"/>
        </w:rPr>
        <w:t xml:space="preserve">2018 </w:t>
      </w:r>
      <w:r w:rsidRPr="1285F912">
        <w:rPr>
          <w:rFonts w:ascii="Times New Roman" w:hAnsi="Times New Roman" w:cs="Times New Roman"/>
          <w:color w:val="000000" w:themeColor="text1"/>
          <w:sz w:val="24"/>
          <w:szCs w:val="24"/>
        </w:rPr>
        <w:t xml:space="preserve">(the 2018 Regulations) is to remake the sunsetting Regulations in substantially the same form with amendments to ensure fitness for purpose and consistency with current drafting practices, including simplifying language and restructuring provisions for ease of navigation. </w:t>
      </w:r>
    </w:p>
    <w:p w14:paraId="5ADD9488" w14:textId="77777777" w:rsidR="00547419" w:rsidRPr="005663AC" w:rsidRDefault="1285F912" w:rsidP="1285F912">
      <w:pPr>
        <w:spacing w:beforeLines="100" w:before="240" w:afterLines="100" w:after="240" w:line="259" w:lineRule="auto"/>
        <w:rPr>
          <w:rFonts w:ascii="Times New Roman" w:hAnsi="Times New Roman" w:cs="Times New Roman"/>
          <w:color w:val="000000" w:themeColor="text1"/>
          <w:sz w:val="24"/>
          <w:szCs w:val="24"/>
        </w:rPr>
      </w:pPr>
      <w:r w:rsidRPr="1285F912">
        <w:rPr>
          <w:rFonts w:ascii="Times New Roman" w:hAnsi="Times New Roman" w:cs="Times New Roman"/>
          <w:color w:val="000000" w:themeColor="text1"/>
          <w:sz w:val="24"/>
          <w:szCs w:val="24"/>
        </w:rPr>
        <w:t xml:space="preserve">Subsection 33(3) of the </w:t>
      </w:r>
      <w:r w:rsidRPr="1285F912">
        <w:rPr>
          <w:rFonts w:ascii="Times New Roman" w:hAnsi="Times New Roman" w:cs="Times New Roman"/>
          <w:i/>
          <w:iCs/>
          <w:color w:val="000000" w:themeColor="text1"/>
          <w:sz w:val="24"/>
          <w:szCs w:val="24"/>
        </w:rPr>
        <w:t>Acts Interpretation Act 1901</w:t>
      </w:r>
      <w:r w:rsidRPr="1285F912">
        <w:rPr>
          <w:rFonts w:ascii="Times New Roman" w:hAnsi="Times New Roman" w:cs="Times New Roman"/>
          <w:color w:val="000000" w:themeColor="text1"/>
          <w:sz w:val="24"/>
          <w:szCs w:val="24"/>
        </w:rPr>
        <w:t xml:space="preserve"> 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The 2018 Regulations also repeal the sunsetting Regulations. </w:t>
      </w:r>
    </w:p>
    <w:p w14:paraId="2572E7AE" w14:textId="531B7CD4" w:rsidR="003E3DD9" w:rsidRPr="005663AC" w:rsidRDefault="1285F912" w:rsidP="1285F912">
      <w:pPr>
        <w:spacing w:beforeLines="100" w:before="240" w:afterLines="100" w:after="240" w:line="259" w:lineRule="auto"/>
        <w:rPr>
          <w:rFonts w:ascii="Times New Roman" w:hAnsi="Times New Roman" w:cs="Times New Roman"/>
          <w:color w:val="000000" w:themeColor="text1"/>
          <w:sz w:val="24"/>
          <w:szCs w:val="24"/>
        </w:rPr>
      </w:pPr>
      <w:r w:rsidRPr="1285F912">
        <w:rPr>
          <w:rFonts w:ascii="Times New Roman" w:hAnsi="Times New Roman" w:cs="Times New Roman"/>
          <w:color w:val="000000" w:themeColor="text1"/>
          <w:sz w:val="24"/>
          <w:szCs w:val="24"/>
        </w:rPr>
        <w:lastRenderedPageBreak/>
        <w:t xml:space="preserve">A provision-by-provision description of the 2018 Regulations is set out at </w:t>
      </w:r>
      <w:r w:rsidRPr="1285F912">
        <w:rPr>
          <w:rFonts w:ascii="Times New Roman" w:hAnsi="Times New Roman" w:cs="Times New Roman"/>
          <w:color w:val="000000" w:themeColor="text1"/>
          <w:sz w:val="24"/>
          <w:szCs w:val="24"/>
          <w:u w:val="single"/>
        </w:rPr>
        <w:t>Attachment A</w:t>
      </w:r>
      <w:r w:rsidRPr="1285F912">
        <w:rPr>
          <w:rFonts w:ascii="Times New Roman" w:hAnsi="Times New Roman" w:cs="Times New Roman"/>
          <w:color w:val="000000" w:themeColor="text1"/>
          <w:sz w:val="24"/>
          <w:szCs w:val="24"/>
        </w:rPr>
        <w:t>.</w:t>
      </w:r>
      <w:r w:rsidR="00A7204C">
        <w:rPr>
          <w:rFonts w:ascii="Times New Roman" w:hAnsi="Times New Roman" w:cs="Times New Roman"/>
          <w:color w:val="000000" w:themeColor="text1"/>
          <w:sz w:val="24"/>
          <w:szCs w:val="24"/>
        </w:rPr>
        <w:t xml:space="preserve"> Finding tables, which set out equivalent provisions in the sunsetting Regulations to provisions in the 2018 Regulations and vice versa, are at </w:t>
      </w:r>
      <w:r w:rsidR="00A7204C">
        <w:rPr>
          <w:rFonts w:ascii="Times New Roman" w:hAnsi="Times New Roman" w:cs="Times New Roman"/>
          <w:color w:val="000000" w:themeColor="text1"/>
          <w:sz w:val="24"/>
          <w:szCs w:val="24"/>
          <w:u w:val="single"/>
        </w:rPr>
        <w:t>Attachment B</w:t>
      </w:r>
      <w:r w:rsidR="00A7204C">
        <w:rPr>
          <w:rFonts w:ascii="Times New Roman" w:hAnsi="Times New Roman" w:cs="Times New Roman"/>
          <w:color w:val="000000" w:themeColor="text1"/>
          <w:sz w:val="24"/>
          <w:szCs w:val="24"/>
        </w:rPr>
        <w:t>.</w:t>
      </w:r>
    </w:p>
    <w:p w14:paraId="1204FA38" w14:textId="77777777" w:rsidR="000D0E22" w:rsidRDefault="1285F912" w:rsidP="1285F912">
      <w:pPr>
        <w:spacing w:beforeLines="100" w:before="240" w:afterLines="100" w:after="240" w:line="259" w:lineRule="auto"/>
        <w:rPr>
          <w:rFonts w:ascii="Times New Roman" w:hAnsi="Times New Roman" w:cs="Times New Roman"/>
          <w:b/>
          <w:bCs/>
          <w:sz w:val="24"/>
          <w:szCs w:val="24"/>
          <w:u w:val="single"/>
        </w:rPr>
      </w:pPr>
      <w:r w:rsidRPr="1285F912">
        <w:rPr>
          <w:rFonts w:ascii="Times New Roman" w:hAnsi="Times New Roman" w:cs="Times New Roman"/>
          <w:b/>
          <w:bCs/>
          <w:sz w:val="24"/>
          <w:szCs w:val="24"/>
          <w:u w:val="single"/>
        </w:rPr>
        <w:t>Consultation</w:t>
      </w:r>
    </w:p>
    <w:p w14:paraId="6B414DA3" w14:textId="38420782" w:rsidR="005663AC" w:rsidRDefault="1285F912" w:rsidP="1285F912">
      <w:pPr>
        <w:shd w:val="clear" w:color="auto" w:fill="FFFFFF" w:themeFill="background1"/>
        <w:spacing w:beforeLines="100" w:before="240" w:afterLines="100" w:after="240" w:line="259" w:lineRule="auto"/>
        <w:rPr>
          <w:rFonts w:ascii="Times New Roman" w:eastAsia="Times New Roman" w:hAnsi="Times New Roman" w:cs="Times New Roman"/>
          <w:sz w:val="24"/>
          <w:szCs w:val="24"/>
          <w:lang w:eastAsia="en-AU"/>
        </w:rPr>
      </w:pPr>
      <w:r w:rsidRPr="1285F912">
        <w:rPr>
          <w:rFonts w:ascii="Times New Roman" w:eastAsia="Times New Roman" w:hAnsi="Times New Roman" w:cs="Times New Roman"/>
          <w:sz w:val="24"/>
          <w:szCs w:val="24"/>
          <w:lang w:eastAsia="en-AU"/>
        </w:rPr>
        <w:t xml:space="preserve">State and Northern Territory governments were consulted during the </w:t>
      </w:r>
      <w:r w:rsidR="00C44861">
        <w:rPr>
          <w:rFonts w:ascii="Times New Roman" w:eastAsia="Times New Roman" w:hAnsi="Times New Roman" w:cs="Times New Roman"/>
          <w:sz w:val="24"/>
          <w:szCs w:val="24"/>
          <w:lang w:eastAsia="en-AU"/>
        </w:rPr>
        <w:t xml:space="preserve">drafting </w:t>
      </w:r>
      <w:r w:rsidRPr="1285F912">
        <w:rPr>
          <w:rFonts w:ascii="Times New Roman" w:eastAsia="Times New Roman" w:hAnsi="Times New Roman" w:cs="Times New Roman"/>
          <w:sz w:val="24"/>
          <w:szCs w:val="24"/>
          <w:lang w:eastAsia="en-AU"/>
        </w:rPr>
        <w:t xml:space="preserve">of the 2018 Regulations. Jurisdictions were advised of the proposal to remake the sunsetting Regulations with no substantive change at the March 2018 meeting of the Upstream Petroleum Resources Working Group of the Council of Australian Governments’ Energy Council, with comments sought by 11 April 2018. No comments were received. </w:t>
      </w:r>
      <w:r w:rsidRPr="1285F912">
        <w:rPr>
          <w:rFonts w:ascii="Times New Roman" w:hAnsi="Times New Roman" w:cs="Times New Roman"/>
          <w:sz w:val="24"/>
          <w:szCs w:val="24"/>
        </w:rPr>
        <w:t>State and Northern Territory governments were further consulted on a small range of minor technical drafting matters, and their views taken into consideration in settling the final form.</w:t>
      </w:r>
    </w:p>
    <w:p w14:paraId="434C515D" w14:textId="3B6089D9" w:rsidR="005663AC" w:rsidRPr="00631FCD" w:rsidRDefault="1285F912" w:rsidP="1285F912">
      <w:pPr>
        <w:shd w:val="clear" w:color="auto" w:fill="FFFFFF" w:themeFill="background1"/>
        <w:spacing w:beforeLines="100" w:before="240" w:afterLines="100" w:after="240" w:line="259" w:lineRule="auto"/>
        <w:rPr>
          <w:rFonts w:ascii="Times New Roman" w:eastAsia="Times New Roman" w:hAnsi="Times New Roman" w:cs="Times New Roman"/>
          <w:sz w:val="24"/>
          <w:szCs w:val="24"/>
          <w:lang w:eastAsia="en-AU"/>
        </w:rPr>
      </w:pPr>
      <w:r w:rsidRPr="1285F912">
        <w:rPr>
          <w:rFonts w:ascii="Times New Roman" w:eastAsia="Times New Roman" w:hAnsi="Times New Roman" w:cs="Times New Roman"/>
          <w:sz w:val="24"/>
          <w:szCs w:val="24"/>
          <w:lang w:eastAsia="en-AU"/>
        </w:rPr>
        <w:t xml:space="preserve">The offshore minerals industry in Australia is relatively small. In order to consult with the industry, and ensure broader awareness of the proposal to </w:t>
      </w:r>
      <w:r w:rsidR="004C7FC5">
        <w:rPr>
          <w:rFonts w:ascii="Times New Roman" w:eastAsia="Times New Roman" w:hAnsi="Times New Roman" w:cs="Times New Roman"/>
          <w:sz w:val="24"/>
          <w:szCs w:val="24"/>
          <w:lang w:eastAsia="en-AU"/>
        </w:rPr>
        <w:t>re</w:t>
      </w:r>
      <w:r w:rsidRPr="1285F912">
        <w:rPr>
          <w:rFonts w:ascii="Times New Roman" w:eastAsia="Times New Roman" w:hAnsi="Times New Roman" w:cs="Times New Roman"/>
          <w:sz w:val="24"/>
          <w:szCs w:val="24"/>
          <w:lang w:eastAsia="en-AU"/>
        </w:rPr>
        <w:t xml:space="preserve">make the </w:t>
      </w:r>
      <w:r w:rsidR="00A7204C">
        <w:rPr>
          <w:rFonts w:ascii="Times New Roman" w:eastAsia="Times New Roman" w:hAnsi="Times New Roman" w:cs="Times New Roman"/>
          <w:sz w:val="24"/>
          <w:szCs w:val="24"/>
          <w:lang w:eastAsia="en-AU"/>
        </w:rPr>
        <w:t xml:space="preserve">sunsetting </w:t>
      </w:r>
      <w:r w:rsidRPr="1285F912">
        <w:rPr>
          <w:rFonts w:ascii="Times New Roman" w:eastAsia="Times New Roman" w:hAnsi="Times New Roman" w:cs="Times New Roman"/>
          <w:sz w:val="24"/>
          <w:szCs w:val="24"/>
          <w:lang w:eastAsia="en-AU"/>
        </w:rPr>
        <w:t xml:space="preserve">Regulations, information about the proposal and an invitation to comment were published on the </w:t>
      </w:r>
      <w:r w:rsidR="00525920">
        <w:rPr>
          <w:rFonts w:ascii="Times New Roman" w:eastAsia="Times New Roman" w:hAnsi="Times New Roman" w:cs="Times New Roman"/>
          <w:sz w:val="24"/>
          <w:szCs w:val="24"/>
          <w:lang w:eastAsia="en-AU"/>
        </w:rPr>
        <w:t>d</w:t>
      </w:r>
      <w:r w:rsidR="00525920" w:rsidRPr="1285F912">
        <w:rPr>
          <w:rFonts w:ascii="Times New Roman" w:eastAsia="Times New Roman" w:hAnsi="Times New Roman" w:cs="Times New Roman"/>
          <w:sz w:val="24"/>
          <w:szCs w:val="24"/>
          <w:lang w:eastAsia="en-AU"/>
        </w:rPr>
        <w:t xml:space="preserve">epartment’s </w:t>
      </w:r>
      <w:r w:rsidRPr="1285F912">
        <w:rPr>
          <w:rFonts w:ascii="Times New Roman" w:eastAsia="Times New Roman" w:hAnsi="Times New Roman" w:cs="Times New Roman"/>
          <w:sz w:val="24"/>
          <w:szCs w:val="24"/>
          <w:lang w:eastAsia="en-AU"/>
        </w:rPr>
        <w:t>Consultation Hub. Interested stakeholders were also advised through an issue of Australian Petroleum News. Comments in relation to the proposal were sought by 13 April</w:t>
      </w:r>
      <w:r w:rsidR="004C7FC5">
        <w:rPr>
          <w:rFonts w:ascii="Times New Roman" w:eastAsia="Times New Roman" w:hAnsi="Times New Roman" w:cs="Times New Roman"/>
          <w:sz w:val="24"/>
          <w:szCs w:val="24"/>
          <w:lang w:eastAsia="en-AU"/>
        </w:rPr>
        <w:t xml:space="preserve"> 2018</w:t>
      </w:r>
      <w:r w:rsidRPr="1285F912">
        <w:rPr>
          <w:rFonts w:ascii="Times New Roman" w:eastAsia="Times New Roman" w:hAnsi="Times New Roman" w:cs="Times New Roman"/>
          <w:sz w:val="24"/>
          <w:szCs w:val="24"/>
          <w:lang w:eastAsia="en-AU"/>
        </w:rPr>
        <w:t>. One submission was received; however, the content of the submission related to matters outside the scope of the sunsetting Regulations.</w:t>
      </w:r>
    </w:p>
    <w:p w14:paraId="49015237" w14:textId="72925374" w:rsidR="006862A4" w:rsidRPr="00E85758" w:rsidRDefault="1285F912" w:rsidP="1285F912">
      <w:pPr>
        <w:spacing w:beforeLines="100" w:before="240" w:afterLines="100" w:after="240" w:line="259" w:lineRule="auto"/>
        <w:rPr>
          <w:rFonts w:ascii="Times New Roman" w:hAnsi="Times New Roman" w:cs="Times New Roman"/>
          <w:sz w:val="24"/>
          <w:szCs w:val="24"/>
        </w:rPr>
      </w:pPr>
      <w:r w:rsidRPr="1285F912">
        <w:rPr>
          <w:rFonts w:ascii="Times New Roman" w:hAnsi="Times New Roman" w:cs="Times New Roman"/>
          <w:b/>
          <w:bCs/>
          <w:sz w:val="24"/>
          <w:szCs w:val="24"/>
          <w:u w:val="single"/>
        </w:rPr>
        <w:t>Regulatory Impact</w:t>
      </w:r>
    </w:p>
    <w:p w14:paraId="7FA42F8C" w14:textId="77777777" w:rsidR="003E3DD9" w:rsidRPr="00D20D0F" w:rsidRDefault="1285F912" w:rsidP="1285F912">
      <w:pPr>
        <w:spacing w:beforeLines="100" w:before="240" w:afterLines="100" w:after="240" w:line="259" w:lineRule="auto"/>
        <w:rPr>
          <w:rFonts w:ascii="Times New Roman" w:hAnsi="Times New Roman" w:cs="Times New Roman"/>
          <w:sz w:val="24"/>
          <w:szCs w:val="24"/>
        </w:rPr>
      </w:pPr>
      <w:r w:rsidRPr="1285F912">
        <w:rPr>
          <w:rFonts w:ascii="Times New Roman" w:hAnsi="Times New Roman" w:cs="Times New Roman"/>
          <w:sz w:val="24"/>
          <w:szCs w:val="24"/>
        </w:rPr>
        <w:t>The Office of Best Practice Regulation (OBPR) has confirmed that a Regulation Impact Statement is not required for the 2018 Regulations. The OBPR reference is ID 22803.</w:t>
      </w:r>
    </w:p>
    <w:p w14:paraId="0D76DF98" w14:textId="77777777" w:rsidR="006862A4" w:rsidRPr="00E85758" w:rsidRDefault="1285F912" w:rsidP="1285F912">
      <w:pPr>
        <w:spacing w:beforeLines="100" w:before="240" w:afterLines="100" w:after="240" w:line="259" w:lineRule="auto"/>
        <w:rPr>
          <w:rFonts w:ascii="Times New Roman" w:hAnsi="Times New Roman" w:cs="Times New Roman"/>
          <w:b/>
          <w:bCs/>
          <w:sz w:val="24"/>
          <w:szCs w:val="24"/>
          <w:u w:val="single"/>
        </w:rPr>
      </w:pPr>
      <w:r w:rsidRPr="1285F912">
        <w:rPr>
          <w:rFonts w:ascii="Times New Roman" w:hAnsi="Times New Roman" w:cs="Times New Roman"/>
          <w:b/>
          <w:bCs/>
          <w:sz w:val="24"/>
          <w:szCs w:val="24"/>
          <w:u w:val="single"/>
        </w:rPr>
        <w:t>Statement of Compatibility with Human Rights</w:t>
      </w:r>
    </w:p>
    <w:p w14:paraId="246C7887" w14:textId="56D6CA81" w:rsidR="006862A4" w:rsidRPr="00BD6678" w:rsidRDefault="1285F912" w:rsidP="1285F912">
      <w:pPr>
        <w:shd w:val="clear" w:color="auto" w:fill="FFFFFF" w:themeFill="background1"/>
        <w:spacing w:beforeLines="100" w:before="240" w:afterLines="100" w:after="240" w:line="259" w:lineRule="auto"/>
        <w:rPr>
          <w:rFonts w:ascii="Times New Roman" w:eastAsia="Times New Roman" w:hAnsi="Times New Roman" w:cs="Times New Roman"/>
          <w:sz w:val="24"/>
          <w:szCs w:val="24"/>
          <w:lang w:val="en-US" w:eastAsia="en-AU"/>
        </w:rPr>
      </w:pPr>
      <w:r w:rsidRPr="1285F912">
        <w:rPr>
          <w:rFonts w:ascii="Times New Roman" w:eastAsia="Times New Roman" w:hAnsi="Times New Roman" w:cs="Times New Roman"/>
          <w:sz w:val="24"/>
          <w:szCs w:val="24"/>
          <w:lang w:eastAsia="en-AU"/>
        </w:rPr>
        <w:t xml:space="preserve">Subsection 9(1) of the </w:t>
      </w:r>
      <w:r w:rsidRPr="1285F912">
        <w:rPr>
          <w:rFonts w:ascii="Times New Roman" w:eastAsia="Times New Roman" w:hAnsi="Times New Roman" w:cs="Times New Roman"/>
          <w:i/>
          <w:iCs/>
          <w:sz w:val="24"/>
          <w:szCs w:val="24"/>
          <w:lang w:eastAsia="en-AU"/>
        </w:rPr>
        <w:t>Human Rights (Parliamentary Scrutiny) Act 2011</w:t>
      </w:r>
      <w:r w:rsidRPr="1285F912">
        <w:rPr>
          <w:rFonts w:ascii="Times New Roman" w:eastAsia="Times New Roman" w:hAnsi="Times New Roman" w:cs="Times New Roman"/>
          <w:sz w:val="24"/>
          <w:szCs w:val="24"/>
          <w:lang w:eastAsia="en-AU"/>
        </w:rPr>
        <w:t xml:space="preserve"> requires the rule-maker of a legislative instrument to which section 42 (disallowance) of the </w:t>
      </w:r>
      <w:r w:rsidRPr="1285F912">
        <w:rPr>
          <w:rFonts w:ascii="Times New Roman" w:eastAsia="Times New Roman" w:hAnsi="Times New Roman" w:cs="Times New Roman"/>
          <w:i/>
          <w:iCs/>
          <w:sz w:val="24"/>
          <w:szCs w:val="24"/>
          <w:lang w:eastAsia="en-AU"/>
        </w:rPr>
        <w:t>Legislation Act 2003</w:t>
      </w:r>
      <w:r w:rsidRPr="1285F912">
        <w:rPr>
          <w:rFonts w:ascii="Times New Roman" w:eastAsia="Times New Roman" w:hAnsi="Times New Roman" w:cs="Times New Roman"/>
          <w:sz w:val="24"/>
          <w:szCs w:val="24"/>
          <w:lang w:eastAsia="en-AU"/>
        </w:rPr>
        <w:t xml:space="preserve"> applies to cause a statement of compatibility to be prepared in respect of that legislative instrument. A Statement of Compatibility with Human Rights has been prepared to meet that requirement and is set out at </w:t>
      </w:r>
      <w:r w:rsidRPr="1285F912">
        <w:rPr>
          <w:rFonts w:ascii="Times New Roman" w:eastAsia="Times New Roman" w:hAnsi="Times New Roman" w:cs="Times New Roman"/>
          <w:sz w:val="24"/>
          <w:szCs w:val="24"/>
          <w:u w:val="single"/>
          <w:lang w:eastAsia="en-AU"/>
        </w:rPr>
        <w:t>Attachment C</w:t>
      </w:r>
      <w:r w:rsidRPr="1285F912">
        <w:rPr>
          <w:rFonts w:ascii="Times New Roman" w:eastAsia="Times New Roman" w:hAnsi="Times New Roman" w:cs="Times New Roman"/>
          <w:sz w:val="24"/>
          <w:szCs w:val="24"/>
          <w:lang w:eastAsia="en-AU"/>
        </w:rPr>
        <w:t>.</w:t>
      </w:r>
    </w:p>
    <w:p w14:paraId="795F7E8E" w14:textId="77777777" w:rsidR="006862A4" w:rsidRDefault="006862A4">
      <w:pPr>
        <w:rPr>
          <w:rFonts w:ascii="Times New Roman" w:hAnsi="Times New Roman" w:cs="Times New Roman"/>
          <w:b/>
          <w:sz w:val="24"/>
          <w:szCs w:val="24"/>
        </w:rPr>
      </w:pPr>
      <w:r>
        <w:rPr>
          <w:rFonts w:ascii="Times New Roman" w:hAnsi="Times New Roman" w:cs="Times New Roman"/>
          <w:b/>
          <w:sz w:val="24"/>
          <w:szCs w:val="24"/>
        </w:rPr>
        <w:br w:type="page"/>
      </w:r>
    </w:p>
    <w:p w14:paraId="038BDFC2" w14:textId="5CA32216" w:rsidR="00C45059" w:rsidRDefault="1285F912" w:rsidP="1285F912">
      <w:pPr>
        <w:spacing w:before="240" w:after="240"/>
        <w:jc w:val="right"/>
        <w:rPr>
          <w:rFonts w:ascii="Times New Roman" w:hAnsi="Times New Roman" w:cs="Times New Roman"/>
          <w:b/>
          <w:bCs/>
          <w:sz w:val="24"/>
          <w:szCs w:val="24"/>
        </w:rPr>
      </w:pPr>
      <w:r w:rsidRPr="1285F912">
        <w:rPr>
          <w:rFonts w:ascii="Times New Roman" w:hAnsi="Times New Roman" w:cs="Times New Roman"/>
          <w:b/>
          <w:bCs/>
          <w:sz w:val="24"/>
          <w:szCs w:val="24"/>
        </w:rPr>
        <w:lastRenderedPageBreak/>
        <w:t>Attachment A</w:t>
      </w:r>
    </w:p>
    <w:p w14:paraId="351507EA" w14:textId="3FCF83DE" w:rsidR="000D0E22" w:rsidRDefault="1285F912" w:rsidP="1285F912">
      <w:pPr>
        <w:spacing w:before="240" w:after="240"/>
        <w:rPr>
          <w:rFonts w:ascii="Times New Roman" w:hAnsi="Times New Roman" w:cs="Times New Roman"/>
          <w:b/>
          <w:bCs/>
          <w:sz w:val="24"/>
          <w:szCs w:val="24"/>
        </w:rPr>
      </w:pPr>
      <w:r w:rsidRPr="1285F912">
        <w:rPr>
          <w:rFonts w:ascii="Times New Roman" w:hAnsi="Times New Roman" w:cs="Times New Roman"/>
          <w:b/>
          <w:bCs/>
          <w:sz w:val="24"/>
          <w:szCs w:val="24"/>
          <w:u w:val="single"/>
        </w:rPr>
        <w:t xml:space="preserve">Details of the </w:t>
      </w:r>
      <w:r w:rsidRPr="1285F912">
        <w:rPr>
          <w:rFonts w:ascii="Times New Roman" w:hAnsi="Times New Roman" w:cs="Times New Roman"/>
          <w:b/>
          <w:bCs/>
          <w:i/>
          <w:iCs/>
          <w:sz w:val="24"/>
          <w:szCs w:val="24"/>
          <w:u w:val="single"/>
        </w:rPr>
        <w:t>Offshore Minerals (</w:t>
      </w:r>
      <w:r w:rsidR="00C062B3" w:rsidRPr="00EB201C">
        <w:rPr>
          <w:rFonts w:ascii="Times New Roman" w:hAnsi="Times New Roman" w:cs="Times New Roman"/>
          <w:b/>
          <w:bCs/>
          <w:i/>
          <w:iCs/>
          <w:sz w:val="24"/>
          <w:szCs w:val="24"/>
          <w:u w:val="single"/>
        </w:rPr>
        <w:t>Exploration Activities</w:t>
      </w:r>
      <w:r w:rsidRPr="1285F912">
        <w:rPr>
          <w:rFonts w:ascii="Times New Roman" w:hAnsi="Times New Roman" w:cs="Times New Roman"/>
          <w:b/>
          <w:bCs/>
          <w:i/>
          <w:iCs/>
          <w:sz w:val="24"/>
          <w:szCs w:val="24"/>
          <w:u w:val="single"/>
        </w:rPr>
        <w:t>) Regulations 2018</w:t>
      </w:r>
    </w:p>
    <w:p w14:paraId="698630D5" w14:textId="782E17EA" w:rsidR="00BE264E" w:rsidRPr="006745C3" w:rsidRDefault="1285F912" w:rsidP="1285F912">
      <w:pPr>
        <w:spacing w:before="360"/>
        <w:rPr>
          <w:rFonts w:ascii="Times New Roman" w:hAnsi="Times New Roman" w:cs="Times New Roman"/>
          <w:b/>
          <w:bCs/>
          <w:sz w:val="24"/>
          <w:szCs w:val="24"/>
        </w:rPr>
      </w:pPr>
      <w:r w:rsidRPr="1285F912">
        <w:rPr>
          <w:rFonts w:ascii="Times New Roman" w:hAnsi="Times New Roman" w:cs="Times New Roman"/>
          <w:b/>
          <w:bCs/>
          <w:sz w:val="24"/>
          <w:szCs w:val="24"/>
        </w:rPr>
        <w:t>Section 1 – Name</w:t>
      </w:r>
    </w:p>
    <w:p w14:paraId="5C0C5523" w14:textId="6392A382" w:rsidR="00BE264E" w:rsidRDefault="1285F912" w:rsidP="1285F912">
      <w:pPr>
        <w:tabs>
          <w:tab w:val="left" w:pos="5220"/>
        </w:tabs>
        <w:spacing w:before="240"/>
        <w:rPr>
          <w:rFonts w:ascii="Times New Roman" w:hAnsi="Times New Roman" w:cs="Times New Roman"/>
          <w:sz w:val="24"/>
          <w:szCs w:val="24"/>
        </w:rPr>
      </w:pPr>
      <w:r w:rsidRPr="1285F912">
        <w:rPr>
          <w:rFonts w:ascii="Times New Roman" w:hAnsi="Times New Roman" w:cs="Times New Roman"/>
          <w:sz w:val="24"/>
          <w:szCs w:val="24"/>
        </w:rPr>
        <w:t>This section provides that the</w:t>
      </w:r>
      <w:r w:rsidR="007A413F">
        <w:rPr>
          <w:rFonts w:ascii="Times New Roman" w:hAnsi="Times New Roman" w:cs="Times New Roman"/>
          <w:sz w:val="24"/>
          <w:szCs w:val="24"/>
        </w:rPr>
        <w:t xml:space="preserve"> name of the</w:t>
      </w:r>
      <w:r w:rsidRPr="1285F912">
        <w:rPr>
          <w:rFonts w:ascii="Times New Roman" w:hAnsi="Times New Roman" w:cs="Times New Roman"/>
          <w:sz w:val="24"/>
          <w:szCs w:val="24"/>
        </w:rPr>
        <w:t xml:space="preserve"> instrument is the </w:t>
      </w:r>
      <w:r w:rsidRPr="1285F912">
        <w:rPr>
          <w:rFonts w:ascii="Times New Roman" w:hAnsi="Times New Roman" w:cs="Times New Roman"/>
          <w:i/>
          <w:iCs/>
          <w:sz w:val="24"/>
          <w:szCs w:val="24"/>
        </w:rPr>
        <w:t>Offshore Minerals (</w:t>
      </w:r>
      <w:r w:rsidR="00C062B3">
        <w:rPr>
          <w:rFonts w:ascii="Times New Roman" w:hAnsi="Times New Roman" w:cs="Times New Roman"/>
          <w:i/>
          <w:iCs/>
          <w:sz w:val="24"/>
          <w:szCs w:val="24"/>
        </w:rPr>
        <w:t>Exploration Activities</w:t>
      </w:r>
      <w:r w:rsidRPr="1285F912">
        <w:rPr>
          <w:rFonts w:ascii="Times New Roman" w:hAnsi="Times New Roman" w:cs="Times New Roman"/>
          <w:i/>
          <w:iCs/>
          <w:sz w:val="24"/>
          <w:szCs w:val="24"/>
        </w:rPr>
        <w:t xml:space="preserve">) Regulations 2018 </w:t>
      </w:r>
      <w:r w:rsidRPr="1285F912">
        <w:rPr>
          <w:rFonts w:ascii="Times New Roman" w:hAnsi="Times New Roman" w:cs="Times New Roman"/>
          <w:sz w:val="24"/>
          <w:szCs w:val="24"/>
        </w:rPr>
        <w:t>(the 2018 Regulations).</w:t>
      </w:r>
    </w:p>
    <w:p w14:paraId="602AFFEC" w14:textId="77777777" w:rsidR="00BE264E" w:rsidRPr="006745C3" w:rsidRDefault="1285F912" w:rsidP="1285F912">
      <w:pPr>
        <w:tabs>
          <w:tab w:val="left" w:pos="5220"/>
        </w:tabs>
        <w:spacing w:before="240"/>
        <w:rPr>
          <w:rFonts w:ascii="Times New Roman" w:hAnsi="Times New Roman" w:cs="Times New Roman"/>
          <w:b/>
          <w:bCs/>
          <w:sz w:val="24"/>
          <w:szCs w:val="24"/>
        </w:rPr>
      </w:pPr>
      <w:r w:rsidRPr="1285F912">
        <w:rPr>
          <w:rFonts w:ascii="Times New Roman" w:hAnsi="Times New Roman" w:cs="Times New Roman"/>
          <w:b/>
          <w:bCs/>
          <w:sz w:val="24"/>
          <w:szCs w:val="24"/>
        </w:rPr>
        <w:t>Section 2 – Commencement</w:t>
      </w:r>
    </w:p>
    <w:p w14:paraId="0A9894BA" w14:textId="77777777" w:rsidR="00DE74D8" w:rsidRDefault="1285F912" w:rsidP="1285F912">
      <w:pPr>
        <w:tabs>
          <w:tab w:val="left" w:pos="2610"/>
        </w:tabs>
        <w:spacing w:before="240"/>
        <w:rPr>
          <w:rFonts w:ascii="Times New Roman" w:hAnsi="Times New Roman" w:cs="Times New Roman"/>
          <w:sz w:val="24"/>
          <w:szCs w:val="24"/>
        </w:rPr>
      </w:pPr>
      <w:r w:rsidRPr="1285F912">
        <w:rPr>
          <w:rFonts w:ascii="Times New Roman" w:hAnsi="Times New Roman" w:cs="Times New Roman"/>
          <w:sz w:val="24"/>
          <w:szCs w:val="24"/>
        </w:rPr>
        <w:t xml:space="preserve">This section provides that the 2018 Regulations commence on the day after the instrument is registered on the Federal Register of Legislation. </w:t>
      </w:r>
    </w:p>
    <w:p w14:paraId="26237C13" w14:textId="1A8E4F42" w:rsidR="00BE264E" w:rsidRPr="006745C3" w:rsidRDefault="1285F912" w:rsidP="1285F912">
      <w:pPr>
        <w:tabs>
          <w:tab w:val="left" w:pos="2610"/>
        </w:tabs>
        <w:spacing w:before="240"/>
        <w:rPr>
          <w:rFonts w:ascii="Times New Roman" w:hAnsi="Times New Roman" w:cs="Times New Roman"/>
          <w:b/>
          <w:bCs/>
          <w:sz w:val="24"/>
          <w:szCs w:val="24"/>
        </w:rPr>
      </w:pPr>
      <w:r w:rsidRPr="1285F912">
        <w:rPr>
          <w:rFonts w:ascii="Times New Roman" w:hAnsi="Times New Roman" w:cs="Times New Roman"/>
          <w:b/>
          <w:bCs/>
          <w:sz w:val="24"/>
          <w:szCs w:val="24"/>
        </w:rPr>
        <w:t>Section 3 – Authority</w:t>
      </w:r>
    </w:p>
    <w:p w14:paraId="565B893C" w14:textId="301BB711" w:rsidR="005663AC" w:rsidRDefault="1285F912" w:rsidP="1285F912">
      <w:pPr>
        <w:spacing w:before="240"/>
        <w:rPr>
          <w:rFonts w:ascii="Times New Roman" w:hAnsi="Times New Roman" w:cs="Times New Roman"/>
          <w:sz w:val="24"/>
          <w:szCs w:val="24"/>
        </w:rPr>
      </w:pPr>
      <w:r w:rsidRPr="1285F912">
        <w:rPr>
          <w:rFonts w:ascii="Times New Roman" w:hAnsi="Times New Roman" w:cs="Times New Roman"/>
          <w:sz w:val="24"/>
          <w:szCs w:val="24"/>
        </w:rPr>
        <w:t xml:space="preserve">This section provides that the 2018 Regulations </w:t>
      </w:r>
      <w:r w:rsidR="007A413F">
        <w:rPr>
          <w:rFonts w:ascii="Times New Roman" w:hAnsi="Times New Roman" w:cs="Times New Roman"/>
          <w:sz w:val="24"/>
          <w:szCs w:val="24"/>
        </w:rPr>
        <w:t>are made under</w:t>
      </w:r>
      <w:r w:rsidRPr="1285F912">
        <w:rPr>
          <w:rFonts w:ascii="Times New Roman" w:hAnsi="Times New Roman" w:cs="Times New Roman"/>
          <w:sz w:val="24"/>
          <w:szCs w:val="24"/>
        </w:rPr>
        <w:t xml:space="preserve"> the </w:t>
      </w:r>
      <w:r w:rsidRPr="1285F912">
        <w:rPr>
          <w:rFonts w:ascii="Times New Roman" w:hAnsi="Times New Roman" w:cs="Times New Roman"/>
          <w:i/>
          <w:iCs/>
          <w:sz w:val="24"/>
          <w:szCs w:val="24"/>
        </w:rPr>
        <w:t xml:space="preserve">Offshore Minerals Act 1994 </w:t>
      </w:r>
      <w:r w:rsidRPr="1285F912">
        <w:rPr>
          <w:rFonts w:ascii="Times New Roman" w:hAnsi="Times New Roman" w:cs="Times New Roman"/>
          <w:sz w:val="24"/>
          <w:szCs w:val="24"/>
        </w:rPr>
        <w:t xml:space="preserve">(the Act). The applicable provisions that provide authority are sections 124, </w:t>
      </w:r>
      <w:r w:rsidRPr="1285F912">
        <w:rPr>
          <w:rFonts w:ascii="Times New Roman" w:hAnsi="Times New Roman" w:cs="Times New Roman"/>
          <w:color w:val="000000" w:themeColor="text1"/>
          <w:sz w:val="24"/>
          <w:szCs w:val="24"/>
        </w:rPr>
        <w:t>184, 261</w:t>
      </w:r>
      <w:r w:rsidR="004E409E">
        <w:rPr>
          <w:rFonts w:ascii="Times New Roman" w:hAnsi="Times New Roman" w:cs="Times New Roman"/>
          <w:color w:val="000000" w:themeColor="text1"/>
          <w:sz w:val="24"/>
          <w:szCs w:val="24"/>
        </w:rPr>
        <w:t>,</w:t>
      </w:r>
      <w:r w:rsidRPr="1285F912">
        <w:rPr>
          <w:rFonts w:ascii="Times New Roman" w:hAnsi="Times New Roman" w:cs="Times New Roman"/>
          <w:color w:val="000000" w:themeColor="text1"/>
          <w:sz w:val="24"/>
          <w:szCs w:val="24"/>
        </w:rPr>
        <w:t xml:space="preserve"> 309</w:t>
      </w:r>
      <w:r w:rsidRPr="1285F912">
        <w:rPr>
          <w:rFonts w:ascii="Times New Roman" w:hAnsi="Times New Roman" w:cs="Times New Roman"/>
          <w:sz w:val="24"/>
          <w:szCs w:val="24"/>
        </w:rPr>
        <w:t xml:space="preserve"> </w:t>
      </w:r>
      <w:r w:rsidR="004E409E">
        <w:rPr>
          <w:rFonts w:ascii="Times New Roman" w:hAnsi="Times New Roman" w:cs="Times New Roman"/>
          <w:sz w:val="24"/>
          <w:szCs w:val="24"/>
        </w:rPr>
        <w:t xml:space="preserve">and 440 </w:t>
      </w:r>
      <w:r w:rsidRPr="1285F912">
        <w:rPr>
          <w:rFonts w:ascii="Times New Roman" w:hAnsi="Times New Roman" w:cs="Times New Roman"/>
          <w:sz w:val="24"/>
          <w:szCs w:val="24"/>
        </w:rPr>
        <w:t>of the Act.</w:t>
      </w:r>
    </w:p>
    <w:p w14:paraId="69FF6FBB" w14:textId="0C4536FF" w:rsidR="00BE264E" w:rsidRDefault="1285F912" w:rsidP="1285F912">
      <w:pPr>
        <w:spacing w:before="240"/>
        <w:rPr>
          <w:rFonts w:ascii="Times New Roman" w:hAnsi="Times New Roman" w:cs="Times New Roman"/>
          <w:b/>
          <w:bCs/>
          <w:sz w:val="24"/>
          <w:szCs w:val="24"/>
        </w:rPr>
      </w:pPr>
      <w:r w:rsidRPr="1285F912">
        <w:rPr>
          <w:rFonts w:ascii="Times New Roman" w:hAnsi="Times New Roman" w:cs="Times New Roman"/>
          <w:b/>
          <w:bCs/>
          <w:sz w:val="24"/>
          <w:szCs w:val="24"/>
        </w:rPr>
        <w:t>Section 4 – Schedules</w:t>
      </w:r>
    </w:p>
    <w:p w14:paraId="6F21E490" w14:textId="77777777" w:rsidR="007A413F" w:rsidRDefault="007A413F" w:rsidP="007A413F">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w:t>
      </w:r>
      <w:r>
        <w:rPr>
          <w:rFonts w:ascii="Times New Roman" w:hAnsi="Times New Roman" w:cs="Times New Roman"/>
          <w:sz w:val="24"/>
          <w:szCs w:val="24"/>
        </w:rPr>
        <w:t xml:space="preserve">is a machinery provision that enables the </w:t>
      </w:r>
      <w:r w:rsidRPr="000B33B2">
        <w:rPr>
          <w:rFonts w:ascii="Times New Roman" w:hAnsi="Times New Roman" w:cs="Times New Roman"/>
          <w:sz w:val="24"/>
          <w:szCs w:val="24"/>
        </w:rPr>
        <w:t xml:space="preserve">Schedule </w:t>
      </w:r>
      <w:r>
        <w:rPr>
          <w:rFonts w:ascii="Times New Roman" w:hAnsi="Times New Roman" w:cs="Times New Roman"/>
          <w:sz w:val="24"/>
          <w:szCs w:val="24"/>
        </w:rPr>
        <w:t>to the 2018 Regulations to operate according to its terms</w:t>
      </w:r>
      <w:r w:rsidRPr="000B33B2">
        <w:rPr>
          <w:rFonts w:ascii="Times New Roman" w:hAnsi="Times New Roman" w:cs="Times New Roman"/>
          <w:sz w:val="24"/>
          <w:szCs w:val="24"/>
        </w:rPr>
        <w:t>.</w:t>
      </w:r>
    </w:p>
    <w:p w14:paraId="18FA2457" w14:textId="717B9900" w:rsidR="00156FE4" w:rsidRDefault="1285F912" w:rsidP="1285F912">
      <w:pPr>
        <w:spacing w:before="240"/>
        <w:rPr>
          <w:rFonts w:ascii="Times New Roman" w:hAnsi="Times New Roman" w:cs="Times New Roman"/>
          <w:b/>
          <w:bCs/>
          <w:sz w:val="24"/>
          <w:szCs w:val="24"/>
        </w:rPr>
      </w:pPr>
      <w:r w:rsidRPr="1285F912">
        <w:rPr>
          <w:rFonts w:ascii="Times New Roman" w:hAnsi="Times New Roman" w:cs="Times New Roman"/>
          <w:b/>
          <w:bCs/>
          <w:sz w:val="24"/>
          <w:szCs w:val="24"/>
        </w:rPr>
        <w:t>Section 5 – Definitions</w:t>
      </w:r>
    </w:p>
    <w:p w14:paraId="57665B5A" w14:textId="358031D7" w:rsidR="007A413F" w:rsidRDefault="007A413F" w:rsidP="007A413F">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provides for the </w:t>
      </w:r>
      <w:r>
        <w:rPr>
          <w:rFonts w:ascii="Times New Roman" w:hAnsi="Times New Roman" w:cs="Times New Roman"/>
          <w:sz w:val="24"/>
          <w:szCs w:val="24"/>
        </w:rPr>
        <w:t xml:space="preserve">definitions of terms used in the 2018 </w:t>
      </w:r>
      <w:r w:rsidRPr="000B33B2">
        <w:rPr>
          <w:rFonts w:ascii="Times New Roman" w:hAnsi="Times New Roman" w:cs="Times New Roman"/>
          <w:sz w:val="24"/>
          <w:szCs w:val="24"/>
        </w:rPr>
        <w:t>Regulations</w:t>
      </w:r>
      <w:r w:rsidRPr="00D9407C">
        <w:rPr>
          <w:rFonts w:ascii="Times New Roman" w:hAnsi="Times New Roman" w:cs="Times New Roman"/>
          <w:sz w:val="24"/>
          <w:szCs w:val="24"/>
        </w:rPr>
        <w:t>.</w:t>
      </w:r>
    </w:p>
    <w:p w14:paraId="147A88C4" w14:textId="4A684AE0" w:rsidR="00C52797" w:rsidRPr="00EB201C" w:rsidRDefault="1285F912" w:rsidP="1285F912">
      <w:pPr>
        <w:spacing w:before="240"/>
        <w:rPr>
          <w:rFonts w:ascii="Times New Roman" w:hAnsi="Times New Roman" w:cs="Times New Roman"/>
          <w:b/>
          <w:bCs/>
          <w:sz w:val="24"/>
          <w:szCs w:val="24"/>
        </w:rPr>
      </w:pPr>
      <w:r w:rsidRPr="00EB201C">
        <w:rPr>
          <w:rFonts w:ascii="Times New Roman" w:hAnsi="Times New Roman" w:cs="Times New Roman"/>
          <w:b/>
          <w:bCs/>
          <w:sz w:val="24"/>
          <w:szCs w:val="24"/>
        </w:rPr>
        <w:t xml:space="preserve">Section 6 – </w:t>
      </w:r>
      <w:r w:rsidR="00EB201C">
        <w:rPr>
          <w:rFonts w:ascii="Times New Roman" w:hAnsi="Times New Roman" w:cs="Times New Roman"/>
          <w:b/>
          <w:bCs/>
          <w:sz w:val="24"/>
          <w:szCs w:val="24"/>
        </w:rPr>
        <w:t>Keeping samples obtained in the course of exploration activities</w:t>
      </w:r>
    </w:p>
    <w:p w14:paraId="69F218C8" w14:textId="61A204DB" w:rsidR="004E409E" w:rsidRDefault="00BF69EC" w:rsidP="1285F912">
      <w:pPr>
        <w:spacing w:before="240"/>
        <w:rPr>
          <w:rFonts w:ascii="Times New Roman" w:hAnsi="Times New Roman" w:cs="Times New Roman"/>
          <w:sz w:val="24"/>
          <w:szCs w:val="24"/>
        </w:rPr>
      </w:pPr>
      <w:r>
        <w:rPr>
          <w:rFonts w:ascii="Times New Roman" w:hAnsi="Times New Roman" w:cs="Times New Roman"/>
          <w:sz w:val="24"/>
          <w:szCs w:val="24"/>
        </w:rPr>
        <w:t xml:space="preserve">This section </w:t>
      </w:r>
      <w:r w:rsidR="004E409E">
        <w:rPr>
          <w:rFonts w:ascii="Times New Roman" w:hAnsi="Times New Roman" w:cs="Times New Roman"/>
          <w:sz w:val="24"/>
          <w:szCs w:val="24"/>
        </w:rPr>
        <w:t>applies if a licence holder obtains a sample in the course of an exploration activity. The</w:t>
      </w:r>
      <w:r>
        <w:rPr>
          <w:rFonts w:ascii="Times New Roman" w:hAnsi="Times New Roman" w:cs="Times New Roman"/>
          <w:sz w:val="24"/>
          <w:szCs w:val="24"/>
        </w:rPr>
        <w:t xml:space="preserve"> licence holder must keep </w:t>
      </w:r>
      <w:r w:rsidR="004E409E">
        <w:rPr>
          <w:rFonts w:ascii="Times New Roman" w:hAnsi="Times New Roman" w:cs="Times New Roman"/>
          <w:sz w:val="24"/>
          <w:szCs w:val="24"/>
        </w:rPr>
        <w:t>the</w:t>
      </w:r>
      <w:r>
        <w:rPr>
          <w:rFonts w:ascii="Times New Roman" w:hAnsi="Times New Roman" w:cs="Times New Roman"/>
          <w:sz w:val="24"/>
          <w:szCs w:val="24"/>
        </w:rPr>
        <w:t xml:space="preserve"> sample in good condition for at least one year after the end of the </w:t>
      </w:r>
      <w:r w:rsidR="004E409E">
        <w:rPr>
          <w:rFonts w:ascii="Times New Roman" w:hAnsi="Times New Roman" w:cs="Times New Roman"/>
          <w:sz w:val="24"/>
          <w:szCs w:val="24"/>
        </w:rPr>
        <w:t xml:space="preserve">return </w:t>
      </w:r>
      <w:r>
        <w:rPr>
          <w:rFonts w:ascii="Times New Roman" w:hAnsi="Times New Roman" w:cs="Times New Roman"/>
          <w:sz w:val="24"/>
          <w:szCs w:val="24"/>
        </w:rPr>
        <w:t>period in which the sample was taken</w:t>
      </w:r>
      <w:r w:rsidR="004E409E">
        <w:rPr>
          <w:rFonts w:ascii="Times New Roman" w:hAnsi="Times New Roman" w:cs="Times New Roman"/>
          <w:sz w:val="24"/>
          <w:szCs w:val="24"/>
        </w:rPr>
        <w:t>.</w:t>
      </w:r>
      <w:r>
        <w:rPr>
          <w:rFonts w:ascii="Times New Roman" w:hAnsi="Times New Roman" w:cs="Times New Roman"/>
          <w:sz w:val="24"/>
          <w:szCs w:val="24"/>
        </w:rPr>
        <w:t xml:space="preserve"> </w:t>
      </w:r>
      <w:r w:rsidR="004E409E">
        <w:rPr>
          <w:rFonts w:ascii="Times New Roman" w:hAnsi="Times New Roman" w:cs="Times New Roman"/>
          <w:sz w:val="24"/>
          <w:szCs w:val="24"/>
        </w:rPr>
        <w:t>“Return period” is defined in section 5.</w:t>
      </w:r>
    </w:p>
    <w:p w14:paraId="20B3B458" w14:textId="1EB9562D" w:rsidR="004E409E" w:rsidRDefault="004E409E" w:rsidP="1285F912">
      <w:pPr>
        <w:spacing w:before="240"/>
        <w:rPr>
          <w:rFonts w:ascii="Times New Roman" w:hAnsi="Times New Roman" w:cs="Times New Roman"/>
          <w:sz w:val="24"/>
          <w:szCs w:val="24"/>
        </w:rPr>
      </w:pPr>
      <w:r>
        <w:rPr>
          <w:rFonts w:ascii="Times New Roman" w:hAnsi="Times New Roman" w:cs="Times New Roman"/>
          <w:sz w:val="24"/>
          <w:szCs w:val="24"/>
        </w:rPr>
        <w:t>The purpose of this provision is to facilitate section 371 of the Act, which enables the Designated Authority to ask a person to give the Designated Authority or an inspector a sample taken from the seabed or subsoil, if the sample is relevant to the operation of the Act</w:t>
      </w:r>
      <w:r w:rsidR="000763BA">
        <w:rPr>
          <w:rFonts w:ascii="Times New Roman" w:hAnsi="Times New Roman" w:cs="Times New Roman"/>
          <w:sz w:val="24"/>
          <w:szCs w:val="24"/>
        </w:rPr>
        <w:t xml:space="preserve"> and the Designated Authority has reasonable grounds for believing that the person is able to give the sample.</w:t>
      </w:r>
    </w:p>
    <w:p w14:paraId="290BD59D" w14:textId="23EE230B" w:rsidR="001900C1" w:rsidRPr="00EB201C" w:rsidRDefault="004E409E" w:rsidP="1285F912">
      <w:pPr>
        <w:spacing w:before="240"/>
        <w:rPr>
          <w:rFonts w:ascii="Times New Roman" w:hAnsi="Times New Roman" w:cs="Times New Roman"/>
          <w:b/>
          <w:bCs/>
          <w:sz w:val="24"/>
          <w:szCs w:val="24"/>
        </w:rPr>
      </w:pPr>
      <w:r>
        <w:rPr>
          <w:rFonts w:ascii="Times New Roman" w:hAnsi="Times New Roman" w:cs="Times New Roman"/>
          <w:sz w:val="24"/>
          <w:szCs w:val="24"/>
        </w:rPr>
        <w:t xml:space="preserve">The Designated Authority </w:t>
      </w:r>
      <w:r w:rsidR="00CB29EA">
        <w:rPr>
          <w:rFonts w:ascii="Times New Roman" w:hAnsi="Times New Roman" w:cs="Times New Roman"/>
          <w:sz w:val="24"/>
          <w:szCs w:val="24"/>
        </w:rPr>
        <w:t xml:space="preserve">and the licence holder </w:t>
      </w:r>
      <w:r>
        <w:rPr>
          <w:rFonts w:ascii="Times New Roman" w:hAnsi="Times New Roman" w:cs="Times New Roman"/>
          <w:sz w:val="24"/>
          <w:szCs w:val="24"/>
        </w:rPr>
        <w:t xml:space="preserve">may </w:t>
      </w:r>
      <w:r w:rsidR="00CB29EA">
        <w:rPr>
          <w:rFonts w:ascii="Times New Roman" w:hAnsi="Times New Roman" w:cs="Times New Roman"/>
          <w:sz w:val="24"/>
          <w:szCs w:val="24"/>
        </w:rPr>
        <w:t xml:space="preserve">agree, in writing, </w:t>
      </w:r>
      <w:r>
        <w:rPr>
          <w:rFonts w:ascii="Times New Roman" w:hAnsi="Times New Roman" w:cs="Times New Roman"/>
          <w:sz w:val="24"/>
          <w:szCs w:val="24"/>
        </w:rPr>
        <w:t>for the licence holder to</w:t>
      </w:r>
      <w:r w:rsidR="00BF69EC">
        <w:rPr>
          <w:rFonts w:ascii="Times New Roman" w:hAnsi="Times New Roman" w:cs="Times New Roman"/>
          <w:sz w:val="24"/>
          <w:szCs w:val="24"/>
        </w:rPr>
        <w:t xml:space="preserve"> dispose of </w:t>
      </w:r>
      <w:r>
        <w:rPr>
          <w:rFonts w:ascii="Times New Roman" w:hAnsi="Times New Roman" w:cs="Times New Roman"/>
          <w:sz w:val="24"/>
          <w:szCs w:val="24"/>
        </w:rPr>
        <w:t>the sample earlier than one year after the end of the return period</w:t>
      </w:r>
      <w:r w:rsidR="00BF69EC">
        <w:rPr>
          <w:rFonts w:ascii="Times New Roman" w:hAnsi="Times New Roman" w:cs="Times New Roman"/>
          <w:sz w:val="24"/>
          <w:szCs w:val="24"/>
        </w:rPr>
        <w:t>.</w:t>
      </w:r>
    </w:p>
    <w:p w14:paraId="5597BD1A" w14:textId="77777777" w:rsidR="006A62EF" w:rsidRDefault="006A62EF">
      <w:pPr>
        <w:rPr>
          <w:rFonts w:ascii="Times New Roman" w:hAnsi="Times New Roman" w:cs="Times New Roman"/>
          <w:b/>
          <w:bCs/>
          <w:sz w:val="24"/>
          <w:szCs w:val="24"/>
        </w:rPr>
      </w:pPr>
      <w:r>
        <w:rPr>
          <w:rFonts w:ascii="Times New Roman" w:hAnsi="Times New Roman" w:cs="Times New Roman"/>
          <w:b/>
          <w:bCs/>
          <w:sz w:val="24"/>
          <w:szCs w:val="24"/>
        </w:rPr>
        <w:br w:type="page"/>
      </w:r>
    </w:p>
    <w:p w14:paraId="3BDD82B2" w14:textId="34164667" w:rsidR="00C52797" w:rsidRPr="00EB201C" w:rsidRDefault="1285F912" w:rsidP="1285F912">
      <w:pPr>
        <w:spacing w:before="240"/>
        <w:rPr>
          <w:rFonts w:ascii="Times New Roman" w:hAnsi="Times New Roman" w:cs="Times New Roman"/>
          <w:b/>
          <w:bCs/>
          <w:sz w:val="24"/>
          <w:szCs w:val="24"/>
        </w:rPr>
      </w:pPr>
      <w:r w:rsidRPr="00EB201C">
        <w:rPr>
          <w:rFonts w:ascii="Times New Roman" w:hAnsi="Times New Roman" w:cs="Times New Roman"/>
          <w:b/>
          <w:bCs/>
          <w:sz w:val="24"/>
          <w:szCs w:val="24"/>
        </w:rPr>
        <w:lastRenderedPageBreak/>
        <w:t xml:space="preserve">Section 7 – </w:t>
      </w:r>
      <w:r w:rsidR="00EB201C">
        <w:rPr>
          <w:rFonts w:ascii="Times New Roman" w:hAnsi="Times New Roman" w:cs="Times New Roman"/>
          <w:b/>
          <w:bCs/>
          <w:sz w:val="24"/>
          <w:szCs w:val="24"/>
        </w:rPr>
        <w:t>Making returns of exploration activities</w:t>
      </w:r>
    </w:p>
    <w:p w14:paraId="1BDE47BD" w14:textId="52DD530D" w:rsidR="00857372" w:rsidRDefault="004D012E" w:rsidP="004D012E">
      <w:pPr>
        <w:spacing w:before="240"/>
        <w:rPr>
          <w:rFonts w:ascii="Times New Roman" w:hAnsi="Times New Roman" w:cs="Times New Roman"/>
          <w:bCs/>
          <w:sz w:val="24"/>
          <w:szCs w:val="24"/>
        </w:rPr>
      </w:pPr>
      <w:r>
        <w:rPr>
          <w:rFonts w:ascii="Times New Roman" w:hAnsi="Times New Roman" w:cs="Times New Roman"/>
          <w:bCs/>
          <w:sz w:val="24"/>
          <w:szCs w:val="24"/>
        </w:rPr>
        <w:t xml:space="preserve">This section outlines the </w:t>
      </w:r>
      <w:r w:rsidR="00CF3796">
        <w:rPr>
          <w:rFonts w:ascii="Times New Roman" w:hAnsi="Times New Roman" w:cs="Times New Roman"/>
          <w:bCs/>
          <w:sz w:val="24"/>
          <w:szCs w:val="24"/>
        </w:rPr>
        <w:t xml:space="preserve">required </w:t>
      </w:r>
      <w:r>
        <w:rPr>
          <w:rFonts w:ascii="Times New Roman" w:hAnsi="Times New Roman" w:cs="Times New Roman"/>
          <w:bCs/>
          <w:sz w:val="24"/>
          <w:szCs w:val="24"/>
        </w:rPr>
        <w:t xml:space="preserve">form and </w:t>
      </w:r>
      <w:r w:rsidR="00CF3796">
        <w:rPr>
          <w:rFonts w:ascii="Times New Roman" w:hAnsi="Times New Roman" w:cs="Times New Roman"/>
          <w:bCs/>
          <w:sz w:val="24"/>
          <w:szCs w:val="24"/>
        </w:rPr>
        <w:t>content</w:t>
      </w:r>
      <w:r w:rsidR="00857372">
        <w:rPr>
          <w:rFonts w:ascii="Times New Roman" w:hAnsi="Times New Roman" w:cs="Times New Roman"/>
          <w:bCs/>
          <w:sz w:val="24"/>
          <w:szCs w:val="24"/>
        </w:rPr>
        <w:t>s</w:t>
      </w:r>
      <w:r w:rsidR="00CF3796">
        <w:rPr>
          <w:rFonts w:ascii="Times New Roman" w:hAnsi="Times New Roman" w:cs="Times New Roman"/>
          <w:bCs/>
          <w:sz w:val="24"/>
          <w:szCs w:val="24"/>
        </w:rPr>
        <w:t xml:space="preserve"> of</w:t>
      </w:r>
      <w:r>
        <w:rPr>
          <w:rFonts w:ascii="Times New Roman" w:hAnsi="Times New Roman" w:cs="Times New Roman"/>
          <w:bCs/>
          <w:sz w:val="24"/>
          <w:szCs w:val="24"/>
        </w:rPr>
        <w:t xml:space="preserve"> </w:t>
      </w:r>
      <w:r w:rsidR="00CF3796">
        <w:rPr>
          <w:rFonts w:ascii="Times New Roman" w:hAnsi="Times New Roman" w:cs="Times New Roman"/>
          <w:bCs/>
          <w:sz w:val="24"/>
          <w:szCs w:val="24"/>
        </w:rPr>
        <w:t>returns of exploration activities</w:t>
      </w:r>
      <w:r w:rsidR="00857372">
        <w:rPr>
          <w:rFonts w:ascii="Times New Roman" w:hAnsi="Times New Roman" w:cs="Times New Roman"/>
          <w:bCs/>
          <w:sz w:val="24"/>
          <w:szCs w:val="24"/>
        </w:rPr>
        <w:t xml:space="preserve"> carried out under a licence</w:t>
      </w:r>
      <w:r>
        <w:rPr>
          <w:rFonts w:ascii="Times New Roman" w:hAnsi="Times New Roman" w:cs="Times New Roman"/>
          <w:bCs/>
          <w:sz w:val="24"/>
          <w:szCs w:val="24"/>
        </w:rPr>
        <w:t>.</w:t>
      </w:r>
      <w:r w:rsidR="00CF3796">
        <w:rPr>
          <w:rFonts w:ascii="Times New Roman" w:hAnsi="Times New Roman" w:cs="Times New Roman"/>
          <w:bCs/>
          <w:sz w:val="24"/>
          <w:szCs w:val="24"/>
        </w:rPr>
        <w:t xml:space="preserve"> </w:t>
      </w:r>
      <w:r w:rsidR="00857372">
        <w:rPr>
          <w:rFonts w:ascii="Times New Roman" w:hAnsi="Times New Roman" w:cs="Times New Roman"/>
          <w:bCs/>
          <w:sz w:val="24"/>
          <w:szCs w:val="24"/>
        </w:rPr>
        <w:t>In the Act, “licence” is defined as an exploration licence, retention licence, mining licence or works licence.</w:t>
      </w:r>
    </w:p>
    <w:p w14:paraId="2F27329E" w14:textId="55562A52" w:rsidR="004D012E" w:rsidRPr="007666E6" w:rsidRDefault="00CF3796" w:rsidP="004D012E">
      <w:pPr>
        <w:spacing w:before="240"/>
        <w:rPr>
          <w:rFonts w:ascii="Times New Roman" w:hAnsi="Times New Roman" w:cs="Times New Roman"/>
          <w:bCs/>
          <w:sz w:val="24"/>
          <w:szCs w:val="24"/>
        </w:rPr>
      </w:pPr>
      <w:r>
        <w:rPr>
          <w:rFonts w:ascii="Times New Roman" w:hAnsi="Times New Roman" w:cs="Times New Roman"/>
          <w:bCs/>
          <w:sz w:val="24"/>
          <w:szCs w:val="24"/>
        </w:rPr>
        <w:t xml:space="preserve">The term “return” is used (rather than “report”) to </w:t>
      </w:r>
      <w:r w:rsidR="00973E10">
        <w:rPr>
          <w:rFonts w:ascii="Times New Roman" w:hAnsi="Times New Roman" w:cs="Times New Roman"/>
          <w:bCs/>
          <w:sz w:val="24"/>
          <w:szCs w:val="24"/>
        </w:rPr>
        <w:t>reflect</w:t>
      </w:r>
      <w:r>
        <w:rPr>
          <w:rFonts w:ascii="Times New Roman" w:hAnsi="Times New Roman" w:cs="Times New Roman"/>
          <w:bCs/>
          <w:sz w:val="24"/>
          <w:szCs w:val="24"/>
        </w:rPr>
        <w:t xml:space="preserve"> the language in the Act. The Oxford English Dictionary includes the following definition: “An official report or statement submitted in response to a formal demand”. In this sense, it is similar to a tax return, being a report of activities over the course of a particular period.</w:t>
      </w:r>
    </w:p>
    <w:p w14:paraId="655DDB88" w14:textId="42AA4F27" w:rsidR="001900C1" w:rsidRPr="007666E6" w:rsidRDefault="1285F912" w:rsidP="004D012E">
      <w:pPr>
        <w:spacing w:before="240"/>
        <w:rPr>
          <w:rFonts w:ascii="Times New Roman" w:hAnsi="Times New Roman" w:cs="Times New Roman"/>
          <w:sz w:val="24"/>
          <w:szCs w:val="24"/>
        </w:rPr>
      </w:pPr>
      <w:r w:rsidRPr="00EB201C">
        <w:rPr>
          <w:rFonts w:ascii="Times New Roman" w:hAnsi="Times New Roman" w:cs="Times New Roman"/>
          <w:sz w:val="24"/>
          <w:szCs w:val="24"/>
        </w:rPr>
        <w:t xml:space="preserve">This section </w:t>
      </w:r>
      <w:r w:rsidR="00857372">
        <w:rPr>
          <w:rFonts w:ascii="Times New Roman" w:hAnsi="Times New Roman" w:cs="Times New Roman"/>
          <w:sz w:val="24"/>
          <w:szCs w:val="24"/>
        </w:rPr>
        <w:t xml:space="preserve">also </w:t>
      </w:r>
      <w:r w:rsidRPr="00EB201C">
        <w:rPr>
          <w:rFonts w:ascii="Times New Roman" w:hAnsi="Times New Roman" w:cs="Times New Roman"/>
          <w:sz w:val="24"/>
          <w:szCs w:val="24"/>
        </w:rPr>
        <w:t xml:space="preserve">provides </w:t>
      </w:r>
      <w:r w:rsidR="00857372">
        <w:rPr>
          <w:rFonts w:ascii="Times New Roman" w:hAnsi="Times New Roman" w:cs="Times New Roman"/>
          <w:sz w:val="24"/>
          <w:szCs w:val="24"/>
        </w:rPr>
        <w:t xml:space="preserve">for </w:t>
      </w:r>
      <w:r w:rsidRPr="00EB201C">
        <w:rPr>
          <w:rFonts w:ascii="Times New Roman" w:hAnsi="Times New Roman" w:cs="Times New Roman"/>
          <w:sz w:val="24"/>
          <w:szCs w:val="24"/>
        </w:rPr>
        <w:t xml:space="preserve">the period in which </w:t>
      </w:r>
      <w:r w:rsidR="00857372">
        <w:rPr>
          <w:rFonts w:ascii="Times New Roman" w:hAnsi="Times New Roman" w:cs="Times New Roman"/>
          <w:sz w:val="24"/>
          <w:szCs w:val="24"/>
        </w:rPr>
        <w:t>a return</w:t>
      </w:r>
      <w:r w:rsidRPr="007666E6">
        <w:rPr>
          <w:rFonts w:ascii="Times New Roman" w:hAnsi="Times New Roman" w:cs="Times New Roman"/>
          <w:sz w:val="24"/>
          <w:szCs w:val="24"/>
        </w:rPr>
        <w:t xml:space="preserve"> is to be lodged</w:t>
      </w:r>
      <w:r w:rsidR="00857372">
        <w:rPr>
          <w:rFonts w:ascii="Times New Roman" w:hAnsi="Times New Roman" w:cs="Times New Roman"/>
          <w:sz w:val="24"/>
          <w:szCs w:val="24"/>
        </w:rPr>
        <w:t>, and requires a copy of the return and any accompanying documents to be provided when giving the return and any accompanying documents to the Designated Authority</w:t>
      </w:r>
      <w:r w:rsidRPr="007666E6">
        <w:rPr>
          <w:rFonts w:ascii="Times New Roman" w:hAnsi="Times New Roman" w:cs="Times New Roman"/>
          <w:sz w:val="24"/>
          <w:szCs w:val="24"/>
        </w:rPr>
        <w:t>.</w:t>
      </w:r>
    </w:p>
    <w:p w14:paraId="52BBE385" w14:textId="36D91B3B" w:rsidR="007666E6" w:rsidRDefault="007666E6" w:rsidP="00C52797">
      <w:pPr>
        <w:spacing w:before="240"/>
        <w:rPr>
          <w:rFonts w:ascii="Times New Roman" w:hAnsi="Times New Roman" w:cs="Times New Roman"/>
          <w:bCs/>
          <w:sz w:val="24"/>
          <w:szCs w:val="24"/>
        </w:rPr>
      </w:pPr>
      <w:r w:rsidRPr="007666E6">
        <w:rPr>
          <w:rFonts w:ascii="Times New Roman" w:hAnsi="Times New Roman" w:cs="Times New Roman"/>
          <w:bCs/>
          <w:sz w:val="24"/>
          <w:szCs w:val="24"/>
        </w:rPr>
        <w:t>Th</w:t>
      </w:r>
      <w:r w:rsidR="00857372">
        <w:rPr>
          <w:rFonts w:ascii="Times New Roman" w:hAnsi="Times New Roman" w:cs="Times New Roman"/>
          <w:bCs/>
          <w:sz w:val="24"/>
          <w:szCs w:val="24"/>
        </w:rPr>
        <w:t>e</w:t>
      </w:r>
      <w:r w:rsidRPr="007666E6">
        <w:rPr>
          <w:rFonts w:ascii="Times New Roman" w:hAnsi="Times New Roman" w:cs="Times New Roman"/>
          <w:bCs/>
          <w:sz w:val="24"/>
          <w:szCs w:val="24"/>
        </w:rPr>
        <w:t xml:space="preserve"> </w:t>
      </w:r>
      <w:r w:rsidR="00857372">
        <w:rPr>
          <w:rFonts w:ascii="Times New Roman" w:hAnsi="Times New Roman" w:cs="Times New Roman"/>
          <w:bCs/>
          <w:sz w:val="24"/>
          <w:szCs w:val="24"/>
        </w:rPr>
        <w:t>note to sub</w:t>
      </w:r>
      <w:r w:rsidRPr="007666E6">
        <w:rPr>
          <w:rFonts w:ascii="Times New Roman" w:hAnsi="Times New Roman" w:cs="Times New Roman"/>
          <w:bCs/>
          <w:sz w:val="24"/>
          <w:szCs w:val="24"/>
        </w:rPr>
        <w:t>section</w:t>
      </w:r>
      <w:r w:rsidR="00857372">
        <w:rPr>
          <w:rFonts w:ascii="Times New Roman" w:hAnsi="Times New Roman" w:cs="Times New Roman"/>
          <w:bCs/>
          <w:sz w:val="24"/>
          <w:szCs w:val="24"/>
        </w:rPr>
        <w:t xml:space="preserve"> (2)</w:t>
      </w:r>
      <w:r w:rsidRPr="007666E6">
        <w:rPr>
          <w:rFonts w:ascii="Times New Roman" w:hAnsi="Times New Roman" w:cs="Times New Roman"/>
          <w:bCs/>
          <w:sz w:val="24"/>
          <w:szCs w:val="24"/>
        </w:rPr>
        <w:t xml:space="preserve"> </w:t>
      </w:r>
      <w:r w:rsidR="00857372">
        <w:rPr>
          <w:rFonts w:ascii="Times New Roman" w:hAnsi="Times New Roman" w:cs="Times New Roman"/>
          <w:bCs/>
          <w:sz w:val="24"/>
          <w:szCs w:val="24"/>
        </w:rPr>
        <w:t>informs the reader</w:t>
      </w:r>
      <w:r w:rsidRPr="007666E6">
        <w:rPr>
          <w:rFonts w:ascii="Times New Roman" w:hAnsi="Times New Roman" w:cs="Times New Roman"/>
          <w:bCs/>
          <w:sz w:val="24"/>
          <w:szCs w:val="24"/>
        </w:rPr>
        <w:t xml:space="preserve"> that</w:t>
      </w:r>
      <w:r w:rsidR="00857372">
        <w:rPr>
          <w:rFonts w:ascii="Times New Roman" w:hAnsi="Times New Roman" w:cs="Times New Roman"/>
          <w:bCs/>
          <w:sz w:val="24"/>
          <w:szCs w:val="24"/>
        </w:rPr>
        <w:t xml:space="preserve">, under Division 137 of the </w:t>
      </w:r>
      <w:r w:rsidR="00857372">
        <w:rPr>
          <w:rFonts w:ascii="Times New Roman" w:hAnsi="Times New Roman" w:cs="Times New Roman"/>
          <w:bCs/>
          <w:i/>
          <w:sz w:val="24"/>
          <w:szCs w:val="24"/>
        </w:rPr>
        <w:t>Criminal Code</w:t>
      </w:r>
      <w:r w:rsidR="00857372">
        <w:rPr>
          <w:rFonts w:ascii="Times New Roman" w:hAnsi="Times New Roman" w:cs="Times New Roman"/>
          <w:bCs/>
          <w:sz w:val="24"/>
          <w:szCs w:val="24"/>
        </w:rPr>
        <w:t>,</w:t>
      </w:r>
      <w:r w:rsidRPr="007666E6">
        <w:rPr>
          <w:rFonts w:ascii="Times New Roman" w:hAnsi="Times New Roman" w:cs="Times New Roman"/>
          <w:bCs/>
          <w:sz w:val="24"/>
          <w:szCs w:val="24"/>
        </w:rPr>
        <w:t xml:space="preserve"> it may be an offence to knowingly give misleading or false </w:t>
      </w:r>
      <w:r w:rsidR="00857372">
        <w:rPr>
          <w:rFonts w:ascii="Times New Roman" w:hAnsi="Times New Roman" w:cs="Times New Roman"/>
          <w:bCs/>
          <w:sz w:val="24"/>
          <w:szCs w:val="24"/>
        </w:rPr>
        <w:t>information or documents</w:t>
      </w:r>
      <w:r w:rsidRPr="007666E6">
        <w:rPr>
          <w:rFonts w:ascii="Times New Roman" w:hAnsi="Times New Roman" w:cs="Times New Roman"/>
          <w:bCs/>
          <w:sz w:val="24"/>
          <w:szCs w:val="24"/>
        </w:rPr>
        <w:t>.</w:t>
      </w:r>
    </w:p>
    <w:p w14:paraId="36E0DB7C" w14:textId="77777777" w:rsidR="007A0AFD" w:rsidRPr="00EB201C" w:rsidRDefault="007A0AFD" w:rsidP="007A0AFD">
      <w:pPr>
        <w:spacing w:before="240"/>
        <w:rPr>
          <w:rFonts w:ascii="Times New Roman" w:hAnsi="Times New Roman" w:cs="Times New Roman"/>
          <w:b/>
          <w:bCs/>
          <w:sz w:val="24"/>
          <w:szCs w:val="24"/>
        </w:rPr>
      </w:pPr>
      <w:r>
        <w:rPr>
          <w:rFonts w:ascii="Times New Roman" w:hAnsi="Times New Roman" w:cs="Times New Roman"/>
          <w:b/>
          <w:bCs/>
          <w:sz w:val="24"/>
          <w:szCs w:val="24"/>
        </w:rPr>
        <w:t>Section 8</w:t>
      </w:r>
      <w:r w:rsidRPr="00EB201C">
        <w:rPr>
          <w:rFonts w:ascii="Times New Roman" w:hAnsi="Times New Roman" w:cs="Times New Roman"/>
          <w:b/>
          <w:bCs/>
          <w:sz w:val="24"/>
          <w:szCs w:val="24"/>
        </w:rPr>
        <w:t xml:space="preserve"> – </w:t>
      </w:r>
      <w:r>
        <w:rPr>
          <w:rFonts w:ascii="Times New Roman" w:hAnsi="Times New Roman" w:cs="Times New Roman"/>
          <w:b/>
          <w:bCs/>
          <w:sz w:val="24"/>
          <w:szCs w:val="24"/>
        </w:rPr>
        <w:t>Form for returns of exploration activities and accompanying documents</w:t>
      </w:r>
    </w:p>
    <w:p w14:paraId="4CBD4EE6" w14:textId="66963CD0" w:rsidR="007A0AFD" w:rsidRPr="00167352" w:rsidRDefault="007A0AFD" w:rsidP="1285F912">
      <w:pPr>
        <w:spacing w:before="240"/>
        <w:rPr>
          <w:rFonts w:ascii="Times New Roman" w:hAnsi="Times New Roman" w:cs="Times New Roman"/>
          <w:bCs/>
          <w:sz w:val="24"/>
          <w:szCs w:val="24"/>
        </w:rPr>
      </w:pPr>
      <w:r>
        <w:rPr>
          <w:rFonts w:ascii="Times New Roman" w:hAnsi="Times New Roman" w:cs="Times New Roman"/>
          <w:bCs/>
          <w:sz w:val="24"/>
          <w:szCs w:val="24"/>
        </w:rPr>
        <w:t xml:space="preserve">This section provides for the </w:t>
      </w:r>
      <w:r w:rsidRPr="003D74A9">
        <w:rPr>
          <w:rFonts w:ascii="Times New Roman" w:hAnsi="Times New Roman" w:cs="Times New Roman"/>
          <w:bCs/>
          <w:sz w:val="24"/>
          <w:szCs w:val="24"/>
        </w:rPr>
        <w:t xml:space="preserve">Designated Authority to approve the form of returns and accompanying documents, </w:t>
      </w:r>
      <w:r w:rsidR="002214B5">
        <w:rPr>
          <w:rFonts w:ascii="Times New Roman" w:hAnsi="Times New Roman" w:cs="Times New Roman"/>
          <w:bCs/>
          <w:sz w:val="24"/>
          <w:szCs w:val="24"/>
        </w:rPr>
        <w:t xml:space="preserve">and </w:t>
      </w:r>
      <w:r w:rsidRPr="003D74A9">
        <w:rPr>
          <w:rFonts w:ascii="Times New Roman" w:hAnsi="Times New Roman" w:cs="Times New Roman"/>
          <w:bCs/>
          <w:sz w:val="24"/>
          <w:szCs w:val="24"/>
        </w:rPr>
        <w:t>ensur</w:t>
      </w:r>
      <w:r w:rsidR="002214B5">
        <w:rPr>
          <w:rFonts w:ascii="Times New Roman" w:hAnsi="Times New Roman" w:cs="Times New Roman"/>
          <w:bCs/>
          <w:sz w:val="24"/>
          <w:szCs w:val="24"/>
        </w:rPr>
        <w:t>es</w:t>
      </w:r>
      <w:r w:rsidRPr="003D74A9">
        <w:rPr>
          <w:rFonts w:ascii="Times New Roman" w:hAnsi="Times New Roman" w:cs="Times New Roman"/>
          <w:bCs/>
          <w:sz w:val="24"/>
          <w:szCs w:val="24"/>
        </w:rPr>
        <w:t xml:space="preserve"> the information about </w:t>
      </w:r>
      <w:r w:rsidR="008457DF">
        <w:rPr>
          <w:rFonts w:ascii="Times New Roman" w:hAnsi="Times New Roman" w:cs="Times New Roman"/>
          <w:bCs/>
          <w:sz w:val="24"/>
          <w:szCs w:val="24"/>
        </w:rPr>
        <w:t xml:space="preserve">the </w:t>
      </w:r>
      <w:r w:rsidRPr="003D74A9">
        <w:rPr>
          <w:rFonts w:ascii="Times New Roman" w:hAnsi="Times New Roman" w:cs="Times New Roman"/>
          <w:bCs/>
          <w:sz w:val="24"/>
          <w:szCs w:val="24"/>
        </w:rPr>
        <w:t>approved form is made publicly available for licence holders.</w:t>
      </w:r>
    </w:p>
    <w:p w14:paraId="61A71730" w14:textId="1588A9A5" w:rsidR="00BE264E" w:rsidRDefault="1285F912" w:rsidP="1285F912">
      <w:pPr>
        <w:spacing w:before="240"/>
        <w:rPr>
          <w:rFonts w:ascii="Times New Roman" w:hAnsi="Times New Roman" w:cs="Times New Roman"/>
          <w:b/>
          <w:bCs/>
          <w:sz w:val="24"/>
          <w:szCs w:val="24"/>
        </w:rPr>
      </w:pPr>
      <w:r w:rsidRPr="1285F912">
        <w:rPr>
          <w:rFonts w:ascii="Times New Roman" w:hAnsi="Times New Roman" w:cs="Times New Roman"/>
          <w:b/>
          <w:bCs/>
          <w:sz w:val="24"/>
          <w:szCs w:val="24"/>
        </w:rPr>
        <w:t>Schedule 1 – Repeals</w:t>
      </w:r>
    </w:p>
    <w:p w14:paraId="2A1E9B6E" w14:textId="3954A2D2" w:rsidR="00E87544" w:rsidRPr="002214B5" w:rsidRDefault="1285F912" w:rsidP="002214B5">
      <w:pPr>
        <w:pStyle w:val="notedraft"/>
        <w:ind w:left="0" w:firstLine="0"/>
        <w:rPr>
          <w:i w:val="0"/>
        </w:rPr>
      </w:pPr>
      <w:r w:rsidRPr="002214B5">
        <w:rPr>
          <w:i w:val="0"/>
        </w:rPr>
        <w:t>This Schedule provides that the whole of the sunsetting</w:t>
      </w:r>
      <w:r w:rsidRPr="002214B5">
        <w:t xml:space="preserve"> Offshore Minerals (Data Lodgment and Reporting) Regulations 1996</w:t>
      </w:r>
      <w:r w:rsidRPr="002214B5">
        <w:rPr>
          <w:i w:val="0"/>
        </w:rPr>
        <w:t xml:space="preserve"> is repealed.</w:t>
      </w:r>
    </w:p>
    <w:p w14:paraId="5BDA24A1" w14:textId="77777777" w:rsidR="00E87544" w:rsidRDefault="00E87544" w:rsidP="00E87544">
      <w:pPr>
        <w:pStyle w:val="notedraft"/>
        <w:ind w:left="0" w:firstLine="0"/>
        <w:rPr>
          <w:i w:val="0"/>
        </w:rPr>
      </w:pPr>
      <w:r>
        <w:rPr>
          <w:i w:val="0"/>
        </w:rPr>
        <w:t>Several changes have been made in the 2018 Regulations compared to the sunsetting Regulations. The key changes are discussed below. Other changes are directed at improving the clarity of the regulations and/or reflect current drafting practice, but do not change the substance.</w:t>
      </w:r>
    </w:p>
    <w:p w14:paraId="5ABC2C26" w14:textId="77777777" w:rsidR="00E87544" w:rsidRDefault="00E87544" w:rsidP="00E87544">
      <w:pPr>
        <w:pStyle w:val="notedraft"/>
        <w:ind w:left="0" w:firstLine="0"/>
        <w:rPr>
          <w:i w:val="0"/>
        </w:rPr>
      </w:pPr>
      <w:r>
        <w:t>Name of the Regulations</w:t>
      </w:r>
    </w:p>
    <w:p w14:paraId="7FF68AB6" w14:textId="36376E13" w:rsidR="00E87544" w:rsidRDefault="00E87544" w:rsidP="00E87544">
      <w:pPr>
        <w:pStyle w:val="notedraft"/>
        <w:ind w:left="0" w:firstLine="0"/>
        <w:rPr>
          <w:i w:val="0"/>
        </w:rPr>
      </w:pPr>
      <w:r>
        <w:rPr>
          <w:i w:val="0"/>
        </w:rPr>
        <w:t xml:space="preserve">The name of the Regulations has been changed to </w:t>
      </w:r>
      <w:r w:rsidR="00473AAC">
        <w:rPr>
          <w:i w:val="0"/>
        </w:rPr>
        <w:t xml:space="preserve">more accurately </w:t>
      </w:r>
      <w:r>
        <w:rPr>
          <w:i w:val="0"/>
        </w:rPr>
        <w:t xml:space="preserve">reflect the </w:t>
      </w:r>
      <w:r w:rsidR="00473AAC">
        <w:rPr>
          <w:i w:val="0"/>
        </w:rPr>
        <w:t xml:space="preserve">content of the Regulations. The Regulations broadly relate to exploration activities, and the new name covers both data </w:t>
      </w:r>
      <w:r w:rsidR="00473AAC">
        <w:t>and</w:t>
      </w:r>
      <w:r w:rsidR="00473AAC">
        <w:rPr>
          <w:i w:val="0"/>
        </w:rPr>
        <w:t xml:space="preserve"> samples from exploration activities, not only data.</w:t>
      </w:r>
    </w:p>
    <w:p w14:paraId="6B0D186A" w14:textId="0D6A876E" w:rsidR="00473AAC" w:rsidRDefault="00473AAC" w:rsidP="00E87544">
      <w:pPr>
        <w:pStyle w:val="notedraft"/>
        <w:ind w:left="0" w:firstLine="0"/>
        <w:rPr>
          <w:i w:val="0"/>
        </w:rPr>
      </w:pPr>
      <w:r>
        <w:t>Regulation 2 of the sunsetting Regulations</w:t>
      </w:r>
    </w:p>
    <w:p w14:paraId="2ADAE82F" w14:textId="0195101E" w:rsidR="00973E10" w:rsidRDefault="00473AAC" w:rsidP="00E87544">
      <w:pPr>
        <w:pStyle w:val="notedraft"/>
        <w:ind w:left="0" w:firstLine="0"/>
        <w:rPr>
          <w:i w:val="0"/>
        </w:rPr>
      </w:pPr>
      <w:r>
        <w:rPr>
          <w:i w:val="0"/>
        </w:rPr>
        <w:t xml:space="preserve">The content of regulation 2 of the sunsetting Regulations has been omitted from the 2018 Regulations. Regulation 2 described the purpose of the Regulations as </w:t>
      </w:r>
      <w:r w:rsidR="008457DF">
        <w:rPr>
          <w:i w:val="0"/>
        </w:rPr>
        <w:t>ensuring</w:t>
      </w:r>
      <w:r>
        <w:rPr>
          <w:i w:val="0"/>
        </w:rPr>
        <w:t xml:space="preserve"> that data and samples gathered during, and reports prepared in respect of, offshore mineral exploration by a licence holder are available by providing a system for lodgement of the data and samples in a repository. However, there is no regulation-making power in the Act that enables lodgement of data and samples for the purpose of maintaining a repository. Rather, the only applicable </w:t>
      </w:r>
      <w:r>
        <w:rPr>
          <w:i w:val="0"/>
        </w:rPr>
        <w:lastRenderedPageBreak/>
        <w:t>regulation-making power in section 440 refers to provision of data and samples for inspection.</w:t>
      </w:r>
    </w:p>
    <w:p w14:paraId="7863B4C2" w14:textId="30FCC735" w:rsidR="00973E10" w:rsidRDefault="00973E10" w:rsidP="00E87544">
      <w:pPr>
        <w:pStyle w:val="notedraft"/>
        <w:ind w:left="0" w:firstLine="0"/>
        <w:rPr>
          <w:i w:val="0"/>
        </w:rPr>
      </w:pPr>
      <w:r>
        <w:t>“Report of exploration work”</w:t>
      </w:r>
    </w:p>
    <w:p w14:paraId="757C3D25" w14:textId="08013C77" w:rsidR="00973E10" w:rsidRDefault="00973E10" w:rsidP="00E87544">
      <w:pPr>
        <w:pStyle w:val="notedraft"/>
        <w:ind w:left="0" w:firstLine="0"/>
        <w:rPr>
          <w:i w:val="0"/>
        </w:rPr>
      </w:pPr>
      <w:r>
        <w:rPr>
          <w:i w:val="0"/>
        </w:rPr>
        <w:t>References to a “report” of “exploration work” in the sunsetting Regulations have been changed to references to a “return” of “exploration activities</w:t>
      </w:r>
      <w:r w:rsidR="00EC0005">
        <w:rPr>
          <w:i w:val="0"/>
        </w:rPr>
        <w:t>”</w:t>
      </w:r>
      <w:r>
        <w:rPr>
          <w:i w:val="0"/>
        </w:rPr>
        <w:t xml:space="preserve"> in the 2018 Regulations.</w:t>
      </w:r>
    </w:p>
    <w:p w14:paraId="3153D1A5" w14:textId="77777777" w:rsidR="00973E10" w:rsidRDefault="00973E10" w:rsidP="00E87544">
      <w:pPr>
        <w:pStyle w:val="notedraft"/>
        <w:ind w:left="0" w:firstLine="0"/>
        <w:rPr>
          <w:i w:val="0"/>
        </w:rPr>
      </w:pPr>
      <w:r>
        <w:rPr>
          <w:i w:val="0"/>
        </w:rPr>
        <w:t>The change from “report” to “return” is to align with the language in the Act, and thereby provide a clearer link to the regulation-making power in paragraph 440(2)(h), and other references in sections 124, 184, 261 and 309.</w:t>
      </w:r>
    </w:p>
    <w:p w14:paraId="31BB5953" w14:textId="77777777" w:rsidR="00EC0005" w:rsidRDefault="00973E10" w:rsidP="00E87544">
      <w:pPr>
        <w:pStyle w:val="notedraft"/>
        <w:ind w:left="0" w:firstLine="0"/>
        <w:rPr>
          <w:i w:val="0"/>
        </w:rPr>
      </w:pPr>
      <w:r>
        <w:rPr>
          <w:i w:val="0"/>
        </w:rPr>
        <w:t xml:space="preserve">The change from “exploration work” to “exploration activities” is also for consistency with the language in the Act. The Act refers to activities under a licence, </w:t>
      </w:r>
      <w:r w:rsidR="00EC0005">
        <w:rPr>
          <w:i w:val="0"/>
        </w:rPr>
        <w:t xml:space="preserve">and includes a definition of “offshore exploration or mining activity”, </w:t>
      </w:r>
      <w:r>
        <w:rPr>
          <w:i w:val="0"/>
        </w:rPr>
        <w:t xml:space="preserve">but does not include references to </w:t>
      </w:r>
      <w:r w:rsidR="00EC0005">
        <w:rPr>
          <w:i w:val="0"/>
        </w:rPr>
        <w:t xml:space="preserve">“exploration </w:t>
      </w:r>
      <w:r>
        <w:rPr>
          <w:i w:val="0"/>
        </w:rPr>
        <w:t>work”.</w:t>
      </w:r>
    </w:p>
    <w:p w14:paraId="774B8220" w14:textId="77777777" w:rsidR="00EC0005" w:rsidRDefault="00EC0005" w:rsidP="00E87544">
      <w:pPr>
        <w:pStyle w:val="notedraft"/>
        <w:ind w:left="0" w:firstLine="0"/>
        <w:rPr>
          <w:i w:val="0"/>
        </w:rPr>
      </w:pPr>
      <w:r>
        <w:t>Regulation 5 of the sunsetting Regulations</w:t>
      </w:r>
    </w:p>
    <w:p w14:paraId="70678D6F" w14:textId="77777777" w:rsidR="00EC0005" w:rsidRDefault="00EC0005" w:rsidP="00E87544">
      <w:pPr>
        <w:pStyle w:val="notedraft"/>
        <w:ind w:left="0" w:firstLine="0"/>
        <w:rPr>
          <w:i w:val="0"/>
        </w:rPr>
      </w:pPr>
      <w:r>
        <w:rPr>
          <w:i w:val="0"/>
        </w:rPr>
        <w:t>Regulation 5 of the sunsetting Regulations provided for the form of geophysical data in an exploration report. Geophysical data could be provided in the form of a transparency or film, on paper, or in digital form. The types of digital form included references to outdated methods of data provision, including floppy disk.</w:t>
      </w:r>
    </w:p>
    <w:p w14:paraId="6A95BC6D" w14:textId="6727CAF5" w:rsidR="00473AAC" w:rsidRDefault="00EC0005" w:rsidP="00E87544">
      <w:pPr>
        <w:pStyle w:val="notedraft"/>
        <w:ind w:left="0" w:firstLine="0"/>
      </w:pPr>
      <w:r>
        <w:rPr>
          <w:i w:val="0"/>
        </w:rPr>
        <w:t xml:space="preserve">Under section </w:t>
      </w:r>
      <w:r w:rsidR="005B2AD1">
        <w:rPr>
          <w:i w:val="0"/>
        </w:rPr>
        <w:t>8</w:t>
      </w:r>
      <w:r>
        <w:rPr>
          <w:i w:val="0"/>
        </w:rPr>
        <w:t xml:space="preserve"> of the 2018 Regulations, the form of a return of exploration activities (including the form of geophysical data) must be a form </w:t>
      </w:r>
      <w:r w:rsidR="005B2AD1">
        <w:rPr>
          <w:i w:val="0"/>
        </w:rPr>
        <w:t>approved</w:t>
      </w:r>
      <w:r>
        <w:rPr>
          <w:i w:val="0"/>
        </w:rPr>
        <w:t xml:space="preserve"> by the Designated Authority</w:t>
      </w:r>
      <w:r w:rsidR="005B2AD1">
        <w:rPr>
          <w:i w:val="0"/>
        </w:rPr>
        <w:t xml:space="preserve"> and published on the website of the Department administered by the Designated Authority</w:t>
      </w:r>
      <w:r>
        <w:rPr>
          <w:i w:val="0"/>
        </w:rPr>
        <w:t xml:space="preserve">. The Regulations no longer specify forms of geophysical data. This ensures that current forms of data may be requested, and can be changed over time if there are further changes in technology.   </w:t>
      </w:r>
      <w:r w:rsidR="00973E10">
        <w:rPr>
          <w:i w:val="0"/>
        </w:rPr>
        <w:t xml:space="preserve">   </w:t>
      </w:r>
      <w:r w:rsidR="00473AAC">
        <w:rPr>
          <w:i w:val="0"/>
        </w:rPr>
        <w:t xml:space="preserve">  </w:t>
      </w:r>
    </w:p>
    <w:p w14:paraId="00318203" w14:textId="7A9D1920" w:rsidR="00E87544" w:rsidRDefault="00571851" w:rsidP="00E87544">
      <w:pPr>
        <w:pStyle w:val="notedraft"/>
        <w:ind w:left="0" w:firstLine="0"/>
        <w:rPr>
          <w:i w:val="0"/>
        </w:rPr>
      </w:pPr>
      <w:r>
        <w:t>Regulation 6</w:t>
      </w:r>
      <w:r w:rsidR="00E87544">
        <w:t xml:space="preserve"> of the sunsetting Regulations</w:t>
      </w:r>
    </w:p>
    <w:p w14:paraId="0789E776" w14:textId="77777777" w:rsidR="00A14FE7" w:rsidRDefault="00571851" w:rsidP="009F4CC8">
      <w:pPr>
        <w:pStyle w:val="notedraft"/>
        <w:ind w:left="0" w:firstLine="0"/>
        <w:rPr>
          <w:i w:val="0"/>
        </w:rPr>
      </w:pPr>
      <w:r>
        <w:rPr>
          <w:i w:val="0"/>
        </w:rPr>
        <w:t>The content of regulation 6</w:t>
      </w:r>
      <w:r w:rsidR="00E87544">
        <w:rPr>
          <w:i w:val="0"/>
        </w:rPr>
        <w:t xml:space="preserve"> of the sunsetting Regulations has been omi</w:t>
      </w:r>
      <w:r w:rsidR="009F4CC8">
        <w:rPr>
          <w:i w:val="0"/>
        </w:rPr>
        <w:t xml:space="preserve">tted from the 2018 Regulations because it is superfluous. </w:t>
      </w:r>
      <w:r w:rsidR="00133E62">
        <w:rPr>
          <w:i w:val="0"/>
        </w:rPr>
        <w:t>Regulation 6 enabled the Designated Authority to ask a licence holder t</w:t>
      </w:r>
      <w:r w:rsidR="00ED12BA">
        <w:rPr>
          <w:i w:val="0"/>
        </w:rPr>
        <w:t>o provide information</w:t>
      </w:r>
      <w:r w:rsidR="00133E62">
        <w:rPr>
          <w:i w:val="0"/>
        </w:rPr>
        <w:t>,</w:t>
      </w:r>
      <w:r w:rsidR="00ED12BA">
        <w:rPr>
          <w:i w:val="0"/>
        </w:rPr>
        <w:t xml:space="preserve"> if the licence holder did not provide all of the information required in an exploration report, or did not provide the information in the required form.</w:t>
      </w:r>
      <w:r w:rsidR="00133E62">
        <w:rPr>
          <w:i w:val="0"/>
        </w:rPr>
        <w:t xml:space="preserve"> </w:t>
      </w:r>
      <w:r w:rsidR="009F4CC8">
        <w:rPr>
          <w:i w:val="0"/>
        </w:rPr>
        <w:t xml:space="preserve">If a licence holder has not complied with the requirement to submit a </w:t>
      </w:r>
      <w:r w:rsidR="00941801">
        <w:rPr>
          <w:i w:val="0"/>
        </w:rPr>
        <w:t>return of exploration activities</w:t>
      </w:r>
      <w:r w:rsidR="009F4CC8">
        <w:rPr>
          <w:i w:val="0"/>
        </w:rPr>
        <w:t xml:space="preserve">, or has omitted certain information that is required to be included in a </w:t>
      </w:r>
      <w:r w:rsidR="00941801">
        <w:rPr>
          <w:i w:val="0"/>
        </w:rPr>
        <w:t>return</w:t>
      </w:r>
      <w:r w:rsidR="009F4CC8">
        <w:rPr>
          <w:i w:val="0"/>
        </w:rPr>
        <w:t>, the requirement to submit the information continues, and the Designated Authority can follow up with the licence holder without the need for a specific provision in the regulations.</w:t>
      </w:r>
    </w:p>
    <w:p w14:paraId="4B8E92C0" w14:textId="77777777" w:rsidR="00A14FE7" w:rsidRDefault="00A14FE7" w:rsidP="009F4CC8">
      <w:pPr>
        <w:pStyle w:val="notedraft"/>
        <w:ind w:left="0" w:firstLine="0"/>
        <w:rPr>
          <w:i w:val="0"/>
        </w:rPr>
      </w:pPr>
      <w:r>
        <w:t>Regulation 7 of the sunsetting Regulations</w:t>
      </w:r>
    </w:p>
    <w:p w14:paraId="59D89495" w14:textId="77777777" w:rsidR="00A14FE7" w:rsidRDefault="00A14FE7" w:rsidP="009F4CC8">
      <w:pPr>
        <w:pStyle w:val="notedraft"/>
        <w:ind w:left="0" w:firstLine="0"/>
        <w:rPr>
          <w:i w:val="0"/>
        </w:rPr>
      </w:pPr>
      <w:r>
        <w:rPr>
          <w:i w:val="0"/>
        </w:rPr>
        <w:t>The content of regulation 7 of the sunsetting Regulations has been omitted from the 2018 Regulations because it is superfluous. Regulation 7 enabled the Designated Authority, at the request of a licence holder, to extend a period within which the licence holder must comply with a requirement of the Regulations.</w:t>
      </w:r>
    </w:p>
    <w:p w14:paraId="47DC2F63" w14:textId="02D93FF9" w:rsidR="00E87544" w:rsidRDefault="00A14FE7" w:rsidP="009F4CC8">
      <w:pPr>
        <w:pStyle w:val="notedraft"/>
        <w:ind w:left="0" w:firstLine="0"/>
        <w:rPr>
          <w:i w:val="0"/>
        </w:rPr>
      </w:pPr>
      <w:r>
        <w:rPr>
          <w:i w:val="0"/>
        </w:rPr>
        <w:t xml:space="preserve">Subsection 7(2) of the 2018 Regulations provides for the period within which a licence holder must give a return of exploration activities to the Designated Authority. Paragraph 7(2)(b) </w:t>
      </w:r>
      <w:r>
        <w:rPr>
          <w:i w:val="0"/>
        </w:rPr>
        <w:lastRenderedPageBreak/>
        <w:t xml:space="preserve">enables the Designated Authority and the licence holder to agree in writing on a longer period. There are no other provisions in the 2018 Regulations that require information to be given to the Designated Authority within a </w:t>
      </w:r>
      <w:r w:rsidR="004E17EA">
        <w:rPr>
          <w:i w:val="0"/>
        </w:rPr>
        <w:t>specified</w:t>
      </w:r>
      <w:r>
        <w:rPr>
          <w:i w:val="0"/>
        </w:rPr>
        <w:t xml:space="preserve"> period. </w:t>
      </w:r>
      <w:r w:rsidR="009F4CC8">
        <w:rPr>
          <w:i w:val="0"/>
        </w:rPr>
        <w:t xml:space="preserve"> </w:t>
      </w:r>
    </w:p>
    <w:p w14:paraId="0AF1FCEE" w14:textId="3DF2A404" w:rsidR="007666E6" w:rsidRDefault="007666E6" w:rsidP="007666E6">
      <w:pPr>
        <w:pStyle w:val="notedraft"/>
        <w:ind w:left="0" w:firstLine="0"/>
        <w:rPr>
          <w:i w:val="0"/>
        </w:rPr>
      </w:pPr>
      <w:r>
        <w:t>Regulation 8 of the sunsetting Regulations</w:t>
      </w:r>
    </w:p>
    <w:p w14:paraId="2780F347" w14:textId="33D52E23" w:rsidR="002414FA" w:rsidRDefault="008A6D7D" w:rsidP="007666E6">
      <w:pPr>
        <w:pStyle w:val="notedraft"/>
        <w:ind w:left="0" w:firstLine="0"/>
        <w:rPr>
          <w:i w:val="0"/>
        </w:rPr>
      </w:pPr>
      <w:r>
        <w:rPr>
          <w:i w:val="0"/>
        </w:rPr>
        <w:t>The content of regulation 8</w:t>
      </w:r>
      <w:r w:rsidR="009D4D12">
        <w:rPr>
          <w:i w:val="0"/>
        </w:rPr>
        <w:t xml:space="preserve"> of the sunsetting Regulations has been omitted from the 2018 Regulations</w:t>
      </w:r>
      <w:r>
        <w:rPr>
          <w:i w:val="0"/>
        </w:rPr>
        <w:t xml:space="preserve">. </w:t>
      </w:r>
      <w:r w:rsidR="002414FA">
        <w:rPr>
          <w:i w:val="0"/>
        </w:rPr>
        <w:t xml:space="preserve">Regulation 8 enabled a Designated Authority to request a licence holder to give it two representative portions of a sample. The Explanatory Statement to the sunsetting Regulations states that a </w:t>
      </w:r>
      <w:r w:rsidR="002414FA" w:rsidRPr="002414FA">
        <w:rPr>
          <w:i w:val="0"/>
        </w:rPr>
        <w:t xml:space="preserve">licence holder may be requested to provide </w:t>
      </w:r>
      <w:r w:rsidR="002414FA">
        <w:rPr>
          <w:i w:val="0"/>
        </w:rPr>
        <w:t>the</w:t>
      </w:r>
      <w:r w:rsidR="002414FA" w:rsidRPr="002414FA">
        <w:rPr>
          <w:i w:val="0"/>
        </w:rPr>
        <w:t xml:space="preserve"> portions of a sample to be delivered to a specified (sample repository) location.</w:t>
      </w:r>
      <w:r w:rsidR="002414FA">
        <w:rPr>
          <w:i w:val="0"/>
        </w:rPr>
        <w:t xml:space="preserve"> However, t</w:t>
      </w:r>
      <w:r>
        <w:rPr>
          <w:i w:val="0"/>
        </w:rPr>
        <w:t xml:space="preserve">his </w:t>
      </w:r>
      <w:r w:rsidR="002414FA">
        <w:rPr>
          <w:i w:val="0"/>
        </w:rPr>
        <w:t xml:space="preserve">purpose </w:t>
      </w:r>
      <w:r>
        <w:rPr>
          <w:i w:val="0"/>
        </w:rPr>
        <w:t xml:space="preserve">does not appear to be supported by a regulation-making power in the Act. </w:t>
      </w:r>
    </w:p>
    <w:p w14:paraId="450F58E6" w14:textId="49FAC144" w:rsidR="0098493C" w:rsidRDefault="002414FA" w:rsidP="007666E6">
      <w:pPr>
        <w:pStyle w:val="notedraft"/>
        <w:ind w:left="0" w:firstLine="0"/>
        <w:rPr>
          <w:i w:val="0"/>
        </w:rPr>
      </w:pPr>
      <w:r>
        <w:rPr>
          <w:i w:val="0"/>
        </w:rPr>
        <w:t xml:space="preserve">Section 371 of the Act enables the Designated Authority to ask a person to give the Designated Authority a sample taken from the seabed or subsoil if the sample is relevant to the operation of the Act. </w:t>
      </w:r>
      <w:r w:rsidR="004A4FA6">
        <w:rPr>
          <w:i w:val="0"/>
        </w:rPr>
        <w:t xml:space="preserve">Given that the scope of </w:t>
      </w:r>
      <w:r>
        <w:rPr>
          <w:i w:val="0"/>
        </w:rPr>
        <w:t>the regulation-making power is</w:t>
      </w:r>
      <w:r w:rsidR="00DE21D2">
        <w:rPr>
          <w:i w:val="0"/>
        </w:rPr>
        <w:t xml:space="preserve"> limited to requiring provision of samples for inspection, this is already sufficiently provided by section 371 of the Act.</w:t>
      </w:r>
    </w:p>
    <w:p w14:paraId="7958093B" w14:textId="1953B271" w:rsidR="0098493C" w:rsidRDefault="0098493C" w:rsidP="007666E6">
      <w:pPr>
        <w:pStyle w:val="notedraft"/>
        <w:ind w:left="0" w:firstLine="0"/>
        <w:rPr>
          <w:i w:val="0"/>
        </w:rPr>
      </w:pPr>
      <w:r>
        <w:t>Regulation 10 of the sunsetting Regulations</w:t>
      </w:r>
    </w:p>
    <w:p w14:paraId="43994545" w14:textId="77777777" w:rsidR="0098493C" w:rsidRDefault="0098493C" w:rsidP="007666E6">
      <w:pPr>
        <w:pStyle w:val="notedraft"/>
        <w:ind w:left="0" w:firstLine="0"/>
        <w:rPr>
          <w:i w:val="0"/>
        </w:rPr>
      </w:pPr>
      <w:r>
        <w:rPr>
          <w:i w:val="0"/>
        </w:rPr>
        <w:t>The content of regulation 10 of the sunsetting Regulations has been omitted in the 2018 Regulations. Regulation 10 made it an offence for a licence holder to knowingly give to a Designated Authority an exploration report that is significantly false or misleading.</w:t>
      </w:r>
    </w:p>
    <w:p w14:paraId="748931A3" w14:textId="56B9C2E8" w:rsidR="007666E6" w:rsidRDefault="0098493C" w:rsidP="007666E6">
      <w:pPr>
        <w:pStyle w:val="notedraft"/>
        <w:ind w:left="0" w:firstLine="0"/>
        <w:rPr>
          <w:i w:val="0"/>
        </w:rPr>
      </w:pPr>
      <w:r>
        <w:rPr>
          <w:i w:val="0"/>
        </w:rPr>
        <w:t xml:space="preserve">Division 137 of the </w:t>
      </w:r>
      <w:r>
        <w:t>Criminal Code</w:t>
      </w:r>
      <w:r>
        <w:rPr>
          <w:i w:val="0"/>
        </w:rPr>
        <w:t xml:space="preserve"> creates offences for the provision of false or misleading information or documents. It is therefore unnecessary to include similar provision in the </w:t>
      </w:r>
      <w:r w:rsidR="008457DF">
        <w:rPr>
          <w:i w:val="0"/>
        </w:rPr>
        <w:t xml:space="preserve">2018 </w:t>
      </w:r>
      <w:r>
        <w:rPr>
          <w:i w:val="0"/>
        </w:rPr>
        <w:t>Regulations.</w:t>
      </w:r>
      <w:r w:rsidR="00DE21D2">
        <w:rPr>
          <w:i w:val="0"/>
        </w:rPr>
        <w:t xml:space="preserve"> </w:t>
      </w:r>
    </w:p>
    <w:p w14:paraId="6E9EE8BA" w14:textId="77777777" w:rsidR="00DE21D2" w:rsidRDefault="00DE21D2" w:rsidP="007666E6">
      <w:pPr>
        <w:pStyle w:val="notedraft"/>
        <w:ind w:left="0" w:firstLine="0"/>
        <w:rPr>
          <w:i w:val="0"/>
        </w:rPr>
      </w:pPr>
    </w:p>
    <w:p w14:paraId="41880C65" w14:textId="77777777" w:rsidR="008E7552" w:rsidRDefault="008E7552" w:rsidP="1285F912">
      <w:pPr>
        <w:spacing w:before="240"/>
        <w:rPr>
          <w:rFonts w:ascii="Times New Roman" w:hAnsi="Times New Roman" w:cs="Times New Roman"/>
          <w:sz w:val="24"/>
          <w:szCs w:val="24"/>
        </w:rPr>
      </w:pPr>
    </w:p>
    <w:p w14:paraId="0E6A33DF" w14:textId="77777777" w:rsidR="00887182" w:rsidRDefault="00887182" w:rsidP="0017517F">
      <w:pPr>
        <w:rPr>
          <w:rFonts w:ascii="Times New Roman" w:hAnsi="Times New Roman" w:cs="Times New Roman"/>
          <w:b/>
          <w:sz w:val="24"/>
          <w:szCs w:val="24"/>
          <w:highlight w:val="yellow"/>
        </w:rPr>
      </w:pPr>
    </w:p>
    <w:p w14:paraId="17E4EF07" w14:textId="77777777" w:rsidR="00887182" w:rsidRDefault="00887182">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171298E8" w14:textId="77777777" w:rsidR="00A26F15" w:rsidRDefault="00A26F15" w:rsidP="1285F912">
      <w:pPr>
        <w:jc w:val="right"/>
        <w:rPr>
          <w:rFonts w:ascii="Times New Roman" w:hAnsi="Times New Roman" w:cs="Times New Roman"/>
          <w:sz w:val="24"/>
          <w:szCs w:val="24"/>
        </w:rPr>
      </w:pPr>
      <w:r w:rsidRPr="1285F912">
        <w:rPr>
          <w:rFonts w:ascii="Times New Roman" w:hAnsi="Times New Roman" w:cs="Times New Roman"/>
          <w:b/>
          <w:bCs/>
          <w:sz w:val="24"/>
          <w:szCs w:val="24"/>
        </w:rPr>
        <w:lastRenderedPageBreak/>
        <w:t>Attachment B</w:t>
      </w:r>
      <w:r w:rsidRPr="00887182">
        <w:rPr>
          <w:rFonts w:ascii="Times New Roman" w:hAnsi="Times New Roman" w:cs="Times New Roman"/>
          <w:sz w:val="24"/>
          <w:szCs w:val="24"/>
        </w:rPr>
        <w:t xml:space="preserve"> </w:t>
      </w:r>
    </w:p>
    <w:p w14:paraId="3B0C1C88" w14:textId="7CA1F53D" w:rsidR="005B0A19" w:rsidRPr="00B80D1A" w:rsidRDefault="005B0A19" w:rsidP="005B0A19">
      <w:pPr>
        <w:spacing w:after="120" w:line="240" w:lineRule="auto"/>
        <w:rPr>
          <w:rFonts w:ascii="Times New Roman" w:hAnsi="Times New Roman" w:cs="Times New Roman"/>
          <w:b/>
          <w:bCs/>
          <w:sz w:val="24"/>
          <w:szCs w:val="24"/>
          <w:u w:val="single"/>
        </w:rPr>
      </w:pPr>
      <w:r w:rsidRPr="00B80D1A">
        <w:rPr>
          <w:rFonts w:ascii="Times New Roman" w:hAnsi="Times New Roman" w:cs="Times New Roman"/>
          <w:b/>
          <w:bCs/>
          <w:sz w:val="24"/>
          <w:szCs w:val="24"/>
          <w:u w:val="single"/>
        </w:rPr>
        <w:t>Finding table</w:t>
      </w:r>
    </w:p>
    <w:p w14:paraId="58021D1B" w14:textId="6C4A1600" w:rsidR="004B5EE8" w:rsidRPr="00887182" w:rsidRDefault="004B5EE8" w:rsidP="004B5EE8">
      <w:pPr>
        <w:spacing w:line="240" w:lineRule="auto"/>
        <w:rPr>
          <w:rFonts w:ascii="Times New Roman" w:hAnsi="Times New Roman" w:cs="Times New Roman"/>
          <w:sz w:val="24"/>
          <w:szCs w:val="24"/>
        </w:rPr>
      </w:pPr>
      <w:r w:rsidRPr="00887182">
        <w:rPr>
          <w:rFonts w:ascii="Times New Roman" w:hAnsi="Times New Roman" w:cs="Times New Roman"/>
          <w:sz w:val="24"/>
          <w:szCs w:val="24"/>
        </w:rPr>
        <w:t xml:space="preserve">As a result of some of the changes outlined in </w:t>
      </w:r>
      <w:r w:rsidRPr="00440295">
        <w:rPr>
          <w:rFonts w:ascii="Times New Roman" w:hAnsi="Times New Roman" w:cs="Times New Roman"/>
          <w:sz w:val="24"/>
          <w:szCs w:val="24"/>
          <w:u w:val="single"/>
        </w:rPr>
        <w:t>Attachment A</w:t>
      </w:r>
      <w:r w:rsidRPr="00887182">
        <w:rPr>
          <w:rFonts w:ascii="Times New Roman" w:hAnsi="Times New Roman" w:cs="Times New Roman"/>
          <w:sz w:val="24"/>
          <w:szCs w:val="24"/>
        </w:rPr>
        <w:t xml:space="preserve"> </w:t>
      </w:r>
      <w:r>
        <w:rPr>
          <w:rFonts w:ascii="Times New Roman" w:hAnsi="Times New Roman" w:cs="Times New Roman"/>
          <w:sz w:val="24"/>
          <w:szCs w:val="24"/>
        </w:rPr>
        <w:t xml:space="preserve">and the inclusion of additional provisions to deal with commencement, repeal of the sunsetting Regulations, etc., </w:t>
      </w:r>
      <w:r w:rsidRPr="00887182">
        <w:rPr>
          <w:rFonts w:ascii="Times New Roman" w:hAnsi="Times New Roman" w:cs="Times New Roman"/>
          <w:sz w:val="24"/>
          <w:szCs w:val="24"/>
        </w:rPr>
        <w:t>it was necessary to renumber the provisions in the Regulations. This explanatory statement includes</w:t>
      </w:r>
      <w:r w:rsidR="00B219B5">
        <w:rPr>
          <w:rFonts w:ascii="Times New Roman" w:hAnsi="Times New Roman" w:cs="Times New Roman"/>
          <w:sz w:val="24"/>
          <w:szCs w:val="24"/>
        </w:rPr>
        <w:t xml:space="preserve"> a</w:t>
      </w:r>
      <w:r w:rsidRPr="00887182">
        <w:rPr>
          <w:rFonts w:ascii="Times New Roman" w:hAnsi="Times New Roman" w:cs="Times New Roman"/>
          <w:sz w:val="24"/>
          <w:szCs w:val="24"/>
        </w:rPr>
        <w:t xml:space="preserve"> finding table to assist in identifying which provision in the Regulations corresponds to a provision in the old law that has been rewritten o</w:t>
      </w:r>
      <w:r>
        <w:rPr>
          <w:rFonts w:ascii="Times New Roman" w:hAnsi="Times New Roman" w:cs="Times New Roman"/>
          <w:sz w:val="24"/>
          <w:szCs w:val="24"/>
        </w:rPr>
        <w:t>r consolidated, and vice versa.</w:t>
      </w:r>
    </w:p>
    <w:p w14:paraId="1860DED1" w14:textId="713AED1E" w:rsidR="00830E8E" w:rsidRDefault="004B5EE8" w:rsidP="005B0A19">
      <w:pPr>
        <w:pStyle w:val="Default"/>
        <w:spacing w:after="27"/>
        <w:rPr>
          <w:sz w:val="23"/>
          <w:szCs w:val="23"/>
        </w:rPr>
      </w:pPr>
      <w:r>
        <w:rPr>
          <w:sz w:val="23"/>
          <w:szCs w:val="23"/>
        </w:rPr>
        <w:t xml:space="preserve">In the finding table, references to </w:t>
      </w:r>
      <w:r w:rsidRPr="00887182">
        <w:t xml:space="preserve">the </w:t>
      </w:r>
      <w:r>
        <w:t>sunsetting Regulations</w:t>
      </w:r>
      <w:r w:rsidRPr="00887182">
        <w:t xml:space="preserve"> </w:t>
      </w:r>
      <w:r>
        <w:rPr>
          <w:sz w:val="23"/>
          <w:szCs w:val="23"/>
        </w:rPr>
        <w:t xml:space="preserve">are to provisions in the </w:t>
      </w:r>
      <w:r w:rsidRPr="1285F912">
        <w:rPr>
          <w:i/>
          <w:iCs/>
        </w:rPr>
        <w:t>Offshore Minerals (</w:t>
      </w:r>
      <w:r w:rsidR="005B0A19">
        <w:rPr>
          <w:i/>
          <w:iCs/>
        </w:rPr>
        <w:t>Data Lodgment and Reporting</w:t>
      </w:r>
      <w:r w:rsidRPr="1285F912">
        <w:rPr>
          <w:i/>
          <w:iCs/>
        </w:rPr>
        <w:t>) Regulations</w:t>
      </w:r>
      <w:r w:rsidR="005B0A19">
        <w:rPr>
          <w:i/>
          <w:iCs/>
        </w:rPr>
        <w:t xml:space="preserve"> 1996</w:t>
      </w:r>
      <w:r>
        <w:rPr>
          <w:sz w:val="23"/>
          <w:szCs w:val="23"/>
        </w:rPr>
        <w:t xml:space="preserve">, and references to the 2018 Regulations are to provisions in the </w:t>
      </w:r>
      <w:r w:rsidRPr="005B0A19">
        <w:rPr>
          <w:i/>
          <w:iCs/>
        </w:rPr>
        <w:t>Offshore Minerals (</w:t>
      </w:r>
      <w:r w:rsidR="00C062B3" w:rsidRPr="005B0A19">
        <w:rPr>
          <w:i/>
          <w:iCs/>
        </w:rPr>
        <w:t>Exploration Activities</w:t>
      </w:r>
      <w:r w:rsidRPr="005B0A19">
        <w:rPr>
          <w:i/>
          <w:iCs/>
        </w:rPr>
        <w:t>) Regulations 2018</w:t>
      </w:r>
      <w:r>
        <w:rPr>
          <w:sz w:val="23"/>
          <w:szCs w:val="23"/>
        </w:rPr>
        <w:t xml:space="preserve">. </w:t>
      </w:r>
      <w:r w:rsidR="00830E8E">
        <w:rPr>
          <w:sz w:val="23"/>
          <w:szCs w:val="23"/>
        </w:rPr>
        <w:t xml:space="preserve">Also, in the finding tables: </w:t>
      </w:r>
    </w:p>
    <w:p w14:paraId="3EFA0846" w14:textId="77777777" w:rsidR="00830E8E" w:rsidRDefault="00830E8E" w:rsidP="00830E8E">
      <w:pPr>
        <w:pStyle w:val="Default"/>
        <w:rPr>
          <w:sz w:val="23"/>
          <w:szCs w:val="23"/>
        </w:rPr>
      </w:pPr>
    </w:p>
    <w:p w14:paraId="5750AD20" w14:textId="48145C97" w:rsidR="00830E8E" w:rsidRDefault="005B0A19" w:rsidP="1285F912">
      <w:pPr>
        <w:pStyle w:val="Default"/>
        <w:numPr>
          <w:ilvl w:val="0"/>
          <w:numId w:val="2"/>
        </w:numPr>
        <w:spacing w:after="27"/>
        <w:rPr>
          <w:sz w:val="23"/>
          <w:szCs w:val="23"/>
        </w:rPr>
      </w:pPr>
      <w:r w:rsidRPr="005B0A19">
        <w:rPr>
          <w:iCs/>
          <w:sz w:val="23"/>
          <w:szCs w:val="23"/>
        </w:rPr>
        <w:t>“</w:t>
      </w:r>
      <w:r w:rsidR="005A7D86">
        <w:rPr>
          <w:iCs/>
          <w:sz w:val="23"/>
          <w:szCs w:val="23"/>
        </w:rPr>
        <w:t>N</w:t>
      </w:r>
      <w:r w:rsidR="00830E8E" w:rsidRPr="005B0A19">
        <w:rPr>
          <w:iCs/>
          <w:sz w:val="23"/>
          <w:szCs w:val="23"/>
        </w:rPr>
        <w:t>o equivalent</w:t>
      </w:r>
      <w:r w:rsidRPr="005B0A19">
        <w:rPr>
          <w:iCs/>
          <w:sz w:val="23"/>
          <w:szCs w:val="23"/>
        </w:rPr>
        <w:t>”</w:t>
      </w:r>
      <w:r w:rsidR="00830E8E" w:rsidRPr="1285F912">
        <w:rPr>
          <w:i/>
          <w:iCs/>
          <w:sz w:val="23"/>
          <w:szCs w:val="23"/>
        </w:rPr>
        <w:t xml:space="preserve"> </w:t>
      </w:r>
      <w:r w:rsidR="00830E8E">
        <w:rPr>
          <w:sz w:val="23"/>
          <w:szCs w:val="23"/>
        </w:rPr>
        <w:t>means that this is a new provision that has no equivalent in the sunsetting Regulations</w:t>
      </w:r>
      <w:r>
        <w:rPr>
          <w:sz w:val="23"/>
          <w:szCs w:val="23"/>
        </w:rPr>
        <w:t>; and</w:t>
      </w:r>
      <w:r w:rsidR="00830E8E">
        <w:rPr>
          <w:sz w:val="23"/>
          <w:szCs w:val="23"/>
        </w:rPr>
        <w:t xml:space="preserve"> </w:t>
      </w:r>
    </w:p>
    <w:p w14:paraId="2207BF8D" w14:textId="7CF351C9" w:rsidR="00B80D1A" w:rsidRPr="00113973" w:rsidRDefault="005B0A19" w:rsidP="1285F912">
      <w:pPr>
        <w:pStyle w:val="Default"/>
        <w:numPr>
          <w:ilvl w:val="0"/>
          <w:numId w:val="2"/>
        </w:numPr>
        <w:spacing w:after="240"/>
        <w:ind w:left="714" w:hanging="357"/>
        <w:rPr>
          <w:sz w:val="23"/>
          <w:szCs w:val="23"/>
        </w:rPr>
      </w:pPr>
      <w:r w:rsidRPr="005B0A19">
        <w:rPr>
          <w:iCs/>
          <w:sz w:val="23"/>
          <w:szCs w:val="23"/>
        </w:rPr>
        <w:t>“</w:t>
      </w:r>
      <w:r w:rsidR="005A7D86">
        <w:rPr>
          <w:iCs/>
          <w:sz w:val="23"/>
          <w:szCs w:val="23"/>
        </w:rPr>
        <w:t>O</w:t>
      </w:r>
      <w:r w:rsidR="00830E8E" w:rsidRPr="005B0A19">
        <w:rPr>
          <w:iCs/>
          <w:sz w:val="23"/>
          <w:szCs w:val="23"/>
        </w:rPr>
        <w:t>mitted</w:t>
      </w:r>
      <w:r w:rsidRPr="005B0A19">
        <w:rPr>
          <w:iCs/>
          <w:sz w:val="23"/>
          <w:szCs w:val="23"/>
        </w:rPr>
        <w:t>”</w:t>
      </w:r>
      <w:r w:rsidR="00830E8E" w:rsidRPr="1285F912">
        <w:rPr>
          <w:i/>
          <w:iCs/>
          <w:sz w:val="23"/>
          <w:szCs w:val="23"/>
        </w:rPr>
        <w:t xml:space="preserve"> </w:t>
      </w:r>
      <w:r w:rsidR="00830E8E">
        <w:rPr>
          <w:sz w:val="23"/>
          <w:szCs w:val="23"/>
        </w:rPr>
        <w:t xml:space="preserve">means that the provision in the </w:t>
      </w:r>
      <w:r w:rsidR="00454892">
        <w:rPr>
          <w:sz w:val="23"/>
          <w:szCs w:val="23"/>
        </w:rPr>
        <w:t>sunsetting Regulations</w:t>
      </w:r>
      <w:r w:rsidR="00830E8E">
        <w:rPr>
          <w:sz w:val="23"/>
          <w:szCs w:val="23"/>
        </w:rPr>
        <w:t xml:space="preserve"> has not been rewritten in the </w:t>
      </w:r>
      <w:r w:rsidR="00454892">
        <w:rPr>
          <w:sz w:val="23"/>
          <w:szCs w:val="23"/>
        </w:rPr>
        <w:t>2018</w:t>
      </w:r>
      <w:r w:rsidR="00830E8E">
        <w:rPr>
          <w:sz w:val="23"/>
          <w:szCs w:val="23"/>
        </w:rPr>
        <w:t xml:space="preserve"> </w:t>
      </w:r>
      <w:r w:rsidR="00454892">
        <w:rPr>
          <w:sz w:val="23"/>
          <w:szCs w:val="23"/>
        </w:rPr>
        <w:t>R</w:t>
      </w:r>
      <w:r w:rsidR="00830E8E">
        <w:rPr>
          <w:sz w:val="23"/>
          <w:szCs w:val="23"/>
        </w:rPr>
        <w:t>egulation</w:t>
      </w:r>
      <w:r w:rsidR="00454892">
        <w:rPr>
          <w:sz w:val="23"/>
          <w:szCs w:val="23"/>
        </w:rPr>
        <w:t>s</w:t>
      </w:r>
      <w:r w:rsidR="00830E8E">
        <w:rPr>
          <w:sz w:val="23"/>
          <w:szCs w:val="23"/>
        </w:rPr>
        <w:t>. Typically, the provision has been removed because it is redundant.</w:t>
      </w:r>
    </w:p>
    <w:p w14:paraId="73B295E7" w14:textId="6041D6D3" w:rsidR="00830E8E" w:rsidRPr="00113973" w:rsidRDefault="00830E8E" w:rsidP="1285F912">
      <w:pPr>
        <w:spacing w:after="240"/>
        <w:rPr>
          <w:rFonts w:ascii="Times New Roman" w:hAnsi="Times New Roman" w:cs="Times New Roman"/>
          <w:b/>
          <w:bCs/>
          <w:sz w:val="24"/>
          <w:szCs w:val="24"/>
        </w:rPr>
      </w:pPr>
      <w:r w:rsidRPr="1285F912">
        <w:rPr>
          <w:rFonts w:ascii="Times New Roman" w:hAnsi="Times New Roman" w:cs="Times New Roman"/>
          <w:b/>
          <w:bCs/>
          <w:sz w:val="24"/>
          <w:szCs w:val="24"/>
        </w:rPr>
        <w:t>Table 1.1: 2018 Regulations</w:t>
      </w:r>
      <w:r w:rsidR="00D0564C" w:rsidRPr="1285F912">
        <w:rPr>
          <w:rFonts w:ascii="Times New Roman" w:hAnsi="Times New Roman" w:cs="Times New Roman"/>
          <w:b/>
          <w:bCs/>
          <w:sz w:val="24"/>
          <w:szCs w:val="24"/>
        </w:rPr>
        <w:t xml:space="preserve"> to Sunsetting Regulations</w:t>
      </w:r>
    </w:p>
    <w:tbl>
      <w:tblPr>
        <w:tblStyle w:val="TableGrid"/>
        <w:tblW w:w="0" w:type="auto"/>
        <w:tblLook w:val="04A0" w:firstRow="1" w:lastRow="0" w:firstColumn="1" w:lastColumn="0" w:noHBand="0" w:noVBand="1"/>
      </w:tblPr>
      <w:tblGrid>
        <w:gridCol w:w="2835"/>
        <w:gridCol w:w="2835"/>
      </w:tblGrid>
      <w:tr w:rsidR="00830E8E" w14:paraId="3274CCA1" w14:textId="77777777" w:rsidTr="1285F912">
        <w:tc>
          <w:tcPr>
            <w:tcW w:w="2835" w:type="dxa"/>
            <w:shd w:val="clear" w:color="auto" w:fill="D9D9D9" w:themeFill="background1" w:themeFillShade="D9"/>
          </w:tcPr>
          <w:p w14:paraId="34E4C957" w14:textId="3DEA990B" w:rsidR="00830E8E" w:rsidRPr="00113973" w:rsidRDefault="00830E8E" w:rsidP="1285F912">
            <w:pPr>
              <w:jc w:val="center"/>
              <w:rPr>
                <w:rFonts w:ascii="Times New Roman" w:hAnsi="Times New Roman" w:cs="Times New Roman"/>
                <w:b/>
                <w:bCs/>
                <w:i/>
                <w:iCs/>
                <w:sz w:val="24"/>
                <w:szCs w:val="24"/>
              </w:rPr>
            </w:pPr>
            <w:r w:rsidRPr="1285F912">
              <w:rPr>
                <w:rFonts w:ascii="Times New Roman" w:hAnsi="Times New Roman" w:cs="Times New Roman"/>
                <w:b/>
                <w:bCs/>
                <w:i/>
                <w:iCs/>
                <w:sz w:val="24"/>
                <w:szCs w:val="24"/>
              </w:rPr>
              <w:t>2018 Regulations</w:t>
            </w:r>
          </w:p>
        </w:tc>
        <w:tc>
          <w:tcPr>
            <w:tcW w:w="2835" w:type="dxa"/>
            <w:shd w:val="clear" w:color="auto" w:fill="D9D9D9" w:themeFill="background1" w:themeFillShade="D9"/>
          </w:tcPr>
          <w:p w14:paraId="480CE9DE" w14:textId="24AD9F44" w:rsidR="00830E8E" w:rsidRPr="00113973" w:rsidRDefault="004419A1" w:rsidP="1285F912">
            <w:pPr>
              <w:jc w:val="center"/>
              <w:rPr>
                <w:rFonts w:ascii="Times New Roman" w:hAnsi="Times New Roman" w:cs="Times New Roman"/>
                <w:b/>
                <w:bCs/>
                <w:i/>
                <w:iCs/>
                <w:sz w:val="24"/>
                <w:szCs w:val="24"/>
              </w:rPr>
            </w:pPr>
            <w:r w:rsidRPr="1285F912">
              <w:rPr>
                <w:rFonts w:ascii="Times New Roman" w:hAnsi="Times New Roman" w:cs="Times New Roman"/>
                <w:b/>
                <w:bCs/>
                <w:i/>
                <w:iCs/>
                <w:sz w:val="24"/>
                <w:szCs w:val="24"/>
              </w:rPr>
              <w:t>Sunsetting Regulations</w:t>
            </w:r>
          </w:p>
        </w:tc>
      </w:tr>
      <w:tr w:rsidR="00830E8E" w14:paraId="1993EDC8" w14:textId="77777777" w:rsidTr="1285F912">
        <w:tc>
          <w:tcPr>
            <w:tcW w:w="2835" w:type="dxa"/>
            <w:shd w:val="clear" w:color="auto" w:fill="auto"/>
          </w:tcPr>
          <w:p w14:paraId="45DB144E" w14:textId="2FFB82E9" w:rsidR="00830E8E" w:rsidRDefault="00531B9A" w:rsidP="00EB201C">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shd w:val="clear" w:color="auto" w:fill="auto"/>
          </w:tcPr>
          <w:p w14:paraId="00A6C9AF" w14:textId="7DFA8ECF" w:rsidR="00830E8E" w:rsidRDefault="00531B9A" w:rsidP="00EB201C">
            <w:pPr>
              <w:jc w:val="center"/>
              <w:rPr>
                <w:rFonts w:ascii="Times New Roman" w:hAnsi="Times New Roman" w:cs="Times New Roman"/>
                <w:sz w:val="24"/>
                <w:szCs w:val="24"/>
              </w:rPr>
            </w:pPr>
            <w:r>
              <w:rPr>
                <w:rFonts w:ascii="Times New Roman" w:hAnsi="Times New Roman" w:cs="Times New Roman"/>
                <w:sz w:val="24"/>
                <w:szCs w:val="24"/>
              </w:rPr>
              <w:t>1</w:t>
            </w:r>
          </w:p>
        </w:tc>
      </w:tr>
      <w:tr w:rsidR="00531B9A" w14:paraId="4CF51BA6" w14:textId="77777777" w:rsidTr="1285F912">
        <w:tc>
          <w:tcPr>
            <w:tcW w:w="2835" w:type="dxa"/>
            <w:shd w:val="clear" w:color="auto" w:fill="auto"/>
          </w:tcPr>
          <w:p w14:paraId="56AB6C22" w14:textId="19F49AE8" w:rsidR="00531B9A" w:rsidRDefault="000E6127" w:rsidP="1285F912">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shd w:val="clear" w:color="auto" w:fill="auto"/>
          </w:tcPr>
          <w:p w14:paraId="096042F3" w14:textId="7B55AEC0" w:rsidR="00531B9A" w:rsidRDefault="00F01247" w:rsidP="1285F912">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531B9A" w14:paraId="5BAFA69B" w14:textId="77777777" w:rsidTr="1285F912">
        <w:tc>
          <w:tcPr>
            <w:tcW w:w="2835" w:type="dxa"/>
            <w:shd w:val="clear" w:color="auto" w:fill="auto"/>
          </w:tcPr>
          <w:p w14:paraId="62EEAFB4" w14:textId="57E78089" w:rsidR="00531B9A" w:rsidRDefault="000E6127" w:rsidP="1285F912">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shd w:val="clear" w:color="auto" w:fill="auto"/>
          </w:tcPr>
          <w:p w14:paraId="79D78253" w14:textId="3E04128A" w:rsidR="00531B9A" w:rsidRDefault="00F01247" w:rsidP="1285F912">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0E6127" w14:paraId="3DFB6B8D" w14:textId="77777777" w:rsidTr="1285F912">
        <w:tc>
          <w:tcPr>
            <w:tcW w:w="2835" w:type="dxa"/>
            <w:shd w:val="clear" w:color="auto" w:fill="auto"/>
          </w:tcPr>
          <w:p w14:paraId="28E32691" w14:textId="673AE1D5"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shd w:val="clear" w:color="auto" w:fill="auto"/>
          </w:tcPr>
          <w:p w14:paraId="2D4B54A8" w14:textId="2C189CB6" w:rsidR="000E6127" w:rsidRDefault="00F01247" w:rsidP="1285F912">
            <w:pPr>
              <w:jc w:val="center"/>
              <w:rPr>
                <w:rFonts w:ascii="Times New Roman" w:hAnsi="Times New Roman" w:cs="Times New Roman"/>
                <w:sz w:val="24"/>
                <w:szCs w:val="24"/>
              </w:rPr>
            </w:pPr>
            <w:r>
              <w:rPr>
                <w:rFonts w:ascii="Times New Roman" w:hAnsi="Times New Roman" w:cs="Times New Roman"/>
                <w:sz w:val="24"/>
                <w:szCs w:val="24"/>
              </w:rPr>
              <w:t>No equivalent</w:t>
            </w:r>
          </w:p>
        </w:tc>
      </w:tr>
      <w:tr w:rsidR="000E6127" w14:paraId="17C73547" w14:textId="77777777" w:rsidTr="1285F912">
        <w:tc>
          <w:tcPr>
            <w:tcW w:w="2835" w:type="dxa"/>
            <w:shd w:val="clear" w:color="auto" w:fill="auto"/>
          </w:tcPr>
          <w:p w14:paraId="7159D4BD" w14:textId="58F68EF4"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shd w:val="clear" w:color="auto" w:fill="auto"/>
          </w:tcPr>
          <w:p w14:paraId="1E4352AB" w14:textId="6737E751"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3</w:t>
            </w:r>
          </w:p>
        </w:tc>
      </w:tr>
      <w:tr w:rsidR="000E6127" w14:paraId="7F7E57A9" w14:textId="77777777" w:rsidTr="1285F912">
        <w:tc>
          <w:tcPr>
            <w:tcW w:w="2835" w:type="dxa"/>
            <w:shd w:val="clear" w:color="auto" w:fill="auto"/>
          </w:tcPr>
          <w:p w14:paraId="50539F63" w14:textId="05D71A09"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shd w:val="clear" w:color="auto" w:fill="auto"/>
          </w:tcPr>
          <w:p w14:paraId="33167474" w14:textId="38214AFB" w:rsidR="000E6127" w:rsidRDefault="00BF69EC" w:rsidP="00531B9A">
            <w:pPr>
              <w:jc w:val="center"/>
              <w:rPr>
                <w:rFonts w:ascii="Times New Roman" w:hAnsi="Times New Roman" w:cs="Times New Roman"/>
                <w:sz w:val="24"/>
                <w:szCs w:val="24"/>
              </w:rPr>
            </w:pPr>
            <w:r>
              <w:rPr>
                <w:rFonts w:ascii="Times New Roman" w:hAnsi="Times New Roman" w:cs="Times New Roman"/>
                <w:sz w:val="24"/>
                <w:szCs w:val="24"/>
              </w:rPr>
              <w:t>9</w:t>
            </w:r>
            <w:r w:rsidR="003F2743">
              <w:rPr>
                <w:rFonts w:ascii="Times New Roman" w:hAnsi="Times New Roman" w:cs="Times New Roman"/>
                <w:sz w:val="24"/>
                <w:szCs w:val="24"/>
              </w:rPr>
              <w:t xml:space="preserve">  </w:t>
            </w:r>
          </w:p>
        </w:tc>
      </w:tr>
      <w:tr w:rsidR="000E6127" w14:paraId="08EF518F" w14:textId="77777777" w:rsidTr="1285F912">
        <w:tc>
          <w:tcPr>
            <w:tcW w:w="2835" w:type="dxa"/>
            <w:shd w:val="clear" w:color="auto" w:fill="auto"/>
          </w:tcPr>
          <w:p w14:paraId="37CD1045" w14:textId="280E7442"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shd w:val="clear" w:color="auto" w:fill="auto"/>
          </w:tcPr>
          <w:p w14:paraId="50F60374" w14:textId="2460E3C7" w:rsidR="000E6127" w:rsidRDefault="00F01247" w:rsidP="1285F912">
            <w:pPr>
              <w:jc w:val="center"/>
              <w:rPr>
                <w:rFonts w:ascii="Times New Roman" w:hAnsi="Times New Roman" w:cs="Times New Roman"/>
                <w:sz w:val="24"/>
                <w:szCs w:val="24"/>
              </w:rPr>
            </w:pPr>
            <w:r>
              <w:rPr>
                <w:rFonts w:ascii="Times New Roman" w:hAnsi="Times New Roman" w:cs="Times New Roman"/>
                <w:sz w:val="24"/>
                <w:szCs w:val="24"/>
              </w:rPr>
              <w:t>4</w:t>
            </w:r>
            <w:r w:rsidR="005A7D86">
              <w:rPr>
                <w:rFonts w:ascii="Times New Roman" w:hAnsi="Times New Roman" w:cs="Times New Roman"/>
                <w:sz w:val="24"/>
                <w:szCs w:val="24"/>
              </w:rPr>
              <w:t xml:space="preserve"> and</w:t>
            </w:r>
            <w:r w:rsidR="00061F95">
              <w:rPr>
                <w:rFonts w:ascii="Times New Roman" w:hAnsi="Times New Roman" w:cs="Times New Roman"/>
                <w:sz w:val="24"/>
                <w:szCs w:val="24"/>
              </w:rPr>
              <w:t xml:space="preserve"> 5</w:t>
            </w:r>
          </w:p>
        </w:tc>
      </w:tr>
      <w:tr w:rsidR="00424A58" w14:paraId="02F17688" w14:textId="77777777" w:rsidTr="1285F912">
        <w:tc>
          <w:tcPr>
            <w:tcW w:w="2835" w:type="dxa"/>
            <w:shd w:val="clear" w:color="auto" w:fill="auto"/>
          </w:tcPr>
          <w:p w14:paraId="23CDC34B" w14:textId="55E7ADE1" w:rsidR="00424A58" w:rsidRDefault="00424A58" w:rsidP="002A7863">
            <w:pPr>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shd w:val="clear" w:color="auto" w:fill="auto"/>
          </w:tcPr>
          <w:p w14:paraId="27C9C759" w14:textId="3406851A" w:rsidR="00424A58" w:rsidRDefault="00424A58" w:rsidP="002A7863">
            <w:pPr>
              <w:jc w:val="center"/>
              <w:rPr>
                <w:rFonts w:ascii="Times New Roman" w:hAnsi="Times New Roman" w:cs="Times New Roman"/>
                <w:sz w:val="24"/>
                <w:szCs w:val="24"/>
              </w:rPr>
            </w:pPr>
            <w:r>
              <w:rPr>
                <w:rFonts w:ascii="Times New Roman" w:hAnsi="Times New Roman" w:cs="Times New Roman"/>
                <w:sz w:val="24"/>
                <w:szCs w:val="24"/>
              </w:rPr>
              <w:t>5</w:t>
            </w:r>
          </w:p>
        </w:tc>
      </w:tr>
      <w:tr w:rsidR="002A7863" w14:paraId="3169E075" w14:textId="77777777" w:rsidTr="1285F912">
        <w:tc>
          <w:tcPr>
            <w:tcW w:w="2835" w:type="dxa"/>
            <w:shd w:val="clear" w:color="auto" w:fill="auto"/>
          </w:tcPr>
          <w:p w14:paraId="3C8B0609" w14:textId="1B3069E1" w:rsidR="002A7863" w:rsidRDefault="002A7863" w:rsidP="002A7863">
            <w:pPr>
              <w:jc w:val="center"/>
              <w:rPr>
                <w:rFonts w:ascii="Times New Roman" w:hAnsi="Times New Roman" w:cs="Times New Roman"/>
                <w:sz w:val="24"/>
                <w:szCs w:val="24"/>
              </w:rPr>
            </w:pPr>
            <w:r>
              <w:rPr>
                <w:rFonts w:ascii="Times New Roman" w:hAnsi="Times New Roman" w:cs="Times New Roman"/>
                <w:sz w:val="24"/>
                <w:szCs w:val="24"/>
              </w:rPr>
              <w:t>Schedule 1</w:t>
            </w:r>
          </w:p>
        </w:tc>
        <w:tc>
          <w:tcPr>
            <w:tcW w:w="2835" w:type="dxa"/>
            <w:shd w:val="clear" w:color="auto" w:fill="auto"/>
          </w:tcPr>
          <w:p w14:paraId="3C736155" w14:textId="663505E7" w:rsidR="002A7863" w:rsidRDefault="002A7863" w:rsidP="002A7863">
            <w:pPr>
              <w:jc w:val="center"/>
              <w:rPr>
                <w:rFonts w:ascii="Times New Roman" w:hAnsi="Times New Roman" w:cs="Times New Roman"/>
                <w:sz w:val="24"/>
                <w:szCs w:val="24"/>
              </w:rPr>
            </w:pPr>
            <w:r>
              <w:rPr>
                <w:rFonts w:ascii="Times New Roman" w:hAnsi="Times New Roman" w:cs="Times New Roman"/>
                <w:sz w:val="24"/>
                <w:szCs w:val="24"/>
              </w:rPr>
              <w:t>No equivalent</w:t>
            </w:r>
          </w:p>
        </w:tc>
      </w:tr>
    </w:tbl>
    <w:p w14:paraId="1E4C3B4C" w14:textId="77777777" w:rsidR="00B80D1A" w:rsidRDefault="00B80D1A" w:rsidP="00A26F15">
      <w:pPr>
        <w:rPr>
          <w:rFonts w:ascii="Times New Roman" w:hAnsi="Times New Roman" w:cs="Times New Roman"/>
          <w:sz w:val="24"/>
          <w:szCs w:val="24"/>
        </w:rPr>
      </w:pPr>
    </w:p>
    <w:p w14:paraId="7AF74A19" w14:textId="09128F69" w:rsidR="00D0564C" w:rsidRPr="00FC6695" w:rsidRDefault="00D0564C" w:rsidP="1285F912">
      <w:pPr>
        <w:spacing w:after="240"/>
        <w:rPr>
          <w:rFonts w:ascii="Times New Roman" w:hAnsi="Times New Roman" w:cs="Times New Roman"/>
          <w:b/>
          <w:bCs/>
          <w:sz w:val="24"/>
          <w:szCs w:val="24"/>
        </w:rPr>
      </w:pPr>
      <w:r w:rsidRPr="1285F912">
        <w:rPr>
          <w:rFonts w:ascii="Times New Roman" w:hAnsi="Times New Roman" w:cs="Times New Roman"/>
          <w:b/>
          <w:bCs/>
          <w:sz w:val="24"/>
          <w:szCs w:val="24"/>
        </w:rPr>
        <w:t>Table 1.2: Sunsetting Regulations to 2018 Regulations</w:t>
      </w:r>
    </w:p>
    <w:tbl>
      <w:tblPr>
        <w:tblStyle w:val="TableGrid"/>
        <w:tblW w:w="0" w:type="auto"/>
        <w:tblLook w:val="04A0" w:firstRow="1" w:lastRow="0" w:firstColumn="1" w:lastColumn="0" w:noHBand="0" w:noVBand="1"/>
      </w:tblPr>
      <w:tblGrid>
        <w:gridCol w:w="2835"/>
        <w:gridCol w:w="2835"/>
      </w:tblGrid>
      <w:tr w:rsidR="00D0564C" w14:paraId="79444EE9" w14:textId="77777777" w:rsidTr="1285F912">
        <w:tc>
          <w:tcPr>
            <w:tcW w:w="2835" w:type="dxa"/>
            <w:shd w:val="clear" w:color="auto" w:fill="D9D9D9" w:themeFill="background1" w:themeFillShade="D9"/>
          </w:tcPr>
          <w:p w14:paraId="7BE29CA3" w14:textId="73AC0CDC" w:rsidR="00D0564C" w:rsidRPr="00FC6695" w:rsidRDefault="00D0564C" w:rsidP="1285F912">
            <w:pPr>
              <w:jc w:val="center"/>
              <w:rPr>
                <w:rFonts w:ascii="Times New Roman" w:hAnsi="Times New Roman" w:cs="Times New Roman"/>
                <w:b/>
                <w:bCs/>
                <w:i/>
                <w:iCs/>
                <w:sz w:val="24"/>
                <w:szCs w:val="24"/>
              </w:rPr>
            </w:pPr>
            <w:r w:rsidRPr="1285F912">
              <w:rPr>
                <w:rFonts w:ascii="Times New Roman" w:hAnsi="Times New Roman" w:cs="Times New Roman"/>
                <w:b/>
                <w:bCs/>
                <w:i/>
                <w:iCs/>
                <w:sz w:val="24"/>
                <w:szCs w:val="24"/>
              </w:rPr>
              <w:t>Sunsetting Regulations</w:t>
            </w:r>
          </w:p>
        </w:tc>
        <w:tc>
          <w:tcPr>
            <w:tcW w:w="2835" w:type="dxa"/>
            <w:shd w:val="clear" w:color="auto" w:fill="D9D9D9" w:themeFill="background1" w:themeFillShade="D9"/>
          </w:tcPr>
          <w:p w14:paraId="3FA00749" w14:textId="36C9B831" w:rsidR="00D0564C" w:rsidRPr="00FC6695" w:rsidRDefault="00D0564C" w:rsidP="1285F912">
            <w:pPr>
              <w:jc w:val="center"/>
              <w:rPr>
                <w:rFonts w:ascii="Times New Roman" w:hAnsi="Times New Roman" w:cs="Times New Roman"/>
                <w:b/>
                <w:bCs/>
                <w:i/>
                <w:iCs/>
                <w:sz w:val="24"/>
                <w:szCs w:val="24"/>
              </w:rPr>
            </w:pPr>
            <w:r w:rsidRPr="1285F912">
              <w:rPr>
                <w:rFonts w:ascii="Times New Roman" w:hAnsi="Times New Roman" w:cs="Times New Roman"/>
                <w:b/>
                <w:bCs/>
                <w:i/>
                <w:iCs/>
                <w:sz w:val="24"/>
                <w:szCs w:val="24"/>
              </w:rPr>
              <w:t>2018 Regulations</w:t>
            </w:r>
          </w:p>
        </w:tc>
      </w:tr>
      <w:tr w:rsidR="00D0564C" w14:paraId="2663D4F6" w14:textId="77777777" w:rsidTr="1285F912">
        <w:tc>
          <w:tcPr>
            <w:tcW w:w="2835" w:type="dxa"/>
            <w:shd w:val="clear" w:color="auto" w:fill="auto"/>
          </w:tcPr>
          <w:p w14:paraId="4C944737" w14:textId="69F1F3D8" w:rsidR="00D0564C" w:rsidRDefault="000E6127" w:rsidP="00EB201C">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shd w:val="clear" w:color="auto" w:fill="auto"/>
          </w:tcPr>
          <w:p w14:paraId="6F7CEB82" w14:textId="65610111" w:rsidR="00D0564C" w:rsidRDefault="000E6127" w:rsidP="00EB201C">
            <w:pPr>
              <w:jc w:val="center"/>
              <w:rPr>
                <w:rFonts w:ascii="Times New Roman" w:hAnsi="Times New Roman" w:cs="Times New Roman"/>
                <w:sz w:val="24"/>
                <w:szCs w:val="24"/>
              </w:rPr>
            </w:pPr>
            <w:r>
              <w:rPr>
                <w:rFonts w:ascii="Times New Roman" w:hAnsi="Times New Roman" w:cs="Times New Roman"/>
                <w:sz w:val="24"/>
                <w:szCs w:val="24"/>
              </w:rPr>
              <w:t>1</w:t>
            </w:r>
          </w:p>
        </w:tc>
      </w:tr>
      <w:tr w:rsidR="00531B9A" w14:paraId="277035DF" w14:textId="77777777" w:rsidTr="1285F912">
        <w:tc>
          <w:tcPr>
            <w:tcW w:w="2835" w:type="dxa"/>
            <w:shd w:val="clear" w:color="auto" w:fill="auto"/>
          </w:tcPr>
          <w:p w14:paraId="0799454D" w14:textId="22DBCB2E" w:rsidR="00531B9A" w:rsidRDefault="000E6127" w:rsidP="00EB201C">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shd w:val="clear" w:color="auto" w:fill="auto"/>
          </w:tcPr>
          <w:p w14:paraId="1E045651" w14:textId="72D137C8" w:rsidR="00531B9A" w:rsidRDefault="00061F95" w:rsidP="00EB201C">
            <w:pPr>
              <w:jc w:val="center"/>
              <w:rPr>
                <w:rFonts w:ascii="Times New Roman" w:hAnsi="Times New Roman" w:cs="Times New Roman"/>
                <w:sz w:val="24"/>
                <w:szCs w:val="24"/>
              </w:rPr>
            </w:pPr>
            <w:r>
              <w:rPr>
                <w:rFonts w:ascii="Times New Roman" w:hAnsi="Times New Roman" w:cs="Times New Roman"/>
                <w:sz w:val="24"/>
                <w:szCs w:val="24"/>
              </w:rPr>
              <w:t>Omitted</w:t>
            </w:r>
          </w:p>
        </w:tc>
      </w:tr>
      <w:tr w:rsidR="00531B9A" w14:paraId="22066399" w14:textId="77777777" w:rsidTr="1285F912">
        <w:tc>
          <w:tcPr>
            <w:tcW w:w="2835" w:type="dxa"/>
            <w:shd w:val="clear" w:color="auto" w:fill="auto"/>
          </w:tcPr>
          <w:p w14:paraId="7B3DF1B1" w14:textId="650E76E1" w:rsidR="00531B9A" w:rsidRDefault="000E6127" w:rsidP="00EB201C">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shd w:val="clear" w:color="auto" w:fill="auto"/>
          </w:tcPr>
          <w:p w14:paraId="126E06C5" w14:textId="44B4CD61" w:rsidR="00531B9A" w:rsidRDefault="000E6127" w:rsidP="00EB201C">
            <w:pPr>
              <w:jc w:val="center"/>
              <w:rPr>
                <w:rFonts w:ascii="Times New Roman" w:hAnsi="Times New Roman" w:cs="Times New Roman"/>
                <w:sz w:val="24"/>
                <w:szCs w:val="24"/>
              </w:rPr>
            </w:pPr>
            <w:r>
              <w:rPr>
                <w:rFonts w:ascii="Times New Roman" w:hAnsi="Times New Roman" w:cs="Times New Roman"/>
                <w:sz w:val="24"/>
                <w:szCs w:val="24"/>
              </w:rPr>
              <w:t>5</w:t>
            </w:r>
          </w:p>
        </w:tc>
      </w:tr>
      <w:tr w:rsidR="000E6127" w14:paraId="074559BE" w14:textId="77777777" w:rsidTr="1285F912">
        <w:tc>
          <w:tcPr>
            <w:tcW w:w="2835" w:type="dxa"/>
            <w:shd w:val="clear" w:color="auto" w:fill="auto"/>
          </w:tcPr>
          <w:p w14:paraId="133AF550" w14:textId="3982D288"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3A</w:t>
            </w:r>
          </w:p>
        </w:tc>
        <w:tc>
          <w:tcPr>
            <w:tcW w:w="2835" w:type="dxa"/>
            <w:shd w:val="clear" w:color="auto" w:fill="auto"/>
          </w:tcPr>
          <w:p w14:paraId="57E1AA0B" w14:textId="66B1E989"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Omitted</w:t>
            </w:r>
          </w:p>
        </w:tc>
      </w:tr>
      <w:tr w:rsidR="000E6127" w14:paraId="7D70A575" w14:textId="77777777" w:rsidTr="1285F912">
        <w:tc>
          <w:tcPr>
            <w:tcW w:w="2835" w:type="dxa"/>
            <w:shd w:val="clear" w:color="auto" w:fill="auto"/>
          </w:tcPr>
          <w:p w14:paraId="0A90772A" w14:textId="6AD37A87"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shd w:val="clear" w:color="auto" w:fill="auto"/>
          </w:tcPr>
          <w:p w14:paraId="63382F04" w14:textId="291763E7" w:rsidR="000E6127" w:rsidRDefault="00F01247" w:rsidP="1285F912">
            <w:pPr>
              <w:jc w:val="center"/>
              <w:rPr>
                <w:rFonts w:ascii="Times New Roman" w:hAnsi="Times New Roman" w:cs="Times New Roman"/>
                <w:sz w:val="24"/>
                <w:szCs w:val="24"/>
              </w:rPr>
            </w:pPr>
            <w:r>
              <w:rPr>
                <w:rFonts w:ascii="Times New Roman" w:hAnsi="Times New Roman" w:cs="Times New Roman"/>
                <w:sz w:val="24"/>
                <w:szCs w:val="24"/>
              </w:rPr>
              <w:t>7</w:t>
            </w:r>
          </w:p>
        </w:tc>
      </w:tr>
      <w:tr w:rsidR="000E6127" w14:paraId="42238728" w14:textId="77777777" w:rsidTr="1285F912">
        <w:tc>
          <w:tcPr>
            <w:tcW w:w="2835" w:type="dxa"/>
            <w:shd w:val="clear" w:color="auto" w:fill="auto"/>
          </w:tcPr>
          <w:p w14:paraId="6588871E" w14:textId="4E10860D"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shd w:val="clear" w:color="auto" w:fill="auto"/>
          </w:tcPr>
          <w:p w14:paraId="41B46F6D" w14:textId="5F77E1D1" w:rsidR="000E6127" w:rsidRDefault="00061F95" w:rsidP="000E6127">
            <w:pPr>
              <w:jc w:val="center"/>
              <w:rPr>
                <w:rFonts w:ascii="Times New Roman" w:hAnsi="Times New Roman" w:cs="Times New Roman"/>
                <w:sz w:val="24"/>
                <w:szCs w:val="24"/>
              </w:rPr>
            </w:pPr>
            <w:r>
              <w:rPr>
                <w:rFonts w:ascii="Times New Roman" w:hAnsi="Times New Roman" w:cs="Times New Roman"/>
                <w:sz w:val="24"/>
                <w:szCs w:val="24"/>
              </w:rPr>
              <w:t>7</w:t>
            </w:r>
            <w:r w:rsidR="00424A58">
              <w:rPr>
                <w:rFonts w:ascii="Times New Roman" w:hAnsi="Times New Roman" w:cs="Times New Roman"/>
                <w:sz w:val="24"/>
                <w:szCs w:val="24"/>
              </w:rPr>
              <w:t xml:space="preserve"> and 8</w:t>
            </w:r>
          </w:p>
        </w:tc>
      </w:tr>
      <w:tr w:rsidR="000E6127" w14:paraId="070F9077" w14:textId="77777777" w:rsidTr="1285F912">
        <w:tc>
          <w:tcPr>
            <w:tcW w:w="2835" w:type="dxa"/>
            <w:shd w:val="clear" w:color="auto" w:fill="auto"/>
          </w:tcPr>
          <w:p w14:paraId="5B6E8C67" w14:textId="137B8BD3"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shd w:val="clear" w:color="auto" w:fill="auto"/>
          </w:tcPr>
          <w:p w14:paraId="3B0D44A7" w14:textId="3D506E9C"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Omitted</w:t>
            </w:r>
          </w:p>
        </w:tc>
      </w:tr>
      <w:tr w:rsidR="000E6127" w14:paraId="728DC743" w14:textId="77777777" w:rsidTr="1285F912">
        <w:tc>
          <w:tcPr>
            <w:tcW w:w="2835" w:type="dxa"/>
            <w:shd w:val="clear" w:color="auto" w:fill="auto"/>
          </w:tcPr>
          <w:p w14:paraId="7B25D7E1" w14:textId="05AFD34E"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shd w:val="clear" w:color="auto" w:fill="auto"/>
          </w:tcPr>
          <w:p w14:paraId="75D7CAD8" w14:textId="790DD020" w:rsidR="000E6127" w:rsidRDefault="005A7D86" w:rsidP="005A7D86">
            <w:pPr>
              <w:tabs>
                <w:tab w:val="left" w:pos="812"/>
                <w:tab w:val="center" w:pos="130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69EC">
              <w:rPr>
                <w:rFonts w:ascii="Times New Roman" w:hAnsi="Times New Roman" w:cs="Times New Roman"/>
                <w:sz w:val="24"/>
                <w:szCs w:val="24"/>
              </w:rPr>
              <w:t>Omitted</w:t>
            </w:r>
          </w:p>
        </w:tc>
      </w:tr>
      <w:tr w:rsidR="000E6127" w14:paraId="3FC13A91" w14:textId="77777777" w:rsidTr="1285F912">
        <w:tc>
          <w:tcPr>
            <w:tcW w:w="2835" w:type="dxa"/>
            <w:shd w:val="clear" w:color="auto" w:fill="auto"/>
          </w:tcPr>
          <w:p w14:paraId="44224CDA" w14:textId="454A0CE9"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shd w:val="clear" w:color="auto" w:fill="auto"/>
          </w:tcPr>
          <w:p w14:paraId="72EB163E" w14:textId="51B018FC"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Omitted</w:t>
            </w:r>
          </w:p>
        </w:tc>
      </w:tr>
      <w:tr w:rsidR="000E6127" w14:paraId="2C4894D8" w14:textId="77777777" w:rsidTr="1285F912">
        <w:tc>
          <w:tcPr>
            <w:tcW w:w="2835" w:type="dxa"/>
            <w:shd w:val="clear" w:color="auto" w:fill="auto"/>
          </w:tcPr>
          <w:p w14:paraId="72F091D5" w14:textId="44DE1B9D"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shd w:val="clear" w:color="auto" w:fill="auto"/>
          </w:tcPr>
          <w:p w14:paraId="12178B52" w14:textId="1412A5BE" w:rsidR="000E6127" w:rsidRDefault="00BF69EC" w:rsidP="1285F912">
            <w:pPr>
              <w:jc w:val="center"/>
              <w:rPr>
                <w:rFonts w:ascii="Times New Roman" w:hAnsi="Times New Roman" w:cs="Times New Roman"/>
                <w:sz w:val="24"/>
                <w:szCs w:val="24"/>
              </w:rPr>
            </w:pPr>
            <w:r>
              <w:rPr>
                <w:rFonts w:ascii="Times New Roman" w:hAnsi="Times New Roman" w:cs="Times New Roman"/>
                <w:sz w:val="24"/>
                <w:szCs w:val="24"/>
              </w:rPr>
              <w:t>6</w:t>
            </w:r>
          </w:p>
        </w:tc>
      </w:tr>
      <w:tr w:rsidR="000E6127" w14:paraId="2A7F8B83" w14:textId="77777777" w:rsidTr="1285F912">
        <w:tc>
          <w:tcPr>
            <w:tcW w:w="2835" w:type="dxa"/>
            <w:shd w:val="clear" w:color="auto" w:fill="auto"/>
          </w:tcPr>
          <w:p w14:paraId="7782E3F4" w14:textId="17D62F21" w:rsidR="000E6127" w:rsidRDefault="000E6127" w:rsidP="1285F912">
            <w:pPr>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shd w:val="clear" w:color="auto" w:fill="auto"/>
          </w:tcPr>
          <w:p w14:paraId="736FFE66" w14:textId="792A84EB" w:rsidR="000E6127" w:rsidRDefault="005A7D86" w:rsidP="000E6127">
            <w:pPr>
              <w:jc w:val="center"/>
              <w:rPr>
                <w:rFonts w:ascii="Times New Roman" w:hAnsi="Times New Roman" w:cs="Times New Roman"/>
                <w:sz w:val="24"/>
                <w:szCs w:val="24"/>
              </w:rPr>
            </w:pPr>
            <w:r>
              <w:rPr>
                <w:rFonts w:ascii="Times New Roman" w:hAnsi="Times New Roman" w:cs="Times New Roman"/>
                <w:sz w:val="24"/>
                <w:szCs w:val="24"/>
              </w:rPr>
              <w:t xml:space="preserve">Omitted (see note to subsection </w:t>
            </w:r>
            <w:r w:rsidR="00061F95">
              <w:rPr>
                <w:rFonts w:ascii="Times New Roman" w:hAnsi="Times New Roman" w:cs="Times New Roman"/>
                <w:sz w:val="24"/>
                <w:szCs w:val="24"/>
              </w:rPr>
              <w:t>7</w:t>
            </w:r>
            <w:r>
              <w:rPr>
                <w:rFonts w:ascii="Times New Roman" w:hAnsi="Times New Roman" w:cs="Times New Roman"/>
                <w:sz w:val="24"/>
                <w:szCs w:val="24"/>
              </w:rPr>
              <w:t>(2))</w:t>
            </w:r>
          </w:p>
        </w:tc>
      </w:tr>
    </w:tbl>
    <w:p w14:paraId="4EF231AC" w14:textId="4AF15E2F" w:rsidR="006472E0" w:rsidRPr="007D5299" w:rsidRDefault="006472E0" w:rsidP="1285F912">
      <w:pPr>
        <w:tabs>
          <w:tab w:val="left" w:pos="1440"/>
        </w:tabs>
        <w:rPr>
          <w:rFonts w:ascii="Times New Roman" w:hAnsi="Times New Roman" w:cs="Times New Roman"/>
          <w:sz w:val="24"/>
          <w:szCs w:val="24"/>
        </w:rPr>
        <w:sectPr w:rsidR="006472E0" w:rsidRPr="007D5299">
          <w:footerReference w:type="default" r:id="rId11"/>
          <w:pgSz w:w="11906" w:h="16838"/>
          <w:pgMar w:top="1440" w:right="1440" w:bottom="1440" w:left="1440" w:header="708" w:footer="708" w:gutter="0"/>
          <w:cols w:space="708"/>
          <w:docGrid w:linePitch="360"/>
        </w:sectPr>
      </w:pPr>
    </w:p>
    <w:p w14:paraId="712B97FE" w14:textId="37DF6D38" w:rsidR="00C45059" w:rsidRDefault="1285F912" w:rsidP="1285F912">
      <w:pPr>
        <w:spacing w:before="240" w:after="240"/>
        <w:jc w:val="right"/>
        <w:rPr>
          <w:rFonts w:ascii="Times New Roman" w:hAnsi="Times New Roman" w:cs="Times New Roman"/>
          <w:b/>
          <w:bCs/>
          <w:sz w:val="24"/>
          <w:szCs w:val="24"/>
        </w:rPr>
      </w:pPr>
      <w:r w:rsidRPr="1285F912">
        <w:rPr>
          <w:rFonts w:ascii="Times New Roman" w:hAnsi="Times New Roman" w:cs="Times New Roman"/>
          <w:b/>
          <w:bCs/>
          <w:sz w:val="24"/>
          <w:szCs w:val="24"/>
        </w:rPr>
        <w:lastRenderedPageBreak/>
        <w:t>Attachment C</w:t>
      </w:r>
    </w:p>
    <w:p w14:paraId="2A1B731D" w14:textId="77777777" w:rsidR="00547F8D" w:rsidRPr="00547F8D" w:rsidRDefault="1285F912" w:rsidP="1285F912">
      <w:pPr>
        <w:spacing w:before="360" w:after="120"/>
        <w:jc w:val="center"/>
        <w:rPr>
          <w:rFonts w:ascii="Times New Roman" w:hAnsi="Times New Roman" w:cs="Times New Roman"/>
          <w:b/>
          <w:bCs/>
          <w:sz w:val="28"/>
          <w:szCs w:val="28"/>
        </w:rPr>
      </w:pPr>
      <w:r w:rsidRPr="1285F912">
        <w:rPr>
          <w:rFonts w:ascii="Times New Roman" w:hAnsi="Times New Roman" w:cs="Times New Roman"/>
          <w:b/>
          <w:bCs/>
          <w:sz w:val="28"/>
          <w:szCs w:val="28"/>
        </w:rPr>
        <w:t>Statement of Compatibility with Human Rights</w:t>
      </w:r>
    </w:p>
    <w:p w14:paraId="7A1BEF1B" w14:textId="77777777" w:rsidR="00547F8D" w:rsidRPr="00547F8D" w:rsidRDefault="1285F912" w:rsidP="1285F912">
      <w:pPr>
        <w:spacing w:before="240" w:after="240"/>
        <w:jc w:val="center"/>
        <w:rPr>
          <w:rFonts w:ascii="Times New Roman" w:hAnsi="Times New Roman" w:cs="Times New Roman"/>
          <w:sz w:val="24"/>
          <w:szCs w:val="24"/>
        </w:rPr>
      </w:pPr>
      <w:r w:rsidRPr="1285F912">
        <w:rPr>
          <w:rFonts w:ascii="Times New Roman" w:hAnsi="Times New Roman" w:cs="Times New Roman"/>
          <w:i/>
          <w:iCs/>
          <w:sz w:val="24"/>
          <w:szCs w:val="24"/>
        </w:rPr>
        <w:t>Prepared in accordance with Part 3 of the Human Rights (Parliamentary Scrutiny) Act 2011</w:t>
      </w:r>
    </w:p>
    <w:p w14:paraId="5F0DBA9B" w14:textId="5502D727" w:rsidR="00331020" w:rsidRPr="00AE200A" w:rsidRDefault="1285F912" w:rsidP="1285F912">
      <w:pPr>
        <w:spacing w:before="240" w:after="240"/>
        <w:jc w:val="center"/>
        <w:rPr>
          <w:rFonts w:ascii="Times New Roman" w:hAnsi="Times New Roman" w:cs="Times New Roman"/>
          <w:i/>
          <w:iCs/>
          <w:sz w:val="24"/>
          <w:szCs w:val="24"/>
        </w:rPr>
      </w:pPr>
      <w:r w:rsidRPr="1285F912">
        <w:rPr>
          <w:rFonts w:ascii="Times New Roman" w:hAnsi="Times New Roman" w:cs="Times New Roman"/>
          <w:i/>
          <w:iCs/>
          <w:sz w:val="24"/>
          <w:szCs w:val="24"/>
        </w:rPr>
        <w:t>Offshore Minerals (</w:t>
      </w:r>
      <w:r w:rsidR="00C062B3">
        <w:rPr>
          <w:rFonts w:ascii="Times New Roman" w:hAnsi="Times New Roman" w:cs="Times New Roman"/>
          <w:i/>
          <w:iCs/>
          <w:sz w:val="24"/>
          <w:szCs w:val="24"/>
        </w:rPr>
        <w:t>Exploration Activities</w:t>
      </w:r>
      <w:r w:rsidRPr="1285F912">
        <w:rPr>
          <w:rFonts w:ascii="Times New Roman" w:hAnsi="Times New Roman" w:cs="Times New Roman"/>
          <w:i/>
          <w:iCs/>
          <w:sz w:val="24"/>
          <w:szCs w:val="24"/>
        </w:rPr>
        <w:t>) Regulations 2018</w:t>
      </w:r>
    </w:p>
    <w:p w14:paraId="006E2248" w14:textId="097DC2A0" w:rsidR="00331020" w:rsidRPr="00547F8D" w:rsidRDefault="1285F912" w:rsidP="1285F912">
      <w:pPr>
        <w:spacing w:before="240" w:after="240"/>
        <w:rPr>
          <w:rFonts w:ascii="Times New Roman" w:hAnsi="Times New Roman" w:cs="Times New Roman"/>
          <w:sz w:val="24"/>
          <w:szCs w:val="24"/>
        </w:rPr>
      </w:pPr>
      <w:r w:rsidRPr="1285F912">
        <w:rPr>
          <w:rFonts w:ascii="Times New Roman" w:hAnsi="Times New Roman" w:cs="Times New Roman"/>
          <w:sz w:val="24"/>
          <w:szCs w:val="24"/>
        </w:rPr>
        <w:t xml:space="preserve">These Regulations are compatible with the human rights and freedoms recognised or declared in the international instruments listed in section 3 of the </w:t>
      </w:r>
      <w:r w:rsidRPr="1285F912">
        <w:rPr>
          <w:rFonts w:ascii="Times New Roman" w:hAnsi="Times New Roman" w:cs="Times New Roman"/>
          <w:i/>
          <w:iCs/>
          <w:sz w:val="24"/>
          <w:szCs w:val="24"/>
        </w:rPr>
        <w:t>Human Rights (Parliamentary Scrutiny) Act 2011</w:t>
      </w:r>
      <w:r w:rsidRPr="1285F912">
        <w:rPr>
          <w:rFonts w:ascii="Times New Roman" w:hAnsi="Times New Roman" w:cs="Times New Roman"/>
          <w:sz w:val="24"/>
          <w:szCs w:val="24"/>
        </w:rPr>
        <w:t>.</w:t>
      </w:r>
    </w:p>
    <w:p w14:paraId="59D80E91" w14:textId="77777777" w:rsidR="00547F8D" w:rsidRPr="00547F8D" w:rsidRDefault="1285F912" w:rsidP="1285F912">
      <w:pPr>
        <w:spacing w:before="240" w:after="240"/>
        <w:jc w:val="both"/>
        <w:rPr>
          <w:rFonts w:ascii="Times New Roman" w:hAnsi="Times New Roman" w:cs="Times New Roman"/>
          <w:b/>
          <w:bCs/>
          <w:sz w:val="24"/>
          <w:szCs w:val="24"/>
        </w:rPr>
      </w:pPr>
      <w:r w:rsidRPr="1285F912">
        <w:rPr>
          <w:rFonts w:ascii="Times New Roman" w:hAnsi="Times New Roman" w:cs="Times New Roman"/>
          <w:b/>
          <w:bCs/>
          <w:sz w:val="24"/>
          <w:szCs w:val="24"/>
        </w:rPr>
        <w:t>Overview of the Legislative Instrument</w:t>
      </w:r>
    </w:p>
    <w:p w14:paraId="1F278859" w14:textId="6904CCB5" w:rsidR="00331020" w:rsidRPr="00627E40" w:rsidRDefault="1285F912" w:rsidP="1285F912">
      <w:pPr>
        <w:spacing w:before="240" w:after="240"/>
        <w:rPr>
          <w:rFonts w:ascii="Times New Roman" w:hAnsi="Times New Roman" w:cs="Times New Roman"/>
          <w:sz w:val="24"/>
          <w:szCs w:val="24"/>
        </w:rPr>
      </w:pPr>
      <w:r w:rsidRPr="1285F912">
        <w:rPr>
          <w:rFonts w:ascii="Times New Roman" w:hAnsi="Times New Roman" w:cs="Times New Roman"/>
          <w:sz w:val="24"/>
          <w:szCs w:val="24"/>
        </w:rPr>
        <w:t xml:space="preserve">The </w:t>
      </w:r>
      <w:r w:rsidRPr="1285F912">
        <w:rPr>
          <w:rFonts w:ascii="Times New Roman" w:hAnsi="Times New Roman" w:cs="Times New Roman"/>
          <w:i/>
          <w:iCs/>
          <w:sz w:val="24"/>
          <w:szCs w:val="24"/>
        </w:rPr>
        <w:t>Offshore Minerals (</w:t>
      </w:r>
      <w:r w:rsidR="00C062B3">
        <w:rPr>
          <w:rFonts w:ascii="Times New Roman" w:hAnsi="Times New Roman" w:cs="Times New Roman"/>
          <w:i/>
          <w:iCs/>
          <w:sz w:val="24"/>
          <w:szCs w:val="24"/>
        </w:rPr>
        <w:t>Exploration Activities</w:t>
      </w:r>
      <w:r w:rsidRPr="1285F912">
        <w:rPr>
          <w:rFonts w:ascii="Times New Roman" w:hAnsi="Times New Roman" w:cs="Times New Roman"/>
          <w:i/>
          <w:iCs/>
          <w:sz w:val="24"/>
          <w:szCs w:val="24"/>
        </w:rPr>
        <w:t>) Regulations 2018</w:t>
      </w:r>
      <w:r w:rsidRPr="1285F912">
        <w:rPr>
          <w:rFonts w:ascii="Times New Roman" w:hAnsi="Times New Roman" w:cs="Times New Roman"/>
          <w:sz w:val="24"/>
          <w:szCs w:val="24"/>
        </w:rPr>
        <w:t xml:space="preserve"> (the 2018 Regulations) are a legislative instrument for the purposes of the </w:t>
      </w:r>
      <w:r w:rsidRPr="1285F912">
        <w:rPr>
          <w:rFonts w:ascii="Times New Roman" w:hAnsi="Times New Roman" w:cs="Times New Roman"/>
          <w:i/>
          <w:iCs/>
          <w:sz w:val="24"/>
          <w:szCs w:val="24"/>
        </w:rPr>
        <w:t>Legislation Act 2003</w:t>
      </w:r>
      <w:r w:rsidRPr="1285F912">
        <w:rPr>
          <w:rFonts w:ascii="Times New Roman" w:hAnsi="Times New Roman" w:cs="Times New Roman"/>
          <w:sz w:val="24"/>
          <w:szCs w:val="24"/>
        </w:rPr>
        <w:t>.</w:t>
      </w:r>
    </w:p>
    <w:p w14:paraId="4AA67747" w14:textId="03C78BEB" w:rsidR="00331020" w:rsidRPr="00627E40" w:rsidRDefault="1285F912" w:rsidP="1285F912">
      <w:pPr>
        <w:spacing w:before="240" w:after="240"/>
        <w:rPr>
          <w:rFonts w:ascii="Times New Roman" w:hAnsi="Times New Roman" w:cs="Times New Roman"/>
          <w:sz w:val="24"/>
          <w:szCs w:val="24"/>
        </w:rPr>
      </w:pPr>
      <w:r w:rsidRPr="1285F912">
        <w:rPr>
          <w:rFonts w:ascii="Times New Roman" w:hAnsi="Times New Roman" w:cs="Times New Roman"/>
          <w:sz w:val="24"/>
          <w:szCs w:val="24"/>
        </w:rPr>
        <w:t xml:space="preserve">The 2018 Regulations are prepared under section 440 of the </w:t>
      </w:r>
      <w:r w:rsidRPr="1285F912">
        <w:rPr>
          <w:rFonts w:ascii="Times New Roman" w:hAnsi="Times New Roman" w:cs="Times New Roman"/>
          <w:i/>
          <w:iCs/>
          <w:sz w:val="24"/>
          <w:szCs w:val="24"/>
        </w:rPr>
        <w:t>Offshore Minerals Act 1994</w:t>
      </w:r>
      <w:r w:rsidRPr="1285F912">
        <w:rPr>
          <w:rFonts w:ascii="Times New Roman" w:hAnsi="Times New Roman" w:cs="Times New Roman"/>
          <w:sz w:val="24"/>
          <w:szCs w:val="24"/>
        </w:rPr>
        <w:t xml:space="preserve"> (the Act), and repeal and remake the </w:t>
      </w:r>
      <w:r w:rsidRPr="1285F912">
        <w:rPr>
          <w:rFonts w:ascii="Times New Roman" w:hAnsi="Times New Roman" w:cs="Times New Roman"/>
          <w:i/>
          <w:iCs/>
          <w:sz w:val="24"/>
          <w:szCs w:val="24"/>
        </w:rPr>
        <w:t>Offshore Minerals (Data Lodgment and Reporting) Regulations 1996</w:t>
      </w:r>
      <w:r w:rsidRPr="1285F912">
        <w:rPr>
          <w:rFonts w:ascii="Times New Roman" w:hAnsi="Times New Roman" w:cs="Times New Roman"/>
          <w:sz w:val="24"/>
          <w:szCs w:val="24"/>
        </w:rPr>
        <w:t xml:space="preserve"> (the sunsetting Regulations), due to sunset on 1 April 2019.</w:t>
      </w:r>
    </w:p>
    <w:p w14:paraId="7310950B" w14:textId="32D0DB54" w:rsidR="00F04E82" w:rsidRPr="00627E40" w:rsidRDefault="1285F912" w:rsidP="1285F912">
      <w:pPr>
        <w:spacing w:beforeLines="100" w:before="240" w:afterLines="100" w:after="240" w:line="259" w:lineRule="auto"/>
        <w:rPr>
          <w:rFonts w:ascii="Times New Roman" w:hAnsi="Times New Roman" w:cs="Times New Roman"/>
          <w:sz w:val="24"/>
          <w:szCs w:val="24"/>
        </w:rPr>
      </w:pPr>
      <w:r w:rsidRPr="1285F912">
        <w:rPr>
          <w:rFonts w:ascii="Times New Roman" w:hAnsi="Times New Roman" w:cs="Times New Roman"/>
          <w:color w:val="000000" w:themeColor="text1"/>
          <w:sz w:val="24"/>
          <w:szCs w:val="24"/>
        </w:rPr>
        <w:t xml:space="preserve">The sunsetting Regulations detail the manner in which samples, reports and other data derived from offshore minerals exploration authorised under the Act are to be kept and provided to the relevant state or Northern Territory government authorities. </w:t>
      </w:r>
      <w:r w:rsidRPr="1285F912">
        <w:rPr>
          <w:rFonts w:ascii="Times New Roman" w:hAnsi="Times New Roman" w:cs="Times New Roman"/>
          <w:sz w:val="24"/>
          <w:szCs w:val="24"/>
        </w:rPr>
        <w:t xml:space="preserve">A review of the sunsetting Regulations determined that the Regulations are still required. The 2018 Regulations remake the sunsetting Regulations in </w:t>
      </w:r>
      <w:r w:rsidRPr="1285F912">
        <w:rPr>
          <w:rFonts w:ascii="Times New Roman" w:eastAsia="Times New Roman" w:hAnsi="Times New Roman" w:cs="Times New Roman"/>
          <w:sz w:val="24"/>
          <w:szCs w:val="24"/>
          <w:lang w:eastAsia="en-AU"/>
        </w:rPr>
        <w:t>an updated form that retains provisions that continue to be required, updates references where necessary and removes provisions that are redundant or superfluous</w:t>
      </w:r>
      <w:r w:rsidRPr="1285F912">
        <w:rPr>
          <w:rFonts w:ascii="Times New Roman" w:hAnsi="Times New Roman" w:cs="Times New Roman"/>
          <w:sz w:val="24"/>
          <w:szCs w:val="24"/>
        </w:rPr>
        <w:t>.</w:t>
      </w:r>
    </w:p>
    <w:p w14:paraId="46B70B98" w14:textId="77777777" w:rsidR="00331020" w:rsidRPr="00DD3F4D" w:rsidRDefault="1285F912" w:rsidP="1285F912">
      <w:pPr>
        <w:spacing w:after="240"/>
        <w:rPr>
          <w:rFonts w:ascii="Times New Roman" w:hAnsi="Times New Roman" w:cs="Times New Roman"/>
          <w:b/>
          <w:bCs/>
          <w:sz w:val="24"/>
          <w:szCs w:val="24"/>
        </w:rPr>
      </w:pPr>
      <w:r w:rsidRPr="1285F912">
        <w:rPr>
          <w:rFonts w:ascii="Times New Roman" w:hAnsi="Times New Roman" w:cs="Times New Roman"/>
          <w:b/>
          <w:bCs/>
          <w:sz w:val="24"/>
          <w:szCs w:val="24"/>
        </w:rPr>
        <w:t>Human rights implications</w:t>
      </w:r>
    </w:p>
    <w:p w14:paraId="04BDB6A1" w14:textId="77777777" w:rsidR="00F04E82" w:rsidRPr="00627E40" w:rsidRDefault="1285F912" w:rsidP="1285F912">
      <w:pPr>
        <w:spacing w:before="240" w:after="240"/>
        <w:rPr>
          <w:rFonts w:ascii="Times New Roman" w:hAnsi="Times New Roman" w:cs="Times New Roman"/>
          <w:sz w:val="24"/>
          <w:szCs w:val="24"/>
        </w:rPr>
      </w:pPr>
      <w:r w:rsidRPr="1285F912">
        <w:rPr>
          <w:rFonts w:ascii="Times New Roman" w:hAnsi="Times New Roman" w:cs="Times New Roman"/>
          <w:sz w:val="24"/>
          <w:szCs w:val="24"/>
        </w:rPr>
        <w:t>The 2018 Regulations do not engage any of the applicable rights or freedoms.</w:t>
      </w:r>
    </w:p>
    <w:p w14:paraId="669AC137" w14:textId="77777777" w:rsidR="00331020" w:rsidRPr="00DD3F4D" w:rsidRDefault="1285F912" w:rsidP="1285F912">
      <w:pPr>
        <w:spacing w:before="240" w:after="240"/>
        <w:rPr>
          <w:rFonts w:ascii="Times New Roman" w:hAnsi="Times New Roman" w:cs="Times New Roman"/>
          <w:b/>
          <w:bCs/>
          <w:sz w:val="24"/>
          <w:szCs w:val="24"/>
        </w:rPr>
      </w:pPr>
      <w:r w:rsidRPr="1285F912">
        <w:rPr>
          <w:rFonts w:ascii="Times New Roman" w:hAnsi="Times New Roman" w:cs="Times New Roman"/>
          <w:b/>
          <w:bCs/>
          <w:sz w:val="24"/>
          <w:szCs w:val="24"/>
        </w:rPr>
        <w:t>Conclusion</w:t>
      </w:r>
    </w:p>
    <w:p w14:paraId="59F34261" w14:textId="128EA8AD" w:rsidR="00331020" w:rsidRDefault="1285F912" w:rsidP="1285F912">
      <w:pPr>
        <w:spacing w:before="240" w:after="240"/>
        <w:rPr>
          <w:rFonts w:ascii="Times New Roman" w:hAnsi="Times New Roman" w:cs="Times New Roman"/>
          <w:sz w:val="24"/>
          <w:szCs w:val="24"/>
        </w:rPr>
      </w:pPr>
      <w:r w:rsidRPr="1285F912">
        <w:rPr>
          <w:rFonts w:ascii="Times New Roman" w:hAnsi="Times New Roman" w:cs="Times New Roman"/>
          <w:sz w:val="24"/>
          <w:szCs w:val="24"/>
        </w:rPr>
        <w:t xml:space="preserve">The 2018 Regulations are compatible with human rights, as they do not raise any human rights issues. </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6B46C78F" w14:textId="340EFC52" w:rsidR="00F51C83" w:rsidRPr="009D1BD0" w:rsidRDefault="1285F912" w:rsidP="1285F912">
      <w:pPr>
        <w:spacing w:line="240" w:lineRule="auto"/>
        <w:jc w:val="center"/>
        <w:rPr>
          <w:rFonts w:ascii="Times New Roman" w:hAnsi="Times New Roman"/>
          <w:b/>
          <w:bCs/>
          <w:sz w:val="24"/>
          <w:szCs w:val="24"/>
        </w:rPr>
      </w:pPr>
      <w:r w:rsidRPr="1285F912">
        <w:rPr>
          <w:rFonts w:ascii="Times New Roman" w:hAnsi="Times New Roman"/>
          <w:b/>
          <w:bCs/>
          <w:sz w:val="24"/>
          <w:szCs w:val="24"/>
        </w:rPr>
        <w:t>Senator the Hon Matt Canavan</w:t>
      </w:r>
    </w:p>
    <w:p w14:paraId="1562A357" w14:textId="77777777" w:rsidR="00F51C83" w:rsidRPr="009D1BD0" w:rsidRDefault="1285F912" w:rsidP="1285F912">
      <w:pPr>
        <w:spacing w:line="240" w:lineRule="auto"/>
        <w:jc w:val="center"/>
        <w:rPr>
          <w:rFonts w:ascii="Times New Roman" w:hAnsi="Times New Roman"/>
          <w:b/>
          <w:bCs/>
          <w:sz w:val="24"/>
          <w:szCs w:val="24"/>
        </w:rPr>
      </w:pPr>
      <w:r w:rsidRPr="1285F912">
        <w:rPr>
          <w:rFonts w:ascii="Times New Roman" w:hAnsi="Times New Roman"/>
          <w:b/>
          <w:bCs/>
          <w:sz w:val="24"/>
          <w:szCs w:val="24"/>
        </w:rPr>
        <w:t>Minister for Resources and Northern Australia</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A930F" w14:textId="77777777" w:rsidR="003E1C4F" w:rsidRDefault="003E1C4F" w:rsidP="003E1C4F">
      <w:pPr>
        <w:spacing w:after="0" w:line="240" w:lineRule="auto"/>
      </w:pPr>
      <w:r>
        <w:separator/>
      </w:r>
    </w:p>
  </w:endnote>
  <w:endnote w:type="continuationSeparator" w:id="0">
    <w:p w14:paraId="498B2AA7" w14:textId="77777777" w:rsidR="003E1C4F" w:rsidRDefault="003E1C4F" w:rsidP="003E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94427"/>
      <w:docPartObj>
        <w:docPartGallery w:val="Page Numbers (Bottom of Page)"/>
        <w:docPartUnique/>
      </w:docPartObj>
    </w:sdtPr>
    <w:sdtEndPr>
      <w:rPr>
        <w:rFonts w:ascii="Times New Roman" w:hAnsi="Times New Roman" w:cs="Times New Roman"/>
        <w:noProof/>
      </w:rPr>
    </w:sdtEndPr>
    <w:sdtContent>
      <w:p w14:paraId="7FCA37A8" w14:textId="4E07C044" w:rsidR="003E1C4F" w:rsidRPr="0037317D" w:rsidRDefault="003E1C4F">
        <w:pPr>
          <w:pStyle w:val="Footer"/>
          <w:jc w:val="center"/>
          <w:rPr>
            <w:rFonts w:ascii="Times New Roman" w:hAnsi="Times New Roman" w:cs="Times New Roman"/>
          </w:rPr>
        </w:pPr>
        <w:r w:rsidRPr="0037317D">
          <w:rPr>
            <w:rFonts w:ascii="Times New Roman" w:hAnsi="Times New Roman" w:cs="Times New Roman"/>
          </w:rPr>
          <w:fldChar w:fldCharType="begin"/>
        </w:r>
        <w:r w:rsidRPr="0037317D">
          <w:rPr>
            <w:rFonts w:ascii="Times New Roman" w:hAnsi="Times New Roman" w:cs="Times New Roman"/>
          </w:rPr>
          <w:instrText xml:space="preserve"> PAGE   \* MERGEFORMAT </w:instrText>
        </w:r>
        <w:r w:rsidRPr="0037317D">
          <w:rPr>
            <w:rFonts w:ascii="Times New Roman" w:hAnsi="Times New Roman" w:cs="Times New Roman"/>
          </w:rPr>
          <w:fldChar w:fldCharType="separate"/>
        </w:r>
        <w:r w:rsidR="00213B32">
          <w:rPr>
            <w:rFonts w:ascii="Times New Roman" w:hAnsi="Times New Roman" w:cs="Times New Roman"/>
            <w:noProof/>
          </w:rPr>
          <w:t>1</w:t>
        </w:r>
        <w:r w:rsidRPr="0037317D">
          <w:rPr>
            <w:rFonts w:ascii="Times New Roman" w:hAnsi="Times New Roman" w:cs="Times New Roman"/>
            <w:noProof/>
          </w:rPr>
          <w:fldChar w:fldCharType="end"/>
        </w:r>
      </w:p>
    </w:sdtContent>
  </w:sdt>
  <w:p w14:paraId="5EDA48EB" w14:textId="77777777" w:rsidR="003E1C4F" w:rsidRDefault="003E1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A50EA" w14:textId="77777777" w:rsidR="003E1C4F" w:rsidRDefault="003E1C4F" w:rsidP="003E1C4F">
      <w:pPr>
        <w:spacing w:after="0" w:line="240" w:lineRule="auto"/>
      </w:pPr>
      <w:r>
        <w:separator/>
      </w:r>
    </w:p>
  </w:footnote>
  <w:footnote w:type="continuationSeparator" w:id="0">
    <w:p w14:paraId="6D9C5242" w14:textId="77777777" w:rsidR="003E1C4F" w:rsidRDefault="003E1C4F" w:rsidP="003E1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71A4"/>
    <w:multiLevelType w:val="hybridMultilevel"/>
    <w:tmpl w:val="CE7A9FAC"/>
    <w:lvl w:ilvl="0" w:tplc="2FAC69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3B543D"/>
    <w:multiLevelType w:val="hybridMultilevel"/>
    <w:tmpl w:val="DCCADEB2"/>
    <w:lvl w:ilvl="0" w:tplc="2FAC69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555F7"/>
    <w:multiLevelType w:val="hybridMultilevel"/>
    <w:tmpl w:val="5486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5751FE"/>
    <w:multiLevelType w:val="hybridMultilevel"/>
    <w:tmpl w:val="EBBE9DA0"/>
    <w:lvl w:ilvl="0" w:tplc="2FAC69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2F99"/>
    <w:rsid w:val="0000434D"/>
    <w:rsid w:val="0003244F"/>
    <w:rsid w:val="00034812"/>
    <w:rsid w:val="00061F95"/>
    <w:rsid w:val="000763BA"/>
    <w:rsid w:val="000C720B"/>
    <w:rsid w:val="000D0E22"/>
    <w:rsid w:val="000E6127"/>
    <w:rsid w:val="00102E2D"/>
    <w:rsid w:val="00110F1D"/>
    <w:rsid w:val="00113973"/>
    <w:rsid w:val="00114AA6"/>
    <w:rsid w:val="00114DD2"/>
    <w:rsid w:val="00125E2F"/>
    <w:rsid w:val="00133E62"/>
    <w:rsid w:val="0013767C"/>
    <w:rsid w:val="00142B19"/>
    <w:rsid w:val="001442F5"/>
    <w:rsid w:val="00150B9D"/>
    <w:rsid w:val="00156FE4"/>
    <w:rsid w:val="00167352"/>
    <w:rsid w:val="0017517F"/>
    <w:rsid w:val="00176597"/>
    <w:rsid w:val="001900C1"/>
    <w:rsid w:val="001B67BD"/>
    <w:rsid w:val="001F2F8F"/>
    <w:rsid w:val="00201625"/>
    <w:rsid w:val="00213B32"/>
    <w:rsid w:val="002214B5"/>
    <w:rsid w:val="002414FA"/>
    <w:rsid w:val="002A1E94"/>
    <w:rsid w:val="002A7863"/>
    <w:rsid w:val="002B64C1"/>
    <w:rsid w:val="002D0639"/>
    <w:rsid w:val="002D354C"/>
    <w:rsid w:val="002E3895"/>
    <w:rsid w:val="00307AA4"/>
    <w:rsid w:val="00325D26"/>
    <w:rsid w:val="003279E3"/>
    <w:rsid w:val="00331020"/>
    <w:rsid w:val="00344B35"/>
    <w:rsid w:val="00350736"/>
    <w:rsid w:val="003578A9"/>
    <w:rsid w:val="00366EF0"/>
    <w:rsid w:val="0037317D"/>
    <w:rsid w:val="00380734"/>
    <w:rsid w:val="00396C31"/>
    <w:rsid w:val="003D019A"/>
    <w:rsid w:val="003D74A9"/>
    <w:rsid w:val="003E1C4F"/>
    <w:rsid w:val="003E3DD9"/>
    <w:rsid w:val="003F2743"/>
    <w:rsid w:val="0040499D"/>
    <w:rsid w:val="00415920"/>
    <w:rsid w:val="00424A58"/>
    <w:rsid w:val="004419A1"/>
    <w:rsid w:val="00446B82"/>
    <w:rsid w:val="00454892"/>
    <w:rsid w:val="00473AAC"/>
    <w:rsid w:val="00493031"/>
    <w:rsid w:val="004A1A58"/>
    <w:rsid w:val="004A4FA6"/>
    <w:rsid w:val="004B5EE8"/>
    <w:rsid w:val="004C2696"/>
    <w:rsid w:val="004C5A72"/>
    <w:rsid w:val="004C7FC5"/>
    <w:rsid w:val="004D012E"/>
    <w:rsid w:val="004E17EA"/>
    <w:rsid w:val="004E409E"/>
    <w:rsid w:val="004F0FA4"/>
    <w:rsid w:val="00516467"/>
    <w:rsid w:val="00520AD4"/>
    <w:rsid w:val="00525920"/>
    <w:rsid w:val="00531B9A"/>
    <w:rsid w:val="00547419"/>
    <w:rsid w:val="00547F8D"/>
    <w:rsid w:val="00552793"/>
    <w:rsid w:val="005663AC"/>
    <w:rsid w:val="00571851"/>
    <w:rsid w:val="005A7D86"/>
    <w:rsid w:val="005B0A19"/>
    <w:rsid w:val="005B2AD1"/>
    <w:rsid w:val="005D0701"/>
    <w:rsid w:val="00607A74"/>
    <w:rsid w:val="0061776D"/>
    <w:rsid w:val="00631FCD"/>
    <w:rsid w:val="006472E0"/>
    <w:rsid w:val="00647DE7"/>
    <w:rsid w:val="006745C3"/>
    <w:rsid w:val="00676D54"/>
    <w:rsid w:val="006862A4"/>
    <w:rsid w:val="006A62EF"/>
    <w:rsid w:val="006B14D3"/>
    <w:rsid w:val="006B5072"/>
    <w:rsid w:val="006C5F79"/>
    <w:rsid w:val="007013FE"/>
    <w:rsid w:val="00702529"/>
    <w:rsid w:val="00715BC7"/>
    <w:rsid w:val="0072540E"/>
    <w:rsid w:val="00737ECC"/>
    <w:rsid w:val="007666E6"/>
    <w:rsid w:val="00777FD4"/>
    <w:rsid w:val="007838DB"/>
    <w:rsid w:val="007A0AFD"/>
    <w:rsid w:val="007A413F"/>
    <w:rsid w:val="007B4941"/>
    <w:rsid w:val="007C3EB2"/>
    <w:rsid w:val="007D5299"/>
    <w:rsid w:val="007E4558"/>
    <w:rsid w:val="00830E8E"/>
    <w:rsid w:val="008457DF"/>
    <w:rsid w:val="00857372"/>
    <w:rsid w:val="00882263"/>
    <w:rsid w:val="00887182"/>
    <w:rsid w:val="008A152D"/>
    <w:rsid w:val="008A6D7D"/>
    <w:rsid w:val="008C0C38"/>
    <w:rsid w:val="008E2EA6"/>
    <w:rsid w:val="008E7552"/>
    <w:rsid w:val="00907A79"/>
    <w:rsid w:val="00941801"/>
    <w:rsid w:val="009705A7"/>
    <w:rsid w:val="00972D0E"/>
    <w:rsid w:val="00973E10"/>
    <w:rsid w:val="0097666F"/>
    <w:rsid w:val="0098362A"/>
    <w:rsid w:val="0098493C"/>
    <w:rsid w:val="009A2E73"/>
    <w:rsid w:val="009D03A2"/>
    <w:rsid w:val="009D1BD0"/>
    <w:rsid w:val="009D4D12"/>
    <w:rsid w:val="009E7BE3"/>
    <w:rsid w:val="009F4CC8"/>
    <w:rsid w:val="00A14FE7"/>
    <w:rsid w:val="00A234C9"/>
    <w:rsid w:val="00A26F15"/>
    <w:rsid w:val="00A37816"/>
    <w:rsid w:val="00A7204C"/>
    <w:rsid w:val="00B04302"/>
    <w:rsid w:val="00B219B5"/>
    <w:rsid w:val="00B26800"/>
    <w:rsid w:val="00B80D1A"/>
    <w:rsid w:val="00BE264E"/>
    <w:rsid w:val="00BF0534"/>
    <w:rsid w:val="00BF3D37"/>
    <w:rsid w:val="00BF673B"/>
    <w:rsid w:val="00BF69EC"/>
    <w:rsid w:val="00C062B3"/>
    <w:rsid w:val="00C13D33"/>
    <w:rsid w:val="00C32944"/>
    <w:rsid w:val="00C34BB3"/>
    <w:rsid w:val="00C44861"/>
    <w:rsid w:val="00C45059"/>
    <w:rsid w:val="00C52797"/>
    <w:rsid w:val="00C75CE1"/>
    <w:rsid w:val="00C7798B"/>
    <w:rsid w:val="00CA1A23"/>
    <w:rsid w:val="00CB0155"/>
    <w:rsid w:val="00CB29EA"/>
    <w:rsid w:val="00CC3CB8"/>
    <w:rsid w:val="00CE7F0E"/>
    <w:rsid w:val="00CF3796"/>
    <w:rsid w:val="00D00375"/>
    <w:rsid w:val="00D0564C"/>
    <w:rsid w:val="00D16E5C"/>
    <w:rsid w:val="00D2075F"/>
    <w:rsid w:val="00D32E24"/>
    <w:rsid w:val="00D45DFF"/>
    <w:rsid w:val="00D53101"/>
    <w:rsid w:val="00DD2F29"/>
    <w:rsid w:val="00DE21D2"/>
    <w:rsid w:val="00DE74D8"/>
    <w:rsid w:val="00DF78AE"/>
    <w:rsid w:val="00E14412"/>
    <w:rsid w:val="00E14905"/>
    <w:rsid w:val="00E26982"/>
    <w:rsid w:val="00E609FA"/>
    <w:rsid w:val="00E85758"/>
    <w:rsid w:val="00E87544"/>
    <w:rsid w:val="00EB201C"/>
    <w:rsid w:val="00EB5EDF"/>
    <w:rsid w:val="00EC0005"/>
    <w:rsid w:val="00EC5C90"/>
    <w:rsid w:val="00ED12BA"/>
    <w:rsid w:val="00F01247"/>
    <w:rsid w:val="00F04E82"/>
    <w:rsid w:val="00F05F4B"/>
    <w:rsid w:val="00F0695D"/>
    <w:rsid w:val="00F1304C"/>
    <w:rsid w:val="00F257E7"/>
    <w:rsid w:val="00F51C83"/>
    <w:rsid w:val="00F53D05"/>
    <w:rsid w:val="00F60053"/>
    <w:rsid w:val="00F71B8B"/>
    <w:rsid w:val="00F87A07"/>
    <w:rsid w:val="00FE7F4D"/>
    <w:rsid w:val="1285F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E9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527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31020"/>
    <w:rPr>
      <w:sz w:val="16"/>
      <w:szCs w:val="16"/>
    </w:rPr>
  </w:style>
  <w:style w:type="paragraph" w:styleId="CommentText">
    <w:name w:val="annotation text"/>
    <w:basedOn w:val="Normal"/>
    <w:link w:val="CommentTextChar"/>
    <w:uiPriority w:val="99"/>
    <w:semiHidden/>
    <w:unhideWhenUsed/>
    <w:rsid w:val="00331020"/>
    <w:pPr>
      <w:spacing w:line="240" w:lineRule="auto"/>
    </w:pPr>
    <w:rPr>
      <w:sz w:val="20"/>
      <w:szCs w:val="20"/>
    </w:rPr>
  </w:style>
  <w:style w:type="character" w:customStyle="1" w:styleId="CommentTextChar">
    <w:name w:val="Comment Text Char"/>
    <w:basedOn w:val="DefaultParagraphFont"/>
    <w:link w:val="CommentText"/>
    <w:uiPriority w:val="99"/>
    <w:semiHidden/>
    <w:rsid w:val="00331020"/>
    <w:rPr>
      <w:sz w:val="20"/>
      <w:szCs w:val="20"/>
    </w:rPr>
  </w:style>
  <w:style w:type="paragraph" w:styleId="CommentSubject">
    <w:name w:val="annotation subject"/>
    <w:basedOn w:val="CommentText"/>
    <w:next w:val="CommentText"/>
    <w:link w:val="CommentSubjectChar"/>
    <w:uiPriority w:val="99"/>
    <w:semiHidden/>
    <w:unhideWhenUsed/>
    <w:rsid w:val="00331020"/>
    <w:rPr>
      <w:b/>
      <w:bCs/>
    </w:rPr>
  </w:style>
  <w:style w:type="character" w:customStyle="1" w:styleId="CommentSubjectChar">
    <w:name w:val="Comment Subject Char"/>
    <w:basedOn w:val="CommentTextChar"/>
    <w:link w:val="CommentSubject"/>
    <w:uiPriority w:val="99"/>
    <w:semiHidden/>
    <w:rsid w:val="00331020"/>
    <w:rPr>
      <w:b/>
      <w:bCs/>
      <w:sz w:val="20"/>
      <w:szCs w:val="20"/>
    </w:rPr>
  </w:style>
  <w:style w:type="paragraph" w:styleId="BalloonText">
    <w:name w:val="Balloon Text"/>
    <w:basedOn w:val="Normal"/>
    <w:link w:val="BalloonTextChar"/>
    <w:uiPriority w:val="99"/>
    <w:semiHidden/>
    <w:unhideWhenUsed/>
    <w:rsid w:val="00331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020"/>
    <w:rPr>
      <w:rFonts w:ascii="Segoe UI" w:hAnsi="Segoe UI" w:cs="Segoe UI"/>
      <w:sz w:val="18"/>
      <w:szCs w:val="18"/>
    </w:rPr>
  </w:style>
  <w:style w:type="table" w:styleId="TableGrid">
    <w:name w:val="Table Grid"/>
    <w:basedOn w:val="TableNormal"/>
    <w:uiPriority w:val="39"/>
    <w:rsid w:val="007D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3973"/>
    <w:pPr>
      <w:spacing w:after="0" w:line="240" w:lineRule="auto"/>
    </w:pPr>
  </w:style>
  <w:style w:type="paragraph" w:styleId="ListParagraph">
    <w:name w:val="List Paragraph"/>
    <w:basedOn w:val="Normal"/>
    <w:uiPriority w:val="34"/>
    <w:qFormat/>
    <w:rsid w:val="00113973"/>
    <w:pPr>
      <w:ind w:left="720"/>
      <w:contextualSpacing/>
    </w:pPr>
  </w:style>
  <w:style w:type="paragraph" w:customStyle="1" w:styleId="notedraft">
    <w:name w:val="note(draft)"/>
    <w:aliases w:val="nd"/>
    <w:basedOn w:val="Normal"/>
    <w:rsid w:val="00E87544"/>
    <w:pPr>
      <w:spacing w:before="240" w:after="0" w:line="240" w:lineRule="auto"/>
      <w:ind w:left="284" w:hanging="284"/>
    </w:pPr>
    <w:rPr>
      <w:rFonts w:ascii="Times New Roman" w:eastAsia="Times New Roman" w:hAnsi="Times New Roman" w:cs="Times New Roman"/>
      <w:i/>
      <w:sz w:val="24"/>
      <w:szCs w:val="20"/>
      <w:lang w:eastAsia="en-AU"/>
    </w:rPr>
  </w:style>
  <w:style w:type="paragraph" w:styleId="Header">
    <w:name w:val="header"/>
    <w:basedOn w:val="Normal"/>
    <w:link w:val="HeaderChar"/>
    <w:uiPriority w:val="99"/>
    <w:unhideWhenUsed/>
    <w:rsid w:val="003E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4F"/>
  </w:style>
  <w:style w:type="paragraph" w:styleId="Footer">
    <w:name w:val="footer"/>
    <w:basedOn w:val="Normal"/>
    <w:link w:val="FooterChar"/>
    <w:uiPriority w:val="99"/>
    <w:unhideWhenUsed/>
    <w:rsid w:val="003E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3125">
      <w:bodyDiv w:val="1"/>
      <w:marLeft w:val="0"/>
      <w:marRight w:val="0"/>
      <w:marTop w:val="0"/>
      <w:marBottom w:val="0"/>
      <w:divBdr>
        <w:top w:val="none" w:sz="0" w:space="0" w:color="auto"/>
        <w:left w:val="none" w:sz="0" w:space="0" w:color="auto"/>
        <w:bottom w:val="none" w:sz="0" w:space="0" w:color="auto"/>
        <w:right w:val="none" w:sz="0" w:space="0" w:color="auto"/>
      </w:divBdr>
      <w:divsChild>
        <w:div w:id="1493721586">
          <w:marLeft w:val="0"/>
          <w:marRight w:val="0"/>
          <w:marTop w:val="0"/>
          <w:marBottom w:val="0"/>
          <w:divBdr>
            <w:top w:val="none" w:sz="0" w:space="0" w:color="auto"/>
            <w:left w:val="none" w:sz="0" w:space="0" w:color="auto"/>
            <w:bottom w:val="none" w:sz="0" w:space="0" w:color="auto"/>
            <w:right w:val="none" w:sz="0" w:space="0" w:color="auto"/>
          </w:divBdr>
          <w:divsChild>
            <w:div w:id="1475369142">
              <w:marLeft w:val="0"/>
              <w:marRight w:val="0"/>
              <w:marTop w:val="0"/>
              <w:marBottom w:val="0"/>
              <w:divBdr>
                <w:top w:val="none" w:sz="0" w:space="0" w:color="auto"/>
                <w:left w:val="none" w:sz="0" w:space="0" w:color="auto"/>
                <w:bottom w:val="none" w:sz="0" w:space="0" w:color="auto"/>
                <w:right w:val="none" w:sz="0" w:space="0" w:color="auto"/>
              </w:divBdr>
              <w:divsChild>
                <w:div w:id="2019237228">
                  <w:marLeft w:val="0"/>
                  <w:marRight w:val="0"/>
                  <w:marTop w:val="0"/>
                  <w:marBottom w:val="0"/>
                  <w:divBdr>
                    <w:top w:val="none" w:sz="0" w:space="0" w:color="auto"/>
                    <w:left w:val="none" w:sz="0" w:space="0" w:color="auto"/>
                    <w:bottom w:val="none" w:sz="0" w:space="0" w:color="auto"/>
                    <w:right w:val="none" w:sz="0" w:space="0" w:color="auto"/>
                  </w:divBdr>
                  <w:divsChild>
                    <w:div w:id="209223305">
                      <w:marLeft w:val="0"/>
                      <w:marRight w:val="0"/>
                      <w:marTop w:val="0"/>
                      <w:marBottom w:val="0"/>
                      <w:divBdr>
                        <w:top w:val="none" w:sz="0" w:space="0" w:color="auto"/>
                        <w:left w:val="none" w:sz="0" w:space="0" w:color="auto"/>
                        <w:bottom w:val="none" w:sz="0" w:space="0" w:color="auto"/>
                        <w:right w:val="none" w:sz="0" w:space="0" w:color="auto"/>
                      </w:divBdr>
                      <w:divsChild>
                        <w:div w:id="1714041656">
                          <w:marLeft w:val="0"/>
                          <w:marRight w:val="0"/>
                          <w:marTop w:val="0"/>
                          <w:marBottom w:val="0"/>
                          <w:divBdr>
                            <w:top w:val="none" w:sz="0" w:space="0" w:color="auto"/>
                            <w:left w:val="none" w:sz="0" w:space="0" w:color="auto"/>
                            <w:bottom w:val="none" w:sz="0" w:space="0" w:color="auto"/>
                            <w:right w:val="none" w:sz="0" w:space="0" w:color="auto"/>
                          </w:divBdr>
                          <w:divsChild>
                            <w:div w:id="1810319901">
                              <w:marLeft w:val="0"/>
                              <w:marRight w:val="0"/>
                              <w:marTop w:val="0"/>
                              <w:marBottom w:val="0"/>
                              <w:divBdr>
                                <w:top w:val="none" w:sz="0" w:space="0" w:color="auto"/>
                                <w:left w:val="none" w:sz="0" w:space="0" w:color="auto"/>
                                <w:bottom w:val="none" w:sz="0" w:space="0" w:color="auto"/>
                                <w:right w:val="none" w:sz="0" w:space="0" w:color="auto"/>
                              </w:divBdr>
                              <w:divsChild>
                                <w:div w:id="877859737">
                                  <w:marLeft w:val="0"/>
                                  <w:marRight w:val="0"/>
                                  <w:marTop w:val="0"/>
                                  <w:marBottom w:val="0"/>
                                  <w:divBdr>
                                    <w:top w:val="none" w:sz="0" w:space="0" w:color="auto"/>
                                    <w:left w:val="none" w:sz="0" w:space="0" w:color="auto"/>
                                    <w:bottom w:val="none" w:sz="0" w:space="0" w:color="auto"/>
                                    <w:right w:val="none" w:sz="0" w:space="0" w:color="auto"/>
                                  </w:divBdr>
                                  <w:divsChild>
                                    <w:div w:id="1229074113">
                                      <w:marLeft w:val="0"/>
                                      <w:marRight w:val="0"/>
                                      <w:marTop w:val="0"/>
                                      <w:marBottom w:val="0"/>
                                      <w:divBdr>
                                        <w:top w:val="none" w:sz="0" w:space="0" w:color="auto"/>
                                        <w:left w:val="none" w:sz="0" w:space="0" w:color="auto"/>
                                        <w:bottom w:val="none" w:sz="0" w:space="0" w:color="auto"/>
                                        <w:right w:val="none" w:sz="0" w:space="0" w:color="auto"/>
                                      </w:divBdr>
                                      <w:divsChild>
                                        <w:div w:id="467473798">
                                          <w:marLeft w:val="0"/>
                                          <w:marRight w:val="0"/>
                                          <w:marTop w:val="0"/>
                                          <w:marBottom w:val="0"/>
                                          <w:divBdr>
                                            <w:top w:val="none" w:sz="0" w:space="0" w:color="auto"/>
                                            <w:left w:val="none" w:sz="0" w:space="0" w:color="auto"/>
                                            <w:bottom w:val="none" w:sz="0" w:space="0" w:color="auto"/>
                                            <w:right w:val="none" w:sz="0" w:space="0" w:color="auto"/>
                                          </w:divBdr>
                                          <w:divsChild>
                                            <w:div w:id="1340157776">
                                              <w:marLeft w:val="0"/>
                                              <w:marRight w:val="0"/>
                                              <w:marTop w:val="0"/>
                                              <w:marBottom w:val="0"/>
                                              <w:divBdr>
                                                <w:top w:val="none" w:sz="0" w:space="0" w:color="auto"/>
                                                <w:left w:val="none" w:sz="0" w:space="0" w:color="auto"/>
                                                <w:bottom w:val="none" w:sz="0" w:space="0" w:color="auto"/>
                                                <w:right w:val="none" w:sz="0" w:space="0" w:color="auto"/>
                                              </w:divBdr>
                                              <w:divsChild>
                                                <w:div w:id="1798136310">
                                                  <w:marLeft w:val="0"/>
                                                  <w:marRight w:val="0"/>
                                                  <w:marTop w:val="0"/>
                                                  <w:marBottom w:val="0"/>
                                                  <w:divBdr>
                                                    <w:top w:val="none" w:sz="0" w:space="0" w:color="auto"/>
                                                    <w:left w:val="none" w:sz="0" w:space="0" w:color="auto"/>
                                                    <w:bottom w:val="none" w:sz="0" w:space="0" w:color="auto"/>
                                                    <w:right w:val="none" w:sz="0" w:space="0" w:color="auto"/>
                                                  </w:divBdr>
                                                  <w:divsChild>
                                                    <w:div w:id="17502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15646">
      <w:bodyDiv w:val="1"/>
      <w:marLeft w:val="0"/>
      <w:marRight w:val="0"/>
      <w:marTop w:val="0"/>
      <w:marBottom w:val="0"/>
      <w:divBdr>
        <w:top w:val="none" w:sz="0" w:space="0" w:color="auto"/>
        <w:left w:val="none" w:sz="0" w:space="0" w:color="auto"/>
        <w:bottom w:val="none" w:sz="0" w:space="0" w:color="auto"/>
        <w:right w:val="none" w:sz="0" w:space="0" w:color="auto"/>
      </w:divBdr>
    </w:div>
    <w:div w:id="1208489656">
      <w:bodyDiv w:val="1"/>
      <w:marLeft w:val="0"/>
      <w:marRight w:val="0"/>
      <w:marTop w:val="0"/>
      <w:marBottom w:val="0"/>
      <w:divBdr>
        <w:top w:val="none" w:sz="0" w:space="0" w:color="auto"/>
        <w:left w:val="none" w:sz="0" w:space="0" w:color="auto"/>
        <w:bottom w:val="none" w:sz="0" w:space="0" w:color="auto"/>
        <w:right w:val="none" w:sz="0" w:space="0" w:color="auto"/>
      </w:divBdr>
      <w:divsChild>
        <w:div w:id="1369603983">
          <w:marLeft w:val="0"/>
          <w:marRight w:val="0"/>
          <w:marTop w:val="0"/>
          <w:marBottom w:val="0"/>
          <w:divBdr>
            <w:top w:val="none" w:sz="0" w:space="0" w:color="auto"/>
            <w:left w:val="none" w:sz="0" w:space="0" w:color="auto"/>
            <w:bottom w:val="none" w:sz="0" w:space="0" w:color="auto"/>
            <w:right w:val="none" w:sz="0" w:space="0" w:color="auto"/>
          </w:divBdr>
          <w:divsChild>
            <w:div w:id="240020313">
              <w:marLeft w:val="0"/>
              <w:marRight w:val="0"/>
              <w:marTop w:val="0"/>
              <w:marBottom w:val="0"/>
              <w:divBdr>
                <w:top w:val="none" w:sz="0" w:space="0" w:color="auto"/>
                <w:left w:val="none" w:sz="0" w:space="0" w:color="auto"/>
                <w:bottom w:val="none" w:sz="0" w:space="0" w:color="auto"/>
                <w:right w:val="none" w:sz="0" w:space="0" w:color="auto"/>
              </w:divBdr>
              <w:divsChild>
                <w:div w:id="707873484">
                  <w:marLeft w:val="0"/>
                  <w:marRight w:val="0"/>
                  <w:marTop w:val="0"/>
                  <w:marBottom w:val="0"/>
                  <w:divBdr>
                    <w:top w:val="none" w:sz="0" w:space="0" w:color="auto"/>
                    <w:left w:val="none" w:sz="0" w:space="0" w:color="auto"/>
                    <w:bottom w:val="none" w:sz="0" w:space="0" w:color="auto"/>
                    <w:right w:val="none" w:sz="0" w:space="0" w:color="auto"/>
                  </w:divBdr>
                  <w:divsChild>
                    <w:div w:id="1235621861">
                      <w:marLeft w:val="0"/>
                      <w:marRight w:val="0"/>
                      <w:marTop w:val="0"/>
                      <w:marBottom w:val="0"/>
                      <w:divBdr>
                        <w:top w:val="none" w:sz="0" w:space="0" w:color="auto"/>
                        <w:left w:val="none" w:sz="0" w:space="0" w:color="auto"/>
                        <w:bottom w:val="none" w:sz="0" w:space="0" w:color="auto"/>
                        <w:right w:val="none" w:sz="0" w:space="0" w:color="auto"/>
                      </w:divBdr>
                      <w:divsChild>
                        <w:div w:id="1206527157">
                          <w:marLeft w:val="0"/>
                          <w:marRight w:val="0"/>
                          <w:marTop w:val="0"/>
                          <w:marBottom w:val="0"/>
                          <w:divBdr>
                            <w:top w:val="none" w:sz="0" w:space="0" w:color="auto"/>
                            <w:left w:val="none" w:sz="0" w:space="0" w:color="auto"/>
                            <w:bottom w:val="none" w:sz="0" w:space="0" w:color="auto"/>
                            <w:right w:val="none" w:sz="0" w:space="0" w:color="auto"/>
                          </w:divBdr>
                          <w:divsChild>
                            <w:div w:id="1312369262">
                              <w:marLeft w:val="0"/>
                              <w:marRight w:val="0"/>
                              <w:marTop w:val="0"/>
                              <w:marBottom w:val="0"/>
                              <w:divBdr>
                                <w:top w:val="none" w:sz="0" w:space="0" w:color="auto"/>
                                <w:left w:val="none" w:sz="0" w:space="0" w:color="auto"/>
                                <w:bottom w:val="none" w:sz="0" w:space="0" w:color="auto"/>
                                <w:right w:val="none" w:sz="0" w:space="0" w:color="auto"/>
                              </w:divBdr>
                              <w:divsChild>
                                <w:div w:id="1464691064">
                                  <w:marLeft w:val="0"/>
                                  <w:marRight w:val="0"/>
                                  <w:marTop w:val="0"/>
                                  <w:marBottom w:val="0"/>
                                  <w:divBdr>
                                    <w:top w:val="none" w:sz="0" w:space="0" w:color="auto"/>
                                    <w:left w:val="none" w:sz="0" w:space="0" w:color="auto"/>
                                    <w:bottom w:val="none" w:sz="0" w:space="0" w:color="auto"/>
                                    <w:right w:val="none" w:sz="0" w:space="0" w:color="auto"/>
                                  </w:divBdr>
                                  <w:divsChild>
                                    <w:div w:id="653030087">
                                      <w:marLeft w:val="0"/>
                                      <w:marRight w:val="0"/>
                                      <w:marTop w:val="0"/>
                                      <w:marBottom w:val="0"/>
                                      <w:divBdr>
                                        <w:top w:val="none" w:sz="0" w:space="0" w:color="auto"/>
                                        <w:left w:val="none" w:sz="0" w:space="0" w:color="auto"/>
                                        <w:bottom w:val="none" w:sz="0" w:space="0" w:color="auto"/>
                                        <w:right w:val="none" w:sz="0" w:space="0" w:color="auto"/>
                                      </w:divBdr>
                                      <w:divsChild>
                                        <w:div w:id="145899712">
                                          <w:marLeft w:val="0"/>
                                          <w:marRight w:val="0"/>
                                          <w:marTop w:val="0"/>
                                          <w:marBottom w:val="0"/>
                                          <w:divBdr>
                                            <w:top w:val="none" w:sz="0" w:space="0" w:color="auto"/>
                                            <w:left w:val="none" w:sz="0" w:space="0" w:color="auto"/>
                                            <w:bottom w:val="none" w:sz="0" w:space="0" w:color="auto"/>
                                            <w:right w:val="none" w:sz="0" w:space="0" w:color="auto"/>
                                          </w:divBdr>
                                          <w:divsChild>
                                            <w:div w:id="1208835782">
                                              <w:marLeft w:val="0"/>
                                              <w:marRight w:val="0"/>
                                              <w:marTop w:val="0"/>
                                              <w:marBottom w:val="0"/>
                                              <w:divBdr>
                                                <w:top w:val="none" w:sz="0" w:space="0" w:color="auto"/>
                                                <w:left w:val="none" w:sz="0" w:space="0" w:color="auto"/>
                                                <w:bottom w:val="none" w:sz="0" w:space="0" w:color="auto"/>
                                                <w:right w:val="none" w:sz="0" w:space="0" w:color="auto"/>
                                              </w:divBdr>
                                              <w:divsChild>
                                                <w:div w:id="1973439078">
                                                  <w:marLeft w:val="0"/>
                                                  <w:marRight w:val="0"/>
                                                  <w:marTop w:val="0"/>
                                                  <w:marBottom w:val="0"/>
                                                  <w:divBdr>
                                                    <w:top w:val="none" w:sz="0" w:space="0" w:color="auto"/>
                                                    <w:left w:val="none" w:sz="0" w:space="0" w:color="auto"/>
                                                    <w:bottom w:val="none" w:sz="0" w:space="0" w:color="auto"/>
                                                    <w:right w:val="none" w:sz="0" w:space="0" w:color="auto"/>
                                                  </w:divBdr>
                                                  <w:divsChild>
                                                    <w:div w:id="829953125">
                                                      <w:marLeft w:val="0"/>
                                                      <w:marRight w:val="0"/>
                                                      <w:marTop w:val="0"/>
                                                      <w:marBottom w:val="0"/>
                                                      <w:divBdr>
                                                        <w:top w:val="none" w:sz="0" w:space="0" w:color="auto"/>
                                                        <w:left w:val="none" w:sz="0" w:space="0" w:color="auto"/>
                                                        <w:bottom w:val="none" w:sz="0" w:space="0" w:color="auto"/>
                                                        <w:right w:val="none" w:sz="0" w:space="0" w:color="auto"/>
                                                      </w:divBdr>
                                                      <w:divsChild>
                                                        <w:div w:id="20297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16047">
      <w:bodyDiv w:val="1"/>
      <w:marLeft w:val="0"/>
      <w:marRight w:val="0"/>
      <w:marTop w:val="0"/>
      <w:marBottom w:val="0"/>
      <w:divBdr>
        <w:top w:val="none" w:sz="0" w:space="0" w:color="auto"/>
        <w:left w:val="none" w:sz="0" w:space="0" w:color="auto"/>
        <w:bottom w:val="none" w:sz="0" w:space="0" w:color="auto"/>
        <w:right w:val="none" w:sz="0" w:space="0" w:color="auto"/>
      </w:divBdr>
    </w:div>
    <w:div w:id="1443258471">
      <w:bodyDiv w:val="1"/>
      <w:marLeft w:val="0"/>
      <w:marRight w:val="0"/>
      <w:marTop w:val="0"/>
      <w:marBottom w:val="0"/>
      <w:divBdr>
        <w:top w:val="none" w:sz="0" w:space="0" w:color="auto"/>
        <w:left w:val="none" w:sz="0" w:space="0" w:color="auto"/>
        <w:bottom w:val="none" w:sz="0" w:space="0" w:color="auto"/>
        <w:right w:val="none" w:sz="0" w:space="0" w:color="auto"/>
      </w:divBdr>
      <w:divsChild>
        <w:div w:id="610552953">
          <w:marLeft w:val="0"/>
          <w:marRight w:val="0"/>
          <w:marTop w:val="0"/>
          <w:marBottom w:val="0"/>
          <w:divBdr>
            <w:top w:val="none" w:sz="0" w:space="0" w:color="auto"/>
            <w:left w:val="none" w:sz="0" w:space="0" w:color="auto"/>
            <w:bottom w:val="none" w:sz="0" w:space="0" w:color="auto"/>
            <w:right w:val="none" w:sz="0" w:space="0" w:color="auto"/>
          </w:divBdr>
          <w:divsChild>
            <w:div w:id="1673221807">
              <w:marLeft w:val="0"/>
              <w:marRight w:val="0"/>
              <w:marTop w:val="0"/>
              <w:marBottom w:val="0"/>
              <w:divBdr>
                <w:top w:val="none" w:sz="0" w:space="0" w:color="auto"/>
                <w:left w:val="none" w:sz="0" w:space="0" w:color="auto"/>
                <w:bottom w:val="none" w:sz="0" w:space="0" w:color="auto"/>
                <w:right w:val="none" w:sz="0" w:space="0" w:color="auto"/>
              </w:divBdr>
              <w:divsChild>
                <w:div w:id="1542815225">
                  <w:marLeft w:val="0"/>
                  <w:marRight w:val="0"/>
                  <w:marTop w:val="0"/>
                  <w:marBottom w:val="0"/>
                  <w:divBdr>
                    <w:top w:val="none" w:sz="0" w:space="0" w:color="auto"/>
                    <w:left w:val="none" w:sz="0" w:space="0" w:color="auto"/>
                    <w:bottom w:val="none" w:sz="0" w:space="0" w:color="auto"/>
                    <w:right w:val="none" w:sz="0" w:space="0" w:color="auto"/>
                  </w:divBdr>
                  <w:divsChild>
                    <w:div w:id="1335912918">
                      <w:marLeft w:val="0"/>
                      <w:marRight w:val="0"/>
                      <w:marTop w:val="0"/>
                      <w:marBottom w:val="0"/>
                      <w:divBdr>
                        <w:top w:val="none" w:sz="0" w:space="0" w:color="auto"/>
                        <w:left w:val="none" w:sz="0" w:space="0" w:color="auto"/>
                        <w:bottom w:val="none" w:sz="0" w:space="0" w:color="auto"/>
                        <w:right w:val="none" w:sz="0" w:space="0" w:color="auto"/>
                      </w:divBdr>
                      <w:divsChild>
                        <w:div w:id="654333126">
                          <w:marLeft w:val="0"/>
                          <w:marRight w:val="0"/>
                          <w:marTop w:val="0"/>
                          <w:marBottom w:val="0"/>
                          <w:divBdr>
                            <w:top w:val="none" w:sz="0" w:space="0" w:color="auto"/>
                            <w:left w:val="none" w:sz="0" w:space="0" w:color="auto"/>
                            <w:bottom w:val="none" w:sz="0" w:space="0" w:color="auto"/>
                            <w:right w:val="none" w:sz="0" w:space="0" w:color="auto"/>
                          </w:divBdr>
                          <w:divsChild>
                            <w:div w:id="360741731">
                              <w:marLeft w:val="0"/>
                              <w:marRight w:val="0"/>
                              <w:marTop w:val="0"/>
                              <w:marBottom w:val="0"/>
                              <w:divBdr>
                                <w:top w:val="none" w:sz="0" w:space="0" w:color="auto"/>
                                <w:left w:val="none" w:sz="0" w:space="0" w:color="auto"/>
                                <w:bottom w:val="none" w:sz="0" w:space="0" w:color="auto"/>
                                <w:right w:val="none" w:sz="0" w:space="0" w:color="auto"/>
                              </w:divBdr>
                              <w:divsChild>
                                <w:div w:id="1951740211">
                                  <w:marLeft w:val="0"/>
                                  <w:marRight w:val="0"/>
                                  <w:marTop w:val="0"/>
                                  <w:marBottom w:val="0"/>
                                  <w:divBdr>
                                    <w:top w:val="none" w:sz="0" w:space="0" w:color="auto"/>
                                    <w:left w:val="none" w:sz="0" w:space="0" w:color="auto"/>
                                    <w:bottom w:val="none" w:sz="0" w:space="0" w:color="auto"/>
                                    <w:right w:val="none" w:sz="0" w:space="0" w:color="auto"/>
                                  </w:divBdr>
                                  <w:divsChild>
                                    <w:div w:id="496846212">
                                      <w:marLeft w:val="0"/>
                                      <w:marRight w:val="0"/>
                                      <w:marTop w:val="0"/>
                                      <w:marBottom w:val="0"/>
                                      <w:divBdr>
                                        <w:top w:val="none" w:sz="0" w:space="0" w:color="auto"/>
                                        <w:left w:val="none" w:sz="0" w:space="0" w:color="auto"/>
                                        <w:bottom w:val="none" w:sz="0" w:space="0" w:color="auto"/>
                                        <w:right w:val="none" w:sz="0" w:space="0" w:color="auto"/>
                                      </w:divBdr>
                                      <w:divsChild>
                                        <w:div w:id="898829874">
                                          <w:marLeft w:val="0"/>
                                          <w:marRight w:val="0"/>
                                          <w:marTop w:val="0"/>
                                          <w:marBottom w:val="0"/>
                                          <w:divBdr>
                                            <w:top w:val="none" w:sz="0" w:space="0" w:color="auto"/>
                                            <w:left w:val="none" w:sz="0" w:space="0" w:color="auto"/>
                                            <w:bottom w:val="none" w:sz="0" w:space="0" w:color="auto"/>
                                            <w:right w:val="none" w:sz="0" w:space="0" w:color="auto"/>
                                          </w:divBdr>
                                          <w:divsChild>
                                            <w:div w:id="2047749425">
                                              <w:marLeft w:val="0"/>
                                              <w:marRight w:val="0"/>
                                              <w:marTop w:val="0"/>
                                              <w:marBottom w:val="0"/>
                                              <w:divBdr>
                                                <w:top w:val="none" w:sz="0" w:space="0" w:color="auto"/>
                                                <w:left w:val="none" w:sz="0" w:space="0" w:color="auto"/>
                                                <w:bottom w:val="none" w:sz="0" w:space="0" w:color="auto"/>
                                                <w:right w:val="none" w:sz="0" w:space="0" w:color="auto"/>
                                              </w:divBdr>
                                              <w:divsChild>
                                                <w:div w:id="988948533">
                                                  <w:marLeft w:val="0"/>
                                                  <w:marRight w:val="0"/>
                                                  <w:marTop w:val="0"/>
                                                  <w:marBottom w:val="0"/>
                                                  <w:divBdr>
                                                    <w:top w:val="none" w:sz="0" w:space="0" w:color="auto"/>
                                                    <w:left w:val="none" w:sz="0" w:space="0" w:color="auto"/>
                                                    <w:bottom w:val="none" w:sz="0" w:space="0" w:color="auto"/>
                                                    <w:right w:val="none" w:sz="0" w:space="0" w:color="auto"/>
                                                  </w:divBdr>
                                                  <w:divsChild>
                                                    <w:div w:id="1505390968">
                                                      <w:marLeft w:val="0"/>
                                                      <w:marRight w:val="0"/>
                                                      <w:marTop w:val="0"/>
                                                      <w:marBottom w:val="0"/>
                                                      <w:divBdr>
                                                        <w:top w:val="none" w:sz="0" w:space="0" w:color="auto"/>
                                                        <w:left w:val="none" w:sz="0" w:space="0" w:color="auto"/>
                                                        <w:bottom w:val="none" w:sz="0" w:space="0" w:color="auto"/>
                                                        <w:right w:val="none" w:sz="0" w:space="0" w:color="auto"/>
                                                      </w:divBdr>
                                                      <w:divsChild>
                                                        <w:div w:id="8553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71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9" ma:contentTypeDescription="Create a new document." ma:contentTypeScope="" ma:versionID="668b3f2af8a9d7713dced53ae191a8d5">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02efec4097b898c968cfe22906bb507b"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723</Value>
      <Value>151</Value>
      <Value>3</Value>
      <Value>513</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64628879-cb16-4650-8031-de1b8c98cea4">
      <Terms xmlns="http://schemas.microsoft.com/office/infopath/2007/PartnerControls"/>
    </adb9bed2e36e4a93af574aeb444da63e>
    <_dlc_DocId xmlns="64628879-cb16-4650-8031-de1b8c98cea4">SEF43VY7DDAF-832118599-180</_dlc_DocId>
    <_dlc_DocIdUrl xmlns="64628879-cb16-4650-8031-de1b8c98cea4">
      <Url>https://dochub/div/corporate/businessfunctions/legalservices/legislation/legislativeinstruments/_layouts/15/DocIdRedir.aspx?ID=SEF43VY7DDAF-832118599-180</Url>
      <Description>SEF43VY7DDAF-832118599-180</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Props1.xml><?xml version="1.0" encoding="utf-8"?>
<ds:datastoreItem xmlns:ds="http://schemas.openxmlformats.org/officeDocument/2006/customXml" ds:itemID="{AE2E093E-A92B-48C5-987F-8800139D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4.xml><?xml version="1.0" encoding="utf-8"?>
<ds:datastoreItem xmlns:ds="http://schemas.openxmlformats.org/officeDocument/2006/customXml" ds:itemID="{50B8F6E8-8D31-46B9-91F7-B436202A5717}">
  <ds:schemaRefs>
    <ds:schemaRef ds:uri="http://schemas.microsoft.com/sharepoint/v3"/>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4628879-cb16-4650-8031-de1b8c98ce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Robinson, Lisa</cp:lastModifiedBy>
  <cp:revision>2</cp:revision>
  <cp:lastPrinted>2018-05-25T06:02:00Z</cp:lastPrinted>
  <dcterms:created xsi:type="dcterms:W3CDTF">2018-08-27T00:18:00Z</dcterms:created>
  <dcterms:modified xsi:type="dcterms:W3CDTF">2018-08-27T00:18:00Z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723;#2018|224abc7b-6f7e-4064-b773-6750976429b5</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
  </property>
  <property fmtid="{D5CDD505-2E9C-101B-9397-08002B2CF9AE}" pid="8" name="DocHub_DocumentType">
    <vt:lpwstr>151;#Paper|4fd73e9f-ceb6-4d3f-8d1d-e6ca9b922532</vt:lpwstr>
  </property>
  <property fmtid="{D5CDD505-2E9C-101B-9397-08002B2CF9AE}" pid="9" name="DocHub_SecurityClassification">
    <vt:lpwstr>3;#UNCLASSIFIED|6106d03b-a1a0-4e30-9d91-d5e9fb4314f9</vt:lpwstr>
  </property>
  <property fmtid="{D5CDD505-2E9C-101B-9397-08002B2CF9AE}" pid="10" name="_dlc_DocIdItemGuid">
    <vt:lpwstr>2afd9d44-1d0c-4dfc-b447-66a7d4a7582e</vt:lpwstr>
  </property>
  <property fmtid="{D5CDD505-2E9C-101B-9397-08002B2CF9AE}" pid="11" name="DocHub_GroupsOtherEntities">
    <vt:lpwstr/>
  </property>
  <property fmtid="{D5CDD505-2E9C-101B-9397-08002B2CF9AE}" pid="12" name="DocHub_GovernmentEntities">
    <vt:lpwstr/>
  </property>
  <property fmtid="{D5CDD505-2E9C-101B-9397-08002B2CF9AE}" pid="13" name="DocHub_OrganisationEntities">
    <vt:lpwstr/>
  </property>
  <property fmtid="{D5CDD505-2E9C-101B-9397-08002B2CF9AE}" pid="14" name="DocHub_WorkTopic">
    <vt:lpwstr>398;#Regulatory Amendments|3608f5a8-caf1-4b36-838b-389f9030a449</vt:lpwstr>
  </property>
  <property fmtid="{D5CDD505-2E9C-101B-9397-08002B2CF9AE}" pid="15" name="DocHub_EnergyMineralResources">
    <vt:lpwstr/>
  </property>
  <property fmtid="{D5CDD505-2E9C-101B-9397-08002B2CF9AE}" pid="16" name="DocHub_State">
    <vt:lpwstr/>
  </property>
  <property fmtid="{D5CDD505-2E9C-101B-9397-08002B2CF9AE}" pid="17" name="DocHub_LegalClient">
    <vt:lpwstr/>
  </property>
</Properties>
</file>