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79512" w14:textId="77777777" w:rsidR="00634FF0" w:rsidRDefault="005E67E9" w:rsidP="00744E6B">
      <w:pPr>
        <w:pStyle w:val="Head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Banking exemption </w:t>
      </w:r>
      <w:r w:rsidR="00F86DAE">
        <w:rPr>
          <w:rFonts w:ascii="Times New Roman" w:hAnsi="Times New Roman" w:cs="Times New Roman"/>
          <w:sz w:val="24"/>
          <w:szCs w:val="24"/>
        </w:rPr>
        <w:t>No</w:t>
      </w:r>
      <w:r w:rsidR="00B92BA9">
        <w:rPr>
          <w:rFonts w:ascii="Times New Roman" w:hAnsi="Times New Roman" w:cs="Times New Roman"/>
          <w:sz w:val="24"/>
          <w:szCs w:val="24"/>
        </w:rPr>
        <w:t>.</w:t>
      </w:r>
      <w:r w:rsidR="00F86DAE">
        <w:rPr>
          <w:rFonts w:ascii="Times New Roman" w:hAnsi="Times New Roman" w:cs="Times New Roman"/>
          <w:sz w:val="24"/>
          <w:szCs w:val="24"/>
        </w:rPr>
        <w:t xml:space="preserve"> </w:t>
      </w:r>
      <w:r w:rsidR="00FF353A">
        <w:rPr>
          <w:rFonts w:ascii="Times New Roman" w:hAnsi="Times New Roman" w:cs="Times New Roman"/>
          <w:sz w:val="24"/>
          <w:szCs w:val="24"/>
        </w:rPr>
        <w:t>2</w:t>
      </w:r>
      <w:r w:rsidR="00F86DAE">
        <w:rPr>
          <w:rFonts w:ascii="Times New Roman" w:hAnsi="Times New Roman" w:cs="Times New Roman"/>
          <w:sz w:val="24"/>
          <w:szCs w:val="24"/>
        </w:rPr>
        <w:t xml:space="preserve"> of 20</w:t>
      </w:r>
      <w:r w:rsidR="00B331AE">
        <w:rPr>
          <w:rFonts w:ascii="Times New Roman" w:hAnsi="Times New Roman" w:cs="Times New Roman"/>
          <w:sz w:val="24"/>
          <w:szCs w:val="24"/>
        </w:rPr>
        <w:t>1</w:t>
      </w:r>
      <w:r w:rsidR="00FF353A">
        <w:rPr>
          <w:rFonts w:ascii="Times New Roman" w:hAnsi="Times New Roman" w:cs="Times New Roman"/>
          <w:sz w:val="24"/>
          <w:szCs w:val="24"/>
        </w:rPr>
        <w:t>8</w:t>
      </w:r>
    </w:p>
    <w:p w14:paraId="12AEBAB8" w14:textId="77777777" w:rsidR="005941E1" w:rsidRPr="008B7528" w:rsidRDefault="005941E1" w:rsidP="00D12FBD">
      <w:pPr>
        <w:pStyle w:val="Heading"/>
        <w:jc w:val="center"/>
        <w:rPr>
          <w:rFonts w:ascii="Times New Roman" w:hAnsi="Times New Roman" w:cs="Times New Roman"/>
          <w:sz w:val="24"/>
          <w:szCs w:val="24"/>
          <w:u w:val="single"/>
        </w:rPr>
      </w:pPr>
      <w:bookmarkStart w:id="1" w:name="bkInstrumentSubTitle"/>
      <w:bookmarkStart w:id="2" w:name="bkStart"/>
      <w:bookmarkEnd w:id="1"/>
      <w:bookmarkEnd w:id="2"/>
      <w:r w:rsidRPr="008B7528">
        <w:rPr>
          <w:rFonts w:ascii="Times New Roman" w:hAnsi="Times New Roman" w:cs="Times New Roman"/>
          <w:sz w:val="24"/>
          <w:szCs w:val="24"/>
          <w:u w:val="single"/>
        </w:rPr>
        <w:t>EXPLANATORY STATEMENT</w:t>
      </w:r>
    </w:p>
    <w:p w14:paraId="543DDCE4" w14:textId="77777777" w:rsidR="00102F9E" w:rsidRDefault="005941E1" w:rsidP="005941E1">
      <w:pPr>
        <w:pStyle w:val="Heading"/>
        <w:jc w:val="center"/>
        <w:rPr>
          <w:rFonts w:ascii="Times New Roman" w:hAnsi="Times New Roman" w:cs="Times New Roman"/>
          <w:sz w:val="24"/>
          <w:szCs w:val="24"/>
        </w:rPr>
      </w:pPr>
      <w:r>
        <w:rPr>
          <w:rFonts w:ascii="Times New Roman" w:hAnsi="Times New Roman" w:cs="Times New Roman"/>
          <w:sz w:val="24"/>
          <w:szCs w:val="24"/>
        </w:rPr>
        <w:t>Prepared by the Australian Prudential Regulation Authority</w:t>
      </w:r>
      <w:r w:rsidR="00102F9E">
        <w:rPr>
          <w:rFonts w:ascii="Times New Roman" w:hAnsi="Times New Roman" w:cs="Times New Roman"/>
          <w:sz w:val="24"/>
          <w:szCs w:val="24"/>
        </w:rPr>
        <w:t xml:space="preserve"> </w:t>
      </w:r>
      <w:r w:rsidR="005E67E9">
        <w:rPr>
          <w:rFonts w:ascii="Times New Roman" w:hAnsi="Times New Roman" w:cs="Times New Roman"/>
          <w:sz w:val="24"/>
          <w:szCs w:val="24"/>
        </w:rPr>
        <w:t>(APRA)</w:t>
      </w:r>
    </w:p>
    <w:p w14:paraId="644FEB92" w14:textId="77777777" w:rsidR="005E67E9" w:rsidRPr="005E67E9" w:rsidRDefault="005E67E9" w:rsidP="00D12FBD">
      <w:pPr>
        <w:pStyle w:val="Heading"/>
        <w:jc w:val="center"/>
        <w:rPr>
          <w:rFonts w:ascii="Times New Roman" w:hAnsi="Times New Roman" w:cs="Times New Roman"/>
          <w:b w:val="0"/>
          <w:color w:val="000000"/>
          <w:sz w:val="24"/>
          <w:szCs w:val="24"/>
        </w:rPr>
      </w:pPr>
      <w:r w:rsidRPr="005E67E9">
        <w:rPr>
          <w:rFonts w:ascii="Times New Roman" w:hAnsi="Times New Roman" w:cs="Times New Roman"/>
          <w:b w:val="0"/>
          <w:i/>
          <w:color w:val="000000"/>
          <w:sz w:val="24"/>
          <w:szCs w:val="24"/>
        </w:rPr>
        <w:t>Banking Act 1959</w:t>
      </w:r>
      <w:r>
        <w:rPr>
          <w:rFonts w:ascii="Times New Roman" w:hAnsi="Times New Roman" w:cs="Times New Roman"/>
          <w:color w:val="000000"/>
          <w:sz w:val="24"/>
          <w:szCs w:val="24"/>
        </w:rPr>
        <w:t>,</w:t>
      </w:r>
      <w:r w:rsidRPr="005E67E9">
        <w:rPr>
          <w:rFonts w:ascii="Times New Roman" w:hAnsi="Times New Roman" w:cs="Times New Roman"/>
          <w:b w:val="0"/>
          <w:i/>
          <w:color w:val="000000"/>
          <w:sz w:val="24"/>
          <w:szCs w:val="24"/>
        </w:rPr>
        <w:t xml:space="preserve"> </w:t>
      </w:r>
      <w:r w:rsidRPr="005E67E9">
        <w:rPr>
          <w:rFonts w:ascii="Times New Roman" w:hAnsi="Times New Roman" w:cs="Times New Roman"/>
          <w:b w:val="0"/>
          <w:color w:val="000000"/>
          <w:sz w:val="24"/>
          <w:szCs w:val="24"/>
        </w:rPr>
        <w:t>subsection 11(</w:t>
      </w:r>
      <w:r w:rsidR="0045045E">
        <w:rPr>
          <w:rFonts w:ascii="Times New Roman" w:hAnsi="Times New Roman" w:cs="Times New Roman"/>
          <w:b w:val="0"/>
          <w:color w:val="000000"/>
          <w:sz w:val="24"/>
          <w:szCs w:val="24"/>
        </w:rPr>
        <w:t>1</w:t>
      </w:r>
      <w:r w:rsidRPr="005E67E9">
        <w:rPr>
          <w:rFonts w:ascii="Times New Roman" w:hAnsi="Times New Roman" w:cs="Times New Roman"/>
          <w:b w:val="0"/>
          <w:color w:val="000000"/>
          <w:sz w:val="24"/>
          <w:szCs w:val="24"/>
        </w:rPr>
        <w:t>)</w:t>
      </w:r>
    </w:p>
    <w:p w14:paraId="690D2A96" w14:textId="77777777" w:rsidR="00122F4C" w:rsidRDefault="005E67E9" w:rsidP="001C001C">
      <w:pPr>
        <w:pStyle w:val="Heading"/>
        <w:jc w:val="both"/>
        <w:rPr>
          <w:rFonts w:ascii="Times New Roman" w:hAnsi="Times New Roman" w:cs="Times New Roman"/>
          <w:b w:val="0"/>
          <w:color w:val="000000"/>
          <w:sz w:val="24"/>
          <w:szCs w:val="24"/>
        </w:rPr>
      </w:pPr>
      <w:bookmarkStart w:id="3" w:name="bkAct"/>
      <w:bookmarkStart w:id="4" w:name="bkExplanatory"/>
      <w:bookmarkEnd w:id="3"/>
      <w:bookmarkEnd w:id="4"/>
      <w:r w:rsidRPr="00BC7834">
        <w:rPr>
          <w:rFonts w:ascii="Times New Roman" w:hAnsi="Times New Roman" w:cs="Times New Roman"/>
          <w:b w:val="0"/>
          <w:sz w:val="24"/>
          <w:szCs w:val="24"/>
        </w:rPr>
        <w:t xml:space="preserve">Under subsection 11(1) of the </w:t>
      </w:r>
      <w:r w:rsidRPr="00BC7834">
        <w:rPr>
          <w:rFonts w:ascii="Times New Roman" w:hAnsi="Times New Roman" w:cs="Times New Roman"/>
          <w:b w:val="0"/>
          <w:i/>
          <w:color w:val="000000"/>
          <w:sz w:val="24"/>
          <w:szCs w:val="24"/>
        </w:rPr>
        <w:t xml:space="preserve">Banking Act 1959 </w:t>
      </w:r>
      <w:r w:rsidRPr="00BC7834">
        <w:rPr>
          <w:rFonts w:ascii="Times New Roman" w:hAnsi="Times New Roman" w:cs="Times New Roman"/>
          <w:b w:val="0"/>
          <w:color w:val="000000"/>
          <w:sz w:val="24"/>
          <w:szCs w:val="24"/>
        </w:rPr>
        <w:t>(</w:t>
      </w:r>
      <w:r w:rsidR="008B2323">
        <w:rPr>
          <w:rFonts w:ascii="Times New Roman" w:hAnsi="Times New Roman" w:cs="Times New Roman"/>
          <w:color w:val="000000"/>
          <w:sz w:val="24"/>
          <w:szCs w:val="24"/>
        </w:rPr>
        <w:t xml:space="preserve">Banking </w:t>
      </w:r>
      <w:r w:rsidRPr="00BC7834">
        <w:rPr>
          <w:rFonts w:ascii="Times New Roman" w:hAnsi="Times New Roman" w:cs="Times New Roman"/>
          <w:color w:val="000000"/>
          <w:sz w:val="24"/>
          <w:szCs w:val="24"/>
        </w:rPr>
        <w:t>Act</w:t>
      </w:r>
      <w:r w:rsidRPr="00BC7834">
        <w:rPr>
          <w:rFonts w:ascii="Times New Roman" w:hAnsi="Times New Roman" w:cs="Times New Roman"/>
          <w:b w:val="0"/>
          <w:color w:val="000000"/>
          <w:sz w:val="24"/>
          <w:szCs w:val="24"/>
        </w:rPr>
        <w:t xml:space="preserve">), APRA </w:t>
      </w:r>
      <w:r w:rsidR="00F70A13" w:rsidRPr="00145A8A">
        <w:rPr>
          <w:rFonts w:ascii="Times New Roman" w:hAnsi="Times New Roman" w:cs="Times New Roman"/>
          <w:b w:val="0"/>
          <w:sz w:val="24"/>
          <w:szCs w:val="24"/>
        </w:rPr>
        <w:t xml:space="preserve">may, in writing, determine that any or all of the provisions of the </w:t>
      </w:r>
      <w:r w:rsidR="008B2323">
        <w:rPr>
          <w:rFonts w:ascii="Times New Roman" w:hAnsi="Times New Roman" w:cs="Times New Roman"/>
          <w:b w:val="0"/>
          <w:sz w:val="24"/>
          <w:szCs w:val="24"/>
        </w:rPr>
        <w:t xml:space="preserve">Banking </w:t>
      </w:r>
      <w:r w:rsidR="00F70A13" w:rsidRPr="00145A8A">
        <w:rPr>
          <w:rFonts w:ascii="Times New Roman" w:hAnsi="Times New Roman" w:cs="Times New Roman"/>
          <w:b w:val="0"/>
          <w:sz w:val="24"/>
          <w:szCs w:val="24"/>
        </w:rPr>
        <w:t>Act referred to in paragraphs 11(1)(a) to (e) do not apply to a person</w:t>
      </w:r>
      <w:r w:rsidR="00AF7A1C">
        <w:rPr>
          <w:rFonts w:ascii="Times New Roman" w:hAnsi="Times New Roman" w:cs="Times New Roman"/>
          <w:b w:val="0"/>
          <w:sz w:val="24"/>
          <w:szCs w:val="24"/>
        </w:rPr>
        <w:t>, or to a class of persons,</w:t>
      </w:r>
      <w:r w:rsidR="00F70A13" w:rsidRPr="00145A8A">
        <w:rPr>
          <w:rFonts w:ascii="Times New Roman" w:hAnsi="Times New Roman" w:cs="Times New Roman"/>
          <w:b w:val="0"/>
          <w:sz w:val="24"/>
          <w:szCs w:val="24"/>
        </w:rPr>
        <w:t xml:space="preserve"> while the determination is in force</w:t>
      </w:r>
      <w:r w:rsidRPr="00BC7834">
        <w:rPr>
          <w:rFonts w:ascii="Times New Roman" w:hAnsi="Times New Roman" w:cs="Times New Roman"/>
          <w:b w:val="0"/>
          <w:color w:val="000000"/>
          <w:sz w:val="24"/>
          <w:szCs w:val="24"/>
        </w:rPr>
        <w:t xml:space="preserve">. Under subsection 11(4) of the </w:t>
      </w:r>
      <w:r w:rsidR="008B2323">
        <w:rPr>
          <w:rFonts w:ascii="Times New Roman" w:hAnsi="Times New Roman" w:cs="Times New Roman"/>
          <w:b w:val="0"/>
          <w:color w:val="000000"/>
          <w:sz w:val="24"/>
          <w:szCs w:val="24"/>
        </w:rPr>
        <w:t xml:space="preserve">Banking </w:t>
      </w:r>
      <w:r w:rsidRPr="00BC7834">
        <w:rPr>
          <w:rFonts w:ascii="Times New Roman" w:hAnsi="Times New Roman" w:cs="Times New Roman"/>
          <w:b w:val="0"/>
          <w:color w:val="000000"/>
          <w:sz w:val="24"/>
          <w:szCs w:val="24"/>
        </w:rPr>
        <w:t xml:space="preserve">Act, APRA may, </w:t>
      </w:r>
      <w:r w:rsidR="002C3824">
        <w:rPr>
          <w:rFonts w:ascii="Times New Roman" w:hAnsi="Times New Roman" w:cs="Times New Roman"/>
          <w:b w:val="0"/>
          <w:color w:val="000000"/>
          <w:sz w:val="24"/>
          <w:szCs w:val="24"/>
        </w:rPr>
        <w:t>in writing</w:t>
      </w:r>
      <w:r w:rsidRPr="00BC7834">
        <w:rPr>
          <w:rFonts w:ascii="Times New Roman" w:hAnsi="Times New Roman" w:cs="Times New Roman"/>
          <w:b w:val="0"/>
          <w:color w:val="000000"/>
          <w:sz w:val="24"/>
          <w:szCs w:val="24"/>
        </w:rPr>
        <w:t>, vary or revoke a</w:t>
      </w:r>
      <w:r w:rsidR="00126F51">
        <w:rPr>
          <w:rFonts w:ascii="Times New Roman" w:hAnsi="Times New Roman" w:cs="Times New Roman"/>
          <w:b w:val="0"/>
          <w:color w:val="000000"/>
          <w:sz w:val="24"/>
          <w:szCs w:val="24"/>
        </w:rPr>
        <w:t xml:space="preserve"> determination made under </w:t>
      </w:r>
      <w:r w:rsidR="00D100D6">
        <w:rPr>
          <w:rFonts w:ascii="Times New Roman" w:hAnsi="Times New Roman" w:cs="Times New Roman"/>
          <w:b w:val="0"/>
          <w:color w:val="000000"/>
          <w:sz w:val="24"/>
          <w:szCs w:val="24"/>
        </w:rPr>
        <w:t>sub</w:t>
      </w:r>
      <w:r w:rsidR="00126F51">
        <w:rPr>
          <w:rFonts w:ascii="Times New Roman" w:hAnsi="Times New Roman" w:cs="Times New Roman"/>
          <w:b w:val="0"/>
          <w:color w:val="000000"/>
          <w:sz w:val="24"/>
          <w:szCs w:val="24"/>
        </w:rPr>
        <w:t>section 11</w:t>
      </w:r>
      <w:r w:rsidR="00A9578D">
        <w:rPr>
          <w:rFonts w:ascii="Times New Roman" w:hAnsi="Times New Roman" w:cs="Times New Roman"/>
          <w:b w:val="0"/>
          <w:color w:val="000000"/>
          <w:sz w:val="24"/>
          <w:szCs w:val="24"/>
        </w:rPr>
        <w:t>(1)</w:t>
      </w:r>
      <w:r w:rsidR="00122F4C">
        <w:rPr>
          <w:rFonts w:ascii="Times New Roman" w:hAnsi="Times New Roman" w:cs="Times New Roman"/>
          <w:b w:val="0"/>
          <w:color w:val="000000"/>
          <w:sz w:val="24"/>
          <w:szCs w:val="24"/>
        </w:rPr>
        <w:t>.</w:t>
      </w:r>
    </w:p>
    <w:p w14:paraId="3927A192" w14:textId="6BDB59BA" w:rsidR="003263A2" w:rsidRDefault="007E67DD" w:rsidP="001C001C">
      <w:pPr>
        <w:pStyle w:val="Heading"/>
        <w:jc w:val="both"/>
        <w:rPr>
          <w:rFonts w:ascii="Times New Roman" w:hAnsi="Times New Roman" w:cs="Times New Roman"/>
          <w:b w:val="0"/>
          <w:sz w:val="24"/>
          <w:szCs w:val="24"/>
        </w:rPr>
      </w:pPr>
      <w:r>
        <w:rPr>
          <w:rFonts w:ascii="Times New Roman" w:hAnsi="Times New Roman" w:cs="Times New Roman"/>
          <w:b w:val="0"/>
          <w:sz w:val="24"/>
          <w:szCs w:val="24"/>
        </w:rPr>
        <w:t>On</w:t>
      </w:r>
      <w:r w:rsidR="00BF29E7">
        <w:rPr>
          <w:rFonts w:ascii="Times New Roman" w:hAnsi="Times New Roman" w:cs="Times New Roman"/>
          <w:b w:val="0"/>
          <w:sz w:val="24"/>
          <w:szCs w:val="24"/>
        </w:rPr>
        <w:t xml:space="preserve"> </w:t>
      </w:r>
      <w:r w:rsidR="00FC4FA0">
        <w:rPr>
          <w:rFonts w:ascii="Times New Roman" w:hAnsi="Times New Roman" w:cs="Times New Roman"/>
          <w:b w:val="0"/>
          <w:sz w:val="24"/>
          <w:szCs w:val="24"/>
        </w:rPr>
        <w:t>31</w:t>
      </w:r>
      <w:r w:rsidRPr="00B979F1">
        <w:rPr>
          <w:rFonts w:ascii="Times New Roman" w:hAnsi="Times New Roman" w:cs="Times New Roman"/>
          <w:b w:val="0"/>
          <w:sz w:val="24"/>
          <w:szCs w:val="24"/>
        </w:rPr>
        <w:t xml:space="preserve"> </w:t>
      </w:r>
      <w:r w:rsidR="00BF29E7" w:rsidRPr="00B979F1">
        <w:rPr>
          <w:rFonts w:ascii="Times New Roman" w:hAnsi="Times New Roman" w:cs="Times New Roman"/>
          <w:b w:val="0"/>
          <w:sz w:val="24"/>
          <w:szCs w:val="24"/>
        </w:rPr>
        <w:t>August 2018</w:t>
      </w:r>
      <w:r w:rsidR="00DE614A">
        <w:rPr>
          <w:rFonts w:ascii="Times New Roman" w:hAnsi="Times New Roman" w:cs="Times New Roman"/>
          <w:b w:val="0"/>
          <w:sz w:val="24"/>
          <w:szCs w:val="24"/>
        </w:rPr>
        <w:t>,</w:t>
      </w:r>
      <w:r>
        <w:rPr>
          <w:rFonts w:ascii="Times New Roman" w:hAnsi="Times New Roman" w:cs="Times New Roman"/>
          <w:b w:val="0"/>
          <w:sz w:val="24"/>
          <w:szCs w:val="24"/>
        </w:rPr>
        <w:t xml:space="preserve"> APRA made </w:t>
      </w:r>
      <w:r w:rsidR="005E67E9" w:rsidRPr="00BC7834">
        <w:rPr>
          <w:rFonts w:ascii="Times New Roman" w:hAnsi="Times New Roman" w:cs="Times New Roman"/>
          <w:b w:val="0"/>
          <w:sz w:val="24"/>
          <w:szCs w:val="24"/>
        </w:rPr>
        <w:t xml:space="preserve">Banking exemption </w:t>
      </w:r>
      <w:r w:rsidR="00D12FBD" w:rsidRPr="00BC7834">
        <w:rPr>
          <w:rFonts w:ascii="Times New Roman" w:hAnsi="Times New Roman" w:cs="Times New Roman"/>
          <w:b w:val="0"/>
          <w:sz w:val="24"/>
          <w:szCs w:val="24"/>
        </w:rPr>
        <w:t>No</w:t>
      </w:r>
      <w:r w:rsidR="00E87CE6" w:rsidRPr="00BC7834">
        <w:rPr>
          <w:rFonts w:ascii="Times New Roman" w:hAnsi="Times New Roman" w:cs="Times New Roman"/>
          <w:b w:val="0"/>
          <w:sz w:val="24"/>
          <w:szCs w:val="24"/>
        </w:rPr>
        <w:t xml:space="preserve">. </w:t>
      </w:r>
      <w:r w:rsidR="001F6130">
        <w:rPr>
          <w:rFonts w:ascii="Times New Roman" w:hAnsi="Times New Roman" w:cs="Times New Roman"/>
          <w:b w:val="0"/>
          <w:sz w:val="24"/>
          <w:szCs w:val="24"/>
        </w:rPr>
        <w:t>2</w:t>
      </w:r>
      <w:r w:rsidR="00F86DAE" w:rsidRPr="00BC7834">
        <w:rPr>
          <w:rFonts w:ascii="Times New Roman" w:hAnsi="Times New Roman" w:cs="Times New Roman"/>
          <w:b w:val="0"/>
          <w:sz w:val="24"/>
          <w:szCs w:val="24"/>
        </w:rPr>
        <w:t xml:space="preserve"> of 20</w:t>
      </w:r>
      <w:r w:rsidR="00B331AE">
        <w:rPr>
          <w:rFonts w:ascii="Times New Roman" w:hAnsi="Times New Roman" w:cs="Times New Roman"/>
          <w:b w:val="0"/>
          <w:sz w:val="24"/>
          <w:szCs w:val="24"/>
        </w:rPr>
        <w:t>1</w:t>
      </w:r>
      <w:r w:rsidR="001F6130">
        <w:rPr>
          <w:rFonts w:ascii="Times New Roman" w:hAnsi="Times New Roman" w:cs="Times New Roman"/>
          <w:b w:val="0"/>
          <w:sz w:val="24"/>
          <w:szCs w:val="24"/>
        </w:rPr>
        <w:t>8</w:t>
      </w:r>
      <w:r w:rsidR="005E67E9" w:rsidRPr="00BC7834">
        <w:rPr>
          <w:rFonts w:ascii="Times New Roman" w:hAnsi="Times New Roman" w:cs="Times New Roman"/>
          <w:b w:val="0"/>
          <w:sz w:val="24"/>
          <w:szCs w:val="24"/>
        </w:rPr>
        <w:t xml:space="preserve"> (</w:t>
      </w:r>
      <w:r w:rsidR="00E60B8F">
        <w:rPr>
          <w:rFonts w:ascii="Times New Roman" w:hAnsi="Times New Roman" w:cs="Times New Roman"/>
          <w:sz w:val="24"/>
          <w:szCs w:val="24"/>
        </w:rPr>
        <w:t>201</w:t>
      </w:r>
      <w:r w:rsidR="001F6130">
        <w:rPr>
          <w:rFonts w:ascii="Times New Roman" w:hAnsi="Times New Roman" w:cs="Times New Roman"/>
          <w:sz w:val="24"/>
          <w:szCs w:val="24"/>
        </w:rPr>
        <w:t>8</w:t>
      </w:r>
      <w:r w:rsidR="00E60B8F">
        <w:rPr>
          <w:rFonts w:ascii="Times New Roman" w:hAnsi="Times New Roman" w:cs="Times New Roman"/>
          <w:sz w:val="24"/>
          <w:szCs w:val="24"/>
        </w:rPr>
        <w:t xml:space="preserve"> Exemption</w:t>
      </w:r>
      <w:r w:rsidR="005E67E9" w:rsidRPr="00BC7834">
        <w:rPr>
          <w:rFonts w:ascii="Times New Roman" w:hAnsi="Times New Roman" w:cs="Times New Roman"/>
          <w:b w:val="0"/>
          <w:sz w:val="24"/>
          <w:szCs w:val="24"/>
        </w:rPr>
        <w:t xml:space="preserve">) </w:t>
      </w:r>
      <w:r w:rsidR="003263A2">
        <w:rPr>
          <w:rFonts w:ascii="Times New Roman" w:hAnsi="Times New Roman" w:cs="Times New Roman"/>
          <w:b w:val="0"/>
          <w:sz w:val="24"/>
          <w:szCs w:val="24"/>
        </w:rPr>
        <w:t>which re</w:t>
      </w:r>
      <w:r w:rsidR="00A75E28">
        <w:rPr>
          <w:rFonts w:ascii="Times New Roman" w:hAnsi="Times New Roman" w:cs="Times New Roman"/>
          <w:b w:val="0"/>
          <w:sz w:val="24"/>
          <w:szCs w:val="24"/>
        </w:rPr>
        <w:t>plac</w:t>
      </w:r>
      <w:r w:rsidR="003263A2">
        <w:rPr>
          <w:rFonts w:ascii="Times New Roman" w:hAnsi="Times New Roman" w:cs="Times New Roman"/>
          <w:b w:val="0"/>
          <w:sz w:val="24"/>
          <w:szCs w:val="24"/>
        </w:rPr>
        <w:t xml:space="preserve">es </w:t>
      </w:r>
      <w:r w:rsidR="003263A2" w:rsidRPr="003263A2">
        <w:rPr>
          <w:rFonts w:ascii="Times New Roman" w:hAnsi="Times New Roman" w:cs="Times New Roman"/>
          <w:b w:val="0"/>
          <w:sz w:val="24"/>
          <w:szCs w:val="24"/>
        </w:rPr>
        <w:t xml:space="preserve">Banking </w:t>
      </w:r>
      <w:r w:rsidR="001F6130">
        <w:rPr>
          <w:rFonts w:ascii="Times New Roman" w:hAnsi="Times New Roman" w:cs="Times New Roman"/>
          <w:b w:val="0"/>
          <w:sz w:val="24"/>
          <w:szCs w:val="24"/>
        </w:rPr>
        <w:t>e</w:t>
      </w:r>
      <w:r w:rsidR="003263A2" w:rsidRPr="003263A2">
        <w:rPr>
          <w:rFonts w:ascii="Times New Roman" w:hAnsi="Times New Roman" w:cs="Times New Roman"/>
          <w:b w:val="0"/>
          <w:sz w:val="24"/>
          <w:szCs w:val="24"/>
        </w:rPr>
        <w:t>xemption No.</w:t>
      </w:r>
      <w:r w:rsidR="00C11599">
        <w:rPr>
          <w:rFonts w:ascii="Times New Roman" w:hAnsi="Times New Roman" w:cs="Times New Roman"/>
          <w:b w:val="0"/>
          <w:sz w:val="24"/>
          <w:szCs w:val="24"/>
        </w:rPr>
        <w:t xml:space="preserve"> </w:t>
      </w:r>
      <w:r w:rsidR="001F6130">
        <w:rPr>
          <w:rFonts w:ascii="Times New Roman" w:hAnsi="Times New Roman" w:cs="Times New Roman"/>
          <w:b w:val="0"/>
          <w:sz w:val="24"/>
          <w:szCs w:val="24"/>
        </w:rPr>
        <w:t>1 of 2015</w:t>
      </w:r>
      <w:r w:rsidR="003263A2" w:rsidRPr="003263A2">
        <w:rPr>
          <w:rFonts w:ascii="Times New Roman" w:hAnsi="Times New Roman" w:cs="Times New Roman"/>
          <w:b w:val="0"/>
          <w:sz w:val="24"/>
          <w:szCs w:val="24"/>
        </w:rPr>
        <w:t xml:space="preserve"> dated </w:t>
      </w:r>
      <w:r w:rsidR="005A4BB0">
        <w:rPr>
          <w:rFonts w:ascii="Times New Roman" w:hAnsi="Times New Roman" w:cs="Times New Roman"/>
          <w:b w:val="0"/>
          <w:sz w:val="24"/>
          <w:szCs w:val="24"/>
        </w:rPr>
        <w:t>18</w:t>
      </w:r>
      <w:r w:rsidR="001F6130">
        <w:rPr>
          <w:rFonts w:ascii="Times New Roman" w:hAnsi="Times New Roman" w:cs="Times New Roman"/>
          <w:b w:val="0"/>
          <w:sz w:val="24"/>
          <w:szCs w:val="24"/>
        </w:rPr>
        <w:t xml:space="preserve"> March 2015</w:t>
      </w:r>
      <w:r w:rsidR="003263A2">
        <w:rPr>
          <w:rFonts w:ascii="Times New Roman" w:hAnsi="Times New Roman" w:cs="Times New Roman"/>
          <w:b w:val="0"/>
          <w:sz w:val="24"/>
          <w:szCs w:val="24"/>
        </w:rPr>
        <w:t xml:space="preserve"> </w:t>
      </w:r>
      <w:r w:rsidR="003263A2" w:rsidRPr="003263A2">
        <w:rPr>
          <w:rFonts w:ascii="Times New Roman" w:hAnsi="Times New Roman" w:cs="Times New Roman"/>
          <w:b w:val="0"/>
          <w:sz w:val="24"/>
          <w:szCs w:val="24"/>
        </w:rPr>
        <w:t>(</w:t>
      </w:r>
      <w:r w:rsidR="001F6130" w:rsidRPr="001F6130">
        <w:rPr>
          <w:rFonts w:ascii="Times New Roman" w:hAnsi="Times New Roman" w:cs="Times New Roman"/>
          <w:sz w:val="24"/>
          <w:szCs w:val="24"/>
        </w:rPr>
        <w:t>2015</w:t>
      </w:r>
      <w:r w:rsidR="003263A2" w:rsidRPr="001F6130">
        <w:rPr>
          <w:rFonts w:ascii="Times New Roman" w:hAnsi="Times New Roman" w:cs="Times New Roman"/>
          <w:sz w:val="24"/>
          <w:szCs w:val="24"/>
        </w:rPr>
        <w:t xml:space="preserve"> Exemption</w:t>
      </w:r>
      <w:r w:rsidR="003263A2" w:rsidRPr="003263A2">
        <w:rPr>
          <w:rFonts w:ascii="Times New Roman" w:hAnsi="Times New Roman" w:cs="Times New Roman"/>
          <w:b w:val="0"/>
          <w:sz w:val="24"/>
          <w:szCs w:val="24"/>
        </w:rPr>
        <w:t>)</w:t>
      </w:r>
      <w:r w:rsidR="003263A2">
        <w:rPr>
          <w:rFonts w:ascii="Times New Roman" w:hAnsi="Times New Roman" w:cs="Times New Roman"/>
          <w:b w:val="0"/>
          <w:sz w:val="24"/>
          <w:szCs w:val="24"/>
        </w:rPr>
        <w:t>.</w:t>
      </w:r>
    </w:p>
    <w:p w14:paraId="406E3927" w14:textId="77777777" w:rsidR="005E67E9" w:rsidRPr="00BC7834" w:rsidRDefault="003263A2" w:rsidP="001C001C">
      <w:pPr>
        <w:pStyle w:val="Heading"/>
        <w:jc w:val="both"/>
        <w:rPr>
          <w:rFonts w:ascii="Times New Roman" w:hAnsi="Times New Roman" w:cs="Times New Roman"/>
          <w:b w:val="0"/>
          <w:sz w:val="24"/>
          <w:szCs w:val="24"/>
        </w:rPr>
      </w:pPr>
      <w:r>
        <w:rPr>
          <w:rFonts w:ascii="Times New Roman" w:hAnsi="Times New Roman" w:cs="Times New Roman"/>
          <w:b w:val="0"/>
          <w:sz w:val="24"/>
          <w:szCs w:val="24"/>
        </w:rPr>
        <w:t>The 201</w:t>
      </w:r>
      <w:r w:rsidR="001F6130">
        <w:rPr>
          <w:rFonts w:ascii="Times New Roman" w:hAnsi="Times New Roman" w:cs="Times New Roman"/>
          <w:b w:val="0"/>
          <w:sz w:val="24"/>
          <w:szCs w:val="24"/>
        </w:rPr>
        <w:t>8</w:t>
      </w:r>
      <w:r>
        <w:rPr>
          <w:rFonts w:ascii="Times New Roman" w:hAnsi="Times New Roman" w:cs="Times New Roman"/>
          <w:b w:val="0"/>
          <w:sz w:val="24"/>
          <w:szCs w:val="24"/>
        </w:rPr>
        <w:t xml:space="preserve"> Exemption commences</w:t>
      </w:r>
      <w:r w:rsidR="00A62AE1" w:rsidRPr="005E67E9">
        <w:rPr>
          <w:rFonts w:ascii="Times New Roman" w:hAnsi="Times New Roman" w:cs="Times New Roman"/>
          <w:b w:val="0"/>
          <w:sz w:val="24"/>
          <w:szCs w:val="24"/>
        </w:rPr>
        <w:t xml:space="preserve"> </w:t>
      </w:r>
      <w:r w:rsidR="00A62AE1">
        <w:rPr>
          <w:rFonts w:ascii="Times New Roman" w:hAnsi="Times New Roman" w:cs="Times New Roman"/>
          <w:b w:val="0"/>
          <w:sz w:val="24"/>
          <w:szCs w:val="24"/>
        </w:rPr>
        <w:t>on</w:t>
      </w:r>
      <w:r w:rsidR="00A62AE1" w:rsidRPr="005E67E9">
        <w:rPr>
          <w:rFonts w:ascii="Times New Roman" w:hAnsi="Times New Roman" w:cs="Times New Roman"/>
          <w:b w:val="0"/>
          <w:sz w:val="24"/>
          <w:szCs w:val="24"/>
        </w:rPr>
        <w:t xml:space="preserve"> </w:t>
      </w:r>
      <w:r w:rsidR="00D200D5">
        <w:rPr>
          <w:rFonts w:ascii="Times New Roman" w:hAnsi="Times New Roman" w:cs="Times New Roman"/>
          <w:b w:val="0"/>
          <w:sz w:val="24"/>
          <w:szCs w:val="24"/>
        </w:rPr>
        <w:t xml:space="preserve">the date of </w:t>
      </w:r>
      <w:r w:rsidR="00AF7A1C">
        <w:rPr>
          <w:rFonts w:ascii="Times New Roman" w:hAnsi="Times New Roman" w:cs="Times New Roman"/>
          <w:b w:val="0"/>
          <w:sz w:val="24"/>
          <w:szCs w:val="24"/>
        </w:rPr>
        <w:t xml:space="preserve">its </w:t>
      </w:r>
      <w:r w:rsidR="00D200D5">
        <w:rPr>
          <w:rFonts w:ascii="Times New Roman" w:hAnsi="Times New Roman" w:cs="Times New Roman"/>
          <w:b w:val="0"/>
          <w:sz w:val="24"/>
          <w:szCs w:val="24"/>
        </w:rPr>
        <w:t>registration</w:t>
      </w:r>
      <w:r w:rsidR="00A62AE1" w:rsidRPr="00A62AE1">
        <w:rPr>
          <w:rFonts w:ascii="Times New Roman" w:hAnsi="Times New Roman" w:cs="Times New Roman"/>
          <w:sz w:val="24"/>
          <w:szCs w:val="24"/>
        </w:rPr>
        <w:t>.</w:t>
      </w:r>
    </w:p>
    <w:p w14:paraId="5F936236" w14:textId="77777777" w:rsidR="005941E1" w:rsidRPr="00BC7834" w:rsidRDefault="005941E1" w:rsidP="001C001C">
      <w:pPr>
        <w:pStyle w:val="Heading"/>
        <w:numPr>
          <w:ilvl w:val="0"/>
          <w:numId w:val="1"/>
        </w:numPr>
        <w:tabs>
          <w:tab w:val="clear" w:pos="360"/>
        </w:tabs>
        <w:ind w:left="0" w:firstLine="0"/>
        <w:jc w:val="both"/>
        <w:rPr>
          <w:rFonts w:ascii="Times New Roman" w:hAnsi="Times New Roman" w:cs="Times New Roman"/>
          <w:sz w:val="24"/>
          <w:szCs w:val="24"/>
        </w:rPr>
      </w:pPr>
      <w:r w:rsidRPr="00BC7834">
        <w:rPr>
          <w:rFonts w:ascii="Times New Roman" w:hAnsi="Times New Roman" w:cs="Times New Roman"/>
          <w:sz w:val="24"/>
          <w:szCs w:val="24"/>
        </w:rPr>
        <w:t>Background</w:t>
      </w:r>
    </w:p>
    <w:p w14:paraId="342B91AD" w14:textId="77777777" w:rsidR="00E01E2B" w:rsidRPr="00E01E2B" w:rsidRDefault="00E01E2B" w:rsidP="0017448C">
      <w:pPr>
        <w:pStyle w:val="Heading"/>
        <w:jc w:val="both"/>
        <w:rPr>
          <w:rFonts w:ascii="Times New Roman" w:hAnsi="Times New Roman" w:cs="Times New Roman"/>
          <w:b w:val="0"/>
          <w:i/>
          <w:sz w:val="24"/>
          <w:szCs w:val="24"/>
        </w:rPr>
      </w:pPr>
      <w:bookmarkStart w:id="5" w:name="bkBackground"/>
      <w:bookmarkEnd w:id="5"/>
      <w:r w:rsidRPr="00E01E2B">
        <w:rPr>
          <w:rFonts w:ascii="Times New Roman" w:hAnsi="Times New Roman" w:cs="Times New Roman"/>
          <w:b w:val="0"/>
          <w:i/>
          <w:sz w:val="24"/>
          <w:szCs w:val="24"/>
        </w:rPr>
        <w:t>The 2015 Exemption</w:t>
      </w:r>
    </w:p>
    <w:p w14:paraId="06806E72" w14:textId="43A0296A" w:rsidR="00A1381C" w:rsidRDefault="0017448C" w:rsidP="0017448C">
      <w:pPr>
        <w:pStyle w:val="Heading"/>
        <w:jc w:val="both"/>
        <w:rPr>
          <w:rFonts w:ascii="Times New Roman" w:hAnsi="Times New Roman" w:cs="Times New Roman"/>
          <w:b w:val="0"/>
          <w:sz w:val="24"/>
          <w:szCs w:val="24"/>
        </w:rPr>
      </w:pPr>
      <w:r w:rsidRPr="0017448C">
        <w:rPr>
          <w:rFonts w:ascii="Times New Roman" w:hAnsi="Times New Roman" w:cs="Times New Roman"/>
          <w:b w:val="0"/>
          <w:sz w:val="24"/>
          <w:szCs w:val="24"/>
        </w:rPr>
        <w:t xml:space="preserve">In December 2012, the Australian Government announced a number of proposals to improve the regulation of corporations that issue debentures to retail investors. These proposals were designed to provide a clearer distinction between debentures offered by </w:t>
      </w:r>
      <w:r w:rsidRPr="0017448C">
        <w:rPr>
          <w:rFonts w:ascii="Times New Roman" w:hAnsi="Times New Roman" w:cs="Times New Roman"/>
          <w:b w:val="0"/>
          <w:sz w:val="24"/>
          <w:szCs w:val="24"/>
        </w:rPr>
        <w:lastRenderedPageBreak/>
        <w:t xml:space="preserve">registered entities and deposit products offered by </w:t>
      </w:r>
      <w:r w:rsidR="007966E0">
        <w:rPr>
          <w:rFonts w:ascii="Times New Roman" w:hAnsi="Times New Roman" w:cs="Times New Roman"/>
          <w:b w:val="0"/>
          <w:sz w:val="24"/>
          <w:szCs w:val="24"/>
        </w:rPr>
        <w:t>Authorised Deposit-taking Institutions (</w:t>
      </w:r>
      <w:r w:rsidRPr="0017448C">
        <w:rPr>
          <w:rFonts w:ascii="Times New Roman" w:hAnsi="Times New Roman" w:cs="Times New Roman"/>
          <w:b w:val="0"/>
          <w:sz w:val="24"/>
          <w:szCs w:val="24"/>
        </w:rPr>
        <w:t>ADIs</w:t>
      </w:r>
      <w:r w:rsidR="007966E0">
        <w:rPr>
          <w:rFonts w:ascii="Times New Roman" w:hAnsi="Times New Roman" w:cs="Times New Roman"/>
          <w:b w:val="0"/>
          <w:sz w:val="24"/>
          <w:szCs w:val="24"/>
        </w:rPr>
        <w:t>), which are licensed under the Banking Act and prudentially regulated by APRA</w:t>
      </w:r>
      <w:r w:rsidRPr="0017448C">
        <w:rPr>
          <w:rFonts w:ascii="Times New Roman" w:hAnsi="Times New Roman" w:cs="Times New Roman"/>
          <w:b w:val="0"/>
          <w:sz w:val="24"/>
          <w:szCs w:val="24"/>
        </w:rPr>
        <w:t xml:space="preserve">.  After consultation the proposals were actioned through the </w:t>
      </w:r>
      <w:r w:rsidR="007966E0">
        <w:rPr>
          <w:rFonts w:ascii="Times New Roman" w:hAnsi="Times New Roman" w:cs="Times New Roman"/>
          <w:b w:val="0"/>
          <w:sz w:val="24"/>
          <w:szCs w:val="24"/>
        </w:rPr>
        <w:t>2015 Exemption</w:t>
      </w:r>
      <w:r w:rsidRPr="0017448C">
        <w:rPr>
          <w:rFonts w:ascii="Times New Roman" w:hAnsi="Times New Roman" w:cs="Times New Roman"/>
          <w:b w:val="0"/>
          <w:sz w:val="24"/>
          <w:szCs w:val="24"/>
        </w:rPr>
        <w:t>.</w:t>
      </w:r>
    </w:p>
    <w:p w14:paraId="0819C1AA" w14:textId="3C1DE46B" w:rsidR="0017448C" w:rsidRDefault="0017448C" w:rsidP="0017448C">
      <w:pPr>
        <w:pStyle w:val="Heading"/>
        <w:jc w:val="both"/>
        <w:rPr>
          <w:rFonts w:ascii="Times New Roman" w:hAnsi="Times New Roman" w:cs="Times New Roman"/>
          <w:b w:val="0"/>
          <w:sz w:val="24"/>
          <w:szCs w:val="24"/>
        </w:rPr>
      </w:pPr>
      <w:r w:rsidRPr="0017448C">
        <w:rPr>
          <w:rFonts w:ascii="Times New Roman" w:hAnsi="Times New Roman" w:cs="Times New Roman"/>
          <w:b w:val="0"/>
          <w:sz w:val="24"/>
          <w:szCs w:val="24"/>
        </w:rPr>
        <w:t>Under section 8 of the Banking Act, it is an offence for a body corporate to carry on banking business in Australia unless authorised as an ADI. As with</w:t>
      </w:r>
      <w:r w:rsidR="00A1381C">
        <w:rPr>
          <w:rFonts w:ascii="Times New Roman" w:hAnsi="Times New Roman" w:cs="Times New Roman"/>
          <w:b w:val="0"/>
          <w:sz w:val="24"/>
          <w:szCs w:val="24"/>
        </w:rPr>
        <w:t xml:space="preserve"> the exemption that it replaced</w:t>
      </w:r>
      <w:r w:rsidRPr="0017448C">
        <w:rPr>
          <w:rFonts w:ascii="Times New Roman" w:hAnsi="Times New Roman" w:cs="Times New Roman"/>
          <w:b w:val="0"/>
          <w:sz w:val="24"/>
          <w:szCs w:val="24"/>
        </w:rPr>
        <w:t>,</w:t>
      </w:r>
      <w:r w:rsidR="00A1381C">
        <w:rPr>
          <w:rStyle w:val="FootnoteReference"/>
          <w:rFonts w:ascii="Times New Roman" w:hAnsi="Times New Roman" w:cs="Times New Roman"/>
          <w:b w:val="0"/>
          <w:sz w:val="24"/>
          <w:szCs w:val="24"/>
        </w:rPr>
        <w:footnoteReference w:id="2"/>
      </w:r>
      <w:r w:rsidRPr="0017448C">
        <w:rPr>
          <w:rFonts w:ascii="Times New Roman" w:hAnsi="Times New Roman" w:cs="Times New Roman"/>
          <w:b w:val="0"/>
          <w:sz w:val="24"/>
          <w:szCs w:val="24"/>
        </w:rPr>
        <w:t xml:space="preserve"> the </w:t>
      </w:r>
      <w:r w:rsidR="00BF6681">
        <w:rPr>
          <w:rFonts w:ascii="Times New Roman" w:hAnsi="Times New Roman" w:cs="Times New Roman"/>
          <w:b w:val="0"/>
          <w:sz w:val="24"/>
          <w:szCs w:val="24"/>
        </w:rPr>
        <w:t>2015</w:t>
      </w:r>
      <w:r w:rsidRPr="0017448C">
        <w:rPr>
          <w:rFonts w:ascii="Times New Roman" w:hAnsi="Times New Roman" w:cs="Times New Roman"/>
          <w:b w:val="0"/>
          <w:sz w:val="24"/>
          <w:szCs w:val="24"/>
        </w:rPr>
        <w:t xml:space="preserve"> Exemption granted relief from the operation of section 8 to </w:t>
      </w:r>
      <w:r w:rsidRPr="00E01E2B">
        <w:rPr>
          <w:rFonts w:ascii="Times New Roman" w:hAnsi="Times New Roman" w:cs="Times New Roman"/>
          <w:b w:val="0"/>
          <w:i/>
          <w:sz w:val="24"/>
          <w:szCs w:val="24"/>
        </w:rPr>
        <w:t>registered entities</w:t>
      </w:r>
      <w:r w:rsidRPr="0017448C">
        <w:rPr>
          <w:rFonts w:ascii="Times New Roman" w:hAnsi="Times New Roman" w:cs="Times New Roman"/>
          <w:b w:val="0"/>
          <w:sz w:val="24"/>
          <w:szCs w:val="24"/>
        </w:rPr>
        <w:t xml:space="preserve"> as defined in section 5 of the </w:t>
      </w:r>
      <w:r w:rsidRPr="00A1381C">
        <w:rPr>
          <w:rFonts w:ascii="Times New Roman" w:hAnsi="Times New Roman" w:cs="Times New Roman"/>
          <w:b w:val="0"/>
          <w:i/>
          <w:sz w:val="24"/>
          <w:szCs w:val="24"/>
        </w:rPr>
        <w:t>Financial Sector (Collection of Data) Act 2001</w:t>
      </w:r>
      <w:r w:rsidRPr="0017448C">
        <w:rPr>
          <w:rFonts w:ascii="Times New Roman" w:hAnsi="Times New Roman" w:cs="Times New Roman"/>
          <w:b w:val="0"/>
          <w:sz w:val="24"/>
          <w:szCs w:val="24"/>
        </w:rPr>
        <w:t xml:space="preserve"> (FSCODA), provided that they met the conditions of the </w:t>
      </w:r>
      <w:r w:rsidR="00C11599">
        <w:rPr>
          <w:rFonts w:ascii="Times New Roman" w:hAnsi="Times New Roman" w:cs="Times New Roman"/>
          <w:b w:val="0"/>
          <w:sz w:val="24"/>
          <w:szCs w:val="24"/>
        </w:rPr>
        <w:t>2015</w:t>
      </w:r>
      <w:r w:rsidRPr="0017448C">
        <w:rPr>
          <w:rFonts w:ascii="Times New Roman" w:hAnsi="Times New Roman" w:cs="Times New Roman"/>
          <w:b w:val="0"/>
          <w:sz w:val="24"/>
          <w:szCs w:val="24"/>
        </w:rPr>
        <w:t xml:space="preserve"> Exemption.</w:t>
      </w:r>
    </w:p>
    <w:p w14:paraId="5F275DB7" w14:textId="77777777" w:rsidR="0047631C" w:rsidRPr="0017485D" w:rsidRDefault="0089152E" w:rsidP="0017485D">
      <w:pPr>
        <w:pStyle w:val="heading0"/>
        <w:shd w:val="clear" w:color="auto" w:fill="FFFFFF"/>
        <w:jc w:val="both"/>
        <w:rPr>
          <w:sz w:val="19"/>
          <w:szCs w:val="19"/>
          <w:lang w:val="en-US"/>
        </w:rPr>
      </w:pPr>
      <w:r w:rsidRPr="0017485D">
        <w:t>The conditions that need</w:t>
      </w:r>
      <w:r w:rsidR="00BF6681" w:rsidRPr="0017485D">
        <w:t>ed</w:t>
      </w:r>
      <w:r w:rsidRPr="0017485D">
        <w:t xml:space="preserve"> to be met include</w:t>
      </w:r>
      <w:r w:rsidR="00BF6681" w:rsidRPr="0017485D">
        <w:t>d</w:t>
      </w:r>
      <w:r w:rsidRPr="0017485D">
        <w:t>:</w:t>
      </w:r>
    </w:p>
    <w:p w14:paraId="04430FD9" w14:textId="77777777" w:rsidR="0089152E" w:rsidRDefault="0089152E" w:rsidP="00E01E2B">
      <w:pPr>
        <w:pStyle w:val="heading0"/>
        <w:numPr>
          <w:ilvl w:val="0"/>
          <w:numId w:val="11"/>
        </w:numPr>
        <w:shd w:val="clear" w:color="auto" w:fill="FFFFFF"/>
        <w:jc w:val="both"/>
        <w:rPr>
          <w:rFonts w:ascii="Helvetica Neue" w:hAnsi="Helvetica Neue"/>
          <w:sz w:val="19"/>
          <w:szCs w:val="19"/>
          <w:lang w:val="en-US"/>
        </w:rPr>
      </w:pPr>
      <w:r w:rsidRPr="0017485D">
        <w:t>restricting the use of certain terms, including ‘deposit’ and ‘at-call’ by registered entities</w:t>
      </w:r>
      <w:r>
        <w:t xml:space="preserve"> in connection with investment products offered, issued or sold;</w:t>
      </w:r>
    </w:p>
    <w:p w14:paraId="1BC3AD8F" w14:textId="77777777" w:rsidR="0089152E" w:rsidRDefault="0089152E" w:rsidP="00E01E2B">
      <w:pPr>
        <w:pStyle w:val="heading0"/>
        <w:numPr>
          <w:ilvl w:val="0"/>
          <w:numId w:val="11"/>
        </w:numPr>
        <w:shd w:val="clear" w:color="auto" w:fill="FFFFFF"/>
        <w:jc w:val="both"/>
        <w:rPr>
          <w:rFonts w:ascii="Helvetica Neue" w:hAnsi="Helvetica Neue"/>
          <w:sz w:val="19"/>
          <w:szCs w:val="19"/>
          <w:lang w:val="en-US"/>
        </w:rPr>
      </w:pPr>
      <w:r>
        <w:t>requiring all debentures offered, issued or sold by registered entities to have a minimum 31-day maturity;</w:t>
      </w:r>
    </w:p>
    <w:p w14:paraId="3CE6037E" w14:textId="77777777" w:rsidR="0089152E" w:rsidRPr="0017485D" w:rsidRDefault="0089152E" w:rsidP="00E01E2B">
      <w:pPr>
        <w:pStyle w:val="heading0"/>
        <w:numPr>
          <w:ilvl w:val="0"/>
          <w:numId w:val="11"/>
        </w:numPr>
        <w:shd w:val="clear" w:color="auto" w:fill="FFFFFF"/>
        <w:jc w:val="both"/>
        <w:rPr>
          <w:rFonts w:ascii="Helvetica Neue" w:hAnsi="Helvetica Neue"/>
          <w:sz w:val="19"/>
          <w:szCs w:val="19"/>
          <w:lang w:val="en-US"/>
        </w:rPr>
      </w:pPr>
      <w:r>
        <w:t>registered entities will not be allowed to provide certain ‘transactional banking facilities’, namely, Automatic Teller Machine (ATM) access, BPAY, Electronic Funds Transfer at Point of Sale (EFTPOS</w:t>
      </w:r>
      <w:r w:rsidR="0017485D">
        <w:t>) and cheque account facilities; and</w:t>
      </w:r>
    </w:p>
    <w:p w14:paraId="5F20C99F" w14:textId="77777777" w:rsidR="0017485D" w:rsidRPr="00BF6681" w:rsidRDefault="0017485D" w:rsidP="00E01E2B">
      <w:pPr>
        <w:pStyle w:val="heading0"/>
        <w:numPr>
          <w:ilvl w:val="0"/>
          <w:numId w:val="11"/>
        </w:numPr>
        <w:shd w:val="clear" w:color="auto" w:fill="FFFFFF"/>
        <w:jc w:val="both"/>
        <w:rPr>
          <w:rFonts w:ascii="Helvetica Neue" w:hAnsi="Helvetica Neue"/>
          <w:sz w:val="19"/>
          <w:szCs w:val="19"/>
          <w:lang w:val="en-US"/>
        </w:rPr>
      </w:pPr>
      <w:r w:rsidRPr="0017485D">
        <w:rPr>
          <w:lang w:val="en-US"/>
        </w:rPr>
        <w:t>provision of prudential supervision warnings</w:t>
      </w:r>
      <w:r>
        <w:rPr>
          <w:lang w:val="en-US"/>
        </w:rPr>
        <w:t>.</w:t>
      </w:r>
    </w:p>
    <w:p w14:paraId="07E3B23B" w14:textId="77777777" w:rsidR="0089152E" w:rsidRDefault="00BF6681" w:rsidP="00BF6681">
      <w:pPr>
        <w:pStyle w:val="heading0"/>
        <w:shd w:val="clear" w:color="auto" w:fill="FFFFFF"/>
        <w:jc w:val="both"/>
        <w:rPr>
          <w:b/>
        </w:rPr>
      </w:pPr>
      <w:r w:rsidRPr="00BF6681">
        <w:t xml:space="preserve">The </w:t>
      </w:r>
      <w:r>
        <w:t>conditions only applied</w:t>
      </w:r>
      <w:r w:rsidRPr="00BF6681">
        <w:t xml:space="preserve"> with respect to products offered to retail investors; there w</w:t>
      </w:r>
      <w:r>
        <w:t>as</w:t>
      </w:r>
      <w:r w:rsidRPr="00BF6681">
        <w:t xml:space="preserve"> no change with respect to products marketed to wholesale investors.</w:t>
      </w:r>
    </w:p>
    <w:p w14:paraId="45393044" w14:textId="77777777" w:rsidR="00E01E2B" w:rsidRPr="00E01E2B" w:rsidRDefault="00E01E2B" w:rsidP="00A62AE1">
      <w:pPr>
        <w:pStyle w:val="Heading"/>
        <w:jc w:val="both"/>
        <w:rPr>
          <w:rFonts w:ascii="Times New Roman" w:hAnsi="Times New Roman" w:cs="Times New Roman"/>
          <w:b w:val="0"/>
          <w:i/>
          <w:sz w:val="24"/>
          <w:szCs w:val="24"/>
        </w:rPr>
      </w:pPr>
      <w:r w:rsidRPr="00E01E2B">
        <w:rPr>
          <w:rFonts w:ascii="Times New Roman" w:hAnsi="Times New Roman" w:cs="Times New Roman"/>
          <w:b w:val="0"/>
          <w:i/>
          <w:sz w:val="24"/>
          <w:szCs w:val="24"/>
        </w:rPr>
        <w:lastRenderedPageBreak/>
        <w:t>Change to the definition of registrable corporation</w:t>
      </w:r>
    </w:p>
    <w:p w14:paraId="3DFD6856" w14:textId="67CB0120" w:rsidR="00AC56FC" w:rsidRDefault="00B6334F" w:rsidP="00A62AE1">
      <w:pPr>
        <w:pStyle w:val="Heading"/>
        <w:jc w:val="both"/>
        <w:rPr>
          <w:rFonts w:ascii="Times New Roman" w:hAnsi="Times New Roman" w:cs="Times New Roman"/>
          <w:b w:val="0"/>
          <w:sz w:val="24"/>
          <w:szCs w:val="24"/>
        </w:rPr>
      </w:pPr>
      <w:r>
        <w:rPr>
          <w:rFonts w:ascii="Times New Roman" w:hAnsi="Times New Roman" w:cs="Times New Roman"/>
          <w:b w:val="0"/>
          <w:sz w:val="24"/>
          <w:szCs w:val="24"/>
        </w:rPr>
        <w:t>The</w:t>
      </w:r>
      <w:r w:rsidR="00AC56FC">
        <w:rPr>
          <w:rFonts w:ascii="Times New Roman" w:hAnsi="Times New Roman" w:cs="Times New Roman"/>
          <w:b w:val="0"/>
          <w:sz w:val="24"/>
          <w:szCs w:val="24"/>
        </w:rPr>
        <w:t xml:space="preserve"> </w:t>
      </w:r>
      <w:r w:rsidRPr="00B6334F">
        <w:rPr>
          <w:rFonts w:ascii="Times New Roman" w:hAnsi="Times New Roman" w:cs="Times New Roman"/>
          <w:b w:val="0"/>
          <w:i/>
          <w:sz w:val="24"/>
          <w:szCs w:val="24"/>
        </w:rPr>
        <w:t xml:space="preserve">Treasury Laws Amendment (Banking Measures No. 1) Act 2018 </w:t>
      </w:r>
      <w:r w:rsidRPr="00B6334F">
        <w:rPr>
          <w:rFonts w:ascii="Times New Roman" w:hAnsi="Times New Roman" w:cs="Times New Roman"/>
          <w:b w:val="0"/>
          <w:sz w:val="24"/>
          <w:szCs w:val="24"/>
        </w:rPr>
        <w:t>(the Non-ADI Lenders Act)</w:t>
      </w:r>
      <w:r>
        <w:rPr>
          <w:rFonts w:ascii="Times New Roman" w:hAnsi="Times New Roman" w:cs="Times New Roman"/>
          <w:b w:val="0"/>
          <w:sz w:val="24"/>
          <w:szCs w:val="24"/>
        </w:rPr>
        <w:t xml:space="preserve"> commenced on 5 March 2018. </w:t>
      </w:r>
      <w:r w:rsidRPr="00B6334F">
        <w:rPr>
          <w:rFonts w:ascii="Times New Roman" w:hAnsi="Times New Roman" w:cs="Times New Roman"/>
          <w:b w:val="0"/>
          <w:bCs/>
          <w:sz w:val="24"/>
          <w:szCs w:val="24"/>
        </w:rPr>
        <w:t xml:space="preserve">The Non-ADI Lenders Act amended the Banking Act to </w:t>
      </w:r>
      <w:r w:rsidR="00C17594">
        <w:rPr>
          <w:rFonts w:ascii="Times New Roman" w:hAnsi="Times New Roman" w:cs="Times New Roman"/>
          <w:b w:val="0"/>
          <w:bCs/>
          <w:sz w:val="24"/>
          <w:szCs w:val="24"/>
        </w:rPr>
        <w:t>provide</w:t>
      </w:r>
      <w:r w:rsidRPr="00B6334F">
        <w:rPr>
          <w:rFonts w:ascii="Times New Roman" w:hAnsi="Times New Roman" w:cs="Times New Roman"/>
          <w:b w:val="0"/>
          <w:bCs/>
          <w:sz w:val="24"/>
          <w:szCs w:val="24"/>
        </w:rPr>
        <w:t xml:space="preserve"> APRA </w:t>
      </w:r>
      <w:r w:rsidR="00C17594">
        <w:rPr>
          <w:rFonts w:ascii="Times New Roman" w:hAnsi="Times New Roman" w:cs="Times New Roman"/>
          <w:b w:val="0"/>
          <w:bCs/>
          <w:sz w:val="24"/>
          <w:szCs w:val="24"/>
        </w:rPr>
        <w:t xml:space="preserve">with a reserve power </w:t>
      </w:r>
      <w:r w:rsidRPr="00B6334F">
        <w:rPr>
          <w:rFonts w:ascii="Times New Roman" w:hAnsi="Times New Roman" w:cs="Times New Roman"/>
          <w:b w:val="0"/>
          <w:bCs/>
          <w:sz w:val="24"/>
          <w:szCs w:val="24"/>
        </w:rPr>
        <w:t xml:space="preserve">to </w:t>
      </w:r>
      <w:r w:rsidRPr="00B6334F">
        <w:rPr>
          <w:rFonts w:ascii="Times New Roman" w:hAnsi="Times New Roman" w:cs="Times New Roman"/>
          <w:b w:val="0"/>
          <w:bCs/>
          <w:sz w:val="24"/>
          <w:szCs w:val="24"/>
          <w:lang w:val="en"/>
        </w:rPr>
        <w:t xml:space="preserve">make rules and give directions relating to the provision of finance by </w:t>
      </w:r>
      <w:r w:rsidR="00746058">
        <w:rPr>
          <w:rFonts w:ascii="Times New Roman" w:hAnsi="Times New Roman" w:cs="Times New Roman"/>
          <w:b w:val="0"/>
          <w:bCs/>
          <w:sz w:val="24"/>
          <w:szCs w:val="24"/>
          <w:lang w:val="en"/>
        </w:rPr>
        <w:t>corporations that are not ADIs (</w:t>
      </w:r>
      <w:r w:rsidRPr="00B6334F">
        <w:rPr>
          <w:rFonts w:ascii="Times New Roman" w:hAnsi="Times New Roman" w:cs="Times New Roman"/>
          <w:b w:val="0"/>
          <w:bCs/>
          <w:sz w:val="24"/>
          <w:szCs w:val="24"/>
          <w:lang w:val="en"/>
        </w:rPr>
        <w:t>non-ADI lenders</w:t>
      </w:r>
      <w:r w:rsidR="00746058">
        <w:rPr>
          <w:rFonts w:ascii="Times New Roman" w:hAnsi="Times New Roman" w:cs="Times New Roman"/>
          <w:b w:val="0"/>
          <w:bCs/>
          <w:sz w:val="24"/>
          <w:szCs w:val="24"/>
          <w:lang w:val="en"/>
        </w:rPr>
        <w:t>)</w:t>
      </w:r>
      <w:r w:rsidRPr="00B6334F">
        <w:rPr>
          <w:rFonts w:ascii="Times New Roman" w:hAnsi="Times New Roman" w:cs="Times New Roman"/>
          <w:b w:val="0"/>
          <w:bCs/>
          <w:sz w:val="24"/>
          <w:szCs w:val="24"/>
          <w:lang w:val="en"/>
        </w:rPr>
        <w:t xml:space="preserve"> </w:t>
      </w:r>
      <w:r w:rsidR="00C17594">
        <w:rPr>
          <w:rFonts w:ascii="Times New Roman" w:hAnsi="Times New Roman" w:cs="Times New Roman"/>
          <w:b w:val="0"/>
          <w:bCs/>
          <w:sz w:val="24"/>
          <w:szCs w:val="24"/>
          <w:lang w:val="en"/>
        </w:rPr>
        <w:t xml:space="preserve">and </w:t>
      </w:r>
      <w:r w:rsidRPr="00B6334F">
        <w:rPr>
          <w:rFonts w:ascii="Times New Roman" w:hAnsi="Times New Roman" w:cs="Times New Roman"/>
          <w:b w:val="0"/>
          <w:bCs/>
          <w:sz w:val="24"/>
          <w:szCs w:val="24"/>
          <w:lang w:val="en"/>
        </w:rPr>
        <w:t xml:space="preserve">which APRA has identified may materially contribute to risks of instability in the Australian financial system. It also amended FSCODA to </w:t>
      </w:r>
      <w:r w:rsidRPr="00B6334F">
        <w:rPr>
          <w:rFonts w:ascii="Times New Roman" w:hAnsi="Times New Roman" w:cs="Times New Roman"/>
          <w:b w:val="0"/>
          <w:bCs/>
          <w:sz w:val="24"/>
          <w:szCs w:val="24"/>
        </w:rPr>
        <w:t xml:space="preserve">permit APRA to collect relevant data from non-ADI lenders. The Non-ADI </w:t>
      </w:r>
      <w:r w:rsidR="00D25C40">
        <w:rPr>
          <w:rFonts w:ascii="Times New Roman" w:hAnsi="Times New Roman" w:cs="Times New Roman"/>
          <w:b w:val="0"/>
          <w:bCs/>
          <w:sz w:val="24"/>
          <w:szCs w:val="24"/>
        </w:rPr>
        <w:t>L</w:t>
      </w:r>
      <w:r w:rsidRPr="00B6334F">
        <w:rPr>
          <w:rFonts w:ascii="Times New Roman" w:hAnsi="Times New Roman" w:cs="Times New Roman"/>
          <w:b w:val="0"/>
          <w:bCs/>
          <w:sz w:val="24"/>
          <w:szCs w:val="24"/>
        </w:rPr>
        <w:t xml:space="preserve">enders Act significantly altered the definition of </w:t>
      </w:r>
      <w:r w:rsidRPr="00B6334F">
        <w:rPr>
          <w:rFonts w:ascii="Times New Roman" w:hAnsi="Times New Roman" w:cs="Times New Roman"/>
          <w:b w:val="0"/>
          <w:bCs/>
          <w:i/>
          <w:sz w:val="24"/>
          <w:szCs w:val="24"/>
        </w:rPr>
        <w:t>registrable corporation</w:t>
      </w:r>
      <w:r w:rsidRPr="00B6334F">
        <w:rPr>
          <w:rFonts w:ascii="Times New Roman" w:hAnsi="Times New Roman" w:cs="Times New Roman"/>
          <w:b w:val="0"/>
          <w:bCs/>
          <w:sz w:val="24"/>
          <w:szCs w:val="24"/>
        </w:rPr>
        <w:t xml:space="preserve"> under section 7 of FSCODA, to better encompass the type of corporation considered likely to be of interest. Under FSCODA, a corporation cannot become a </w:t>
      </w:r>
      <w:r w:rsidRPr="00B6334F">
        <w:rPr>
          <w:rFonts w:ascii="Times New Roman" w:hAnsi="Times New Roman" w:cs="Times New Roman"/>
          <w:b w:val="0"/>
          <w:bCs/>
          <w:i/>
          <w:sz w:val="24"/>
          <w:szCs w:val="24"/>
        </w:rPr>
        <w:t>registered entity</w:t>
      </w:r>
      <w:r w:rsidRPr="00B6334F">
        <w:rPr>
          <w:rFonts w:ascii="Times New Roman" w:hAnsi="Times New Roman" w:cs="Times New Roman"/>
          <w:b w:val="0"/>
          <w:bCs/>
          <w:sz w:val="24"/>
          <w:szCs w:val="24"/>
        </w:rPr>
        <w:t xml:space="preserve"> unless it satisfies the definition of </w:t>
      </w:r>
      <w:r w:rsidRPr="00B6334F">
        <w:rPr>
          <w:rFonts w:ascii="Times New Roman" w:hAnsi="Times New Roman" w:cs="Times New Roman"/>
          <w:b w:val="0"/>
          <w:bCs/>
          <w:i/>
          <w:sz w:val="24"/>
          <w:szCs w:val="24"/>
        </w:rPr>
        <w:t>registrable corporation</w:t>
      </w:r>
      <w:r w:rsidRPr="00B6334F">
        <w:rPr>
          <w:rFonts w:ascii="Times New Roman" w:hAnsi="Times New Roman" w:cs="Times New Roman"/>
          <w:b w:val="0"/>
          <w:bCs/>
          <w:sz w:val="24"/>
          <w:szCs w:val="24"/>
        </w:rPr>
        <w:t>.</w:t>
      </w:r>
    </w:p>
    <w:p w14:paraId="3D987798" w14:textId="26B94B58" w:rsidR="00B6334F" w:rsidRPr="00B6334F" w:rsidRDefault="00B6334F" w:rsidP="00ED39A7">
      <w:pPr>
        <w:pStyle w:val="Heading"/>
        <w:jc w:val="both"/>
        <w:rPr>
          <w:rFonts w:ascii="Times New Roman" w:hAnsi="Times New Roman"/>
          <w:b w:val="0"/>
          <w:sz w:val="24"/>
        </w:rPr>
      </w:pPr>
      <w:r w:rsidRPr="00B6334F">
        <w:rPr>
          <w:rFonts w:ascii="Times New Roman" w:hAnsi="Times New Roman"/>
          <w:b w:val="0"/>
          <w:sz w:val="24"/>
        </w:rPr>
        <w:t xml:space="preserve">The definition of registrable corporation was amended to encompass a broader range of corporations that engage in the provision of finance, while at the same time </w:t>
      </w:r>
      <w:r>
        <w:rPr>
          <w:rFonts w:ascii="Times New Roman" w:hAnsi="Times New Roman"/>
          <w:b w:val="0"/>
          <w:sz w:val="24"/>
        </w:rPr>
        <w:t>i</w:t>
      </w:r>
      <w:r w:rsidRPr="00B6334F">
        <w:rPr>
          <w:rFonts w:ascii="Times New Roman" w:hAnsi="Times New Roman"/>
          <w:b w:val="0"/>
          <w:sz w:val="24"/>
        </w:rPr>
        <w:t xml:space="preserve">ncreasing limits on the size of operations caught, so that only the larger institutions would need to register and report.  </w:t>
      </w:r>
      <w:r w:rsidRPr="00B6334F">
        <w:rPr>
          <w:rFonts w:ascii="Times New Roman" w:hAnsi="Times New Roman"/>
          <w:b w:val="0"/>
          <w:bCs/>
          <w:sz w:val="24"/>
        </w:rPr>
        <w:t>A provision which excluded corporations where the sum of the value of all assets of the corporation, and of every related corporation, did not exceed $5 million</w:t>
      </w:r>
      <w:r w:rsidRPr="00B6334F">
        <w:rPr>
          <w:rFonts w:ascii="Times New Roman" w:hAnsi="Times New Roman"/>
          <w:b w:val="0"/>
          <w:sz w:val="24"/>
        </w:rPr>
        <w:t xml:space="preserve">, was removed.  </w:t>
      </w:r>
      <w:r w:rsidR="00EC1777">
        <w:rPr>
          <w:rFonts w:ascii="Times New Roman" w:hAnsi="Times New Roman"/>
          <w:b w:val="0"/>
          <w:sz w:val="24"/>
        </w:rPr>
        <w:t>It was replaced by a</w:t>
      </w:r>
      <w:r w:rsidRPr="00B6334F">
        <w:rPr>
          <w:rFonts w:ascii="Times New Roman" w:hAnsi="Times New Roman"/>
          <w:b w:val="0"/>
          <w:sz w:val="24"/>
        </w:rPr>
        <w:t xml:space="preserve"> new monetary threshold which essentially provided that non-ADI lenders that did not have at least $50 million in debts due to the corporation were not registrable corporations.  This means that corporations which were previously registrable corporations because they had greater than $5 million in total assets, but which do not meet the new threshold of $50 million in debts owed to the corporation, are now not registrable corporations.  </w:t>
      </w:r>
    </w:p>
    <w:p w14:paraId="1D30DF95" w14:textId="4517DCA8" w:rsidR="005F30AE" w:rsidRDefault="00B6334F" w:rsidP="00B6334F">
      <w:pPr>
        <w:pStyle w:val="Heading"/>
        <w:jc w:val="both"/>
        <w:rPr>
          <w:rFonts w:ascii="Times New Roman" w:hAnsi="Times New Roman" w:cs="Times New Roman"/>
          <w:b w:val="0"/>
          <w:sz w:val="24"/>
          <w:szCs w:val="24"/>
        </w:rPr>
      </w:pPr>
      <w:r w:rsidRPr="00B6334F">
        <w:rPr>
          <w:rFonts w:ascii="Times New Roman" w:hAnsi="Times New Roman" w:cs="Times New Roman"/>
          <w:b w:val="0"/>
          <w:bCs/>
          <w:sz w:val="24"/>
          <w:szCs w:val="24"/>
        </w:rPr>
        <w:t>There are estimated to be 30 to 40 corporations that fall within this group.  All are currently registered entities,</w:t>
      </w:r>
      <w:r w:rsidR="007C574E">
        <w:rPr>
          <w:rFonts w:ascii="Times New Roman" w:hAnsi="Times New Roman" w:cs="Times New Roman"/>
          <w:b w:val="0"/>
          <w:bCs/>
          <w:sz w:val="24"/>
          <w:szCs w:val="24"/>
        </w:rPr>
        <w:t xml:space="preserve"> however</w:t>
      </w:r>
      <w:r w:rsidRPr="00B6334F">
        <w:rPr>
          <w:rFonts w:ascii="Times New Roman" w:hAnsi="Times New Roman" w:cs="Times New Roman"/>
          <w:b w:val="0"/>
          <w:bCs/>
          <w:sz w:val="24"/>
          <w:szCs w:val="24"/>
        </w:rPr>
        <w:t xml:space="preserve"> under paragraph 10(c) of FSCODA, </w:t>
      </w:r>
      <w:r w:rsidRPr="00B6334F">
        <w:rPr>
          <w:rFonts w:ascii="Times New Roman" w:hAnsi="Times New Roman" w:cs="Times New Roman"/>
          <w:b w:val="0"/>
          <w:bCs/>
          <w:sz w:val="24"/>
          <w:szCs w:val="24"/>
          <w:lang w:val="en"/>
        </w:rPr>
        <w:t>if a corporation whose name is entered in the Register</w:t>
      </w:r>
      <w:r w:rsidR="004202FB">
        <w:rPr>
          <w:rStyle w:val="FootnoteReference"/>
          <w:rFonts w:ascii="Times New Roman" w:hAnsi="Times New Roman" w:cs="Times New Roman"/>
          <w:b w:val="0"/>
          <w:bCs/>
          <w:sz w:val="24"/>
          <w:szCs w:val="24"/>
          <w:lang w:val="en"/>
        </w:rPr>
        <w:footnoteReference w:id="3"/>
      </w:r>
      <w:r w:rsidR="007C574E">
        <w:rPr>
          <w:rFonts w:ascii="Times New Roman" w:hAnsi="Times New Roman" w:cs="Times New Roman"/>
          <w:b w:val="0"/>
          <w:bCs/>
          <w:sz w:val="24"/>
          <w:szCs w:val="24"/>
          <w:lang w:val="en"/>
        </w:rPr>
        <w:t xml:space="preserve"> ceases to exist</w:t>
      </w:r>
      <w:r w:rsidRPr="00B6334F">
        <w:rPr>
          <w:rFonts w:ascii="Times New Roman" w:hAnsi="Times New Roman" w:cs="Times New Roman"/>
          <w:b w:val="0"/>
          <w:bCs/>
          <w:sz w:val="24"/>
          <w:szCs w:val="24"/>
          <w:lang w:val="en"/>
        </w:rPr>
        <w:t xml:space="preserve"> or ceases to be a registrable corporation, APRA must cause the corporation to be removed from the Register. </w:t>
      </w:r>
      <w:r w:rsidRPr="00B6334F">
        <w:rPr>
          <w:rFonts w:ascii="Times New Roman" w:hAnsi="Times New Roman" w:cs="Times New Roman"/>
          <w:b w:val="0"/>
          <w:bCs/>
          <w:sz w:val="24"/>
          <w:szCs w:val="24"/>
        </w:rPr>
        <w:t xml:space="preserve">This is significant because a corporation which has been </w:t>
      </w:r>
      <w:r w:rsidRPr="00B6334F">
        <w:rPr>
          <w:rFonts w:ascii="Times New Roman" w:hAnsi="Times New Roman" w:cs="Times New Roman"/>
          <w:b w:val="0"/>
          <w:bCs/>
          <w:sz w:val="24"/>
          <w:szCs w:val="24"/>
          <w:lang w:val="en"/>
        </w:rPr>
        <w:t>removed from the Register will no longer be a registered entity as defined in s</w:t>
      </w:r>
      <w:r w:rsidR="00BF555C">
        <w:rPr>
          <w:rFonts w:ascii="Times New Roman" w:hAnsi="Times New Roman" w:cs="Times New Roman"/>
          <w:b w:val="0"/>
          <w:bCs/>
          <w:sz w:val="24"/>
          <w:szCs w:val="24"/>
          <w:lang w:val="en"/>
        </w:rPr>
        <w:t xml:space="preserve">ubsection </w:t>
      </w:r>
      <w:r w:rsidRPr="00B6334F">
        <w:rPr>
          <w:rFonts w:ascii="Times New Roman" w:hAnsi="Times New Roman" w:cs="Times New Roman"/>
          <w:b w:val="0"/>
          <w:bCs/>
          <w:sz w:val="24"/>
          <w:szCs w:val="24"/>
          <w:lang w:val="en"/>
        </w:rPr>
        <w:t>5(3) of FSCODA and for that reason w</w:t>
      </w:r>
      <w:r w:rsidR="00B3032C">
        <w:rPr>
          <w:rFonts w:ascii="Times New Roman" w:hAnsi="Times New Roman" w:cs="Times New Roman"/>
          <w:b w:val="0"/>
          <w:bCs/>
          <w:sz w:val="24"/>
          <w:szCs w:val="24"/>
          <w:lang w:val="en"/>
        </w:rPr>
        <w:t>ould</w:t>
      </w:r>
      <w:r w:rsidRPr="00B6334F">
        <w:rPr>
          <w:rFonts w:ascii="Times New Roman" w:hAnsi="Times New Roman" w:cs="Times New Roman"/>
          <w:b w:val="0"/>
          <w:bCs/>
          <w:sz w:val="24"/>
          <w:szCs w:val="24"/>
          <w:lang w:val="en"/>
        </w:rPr>
        <w:t xml:space="preserve"> no longer be covered by </w:t>
      </w:r>
      <w:r w:rsidR="00B3032C">
        <w:rPr>
          <w:rFonts w:ascii="Times New Roman" w:hAnsi="Times New Roman" w:cs="Times New Roman"/>
          <w:b w:val="0"/>
          <w:bCs/>
          <w:sz w:val="24"/>
          <w:szCs w:val="24"/>
          <w:lang w:val="en"/>
        </w:rPr>
        <w:t xml:space="preserve">the 2015 </w:t>
      </w:r>
      <w:r w:rsidRPr="00B6334F">
        <w:rPr>
          <w:rFonts w:ascii="Times New Roman" w:hAnsi="Times New Roman" w:cs="Times New Roman"/>
          <w:b w:val="0"/>
          <w:bCs/>
          <w:sz w:val="24"/>
          <w:szCs w:val="24"/>
          <w:lang w:val="en"/>
        </w:rPr>
        <w:t xml:space="preserve">Exemption.  This consequence </w:t>
      </w:r>
      <w:r w:rsidR="008E0961">
        <w:rPr>
          <w:rFonts w:ascii="Times New Roman" w:hAnsi="Times New Roman" w:cs="Times New Roman"/>
          <w:b w:val="0"/>
          <w:bCs/>
          <w:sz w:val="24"/>
          <w:szCs w:val="24"/>
          <w:lang w:val="en"/>
        </w:rPr>
        <w:t xml:space="preserve">was unintended: it </w:t>
      </w:r>
      <w:r w:rsidRPr="00B6334F">
        <w:rPr>
          <w:rFonts w:ascii="Times New Roman" w:hAnsi="Times New Roman" w:cs="Times New Roman"/>
          <w:b w:val="0"/>
          <w:bCs/>
          <w:sz w:val="24"/>
          <w:szCs w:val="24"/>
          <w:lang w:val="en"/>
        </w:rPr>
        <w:t xml:space="preserve">was not identified in the legislative development process </w:t>
      </w:r>
      <w:r w:rsidR="0017550C">
        <w:rPr>
          <w:rFonts w:ascii="Times New Roman" w:hAnsi="Times New Roman" w:cs="Times New Roman"/>
          <w:b w:val="0"/>
          <w:bCs/>
          <w:sz w:val="24"/>
          <w:szCs w:val="24"/>
          <w:lang w:val="en"/>
        </w:rPr>
        <w:t>for the Non-ADI Lenders Act and was not consulted on</w:t>
      </w:r>
      <w:r w:rsidRPr="00B6334F">
        <w:rPr>
          <w:rFonts w:ascii="Times New Roman" w:hAnsi="Times New Roman" w:cs="Times New Roman"/>
          <w:b w:val="0"/>
          <w:bCs/>
          <w:sz w:val="24"/>
          <w:szCs w:val="24"/>
          <w:lang w:val="en"/>
        </w:rPr>
        <w:t>.</w:t>
      </w:r>
    </w:p>
    <w:p w14:paraId="76FE170A" w14:textId="77777777" w:rsidR="005E67E9" w:rsidRDefault="008B7528" w:rsidP="001C001C">
      <w:pPr>
        <w:pStyle w:val="Heading"/>
        <w:numPr>
          <w:ilvl w:val="0"/>
          <w:numId w:val="1"/>
        </w:numPr>
        <w:tabs>
          <w:tab w:val="clear" w:pos="360"/>
          <w:tab w:val="num" w:pos="0"/>
        </w:tabs>
        <w:ind w:left="0" w:firstLine="0"/>
        <w:jc w:val="both"/>
        <w:rPr>
          <w:rFonts w:ascii="Times New Roman" w:hAnsi="Times New Roman" w:cs="Times New Roman"/>
          <w:sz w:val="24"/>
          <w:szCs w:val="24"/>
        </w:rPr>
      </w:pPr>
      <w:r w:rsidRPr="00BC7834">
        <w:rPr>
          <w:rFonts w:ascii="Times New Roman" w:hAnsi="Times New Roman" w:cs="Times New Roman"/>
          <w:sz w:val="24"/>
          <w:szCs w:val="24"/>
        </w:rPr>
        <w:t xml:space="preserve">Purpose of </w:t>
      </w:r>
      <w:r w:rsidR="00D07DD9">
        <w:rPr>
          <w:rFonts w:ascii="Times New Roman" w:hAnsi="Times New Roman" w:cs="Times New Roman"/>
          <w:sz w:val="24"/>
          <w:szCs w:val="24"/>
        </w:rPr>
        <w:t>making the</w:t>
      </w:r>
      <w:r w:rsidR="00ED1A15">
        <w:rPr>
          <w:rFonts w:ascii="Times New Roman" w:hAnsi="Times New Roman" w:cs="Times New Roman"/>
          <w:sz w:val="24"/>
          <w:szCs w:val="24"/>
        </w:rPr>
        <w:t xml:space="preserve"> </w:t>
      </w:r>
      <w:r w:rsidRPr="00BC7834">
        <w:rPr>
          <w:rFonts w:ascii="Times New Roman" w:hAnsi="Times New Roman" w:cs="Times New Roman"/>
          <w:sz w:val="24"/>
          <w:szCs w:val="24"/>
        </w:rPr>
        <w:t>instrument</w:t>
      </w:r>
      <w:bookmarkStart w:id="6" w:name="bkPurpose"/>
      <w:bookmarkStart w:id="7" w:name="bkoperation"/>
      <w:bookmarkStart w:id="8" w:name="bkConsultationNo"/>
      <w:bookmarkEnd w:id="6"/>
      <w:bookmarkEnd w:id="7"/>
      <w:bookmarkEnd w:id="8"/>
    </w:p>
    <w:p w14:paraId="0CC6D884" w14:textId="0243AD28" w:rsidR="00CC6A8F" w:rsidRDefault="000906FC" w:rsidP="00E60B8F">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The purpose of </w:t>
      </w:r>
      <w:r w:rsidR="0017550C">
        <w:rPr>
          <w:rFonts w:ascii="Times New Roman" w:hAnsi="Times New Roman" w:cs="Times New Roman"/>
          <w:b w:val="0"/>
          <w:sz w:val="24"/>
          <w:szCs w:val="24"/>
        </w:rPr>
        <w:t xml:space="preserve">making the </w:t>
      </w:r>
      <w:r>
        <w:rPr>
          <w:rFonts w:ascii="Times New Roman" w:hAnsi="Times New Roman" w:cs="Times New Roman"/>
          <w:b w:val="0"/>
          <w:sz w:val="24"/>
          <w:szCs w:val="24"/>
        </w:rPr>
        <w:t>201</w:t>
      </w:r>
      <w:r w:rsidR="0017550C">
        <w:rPr>
          <w:rFonts w:ascii="Times New Roman" w:hAnsi="Times New Roman" w:cs="Times New Roman"/>
          <w:b w:val="0"/>
          <w:sz w:val="24"/>
          <w:szCs w:val="24"/>
        </w:rPr>
        <w:t>8</w:t>
      </w:r>
      <w:r>
        <w:rPr>
          <w:rFonts w:ascii="Times New Roman" w:hAnsi="Times New Roman" w:cs="Times New Roman"/>
          <w:b w:val="0"/>
          <w:sz w:val="24"/>
          <w:szCs w:val="24"/>
        </w:rPr>
        <w:t xml:space="preserve"> Exemption is to </w:t>
      </w:r>
      <w:r w:rsidR="00741683">
        <w:rPr>
          <w:rFonts w:ascii="Times New Roman" w:hAnsi="Times New Roman" w:cs="Times New Roman"/>
          <w:b w:val="0"/>
          <w:sz w:val="24"/>
          <w:szCs w:val="24"/>
        </w:rPr>
        <w:t>ensure that corporations which</w:t>
      </w:r>
      <w:r w:rsidR="008F5236">
        <w:rPr>
          <w:rFonts w:ascii="Times New Roman" w:hAnsi="Times New Roman" w:cs="Times New Roman"/>
          <w:b w:val="0"/>
          <w:sz w:val="24"/>
          <w:szCs w:val="24"/>
        </w:rPr>
        <w:t xml:space="preserve"> </w:t>
      </w:r>
      <w:r w:rsidR="00CC6A8F">
        <w:rPr>
          <w:rFonts w:ascii="Times New Roman" w:hAnsi="Times New Roman" w:cs="Times New Roman"/>
          <w:b w:val="0"/>
          <w:sz w:val="24"/>
          <w:szCs w:val="24"/>
        </w:rPr>
        <w:t>p</w:t>
      </w:r>
      <w:r w:rsidR="008E0961">
        <w:rPr>
          <w:rFonts w:ascii="Times New Roman" w:hAnsi="Times New Roman" w:cs="Times New Roman"/>
          <w:b w:val="0"/>
          <w:sz w:val="24"/>
          <w:szCs w:val="24"/>
        </w:rPr>
        <w:t xml:space="preserve">reviously met the definition of </w:t>
      </w:r>
      <w:r w:rsidR="00EA1536">
        <w:rPr>
          <w:rFonts w:ascii="Times New Roman" w:hAnsi="Times New Roman" w:cs="Times New Roman"/>
          <w:b w:val="0"/>
          <w:sz w:val="24"/>
          <w:szCs w:val="24"/>
        </w:rPr>
        <w:t>‘regist</w:t>
      </w:r>
      <w:r w:rsidR="00B3032C">
        <w:rPr>
          <w:rFonts w:ascii="Times New Roman" w:hAnsi="Times New Roman" w:cs="Times New Roman"/>
          <w:b w:val="0"/>
          <w:sz w:val="24"/>
          <w:szCs w:val="24"/>
        </w:rPr>
        <w:t>rable corporation’</w:t>
      </w:r>
      <w:r w:rsidR="008E0961">
        <w:rPr>
          <w:rFonts w:ascii="Times New Roman" w:hAnsi="Times New Roman" w:cs="Times New Roman"/>
          <w:b w:val="0"/>
          <w:sz w:val="24"/>
          <w:szCs w:val="24"/>
        </w:rPr>
        <w:t xml:space="preserve"> can </w:t>
      </w:r>
      <w:r>
        <w:rPr>
          <w:rFonts w:ascii="Times New Roman" w:hAnsi="Times New Roman" w:cs="Times New Roman"/>
          <w:b w:val="0"/>
          <w:sz w:val="24"/>
          <w:szCs w:val="24"/>
        </w:rPr>
        <w:t xml:space="preserve">continue to </w:t>
      </w:r>
      <w:r w:rsidR="008E0961">
        <w:rPr>
          <w:rFonts w:ascii="Times New Roman" w:hAnsi="Times New Roman" w:cs="Times New Roman"/>
          <w:b w:val="0"/>
          <w:sz w:val="24"/>
          <w:szCs w:val="24"/>
        </w:rPr>
        <w:t xml:space="preserve">carry on their business of providing finance </w:t>
      </w:r>
      <w:r w:rsidR="00F57F83">
        <w:rPr>
          <w:rFonts w:ascii="Times New Roman" w:hAnsi="Times New Roman" w:cs="Times New Roman"/>
          <w:b w:val="0"/>
          <w:sz w:val="24"/>
          <w:szCs w:val="24"/>
        </w:rPr>
        <w:t>funded by</w:t>
      </w:r>
      <w:r w:rsidR="008E0961">
        <w:rPr>
          <w:rFonts w:ascii="Times New Roman" w:hAnsi="Times New Roman" w:cs="Times New Roman"/>
          <w:b w:val="0"/>
          <w:sz w:val="24"/>
          <w:szCs w:val="24"/>
        </w:rPr>
        <w:t xml:space="preserve"> retail investors without breaching section 8 of the Banking Act. They will be able to do so provided that they comply with the conditions of the 2018 E</w:t>
      </w:r>
      <w:r>
        <w:rPr>
          <w:rFonts w:ascii="Times New Roman" w:hAnsi="Times New Roman" w:cs="Times New Roman"/>
          <w:b w:val="0"/>
          <w:sz w:val="24"/>
          <w:szCs w:val="24"/>
        </w:rPr>
        <w:t>xempt</w:t>
      </w:r>
      <w:r w:rsidR="008E0961">
        <w:rPr>
          <w:rFonts w:ascii="Times New Roman" w:hAnsi="Times New Roman" w:cs="Times New Roman"/>
          <w:b w:val="0"/>
          <w:sz w:val="24"/>
          <w:szCs w:val="24"/>
        </w:rPr>
        <w:t xml:space="preserve">ion, which are </w:t>
      </w:r>
      <w:r w:rsidR="00B979F1">
        <w:rPr>
          <w:rFonts w:ascii="Times New Roman" w:hAnsi="Times New Roman" w:cs="Times New Roman"/>
          <w:b w:val="0"/>
          <w:sz w:val="24"/>
          <w:szCs w:val="24"/>
        </w:rPr>
        <w:t xml:space="preserve">in substance </w:t>
      </w:r>
      <w:r w:rsidR="008E0961">
        <w:rPr>
          <w:rFonts w:ascii="Times New Roman" w:hAnsi="Times New Roman" w:cs="Times New Roman"/>
          <w:b w:val="0"/>
          <w:sz w:val="24"/>
          <w:szCs w:val="24"/>
        </w:rPr>
        <w:t>the same as those that applied under the 2015 Exemption.</w:t>
      </w:r>
    </w:p>
    <w:p w14:paraId="436CF96C" w14:textId="68CAC033" w:rsidR="00BF6681" w:rsidRPr="00741683" w:rsidRDefault="00CC6A8F" w:rsidP="00E60B8F">
      <w:pPr>
        <w:pStyle w:val="Heading"/>
        <w:jc w:val="both"/>
        <w:rPr>
          <w:rFonts w:ascii="Times New Roman" w:hAnsi="Times New Roman" w:cs="Times New Roman"/>
          <w:b w:val="0"/>
          <w:sz w:val="24"/>
          <w:szCs w:val="24"/>
        </w:rPr>
      </w:pPr>
      <w:r>
        <w:rPr>
          <w:rFonts w:ascii="Times New Roman" w:hAnsi="Times New Roman" w:cs="Times New Roman"/>
          <w:b w:val="0"/>
          <w:sz w:val="24"/>
          <w:szCs w:val="24"/>
        </w:rPr>
        <w:t>In the same way that the 2015 Exemption did, t</w:t>
      </w:r>
      <w:r w:rsidR="008E0961">
        <w:rPr>
          <w:rFonts w:ascii="Times New Roman" w:hAnsi="Times New Roman" w:cs="Times New Roman"/>
          <w:b w:val="0"/>
          <w:sz w:val="24"/>
          <w:szCs w:val="24"/>
        </w:rPr>
        <w:t xml:space="preserve">he </w:t>
      </w:r>
      <w:r>
        <w:rPr>
          <w:rFonts w:ascii="Times New Roman" w:hAnsi="Times New Roman" w:cs="Times New Roman"/>
          <w:b w:val="0"/>
          <w:sz w:val="24"/>
          <w:szCs w:val="24"/>
        </w:rPr>
        <w:t xml:space="preserve">2018 Exemption </w:t>
      </w:r>
      <w:r w:rsidR="007C574E">
        <w:rPr>
          <w:rFonts w:ascii="Times New Roman" w:hAnsi="Times New Roman" w:cs="Times New Roman"/>
          <w:b w:val="0"/>
          <w:sz w:val="24"/>
          <w:szCs w:val="24"/>
        </w:rPr>
        <w:t>applies to</w:t>
      </w:r>
      <w:r>
        <w:rPr>
          <w:rFonts w:ascii="Times New Roman" w:hAnsi="Times New Roman" w:cs="Times New Roman"/>
          <w:b w:val="0"/>
          <w:sz w:val="24"/>
          <w:szCs w:val="24"/>
        </w:rPr>
        <w:t xml:space="preserve"> corporations that are </w:t>
      </w:r>
      <w:r w:rsidR="00B3032C">
        <w:rPr>
          <w:rFonts w:ascii="Times New Roman" w:hAnsi="Times New Roman" w:cs="Times New Roman"/>
          <w:b w:val="0"/>
          <w:sz w:val="24"/>
          <w:szCs w:val="24"/>
        </w:rPr>
        <w:t>‘registered entities’</w:t>
      </w:r>
      <w:r>
        <w:rPr>
          <w:rFonts w:ascii="Times New Roman" w:hAnsi="Times New Roman" w:cs="Times New Roman"/>
          <w:b w:val="0"/>
          <w:sz w:val="24"/>
          <w:szCs w:val="24"/>
        </w:rPr>
        <w:t xml:space="preserve"> within the meaning of section 5 of FSCODA.  However, the 2018 Exemption is expressed to also </w:t>
      </w:r>
      <w:r w:rsidR="007C574E">
        <w:rPr>
          <w:rFonts w:ascii="Times New Roman" w:hAnsi="Times New Roman" w:cs="Times New Roman"/>
          <w:b w:val="0"/>
          <w:sz w:val="24"/>
          <w:szCs w:val="24"/>
        </w:rPr>
        <w:t>apply to</w:t>
      </w:r>
      <w:r>
        <w:rPr>
          <w:rFonts w:ascii="Times New Roman" w:hAnsi="Times New Roman" w:cs="Times New Roman"/>
          <w:b w:val="0"/>
          <w:sz w:val="24"/>
          <w:szCs w:val="24"/>
        </w:rPr>
        <w:t xml:space="preserve"> </w:t>
      </w:r>
      <w:r w:rsidR="00741683" w:rsidRPr="00741683">
        <w:rPr>
          <w:rFonts w:ascii="Times New Roman" w:hAnsi="Times New Roman" w:cs="Times New Roman"/>
          <w:b w:val="0"/>
          <w:iCs/>
          <w:sz w:val="24"/>
          <w:szCs w:val="24"/>
        </w:rPr>
        <w:t xml:space="preserve">a </w:t>
      </w:r>
      <w:r w:rsidR="00B3032C">
        <w:rPr>
          <w:rFonts w:ascii="Times New Roman" w:hAnsi="Times New Roman" w:cs="Times New Roman"/>
          <w:b w:val="0"/>
          <w:iCs/>
          <w:sz w:val="24"/>
          <w:szCs w:val="24"/>
        </w:rPr>
        <w:t>‘</w:t>
      </w:r>
      <w:r w:rsidR="00741683" w:rsidRPr="00741683">
        <w:rPr>
          <w:rFonts w:ascii="Times New Roman" w:hAnsi="Times New Roman" w:cs="Times New Roman"/>
          <w:b w:val="0"/>
          <w:iCs/>
          <w:sz w:val="24"/>
          <w:szCs w:val="24"/>
        </w:rPr>
        <w:t xml:space="preserve">corporation that meets the definition of “registrable corporation” in section 7 of </w:t>
      </w:r>
      <w:r w:rsidR="003016BB">
        <w:rPr>
          <w:rFonts w:ascii="Times New Roman" w:hAnsi="Times New Roman" w:cs="Times New Roman"/>
          <w:b w:val="0"/>
          <w:iCs/>
          <w:sz w:val="24"/>
          <w:szCs w:val="24"/>
        </w:rPr>
        <w:t>FSCODA</w:t>
      </w:r>
      <w:r w:rsidR="00741683" w:rsidRPr="00741683">
        <w:rPr>
          <w:rFonts w:ascii="Times New Roman" w:hAnsi="Times New Roman" w:cs="Times New Roman"/>
          <w:b w:val="0"/>
          <w:iCs/>
          <w:sz w:val="24"/>
          <w:szCs w:val="24"/>
        </w:rPr>
        <w:t xml:space="preserve"> as it existed immediately prior to amendment by the </w:t>
      </w:r>
      <w:r w:rsidR="003016BB" w:rsidRPr="00B6334F">
        <w:rPr>
          <w:rFonts w:ascii="Times New Roman" w:hAnsi="Times New Roman" w:cs="Times New Roman"/>
          <w:b w:val="0"/>
          <w:sz w:val="24"/>
          <w:szCs w:val="24"/>
        </w:rPr>
        <w:t>Non-ADI Lenders Act</w:t>
      </w:r>
      <w:r w:rsidR="00741683">
        <w:rPr>
          <w:rFonts w:ascii="Times New Roman" w:hAnsi="Times New Roman" w:cs="Times New Roman"/>
          <w:b w:val="0"/>
          <w:i/>
          <w:iCs/>
          <w:sz w:val="24"/>
          <w:szCs w:val="24"/>
        </w:rPr>
        <w:t>.</w:t>
      </w:r>
    </w:p>
    <w:p w14:paraId="46A98A49" w14:textId="77777777" w:rsidR="00545FD8" w:rsidRPr="00BF6681" w:rsidRDefault="00741683" w:rsidP="00741683">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The only other departure from the </w:t>
      </w:r>
      <w:r w:rsidR="00435CE6">
        <w:rPr>
          <w:rFonts w:ascii="Times New Roman" w:hAnsi="Times New Roman" w:cs="Times New Roman"/>
          <w:b w:val="0"/>
          <w:sz w:val="24"/>
          <w:szCs w:val="24"/>
        </w:rPr>
        <w:t>terms of the 2015 Exemption has been the r</w:t>
      </w:r>
      <w:r w:rsidR="00545FD8">
        <w:rPr>
          <w:rFonts w:ascii="Times New Roman" w:hAnsi="Times New Roman" w:cs="Times New Roman"/>
          <w:b w:val="0"/>
          <w:sz w:val="24"/>
          <w:szCs w:val="24"/>
        </w:rPr>
        <w:t>emoval of redundant transitional provisions.</w:t>
      </w:r>
    </w:p>
    <w:p w14:paraId="712AFB7E" w14:textId="77777777" w:rsidR="001C4593" w:rsidRDefault="008B7528" w:rsidP="00995BF8">
      <w:pPr>
        <w:pStyle w:val="Heading"/>
        <w:numPr>
          <w:ilvl w:val="0"/>
          <w:numId w:val="1"/>
        </w:numPr>
        <w:tabs>
          <w:tab w:val="left" w:pos="0"/>
        </w:tabs>
        <w:jc w:val="both"/>
        <w:rPr>
          <w:rFonts w:ascii="Times New Roman" w:hAnsi="Times New Roman" w:cs="Times New Roman"/>
          <w:sz w:val="24"/>
          <w:szCs w:val="24"/>
        </w:rPr>
      </w:pPr>
      <w:r w:rsidRPr="00BC7834">
        <w:rPr>
          <w:rFonts w:ascii="Times New Roman" w:hAnsi="Times New Roman" w:cs="Times New Roman"/>
          <w:sz w:val="24"/>
          <w:szCs w:val="24"/>
        </w:rPr>
        <w:t>Consultation</w:t>
      </w:r>
    </w:p>
    <w:p w14:paraId="18FEFCF9" w14:textId="0E6E8F1C" w:rsidR="00945643" w:rsidRPr="00945643" w:rsidRDefault="00945643" w:rsidP="00945643">
      <w:pPr>
        <w:pStyle w:val="Heading"/>
        <w:jc w:val="both"/>
        <w:rPr>
          <w:rFonts w:ascii="Times New Roman" w:hAnsi="Times New Roman" w:cs="Times New Roman"/>
          <w:b w:val="0"/>
          <w:sz w:val="24"/>
          <w:szCs w:val="24"/>
        </w:rPr>
      </w:pPr>
      <w:r w:rsidRPr="00945643">
        <w:rPr>
          <w:rFonts w:ascii="Times New Roman" w:hAnsi="Times New Roman" w:cs="Times New Roman"/>
          <w:b w:val="0"/>
          <w:sz w:val="24"/>
          <w:szCs w:val="24"/>
        </w:rPr>
        <w:t xml:space="preserve">At the time consultation was conducted for the Non-ADI Lenders Act there was no suggestion that a necessary consequence of the changes to the definition of registerable corporation would reduce the range of entities that would </w:t>
      </w:r>
      <w:r w:rsidR="00B901F0">
        <w:rPr>
          <w:rFonts w:ascii="Times New Roman" w:hAnsi="Times New Roman" w:cs="Times New Roman"/>
          <w:b w:val="0"/>
          <w:sz w:val="24"/>
          <w:szCs w:val="24"/>
        </w:rPr>
        <w:t xml:space="preserve">have the benefit of the 2015 </w:t>
      </w:r>
      <w:r w:rsidRPr="00945643">
        <w:rPr>
          <w:rFonts w:ascii="Times New Roman" w:hAnsi="Times New Roman" w:cs="Times New Roman"/>
          <w:b w:val="0"/>
          <w:sz w:val="24"/>
          <w:szCs w:val="24"/>
        </w:rPr>
        <w:t xml:space="preserve">Exemption. Those </w:t>
      </w:r>
      <w:r w:rsidR="007C574E">
        <w:rPr>
          <w:rFonts w:ascii="Times New Roman" w:hAnsi="Times New Roman" w:cs="Times New Roman"/>
          <w:b w:val="0"/>
          <w:sz w:val="24"/>
          <w:szCs w:val="24"/>
        </w:rPr>
        <w:t>entities</w:t>
      </w:r>
      <w:r w:rsidRPr="00945643">
        <w:rPr>
          <w:rFonts w:ascii="Times New Roman" w:hAnsi="Times New Roman" w:cs="Times New Roman"/>
          <w:b w:val="0"/>
          <w:sz w:val="24"/>
          <w:szCs w:val="24"/>
        </w:rPr>
        <w:t xml:space="preserve"> that are no longer r</w:t>
      </w:r>
      <w:r w:rsidR="007C574E">
        <w:rPr>
          <w:rFonts w:ascii="Times New Roman" w:hAnsi="Times New Roman" w:cs="Times New Roman"/>
          <w:b w:val="0"/>
          <w:sz w:val="24"/>
          <w:szCs w:val="24"/>
        </w:rPr>
        <w:t>egist</w:t>
      </w:r>
      <w:r w:rsidRPr="00945643">
        <w:rPr>
          <w:rFonts w:ascii="Times New Roman" w:hAnsi="Times New Roman" w:cs="Times New Roman"/>
          <w:b w:val="0"/>
          <w:sz w:val="24"/>
          <w:szCs w:val="24"/>
        </w:rPr>
        <w:t xml:space="preserve">rable </w:t>
      </w:r>
      <w:r w:rsidR="007C574E">
        <w:rPr>
          <w:rFonts w:ascii="Times New Roman" w:hAnsi="Times New Roman" w:cs="Times New Roman"/>
          <w:b w:val="0"/>
          <w:sz w:val="24"/>
          <w:szCs w:val="24"/>
        </w:rPr>
        <w:t>corporations</w:t>
      </w:r>
      <w:r w:rsidRPr="00945643">
        <w:rPr>
          <w:rFonts w:ascii="Times New Roman" w:hAnsi="Times New Roman" w:cs="Times New Roman"/>
          <w:b w:val="0"/>
          <w:sz w:val="24"/>
          <w:szCs w:val="24"/>
        </w:rPr>
        <w:t xml:space="preserve"> have continued to carry on business with the protection of the </w:t>
      </w:r>
      <w:r w:rsidR="00B901F0">
        <w:rPr>
          <w:rFonts w:ascii="Times New Roman" w:hAnsi="Times New Roman" w:cs="Times New Roman"/>
          <w:b w:val="0"/>
          <w:sz w:val="24"/>
          <w:szCs w:val="24"/>
        </w:rPr>
        <w:t>2015</w:t>
      </w:r>
      <w:r w:rsidRPr="00945643">
        <w:rPr>
          <w:rFonts w:ascii="Times New Roman" w:hAnsi="Times New Roman" w:cs="Times New Roman"/>
          <w:b w:val="0"/>
          <w:sz w:val="24"/>
          <w:szCs w:val="24"/>
        </w:rPr>
        <w:t xml:space="preserve"> Exemption as they have continued to be registered entities. Re-making the Banking Exemption to include those entities prior to APRA removing entities from the Register will seamlessly continue the protection </w:t>
      </w:r>
      <w:r w:rsidR="00B901F0">
        <w:rPr>
          <w:rFonts w:ascii="Times New Roman" w:hAnsi="Times New Roman" w:cs="Times New Roman"/>
          <w:b w:val="0"/>
          <w:sz w:val="24"/>
          <w:szCs w:val="24"/>
        </w:rPr>
        <w:t>previously afforded to them</w:t>
      </w:r>
      <w:r w:rsidRPr="00945643">
        <w:rPr>
          <w:rFonts w:ascii="Times New Roman" w:hAnsi="Times New Roman" w:cs="Times New Roman"/>
          <w:b w:val="0"/>
          <w:sz w:val="24"/>
          <w:szCs w:val="24"/>
        </w:rPr>
        <w:t>. The proposed class exemption continues the status quo and will reverse an unintended consequence of new legislation. For these reason</w:t>
      </w:r>
      <w:r w:rsidR="00A87B36">
        <w:rPr>
          <w:rFonts w:ascii="Times New Roman" w:hAnsi="Times New Roman" w:cs="Times New Roman"/>
          <w:b w:val="0"/>
          <w:sz w:val="24"/>
          <w:szCs w:val="24"/>
        </w:rPr>
        <w:t>s</w:t>
      </w:r>
      <w:r w:rsidRPr="00945643">
        <w:rPr>
          <w:rFonts w:ascii="Times New Roman" w:hAnsi="Times New Roman" w:cs="Times New Roman"/>
          <w:b w:val="0"/>
          <w:sz w:val="24"/>
          <w:szCs w:val="24"/>
        </w:rPr>
        <w:t xml:space="preserve"> APRA consider</w:t>
      </w:r>
      <w:r>
        <w:rPr>
          <w:rFonts w:ascii="Times New Roman" w:hAnsi="Times New Roman" w:cs="Times New Roman"/>
          <w:b w:val="0"/>
          <w:sz w:val="24"/>
          <w:szCs w:val="24"/>
        </w:rPr>
        <w:t>ed</w:t>
      </w:r>
      <w:r w:rsidRPr="00945643">
        <w:rPr>
          <w:rFonts w:ascii="Times New Roman" w:hAnsi="Times New Roman" w:cs="Times New Roman"/>
          <w:b w:val="0"/>
          <w:sz w:val="24"/>
          <w:szCs w:val="24"/>
        </w:rPr>
        <w:t xml:space="preserve"> that it </w:t>
      </w:r>
      <w:r>
        <w:rPr>
          <w:rFonts w:ascii="Times New Roman" w:hAnsi="Times New Roman" w:cs="Times New Roman"/>
          <w:b w:val="0"/>
          <w:sz w:val="24"/>
          <w:szCs w:val="24"/>
        </w:rPr>
        <w:t>was</w:t>
      </w:r>
      <w:r w:rsidRPr="00945643">
        <w:rPr>
          <w:rFonts w:ascii="Times New Roman" w:hAnsi="Times New Roman" w:cs="Times New Roman"/>
          <w:b w:val="0"/>
          <w:sz w:val="24"/>
          <w:szCs w:val="24"/>
        </w:rPr>
        <w:t xml:space="preserve"> appropriate not to undertake consult</w:t>
      </w:r>
      <w:r>
        <w:rPr>
          <w:rFonts w:ascii="Times New Roman" w:hAnsi="Times New Roman" w:cs="Times New Roman"/>
          <w:b w:val="0"/>
          <w:sz w:val="24"/>
          <w:szCs w:val="24"/>
        </w:rPr>
        <w:t>ation</w:t>
      </w:r>
      <w:r w:rsidRPr="00945643">
        <w:rPr>
          <w:rFonts w:ascii="Times New Roman" w:hAnsi="Times New Roman" w:cs="Times New Roman"/>
          <w:b w:val="0"/>
          <w:sz w:val="24"/>
          <w:szCs w:val="24"/>
        </w:rPr>
        <w:t xml:space="preserve"> with industry. </w:t>
      </w:r>
    </w:p>
    <w:p w14:paraId="093B9B07" w14:textId="77777777" w:rsidR="001C4593" w:rsidRPr="00BC7834" w:rsidRDefault="001C4593" w:rsidP="00995BF8">
      <w:pPr>
        <w:pStyle w:val="Heading"/>
        <w:numPr>
          <w:ilvl w:val="0"/>
          <w:numId w:val="1"/>
        </w:num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Regulation Impact Statement </w:t>
      </w:r>
    </w:p>
    <w:p w14:paraId="4EB7025B" w14:textId="76F73DE8" w:rsidR="00D62EDA" w:rsidRDefault="00A62AE1" w:rsidP="00D141F4">
      <w:pPr>
        <w:pStyle w:val="Heading"/>
        <w:rPr>
          <w:rFonts w:ascii="Times New Roman" w:hAnsi="Times New Roman"/>
          <w:b w:val="0"/>
          <w:color w:val="000000"/>
          <w:sz w:val="24"/>
        </w:rPr>
      </w:pPr>
      <w:bookmarkStart w:id="9" w:name="bkConsultation"/>
      <w:bookmarkStart w:id="10" w:name="bkRISNO"/>
      <w:bookmarkEnd w:id="9"/>
      <w:bookmarkEnd w:id="10"/>
      <w:r w:rsidRPr="005E083F">
        <w:rPr>
          <w:rFonts w:ascii="Times New Roman" w:hAnsi="Times New Roman" w:cs="Times New Roman"/>
          <w:b w:val="0"/>
          <w:sz w:val="24"/>
          <w:szCs w:val="24"/>
        </w:rPr>
        <w:t>The O</w:t>
      </w:r>
      <w:r w:rsidR="00C072E3">
        <w:rPr>
          <w:rFonts w:ascii="Times New Roman" w:hAnsi="Times New Roman" w:cs="Times New Roman"/>
          <w:b w:val="0"/>
          <w:sz w:val="24"/>
          <w:szCs w:val="24"/>
        </w:rPr>
        <w:t xml:space="preserve">ffice of </w:t>
      </w:r>
      <w:r w:rsidRPr="005E083F">
        <w:rPr>
          <w:rFonts w:ascii="Times New Roman" w:hAnsi="Times New Roman" w:cs="Times New Roman"/>
          <w:b w:val="0"/>
          <w:sz w:val="24"/>
          <w:szCs w:val="24"/>
        </w:rPr>
        <w:t>B</w:t>
      </w:r>
      <w:r w:rsidR="00C072E3">
        <w:rPr>
          <w:rFonts w:ascii="Times New Roman" w:hAnsi="Times New Roman" w:cs="Times New Roman"/>
          <w:b w:val="0"/>
          <w:sz w:val="24"/>
          <w:szCs w:val="24"/>
        </w:rPr>
        <w:t xml:space="preserve">est </w:t>
      </w:r>
      <w:r w:rsidRPr="005E083F">
        <w:rPr>
          <w:rFonts w:ascii="Times New Roman" w:hAnsi="Times New Roman" w:cs="Times New Roman"/>
          <w:b w:val="0"/>
          <w:sz w:val="24"/>
          <w:szCs w:val="24"/>
        </w:rPr>
        <w:t>P</w:t>
      </w:r>
      <w:r w:rsidR="00C072E3">
        <w:rPr>
          <w:rFonts w:ascii="Times New Roman" w:hAnsi="Times New Roman" w:cs="Times New Roman"/>
          <w:b w:val="0"/>
          <w:sz w:val="24"/>
          <w:szCs w:val="24"/>
        </w:rPr>
        <w:t xml:space="preserve">ractice </w:t>
      </w:r>
      <w:r w:rsidRPr="005E083F">
        <w:rPr>
          <w:rFonts w:ascii="Times New Roman" w:hAnsi="Times New Roman" w:cs="Times New Roman"/>
          <w:b w:val="0"/>
          <w:sz w:val="24"/>
          <w:szCs w:val="24"/>
        </w:rPr>
        <w:t>R</w:t>
      </w:r>
      <w:r w:rsidR="00C072E3">
        <w:rPr>
          <w:rFonts w:ascii="Times New Roman" w:hAnsi="Times New Roman" w:cs="Times New Roman"/>
          <w:b w:val="0"/>
          <w:sz w:val="24"/>
          <w:szCs w:val="24"/>
        </w:rPr>
        <w:t>egulation</w:t>
      </w:r>
      <w:r w:rsidRPr="005E083F">
        <w:rPr>
          <w:rFonts w:ascii="Times New Roman" w:hAnsi="Times New Roman" w:cs="Times New Roman"/>
          <w:b w:val="0"/>
          <w:sz w:val="24"/>
          <w:szCs w:val="24"/>
        </w:rPr>
        <w:t xml:space="preserve"> </w:t>
      </w:r>
      <w:r w:rsidR="0007732A">
        <w:rPr>
          <w:rFonts w:ascii="Times New Roman" w:hAnsi="Times New Roman" w:cs="Times New Roman"/>
          <w:b w:val="0"/>
          <w:sz w:val="24"/>
          <w:szCs w:val="24"/>
        </w:rPr>
        <w:t>advised that</w:t>
      </w:r>
      <w:r w:rsidR="009071DB">
        <w:rPr>
          <w:rFonts w:ascii="Times New Roman" w:hAnsi="Times New Roman" w:cs="Times New Roman"/>
          <w:b w:val="0"/>
          <w:sz w:val="24"/>
          <w:szCs w:val="24"/>
        </w:rPr>
        <w:t>,</w:t>
      </w:r>
      <w:r w:rsidRPr="005E083F">
        <w:rPr>
          <w:rFonts w:ascii="Times New Roman" w:hAnsi="Times New Roman" w:cs="Times New Roman"/>
          <w:b w:val="0"/>
          <w:sz w:val="24"/>
          <w:szCs w:val="24"/>
        </w:rPr>
        <w:t xml:space="preserve"> </w:t>
      </w:r>
      <w:r w:rsidR="009A0294">
        <w:rPr>
          <w:rFonts w:ascii="Times New Roman" w:hAnsi="Times New Roman" w:cs="Times New Roman"/>
          <w:b w:val="0"/>
          <w:sz w:val="24"/>
          <w:szCs w:val="24"/>
        </w:rPr>
        <w:t xml:space="preserve">as the proposal to make the 2018 Exemption would correct </w:t>
      </w:r>
      <w:r w:rsidR="009071DB">
        <w:rPr>
          <w:rFonts w:ascii="Times New Roman" w:hAnsi="Times New Roman" w:cs="Times New Roman"/>
          <w:b w:val="0"/>
          <w:sz w:val="24"/>
          <w:szCs w:val="24"/>
        </w:rPr>
        <w:t>an</w:t>
      </w:r>
      <w:r w:rsidR="009A0294">
        <w:rPr>
          <w:rFonts w:ascii="Times New Roman" w:hAnsi="Times New Roman" w:cs="Times New Roman"/>
          <w:b w:val="0"/>
          <w:sz w:val="24"/>
          <w:szCs w:val="24"/>
        </w:rPr>
        <w:t xml:space="preserve"> unintended consequence of </w:t>
      </w:r>
      <w:r w:rsidR="009071DB">
        <w:rPr>
          <w:rFonts w:ascii="Times New Roman" w:hAnsi="Times New Roman" w:cs="Times New Roman"/>
          <w:b w:val="0"/>
          <w:sz w:val="24"/>
          <w:szCs w:val="24"/>
        </w:rPr>
        <w:t xml:space="preserve">the passing of </w:t>
      </w:r>
      <w:r w:rsidR="009071DB" w:rsidRPr="009071DB">
        <w:rPr>
          <w:rFonts w:ascii="Times New Roman" w:hAnsi="Times New Roman" w:cs="Times New Roman"/>
          <w:b w:val="0"/>
          <w:sz w:val="24"/>
          <w:szCs w:val="24"/>
        </w:rPr>
        <w:t xml:space="preserve">the </w:t>
      </w:r>
      <w:r w:rsidR="00536D43">
        <w:rPr>
          <w:rFonts w:ascii="Times New Roman" w:hAnsi="Times New Roman" w:cs="Times New Roman"/>
          <w:b w:val="0"/>
          <w:sz w:val="24"/>
          <w:szCs w:val="24"/>
        </w:rPr>
        <w:t>Non-ADI Lenders</w:t>
      </w:r>
      <w:r w:rsidR="009071DB">
        <w:rPr>
          <w:rFonts w:ascii="Times New Roman" w:hAnsi="Times New Roman" w:cs="Times New Roman"/>
          <w:b w:val="0"/>
          <w:sz w:val="24"/>
          <w:szCs w:val="24"/>
        </w:rPr>
        <w:t xml:space="preserve"> Act</w:t>
      </w:r>
      <w:r w:rsidR="009071DB">
        <w:rPr>
          <w:rFonts w:ascii="Times New Roman" w:hAnsi="Times New Roman" w:cs="Times New Roman"/>
          <w:b w:val="0"/>
          <w:i/>
          <w:iCs/>
          <w:sz w:val="24"/>
          <w:szCs w:val="24"/>
        </w:rPr>
        <w:t xml:space="preserve">, </w:t>
      </w:r>
      <w:r w:rsidR="009071DB">
        <w:rPr>
          <w:rFonts w:ascii="Times New Roman" w:hAnsi="Times New Roman" w:cs="Times New Roman"/>
          <w:b w:val="0"/>
          <w:iCs/>
          <w:sz w:val="24"/>
          <w:szCs w:val="24"/>
        </w:rPr>
        <w:t>it</w:t>
      </w:r>
      <w:r w:rsidR="009A0294">
        <w:rPr>
          <w:rFonts w:ascii="Times New Roman" w:hAnsi="Times New Roman" w:cs="Times New Roman"/>
          <w:b w:val="0"/>
          <w:sz w:val="24"/>
          <w:szCs w:val="24"/>
        </w:rPr>
        <w:t xml:space="preserve"> was</w:t>
      </w:r>
      <w:r w:rsidR="009A0294" w:rsidRPr="009A0294">
        <w:rPr>
          <w:rFonts w:cs="Times New Roman"/>
          <w:b w:val="0"/>
          <w:kern w:val="0"/>
          <w:sz w:val="22"/>
          <w:szCs w:val="24"/>
          <w:lang w:eastAsia="en-AU"/>
        </w:rPr>
        <w:t xml:space="preserve"> </w:t>
      </w:r>
      <w:r w:rsidR="009A0294" w:rsidRPr="009A0294">
        <w:rPr>
          <w:rFonts w:ascii="Times New Roman" w:hAnsi="Times New Roman" w:cs="Times New Roman"/>
          <w:b w:val="0"/>
          <w:sz w:val="24"/>
          <w:szCs w:val="24"/>
        </w:rPr>
        <w:t>not likely to have a regulatory impact on business, community organisations or individuals</w:t>
      </w:r>
      <w:r w:rsidR="009071DB">
        <w:rPr>
          <w:rFonts w:ascii="Times New Roman" w:hAnsi="Times New Roman" w:cs="Times New Roman"/>
          <w:b w:val="0"/>
          <w:sz w:val="24"/>
          <w:szCs w:val="24"/>
        </w:rPr>
        <w:t xml:space="preserve"> and a </w:t>
      </w:r>
      <w:r w:rsidR="00B901F0">
        <w:rPr>
          <w:rFonts w:ascii="Times New Roman" w:hAnsi="Times New Roman" w:cs="Times New Roman"/>
          <w:b w:val="0"/>
          <w:sz w:val="24"/>
          <w:szCs w:val="24"/>
        </w:rPr>
        <w:t>R</w:t>
      </w:r>
      <w:r w:rsidR="000A2D14">
        <w:rPr>
          <w:rFonts w:ascii="Times New Roman" w:hAnsi="Times New Roman" w:cs="Times New Roman"/>
          <w:b w:val="0"/>
          <w:sz w:val="24"/>
          <w:szCs w:val="24"/>
        </w:rPr>
        <w:t>egulation</w:t>
      </w:r>
      <w:r w:rsidRPr="005E083F">
        <w:rPr>
          <w:rFonts w:ascii="Times New Roman" w:hAnsi="Times New Roman" w:cs="Times New Roman"/>
          <w:b w:val="0"/>
          <w:sz w:val="24"/>
          <w:szCs w:val="24"/>
        </w:rPr>
        <w:t xml:space="preserve"> </w:t>
      </w:r>
      <w:r w:rsidR="00B901F0">
        <w:rPr>
          <w:rFonts w:ascii="Times New Roman" w:hAnsi="Times New Roman" w:cs="Times New Roman"/>
          <w:b w:val="0"/>
          <w:sz w:val="24"/>
          <w:szCs w:val="24"/>
        </w:rPr>
        <w:t>I</w:t>
      </w:r>
      <w:r w:rsidRPr="005E083F">
        <w:rPr>
          <w:rFonts w:ascii="Times New Roman" w:hAnsi="Times New Roman" w:cs="Times New Roman"/>
          <w:b w:val="0"/>
          <w:sz w:val="24"/>
          <w:szCs w:val="24"/>
        </w:rPr>
        <w:t xml:space="preserve">mpact </w:t>
      </w:r>
      <w:r w:rsidR="00B901F0">
        <w:rPr>
          <w:rFonts w:ascii="Times New Roman" w:hAnsi="Times New Roman" w:cs="Times New Roman"/>
          <w:b w:val="0"/>
          <w:sz w:val="24"/>
          <w:szCs w:val="24"/>
        </w:rPr>
        <w:t>S</w:t>
      </w:r>
      <w:r w:rsidRPr="005E083F">
        <w:rPr>
          <w:rFonts w:ascii="Times New Roman" w:hAnsi="Times New Roman" w:cs="Times New Roman"/>
          <w:b w:val="0"/>
          <w:sz w:val="24"/>
          <w:szCs w:val="24"/>
        </w:rPr>
        <w:t xml:space="preserve">tatement </w:t>
      </w:r>
      <w:r w:rsidR="009071DB">
        <w:rPr>
          <w:rFonts w:ascii="Times New Roman" w:hAnsi="Times New Roman" w:cs="Times New Roman"/>
          <w:b w:val="0"/>
          <w:sz w:val="24"/>
          <w:szCs w:val="24"/>
        </w:rPr>
        <w:t>was not</w:t>
      </w:r>
      <w:r w:rsidRPr="005E083F">
        <w:rPr>
          <w:rFonts w:ascii="Times New Roman" w:hAnsi="Times New Roman" w:cs="Times New Roman"/>
          <w:b w:val="0"/>
          <w:sz w:val="24"/>
          <w:szCs w:val="24"/>
        </w:rPr>
        <w:t xml:space="preserve"> required</w:t>
      </w:r>
      <w:r w:rsidR="009071DB">
        <w:rPr>
          <w:rFonts w:ascii="Times New Roman" w:hAnsi="Times New Roman" w:cs="Times New Roman"/>
          <w:b w:val="0"/>
          <w:sz w:val="24"/>
          <w:szCs w:val="24"/>
        </w:rPr>
        <w:t>.</w:t>
      </w:r>
    </w:p>
    <w:p w14:paraId="5DE23A58" w14:textId="77777777" w:rsidR="00A9578D" w:rsidRPr="00DC30D9" w:rsidRDefault="00A9578D" w:rsidP="00995BF8">
      <w:pPr>
        <w:pStyle w:val="Heading"/>
        <w:numPr>
          <w:ilvl w:val="0"/>
          <w:numId w:val="1"/>
        </w:numPr>
      </w:pPr>
      <w:r w:rsidRPr="00DC30D9">
        <w:rPr>
          <w:rFonts w:ascii="Times New Roman" w:hAnsi="Times New Roman"/>
          <w:color w:val="000000"/>
          <w:sz w:val="24"/>
          <w:szCs w:val="24"/>
        </w:rPr>
        <w:t>Statement</w:t>
      </w:r>
      <w:r w:rsidRPr="00DC30D9">
        <w:rPr>
          <w:rFonts w:ascii="Times New Roman" w:hAnsi="Times New Roman"/>
          <w:sz w:val="24"/>
          <w:szCs w:val="24"/>
        </w:rPr>
        <w:t xml:space="preserve"> of compatibility prepared in accordance with Part 3 of the </w:t>
      </w:r>
      <w:r w:rsidRPr="00DC30D9">
        <w:rPr>
          <w:rFonts w:ascii="Times New Roman" w:hAnsi="Times New Roman"/>
          <w:i/>
          <w:sz w:val="24"/>
          <w:szCs w:val="24"/>
        </w:rPr>
        <w:t>Human Rights (Parliamentary Scrutiny) Act 2011</w:t>
      </w:r>
    </w:p>
    <w:p w14:paraId="4AE52147" w14:textId="77777777" w:rsidR="006726E6" w:rsidRDefault="006726E6" w:rsidP="006726E6">
      <w:pPr>
        <w:pStyle w:val="Heading"/>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533A7C6E" w14:textId="77777777" w:rsidR="00D62EDA" w:rsidRDefault="00D62EDA" w:rsidP="00931FB9">
      <w:pPr>
        <w:pStyle w:val="Title"/>
        <w:jc w:val="left"/>
        <w:rPr>
          <w:szCs w:val="24"/>
        </w:rPr>
      </w:pPr>
    </w:p>
    <w:p w14:paraId="05C4676C" w14:textId="77777777" w:rsidR="001C544E" w:rsidRDefault="001C544E" w:rsidP="00931FB9">
      <w:pPr>
        <w:pStyle w:val="Title"/>
        <w:jc w:val="left"/>
        <w:rPr>
          <w:szCs w:val="24"/>
        </w:rPr>
      </w:pPr>
    </w:p>
    <w:p w14:paraId="5AC05D72" w14:textId="77777777" w:rsidR="001C544E" w:rsidRDefault="001C544E" w:rsidP="00931FB9">
      <w:pPr>
        <w:pStyle w:val="Title"/>
        <w:jc w:val="left"/>
        <w:rPr>
          <w:szCs w:val="24"/>
        </w:rPr>
      </w:pPr>
    </w:p>
    <w:p w14:paraId="20CDB5A2" w14:textId="77777777" w:rsidR="001C544E" w:rsidRDefault="001C544E" w:rsidP="00931FB9">
      <w:pPr>
        <w:pStyle w:val="Title"/>
        <w:jc w:val="left"/>
        <w:rPr>
          <w:szCs w:val="24"/>
        </w:rPr>
      </w:pPr>
    </w:p>
    <w:p w14:paraId="0EBDCBD1" w14:textId="77777777" w:rsidR="001C544E" w:rsidRDefault="001C544E" w:rsidP="00931FB9">
      <w:pPr>
        <w:pStyle w:val="Title"/>
        <w:jc w:val="left"/>
        <w:rPr>
          <w:szCs w:val="24"/>
        </w:rPr>
      </w:pPr>
    </w:p>
    <w:p w14:paraId="2240BABD" w14:textId="77777777" w:rsidR="001C544E" w:rsidRDefault="001C544E" w:rsidP="00931FB9">
      <w:pPr>
        <w:pStyle w:val="Title"/>
        <w:jc w:val="left"/>
        <w:rPr>
          <w:szCs w:val="24"/>
        </w:rPr>
      </w:pPr>
    </w:p>
    <w:p w14:paraId="2848A5C6" w14:textId="77777777" w:rsidR="001C544E" w:rsidRDefault="001C544E" w:rsidP="00931FB9">
      <w:pPr>
        <w:pStyle w:val="Title"/>
        <w:jc w:val="left"/>
        <w:rPr>
          <w:szCs w:val="24"/>
        </w:rPr>
      </w:pPr>
    </w:p>
    <w:p w14:paraId="060C70DA" w14:textId="77777777" w:rsidR="001C544E" w:rsidRDefault="001C544E" w:rsidP="00931FB9">
      <w:pPr>
        <w:pStyle w:val="Title"/>
        <w:jc w:val="left"/>
        <w:rPr>
          <w:szCs w:val="24"/>
        </w:rPr>
      </w:pPr>
    </w:p>
    <w:p w14:paraId="26521F75" w14:textId="77777777" w:rsidR="001C544E" w:rsidRDefault="001C544E" w:rsidP="00931FB9">
      <w:pPr>
        <w:pStyle w:val="Title"/>
        <w:jc w:val="left"/>
        <w:rPr>
          <w:szCs w:val="24"/>
        </w:rPr>
      </w:pPr>
    </w:p>
    <w:p w14:paraId="378D9130" w14:textId="77777777" w:rsidR="001C544E" w:rsidRDefault="001C544E" w:rsidP="00931FB9">
      <w:pPr>
        <w:pStyle w:val="Title"/>
        <w:jc w:val="left"/>
        <w:rPr>
          <w:szCs w:val="24"/>
        </w:rPr>
      </w:pPr>
    </w:p>
    <w:p w14:paraId="4D07B56E" w14:textId="77777777" w:rsidR="001C544E" w:rsidRDefault="001C544E" w:rsidP="00931FB9">
      <w:pPr>
        <w:pStyle w:val="Title"/>
        <w:jc w:val="left"/>
        <w:rPr>
          <w:szCs w:val="24"/>
        </w:rPr>
      </w:pPr>
    </w:p>
    <w:p w14:paraId="7B516B87" w14:textId="77777777" w:rsidR="00165282" w:rsidRDefault="00165282">
      <w:pPr>
        <w:rPr>
          <w:rFonts w:ascii="Times New Roman" w:hAnsi="Times New Roman"/>
          <w:b/>
          <w:sz w:val="24"/>
          <w:lang w:val="en-US" w:eastAsia="en-AU"/>
        </w:rPr>
      </w:pPr>
      <w:r>
        <w:br w:type="page"/>
      </w:r>
    </w:p>
    <w:p w14:paraId="25B48719" w14:textId="0C462DA3" w:rsidR="00931FB9" w:rsidRDefault="00931FB9" w:rsidP="00931FB9">
      <w:pPr>
        <w:pStyle w:val="Title"/>
        <w:jc w:val="left"/>
        <w:rPr>
          <w:szCs w:val="24"/>
        </w:rPr>
      </w:pPr>
      <w:r>
        <w:rPr>
          <w:szCs w:val="24"/>
        </w:rPr>
        <w:t>Attachment A</w:t>
      </w:r>
    </w:p>
    <w:p w14:paraId="19AF94F0" w14:textId="77777777" w:rsidR="00931FB9" w:rsidRPr="00DA192B" w:rsidRDefault="00931FB9" w:rsidP="00931FB9">
      <w:pPr>
        <w:pStyle w:val="Title"/>
        <w:rPr>
          <w:szCs w:val="24"/>
        </w:rPr>
      </w:pPr>
    </w:p>
    <w:p w14:paraId="7FF18045" w14:textId="77777777" w:rsidR="00931FB9" w:rsidRPr="00DA192B" w:rsidRDefault="00931FB9" w:rsidP="00931FB9">
      <w:pPr>
        <w:autoSpaceDE w:val="0"/>
        <w:autoSpaceDN w:val="0"/>
        <w:adjustRightInd w:val="0"/>
        <w:jc w:val="center"/>
        <w:rPr>
          <w:rFonts w:ascii="Times New Roman" w:hAnsi="Times New Roman"/>
          <w:b/>
          <w:sz w:val="24"/>
        </w:rPr>
      </w:pPr>
      <w:r w:rsidRPr="00DA192B">
        <w:rPr>
          <w:rFonts w:ascii="Times New Roman" w:hAnsi="Times New Roman"/>
          <w:b/>
          <w:sz w:val="24"/>
        </w:rPr>
        <w:t>Statement of Compatibility with Human Rights</w:t>
      </w:r>
    </w:p>
    <w:p w14:paraId="6ED2C309" w14:textId="77777777" w:rsidR="00931FB9" w:rsidRPr="00DA192B" w:rsidRDefault="00931FB9" w:rsidP="00931FB9">
      <w:pPr>
        <w:autoSpaceDE w:val="0"/>
        <w:autoSpaceDN w:val="0"/>
        <w:adjustRightInd w:val="0"/>
        <w:jc w:val="center"/>
        <w:rPr>
          <w:rFonts w:ascii="Times New Roman" w:hAnsi="Times New Roman"/>
          <w:b/>
          <w:sz w:val="24"/>
        </w:rPr>
      </w:pPr>
    </w:p>
    <w:p w14:paraId="269126BC" w14:textId="77777777" w:rsidR="00931FB9" w:rsidRPr="00DA192B" w:rsidRDefault="00931FB9" w:rsidP="00931FB9">
      <w:pPr>
        <w:autoSpaceDE w:val="0"/>
        <w:autoSpaceDN w:val="0"/>
        <w:adjustRightInd w:val="0"/>
        <w:rPr>
          <w:rFonts w:ascii="Times New Roman" w:hAnsi="Times New Roman"/>
          <w:i/>
          <w:sz w:val="24"/>
        </w:rPr>
      </w:pPr>
      <w:r w:rsidRPr="00DA192B">
        <w:rPr>
          <w:rFonts w:ascii="Times New Roman" w:hAnsi="Times New Roman"/>
          <w:i/>
          <w:sz w:val="24"/>
        </w:rPr>
        <w:t>Prepared in accordance with Part 3 of the Human Rights (Parliamentary Scrutiny) Act 2011</w:t>
      </w:r>
    </w:p>
    <w:p w14:paraId="2987B485" w14:textId="77777777" w:rsidR="00931FB9" w:rsidRPr="00DA192B" w:rsidRDefault="00931FB9" w:rsidP="00931FB9">
      <w:pPr>
        <w:pStyle w:val="Title"/>
        <w:jc w:val="left"/>
        <w:rPr>
          <w:szCs w:val="24"/>
        </w:rPr>
      </w:pPr>
    </w:p>
    <w:p w14:paraId="56250AF6" w14:textId="77777777" w:rsidR="00931FB9" w:rsidRPr="00DA192B" w:rsidRDefault="00931FB9" w:rsidP="00931FB9">
      <w:pPr>
        <w:pStyle w:val="Title"/>
      </w:pPr>
      <w:r>
        <w:t xml:space="preserve">Banking exemption No. </w:t>
      </w:r>
      <w:r w:rsidR="00D141F4">
        <w:t>2</w:t>
      </w:r>
      <w:r>
        <w:t xml:space="preserve"> of </w:t>
      </w:r>
      <w:r w:rsidR="004A4C47">
        <w:t>201</w:t>
      </w:r>
      <w:r w:rsidR="00D141F4">
        <w:t>8</w:t>
      </w:r>
    </w:p>
    <w:p w14:paraId="6622657E" w14:textId="77777777" w:rsidR="00931FB9" w:rsidRPr="00DA192B" w:rsidRDefault="00931FB9" w:rsidP="00931FB9">
      <w:pPr>
        <w:pStyle w:val="BodyText"/>
        <w:spacing w:after="0"/>
        <w:rPr>
          <w:szCs w:val="24"/>
        </w:rPr>
      </w:pPr>
    </w:p>
    <w:p w14:paraId="509C82B7" w14:textId="77777777" w:rsidR="00931FB9" w:rsidRPr="00DA192B" w:rsidRDefault="00931FB9" w:rsidP="00931FB9">
      <w:pPr>
        <w:pStyle w:val="BodyText"/>
        <w:spacing w:after="0"/>
        <w:rPr>
          <w:i/>
          <w:szCs w:val="24"/>
        </w:rPr>
      </w:pPr>
      <w:r w:rsidRPr="00DA192B">
        <w:rPr>
          <w:szCs w:val="24"/>
        </w:rPr>
        <w:t xml:space="preserve">This Legislative Instrument is compatible with the human rights and freedoms recognised or declared in the international instruments listed in section 3 of the </w:t>
      </w:r>
      <w:r w:rsidRPr="00DA192B">
        <w:rPr>
          <w:i/>
          <w:szCs w:val="24"/>
        </w:rPr>
        <w:t>Human Rights (Parliamentary Scrutiny) Act 2011.</w:t>
      </w:r>
    </w:p>
    <w:p w14:paraId="1F4F8E8F" w14:textId="77777777" w:rsidR="00931FB9" w:rsidRPr="00DA192B" w:rsidRDefault="00931FB9" w:rsidP="00931FB9">
      <w:pPr>
        <w:pStyle w:val="BodyText"/>
        <w:spacing w:after="0"/>
        <w:rPr>
          <w:i/>
          <w:szCs w:val="24"/>
        </w:rPr>
      </w:pPr>
    </w:p>
    <w:p w14:paraId="4A1CC2E4" w14:textId="77777777" w:rsidR="00931FB9" w:rsidRDefault="00931FB9" w:rsidP="00931FB9">
      <w:pPr>
        <w:pStyle w:val="BodyText"/>
        <w:spacing w:after="0"/>
        <w:rPr>
          <w:b/>
          <w:szCs w:val="24"/>
        </w:rPr>
      </w:pPr>
      <w:r w:rsidRPr="00740541">
        <w:rPr>
          <w:b/>
          <w:szCs w:val="24"/>
        </w:rPr>
        <w:t>Overview of the Legislative Instrument</w:t>
      </w:r>
    </w:p>
    <w:p w14:paraId="4C6D6E7B" w14:textId="77777777" w:rsidR="00931FB9" w:rsidRDefault="00931FB9" w:rsidP="00931FB9">
      <w:pPr>
        <w:pStyle w:val="BodyText"/>
        <w:spacing w:after="0"/>
        <w:rPr>
          <w:b/>
          <w:szCs w:val="24"/>
        </w:rPr>
      </w:pPr>
    </w:p>
    <w:p w14:paraId="1D3453BB" w14:textId="5AB48E4F" w:rsidR="00931FB9" w:rsidRDefault="00931FB9" w:rsidP="00931FB9">
      <w:pPr>
        <w:pStyle w:val="BodyText"/>
        <w:rPr>
          <w:szCs w:val="24"/>
        </w:rPr>
      </w:pPr>
      <w:r w:rsidRPr="005D47AA">
        <w:rPr>
          <w:szCs w:val="24"/>
        </w:rPr>
        <w:t xml:space="preserve">Under section 8 of the </w:t>
      </w:r>
      <w:r w:rsidR="00A26D67" w:rsidRPr="00A26D67">
        <w:rPr>
          <w:i/>
          <w:szCs w:val="24"/>
        </w:rPr>
        <w:t>Banking Act 1959</w:t>
      </w:r>
      <w:r w:rsidR="00A26D67">
        <w:rPr>
          <w:szCs w:val="24"/>
        </w:rPr>
        <w:t xml:space="preserve"> (</w:t>
      </w:r>
      <w:r w:rsidRPr="005D47AA">
        <w:rPr>
          <w:szCs w:val="24"/>
        </w:rPr>
        <w:t>Banking Act</w:t>
      </w:r>
      <w:r w:rsidR="00A26D67">
        <w:rPr>
          <w:szCs w:val="24"/>
        </w:rPr>
        <w:t>)</w:t>
      </w:r>
      <w:r w:rsidRPr="005D47AA">
        <w:rPr>
          <w:szCs w:val="24"/>
        </w:rPr>
        <w:t xml:space="preserve">, it is an offence for a body corporate to carry on banking business in Australia if the body corporate is not an authorised deposit-taking institution or the Reserve Bank, except where there is a determination in force that section 8 does not apply to the body corporate.  </w:t>
      </w:r>
    </w:p>
    <w:p w14:paraId="7B7CE7C0" w14:textId="2AC6D8E4" w:rsidR="00931FB9" w:rsidRDefault="00931FB9" w:rsidP="00931FB9">
      <w:pPr>
        <w:pStyle w:val="BodyText"/>
      </w:pPr>
      <w:r>
        <w:t xml:space="preserve">This Legislative Instrument </w:t>
      </w:r>
      <w:r w:rsidR="009468D6" w:rsidRPr="009468D6">
        <w:t>ensure that corporations which met the definition of “</w:t>
      </w:r>
      <w:r w:rsidR="00885A37">
        <w:t>regist</w:t>
      </w:r>
      <w:r w:rsidR="009468D6" w:rsidRPr="009468D6">
        <w:t xml:space="preserve">rable corporation” </w:t>
      </w:r>
      <w:r w:rsidR="009468D6">
        <w:t xml:space="preserve">under </w:t>
      </w:r>
      <w:r w:rsidR="00B901F0">
        <w:t xml:space="preserve">the </w:t>
      </w:r>
      <w:r w:rsidR="00B901F0" w:rsidRPr="00B901F0">
        <w:rPr>
          <w:i/>
        </w:rPr>
        <w:t xml:space="preserve">Financial Sector (Collection of Data) Act 2001 </w:t>
      </w:r>
      <w:r w:rsidR="00B901F0">
        <w:t xml:space="preserve">prior to its amendment by the </w:t>
      </w:r>
      <w:r w:rsidR="00B901F0" w:rsidRPr="00B901F0">
        <w:rPr>
          <w:i/>
        </w:rPr>
        <w:t>Treasury Laws Amendment (Banking Measures No. 1) Act 2018</w:t>
      </w:r>
      <w:r w:rsidR="00B901F0">
        <w:rPr>
          <w:i/>
        </w:rPr>
        <w:t xml:space="preserve"> </w:t>
      </w:r>
      <w:r w:rsidR="009468D6" w:rsidRPr="009468D6">
        <w:t xml:space="preserve">can continue to carry on their business of providing finance </w:t>
      </w:r>
      <w:r w:rsidR="00885A37">
        <w:t>funded by</w:t>
      </w:r>
      <w:r w:rsidR="009468D6" w:rsidRPr="009468D6">
        <w:t xml:space="preserve"> retail investors without breaching section 8 of the Banking Act</w:t>
      </w:r>
      <w:r w:rsidR="00CA4488">
        <w:t>.  This is possible only if</w:t>
      </w:r>
      <w:r w:rsidR="009468D6">
        <w:t xml:space="preserve"> they comply with a broad range of conditions</w:t>
      </w:r>
      <w:r>
        <w:t xml:space="preserve"> </w:t>
      </w:r>
      <w:r w:rsidR="00ED5169">
        <w:t xml:space="preserve">including giving a prudential supervision warning to </w:t>
      </w:r>
      <w:r w:rsidR="00FD1E76">
        <w:t xml:space="preserve">an </w:t>
      </w:r>
      <w:r w:rsidR="00ED5169">
        <w:t>investor in certain circumstances</w:t>
      </w:r>
      <w:r w:rsidR="0004443B">
        <w:t>,</w:t>
      </w:r>
      <w:r w:rsidR="00ED5169">
        <w:t xml:space="preserve"> </w:t>
      </w:r>
      <w:r w:rsidR="009468D6">
        <w:t xml:space="preserve">restrictions on </w:t>
      </w:r>
      <w:r>
        <w:t xml:space="preserve">the nature of investment products and debentures </w:t>
      </w:r>
      <w:r w:rsidR="0004443B">
        <w:t xml:space="preserve">that are </w:t>
      </w:r>
      <w:r>
        <w:t>offered, issued or sold, and any advertising or marketing in connection with such products.</w:t>
      </w:r>
    </w:p>
    <w:p w14:paraId="01D3A126" w14:textId="77777777" w:rsidR="00931FB9" w:rsidRDefault="00931FB9" w:rsidP="00931FB9">
      <w:pPr>
        <w:pStyle w:val="BodyText"/>
        <w:rPr>
          <w:b/>
        </w:rPr>
      </w:pPr>
      <w:r>
        <w:rPr>
          <w:b/>
        </w:rPr>
        <w:t>Human rights implications</w:t>
      </w:r>
    </w:p>
    <w:p w14:paraId="2ED9CD9A" w14:textId="77777777" w:rsidR="00931FB9" w:rsidRDefault="00931FB9" w:rsidP="00931FB9">
      <w:pPr>
        <w:pStyle w:val="BodyText"/>
      </w:pPr>
      <w:r>
        <w:t xml:space="preserve">APRA has assessed this Legislative Instrument and is of the view that it does not engage any of the applicable rights or freedoms recognised or declared in the international instruments listed in section 3 of the </w:t>
      </w:r>
      <w:r w:rsidRPr="00792245">
        <w:rPr>
          <w:i/>
        </w:rPr>
        <w:t>Human Rights (Parliamentary Scrutiny) Act 2011</w:t>
      </w:r>
      <w:r>
        <w:t xml:space="preserve">. Accordingly, in APRA’s assessment, the instrument is compatible with human rights. </w:t>
      </w:r>
    </w:p>
    <w:p w14:paraId="74B15985" w14:textId="77777777" w:rsidR="00931FB9" w:rsidRDefault="00931FB9" w:rsidP="00931FB9">
      <w:pPr>
        <w:pStyle w:val="BodyText"/>
        <w:rPr>
          <w:b/>
        </w:rPr>
      </w:pPr>
      <w:r>
        <w:rPr>
          <w:b/>
        </w:rPr>
        <w:t>Conclusion</w:t>
      </w:r>
    </w:p>
    <w:p w14:paraId="5049CE12" w14:textId="44A6D716" w:rsidR="00A9578D" w:rsidRPr="00A9578D" w:rsidRDefault="00931FB9" w:rsidP="00CA4488">
      <w:pPr>
        <w:pStyle w:val="BodyText"/>
      </w:pPr>
      <w:r>
        <w:t>This Legislative Instrument is compatible with human rights as it does not raise any human rights issues.</w:t>
      </w:r>
    </w:p>
    <w:sectPr w:rsidR="00A9578D" w:rsidRPr="00A9578D" w:rsidSect="007F161B">
      <w:footerReference w:type="even" r:id="rId13"/>
      <w:footerReference w:type="default" r:id="rId14"/>
      <w:pgSz w:w="11906" w:h="16838"/>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E36D8" w14:textId="77777777" w:rsidR="00EA1536" w:rsidRDefault="00EA1536">
      <w:r>
        <w:separator/>
      </w:r>
    </w:p>
  </w:endnote>
  <w:endnote w:type="continuationSeparator" w:id="0">
    <w:p w14:paraId="5313B81B" w14:textId="77777777" w:rsidR="00EA1536" w:rsidRDefault="00EA1536">
      <w:r>
        <w:continuationSeparator/>
      </w:r>
    </w:p>
  </w:endnote>
  <w:endnote w:type="continuationNotice" w:id="1">
    <w:p w14:paraId="02E82300" w14:textId="77777777" w:rsidR="00EA1536" w:rsidRDefault="00EA1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6F4E6" w14:textId="77777777" w:rsidR="00EA1536" w:rsidRDefault="00EA1536"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2DD387" w14:textId="77777777" w:rsidR="00EA1536" w:rsidRDefault="00EA1536"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353130"/>
      <w:docPartObj>
        <w:docPartGallery w:val="Page Numbers (Bottom of Page)"/>
        <w:docPartUnique/>
      </w:docPartObj>
    </w:sdtPr>
    <w:sdtEndPr/>
    <w:sdtContent>
      <w:sdt>
        <w:sdtPr>
          <w:id w:val="860082579"/>
          <w:docPartObj>
            <w:docPartGallery w:val="Page Numbers (Top of Page)"/>
            <w:docPartUnique/>
          </w:docPartObj>
        </w:sdtPr>
        <w:sdtEndPr/>
        <w:sdtContent>
          <w:p w14:paraId="5BDEF297" w14:textId="4DB8D8B6" w:rsidR="00EA1536" w:rsidRPr="007F161B" w:rsidRDefault="00EA1536">
            <w:pPr>
              <w:pStyle w:val="Footer"/>
              <w:jc w:val="right"/>
            </w:pPr>
            <w:r w:rsidRPr="007F161B">
              <w:rPr>
                <w:bCs/>
                <w:sz w:val="24"/>
              </w:rPr>
              <w:fldChar w:fldCharType="begin"/>
            </w:r>
            <w:r w:rsidRPr="007F161B">
              <w:rPr>
                <w:bCs/>
              </w:rPr>
              <w:instrText xml:space="preserve"> PAGE </w:instrText>
            </w:r>
            <w:r w:rsidRPr="007F161B">
              <w:rPr>
                <w:bCs/>
                <w:sz w:val="24"/>
              </w:rPr>
              <w:fldChar w:fldCharType="separate"/>
            </w:r>
            <w:r w:rsidR="00FC799F">
              <w:rPr>
                <w:bCs/>
                <w:noProof/>
              </w:rPr>
              <w:t>1</w:t>
            </w:r>
            <w:r w:rsidRPr="007F161B">
              <w:rPr>
                <w:bCs/>
                <w:sz w:val="24"/>
              </w:rPr>
              <w:fldChar w:fldCharType="end"/>
            </w:r>
          </w:p>
        </w:sdtContent>
      </w:sdt>
    </w:sdtContent>
  </w:sdt>
  <w:p w14:paraId="5F1DD398" w14:textId="77777777" w:rsidR="00EA1536" w:rsidRDefault="00EA1536" w:rsidP="005C40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476EE" w14:textId="77777777" w:rsidR="00EA1536" w:rsidRDefault="00EA1536">
      <w:r>
        <w:separator/>
      </w:r>
    </w:p>
  </w:footnote>
  <w:footnote w:type="continuationSeparator" w:id="0">
    <w:p w14:paraId="20E5BEB3" w14:textId="77777777" w:rsidR="00EA1536" w:rsidRDefault="00EA1536">
      <w:r>
        <w:continuationSeparator/>
      </w:r>
    </w:p>
  </w:footnote>
  <w:footnote w:type="continuationNotice" w:id="1">
    <w:p w14:paraId="0CF360EA" w14:textId="77777777" w:rsidR="00EA1536" w:rsidRDefault="00EA1536"/>
  </w:footnote>
  <w:footnote w:id="2">
    <w:p w14:paraId="6F362DCB" w14:textId="77777777" w:rsidR="00EA1536" w:rsidRDefault="00EA1536">
      <w:pPr>
        <w:pStyle w:val="FootnoteText"/>
      </w:pPr>
      <w:r>
        <w:rPr>
          <w:rStyle w:val="FootnoteReference"/>
        </w:rPr>
        <w:footnoteRef/>
      </w:r>
      <w:r>
        <w:t xml:space="preserve"> </w:t>
      </w:r>
      <w:r w:rsidRPr="00A1381C">
        <w:rPr>
          <w:rFonts w:ascii="Times New Roman" w:hAnsi="Times New Roman"/>
        </w:rPr>
        <w:t>Banking (Exemption) Order No. 96 dated 22 May 2003</w:t>
      </w:r>
      <w:r>
        <w:rPr>
          <w:rFonts w:ascii="Times New Roman" w:hAnsi="Times New Roman"/>
        </w:rPr>
        <w:t xml:space="preserve"> - </w:t>
      </w:r>
      <w:r w:rsidRPr="00A1381C">
        <w:rPr>
          <w:rFonts w:ascii="Times New Roman" w:hAnsi="Times New Roman"/>
        </w:rPr>
        <w:t>F2008B00061</w:t>
      </w:r>
    </w:p>
  </w:footnote>
  <w:footnote w:id="3">
    <w:p w14:paraId="196090E0" w14:textId="274B88A3" w:rsidR="00EA1536" w:rsidRPr="00283FE5" w:rsidRDefault="00EA1536">
      <w:pPr>
        <w:pStyle w:val="FootnoteText"/>
        <w:rPr>
          <w:rFonts w:ascii="Times New Roman" w:hAnsi="Times New Roman"/>
        </w:rPr>
      </w:pPr>
      <w:r w:rsidRPr="00283FE5">
        <w:rPr>
          <w:rStyle w:val="FootnoteReference"/>
          <w:rFonts w:ascii="Times New Roman" w:hAnsi="Times New Roman"/>
        </w:rPr>
        <w:footnoteRef/>
      </w:r>
      <w:r w:rsidRPr="00283FE5">
        <w:rPr>
          <w:rFonts w:ascii="Times New Roman" w:hAnsi="Times New Roman"/>
        </w:rPr>
        <w:t xml:space="preserve"> Required to be kept by APRA under section 8 of FSCODA.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20408"/>
    <w:multiLevelType w:val="hybridMultilevel"/>
    <w:tmpl w:val="D0640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4B4E69D2"/>
    <w:lvl w:ilvl="0" w:tplc="30A0BD42">
      <w:start w:val="1"/>
      <w:numFmt w:val="decimal"/>
      <w:lvlText w:val="%1."/>
      <w:lvlJc w:val="left"/>
      <w:pPr>
        <w:tabs>
          <w:tab w:val="num" w:pos="360"/>
        </w:tabs>
        <w:ind w:left="360" w:hanging="360"/>
      </w:pPr>
      <w:rPr>
        <w:rFonts w:ascii="Times New Roman" w:hAnsi="Times New Roman" w:cs="Times New Roman" w:hint="default"/>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 w15:restartNumberingAfterBreak="0">
    <w:nsid w:val="1F595ACB"/>
    <w:multiLevelType w:val="hybridMultilevel"/>
    <w:tmpl w:val="E20812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D0423FC"/>
    <w:multiLevelType w:val="hybridMultilevel"/>
    <w:tmpl w:val="4EB6F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9A72C6"/>
    <w:multiLevelType w:val="hybridMultilevel"/>
    <w:tmpl w:val="DD00FE2C"/>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9370EA9"/>
    <w:multiLevelType w:val="hybridMultilevel"/>
    <w:tmpl w:val="49EC3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0"/>
  </w:num>
  <w:num w:numId="4">
    <w:abstractNumId w:val="6"/>
  </w:num>
  <w:num w:numId="5">
    <w:abstractNumId w:val="5"/>
  </w:num>
  <w:num w:numId="6">
    <w:abstractNumId w:val="11"/>
  </w:num>
  <w:num w:numId="7">
    <w:abstractNumId w:val="4"/>
  </w:num>
  <w:num w:numId="8">
    <w:abstractNumId w:val="2"/>
  </w:num>
  <w:num w:numId="9">
    <w:abstractNumId w:val="8"/>
  </w:num>
  <w:num w:numId="10">
    <w:abstractNumId w:val="12"/>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97"/>
    <w:rsid w:val="00000AE6"/>
    <w:rsid w:val="00006B27"/>
    <w:rsid w:val="00012695"/>
    <w:rsid w:val="0001369F"/>
    <w:rsid w:val="000201AE"/>
    <w:rsid w:val="000218B6"/>
    <w:rsid w:val="0002280F"/>
    <w:rsid w:val="00023985"/>
    <w:rsid w:val="00025FA2"/>
    <w:rsid w:val="00026726"/>
    <w:rsid w:val="0002731C"/>
    <w:rsid w:val="00027386"/>
    <w:rsid w:val="00030BD8"/>
    <w:rsid w:val="000324C9"/>
    <w:rsid w:val="00032E46"/>
    <w:rsid w:val="00033B73"/>
    <w:rsid w:val="00043838"/>
    <w:rsid w:val="0004443B"/>
    <w:rsid w:val="00044574"/>
    <w:rsid w:val="000547F1"/>
    <w:rsid w:val="00054D89"/>
    <w:rsid w:val="00055C1B"/>
    <w:rsid w:val="00056C6C"/>
    <w:rsid w:val="00056DFC"/>
    <w:rsid w:val="00057D1B"/>
    <w:rsid w:val="000619B1"/>
    <w:rsid w:val="000631DA"/>
    <w:rsid w:val="00063B11"/>
    <w:rsid w:val="00076969"/>
    <w:rsid w:val="0007732A"/>
    <w:rsid w:val="00080B55"/>
    <w:rsid w:val="000906FC"/>
    <w:rsid w:val="000A2D14"/>
    <w:rsid w:val="000A579A"/>
    <w:rsid w:val="000B22C3"/>
    <w:rsid w:val="000B244A"/>
    <w:rsid w:val="000B3626"/>
    <w:rsid w:val="000B5532"/>
    <w:rsid w:val="000B59FF"/>
    <w:rsid w:val="000C3A21"/>
    <w:rsid w:val="000C6F92"/>
    <w:rsid w:val="000D046E"/>
    <w:rsid w:val="000D6AC0"/>
    <w:rsid w:val="000E055A"/>
    <w:rsid w:val="000E17D8"/>
    <w:rsid w:val="000E6BC1"/>
    <w:rsid w:val="000E71FC"/>
    <w:rsid w:val="000F0A45"/>
    <w:rsid w:val="000F0EF8"/>
    <w:rsid w:val="000F2451"/>
    <w:rsid w:val="000F309E"/>
    <w:rsid w:val="000F3E1E"/>
    <w:rsid w:val="000F6592"/>
    <w:rsid w:val="000F6F0A"/>
    <w:rsid w:val="00102F9E"/>
    <w:rsid w:val="0010495D"/>
    <w:rsid w:val="00105F5C"/>
    <w:rsid w:val="00110071"/>
    <w:rsid w:val="00111030"/>
    <w:rsid w:val="00112443"/>
    <w:rsid w:val="00122F4C"/>
    <w:rsid w:val="0012491A"/>
    <w:rsid w:val="00124EE2"/>
    <w:rsid w:val="00126BDF"/>
    <w:rsid w:val="00126F51"/>
    <w:rsid w:val="001271A7"/>
    <w:rsid w:val="00134372"/>
    <w:rsid w:val="00137C87"/>
    <w:rsid w:val="00145A8A"/>
    <w:rsid w:val="00146362"/>
    <w:rsid w:val="00147418"/>
    <w:rsid w:val="0016350A"/>
    <w:rsid w:val="001636BF"/>
    <w:rsid w:val="00163AE4"/>
    <w:rsid w:val="00165282"/>
    <w:rsid w:val="00172A31"/>
    <w:rsid w:val="001735C0"/>
    <w:rsid w:val="001736CC"/>
    <w:rsid w:val="0017448C"/>
    <w:rsid w:val="0017485D"/>
    <w:rsid w:val="0017550C"/>
    <w:rsid w:val="00176630"/>
    <w:rsid w:val="0018329E"/>
    <w:rsid w:val="00183A1C"/>
    <w:rsid w:val="00191382"/>
    <w:rsid w:val="0019482E"/>
    <w:rsid w:val="00197842"/>
    <w:rsid w:val="001A0790"/>
    <w:rsid w:val="001B2E2A"/>
    <w:rsid w:val="001B5A23"/>
    <w:rsid w:val="001B6E91"/>
    <w:rsid w:val="001B7226"/>
    <w:rsid w:val="001C001C"/>
    <w:rsid w:val="001C0BC5"/>
    <w:rsid w:val="001C4593"/>
    <w:rsid w:val="001C544E"/>
    <w:rsid w:val="001D16A9"/>
    <w:rsid w:val="001D1DC0"/>
    <w:rsid w:val="001D5392"/>
    <w:rsid w:val="001E06CB"/>
    <w:rsid w:val="001E2DB0"/>
    <w:rsid w:val="001E54DD"/>
    <w:rsid w:val="001E623B"/>
    <w:rsid w:val="001E6EA4"/>
    <w:rsid w:val="001E781D"/>
    <w:rsid w:val="001F4FB6"/>
    <w:rsid w:val="001F6130"/>
    <w:rsid w:val="00203601"/>
    <w:rsid w:val="00210D96"/>
    <w:rsid w:val="002114F1"/>
    <w:rsid w:val="0021731D"/>
    <w:rsid w:val="00217AF7"/>
    <w:rsid w:val="00223C69"/>
    <w:rsid w:val="00225921"/>
    <w:rsid w:val="002330A5"/>
    <w:rsid w:val="002341A1"/>
    <w:rsid w:val="002430F8"/>
    <w:rsid w:val="002504E2"/>
    <w:rsid w:val="002529DB"/>
    <w:rsid w:val="00254ED3"/>
    <w:rsid w:val="002642DC"/>
    <w:rsid w:val="00265913"/>
    <w:rsid w:val="002773F5"/>
    <w:rsid w:val="00282B1D"/>
    <w:rsid w:val="00283FE5"/>
    <w:rsid w:val="00285041"/>
    <w:rsid w:val="002962EE"/>
    <w:rsid w:val="002A0F36"/>
    <w:rsid w:val="002A47FA"/>
    <w:rsid w:val="002B2A6A"/>
    <w:rsid w:val="002B6511"/>
    <w:rsid w:val="002B6780"/>
    <w:rsid w:val="002B6E99"/>
    <w:rsid w:val="002C1AA3"/>
    <w:rsid w:val="002C3824"/>
    <w:rsid w:val="002C3F98"/>
    <w:rsid w:val="002C7D5C"/>
    <w:rsid w:val="002D003A"/>
    <w:rsid w:val="002D15B6"/>
    <w:rsid w:val="002D5680"/>
    <w:rsid w:val="002D628A"/>
    <w:rsid w:val="002D7440"/>
    <w:rsid w:val="002E3617"/>
    <w:rsid w:val="002E68FA"/>
    <w:rsid w:val="002F3145"/>
    <w:rsid w:val="002F7201"/>
    <w:rsid w:val="00300114"/>
    <w:rsid w:val="003016BB"/>
    <w:rsid w:val="00301BF4"/>
    <w:rsid w:val="003033E4"/>
    <w:rsid w:val="00314F61"/>
    <w:rsid w:val="003168CC"/>
    <w:rsid w:val="00323DBD"/>
    <w:rsid w:val="003254CC"/>
    <w:rsid w:val="003263A2"/>
    <w:rsid w:val="0034386A"/>
    <w:rsid w:val="00347FCC"/>
    <w:rsid w:val="00350935"/>
    <w:rsid w:val="00356B67"/>
    <w:rsid w:val="0036074D"/>
    <w:rsid w:val="00361A51"/>
    <w:rsid w:val="003664C9"/>
    <w:rsid w:val="003671DF"/>
    <w:rsid w:val="00370648"/>
    <w:rsid w:val="0037153D"/>
    <w:rsid w:val="00385EBA"/>
    <w:rsid w:val="003A0FB4"/>
    <w:rsid w:val="003A551B"/>
    <w:rsid w:val="003B047E"/>
    <w:rsid w:val="003B6B84"/>
    <w:rsid w:val="003C1F4C"/>
    <w:rsid w:val="003C3568"/>
    <w:rsid w:val="003C7A4B"/>
    <w:rsid w:val="003D14AA"/>
    <w:rsid w:val="003D671F"/>
    <w:rsid w:val="003E1487"/>
    <w:rsid w:val="003E2F84"/>
    <w:rsid w:val="003E399F"/>
    <w:rsid w:val="003E7F89"/>
    <w:rsid w:val="003F2D0E"/>
    <w:rsid w:val="00403EA8"/>
    <w:rsid w:val="0040568B"/>
    <w:rsid w:val="0041431D"/>
    <w:rsid w:val="00414E21"/>
    <w:rsid w:val="00416296"/>
    <w:rsid w:val="004202FB"/>
    <w:rsid w:val="00426F46"/>
    <w:rsid w:val="00427335"/>
    <w:rsid w:val="00435CE6"/>
    <w:rsid w:val="00436690"/>
    <w:rsid w:val="00440F06"/>
    <w:rsid w:val="00443B03"/>
    <w:rsid w:val="00446793"/>
    <w:rsid w:val="0045045E"/>
    <w:rsid w:val="00452BFF"/>
    <w:rsid w:val="00455CFD"/>
    <w:rsid w:val="00456B13"/>
    <w:rsid w:val="00463269"/>
    <w:rsid w:val="00466BE1"/>
    <w:rsid w:val="0047631C"/>
    <w:rsid w:val="00480AB5"/>
    <w:rsid w:val="00483DAC"/>
    <w:rsid w:val="00485359"/>
    <w:rsid w:val="00485782"/>
    <w:rsid w:val="004913BF"/>
    <w:rsid w:val="00491AD1"/>
    <w:rsid w:val="004974E6"/>
    <w:rsid w:val="00497A10"/>
    <w:rsid w:val="004A4C47"/>
    <w:rsid w:val="004A50EB"/>
    <w:rsid w:val="004A7EF8"/>
    <w:rsid w:val="004B004C"/>
    <w:rsid w:val="004B0CCB"/>
    <w:rsid w:val="004B621D"/>
    <w:rsid w:val="004C12C3"/>
    <w:rsid w:val="004C79A4"/>
    <w:rsid w:val="004D35E6"/>
    <w:rsid w:val="004F0124"/>
    <w:rsid w:val="004F0E6C"/>
    <w:rsid w:val="004F2537"/>
    <w:rsid w:val="004F3053"/>
    <w:rsid w:val="004F4CCA"/>
    <w:rsid w:val="00505C2A"/>
    <w:rsid w:val="00514E54"/>
    <w:rsid w:val="0051573E"/>
    <w:rsid w:val="00523E14"/>
    <w:rsid w:val="005323E9"/>
    <w:rsid w:val="00536D43"/>
    <w:rsid w:val="005378DF"/>
    <w:rsid w:val="00544186"/>
    <w:rsid w:val="00544768"/>
    <w:rsid w:val="00545FD8"/>
    <w:rsid w:val="0054724E"/>
    <w:rsid w:val="005473BA"/>
    <w:rsid w:val="00554D51"/>
    <w:rsid w:val="00561055"/>
    <w:rsid w:val="00562B07"/>
    <w:rsid w:val="00565315"/>
    <w:rsid w:val="00567A9A"/>
    <w:rsid w:val="005718A5"/>
    <w:rsid w:val="00574616"/>
    <w:rsid w:val="005748FE"/>
    <w:rsid w:val="00575F38"/>
    <w:rsid w:val="005833B9"/>
    <w:rsid w:val="00583E07"/>
    <w:rsid w:val="00587233"/>
    <w:rsid w:val="00587962"/>
    <w:rsid w:val="00591630"/>
    <w:rsid w:val="00592576"/>
    <w:rsid w:val="00593BF7"/>
    <w:rsid w:val="005941E1"/>
    <w:rsid w:val="00597FDD"/>
    <w:rsid w:val="005A3ABE"/>
    <w:rsid w:val="005A4BB0"/>
    <w:rsid w:val="005A743A"/>
    <w:rsid w:val="005C37A6"/>
    <w:rsid w:val="005C3C75"/>
    <w:rsid w:val="005C4065"/>
    <w:rsid w:val="005C701A"/>
    <w:rsid w:val="005C7AB3"/>
    <w:rsid w:val="005D0304"/>
    <w:rsid w:val="005D435B"/>
    <w:rsid w:val="005D7020"/>
    <w:rsid w:val="005E2DAA"/>
    <w:rsid w:val="005E3821"/>
    <w:rsid w:val="005E42E4"/>
    <w:rsid w:val="005E67E9"/>
    <w:rsid w:val="005E6DD0"/>
    <w:rsid w:val="005F0577"/>
    <w:rsid w:val="005F30AE"/>
    <w:rsid w:val="005F5DF4"/>
    <w:rsid w:val="005F6BAC"/>
    <w:rsid w:val="005F6F1D"/>
    <w:rsid w:val="005F7292"/>
    <w:rsid w:val="00611A4D"/>
    <w:rsid w:val="0061258F"/>
    <w:rsid w:val="00612C58"/>
    <w:rsid w:val="0062024E"/>
    <w:rsid w:val="006208F9"/>
    <w:rsid w:val="006210C2"/>
    <w:rsid w:val="00624A78"/>
    <w:rsid w:val="00625D6C"/>
    <w:rsid w:val="006272A1"/>
    <w:rsid w:val="00627587"/>
    <w:rsid w:val="00634354"/>
    <w:rsid w:val="00634FF0"/>
    <w:rsid w:val="00635A7C"/>
    <w:rsid w:val="00644F26"/>
    <w:rsid w:val="00645119"/>
    <w:rsid w:val="00647B94"/>
    <w:rsid w:val="00652397"/>
    <w:rsid w:val="00653485"/>
    <w:rsid w:val="006546E5"/>
    <w:rsid w:val="006549FC"/>
    <w:rsid w:val="00660B20"/>
    <w:rsid w:val="00662D80"/>
    <w:rsid w:val="00663C9A"/>
    <w:rsid w:val="006726E6"/>
    <w:rsid w:val="00673E01"/>
    <w:rsid w:val="00676E38"/>
    <w:rsid w:val="00685CF1"/>
    <w:rsid w:val="00694F60"/>
    <w:rsid w:val="0069666B"/>
    <w:rsid w:val="006967C8"/>
    <w:rsid w:val="006A05FB"/>
    <w:rsid w:val="006A078D"/>
    <w:rsid w:val="006B4444"/>
    <w:rsid w:val="006B6285"/>
    <w:rsid w:val="006C0777"/>
    <w:rsid w:val="006C0888"/>
    <w:rsid w:val="006C6A19"/>
    <w:rsid w:val="006D1265"/>
    <w:rsid w:val="006E15EA"/>
    <w:rsid w:val="006E222F"/>
    <w:rsid w:val="006E5332"/>
    <w:rsid w:val="006F26DC"/>
    <w:rsid w:val="006F671E"/>
    <w:rsid w:val="006F6C05"/>
    <w:rsid w:val="0070194B"/>
    <w:rsid w:val="00702EF7"/>
    <w:rsid w:val="00704E26"/>
    <w:rsid w:val="007060F0"/>
    <w:rsid w:val="00707A6A"/>
    <w:rsid w:val="0071023C"/>
    <w:rsid w:val="00712E3F"/>
    <w:rsid w:val="00717A79"/>
    <w:rsid w:val="00723AA5"/>
    <w:rsid w:val="00733B48"/>
    <w:rsid w:val="00741683"/>
    <w:rsid w:val="00743617"/>
    <w:rsid w:val="00744E6B"/>
    <w:rsid w:val="00746058"/>
    <w:rsid w:val="00754B88"/>
    <w:rsid w:val="007561AB"/>
    <w:rsid w:val="00760CF4"/>
    <w:rsid w:val="00761677"/>
    <w:rsid w:val="00770264"/>
    <w:rsid w:val="0078005E"/>
    <w:rsid w:val="00780C75"/>
    <w:rsid w:val="00785B77"/>
    <w:rsid w:val="007966E0"/>
    <w:rsid w:val="00796DE0"/>
    <w:rsid w:val="007B093E"/>
    <w:rsid w:val="007B2E50"/>
    <w:rsid w:val="007B49C0"/>
    <w:rsid w:val="007B79AB"/>
    <w:rsid w:val="007C3113"/>
    <w:rsid w:val="007C3365"/>
    <w:rsid w:val="007C3955"/>
    <w:rsid w:val="007C574E"/>
    <w:rsid w:val="007C5B42"/>
    <w:rsid w:val="007D0ED2"/>
    <w:rsid w:val="007D7456"/>
    <w:rsid w:val="007E1094"/>
    <w:rsid w:val="007E3AD8"/>
    <w:rsid w:val="007E67DD"/>
    <w:rsid w:val="007F161B"/>
    <w:rsid w:val="007F3766"/>
    <w:rsid w:val="007F3DD2"/>
    <w:rsid w:val="007F50A4"/>
    <w:rsid w:val="007F616B"/>
    <w:rsid w:val="008015D2"/>
    <w:rsid w:val="00801811"/>
    <w:rsid w:val="00802231"/>
    <w:rsid w:val="0080552D"/>
    <w:rsid w:val="00806B31"/>
    <w:rsid w:val="00807B3F"/>
    <w:rsid w:val="00810A4F"/>
    <w:rsid w:val="00810BAA"/>
    <w:rsid w:val="00810CB3"/>
    <w:rsid w:val="008124F3"/>
    <w:rsid w:val="0082354F"/>
    <w:rsid w:val="00826B4E"/>
    <w:rsid w:val="00830C54"/>
    <w:rsid w:val="00830E90"/>
    <w:rsid w:val="0083482E"/>
    <w:rsid w:val="00837FB3"/>
    <w:rsid w:val="00841672"/>
    <w:rsid w:val="00844445"/>
    <w:rsid w:val="0084490C"/>
    <w:rsid w:val="0084495C"/>
    <w:rsid w:val="00853398"/>
    <w:rsid w:val="008539E3"/>
    <w:rsid w:val="008565C8"/>
    <w:rsid w:val="00860DC0"/>
    <w:rsid w:val="008713A5"/>
    <w:rsid w:val="00881B57"/>
    <w:rsid w:val="008825C2"/>
    <w:rsid w:val="0088539F"/>
    <w:rsid w:val="00885A37"/>
    <w:rsid w:val="00885D7C"/>
    <w:rsid w:val="0089152E"/>
    <w:rsid w:val="008922AE"/>
    <w:rsid w:val="00894E12"/>
    <w:rsid w:val="008A1A5F"/>
    <w:rsid w:val="008A2D7D"/>
    <w:rsid w:val="008A7848"/>
    <w:rsid w:val="008B0921"/>
    <w:rsid w:val="008B1DD5"/>
    <w:rsid w:val="008B2323"/>
    <w:rsid w:val="008B5B9B"/>
    <w:rsid w:val="008B7528"/>
    <w:rsid w:val="008C0F09"/>
    <w:rsid w:val="008C18E9"/>
    <w:rsid w:val="008C228A"/>
    <w:rsid w:val="008D0E01"/>
    <w:rsid w:val="008E0961"/>
    <w:rsid w:val="008E1C9F"/>
    <w:rsid w:val="008E25C7"/>
    <w:rsid w:val="008E445F"/>
    <w:rsid w:val="008F07CE"/>
    <w:rsid w:val="008F5236"/>
    <w:rsid w:val="008F6AA0"/>
    <w:rsid w:val="009071DB"/>
    <w:rsid w:val="00910F17"/>
    <w:rsid w:val="0091221E"/>
    <w:rsid w:val="00915A33"/>
    <w:rsid w:val="00920EEA"/>
    <w:rsid w:val="00922097"/>
    <w:rsid w:val="0092360F"/>
    <w:rsid w:val="00931FB9"/>
    <w:rsid w:val="00932D57"/>
    <w:rsid w:val="009334DB"/>
    <w:rsid w:val="009403D0"/>
    <w:rsid w:val="00945643"/>
    <w:rsid w:val="00946285"/>
    <w:rsid w:val="009468D6"/>
    <w:rsid w:val="00950CA8"/>
    <w:rsid w:val="009528F4"/>
    <w:rsid w:val="00953841"/>
    <w:rsid w:val="00956A1C"/>
    <w:rsid w:val="00957450"/>
    <w:rsid w:val="0097061E"/>
    <w:rsid w:val="009732D4"/>
    <w:rsid w:val="009805E2"/>
    <w:rsid w:val="00983DB6"/>
    <w:rsid w:val="00985A96"/>
    <w:rsid w:val="00995BF8"/>
    <w:rsid w:val="00997B46"/>
    <w:rsid w:val="00997B94"/>
    <w:rsid w:val="009A0294"/>
    <w:rsid w:val="009B63CF"/>
    <w:rsid w:val="009C19B4"/>
    <w:rsid w:val="009C54D9"/>
    <w:rsid w:val="009D3619"/>
    <w:rsid w:val="009E216B"/>
    <w:rsid w:val="009F2DFF"/>
    <w:rsid w:val="00A03AB9"/>
    <w:rsid w:val="00A047B5"/>
    <w:rsid w:val="00A1381C"/>
    <w:rsid w:val="00A15209"/>
    <w:rsid w:val="00A1638E"/>
    <w:rsid w:val="00A1674A"/>
    <w:rsid w:val="00A17D9E"/>
    <w:rsid w:val="00A208EB"/>
    <w:rsid w:val="00A26D67"/>
    <w:rsid w:val="00A32396"/>
    <w:rsid w:val="00A32B98"/>
    <w:rsid w:val="00A40D5C"/>
    <w:rsid w:val="00A41617"/>
    <w:rsid w:val="00A43FF9"/>
    <w:rsid w:val="00A463F0"/>
    <w:rsid w:val="00A51D19"/>
    <w:rsid w:val="00A55057"/>
    <w:rsid w:val="00A62AE1"/>
    <w:rsid w:val="00A66958"/>
    <w:rsid w:val="00A66DF3"/>
    <w:rsid w:val="00A74C60"/>
    <w:rsid w:val="00A75E28"/>
    <w:rsid w:val="00A81EBF"/>
    <w:rsid w:val="00A82561"/>
    <w:rsid w:val="00A87B36"/>
    <w:rsid w:val="00A9578D"/>
    <w:rsid w:val="00A963A8"/>
    <w:rsid w:val="00A96F6A"/>
    <w:rsid w:val="00AA08EC"/>
    <w:rsid w:val="00AA14B6"/>
    <w:rsid w:val="00AA2735"/>
    <w:rsid w:val="00AA2B95"/>
    <w:rsid w:val="00AA7013"/>
    <w:rsid w:val="00AB0A7D"/>
    <w:rsid w:val="00AB1F92"/>
    <w:rsid w:val="00AB3FCB"/>
    <w:rsid w:val="00AB533D"/>
    <w:rsid w:val="00AC031B"/>
    <w:rsid w:val="00AC2996"/>
    <w:rsid w:val="00AC3F07"/>
    <w:rsid w:val="00AC56FC"/>
    <w:rsid w:val="00AD31BC"/>
    <w:rsid w:val="00AD56A7"/>
    <w:rsid w:val="00AD62C5"/>
    <w:rsid w:val="00AE287A"/>
    <w:rsid w:val="00AE2AE2"/>
    <w:rsid w:val="00AE2D97"/>
    <w:rsid w:val="00AE7E64"/>
    <w:rsid w:val="00AF3144"/>
    <w:rsid w:val="00AF7A1C"/>
    <w:rsid w:val="00B02043"/>
    <w:rsid w:val="00B12376"/>
    <w:rsid w:val="00B20EEE"/>
    <w:rsid w:val="00B27510"/>
    <w:rsid w:val="00B3032C"/>
    <w:rsid w:val="00B331AE"/>
    <w:rsid w:val="00B458A3"/>
    <w:rsid w:val="00B46846"/>
    <w:rsid w:val="00B51C0A"/>
    <w:rsid w:val="00B52C31"/>
    <w:rsid w:val="00B57341"/>
    <w:rsid w:val="00B6334F"/>
    <w:rsid w:val="00B71A97"/>
    <w:rsid w:val="00B77BD4"/>
    <w:rsid w:val="00B84194"/>
    <w:rsid w:val="00B901F0"/>
    <w:rsid w:val="00B92BA9"/>
    <w:rsid w:val="00B979F1"/>
    <w:rsid w:val="00B97B6E"/>
    <w:rsid w:val="00BA0BC1"/>
    <w:rsid w:val="00BA3189"/>
    <w:rsid w:val="00BB27C5"/>
    <w:rsid w:val="00BB387D"/>
    <w:rsid w:val="00BC015D"/>
    <w:rsid w:val="00BC2BFB"/>
    <w:rsid w:val="00BC6A8D"/>
    <w:rsid w:val="00BC7834"/>
    <w:rsid w:val="00BE1348"/>
    <w:rsid w:val="00BE4444"/>
    <w:rsid w:val="00BE5F98"/>
    <w:rsid w:val="00BE6A5B"/>
    <w:rsid w:val="00BF29E7"/>
    <w:rsid w:val="00BF555C"/>
    <w:rsid w:val="00BF584E"/>
    <w:rsid w:val="00BF6681"/>
    <w:rsid w:val="00C007F6"/>
    <w:rsid w:val="00C03925"/>
    <w:rsid w:val="00C047E7"/>
    <w:rsid w:val="00C04A63"/>
    <w:rsid w:val="00C06282"/>
    <w:rsid w:val="00C072E3"/>
    <w:rsid w:val="00C07D4E"/>
    <w:rsid w:val="00C11599"/>
    <w:rsid w:val="00C16BD6"/>
    <w:rsid w:val="00C17594"/>
    <w:rsid w:val="00C17ED3"/>
    <w:rsid w:val="00C2447B"/>
    <w:rsid w:val="00C27E05"/>
    <w:rsid w:val="00C3432E"/>
    <w:rsid w:val="00C3551A"/>
    <w:rsid w:val="00C41329"/>
    <w:rsid w:val="00C464F8"/>
    <w:rsid w:val="00C57B96"/>
    <w:rsid w:val="00C62FA1"/>
    <w:rsid w:val="00C63AFF"/>
    <w:rsid w:val="00C66F5F"/>
    <w:rsid w:val="00C72F5E"/>
    <w:rsid w:val="00C76906"/>
    <w:rsid w:val="00C802C1"/>
    <w:rsid w:val="00C90010"/>
    <w:rsid w:val="00C94DCF"/>
    <w:rsid w:val="00C9694D"/>
    <w:rsid w:val="00C96E5E"/>
    <w:rsid w:val="00C97019"/>
    <w:rsid w:val="00CA29DB"/>
    <w:rsid w:val="00CA3FE5"/>
    <w:rsid w:val="00CA4488"/>
    <w:rsid w:val="00CB1E6C"/>
    <w:rsid w:val="00CC1195"/>
    <w:rsid w:val="00CC3525"/>
    <w:rsid w:val="00CC4BE4"/>
    <w:rsid w:val="00CC6A8F"/>
    <w:rsid w:val="00CC793B"/>
    <w:rsid w:val="00CD0116"/>
    <w:rsid w:val="00CD519A"/>
    <w:rsid w:val="00CD7E66"/>
    <w:rsid w:val="00CF6510"/>
    <w:rsid w:val="00CF7B05"/>
    <w:rsid w:val="00D04EA3"/>
    <w:rsid w:val="00D07DD9"/>
    <w:rsid w:val="00D100D6"/>
    <w:rsid w:val="00D10CE5"/>
    <w:rsid w:val="00D11F1D"/>
    <w:rsid w:val="00D12FBD"/>
    <w:rsid w:val="00D141F4"/>
    <w:rsid w:val="00D161B4"/>
    <w:rsid w:val="00D16D75"/>
    <w:rsid w:val="00D200D5"/>
    <w:rsid w:val="00D2126B"/>
    <w:rsid w:val="00D22D14"/>
    <w:rsid w:val="00D25C40"/>
    <w:rsid w:val="00D25F3C"/>
    <w:rsid w:val="00D27DE1"/>
    <w:rsid w:val="00D3515D"/>
    <w:rsid w:val="00D4290F"/>
    <w:rsid w:val="00D4387C"/>
    <w:rsid w:val="00D44DB1"/>
    <w:rsid w:val="00D56C0A"/>
    <w:rsid w:val="00D617D8"/>
    <w:rsid w:val="00D62EDA"/>
    <w:rsid w:val="00D6328A"/>
    <w:rsid w:val="00D63690"/>
    <w:rsid w:val="00D65B11"/>
    <w:rsid w:val="00D66CB2"/>
    <w:rsid w:val="00D7240A"/>
    <w:rsid w:val="00D724D7"/>
    <w:rsid w:val="00D76F75"/>
    <w:rsid w:val="00D77584"/>
    <w:rsid w:val="00D80BBF"/>
    <w:rsid w:val="00D8796B"/>
    <w:rsid w:val="00D94F65"/>
    <w:rsid w:val="00D96744"/>
    <w:rsid w:val="00D96A48"/>
    <w:rsid w:val="00DA3F2E"/>
    <w:rsid w:val="00DA465D"/>
    <w:rsid w:val="00DA5D0D"/>
    <w:rsid w:val="00DB2DC5"/>
    <w:rsid w:val="00DC1030"/>
    <w:rsid w:val="00DC2B2A"/>
    <w:rsid w:val="00DC30D9"/>
    <w:rsid w:val="00DD3416"/>
    <w:rsid w:val="00DE614A"/>
    <w:rsid w:val="00DE6BEB"/>
    <w:rsid w:val="00DF05AE"/>
    <w:rsid w:val="00DF6C34"/>
    <w:rsid w:val="00DF716C"/>
    <w:rsid w:val="00DF780E"/>
    <w:rsid w:val="00E01E2B"/>
    <w:rsid w:val="00E13541"/>
    <w:rsid w:val="00E14D72"/>
    <w:rsid w:val="00E14D9D"/>
    <w:rsid w:val="00E21E01"/>
    <w:rsid w:val="00E23EB3"/>
    <w:rsid w:val="00E30B8D"/>
    <w:rsid w:val="00E313AF"/>
    <w:rsid w:val="00E33298"/>
    <w:rsid w:val="00E53839"/>
    <w:rsid w:val="00E566E4"/>
    <w:rsid w:val="00E60B70"/>
    <w:rsid w:val="00E60B8F"/>
    <w:rsid w:val="00E60C03"/>
    <w:rsid w:val="00E65CBA"/>
    <w:rsid w:val="00E67C6B"/>
    <w:rsid w:val="00E8014D"/>
    <w:rsid w:val="00E829A2"/>
    <w:rsid w:val="00E83ADE"/>
    <w:rsid w:val="00E854D2"/>
    <w:rsid w:val="00E866D6"/>
    <w:rsid w:val="00E87CE6"/>
    <w:rsid w:val="00E90876"/>
    <w:rsid w:val="00E9434C"/>
    <w:rsid w:val="00EA0357"/>
    <w:rsid w:val="00EA1536"/>
    <w:rsid w:val="00EA4787"/>
    <w:rsid w:val="00EA6BF0"/>
    <w:rsid w:val="00EB1920"/>
    <w:rsid w:val="00EB2024"/>
    <w:rsid w:val="00EB366B"/>
    <w:rsid w:val="00EC0016"/>
    <w:rsid w:val="00EC1777"/>
    <w:rsid w:val="00ED1A15"/>
    <w:rsid w:val="00ED39A7"/>
    <w:rsid w:val="00ED5169"/>
    <w:rsid w:val="00ED6433"/>
    <w:rsid w:val="00ED64E9"/>
    <w:rsid w:val="00ED70BA"/>
    <w:rsid w:val="00EF4430"/>
    <w:rsid w:val="00EF6A2F"/>
    <w:rsid w:val="00F0354E"/>
    <w:rsid w:val="00F101EC"/>
    <w:rsid w:val="00F20846"/>
    <w:rsid w:val="00F221C2"/>
    <w:rsid w:val="00F32CA9"/>
    <w:rsid w:val="00F4269A"/>
    <w:rsid w:val="00F52BC4"/>
    <w:rsid w:val="00F53DE9"/>
    <w:rsid w:val="00F579EC"/>
    <w:rsid w:val="00F57F83"/>
    <w:rsid w:val="00F62BE0"/>
    <w:rsid w:val="00F62FDB"/>
    <w:rsid w:val="00F70A13"/>
    <w:rsid w:val="00F71B7F"/>
    <w:rsid w:val="00F857AC"/>
    <w:rsid w:val="00F86DAE"/>
    <w:rsid w:val="00F977E1"/>
    <w:rsid w:val="00FA1B28"/>
    <w:rsid w:val="00FA5216"/>
    <w:rsid w:val="00FB4746"/>
    <w:rsid w:val="00FC1DCC"/>
    <w:rsid w:val="00FC4FA0"/>
    <w:rsid w:val="00FC799F"/>
    <w:rsid w:val="00FD1524"/>
    <w:rsid w:val="00FD1E76"/>
    <w:rsid w:val="00FD30EE"/>
    <w:rsid w:val="00FD5583"/>
    <w:rsid w:val="00FE0073"/>
    <w:rsid w:val="00FF19E9"/>
    <w:rsid w:val="00FF2E5E"/>
    <w:rsid w:val="00FF353A"/>
    <w:rsid w:val="00FF4047"/>
    <w:rsid w:val="00FF4236"/>
    <w:rsid w:val="00FF47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5197433"/>
  <w15:docId w15:val="{A1E4491A-5C2C-447D-95AC-F8644E44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341"/>
    <w:rPr>
      <w:rFonts w:ascii="Trebuchet MS" w:hAnsi="Trebuchet MS"/>
      <w:sz w:val="22"/>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BalloonText">
    <w:name w:val="Balloon Text"/>
    <w:basedOn w:val="Normal"/>
    <w:semiHidden/>
    <w:rsid w:val="00F86DAE"/>
    <w:rPr>
      <w:rFonts w:ascii="Tahoma" w:hAnsi="Tahoma" w:cs="Tahoma"/>
      <w:sz w:val="16"/>
      <w:szCs w:val="16"/>
    </w:rPr>
  </w:style>
  <w:style w:type="paragraph" w:styleId="ListParagraph">
    <w:name w:val="List Paragraph"/>
    <w:basedOn w:val="Normal"/>
    <w:uiPriority w:val="34"/>
    <w:rsid w:val="00B92BA9"/>
    <w:pPr>
      <w:spacing w:before="240" w:after="240"/>
      <w:ind w:left="720"/>
      <w:jc w:val="both"/>
    </w:pPr>
    <w:rPr>
      <w:rFonts w:ascii="Garamond" w:hAnsi="Garamond"/>
      <w:sz w:val="24"/>
      <w:lang w:eastAsia="en-AU"/>
    </w:rPr>
  </w:style>
  <w:style w:type="character" w:styleId="CommentReference">
    <w:name w:val="annotation reference"/>
    <w:basedOn w:val="DefaultParagraphFont"/>
    <w:uiPriority w:val="99"/>
    <w:semiHidden/>
    <w:unhideWhenUsed/>
    <w:rsid w:val="00A9578D"/>
    <w:rPr>
      <w:sz w:val="16"/>
      <w:szCs w:val="16"/>
    </w:rPr>
  </w:style>
  <w:style w:type="paragraph" w:styleId="CommentText">
    <w:name w:val="annotation text"/>
    <w:basedOn w:val="Normal"/>
    <w:link w:val="CommentTextChar"/>
    <w:uiPriority w:val="99"/>
    <w:unhideWhenUsed/>
    <w:rsid w:val="00A9578D"/>
    <w:rPr>
      <w:sz w:val="20"/>
      <w:szCs w:val="20"/>
    </w:rPr>
  </w:style>
  <w:style w:type="character" w:customStyle="1" w:styleId="CommentTextChar">
    <w:name w:val="Comment Text Char"/>
    <w:basedOn w:val="DefaultParagraphFont"/>
    <w:link w:val="CommentText"/>
    <w:uiPriority w:val="99"/>
    <w:rsid w:val="00A9578D"/>
    <w:rPr>
      <w:rFonts w:ascii="Trebuchet MS" w:hAnsi="Trebuchet MS"/>
      <w:lang w:eastAsia="en-US"/>
    </w:rPr>
  </w:style>
  <w:style w:type="paragraph" w:styleId="BodyText">
    <w:name w:val="Body Text"/>
    <w:basedOn w:val="Normal"/>
    <w:link w:val="BodyTextChar"/>
    <w:rsid w:val="00A9578D"/>
    <w:pPr>
      <w:spacing w:after="240"/>
    </w:pPr>
    <w:rPr>
      <w:rFonts w:ascii="Times New Roman" w:hAnsi="Times New Roman"/>
      <w:sz w:val="24"/>
      <w:szCs w:val="20"/>
      <w:lang w:eastAsia="en-AU"/>
    </w:rPr>
  </w:style>
  <w:style w:type="character" w:customStyle="1" w:styleId="BodyTextChar">
    <w:name w:val="Body Text Char"/>
    <w:basedOn w:val="DefaultParagraphFont"/>
    <w:link w:val="BodyText"/>
    <w:rsid w:val="00A9578D"/>
    <w:rPr>
      <w:sz w:val="24"/>
    </w:rPr>
  </w:style>
  <w:style w:type="paragraph" w:styleId="CommentSubject">
    <w:name w:val="annotation subject"/>
    <w:basedOn w:val="CommentText"/>
    <w:next w:val="CommentText"/>
    <w:link w:val="CommentSubjectChar"/>
    <w:uiPriority w:val="99"/>
    <w:semiHidden/>
    <w:unhideWhenUsed/>
    <w:rsid w:val="00A9578D"/>
    <w:rPr>
      <w:b/>
      <w:bCs/>
    </w:rPr>
  </w:style>
  <w:style w:type="character" w:customStyle="1" w:styleId="CommentSubjectChar">
    <w:name w:val="Comment Subject Char"/>
    <w:basedOn w:val="CommentTextChar"/>
    <w:link w:val="CommentSubject"/>
    <w:uiPriority w:val="99"/>
    <w:semiHidden/>
    <w:rsid w:val="00A9578D"/>
    <w:rPr>
      <w:rFonts w:ascii="Trebuchet MS" w:hAnsi="Trebuchet MS"/>
      <w:b/>
      <w:bCs/>
      <w:lang w:eastAsia="en-US"/>
    </w:rPr>
  </w:style>
  <w:style w:type="paragraph" w:styleId="Revision">
    <w:name w:val="Revision"/>
    <w:hidden/>
    <w:uiPriority w:val="99"/>
    <w:semiHidden/>
    <w:rsid w:val="00D200D5"/>
    <w:rPr>
      <w:rFonts w:ascii="Trebuchet MS" w:hAnsi="Trebuchet MS"/>
      <w:sz w:val="22"/>
      <w:szCs w:val="24"/>
      <w:lang w:eastAsia="en-US"/>
    </w:rPr>
  </w:style>
  <w:style w:type="paragraph" w:styleId="Title">
    <w:name w:val="Title"/>
    <w:basedOn w:val="Normal"/>
    <w:link w:val="TitleChar"/>
    <w:qFormat/>
    <w:rsid w:val="00931FB9"/>
    <w:pPr>
      <w:jc w:val="center"/>
    </w:pPr>
    <w:rPr>
      <w:rFonts w:ascii="Times New Roman" w:hAnsi="Times New Roman"/>
      <w:b/>
      <w:sz w:val="24"/>
      <w:szCs w:val="20"/>
      <w:lang w:val="en-US" w:eastAsia="en-AU"/>
    </w:rPr>
  </w:style>
  <w:style w:type="character" w:customStyle="1" w:styleId="TitleChar">
    <w:name w:val="Title Char"/>
    <w:basedOn w:val="DefaultParagraphFont"/>
    <w:link w:val="Title"/>
    <w:rsid w:val="00931FB9"/>
    <w:rPr>
      <w:b/>
      <w:sz w:val="24"/>
      <w:lang w:val="en-US" w:eastAsia="en-AU"/>
    </w:rPr>
  </w:style>
  <w:style w:type="paragraph" w:customStyle="1" w:styleId="heading0">
    <w:name w:val="heading"/>
    <w:basedOn w:val="Normal"/>
    <w:rsid w:val="0089152E"/>
    <w:pPr>
      <w:spacing w:before="100" w:beforeAutospacing="1" w:after="100" w:afterAutospacing="1"/>
    </w:pPr>
    <w:rPr>
      <w:rFonts w:ascii="Times New Roman" w:hAnsi="Times New Roman"/>
      <w:sz w:val="24"/>
      <w:lang w:eastAsia="en-AU"/>
    </w:rPr>
  </w:style>
  <w:style w:type="paragraph" w:customStyle="1" w:styleId="Default">
    <w:name w:val="Default"/>
    <w:rsid w:val="00945643"/>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7F161B"/>
    <w:rPr>
      <w:rFonts w:ascii="Trebuchet MS" w:hAnsi="Trebuchet M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8618">
      <w:bodyDiv w:val="1"/>
      <w:marLeft w:val="0"/>
      <w:marRight w:val="0"/>
      <w:marTop w:val="0"/>
      <w:marBottom w:val="0"/>
      <w:divBdr>
        <w:top w:val="none" w:sz="0" w:space="0" w:color="auto"/>
        <w:left w:val="none" w:sz="0" w:space="0" w:color="auto"/>
        <w:bottom w:val="none" w:sz="0" w:space="0" w:color="auto"/>
        <w:right w:val="none" w:sz="0" w:space="0" w:color="auto"/>
      </w:divBdr>
      <w:divsChild>
        <w:div w:id="1692800979">
          <w:marLeft w:val="0"/>
          <w:marRight w:val="0"/>
          <w:marTop w:val="0"/>
          <w:marBottom w:val="0"/>
          <w:divBdr>
            <w:top w:val="none" w:sz="0" w:space="0" w:color="auto"/>
            <w:left w:val="none" w:sz="0" w:space="0" w:color="auto"/>
            <w:bottom w:val="none" w:sz="0" w:space="0" w:color="auto"/>
            <w:right w:val="none" w:sz="0" w:space="0" w:color="auto"/>
          </w:divBdr>
          <w:divsChild>
            <w:div w:id="872423492">
              <w:marLeft w:val="0"/>
              <w:marRight w:val="0"/>
              <w:marTop w:val="0"/>
              <w:marBottom w:val="0"/>
              <w:divBdr>
                <w:top w:val="none" w:sz="0" w:space="0" w:color="auto"/>
                <w:left w:val="none" w:sz="0" w:space="0" w:color="auto"/>
                <w:bottom w:val="none" w:sz="0" w:space="0" w:color="auto"/>
                <w:right w:val="none" w:sz="0" w:space="0" w:color="auto"/>
              </w:divBdr>
              <w:divsChild>
                <w:div w:id="574515402">
                  <w:marLeft w:val="0"/>
                  <w:marRight w:val="0"/>
                  <w:marTop w:val="0"/>
                  <w:marBottom w:val="0"/>
                  <w:divBdr>
                    <w:top w:val="none" w:sz="0" w:space="0" w:color="auto"/>
                    <w:left w:val="none" w:sz="0" w:space="0" w:color="auto"/>
                    <w:bottom w:val="none" w:sz="0" w:space="0" w:color="auto"/>
                    <w:right w:val="none" w:sz="0" w:space="0" w:color="auto"/>
                  </w:divBdr>
                  <w:divsChild>
                    <w:div w:id="246308858">
                      <w:marLeft w:val="0"/>
                      <w:marRight w:val="0"/>
                      <w:marTop w:val="0"/>
                      <w:marBottom w:val="0"/>
                      <w:divBdr>
                        <w:top w:val="none" w:sz="0" w:space="0" w:color="auto"/>
                        <w:left w:val="none" w:sz="0" w:space="0" w:color="auto"/>
                        <w:bottom w:val="none" w:sz="0" w:space="0" w:color="auto"/>
                        <w:right w:val="none" w:sz="0" w:space="0" w:color="auto"/>
                      </w:divBdr>
                      <w:divsChild>
                        <w:div w:id="669286019">
                          <w:marLeft w:val="0"/>
                          <w:marRight w:val="0"/>
                          <w:marTop w:val="0"/>
                          <w:marBottom w:val="0"/>
                          <w:divBdr>
                            <w:top w:val="none" w:sz="0" w:space="0" w:color="auto"/>
                            <w:left w:val="none" w:sz="0" w:space="0" w:color="auto"/>
                            <w:bottom w:val="none" w:sz="0" w:space="0" w:color="auto"/>
                            <w:right w:val="none" w:sz="0" w:space="0" w:color="auto"/>
                          </w:divBdr>
                          <w:divsChild>
                            <w:div w:id="1820071742">
                              <w:marLeft w:val="0"/>
                              <w:marRight w:val="0"/>
                              <w:marTop w:val="0"/>
                              <w:marBottom w:val="0"/>
                              <w:divBdr>
                                <w:top w:val="none" w:sz="0" w:space="0" w:color="auto"/>
                                <w:left w:val="none" w:sz="0" w:space="0" w:color="auto"/>
                                <w:bottom w:val="none" w:sz="0" w:space="0" w:color="auto"/>
                                <w:right w:val="none" w:sz="0" w:space="0" w:color="auto"/>
                              </w:divBdr>
                              <w:divsChild>
                                <w:div w:id="1345395490">
                                  <w:marLeft w:val="0"/>
                                  <w:marRight w:val="0"/>
                                  <w:marTop w:val="0"/>
                                  <w:marBottom w:val="0"/>
                                  <w:divBdr>
                                    <w:top w:val="none" w:sz="0" w:space="0" w:color="auto"/>
                                    <w:left w:val="none" w:sz="0" w:space="0" w:color="auto"/>
                                    <w:bottom w:val="none" w:sz="0" w:space="0" w:color="auto"/>
                                    <w:right w:val="none" w:sz="0" w:space="0" w:color="auto"/>
                                  </w:divBdr>
                                  <w:divsChild>
                                    <w:div w:id="402532337">
                                      <w:marLeft w:val="0"/>
                                      <w:marRight w:val="0"/>
                                      <w:marTop w:val="0"/>
                                      <w:marBottom w:val="0"/>
                                      <w:divBdr>
                                        <w:top w:val="none" w:sz="0" w:space="0" w:color="auto"/>
                                        <w:left w:val="none" w:sz="0" w:space="0" w:color="auto"/>
                                        <w:bottom w:val="none" w:sz="0" w:space="0" w:color="auto"/>
                                        <w:right w:val="none" w:sz="0" w:space="0" w:color="auto"/>
                                      </w:divBdr>
                                      <w:divsChild>
                                        <w:div w:id="7606480">
                                          <w:marLeft w:val="0"/>
                                          <w:marRight w:val="0"/>
                                          <w:marTop w:val="0"/>
                                          <w:marBottom w:val="0"/>
                                          <w:divBdr>
                                            <w:top w:val="none" w:sz="0" w:space="0" w:color="auto"/>
                                            <w:left w:val="none" w:sz="0" w:space="0" w:color="auto"/>
                                            <w:bottom w:val="none" w:sz="0" w:space="0" w:color="auto"/>
                                            <w:right w:val="none" w:sz="0" w:space="0" w:color="auto"/>
                                          </w:divBdr>
                                          <w:divsChild>
                                            <w:div w:id="84111381">
                                              <w:marLeft w:val="0"/>
                                              <w:marRight w:val="0"/>
                                              <w:marTop w:val="0"/>
                                              <w:marBottom w:val="0"/>
                                              <w:divBdr>
                                                <w:top w:val="none" w:sz="0" w:space="0" w:color="auto"/>
                                                <w:left w:val="none" w:sz="0" w:space="0" w:color="auto"/>
                                                <w:bottom w:val="none" w:sz="0" w:space="0" w:color="auto"/>
                                                <w:right w:val="none" w:sz="0" w:space="0" w:color="auto"/>
                                              </w:divBdr>
                                              <w:divsChild>
                                                <w:div w:id="22443994">
                                                  <w:marLeft w:val="0"/>
                                                  <w:marRight w:val="0"/>
                                                  <w:marTop w:val="0"/>
                                                  <w:marBottom w:val="0"/>
                                                  <w:divBdr>
                                                    <w:top w:val="none" w:sz="0" w:space="0" w:color="auto"/>
                                                    <w:left w:val="none" w:sz="0" w:space="0" w:color="auto"/>
                                                    <w:bottom w:val="none" w:sz="0" w:space="0" w:color="auto"/>
                                                    <w:right w:val="none" w:sz="0" w:space="0" w:color="auto"/>
                                                  </w:divBdr>
                                                  <w:divsChild>
                                                    <w:div w:id="1718123832">
                                                      <w:marLeft w:val="0"/>
                                                      <w:marRight w:val="0"/>
                                                      <w:marTop w:val="0"/>
                                                      <w:marBottom w:val="0"/>
                                                      <w:divBdr>
                                                        <w:top w:val="none" w:sz="0" w:space="0" w:color="auto"/>
                                                        <w:left w:val="none" w:sz="0" w:space="0" w:color="auto"/>
                                                        <w:bottom w:val="none" w:sz="0" w:space="0" w:color="auto"/>
                                                        <w:right w:val="none" w:sz="0" w:space="0" w:color="auto"/>
                                                      </w:divBdr>
                                                      <w:divsChild>
                                                        <w:div w:id="12275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7180025">
      <w:bodyDiv w:val="1"/>
      <w:marLeft w:val="0"/>
      <w:marRight w:val="0"/>
      <w:marTop w:val="0"/>
      <w:marBottom w:val="0"/>
      <w:divBdr>
        <w:top w:val="none" w:sz="0" w:space="0" w:color="auto"/>
        <w:left w:val="none" w:sz="0" w:space="0" w:color="auto"/>
        <w:bottom w:val="none" w:sz="0" w:space="0" w:color="auto"/>
        <w:right w:val="none" w:sz="0" w:space="0" w:color="auto"/>
      </w:divBdr>
      <w:divsChild>
        <w:div w:id="1885407877">
          <w:marLeft w:val="0"/>
          <w:marRight w:val="0"/>
          <w:marTop w:val="0"/>
          <w:marBottom w:val="0"/>
          <w:divBdr>
            <w:top w:val="none" w:sz="0" w:space="0" w:color="auto"/>
            <w:left w:val="none" w:sz="0" w:space="0" w:color="auto"/>
            <w:bottom w:val="none" w:sz="0" w:space="0" w:color="auto"/>
            <w:right w:val="none" w:sz="0" w:space="0" w:color="auto"/>
          </w:divBdr>
          <w:divsChild>
            <w:div w:id="1110009616">
              <w:marLeft w:val="0"/>
              <w:marRight w:val="0"/>
              <w:marTop w:val="0"/>
              <w:marBottom w:val="0"/>
              <w:divBdr>
                <w:top w:val="none" w:sz="0" w:space="0" w:color="auto"/>
                <w:left w:val="none" w:sz="0" w:space="0" w:color="auto"/>
                <w:bottom w:val="none" w:sz="0" w:space="0" w:color="auto"/>
                <w:right w:val="none" w:sz="0" w:space="0" w:color="auto"/>
              </w:divBdr>
              <w:divsChild>
                <w:div w:id="48460676">
                  <w:marLeft w:val="0"/>
                  <w:marRight w:val="0"/>
                  <w:marTop w:val="0"/>
                  <w:marBottom w:val="0"/>
                  <w:divBdr>
                    <w:top w:val="none" w:sz="0" w:space="0" w:color="auto"/>
                    <w:left w:val="none" w:sz="0" w:space="0" w:color="auto"/>
                    <w:bottom w:val="none" w:sz="0" w:space="0" w:color="auto"/>
                    <w:right w:val="none" w:sz="0" w:space="0" w:color="auto"/>
                  </w:divBdr>
                  <w:divsChild>
                    <w:div w:id="782919497">
                      <w:marLeft w:val="0"/>
                      <w:marRight w:val="0"/>
                      <w:marTop w:val="0"/>
                      <w:marBottom w:val="0"/>
                      <w:divBdr>
                        <w:top w:val="none" w:sz="0" w:space="0" w:color="auto"/>
                        <w:left w:val="none" w:sz="0" w:space="0" w:color="auto"/>
                        <w:bottom w:val="none" w:sz="0" w:space="0" w:color="auto"/>
                        <w:right w:val="none" w:sz="0" w:space="0" w:color="auto"/>
                      </w:divBdr>
                      <w:divsChild>
                        <w:div w:id="2118407882">
                          <w:marLeft w:val="0"/>
                          <w:marRight w:val="0"/>
                          <w:marTop w:val="0"/>
                          <w:marBottom w:val="0"/>
                          <w:divBdr>
                            <w:top w:val="none" w:sz="0" w:space="0" w:color="auto"/>
                            <w:left w:val="none" w:sz="0" w:space="0" w:color="auto"/>
                            <w:bottom w:val="none" w:sz="0" w:space="0" w:color="auto"/>
                            <w:right w:val="none" w:sz="0" w:space="0" w:color="auto"/>
                          </w:divBdr>
                          <w:divsChild>
                            <w:div w:id="2107849739">
                              <w:marLeft w:val="0"/>
                              <w:marRight w:val="0"/>
                              <w:marTop w:val="0"/>
                              <w:marBottom w:val="0"/>
                              <w:divBdr>
                                <w:top w:val="none" w:sz="0" w:space="0" w:color="auto"/>
                                <w:left w:val="none" w:sz="0" w:space="0" w:color="auto"/>
                                <w:bottom w:val="none" w:sz="0" w:space="0" w:color="auto"/>
                                <w:right w:val="none" w:sz="0" w:space="0" w:color="auto"/>
                              </w:divBdr>
                              <w:divsChild>
                                <w:div w:id="1085372838">
                                  <w:marLeft w:val="0"/>
                                  <w:marRight w:val="0"/>
                                  <w:marTop w:val="0"/>
                                  <w:marBottom w:val="0"/>
                                  <w:divBdr>
                                    <w:top w:val="none" w:sz="0" w:space="0" w:color="auto"/>
                                    <w:left w:val="none" w:sz="0" w:space="0" w:color="auto"/>
                                    <w:bottom w:val="none" w:sz="0" w:space="0" w:color="auto"/>
                                    <w:right w:val="none" w:sz="0" w:space="0" w:color="auto"/>
                                  </w:divBdr>
                                  <w:divsChild>
                                    <w:div w:id="775366547">
                                      <w:marLeft w:val="0"/>
                                      <w:marRight w:val="0"/>
                                      <w:marTop w:val="0"/>
                                      <w:marBottom w:val="0"/>
                                      <w:divBdr>
                                        <w:top w:val="none" w:sz="0" w:space="0" w:color="auto"/>
                                        <w:left w:val="none" w:sz="0" w:space="0" w:color="auto"/>
                                        <w:bottom w:val="none" w:sz="0" w:space="0" w:color="auto"/>
                                        <w:right w:val="none" w:sz="0" w:space="0" w:color="auto"/>
                                      </w:divBdr>
                                      <w:divsChild>
                                        <w:div w:id="1017275657">
                                          <w:marLeft w:val="0"/>
                                          <w:marRight w:val="0"/>
                                          <w:marTop w:val="0"/>
                                          <w:marBottom w:val="0"/>
                                          <w:divBdr>
                                            <w:top w:val="none" w:sz="0" w:space="0" w:color="auto"/>
                                            <w:left w:val="none" w:sz="0" w:space="0" w:color="auto"/>
                                            <w:bottom w:val="none" w:sz="0" w:space="0" w:color="auto"/>
                                            <w:right w:val="none" w:sz="0" w:space="0" w:color="auto"/>
                                          </w:divBdr>
                                          <w:divsChild>
                                            <w:div w:id="2134320339">
                                              <w:marLeft w:val="0"/>
                                              <w:marRight w:val="0"/>
                                              <w:marTop w:val="0"/>
                                              <w:marBottom w:val="0"/>
                                              <w:divBdr>
                                                <w:top w:val="none" w:sz="0" w:space="0" w:color="auto"/>
                                                <w:left w:val="none" w:sz="0" w:space="0" w:color="auto"/>
                                                <w:bottom w:val="none" w:sz="0" w:space="0" w:color="auto"/>
                                                <w:right w:val="none" w:sz="0" w:space="0" w:color="auto"/>
                                              </w:divBdr>
                                              <w:divsChild>
                                                <w:div w:id="2143036268">
                                                  <w:marLeft w:val="0"/>
                                                  <w:marRight w:val="0"/>
                                                  <w:marTop w:val="0"/>
                                                  <w:marBottom w:val="0"/>
                                                  <w:divBdr>
                                                    <w:top w:val="none" w:sz="0" w:space="0" w:color="auto"/>
                                                    <w:left w:val="none" w:sz="0" w:space="0" w:color="auto"/>
                                                    <w:bottom w:val="none" w:sz="0" w:space="0" w:color="auto"/>
                                                    <w:right w:val="none" w:sz="0" w:space="0" w:color="auto"/>
                                                  </w:divBdr>
                                                  <w:divsChild>
                                                    <w:div w:id="1932736706">
                                                      <w:marLeft w:val="0"/>
                                                      <w:marRight w:val="0"/>
                                                      <w:marTop w:val="0"/>
                                                      <w:marBottom w:val="0"/>
                                                      <w:divBdr>
                                                        <w:top w:val="none" w:sz="0" w:space="0" w:color="auto"/>
                                                        <w:left w:val="none" w:sz="0" w:space="0" w:color="auto"/>
                                                        <w:bottom w:val="none" w:sz="0" w:space="0" w:color="auto"/>
                                                        <w:right w:val="none" w:sz="0" w:space="0" w:color="auto"/>
                                                      </w:divBdr>
                                                      <w:divsChild>
                                                        <w:div w:id="15802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Legal</TermName>
          <TermId>b42a91f5-fceb-4fbb-955b-19409a9e4079</TermId>
        </TermInfo>
      </Terms>
    </i05115a133414b4dabee2531e4b46b67>
    <h67caa35a4114acd8e15fe89b3f29f9e xmlns="814d62cb-2db6-4c25-ab62-b9075facbc11">
      <Terms xmlns="http://schemas.microsoft.com/office/infopath/2007/PartnerControls">
        <TermInfo xmlns="http://schemas.microsoft.com/office/infopath/2007/PartnerControls">
          <TermName>Legal instrument</TermName>
          <TermId>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24</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Banking Exemption 2018, RFC;</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Final</TermName>
          <TermId>84d6b2d0-8498-4d62-bf46-bab38babbe9e</TermId>
        </TermInfo>
      </Terms>
    </j163382b748246d3b6e7caae71dbeeb0>
    <TaxCatchAll xmlns="814d62cb-2db6-4c25-ab62-b9075facbc11">
      <Value>24</Value>
      <Value>83</Value>
      <Value>134</Value>
      <Value>93</Value>
      <Value>26</Value>
      <Value>8</Value>
      <Value>58</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for Banking Exemption No.2 of 2018</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5JENXJJSCC7A-445999044-8711</_dlc_DocId>
    <_dlc_DocIdUrl xmlns="814d62cb-2db6-4c25-ab62-b9075facbc11">
      <Url>https://im/teams/LEGAL/_layouts/15/DocIdRedir.aspx?ID=5JENXJJSCC7A-445999044-8711</Url>
      <Description>5JENXJJSCC7A-445999044-8711</Description>
    </_dlc_DocIdUrl>
  </documentManagement>
</p:properti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56539C7C-3A2E-41B9-B331-D081D36FF538}">
  <ds:schemaRefs>
    <ds:schemaRef ds:uri="http://schemas.microsoft.com/sharepoint/v3/contenttype/forms"/>
  </ds:schemaRefs>
</ds:datastoreItem>
</file>

<file path=customXml/itemProps2.xml><?xml version="1.0" encoding="utf-8"?>
<ds:datastoreItem xmlns:ds="http://schemas.openxmlformats.org/officeDocument/2006/customXml" ds:itemID="{90C7BD05-50E7-49D6-8A98-BA308401296A}">
  <ds:schemaRefs>
    <ds:schemaRef ds:uri="814d62cb-2db6-4c25-ab62-b9075facbc11"/>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7A708A-F310-4030-A744-E1620A65CED6}">
  <ds:schemaRefs>
    <ds:schemaRef ds:uri="Microsoft.SharePoint.Taxonomy.ContentTypeSync"/>
  </ds:schemaRefs>
</ds:datastoreItem>
</file>

<file path=customXml/itemProps4.xml><?xml version="1.0" encoding="utf-8"?>
<ds:datastoreItem xmlns:ds="http://schemas.openxmlformats.org/officeDocument/2006/customXml" ds:itemID="{B841D230-228E-4FA7-9E2F-A7E25BE7B346}">
  <ds:schemaRefs>
    <ds:schemaRef ds:uri="http://schemas.microsoft.com/sharepoint/events"/>
  </ds:schemaRefs>
</ds:datastoreItem>
</file>

<file path=customXml/itemProps5.xml><?xml version="1.0" encoding="utf-8"?>
<ds:datastoreItem xmlns:ds="http://schemas.openxmlformats.org/officeDocument/2006/customXml" ds:itemID="{ADE9E462-CE80-4884-BF13-A9E92E194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8C4CEB-2AF3-42F0-A798-0E7EEAD1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1489</Words>
  <Characters>8032</Characters>
  <Application>Microsoft Office Word</Application>
  <DocSecurity>0</DocSecurity>
  <Lines>154</Lines>
  <Paragraphs>50</Paragraphs>
  <ScaleCrop>false</ScaleCrop>
  <HeadingPairs>
    <vt:vector size="2" baseType="variant">
      <vt:variant>
        <vt:lpstr>Title</vt:lpstr>
      </vt:variant>
      <vt:variant>
        <vt:i4>1</vt:i4>
      </vt:variant>
    </vt:vector>
  </HeadingPairs>
  <TitlesOfParts>
    <vt:vector size="1" baseType="lpstr">
      <vt:lpstr>Explanatory Statement for Banking Exemption No2 of 2018&lt;&lt;enter title of instrument, including subtitle (if any)&gt;&gt;</vt:lpstr>
    </vt:vector>
  </TitlesOfParts>
  <Company>APRA</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for Banking Exemption No2 of 2018&lt;&lt;enter title of instrument, including subtitle (if any)&gt;&gt;</dc:title>
  <dc:creator>Jinasena, Oshini</dc:creator>
  <cp:keywords>[SEC=UNCLASSIFIED]</cp:keywords>
  <cp:lastModifiedBy>Li, Joanne</cp:lastModifiedBy>
  <cp:revision>2</cp:revision>
  <cp:lastPrinted>2018-08-31T01:14:00Z</cp:lastPrinted>
  <dcterms:created xsi:type="dcterms:W3CDTF">2018-08-31T02:03:00Z</dcterms:created>
  <dcterms:modified xsi:type="dcterms:W3CDTF">2018-08-31T02:03:00Z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932A4D8DEB30F49B5D888DC2081C7FEE0B1F315D</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984B3C4A5871FC29F55631E4410DAA9FDAC30E37</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119656F4938742F78557B90B3EDDC5D2</vt:lpwstr>
  </property>
  <property fmtid="{D5CDD505-2E9C-101B-9397-08002B2CF9AE}" pid="16" name="PM_OriginationTimeStamp">
    <vt:lpwstr>2018-08-13T06:34:42Z</vt:lpwstr>
  </property>
  <property fmtid="{D5CDD505-2E9C-101B-9397-08002B2CF9AE}" pid="17" name="PM_Hash_Version">
    <vt:lpwstr>2016.1</vt:lpwstr>
  </property>
  <property fmtid="{D5CDD505-2E9C-101B-9397-08002B2CF9AE}" pid="18" name="PM_Hash_Salt_Prev">
    <vt:lpwstr>5821A79DAA23FF5C6AD3206E2B5F3321</vt:lpwstr>
  </property>
  <property fmtid="{D5CDD505-2E9C-101B-9397-08002B2CF9AE}" pid="19" name="PM_Hash_Salt">
    <vt:lpwstr>5821A79DAA23FF5C6AD3206E2B5F3321</vt:lpwstr>
  </property>
  <property fmtid="{D5CDD505-2E9C-101B-9397-08002B2CF9AE}" pid="20" name="ContentTypeId">
    <vt:lpwstr>0x0101008CA7A4F8331B45C7B0D3158B4994D0CA0200577EC0F5A1FBFC498F9A8436B963F8A6</vt:lpwstr>
  </property>
  <property fmtid="{D5CDD505-2E9C-101B-9397-08002B2CF9AE}" pid="21" name="APRAExternalOrganisation">
    <vt:lpwstr/>
  </property>
  <property fmtid="{D5CDD505-2E9C-101B-9397-08002B2CF9AE}" pid="22" name="APRAIRTR">
    <vt:lpwstr/>
  </property>
  <property fmtid="{D5CDD505-2E9C-101B-9397-08002B2CF9AE}" pid="23" name="APRAPeriod">
    <vt:lpwstr/>
  </property>
  <property fmtid="{D5CDD505-2E9C-101B-9397-08002B2CF9AE}" pid="24"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5" name="IT system type">
    <vt:lpwstr/>
  </property>
  <property fmtid="{D5CDD505-2E9C-101B-9397-08002B2CF9AE}" pid="26" name="APRACategory">
    <vt:lpwstr/>
  </property>
  <property fmtid="{D5CDD505-2E9C-101B-9397-08002B2CF9AE}" pid="27" name="APRAPRSG">
    <vt:lpwstr/>
  </property>
  <property fmtid="{D5CDD505-2E9C-101B-9397-08002B2CF9AE}" pid="28" name="APRAStatus">
    <vt:lpwstr>19;#Final|84d6b2d0-8498-4d62-bf46-bab38babbe9e</vt:lpwstr>
  </property>
  <property fmtid="{D5CDD505-2E9C-101B-9397-08002B2CF9AE}" pid="29" name="APRADocumentType">
    <vt:lpwstr>58;#Legal instrument|71fd6ed3-d6d6-4975-ba99-bfe45802e734</vt:lpwstr>
  </property>
  <property fmtid="{D5CDD505-2E9C-101B-9397-08002B2CF9AE}" pid="30" name="APRAActivity">
    <vt:lpwstr>8;#Legal|b42a91f5-fceb-4fbb-955b-19409a9e4079</vt:lpwstr>
  </property>
  <property fmtid="{D5CDD505-2E9C-101B-9397-08002B2CF9AE}" pid="31" name="APRAEntityAdviceSupport">
    <vt:lpwstr/>
  </property>
  <property fmtid="{D5CDD505-2E9C-101B-9397-08002B2CF9AE}" pid="32" name="APRALegislation">
    <vt:lpwstr/>
  </property>
  <property fmtid="{D5CDD505-2E9C-101B-9397-08002B2CF9AE}" pid="33" name="APRAYear">
    <vt:lpwstr>171;#2018|337d548e-be9a-4363-bbb3-ec2b7c3daa90</vt:lpwstr>
  </property>
  <property fmtid="{D5CDD505-2E9C-101B-9397-08002B2CF9AE}" pid="34" name="APRAIndustry">
    <vt:lpwstr/>
  </property>
  <property fmtid="{D5CDD505-2E9C-101B-9397-08002B2CF9AE}" pid="35" name="_dlc_DocIdItemGuid">
    <vt:lpwstr>c49ede6c-25c0-4107-9651-0edce7831f4e</vt:lpwstr>
  </property>
  <property fmtid="{D5CDD505-2E9C-101B-9397-08002B2CF9AE}" pid="36" name="RecordPoint_WorkflowType">
    <vt:lpwstr>ActiveSubmitStub</vt:lpwstr>
  </property>
  <property fmtid="{D5CDD505-2E9C-101B-9397-08002B2CF9AE}" pid="37" name="RecordPoint_ActiveItemWebId">
    <vt:lpwstr>{75a71c27-8d66-4282-ae60-1bfc22a83be1}</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{c49ede6c-25c0-4107-9651-0edce7831f4e}</vt:lpwstr>
  </property>
  <property fmtid="{D5CDD505-2E9C-101B-9397-08002B2CF9AE}" pid="41" name="RecordPoint_RecordNumberSubmitted">
    <vt:lpwstr/>
  </property>
  <property fmtid="{D5CDD505-2E9C-101B-9397-08002B2CF9AE}" pid="42" name="IsLocked">
    <vt:lpwstr>Yes</vt:lpwstr>
  </property>
  <property fmtid="{D5CDD505-2E9C-101B-9397-08002B2CF9AE}" pid="43" name="RecordPoint_SubmissionCompleted">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ies>
</file>