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A00BD" w14:textId="43EA7884" w:rsidR="00F109D4" w:rsidRPr="00ED6E9E" w:rsidRDefault="00565A66" w:rsidP="00647BB7">
      <w:pPr>
        <w:pStyle w:val="Heading1"/>
        <w:spacing w:after="360"/>
        <w:rPr>
          <w:rFonts w:ascii="Times New Roman" w:hAnsi="Times New Roman"/>
        </w:rPr>
      </w:pPr>
      <w:r w:rsidRPr="00ED6E9E">
        <w:rPr>
          <w:rFonts w:ascii="Times New Roman" w:hAnsi="Times New Roman"/>
        </w:rPr>
        <w:t>EXPLANATORY STATEMENT</w:t>
      </w:r>
    </w:p>
    <w:p w14:paraId="790B4E24" w14:textId="647B80F1" w:rsidR="007662C7" w:rsidRPr="003E1CE3" w:rsidRDefault="00F109D4" w:rsidP="00F03099">
      <w:pPr>
        <w:pStyle w:val="Heading2"/>
        <w:spacing w:before="120" w:after="240"/>
      </w:pPr>
      <w:r w:rsidRPr="00503E44">
        <w:t xml:space="preserve">Issued by authority of the </w:t>
      </w:r>
      <w:r w:rsidR="00FE4C71">
        <w:t xml:space="preserve">Assistant </w:t>
      </w:r>
      <w:bookmarkStart w:id="0" w:name="_GoBack"/>
      <w:bookmarkEnd w:id="0"/>
      <w:r w:rsidR="002C4425">
        <w:t>Treasurer</w:t>
      </w:r>
    </w:p>
    <w:p w14:paraId="41C1A21B" w14:textId="77777777" w:rsidR="00F109D4" w:rsidRPr="00503E44" w:rsidRDefault="00B466CE" w:rsidP="00AA1689">
      <w:pPr>
        <w:spacing w:before="0" w:after="240"/>
        <w:jc w:val="center"/>
        <w:rPr>
          <w:i/>
        </w:rPr>
      </w:pPr>
      <w:r>
        <w:rPr>
          <w:i/>
        </w:rPr>
        <w:t>Fringe Benefits Tax Assessment Act 1986</w:t>
      </w:r>
    </w:p>
    <w:p w14:paraId="3C74B65B" w14:textId="249D1E19" w:rsidR="00F109D4" w:rsidRPr="00503E44" w:rsidRDefault="006128DA" w:rsidP="00AA1689">
      <w:pPr>
        <w:tabs>
          <w:tab w:val="left" w:pos="1418"/>
        </w:tabs>
        <w:spacing w:before="0" w:after="240"/>
        <w:jc w:val="center"/>
        <w:rPr>
          <w:i/>
        </w:rPr>
      </w:pPr>
      <w:r>
        <w:rPr>
          <w:i/>
        </w:rPr>
        <w:t>Fringe Benefits Tax</w:t>
      </w:r>
      <w:r w:rsidR="00D22092">
        <w:rPr>
          <w:i/>
        </w:rPr>
        <w:t xml:space="preserve"> Assessment</w:t>
      </w:r>
      <w:r>
        <w:rPr>
          <w:i/>
        </w:rPr>
        <w:t xml:space="preserve"> Regulations </w:t>
      </w:r>
      <w:r w:rsidR="00D22092">
        <w:rPr>
          <w:i/>
        </w:rPr>
        <w:t>2018</w:t>
      </w:r>
    </w:p>
    <w:p w14:paraId="6484A503" w14:textId="77777777" w:rsidR="00F109D4" w:rsidRDefault="00C55D29" w:rsidP="00647BB7">
      <w:pPr>
        <w:spacing w:before="240"/>
      </w:pPr>
      <w:r w:rsidRPr="00503E44">
        <w:t xml:space="preserve">Section </w:t>
      </w:r>
      <w:r w:rsidR="00B466CE">
        <w:t>135</w:t>
      </w:r>
      <w:r w:rsidR="005E4BAC">
        <w:t xml:space="preserve"> </w:t>
      </w:r>
      <w:r w:rsidR="00F109D4" w:rsidRPr="00503E44">
        <w:t xml:space="preserve">of the </w:t>
      </w:r>
      <w:r w:rsidR="00B466CE" w:rsidRPr="00B466CE">
        <w:rPr>
          <w:i/>
        </w:rPr>
        <w:t>Fringe Benefits Tax Assessment Act 1986</w:t>
      </w:r>
      <w:r w:rsidR="00F109D4" w:rsidRPr="00B466CE">
        <w:rPr>
          <w:i/>
        </w:rPr>
        <w:t xml:space="preserve"> </w:t>
      </w:r>
      <w:r w:rsidR="00F109D4" w:rsidRPr="00503E44">
        <w:t>(the Act) provides that the Governor-General may make regulations prescribing matters required or permitted by the Act to be prescribed, or necessary or convenient to be prescribed for carrying out or giving effect to the Act.</w:t>
      </w:r>
    </w:p>
    <w:p w14:paraId="5F09D0B3" w14:textId="2683748E" w:rsidR="006128DA" w:rsidRPr="00A26EC1" w:rsidRDefault="006128DA" w:rsidP="006128DA">
      <w:pPr>
        <w:spacing w:before="240"/>
      </w:pPr>
      <w:r w:rsidRPr="00C71472">
        <w:t xml:space="preserve">The purpose of the </w:t>
      </w:r>
      <w:r w:rsidR="00242452">
        <w:rPr>
          <w:i/>
        </w:rPr>
        <w:t>Fringe Benefits Tax</w:t>
      </w:r>
      <w:r w:rsidRPr="00DB66AE">
        <w:rPr>
          <w:i/>
        </w:rPr>
        <w:t xml:space="preserve"> </w:t>
      </w:r>
      <w:r>
        <w:rPr>
          <w:i/>
        </w:rPr>
        <w:t>Assessment Regulations 2018</w:t>
      </w:r>
      <w:r w:rsidRPr="00DB66AE">
        <w:rPr>
          <w:i/>
        </w:rPr>
        <w:t xml:space="preserve"> </w:t>
      </w:r>
      <w:r w:rsidRPr="00DB66AE">
        <w:t xml:space="preserve">(the Regulations) is to remake and improve the operation of the </w:t>
      </w:r>
      <w:r>
        <w:rPr>
          <w:i/>
        </w:rPr>
        <w:t xml:space="preserve">Fringe Benefits Tax Regulations </w:t>
      </w:r>
      <w:r w:rsidRPr="006128DA">
        <w:rPr>
          <w:i/>
        </w:rPr>
        <w:t>1992</w:t>
      </w:r>
      <w:r w:rsidR="00CA2D86">
        <w:t xml:space="preserve"> </w:t>
      </w:r>
      <w:r w:rsidR="00ED6E9E">
        <w:t xml:space="preserve">(the 1992 Regulations) </w:t>
      </w:r>
      <w:r w:rsidR="00CA2D86">
        <w:t>before it</w:t>
      </w:r>
      <w:r w:rsidRPr="00A26EC1">
        <w:t xml:space="preserve"> ‘sunset</w:t>
      </w:r>
      <w:r w:rsidR="00CA2D86">
        <w:t>s</w:t>
      </w:r>
      <w:r w:rsidRPr="00A26EC1">
        <w:t xml:space="preserve">’. The </w:t>
      </w:r>
      <w:r w:rsidRPr="00A26EC1">
        <w:rPr>
          <w:i/>
        </w:rPr>
        <w:t>Legislation Act 2003</w:t>
      </w:r>
      <w:r w:rsidRPr="00A26EC1">
        <w:t xml:space="preserve"> provides that all legislative instruments, other than exempt instruments, progressively sunset according to the timetable in section 50 of that Act. Legislative instruments generally cease to have effect after 10 years unless their operation</w:t>
      </w:r>
      <w:r>
        <w:t xml:space="preserve"> is extended</w:t>
      </w:r>
      <w:r w:rsidRPr="00A26EC1">
        <w:t xml:space="preserve"> </w:t>
      </w:r>
      <w:r w:rsidRPr="00A26EC1" w:rsidDel="001B2263">
        <w:t xml:space="preserve">such as </w:t>
      </w:r>
      <w:r>
        <w:t xml:space="preserve">by </w:t>
      </w:r>
      <w:r w:rsidRPr="00A26EC1">
        <w:t>remaking the instrument.</w:t>
      </w:r>
      <w:r w:rsidR="001B2A8B" w:rsidRPr="001B2A8B">
        <w:t xml:space="preserve"> </w:t>
      </w:r>
      <w:r w:rsidR="001B2A8B">
        <w:t>T</w:t>
      </w:r>
      <w:r w:rsidR="001B2A8B" w:rsidRPr="00A26EC1">
        <w:t xml:space="preserve">he </w:t>
      </w:r>
      <w:r w:rsidR="00ED6E9E" w:rsidRPr="00ED6E9E">
        <w:t>1992 Regulations</w:t>
      </w:r>
      <w:r w:rsidR="00ED6E9E">
        <w:rPr>
          <w:i/>
        </w:rPr>
        <w:t xml:space="preserve"> </w:t>
      </w:r>
      <w:r w:rsidR="001B2A8B">
        <w:t>are</w:t>
      </w:r>
      <w:r w:rsidR="001B2A8B" w:rsidRPr="00A26EC1">
        <w:t xml:space="preserve"> </w:t>
      </w:r>
      <w:r w:rsidR="00ED6E9E">
        <w:t xml:space="preserve">due to be </w:t>
      </w:r>
      <w:r w:rsidR="001B2A8B" w:rsidRPr="00A26EC1">
        <w:t>automatically repealed on 1 October</w:t>
      </w:r>
      <w:r w:rsidR="001B2A8B">
        <w:t> 2018</w:t>
      </w:r>
      <w:r w:rsidR="001B2A8B" w:rsidRPr="00A26EC1">
        <w:t>.</w:t>
      </w:r>
    </w:p>
    <w:p w14:paraId="16983D78" w14:textId="7B845637" w:rsidR="006128DA" w:rsidRDefault="006128DA" w:rsidP="006128DA">
      <w:pPr>
        <w:spacing w:before="240"/>
      </w:pPr>
      <w:r w:rsidRPr="00A26EC1">
        <w:t>The Regulation</w:t>
      </w:r>
      <w:r>
        <w:t>s</w:t>
      </w:r>
      <w:r w:rsidR="00D22D53">
        <w:t xml:space="preserve"> remake and improve the </w:t>
      </w:r>
      <w:r w:rsidR="00ED6E9E" w:rsidRPr="00ED6E9E">
        <w:t>1992 Regulations</w:t>
      </w:r>
      <w:r w:rsidR="00D22D53">
        <w:t xml:space="preserve"> </w:t>
      </w:r>
      <w:r w:rsidRPr="00A26EC1">
        <w:t>by repealing redundant p</w:t>
      </w:r>
      <w:r w:rsidR="00D22D53">
        <w:t xml:space="preserve">rovisions, simplifying language, </w:t>
      </w:r>
      <w:r w:rsidR="00E42CC8">
        <w:t xml:space="preserve">and </w:t>
      </w:r>
      <w:r w:rsidRPr="00A26EC1">
        <w:t>restructuring pro</w:t>
      </w:r>
      <w:r w:rsidR="00D22D53">
        <w:t>visions for ease of navigation</w:t>
      </w:r>
      <w:r w:rsidR="00E42CC8">
        <w:t>.</w:t>
      </w:r>
    </w:p>
    <w:p w14:paraId="697AE149" w14:textId="026EBF10" w:rsidR="006128DA" w:rsidRPr="001B2A8B" w:rsidRDefault="006128DA" w:rsidP="006128DA">
      <w:pPr>
        <w:spacing w:before="240"/>
      </w:pPr>
      <w:r w:rsidRPr="001B2A8B">
        <w:t xml:space="preserve">The key changes </w:t>
      </w:r>
      <w:r w:rsidR="00D22092">
        <w:t xml:space="preserve">to the instrument </w:t>
      </w:r>
      <w:r w:rsidRPr="001B2A8B">
        <w:t>are:</w:t>
      </w:r>
    </w:p>
    <w:p w14:paraId="54DB4712" w14:textId="4C83EABE" w:rsidR="00E42CC8" w:rsidRDefault="00E42CC8" w:rsidP="001B2A8B">
      <w:pPr>
        <w:pStyle w:val="Bullet"/>
      </w:pPr>
      <w:r>
        <w:t>adopting modern drafting practices such as referring to ‘sections’ rather than ‘regulations’;</w:t>
      </w:r>
    </w:p>
    <w:p w14:paraId="2CF4055D" w14:textId="229F74BC" w:rsidR="001B2A8B" w:rsidRPr="006F5E00" w:rsidRDefault="006867C4" w:rsidP="001B2A8B">
      <w:pPr>
        <w:pStyle w:val="Bullet"/>
      </w:pPr>
      <w:r>
        <w:t>improving</w:t>
      </w:r>
      <w:r w:rsidR="00D22092">
        <w:t xml:space="preserve"> the </w:t>
      </w:r>
      <w:r w:rsidR="001B2A8B" w:rsidRPr="003C7B8E">
        <w:t xml:space="preserve">structure from </w:t>
      </w:r>
      <w:r w:rsidR="001B2A8B" w:rsidRPr="00AA5B4F">
        <w:t>th</w:t>
      </w:r>
      <w:r w:rsidR="001B2A8B">
        <w:t>at</w:t>
      </w:r>
      <w:r w:rsidR="001B2A8B" w:rsidRPr="006F5E00">
        <w:t xml:space="preserve"> used in the </w:t>
      </w:r>
      <w:r w:rsidR="00ED6E9E" w:rsidRPr="00ED6E9E">
        <w:t>1992 Regulations</w:t>
      </w:r>
      <w:r w:rsidR="00ED6E9E">
        <w:rPr>
          <w:i/>
        </w:rPr>
        <w:t xml:space="preserve"> </w:t>
      </w:r>
      <w:r w:rsidR="001B2A8B" w:rsidRPr="00AA5B4F">
        <w:t>to</w:t>
      </w:r>
      <w:r w:rsidR="001B36D0">
        <w:t xml:space="preserve"> </w:t>
      </w:r>
      <w:r w:rsidR="00D90D6C">
        <w:t>make the provisions easier to understand and navigate</w:t>
      </w:r>
      <w:r w:rsidR="001B36D0">
        <w:t>;</w:t>
      </w:r>
    </w:p>
    <w:p w14:paraId="2A69848A" w14:textId="0350DF9A" w:rsidR="00F304F8" w:rsidRDefault="00D90D6C" w:rsidP="001B2A8B">
      <w:pPr>
        <w:pStyle w:val="Bullet"/>
      </w:pPr>
      <w:r>
        <w:t>r</w:t>
      </w:r>
      <w:r w:rsidR="00D22092">
        <w:t>enaming</w:t>
      </w:r>
      <w:r>
        <w:t xml:space="preserve"> and adding</w:t>
      </w:r>
      <w:r w:rsidR="00D22092">
        <w:t xml:space="preserve"> </w:t>
      </w:r>
      <w:r w:rsidR="00F304F8">
        <w:t>section</w:t>
      </w:r>
      <w:r w:rsidR="00D57351">
        <w:t xml:space="preserve"> heading</w:t>
      </w:r>
      <w:r w:rsidR="00F304F8">
        <w:t>s;</w:t>
      </w:r>
    </w:p>
    <w:p w14:paraId="287E8592" w14:textId="3F0361F6" w:rsidR="001B2A8B" w:rsidRPr="003C7B8E" w:rsidRDefault="00D22092" w:rsidP="001B2A8B">
      <w:pPr>
        <w:pStyle w:val="Bullet"/>
      </w:pPr>
      <w:r>
        <w:t>removing an</w:t>
      </w:r>
      <w:r w:rsidR="00D57351">
        <w:t>d</w:t>
      </w:r>
      <w:r>
        <w:t xml:space="preserve"> replacing </w:t>
      </w:r>
      <w:r w:rsidR="00E42CC8">
        <w:t>tables with subsections; and</w:t>
      </w:r>
    </w:p>
    <w:p w14:paraId="18D70224" w14:textId="2116972B" w:rsidR="001B2A8B" w:rsidRPr="003C7B8E" w:rsidRDefault="00ED6E9E" w:rsidP="001B2A8B">
      <w:pPr>
        <w:pStyle w:val="Bullet"/>
      </w:pPr>
      <w:r>
        <w:t xml:space="preserve">centralise </w:t>
      </w:r>
      <w:r w:rsidR="00D90D6C">
        <w:t>definitions</w:t>
      </w:r>
      <w:r w:rsidR="00AD34D8">
        <w:t xml:space="preserve"> used</w:t>
      </w:r>
      <w:r w:rsidR="00E42CC8">
        <w:t xml:space="preserve"> throughout the</w:t>
      </w:r>
      <w:r>
        <w:t xml:space="preserve"> 1992 Regulations</w:t>
      </w:r>
      <w:r w:rsidR="001B2A8B" w:rsidRPr="006F5E00">
        <w:t xml:space="preserve"> </w:t>
      </w:r>
      <w:r w:rsidR="00E42CC8">
        <w:t>to</w:t>
      </w:r>
      <w:r w:rsidR="001B2A8B">
        <w:t xml:space="preserve"> </w:t>
      </w:r>
      <w:r>
        <w:t>a new ‘definitions’ section in</w:t>
      </w:r>
      <w:r w:rsidR="001B2A8B">
        <w:t xml:space="preserve"> the Regulations.</w:t>
      </w:r>
    </w:p>
    <w:p w14:paraId="5C8F37BF" w14:textId="77777777" w:rsidR="001B2A8B" w:rsidRPr="009407F0" w:rsidRDefault="001B2A8B" w:rsidP="001B2A8B">
      <w:pPr>
        <w:spacing w:before="240"/>
      </w:pPr>
      <w:r w:rsidRPr="00A26EC1">
        <w:t xml:space="preserve">These changes </w:t>
      </w:r>
      <w:r>
        <w:t>are not intended to</w:t>
      </w:r>
      <w:r w:rsidRPr="00A26EC1" w:rsidDel="00CB6AE3">
        <w:t xml:space="preserve"> </w:t>
      </w:r>
      <w:r>
        <w:t>affect</w:t>
      </w:r>
      <w:r w:rsidRPr="00A26EC1">
        <w:t xml:space="preserve"> the substantive meaning or operation of the provisions.</w:t>
      </w:r>
    </w:p>
    <w:p w14:paraId="15156DC8" w14:textId="07C28E6C" w:rsidR="003B5F58" w:rsidRDefault="003B5F58" w:rsidP="003B5F58">
      <w:pPr>
        <w:spacing w:before="240"/>
      </w:pPr>
      <w:r w:rsidRPr="001B2A8B">
        <w:t xml:space="preserve">Further details of the Regulations are set out in </w:t>
      </w:r>
      <w:r w:rsidRPr="001B2A8B">
        <w:rPr>
          <w:u w:val="single"/>
        </w:rPr>
        <w:t>Attachment</w:t>
      </w:r>
      <w:r w:rsidR="00485D2F" w:rsidRPr="001B2A8B">
        <w:rPr>
          <w:u w:val="single"/>
        </w:rPr>
        <w:t xml:space="preserve"> A</w:t>
      </w:r>
      <w:r w:rsidRPr="001B2A8B">
        <w:t>.</w:t>
      </w:r>
    </w:p>
    <w:p w14:paraId="00FADBE4" w14:textId="0D1BF974" w:rsidR="00E15BEC" w:rsidRPr="001B2A8B" w:rsidRDefault="00E15BEC" w:rsidP="003B5F58">
      <w:pPr>
        <w:spacing w:before="240"/>
      </w:pPr>
      <w:r>
        <w:t>Targeted consultation was conducted on the Legislative Instrument with affected stakeholders, including academics, industry groups and other government agencies.</w:t>
      </w:r>
      <w:r w:rsidR="00ED6E9E">
        <w:t xml:space="preserve"> A </w:t>
      </w:r>
      <w:r w:rsidR="00B12F73">
        <w:t xml:space="preserve">number of minor technical amendments were made based on consultation to clarify the operation of </w:t>
      </w:r>
      <w:r w:rsidR="005B114C">
        <w:t xml:space="preserve">the </w:t>
      </w:r>
      <w:r w:rsidR="00B12F73">
        <w:t xml:space="preserve">Regulations. </w:t>
      </w:r>
    </w:p>
    <w:p w14:paraId="72215B28" w14:textId="77777777" w:rsidR="003B5F58" w:rsidRPr="001B2A8B" w:rsidRDefault="003B5F58" w:rsidP="003B5F58">
      <w:pPr>
        <w:spacing w:before="240"/>
      </w:pPr>
      <w:r w:rsidRPr="001B2A8B">
        <w:t>The Act does not specify any conditions that need to be met before the power to make the Regulations may be exercised.</w:t>
      </w:r>
    </w:p>
    <w:p w14:paraId="04B31501" w14:textId="31790A9F" w:rsidR="003B5F58" w:rsidRPr="001B2A8B" w:rsidRDefault="003B5F58" w:rsidP="003B5F58">
      <w:pPr>
        <w:spacing w:before="240"/>
      </w:pPr>
      <w:r w:rsidRPr="001B2A8B">
        <w:lastRenderedPageBreak/>
        <w:t xml:space="preserve">The Regulations are a legislative instrument for the purposes of the </w:t>
      </w:r>
      <w:r w:rsidRPr="001B2A8B">
        <w:rPr>
          <w:i/>
        </w:rPr>
        <w:t xml:space="preserve">Legislation </w:t>
      </w:r>
      <w:r w:rsidR="00D57351" w:rsidRPr="001B2A8B">
        <w:rPr>
          <w:i/>
        </w:rPr>
        <w:t>Act</w:t>
      </w:r>
      <w:r w:rsidR="00D57351">
        <w:rPr>
          <w:i/>
        </w:rPr>
        <w:t> </w:t>
      </w:r>
      <w:r w:rsidRPr="001B2A8B">
        <w:rPr>
          <w:i/>
        </w:rPr>
        <w:t>2003.</w:t>
      </w:r>
    </w:p>
    <w:p w14:paraId="65398A6C" w14:textId="4DDE8B4B" w:rsidR="003B5F58" w:rsidRPr="001B2A8B" w:rsidRDefault="003B5F58" w:rsidP="003B5F58">
      <w:pPr>
        <w:spacing w:before="240"/>
      </w:pPr>
      <w:r w:rsidRPr="001B2A8B">
        <w:t>The Regulations commence on the day after it is registered on the Federal Register of Legislation.</w:t>
      </w:r>
    </w:p>
    <w:p w14:paraId="6B8040E0" w14:textId="6E4B554A" w:rsidR="003B5F58" w:rsidRPr="001B2A8B" w:rsidRDefault="003B5F58" w:rsidP="003B5F58">
      <w:pPr>
        <w:spacing w:before="240"/>
      </w:pPr>
      <w:r w:rsidRPr="001B2A8B">
        <w:t xml:space="preserve">The Office of Best Practice Regulation considered the Regulations have </w:t>
      </w:r>
      <w:r w:rsidR="007121EC">
        <w:t xml:space="preserve">a </w:t>
      </w:r>
      <w:r w:rsidRPr="001B2A8B">
        <w:t>minor impact on business, community organisations or individuals and has certified that the remaking of the Regulations do not require a Regulat</w:t>
      </w:r>
      <w:r w:rsidR="001B36D0">
        <w:t>ory Impact Statement (OBPR ID</w:t>
      </w:r>
      <w:r w:rsidR="007121EC">
        <w:t xml:space="preserve"> </w:t>
      </w:r>
      <w:r w:rsidR="007121EC" w:rsidRPr="00270022">
        <w:t xml:space="preserve">No </w:t>
      </w:r>
      <w:r w:rsidR="00270022" w:rsidRPr="00270022">
        <w:t>23889)</w:t>
      </w:r>
    </w:p>
    <w:p w14:paraId="4AA58FEA" w14:textId="77777777" w:rsidR="00EB3C75" w:rsidRPr="00647BB7" w:rsidRDefault="00EB3C75" w:rsidP="00EB3C75">
      <w:pPr>
        <w:spacing w:before="0"/>
        <w:rPr>
          <w:i/>
        </w:rPr>
      </w:pPr>
      <w:r>
        <w:rPr>
          <w:color w:val="000000"/>
          <w:shd w:val="clear" w:color="auto" w:fill="FFFFFF"/>
        </w:rPr>
        <w:t>A Statement of Compatibility with Human Rights is at </w:t>
      </w:r>
      <w:r>
        <w:rPr>
          <w:color w:val="000000"/>
          <w:u w:val="single"/>
          <w:shd w:val="clear" w:color="auto" w:fill="FFFFFF"/>
        </w:rPr>
        <w:t>Attachment C.</w:t>
      </w:r>
      <w:r>
        <w:rPr>
          <w:color w:val="000000"/>
          <w:shd w:val="clear" w:color="auto" w:fill="FFFFFF"/>
        </w:rPr>
        <w:t> The Legislative Instrument is compatible with human rights as it does not raise any human rights issues.</w:t>
      </w:r>
    </w:p>
    <w:p w14:paraId="2306DC47" w14:textId="77777777" w:rsidR="00F32013" w:rsidRDefault="00F32013">
      <w:pPr>
        <w:spacing w:before="0" w:after="0"/>
        <w:rPr>
          <w:b/>
          <w:u w:val="single"/>
        </w:rPr>
      </w:pPr>
      <w:r>
        <w:rPr>
          <w:b/>
          <w:u w:val="single"/>
        </w:rPr>
        <w:br w:type="page"/>
      </w:r>
    </w:p>
    <w:p w14:paraId="300325FD" w14:textId="03099E34" w:rsidR="00242452" w:rsidRDefault="00242452" w:rsidP="00242452">
      <w:pPr>
        <w:tabs>
          <w:tab w:val="left" w:pos="2835"/>
        </w:tabs>
        <w:spacing w:before="240"/>
        <w:ind w:right="91"/>
        <w:jc w:val="right"/>
        <w:rPr>
          <w:b/>
          <w:u w:val="single"/>
        </w:rPr>
      </w:pPr>
      <w:r>
        <w:rPr>
          <w:b/>
          <w:u w:val="single"/>
        </w:rPr>
        <w:lastRenderedPageBreak/>
        <w:t>ATTACHMENT A</w:t>
      </w:r>
    </w:p>
    <w:p w14:paraId="03D51E0D" w14:textId="1EE71DE8" w:rsidR="00242452" w:rsidRPr="00F733D8" w:rsidRDefault="00242452" w:rsidP="00242452">
      <w:pPr>
        <w:tabs>
          <w:tab w:val="left" w:pos="2835"/>
        </w:tabs>
        <w:spacing w:before="240"/>
        <w:ind w:right="91"/>
        <w:rPr>
          <w:b/>
          <w:u w:val="single"/>
        </w:rPr>
      </w:pPr>
      <w:r w:rsidRPr="00F733D8">
        <w:rPr>
          <w:b/>
          <w:u w:val="single"/>
        </w:rPr>
        <w:t xml:space="preserve">Details of the </w:t>
      </w:r>
      <w:r w:rsidRPr="00242452">
        <w:rPr>
          <w:b/>
          <w:i/>
          <w:u w:val="single"/>
        </w:rPr>
        <w:t>Fringe Benefits Tax Assessment Regulations 2018</w:t>
      </w:r>
    </w:p>
    <w:p w14:paraId="21EE829C" w14:textId="32E9DF87" w:rsidR="00242452" w:rsidRPr="00F733D8" w:rsidRDefault="00242452" w:rsidP="00242452">
      <w:pPr>
        <w:tabs>
          <w:tab w:val="left" w:pos="2835"/>
        </w:tabs>
        <w:spacing w:before="240"/>
        <w:ind w:right="91"/>
      </w:pPr>
      <w:r w:rsidRPr="00F733D8">
        <w:t xml:space="preserve">This Attachment sets out further details of the </w:t>
      </w:r>
      <w:r>
        <w:rPr>
          <w:i/>
        </w:rPr>
        <w:t>Fringe Benefits Tax</w:t>
      </w:r>
      <w:r w:rsidRPr="00DB66AE">
        <w:rPr>
          <w:i/>
        </w:rPr>
        <w:t xml:space="preserve"> </w:t>
      </w:r>
      <w:r>
        <w:rPr>
          <w:i/>
        </w:rPr>
        <w:t>Assessment Regulations 2018</w:t>
      </w:r>
      <w:r w:rsidRPr="00DB66AE">
        <w:rPr>
          <w:i/>
        </w:rPr>
        <w:t xml:space="preserve"> </w:t>
      </w:r>
      <w:r w:rsidR="00667134">
        <w:t xml:space="preserve">(the </w:t>
      </w:r>
      <w:r>
        <w:t>Regulations). A</w:t>
      </w:r>
      <w:r w:rsidRPr="00F733D8">
        <w:t xml:space="preserve">ll references are to the Regulations unless otherwise stated. References to a ‘corresponding provision’ are to the corresponding provision in the </w:t>
      </w:r>
      <w:r w:rsidRPr="00242452">
        <w:rPr>
          <w:i/>
        </w:rPr>
        <w:t>Fringe Benefits Tax Regulations 1992</w:t>
      </w:r>
      <w:r w:rsidR="00ED6E9E">
        <w:t xml:space="preserve"> (the 1992 </w:t>
      </w:r>
      <w:r w:rsidR="00667134" w:rsidRPr="00667134">
        <w:t>Regulations)</w:t>
      </w:r>
      <w:r w:rsidRPr="00667134">
        <w:t>,</w:t>
      </w:r>
      <w:r w:rsidRPr="00F733D8">
        <w:t xml:space="preserve"> as identified by the Finding Table at </w:t>
      </w:r>
      <w:r w:rsidRPr="00242452">
        <w:rPr>
          <w:u w:val="single"/>
        </w:rPr>
        <w:t>Attachment B</w:t>
      </w:r>
      <w:r w:rsidRPr="00F733D8">
        <w:t>.</w:t>
      </w:r>
    </w:p>
    <w:p w14:paraId="561562C0" w14:textId="77777777" w:rsidR="00242452" w:rsidRPr="00F733D8" w:rsidRDefault="00242452" w:rsidP="00242452">
      <w:pPr>
        <w:spacing w:before="240"/>
      </w:pPr>
      <w:r w:rsidRPr="00F733D8">
        <w:t>Changes of a minor or machinery nature, such as references to section rather than regulation in accordance with modern drafting practices, are generally not specifically identified in this Attachment. Where the Regulations make changes that require further explanation, these are identified and explained in this Attachment.</w:t>
      </w:r>
    </w:p>
    <w:p w14:paraId="402A5979" w14:textId="6C746F89" w:rsidR="00090994" w:rsidRPr="00090994" w:rsidRDefault="00F304F8" w:rsidP="00242452">
      <w:pPr>
        <w:spacing w:before="240"/>
        <w:rPr>
          <w:b/>
          <w:u w:val="single"/>
        </w:rPr>
      </w:pPr>
      <w:r>
        <w:rPr>
          <w:b/>
          <w:u w:val="single"/>
        </w:rPr>
        <w:t>Part 1</w:t>
      </w:r>
      <w:r w:rsidR="00502F51">
        <w:rPr>
          <w:b/>
          <w:u w:val="single"/>
        </w:rPr>
        <w:t>—</w:t>
      </w:r>
      <w:r w:rsidR="00090994" w:rsidRPr="00090994">
        <w:rPr>
          <w:b/>
          <w:u w:val="single"/>
        </w:rPr>
        <w:t>Preliminary</w:t>
      </w:r>
    </w:p>
    <w:p w14:paraId="6D4789CB" w14:textId="1F6ADE13" w:rsidR="00502F51" w:rsidRDefault="001B36D0" w:rsidP="00242452">
      <w:pPr>
        <w:spacing w:before="240"/>
        <w:rPr>
          <w:b/>
        </w:rPr>
      </w:pPr>
      <w:r>
        <w:rPr>
          <w:b/>
        </w:rPr>
        <w:t>Section 1</w:t>
      </w:r>
    </w:p>
    <w:p w14:paraId="6A2E0110" w14:textId="1419ECF7" w:rsidR="00BC01C5" w:rsidRDefault="00BC01C5" w:rsidP="00BC01C5">
      <w:pPr>
        <w:shd w:val="clear" w:color="auto" w:fill="FFFFFF"/>
        <w:spacing w:before="100" w:beforeAutospacing="1" w:after="100" w:afterAutospacing="1"/>
        <w:rPr>
          <w:i/>
        </w:rPr>
      </w:pPr>
      <w:r w:rsidRPr="00A26EC1">
        <w:rPr>
          <w:bCs/>
          <w:szCs w:val="24"/>
        </w:rPr>
        <w:t xml:space="preserve">This section provides that the title of the Regulations is the </w:t>
      </w:r>
      <w:r>
        <w:rPr>
          <w:i/>
        </w:rPr>
        <w:t>Fringe Benefits Tax</w:t>
      </w:r>
      <w:r w:rsidRPr="00DB66AE">
        <w:rPr>
          <w:i/>
        </w:rPr>
        <w:t xml:space="preserve"> </w:t>
      </w:r>
      <w:r>
        <w:rPr>
          <w:i/>
        </w:rPr>
        <w:t>Assessment Regulations 2018.</w:t>
      </w:r>
    </w:p>
    <w:p w14:paraId="67B875B8" w14:textId="61D63A8B" w:rsidR="00502F51" w:rsidRDefault="00242452" w:rsidP="00BC01C5">
      <w:pPr>
        <w:shd w:val="clear" w:color="auto" w:fill="FFFFFF"/>
        <w:spacing w:before="100" w:beforeAutospacing="1" w:after="100" w:afterAutospacing="1"/>
      </w:pPr>
      <w:r w:rsidRPr="00701DB0">
        <w:rPr>
          <w:b/>
        </w:rPr>
        <w:t>Section 2</w:t>
      </w:r>
    </w:p>
    <w:p w14:paraId="23C1B43F" w14:textId="30D1730F" w:rsidR="00BC01C5" w:rsidRDefault="00BC01C5" w:rsidP="00242452">
      <w:pPr>
        <w:spacing w:before="240"/>
        <w:rPr>
          <w:bCs/>
          <w:szCs w:val="24"/>
        </w:rPr>
      </w:pPr>
      <w:r w:rsidRPr="00A26EC1">
        <w:rPr>
          <w:bCs/>
          <w:szCs w:val="24"/>
        </w:rPr>
        <w:t>This section provides that the Regulations commence on 1 October 201</w:t>
      </w:r>
      <w:r>
        <w:rPr>
          <w:bCs/>
          <w:szCs w:val="24"/>
        </w:rPr>
        <w:t>8</w:t>
      </w:r>
      <w:r w:rsidRPr="00A26EC1">
        <w:rPr>
          <w:bCs/>
          <w:szCs w:val="24"/>
        </w:rPr>
        <w:t>.</w:t>
      </w:r>
    </w:p>
    <w:p w14:paraId="4CCDA02A" w14:textId="10292599" w:rsidR="00502F51" w:rsidRDefault="00242452" w:rsidP="00242452">
      <w:pPr>
        <w:spacing w:before="240"/>
      </w:pPr>
      <w:r w:rsidRPr="00701DB0">
        <w:rPr>
          <w:b/>
        </w:rPr>
        <w:t>Section 3</w:t>
      </w:r>
    </w:p>
    <w:p w14:paraId="65F19A1A" w14:textId="464E2502" w:rsidR="00242452" w:rsidRPr="00BC01C5" w:rsidRDefault="00BC01C5" w:rsidP="00BC01C5">
      <w:pPr>
        <w:shd w:val="clear" w:color="auto" w:fill="FFFFFF"/>
        <w:spacing w:before="100" w:beforeAutospacing="1" w:after="100" w:afterAutospacing="1"/>
        <w:rPr>
          <w:bCs/>
          <w:szCs w:val="24"/>
        </w:rPr>
      </w:pPr>
      <w:r w:rsidRPr="00A26EC1">
        <w:rPr>
          <w:bCs/>
          <w:szCs w:val="24"/>
        </w:rPr>
        <w:t xml:space="preserve">This section provides that the Regulations are made under the </w:t>
      </w:r>
      <w:r w:rsidRPr="00B466CE">
        <w:rPr>
          <w:i/>
        </w:rPr>
        <w:t>Fringe Benefits Tax Assessment Act 1986</w:t>
      </w:r>
      <w:r w:rsidR="001F1BE5">
        <w:rPr>
          <w:i/>
        </w:rPr>
        <w:t xml:space="preserve"> </w:t>
      </w:r>
      <w:r w:rsidR="001F1BE5">
        <w:t>(the Act)</w:t>
      </w:r>
      <w:r w:rsidRPr="00A26EC1">
        <w:rPr>
          <w:bCs/>
          <w:szCs w:val="24"/>
        </w:rPr>
        <w:t>.</w:t>
      </w:r>
    </w:p>
    <w:p w14:paraId="05246C8A" w14:textId="22E7948E" w:rsidR="00502F51" w:rsidRDefault="00054D22" w:rsidP="00054D22">
      <w:pPr>
        <w:spacing w:before="240"/>
        <w:rPr>
          <w:b/>
        </w:rPr>
      </w:pPr>
      <w:r w:rsidRPr="00701DB0">
        <w:rPr>
          <w:b/>
        </w:rPr>
        <w:t xml:space="preserve">Section </w:t>
      </w:r>
      <w:r>
        <w:rPr>
          <w:b/>
        </w:rPr>
        <w:t>4</w:t>
      </w:r>
    </w:p>
    <w:p w14:paraId="00B1C033" w14:textId="5217A6CB" w:rsidR="00054D22" w:rsidRDefault="00502F51" w:rsidP="00054D22">
      <w:pPr>
        <w:spacing w:before="240"/>
      </w:pPr>
      <w:r>
        <w:t xml:space="preserve">This section </w:t>
      </w:r>
      <w:r w:rsidR="001D6972">
        <w:t>provides that each instrument identified in a Schedule to the Regulations is amended or repealed in accordance with these Regulations.</w:t>
      </w:r>
    </w:p>
    <w:p w14:paraId="111A9F8A" w14:textId="721F95DB" w:rsidR="00502F51" w:rsidRDefault="00054D22" w:rsidP="00054D22">
      <w:pPr>
        <w:spacing w:before="240"/>
      </w:pPr>
      <w:r w:rsidRPr="00701DB0">
        <w:rPr>
          <w:b/>
        </w:rPr>
        <w:t xml:space="preserve">Section </w:t>
      </w:r>
      <w:r>
        <w:rPr>
          <w:b/>
        </w:rPr>
        <w:t>5</w:t>
      </w:r>
    </w:p>
    <w:p w14:paraId="62D901E9" w14:textId="22541F7D" w:rsidR="00AC2A91" w:rsidRPr="003C7B8E" w:rsidRDefault="00AC2A91" w:rsidP="00AC2A91">
      <w:pPr>
        <w:shd w:val="clear" w:color="auto" w:fill="FFFFFF"/>
        <w:spacing w:before="100" w:beforeAutospacing="1" w:after="100" w:afterAutospacing="1"/>
      </w:pPr>
      <w:r w:rsidRPr="003C7B8E">
        <w:t>This section contains defined expressions used in the Regulations. As part of the remake</w:t>
      </w:r>
      <w:r>
        <w:rPr>
          <w:bCs/>
          <w:szCs w:val="24"/>
        </w:rPr>
        <w:t xml:space="preserve"> of the </w:t>
      </w:r>
      <w:r w:rsidR="00925D0B">
        <w:t>1992</w:t>
      </w:r>
      <w:r w:rsidR="00D90D6C" w:rsidRPr="00D90D6C">
        <w:t xml:space="preserve"> Regulations</w:t>
      </w:r>
      <w:r w:rsidR="00D90D6C">
        <w:t>,</w:t>
      </w:r>
      <w:r>
        <w:t xml:space="preserve"> w</w:t>
      </w:r>
      <w:r w:rsidRPr="003C7B8E">
        <w:t>here</w:t>
      </w:r>
      <w:r w:rsidR="00D90D6C">
        <w:t>ver</w:t>
      </w:r>
      <w:r w:rsidRPr="003C7B8E">
        <w:t xml:space="preserve"> an expression </w:t>
      </w:r>
      <w:r w:rsidR="00D90D6C">
        <w:t>was</w:t>
      </w:r>
      <w:r w:rsidRPr="003C7B8E">
        <w:t xml:space="preserve"> defined in a later section </w:t>
      </w:r>
      <w:r w:rsidR="00D90D6C">
        <w:t>of the</w:t>
      </w:r>
      <w:r w:rsidRPr="003C7B8E">
        <w:t xml:space="preserve"> </w:t>
      </w:r>
      <w:r w:rsidR="00925D0B">
        <w:t>1992</w:t>
      </w:r>
      <w:r w:rsidR="00D90D6C">
        <w:t xml:space="preserve"> Regulations </w:t>
      </w:r>
      <w:r w:rsidRPr="003C7B8E">
        <w:t>that expression is</w:t>
      </w:r>
      <w:r w:rsidR="00D90D6C">
        <w:t xml:space="preserve"> now</w:t>
      </w:r>
      <w:r w:rsidRPr="003C7B8E">
        <w:t xml:space="preserve"> defined</w:t>
      </w:r>
      <w:r>
        <w:t xml:space="preserve"> in section 5.</w:t>
      </w:r>
    </w:p>
    <w:p w14:paraId="3A2B27C7" w14:textId="77777777" w:rsidR="00AC2A91" w:rsidRDefault="00AC2A91" w:rsidP="00AC2A91">
      <w:pPr>
        <w:shd w:val="clear" w:color="auto" w:fill="FFFFFF"/>
        <w:spacing w:before="100" w:beforeAutospacing="1" w:after="100" w:afterAutospacing="1"/>
      </w:pPr>
      <w:r w:rsidRPr="003C7B8E">
        <w:t xml:space="preserve">All expressions in section </w:t>
      </w:r>
      <w:r>
        <w:t>5</w:t>
      </w:r>
      <w:r w:rsidRPr="003C7B8E">
        <w:t xml:space="preserve"> have the same meaning throughout the Regulations consistent with modern drafting practice. Because the Regulations use a number of terms that are defined in other Acts, a number of expressions have been added </w:t>
      </w:r>
      <w:r>
        <w:rPr>
          <w:bCs/>
          <w:szCs w:val="24"/>
        </w:rPr>
        <w:t>so</w:t>
      </w:r>
      <w:r w:rsidRPr="003C7B8E">
        <w:t xml:space="preserve"> that the term has that meaning when used throughout the Regulations.</w:t>
      </w:r>
    </w:p>
    <w:p w14:paraId="40285578" w14:textId="1312C455" w:rsidR="00F304F8" w:rsidRDefault="00F304F8" w:rsidP="00F1691B">
      <w:pPr>
        <w:shd w:val="clear" w:color="auto" w:fill="FFFFFF"/>
        <w:spacing w:before="100" w:beforeAutospacing="1" w:after="100" w:afterAutospacing="1"/>
      </w:pPr>
      <w:r>
        <w:t xml:space="preserve">The definition of ‘dependant’ has been updated to reflect the change from </w:t>
      </w:r>
      <w:r w:rsidRPr="00F304F8">
        <w:rPr>
          <w:i/>
        </w:rPr>
        <w:t>Defence Determination 2000/1</w:t>
      </w:r>
      <w:r>
        <w:t xml:space="preserve"> to </w:t>
      </w:r>
      <w:r w:rsidRPr="00F304F8">
        <w:rPr>
          <w:i/>
        </w:rPr>
        <w:t>Defence Determination 2016/19, Conditions of Service</w:t>
      </w:r>
      <w:r>
        <w:t xml:space="preserve">. The reference to this instrument is intended to be a reference to the definition used in that instrument as in force from time to time, which means that if the instrument is updated, or the definition is changed, amendments will not be required to be made to </w:t>
      </w:r>
      <w:r>
        <w:lastRenderedPageBreak/>
        <w:t xml:space="preserve">the Regulations in order to adopt the new meaning. </w:t>
      </w:r>
      <w:r w:rsidR="00CC4A2C" w:rsidRPr="00CC4A2C">
        <w:rPr>
          <w:i/>
        </w:rPr>
        <w:t>Defence Determination 2016/19</w:t>
      </w:r>
      <w:r w:rsidR="00CC4A2C">
        <w:rPr>
          <w:i/>
        </w:rPr>
        <w:t>, C</w:t>
      </w:r>
      <w:r w:rsidR="00CC4A2C" w:rsidRPr="00CC4A2C">
        <w:rPr>
          <w:i/>
        </w:rPr>
        <w:t>onditions of service</w:t>
      </w:r>
      <w:r>
        <w:t xml:space="preserve"> </w:t>
      </w:r>
      <w:r w:rsidR="00CC4A2C">
        <w:t xml:space="preserve">is a disallowable instrument, so the </w:t>
      </w:r>
      <w:r w:rsidR="00C434B5">
        <w:rPr>
          <w:i/>
        </w:rPr>
        <w:t>Legislation Act </w:t>
      </w:r>
      <w:r w:rsidR="00CC4A2C">
        <w:rPr>
          <w:i/>
        </w:rPr>
        <w:t xml:space="preserve">2003 </w:t>
      </w:r>
      <w:r w:rsidR="00CC4A2C">
        <w:t>allows incorporation of it by reference as in force from time to time, as that instrument is subject to Parliamentary scrutiny.</w:t>
      </w:r>
    </w:p>
    <w:p w14:paraId="67ADD6B5" w14:textId="248D64EE" w:rsidR="00D90D6C" w:rsidRDefault="00D90D6C" w:rsidP="00F1691B">
      <w:pPr>
        <w:shd w:val="clear" w:color="auto" w:fill="FFFFFF"/>
        <w:spacing w:before="100" w:beforeAutospacing="1" w:after="100" w:afterAutospacing="1"/>
      </w:pPr>
      <w:r>
        <w:t xml:space="preserve">The definition of Commonwealth overseas living allowance has been updated to reflect the change from the </w:t>
      </w:r>
      <w:r>
        <w:rPr>
          <w:i/>
        </w:rPr>
        <w:t>Commonwealth Authorities and Companies Act 1997</w:t>
      </w:r>
      <w:r>
        <w:t xml:space="preserve"> to the </w:t>
      </w:r>
      <w:r>
        <w:rPr>
          <w:i/>
        </w:rPr>
        <w:t>Public Governance, Performance and Accountability Act 2013</w:t>
      </w:r>
      <w:r>
        <w:t>.</w:t>
      </w:r>
    </w:p>
    <w:p w14:paraId="70E5A0FC" w14:textId="7A95C531" w:rsidR="00090994" w:rsidRPr="00090994" w:rsidRDefault="00090994" w:rsidP="00054D22">
      <w:pPr>
        <w:spacing w:before="240"/>
        <w:rPr>
          <w:b/>
          <w:u w:val="single"/>
        </w:rPr>
      </w:pPr>
      <w:r>
        <w:rPr>
          <w:b/>
          <w:u w:val="single"/>
        </w:rPr>
        <w:t>Part 2</w:t>
      </w:r>
      <w:r w:rsidRPr="00090994">
        <w:rPr>
          <w:b/>
          <w:u w:val="single"/>
        </w:rPr>
        <w:t xml:space="preserve"> </w:t>
      </w:r>
      <w:r w:rsidR="00502F51">
        <w:rPr>
          <w:b/>
          <w:u w:val="single"/>
        </w:rPr>
        <w:t xml:space="preserve">— </w:t>
      </w:r>
      <w:r>
        <w:rPr>
          <w:b/>
          <w:u w:val="single"/>
        </w:rPr>
        <w:t>Excluded fringe benefits</w:t>
      </w:r>
    </w:p>
    <w:p w14:paraId="133BC694" w14:textId="232BA0A3" w:rsidR="00502F51" w:rsidRDefault="00054D22" w:rsidP="00054D22">
      <w:pPr>
        <w:spacing w:before="240"/>
      </w:pPr>
      <w:r w:rsidRPr="00701DB0">
        <w:rPr>
          <w:b/>
        </w:rPr>
        <w:t xml:space="preserve">Section </w:t>
      </w:r>
      <w:r>
        <w:rPr>
          <w:b/>
        </w:rPr>
        <w:t>6</w:t>
      </w:r>
      <w:r w:rsidR="00502F51">
        <w:t xml:space="preserve"> </w:t>
      </w:r>
    </w:p>
    <w:p w14:paraId="26D06152" w14:textId="53EAD473" w:rsidR="00DD47A4" w:rsidRDefault="00502F51" w:rsidP="00054D22">
      <w:pPr>
        <w:spacing w:before="240"/>
      </w:pPr>
      <w:r>
        <w:t xml:space="preserve">This section </w:t>
      </w:r>
      <w:r w:rsidR="00D90D6C">
        <w:t>prescribes</w:t>
      </w:r>
      <w:r w:rsidR="00090994">
        <w:t xml:space="preserve"> the health care service</w:t>
      </w:r>
      <w:r w:rsidR="00D90D6C">
        <w:t xml:space="preserve"> benefits that are excluded benefits</w:t>
      </w:r>
      <w:r w:rsidR="00090994">
        <w:t xml:space="preserve"> and is substantively the same as the</w:t>
      </w:r>
      <w:r w:rsidR="008C613F">
        <w:t xml:space="preserve"> corresponding section of the</w:t>
      </w:r>
      <w:r w:rsidR="00090994">
        <w:t xml:space="preserve"> </w:t>
      </w:r>
      <w:r w:rsidR="00925D0B">
        <w:t>1992</w:t>
      </w:r>
      <w:r w:rsidR="00090994">
        <w:t xml:space="preserve"> Regulations. </w:t>
      </w:r>
      <w:r w:rsidR="006C79C0">
        <w:t>The key changes to this section</w:t>
      </w:r>
      <w:r w:rsidR="00C434B5">
        <w:t xml:space="preserve"> are</w:t>
      </w:r>
      <w:r w:rsidR="00DD47A4">
        <w:t>:</w:t>
      </w:r>
    </w:p>
    <w:p w14:paraId="377D2E9D" w14:textId="719DCBBC" w:rsidR="00DD47A4" w:rsidRDefault="00C444A9" w:rsidP="00DD47A4">
      <w:pPr>
        <w:pStyle w:val="Bullet"/>
      </w:pPr>
      <w:r>
        <w:t>removing</w:t>
      </w:r>
      <w:r w:rsidR="006C79C0">
        <w:t xml:space="preserve"> references to external territories as they are already covered in the definition of Australia</w:t>
      </w:r>
      <w:r w:rsidR="00DD47A4">
        <w:t>;</w:t>
      </w:r>
    </w:p>
    <w:p w14:paraId="5F6351B3" w14:textId="1EB45D4F" w:rsidR="00DD47A4" w:rsidRDefault="00DD47A4" w:rsidP="00DD47A4">
      <w:pPr>
        <w:pStyle w:val="Bullet"/>
      </w:pPr>
      <w:r>
        <w:t xml:space="preserve">removing the application provision </w:t>
      </w:r>
      <w:r w:rsidR="004316D3">
        <w:t>which</w:t>
      </w:r>
      <w:r>
        <w:t xml:space="preserve"> </w:t>
      </w:r>
      <w:r w:rsidR="00CC4A2C">
        <w:t>is</w:t>
      </w:r>
      <w:r>
        <w:t xml:space="preserve"> made redundant by the new app</w:t>
      </w:r>
      <w:r w:rsidR="00CC4A2C">
        <w:t>lication provision in section 16</w:t>
      </w:r>
      <w:r>
        <w:t>;</w:t>
      </w:r>
    </w:p>
    <w:p w14:paraId="4774B38A" w14:textId="5B48263B" w:rsidR="00CC4A2C" w:rsidRDefault="00CC4A2C" w:rsidP="00DD47A4">
      <w:pPr>
        <w:pStyle w:val="Bullet"/>
      </w:pPr>
      <w:r>
        <w:t>moving several subsections</w:t>
      </w:r>
      <w:r w:rsidR="008C613F">
        <w:t xml:space="preserve"> from the</w:t>
      </w:r>
      <w:r w:rsidR="008A4742">
        <w:t xml:space="preserve"> corresponding section of the </w:t>
      </w:r>
      <w:r w:rsidR="00925D0B">
        <w:t>1992</w:t>
      </w:r>
      <w:r w:rsidR="008A4742">
        <w:t xml:space="preserve"> Regulations</w:t>
      </w:r>
      <w:r>
        <w:t xml:space="preserve"> to other sections, as the subject matter is more thematically aligned with those sections (</w:t>
      </w:r>
      <w:r w:rsidR="0064791C">
        <w:t>see</w:t>
      </w:r>
      <w:r>
        <w:t xml:space="preserve"> Attachment B); and</w:t>
      </w:r>
    </w:p>
    <w:p w14:paraId="6085B0FE" w14:textId="3C4AD3C7" w:rsidR="004316D3" w:rsidRDefault="004316D3" w:rsidP="00DD47A4">
      <w:pPr>
        <w:pStyle w:val="Bullet"/>
      </w:pPr>
      <w:r>
        <w:t xml:space="preserve">moving </w:t>
      </w:r>
      <w:r w:rsidR="00D90D6C">
        <w:t>definitions</w:t>
      </w:r>
      <w:r>
        <w:t xml:space="preserve"> to section 5 to ensure all </w:t>
      </w:r>
      <w:r w:rsidRPr="003C7B8E">
        <w:t>expressions have the same meaning throughout the Regulations</w:t>
      </w:r>
      <w:r>
        <w:t>,</w:t>
      </w:r>
      <w:r w:rsidRPr="003C7B8E">
        <w:t xml:space="preserve"> consistent with modern drafting practice</w:t>
      </w:r>
      <w:r w:rsidR="00C434B5">
        <w:t>.</w:t>
      </w:r>
    </w:p>
    <w:p w14:paraId="63387B50" w14:textId="3260490E" w:rsidR="00502F51" w:rsidRDefault="00054D22" w:rsidP="00054D22">
      <w:pPr>
        <w:spacing w:before="240"/>
        <w:rPr>
          <w:b/>
        </w:rPr>
      </w:pPr>
      <w:r w:rsidRPr="00701DB0">
        <w:rPr>
          <w:b/>
        </w:rPr>
        <w:t xml:space="preserve">Section </w:t>
      </w:r>
      <w:r>
        <w:rPr>
          <w:b/>
        </w:rPr>
        <w:t>7</w:t>
      </w:r>
    </w:p>
    <w:p w14:paraId="32DF6831" w14:textId="51A89532" w:rsidR="00C444A9" w:rsidRDefault="00C444A9" w:rsidP="00C444A9">
      <w:pPr>
        <w:pStyle w:val="Bullet"/>
        <w:numPr>
          <w:ilvl w:val="0"/>
          <w:numId w:val="0"/>
        </w:numPr>
      </w:pPr>
      <w:r>
        <w:t xml:space="preserve">This section replicates respective sections of the </w:t>
      </w:r>
      <w:r w:rsidR="00925D0B">
        <w:t>1992</w:t>
      </w:r>
      <w:r>
        <w:t xml:space="preserve"> Regulations </w:t>
      </w:r>
      <w:r w:rsidR="00925D0B">
        <w:t xml:space="preserve">relating to excluded benefits for the Defence Force </w:t>
      </w:r>
      <w:r>
        <w:t xml:space="preserve">(see </w:t>
      </w:r>
      <w:r w:rsidRPr="00925D0B">
        <w:rPr>
          <w:u w:val="single"/>
        </w:rPr>
        <w:t>Attachment B</w:t>
      </w:r>
      <w:r>
        <w:t>) but has been updated in accordance with modern drafting practice.</w:t>
      </w:r>
      <w:r w:rsidR="0064791C">
        <w:t xml:space="preserve"> The</w:t>
      </w:r>
      <w:r>
        <w:t xml:space="preserve"> key changes</w:t>
      </w:r>
      <w:r w:rsidR="00C65A4A">
        <w:t xml:space="preserve"> to this section</w:t>
      </w:r>
      <w:r>
        <w:t xml:space="preserve"> are:</w:t>
      </w:r>
    </w:p>
    <w:p w14:paraId="06B71C6D" w14:textId="47B2FB8B" w:rsidR="00C444A9" w:rsidRDefault="00C444A9" w:rsidP="00C444A9">
      <w:pPr>
        <w:pStyle w:val="Bullet"/>
      </w:pPr>
      <w:r>
        <w:t>mov</w:t>
      </w:r>
      <w:r w:rsidR="00C65A4A">
        <w:t>ing</w:t>
      </w:r>
      <w:r>
        <w:t xml:space="preserve"> subsection (3)</w:t>
      </w:r>
      <w:r w:rsidR="008C613F">
        <w:t xml:space="preserve"> </w:t>
      </w:r>
      <w:r>
        <w:t xml:space="preserve">(about benefits provided to members of the Defence Force) </w:t>
      </w:r>
      <w:r w:rsidR="00C65A4A">
        <w:t>from section 6</w:t>
      </w:r>
      <w:r w:rsidR="008C613F">
        <w:t xml:space="preserve"> (</w:t>
      </w:r>
      <w:r w:rsidR="004165F5">
        <w:t>sub</w:t>
      </w:r>
      <w:r w:rsidR="008C613F">
        <w:t xml:space="preserve">section </w:t>
      </w:r>
      <w:r w:rsidR="00D90D6C">
        <w:t>5(5)</w:t>
      </w:r>
      <w:r w:rsidR="008C613F">
        <w:t xml:space="preserve"> in the </w:t>
      </w:r>
      <w:r w:rsidR="00925D0B">
        <w:t>1992</w:t>
      </w:r>
      <w:r w:rsidR="008C613F">
        <w:t xml:space="preserve"> Regulations)</w:t>
      </w:r>
      <w:r w:rsidR="00C65A4A">
        <w:t xml:space="preserve"> to </w:t>
      </w:r>
      <w:r>
        <w:t>within this subsection;</w:t>
      </w:r>
    </w:p>
    <w:p w14:paraId="221DC0CF" w14:textId="678E0F04" w:rsidR="00C444A9" w:rsidRDefault="00C444A9" w:rsidP="00C444A9">
      <w:pPr>
        <w:pStyle w:val="Bullet"/>
      </w:pPr>
      <w:r>
        <w:t xml:space="preserve">updating the reference in subsection (3) from </w:t>
      </w:r>
      <w:r w:rsidR="00C65A4A">
        <w:t>‘</w:t>
      </w:r>
      <w:r w:rsidRPr="00C65A4A">
        <w:t>Defence Instructions</w:t>
      </w:r>
      <w:r w:rsidR="00D74DB3">
        <w:t xml:space="preserve"> (General) mentioned in subsection 9A(2)</w:t>
      </w:r>
      <w:r w:rsidR="00C65A4A">
        <w:t>’</w:t>
      </w:r>
      <w:r>
        <w:t xml:space="preserve"> to </w:t>
      </w:r>
      <w:r w:rsidR="007F0107">
        <w:t>a determination made under section 58B</w:t>
      </w:r>
      <w:r w:rsidR="00C65A4A">
        <w:t>, as th</w:t>
      </w:r>
      <w:r w:rsidR="00BD7FBF">
        <w:t xml:space="preserve">at is the section under which the </w:t>
      </w:r>
      <w:r w:rsidR="007F0107">
        <w:t>Minister determines what is provided for in relation to the remuneration of members</w:t>
      </w:r>
      <w:r>
        <w:t xml:space="preserve">; </w:t>
      </w:r>
    </w:p>
    <w:p w14:paraId="01F692FA" w14:textId="61C37984" w:rsidR="00C444A9" w:rsidRDefault="0064791C" w:rsidP="00C444A9">
      <w:pPr>
        <w:pStyle w:val="Bullet"/>
      </w:pPr>
      <w:r>
        <w:t xml:space="preserve">replacing </w:t>
      </w:r>
      <w:r w:rsidR="00BD7FBF">
        <w:t>‘</w:t>
      </w:r>
      <w:r>
        <w:t>member</w:t>
      </w:r>
      <w:r w:rsidR="00BD7FBF">
        <w:t>’</w:t>
      </w:r>
      <w:r>
        <w:t xml:space="preserve"> with </w:t>
      </w:r>
      <w:r w:rsidR="00BD7FBF">
        <w:t>‘</w:t>
      </w:r>
      <w:r>
        <w:t>member of the Defence Force who is resident of Australia</w:t>
      </w:r>
      <w:r w:rsidR="008C613F">
        <w:t>’</w:t>
      </w:r>
      <w:r>
        <w:t xml:space="preserve"> in line with </w:t>
      </w:r>
      <w:r w:rsidR="008C613F">
        <w:t xml:space="preserve">the </w:t>
      </w:r>
      <w:r>
        <w:t>expression used</w:t>
      </w:r>
      <w:r w:rsidR="008C613F">
        <w:t xml:space="preserve"> in other legislation</w:t>
      </w:r>
      <w:r>
        <w:t xml:space="preserve">, to clarify the interpretation; </w:t>
      </w:r>
    </w:p>
    <w:p w14:paraId="385E47A8" w14:textId="71A90274" w:rsidR="0064791C" w:rsidRDefault="0064791C" w:rsidP="00C444A9">
      <w:pPr>
        <w:pStyle w:val="Bullet"/>
      </w:pPr>
      <w:r>
        <w:t>removing the application provision which is made redundant by the new appl</w:t>
      </w:r>
      <w:r w:rsidR="006A097B">
        <w:t>ication provision in section 16;</w:t>
      </w:r>
    </w:p>
    <w:p w14:paraId="20A4E9C6" w14:textId="1986746E" w:rsidR="006A097B" w:rsidRDefault="006A097B" w:rsidP="00C444A9">
      <w:pPr>
        <w:pStyle w:val="Bullet"/>
      </w:pPr>
      <w:r>
        <w:lastRenderedPageBreak/>
        <w:t>updating references from ‘marriage’ to a ‘relationship’ for consistency with other provisions of the Regulations;</w:t>
      </w:r>
      <w:r w:rsidR="001F1BE5">
        <w:t xml:space="preserve"> and</w:t>
      </w:r>
    </w:p>
    <w:p w14:paraId="57A5CA93" w14:textId="0BB33BC9" w:rsidR="006A097B" w:rsidRDefault="006A097B" w:rsidP="00C444A9">
      <w:pPr>
        <w:pStyle w:val="Bullet"/>
      </w:pPr>
      <w:r>
        <w:t>clarifying that</w:t>
      </w:r>
      <w:r w:rsidR="008D34E3">
        <w:t>,</w:t>
      </w:r>
      <w:r>
        <w:t xml:space="preserve"> </w:t>
      </w:r>
      <w:r w:rsidR="008D34E3">
        <w:t>consistent with longstanding practice,</w:t>
      </w:r>
      <w:r>
        <w:t xml:space="preserve"> a critical year of schooling refers to years 9, 10, 11 and 12.</w:t>
      </w:r>
    </w:p>
    <w:p w14:paraId="08441CDA" w14:textId="1A5BC9E7" w:rsidR="0064791C" w:rsidRPr="0064791C" w:rsidRDefault="0064791C" w:rsidP="0064791C">
      <w:pPr>
        <w:pStyle w:val="Bullet"/>
        <w:numPr>
          <w:ilvl w:val="0"/>
          <w:numId w:val="0"/>
        </w:numPr>
        <w:rPr>
          <w:b/>
        </w:rPr>
      </w:pPr>
      <w:r w:rsidRPr="0064791C">
        <w:rPr>
          <w:b/>
        </w:rPr>
        <w:t>Section</w:t>
      </w:r>
      <w:r>
        <w:rPr>
          <w:b/>
        </w:rPr>
        <w:t>s 8 to 10</w:t>
      </w:r>
    </w:p>
    <w:p w14:paraId="686AED6D" w14:textId="17491335" w:rsidR="00C444A9" w:rsidRDefault="0064791C" w:rsidP="00DD47A4">
      <w:pPr>
        <w:shd w:val="clear" w:color="auto" w:fill="FFFFFF"/>
        <w:spacing w:before="100" w:beforeAutospacing="1" w:after="100" w:afterAutospacing="1"/>
      </w:pPr>
      <w:r>
        <w:t xml:space="preserve">These sections replicate respective sections of the </w:t>
      </w:r>
      <w:r w:rsidR="00925D0B">
        <w:t>1992</w:t>
      </w:r>
      <w:r>
        <w:t xml:space="preserve"> Regulations </w:t>
      </w:r>
      <w:r w:rsidR="00925D0B">
        <w:t xml:space="preserve">relating to excluded benefits for police, car benefits and pooled or shared cars </w:t>
      </w:r>
      <w:r>
        <w:t xml:space="preserve">(see </w:t>
      </w:r>
      <w:r w:rsidR="00925D0B">
        <w:rPr>
          <w:u w:val="single"/>
        </w:rPr>
        <w:t>Attachment </w:t>
      </w:r>
      <w:r w:rsidRPr="00925D0B">
        <w:rPr>
          <w:u w:val="single"/>
        </w:rPr>
        <w:t>B</w:t>
      </w:r>
      <w:r>
        <w:t>) but ha</w:t>
      </w:r>
      <w:r w:rsidR="007535AB">
        <w:t>ve</w:t>
      </w:r>
      <w:r>
        <w:t xml:space="preserve"> been updated in accordance with modern drafting practice. The key changes</w:t>
      </w:r>
      <w:r w:rsidR="008C613F">
        <w:t xml:space="preserve"> to these sections</w:t>
      </w:r>
      <w:r>
        <w:t xml:space="preserve"> are:</w:t>
      </w:r>
    </w:p>
    <w:p w14:paraId="050B5318" w14:textId="10157924" w:rsidR="0064791C" w:rsidRDefault="008C613F" w:rsidP="0064791C">
      <w:pPr>
        <w:pStyle w:val="Bullet"/>
      </w:pPr>
      <w:r>
        <w:t xml:space="preserve">moving </w:t>
      </w:r>
      <w:r w:rsidR="0064791C">
        <w:t>section 9 to a separate section which deals with car benefits provided to members of the emergency services (see Attachment B);</w:t>
      </w:r>
    </w:p>
    <w:p w14:paraId="635E9877" w14:textId="3469D8E4" w:rsidR="006A097B" w:rsidRDefault="006A097B" w:rsidP="0064791C">
      <w:pPr>
        <w:pStyle w:val="Bullet"/>
      </w:pPr>
      <w:r>
        <w:t>removing references to external territories as they are already covered in the definition of Australia;</w:t>
      </w:r>
    </w:p>
    <w:p w14:paraId="4BB8710D" w14:textId="4FE7D465" w:rsidR="0064791C" w:rsidRDefault="0064791C" w:rsidP="0064791C">
      <w:pPr>
        <w:pStyle w:val="Bullet"/>
      </w:pPr>
      <w:r>
        <w:t xml:space="preserve">clarifying that </w:t>
      </w:r>
      <w:r w:rsidR="00BB35F0">
        <w:t xml:space="preserve">a benefit is covered by </w:t>
      </w:r>
      <w:r>
        <w:t xml:space="preserve">subsection 8(6) </w:t>
      </w:r>
      <w:r w:rsidR="00BB35F0">
        <w:t>where the benefit is ‘the payment or reimbursement of costs’ incidental to the purchase of a new dwelling, rather than ‘costs’ incidental to the purchase of a new dwelling;</w:t>
      </w:r>
      <w:r w:rsidR="007535AB">
        <w:t xml:space="preserve"> and</w:t>
      </w:r>
    </w:p>
    <w:p w14:paraId="55C25D73" w14:textId="618F262D" w:rsidR="0064791C" w:rsidRDefault="0064791C" w:rsidP="0064791C">
      <w:pPr>
        <w:pStyle w:val="Bullet"/>
      </w:pPr>
      <w:r>
        <w:t>removing application provisions which are made redundant by the new application provision in section 16.</w:t>
      </w:r>
    </w:p>
    <w:p w14:paraId="501D829D" w14:textId="5A1E4738" w:rsidR="0064791C" w:rsidRDefault="00BB35F0" w:rsidP="00DD47A4">
      <w:pPr>
        <w:shd w:val="clear" w:color="auto" w:fill="FFFFFF"/>
        <w:spacing w:before="100" w:beforeAutospacing="1" w:after="100" w:afterAutospacing="1"/>
        <w:rPr>
          <w:b/>
        </w:rPr>
      </w:pPr>
      <w:r w:rsidRPr="00BB35F0">
        <w:rPr>
          <w:b/>
        </w:rPr>
        <w:t>Section 11</w:t>
      </w:r>
    </w:p>
    <w:p w14:paraId="2C882EBD" w14:textId="66B2F82D" w:rsidR="00BB35F0" w:rsidRDefault="00BB35F0" w:rsidP="008C613F">
      <w:pPr>
        <w:shd w:val="clear" w:color="auto" w:fill="FFFFFF"/>
        <w:spacing w:before="100" w:beforeAutospacing="1" w:after="100" w:afterAutospacing="1"/>
      </w:pPr>
      <w:r w:rsidRPr="00BB35F0">
        <w:t>This sec</w:t>
      </w:r>
      <w:r>
        <w:t xml:space="preserve">tion replicates the </w:t>
      </w:r>
      <w:r w:rsidR="005B7469">
        <w:t>corresponding</w:t>
      </w:r>
      <w:r>
        <w:t xml:space="preserve"> </w:t>
      </w:r>
      <w:r w:rsidR="00F34014">
        <w:t>section</w:t>
      </w:r>
      <w:r>
        <w:t xml:space="preserve"> of the </w:t>
      </w:r>
      <w:r w:rsidR="00925D0B">
        <w:t>1992</w:t>
      </w:r>
      <w:r>
        <w:t xml:space="preserve"> Regulations </w:t>
      </w:r>
      <w:r w:rsidR="00925D0B">
        <w:t xml:space="preserve">relating to excluded benefits for Commonwealth employees </w:t>
      </w:r>
      <w:r>
        <w:t xml:space="preserve">(see </w:t>
      </w:r>
      <w:r w:rsidRPr="00925D0B">
        <w:rPr>
          <w:u w:val="single"/>
        </w:rPr>
        <w:t>Attachment B</w:t>
      </w:r>
      <w:r>
        <w:t>) but has been updated in accordance with modern drafting practice. The key changes</w:t>
      </w:r>
      <w:r w:rsidR="008C613F">
        <w:t xml:space="preserve"> to this section</w:t>
      </w:r>
      <w:r>
        <w:t xml:space="preserve"> are:</w:t>
      </w:r>
    </w:p>
    <w:p w14:paraId="62F88282" w14:textId="336C8EE7" w:rsidR="00B85EDB" w:rsidRDefault="00BB35F0" w:rsidP="00BB35F0">
      <w:pPr>
        <w:pStyle w:val="Bullet"/>
      </w:pPr>
      <w:r>
        <w:t>refer</w:t>
      </w:r>
      <w:r w:rsidR="008C613F">
        <w:t>ring</w:t>
      </w:r>
      <w:r>
        <w:t xml:space="preserve"> to the new names of </w:t>
      </w:r>
      <w:r w:rsidR="00B85EDB">
        <w:t>various Commonwealth overseas living allowances or supplements.</w:t>
      </w:r>
      <w:r w:rsidR="00F474C5">
        <w:t xml:space="preserve"> Defence members</w:t>
      </w:r>
      <w:r w:rsidR="00925D0B">
        <w:t xml:space="preserve"> that were posted prior to 1 July </w:t>
      </w:r>
      <w:r w:rsidR="00B85EDB">
        <w:t>2017 are entitled to the allowances that existed on the date they were posted</w:t>
      </w:r>
      <w:r w:rsidR="00396001">
        <w:t>. Accordingly</w:t>
      </w:r>
      <w:r w:rsidR="00B85EDB">
        <w:t xml:space="preserve">, to avoid doubt that these remain excluded fringe benefits the names of the old allowances that continue </w:t>
      </w:r>
      <w:r w:rsidR="00396001">
        <w:t>for pre-1 July 2017 posting</w:t>
      </w:r>
      <w:r w:rsidR="008C613F">
        <w:t>s</w:t>
      </w:r>
      <w:r w:rsidR="00396001">
        <w:t xml:space="preserve"> </w:t>
      </w:r>
      <w:r w:rsidR="00B85EDB">
        <w:t>have been retained. The new allowances or supplements listed are: the ‘cost of posting allowance’, the ‘child supplement allowance’ and the ‘child reunion allowance’;</w:t>
      </w:r>
      <w:r w:rsidR="007535AB">
        <w:t xml:space="preserve"> and</w:t>
      </w:r>
    </w:p>
    <w:p w14:paraId="75CBE6FD" w14:textId="152C4ACB" w:rsidR="00B85EDB" w:rsidRDefault="00B85EDB" w:rsidP="00BB35F0">
      <w:pPr>
        <w:pStyle w:val="Bullet"/>
      </w:pPr>
      <w:r>
        <w:t>removing the application provision which is made redundant by the new application provision in section 16.</w:t>
      </w:r>
    </w:p>
    <w:p w14:paraId="3D4B84A4" w14:textId="14A63169" w:rsidR="00B85EDB" w:rsidRDefault="00B85EDB" w:rsidP="00B85EDB">
      <w:pPr>
        <w:pStyle w:val="Bullet"/>
        <w:numPr>
          <w:ilvl w:val="0"/>
          <w:numId w:val="0"/>
        </w:numPr>
        <w:ind w:left="567" w:hanging="567"/>
        <w:rPr>
          <w:b/>
        </w:rPr>
      </w:pPr>
      <w:r>
        <w:rPr>
          <w:b/>
        </w:rPr>
        <w:t>Section 12</w:t>
      </w:r>
    </w:p>
    <w:p w14:paraId="67BFF15A" w14:textId="7D4CAAC3" w:rsidR="00B85EDB" w:rsidRDefault="00B85EDB" w:rsidP="00B85EDB">
      <w:pPr>
        <w:pStyle w:val="Bullet"/>
        <w:numPr>
          <w:ilvl w:val="0"/>
          <w:numId w:val="0"/>
        </w:numPr>
      </w:pPr>
      <w:r>
        <w:t xml:space="preserve">This section provides that the provision of parking facilities for a car </w:t>
      </w:r>
      <w:r w:rsidR="009D370C">
        <w:t xml:space="preserve">is an excluded benefit in certain circumstances. This section replicates the </w:t>
      </w:r>
      <w:r w:rsidR="007535AB">
        <w:t>corresponding</w:t>
      </w:r>
      <w:r w:rsidR="009D370C">
        <w:t xml:space="preserve"> section of the </w:t>
      </w:r>
      <w:r w:rsidR="00925D0B">
        <w:t>1992</w:t>
      </w:r>
      <w:r w:rsidR="009D370C">
        <w:t xml:space="preserve"> Regulations (see </w:t>
      </w:r>
      <w:r w:rsidR="009D370C" w:rsidRPr="00925D0B">
        <w:rPr>
          <w:u w:val="single"/>
        </w:rPr>
        <w:t>Attachment B</w:t>
      </w:r>
      <w:r w:rsidR="009D370C">
        <w:t>) but has been updated in accordance with modern drafting practice.</w:t>
      </w:r>
    </w:p>
    <w:p w14:paraId="48CB97D2" w14:textId="52510A0C" w:rsidR="00090994" w:rsidRPr="00090994" w:rsidRDefault="00090994" w:rsidP="00054D22">
      <w:pPr>
        <w:spacing w:before="240"/>
        <w:rPr>
          <w:b/>
          <w:u w:val="single"/>
        </w:rPr>
      </w:pPr>
      <w:r w:rsidRPr="00090994">
        <w:rPr>
          <w:b/>
          <w:u w:val="single"/>
        </w:rPr>
        <w:lastRenderedPageBreak/>
        <w:t xml:space="preserve">Part 3 </w:t>
      </w:r>
      <w:r w:rsidR="00502F51">
        <w:rPr>
          <w:b/>
          <w:u w:val="single"/>
        </w:rPr>
        <w:t>—</w:t>
      </w:r>
      <w:r w:rsidRPr="00090994">
        <w:rPr>
          <w:b/>
          <w:u w:val="single"/>
        </w:rPr>
        <w:t xml:space="preserve"> Variation of employer’s notional tax amount</w:t>
      </w:r>
    </w:p>
    <w:p w14:paraId="2DEDE0F5" w14:textId="2EEDDA6A" w:rsidR="00502F51" w:rsidRDefault="009D370C" w:rsidP="00054D22">
      <w:pPr>
        <w:spacing w:before="240"/>
      </w:pPr>
      <w:r>
        <w:rPr>
          <w:b/>
        </w:rPr>
        <w:t>Section 13</w:t>
      </w:r>
    </w:p>
    <w:p w14:paraId="5E9D767A" w14:textId="0C751EDB" w:rsidR="007375B6" w:rsidRDefault="00502F51" w:rsidP="00054D22">
      <w:pPr>
        <w:spacing w:before="240"/>
      </w:pPr>
      <w:r>
        <w:t xml:space="preserve">This section </w:t>
      </w:r>
      <w:r w:rsidR="00090994">
        <w:t>provides</w:t>
      </w:r>
      <w:r w:rsidR="00F1691B">
        <w:t xml:space="preserve"> for the variation of </w:t>
      </w:r>
      <w:r w:rsidR="001A7263">
        <w:t xml:space="preserve">an employer’s </w:t>
      </w:r>
      <w:r w:rsidR="00F1691B">
        <w:t>notional tax amount and has</w:t>
      </w:r>
      <w:r w:rsidR="007375B6">
        <w:t xml:space="preserve"> been updated in accordance with modern drafting practice. The </w:t>
      </w:r>
      <w:r w:rsidR="00F1691B">
        <w:t xml:space="preserve">formula, methodology, and definitions are </w:t>
      </w:r>
      <w:r w:rsidR="007375B6">
        <w:t xml:space="preserve">substantively the same as </w:t>
      </w:r>
      <w:r w:rsidR="008C613F">
        <w:t>the corresponding section</w:t>
      </w:r>
      <w:r w:rsidR="007375B6">
        <w:t xml:space="preserve"> of the </w:t>
      </w:r>
      <w:r w:rsidR="00925D0B">
        <w:t>1992</w:t>
      </w:r>
      <w:r w:rsidR="007375B6">
        <w:t xml:space="preserve"> Regulations</w:t>
      </w:r>
      <w:r w:rsidR="008C613F">
        <w:t xml:space="preserve"> (see</w:t>
      </w:r>
      <w:r w:rsidR="008C613F" w:rsidRPr="00925D0B">
        <w:rPr>
          <w:u w:val="single"/>
        </w:rPr>
        <w:t xml:space="preserve"> Attachment B</w:t>
      </w:r>
      <w:r w:rsidR="008C613F">
        <w:t>)</w:t>
      </w:r>
      <w:r w:rsidR="00F1691B">
        <w:t>.</w:t>
      </w:r>
    </w:p>
    <w:p w14:paraId="29116EB4" w14:textId="6DC6BABD" w:rsidR="00780F6A" w:rsidRPr="00780F6A" w:rsidRDefault="00780F6A" w:rsidP="00054D22">
      <w:pPr>
        <w:spacing w:before="240"/>
        <w:rPr>
          <w:b/>
          <w:u w:val="single"/>
        </w:rPr>
      </w:pPr>
      <w:r w:rsidRPr="00090994">
        <w:rPr>
          <w:b/>
          <w:u w:val="single"/>
        </w:rPr>
        <w:t xml:space="preserve">Part </w:t>
      </w:r>
      <w:r>
        <w:rPr>
          <w:b/>
          <w:u w:val="single"/>
        </w:rPr>
        <w:t>4</w:t>
      </w:r>
      <w:r w:rsidRPr="00090994">
        <w:rPr>
          <w:b/>
          <w:u w:val="single"/>
        </w:rPr>
        <w:t xml:space="preserve"> </w:t>
      </w:r>
      <w:r w:rsidR="00502F51">
        <w:rPr>
          <w:b/>
          <w:u w:val="single"/>
        </w:rPr>
        <w:t>—</w:t>
      </w:r>
      <w:r w:rsidRPr="00090994">
        <w:rPr>
          <w:b/>
          <w:u w:val="single"/>
        </w:rPr>
        <w:t xml:space="preserve"> </w:t>
      </w:r>
      <w:r>
        <w:rPr>
          <w:b/>
          <w:u w:val="single"/>
        </w:rPr>
        <w:t>Other matters</w:t>
      </w:r>
    </w:p>
    <w:p w14:paraId="3B77243F" w14:textId="46CE7D07" w:rsidR="00502F51" w:rsidRDefault="00054D22" w:rsidP="00054D22">
      <w:pPr>
        <w:spacing w:before="240"/>
        <w:rPr>
          <w:b/>
        </w:rPr>
      </w:pPr>
      <w:r w:rsidRPr="00701DB0">
        <w:rPr>
          <w:b/>
        </w:rPr>
        <w:t>Section 1</w:t>
      </w:r>
      <w:r w:rsidR="009D370C">
        <w:rPr>
          <w:b/>
        </w:rPr>
        <w:t>4</w:t>
      </w:r>
    </w:p>
    <w:p w14:paraId="2FA89308" w14:textId="5DE03066" w:rsidR="00C91138" w:rsidRDefault="00C91138" w:rsidP="00780F6A">
      <w:pPr>
        <w:tabs>
          <w:tab w:val="left" w:pos="1770"/>
        </w:tabs>
        <w:spacing w:before="240"/>
      </w:pPr>
      <w:r>
        <w:t xml:space="preserve">This </w:t>
      </w:r>
      <w:r w:rsidR="00F1691B">
        <w:t>section</w:t>
      </w:r>
      <w:r w:rsidR="008A4742">
        <w:t xml:space="preserve"> prescribe</w:t>
      </w:r>
      <w:r>
        <w:t>s</w:t>
      </w:r>
      <w:r w:rsidR="008A4742">
        <w:t xml:space="preserve"> that certain </w:t>
      </w:r>
      <w:r w:rsidR="001B2B08">
        <w:t xml:space="preserve">parking facility benefits </w:t>
      </w:r>
      <w:r w:rsidR="008A4742">
        <w:t>are excluded from the definition of ‘eligible car parking expense payment benefit’</w:t>
      </w:r>
      <w:r>
        <w:t xml:space="preserve"> for the purposes of subsection 136(1) of the Act. This section replicates the corresponding section of the </w:t>
      </w:r>
      <w:r w:rsidR="00925D0B">
        <w:t>1992</w:t>
      </w:r>
      <w:r>
        <w:t xml:space="preserve"> Regulations (see </w:t>
      </w:r>
      <w:r w:rsidRPr="00925D0B">
        <w:rPr>
          <w:u w:val="single"/>
        </w:rPr>
        <w:t>Attachment B</w:t>
      </w:r>
      <w:r>
        <w:t>) but has been updated in accordance with modern drafting practice.</w:t>
      </w:r>
    </w:p>
    <w:p w14:paraId="7D79EBA8" w14:textId="4952942D" w:rsidR="00C91138" w:rsidRPr="00C91138" w:rsidRDefault="00C91138" w:rsidP="00780F6A">
      <w:pPr>
        <w:tabs>
          <w:tab w:val="left" w:pos="1770"/>
        </w:tabs>
        <w:spacing w:before="240"/>
        <w:rPr>
          <w:b/>
        </w:rPr>
      </w:pPr>
      <w:r w:rsidRPr="00C91138">
        <w:rPr>
          <w:b/>
        </w:rPr>
        <w:t>Section 15</w:t>
      </w:r>
    </w:p>
    <w:p w14:paraId="09832724" w14:textId="2AF310F1" w:rsidR="008A4742" w:rsidRDefault="00C91138" w:rsidP="00780F6A">
      <w:pPr>
        <w:tabs>
          <w:tab w:val="left" w:pos="1770"/>
        </w:tabs>
        <w:spacing w:before="240"/>
      </w:pPr>
      <w:r>
        <w:t xml:space="preserve">Section 15 prescribes the rate of </w:t>
      </w:r>
      <w:r w:rsidR="001F1BE5">
        <w:t xml:space="preserve">the </w:t>
      </w:r>
      <w:r>
        <w:t xml:space="preserve">supplementary car rate for the purposes of subsection 136(1) of the Act. This section replicates the corresponding section of the </w:t>
      </w:r>
      <w:r w:rsidR="00925D0B">
        <w:t>1992</w:t>
      </w:r>
      <w:r>
        <w:t xml:space="preserve"> Regulations (see </w:t>
      </w:r>
      <w:r w:rsidRPr="00925D0B">
        <w:rPr>
          <w:u w:val="single"/>
        </w:rPr>
        <w:t>Attachment B</w:t>
      </w:r>
      <w:r>
        <w:t>) but has been updated in accordance with modern drafting practice.</w:t>
      </w:r>
    </w:p>
    <w:p w14:paraId="3859500F" w14:textId="7C96E053" w:rsidR="00780F6A" w:rsidRPr="00780F6A" w:rsidRDefault="00780F6A" w:rsidP="00054D22">
      <w:pPr>
        <w:spacing w:before="240"/>
        <w:rPr>
          <w:b/>
          <w:u w:val="single"/>
        </w:rPr>
      </w:pPr>
      <w:r w:rsidRPr="00090994">
        <w:rPr>
          <w:b/>
          <w:u w:val="single"/>
        </w:rPr>
        <w:t xml:space="preserve">Part </w:t>
      </w:r>
      <w:r>
        <w:rPr>
          <w:b/>
          <w:u w:val="single"/>
        </w:rPr>
        <w:t>5</w:t>
      </w:r>
      <w:r w:rsidRPr="00090994">
        <w:rPr>
          <w:b/>
          <w:u w:val="single"/>
        </w:rPr>
        <w:t xml:space="preserve"> </w:t>
      </w:r>
      <w:r w:rsidR="00502F51">
        <w:rPr>
          <w:b/>
          <w:u w:val="single"/>
        </w:rPr>
        <w:t>—</w:t>
      </w:r>
      <w:r w:rsidRPr="00090994">
        <w:rPr>
          <w:b/>
          <w:u w:val="single"/>
        </w:rPr>
        <w:t xml:space="preserve"> </w:t>
      </w:r>
      <w:r>
        <w:rPr>
          <w:b/>
          <w:u w:val="single"/>
        </w:rPr>
        <w:t>Application and transitional matters</w:t>
      </w:r>
    </w:p>
    <w:p w14:paraId="3445B15A" w14:textId="77D21F1F" w:rsidR="00502F51" w:rsidRDefault="00054D22" w:rsidP="008C613F">
      <w:pPr>
        <w:keepNext/>
        <w:spacing w:before="240"/>
      </w:pPr>
      <w:r>
        <w:rPr>
          <w:b/>
        </w:rPr>
        <w:t>Section 1</w:t>
      </w:r>
      <w:r w:rsidR="009D370C">
        <w:rPr>
          <w:b/>
        </w:rPr>
        <w:t>6</w:t>
      </w:r>
    </w:p>
    <w:p w14:paraId="200B3673" w14:textId="574C11A5" w:rsidR="00242452" w:rsidRDefault="009D370C" w:rsidP="008C613F">
      <w:pPr>
        <w:keepNext/>
        <w:spacing w:before="240"/>
      </w:pPr>
      <w:r>
        <w:t>Section 16</w:t>
      </w:r>
      <w:r w:rsidR="00502F51">
        <w:t xml:space="preserve"> </w:t>
      </w:r>
      <w:r w:rsidR="001B2A8B">
        <w:t>provides for the application of the Regulations</w:t>
      </w:r>
      <w:r>
        <w:t xml:space="preserve">, and replaces a range of application provisions that existed in the </w:t>
      </w:r>
      <w:r w:rsidR="00925D0B">
        <w:t>1992</w:t>
      </w:r>
      <w:r w:rsidR="003E4B63">
        <w:t xml:space="preserve"> R</w:t>
      </w:r>
      <w:r>
        <w:t xml:space="preserve">egulations. Those application provisions excluded the relevant fringe benefits from the fringe benefit year </w:t>
      </w:r>
      <w:r w:rsidR="005F7F17">
        <w:t xml:space="preserve">of tax </w:t>
      </w:r>
      <w:r>
        <w:t>listed and later years</w:t>
      </w:r>
      <w:r w:rsidR="005F7F17">
        <w:t xml:space="preserve"> of tax</w:t>
      </w:r>
      <w:r>
        <w:t>, depending on when the various exclusions commenced. Accordingly, it is no longer necessary to list separate application years.</w:t>
      </w:r>
    </w:p>
    <w:p w14:paraId="176CA67C" w14:textId="291C83A3" w:rsidR="00F1691B" w:rsidRDefault="00F1691B" w:rsidP="00242452">
      <w:pPr>
        <w:spacing w:before="240"/>
      </w:pPr>
      <w:r>
        <w:t>The application of the Regulation</w:t>
      </w:r>
      <w:r w:rsidR="009D370C">
        <w:t>s</w:t>
      </w:r>
      <w:r>
        <w:t xml:space="preserve"> to years of tax starting on or after 1 April 2018 and the application of the </w:t>
      </w:r>
      <w:r w:rsidR="00925D0B">
        <w:t>1992</w:t>
      </w:r>
      <w:r>
        <w:t xml:space="preserve"> Regulation</w:t>
      </w:r>
      <w:r w:rsidR="003E4B63">
        <w:t>s</w:t>
      </w:r>
      <w:r>
        <w:t xml:space="preserve"> </w:t>
      </w:r>
      <w:r w:rsidR="003E4B63">
        <w:t>are</w:t>
      </w:r>
      <w:r>
        <w:t xml:space="preserve"> to continue, despite repeal, to years of ta</w:t>
      </w:r>
      <w:r w:rsidR="009D370C">
        <w:t>x starting before 1 April 2018.</w:t>
      </w:r>
      <w:r w:rsidR="00357664">
        <w:t xml:space="preserve"> Th</w:t>
      </w:r>
      <w:r w:rsidR="003E4B63">
        <w:t>erefore</w:t>
      </w:r>
      <w:r w:rsidR="00357664">
        <w:t xml:space="preserve"> the </w:t>
      </w:r>
      <w:r w:rsidR="00925D0B">
        <w:t>1992</w:t>
      </w:r>
      <w:r w:rsidR="00357664">
        <w:t xml:space="preserve"> Regulations continue to have application to earlier tax years to ensure that the operation of the fringe benefits tax in these years remains unaffected by the repeal.</w:t>
      </w:r>
    </w:p>
    <w:p w14:paraId="792B8E1E" w14:textId="24F91288" w:rsidR="00E37ADE" w:rsidRDefault="00E37ADE" w:rsidP="00242452">
      <w:pPr>
        <w:spacing w:before="240"/>
      </w:pPr>
      <w:r>
        <w:t>The Regulations apply before they commence so that they apply to the whole of the year of tax commencing on 1 April 2018. This simplif</w:t>
      </w:r>
      <w:r w:rsidR="00912635">
        <w:t>ies</w:t>
      </w:r>
      <w:r>
        <w:t xml:space="preserve"> compliance for taxpayers.</w:t>
      </w:r>
    </w:p>
    <w:p w14:paraId="252C4FCD" w14:textId="111DF22F" w:rsidR="009D370C" w:rsidRDefault="009D370C" w:rsidP="00242452">
      <w:pPr>
        <w:spacing w:before="240"/>
      </w:pPr>
      <w:r>
        <w:t xml:space="preserve">While this has retrospective effect, no rights </w:t>
      </w:r>
      <w:r w:rsidR="00912635">
        <w:t xml:space="preserve">of taxpayers </w:t>
      </w:r>
      <w:r>
        <w:t xml:space="preserve">are adversely affected </w:t>
      </w:r>
      <w:r w:rsidR="00C0398E">
        <w:t xml:space="preserve">and no liabilities are imposed retrospectively </w:t>
      </w:r>
      <w:r w:rsidR="00072618">
        <w:t xml:space="preserve">as the Regulations generally continue the outcome under the law provided for under the </w:t>
      </w:r>
      <w:r w:rsidR="00925D0B">
        <w:t>1992</w:t>
      </w:r>
      <w:r w:rsidR="00072618">
        <w:t xml:space="preserve"> Regulations. In particular no adverse impacts arise </w:t>
      </w:r>
      <w:r>
        <w:t>because:</w:t>
      </w:r>
    </w:p>
    <w:p w14:paraId="41C0B616" w14:textId="3E4A9279" w:rsidR="00EB4AB9" w:rsidRDefault="00EB4AB9" w:rsidP="001B2B08">
      <w:pPr>
        <w:pStyle w:val="Bullet"/>
      </w:pPr>
      <w:r>
        <w:t>the changes described above to sections 1 to 5 do not affect individuals righ</w:t>
      </w:r>
      <w:r w:rsidR="00C04CF9">
        <w:t>ts, and are machinery in nature. These sections cover matters</w:t>
      </w:r>
      <w:r>
        <w:t xml:space="preserve"> such as commencement and interpretation;</w:t>
      </w:r>
    </w:p>
    <w:p w14:paraId="307B7B18" w14:textId="7AA90FA4" w:rsidR="00872745" w:rsidRDefault="009D370C" w:rsidP="001B2B08">
      <w:pPr>
        <w:pStyle w:val="Bullet"/>
      </w:pPr>
      <w:r>
        <w:lastRenderedPageBreak/>
        <w:t>the changes described above</w:t>
      </w:r>
      <w:r w:rsidR="00C91138">
        <w:t xml:space="preserve"> to sections 6 to 1</w:t>
      </w:r>
      <w:r w:rsidR="00872745">
        <w:t>1</w:t>
      </w:r>
      <w:r>
        <w:t xml:space="preserve"> do not affect whether a fringe benefit is </w:t>
      </w:r>
      <w:r w:rsidR="00E37ADE">
        <w:t>an excluded fringe benefit, as the changes are only minor in nature</w:t>
      </w:r>
      <w:r w:rsidR="00C4067D">
        <w:t>, and preserve</w:t>
      </w:r>
      <w:r w:rsidR="00C04CF9">
        <w:t xml:space="preserve"> the existing treatment under the </w:t>
      </w:r>
      <w:r w:rsidR="00925D0B">
        <w:t>1992</w:t>
      </w:r>
      <w:r w:rsidR="00C04CF9">
        <w:t xml:space="preserve"> Regulations for the remainder of the year of tax</w:t>
      </w:r>
      <w:r w:rsidR="001B2B08">
        <w:t xml:space="preserve">. </w:t>
      </w:r>
      <w:r w:rsidR="001C7358">
        <w:t>It is beneficial for an employee’s</w:t>
      </w:r>
      <w:r w:rsidR="00E37ADE">
        <w:t xml:space="preserve"> benefit </w:t>
      </w:r>
      <w:r w:rsidR="001C7358">
        <w:t>to</w:t>
      </w:r>
      <w:r w:rsidR="00E37ADE">
        <w:t xml:space="preserve"> be an excluded fringe benefit for the whole of the year of tax, as </w:t>
      </w:r>
      <w:r w:rsidR="00872745">
        <w:t>such benefits are excluded from being reported on an employee’s payment summary</w:t>
      </w:r>
      <w:r w:rsidR="007E757E">
        <w:t xml:space="preserve"> and this also benefits employers by reducing their reporting obligation</w:t>
      </w:r>
      <w:r w:rsidR="003E4B63">
        <w:t>s</w:t>
      </w:r>
      <w:r w:rsidR="00872745">
        <w:t>;</w:t>
      </w:r>
    </w:p>
    <w:p w14:paraId="2A76F27F" w14:textId="5964EFFE" w:rsidR="00E37ADE" w:rsidRDefault="00872745" w:rsidP="001B2B08">
      <w:pPr>
        <w:pStyle w:val="Bullet"/>
      </w:pPr>
      <w:r>
        <w:t xml:space="preserve">the changes described above to section 12 do not affect whether the parking facilities described are excluded from being a car parking benefit, as the changes are only minor in nature, and preserves the existing treatment under the </w:t>
      </w:r>
      <w:r w:rsidR="00925D0B">
        <w:t>1992</w:t>
      </w:r>
      <w:r>
        <w:t xml:space="preserve"> Regulations for the remainder of the year of tax;</w:t>
      </w:r>
    </w:p>
    <w:p w14:paraId="7D74A14A" w14:textId="32354849" w:rsidR="001B2B08" w:rsidRDefault="001B2B08" w:rsidP="001B2B08">
      <w:pPr>
        <w:pStyle w:val="Bullet"/>
      </w:pPr>
      <w:r>
        <w:t xml:space="preserve">there is no change to the methodology or formula applied under section 13, so no outcome for the year of tax will be adversely affected if the formula under the new Regulations or the </w:t>
      </w:r>
      <w:r w:rsidR="00925D0B">
        <w:t>1992</w:t>
      </w:r>
      <w:r>
        <w:t xml:space="preserve"> Regulations is applied, as </w:t>
      </w:r>
      <w:r w:rsidR="001C7358">
        <w:t>it</w:t>
      </w:r>
      <w:r>
        <w:t xml:space="preserve"> will produce the same outcome</w:t>
      </w:r>
      <w:r w:rsidR="00C04CF9">
        <w:t xml:space="preserve">. This preserves the existing treatment under the </w:t>
      </w:r>
      <w:r w:rsidR="00925D0B">
        <w:t>1992</w:t>
      </w:r>
      <w:r w:rsidR="00C04CF9">
        <w:t xml:space="preserve"> Regulations for the remainder of the year of tax</w:t>
      </w:r>
      <w:r>
        <w:t>;</w:t>
      </w:r>
    </w:p>
    <w:p w14:paraId="258776A8" w14:textId="7065D6E2" w:rsidR="001B2B08" w:rsidRDefault="001B2B08" w:rsidP="001B2B08">
      <w:pPr>
        <w:pStyle w:val="Bullet"/>
      </w:pPr>
      <w:r>
        <w:t>the changes described above to section 14 do not affect whether a parking facility fringe benefit is excluded from the definition of ‘eligible car parking expense payment benefit’, as the changes are only minor in nature</w:t>
      </w:r>
      <w:r w:rsidR="00EB4AB9">
        <w:t xml:space="preserve">, and preserve the existing treatment under the </w:t>
      </w:r>
      <w:r w:rsidR="00925D0B">
        <w:t>1992</w:t>
      </w:r>
      <w:r w:rsidR="00EB4AB9">
        <w:t xml:space="preserve"> Regulations for the remainder of the year of tax; and</w:t>
      </w:r>
    </w:p>
    <w:p w14:paraId="68782D79" w14:textId="096F4533" w:rsidR="00EB4AB9" w:rsidRDefault="00EB4AB9" w:rsidP="001B2B08">
      <w:pPr>
        <w:pStyle w:val="Bullet"/>
      </w:pPr>
      <w:r>
        <w:t xml:space="preserve">the changes described above to section 15 do not change the rate </w:t>
      </w:r>
      <w:r w:rsidR="001C7358">
        <w:t xml:space="preserve">of the </w:t>
      </w:r>
      <w:r w:rsidR="001C7358" w:rsidRPr="001C7358">
        <w:t xml:space="preserve">supplementary car rate </w:t>
      </w:r>
      <w:r>
        <w:t xml:space="preserve">from the rate that applied under the </w:t>
      </w:r>
      <w:r w:rsidR="00925D0B">
        <w:t>1992</w:t>
      </w:r>
      <w:r>
        <w:t xml:space="preserve"> Regulations, and preserve the existing treatment under the </w:t>
      </w:r>
      <w:r w:rsidR="00925D0B">
        <w:t>1992</w:t>
      </w:r>
      <w:r>
        <w:t xml:space="preserve"> Regulations for the remainder of the year of tax.</w:t>
      </w:r>
    </w:p>
    <w:p w14:paraId="575A3E3D" w14:textId="3C12A0B3" w:rsidR="00E37ADE" w:rsidRPr="00E37ADE" w:rsidRDefault="00E37ADE" w:rsidP="00242452">
      <w:pPr>
        <w:spacing w:before="240"/>
        <w:rPr>
          <w:b/>
          <w:u w:val="single"/>
        </w:rPr>
      </w:pPr>
      <w:r w:rsidRPr="00E37ADE">
        <w:rPr>
          <w:b/>
          <w:u w:val="single"/>
        </w:rPr>
        <w:t>Schedule 1</w:t>
      </w:r>
    </w:p>
    <w:p w14:paraId="6044601E" w14:textId="2C457CD0" w:rsidR="00F1691B" w:rsidRDefault="00F1691B" w:rsidP="00242452">
      <w:pPr>
        <w:spacing w:before="240"/>
      </w:pPr>
      <w:r>
        <w:t xml:space="preserve">Schedule 1 </w:t>
      </w:r>
      <w:r w:rsidR="00925D0B">
        <w:t>repeals the whole of the 1992 Regulations</w:t>
      </w:r>
      <w:r w:rsidR="00E37ADE">
        <w:t xml:space="preserve"> from </w:t>
      </w:r>
      <w:r w:rsidR="007121EC">
        <w:t xml:space="preserve">the </w:t>
      </w:r>
      <w:r w:rsidR="00E37ADE">
        <w:t>commencement of this instrument on 1 October 2018.</w:t>
      </w:r>
    </w:p>
    <w:p w14:paraId="693492DF" w14:textId="77777777" w:rsidR="00242452" w:rsidRDefault="00242452">
      <w:pPr>
        <w:spacing w:before="0" w:after="0"/>
        <w:rPr>
          <w:b/>
          <w:u w:val="single"/>
        </w:rPr>
      </w:pPr>
      <w:r>
        <w:rPr>
          <w:b/>
          <w:u w:val="single"/>
        </w:rPr>
        <w:br w:type="page"/>
      </w:r>
    </w:p>
    <w:p w14:paraId="20F35E97" w14:textId="77777777" w:rsidR="00242452" w:rsidRPr="00242452" w:rsidRDefault="00242452" w:rsidP="00242452">
      <w:pPr>
        <w:tabs>
          <w:tab w:val="left" w:pos="2835"/>
        </w:tabs>
        <w:spacing w:before="240"/>
        <w:ind w:right="91"/>
        <w:jc w:val="right"/>
        <w:rPr>
          <w:b/>
          <w:u w:val="single"/>
        </w:rPr>
      </w:pPr>
      <w:r>
        <w:rPr>
          <w:b/>
          <w:u w:val="single"/>
        </w:rPr>
        <w:lastRenderedPageBreak/>
        <w:t>ATTACHMENT B</w:t>
      </w:r>
    </w:p>
    <w:p w14:paraId="338077B6" w14:textId="77777777" w:rsidR="00242452" w:rsidRPr="00DC525B" w:rsidRDefault="00242452" w:rsidP="00242452">
      <w:pPr>
        <w:shd w:val="clear" w:color="auto" w:fill="FFFFFF"/>
        <w:spacing w:before="100" w:beforeAutospacing="1" w:after="100" w:afterAutospacing="1"/>
        <w:rPr>
          <w:bCs/>
          <w:szCs w:val="24"/>
          <w:u w:val="single"/>
        </w:rPr>
      </w:pPr>
      <w:r w:rsidRPr="00DC525B">
        <w:rPr>
          <w:b/>
          <w:bCs/>
          <w:szCs w:val="24"/>
          <w:u w:val="single"/>
        </w:rPr>
        <w:t>Finding table</w:t>
      </w:r>
    </w:p>
    <w:p w14:paraId="7ACFE070" w14:textId="4FA90830" w:rsidR="00F2778B" w:rsidRDefault="00242452" w:rsidP="00242452">
      <w:pPr>
        <w:pStyle w:val="base-text-paragraph"/>
        <w:ind w:left="0"/>
        <w:jc w:val="both"/>
      </w:pPr>
      <w:r w:rsidRPr="00DC525B">
        <w:t xml:space="preserve">As a result of some of the changes described </w:t>
      </w:r>
      <w:r w:rsidR="00F2778B">
        <w:t xml:space="preserve">at </w:t>
      </w:r>
      <w:r w:rsidR="00F2778B" w:rsidRPr="00F2778B">
        <w:rPr>
          <w:u w:val="single"/>
        </w:rPr>
        <w:t>Attachment A</w:t>
      </w:r>
      <w:r w:rsidRPr="00DC525B">
        <w:t xml:space="preserve">, it became necessary to renumber provisions of the </w:t>
      </w:r>
      <w:r w:rsidR="006E3D6E">
        <w:t xml:space="preserve">old </w:t>
      </w:r>
      <w:r w:rsidRPr="00DC525B">
        <w:t xml:space="preserve">Regulations. This Explanatory </w:t>
      </w:r>
      <w:r w:rsidR="007121EC">
        <w:t>Statement</w:t>
      </w:r>
      <w:r w:rsidR="007121EC" w:rsidRPr="00DC525B">
        <w:t xml:space="preserve"> </w:t>
      </w:r>
      <w:r w:rsidRPr="00DC525B">
        <w:t xml:space="preserve">includes a finding table to assist in </w:t>
      </w:r>
      <w:r w:rsidR="007121EC">
        <w:t>locating</w:t>
      </w:r>
      <w:r w:rsidR="00C400AD">
        <w:t xml:space="preserve"> provision</w:t>
      </w:r>
      <w:r w:rsidR="007121EC">
        <w:t>s</w:t>
      </w:r>
      <w:r w:rsidR="00C400AD">
        <w:t xml:space="preserve"> in the </w:t>
      </w:r>
      <w:r w:rsidR="007121EC">
        <w:t xml:space="preserve">new </w:t>
      </w:r>
      <w:r w:rsidR="00C400AD">
        <w:t xml:space="preserve">Regulations. </w:t>
      </w:r>
      <w:r w:rsidRPr="00DC525B">
        <w:t xml:space="preserve">References to the old </w:t>
      </w:r>
      <w:r w:rsidR="00C400AD">
        <w:t>regulations</w:t>
      </w:r>
      <w:r w:rsidRPr="00DC525B">
        <w:t xml:space="preserve"> are to the </w:t>
      </w:r>
      <w:r w:rsidR="00F2778B" w:rsidRPr="00242452">
        <w:rPr>
          <w:i/>
        </w:rPr>
        <w:t>Fringe Benefits Tax Regulations 1992</w:t>
      </w:r>
      <w:r w:rsidRPr="00DC525B">
        <w:rPr>
          <w:i/>
        </w:rPr>
        <w:t xml:space="preserve">. </w:t>
      </w:r>
      <w:r w:rsidRPr="00DC525B">
        <w:t xml:space="preserve">References to the new </w:t>
      </w:r>
      <w:r w:rsidR="00C400AD">
        <w:t>regulations</w:t>
      </w:r>
      <w:r w:rsidRPr="00DC525B">
        <w:t xml:space="preserve"> are to the </w:t>
      </w:r>
      <w:r w:rsidR="00F2778B">
        <w:rPr>
          <w:i/>
        </w:rPr>
        <w:t>Fringe Benefits Tax</w:t>
      </w:r>
      <w:r w:rsidR="00F2778B" w:rsidRPr="00DB66AE">
        <w:rPr>
          <w:i/>
        </w:rPr>
        <w:t xml:space="preserve"> </w:t>
      </w:r>
      <w:r w:rsidR="00F2778B">
        <w:rPr>
          <w:i/>
        </w:rPr>
        <w:t>Assessment Regulations 2018</w:t>
      </w:r>
      <w:r w:rsidRPr="00DC525B">
        <w:t xml:space="preserve">. </w:t>
      </w:r>
    </w:p>
    <w:p w14:paraId="0EA810E4" w14:textId="57A2CEF1" w:rsidR="00C400AD" w:rsidRPr="008460A3" w:rsidRDefault="00C400AD" w:rsidP="00121AB6">
      <w:pPr>
        <w:shd w:val="clear" w:color="auto" w:fill="FFFFFF"/>
      </w:pPr>
      <w:r>
        <w:rPr>
          <w:szCs w:val="24"/>
        </w:rPr>
        <w:t>I</w:t>
      </w:r>
      <w:r w:rsidR="00121AB6">
        <w:rPr>
          <w:szCs w:val="24"/>
        </w:rPr>
        <w:t>n the finding tables ‘</w:t>
      </w:r>
      <w:r w:rsidRPr="008460A3">
        <w:rPr>
          <w:i/>
          <w:iCs/>
        </w:rPr>
        <w:t>no equivalent</w:t>
      </w:r>
      <w:r w:rsidR="00121AB6">
        <w:rPr>
          <w:i/>
          <w:iCs/>
        </w:rPr>
        <w:t>’</w:t>
      </w:r>
      <w:r w:rsidRPr="008460A3">
        <w:t> means that this is a new provision that has no equivalent in the old regulation</w:t>
      </w:r>
      <w:r>
        <w:t>s</w:t>
      </w:r>
      <w:r w:rsidRPr="008460A3">
        <w:t>.  Typically, these provisions are guide material or similar.</w:t>
      </w:r>
    </w:p>
    <w:p w14:paraId="4123630F" w14:textId="3DE93F6D" w:rsidR="00EB3C75" w:rsidRPr="00C400AD" w:rsidRDefault="00EB3C75" w:rsidP="00C400AD">
      <w:pPr>
        <w:pStyle w:val="base-text-paragraph"/>
        <w:ind w:left="0"/>
        <w:jc w:val="center"/>
        <w:rPr>
          <w:b/>
        </w:rPr>
      </w:pPr>
      <w:r w:rsidRPr="00C400AD">
        <w:rPr>
          <w:b/>
        </w:rPr>
        <w:t>Table 1.1: New Regulations to old regulations</w:t>
      </w:r>
    </w:p>
    <w:tbl>
      <w:tblPr>
        <w:tblStyle w:val="TableGrid"/>
        <w:tblW w:w="3834" w:type="dxa"/>
        <w:jc w:val="center"/>
        <w:tblLook w:val="04A0" w:firstRow="1" w:lastRow="0" w:firstColumn="1" w:lastColumn="0" w:noHBand="0" w:noVBand="1"/>
      </w:tblPr>
      <w:tblGrid>
        <w:gridCol w:w="1957"/>
        <w:gridCol w:w="1877"/>
      </w:tblGrid>
      <w:tr w:rsidR="00EB3C75" w:rsidRPr="00005E51" w14:paraId="571D4007" w14:textId="77777777" w:rsidTr="0066446C">
        <w:trPr>
          <w:tblHeader/>
          <w:jc w:val="center"/>
        </w:trPr>
        <w:tc>
          <w:tcPr>
            <w:tcW w:w="1957" w:type="dxa"/>
            <w:shd w:val="clear" w:color="auto" w:fill="D9D9D9" w:themeFill="background1" w:themeFillShade="D9"/>
          </w:tcPr>
          <w:p w14:paraId="1FC0DA88" w14:textId="0D64E226" w:rsidR="00EB3C75" w:rsidRPr="00005E51" w:rsidRDefault="00EB3C75" w:rsidP="00C400AD">
            <w:pPr>
              <w:pStyle w:val="base-text-paragraph"/>
              <w:ind w:left="0"/>
              <w:jc w:val="center"/>
              <w:rPr>
                <w:b/>
                <w:i/>
                <w:szCs w:val="24"/>
              </w:rPr>
            </w:pPr>
            <w:r w:rsidRPr="00005E51">
              <w:rPr>
                <w:b/>
                <w:i/>
                <w:szCs w:val="24"/>
              </w:rPr>
              <w:t xml:space="preserve">New </w:t>
            </w:r>
            <w:r>
              <w:rPr>
                <w:b/>
                <w:i/>
                <w:szCs w:val="24"/>
              </w:rPr>
              <w:t>regulations</w:t>
            </w:r>
          </w:p>
        </w:tc>
        <w:tc>
          <w:tcPr>
            <w:tcW w:w="1877" w:type="dxa"/>
            <w:shd w:val="clear" w:color="auto" w:fill="D9D9D9" w:themeFill="background1" w:themeFillShade="D9"/>
          </w:tcPr>
          <w:p w14:paraId="448C581E" w14:textId="25B0DEED" w:rsidR="00EB3C75" w:rsidRPr="00005E51" w:rsidRDefault="00EB3C75" w:rsidP="00C400AD">
            <w:pPr>
              <w:pStyle w:val="base-text-paragraph"/>
              <w:ind w:left="0"/>
              <w:jc w:val="center"/>
              <w:rPr>
                <w:b/>
                <w:i/>
                <w:szCs w:val="24"/>
              </w:rPr>
            </w:pPr>
            <w:r w:rsidRPr="00005E51">
              <w:rPr>
                <w:b/>
                <w:i/>
                <w:szCs w:val="24"/>
              </w:rPr>
              <w:t xml:space="preserve">Old </w:t>
            </w:r>
            <w:r>
              <w:rPr>
                <w:b/>
                <w:i/>
                <w:szCs w:val="24"/>
              </w:rPr>
              <w:t>regulations</w:t>
            </w:r>
          </w:p>
        </w:tc>
      </w:tr>
      <w:tr w:rsidR="00EB3C75" w:rsidRPr="00005E51" w14:paraId="56671855" w14:textId="77777777" w:rsidTr="00C400AD">
        <w:trPr>
          <w:jc w:val="center"/>
        </w:trPr>
        <w:tc>
          <w:tcPr>
            <w:tcW w:w="1957" w:type="dxa"/>
          </w:tcPr>
          <w:p w14:paraId="72C3A8B6" w14:textId="67413F77" w:rsidR="00EB3C75" w:rsidRPr="00005E51" w:rsidRDefault="00EB3C75" w:rsidP="00C400AD">
            <w:pPr>
              <w:pStyle w:val="base-text-paragraph"/>
              <w:ind w:left="0"/>
              <w:jc w:val="center"/>
              <w:rPr>
                <w:szCs w:val="24"/>
              </w:rPr>
            </w:pPr>
            <w:r w:rsidRPr="00005E51">
              <w:rPr>
                <w:szCs w:val="24"/>
              </w:rPr>
              <w:t>1</w:t>
            </w:r>
          </w:p>
        </w:tc>
        <w:tc>
          <w:tcPr>
            <w:tcW w:w="1877" w:type="dxa"/>
          </w:tcPr>
          <w:p w14:paraId="572C37D7" w14:textId="2BE78F03" w:rsidR="00EB3C75" w:rsidRPr="00005E51" w:rsidRDefault="00EB3C75" w:rsidP="00C400AD">
            <w:pPr>
              <w:pStyle w:val="base-text-paragraph"/>
              <w:ind w:left="0"/>
              <w:jc w:val="center"/>
              <w:rPr>
                <w:szCs w:val="24"/>
              </w:rPr>
            </w:pPr>
            <w:r>
              <w:rPr>
                <w:szCs w:val="24"/>
              </w:rPr>
              <w:t>1</w:t>
            </w:r>
          </w:p>
        </w:tc>
      </w:tr>
      <w:tr w:rsidR="00EB3C75" w:rsidRPr="00005E51" w14:paraId="01132B27" w14:textId="77777777" w:rsidTr="00C400AD">
        <w:trPr>
          <w:jc w:val="center"/>
        </w:trPr>
        <w:tc>
          <w:tcPr>
            <w:tcW w:w="1957" w:type="dxa"/>
          </w:tcPr>
          <w:p w14:paraId="4C1D5DEE" w14:textId="47C62AD5" w:rsidR="00EB3C75" w:rsidRPr="00005E51" w:rsidRDefault="00EB3C75" w:rsidP="00C400AD">
            <w:pPr>
              <w:pStyle w:val="base-text-paragraph"/>
              <w:ind w:left="0"/>
              <w:jc w:val="center"/>
              <w:rPr>
                <w:szCs w:val="24"/>
              </w:rPr>
            </w:pPr>
            <w:r w:rsidRPr="00005E51">
              <w:rPr>
                <w:szCs w:val="24"/>
              </w:rPr>
              <w:t>2</w:t>
            </w:r>
          </w:p>
        </w:tc>
        <w:tc>
          <w:tcPr>
            <w:tcW w:w="1877" w:type="dxa"/>
          </w:tcPr>
          <w:p w14:paraId="1DA94044" w14:textId="6D662B3F" w:rsidR="00EB3C75" w:rsidRPr="00005E51" w:rsidRDefault="00EB3C75" w:rsidP="00C400AD">
            <w:pPr>
              <w:pStyle w:val="base-text-paragraph"/>
              <w:ind w:left="0"/>
              <w:jc w:val="center"/>
              <w:rPr>
                <w:szCs w:val="24"/>
              </w:rPr>
            </w:pPr>
            <w:r>
              <w:rPr>
                <w:szCs w:val="24"/>
              </w:rPr>
              <w:t>2</w:t>
            </w:r>
          </w:p>
        </w:tc>
      </w:tr>
      <w:tr w:rsidR="00EB3C75" w:rsidRPr="00005E51" w14:paraId="7C740ED1" w14:textId="77777777" w:rsidTr="00C400AD">
        <w:trPr>
          <w:jc w:val="center"/>
        </w:trPr>
        <w:tc>
          <w:tcPr>
            <w:tcW w:w="1957" w:type="dxa"/>
          </w:tcPr>
          <w:p w14:paraId="576B1E5B" w14:textId="1D4F5F98" w:rsidR="00EB3C75" w:rsidRPr="00005E51" w:rsidRDefault="00EB3C75" w:rsidP="00C400AD">
            <w:pPr>
              <w:pStyle w:val="base-text-paragraph"/>
              <w:ind w:left="0"/>
              <w:jc w:val="center"/>
              <w:rPr>
                <w:szCs w:val="24"/>
              </w:rPr>
            </w:pPr>
            <w:r>
              <w:rPr>
                <w:szCs w:val="24"/>
              </w:rPr>
              <w:t>3</w:t>
            </w:r>
          </w:p>
        </w:tc>
        <w:tc>
          <w:tcPr>
            <w:tcW w:w="1877" w:type="dxa"/>
          </w:tcPr>
          <w:p w14:paraId="437862D3" w14:textId="784182F6" w:rsidR="00EB3C75" w:rsidRPr="00C400AD" w:rsidRDefault="00EB3C75" w:rsidP="00C400AD">
            <w:pPr>
              <w:pStyle w:val="base-text-paragraph"/>
              <w:ind w:left="0"/>
              <w:jc w:val="center"/>
              <w:rPr>
                <w:i/>
                <w:szCs w:val="24"/>
              </w:rPr>
            </w:pPr>
            <w:r w:rsidRPr="00C400AD">
              <w:rPr>
                <w:i/>
                <w:szCs w:val="24"/>
              </w:rPr>
              <w:t>No equivalent</w:t>
            </w:r>
          </w:p>
        </w:tc>
      </w:tr>
      <w:tr w:rsidR="00EB3C75" w:rsidRPr="00005E51" w14:paraId="77258DFE" w14:textId="77777777" w:rsidTr="00C400AD">
        <w:trPr>
          <w:jc w:val="center"/>
        </w:trPr>
        <w:tc>
          <w:tcPr>
            <w:tcW w:w="1957" w:type="dxa"/>
          </w:tcPr>
          <w:p w14:paraId="0B6963C9" w14:textId="3D3E91ED" w:rsidR="00EB3C75" w:rsidRPr="00005E51" w:rsidRDefault="00EB3C75" w:rsidP="00C400AD">
            <w:pPr>
              <w:pStyle w:val="base-text-paragraph"/>
              <w:ind w:left="0"/>
              <w:jc w:val="center"/>
              <w:rPr>
                <w:szCs w:val="24"/>
              </w:rPr>
            </w:pPr>
            <w:r>
              <w:rPr>
                <w:szCs w:val="24"/>
              </w:rPr>
              <w:t>4</w:t>
            </w:r>
          </w:p>
        </w:tc>
        <w:tc>
          <w:tcPr>
            <w:tcW w:w="1877" w:type="dxa"/>
          </w:tcPr>
          <w:p w14:paraId="6525D33C" w14:textId="27184F75" w:rsidR="00EB3C75" w:rsidRPr="00C400AD" w:rsidRDefault="00EB3C75" w:rsidP="00C400AD">
            <w:pPr>
              <w:pStyle w:val="base-text-paragraph"/>
              <w:ind w:left="0"/>
              <w:jc w:val="center"/>
              <w:rPr>
                <w:i/>
                <w:szCs w:val="24"/>
              </w:rPr>
            </w:pPr>
            <w:r w:rsidRPr="00C400AD">
              <w:rPr>
                <w:i/>
                <w:szCs w:val="24"/>
              </w:rPr>
              <w:t>No equivalent</w:t>
            </w:r>
          </w:p>
        </w:tc>
      </w:tr>
      <w:tr w:rsidR="00EB3C75" w:rsidRPr="00005E51" w14:paraId="1D50264D" w14:textId="77777777" w:rsidTr="00C400AD">
        <w:trPr>
          <w:jc w:val="center"/>
        </w:trPr>
        <w:tc>
          <w:tcPr>
            <w:tcW w:w="1957" w:type="dxa"/>
          </w:tcPr>
          <w:p w14:paraId="76C54A5F" w14:textId="1D92A3D2" w:rsidR="00EB3C75" w:rsidRPr="00005E51" w:rsidRDefault="00EB3C75" w:rsidP="00C400AD">
            <w:pPr>
              <w:pStyle w:val="base-text-paragraph"/>
              <w:ind w:left="0"/>
              <w:jc w:val="center"/>
              <w:rPr>
                <w:szCs w:val="24"/>
              </w:rPr>
            </w:pPr>
            <w:r>
              <w:rPr>
                <w:szCs w:val="24"/>
              </w:rPr>
              <w:t>5</w:t>
            </w:r>
          </w:p>
        </w:tc>
        <w:tc>
          <w:tcPr>
            <w:tcW w:w="1877" w:type="dxa"/>
          </w:tcPr>
          <w:p w14:paraId="09C31D85" w14:textId="2D164480" w:rsidR="00EB3C75" w:rsidRPr="00005E51" w:rsidRDefault="00EB3C75" w:rsidP="00D17869">
            <w:pPr>
              <w:pStyle w:val="base-text-paragraph"/>
              <w:ind w:left="0"/>
              <w:jc w:val="center"/>
              <w:rPr>
                <w:szCs w:val="24"/>
              </w:rPr>
            </w:pPr>
            <w:r>
              <w:rPr>
                <w:szCs w:val="24"/>
              </w:rPr>
              <w:t>3</w:t>
            </w:r>
            <w:r w:rsidR="00D17869">
              <w:rPr>
                <w:szCs w:val="24"/>
              </w:rPr>
              <w:t>,</w:t>
            </w:r>
            <w:r w:rsidR="006A3F19">
              <w:rPr>
                <w:szCs w:val="24"/>
              </w:rPr>
              <w:t xml:space="preserve"> 5(6)</w:t>
            </w:r>
            <w:r w:rsidR="00D17869">
              <w:rPr>
                <w:szCs w:val="24"/>
              </w:rPr>
              <w:t>, 6(3), 7(2) and 9(3)</w:t>
            </w:r>
          </w:p>
        </w:tc>
      </w:tr>
      <w:tr w:rsidR="00EB3C75" w:rsidRPr="00005E51" w14:paraId="0D9ADD67" w14:textId="77777777" w:rsidTr="00C400AD">
        <w:trPr>
          <w:jc w:val="center"/>
        </w:trPr>
        <w:tc>
          <w:tcPr>
            <w:tcW w:w="1957" w:type="dxa"/>
          </w:tcPr>
          <w:p w14:paraId="26DA072E" w14:textId="57E34D6C" w:rsidR="00EB3C75" w:rsidRPr="00005E51" w:rsidRDefault="00EB3C75" w:rsidP="00C400AD">
            <w:pPr>
              <w:pStyle w:val="base-text-paragraph"/>
              <w:ind w:left="0"/>
              <w:jc w:val="center"/>
              <w:rPr>
                <w:szCs w:val="24"/>
              </w:rPr>
            </w:pPr>
            <w:r>
              <w:rPr>
                <w:szCs w:val="24"/>
              </w:rPr>
              <w:t>6</w:t>
            </w:r>
          </w:p>
        </w:tc>
        <w:tc>
          <w:tcPr>
            <w:tcW w:w="1877" w:type="dxa"/>
          </w:tcPr>
          <w:p w14:paraId="155233D3" w14:textId="580B7964" w:rsidR="00EB3C75" w:rsidRDefault="004526AD" w:rsidP="004526AD">
            <w:pPr>
              <w:pStyle w:val="base-text-paragraph"/>
              <w:ind w:left="0"/>
              <w:jc w:val="center"/>
              <w:rPr>
                <w:szCs w:val="24"/>
              </w:rPr>
            </w:pPr>
            <w:r>
              <w:rPr>
                <w:szCs w:val="24"/>
              </w:rPr>
              <w:t>5(1) to 5(3)</w:t>
            </w:r>
          </w:p>
        </w:tc>
      </w:tr>
      <w:tr w:rsidR="00EB3C75" w:rsidRPr="00005E51" w14:paraId="52061CCD" w14:textId="77777777" w:rsidTr="00C400AD">
        <w:trPr>
          <w:jc w:val="center"/>
        </w:trPr>
        <w:tc>
          <w:tcPr>
            <w:tcW w:w="1957" w:type="dxa"/>
          </w:tcPr>
          <w:p w14:paraId="092C714B" w14:textId="461E1F98" w:rsidR="00EB3C75" w:rsidRPr="00005E51" w:rsidRDefault="00EB3C75" w:rsidP="00C400AD">
            <w:pPr>
              <w:pStyle w:val="base-text-paragraph"/>
              <w:ind w:left="0"/>
              <w:jc w:val="center"/>
              <w:rPr>
                <w:szCs w:val="24"/>
              </w:rPr>
            </w:pPr>
            <w:r>
              <w:rPr>
                <w:szCs w:val="24"/>
              </w:rPr>
              <w:t>7</w:t>
            </w:r>
          </w:p>
        </w:tc>
        <w:tc>
          <w:tcPr>
            <w:tcW w:w="1877" w:type="dxa"/>
          </w:tcPr>
          <w:p w14:paraId="0902F88E" w14:textId="0A54CBE2" w:rsidR="00EB3C75" w:rsidRDefault="00795587" w:rsidP="00102B82">
            <w:pPr>
              <w:pStyle w:val="base-text-paragraph"/>
              <w:ind w:left="0"/>
              <w:jc w:val="center"/>
              <w:rPr>
                <w:szCs w:val="24"/>
              </w:rPr>
            </w:pPr>
            <w:r>
              <w:rPr>
                <w:szCs w:val="24"/>
              </w:rPr>
              <w:t>5(5)</w:t>
            </w:r>
            <w:r w:rsidR="004526AD">
              <w:rPr>
                <w:szCs w:val="24"/>
              </w:rPr>
              <w:t xml:space="preserve"> and </w:t>
            </w:r>
            <w:r w:rsidR="00EB3C75">
              <w:rPr>
                <w:szCs w:val="24"/>
              </w:rPr>
              <w:t>6</w:t>
            </w:r>
          </w:p>
        </w:tc>
      </w:tr>
      <w:tr w:rsidR="00EB3C75" w:rsidRPr="00005E51" w14:paraId="5220D546" w14:textId="77777777" w:rsidTr="00C400AD">
        <w:trPr>
          <w:jc w:val="center"/>
        </w:trPr>
        <w:tc>
          <w:tcPr>
            <w:tcW w:w="1957" w:type="dxa"/>
          </w:tcPr>
          <w:p w14:paraId="4F8BCDAC" w14:textId="0CAEF1A0" w:rsidR="00EB3C75" w:rsidRDefault="00EB3C75" w:rsidP="00C400AD">
            <w:pPr>
              <w:pStyle w:val="base-text-paragraph"/>
              <w:ind w:left="0"/>
              <w:jc w:val="center"/>
              <w:rPr>
                <w:szCs w:val="24"/>
              </w:rPr>
            </w:pPr>
            <w:r>
              <w:rPr>
                <w:szCs w:val="24"/>
              </w:rPr>
              <w:t>8</w:t>
            </w:r>
          </w:p>
        </w:tc>
        <w:tc>
          <w:tcPr>
            <w:tcW w:w="1877" w:type="dxa"/>
          </w:tcPr>
          <w:p w14:paraId="415E1A39" w14:textId="33DF1029" w:rsidR="00EB3C75" w:rsidRDefault="00EB3C75" w:rsidP="00C400AD">
            <w:pPr>
              <w:pStyle w:val="base-text-paragraph"/>
              <w:ind w:left="0"/>
              <w:jc w:val="center"/>
              <w:rPr>
                <w:szCs w:val="24"/>
              </w:rPr>
            </w:pPr>
            <w:r>
              <w:rPr>
                <w:szCs w:val="24"/>
              </w:rPr>
              <w:t>7</w:t>
            </w:r>
          </w:p>
        </w:tc>
      </w:tr>
      <w:tr w:rsidR="00EB3C75" w:rsidRPr="00005E51" w14:paraId="45C178E3" w14:textId="77777777" w:rsidTr="00C400AD">
        <w:trPr>
          <w:jc w:val="center"/>
        </w:trPr>
        <w:tc>
          <w:tcPr>
            <w:tcW w:w="1957" w:type="dxa"/>
          </w:tcPr>
          <w:p w14:paraId="50A2ACBB" w14:textId="2E782DB7" w:rsidR="00EB3C75" w:rsidRDefault="00EB3C75" w:rsidP="00C400AD">
            <w:pPr>
              <w:pStyle w:val="base-text-paragraph"/>
              <w:ind w:left="0"/>
              <w:jc w:val="center"/>
              <w:rPr>
                <w:szCs w:val="24"/>
              </w:rPr>
            </w:pPr>
            <w:r>
              <w:rPr>
                <w:szCs w:val="24"/>
              </w:rPr>
              <w:t>9</w:t>
            </w:r>
          </w:p>
        </w:tc>
        <w:tc>
          <w:tcPr>
            <w:tcW w:w="1877" w:type="dxa"/>
          </w:tcPr>
          <w:p w14:paraId="0BC954A8" w14:textId="732F1BE6" w:rsidR="00EB3C75" w:rsidRDefault="009559A1" w:rsidP="00C400AD">
            <w:pPr>
              <w:pStyle w:val="base-text-paragraph"/>
              <w:ind w:left="0"/>
              <w:jc w:val="center"/>
              <w:rPr>
                <w:szCs w:val="24"/>
              </w:rPr>
            </w:pPr>
            <w:r>
              <w:rPr>
                <w:szCs w:val="24"/>
              </w:rPr>
              <w:t>5(5A)</w:t>
            </w:r>
          </w:p>
        </w:tc>
      </w:tr>
      <w:tr w:rsidR="00EB3C75" w:rsidRPr="00005E51" w14:paraId="39B4F94B" w14:textId="77777777" w:rsidTr="00C400AD">
        <w:trPr>
          <w:jc w:val="center"/>
        </w:trPr>
        <w:tc>
          <w:tcPr>
            <w:tcW w:w="1957" w:type="dxa"/>
          </w:tcPr>
          <w:p w14:paraId="2A477DB9" w14:textId="537E8DDC" w:rsidR="00EB3C75" w:rsidRDefault="00EB3C75" w:rsidP="00C400AD">
            <w:pPr>
              <w:pStyle w:val="base-text-paragraph"/>
              <w:ind w:left="0"/>
              <w:jc w:val="center"/>
              <w:rPr>
                <w:szCs w:val="24"/>
              </w:rPr>
            </w:pPr>
            <w:r>
              <w:rPr>
                <w:szCs w:val="24"/>
              </w:rPr>
              <w:t>10</w:t>
            </w:r>
          </w:p>
        </w:tc>
        <w:tc>
          <w:tcPr>
            <w:tcW w:w="1877" w:type="dxa"/>
          </w:tcPr>
          <w:p w14:paraId="13AEF335" w14:textId="714E43C2" w:rsidR="00EB3C75" w:rsidRDefault="009559A1" w:rsidP="00C400AD">
            <w:pPr>
              <w:pStyle w:val="base-text-paragraph"/>
              <w:ind w:left="0"/>
              <w:jc w:val="center"/>
              <w:rPr>
                <w:szCs w:val="24"/>
              </w:rPr>
            </w:pPr>
            <w:r>
              <w:rPr>
                <w:szCs w:val="24"/>
              </w:rPr>
              <w:t>8</w:t>
            </w:r>
          </w:p>
        </w:tc>
      </w:tr>
      <w:tr w:rsidR="00EB3C75" w:rsidRPr="00005E51" w14:paraId="32F5A2F4" w14:textId="77777777" w:rsidTr="00C400AD">
        <w:trPr>
          <w:jc w:val="center"/>
        </w:trPr>
        <w:tc>
          <w:tcPr>
            <w:tcW w:w="1957" w:type="dxa"/>
          </w:tcPr>
          <w:p w14:paraId="6ECC7F32" w14:textId="39151C98" w:rsidR="00EB3C75" w:rsidRDefault="00EB3C75" w:rsidP="00C400AD">
            <w:pPr>
              <w:pStyle w:val="base-text-paragraph"/>
              <w:ind w:left="0"/>
              <w:jc w:val="center"/>
              <w:rPr>
                <w:szCs w:val="24"/>
              </w:rPr>
            </w:pPr>
            <w:r>
              <w:rPr>
                <w:szCs w:val="24"/>
              </w:rPr>
              <w:t>11</w:t>
            </w:r>
          </w:p>
        </w:tc>
        <w:tc>
          <w:tcPr>
            <w:tcW w:w="1877" w:type="dxa"/>
          </w:tcPr>
          <w:p w14:paraId="36388FE9" w14:textId="628A5765" w:rsidR="00EB3C75" w:rsidRDefault="009559A1" w:rsidP="00C400AD">
            <w:pPr>
              <w:pStyle w:val="base-text-paragraph"/>
              <w:ind w:left="0"/>
              <w:jc w:val="center"/>
              <w:rPr>
                <w:szCs w:val="24"/>
              </w:rPr>
            </w:pPr>
            <w:r>
              <w:rPr>
                <w:szCs w:val="24"/>
              </w:rPr>
              <w:t>5(4) and 9</w:t>
            </w:r>
          </w:p>
        </w:tc>
      </w:tr>
      <w:tr w:rsidR="00EB3C75" w:rsidRPr="00005E51" w14:paraId="4FD8D977" w14:textId="77777777" w:rsidTr="00C400AD">
        <w:trPr>
          <w:jc w:val="center"/>
        </w:trPr>
        <w:tc>
          <w:tcPr>
            <w:tcW w:w="1957" w:type="dxa"/>
          </w:tcPr>
          <w:p w14:paraId="14794528" w14:textId="4B067A6E" w:rsidR="00EB3C75" w:rsidRDefault="00EB3C75" w:rsidP="00C400AD">
            <w:pPr>
              <w:pStyle w:val="base-text-paragraph"/>
              <w:ind w:left="0"/>
              <w:jc w:val="center"/>
              <w:rPr>
                <w:szCs w:val="24"/>
              </w:rPr>
            </w:pPr>
            <w:r>
              <w:rPr>
                <w:szCs w:val="24"/>
              </w:rPr>
              <w:t>12</w:t>
            </w:r>
          </w:p>
        </w:tc>
        <w:tc>
          <w:tcPr>
            <w:tcW w:w="1877" w:type="dxa"/>
          </w:tcPr>
          <w:p w14:paraId="0B5ED332" w14:textId="083EEF0B" w:rsidR="00EB3C75" w:rsidRDefault="009559A1" w:rsidP="00C400AD">
            <w:pPr>
              <w:pStyle w:val="base-text-paragraph"/>
              <w:ind w:left="0"/>
              <w:jc w:val="center"/>
              <w:rPr>
                <w:szCs w:val="24"/>
              </w:rPr>
            </w:pPr>
            <w:r>
              <w:rPr>
                <w:szCs w:val="24"/>
              </w:rPr>
              <w:t>4</w:t>
            </w:r>
          </w:p>
        </w:tc>
      </w:tr>
      <w:tr w:rsidR="00EB3C75" w:rsidRPr="00005E51" w14:paraId="321D0909" w14:textId="77777777" w:rsidTr="00C400AD">
        <w:trPr>
          <w:jc w:val="center"/>
        </w:trPr>
        <w:tc>
          <w:tcPr>
            <w:tcW w:w="1957" w:type="dxa"/>
          </w:tcPr>
          <w:p w14:paraId="4D1B7BD4" w14:textId="073442A8" w:rsidR="00EB3C75" w:rsidRDefault="00EB3C75" w:rsidP="00C400AD">
            <w:pPr>
              <w:pStyle w:val="base-text-paragraph"/>
              <w:ind w:left="0"/>
              <w:jc w:val="center"/>
              <w:rPr>
                <w:szCs w:val="24"/>
              </w:rPr>
            </w:pPr>
            <w:r>
              <w:rPr>
                <w:szCs w:val="24"/>
              </w:rPr>
              <w:t>13</w:t>
            </w:r>
          </w:p>
        </w:tc>
        <w:tc>
          <w:tcPr>
            <w:tcW w:w="1877" w:type="dxa"/>
          </w:tcPr>
          <w:p w14:paraId="326A4670" w14:textId="71653469" w:rsidR="00EB3C75" w:rsidRPr="00242452" w:rsidRDefault="009559A1" w:rsidP="00C400AD">
            <w:pPr>
              <w:pStyle w:val="base-text-paragraph"/>
              <w:ind w:left="0"/>
              <w:jc w:val="center"/>
              <w:rPr>
                <w:szCs w:val="24"/>
              </w:rPr>
            </w:pPr>
            <w:r>
              <w:rPr>
                <w:szCs w:val="24"/>
              </w:rPr>
              <w:t>12</w:t>
            </w:r>
          </w:p>
        </w:tc>
      </w:tr>
      <w:tr w:rsidR="00EB3C75" w:rsidRPr="00005E51" w14:paraId="2F1DB1F6" w14:textId="77777777" w:rsidTr="00C400AD">
        <w:trPr>
          <w:jc w:val="center"/>
        </w:trPr>
        <w:tc>
          <w:tcPr>
            <w:tcW w:w="1957" w:type="dxa"/>
          </w:tcPr>
          <w:p w14:paraId="1EF069A6" w14:textId="0FBF779A" w:rsidR="00EB3C75" w:rsidRDefault="00EB3C75" w:rsidP="00C400AD">
            <w:pPr>
              <w:pStyle w:val="base-text-paragraph"/>
              <w:ind w:left="0"/>
              <w:jc w:val="center"/>
              <w:rPr>
                <w:szCs w:val="24"/>
              </w:rPr>
            </w:pPr>
            <w:r>
              <w:rPr>
                <w:szCs w:val="24"/>
              </w:rPr>
              <w:t>14</w:t>
            </w:r>
          </w:p>
        </w:tc>
        <w:tc>
          <w:tcPr>
            <w:tcW w:w="1877" w:type="dxa"/>
          </w:tcPr>
          <w:p w14:paraId="0811D4CF" w14:textId="5298A1EB" w:rsidR="00EB3C75" w:rsidRPr="00242452" w:rsidRDefault="009559A1" w:rsidP="00C400AD">
            <w:pPr>
              <w:pStyle w:val="base-text-paragraph"/>
              <w:ind w:left="0"/>
              <w:jc w:val="center"/>
              <w:rPr>
                <w:szCs w:val="24"/>
              </w:rPr>
            </w:pPr>
            <w:r>
              <w:rPr>
                <w:szCs w:val="24"/>
              </w:rPr>
              <w:t>13A</w:t>
            </w:r>
          </w:p>
        </w:tc>
      </w:tr>
      <w:tr w:rsidR="00EB3C75" w:rsidRPr="00005E51" w14:paraId="441F45FC" w14:textId="77777777" w:rsidTr="00C400AD">
        <w:trPr>
          <w:jc w:val="center"/>
        </w:trPr>
        <w:tc>
          <w:tcPr>
            <w:tcW w:w="1957" w:type="dxa"/>
          </w:tcPr>
          <w:p w14:paraId="2140FD04" w14:textId="4AC11948" w:rsidR="00EB3C75" w:rsidRPr="00242452" w:rsidRDefault="00EB3C75" w:rsidP="00C400AD">
            <w:pPr>
              <w:pStyle w:val="base-text-paragraph"/>
              <w:ind w:left="0"/>
              <w:jc w:val="center"/>
              <w:rPr>
                <w:szCs w:val="24"/>
              </w:rPr>
            </w:pPr>
            <w:r>
              <w:rPr>
                <w:szCs w:val="24"/>
              </w:rPr>
              <w:t>15</w:t>
            </w:r>
          </w:p>
        </w:tc>
        <w:tc>
          <w:tcPr>
            <w:tcW w:w="1877" w:type="dxa"/>
          </w:tcPr>
          <w:p w14:paraId="55374357" w14:textId="4488A54A" w:rsidR="00EB3C75" w:rsidRPr="0066446C" w:rsidRDefault="009559A1" w:rsidP="00C400AD">
            <w:pPr>
              <w:pStyle w:val="base-text-paragraph"/>
              <w:ind w:left="0"/>
              <w:jc w:val="center"/>
              <w:rPr>
                <w:szCs w:val="24"/>
              </w:rPr>
            </w:pPr>
            <w:r w:rsidRPr="0066446C">
              <w:rPr>
                <w:szCs w:val="24"/>
              </w:rPr>
              <w:t>14</w:t>
            </w:r>
          </w:p>
        </w:tc>
      </w:tr>
      <w:tr w:rsidR="009559A1" w:rsidRPr="00005E51" w14:paraId="7A734D48" w14:textId="77777777" w:rsidTr="00C400AD">
        <w:trPr>
          <w:jc w:val="center"/>
        </w:trPr>
        <w:tc>
          <w:tcPr>
            <w:tcW w:w="1957" w:type="dxa"/>
          </w:tcPr>
          <w:p w14:paraId="47217F24" w14:textId="3E848FC3" w:rsidR="009559A1" w:rsidRPr="00F2778B" w:rsidRDefault="009559A1" w:rsidP="00C400AD">
            <w:pPr>
              <w:pStyle w:val="base-text-paragraph"/>
              <w:ind w:left="0"/>
              <w:jc w:val="center"/>
              <w:rPr>
                <w:szCs w:val="24"/>
              </w:rPr>
            </w:pPr>
            <w:r>
              <w:rPr>
                <w:szCs w:val="24"/>
              </w:rPr>
              <w:t>16</w:t>
            </w:r>
          </w:p>
        </w:tc>
        <w:tc>
          <w:tcPr>
            <w:tcW w:w="1877" w:type="dxa"/>
          </w:tcPr>
          <w:p w14:paraId="6B175DB8" w14:textId="76249F71" w:rsidR="009559A1" w:rsidRPr="00C400AD" w:rsidRDefault="009559A1" w:rsidP="00C400AD">
            <w:pPr>
              <w:pStyle w:val="base-text-paragraph"/>
              <w:ind w:left="0"/>
              <w:jc w:val="center"/>
              <w:rPr>
                <w:i/>
                <w:szCs w:val="24"/>
              </w:rPr>
            </w:pPr>
            <w:r>
              <w:rPr>
                <w:i/>
                <w:szCs w:val="24"/>
              </w:rPr>
              <w:t>No equivalent</w:t>
            </w:r>
          </w:p>
        </w:tc>
      </w:tr>
      <w:tr w:rsidR="00EB3C75" w:rsidRPr="00005E51" w14:paraId="1050AF22" w14:textId="77777777" w:rsidTr="00C400AD">
        <w:trPr>
          <w:jc w:val="center"/>
        </w:trPr>
        <w:tc>
          <w:tcPr>
            <w:tcW w:w="1957" w:type="dxa"/>
          </w:tcPr>
          <w:p w14:paraId="7ECCA52B" w14:textId="5D631C6D" w:rsidR="00EB3C75" w:rsidRPr="00242452" w:rsidRDefault="00EB3C75" w:rsidP="00C400AD">
            <w:pPr>
              <w:pStyle w:val="base-text-paragraph"/>
              <w:ind w:left="0"/>
              <w:jc w:val="center"/>
              <w:rPr>
                <w:szCs w:val="24"/>
              </w:rPr>
            </w:pPr>
            <w:r w:rsidRPr="00F2778B">
              <w:rPr>
                <w:szCs w:val="24"/>
              </w:rPr>
              <w:t>Schedule 1</w:t>
            </w:r>
          </w:p>
        </w:tc>
        <w:tc>
          <w:tcPr>
            <w:tcW w:w="1877" w:type="dxa"/>
          </w:tcPr>
          <w:p w14:paraId="0BE94D8C" w14:textId="68ACE5A9" w:rsidR="00EB3C75" w:rsidRPr="00C400AD" w:rsidRDefault="00EB3C75" w:rsidP="00C400AD">
            <w:pPr>
              <w:pStyle w:val="base-text-paragraph"/>
              <w:ind w:left="0"/>
              <w:jc w:val="center"/>
              <w:rPr>
                <w:i/>
                <w:szCs w:val="24"/>
              </w:rPr>
            </w:pPr>
            <w:r w:rsidRPr="00C400AD">
              <w:rPr>
                <w:i/>
                <w:szCs w:val="24"/>
              </w:rPr>
              <w:t>No equivalent</w:t>
            </w:r>
          </w:p>
        </w:tc>
      </w:tr>
    </w:tbl>
    <w:p w14:paraId="04FFC8EB" w14:textId="7A559ADF" w:rsidR="00EB3C75" w:rsidRPr="00C400AD" w:rsidRDefault="00EB3C75" w:rsidP="00C400AD">
      <w:pPr>
        <w:pStyle w:val="base-text-paragraph"/>
        <w:ind w:left="0"/>
        <w:jc w:val="center"/>
        <w:rPr>
          <w:b/>
        </w:rPr>
      </w:pPr>
      <w:r w:rsidRPr="00C400AD">
        <w:rPr>
          <w:b/>
        </w:rPr>
        <w:t>Table 1.2: Old Regulations to new regulations</w:t>
      </w:r>
    </w:p>
    <w:p w14:paraId="13E2102B" w14:textId="77777777" w:rsidR="00F2778B" w:rsidRPr="00F2778B" w:rsidRDefault="00F2778B" w:rsidP="00C400AD">
      <w:pPr>
        <w:pStyle w:val="base-text-paragraph"/>
        <w:ind w:left="0"/>
        <w:jc w:val="center"/>
        <w:rPr>
          <w:sz w:val="4"/>
        </w:rPr>
      </w:pPr>
    </w:p>
    <w:tbl>
      <w:tblPr>
        <w:tblStyle w:val="TableGrid"/>
        <w:tblW w:w="3834" w:type="dxa"/>
        <w:jc w:val="center"/>
        <w:tblLook w:val="04A0" w:firstRow="1" w:lastRow="0" w:firstColumn="1" w:lastColumn="0" w:noHBand="0" w:noVBand="1"/>
      </w:tblPr>
      <w:tblGrid>
        <w:gridCol w:w="1877"/>
        <w:gridCol w:w="1957"/>
      </w:tblGrid>
      <w:tr w:rsidR="00242452" w:rsidRPr="00005E51" w14:paraId="7B5D2F07" w14:textId="77777777" w:rsidTr="00C400AD">
        <w:trPr>
          <w:jc w:val="center"/>
        </w:trPr>
        <w:tc>
          <w:tcPr>
            <w:tcW w:w="1877" w:type="dxa"/>
            <w:shd w:val="clear" w:color="auto" w:fill="D9D9D9" w:themeFill="background1" w:themeFillShade="D9"/>
          </w:tcPr>
          <w:p w14:paraId="6292EF40" w14:textId="325B802F" w:rsidR="00242452" w:rsidRPr="00005E51" w:rsidRDefault="00242452" w:rsidP="00C400AD">
            <w:pPr>
              <w:pStyle w:val="base-text-paragraph"/>
              <w:ind w:left="0"/>
              <w:jc w:val="center"/>
              <w:rPr>
                <w:b/>
                <w:i/>
                <w:szCs w:val="24"/>
              </w:rPr>
            </w:pPr>
            <w:r w:rsidRPr="00005E51">
              <w:rPr>
                <w:b/>
                <w:i/>
                <w:szCs w:val="24"/>
              </w:rPr>
              <w:lastRenderedPageBreak/>
              <w:t xml:space="preserve">Old </w:t>
            </w:r>
            <w:r w:rsidR="00EB3C75">
              <w:rPr>
                <w:b/>
                <w:i/>
                <w:szCs w:val="24"/>
              </w:rPr>
              <w:t>regulations</w:t>
            </w:r>
          </w:p>
        </w:tc>
        <w:tc>
          <w:tcPr>
            <w:tcW w:w="1957" w:type="dxa"/>
            <w:shd w:val="clear" w:color="auto" w:fill="D9D9D9" w:themeFill="background1" w:themeFillShade="D9"/>
          </w:tcPr>
          <w:p w14:paraId="39F15BD8" w14:textId="4471D658" w:rsidR="00242452" w:rsidRPr="00005E51" w:rsidRDefault="00242452" w:rsidP="00C400AD">
            <w:pPr>
              <w:pStyle w:val="base-text-paragraph"/>
              <w:ind w:left="0"/>
              <w:jc w:val="center"/>
              <w:rPr>
                <w:b/>
                <w:i/>
                <w:szCs w:val="24"/>
              </w:rPr>
            </w:pPr>
            <w:r w:rsidRPr="00005E51">
              <w:rPr>
                <w:b/>
                <w:i/>
                <w:szCs w:val="24"/>
              </w:rPr>
              <w:t xml:space="preserve">New </w:t>
            </w:r>
            <w:r w:rsidR="00EB3C75">
              <w:rPr>
                <w:b/>
                <w:i/>
                <w:szCs w:val="24"/>
              </w:rPr>
              <w:t>regulations</w:t>
            </w:r>
          </w:p>
        </w:tc>
      </w:tr>
      <w:tr w:rsidR="009559A1" w:rsidRPr="00005E51" w14:paraId="3BA9DCDD" w14:textId="77777777" w:rsidTr="00C400AD">
        <w:trPr>
          <w:jc w:val="center"/>
        </w:trPr>
        <w:tc>
          <w:tcPr>
            <w:tcW w:w="1877" w:type="dxa"/>
          </w:tcPr>
          <w:p w14:paraId="74FBBBA3" w14:textId="77777777" w:rsidR="009559A1" w:rsidRPr="00005E51" w:rsidRDefault="009559A1" w:rsidP="00C400AD">
            <w:pPr>
              <w:pStyle w:val="base-text-paragraph"/>
              <w:ind w:left="0"/>
              <w:jc w:val="center"/>
              <w:rPr>
                <w:szCs w:val="24"/>
              </w:rPr>
            </w:pPr>
            <w:r>
              <w:rPr>
                <w:szCs w:val="24"/>
              </w:rPr>
              <w:t>1</w:t>
            </w:r>
          </w:p>
        </w:tc>
        <w:tc>
          <w:tcPr>
            <w:tcW w:w="1957" w:type="dxa"/>
          </w:tcPr>
          <w:p w14:paraId="785A4F87" w14:textId="77777777" w:rsidR="009559A1" w:rsidRPr="00005E51" w:rsidRDefault="009559A1" w:rsidP="00C400AD">
            <w:pPr>
              <w:pStyle w:val="base-text-paragraph"/>
              <w:ind w:left="0"/>
              <w:jc w:val="center"/>
              <w:rPr>
                <w:szCs w:val="24"/>
              </w:rPr>
            </w:pPr>
            <w:r w:rsidRPr="00005E51">
              <w:rPr>
                <w:szCs w:val="24"/>
              </w:rPr>
              <w:t>1</w:t>
            </w:r>
          </w:p>
        </w:tc>
      </w:tr>
      <w:tr w:rsidR="009559A1" w:rsidRPr="00005E51" w14:paraId="05AAD5AF" w14:textId="77777777" w:rsidTr="00C400AD">
        <w:trPr>
          <w:jc w:val="center"/>
        </w:trPr>
        <w:tc>
          <w:tcPr>
            <w:tcW w:w="1877" w:type="dxa"/>
          </w:tcPr>
          <w:p w14:paraId="7E8AD6A2" w14:textId="77777777" w:rsidR="009559A1" w:rsidRPr="00005E51" w:rsidRDefault="009559A1" w:rsidP="00B0125E">
            <w:pPr>
              <w:pStyle w:val="base-text-paragraph"/>
              <w:ind w:left="0"/>
              <w:jc w:val="center"/>
              <w:rPr>
                <w:szCs w:val="24"/>
              </w:rPr>
            </w:pPr>
            <w:r>
              <w:rPr>
                <w:szCs w:val="24"/>
              </w:rPr>
              <w:t>2</w:t>
            </w:r>
          </w:p>
        </w:tc>
        <w:tc>
          <w:tcPr>
            <w:tcW w:w="1957" w:type="dxa"/>
          </w:tcPr>
          <w:p w14:paraId="2F590894" w14:textId="77777777" w:rsidR="009559A1" w:rsidRPr="00005E51" w:rsidRDefault="009559A1" w:rsidP="00C400AD">
            <w:pPr>
              <w:pStyle w:val="base-text-paragraph"/>
              <w:ind w:left="0"/>
              <w:jc w:val="center"/>
              <w:rPr>
                <w:szCs w:val="24"/>
              </w:rPr>
            </w:pPr>
            <w:r w:rsidRPr="00005E51">
              <w:rPr>
                <w:szCs w:val="24"/>
              </w:rPr>
              <w:t>2</w:t>
            </w:r>
          </w:p>
        </w:tc>
      </w:tr>
      <w:tr w:rsidR="009559A1" w:rsidRPr="00005E51" w14:paraId="2638B7EC" w14:textId="77777777" w:rsidTr="00C400AD">
        <w:trPr>
          <w:jc w:val="center"/>
        </w:trPr>
        <w:tc>
          <w:tcPr>
            <w:tcW w:w="1877" w:type="dxa"/>
          </w:tcPr>
          <w:p w14:paraId="52153B77" w14:textId="64B13173" w:rsidR="009559A1" w:rsidRPr="00005E51" w:rsidRDefault="009559A1" w:rsidP="00C400AD">
            <w:pPr>
              <w:pStyle w:val="base-text-paragraph"/>
              <w:ind w:left="0"/>
              <w:jc w:val="center"/>
              <w:rPr>
                <w:szCs w:val="24"/>
              </w:rPr>
            </w:pPr>
            <w:r>
              <w:rPr>
                <w:szCs w:val="24"/>
              </w:rPr>
              <w:t>3</w:t>
            </w:r>
            <w:r w:rsidR="00D17869">
              <w:rPr>
                <w:szCs w:val="24"/>
              </w:rPr>
              <w:t xml:space="preserve">, </w:t>
            </w:r>
            <w:r w:rsidR="00795587" w:rsidRPr="00795587">
              <w:rPr>
                <w:szCs w:val="24"/>
              </w:rPr>
              <w:t>5(6)</w:t>
            </w:r>
            <w:r w:rsidR="00D17869">
              <w:rPr>
                <w:szCs w:val="24"/>
              </w:rPr>
              <w:t>, 6(3), 7(2) and 9(3)</w:t>
            </w:r>
            <w:r w:rsidR="00795587">
              <w:rPr>
                <w:szCs w:val="24"/>
              </w:rPr>
              <w:t xml:space="preserve"> </w:t>
            </w:r>
          </w:p>
        </w:tc>
        <w:tc>
          <w:tcPr>
            <w:tcW w:w="1957" w:type="dxa"/>
          </w:tcPr>
          <w:p w14:paraId="13971621" w14:textId="6C142022" w:rsidR="009559A1" w:rsidRDefault="009559A1" w:rsidP="00C400AD">
            <w:pPr>
              <w:pStyle w:val="base-text-paragraph"/>
              <w:ind w:left="0"/>
              <w:jc w:val="center"/>
              <w:rPr>
                <w:szCs w:val="24"/>
              </w:rPr>
            </w:pPr>
            <w:r>
              <w:rPr>
                <w:szCs w:val="24"/>
              </w:rPr>
              <w:t>5</w:t>
            </w:r>
          </w:p>
        </w:tc>
      </w:tr>
      <w:tr w:rsidR="009559A1" w:rsidRPr="00005E51" w14:paraId="1BA806F9" w14:textId="77777777" w:rsidTr="00464FC5">
        <w:trPr>
          <w:jc w:val="center"/>
        </w:trPr>
        <w:tc>
          <w:tcPr>
            <w:tcW w:w="1877" w:type="dxa"/>
          </w:tcPr>
          <w:p w14:paraId="2D1BC7C3" w14:textId="77777777" w:rsidR="009559A1" w:rsidRDefault="009559A1" w:rsidP="00464FC5">
            <w:pPr>
              <w:pStyle w:val="base-text-paragraph"/>
              <w:ind w:left="0"/>
              <w:jc w:val="center"/>
              <w:rPr>
                <w:szCs w:val="24"/>
              </w:rPr>
            </w:pPr>
            <w:r>
              <w:rPr>
                <w:szCs w:val="24"/>
              </w:rPr>
              <w:t>4</w:t>
            </w:r>
          </w:p>
        </w:tc>
        <w:tc>
          <w:tcPr>
            <w:tcW w:w="1957" w:type="dxa"/>
          </w:tcPr>
          <w:p w14:paraId="1DCB4F25" w14:textId="77777777" w:rsidR="009559A1" w:rsidRPr="00242452" w:rsidRDefault="009559A1" w:rsidP="00464FC5">
            <w:pPr>
              <w:pStyle w:val="base-text-paragraph"/>
              <w:ind w:left="0"/>
              <w:jc w:val="center"/>
              <w:rPr>
                <w:szCs w:val="24"/>
              </w:rPr>
            </w:pPr>
            <w:r>
              <w:rPr>
                <w:szCs w:val="24"/>
              </w:rPr>
              <w:t>12</w:t>
            </w:r>
          </w:p>
        </w:tc>
      </w:tr>
      <w:tr w:rsidR="009559A1" w:rsidRPr="00005E51" w14:paraId="2873EC48" w14:textId="77777777" w:rsidTr="00C400AD">
        <w:trPr>
          <w:jc w:val="center"/>
        </w:trPr>
        <w:tc>
          <w:tcPr>
            <w:tcW w:w="1877" w:type="dxa"/>
          </w:tcPr>
          <w:p w14:paraId="68F49A98" w14:textId="3257C458" w:rsidR="009559A1" w:rsidRDefault="009559A1" w:rsidP="00C400AD">
            <w:pPr>
              <w:pStyle w:val="base-text-paragraph"/>
              <w:ind w:left="0"/>
              <w:jc w:val="center"/>
              <w:rPr>
                <w:szCs w:val="24"/>
              </w:rPr>
            </w:pPr>
            <w:r>
              <w:rPr>
                <w:szCs w:val="24"/>
              </w:rPr>
              <w:t>5(1) to 5(3)</w:t>
            </w:r>
          </w:p>
        </w:tc>
        <w:tc>
          <w:tcPr>
            <w:tcW w:w="1957" w:type="dxa"/>
          </w:tcPr>
          <w:p w14:paraId="0ADBAC76" w14:textId="797FAE89" w:rsidR="009559A1" w:rsidRDefault="009559A1" w:rsidP="00C400AD">
            <w:pPr>
              <w:pStyle w:val="base-text-paragraph"/>
              <w:ind w:left="0"/>
              <w:jc w:val="center"/>
              <w:rPr>
                <w:szCs w:val="24"/>
              </w:rPr>
            </w:pPr>
            <w:r>
              <w:rPr>
                <w:szCs w:val="24"/>
              </w:rPr>
              <w:t>6</w:t>
            </w:r>
          </w:p>
        </w:tc>
      </w:tr>
      <w:tr w:rsidR="009559A1" w:rsidRPr="00005E51" w14:paraId="65120301" w14:textId="77777777" w:rsidTr="00C400AD">
        <w:trPr>
          <w:jc w:val="center"/>
        </w:trPr>
        <w:tc>
          <w:tcPr>
            <w:tcW w:w="1877" w:type="dxa"/>
          </w:tcPr>
          <w:p w14:paraId="5604D75A" w14:textId="7A5E4348" w:rsidR="009559A1" w:rsidRDefault="009559A1" w:rsidP="00C400AD">
            <w:pPr>
              <w:pStyle w:val="base-text-paragraph"/>
              <w:ind w:left="0"/>
              <w:jc w:val="center"/>
              <w:rPr>
                <w:szCs w:val="24"/>
              </w:rPr>
            </w:pPr>
            <w:r>
              <w:rPr>
                <w:szCs w:val="24"/>
              </w:rPr>
              <w:t>5(4)</w:t>
            </w:r>
          </w:p>
        </w:tc>
        <w:tc>
          <w:tcPr>
            <w:tcW w:w="1957" w:type="dxa"/>
          </w:tcPr>
          <w:p w14:paraId="12C68611" w14:textId="6C054933" w:rsidR="009559A1" w:rsidRDefault="009559A1" w:rsidP="00C400AD">
            <w:pPr>
              <w:pStyle w:val="base-text-paragraph"/>
              <w:ind w:left="0"/>
              <w:jc w:val="center"/>
              <w:rPr>
                <w:szCs w:val="24"/>
              </w:rPr>
            </w:pPr>
            <w:r>
              <w:rPr>
                <w:szCs w:val="24"/>
              </w:rPr>
              <w:t>11</w:t>
            </w:r>
          </w:p>
        </w:tc>
      </w:tr>
      <w:tr w:rsidR="009559A1" w:rsidRPr="00005E51" w14:paraId="3FEC01C0" w14:textId="77777777" w:rsidTr="00464FC5">
        <w:trPr>
          <w:jc w:val="center"/>
        </w:trPr>
        <w:tc>
          <w:tcPr>
            <w:tcW w:w="1877" w:type="dxa"/>
          </w:tcPr>
          <w:p w14:paraId="68E9CA36" w14:textId="77777777" w:rsidR="009559A1" w:rsidRDefault="009559A1" w:rsidP="00464FC5">
            <w:pPr>
              <w:pStyle w:val="base-text-paragraph"/>
              <w:ind w:left="0"/>
              <w:jc w:val="center"/>
              <w:rPr>
                <w:szCs w:val="24"/>
              </w:rPr>
            </w:pPr>
            <w:r>
              <w:rPr>
                <w:szCs w:val="24"/>
              </w:rPr>
              <w:t>5(5A)</w:t>
            </w:r>
          </w:p>
        </w:tc>
        <w:tc>
          <w:tcPr>
            <w:tcW w:w="1957" w:type="dxa"/>
          </w:tcPr>
          <w:p w14:paraId="6BFF65A9" w14:textId="77777777" w:rsidR="009559A1" w:rsidRDefault="009559A1" w:rsidP="00464FC5">
            <w:pPr>
              <w:pStyle w:val="base-text-paragraph"/>
              <w:ind w:left="0"/>
              <w:jc w:val="center"/>
              <w:rPr>
                <w:szCs w:val="24"/>
              </w:rPr>
            </w:pPr>
            <w:r>
              <w:rPr>
                <w:szCs w:val="24"/>
              </w:rPr>
              <w:t>9</w:t>
            </w:r>
          </w:p>
        </w:tc>
      </w:tr>
      <w:tr w:rsidR="009559A1" w:rsidRPr="00005E51" w14:paraId="6E1F9909" w14:textId="77777777" w:rsidTr="00C400AD">
        <w:trPr>
          <w:jc w:val="center"/>
        </w:trPr>
        <w:tc>
          <w:tcPr>
            <w:tcW w:w="1877" w:type="dxa"/>
          </w:tcPr>
          <w:p w14:paraId="023C4F97" w14:textId="603C6A3F" w:rsidR="009559A1" w:rsidRDefault="00795587" w:rsidP="009559A1">
            <w:pPr>
              <w:pStyle w:val="base-text-paragraph"/>
              <w:ind w:left="0"/>
              <w:jc w:val="center"/>
              <w:rPr>
                <w:szCs w:val="24"/>
              </w:rPr>
            </w:pPr>
            <w:r>
              <w:rPr>
                <w:szCs w:val="24"/>
              </w:rPr>
              <w:t xml:space="preserve">5(5) and </w:t>
            </w:r>
            <w:r w:rsidR="009559A1">
              <w:rPr>
                <w:szCs w:val="24"/>
              </w:rPr>
              <w:t>6</w:t>
            </w:r>
          </w:p>
        </w:tc>
        <w:tc>
          <w:tcPr>
            <w:tcW w:w="1957" w:type="dxa"/>
          </w:tcPr>
          <w:p w14:paraId="5EC607A1" w14:textId="0D844033" w:rsidR="009559A1" w:rsidRDefault="009559A1" w:rsidP="00C400AD">
            <w:pPr>
              <w:pStyle w:val="base-text-paragraph"/>
              <w:ind w:left="0"/>
              <w:jc w:val="center"/>
              <w:rPr>
                <w:szCs w:val="24"/>
              </w:rPr>
            </w:pPr>
            <w:r>
              <w:rPr>
                <w:szCs w:val="24"/>
              </w:rPr>
              <w:t>7</w:t>
            </w:r>
          </w:p>
        </w:tc>
      </w:tr>
      <w:tr w:rsidR="009559A1" w:rsidRPr="00005E51" w14:paraId="1307D801" w14:textId="77777777" w:rsidTr="00C400AD">
        <w:trPr>
          <w:jc w:val="center"/>
        </w:trPr>
        <w:tc>
          <w:tcPr>
            <w:tcW w:w="1877" w:type="dxa"/>
          </w:tcPr>
          <w:p w14:paraId="4D3ECE2D" w14:textId="22E6DBA0" w:rsidR="009559A1" w:rsidRDefault="009559A1" w:rsidP="00C400AD">
            <w:pPr>
              <w:pStyle w:val="base-text-paragraph"/>
              <w:ind w:left="0"/>
              <w:jc w:val="center"/>
              <w:rPr>
                <w:szCs w:val="24"/>
              </w:rPr>
            </w:pPr>
            <w:r>
              <w:rPr>
                <w:szCs w:val="24"/>
              </w:rPr>
              <w:t>7</w:t>
            </w:r>
          </w:p>
        </w:tc>
        <w:tc>
          <w:tcPr>
            <w:tcW w:w="1957" w:type="dxa"/>
          </w:tcPr>
          <w:p w14:paraId="7D78815D" w14:textId="30AE1EF8" w:rsidR="009559A1" w:rsidRDefault="009559A1" w:rsidP="00C400AD">
            <w:pPr>
              <w:pStyle w:val="base-text-paragraph"/>
              <w:ind w:left="0"/>
              <w:jc w:val="center"/>
              <w:rPr>
                <w:szCs w:val="24"/>
              </w:rPr>
            </w:pPr>
            <w:r>
              <w:rPr>
                <w:szCs w:val="24"/>
              </w:rPr>
              <w:t>8</w:t>
            </w:r>
          </w:p>
        </w:tc>
      </w:tr>
      <w:tr w:rsidR="009559A1" w:rsidRPr="00005E51" w14:paraId="267F0AAA" w14:textId="77777777" w:rsidTr="00C400AD">
        <w:trPr>
          <w:jc w:val="center"/>
        </w:trPr>
        <w:tc>
          <w:tcPr>
            <w:tcW w:w="1877" w:type="dxa"/>
          </w:tcPr>
          <w:p w14:paraId="71A81F7D" w14:textId="74D02939" w:rsidR="009559A1" w:rsidRDefault="009559A1" w:rsidP="00C400AD">
            <w:pPr>
              <w:pStyle w:val="base-text-paragraph"/>
              <w:ind w:left="0"/>
              <w:jc w:val="center"/>
              <w:rPr>
                <w:szCs w:val="24"/>
              </w:rPr>
            </w:pPr>
            <w:r>
              <w:rPr>
                <w:szCs w:val="24"/>
              </w:rPr>
              <w:t>8</w:t>
            </w:r>
          </w:p>
        </w:tc>
        <w:tc>
          <w:tcPr>
            <w:tcW w:w="1957" w:type="dxa"/>
          </w:tcPr>
          <w:p w14:paraId="59CCF27A" w14:textId="2090F9E9" w:rsidR="009559A1" w:rsidRDefault="009559A1" w:rsidP="00C400AD">
            <w:pPr>
              <w:pStyle w:val="base-text-paragraph"/>
              <w:ind w:left="0"/>
              <w:jc w:val="center"/>
              <w:rPr>
                <w:szCs w:val="24"/>
              </w:rPr>
            </w:pPr>
            <w:r>
              <w:rPr>
                <w:szCs w:val="24"/>
              </w:rPr>
              <w:t>10</w:t>
            </w:r>
          </w:p>
        </w:tc>
      </w:tr>
      <w:tr w:rsidR="009559A1" w:rsidRPr="00005E51" w14:paraId="07FD3C6D" w14:textId="77777777" w:rsidTr="00C400AD">
        <w:trPr>
          <w:jc w:val="center"/>
        </w:trPr>
        <w:tc>
          <w:tcPr>
            <w:tcW w:w="1877" w:type="dxa"/>
          </w:tcPr>
          <w:p w14:paraId="72C8D526" w14:textId="21D618F3" w:rsidR="009559A1" w:rsidRPr="00D17869" w:rsidRDefault="009559A1" w:rsidP="00C400AD">
            <w:pPr>
              <w:pStyle w:val="base-text-paragraph"/>
              <w:ind w:left="0"/>
              <w:jc w:val="center"/>
              <w:rPr>
                <w:szCs w:val="24"/>
              </w:rPr>
            </w:pPr>
            <w:r w:rsidRPr="00B0125E">
              <w:rPr>
                <w:szCs w:val="24"/>
              </w:rPr>
              <w:t>9</w:t>
            </w:r>
          </w:p>
        </w:tc>
        <w:tc>
          <w:tcPr>
            <w:tcW w:w="1957" w:type="dxa"/>
          </w:tcPr>
          <w:p w14:paraId="1DA61841" w14:textId="3161929E" w:rsidR="009559A1" w:rsidRPr="00D17869" w:rsidRDefault="009559A1" w:rsidP="00C400AD">
            <w:pPr>
              <w:pStyle w:val="base-text-paragraph"/>
              <w:ind w:left="0"/>
              <w:jc w:val="center"/>
              <w:rPr>
                <w:szCs w:val="24"/>
              </w:rPr>
            </w:pPr>
            <w:r w:rsidRPr="00D17869">
              <w:rPr>
                <w:szCs w:val="24"/>
              </w:rPr>
              <w:t>11</w:t>
            </w:r>
          </w:p>
        </w:tc>
      </w:tr>
      <w:tr w:rsidR="009559A1" w:rsidRPr="00005E51" w14:paraId="3F9EC3A3" w14:textId="77777777" w:rsidTr="00C400AD">
        <w:trPr>
          <w:jc w:val="center"/>
        </w:trPr>
        <w:tc>
          <w:tcPr>
            <w:tcW w:w="1877" w:type="dxa"/>
          </w:tcPr>
          <w:p w14:paraId="47B29DFA" w14:textId="0F9BC17E" w:rsidR="009559A1" w:rsidRDefault="009559A1" w:rsidP="00C400AD">
            <w:pPr>
              <w:pStyle w:val="base-text-paragraph"/>
              <w:ind w:left="0"/>
              <w:jc w:val="center"/>
              <w:rPr>
                <w:szCs w:val="24"/>
              </w:rPr>
            </w:pPr>
            <w:r>
              <w:rPr>
                <w:szCs w:val="24"/>
              </w:rPr>
              <w:t>12</w:t>
            </w:r>
          </w:p>
        </w:tc>
        <w:tc>
          <w:tcPr>
            <w:tcW w:w="1957" w:type="dxa"/>
          </w:tcPr>
          <w:p w14:paraId="2A63541E" w14:textId="54490042" w:rsidR="009559A1" w:rsidRDefault="009559A1" w:rsidP="00C400AD">
            <w:pPr>
              <w:pStyle w:val="base-text-paragraph"/>
              <w:ind w:left="0"/>
              <w:jc w:val="center"/>
              <w:rPr>
                <w:szCs w:val="24"/>
              </w:rPr>
            </w:pPr>
            <w:r>
              <w:rPr>
                <w:szCs w:val="24"/>
              </w:rPr>
              <w:t>13</w:t>
            </w:r>
          </w:p>
        </w:tc>
      </w:tr>
      <w:tr w:rsidR="009559A1" w:rsidRPr="00005E51" w14:paraId="0216328B" w14:textId="77777777" w:rsidTr="00C400AD">
        <w:trPr>
          <w:jc w:val="center"/>
        </w:trPr>
        <w:tc>
          <w:tcPr>
            <w:tcW w:w="1877" w:type="dxa"/>
          </w:tcPr>
          <w:p w14:paraId="352D8E52" w14:textId="5CA8D6E5" w:rsidR="009559A1" w:rsidRDefault="009559A1" w:rsidP="00C400AD">
            <w:pPr>
              <w:pStyle w:val="base-text-paragraph"/>
              <w:ind w:left="0"/>
              <w:jc w:val="center"/>
              <w:rPr>
                <w:szCs w:val="24"/>
              </w:rPr>
            </w:pPr>
            <w:r>
              <w:rPr>
                <w:szCs w:val="24"/>
              </w:rPr>
              <w:t>13A</w:t>
            </w:r>
          </w:p>
        </w:tc>
        <w:tc>
          <w:tcPr>
            <w:tcW w:w="1957" w:type="dxa"/>
          </w:tcPr>
          <w:p w14:paraId="2FB9B309" w14:textId="74B19B89" w:rsidR="009559A1" w:rsidRDefault="009559A1" w:rsidP="00C400AD">
            <w:pPr>
              <w:pStyle w:val="base-text-paragraph"/>
              <w:ind w:left="0"/>
              <w:jc w:val="center"/>
              <w:rPr>
                <w:szCs w:val="24"/>
              </w:rPr>
            </w:pPr>
            <w:r>
              <w:rPr>
                <w:szCs w:val="24"/>
              </w:rPr>
              <w:t>14</w:t>
            </w:r>
          </w:p>
        </w:tc>
      </w:tr>
      <w:tr w:rsidR="009559A1" w:rsidRPr="00005E51" w14:paraId="4164A2C0" w14:textId="77777777" w:rsidTr="00C400AD">
        <w:trPr>
          <w:jc w:val="center"/>
        </w:trPr>
        <w:tc>
          <w:tcPr>
            <w:tcW w:w="1877" w:type="dxa"/>
          </w:tcPr>
          <w:p w14:paraId="67BCE7CF" w14:textId="22E98C21" w:rsidR="009559A1" w:rsidRPr="00135BF0" w:rsidRDefault="009559A1" w:rsidP="00C400AD">
            <w:pPr>
              <w:pStyle w:val="base-text-paragraph"/>
              <w:ind w:left="0"/>
              <w:jc w:val="center"/>
              <w:rPr>
                <w:szCs w:val="24"/>
              </w:rPr>
            </w:pPr>
            <w:r w:rsidRPr="0066446C">
              <w:rPr>
                <w:szCs w:val="24"/>
              </w:rPr>
              <w:t>14</w:t>
            </w:r>
          </w:p>
        </w:tc>
        <w:tc>
          <w:tcPr>
            <w:tcW w:w="1957" w:type="dxa"/>
          </w:tcPr>
          <w:p w14:paraId="5515D3A1" w14:textId="2F27BF7B" w:rsidR="009559A1" w:rsidRDefault="009559A1" w:rsidP="00C400AD">
            <w:pPr>
              <w:pStyle w:val="base-text-paragraph"/>
              <w:ind w:left="0"/>
              <w:jc w:val="center"/>
              <w:rPr>
                <w:szCs w:val="24"/>
              </w:rPr>
            </w:pPr>
            <w:r>
              <w:rPr>
                <w:szCs w:val="24"/>
              </w:rPr>
              <w:t>15</w:t>
            </w:r>
          </w:p>
        </w:tc>
      </w:tr>
      <w:tr w:rsidR="009559A1" w:rsidRPr="00005E51" w14:paraId="75242AD5" w14:textId="77777777" w:rsidTr="00C400AD">
        <w:trPr>
          <w:jc w:val="center"/>
        </w:trPr>
        <w:tc>
          <w:tcPr>
            <w:tcW w:w="1877" w:type="dxa"/>
          </w:tcPr>
          <w:p w14:paraId="28ADF6FF" w14:textId="62569890" w:rsidR="009559A1" w:rsidRDefault="009559A1" w:rsidP="00C400AD">
            <w:pPr>
              <w:pStyle w:val="base-text-paragraph"/>
              <w:ind w:left="0"/>
              <w:jc w:val="center"/>
              <w:rPr>
                <w:szCs w:val="24"/>
              </w:rPr>
            </w:pPr>
            <w:r>
              <w:rPr>
                <w:i/>
                <w:szCs w:val="24"/>
              </w:rPr>
              <w:t>No equivalent</w:t>
            </w:r>
          </w:p>
        </w:tc>
        <w:tc>
          <w:tcPr>
            <w:tcW w:w="1957" w:type="dxa"/>
          </w:tcPr>
          <w:p w14:paraId="34E94C62" w14:textId="650DED54" w:rsidR="009559A1" w:rsidRDefault="009559A1" w:rsidP="00C400AD">
            <w:pPr>
              <w:pStyle w:val="base-text-paragraph"/>
              <w:ind w:left="0"/>
              <w:jc w:val="center"/>
              <w:rPr>
                <w:szCs w:val="24"/>
              </w:rPr>
            </w:pPr>
            <w:r>
              <w:rPr>
                <w:szCs w:val="24"/>
              </w:rPr>
              <w:t>16</w:t>
            </w:r>
          </w:p>
        </w:tc>
      </w:tr>
      <w:tr w:rsidR="009559A1" w:rsidRPr="00005E51" w14:paraId="79A42B07" w14:textId="77777777" w:rsidTr="00C400AD">
        <w:trPr>
          <w:jc w:val="center"/>
        </w:trPr>
        <w:tc>
          <w:tcPr>
            <w:tcW w:w="1877" w:type="dxa"/>
          </w:tcPr>
          <w:p w14:paraId="5BE26BF5" w14:textId="6E7FBA99" w:rsidR="009559A1" w:rsidRDefault="009559A1" w:rsidP="00C400AD">
            <w:pPr>
              <w:pStyle w:val="base-text-paragraph"/>
              <w:ind w:left="0"/>
              <w:jc w:val="center"/>
              <w:rPr>
                <w:szCs w:val="24"/>
              </w:rPr>
            </w:pPr>
            <w:r w:rsidRPr="00C400AD">
              <w:rPr>
                <w:i/>
                <w:szCs w:val="24"/>
              </w:rPr>
              <w:t>No equivalent</w:t>
            </w:r>
          </w:p>
        </w:tc>
        <w:tc>
          <w:tcPr>
            <w:tcW w:w="1957" w:type="dxa"/>
          </w:tcPr>
          <w:p w14:paraId="18546B46" w14:textId="2BD39173" w:rsidR="009559A1" w:rsidRDefault="009559A1" w:rsidP="00C400AD">
            <w:pPr>
              <w:pStyle w:val="base-text-paragraph"/>
              <w:ind w:left="0"/>
              <w:jc w:val="center"/>
              <w:rPr>
                <w:szCs w:val="24"/>
              </w:rPr>
            </w:pPr>
            <w:r w:rsidRPr="00F2778B">
              <w:rPr>
                <w:szCs w:val="24"/>
              </w:rPr>
              <w:t>Schedule 1</w:t>
            </w:r>
          </w:p>
        </w:tc>
      </w:tr>
      <w:tr w:rsidR="009559A1" w:rsidRPr="00005E51" w14:paraId="1B101C72" w14:textId="77777777" w:rsidTr="00464FC5">
        <w:trPr>
          <w:jc w:val="center"/>
        </w:trPr>
        <w:tc>
          <w:tcPr>
            <w:tcW w:w="1877" w:type="dxa"/>
          </w:tcPr>
          <w:p w14:paraId="378F6AD0" w14:textId="77777777" w:rsidR="009559A1" w:rsidRPr="00005E51" w:rsidRDefault="009559A1" w:rsidP="00464FC5">
            <w:pPr>
              <w:pStyle w:val="base-text-paragraph"/>
              <w:ind w:left="0"/>
              <w:jc w:val="center"/>
              <w:rPr>
                <w:szCs w:val="24"/>
              </w:rPr>
            </w:pPr>
            <w:r w:rsidRPr="00C400AD">
              <w:rPr>
                <w:i/>
                <w:szCs w:val="24"/>
              </w:rPr>
              <w:t>No equivalent</w:t>
            </w:r>
          </w:p>
        </w:tc>
        <w:tc>
          <w:tcPr>
            <w:tcW w:w="1957" w:type="dxa"/>
          </w:tcPr>
          <w:p w14:paraId="14019079" w14:textId="77777777" w:rsidR="009559A1" w:rsidRPr="00005E51" w:rsidRDefault="009559A1" w:rsidP="00464FC5">
            <w:pPr>
              <w:pStyle w:val="base-text-paragraph"/>
              <w:ind w:left="0"/>
              <w:jc w:val="center"/>
              <w:rPr>
                <w:szCs w:val="24"/>
              </w:rPr>
            </w:pPr>
            <w:r>
              <w:rPr>
                <w:szCs w:val="24"/>
              </w:rPr>
              <w:t>3</w:t>
            </w:r>
          </w:p>
        </w:tc>
      </w:tr>
      <w:tr w:rsidR="009559A1" w:rsidRPr="00005E51" w14:paraId="7D74166F" w14:textId="77777777" w:rsidTr="00464FC5">
        <w:trPr>
          <w:jc w:val="center"/>
        </w:trPr>
        <w:tc>
          <w:tcPr>
            <w:tcW w:w="1877" w:type="dxa"/>
          </w:tcPr>
          <w:p w14:paraId="541FF484" w14:textId="77777777" w:rsidR="009559A1" w:rsidRPr="00005E51" w:rsidRDefault="009559A1" w:rsidP="00464FC5">
            <w:pPr>
              <w:pStyle w:val="base-text-paragraph"/>
              <w:ind w:left="0"/>
              <w:jc w:val="center"/>
              <w:rPr>
                <w:szCs w:val="24"/>
              </w:rPr>
            </w:pPr>
            <w:r w:rsidRPr="00C400AD">
              <w:rPr>
                <w:i/>
                <w:szCs w:val="24"/>
              </w:rPr>
              <w:t>No equivalent</w:t>
            </w:r>
          </w:p>
        </w:tc>
        <w:tc>
          <w:tcPr>
            <w:tcW w:w="1957" w:type="dxa"/>
          </w:tcPr>
          <w:p w14:paraId="68F44125" w14:textId="77777777" w:rsidR="009559A1" w:rsidRDefault="009559A1" w:rsidP="00464FC5">
            <w:pPr>
              <w:pStyle w:val="base-text-paragraph"/>
              <w:ind w:left="0"/>
              <w:jc w:val="center"/>
              <w:rPr>
                <w:szCs w:val="24"/>
              </w:rPr>
            </w:pPr>
            <w:r>
              <w:rPr>
                <w:szCs w:val="24"/>
              </w:rPr>
              <w:t>4</w:t>
            </w:r>
          </w:p>
        </w:tc>
      </w:tr>
    </w:tbl>
    <w:p w14:paraId="49E1C4DB" w14:textId="59B65C61" w:rsidR="00F32013" w:rsidRDefault="00F32013" w:rsidP="009559A1">
      <w:pPr>
        <w:spacing w:before="240"/>
      </w:pPr>
    </w:p>
    <w:p w14:paraId="7C2CB205" w14:textId="721E5E83" w:rsidR="00242452" w:rsidRDefault="00F32013" w:rsidP="00F32013">
      <w:pPr>
        <w:pStyle w:val="Heading2"/>
        <w:jc w:val="right"/>
      </w:pPr>
      <w:r>
        <w:br w:type="page"/>
      </w:r>
      <w:r>
        <w:lastRenderedPageBreak/>
        <w:t>ATTACHMENT C</w:t>
      </w:r>
    </w:p>
    <w:p w14:paraId="0077607A" w14:textId="77777777" w:rsidR="00F32013" w:rsidRPr="001B2A8B" w:rsidRDefault="00F32013" w:rsidP="00F32013">
      <w:pPr>
        <w:pStyle w:val="Heading3"/>
      </w:pPr>
      <w:r w:rsidRPr="001B2A8B">
        <w:t>Statement of Compatibility with Human Rights</w:t>
      </w:r>
    </w:p>
    <w:p w14:paraId="7EBCE289" w14:textId="77777777" w:rsidR="00F32013" w:rsidRPr="001B2A8B" w:rsidRDefault="00F32013" w:rsidP="00F32013">
      <w:pPr>
        <w:spacing w:before="240"/>
        <w:jc w:val="center"/>
        <w:rPr>
          <w:i/>
        </w:rPr>
      </w:pPr>
      <w:r w:rsidRPr="001B2A8B">
        <w:rPr>
          <w:i/>
        </w:rPr>
        <w:t>Prepared in accordance with Part 3 of the Human Rights (Parliamentary Scrutiny) Act 2011</w:t>
      </w:r>
    </w:p>
    <w:p w14:paraId="2F4BA725" w14:textId="7C0C3067" w:rsidR="00F32013" w:rsidRPr="0066446C" w:rsidRDefault="007121EC" w:rsidP="00F32013">
      <w:pPr>
        <w:pStyle w:val="Heading3"/>
        <w:jc w:val="center"/>
        <w:rPr>
          <w:b w:val="0"/>
          <w:i/>
        </w:rPr>
      </w:pPr>
      <w:r w:rsidRPr="0066446C">
        <w:rPr>
          <w:b w:val="0"/>
          <w:i/>
        </w:rPr>
        <w:t>Fringe Benefits Tax Assessment Regulations 2018</w:t>
      </w:r>
    </w:p>
    <w:p w14:paraId="045801C0" w14:textId="77777777" w:rsidR="00F32013" w:rsidRPr="001B2A8B" w:rsidRDefault="00F32013" w:rsidP="00F32013">
      <w:pPr>
        <w:spacing w:before="240"/>
      </w:pPr>
      <w:r w:rsidRPr="001B2A8B">
        <w:t xml:space="preserve">This Legislative Instrument is compatible with the human rights and freedoms recognised or declared in the international instruments listed in section 3 of the </w:t>
      </w:r>
      <w:r w:rsidRPr="001B2A8B">
        <w:rPr>
          <w:i/>
        </w:rPr>
        <w:t>Human Rights (Parliamentary Scrutiny) Act 2011</w:t>
      </w:r>
      <w:r w:rsidRPr="001B2A8B">
        <w:t>.</w:t>
      </w:r>
    </w:p>
    <w:p w14:paraId="3F47C4EB" w14:textId="77777777" w:rsidR="00F32013" w:rsidRPr="001B2A8B" w:rsidRDefault="00F32013" w:rsidP="00F32013">
      <w:pPr>
        <w:pStyle w:val="Heading3"/>
      </w:pPr>
      <w:r w:rsidRPr="001B2A8B">
        <w:t>Overview of the Legislative Instrument</w:t>
      </w:r>
    </w:p>
    <w:p w14:paraId="0A950782" w14:textId="72B404BD" w:rsidR="00D22092" w:rsidRDefault="00D22092" w:rsidP="00D22092">
      <w:pPr>
        <w:spacing w:before="240"/>
      </w:pPr>
      <w:r w:rsidRPr="00A26EC1">
        <w:t xml:space="preserve">The </w:t>
      </w:r>
      <w:r w:rsidR="006E3D6E" w:rsidRPr="006E3D6E">
        <w:rPr>
          <w:i/>
        </w:rPr>
        <w:t xml:space="preserve">Fringe Benefits Tax Assessment Regulations </w:t>
      </w:r>
      <w:r w:rsidR="006E3D6E" w:rsidRPr="004526AD">
        <w:rPr>
          <w:i/>
        </w:rPr>
        <w:t>2018</w:t>
      </w:r>
      <w:r>
        <w:t xml:space="preserve"> remake and improve the </w:t>
      </w:r>
      <w:r w:rsidRPr="00D22D53">
        <w:rPr>
          <w:i/>
        </w:rPr>
        <w:t>Fringe Benefits Tax Regulations 1992</w:t>
      </w:r>
      <w:r>
        <w:t xml:space="preserve"> </w:t>
      </w:r>
      <w:r w:rsidRPr="00A26EC1">
        <w:t>by repealing redundant p</w:t>
      </w:r>
      <w:r>
        <w:t xml:space="preserve">rovisions, simplifying language, and </w:t>
      </w:r>
      <w:r w:rsidRPr="00A26EC1">
        <w:t>restructuring pro</w:t>
      </w:r>
      <w:r>
        <w:t>visions for ease of navigation.</w:t>
      </w:r>
    </w:p>
    <w:p w14:paraId="321A1800" w14:textId="77777777" w:rsidR="00D22092" w:rsidRPr="001B2A8B" w:rsidRDefault="00D22092" w:rsidP="00D22092">
      <w:pPr>
        <w:spacing w:before="240"/>
      </w:pPr>
      <w:r w:rsidRPr="001B2A8B">
        <w:t xml:space="preserve">The key changes </w:t>
      </w:r>
      <w:r>
        <w:t xml:space="preserve">to the instrument </w:t>
      </w:r>
      <w:r w:rsidRPr="001B2A8B">
        <w:t>are:</w:t>
      </w:r>
    </w:p>
    <w:p w14:paraId="2E177BED" w14:textId="77777777" w:rsidR="00D22092" w:rsidRDefault="00D22092" w:rsidP="00D22092">
      <w:pPr>
        <w:pStyle w:val="Bullet"/>
      </w:pPr>
      <w:r>
        <w:t>adopting modern drafting practices such as referring to ‘sections’ rather than ‘regulations’;</w:t>
      </w:r>
    </w:p>
    <w:p w14:paraId="55F9EC9B" w14:textId="045575F0" w:rsidR="00D22092" w:rsidRPr="006F5E00" w:rsidRDefault="00D22092" w:rsidP="00D22092">
      <w:pPr>
        <w:pStyle w:val="Bullet"/>
      </w:pPr>
      <w:r>
        <w:t xml:space="preserve">changing the </w:t>
      </w:r>
      <w:r w:rsidRPr="003C7B8E">
        <w:t xml:space="preserve">structure from </w:t>
      </w:r>
      <w:r w:rsidRPr="00AA5B4F">
        <w:t>th</w:t>
      </w:r>
      <w:r>
        <w:t>at</w:t>
      </w:r>
      <w:r w:rsidRPr="006F5E00">
        <w:t xml:space="preserve"> used in the </w:t>
      </w:r>
      <w:r>
        <w:rPr>
          <w:i/>
        </w:rPr>
        <w:t xml:space="preserve">Fringe Benefits Tax Regulations </w:t>
      </w:r>
      <w:r w:rsidRPr="006128DA">
        <w:rPr>
          <w:i/>
        </w:rPr>
        <w:t>1992</w:t>
      </w:r>
      <w:r w:rsidRPr="00A26EC1">
        <w:t xml:space="preserve"> </w:t>
      </w:r>
      <w:r w:rsidRPr="00AA5B4F">
        <w:t>to</w:t>
      </w:r>
      <w:r>
        <w:t xml:space="preserve"> follow the </w:t>
      </w:r>
      <w:r w:rsidR="006E3D6E" w:rsidRPr="006E3D6E">
        <w:rPr>
          <w:i/>
        </w:rPr>
        <w:t xml:space="preserve">Fringe Benefits Tax Assessment Act </w:t>
      </w:r>
      <w:r w:rsidR="006E3D6E" w:rsidRPr="004526AD">
        <w:rPr>
          <w:i/>
        </w:rPr>
        <w:t>1986</w:t>
      </w:r>
      <w:r>
        <w:t xml:space="preserve"> more closely;</w:t>
      </w:r>
    </w:p>
    <w:p w14:paraId="6FF6CCA9" w14:textId="65118D8A" w:rsidR="00D22092" w:rsidRDefault="00D22092" w:rsidP="00D22092">
      <w:pPr>
        <w:pStyle w:val="Bullet"/>
      </w:pPr>
      <w:r>
        <w:t>renaming section</w:t>
      </w:r>
      <w:r w:rsidR="007121EC">
        <w:t xml:space="preserve"> heading</w:t>
      </w:r>
      <w:r>
        <w:t>s;</w:t>
      </w:r>
    </w:p>
    <w:p w14:paraId="6A166987" w14:textId="5D9A1F99" w:rsidR="00D22092" w:rsidRPr="003C7B8E" w:rsidRDefault="00D22092" w:rsidP="00D22092">
      <w:pPr>
        <w:pStyle w:val="Bullet"/>
      </w:pPr>
      <w:r>
        <w:t>removing an</w:t>
      </w:r>
      <w:r w:rsidR="007121EC">
        <w:t>d</w:t>
      </w:r>
      <w:r>
        <w:t xml:space="preserve"> replacing tables with subsections; and</w:t>
      </w:r>
    </w:p>
    <w:p w14:paraId="78DB3CBA" w14:textId="77777777" w:rsidR="00D22092" w:rsidRPr="003C7B8E" w:rsidRDefault="00D22092" w:rsidP="00D22092">
      <w:pPr>
        <w:pStyle w:val="Bullet"/>
      </w:pPr>
      <w:r>
        <w:t xml:space="preserve">moving expressions used throughout the </w:t>
      </w:r>
      <w:r>
        <w:rPr>
          <w:i/>
        </w:rPr>
        <w:t xml:space="preserve">Fringe Benefits Tax Regulations </w:t>
      </w:r>
      <w:r w:rsidRPr="006128DA">
        <w:rPr>
          <w:i/>
        </w:rPr>
        <w:t>1992</w:t>
      </w:r>
      <w:r w:rsidRPr="006F5E00">
        <w:t xml:space="preserve"> </w:t>
      </w:r>
      <w:r>
        <w:t>to section 5 of the Regulations.</w:t>
      </w:r>
    </w:p>
    <w:p w14:paraId="042105AC" w14:textId="0DB59FDD" w:rsidR="00F32013" w:rsidRPr="001B2A8B" w:rsidRDefault="00D22092" w:rsidP="00D22092">
      <w:pPr>
        <w:pStyle w:val="Heading3"/>
      </w:pPr>
      <w:r w:rsidRPr="001B2A8B">
        <w:t xml:space="preserve"> </w:t>
      </w:r>
      <w:r w:rsidR="00F32013" w:rsidRPr="001B2A8B">
        <w:t>Human rights implications</w:t>
      </w:r>
    </w:p>
    <w:p w14:paraId="01E35BE6" w14:textId="77777777" w:rsidR="00F32013" w:rsidRPr="001B2A8B" w:rsidRDefault="00F32013" w:rsidP="00F32013">
      <w:pPr>
        <w:spacing w:before="240"/>
      </w:pPr>
      <w:r w:rsidRPr="001B2A8B">
        <w:t>This Legislative Instrument does not engage any of the applicable rights or freedoms.</w:t>
      </w:r>
    </w:p>
    <w:p w14:paraId="0A4933D1" w14:textId="77777777" w:rsidR="00F32013" w:rsidRPr="001B2A8B" w:rsidRDefault="00F32013" w:rsidP="00F32013">
      <w:pPr>
        <w:pStyle w:val="Heading3"/>
      </w:pPr>
      <w:r w:rsidRPr="001B2A8B">
        <w:t>Conclusion</w:t>
      </w:r>
    </w:p>
    <w:p w14:paraId="6E0E3AF7" w14:textId="7FA0EED6" w:rsidR="00F32013" w:rsidRDefault="00F32013" w:rsidP="00D22092">
      <w:pPr>
        <w:spacing w:before="240"/>
      </w:pPr>
      <w:r w:rsidRPr="001B2A8B">
        <w:t>This Legislative Instrument is compatible with human rights as it does not raise any human rights issues.</w:t>
      </w:r>
    </w:p>
    <w:sectPr w:rsidR="00F32013" w:rsidSect="00F2778B">
      <w:footerReference w:type="default" r:id="rId14"/>
      <w:pgSz w:w="11906" w:h="16838"/>
      <w:pgMar w:top="1276" w:right="1800" w:bottom="127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2239F" w14:textId="77777777" w:rsidR="00566A2B" w:rsidRDefault="00566A2B" w:rsidP="00954679">
      <w:pPr>
        <w:spacing w:before="0" w:after="0"/>
      </w:pPr>
      <w:r>
        <w:separator/>
      </w:r>
    </w:p>
  </w:endnote>
  <w:endnote w:type="continuationSeparator" w:id="0">
    <w:p w14:paraId="595023C7" w14:textId="77777777" w:rsidR="00566A2B" w:rsidRDefault="00566A2B" w:rsidP="00954679">
      <w:pPr>
        <w:spacing w:before="0" w:after="0"/>
      </w:pPr>
      <w:r>
        <w:continuationSeparator/>
      </w:r>
    </w:p>
  </w:endnote>
  <w:endnote w:type="continuationNotice" w:id="1">
    <w:p w14:paraId="35E86082" w14:textId="77777777" w:rsidR="00566A2B" w:rsidRDefault="00566A2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78647AC" w14:textId="77777777" w:rsidR="00566A2B" w:rsidRDefault="00566A2B"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FE4C71">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FE4C71">
              <w:rPr>
                <w:bCs/>
                <w:noProof/>
              </w:rPr>
              <w:t>10</w:t>
            </w:r>
            <w:r w:rsidRPr="00954679">
              <w:rPr>
                <w:bCs/>
                <w:szCs w:val="24"/>
              </w:rPr>
              <w:fldChar w:fldCharType="end"/>
            </w:r>
          </w:p>
        </w:sdtContent>
      </w:sdt>
    </w:sdtContent>
  </w:sdt>
  <w:p w14:paraId="05787D9C" w14:textId="77777777" w:rsidR="00566A2B" w:rsidRDefault="00566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DC11B" w14:textId="77777777" w:rsidR="00566A2B" w:rsidRDefault="00566A2B" w:rsidP="00954679">
      <w:pPr>
        <w:spacing w:before="0" w:after="0"/>
      </w:pPr>
      <w:r>
        <w:separator/>
      </w:r>
    </w:p>
  </w:footnote>
  <w:footnote w:type="continuationSeparator" w:id="0">
    <w:p w14:paraId="2E710350" w14:textId="77777777" w:rsidR="00566A2B" w:rsidRDefault="00566A2B" w:rsidP="00954679">
      <w:pPr>
        <w:spacing w:before="0" w:after="0"/>
      </w:pPr>
      <w:r>
        <w:continuationSeparator/>
      </w:r>
    </w:p>
  </w:footnote>
  <w:footnote w:type="continuationNotice" w:id="1">
    <w:p w14:paraId="44BAD64C" w14:textId="77777777" w:rsidR="00566A2B" w:rsidRDefault="00566A2B">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66D676E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CE"/>
    <w:rsid w:val="0000571F"/>
    <w:rsid w:val="00016EA2"/>
    <w:rsid w:val="00054D22"/>
    <w:rsid w:val="00072618"/>
    <w:rsid w:val="000817FE"/>
    <w:rsid w:val="00090994"/>
    <w:rsid w:val="00094319"/>
    <w:rsid w:val="00095211"/>
    <w:rsid w:val="000A39A2"/>
    <w:rsid w:val="000C10DF"/>
    <w:rsid w:val="000D5B97"/>
    <w:rsid w:val="000D6940"/>
    <w:rsid w:val="000F058A"/>
    <w:rsid w:val="00102B82"/>
    <w:rsid w:val="00113B45"/>
    <w:rsid w:val="00121AB6"/>
    <w:rsid w:val="00135BF0"/>
    <w:rsid w:val="001A7263"/>
    <w:rsid w:val="001B2A8B"/>
    <w:rsid w:val="001B2B08"/>
    <w:rsid w:val="001B36D0"/>
    <w:rsid w:val="001C7358"/>
    <w:rsid w:val="001D6972"/>
    <w:rsid w:val="001E60A2"/>
    <w:rsid w:val="001E6A74"/>
    <w:rsid w:val="001F1BE5"/>
    <w:rsid w:val="001F41D0"/>
    <w:rsid w:val="00200817"/>
    <w:rsid w:val="00220F16"/>
    <w:rsid w:val="00242452"/>
    <w:rsid w:val="002440E6"/>
    <w:rsid w:val="0025372D"/>
    <w:rsid w:val="00254C5B"/>
    <w:rsid w:val="002647C4"/>
    <w:rsid w:val="00270022"/>
    <w:rsid w:val="002C18F7"/>
    <w:rsid w:val="002C4425"/>
    <w:rsid w:val="003342CD"/>
    <w:rsid w:val="00335042"/>
    <w:rsid w:val="00352C13"/>
    <w:rsid w:val="00357664"/>
    <w:rsid w:val="00362B70"/>
    <w:rsid w:val="00392BBA"/>
    <w:rsid w:val="003954FD"/>
    <w:rsid w:val="00396001"/>
    <w:rsid w:val="003B5F58"/>
    <w:rsid w:val="003C358A"/>
    <w:rsid w:val="003E1CE3"/>
    <w:rsid w:val="003E4B63"/>
    <w:rsid w:val="003E6439"/>
    <w:rsid w:val="003F6428"/>
    <w:rsid w:val="004165F5"/>
    <w:rsid w:val="00416D0C"/>
    <w:rsid w:val="004316D3"/>
    <w:rsid w:val="004506EC"/>
    <w:rsid w:val="004526AD"/>
    <w:rsid w:val="00462095"/>
    <w:rsid w:val="00464FC5"/>
    <w:rsid w:val="00485D2F"/>
    <w:rsid w:val="004B3C0F"/>
    <w:rsid w:val="004C05E4"/>
    <w:rsid w:val="004E39E1"/>
    <w:rsid w:val="004E3FD5"/>
    <w:rsid w:val="00502F51"/>
    <w:rsid w:val="00503E44"/>
    <w:rsid w:val="00514B6D"/>
    <w:rsid w:val="00515283"/>
    <w:rsid w:val="00533926"/>
    <w:rsid w:val="00553BAB"/>
    <w:rsid w:val="0055675D"/>
    <w:rsid w:val="00565A66"/>
    <w:rsid w:val="00566A2B"/>
    <w:rsid w:val="00566E8F"/>
    <w:rsid w:val="005833BE"/>
    <w:rsid w:val="005B114C"/>
    <w:rsid w:val="005B3FDC"/>
    <w:rsid w:val="005B61F9"/>
    <w:rsid w:val="005B7469"/>
    <w:rsid w:val="005D7D5A"/>
    <w:rsid w:val="005E4BAC"/>
    <w:rsid w:val="005F7F17"/>
    <w:rsid w:val="0060130D"/>
    <w:rsid w:val="006128DA"/>
    <w:rsid w:val="0064129F"/>
    <w:rsid w:val="0064791C"/>
    <w:rsid w:val="00647BB7"/>
    <w:rsid w:val="0066446C"/>
    <w:rsid w:val="00667134"/>
    <w:rsid w:val="00680297"/>
    <w:rsid w:val="006867C4"/>
    <w:rsid w:val="006A0786"/>
    <w:rsid w:val="006A097B"/>
    <w:rsid w:val="006A3F19"/>
    <w:rsid w:val="006C79C0"/>
    <w:rsid w:val="006E3D6E"/>
    <w:rsid w:val="006F212D"/>
    <w:rsid w:val="007038BC"/>
    <w:rsid w:val="007121EC"/>
    <w:rsid w:val="0072138D"/>
    <w:rsid w:val="0073547A"/>
    <w:rsid w:val="00736F61"/>
    <w:rsid w:val="007375B6"/>
    <w:rsid w:val="007535AB"/>
    <w:rsid w:val="007662C7"/>
    <w:rsid w:val="0077084E"/>
    <w:rsid w:val="007708BC"/>
    <w:rsid w:val="00776306"/>
    <w:rsid w:val="00780F6A"/>
    <w:rsid w:val="00795587"/>
    <w:rsid w:val="007B1F10"/>
    <w:rsid w:val="007C3D34"/>
    <w:rsid w:val="007E018D"/>
    <w:rsid w:val="007E0FB7"/>
    <w:rsid w:val="007E757E"/>
    <w:rsid w:val="007F0107"/>
    <w:rsid w:val="007F1B71"/>
    <w:rsid w:val="00807E7D"/>
    <w:rsid w:val="0082576C"/>
    <w:rsid w:val="00831675"/>
    <w:rsid w:val="00872745"/>
    <w:rsid w:val="0088467C"/>
    <w:rsid w:val="00894579"/>
    <w:rsid w:val="008A4742"/>
    <w:rsid w:val="008A5B67"/>
    <w:rsid w:val="008B7CDC"/>
    <w:rsid w:val="008C613F"/>
    <w:rsid w:val="008D16F7"/>
    <w:rsid w:val="008D34E3"/>
    <w:rsid w:val="008D4EDD"/>
    <w:rsid w:val="008E1427"/>
    <w:rsid w:val="008F2255"/>
    <w:rsid w:val="00900E8E"/>
    <w:rsid w:val="00902BDB"/>
    <w:rsid w:val="00912635"/>
    <w:rsid w:val="009143A0"/>
    <w:rsid w:val="00925D0B"/>
    <w:rsid w:val="00954679"/>
    <w:rsid w:val="009559A1"/>
    <w:rsid w:val="00967396"/>
    <w:rsid w:val="009A4DA5"/>
    <w:rsid w:val="009A7A15"/>
    <w:rsid w:val="009D370C"/>
    <w:rsid w:val="009E1332"/>
    <w:rsid w:val="009E2F86"/>
    <w:rsid w:val="00A12209"/>
    <w:rsid w:val="00A36DF3"/>
    <w:rsid w:val="00A532DD"/>
    <w:rsid w:val="00A80BCF"/>
    <w:rsid w:val="00A8369C"/>
    <w:rsid w:val="00AA1689"/>
    <w:rsid w:val="00AC1D15"/>
    <w:rsid w:val="00AC2A91"/>
    <w:rsid w:val="00AD34D8"/>
    <w:rsid w:val="00AD7526"/>
    <w:rsid w:val="00AF1E82"/>
    <w:rsid w:val="00B0125E"/>
    <w:rsid w:val="00B07B0C"/>
    <w:rsid w:val="00B12F73"/>
    <w:rsid w:val="00B17E1B"/>
    <w:rsid w:val="00B25563"/>
    <w:rsid w:val="00B26D48"/>
    <w:rsid w:val="00B400DE"/>
    <w:rsid w:val="00B42EE1"/>
    <w:rsid w:val="00B466CE"/>
    <w:rsid w:val="00B527D8"/>
    <w:rsid w:val="00B72D50"/>
    <w:rsid w:val="00B85EDB"/>
    <w:rsid w:val="00B92478"/>
    <w:rsid w:val="00BB35F0"/>
    <w:rsid w:val="00BC01C5"/>
    <w:rsid w:val="00BC7881"/>
    <w:rsid w:val="00BD61A2"/>
    <w:rsid w:val="00BD7FBF"/>
    <w:rsid w:val="00BE484D"/>
    <w:rsid w:val="00C0398E"/>
    <w:rsid w:val="00C04CF9"/>
    <w:rsid w:val="00C21726"/>
    <w:rsid w:val="00C37E05"/>
    <w:rsid w:val="00C400AD"/>
    <w:rsid w:val="00C4067D"/>
    <w:rsid w:val="00C434B5"/>
    <w:rsid w:val="00C444A9"/>
    <w:rsid w:val="00C55D29"/>
    <w:rsid w:val="00C65A4A"/>
    <w:rsid w:val="00C65EE9"/>
    <w:rsid w:val="00C87EDF"/>
    <w:rsid w:val="00C91138"/>
    <w:rsid w:val="00CA0BE9"/>
    <w:rsid w:val="00CA138D"/>
    <w:rsid w:val="00CA2D86"/>
    <w:rsid w:val="00CC4A2C"/>
    <w:rsid w:val="00CC7641"/>
    <w:rsid w:val="00CD6614"/>
    <w:rsid w:val="00CF0A81"/>
    <w:rsid w:val="00CF548E"/>
    <w:rsid w:val="00D009B4"/>
    <w:rsid w:val="00D02C13"/>
    <w:rsid w:val="00D13794"/>
    <w:rsid w:val="00D17869"/>
    <w:rsid w:val="00D214F7"/>
    <w:rsid w:val="00D22092"/>
    <w:rsid w:val="00D22D53"/>
    <w:rsid w:val="00D24052"/>
    <w:rsid w:val="00D24386"/>
    <w:rsid w:val="00D31575"/>
    <w:rsid w:val="00D34626"/>
    <w:rsid w:val="00D373D8"/>
    <w:rsid w:val="00D4257A"/>
    <w:rsid w:val="00D57351"/>
    <w:rsid w:val="00D62665"/>
    <w:rsid w:val="00D74DB3"/>
    <w:rsid w:val="00D90D6C"/>
    <w:rsid w:val="00DC0CBC"/>
    <w:rsid w:val="00DC0CDE"/>
    <w:rsid w:val="00DC4D72"/>
    <w:rsid w:val="00DD47A4"/>
    <w:rsid w:val="00E0624D"/>
    <w:rsid w:val="00E140B8"/>
    <w:rsid w:val="00E14B6F"/>
    <w:rsid w:val="00E15BEC"/>
    <w:rsid w:val="00E37ADE"/>
    <w:rsid w:val="00E42346"/>
    <w:rsid w:val="00E42CC8"/>
    <w:rsid w:val="00E43BAA"/>
    <w:rsid w:val="00E4438C"/>
    <w:rsid w:val="00E457F3"/>
    <w:rsid w:val="00E8658B"/>
    <w:rsid w:val="00EA5261"/>
    <w:rsid w:val="00EB3C75"/>
    <w:rsid w:val="00EB4AB9"/>
    <w:rsid w:val="00EB7E71"/>
    <w:rsid w:val="00ED6E9E"/>
    <w:rsid w:val="00F03099"/>
    <w:rsid w:val="00F109D4"/>
    <w:rsid w:val="00F1691B"/>
    <w:rsid w:val="00F2778B"/>
    <w:rsid w:val="00F304F8"/>
    <w:rsid w:val="00F32013"/>
    <w:rsid w:val="00F34014"/>
    <w:rsid w:val="00F474C5"/>
    <w:rsid w:val="00F47585"/>
    <w:rsid w:val="00F56162"/>
    <w:rsid w:val="00F85E6F"/>
    <w:rsid w:val="00F9013C"/>
    <w:rsid w:val="00FE04E4"/>
    <w:rsid w:val="00FE4C71"/>
    <w:rsid w:val="00FE5140"/>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2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TableGrid">
    <w:name w:val="Table Grid"/>
    <w:basedOn w:val="TableNormal"/>
    <w:uiPriority w:val="59"/>
    <w:rsid w:val="0024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TableGrid">
    <w:name w:val="Table Grid"/>
    <w:basedOn w:val="TableNormal"/>
    <w:uiPriority w:val="59"/>
    <w:rsid w:val="0024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4041" ma:contentTypeDescription=" " ma:contentTypeScope="" ma:versionID="bd0bb40a1426bc76cbb5a8fe8598853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2018RG-111-9825</_dlc_DocId>
    <_dlc_DocIdUrl xmlns="0f563589-9cf9-4143-b1eb-fb0534803d38">
      <Url>http://tweb/sites/rg/ldp/lmu/_layouts/15/DocIdRedir.aspx?ID=2018RG-111-9825</Url>
      <Description>2018RG-111-9825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6527-C539-49C1-8580-665716BADECC}"/>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BA932964-AC45-4B11-89F6-ED824E8C50E7}">
  <ds:schemaRefs>
    <ds:schemaRef ds:uri="http://schemas.microsoft.com/sharepoint/events"/>
  </ds:schemaRefs>
</ds:datastoreItem>
</file>

<file path=customXml/itemProps5.xml><?xml version="1.0" encoding="utf-8"?>
<ds:datastoreItem xmlns:ds="http://schemas.openxmlformats.org/officeDocument/2006/customXml" ds:itemID="{46278533-3486-40E5-9013-DD26FD164D39}">
  <ds:schemaRefs>
    <ds:schemaRef ds:uri="http://schemas.microsoft.com/sharepoint/v4"/>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
    <ds:schemaRef ds:uri="9f7bc583-7cbe-45b9-a2bd-8bbb6543b37e"/>
    <ds:schemaRef ds:uri="http://purl.org/dc/elements/1.1/"/>
    <ds:schemaRef ds:uri="http://purl.org/dc/dcmitype/"/>
    <ds:schemaRef ds:uri="0f563589-9cf9-4143-b1eb-fb0534803d38"/>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1D2A2B2B-EED3-45D7-A10A-CCCA529F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10</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Mezhvinsky, Adam</dc:creator>
  <cp:lastModifiedBy>Matthews, Stephanie</cp:lastModifiedBy>
  <cp:revision>2</cp:revision>
  <cp:lastPrinted>2018-08-31T02:30:00Z</cp:lastPrinted>
  <dcterms:created xsi:type="dcterms:W3CDTF">2018-09-04T02:25:00Z</dcterms:created>
  <dcterms:modified xsi:type="dcterms:W3CDTF">2018-09-04T02:25:00Z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936457091</vt:i4>
  </property>
  <property fmtid="{D5CDD505-2E9C-101B-9397-08002B2CF9AE}" pid="3" name="_NewReviewCycle">
    <vt:lpwstr/>
  </property>
  <property fmtid="{D5CDD505-2E9C-101B-9397-08002B2CF9AE}" pid="4" name="_EmailSubject">
    <vt:lpwstr>Documents for ExCo Clearance for FBT</vt:lpwstr>
  </property>
  <property fmtid="{D5CDD505-2E9C-101B-9397-08002B2CF9AE}" pid="5" name="_AuthorEmail">
    <vt:lpwstr>Ashley.George@TREASURY.GOV.AU</vt:lpwstr>
  </property>
  <property fmtid="{D5CDD505-2E9C-101B-9397-08002B2CF9AE}" pid="6" name="_AuthorEmailDisplayName">
    <vt:lpwstr>George, Ashley</vt:lpwstr>
  </property>
  <property fmtid="{D5CDD505-2E9C-101B-9397-08002B2CF9AE}" pid="7" name="ContentTypeId">
    <vt:lpwstr>0x01010036BB8DE7EC542E42A8B2E98CC20CB69700D5C18F41BA18FB44827A222ACD6776F5</vt:lpwstr>
  </property>
  <property fmtid="{D5CDD505-2E9C-101B-9397-08002B2CF9AE}" pid="8" name="_PreviousAdHocReviewCycleID">
    <vt:i4>-1533705720</vt:i4>
  </property>
  <property fmtid="{D5CDD505-2E9C-101B-9397-08002B2CF9AE}" pid="9" name="TSYRecordClass">
    <vt:lpwstr>11;#TSY RA-9237 - Destroy 5 years after action completed|9f1a030e-81bf-44c5-98eb-4d5d869a40d5</vt:lpwstr>
  </property>
  <property fmtid="{D5CDD505-2E9C-101B-9397-08002B2CF9AE}" pid="10" name="_dlc_DocIdItemGuid">
    <vt:lpwstr>bf5bb06c-9994-4ac2-b3a7-4a78d65c6660</vt:lpwstr>
  </property>
  <property fmtid="{D5CDD505-2E9C-101B-9397-08002B2CF9AE}" pid="11" name="RecordPoint_WorkflowType">
    <vt:lpwstr>ActiveSubmitStub</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ActiveItemUniqueId">
    <vt:lpwstr>{bf5bb06c-9994-4ac2-b3a7-4a78d65c6660}</vt:lpwstr>
  </property>
  <property fmtid="{D5CDD505-2E9C-101B-9397-08002B2CF9AE}" pid="16" name="RecordPoint_RecordNumberSubmitted">
    <vt:lpwstr>R0001860610</vt:lpwstr>
  </property>
  <property fmtid="{D5CDD505-2E9C-101B-9397-08002B2CF9AE}" pid="17" name="RecordPoint_SubmissionCompleted">
    <vt:lpwstr>2018-09-04T12:48:59.9734485+10:00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_ReviewingToolsShownOnce">
    <vt:lpwstr/>
  </property>
</Properties>
</file>