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C069E" w:rsidRDefault="00DA186E" w:rsidP="00B05CF4">
      <w:pPr>
        <w:rPr>
          <w:sz w:val="28"/>
        </w:rPr>
      </w:pPr>
      <w:r w:rsidRPr="006C069E">
        <w:rPr>
          <w:noProof/>
          <w:lang w:eastAsia="en-AU"/>
        </w:rPr>
        <w:drawing>
          <wp:inline distT="0" distB="0" distL="0" distR="0" wp14:anchorId="68E495FC" wp14:editId="245AD9D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C069E" w:rsidRDefault="00715914" w:rsidP="00715914">
      <w:pPr>
        <w:rPr>
          <w:sz w:val="19"/>
        </w:rPr>
      </w:pPr>
    </w:p>
    <w:p w:rsidR="00715914" w:rsidRPr="006C069E" w:rsidRDefault="00BA2D8C" w:rsidP="00715914">
      <w:pPr>
        <w:pStyle w:val="ShortT"/>
      </w:pPr>
      <w:r w:rsidRPr="006C069E">
        <w:t>Superannuation Guarantee (Administration) Regulations</w:t>
      </w:r>
      <w:r w:rsidR="006C069E" w:rsidRPr="006C069E">
        <w:t> </w:t>
      </w:r>
      <w:r w:rsidRPr="006C069E">
        <w:t>2018</w:t>
      </w:r>
    </w:p>
    <w:p w:rsidR="00B4044B" w:rsidRPr="006C069E" w:rsidRDefault="00B4044B" w:rsidP="007517B8">
      <w:pPr>
        <w:pStyle w:val="SignCoverPageStart"/>
        <w:spacing w:before="240"/>
        <w:rPr>
          <w:szCs w:val="22"/>
        </w:rPr>
      </w:pPr>
      <w:r w:rsidRPr="006C069E">
        <w:rPr>
          <w:szCs w:val="22"/>
        </w:rPr>
        <w:t>I, General the Honourable Sir Peter Cosgrove AK MC (</w:t>
      </w:r>
      <w:proofErr w:type="spellStart"/>
      <w:r w:rsidRPr="006C069E">
        <w:rPr>
          <w:szCs w:val="22"/>
        </w:rPr>
        <w:t>Ret’d</w:t>
      </w:r>
      <w:proofErr w:type="spellEnd"/>
      <w:r w:rsidRPr="006C069E">
        <w:rPr>
          <w:szCs w:val="22"/>
        </w:rPr>
        <w:t xml:space="preserve">), </w:t>
      </w:r>
      <w:r w:rsidR="006C069E" w:rsidRPr="006C069E">
        <w:rPr>
          <w:szCs w:val="22"/>
        </w:rPr>
        <w:t>Governor</w:t>
      </w:r>
      <w:r w:rsidR="006C069E">
        <w:rPr>
          <w:szCs w:val="22"/>
        </w:rPr>
        <w:noBreakHyphen/>
      </w:r>
      <w:r w:rsidR="006C069E" w:rsidRPr="006C069E">
        <w:rPr>
          <w:szCs w:val="22"/>
        </w:rPr>
        <w:t>General</w:t>
      </w:r>
      <w:r w:rsidRPr="006C069E">
        <w:rPr>
          <w:szCs w:val="22"/>
        </w:rPr>
        <w:t xml:space="preserve"> of the Commonwealth of Australia, acting with the advice of the Federal Executive Council, make the following regulations.</w:t>
      </w:r>
    </w:p>
    <w:p w:rsidR="00B4044B" w:rsidRPr="006C069E" w:rsidRDefault="00B4044B" w:rsidP="007517B8">
      <w:pPr>
        <w:keepNext/>
        <w:spacing w:before="720" w:line="240" w:lineRule="atLeast"/>
        <w:ind w:right="397"/>
        <w:jc w:val="both"/>
        <w:rPr>
          <w:szCs w:val="22"/>
        </w:rPr>
      </w:pPr>
      <w:r w:rsidRPr="006C069E">
        <w:rPr>
          <w:szCs w:val="22"/>
        </w:rPr>
        <w:t xml:space="preserve">Dated </w:t>
      </w:r>
      <w:r w:rsidRPr="006C069E">
        <w:rPr>
          <w:szCs w:val="22"/>
        </w:rPr>
        <w:fldChar w:fldCharType="begin"/>
      </w:r>
      <w:r w:rsidRPr="006C069E">
        <w:rPr>
          <w:szCs w:val="22"/>
        </w:rPr>
        <w:instrText xml:space="preserve"> DOCPROPERTY  DateMade </w:instrText>
      </w:r>
      <w:r w:rsidRPr="006C069E">
        <w:rPr>
          <w:szCs w:val="22"/>
        </w:rPr>
        <w:fldChar w:fldCharType="separate"/>
      </w:r>
      <w:r w:rsidR="003F36D8">
        <w:rPr>
          <w:szCs w:val="22"/>
        </w:rPr>
        <w:t>13 September 2018</w:t>
      </w:r>
      <w:r w:rsidRPr="006C069E">
        <w:rPr>
          <w:szCs w:val="22"/>
        </w:rPr>
        <w:fldChar w:fldCharType="end"/>
      </w:r>
    </w:p>
    <w:p w:rsidR="00B4044B" w:rsidRPr="006C069E" w:rsidRDefault="00B4044B" w:rsidP="007517B8">
      <w:pPr>
        <w:keepNext/>
        <w:tabs>
          <w:tab w:val="left" w:pos="3402"/>
        </w:tabs>
        <w:spacing w:before="1080" w:line="300" w:lineRule="atLeast"/>
        <w:ind w:left="397" w:right="397"/>
        <w:jc w:val="right"/>
        <w:rPr>
          <w:szCs w:val="22"/>
        </w:rPr>
      </w:pPr>
      <w:r w:rsidRPr="006C069E">
        <w:rPr>
          <w:szCs w:val="22"/>
        </w:rPr>
        <w:t>Peter Cosgrove</w:t>
      </w:r>
    </w:p>
    <w:p w:rsidR="00B4044B" w:rsidRPr="006C069E" w:rsidRDefault="006C069E" w:rsidP="007517B8">
      <w:pPr>
        <w:keepNext/>
        <w:tabs>
          <w:tab w:val="left" w:pos="3402"/>
        </w:tabs>
        <w:spacing w:line="300" w:lineRule="atLeast"/>
        <w:ind w:left="397" w:right="397"/>
        <w:jc w:val="right"/>
        <w:rPr>
          <w:szCs w:val="22"/>
        </w:rPr>
      </w:pPr>
      <w:r w:rsidRPr="006C069E">
        <w:rPr>
          <w:szCs w:val="22"/>
        </w:rPr>
        <w:t>Governor</w:t>
      </w:r>
      <w:r>
        <w:rPr>
          <w:szCs w:val="22"/>
        </w:rPr>
        <w:noBreakHyphen/>
      </w:r>
      <w:r w:rsidRPr="006C069E">
        <w:rPr>
          <w:szCs w:val="22"/>
        </w:rPr>
        <w:t>General</w:t>
      </w:r>
    </w:p>
    <w:p w:rsidR="00B4044B" w:rsidRPr="006C069E" w:rsidRDefault="00B4044B" w:rsidP="007517B8">
      <w:pPr>
        <w:keepNext/>
        <w:tabs>
          <w:tab w:val="left" w:pos="3402"/>
        </w:tabs>
        <w:spacing w:before="840" w:after="1080" w:line="300" w:lineRule="atLeast"/>
        <w:ind w:right="397"/>
        <w:rPr>
          <w:szCs w:val="22"/>
        </w:rPr>
      </w:pPr>
      <w:r w:rsidRPr="006C069E">
        <w:rPr>
          <w:szCs w:val="22"/>
        </w:rPr>
        <w:t>By His Excellency’s Command</w:t>
      </w:r>
    </w:p>
    <w:p w:rsidR="00B4044B" w:rsidRPr="006C069E" w:rsidRDefault="00B4044B" w:rsidP="007517B8">
      <w:pPr>
        <w:keepNext/>
        <w:tabs>
          <w:tab w:val="left" w:pos="3402"/>
        </w:tabs>
        <w:spacing w:before="480" w:line="300" w:lineRule="atLeast"/>
        <w:ind w:right="397"/>
        <w:rPr>
          <w:szCs w:val="22"/>
        </w:rPr>
      </w:pPr>
      <w:r w:rsidRPr="006C069E">
        <w:rPr>
          <w:szCs w:val="22"/>
        </w:rPr>
        <w:t>Stuart Robert</w:t>
      </w:r>
    </w:p>
    <w:p w:rsidR="00B4044B" w:rsidRPr="006C069E" w:rsidRDefault="00B4044B" w:rsidP="007517B8">
      <w:pPr>
        <w:pStyle w:val="SignCoverPageEnd"/>
        <w:spacing w:after="0"/>
        <w:rPr>
          <w:szCs w:val="22"/>
        </w:rPr>
      </w:pPr>
      <w:r w:rsidRPr="006C069E">
        <w:rPr>
          <w:szCs w:val="22"/>
        </w:rPr>
        <w:t>Assistant Treasurer</w:t>
      </w:r>
    </w:p>
    <w:p w:rsidR="00B4044B" w:rsidRPr="006C069E" w:rsidRDefault="00B4044B" w:rsidP="007517B8"/>
    <w:p w:rsidR="00B4044B" w:rsidRPr="006C069E" w:rsidRDefault="00B4044B" w:rsidP="007517B8"/>
    <w:p w:rsidR="00B4044B" w:rsidRPr="006C069E" w:rsidRDefault="00B4044B" w:rsidP="007517B8"/>
    <w:p w:rsidR="00B4044B" w:rsidRPr="006C069E" w:rsidRDefault="00B4044B" w:rsidP="00B4044B"/>
    <w:p w:rsidR="00715914" w:rsidRPr="006C069E" w:rsidRDefault="00715914" w:rsidP="00715914">
      <w:pPr>
        <w:pStyle w:val="Header"/>
        <w:tabs>
          <w:tab w:val="clear" w:pos="4150"/>
          <w:tab w:val="clear" w:pos="8307"/>
        </w:tabs>
      </w:pPr>
      <w:r w:rsidRPr="006C069E">
        <w:rPr>
          <w:rStyle w:val="CharChapNo"/>
        </w:rPr>
        <w:t xml:space="preserve"> </w:t>
      </w:r>
      <w:r w:rsidRPr="006C069E">
        <w:rPr>
          <w:rStyle w:val="CharChapText"/>
        </w:rPr>
        <w:t xml:space="preserve"> </w:t>
      </w:r>
    </w:p>
    <w:p w:rsidR="00715914" w:rsidRPr="006C069E" w:rsidRDefault="00715914" w:rsidP="00715914">
      <w:pPr>
        <w:pStyle w:val="Header"/>
        <w:tabs>
          <w:tab w:val="clear" w:pos="4150"/>
          <w:tab w:val="clear" w:pos="8307"/>
        </w:tabs>
      </w:pPr>
      <w:r w:rsidRPr="006C069E">
        <w:rPr>
          <w:rStyle w:val="CharPartNo"/>
        </w:rPr>
        <w:t xml:space="preserve"> </w:t>
      </w:r>
      <w:r w:rsidRPr="006C069E">
        <w:rPr>
          <w:rStyle w:val="CharPartText"/>
        </w:rPr>
        <w:t xml:space="preserve"> </w:t>
      </w:r>
    </w:p>
    <w:p w:rsidR="00715914" w:rsidRPr="006C069E" w:rsidRDefault="00715914" w:rsidP="00715914">
      <w:pPr>
        <w:pStyle w:val="Header"/>
        <w:tabs>
          <w:tab w:val="clear" w:pos="4150"/>
          <w:tab w:val="clear" w:pos="8307"/>
        </w:tabs>
      </w:pPr>
      <w:r w:rsidRPr="006C069E">
        <w:rPr>
          <w:rStyle w:val="CharDivNo"/>
        </w:rPr>
        <w:t xml:space="preserve"> </w:t>
      </w:r>
      <w:r w:rsidRPr="006C069E">
        <w:rPr>
          <w:rStyle w:val="CharDivText"/>
        </w:rPr>
        <w:t xml:space="preserve"> </w:t>
      </w:r>
    </w:p>
    <w:p w:rsidR="00715914" w:rsidRPr="006C069E" w:rsidRDefault="00715914" w:rsidP="00715914">
      <w:pPr>
        <w:sectPr w:rsidR="00715914" w:rsidRPr="006C069E" w:rsidSect="005F62E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6C069E" w:rsidRDefault="00715914" w:rsidP="009837AA">
      <w:pPr>
        <w:rPr>
          <w:sz w:val="36"/>
        </w:rPr>
      </w:pPr>
      <w:r w:rsidRPr="006C069E">
        <w:rPr>
          <w:sz w:val="36"/>
        </w:rPr>
        <w:lastRenderedPageBreak/>
        <w:t>Contents</w:t>
      </w:r>
    </w:p>
    <w:p w:rsidR="00674A3B" w:rsidRPr="006C069E" w:rsidRDefault="00674A3B">
      <w:pPr>
        <w:pStyle w:val="TOC2"/>
        <w:rPr>
          <w:rFonts w:asciiTheme="minorHAnsi" w:eastAsiaTheme="minorEastAsia" w:hAnsiTheme="minorHAnsi" w:cstheme="minorBidi"/>
          <w:b w:val="0"/>
          <w:noProof/>
          <w:kern w:val="0"/>
          <w:sz w:val="22"/>
          <w:szCs w:val="22"/>
        </w:rPr>
      </w:pPr>
      <w:r w:rsidRPr="006C069E">
        <w:fldChar w:fldCharType="begin"/>
      </w:r>
      <w:r w:rsidRPr="006C069E">
        <w:instrText xml:space="preserve"> TOC \o "1-9" </w:instrText>
      </w:r>
      <w:r w:rsidRPr="006C069E">
        <w:fldChar w:fldCharType="separate"/>
      </w:r>
      <w:r w:rsidRPr="006C069E">
        <w:rPr>
          <w:noProof/>
        </w:rPr>
        <w:t>Part</w:t>
      </w:r>
      <w:r w:rsidR="006C069E" w:rsidRPr="006C069E">
        <w:rPr>
          <w:noProof/>
        </w:rPr>
        <w:t> </w:t>
      </w:r>
      <w:r w:rsidRPr="006C069E">
        <w:rPr>
          <w:noProof/>
        </w:rPr>
        <w:t>1—Preliminary</w:t>
      </w:r>
      <w:r w:rsidRPr="006C069E">
        <w:rPr>
          <w:b w:val="0"/>
          <w:noProof/>
          <w:sz w:val="18"/>
        </w:rPr>
        <w:tab/>
      </w:r>
      <w:r w:rsidRPr="006C069E">
        <w:rPr>
          <w:b w:val="0"/>
          <w:noProof/>
          <w:sz w:val="18"/>
        </w:rPr>
        <w:fldChar w:fldCharType="begin"/>
      </w:r>
      <w:r w:rsidRPr="006C069E">
        <w:rPr>
          <w:b w:val="0"/>
          <w:noProof/>
          <w:sz w:val="18"/>
        </w:rPr>
        <w:instrText xml:space="preserve"> PAGEREF _Toc523810794 \h </w:instrText>
      </w:r>
      <w:r w:rsidRPr="006C069E">
        <w:rPr>
          <w:b w:val="0"/>
          <w:noProof/>
          <w:sz w:val="18"/>
        </w:rPr>
      </w:r>
      <w:r w:rsidRPr="006C069E">
        <w:rPr>
          <w:b w:val="0"/>
          <w:noProof/>
          <w:sz w:val="18"/>
        </w:rPr>
        <w:fldChar w:fldCharType="separate"/>
      </w:r>
      <w:r w:rsidR="003F36D8">
        <w:rPr>
          <w:b w:val="0"/>
          <w:noProof/>
          <w:sz w:val="18"/>
        </w:rPr>
        <w:t>1</w:t>
      </w:r>
      <w:r w:rsidRPr="006C069E">
        <w:rPr>
          <w:b w:val="0"/>
          <w:noProof/>
          <w:sz w:val="18"/>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1</w:t>
      </w:r>
      <w:r w:rsidRPr="006C069E">
        <w:rPr>
          <w:noProof/>
        </w:rPr>
        <w:tab/>
        <w:t>Name</w:t>
      </w:r>
      <w:r w:rsidRPr="006C069E">
        <w:rPr>
          <w:noProof/>
        </w:rPr>
        <w:tab/>
      </w:r>
      <w:r w:rsidRPr="006C069E">
        <w:rPr>
          <w:noProof/>
        </w:rPr>
        <w:fldChar w:fldCharType="begin"/>
      </w:r>
      <w:r w:rsidRPr="006C069E">
        <w:rPr>
          <w:noProof/>
        </w:rPr>
        <w:instrText xml:space="preserve"> PAGEREF _Toc523810795 \h </w:instrText>
      </w:r>
      <w:r w:rsidRPr="006C069E">
        <w:rPr>
          <w:noProof/>
        </w:rPr>
      </w:r>
      <w:r w:rsidRPr="006C069E">
        <w:rPr>
          <w:noProof/>
        </w:rPr>
        <w:fldChar w:fldCharType="separate"/>
      </w:r>
      <w:r w:rsidR="003F36D8">
        <w:rPr>
          <w:noProof/>
        </w:rPr>
        <w:t>1</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2</w:t>
      </w:r>
      <w:r w:rsidRPr="006C069E">
        <w:rPr>
          <w:noProof/>
        </w:rPr>
        <w:tab/>
        <w:t>Commencement</w:t>
      </w:r>
      <w:r w:rsidRPr="006C069E">
        <w:rPr>
          <w:noProof/>
        </w:rPr>
        <w:tab/>
      </w:r>
      <w:r w:rsidRPr="006C069E">
        <w:rPr>
          <w:noProof/>
        </w:rPr>
        <w:fldChar w:fldCharType="begin"/>
      </w:r>
      <w:r w:rsidRPr="006C069E">
        <w:rPr>
          <w:noProof/>
        </w:rPr>
        <w:instrText xml:space="preserve"> PAGEREF _Toc523810796 \h </w:instrText>
      </w:r>
      <w:r w:rsidRPr="006C069E">
        <w:rPr>
          <w:noProof/>
        </w:rPr>
      </w:r>
      <w:r w:rsidRPr="006C069E">
        <w:rPr>
          <w:noProof/>
        </w:rPr>
        <w:fldChar w:fldCharType="separate"/>
      </w:r>
      <w:r w:rsidR="003F36D8">
        <w:rPr>
          <w:noProof/>
        </w:rPr>
        <w:t>1</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3</w:t>
      </w:r>
      <w:r w:rsidRPr="006C069E">
        <w:rPr>
          <w:noProof/>
        </w:rPr>
        <w:tab/>
        <w:t>Authority</w:t>
      </w:r>
      <w:r w:rsidRPr="006C069E">
        <w:rPr>
          <w:noProof/>
        </w:rPr>
        <w:tab/>
      </w:r>
      <w:r w:rsidRPr="006C069E">
        <w:rPr>
          <w:noProof/>
        </w:rPr>
        <w:fldChar w:fldCharType="begin"/>
      </w:r>
      <w:r w:rsidRPr="006C069E">
        <w:rPr>
          <w:noProof/>
        </w:rPr>
        <w:instrText xml:space="preserve"> PAGEREF _Toc523810797 \h </w:instrText>
      </w:r>
      <w:r w:rsidRPr="006C069E">
        <w:rPr>
          <w:noProof/>
        </w:rPr>
      </w:r>
      <w:r w:rsidRPr="006C069E">
        <w:rPr>
          <w:noProof/>
        </w:rPr>
        <w:fldChar w:fldCharType="separate"/>
      </w:r>
      <w:r w:rsidR="003F36D8">
        <w:rPr>
          <w:noProof/>
        </w:rPr>
        <w:t>1</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4</w:t>
      </w:r>
      <w:r w:rsidRPr="006C069E">
        <w:rPr>
          <w:noProof/>
        </w:rPr>
        <w:tab/>
        <w:t>Schedules</w:t>
      </w:r>
      <w:r w:rsidRPr="006C069E">
        <w:rPr>
          <w:noProof/>
        </w:rPr>
        <w:tab/>
      </w:r>
      <w:r w:rsidRPr="006C069E">
        <w:rPr>
          <w:noProof/>
        </w:rPr>
        <w:fldChar w:fldCharType="begin"/>
      </w:r>
      <w:r w:rsidRPr="006C069E">
        <w:rPr>
          <w:noProof/>
        </w:rPr>
        <w:instrText xml:space="preserve"> PAGEREF _Toc523810798 \h </w:instrText>
      </w:r>
      <w:r w:rsidRPr="006C069E">
        <w:rPr>
          <w:noProof/>
        </w:rPr>
      </w:r>
      <w:r w:rsidRPr="006C069E">
        <w:rPr>
          <w:noProof/>
        </w:rPr>
        <w:fldChar w:fldCharType="separate"/>
      </w:r>
      <w:r w:rsidR="003F36D8">
        <w:rPr>
          <w:noProof/>
        </w:rPr>
        <w:t>1</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5</w:t>
      </w:r>
      <w:r w:rsidRPr="006C069E">
        <w:rPr>
          <w:noProof/>
        </w:rPr>
        <w:tab/>
        <w:t>Definitions</w:t>
      </w:r>
      <w:r w:rsidRPr="006C069E">
        <w:rPr>
          <w:noProof/>
        </w:rPr>
        <w:tab/>
      </w:r>
      <w:r w:rsidRPr="006C069E">
        <w:rPr>
          <w:noProof/>
        </w:rPr>
        <w:fldChar w:fldCharType="begin"/>
      </w:r>
      <w:r w:rsidRPr="006C069E">
        <w:rPr>
          <w:noProof/>
        </w:rPr>
        <w:instrText xml:space="preserve"> PAGEREF _Toc523810799 \h </w:instrText>
      </w:r>
      <w:r w:rsidRPr="006C069E">
        <w:rPr>
          <w:noProof/>
        </w:rPr>
      </w:r>
      <w:r w:rsidRPr="006C069E">
        <w:rPr>
          <w:noProof/>
        </w:rPr>
        <w:fldChar w:fldCharType="separate"/>
      </w:r>
      <w:r w:rsidR="003F36D8">
        <w:rPr>
          <w:noProof/>
        </w:rPr>
        <w:t>1</w:t>
      </w:r>
      <w:r w:rsidRPr="006C069E">
        <w:rPr>
          <w:noProof/>
        </w:rPr>
        <w:fldChar w:fldCharType="end"/>
      </w:r>
    </w:p>
    <w:p w:rsidR="00674A3B" w:rsidRPr="006C069E" w:rsidRDefault="00674A3B">
      <w:pPr>
        <w:pStyle w:val="TOC2"/>
        <w:rPr>
          <w:rFonts w:asciiTheme="minorHAnsi" w:eastAsiaTheme="minorEastAsia" w:hAnsiTheme="minorHAnsi" w:cstheme="minorBidi"/>
          <w:b w:val="0"/>
          <w:noProof/>
          <w:kern w:val="0"/>
          <w:sz w:val="22"/>
          <w:szCs w:val="22"/>
        </w:rPr>
      </w:pPr>
      <w:r w:rsidRPr="006C069E">
        <w:rPr>
          <w:noProof/>
        </w:rPr>
        <w:t>Part</w:t>
      </w:r>
      <w:r w:rsidR="006C069E" w:rsidRPr="006C069E">
        <w:rPr>
          <w:noProof/>
        </w:rPr>
        <w:t> </w:t>
      </w:r>
      <w:r w:rsidRPr="006C069E">
        <w:rPr>
          <w:noProof/>
        </w:rPr>
        <w:t>2—Defined benefit members</w:t>
      </w:r>
      <w:r w:rsidRPr="006C069E">
        <w:rPr>
          <w:b w:val="0"/>
          <w:noProof/>
          <w:sz w:val="18"/>
        </w:rPr>
        <w:tab/>
      </w:r>
      <w:r w:rsidRPr="006C069E">
        <w:rPr>
          <w:b w:val="0"/>
          <w:noProof/>
          <w:sz w:val="18"/>
        </w:rPr>
        <w:fldChar w:fldCharType="begin"/>
      </w:r>
      <w:r w:rsidRPr="006C069E">
        <w:rPr>
          <w:b w:val="0"/>
          <w:noProof/>
          <w:sz w:val="18"/>
        </w:rPr>
        <w:instrText xml:space="preserve"> PAGEREF _Toc523810800 \h </w:instrText>
      </w:r>
      <w:r w:rsidRPr="006C069E">
        <w:rPr>
          <w:b w:val="0"/>
          <w:noProof/>
          <w:sz w:val="18"/>
        </w:rPr>
      </w:r>
      <w:r w:rsidRPr="006C069E">
        <w:rPr>
          <w:b w:val="0"/>
          <w:noProof/>
          <w:sz w:val="18"/>
        </w:rPr>
        <w:fldChar w:fldCharType="separate"/>
      </w:r>
      <w:r w:rsidR="003F36D8">
        <w:rPr>
          <w:b w:val="0"/>
          <w:noProof/>
          <w:sz w:val="18"/>
        </w:rPr>
        <w:t>3</w:t>
      </w:r>
      <w:r w:rsidRPr="006C069E">
        <w:rPr>
          <w:b w:val="0"/>
          <w:noProof/>
          <w:sz w:val="18"/>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6</w:t>
      </w:r>
      <w:r w:rsidRPr="006C069E">
        <w:rPr>
          <w:noProof/>
        </w:rPr>
        <w:tab/>
        <w:t>Circumstances in which member taken to be defined benefit member</w:t>
      </w:r>
      <w:r w:rsidRPr="006C069E">
        <w:rPr>
          <w:noProof/>
        </w:rPr>
        <w:tab/>
      </w:r>
      <w:r w:rsidRPr="006C069E">
        <w:rPr>
          <w:noProof/>
        </w:rPr>
        <w:fldChar w:fldCharType="begin"/>
      </w:r>
      <w:r w:rsidRPr="006C069E">
        <w:rPr>
          <w:noProof/>
        </w:rPr>
        <w:instrText xml:space="preserve"> PAGEREF _Toc523810801 \h </w:instrText>
      </w:r>
      <w:r w:rsidRPr="006C069E">
        <w:rPr>
          <w:noProof/>
        </w:rPr>
      </w:r>
      <w:r w:rsidRPr="006C069E">
        <w:rPr>
          <w:noProof/>
        </w:rPr>
        <w:fldChar w:fldCharType="separate"/>
      </w:r>
      <w:r w:rsidR="003F36D8">
        <w:rPr>
          <w:noProof/>
        </w:rPr>
        <w:t>3</w:t>
      </w:r>
      <w:r w:rsidRPr="006C069E">
        <w:rPr>
          <w:noProof/>
        </w:rPr>
        <w:fldChar w:fldCharType="end"/>
      </w:r>
    </w:p>
    <w:p w:rsidR="00674A3B" w:rsidRPr="006C069E" w:rsidRDefault="00674A3B">
      <w:pPr>
        <w:pStyle w:val="TOC2"/>
        <w:rPr>
          <w:rFonts w:asciiTheme="minorHAnsi" w:eastAsiaTheme="minorEastAsia" w:hAnsiTheme="minorHAnsi" w:cstheme="minorBidi"/>
          <w:b w:val="0"/>
          <w:noProof/>
          <w:kern w:val="0"/>
          <w:sz w:val="22"/>
          <w:szCs w:val="22"/>
        </w:rPr>
      </w:pPr>
      <w:r w:rsidRPr="006C069E">
        <w:rPr>
          <w:noProof/>
        </w:rPr>
        <w:t>Part</w:t>
      </w:r>
      <w:r w:rsidR="006C069E" w:rsidRPr="006C069E">
        <w:rPr>
          <w:noProof/>
        </w:rPr>
        <w:t> </w:t>
      </w:r>
      <w:r w:rsidRPr="006C069E">
        <w:rPr>
          <w:noProof/>
        </w:rPr>
        <w:t>3—Benefit certificates</w:t>
      </w:r>
      <w:r w:rsidRPr="006C069E">
        <w:rPr>
          <w:b w:val="0"/>
          <w:noProof/>
          <w:sz w:val="18"/>
        </w:rPr>
        <w:tab/>
      </w:r>
      <w:r w:rsidRPr="006C069E">
        <w:rPr>
          <w:b w:val="0"/>
          <w:noProof/>
          <w:sz w:val="18"/>
        </w:rPr>
        <w:fldChar w:fldCharType="begin"/>
      </w:r>
      <w:r w:rsidRPr="006C069E">
        <w:rPr>
          <w:b w:val="0"/>
          <w:noProof/>
          <w:sz w:val="18"/>
        </w:rPr>
        <w:instrText xml:space="preserve"> PAGEREF _Toc523810802 \h </w:instrText>
      </w:r>
      <w:r w:rsidRPr="006C069E">
        <w:rPr>
          <w:b w:val="0"/>
          <w:noProof/>
          <w:sz w:val="18"/>
        </w:rPr>
      </w:r>
      <w:r w:rsidRPr="006C069E">
        <w:rPr>
          <w:b w:val="0"/>
          <w:noProof/>
          <w:sz w:val="18"/>
        </w:rPr>
        <w:fldChar w:fldCharType="separate"/>
      </w:r>
      <w:r w:rsidR="003F36D8">
        <w:rPr>
          <w:b w:val="0"/>
          <w:noProof/>
          <w:sz w:val="18"/>
        </w:rPr>
        <w:t>4</w:t>
      </w:r>
      <w:r w:rsidRPr="006C069E">
        <w:rPr>
          <w:b w:val="0"/>
          <w:noProof/>
          <w:sz w:val="18"/>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7</w:t>
      </w:r>
      <w:r w:rsidRPr="006C069E">
        <w:rPr>
          <w:noProof/>
        </w:rPr>
        <w:tab/>
        <w:t>Benefit certificates</w:t>
      </w:r>
      <w:r w:rsidRPr="006C069E">
        <w:rPr>
          <w:noProof/>
        </w:rPr>
        <w:tab/>
      </w:r>
      <w:r w:rsidRPr="006C069E">
        <w:rPr>
          <w:noProof/>
        </w:rPr>
        <w:fldChar w:fldCharType="begin"/>
      </w:r>
      <w:r w:rsidRPr="006C069E">
        <w:rPr>
          <w:noProof/>
        </w:rPr>
        <w:instrText xml:space="preserve"> PAGEREF _Toc523810803 \h </w:instrText>
      </w:r>
      <w:r w:rsidRPr="006C069E">
        <w:rPr>
          <w:noProof/>
        </w:rPr>
      </w:r>
      <w:r w:rsidRPr="006C069E">
        <w:rPr>
          <w:noProof/>
        </w:rPr>
        <w:fldChar w:fldCharType="separate"/>
      </w:r>
      <w:r w:rsidR="003F36D8">
        <w:rPr>
          <w:noProof/>
        </w:rPr>
        <w:t>4</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8</w:t>
      </w:r>
      <w:r w:rsidRPr="006C069E">
        <w:rPr>
          <w:noProof/>
        </w:rPr>
        <w:tab/>
        <w:t>Notional employer contribution rate—general</w:t>
      </w:r>
      <w:r w:rsidRPr="006C069E">
        <w:rPr>
          <w:noProof/>
        </w:rPr>
        <w:tab/>
      </w:r>
      <w:r w:rsidRPr="006C069E">
        <w:rPr>
          <w:noProof/>
        </w:rPr>
        <w:fldChar w:fldCharType="begin"/>
      </w:r>
      <w:r w:rsidRPr="006C069E">
        <w:rPr>
          <w:noProof/>
        </w:rPr>
        <w:instrText xml:space="preserve"> PAGEREF _Toc523810804 \h </w:instrText>
      </w:r>
      <w:r w:rsidRPr="006C069E">
        <w:rPr>
          <w:noProof/>
        </w:rPr>
      </w:r>
      <w:r w:rsidRPr="006C069E">
        <w:rPr>
          <w:noProof/>
        </w:rPr>
        <w:fldChar w:fldCharType="separate"/>
      </w:r>
      <w:r w:rsidR="003F36D8">
        <w:rPr>
          <w:noProof/>
        </w:rPr>
        <w:t>4</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9</w:t>
      </w:r>
      <w:r w:rsidRPr="006C069E">
        <w:rPr>
          <w:noProof/>
        </w:rPr>
        <w:tab/>
        <w:t>Notional employer contribution rate—accumulation benefits</w:t>
      </w:r>
      <w:r w:rsidRPr="006C069E">
        <w:rPr>
          <w:noProof/>
        </w:rPr>
        <w:tab/>
      </w:r>
      <w:r w:rsidRPr="006C069E">
        <w:rPr>
          <w:noProof/>
        </w:rPr>
        <w:fldChar w:fldCharType="begin"/>
      </w:r>
      <w:r w:rsidRPr="006C069E">
        <w:rPr>
          <w:noProof/>
        </w:rPr>
        <w:instrText xml:space="preserve"> PAGEREF _Toc523810805 \h </w:instrText>
      </w:r>
      <w:r w:rsidRPr="006C069E">
        <w:rPr>
          <w:noProof/>
        </w:rPr>
      </w:r>
      <w:r w:rsidRPr="006C069E">
        <w:rPr>
          <w:noProof/>
        </w:rPr>
        <w:fldChar w:fldCharType="separate"/>
      </w:r>
      <w:r w:rsidR="003F36D8">
        <w:rPr>
          <w:noProof/>
        </w:rPr>
        <w:t>5</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10</w:t>
      </w:r>
      <w:r w:rsidRPr="006C069E">
        <w:rPr>
          <w:noProof/>
        </w:rPr>
        <w:tab/>
        <w:t>Notional employer contribution rate—defined benefits</w:t>
      </w:r>
      <w:r w:rsidRPr="006C069E">
        <w:rPr>
          <w:noProof/>
        </w:rPr>
        <w:tab/>
      </w:r>
      <w:r w:rsidRPr="006C069E">
        <w:rPr>
          <w:noProof/>
        </w:rPr>
        <w:fldChar w:fldCharType="begin"/>
      </w:r>
      <w:r w:rsidRPr="006C069E">
        <w:rPr>
          <w:noProof/>
        </w:rPr>
        <w:instrText xml:space="preserve"> PAGEREF _Toc523810806 \h </w:instrText>
      </w:r>
      <w:r w:rsidRPr="006C069E">
        <w:rPr>
          <w:noProof/>
        </w:rPr>
      </w:r>
      <w:r w:rsidRPr="006C069E">
        <w:rPr>
          <w:noProof/>
        </w:rPr>
        <w:fldChar w:fldCharType="separate"/>
      </w:r>
      <w:r w:rsidR="003F36D8">
        <w:rPr>
          <w:noProof/>
        </w:rPr>
        <w:t>5</w:t>
      </w:r>
      <w:r w:rsidRPr="006C069E">
        <w:rPr>
          <w:noProof/>
        </w:rPr>
        <w:fldChar w:fldCharType="end"/>
      </w:r>
    </w:p>
    <w:p w:rsidR="00674A3B" w:rsidRPr="006C069E" w:rsidRDefault="00674A3B">
      <w:pPr>
        <w:pStyle w:val="TOC2"/>
        <w:rPr>
          <w:rFonts w:asciiTheme="minorHAnsi" w:eastAsiaTheme="minorEastAsia" w:hAnsiTheme="minorHAnsi" w:cstheme="minorBidi"/>
          <w:b w:val="0"/>
          <w:noProof/>
          <w:kern w:val="0"/>
          <w:sz w:val="22"/>
          <w:szCs w:val="22"/>
        </w:rPr>
      </w:pPr>
      <w:r w:rsidRPr="006C069E">
        <w:rPr>
          <w:noProof/>
        </w:rPr>
        <w:t>Part</w:t>
      </w:r>
      <w:r w:rsidR="006C069E" w:rsidRPr="006C069E">
        <w:rPr>
          <w:noProof/>
        </w:rPr>
        <w:t> </w:t>
      </w:r>
      <w:r w:rsidRPr="006C069E">
        <w:rPr>
          <w:noProof/>
        </w:rPr>
        <w:t>4—Liability of employers to pay superannuation guarantee charge</w:t>
      </w:r>
      <w:r w:rsidRPr="006C069E">
        <w:rPr>
          <w:b w:val="0"/>
          <w:noProof/>
          <w:sz w:val="18"/>
        </w:rPr>
        <w:tab/>
      </w:r>
      <w:r w:rsidRPr="006C069E">
        <w:rPr>
          <w:b w:val="0"/>
          <w:noProof/>
          <w:sz w:val="18"/>
        </w:rPr>
        <w:fldChar w:fldCharType="begin"/>
      </w:r>
      <w:r w:rsidRPr="006C069E">
        <w:rPr>
          <w:b w:val="0"/>
          <w:noProof/>
          <w:sz w:val="18"/>
        </w:rPr>
        <w:instrText xml:space="preserve"> PAGEREF _Toc523810807 \h </w:instrText>
      </w:r>
      <w:r w:rsidRPr="006C069E">
        <w:rPr>
          <w:b w:val="0"/>
          <w:noProof/>
          <w:sz w:val="18"/>
        </w:rPr>
      </w:r>
      <w:r w:rsidRPr="006C069E">
        <w:rPr>
          <w:b w:val="0"/>
          <w:noProof/>
          <w:sz w:val="18"/>
        </w:rPr>
        <w:fldChar w:fldCharType="separate"/>
      </w:r>
      <w:r w:rsidR="003F36D8">
        <w:rPr>
          <w:b w:val="0"/>
          <w:noProof/>
          <w:sz w:val="18"/>
        </w:rPr>
        <w:t>10</w:t>
      </w:r>
      <w:r w:rsidRPr="006C069E">
        <w:rPr>
          <w:b w:val="0"/>
          <w:noProof/>
          <w:sz w:val="18"/>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11</w:t>
      </w:r>
      <w:r w:rsidRPr="006C069E">
        <w:rPr>
          <w:noProof/>
        </w:rPr>
        <w:tab/>
        <w:t>Certain employees excluded</w:t>
      </w:r>
      <w:r w:rsidRPr="006C069E">
        <w:rPr>
          <w:noProof/>
        </w:rPr>
        <w:tab/>
      </w:r>
      <w:r w:rsidRPr="006C069E">
        <w:rPr>
          <w:noProof/>
        </w:rPr>
        <w:fldChar w:fldCharType="begin"/>
      </w:r>
      <w:r w:rsidRPr="006C069E">
        <w:rPr>
          <w:noProof/>
        </w:rPr>
        <w:instrText xml:space="preserve"> PAGEREF _Toc523810808 \h </w:instrText>
      </w:r>
      <w:r w:rsidRPr="006C069E">
        <w:rPr>
          <w:noProof/>
        </w:rPr>
      </w:r>
      <w:r w:rsidRPr="006C069E">
        <w:rPr>
          <w:noProof/>
        </w:rPr>
        <w:fldChar w:fldCharType="separate"/>
      </w:r>
      <w:r w:rsidR="003F36D8">
        <w:rPr>
          <w:noProof/>
        </w:rPr>
        <w:t>10</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12</w:t>
      </w:r>
      <w:r w:rsidRPr="006C069E">
        <w:rPr>
          <w:noProof/>
        </w:rPr>
        <w:tab/>
        <w:t>Certain salary or wages excluded</w:t>
      </w:r>
      <w:r w:rsidRPr="006C069E">
        <w:rPr>
          <w:noProof/>
        </w:rPr>
        <w:tab/>
      </w:r>
      <w:r w:rsidRPr="006C069E">
        <w:rPr>
          <w:noProof/>
        </w:rPr>
        <w:fldChar w:fldCharType="begin"/>
      </w:r>
      <w:r w:rsidRPr="006C069E">
        <w:rPr>
          <w:noProof/>
        </w:rPr>
        <w:instrText xml:space="preserve"> PAGEREF _Toc523810809 \h </w:instrText>
      </w:r>
      <w:r w:rsidRPr="006C069E">
        <w:rPr>
          <w:noProof/>
        </w:rPr>
      </w:r>
      <w:r w:rsidRPr="006C069E">
        <w:rPr>
          <w:noProof/>
        </w:rPr>
        <w:fldChar w:fldCharType="separate"/>
      </w:r>
      <w:r w:rsidR="003F36D8">
        <w:rPr>
          <w:noProof/>
        </w:rPr>
        <w:t>11</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13</w:t>
      </w:r>
      <w:r w:rsidRPr="006C069E">
        <w:rPr>
          <w:noProof/>
        </w:rPr>
        <w:tab/>
        <w:t>Nominal interest component—rate applicable</w:t>
      </w:r>
      <w:r w:rsidRPr="006C069E">
        <w:rPr>
          <w:noProof/>
        </w:rPr>
        <w:tab/>
      </w:r>
      <w:r w:rsidRPr="006C069E">
        <w:rPr>
          <w:noProof/>
        </w:rPr>
        <w:fldChar w:fldCharType="begin"/>
      </w:r>
      <w:r w:rsidRPr="006C069E">
        <w:rPr>
          <w:noProof/>
        </w:rPr>
        <w:instrText xml:space="preserve"> PAGEREF _Toc523810810 \h </w:instrText>
      </w:r>
      <w:r w:rsidRPr="006C069E">
        <w:rPr>
          <w:noProof/>
        </w:rPr>
      </w:r>
      <w:r w:rsidRPr="006C069E">
        <w:rPr>
          <w:noProof/>
        </w:rPr>
        <w:fldChar w:fldCharType="separate"/>
      </w:r>
      <w:r w:rsidR="003F36D8">
        <w:rPr>
          <w:noProof/>
        </w:rPr>
        <w:t>11</w:t>
      </w:r>
      <w:r w:rsidRPr="006C069E">
        <w:rPr>
          <w:noProof/>
        </w:rPr>
        <w:fldChar w:fldCharType="end"/>
      </w:r>
    </w:p>
    <w:p w:rsidR="00674A3B" w:rsidRPr="006C069E" w:rsidRDefault="00674A3B">
      <w:pPr>
        <w:pStyle w:val="TOC2"/>
        <w:rPr>
          <w:rFonts w:asciiTheme="minorHAnsi" w:eastAsiaTheme="minorEastAsia" w:hAnsiTheme="minorHAnsi" w:cstheme="minorBidi"/>
          <w:b w:val="0"/>
          <w:noProof/>
          <w:kern w:val="0"/>
          <w:sz w:val="22"/>
          <w:szCs w:val="22"/>
        </w:rPr>
      </w:pPr>
      <w:r w:rsidRPr="006C069E">
        <w:rPr>
          <w:noProof/>
        </w:rPr>
        <w:t>Part</w:t>
      </w:r>
      <w:r w:rsidR="006C069E" w:rsidRPr="006C069E">
        <w:rPr>
          <w:noProof/>
        </w:rPr>
        <w:t> </w:t>
      </w:r>
      <w:r w:rsidRPr="006C069E">
        <w:rPr>
          <w:noProof/>
        </w:rPr>
        <w:t>5—Choice of fund requirements</w:t>
      </w:r>
      <w:r w:rsidRPr="006C069E">
        <w:rPr>
          <w:b w:val="0"/>
          <w:noProof/>
          <w:sz w:val="18"/>
        </w:rPr>
        <w:tab/>
      </w:r>
      <w:r w:rsidRPr="006C069E">
        <w:rPr>
          <w:b w:val="0"/>
          <w:noProof/>
          <w:sz w:val="18"/>
        </w:rPr>
        <w:fldChar w:fldCharType="begin"/>
      </w:r>
      <w:r w:rsidRPr="006C069E">
        <w:rPr>
          <w:b w:val="0"/>
          <w:noProof/>
          <w:sz w:val="18"/>
        </w:rPr>
        <w:instrText xml:space="preserve"> PAGEREF _Toc523810811 \h </w:instrText>
      </w:r>
      <w:r w:rsidRPr="006C069E">
        <w:rPr>
          <w:b w:val="0"/>
          <w:noProof/>
          <w:sz w:val="18"/>
        </w:rPr>
      </w:r>
      <w:r w:rsidRPr="006C069E">
        <w:rPr>
          <w:b w:val="0"/>
          <w:noProof/>
          <w:sz w:val="18"/>
        </w:rPr>
        <w:fldChar w:fldCharType="separate"/>
      </w:r>
      <w:r w:rsidR="003F36D8">
        <w:rPr>
          <w:b w:val="0"/>
          <w:noProof/>
          <w:sz w:val="18"/>
        </w:rPr>
        <w:t>12</w:t>
      </w:r>
      <w:r w:rsidRPr="006C069E">
        <w:rPr>
          <w:b w:val="0"/>
          <w:noProof/>
          <w:sz w:val="18"/>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14</w:t>
      </w:r>
      <w:r w:rsidRPr="006C069E">
        <w:rPr>
          <w:noProof/>
        </w:rPr>
        <w:tab/>
        <w:t>Requirement for providing or offering insurance in respect of death</w:t>
      </w:r>
      <w:r w:rsidRPr="006C069E">
        <w:rPr>
          <w:noProof/>
        </w:rPr>
        <w:tab/>
      </w:r>
      <w:r w:rsidRPr="006C069E">
        <w:rPr>
          <w:noProof/>
        </w:rPr>
        <w:fldChar w:fldCharType="begin"/>
      </w:r>
      <w:r w:rsidRPr="006C069E">
        <w:rPr>
          <w:noProof/>
        </w:rPr>
        <w:instrText xml:space="preserve"> PAGEREF _Toc523810812 \h </w:instrText>
      </w:r>
      <w:r w:rsidRPr="006C069E">
        <w:rPr>
          <w:noProof/>
        </w:rPr>
      </w:r>
      <w:r w:rsidRPr="006C069E">
        <w:rPr>
          <w:noProof/>
        </w:rPr>
        <w:fldChar w:fldCharType="separate"/>
      </w:r>
      <w:r w:rsidR="003F36D8">
        <w:rPr>
          <w:noProof/>
        </w:rPr>
        <w:t>12</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15</w:t>
      </w:r>
      <w:r w:rsidRPr="006C069E">
        <w:rPr>
          <w:noProof/>
        </w:rPr>
        <w:tab/>
        <w:t>Contributions under prescribed legislation</w:t>
      </w:r>
      <w:r w:rsidRPr="006C069E">
        <w:rPr>
          <w:noProof/>
        </w:rPr>
        <w:tab/>
      </w:r>
      <w:r w:rsidRPr="006C069E">
        <w:rPr>
          <w:noProof/>
        </w:rPr>
        <w:fldChar w:fldCharType="begin"/>
      </w:r>
      <w:r w:rsidRPr="006C069E">
        <w:rPr>
          <w:noProof/>
        </w:rPr>
        <w:instrText xml:space="preserve"> PAGEREF _Toc523810813 \h </w:instrText>
      </w:r>
      <w:r w:rsidRPr="006C069E">
        <w:rPr>
          <w:noProof/>
        </w:rPr>
      </w:r>
      <w:r w:rsidRPr="006C069E">
        <w:rPr>
          <w:noProof/>
        </w:rPr>
        <w:fldChar w:fldCharType="separate"/>
      </w:r>
      <w:r w:rsidR="003F36D8">
        <w:rPr>
          <w:noProof/>
        </w:rPr>
        <w:t>13</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16</w:t>
      </w:r>
      <w:r w:rsidRPr="006C069E">
        <w:rPr>
          <w:noProof/>
        </w:rPr>
        <w:tab/>
        <w:t>Chosen funds—information to be provided by employee</w:t>
      </w:r>
      <w:r w:rsidRPr="006C069E">
        <w:rPr>
          <w:noProof/>
        </w:rPr>
        <w:tab/>
      </w:r>
      <w:r w:rsidRPr="006C069E">
        <w:rPr>
          <w:noProof/>
        </w:rPr>
        <w:fldChar w:fldCharType="begin"/>
      </w:r>
      <w:r w:rsidRPr="006C069E">
        <w:rPr>
          <w:noProof/>
        </w:rPr>
        <w:instrText xml:space="preserve"> PAGEREF _Toc523810814 \h </w:instrText>
      </w:r>
      <w:r w:rsidRPr="006C069E">
        <w:rPr>
          <w:noProof/>
        </w:rPr>
      </w:r>
      <w:r w:rsidRPr="006C069E">
        <w:rPr>
          <w:noProof/>
        </w:rPr>
        <w:fldChar w:fldCharType="separate"/>
      </w:r>
      <w:r w:rsidR="003F36D8">
        <w:rPr>
          <w:noProof/>
        </w:rPr>
        <w:t>14</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17</w:t>
      </w:r>
      <w:r w:rsidRPr="006C069E">
        <w:rPr>
          <w:noProof/>
        </w:rPr>
        <w:tab/>
        <w:t>Standard choice form</w:t>
      </w:r>
      <w:r w:rsidRPr="006C069E">
        <w:rPr>
          <w:noProof/>
        </w:rPr>
        <w:tab/>
      </w:r>
      <w:r w:rsidRPr="006C069E">
        <w:rPr>
          <w:noProof/>
        </w:rPr>
        <w:fldChar w:fldCharType="begin"/>
      </w:r>
      <w:r w:rsidRPr="006C069E">
        <w:rPr>
          <w:noProof/>
        </w:rPr>
        <w:instrText xml:space="preserve"> PAGEREF _Toc523810815 \h </w:instrText>
      </w:r>
      <w:r w:rsidRPr="006C069E">
        <w:rPr>
          <w:noProof/>
        </w:rPr>
      </w:r>
      <w:r w:rsidRPr="006C069E">
        <w:rPr>
          <w:noProof/>
        </w:rPr>
        <w:fldChar w:fldCharType="separate"/>
      </w:r>
      <w:r w:rsidR="003F36D8">
        <w:rPr>
          <w:noProof/>
        </w:rPr>
        <w:t>14</w:t>
      </w:r>
      <w:r w:rsidRPr="006C069E">
        <w:rPr>
          <w:noProof/>
        </w:rPr>
        <w:fldChar w:fldCharType="end"/>
      </w:r>
    </w:p>
    <w:p w:rsidR="00674A3B" w:rsidRPr="006C069E" w:rsidRDefault="00674A3B">
      <w:pPr>
        <w:pStyle w:val="TOC2"/>
        <w:rPr>
          <w:rFonts w:asciiTheme="minorHAnsi" w:eastAsiaTheme="minorEastAsia" w:hAnsiTheme="minorHAnsi" w:cstheme="minorBidi"/>
          <w:b w:val="0"/>
          <w:noProof/>
          <w:kern w:val="0"/>
          <w:sz w:val="22"/>
          <w:szCs w:val="22"/>
        </w:rPr>
      </w:pPr>
      <w:r w:rsidRPr="006C069E">
        <w:rPr>
          <w:noProof/>
        </w:rPr>
        <w:t>Part</w:t>
      </w:r>
      <w:r w:rsidR="006C069E" w:rsidRPr="006C069E">
        <w:rPr>
          <w:noProof/>
        </w:rPr>
        <w:t> </w:t>
      </w:r>
      <w:r w:rsidRPr="006C069E">
        <w:rPr>
          <w:noProof/>
        </w:rPr>
        <w:t>6—Payments of amounts of shortfall components for the benefit of employees</w:t>
      </w:r>
      <w:r w:rsidRPr="006C069E">
        <w:rPr>
          <w:b w:val="0"/>
          <w:noProof/>
          <w:sz w:val="18"/>
        </w:rPr>
        <w:tab/>
      </w:r>
      <w:r w:rsidRPr="006C069E">
        <w:rPr>
          <w:b w:val="0"/>
          <w:noProof/>
          <w:sz w:val="18"/>
        </w:rPr>
        <w:fldChar w:fldCharType="begin"/>
      </w:r>
      <w:r w:rsidRPr="006C069E">
        <w:rPr>
          <w:b w:val="0"/>
          <w:noProof/>
          <w:sz w:val="18"/>
        </w:rPr>
        <w:instrText xml:space="preserve"> PAGEREF _Toc523810816 \h </w:instrText>
      </w:r>
      <w:r w:rsidRPr="006C069E">
        <w:rPr>
          <w:b w:val="0"/>
          <w:noProof/>
          <w:sz w:val="18"/>
        </w:rPr>
      </w:r>
      <w:r w:rsidRPr="006C069E">
        <w:rPr>
          <w:b w:val="0"/>
          <w:noProof/>
          <w:sz w:val="18"/>
        </w:rPr>
        <w:fldChar w:fldCharType="separate"/>
      </w:r>
      <w:r w:rsidR="003F36D8">
        <w:rPr>
          <w:b w:val="0"/>
          <w:noProof/>
          <w:sz w:val="18"/>
        </w:rPr>
        <w:t>15</w:t>
      </w:r>
      <w:r w:rsidRPr="006C069E">
        <w:rPr>
          <w:b w:val="0"/>
          <w:noProof/>
          <w:sz w:val="18"/>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18</w:t>
      </w:r>
      <w:r w:rsidRPr="006C069E">
        <w:rPr>
          <w:noProof/>
        </w:rPr>
        <w:tab/>
        <w:t>Employee must be notified of certain shortfall components</w:t>
      </w:r>
      <w:r w:rsidRPr="006C069E">
        <w:rPr>
          <w:noProof/>
        </w:rPr>
        <w:tab/>
      </w:r>
      <w:r w:rsidRPr="006C069E">
        <w:rPr>
          <w:noProof/>
        </w:rPr>
        <w:fldChar w:fldCharType="begin"/>
      </w:r>
      <w:r w:rsidRPr="006C069E">
        <w:rPr>
          <w:noProof/>
        </w:rPr>
        <w:instrText xml:space="preserve"> PAGEREF _Toc523810817 \h </w:instrText>
      </w:r>
      <w:r w:rsidRPr="006C069E">
        <w:rPr>
          <w:noProof/>
        </w:rPr>
      </w:r>
      <w:r w:rsidRPr="006C069E">
        <w:rPr>
          <w:noProof/>
        </w:rPr>
        <w:fldChar w:fldCharType="separate"/>
      </w:r>
      <w:r w:rsidR="003F36D8">
        <w:rPr>
          <w:noProof/>
        </w:rPr>
        <w:t>15</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19</w:t>
      </w:r>
      <w:r w:rsidRPr="006C069E">
        <w:rPr>
          <w:noProof/>
        </w:rPr>
        <w:tab/>
        <w:t>Responses to notice of a shortfall component</w:t>
      </w:r>
      <w:r w:rsidRPr="006C069E">
        <w:rPr>
          <w:noProof/>
        </w:rPr>
        <w:tab/>
      </w:r>
      <w:r w:rsidRPr="006C069E">
        <w:rPr>
          <w:noProof/>
        </w:rPr>
        <w:fldChar w:fldCharType="begin"/>
      </w:r>
      <w:r w:rsidRPr="006C069E">
        <w:rPr>
          <w:noProof/>
        </w:rPr>
        <w:instrText xml:space="preserve"> PAGEREF _Toc523810818 \h </w:instrText>
      </w:r>
      <w:r w:rsidRPr="006C069E">
        <w:rPr>
          <w:noProof/>
        </w:rPr>
      </w:r>
      <w:r w:rsidRPr="006C069E">
        <w:rPr>
          <w:noProof/>
        </w:rPr>
        <w:fldChar w:fldCharType="separate"/>
      </w:r>
      <w:r w:rsidR="003F36D8">
        <w:rPr>
          <w:noProof/>
        </w:rPr>
        <w:t>15</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20</w:t>
      </w:r>
      <w:r w:rsidRPr="006C069E">
        <w:rPr>
          <w:noProof/>
        </w:rPr>
        <w:tab/>
        <w:t>Obligation of responsible officers who receive a request from an employee</w:t>
      </w:r>
      <w:r w:rsidRPr="006C069E">
        <w:rPr>
          <w:noProof/>
        </w:rPr>
        <w:tab/>
      </w:r>
      <w:r w:rsidRPr="006C069E">
        <w:rPr>
          <w:noProof/>
        </w:rPr>
        <w:fldChar w:fldCharType="begin"/>
      </w:r>
      <w:r w:rsidRPr="006C069E">
        <w:rPr>
          <w:noProof/>
        </w:rPr>
        <w:instrText xml:space="preserve"> PAGEREF _Toc523810819 \h </w:instrText>
      </w:r>
      <w:r w:rsidRPr="006C069E">
        <w:rPr>
          <w:noProof/>
        </w:rPr>
      </w:r>
      <w:r w:rsidRPr="006C069E">
        <w:rPr>
          <w:noProof/>
        </w:rPr>
        <w:fldChar w:fldCharType="separate"/>
      </w:r>
      <w:r w:rsidR="003F36D8">
        <w:rPr>
          <w:noProof/>
        </w:rPr>
        <w:t>16</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21</w:t>
      </w:r>
      <w:r w:rsidRPr="006C069E">
        <w:rPr>
          <w:noProof/>
        </w:rPr>
        <w:tab/>
        <w:t>Responses to notice are nominations</w:t>
      </w:r>
      <w:r w:rsidRPr="006C069E">
        <w:rPr>
          <w:noProof/>
        </w:rPr>
        <w:tab/>
      </w:r>
      <w:r w:rsidRPr="006C069E">
        <w:rPr>
          <w:noProof/>
        </w:rPr>
        <w:fldChar w:fldCharType="begin"/>
      </w:r>
      <w:r w:rsidRPr="006C069E">
        <w:rPr>
          <w:noProof/>
        </w:rPr>
        <w:instrText xml:space="preserve"> PAGEREF _Toc523810820 \h </w:instrText>
      </w:r>
      <w:r w:rsidRPr="006C069E">
        <w:rPr>
          <w:noProof/>
        </w:rPr>
      </w:r>
      <w:r w:rsidRPr="006C069E">
        <w:rPr>
          <w:noProof/>
        </w:rPr>
        <w:fldChar w:fldCharType="separate"/>
      </w:r>
      <w:r w:rsidR="003F36D8">
        <w:rPr>
          <w:noProof/>
        </w:rPr>
        <w:t>16</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22</w:t>
      </w:r>
      <w:r w:rsidRPr="006C069E">
        <w:rPr>
          <w:noProof/>
        </w:rPr>
        <w:tab/>
        <w:t>Nomination of relevant fund by employee</w:t>
      </w:r>
      <w:r w:rsidRPr="006C069E">
        <w:rPr>
          <w:noProof/>
        </w:rPr>
        <w:tab/>
      </w:r>
      <w:r w:rsidRPr="006C069E">
        <w:rPr>
          <w:noProof/>
        </w:rPr>
        <w:fldChar w:fldCharType="begin"/>
      </w:r>
      <w:r w:rsidRPr="006C069E">
        <w:rPr>
          <w:noProof/>
        </w:rPr>
        <w:instrText xml:space="preserve"> PAGEREF _Toc523810821 \h </w:instrText>
      </w:r>
      <w:r w:rsidRPr="006C069E">
        <w:rPr>
          <w:noProof/>
        </w:rPr>
      </w:r>
      <w:r w:rsidRPr="006C069E">
        <w:rPr>
          <w:noProof/>
        </w:rPr>
        <w:fldChar w:fldCharType="separate"/>
      </w:r>
      <w:r w:rsidR="003F36D8">
        <w:rPr>
          <w:noProof/>
        </w:rPr>
        <w:t>16</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23</w:t>
      </w:r>
      <w:r w:rsidRPr="006C069E">
        <w:rPr>
          <w:noProof/>
        </w:rPr>
        <w:tab/>
        <w:t>Shortfall component not to be paid in certain circumstances</w:t>
      </w:r>
      <w:r w:rsidRPr="006C069E">
        <w:rPr>
          <w:noProof/>
        </w:rPr>
        <w:tab/>
      </w:r>
      <w:r w:rsidRPr="006C069E">
        <w:rPr>
          <w:noProof/>
        </w:rPr>
        <w:fldChar w:fldCharType="begin"/>
      </w:r>
      <w:r w:rsidRPr="006C069E">
        <w:rPr>
          <w:noProof/>
        </w:rPr>
        <w:instrText xml:space="preserve"> PAGEREF _Toc523810822 \h </w:instrText>
      </w:r>
      <w:r w:rsidRPr="006C069E">
        <w:rPr>
          <w:noProof/>
        </w:rPr>
      </w:r>
      <w:r w:rsidRPr="006C069E">
        <w:rPr>
          <w:noProof/>
        </w:rPr>
        <w:fldChar w:fldCharType="separate"/>
      </w:r>
      <w:r w:rsidR="003F36D8">
        <w:rPr>
          <w:noProof/>
        </w:rPr>
        <w:t>17</w:t>
      </w:r>
      <w:r w:rsidRPr="006C069E">
        <w:rPr>
          <w:noProof/>
        </w:rPr>
        <w:fldChar w:fldCharType="end"/>
      </w:r>
    </w:p>
    <w:p w:rsidR="00674A3B" w:rsidRPr="006C069E" w:rsidRDefault="00674A3B">
      <w:pPr>
        <w:pStyle w:val="TOC2"/>
        <w:rPr>
          <w:rFonts w:asciiTheme="minorHAnsi" w:eastAsiaTheme="minorEastAsia" w:hAnsiTheme="minorHAnsi" w:cstheme="minorBidi"/>
          <w:b w:val="0"/>
          <w:noProof/>
          <w:kern w:val="0"/>
          <w:sz w:val="22"/>
          <w:szCs w:val="22"/>
        </w:rPr>
      </w:pPr>
      <w:r w:rsidRPr="006C069E">
        <w:rPr>
          <w:noProof/>
        </w:rPr>
        <w:t>Part</w:t>
      </w:r>
      <w:r w:rsidR="006C069E" w:rsidRPr="006C069E">
        <w:rPr>
          <w:noProof/>
        </w:rPr>
        <w:t> </w:t>
      </w:r>
      <w:r w:rsidRPr="006C069E">
        <w:rPr>
          <w:noProof/>
        </w:rPr>
        <w:t>7—Miscellaneous</w:t>
      </w:r>
      <w:r w:rsidRPr="006C069E">
        <w:rPr>
          <w:b w:val="0"/>
          <w:noProof/>
          <w:sz w:val="18"/>
        </w:rPr>
        <w:tab/>
      </w:r>
      <w:r w:rsidRPr="006C069E">
        <w:rPr>
          <w:b w:val="0"/>
          <w:noProof/>
          <w:sz w:val="18"/>
        </w:rPr>
        <w:fldChar w:fldCharType="begin"/>
      </w:r>
      <w:r w:rsidRPr="006C069E">
        <w:rPr>
          <w:b w:val="0"/>
          <w:noProof/>
          <w:sz w:val="18"/>
        </w:rPr>
        <w:instrText xml:space="preserve"> PAGEREF _Toc523810823 \h </w:instrText>
      </w:r>
      <w:r w:rsidRPr="006C069E">
        <w:rPr>
          <w:b w:val="0"/>
          <w:noProof/>
          <w:sz w:val="18"/>
        </w:rPr>
      </w:r>
      <w:r w:rsidRPr="006C069E">
        <w:rPr>
          <w:b w:val="0"/>
          <w:noProof/>
          <w:sz w:val="18"/>
        </w:rPr>
        <w:fldChar w:fldCharType="separate"/>
      </w:r>
      <w:r w:rsidR="003F36D8">
        <w:rPr>
          <w:b w:val="0"/>
          <w:noProof/>
          <w:sz w:val="18"/>
        </w:rPr>
        <w:t>18</w:t>
      </w:r>
      <w:r w:rsidRPr="006C069E">
        <w:rPr>
          <w:b w:val="0"/>
          <w:noProof/>
          <w:sz w:val="18"/>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24</w:t>
      </w:r>
      <w:r w:rsidRPr="006C069E">
        <w:rPr>
          <w:noProof/>
        </w:rPr>
        <w:tab/>
        <w:t>Approved clearing houses</w:t>
      </w:r>
      <w:r w:rsidRPr="006C069E">
        <w:rPr>
          <w:noProof/>
        </w:rPr>
        <w:tab/>
      </w:r>
      <w:r w:rsidRPr="006C069E">
        <w:rPr>
          <w:noProof/>
        </w:rPr>
        <w:fldChar w:fldCharType="begin"/>
      </w:r>
      <w:r w:rsidRPr="006C069E">
        <w:rPr>
          <w:noProof/>
        </w:rPr>
        <w:instrText xml:space="preserve"> PAGEREF _Toc523810824 \h </w:instrText>
      </w:r>
      <w:r w:rsidRPr="006C069E">
        <w:rPr>
          <w:noProof/>
        </w:rPr>
      </w:r>
      <w:r w:rsidRPr="006C069E">
        <w:rPr>
          <w:noProof/>
        </w:rPr>
        <w:fldChar w:fldCharType="separate"/>
      </w:r>
      <w:r w:rsidR="003F36D8">
        <w:rPr>
          <w:noProof/>
        </w:rPr>
        <w:t>18</w:t>
      </w:r>
      <w:r w:rsidRPr="006C069E">
        <w:rPr>
          <w:noProof/>
        </w:rPr>
        <w:fldChar w:fldCharType="end"/>
      </w:r>
    </w:p>
    <w:p w:rsidR="00674A3B" w:rsidRPr="006C069E" w:rsidRDefault="00674A3B">
      <w:pPr>
        <w:pStyle w:val="TOC2"/>
        <w:rPr>
          <w:rFonts w:asciiTheme="minorHAnsi" w:eastAsiaTheme="minorEastAsia" w:hAnsiTheme="minorHAnsi" w:cstheme="minorBidi"/>
          <w:b w:val="0"/>
          <w:noProof/>
          <w:kern w:val="0"/>
          <w:sz w:val="22"/>
          <w:szCs w:val="22"/>
        </w:rPr>
      </w:pPr>
      <w:r w:rsidRPr="006C069E">
        <w:rPr>
          <w:noProof/>
        </w:rPr>
        <w:t>Part</w:t>
      </w:r>
      <w:r w:rsidR="006C069E" w:rsidRPr="006C069E">
        <w:rPr>
          <w:noProof/>
        </w:rPr>
        <w:t> </w:t>
      </w:r>
      <w:r w:rsidRPr="006C069E">
        <w:rPr>
          <w:noProof/>
        </w:rPr>
        <w:t>8—Application and transitional provisions</w:t>
      </w:r>
      <w:r w:rsidRPr="006C069E">
        <w:rPr>
          <w:b w:val="0"/>
          <w:noProof/>
          <w:sz w:val="18"/>
        </w:rPr>
        <w:tab/>
      </w:r>
      <w:r w:rsidRPr="006C069E">
        <w:rPr>
          <w:b w:val="0"/>
          <w:noProof/>
          <w:sz w:val="18"/>
        </w:rPr>
        <w:fldChar w:fldCharType="begin"/>
      </w:r>
      <w:r w:rsidRPr="006C069E">
        <w:rPr>
          <w:b w:val="0"/>
          <w:noProof/>
          <w:sz w:val="18"/>
        </w:rPr>
        <w:instrText xml:space="preserve"> PAGEREF _Toc523810825 \h </w:instrText>
      </w:r>
      <w:r w:rsidRPr="006C069E">
        <w:rPr>
          <w:b w:val="0"/>
          <w:noProof/>
          <w:sz w:val="18"/>
        </w:rPr>
      </w:r>
      <w:r w:rsidRPr="006C069E">
        <w:rPr>
          <w:b w:val="0"/>
          <w:noProof/>
          <w:sz w:val="18"/>
        </w:rPr>
        <w:fldChar w:fldCharType="separate"/>
      </w:r>
      <w:r w:rsidR="003F36D8">
        <w:rPr>
          <w:b w:val="0"/>
          <w:noProof/>
          <w:sz w:val="18"/>
        </w:rPr>
        <w:t>19</w:t>
      </w:r>
      <w:r w:rsidRPr="006C069E">
        <w:rPr>
          <w:b w:val="0"/>
          <w:noProof/>
          <w:sz w:val="18"/>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25</w:t>
      </w:r>
      <w:r w:rsidRPr="006C069E">
        <w:rPr>
          <w:noProof/>
        </w:rPr>
        <w:tab/>
        <w:t>Application—contributions</w:t>
      </w:r>
      <w:r w:rsidRPr="006C069E">
        <w:rPr>
          <w:noProof/>
        </w:rPr>
        <w:tab/>
      </w:r>
      <w:r w:rsidRPr="006C069E">
        <w:rPr>
          <w:noProof/>
        </w:rPr>
        <w:fldChar w:fldCharType="begin"/>
      </w:r>
      <w:r w:rsidRPr="006C069E">
        <w:rPr>
          <w:noProof/>
        </w:rPr>
        <w:instrText xml:space="preserve"> PAGEREF _Toc523810826 \h </w:instrText>
      </w:r>
      <w:r w:rsidRPr="006C069E">
        <w:rPr>
          <w:noProof/>
        </w:rPr>
      </w:r>
      <w:r w:rsidRPr="006C069E">
        <w:rPr>
          <w:noProof/>
        </w:rPr>
        <w:fldChar w:fldCharType="separate"/>
      </w:r>
      <w:r w:rsidR="003F36D8">
        <w:rPr>
          <w:noProof/>
        </w:rPr>
        <w:t>19</w:t>
      </w:r>
      <w:r w:rsidRPr="006C069E">
        <w:rPr>
          <w:noProof/>
        </w:rPr>
        <w:fldChar w:fldCharType="end"/>
      </w:r>
    </w:p>
    <w:p w:rsidR="00674A3B" w:rsidRPr="006C069E" w:rsidRDefault="00674A3B">
      <w:pPr>
        <w:pStyle w:val="TOC5"/>
        <w:rPr>
          <w:rFonts w:asciiTheme="minorHAnsi" w:eastAsiaTheme="minorEastAsia" w:hAnsiTheme="minorHAnsi" w:cstheme="minorBidi"/>
          <w:noProof/>
          <w:kern w:val="0"/>
          <w:sz w:val="22"/>
          <w:szCs w:val="22"/>
        </w:rPr>
      </w:pPr>
      <w:r w:rsidRPr="006C069E">
        <w:rPr>
          <w:noProof/>
        </w:rPr>
        <w:t>26</w:t>
      </w:r>
      <w:r w:rsidRPr="006C069E">
        <w:rPr>
          <w:noProof/>
        </w:rPr>
        <w:tab/>
        <w:t xml:space="preserve">Things done under the </w:t>
      </w:r>
      <w:r w:rsidRPr="006C069E">
        <w:rPr>
          <w:i/>
          <w:noProof/>
        </w:rPr>
        <w:t>Superannuation Guarantee (Administration) Regulations</w:t>
      </w:r>
      <w:r w:rsidR="006C069E" w:rsidRPr="006C069E">
        <w:rPr>
          <w:i/>
          <w:noProof/>
        </w:rPr>
        <w:t> </w:t>
      </w:r>
      <w:r w:rsidRPr="006C069E">
        <w:rPr>
          <w:i/>
          <w:noProof/>
        </w:rPr>
        <w:t>1993</w:t>
      </w:r>
      <w:r w:rsidRPr="006C069E">
        <w:rPr>
          <w:noProof/>
        </w:rPr>
        <w:tab/>
      </w:r>
      <w:r w:rsidRPr="006C069E">
        <w:rPr>
          <w:noProof/>
        </w:rPr>
        <w:fldChar w:fldCharType="begin"/>
      </w:r>
      <w:r w:rsidRPr="006C069E">
        <w:rPr>
          <w:noProof/>
        </w:rPr>
        <w:instrText xml:space="preserve"> PAGEREF _Toc523810827 \h </w:instrText>
      </w:r>
      <w:r w:rsidRPr="006C069E">
        <w:rPr>
          <w:noProof/>
        </w:rPr>
      </w:r>
      <w:r w:rsidRPr="006C069E">
        <w:rPr>
          <w:noProof/>
        </w:rPr>
        <w:fldChar w:fldCharType="separate"/>
      </w:r>
      <w:r w:rsidR="003F36D8">
        <w:rPr>
          <w:noProof/>
        </w:rPr>
        <w:t>19</w:t>
      </w:r>
      <w:r w:rsidRPr="006C069E">
        <w:rPr>
          <w:noProof/>
        </w:rPr>
        <w:fldChar w:fldCharType="end"/>
      </w:r>
    </w:p>
    <w:p w:rsidR="00674A3B" w:rsidRPr="006C069E" w:rsidRDefault="00674A3B">
      <w:pPr>
        <w:pStyle w:val="TOC6"/>
        <w:rPr>
          <w:rFonts w:asciiTheme="minorHAnsi" w:eastAsiaTheme="minorEastAsia" w:hAnsiTheme="minorHAnsi" w:cstheme="minorBidi"/>
          <w:b w:val="0"/>
          <w:noProof/>
          <w:kern w:val="0"/>
          <w:sz w:val="22"/>
          <w:szCs w:val="22"/>
        </w:rPr>
      </w:pPr>
      <w:r w:rsidRPr="006C069E">
        <w:rPr>
          <w:noProof/>
        </w:rPr>
        <w:t>Schedule</w:t>
      </w:r>
      <w:r w:rsidR="006C069E" w:rsidRPr="006C069E">
        <w:rPr>
          <w:noProof/>
        </w:rPr>
        <w:t> </w:t>
      </w:r>
      <w:r w:rsidRPr="006C069E">
        <w:rPr>
          <w:noProof/>
        </w:rPr>
        <w:t>1—Repeals</w:t>
      </w:r>
      <w:r w:rsidRPr="006C069E">
        <w:rPr>
          <w:b w:val="0"/>
          <w:noProof/>
          <w:sz w:val="18"/>
        </w:rPr>
        <w:tab/>
      </w:r>
      <w:r w:rsidRPr="006C069E">
        <w:rPr>
          <w:b w:val="0"/>
          <w:noProof/>
          <w:sz w:val="18"/>
        </w:rPr>
        <w:fldChar w:fldCharType="begin"/>
      </w:r>
      <w:r w:rsidRPr="006C069E">
        <w:rPr>
          <w:b w:val="0"/>
          <w:noProof/>
          <w:sz w:val="18"/>
        </w:rPr>
        <w:instrText xml:space="preserve"> PAGEREF _Toc523810828 \h </w:instrText>
      </w:r>
      <w:r w:rsidRPr="006C069E">
        <w:rPr>
          <w:b w:val="0"/>
          <w:noProof/>
          <w:sz w:val="18"/>
        </w:rPr>
      </w:r>
      <w:r w:rsidRPr="006C069E">
        <w:rPr>
          <w:b w:val="0"/>
          <w:noProof/>
          <w:sz w:val="18"/>
        </w:rPr>
        <w:fldChar w:fldCharType="separate"/>
      </w:r>
      <w:r w:rsidR="003F36D8">
        <w:rPr>
          <w:b w:val="0"/>
          <w:noProof/>
          <w:sz w:val="18"/>
        </w:rPr>
        <w:t>20</w:t>
      </w:r>
      <w:r w:rsidRPr="006C069E">
        <w:rPr>
          <w:b w:val="0"/>
          <w:noProof/>
          <w:sz w:val="18"/>
        </w:rPr>
        <w:fldChar w:fldCharType="end"/>
      </w:r>
    </w:p>
    <w:p w:rsidR="00674A3B" w:rsidRPr="006C069E" w:rsidRDefault="00674A3B">
      <w:pPr>
        <w:pStyle w:val="TOC9"/>
        <w:rPr>
          <w:rFonts w:asciiTheme="minorHAnsi" w:eastAsiaTheme="minorEastAsia" w:hAnsiTheme="minorHAnsi" w:cstheme="minorBidi"/>
          <w:i w:val="0"/>
          <w:noProof/>
          <w:kern w:val="0"/>
          <w:sz w:val="22"/>
          <w:szCs w:val="22"/>
        </w:rPr>
      </w:pPr>
      <w:r w:rsidRPr="006C069E">
        <w:rPr>
          <w:noProof/>
        </w:rPr>
        <w:t>Superannuation Guarantee (Administration) Regulations</w:t>
      </w:r>
      <w:r w:rsidR="006C069E" w:rsidRPr="006C069E">
        <w:rPr>
          <w:noProof/>
        </w:rPr>
        <w:t> </w:t>
      </w:r>
      <w:r w:rsidRPr="006C069E">
        <w:rPr>
          <w:noProof/>
        </w:rPr>
        <w:t>1993</w:t>
      </w:r>
      <w:r w:rsidRPr="006C069E">
        <w:rPr>
          <w:i w:val="0"/>
          <w:noProof/>
          <w:sz w:val="18"/>
        </w:rPr>
        <w:tab/>
      </w:r>
      <w:r w:rsidRPr="006C069E">
        <w:rPr>
          <w:i w:val="0"/>
          <w:noProof/>
          <w:sz w:val="18"/>
        </w:rPr>
        <w:fldChar w:fldCharType="begin"/>
      </w:r>
      <w:r w:rsidRPr="006C069E">
        <w:rPr>
          <w:i w:val="0"/>
          <w:noProof/>
          <w:sz w:val="18"/>
        </w:rPr>
        <w:instrText xml:space="preserve"> PAGEREF _Toc523810829 \h </w:instrText>
      </w:r>
      <w:r w:rsidRPr="006C069E">
        <w:rPr>
          <w:i w:val="0"/>
          <w:noProof/>
          <w:sz w:val="18"/>
        </w:rPr>
      </w:r>
      <w:r w:rsidRPr="006C069E">
        <w:rPr>
          <w:i w:val="0"/>
          <w:noProof/>
          <w:sz w:val="18"/>
        </w:rPr>
        <w:fldChar w:fldCharType="separate"/>
      </w:r>
      <w:r w:rsidR="003F36D8">
        <w:rPr>
          <w:i w:val="0"/>
          <w:noProof/>
          <w:sz w:val="18"/>
        </w:rPr>
        <w:t>20</w:t>
      </w:r>
      <w:r w:rsidRPr="006C069E">
        <w:rPr>
          <w:i w:val="0"/>
          <w:noProof/>
          <w:sz w:val="18"/>
        </w:rPr>
        <w:fldChar w:fldCharType="end"/>
      </w:r>
    </w:p>
    <w:p w:rsidR="00670EA1" w:rsidRPr="006C069E" w:rsidRDefault="00674A3B" w:rsidP="00715914">
      <w:r w:rsidRPr="006C069E">
        <w:fldChar w:fldCharType="end"/>
      </w:r>
    </w:p>
    <w:p w:rsidR="00670EA1" w:rsidRPr="006C069E" w:rsidRDefault="00670EA1" w:rsidP="00715914">
      <w:pPr>
        <w:sectPr w:rsidR="00670EA1" w:rsidRPr="006C069E" w:rsidSect="005F62E4">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C069E" w:rsidRDefault="00715914" w:rsidP="00715914">
      <w:pPr>
        <w:pStyle w:val="ActHead2"/>
      </w:pPr>
      <w:bookmarkStart w:id="0" w:name="_Toc523810794"/>
      <w:r w:rsidRPr="006C069E">
        <w:rPr>
          <w:rStyle w:val="CharPartNo"/>
        </w:rPr>
        <w:lastRenderedPageBreak/>
        <w:t>Part</w:t>
      </w:r>
      <w:r w:rsidR="006C069E" w:rsidRPr="006C069E">
        <w:rPr>
          <w:rStyle w:val="CharPartNo"/>
        </w:rPr>
        <w:t> </w:t>
      </w:r>
      <w:r w:rsidRPr="006C069E">
        <w:rPr>
          <w:rStyle w:val="CharPartNo"/>
        </w:rPr>
        <w:t>1</w:t>
      </w:r>
      <w:r w:rsidRPr="006C069E">
        <w:t>—</w:t>
      </w:r>
      <w:r w:rsidRPr="006C069E">
        <w:rPr>
          <w:rStyle w:val="CharPartText"/>
        </w:rPr>
        <w:t>Preliminary</w:t>
      </w:r>
      <w:bookmarkEnd w:id="0"/>
    </w:p>
    <w:p w:rsidR="00715914" w:rsidRPr="006C069E" w:rsidRDefault="00715914" w:rsidP="00715914">
      <w:pPr>
        <w:pStyle w:val="Header"/>
      </w:pPr>
      <w:r w:rsidRPr="006C069E">
        <w:rPr>
          <w:rStyle w:val="CharDivNo"/>
        </w:rPr>
        <w:t xml:space="preserve"> </w:t>
      </w:r>
      <w:r w:rsidRPr="006C069E">
        <w:rPr>
          <w:rStyle w:val="CharDivText"/>
        </w:rPr>
        <w:t xml:space="preserve"> </w:t>
      </w:r>
    </w:p>
    <w:p w:rsidR="00715914" w:rsidRPr="006C069E" w:rsidRDefault="00715914" w:rsidP="00715914">
      <w:pPr>
        <w:pStyle w:val="ActHead5"/>
      </w:pPr>
      <w:bookmarkStart w:id="1" w:name="_Toc523810795"/>
      <w:r w:rsidRPr="006C069E">
        <w:rPr>
          <w:rStyle w:val="CharSectno"/>
        </w:rPr>
        <w:t>1</w:t>
      </w:r>
      <w:r w:rsidRPr="006C069E">
        <w:t xml:space="preserve">  </w:t>
      </w:r>
      <w:r w:rsidR="00CE493D" w:rsidRPr="006C069E">
        <w:t>Name</w:t>
      </w:r>
      <w:bookmarkEnd w:id="1"/>
    </w:p>
    <w:p w:rsidR="00715914" w:rsidRPr="006C069E" w:rsidRDefault="00715914" w:rsidP="00715914">
      <w:pPr>
        <w:pStyle w:val="subsection"/>
      </w:pPr>
      <w:r w:rsidRPr="006C069E">
        <w:tab/>
      </w:r>
      <w:r w:rsidRPr="006C069E">
        <w:tab/>
      </w:r>
      <w:r w:rsidR="00BA2D8C" w:rsidRPr="006C069E">
        <w:t>This instrument is</w:t>
      </w:r>
      <w:r w:rsidR="00CE493D" w:rsidRPr="006C069E">
        <w:t xml:space="preserve"> the </w:t>
      </w:r>
      <w:r w:rsidR="00BC76AC" w:rsidRPr="006C069E">
        <w:rPr>
          <w:i/>
        </w:rPr>
        <w:fldChar w:fldCharType="begin"/>
      </w:r>
      <w:r w:rsidR="00BC76AC" w:rsidRPr="006C069E">
        <w:rPr>
          <w:i/>
        </w:rPr>
        <w:instrText xml:space="preserve"> STYLEREF  ShortT </w:instrText>
      </w:r>
      <w:r w:rsidR="00BC76AC" w:rsidRPr="006C069E">
        <w:rPr>
          <w:i/>
        </w:rPr>
        <w:fldChar w:fldCharType="separate"/>
      </w:r>
      <w:r w:rsidR="003F36D8">
        <w:rPr>
          <w:i/>
          <w:noProof/>
        </w:rPr>
        <w:t>Superannuation Guarantee (Administration) Regulations 2018</w:t>
      </w:r>
      <w:r w:rsidR="00BC76AC" w:rsidRPr="006C069E">
        <w:rPr>
          <w:i/>
        </w:rPr>
        <w:fldChar w:fldCharType="end"/>
      </w:r>
      <w:r w:rsidRPr="006C069E">
        <w:t>.</w:t>
      </w:r>
    </w:p>
    <w:p w:rsidR="00715914" w:rsidRPr="006C069E" w:rsidRDefault="00715914" w:rsidP="00715914">
      <w:pPr>
        <w:pStyle w:val="ActHead5"/>
      </w:pPr>
      <w:bookmarkStart w:id="2" w:name="_Toc523810796"/>
      <w:r w:rsidRPr="006C069E">
        <w:rPr>
          <w:rStyle w:val="CharSectno"/>
        </w:rPr>
        <w:t>2</w:t>
      </w:r>
      <w:r w:rsidRPr="006C069E">
        <w:t xml:space="preserve">  Commencement</w:t>
      </w:r>
      <w:bookmarkEnd w:id="2"/>
    </w:p>
    <w:p w:rsidR="00BA0C87" w:rsidRPr="006C069E" w:rsidRDefault="00BA0C87" w:rsidP="00717B09">
      <w:pPr>
        <w:pStyle w:val="subsection"/>
      </w:pPr>
      <w:r w:rsidRPr="006C069E">
        <w:tab/>
        <w:t>(1)</w:t>
      </w:r>
      <w:r w:rsidRPr="006C069E">
        <w:tab/>
        <w:t xml:space="preserve">Each provision of </w:t>
      </w:r>
      <w:r w:rsidR="00BA2D8C" w:rsidRPr="006C069E">
        <w:t>this instrument</w:t>
      </w:r>
      <w:r w:rsidRPr="006C069E">
        <w:t xml:space="preserve"> specified in column 1 of the table commences, or is taken to have commenced, in accordance with column 2 of the table. Any other statement in column 2 has effect according to its terms.</w:t>
      </w:r>
    </w:p>
    <w:p w:rsidR="00BA0C87" w:rsidRPr="006C069E" w:rsidRDefault="00BA0C87" w:rsidP="00717B0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6C069E" w:rsidTr="00FD14D6">
        <w:trPr>
          <w:tblHeader/>
        </w:trPr>
        <w:tc>
          <w:tcPr>
            <w:tcW w:w="5000" w:type="pct"/>
            <w:gridSpan w:val="3"/>
            <w:tcBorders>
              <w:top w:val="single" w:sz="12" w:space="0" w:color="auto"/>
              <w:bottom w:val="single" w:sz="6" w:space="0" w:color="auto"/>
            </w:tcBorders>
            <w:shd w:val="clear" w:color="auto" w:fill="auto"/>
            <w:hideMark/>
          </w:tcPr>
          <w:p w:rsidR="00BA0C87" w:rsidRPr="006C069E" w:rsidRDefault="00BA0C87" w:rsidP="0000774A">
            <w:pPr>
              <w:pStyle w:val="TableHeading"/>
            </w:pPr>
            <w:r w:rsidRPr="006C069E">
              <w:t>Commencement information</w:t>
            </w:r>
          </w:p>
        </w:tc>
      </w:tr>
      <w:tr w:rsidR="00BA0C87" w:rsidRPr="006C069E" w:rsidTr="00FD14D6">
        <w:trPr>
          <w:tblHeader/>
        </w:trPr>
        <w:tc>
          <w:tcPr>
            <w:tcW w:w="1272" w:type="pct"/>
            <w:tcBorders>
              <w:top w:val="single" w:sz="6" w:space="0" w:color="auto"/>
              <w:bottom w:val="single" w:sz="6" w:space="0" w:color="auto"/>
            </w:tcBorders>
            <w:shd w:val="clear" w:color="auto" w:fill="auto"/>
            <w:hideMark/>
          </w:tcPr>
          <w:p w:rsidR="00BA0C87" w:rsidRPr="006C069E" w:rsidRDefault="00BA0C87" w:rsidP="0000774A">
            <w:pPr>
              <w:pStyle w:val="TableHeading"/>
            </w:pPr>
            <w:r w:rsidRPr="006C069E">
              <w:t>Column 1</w:t>
            </w:r>
          </w:p>
        </w:tc>
        <w:tc>
          <w:tcPr>
            <w:tcW w:w="2627" w:type="pct"/>
            <w:tcBorders>
              <w:top w:val="single" w:sz="6" w:space="0" w:color="auto"/>
              <w:bottom w:val="single" w:sz="6" w:space="0" w:color="auto"/>
            </w:tcBorders>
            <w:shd w:val="clear" w:color="auto" w:fill="auto"/>
            <w:hideMark/>
          </w:tcPr>
          <w:p w:rsidR="00BA0C87" w:rsidRPr="006C069E" w:rsidRDefault="00BA0C87" w:rsidP="0000774A">
            <w:pPr>
              <w:pStyle w:val="TableHeading"/>
            </w:pPr>
            <w:r w:rsidRPr="006C069E">
              <w:t>Column 2</w:t>
            </w:r>
          </w:p>
        </w:tc>
        <w:tc>
          <w:tcPr>
            <w:tcW w:w="1102" w:type="pct"/>
            <w:tcBorders>
              <w:top w:val="single" w:sz="6" w:space="0" w:color="auto"/>
              <w:bottom w:val="single" w:sz="6" w:space="0" w:color="auto"/>
            </w:tcBorders>
            <w:shd w:val="clear" w:color="auto" w:fill="auto"/>
            <w:hideMark/>
          </w:tcPr>
          <w:p w:rsidR="00BA0C87" w:rsidRPr="006C069E" w:rsidRDefault="00BA0C87" w:rsidP="0000774A">
            <w:pPr>
              <w:pStyle w:val="TableHeading"/>
            </w:pPr>
            <w:r w:rsidRPr="006C069E">
              <w:t>Column 3</w:t>
            </w:r>
          </w:p>
        </w:tc>
      </w:tr>
      <w:tr w:rsidR="00BA0C87" w:rsidRPr="006C069E" w:rsidTr="00FD14D6">
        <w:trPr>
          <w:tblHeader/>
        </w:trPr>
        <w:tc>
          <w:tcPr>
            <w:tcW w:w="1272" w:type="pct"/>
            <w:tcBorders>
              <w:top w:val="single" w:sz="6" w:space="0" w:color="auto"/>
              <w:bottom w:val="single" w:sz="12" w:space="0" w:color="auto"/>
            </w:tcBorders>
            <w:shd w:val="clear" w:color="auto" w:fill="auto"/>
            <w:hideMark/>
          </w:tcPr>
          <w:p w:rsidR="00BA0C87" w:rsidRPr="006C069E" w:rsidRDefault="00BA0C87" w:rsidP="0000774A">
            <w:pPr>
              <w:pStyle w:val="TableHeading"/>
            </w:pPr>
            <w:r w:rsidRPr="006C069E">
              <w:t>Provisions</w:t>
            </w:r>
          </w:p>
        </w:tc>
        <w:tc>
          <w:tcPr>
            <w:tcW w:w="2627" w:type="pct"/>
            <w:tcBorders>
              <w:top w:val="single" w:sz="6" w:space="0" w:color="auto"/>
              <w:bottom w:val="single" w:sz="12" w:space="0" w:color="auto"/>
            </w:tcBorders>
            <w:shd w:val="clear" w:color="auto" w:fill="auto"/>
            <w:hideMark/>
          </w:tcPr>
          <w:p w:rsidR="00BA0C87" w:rsidRPr="006C069E" w:rsidRDefault="00BA0C87" w:rsidP="0000774A">
            <w:pPr>
              <w:pStyle w:val="TableHeading"/>
            </w:pPr>
            <w:r w:rsidRPr="006C069E">
              <w:t>Commencement</w:t>
            </w:r>
          </w:p>
        </w:tc>
        <w:tc>
          <w:tcPr>
            <w:tcW w:w="1102" w:type="pct"/>
            <w:tcBorders>
              <w:top w:val="single" w:sz="6" w:space="0" w:color="auto"/>
              <w:bottom w:val="single" w:sz="12" w:space="0" w:color="auto"/>
            </w:tcBorders>
            <w:shd w:val="clear" w:color="auto" w:fill="auto"/>
            <w:hideMark/>
          </w:tcPr>
          <w:p w:rsidR="00BA0C87" w:rsidRPr="006C069E" w:rsidRDefault="00BA0C87" w:rsidP="0000774A">
            <w:pPr>
              <w:pStyle w:val="TableHeading"/>
            </w:pPr>
            <w:r w:rsidRPr="006C069E">
              <w:t>Date/Details</w:t>
            </w:r>
          </w:p>
        </w:tc>
      </w:tr>
      <w:tr w:rsidR="00BA0C87" w:rsidRPr="006C069E" w:rsidTr="00FD14D6">
        <w:tc>
          <w:tcPr>
            <w:tcW w:w="1272" w:type="pct"/>
            <w:tcBorders>
              <w:top w:val="single" w:sz="12" w:space="0" w:color="auto"/>
              <w:bottom w:val="single" w:sz="12" w:space="0" w:color="auto"/>
            </w:tcBorders>
            <w:shd w:val="clear" w:color="auto" w:fill="auto"/>
            <w:hideMark/>
          </w:tcPr>
          <w:p w:rsidR="00BA0C87" w:rsidRPr="006C069E" w:rsidRDefault="00BA0C87" w:rsidP="00AE4C79">
            <w:pPr>
              <w:pStyle w:val="Tabletext"/>
            </w:pPr>
            <w:r w:rsidRPr="006C069E">
              <w:t xml:space="preserve">1.  </w:t>
            </w:r>
            <w:r w:rsidR="00AE4C79" w:rsidRPr="006C069E">
              <w:t>The whole of this instrument</w:t>
            </w:r>
          </w:p>
        </w:tc>
        <w:tc>
          <w:tcPr>
            <w:tcW w:w="2627" w:type="pct"/>
            <w:tcBorders>
              <w:top w:val="single" w:sz="12" w:space="0" w:color="auto"/>
              <w:bottom w:val="single" w:sz="12" w:space="0" w:color="auto"/>
            </w:tcBorders>
            <w:shd w:val="clear" w:color="auto" w:fill="auto"/>
            <w:hideMark/>
          </w:tcPr>
          <w:p w:rsidR="00BA0C87" w:rsidRPr="006C069E" w:rsidRDefault="00BA0C87" w:rsidP="00BA0C87">
            <w:pPr>
              <w:pStyle w:val="Tabletext"/>
            </w:pPr>
            <w:r w:rsidRPr="006C069E">
              <w:t xml:space="preserve">The day after </w:t>
            </w:r>
            <w:r w:rsidR="00BA2D8C" w:rsidRPr="006C069E">
              <w:t>this instrument is</w:t>
            </w:r>
            <w:r w:rsidRPr="006C069E">
              <w:t xml:space="preserve"> registered.</w:t>
            </w:r>
          </w:p>
        </w:tc>
        <w:tc>
          <w:tcPr>
            <w:tcW w:w="1102" w:type="pct"/>
            <w:tcBorders>
              <w:top w:val="single" w:sz="12" w:space="0" w:color="auto"/>
              <w:bottom w:val="single" w:sz="12" w:space="0" w:color="auto"/>
            </w:tcBorders>
            <w:shd w:val="clear" w:color="auto" w:fill="auto"/>
          </w:tcPr>
          <w:p w:rsidR="00BA0C87" w:rsidRPr="006C069E" w:rsidRDefault="00E01AC5">
            <w:pPr>
              <w:pStyle w:val="Tabletext"/>
            </w:pPr>
            <w:r>
              <w:t>15 September 2018</w:t>
            </w:r>
            <w:bookmarkStart w:id="3" w:name="_GoBack"/>
            <w:bookmarkEnd w:id="3"/>
          </w:p>
        </w:tc>
      </w:tr>
    </w:tbl>
    <w:p w:rsidR="00BA0C87" w:rsidRPr="006C069E" w:rsidRDefault="00BA0C87" w:rsidP="00717B09">
      <w:pPr>
        <w:pStyle w:val="notetext"/>
      </w:pPr>
      <w:r w:rsidRPr="006C069E">
        <w:rPr>
          <w:snapToGrid w:val="0"/>
          <w:lang w:eastAsia="en-US"/>
        </w:rPr>
        <w:t>Note:</w:t>
      </w:r>
      <w:r w:rsidRPr="006C069E">
        <w:rPr>
          <w:snapToGrid w:val="0"/>
          <w:lang w:eastAsia="en-US"/>
        </w:rPr>
        <w:tab/>
        <w:t xml:space="preserve">This table relates only to the provisions of </w:t>
      </w:r>
      <w:r w:rsidR="00BA2D8C" w:rsidRPr="006C069E">
        <w:rPr>
          <w:snapToGrid w:val="0"/>
          <w:lang w:eastAsia="en-US"/>
        </w:rPr>
        <w:t>this instrument</w:t>
      </w:r>
      <w:r w:rsidRPr="006C069E">
        <w:t xml:space="preserve"> </w:t>
      </w:r>
      <w:r w:rsidRPr="006C069E">
        <w:rPr>
          <w:snapToGrid w:val="0"/>
          <w:lang w:eastAsia="en-US"/>
        </w:rPr>
        <w:t xml:space="preserve">as originally made. It will not be amended to deal with any later amendments of </w:t>
      </w:r>
      <w:r w:rsidR="00BA2D8C" w:rsidRPr="006C069E">
        <w:rPr>
          <w:snapToGrid w:val="0"/>
          <w:lang w:eastAsia="en-US"/>
        </w:rPr>
        <w:t>this instrument</w:t>
      </w:r>
      <w:r w:rsidRPr="006C069E">
        <w:rPr>
          <w:snapToGrid w:val="0"/>
          <w:lang w:eastAsia="en-US"/>
        </w:rPr>
        <w:t>.</w:t>
      </w:r>
    </w:p>
    <w:p w:rsidR="00BA0C87" w:rsidRPr="006C069E" w:rsidRDefault="00BA0C87" w:rsidP="00717B09">
      <w:pPr>
        <w:pStyle w:val="subsection"/>
      </w:pPr>
      <w:r w:rsidRPr="006C069E">
        <w:tab/>
        <w:t>(2)</w:t>
      </w:r>
      <w:r w:rsidRPr="006C069E">
        <w:tab/>
        <w:t xml:space="preserve">Any information in column 3 of the table is not part of </w:t>
      </w:r>
      <w:r w:rsidR="00BA2D8C" w:rsidRPr="006C069E">
        <w:t>this instrument</w:t>
      </w:r>
      <w:r w:rsidRPr="006C069E">
        <w:t xml:space="preserve">. Information may be inserted in this column, or information in it may be edited, in any published version of </w:t>
      </w:r>
      <w:r w:rsidR="00BA2D8C" w:rsidRPr="006C069E">
        <w:t>this instrument</w:t>
      </w:r>
      <w:r w:rsidRPr="006C069E">
        <w:t>.</w:t>
      </w:r>
    </w:p>
    <w:p w:rsidR="007500C8" w:rsidRPr="006C069E" w:rsidRDefault="007500C8" w:rsidP="007500C8">
      <w:pPr>
        <w:pStyle w:val="ActHead5"/>
      </w:pPr>
      <w:bookmarkStart w:id="4" w:name="_Toc523810797"/>
      <w:r w:rsidRPr="006C069E">
        <w:rPr>
          <w:rStyle w:val="CharSectno"/>
        </w:rPr>
        <w:t>3</w:t>
      </w:r>
      <w:r w:rsidRPr="006C069E">
        <w:t xml:space="preserve">  Authority</w:t>
      </w:r>
      <w:bookmarkEnd w:id="4"/>
    </w:p>
    <w:p w:rsidR="00157B8B" w:rsidRPr="006C069E" w:rsidRDefault="007500C8" w:rsidP="007E667A">
      <w:pPr>
        <w:pStyle w:val="subsection"/>
      </w:pPr>
      <w:r w:rsidRPr="006C069E">
        <w:tab/>
      </w:r>
      <w:r w:rsidRPr="006C069E">
        <w:tab/>
      </w:r>
      <w:r w:rsidR="00BA2D8C" w:rsidRPr="006C069E">
        <w:t>This instrument is</w:t>
      </w:r>
      <w:r w:rsidRPr="006C069E">
        <w:t xml:space="preserve"> made under the </w:t>
      </w:r>
      <w:r w:rsidR="009D1891" w:rsidRPr="006C069E">
        <w:rPr>
          <w:i/>
        </w:rPr>
        <w:t>Superannuation Guarantee (Administration) Act 1992</w:t>
      </w:r>
      <w:r w:rsidR="00F4350D" w:rsidRPr="006C069E">
        <w:t>.</w:t>
      </w:r>
    </w:p>
    <w:p w:rsidR="00291D62" w:rsidRPr="006C069E" w:rsidRDefault="00291D62" w:rsidP="00291D62">
      <w:pPr>
        <w:pStyle w:val="ActHead5"/>
      </w:pPr>
      <w:bookmarkStart w:id="5" w:name="_Toc523810798"/>
      <w:r w:rsidRPr="006C069E">
        <w:rPr>
          <w:rStyle w:val="CharSectno"/>
        </w:rPr>
        <w:t>4</w:t>
      </w:r>
      <w:r w:rsidRPr="006C069E">
        <w:t xml:space="preserve">  Schedules</w:t>
      </w:r>
      <w:bookmarkEnd w:id="5"/>
    </w:p>
    <w:p w:rsidR="00291D62" w:rsidRPr="006C069E" w:rsidRDefault="00291D62" w:rsidP="00291D62">
      <w:pPr>
        <w:pStyle w:val="subsection"/>
      </w:pPr>
      <w:r w:rsidRPr="006C069E">
        <w:tab/>
      </w:r>
      <w:r w:rsidRPr="006C069E">
        <w:tab/>
        <w:t>Each instrument that is specified in a Schedule to this instrument is amended or repealed as set out in the applicable items in the Schedule concerned, and any other item in a Schedule to this instrument has effect according to its terms.</w:t>
      </w:r>
    </w:p>
    <w:p w:rsidR="009B62B2" w:rsidRPr="006C069E" w:rsidRDefault="0061771B" w:rsidP="009B62B2">
      <w:pPr>
        <w:pStyle w:val="ActHead5"/>
      </w:pPr>
      <w:bookmarkStart w:id="6" w:name="_Toc523810799"/>
      <w:r w:rsidRPr="006C069E">
        <w:rPr>
          <w:rStyle w:val="CharSectno"/>
        </w:rPr>
        <w:t>5</w:t>
      </w:r>
      <w:r w:rsidR="009B62B2" w:rsidRPr="006C069E">
        <w:t xml:space="preserve">  </w:t>
      </w:r>
      <w:r w:rsidR="00542EBA" w:rsidRPr="006C069E">
        <w:t>Definitions</w:t>
      </w:r>
      <w:bookmarkEnd w:id="6"/>
    </w:p>
    <w:p w:rsidR="00BA1A0A" w:rsidRPr="006C069E" w:rsidRDefault="00BA1A0A" w:rsidP="00BA1A0A">
      <w:pPr>
        <w:pStyle w:val="notetext"/>
      </w:pPr>
      <w:r w:rsidRPr="006C069E">
        <w:t>Note:</w:t>
      </w:r>
      <w:r w:rsidRPr="006C069E">
        <w:tab/>
        <w:t>A number of expressions used in this instrument are defined in the Act, including the following:</w:t>
      </w:r>
    </w:p>
    <w:p w:rsidR="001C7663" w:rsidRPr="006C069E" w:rsidRDefault="00BA1A0A" w:rsidP="00BA1A0A">
      <w:pPr>
        <w:pStyle w:val="notepara"/>
      </w:pPr>
      <w:r w:rsidRPr="006C069E">
        <w:t>(a)</w:t>
      </w:r>
      <w:r w:rsidRPr="006C069E">
        <w:tab/>
      </w:r>
      <w:r w:rsidR="001C7663" w:rsidRPr="006C069E">
        <w:t>actuary;</w:t>
      </w:r>
    </w:p>
    <w:p w:rsidR="00BA1A0A" w:rsidRPr="006C069E" w:rsidRDefault="00BA1A0A" w:rsidP="00BA1A0A">
      <w:pPr>
        <w:pStyle w:val="notepara"/>
      </w:pPr>
      <w:r w:rsidRPr="006C069E">
        <w:t>(</w:t>
      </w:r>
      <w:r w:rsidR="004C56CD" w:rsidRPr="006C069E">
        <w:t>b</w:t>
      </w:r>
      <w:r w:rsidRPr="006C069E">
        <w:t>)</w:t>
      </w:r>
      <w:r w:rsidRPr="006C069E">
        <w:tab/>
        <w:t>defined benefit superannuation scheme;</w:t>
      </w:r>
    </w:p>
    <w:p w:rsidR="00BA1A0A" w:rsidRPr="006C069E" w:rsidRDefault="004C56CD" w:rsidP="00BA1A0A">
      <w:pPr>
        <w:pStyle w:val="notepara"/>
      </w:pPr>
      <w:r w:rsidRPr="006C069E">
        <w:t>(c</w:t>
      </w:r>
      <w:r w:rsidR="00BA1A0A" w:rsidRPr="006C069E">
        <w:t>)</w:t>
      </w:r>
      <w:r w:rsidR="00BA1A0A" w:rsidRPr="006C069E">
        <w:tab/>
      </w:r>
      <w:proofErr w:type="spellStart"/>
      <w:r w:rsidR="00EA552B" w:rsidRPr="006C069E">
        <w:t>MySuper</w:t>
      </w:r>
      <w:proofErr w:type="spellEnd"/>
      <w:r w:rsidR="00EA552B" w:rsidRPr="006C069E">
        <w:t xml:space="preserve"> member;</w:t>
      </w:r>
    </w:p>
    <w:p w:rsidR="00D533AF" w:rsidRPr="006C069E" w:rsidRDefault="004C56CD" w:rsidP="00BA1A0A">
      <w:pPr>
        <w:pStyle w:val="notepara"/>
      </w:pPr>
      <w:r w:rsidRPr="006C069E">
        <w:t>(d</w:t>
      </w:r>
      <w:r w:rsidR="00D533AF" w:rsidRPr="006C069E">
        <w:t>)</w:t>
      </w:r>
      <w:r w:rsidR="00D533AF" w:rsidRPr="006C069E">
        <w:tab/>
        <w:t>ordinary time earnings;</w:t>
      </w:r>
    </w:p>
    <w:p w:rsidR="00542484" w:rsidRPr="006C069E" w:rsidRDefault="004C56CD" w:rsidP="00BA1A0A">
      <w:pPr>
        <w:pStyle w:val="notepara"/>
      </w:pPr>
      <w:r w:rsidRPr="006C069E">
        <w:t>(e</w:t>
      </w:r>
      <w:r w:rsidR="00542484" w:rsidRPr="006C069E">
        <w:t>)</w:t>
      </w:r>
      <w:r w:rsidR="00542484" w:rsidRPr="006C069E">
        <w:tab/>
        <w:t>sup</w:t>
      </w:r>
      <w:r w:rsidRPr="006C069E">
        <w:t>erannuation guarantee statement.</w:t>
      </w:r>
    </w:p>
    <w:p w:rsidR="009B62B2" w:rsidRPr="006C069E" w:rsidRDefault="009B62B2" w:rsidP="009B62B2">
      <w:pPr>
        <w:pStyle w:val="subsection"/>
      </w:pPr>
      <w:r w:rsidRPr="006C069E">
        <w:tab/>
      </w:r>
      <w:r w:rsidRPr="006C069E">
        <w:tab/>
        <w:t xml:space="preserve">In </w:t>
      </w:r>
      <w:r w:rsidR="007C72CE" w:rsidRPr="006C069E">
        <w:t>this instrument</w:t>
      </w:r>
      <w:r w:rsidRPr="006C069E">
        <w:t>:</w:t>
      </w:r>
    </w:p>
    <w:p w:rsidR="009B62B2" w:rsidRPr="006C069E" w:rsidRDefault="009B62B2" w:rsidP="009B62B2">
      <w:pPr>
        <w:pStyle w:val="Definition"/>
      </w:pPr>
      <w:r w:rsidRPr="006C069E">
        <w:rPr>
          <w:b/>
          <w:i/>
        </w:rPr>
        <w:t xml:space="preserve">Act </w:t>
      </w:r>
      <w:r w:rsidRPr="006C069E">
        <w:t xml:space="preserve">means the </w:t>
      </w:r>
      <w:r w:rsidRPr="006C069E">
        <w:rPr>
          <w:i/>
        </w:rPr>
        <w:t>Superannuation Guarantee (Administration) Act 1992</w:t>
      </w:r>
      <w:r w:rsidRPr="006C069E">
        <w:t>.</w:t>
      </w:r>
    </w:p>
    <w:p w:rsidR="009B62B2" w:rsidRPr="006C069E" w:rsidRDefault="009B62B2" w:rsidP="009B62B2">
      <w:pPr>
        <w:pStyle w:val="Definition"/>
      </w:pPr>
      <w:r w:rsidRPr="006C069E">
        <w:rPr>
          <w:b/>
          <w:i/>
        </w:rPr>
        <w:t xml:space="preserve">capital guaranteed fund </w:t>
      </w:r>
      <w:r w:rsidRPr="006C069E">
        <w:t xml:space="preserve">has the same meaning as in the </w:t>
      </w:r>
      <w:r w:rsidRPr="006C069E">
        <w:rPr>
          <w:i/>
        </w:rPr>
        <w:t>Corporations Regulations</w:t>
      </w:r>
      <w:r w:rsidR="006C069E" w:rsidRPr="006C069E">
        <w:rPr>
          <w:i/>
        </w:rPr>
        <w:t> </w:t>
      </w:r>
      <w:r w:rsidRPr="006C069E">
        <w:rPr>
          <w:i/>
        </w:rPr>
        <w:t>2001</w:t>
      </w:r>
      <w:r w:rsidRPr="006C069E">
        <w:t>.</w:t>
      </w:r>
    </w:p>
    <w:p w:rsidR="00B512D5" w:rsidRPr="006C069E" w:rsidRDefault="00B512D5" w:rsidP="00B512D5">
      <w:pPr>
        <w:pStyle w:val="Definition"/>
      </w:pPr>
      <w:r w:rsidRPr="006C069E">
        <w:rPr>
          <w:b/>
          <w:i/>
        </w:rPr>
        <w:t xml:space="preserve">eligible community service activity </w:t>
      </w:r>
      <w:r w:rsidRPr="006C069E">
        <w:t>has the same meaning as in subsection</w:t>
      </w:r>
      <w:r w:rsidR="006C069E" w:rsidRPr="006C069E">
        <w:t> </w:t>
      </w:r>
      <w:r w:rsidRPr="006C069E">
        <w:t xml:space="preserve">109(1) of the </w:t>
      </w:r>
      <w:r w:rsidRPr="006C069E">
        <w:rPr>
          <w:i/>
        </w:rPr>
        <w:t>Fair Work Act 2009</w:t>
      </w:r>
      <w:r w:rsidRPr="006C069E">
        <w:t>.</w:t>
      </w:r>
    </w:p>
    <w:p w:rsidR="009B62B2" w:rsidRPr="006C069E" w:rsidRDefault="009B62B2" w:rsidP="009B62B2">
      <w:pPr>
        <w:pStyle w:val="Definition"/>
      </w:pPr>
      <w:r w:rsidRPr="006C069E">
        <w:rPr>
          <w:b/>
          <w:i/>
        </w:rPr>
        <w:t>employer contribution rate</w:t>
      </w:r>
      <w:r w:rsidRPr="006C069E">
        <w:t>, in relation to a member of a superannuation scheme, means the rate:</w:t>
      </w:r>
    </w:p>
    <w:p w:rsidR="009B62B2" w:rsidRPr="006C069E" w:rsidRDefault="00FA4E11" w:rsidP="009B62B2">
      <w:pPr>
        <w:pStyle w:val="paragraph"/>
      </w:pPr>
      <w:r w:rsidRPr="006C069E">
        <w:tab/>
        <w:t>(a)</w:t>
      </w:r>
      <w:r w:rsidRPr="006C069E">
        <w:tab/>
      </w:r>
      <w:r w:rsidR="009B62B2" w:rsidRPr="006C069E">
        <w:t>at which contributions relating to the member are paid into the superannuation fund in respect of the scheme by an employer of the member; and</w:t>
      </w:r>
    </w:p>
    <w:p w:rsidR="009B62B2" w:rsidRPr="006C069E" w:rsidRDefault="00FA4E11" w:rsidP="009B62B2">
      <w:pPr>
        <w:pStyle w:val="paragraph"/>
      </w:pPr>
      <w:r w:rsidRPr="006C069E">
        <w:tab/>
        <w:t>(b)</w:t>
      </w:r>
      <w:r w:rsidRPr="006C069E">
        <w:tab/>
      </w:r>
      <w:r w:rsidR="009B62B2" w:rsidRPr="006C069E">
        <w:t xml:space="preserve">that is expressed as a percentage of </w:t>
      </w:r>
      <w:r w:rsidR="00B27371" w:rsidRPr="006C069E">
        <w:t>the member’s</w:t>
      </w:r>
      <w:r w:rsidR="009B62B2" w:rsidRPr="006C069E">
        <w:t xml:space="preserve"> ordinary time earnings.</w:t>
      </w:r>
    </w:p>
    <w:p w:rsidR="009B62B2" w:rsidRPr="006C069E" w:rsidRDefault="009B62B2" w:rsidP="009B62B2">
      <w:pPr>
        <w:pStyle w:val="Definition"/>
        <w:rPr>
          <w:i/>
        </w:rPr>
      </w:pPr>
      <w:r w:rsidRPr="006C069E">
        <w:rPr>
          <w:b/>
          <w:i/>
        </w:rPr>
        <w:t xml:space="preserve">minimum requisite benefit </w:t>
      </w:r>
      <w:r w:rsidRPr="006C069E">
        <w:t xml:space="preserve">has the same meaning as in the </w:t>
      </w:r>
      <w:r w:rsidRPr="006C069E">
        <w:rPr>
          <w:i/>
        </w:rPr>
        <w:t>Superannuation Industry (Supervision) Regulations</w:t>
      </w:r>
      <w:r w:rsidR="006C069E" w:rsidRPr="006C069E">
        <w:rPr>
          <w:i/>
        </w:rPr>
        <w:t> </w:t>
      </w:r>
      <w:r w:rsidRPr="006C069E">
        <w:rPr>
          <w:i/>
        </w:rPr>
        <w:t>1994.</w:t>
      </w:r>
    </w:p>
    <w:p w:rsidR="00B512D5" w:rsidRPr="006C069E" w:rsidRDefault="00B512D5" w:rsidP="00B512D5">
      <w:pPr>
        <w:pStyle w:val="Definition"/>
      </w:pPr>
      <w:r w:rsidRPr="006C069E">
        <w:rPr>
          <w:b/>
          <w:i/>
        </w:rPr>
        <w:t xml:space="preserve">parental leave </w:t>
      </w:r>
      <w:r w:rsidRPr="006C069E">
        <w:t>includes any of the following:</w:t>
      </w:r>
    </w:p>
    <w:p w:rsidR="00B512D5" w:rsidRPr="006C069E" w:rsidRDefault="00FA4E11" w:rsidP="00B512D5">
      <w:pPr>
        <w:pStyle w:val="paragraph"/>
      </w:pPr>
      <w:r w:rsidRPr="006C069E">
        <w:tab/>
        <w:t>(a)</w:t>
      </w:r>
      <w:r w:rsidRPr="006C069E">
        <w:tab/>
      </w:r>
      <w:r w:rsidR="00B512D5" w:rsidRPr="006C069E">
        <w:t>maternity leave;</w:t>
      </w:r>
    </w:p>
    <w:p w:rsidR="00B512D5" w:rsidRPr="006C069E" w:rsidRDefault="00FA4E11" w:rsidP="00B512D5">
      <w:pPr>
        <w:pStyle w:val="paragraph"/>
      </w:pPr>
      <w:r w:rsidRPr="006C069E">
        <w:tab/>
        <w:t>(b)</w:t>
      </w:r>
      <w:r w:rsidRPr="006C069E">
        <w:tab/>
      </w:r>
      <w:r w:rsidR="00B512D5" w:rsidRPr="006C069E">
        <w:t>early paid leave for an expectant mother if the employer is unable to transfer her to a safe job;</w:t>
      </w:r>
    </w:p>
    <w:p w:rsidR="00B512D5" w:rsidRPr="006C069E" w:rsidRDefault="00FA4E11" w:rsidP="00B512D5">
      <w:pPr>
        <w:pStyle w:val="paragraph"/>
      </w:pPr>
      <w:r w:rsidRPr="006C069E">
        <w:tab/>
        <w:t>(c)</w:t>
      </w:r>
      <w:r w:rsidRPr="006C069E">
        <w:tab/>
      </w:r>
      <w:r w:rsidR="00B512D5" w:rsidRPr="006C069E">
        <w:t>paternity leave;</w:t>
      </w:r>
    </w:p>
    <w:p w:rsidR="00B512D5" w:rsidRPr="006C069E" w:rsidRDefault="00FA4E11" w:rsidP="00B512D5">
      <w:pPr>
        <w:pStyle w:val="paragraph"/>
      </w:pPr>
      <w:r w:rsidRPr="006C069E">
        <w:tab/>
        <w:t>(d)</w:t>
      </w:r>
      <w:r w:rsidRPr="006C069E">
        <w:tab/>
      </w:r>
      <w:r w:rsidR="00B512D5" w:rsidRPr="006C069E">
        <w:t>pre</w:t>
      </w:r>
      <w:r w:rsidR="006C069E">
        <w:noBreakHyphen/>
      </w:r>
      <w:r w:rsidR="00B512D5" w:rsidRPr="006C069E">
        <w:t>adoption leave;</w:t>
      </w:r>
    </w:p>
    <w:p w:rsidR="00B512D5" w:rsidRPr="006C069E" w:rsidRDefault="00FA4E11" w:rsidP="00B512D5">
      <w:pPr>
        <w:pStyle w:val="paragraph"/>
      </w:pPr>
      <w:r w:rsidRPr="006C069E">
        <w:tab/>
        <w:t>(e)</w:t>
      </w:r>
      <w:r w:rsidRPr="006C069E">
        <w:tab/>
      </w:r>
      <w:r w:rsidR="00B512D5" w:rsidRPr="006C069E">
        <w:t>adoption leave.</w:t>
      </w:r>
    </w:p>
    <w:p w:rsidR="009B62B2" w:rsidRPr="006C069E" w:rsidRDefault="009B62B2" w:rsidP="009B62B2">
      <w:pPr>
        <w:pStyle w:val="Definition"/>
      </w:pPr>
      <w:r w:rsidRPr="006C069E">
        <w:rPr>
          <w:b/>
          <w:i/>
        </w:rPr>
        <w:t xml:space="preserve">relevant fund </w:t>
      </w:r>
      <w:r w:rsidRPr="006C069E">
        <w:t>means any of the following:</w:t>
      </w:r>
    </w:p>
    <w:p w:rsidR="009B62B2" w:rsidRPr="006C069E" w:rsidRDefault="00FA4E11" w:rsidP="009B62B2">
      <w:pPr>
        <w:pStyle w:val="paragraph"/>
      </w:pPr>
      <w:r w:rsidRPr="006C069E">
        <w:tab/>
        <w:t>(a)</w:t>
      </w:r>
      <w:r w:rsidRPr="006C069E">
        <w:tab/>
      </w:r>
      <w:r w:rsidR="009B62B2" w:rsidRPr="006C069E">
        <w:t>a complying approved deposit fund;</w:t>
      </w:r>
    </w:p>
    <w:p w:rsidR="009B62B2" w:rsidRPr="006C069E" w:rsidRDefault="00FA4E11" w:rsidP="009B62B2">
      <w:pPr>
        <w:pStyle w:val="paragraph"/>
      </w:pPr>
      <w:r w:rsidRPr="006C069E">
        <w:tab/>
        <w:t>(b)</w:t>
      </w:r>
      <w:r w:rsidRPr="006C069E">
        <w:tab/>
      </w:r>
      <w:r w:rsidR="009B62B2" w:rsidRPr="006C069E">
        <w:t>a complying superannuation fund;</w:t>
      </w:r>
    </w:p>
    <w:p w:rsidR="009B62B2" w:rsidRPr="006C069E" w:rsidRDefault="00FA4E11" w:rsidP="009B62B2">
      <w:pPr>
        <w:pStyle w:val="paragraph"/>
      </w:pPr>
      <w:r w:rsidRPr="006C069E">
        <w:tab/>
        <w:t>(c)</w:t>
      </w:r>
      <w:r w:rsidRPr="006C069E">
        <w:tab/>
      </w:r>
      <w:r w:rsidR="009B62B2" w:rsidRPr="006C069E">
        <w:t>an RSA.</w:t>
      </w:r>
    </w:p>
    <w:p w:rsidR="009B62B2" w:rsidRPr="006C069E" w:rsidRDefault="009B62B2" w:rsidP="009B62B2">
      <w:pPr>
        <w:pStyle w:val="Definition"/>
      </w:pPr>
      <w:r w:rsidRPr="006C069E">
        <w:rPr>
          <w:b/>
          <w:i/>
        </w:rPr>
        <w:t xml:space="preserve">responsible officers </w:t>
      </w:r>
      <w:r w:rsidRPr="006C069E">
        <w:t>means:</w:t>
      </w:r>
    </w:p>
    <w:p w:rsidR="009B62B2" w:rsidRPr="006C069E" w:rsidRDefault="00FA4E11" w:rsidP="009B62B2">
      <w:pPr>
        <w:pStyle w:val="paragraph"/>
      </w:pPr>
      <w:r w:rsidRPr="006C069E">
        <w:tab/>
        <w:t>(a)</w:t>
      </w:r>
      <w:r w:rsidRPr="006C069E">
        <w:tab/>
      </w:r>
      <w:r w:rsidR="009B62B2" w:rsidRPr="006C069E">
        <w:t xml:space="preserve">in relation to a relevant fund that is a complying approved deposit fund or a complying superannuation fund—the trustees of the fund; </w:t>
      </w:r>
      <w:r w:rsidR="00FE15A7" w:rsidRPr="006C069E">
        <w:t>or</w:t>
      </w:r>
    </w:p>
    <w:p w:rsidR="009B62B2" w:rsidRPr="006C069E" w:rsidRDefault="00FA4E11" w:rsidP="009B62B2">
      <w:pPr>
        <w:pStyle w:val="paragraph"/>
      </w:pPr>
      <w:r w:rsidRPr="006C069E">
        <w:tab/>
        <w:t>(b)</w:t>
      </w:r>
      <w:r w:rsidRPr="006C069E">
        <w:tab/>
      </w:r>
      <w:r w:rsidR="009B62B2" w:rsidRPr="006C069E">
        <w:t>in relation to a relevant fund that is an RSA—the RSA provider of the RSA.</w:t>
      </w:r>
    </w:p>
    <w:p w:rsidR="009B62B2" w:rsidRPr="006C069E" w:rsidRDefault="009B62B2" w:rsidP="009B62B2">
      <w:pPr>
        <w:pStyle w:val="Definition"/>
      </w:pPr>
      <w:r w:rsidRPr="006C069E">
        <w:rPr>
          <w:b/>
          <w:i/>
        </w:rPr>
        <w:t xml:space="preserve">scheduled international social security agreement </w:t>
      </w:r>
      <w:r w:rsidRPr="006C069E">
        <w:t>has the meaning given by subsection</w:t>
      </w:r>
      <w:r w:rsidR="006C069E" w:rsidRPr="006C069E">
        <w:t> </w:t>
      </w:r>
      <w:r w:rsidR="007C72CE" w:rsidRPr="006C069E">
        <w:t>5</w:t>
      </w:r>
      <w:r w:rsidRPr="006C069E">
        <w:t xml:space="preserve">(1) of the </w:t>
      </w:r>
      <w:r w:rsidRPr="006C069E">
        <w:rPr>
          <w:i/>
        </w:rPr>
        <w:t>Social Security (International Agreements) Act 1999</w:t>
      </w:r>
      <w:r w:rsidRPr="006C069E">
        <w:t>.</w:t>
      </w:r>
    </w:p>
    <w:p w:rsidR="007A317F" w:rsidRPr="006C069E" w:rsidRDefault="009B62B2" w:rsidP="006C7DED">
      <w:pPr>
        <w:pStyle w:val="Definition"/>
      </w:pPr>
      <w:r w:rsidRPr="006C069E">
        <w:rPr>
          <w:b/>
          <w:i/>
        </w:rPr>
        <w:t>shortfall component</w:t>
      </w:r>
      <w:r w:rsidRPr="006C069E">
        <w:t xml:space="preserve"> </w:t>
      </w:r>
      <w:r w:rsidR="006C7DED" w:rsidRPr="006C069E">
        <w:t>has the meaning given by sections</w:t>
      </w:r>
      <w:r w:rsidR="006C069E" w:rsidRPr="006C069E">
        <w:t> </w:t>
      </w:r>
      <w:r w:rsidR="006C7DED" w:rsidRPr="006C069E">
        <w:t>64A and 64B of the Act</w:t>
      </w:r>
      <w:r w:rsidR="007A317F" w:rsidRPr="006C069E">
        <w:t>.</w:t>
      </w:r>
    </w:p>
    <w:p w:rsidR="009B62B2" w:rsidRPr="006C069E" w:rsidRDefault="009B62B2" w:rsidP="009B62B2">
      <w:pPr>
        <w:pStyle w:val="Definition"/>
      </w:pPr>
      <w:r w:rsidRPr="006C069E">
        <w:rPr>
          <w:b/>
          <w:i/>
        </w:rPr>
        <w:t xml:space="preserve">successor fund </w:t>
      </w:r>
      <w:r w:rsidRPr="006C069E">
        <w:t>has the same meaning as in</w:t>
      </w:r>
      <w:r w:rsidR="005D5AC0" w:rsidRPr="006C069E">
        <w:t xml:space="preserve"> </w:t>
      </w:r>
      <w:r w:rsidRPr="006C069E">
        <w:t xml:space="preserve">the </w:t>
      </w:r>
      <w:r w:rsidRPr="006C069E">
        <w:rPr>
          <w:i/>
        </w:rPr>
        <w:t>Superannuation Industry (Supervision) Regulations</w:t>
      </w:r>
      <w:r w:rsidR="006C069E" w:rsidRPr="006C069E">
        <w:rPr>
          <w:i/>
        </w:rPr>
        <w:t> </w:t>
      </w:r>
      <w:r w:rsidRPr="006C069E">
        <w:rPr>
          <w:i/>
        </w:rPr>
        <w:t>1994</w:t>
      </w:r>
      <w:r w:rsidRPr="006C069E">
        <w:t>.</w:t>
      </w:r>
    </w:p>
    <w:p w:rsidR="00C31758" w:rsidRPr="006C069E" w:rsidRDefault="00C31758" w:rsidP="00C31758">
      <w:pPr>
        <w:pStyle w:val="ActHead2"/>
        <w:pageBreakBefore/>
      </w:pPr>
      <w:bookmarkStart w:id="7" w:name="_Toc523810800"/>
      <w:r w:rsidRPr="006C069E">
        <w:rPr>
          <w:rStyle w:val="CharPartNo"/>
        </w:rPr>
        <w:t>Part</w:t>
      </w:r>
      <w:r w:rsidR="006C069E" w:rsidRPr="006C069E">
        <w:rPr>
          <w:rStyle w:val="CharPartNo"/>
        </w:rPr>
        <w:t> </w:t>
      </w:r>
      <w:r w:rsidRPr="006C069E">
        <w:rPr>
          <w:rStyle w:val="CharPartNo"/>
        </w:rPr>
        <w:t>2</w:t>
      </w:r>
      <w:r w:rsidR="00E31A32" w:rsidRPr="006C069E">
        <w:t>—</w:t>
      </w:r>
      <w:r w:rsidR="00E31A32" w:rsidRPr="006C069E">
        <w:rPr>
          <w:rStyle w:val="CharPartText"/>
        </w:rPr>
        <w:t>Defined benefit members</w:t>
      </w:r>
      <w:bookmarkEnd w:id="7"/>
    </w:p>
    <w:p w:rsidR="00593A0B" w:rsidRPr="006C069E" w:rsidRDefault="00593A0B" w:rsidP="00593A0B">
      <w:pPr>
        <w:pStyle w:val="Header"/>
      </w:pPr>
      <w:r w:rsidRPr="006C069E">
        <w:rPr>
          <w:rStyle w:val="CharDivNo"/>
        </w:rPr>
        <w:t xml:space="preserve"> </w:t>
      </w:r>
      <w:r w:rsidRPr="006C069E">
        <w:rPr>
          <w:rStyle w:val="CharDivText"/>
        </w:rPr>
        <w:t xml:space="preserve"> </w:t>
      </w:r>
    </w:p>
    <w:p w:rsidR="00C31758" w:rsidRPr="006C069E" w:rsidRDefault="00C45936" w:rsidP="00C31758">
      <w:pPr>
        <w:pStyle w:val="ActHead5"/>
      </w:pPr>
      <w:bookmarkStart w:id="8" w:name="_Toc523810801"/>
      <w:r w:rsidRPr="006C069E">
        <w:rPr>
          <w:rStyle w:val="CharSectno"/>
        </w:rPr>
        <w:t>6</w:t>
      </w:r>
      <w:r w:rsidR="00C31758" w:rsidRPr="006C069E">
        <w:t xml:space="preserve">  Circumstances in which member taken to be defined benefit member</w:t>
      </w:r>
      <w:bookmarkEnd w:id="8"/>
    </w:p>
    <w:p w:rsidR="00C31758" w:rsidRPr="006C069E" w:rsidRDefault="00C31758" w:rsidP="00C31758">
      <w:pPr>
        <w:pStyle w:val="subsection"/>
      </w:pPr>
      <w:r w:rsidRPr="006C069E">
        <w:tab/>
        <w:t>(1)</w:t>
      </w:r>
      <w:r w:rsidRPr="006C069E">
        <w:tab/>
        <w:t>For the purposes of paragraph</w:t>
      </w:r>
      <w:r w:rsidR="006C069E" w:rsidRPr="006C069E">
        <w:t> </w:t>
      </w:r>
      <w:r w:rsidRPr="006C069E">
        <w:t xml:space="preserve">6AA(b) of the Act, </w:t>
      </w:r>
      <w:r w:rsidR="006C069E" w:rsidRPr="006C069E">
        <w:t>subsection (</w:t>
      </w:r>
      <w:r w:rsidRPr="006C069E">
        <w:t xml:space="preserve">2) sets out circumstances in which a member of a superannuation fund is to be taken to be a </w:t>
      </w:r>
      <w:r w:rsidRPr="006C069E">
        <w:rPr>
          <w:b/>
          <w:i/>
        </w:rPr>
        <w:t>defined benefit member</w:t>
      </w:r>
      <w:r w:rsidRPr="006C069E">
        <w:t xml:space="preserve"> for the purposes of subsection</w:t>
      </w:r>
      <w:r w:rsidR="006C069E" w:rsidRPr="006C069E">
        <w:t> </w:t>
      </w:r>
      <w:r w:rsidRPr="006C069E">
        <w:t>19(2CA) of the Act.</w:t>
      </w:r>
    </w:p>
    <w:p w:rsidR="00C31758" w:rsidRPr="006C069E" w:rsidRDefault="00C31758" w:rsidP="00C31758">
      <w:pPr>
        <w:pStyle w:val="subsection"/>
      </w:pPr>
      <w:r w:rsidRPr="006C069E">
        <w:tab/>
        <w:t>(2)</w:t>
      </w:r>
      <w:r w:rsidRPr="006C069E">
        <w:tab/>
        <w:t>A circumstance is that the member:</w:t>
      </w:r>
    </w:p>
    <w:p w:rsidR="00C31758" w:rsidRPr="006C069E" w:rsidRDefault="00C31758" w:rsidP="00C31758">
      <w:pPr>
        <w:pStyle w:val="paragraph"/>
      </w:pPr>
      <w:r w:rsidRPr="006C069E">
        <w:tab/>
        <w:t>(a)</w:t>
      </w:r>
      <w:r w:rsidRPr="006C069E">
        <w:tab/>
        <w:t xml:space="preserve">is a member of the scheme established under the </w:t>
      </w:r>
      <w:r w:rsidRPr="006C069E">
        <w:rPr>
          <w:i/>
        </w:rPr>
        <w:t xml:space="preserve">Military Superannuation and Benefits Act 1991 </w:t>
      </w:r>
      <w:r w:rsidRPr="006C069E">
        <w:t xml:space="preserve">(the </w:t>
      </w:r>
      <w:r w:rsidRPr="006C069E">
        <w:rPr>
          <w:b/>
          <w:i/>
        </w:rPr>
        <w:t>military superannuation scheme</w:t>
      </w:r>
      <w:r w:rsidRPr="006C069E">
        <w:t>); or</w:t>
      </w:r>
    </w:p>
    <w:p w:rsidR="00C31758" w:rsidRPr="006C069E" w:rsidRDefault="00C31758" w:rsidP="00C31758">
      <w:pPr>
        <w:pStyle w:val="paragraph"/>
      </w:pPr>
      <w:r w:rsidRPr="006C069E">
        <w:tab/>
        <w:t>(b)</w:t>
      </w:r>
      <w:r w:rsidRPr="006C069E">
        <w:tab/>
        <w:t xml:space="preserve">holds an interest, as a </w:t>
      </w:r>
      <w:r w:rsidRPr="006C069E">
        <w:rPr>
          <w:b/>
          <w:i/>
        </w:rPr>
        <w:t>non</w:t>
      </w:r>
      <w:r w:rsidR="006C069E">
        <w:rPr>
          <w:b/>
          <w:i/>
        </w:rPr>
        <w:noBreakHyphen/>
      </w:r>
      <w:r w:rsidRPr="006C069E">
        <w:rPr>
          <w:b/>
          <w:i/>
        </w:rPr>
        <w:t>member spouse</w:t>
      </w:r>
      <w:r w:rsidRPr="006C069E">
        <w:t xml:space="preserve"> within the meaning of section</w:t>
      </w:r>
      <w:r w:rsidR="006C069E" w:rsidRPr="006C069E">
        <w:t> </w:t>
      </w:r>
      <w:r w:rsidRPr="006C069E">
        <w:t xml:space="preserve">90MD of the </w:t>
      </w:r>
      <w:r w:rsidRPr="006C069E">
        <w:rPr>
          <w:i/>
        </w:rPr>
        <w:t>Family Law Act 1975</w:t>
      </w:r>
      <w:r w:rsidRPr="006C069E">
        <w:t>, in the military superannuation scheme; or</w:t>
      </w:r>
    </w:p>
    <w:p w:rsidR="00C31758" w:rsidRPr="006C069E" w:rsidRDefault="00C31758" w:rsidP="00C31758">
      <w:pPr>
        <w:pStyle w:val="paragraph"/>
      </w:pPr>
      <w:r w:rsidRPr="006C069E">
        <w:tab/>
        <w:t>(c)</w:t>
      </w:r>
      <w:r w:rsidRPr="006C069E">
        <w:tab/>
        <w:t>has a preserved benefit in the military superannuation scheme; or</w:t>
      </w:r>
    </w:p>
    <w:p w:rsidR="00C31758" w:rsidRPr="006C069E" w:rsidRDefault="00C31758" w:rsidP="00C31758">
      <w:pPr>
        <w:pStyle w:val="paragraph"/>
      </w:pPr>
      <w:r w:rsidRPr="006C069E">
        <w:tab/>
        <w:t>(d)</w:t>
      </w:r>
      <w:r w:rsidRPr="006C069E">
        <w:tab/>
        <w:t>has an ancillary account in the military superannuation scheme; or</w:t>
      </w:r>
    </w:p>
    <w:p w:rsidR="00C31758" w:rsidRPr="006C069E" w:rsidRDefault="00C31758" w:rsidP="00C31758">
      <w:pPr>
        <w:pStyle w:val="paragraph"/>
      </w:pPr>
      <w:r w:rsidRPr="006C069E">
        <w:tab/>
        <w:t>(e)</w:t>
      </w:r>
      <w:r w:rsidRPr="006C069E">
        <w:tab/>
        <w:t>both:</w:t>
      </w:r>
    </w:p>
    <w:p w:rsidR="00C31758" w:rsidRPr="006C069E" w:rsidRDefault="00C31758" w:rsidP="00C31758">
      <w:pPr>
        <w:pStyle w:val="paragraphsub"/>
      </w:pPr>
      <w:r w:rsidRPr="006C069E">
        <w:tab/>
        <w:t>(</w:t>
      </w:r>
      <w:proofErr w:type="spellStart"/>
      <w:r w:rsidRPr="006C069E">
        <w:t>i</w:t>
      </w:r>
      <w:proofErr w:type="spellEnd"/>
      <w:r w:rsidRPr="006C069E">
        <w:t>)</w:t>
      </w:r>
      <w:r w:rsidRPr="006C069E">
        <w:tab/>
        <w:t xml:space="preserve">is a member of the scheme established under the </w:t>
      </w:r>
      <w:r w:rsidRPr="006C069E">
        <w:rPr>
          <w:i/>
        </w:rPr>
        <w:t>Defence Force Retirement and Death Benefits Act 1973</w:t>
      </w:r>
      <w:r w:rsidRPr="006C069E">
        <w:t>; and</w:t>
      </w:r>
    </w:p>
    <w:p w:rsidR="00C31758" w:rsidRPr="006C069E" w:rsidRDefault="00C31758" w:rsidP="00C31758">
      <w:pPr>
        <w:pStyle w:val="paragraphsub"/>
      </w:pPr>
      <w:r w:rsidRPr="006C069E">
        <w:tab/>
        <w:t>(ii)</w:t>
      </w:r>
      <w:r w:rsidRPr="006C069E">
        <w:tab/>
        <w:t>has an ancillary account in the military superannuation scheme; or</w:t>
      </w:r>
    </w:p>
    <w:p w:rsidR="00C31758" w:rsidRPr="006C069E" w:rsidRDefault="00C31758" w:rsidP="00C31758">
      <w:pPr>
        <w:pStyle w:val="paragraph"/>
      </w:pPr>
      <w:r w:rsidRPr="006C069E">
        <w:tab/>
        <w:t>(f)</w:t>
      </w:r>
      <w:r w:rsidRPr="006C069E">
        <w:tab/>
        <w:t xml:space="preserve">holds an interest, as a </w:t>
      </w:r>
      <w:r w:rsidRPr="006C069E">
        <w:rPr>
          <w:b/>
          <w:i/>
        </w:rPr>
        <w:t>non</w:t>
      </w:r>
      <w:r w:rsidR="006C069E">
        <w:rPr>
          <w:b/>
          <w:i/>
        </w:rPr>
        <w:noBreakHyphen/>
      </w:r>
      <w:r w:rsidRPr="006C069E">
        <w:rPr>
          <w:b/>
          <w:i/>
        </w:rPr>
        <w:t>member spouse</w:t>
      </w:r>
      <w:r w:rsidRPr="006C069E">
        <w:t xml:space="preserve"> within the meaning of section</w:t>
      </w:r>
      <w:r w:rsidR="006C069E" w:rsidRPr="006C069E">
        <w:t> </w:t>
      </w:r>
      <w:r w:rsidRPr="006C069E">
        <w:t xml:space="preserve">90MD of the </w:t>
      </w:r>
      <w:r w:rsidRPr="006C069E">
        <w:rPr>
          <w:i/>
        </w:rPr>
        <w:t>Family Law Act 1975</w:t>
      </w:r>
      <w:r w:rsidRPr="006C069E">
        <w:t xml:space="preserve">, in a superannuation scheme established under the </w:t>
      </w:r>
      <w:r w:rsidRPr="006C069E">
        <w:rPr>
          <w:i/>
        </w:rPr>
        <w:t>Superannuation Act 1976</w:t>
      </w:r>
      <w:r w:rsidRPr="006C069E">
        <w:t xml:space="preserve"> or the </w:t>
      </w:r>
      <w:r w:rsidRPr="006C069E">
        <w:rPr>
          <w:i/>
        </w:rPr>
        <w:t>Superannuation Act 1990</w:t>
      </w:r>
      <w:r w:rsidRPr="006C069E">
        <w:t>; or</w:t>
      </w:r>
    </w:p>
    <w:p w:rsidR="00C31758" w:rsidRPr="006C069E" w:rsidRDefault="00C31758" w:rsidP="00C31758">
      <w:pPr>
        <w:pStyle w:val="paragraph"/>
      </w:pPr>
      <w:r w:rsidRPr="006C069E">
        <w:tab/>
        <w:t>(g)</w:t>
      </w:r>
      <w:r w:rsidRPr="006C069E">
        <w:tab/>
        <w:t>has made an election under section</w:t>
      </w:r>
      <w:r w:rsidR="006C069E" w:rsidRPr="006C069E">
        <w:t> </w:t>
      </w:r>
      <w:r w:rsidRPr="006C069E">
        <w:t xml:space="preserve">137 of the </w:t>
      </w:r>
      <w:r w:rsidRPr="006C069E">
        <w:rPr>
          <w:i/>
        </w:rPr>
        <w:t>Superannuation Act 1976</w:t>
      </w:r>
      <w:r w:rsidRPr="006C069E">
        <w:t>; or</w:t>
      </w:r>
    </w:p>
    <w:p w:rsidR="00C31758" w:rsidRPr="006C069E" w:rsidRDefault="00C31758" w:rsidP="00C31758">
      <w:pPr>
        <w:pStyle w:val="paragraph"/>
      </w:pPr>
      <w:r w:rsidRPr="006C069E">
        <w:tab/>
        <w:t>(h)</w:t>
      </w:r>
      <w:r w:rsidRPr="006C069E">
        <w:tab/>
        <w:t xml:space="preserve">is a </w:t>
      </w:r>
      <w:r w:rsidRPr="006C069E">
        <w:rPr>
          <w:b/>
          <w:i/>
        </w:rPr>
        <w:t>preserved benefit member</w:t>
      </w:r>
      <w:r w:rsidRPr="006C069E">
        <w:t xml:space="preserve"> within the meaning of the </w:t>
      </w:r>
      <w:r w:rsidRPr="006C069E">
        <w:rPr>
          <w:i/>
        </w:rPr>
        <w:t>Public Sector S</w:t>
      </w:r>
      <w:r w:rsidR="007A7571" w:rsidRPr="006C069E">
        <w:rPr>
          <w:i/>
        </w:rPr>
        <w:t>uperannuation Scheme Trust Deed</w:t>
      </w:r>
      <w:r w:rsidRPr="006C069E">
        <w:t>.</w:t>
      </w:r>
    </w:p>
    <w:p w:rsidR="00C07C04" w:rsidRPr="006C069E" w:rsidRDefault="00C07C04" w:rsidP="00C07C04">
      <w:pPr>
        <w:pStyle w:val="ActHead2"/>
        <w:pageBreakBefore/>
      </w:pPr>
      <w:bookmarkStart w:id="9" w:name="_Toc523810802"/>
      <w:r w:rsidRPr="006C069E">
        <w:rPr>
          <w:rStyle w:val="CharPartNo"/>
        </w:rPr>
        <w:t>Part</w:t>
      </w:r>
      <w:r w:rsidR="006C069E" w:rsidRPr="006C069E">
        <w:rPr>
          <w:rStyle w:val="CharPartNo"/>
        </w:rPr>
        <w:t> </w:t>
      </w:r>
      <w:r w:rsidR="00C31758" w:rsidRPr="006C069E">
        <w:rPr>
          <w:rStyle w:val="CharPartNo"/>
        </w:rPr>
        <w:t>3</w:t>
      </w:r>
      <w:r w:rsidRPr="006C069E">
        <w:t>—</w:t>
      </w:r>
      <w:r w:rsidR="003F0BAE" w:rsidRPr="006C069E">
        <w:rPr>
          <w:rStyle w:val="CharPartText"/>
        </w:rPr>
        <w:t>B</w:t>
      </w:r>
      <w:r w:rsidR="00C31758" w:rsidRPr="006C069E">
        <w:rPr>
          <w:rStyle w:val="CharPartText"/>
        </w:rPr>
        <w:t>enefit certificates</w:t>
      </w:r>
      <w:bookmarkEnd w:id="9"/>
    </w:p>
    <w:p w:rsidR="00593A0B" w:rsidRPr="006C069E" w:rsidRDefault="00593A0B" w:rsidP="00593A0B">
      <w:pPr>
        <w:pStyle w:val="Header"/>
      </w:pPr>
      <w:r w:rsidRPr="006C069E">
        <w:rPr>
          <w:rStyle w:val="CharDivNo"/>
        </w:rPr>
        <w:t xml:space="preserve"> </w:t>
      </w:r>
      <w:r w:rsidRPr="006C069E">
        <w:rPr>
          <w:rStyle w:val="CharDivText"/>
        </w:rPr>
        <w:t xml:space="preserve"> </w:t>
      </w:r>
    </w:p>
    <w:p w:rsidR="009B62B2" w:rsidRPr="006C069E" w:rsidRDefault="00C45936" w:rsidP="009B62B2">
      <w:pPr>
        <w:pStyle w:val="ActHead5"/>
      </w:pPr>
      <w:bookmarkStart w:id="10" w:name="_Toc523810803"/>
      <w:r w:rsidRPr="006C069E">
        <w:rPr>
          <w:rStyle w:val="CharSectno"/>
        </w:rPr>
        <w:t>7</w:t>
      </w:r>
      <w:r w:rsidR="009B62B2" w:rsidRPr="006C069E">
        <w:t xml:space="preserve">  Benefit certificates</w:t>
      </w:r>
      <w:bookmarkEnd w:id="10"/>
    </w:p>
    <w:p w:rsidR="009B62B2" w:rsidRPr="006C069E" w:rsidRDefault="009B62B2" w:rsidP="009B62B2">
      <w:pPr>
        <w:pStyle w:val="subsection"/>
      </w:pPr>
      <w:r w:rsidRPr="006C069E">
        <w:tab/>
        <w:t>(1)</w:t>
      </w:r>
      <w:r w:rsidRPr="006C069E">
        <w:tab/>
        <w:t>An employer must obtain a benefit certificate from an actuary:</w:t>
      </w:r>
    </w:p>
    <w:p w:rsidR="009B62B2" w:rsidRPr="006C069E" w:rsidRDefault="009B62B2" w:rsidP="009B62B2">
      <w:pPr>
        <w:pStyle w:val="paragraph"/>
      </w:pPr>
      <w:r w:rsidRPr="006C069E">
        <w:tab/>
        <w:t>(a)</w:t>
      </w:r>
      <w:r w:rsidRPr="006C069E">
        <w:tab/>
        <w:t>if the employer is required to lodge a superannuation guarantee statement—on or before the day on which the superannuation guarantee statement for the quarter to which the certificate relates is lodged; or</w:t>
      </w:r>
    </w:p>
    <w:p w:rsidR="009B62B2" w:rsidRPr="006C069E" w:rsidRDefault="009B62B2" w:rsidP="009B62B2">
      <w:pPr>
        <w:pStyle w:val="paragraph"/>
      </w:pPr>
      <w:r w:rsidRPr="006C069E">
        <w:tab/>
        <w:t>(b)</w:t>
      </w:r>
      <w:r w:rsidRPr="006C069E">
        <w:tab/>
        <w:t xml:space="preserve">if the employer is not required to lodge a superannuation guarantee statement—at or </w:t>
      </w:r>
      <w:r w:rsidR="00FF22C5" w:rsidRPr="006C069E">
        <w:t xml:space="preserve">before </w:t>
      </w:r>
      <w:r w:rsidRPr="006C069E">
        <w:t>the time ascertained under subsections</w:t>
      </w:r>
      <w:r w:rsidR="006C069E" w:rsidRPr="006C069E">
        <w:t> </w:t>
      </w:r>
      <w:r w:rsidRPr="006C069E">
        <w:t>10(3) and (4) of the Act; or</w:t>
      </w:r>
    </w:p>
    <w:p w:rsidR="009B62B2" w:rsidRPr="006C069E" w:rsidRDefault="009B62B2" w:rsidP="009B62B2">
      <w:pPr>
        <w:pStyle w:val="paragraph"/>
      </w:pPr>
      <w:r w:rsidRPr="006C069E">
        <w:tab/>
        <w:t>(c)</w:t>
      </w:r>
      <w:r w:rsidRPr="006C069E">
        <w:tab/>
        <w:t>on or before such later date as the Commissioner allows.</w:t>
      </w:r>
    </w:p>
    <w:p w:rsidR="009B62B2" w:rsidRPr="006C069E" w:rsidRDefault="009B62B2" w:rsidP="009B62B2">
      <w:pPr>
        <w:pStyle w:val="subsection"/>
      </w:pPr>
      <w:r w:rsidRPr="006C069E">
        <w:tab/>
        <w:t>(2)</w:t>
      </w:r>
      <w:r w:rsidRPr="006C069E">
        <w:tab/>
        <w:t>A benefit certificate must:</w:t>
      </w:r>
    </w:p>
    <w:p w:rsidR="009B62B2" w:rsidRPr="006C069E" w:rsidRDefault="009B62B2" w:rsidP="009B62B2">
      <w:pPr>
        <w:pStyle w:val="paragraph"/>
      </w:pPr>
      <w:r w:rsidRPr="006C069E">
        <w:tab/>
        <w:t>(a)</w:t>
      </w:r>
      <w:r w:rsidRPr="006C069E">
        <w:tab/>
        <w:t>include the name of each defined benefit superannuation scheme to which the certificate relates; and</w:t>
      </w:r>
    </w:p>
    <w:p w:rsidR="009B62B2" w:rsidRPr="006C069E" w:rsidRDefault="009B62B2" w:rsidP="009B62B2">
      <w:pPr>
        <w:pStyle w:val="paragraph"/>
      </w:pPr>
      <w:r w:rsidRPr="006C069E">
        <w:tab/>
        <w:t>(b)</w:t>
      </w:r>
      <w:r w:rsidRPr="006C069E">
        <w:tab/>
        <w:t>specify, or identify by reference to the governing rules of each scheme to which the certificate relates, the minimum requisite benefit; and</w:t>
      </w:r>
    </w:p>
    <w:p w:rsidR="009B62B2" w:rsidRPr="006C069E" w:rsidRDefault="009B62B2" w:rsidP="009B62B2">
      <w:pPr>
        <w:pStyle w:val="paragraph"/>
      </w:pPr>
      <w:r w:rsidRPr="006C069E">
        <w:tab/>
        <w:t>(c)</w:t>
      </w:r>
      <w:r w:rsidRPr="006C069E">
        <w:tab/>
        <w:t>specify:</w:t>
      </w:r>
    </w:p>
    <w:p w:rsidR="009B62B2" w:rsidRPr="006C069E" w:rsidRDefault="009B62B2" w:rsidP="009B62B2">
      <w:pPr>
        <w:pStyle w:val="paragraphsub"/>
      </w:pPr>
      <w:r w:rsidRPr="006C069E">
        <w:tab/>
        <w:t>(</w:t>
      </w:r>
      <w:proofErr w:type="spellStart"/>
      <w:r w:rsidRPr="006C069E">
        <w:t>i</w:t>
      </w:r>
      <w:proofErr w:type="spellEnd"/>
      <w:r w:rsidRPr="006C069E">
        <w:t>)</w:t>
      </w:r>
      <w:r w:rsidRPr="006C069E">
        <w:tab/>
        <w:t>the notional employer contribution rate in relation to each scheme, or combination of schemes, to which the certificate relates; and</w:t>
      </w:r>
    </w:p>
    <w:p w:rsidR="009B62B2" w:rsidRPr="006C069E" w:rsidRDefault="009B62B2" w:rsidP="009B62B2">
      <w:pPr>
        <w:pStyle w:val="paragraphsub"/>
      </w:pPr>
      <w:r w:rsidRPr="006C069E">
        <w:tab/>
        <w:t>(ii)</w:t>
      </w:r>
      <w:r w:rsidRPr="006C069E">
        <w:tab/>
        <w:t>the class of members of the scheme or schemes to which the notional employer contribution rate relates; and</w:t>
      </w:r>
    </w:p>
    <w:p w:rsidR="009B62B2" w:rsidRPr="006C069E" w:rsidRDefault="009B62B2" w:rsidP="009B62B2">
      <w:pPr>
        <w:pStyle w:val="paragraph"/>
      </w:pPr>
      <w:r w:rsidRPr="006C069E">
        <w:tab/>
        <w:t>(d)</w:t>
      </w:r>
      <w:r w:rsidRPr="006C069E">
        <w:tab/>
        <w:t xml:space="preserve">include a statement to the effect that each notional employer contribution rate referred to in </w:t>
      </w:r>
      <w:r w:rsidR="006C069E" w:rsidRPr="006C069E">
        <w:t>paragraph (</w:t>
      </w:r>
      <w:r w:rsidRPr="006C069E">
        <w:t xml:space="preserve">c) has been calculated in accordance with </w:t>
      </w:r>
      <w:r w:rsidR="00B61F69" w:rsidRPr="006C069E">
        <w:t>this instrument</w:t>
      </w:r>
      <w:r w:rsidRPr="006C069E">
        <w:t>; and</w:t>
      </w:r>
    </w:p>
    <w:p w:rsidR="009B62B2" w:rsidRPr="006C069E" w:rsidRDefault="009B62B2" w:rsidP="009B62B2">
      <w:pPr>
        <w:pStyle w:val="paragraph"/>
      </w:pPr>
      <w:r w:rsidRPr="006C069E">
        <w:tab/>
        <w:t>(e)</w:t>
      </w:r>
      <w:r w:rsidRPr="006C069E">
        <w:tab/>
        <w:t>specify the date of effect of the benefit certificate in relation to each scheme to which the certificate relates; and</w:t>
      </w:r>
    </w:p>
    <w:p w:rsidR="009B62B2" w:rsidRPr="006C069E" w:rsidRDefault="009B62B2" w:rsidP="009B62B2">
      <w:pPr>
        <w:pStyle w:val="paragraph"/>
      </w:pPr>
      <w:r w:rsidRPr="006C069E">
        <w:tab/>
        <w:t>(f)</w:t>
      </w:r>
      <w:r w:rsidRPr="006C069E">
        <w:tab/>
        <w:t>include the name, business address and actuarial qualifications of the actuary who issues the certificate; and</w:t>
      </w:r>
    </w:p>
    <w:p w:rsidR="009B62B2" w:rsidRPr="006C069E" w:rsidRDefault="009B62B2" w:rsidP="009B62B2">
      <w:pPr>
        <w:pStyle w:val="paragraph"/>
      </w:pPr>
      <w:r w:rsidRPr="006C069E">
        <w:tab/>
        <w:t>(g)</w:t>
      </w:r>
      <w:r w:rsidRPr="006C069E">
        <w:tab/>
        <w:t>include the signature of the actuary and the date on which the certificate is signed.</w:t>
      </w:r>
    </w:p>
    <w:p w:rsidR="009B62B2" w:rsidRPr="006C069E" w:rsidRDefault="00C45936" w:rsidP="009B62B2">
      <w:pPr>
        <w:pStyle w:val="ActHead5"/>
      </w:pPr>
      <w:bookmarkStart w:id="11" w:name="_Toc523810804"/>
      <w:r w:rsidRPr="006C069E">
        <w:rPr>
          <w:rStyle w:val="CharSectno"/>
        </w:rPr>
        <w:t>8</w:t>
      </w:r>
      <w:r w:rsidR="009B62B2" w:rsidRPr="006C069E">
        <w:t xml:space="preserve">  Notio</w:t>
      </w:r>
      <w:r w:rsidR="00B27371" w:rsidRPr="006C069E">
        <w:t>nal employer contribution rate—</w:t>
      </w:r>
      <w:r w:rsidR="009B62B2" w:rsidRPr="006C069E">
        <w:t>general</w:t>
      </w:r>
      <w:bookmarkEnd w:id="11"/>
    </w:p>
    <w:p w:rsidR="009B62B2" w:rsidRPr="006C069E" w:rsidRDefault="009B62B2" w:rsidP="009B62B2">
      <w:pPr>
        <w:pStyle w:val="subsection"/>
      </w:pPr>
      <w:r w:rsidRPr="006C069E">
        <w:tab/>
        <w:t>(1)</w:t>
      </w:r>
      <w:r w:rsidRPr="006C069E">
        <w:tab/>
        <w:t xml:space="preserve">Subject to </w:t>
      </w:r>
      <w:r w:rsidR="006C069E" w:rsidRPr="006C069E">
        <w:t>subsection (</w:t>
      </w:r>
      <w:r w:rsidRPr="006C069E">
        <w:t xml:space="preserve">2), the notional employer contribution rate in relation to a class of employees who are members of a defined benefit superannuation scheme is the rate determined in accordance with </w:t>
      </w:r>
      <w:r w:rsidR="00717B09" w:rsidRPr="006C069E">
        <w:t>section</w:t>
      </w:r>
      <w:r w:rsidR="006C069E" w:rsidRPr="006C069E">
        <w:t> </w:t>
      </w:r>
      <w:r w:rsidR="00C45936" w:rsidRPr="006C069E">
        <w:t>9</w:t>
      </w:r>
      <w:r w:rsidRPr="006C069E">
        <w:t xml:space="preserve"> or </w:t>
      </w:r>
      <w:r w:rsidR="00C45936" w:rsidRPr="006C069E">
        <w:t>10</w:t>
      </w:r>
      <w:r w:rsidRPr="006C069E">
        <w:t>.</w:t>
      </w:r>
    </w:p>
    <w:p w:rsidR="009B62B2" w:rsidRPr="006C069E" w:rsidRDefault="009B62B2" w:rsidP="009B62B2">
      <w:pPr>
        <w:pStyle w:val="subsection"/>
      </w:pPr>
      <w:r w:rsidRPr="006C069E">
        <w:tab/>
        <w:t>(2)</w:t>
      </w:r>
      <w:r w:rsidRPr="006C069E">
        <w:tab/>
        <w:t xml:space="preserve">If </w:t>
      </w:r>
      <w:r w:rsidR="00717B09" w:rsidRPr="006C069E">
        <w:t>section</w:t>
      </w:r>
      <w:r w:rsidR="006C069E" w:rsidRPr="006C069E">
        <w:t> </w:t>
      </w:r>
      <w:r w:rsidR="00C45936" w:rsidRPr="006C069E">
        <w:t>9</w:t>
      </w:r>
      <w:r w:rsidRPr="006C069E">
        <w:t xml:space="preserve"> or </w:t>
      </w:r>
      <w:r w:rsidR="00C45936" w:rsidRPr="006C069E">
        <w:t>10</w:t>
      </w:r>
      <w:r w:rsidRPr="006C069E">
        <w:t xml:space="preserve"> is not applicable to a class of employees, the notional employer contribution rate for that class is calculated in accordance with a method determined by an actuary, who certifies that the method:</w:t>
      </w:r>
    </w:p>
    <w:p w:rsidR="009B62B2" w:rsidRPr="006C069E" w:rsidRDefault="009B62B2" w:rsidP="009B62B2">
      <w:pPr>
        <w:pStyle w:val="paragraph"/>
      </w:pPr>
      <w:r w:rsidRPr="006C069E">
        <w:tab/>
        <w:t>(a)</w:t>
      </w:r>
      <w:r w:rsidRPr="006C069E">
        <w:tab/>
        <w:t>is applicable to the class; and</w:t>
      </w:r>
    </w:p>
    <w:p w:rsidR="009B62B2" w:rsidRPr="006C069E" w:rsidRDefault="009B62B2" w:rsidP="009B62B2">
      <w:pPr>
        <w:pStyle w:val="paragraph"/>
      </w:pPr>
      <w:r w:rsidRPr="006C069E">
        <w:tab/>
        <w:t>(b)</w:t>
      </w:r>
      <w:r w:rsidRPr="006C069E">
        <w:tab/>
        <w:t xml:space="preserve">is consistent with </w:t>
      </w:r>
      <w:r w:rsidR="00717B09" w:rsidRPr="006C069E">
        <w:t>section</w:t>
      </w:r>
      <w:r w:rsidR="006C069E" w:rsidRPr="006C069E">
        <w:t> </w:t>
      </w:r>
      <w:r w:rsidR="00C45936" w:rsidRPr="006C069E">
        <w:t>9</w:t>
      </w:r>
      <w:r w:rsidRPr="006C069E">
        <w:t xml:space="preserve"> or </w:t>
      </w:r>
      <w:r w:rsidR="00C45936" w:rsidRPr="006C069E">
        <w:t>10</w:t>
      </w:r>
      <w:r w:rsidRPr="006C069E">
        <w:t>; and</w:t>
      </w:r>
    </w:p>
    <w:p w:rsidR="009B62B2" w:rsidRPr="006C069E" w:rsidRDefault="009B62B2" w:rsidP="009B62B2">
      <w:pPr>
        <w:pStyle w:val="paragraph"/>
      </w:pPr>
      <w:r w:rsidRPr="006C069E">
        <w:tab/>
        <w:t>(c)</w:t>
      </w:r>
      <w:r w:rsidRPr="006C069E">
        <w:tab/>
        <w:t>determines a rate that is comparable to the rate at which the employer of the employees must contribute to the superannuation scheme, or schemes, to provide the employees with the minimum requisite benefit.</w:t>
      </w:r>
    </w:p>
    <w:p w:rsidR="009B62B2" w:rsidRPr="006C069E" w:rsidRDefault="00C45936" w:rsidP="009B62B2">
      <w:pPr>
        <w:pStyle w:val="ActHead5"/>
      </w:pPr>
      <w:bookmarkStart w:id="12" w:name="_Toc523810805"/>
      <w:r w:rsidRPr="006C069E">
        <w:rPr>
          <w:rStyle w:val="CharSectno"/>
        </w:rPr>
        <w:t>9</w:t>
      </w:r>
      <w:r w:rsidR="009B62B2" w:rsidRPr="006C069E">
        <w:t xml:space="preserve">  Notio</w:t>
      </w:r>
      <w:r w:rsidR="00B27371" w:rsidRPr="006C069E">
        <w:t>nal employer contribution rate—</w:t>
      </w:r>
      <w:r w:rsidR="009B62B2" w:rsidRPr="006C069E">
        <w:t>accumulation benefits</w:t>
      </w:r>
      <w:bookmarkEnd w:id="12"/>
    </w:p>
    <w:p w:rsidR="009B62B2" w:rsidRPr="006C069E" w:rsidRDefault="009B62B2" w:rsidP="009B62B2">
      <w:pPr>
        <w:pStyle w:val="subsection"/>
      </w:pPr>
      <w:r w:rsidRPr="006C069E">
        <w:tab/>
      </w:r>
      <w:r w:rsidRPr="006C069E">
        <w:tab/>
        <w:t>If, in relation to a class of employees who are members of a defined benefit superannuation scheme:</w:t>
      </w:r>
    </w:p>
    <w:p w:rsidR="009B62B2" w:rsidRPr="006C069E" w:rsidRDefault="009B62B2" w:rsidP="009B62B2">
      <w:pPr>
        <w:pStyle w:val="paragraph"/>
      </w:pPr>
      <w:r w:rsidRPr="006C069E">
        <w:tab/>
        <w:t>(a)</w:t>
      </w:r>
      <w:r w:rsidRPr="006C069E">
        <w:tab/>
        <w:t>the minimum requisite benefit in respect of each employee in that class is calculated as an accumulation of employer contributions; and</w:t>
      </w:r>
    </w:p>
    <w:p w:rsidR="009B62B2" w:rsidRPr="006C069E" w:rsidRDefault="009B62B2" w:rsidP="009B62B2">
      <w:pPr>
        <w:pStyle w:val="paragraph"/>
      </w:pPr>
      <w:r w:rsidRPr="006C069E">
        <w:tab/>
        <w:t>(b)</w:t>
      </w:r>
      <w:r w:rsidRPr="006C069E">
        <w:tab/>
        <w:t>the employer contribution rate used in that calculation is the same for each employee in the class;</w:t>
      </w:r>
    </w:p>
    <w:p w:rsidR="009B62B2" w:rsidRPr="006C069E" w:rsidRDefault="009B62B2" w:rsidP="009B62B2">
      <w:pPr>
        <w:pStyle w:val="subsection2"/>
      </w:pPr>
      <w:r w:rsidRPr="006C069E">
        <w:t>the notional employer contribution rate in relation to the class is that employer contribution rate.</w:t>
      </w:r>
    </w:p>
    <w:p w:rsidR="009B62B2" w:rsidRPr="006C069E" w:rsidRDefault="00C45936" w:rsidP="009B62B2">
      <w:pPr>
        <w:pStyle w:val="ActHead5"/>
      </w:pPr>
      <w:bookmarkStart w:id="13" w:name="_Toc523810806"/>
      <w:r w:rsidRPr="006C069E">
        <w:rPr>
          <w:rStyle w:val="CharSectno"/>
        </w:rPr>
        <w:t>10</w:t>
      </w:r>
      <w:r w:rsidR="009B62B2" w:rsidRPr="006C069E">
        <w:t xml:space="preserve">  Noti</w:t>
      </w:r>
      <w:r w:rsidR="00C30BA0" w:rsidRPr="006C069E">
        <w:t>onal employer contribution rate—</w:t>
      </w:r>
      <w:r w:rsidR="009B62B2" w:rsidRPr="006C069E">
        <w:t>defined benefits</w:t>
      </w:r>
      <w:bookmarkEnd w:id="13"/>
    </w:p>
    <w:p w:rsidR="009B62B2" w:rsidRPr="006C069E" w:rsidRDefault="009B62B2" w:rsidP="009B62B2">
      <w:pPr>
        <w:pStyle w:val="subsection"/>
      </w:pPr>
      <w:r w:rsidRPr="006C069E">
        <w:tab/>
        <w:t>(1)</w:t>
      </w:r>
      <w:r w:rsidRPr="006C069E">
        <w:tab/>
        <w:t xml:space="preserve">For the purposes of this </w:t>
      </w:r>
      <w:r w:rsidR="00B61F69" w:rsidRPr="006C069E">
        <w:t>section</w:t>
      </w:r>
      <w:r w:rsidRPr="006C069E">
        <w:t>:</w:t>
      </w:r>
    </w:p>
    <w:p w:rsidR="009B62B2" w:rsidRPr="006C069E" w:rsidRDefault="009B62B2" w:rsidP="009B62B2">
      <w:pPr>
        <w:pStyle w:val="Definition"/>
      </w:pPr>
      <w:r w:rsidRPr="006C069E">
        <w:rPr>
          <w:b/>
          <w:i/>
        </w:rPr>
        <w:t>DF</w:t>
      </w:r>
      <w:r w:rsidRPr="006C069E">
        <w:t>, in relation to a person:</w:t>
      </w:r>
    </w:p>
    <w:p w:rsidR="009B62B2" w:rsidRPr="006C069E" w:rsidRDefault="009B62B2" w:rsidP="009B62B2">
      <w:pPr>
        <w:pStyle w:val="paragraph"/>
      </w:pPr>
      <w:r w:rsidRPr="006C069E">
        <w:tab/>
        <w:t>(a)</w:t>
      </w:r>
      <w:r w:rsidRPr="006C069E">
        <w:tab/>
        <w:t>who has not turned 45—is 0.3; or</w:t>
      </w:r>
    </w:p>
    <w:p w:rsidR="009B62B2" w:rsidRPr="006C069E" w:rsidRDefault="009B62B2" w:rsidP="009B62B2">
      <w:pPr>
        <w:pStyle w:val="paragraph"/>
      </w:pPr>
      <w:r w:rsidRPr="006C069E">
        <w:tab/>
        <w:t>(b)</w:t>
      </w:r>
      <w:r w:rsidRPr="006C069E">
        <w:tab/>
        <w:t>who has turned 45 but has not turned 65—is the number that is calculated by multiplying 0.00125 by:</w:t>
      </w:r>
    </w:p>
    <w:p w:rsidR="009B62B2" w:rsidRPr="006C069E" w:rsidRDefault="009B62B2" w:rsidP="009B62B2">
      <w:pPr>
        <w:pStyle w:val="paragraphsub"/>
      </w:pPr>
      <w:r w:rsidRPr="006C069E">
        <w:tab/>
        <w:t>(</w:t>
      </w:r>
      <w:proofErr w:type="spellStart"/>
      <w:r w:rsidRPr="006C069E">
        <w:t>i</w:t>
      </w:r>
      <w:proofErr w:type="spellEnd"/>
      <w:r w:rsidRPr="006C069E">
        <w:t>)</w:t>
      </w:r>
      <w:r w:rsidRPr="006C069E">
        <w:tab/>
        <w:t xml:space="preserve">in the case of a person whose age, expressed in months, when </w:t>
      </w:r>
      <w:r w:rsidR="00644831" w:rsidRPr="006C069E">
        <w:t xml:space="preserve">the person </w:t>
      </w:r>
      <w:r w:rsidRPr="006C069E">
        <w:t>withdraws from a superannuation scheme is a whole number of months—the number that is equal to 780 less the number of months; or</w:t>
      </w:r>
    </w:p>
    <w:p w:rsidR="009B62B2" w:rsidRPr="006C069E" w:rsidRDefault="009B62B2" w:rsidP="009B62B2">
      <w:pPr>
        <w:pStyle w:val="paragraphsub"/>
      </w:pPr>
      <w:r w:rsidRPr="006C069E">
        <w:tab/>
        <w:t>(ii)</w:t>
      </w:r>
      <w:r w:rsidRPr="006C069E">
        <w:tab/>
        <w:t xml:space="preserve">in the case of a person whose age, expressed in months, when </w:t>
      </w:r>
      <w:r w:rsidR="00644831" w:rsidRPr="006C069E">
        <w:t xml:space="preserve">the person </w:t>
      </w:r>
      <w:r w:rsidRPr="006C069E">
        <w:t>withdraws from a superannuation scheme exceeds a whole number of months—the number that is equal to 779 less the number of months; or</w:t>
      </w:r>
    </w:p>
    <w:p w:rsidR="009B62B2" w:rsidRPr="006C069E" w:rsidRDefault="009B62B2" w:rsidP="009B62B2">
      <w:pPr>
        <w:pStyle w:val="paragraph"/>
      </w:pPr>
      <w:r w:rsidRPr="006C069E">
        <w:tab/>
        <w:t>(c)</w:t>
      </w:r>
      <w:r w:rsidRPr="006C069E">
        <w:tab/>
        <w:t>who has turned 65—is 0</w:t>
      </w:r>
      <w:r w:rsidR="003F0BAE" w:rsidRPr="006C069E">
        <w:t>.</w:t>
      </w:r>
    </w:p>
    <w:p w:rsidR="009B62B2" w:rsidRPr="006C069E" w:rsidRDefault="009B62B2" w:rsidP="009B62B2">
      <w:pPr>
        <w:pStyle w:val="Definition"/>
      </w:pPr>
      <w:proofErr w:type="spellStart"/>
      <w:r w:rsidRPr="006C069E">
        <w:rPr>
          <w:b/>
          <w:i/>
        </w:rPr>
        <w:t>FOTE</w:t>
      </w:r>
      <w:proofErr w:type="spellEnd"/>
      <w:r w:rsidRPr="006C069E">
        <w:rPr>
          <w:b/>
          <w:i/>
        </w:rPr>
        <w:t xml:space="preserve"> </w:t>
      </w:r>
      <w:r w:rsidRPr="006C069E">
        <w:t>is:</w:t>
      </w:r>
    </w:p>
    <w:p w:rsidR="009B62B2" w:rsidRPr="006C069E" w:rsidRDefault="009B62B2" w:rsidP="009B62B2">
      <w:pPr>
        <w:pStyle w:val="paragraph"/>
      </w:pPr>
      <w:r w:rsidRPr="006C069E">
        <w:tab/>
        <w:t>(a)</w:t>
      </w:r>
      <w:r w:rsidRPr="006C069E">
        <w:tab/>
        <w:t>if a benefit accruing in respect of membership after 30</w:t>
      </w:r>
      <w:r w:rsidR="006C069E" w:rsidRPr="006C069E">
        <w:t> </w:t>
      </w:r>
      <w:r w:rsidRPr="006C069E">
        <w:t xml:space="preserve">June 2008 is expressed in the governing rules of a superannuation scheme as a multiple of the annual ordinary time earnings of the person as at the day on which </w:t>
      </w:r>
      <w:r w:rsidR="00644831" w:rsidRPr="006C069E">
        <w:t>the person</w:t>
      </w:r>
      <w:r w:rsidRPr="006C069E">
        <w:t xml:space="preserve"> withdraws from the scheme—0.0833; or</w:t>
      </w:r>
    </w:p>
    <w:p w:rsidR="009B62B2" w:rsidRPr="006C069E" w:rsidRDefault="009B62B2" w:rsidP="009B62B2">
      <w:pPr>
        <w:pStyle w:val="paragraph"/>
      </w:pPr>
      <w:r w:rsidRPr="006C069E">
        <w:tab/>
        <w:t>(b)</w:t>
      </w:r>
      <w:r w:rsidRPr="006C069E">
        <w:tab/>
        <w:t>if a benefit accruing in respect of membership after 30</w:t>
      </w:r>
      <w:r w:rsidR="006C069E" w:rsidRPr="006C069E">
        <w:t> </w:t>
      </w:r>
      <w:r w:rsidRPr="006C069E">
        <w:t xml:space="preserve">June 2008 is expressed in the governing rules of the scheme as a multiple of the average annual ordinary time earnings of the person in the period of 3 years ending on the day on which </w:t>
      </w:r>
      <w:r w:rsidR="00644831" w:rsidRPr="006C069E">
        <w:t xml:space="preserve">the person </w:t>
      </w:r>
      <w:r w:rsidRPr="006C069E">
        <w:t>withdraws from the scheme—0.09; or</w:t>
      </w:r>
    </w:p>
    <w:p w:rsidR="009B62B2" w:rsidRPr="006C069E" w:rsidRDefault="009B62B2" w:rsidP="009B62B2">
      <w:pPr>
        <w:pStyle w:val="paragraph"/>
      </w:pPr>
      <w:r w:rsidRPr="006C069E">
        <w:tab/>
        <w:t>(c)</w:t>
      </w:r>
      <w:r w:rsidRPr="006C069E">
        <w:tab/>
        <w:t>if a benefit accruing in respect of membership after 30</w:t>
      </w:r>
      <w:r w:rsidR="006C069E" w:rsidRPr="006C069E">
        <w:t> </w:t>
      </w:r>
      <w:r w:rsidRPr="006C069E">
        <w:t xml:space="preserve">June 2008 is expressed in those governing rules as a multiple of the average annual ordinary time earnings of the person in a particular number of years of membership of the person ending on the day on which </w:t>
      </w:r>
      <w:r w:rsidR="00644831" w:rsidRPr="006C069E">
        <w:t xml:space="preserve">the person </w:t>
      </w:r>
      <w:r w:rsidRPr="006C069E">
        <w:t>withdraws from the scheme:</w:t>
      </w:r>
    </w:p>
    <w:p w:rsidR="00436217" w:rsidRPr="006C069E" w:rsidRDefault="00436217" w:rsidP="00436217">
      <w:pPr>
        <w:pStyle w:val="paragraph"/>
      </w:pPr>
      <w:r w:rsidRPr="006C069E">
        <w:tab/>
      </w:r>
      <w:r w:rsidRPr="006C069E">
        <w:tab/>
      </w:r>
      <w:r w:rsidRPr="006C069E">
        <w:object w:dxaOrig="21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7.75pt" o:ole="">
            <v:imagedata r:id="rId21" o:title=""/>
          </v:shape>
          <o:OLEObject Type="Embed" ProgID="Equation.DSMT4" ShapeID="_x0000_i1025" DrawAspect="Content" ObjectID="_1598422705" r:id="rId22"/>
        </w:object>
      </w:r>
    </w:p>
    <w:p w:rsidR="009B62B2" w:rsidRPr="006C069E" w:rsidRDefault="009B62B2" w:rsidP="009B62B2">
      <w:pPr>
        <w:pStyle w:val="paragraph"/>
      </w:pPr>
      <w:r w:rsidRPr="006C069E">
        <w:tab/>
      </w:r>
      <w:r w:rsidRPr="006C069E">
        <w:tab/>
        <w:t>where:</w:t>
      </w:r>
    </w:p>
    <w:p w:rsidR="009B62B2" w:rsidRPr="006C069E" w:rsidRDefault="00436217" w:rsidP="00436217">
      <w:pPr>
        <w:pStyle w:val="paragraph"/>
      </w:pPr>
      <w:r w:rsidRPr="006C069E">
        <w:tab/>
      </w:r>
      <w:r w:rsidRPr="006C069E">
        <w:tab/>
      </w:r>
      <w:r w:rsidR="009B62B2" w:rsidRPr="006C069E">
        <w:rPr>
          <w:b/>
          <w:i/>
        </w:rPr>
        <w:t>A</w:t>
      </w:r>
      <w:r w:rsidR="009B62B2" w:rsidRPr="006C069E">
        <w:t xml:space="preserve"> is the number of years specified in the governing rules of the scheme ending on the day on which the person withdraws from the scheme.</w:t>
      </w:r>
    </w:p>
    <w:p w:rsidR="009B62B2" w:rsidRPr="006C069E" w:rsidRDefault="009B62B2" w:rsidP="00320BA8">
      <w:pPr>
        <w:pStyle w:val="Definition"/>
      </w:pPr>
      <w:r w:rsidRPr="006C069E">
        <w:rPr>
          <w:b/>
          <w:i/>
        </w:rPr>
        <w:t>FSAL</w:t>
      </w:r>
      <w:r w:rsidRPr="006C069E">
        <w:t xml:space="preserve"> is:</w:t>
      </w:r>
    </w:p>
    <w:p w:rsidR="009B62B2" w:rsidRPr="006C069E" w:rsidRDefault="009B62B2" w:rsidP="009B62B2">
      <w:pPr>
        <w:pStyle w:val="paragraph"/>
      </w:pPr>
      <w:r w:rsidRPr="006C069E">
        <w:tab/>
        <w:t>(a)</w:t>
      </w:r>
      <w:r w:rsidRPr="006C069E">
        <w:tab/>
        <w:t xml:space="preserve">if </w:t>
      </w:r>
      <w:r w:rsidRPr="006C069E">
        <w:rPr>
          <w:b/>
          <w:i/>
        </w:rPr>
        <w:t>SAL</w:t>
      </w:r>
      <w:r w:rsidRPr="006C069E">
        <w:t xml:space="preserve"> is the annual salary of the person, calculated in accordance with the governing rules of the scheme applicable as at 30</w:t>
      </w:r>
      <w:r w:rsidR="006C069E" w:rsidRPr="006C069E">
        <w:t> </w:t>
      </w:r>
      <w:r w:rsidRPr="006C069E">
        <w:t xml:space="preserve">June 1992, as at the day on which </w:t>
      </w:r>
      <w:r w:rsidR="00644831" w:rsidRPr="006C069E">
        <w:t xml:space="preserve">the person </w:t>
      </w:r>
      <w:r w:rsidRPr="006C069E">
        <w:t>withdraws from the scheme—0.0833; or</w:t>
      </w:r>
    </w:p>
    <w:p w:rsidR="009B62B2" w:rsidRPr="006C069E" w:rsidRDefault="009B62B2" w:rsidP="009B62B2">
      <w:pPr>
        <w:pStyle w:val="paragraph"/>
      </w:pPr>
      <w:r w:rsidRPr="006C069E">
        <w:tab/>
        <w:t>(b)</w:t>
      </w:r>
      <w:r w:rsidRPr="006C069E">
        <w:tab/>
        <w:t xml:space="preserve">if </w:t>
      </w:r>
      <w:r w:rsidRPr="006C069E">
        <w:rPr>
          <w:b/>
          <w:i/>
        </w:rPr>
        <w:t>SAL</w:t>
      </w:r>
      <w:r w:rsidRPr="006C069E">
        <w:t xml:space="preserve"> is the average annual salary of the person in the period of 3 years ending on the day on which </w:t>
      </w:r>
      <w:r w:rsidR="00644831" w:rsidRPr="006C069E">
        <w:t xml:space="preserve">the person </w:t>
      </w:r>
      <w:r w:rsidRPr="006C069E">
        <w:t>withdraws from the scheme, calculated in accordance with the governing rules of the scheme applicable as at 30</w:t>
      </w:r>
      <w:r w:rsidR="006C069E" w:rsidRPr="006C069E">
        <w:t> </w:t>
      </w:r>
      <w:r w:rsidRPr="006C069E">
        <w:t>June</w:t>
      </w:r>
      <w:r w:rsidR="0007199F" w:rsidRPr="006C069E">
        <w:t xml:space="preserve"> </w:t>
      </w:r>
      <w:r w:rsidRPr="006C069E">
        <w:t>1992—0.09; or</w:t>
      </w:r>
    </w:p>
    <w:p w:rsidR="009B62B2" w:rsidRPr="006C069E" w:rsidRDefault="009B62B2" w:rsidP="009B62B2">
      <w:pPr>
        <w:pStyle w:val="paragraph"/>
      </w:pPr>
      <w:r w:rsidRPr="006C069E">
        <w:tab/>
        <w:t>(c)</w:t>
      </w:r>
      <w:r w:rsidRPr="006C069E">
        <w:tab/>
        <w:t xml:space="preserve">if </w:t>
      </w:r>
      <w:r w:rsidRPr="006C069E">
        <w:rPr>
          <w:b/>
          <w:i/>
        </w:rPr>
        <w:t>SAL</w:t>
      </w:r>
      <w:r w:rsidRPr="006C069E">
        <w:t xml:space="preserve"> is the average annual salary of the person in a number of years, specified in the governing rules of the scheme, ending on the day on which </w:t>
      </w:r>
      <w:r w:rsidR="00644831" w:rsidRPr="006C069E">
        <w:t>the person</w:t>
      </w:r>
      <w:r w:rsidRPr="006C069E">
        <w:t xml:space="preserve"> withdraws from the scheme, calculated in accordance with the governing rules of the scheme applicable as at 30</w:t>
      </w:r>
      <w:r w:rsidR="006C069E" w:rsidRPr="006C069E">
        <w:t> </w:t>
      </w:r>
      <w:r w:rsidRPr="006C069E">
        <w:t>June</w:t>
      </w:r>
      <w:r w:rsidR="0007199F" w:rsidRPr="006C069E">
        <w:t xml:space="preserve"> </w:t>
      </w:r>
      <w:r w:rsidRPr="006C069E">
        <w:t>1992:</w:t>
      </w:r>
    </w:p>
    <w:p w:rsidR="00436217" w:rsidRPr="006C069E" w:rsidRDefault="00320BA8" w:rsidP="009B62B2">
      <w:pPr>
        <w:pStyle w:val="paragraph"/>
      </w:pPr>
      <w:r w:rsidRPr="006C069E">
        <w:tab/>
      </w:r>
      <w:r w:rsidRPr="006C069E">
        <w:tab/>
      </w:r>
      <w:r w:rsidR="00436217" w:rsidRPr="006C069E">
        <w:rPr>
          <w:position w:val="-24"/>
        </w:rPr>
        <w:object w:dxaOrig="2120" w:dyaOrig="580">
          <v:shape id="_x0000_i1026" type="#_x0000_t75" style="width:106.5pt;height:27.75pt" o:ole="">
            <v:imagedata r:id="rId23" o:title=""/>
          </v:shape>
          <o:OLEObject Type="Embed" ProgID="Equation.DSMT4" ShapeID="_x0000_i1026" DrawAspect="Content" ObjectID="_1598422706" r:id="rId24"/>
        </w:object>
      </w:r>
    </w:p>
    <w:p w:rsidR="009B62B2" w:rsidRPr="006C069E" w:rsidRDefault="009B62B2" w:rsidP="00331068">
      <w:pPr>
        <w:pStyle w:val="paragraph"/>
      </w:pPr>
      <w:r w:rsidRPr="006C069E">
        <w:tab/>
      </w:r>
      <w:r w:rsidRPr="006C069E">
        <w:tab/>
        <w:t>where:</w:t>
      </w:r>
    </w:p>
    <w:p w:rsidR="009B62B2" w:rsidRPr="006C069E" w:rsidRDefault="00320BA8" w:rsidP="00320BA8">
      <w:pPr>
        <w:pStyle w:val="paragraph"/>
      </w:pPr>
      <w:r w:rsidRPr="006C069E">
        <w:tab/>
      </w:r>
      <w:r w:rsidRPr="006C069E">
        <w:tab/>
      </w:r>
      <w:r w:rsidR="009B62B2" w:rsidRPr="006C069E">
        <w:rPr>
          <w:b/>
          <w:i/>
        </w:rPr>
        <w:t>A</w:t>
      </w:r>
      <w:r w:rsidR="009B62B2" w:rsidRPr="006C069E">
        <w:t xml:space="preserve"> is the number of years specified in the governing rules of the scheme ending on the day on which the person withdraws from the scheme.</w:t>
      </w:r>
    </w:p>
    <w:p w:rsidR="009B62B2" w:rsidRPr="006C069E" w:rsidRDefault="009B62B2" w:rsidP="009B62B2">
      <w:pPr>
        <w:pStyle w:val="Definition"/>
      </w:pPr>
      <w:r w:rsidRPr="006C069E">
        <w:rPr>
          <w:b/>
          <w:i/>
        </w:rPr>
        <w:t xml:space="preserve">MB </w:t>
      </w:r>
      <w:r w:rsidRPr="006C069E">
        <w:t xml:space="preserve">has the same </w:t>
      </w:r>
      <w:r w:rsidR="006616A0" w:rsidRPr="006C069E">
        <w:t xml:space="preserve">meaning as in </w:t>
      </w:r>
      <w:r w:rsidR="006C069E" w:rsidRPr="006C069E">
        <w:t>subsection (</w:t>
      </w:r>
      <w:r w:rsidR="006616A0" w:rsidRPr="006C069E">
        <w:t>5).</w:t>
      </w:r>
    </w:p>
    <w:p w:rsidR="009B62B2" w:rsidRPr="006C069E" w:rsidRDefault="009B62B2" w:rsidP="009B62B2">
      <w:pPr>
        <w:pStyle w:val="Definition"/>
      </w:pPr>
      <w:r w:rsidRPr="006C069E">
        <w:rPr>
          <w:b/>
          <w:i/>
        </w:rPr>
        <w:t>MCR</w:t>
      </w:r>
      <w:r w:rsidRPr="006C069E">
        <w:t>, in relation to a member of a superannuation scheme, is the rate at which contributions are paid by the member into a superannuation fund in respect of the scheme for the period from 1</w:t>
      </w:r>
      <w:r w:rsidR="006C069E" w:rsidRPr="006C069E">
        <w:t> </w:t>
      </w:r>
      <w:r w:rsidRPr="006C069E">
        <w:t xml:space="preserve">July 2008, being a rate that is expressed, for the purposes of the governing rules of the scheme, as a percentage of </w:t>
      </w:r>
      <w:r w:rsidR="00644831" w:rsidRPr="006C069E">
        <w:t xml:space="preserve">the member’s </w:t>
      </w:r>
      <w:r w:rsidRPr="006C069E">
        <w:t>annual ordinary time earnings.</w:t>
      </w:r>
    </w:p>
    <w:p w:rsidR="009B62B2" w:rsidRPr="006C069E" w:rsidRDefault="009B62B2" w:rsidP="009B62B2">
      <w:pPr>
        <w:pStyle w:val="Definition"/>
      </w:pPr>
      <w:r w:rsidRPr="006C069E">
        <w:rPr>
          <w:b/>
          <w:i/>
        </w:rPr>
        <w:t xml:space="preserve">MRB </w:t>
      </w:r>
      <w:r w:rsidRPr="006C069E">
        <w:t>means the minimum requisite benefit in respect of the person.</w:t>
      </w:r>
    </w:p>
    <w:p w:rsidR="009B62B2" w:rsidRPr="006C069E" w:rsidRDefault="009B62B2" w:rsidP="009B62B2">
      <w:pPr>
        <w:pStyle w:val="Definition"/>
      </w:pPr>
      <w:r w:rsidRPr="006C069E">
        <w:rPr>
          <w:b/>
          <w:i/>
        </w:rPr>
        <w:t>NM</w:t>
      </w:r>
      <w:r w:rsidRPr="006C069E">
        <w:t>, in relation to contributions to a superannuation scheme in respect of a person that are made after 30</w:t>
      </w:r>
      <w:r w:rsidR="006C069E" w:rsidRPr="006C069E">
        <w:t> </w:t>
      </w:r>
      <w:r w:rsidRPr="006C069E">
        <w:t>June 2008, is:</w:t>
      </w:r>
    </w:p>
    <w:p w:rsidR="009B62B2" w:rsidRPr="006C069E" w:rsidRDefault="009B62B2" w:rsidP="009B62B2">
      <w:pPr>
        <w:pStyle w:val="paragraph"/>
      </w:pPr>
      <w:r w:rsidRPr="006C069E">
        <w:tab/>
        <w:t>(a)</w:t>
      </w:r>
      <w:r w:rsidRPr="006C069E">
        <w:tab/>
        <w:t>in the case of a person who withdraws from the scheme at the end of a period that is a whole number of months after the day on which the first contribution was made—that whole number; and</w:t>
      </w:r>
    </w:p>
    <w:p w:rsidR="009B62B2" w:rsidRPr="006C069E" w:rsidRDefault="009B62B2" w:rsidP="009B62B2">
      <w:pPr>
        <w:pStyle w:val="paragraph"/>
      </w:pPr>
      <w:r w:rsidRPr="006C069E">
        <w:tab/>
        <w:t>(b)</w:t>
      </w:r>
      <w:r w:rsidRPr="006C069E">
        <w:tab/>
        <w:t>in the case of a person who withdraws from the scheme at the end of a period that exceeds a whole number of months after the day on which the first contribution was made—the number that is equal to the sum of:</w:t>
      </w:r>
    </w:p>
    <w:p w:rsidR="009B62B2" w:rsidRPr="006C069E" w:rsidRDefault="009B62B2" w:rsidP="009B62B2">
      <w:pPr>
        <w:pStyle w:val="paragraphsub"/>
      </w:pPr>
      <w:r w:rsidRPr="006C069E">
        <w:tab/>
        <w:t>(i)</w:t>
      </w:r>
      <w:r w:rsidRPr="006C069E">
        <w:tab/>
        <w:t>that whole number; and</w:t>
      </w:r>
    </w:p>
    <w:p w:rsidR="009B62B2" w:rsidRPr="006C069E" w:rsidRDefault="009B62B2" w:rsidP="009B62B2">
      <w:pPr>
        <w:pStyle w:val="paragraphsub"/>
      </w:pPr>
      <w:r w:rsidRPr="006C069E">
        <w:tab/>
        <w:t>(ii)</w:t>
      </w:r>
      <w:r w:rsidRPr="006C069E">
        <w:tab/>
        <w:t>the fraction that is calculated by dividing the number of days in the month in which the person withdrew from the scheme, up to and including the day of withdrawal, by the total number of days in that month</w:t>
      </w:r>
      <w:r w:rsidR="00620400" w:rsidRPr="006C069E">
        <w:t>.</w:t>
      </w:r>
    </w:p>
    <w:p w:rsidR="009B62B2" w:rsidRPr="006C069E" w:rsidRDefault="009B62B2" w:rsidP="009B62B2">
      <w:pPr>
        <w:pStyle w:val="Definition"/>
      </w:pPr>
      <w:r w:rsidRPr="006C069E">
        <w:rPr>
          <w:b/>
          <w:i/>
        </w:rPr>
        <w:t>NM1</w:t>
      </w:r>
      <w:r w:rsidRPr="006C069E">
        <w:t>, in relation to contributions to a superannuation scheme in respect of a person that are made between 1</w:t>
      </w:r>
      <w:r w:rsidR="006C069E" w:rsidRPr="006C069E">
        <w:t> </w:t>
      </w:r>
      <w:r w:rsidRPr="006C069E">
        <w:t>July 1992 and 30</w:t>
      </w:r>
      <w:r w:rsidR="006C069E" w:rsidRPr="006C069E">
        <w:t> </w:t>
      </w:r>
      <w:r w:rsidRPr="006C069E">
        <w:t>June 2008, is:</w:t>
      </w:r>
    </w:p>
    <w:p w:rsidR="009B62B2" w:rsidRPr="006C069E" w:rsidRDefault="009B62B2" w:rsidP="009B62B2">
      <w:pPr>
        <w:pStyle w:val="paragraph"/>
      </w:pPr>
      <w:r w:rsidRPr="006C069E">
        <w:tab/>
        <w:t>(a)</w:t>
      </w:r>
      <w:r w:rsidRPr="006C069E">
        <w:tab/>
        <w:t>if the number of months from the day on which the first contribution was made to 30</w:t>
      </w:r>
      <w:r w:rsidR="006C069E" w:rsidRPr="006C069E">
        <w:t> </w:t>
      </w:r>
      <w:r w:rsidRPr="006C069E">
        <w:t>June 2008 is a whole number—that whole number; and</w:t>
      </w:r>
    </w:p>
    <w:p w:rsidR="009B62B2" w:rsidRPr="006C069E" w:rsidRDefault="009B62B2" w:rsidP="009B62B2">
      <w:pPr>
        <w:pStyle w:val="paragraph"/>
      </w:pPr>
      <w:r w:rsidRPr="006C069E">
        <w:tab/>
        <w:t>(b)</w:t>
      </w:r>
      <w:r w:rsidRPr="006C069E">
        <w:tab/>
        <w:t>if the number of months from the day on which the first contribution was made to 30</w:t>
      </w:r>
      <w:r w:rsidR="006C069E" w:rsidRPr="006C069E">
        <w:t> </w:t>
      </w:r>
      <w:r w:rsidRPr="006C069E">
        <w:t>June 2008 exceeds a whole number—the number that is equal to the sum of:</w:t>
      </w:r>
    </w:p>
    <w:p w:rsidR="009B62B2" w:rsidRPr="006C069E" w:rsidRDefault="009B62B2" w:rsidP="009B62B2">
      <w:pPr>
        <w:pStyle w:val="paragraphsub"/>
      </w:pPr>
      <w:r w:rsidRPr="006C069E">
        <w:tab/>
        <w:t>(i)</w:t>
      </w:r>
      <w:r w:rsidRPr="006C069E">
        <w:tab/>
        <w:t>the whole number; and</w:t>
      </w:r>
    </w:p>
    <w:p w:rsidR="009B62B2" w:rsidRPr="006C069E" w:rsidRDefault="009B62B2" w:rsidP="009B62B2">
      <w:pPr>
        <w:pStyle w:val="paragraphsub"/>
      </w:pPr>
      <w:r w:rsidRPr="006C069E">
        <w:tab/>
        <w:t>(ii)</w:t>
      </w:r>
      <w:r w:rsidRPr="006C069E">
        <w:tab/>
        <w:t>the fraction that is calculated by dividing the number of days in the month in which the first contribution was made, from the day the first contribution was made to the end of the last day of the month, by the total number of days in that month.</w:t>
      </w:r>
    </w:p>
    <w:p w:rsidR="00827D41" w:rsidRPr="006C069E" w:rsidRDefault="00827D41" w:rsidP="00827D41">
      <w:pPr>
        <w:pStyle w:val="Definition"/>
      </w:pPr>
      <w:r w:rsidRPr="006C069E">
        <w:rPr>
          <w:b/>
          <w:i/>
        </w:rPr>
        <w:t xml:space="preserve">OTE </w:t>
      </w:r>
      <w:r w:rsidRPr="006C069E">
        <w:t>is:</w:t>
      </w:r>
    </w:p>
    <w:p w:rsidR="00827D41" w:rsidRPr="006C069E" w:rsidRDefault="00827D41" w:rsidP="00827D41">
      <w:pPr>
        <w:pStyle w:val="paragraph"/>
      </w:pPr>
      <w:r w:rsidRPr="006C069E">
        <w:tab/>
        <w:t>(a)</w:t>
      </w:r>
      <w:r w:rsidRPr="006C069E">
        <w:tab/>
        <w:t>if a benefit accruing in respect of the period from 1</w:t>
      </w:r>
      <w:r w:rsidR="006C069E" w:rsidRPr="006C069E">
        <w:t> </w:t>
      </w:r>
      <w:r w:rsidRPr="006C069E">
        <w:t>July</w:t>
      </w:r>
      <w:r w:rsidR="0007199F" w:rsidRPr="006C069E">
        <w:t xml:space="preserve"> </w:t>
      </w:r>
      <w:r w:rsidRPr="006C069E">
        <w:t xml:space="preserve">2008 is expressed in the governing rules of a superannuation scheme as a multiple of the annual ordinary time earnings of a member of that scheme as at the day on which </w:t>
      </w:r>
      <w:r w:rsidR="00644831" w:rsidRPr="006C069E">
        <w:t>the member</w:t>
      </w:r>
      <w:r w:rsidRPr="006C069E">
        <w:t xml:space="preserve"> withdraws from the scheme—</w:t>
      </w:r>
      <w:r w:rsidR="00644831" w:rsidRPr="006C069E">
        <w:t>the member’s</w:t>
      </w:r>
      <w:r w:rsidRPr="006C069E">
        <w:t xml:space="preserve"> annual rate of ordinary time earnings as at that day; or</w:t>
      </w:r>
    </w:p>
    <w:p w:rsidR="00827D41" w:rsidRPr="006C069E" w:rsidRDefault="00827D41" w:rsidP="00827D41">
      <w:pPr>
        <w:pStyle w:val="paragraph"/>
      </w:pPr>
      <w:r w:rsidRPr="006C069E">
        <w:tab/>
        <w:t>(b)</w:t>
      </w:r>
      <w:r w:rsidRPr="006C069E">
        <w:tab/>
        <w:t>if a benefit accruing in respect of the period from 1</w:t>
      </w:r>
      <w:r w:rsidR="006C069E" w:rsidRPr="006C069E">
        <w:t> </w:t>
      </w:r>
      <w:r w:rsidRPr="006C069E">
        <w:t>July</w:t>
      </w:r>
      <w:r w:rsidR="0007199F" w:rsidRPr="006C069E">
        <w:t xml:space="preserve"> </w:t>
      </w:r>
      <w:r w:rsidRPr="006C069E">
        <w:t xml:space="preserve">2008 is expressed in the governing rules of the scheme as a multiple of the average annual ordinary time earnings of a member of the scheme in a period referred to in </w:t>
      </w:r>
      <w:r w:rsidR="006C069E" w:rsidRPr="006C069E">
        <w:t>paragraph (</w:t>
      </w:r>
      <w:r w:rsidRPr="006C069E">
        <w:t xml:space="preserve">b) or (c) of the definition of </w:t>
      </w:r>
      <w:r w:rsidRPr="006C069E">
        <w:rPr>
          <w:b/>
          <w:i/>
        </w:rPr>
        <w:t>FOTE</w:t>
      </w:r>
      <w:r w:rsidRPr="006C069E">
        <w:t>—</w:t>
      </w:r>
      <w:r w:rsidR="009F0DE0" w:rsidRPr="006C069E">
        <w:t>the member’s</w:t>
      </w:r>
      <w:r w:rsidRPr="006C069E">
        <w:t xml:space="preserve"> average annual rate of ordinary time earnings in the relevant period.</w:t>
      </w:r>
    </w:p>
    <w:p w:rsidR="009B62B2" w:rsidRPr="006C069E" w:rsidRDefault="009B62B2" w:rsidP="009B62B2">
      <w:pPr>
        <w:pStyle w:val="Definition"/>
      </w:pPr>
      <w:r w:rsidRPr="006C069E">
        <w:rPr>
          <w:b/>
          <w:i/>
        </w:rPr>
        <w:t xml:space="preserve">PAB1 </w:t>
      </w:r>
      <w:r w:rsidRPr="006C069E">
        <w:t>means that part of the minimum requisite benefit that accrued to the person before 1</w:t>
      </w:r>
      <w:r w:rsidR="006C069E" w:rsidRPr="006C069E">
        <w:t> </w:t>
      </w:r>
      <w:r w:rsidRPr="006C069E">
        <w:t xml:space="preserve">July 1992, calculated in accordance with </w:t>
      </w:r>
      <w:r w:rsidR="006C069E" w:rsidRPr="006C069E">
        <w:t>subsection (</w:t>
      </w:r>
      <w:r w:rsidRPr="006C069E">
        <w:t>6).</w:t>
      </w:r>
    </w:p>
    <w:p w:rsidR="009B62B2" w:rsidRPr="006C069E" w:rsidRDefault="009B62B2" w:rsidP="009B62B2">
      <w:pPr>
        <w:pStyle w:val="Definition"/>
        <w:rPr>
          <w:i/>
        </w:rPr>
      </w:pPr>
      <w:r w:rsidRPr="006C069E">
        <w:rPr>
          <w:b/>
          <w:i/>
        </w:rPr>
        <w:t xml:space="preserve">PAB2 </w:t>
      </w:r>
      <w:r w:rsidRPr="006C069E">
        <w:t>means that part of the minimum requisite benefit that accrued to the person between 1</w:t>
      </w:r>
      <w:r w:rsidR="006C069E" w:rsidRPr="006C069E">
        <w:t> </w:t>
      </w:r>
      <w:r w:rsidRPr="006C069E">
        <w:t>July 1992 and 30</w:t>
      </w:r>
      <w:r w:rsidR="006C069E" w:rsidRPr="006C069E">
        <w:t> </w:t>
      </w:r>
      <w:r w:rsidRPr="006C069E">
        <w:t xml:space="preserve">June 2008, calculated in accordance with </w:t>
      </w:r>
      <w:r w:rsidR="006C069E" w:rsidRPr="006C069E">
        <w:t>subsection (</w:t>
      </w:r>
      <w:r w:rsidRPr="006C069E">
        <w:t>7).</w:t>
      </w:r>
    </w:p>
    <w:p w:rsidR="009B62B2" w:rsidRPr="006C069E" w:rsidRDefault="009B62B2" w:rsidP="009B62B2">
      <w:pPr>
        <w:pStyle w:val="Definition"/>
      </w:pPr>
      <w:r w:rsidRPr="006C069E">
        <w:rPr>
          <w:b/>
          <w:i/>
        </w:rPr>
        <w:t xml:space="preserve">SAL </w:t>
      </w:r>
      <w:r w:rsidRPr="006C069E">
        <w:t xml:space="preserve">is the annual salary of the member on the day on which </w:t>
      </w:r>
      <w:r w:rsidR="00644831" w:rsidRPr="006C069E">
        <w:t>the member</w:t>
      </w:r>
      <w:r w:rsidRPr="006C069E">
        <w:t xml:space="preserve"> withdraws from the scheme, calculated in accordance with the governing rules of the scheme applicable as at 30</w:t>
      </w:r>
      <w:r w:rsidR="006C069E" w:rsidRPr="006C069E">
        <w:t> </w:t>
      </w:r>
      <w:r w:rsidRPr="006C069E">
        <w:t>June</w:t>
      </w:r>
      <w:r w:rsidR="0007199F" w:rsidRPr="006C069E">
        <w:t xml:space="preserve"> </w:t>
      </w:r>
      <w:r w:rsidRPr="006C069E">
        <w:t>1992, or if a benefit is expressed in the governing rules of the scheme applicable as at 30</w:t>
      </w:r>
      <w:r w:rsidR="006C069E" w:rsidRPr="006C069E">
        <w:t> </w:t>
      </w:r>
      <w:r w:rsidRPr="006C069E">
        <w:t xml:space="preserve">June 1992 as a multiple of the annual salary of the member averaged over a period, </w:t>
      </w:r>
      <w:r w:rsidR="009F0DE0" w:rsidRPr="006C069E">
        <w:t>the member’s</w:t>
      </w:r>
      <w:r w:rsidRPr="006C069E">
        <w:t xml:space="preserve"> average annual rate of salary in the relevant period.</w:t>
      </w:r>
    </w:p>
    <w:p w:rsidR="009B62B2" w:rsidRPr="006C069E" w:rsidRDefault="009B62B2" w:rsidP="009B62B2">
      <w:pPr>
        <w:pStyle w:val="Definition"/>
      </w:pPr>
      <w:r w:rsidRPr="006C069E">
        <w:rPr>
          <w:b/>
          <w:i/>
        </w:rPr>
        <w:t xml:space="preserve">SAL1 </w:t>
      </w:r>
      <w:r w:rsidRPr="006C069E">
        <w:t>is the amount that would have been SAL if the member had withdrawn from the scheme on 30</w:t>
      </w:r>
      <w:r w:rsidR="006C069E" w:rsidRPr="006C069E">
        <w:t> </w:t>
      </w:r>
      <w:r w:rsidRPr="006C069E">
        <w:t>June 1992.</w:t>
      </w:r>
    </w:p>
    <w:p w:rsidR="009B62B2" w:rsidRPr="006C069E" w:rsidRDefault="009B62B2" w:rsidP="009B62B2">
      <w:pPr>
        <w:pStyle w:val="Definition"/>
      </w:pPr>
      <w:r w:rsidRPr="006C069E">
        <w:rPr>
          <w:b/>
          <w:i/>
        </w:rPr>
        <w:t xml:space="preserve">TCR </w:t>
      </w:r>
      <w:r w:rsidRPr="006C069E">
        <w:t xml:space="preserve">has the same meaning as in </w:t>
      </w:r>
      <w:r w:rsidR="006C069E" w:rsidRPr="006C069E">
        <w:t>subsection (</w:t>
      </w:r>
      <w:r w:rsidRPr="006C069E">
        <w:t>4)</w:t>
      </w:r>
      <w:r w:rsidR="006616A0" w:rsidRPr="006C069E">
        <w:t>.</w:t>
      </w:r>
    </w:p>
    <w:p w:rsidR="009B62B2" w:rsidRPr="006C069E" w:rsidRDefault="009B62B2" w:rsidP="009B62B2">
      <w:pPr>
        <w:pStyle w:val="Definition"/>
      </w:pPr>
      <w:r w:rsidRPr="006C069E">
        <w:rPr>
          <w:b/>
          <w:i/>
        </w:rPr>
        <w:t>TR</w:t>
      </w:r>
      <w:r w:rsidRPr="006C069E">
        <w:t xml:space="preserve">, in relation to a complying superannuation scheme, is the rate of tax payable in respect of the scheme in relation to the low tax component (within the meaning of the </w:t>
      </w:r>
      <w:r w:rsidRPr="006C069E">
        <w:rPr>
          <w:i/>
        </w:rPr>
        <w:t>Income Tax Assessment Act 1997</w:t>
      </w:r>
      <w:r w:rsidRPr="006C069E">
        <w:t>) of the taxable income of the scheme.</w:t>
      </w:r>
    </w:p>
    <w:p w:rsidR="009B62B2" w:rsidRPr="006C069E" w:rsidRDefault="009B62B2" w:rsidP="009B62B2">
      <w:pPr>
        <w:pStyle w:val="subsection"/>
      </w:pPr>
      <w:r w:rsidRPr="006C069E">
        <w:tab/>
        <w:t>(2)</w:t>
      </w:r>
      <w:r w:rsidRPr="006C069E">
        <w:tab/>
        <w:t xml:space="preserve">The notional employer contribution rate in relation to a defined benefit superannuation scheme in respect of a class of employees is calculated in accordance with this </w:t>
      </w:r>
      <w:r w:rsidR="00B61F69" w:rsidRPr="006C069E">
        <w:t>section</w:t>
      </w:r>
      <w:r w:rsidRPr="006C069E">
        <w:t xml:space="preserve"> if:</w:t>
      </w:r>
    </w:p>
    <w:p w:rsidR="009B62B2" w:rsidRPr="006C069E" w:rsidRDefault="009B62B2" w:rsidP="009B62B2">
      <w:pPr>
        <w:pStyle w:val="paragraph"/>
      </w:pPr>
      <w:r w:rsidRPr="006C069E">
        <w:tab/>
        <w:t>(a)</w:t>
      </w:r>
      <w:r w:rsidRPr="006C069E">
        <w:tab/>
        <w:t>MCR and TCR are greater than 0, and have not changed since 1</w:t>
      </w:r>
      <w:r w:rsidR="006C069E" w:rsidRPr="006C069E">
        <w:t> </w:t>
      </w:r>
      <w:r w:rsidRPr="006C069E">
        <w:t>July 1992; and</w:t>
      </w:r>
    </w:p>
    <w:p w:rsidR="009B62B2" w:rsidRPr="006C069E" w:rsidRDefault="009B62B2" w:rsidP="009B62B2">
      <w:pPr>
        <w:pStyle w:val="paragraph"/>
      </w:pPr>
      <w:r w:rsidRPr="006C069E">
        <w:tab/>
        <w:t>(b)</w:t>
      </w:r>
      <w:r w:rsidRPr="006C069E">
        <w:tab/>
        <w:t>MCR and TCR are the same in respect of each employee in the class; and</w:t>
      </w:r>
    </w:p>
    <w:p w:rsidR="009B62B2" w:rsidRPr="006C069E" w:rsidRDefault="009B62B2" w:rsidP="009B62B2">
      <w:pPr>
        <w:pStyle w:val="paragraph"/>
      </w:pPr>
      <w:r w:rsidRPr="006C069E">
        <w:tab/>
        <w:t>(c)</w:t>
      </w:r>
      <w:r w:rsidRPr="006C069E">
        <w:tab/>
        <w:t>TR has not changed since 1</w:t>
      </w:r>
      <w:r w:rsidR="006C069E" w:rsidRPr="006C069E">
        <w:t> </w:t>
      </w:r>
      <w:r w:rsidRPr="006C069E">
        <w:t>July 2008; and</w:t>
      </w:r>
    </w:p>
    <w:p w:rsidR="009B62B2" w:rsidRPr="006C069E" w:rsidRDefault="009B62B2" w:rsidP="009B62B2">
      <w:pPr>
        <w:pStyle w:val="paragraph"/>
      </w:pPr>
      <w:r w:rsidRPr="006C069E">
        <w:tab/>
        <w:t>(d)</w:t>
      </w:r>
      <w:r w:rsidRPr="006C069E">
        <w:tab/>
        <w:t xml:space="preserve">the definition of </w:t>
      </w:r>
      <w:r w:rsidRPr="006C069E">
        <w:rPr>
          <w:b/>
          <w:i/>
        </w:rPr>
        <w:t>SAL</w:t>
      </w:r>
      <w:r w:rsidRPr="006C069E">
        <w:t xml:space="preserve"> in the governing rules of the scheme did not change between 1</w:t>
      </w:r>
      <w:r w:rsidR="006C069E" w:rsidRPr="006C069E">
        <w:t> </w:t>
      </w:r>
      <w:r w:rsidRPr="006C069E">
        <w:t>July 1992 and 30</w:t>
      </w:r>
      <w:r w:rsidR="006C069E" w:rsidRPr="006C069E">
        <w:t> </w:t>
      </w:r>
      <w:r w:rsidRPr="006C069E">
        <w:t>June 2008; and</w:t>
      </w:r>
    </w:p>
    <w:p w:rsidR="009B62B2" w:rsidRPr="006C069E" w:rsidRDefault="009B62B2" w:rsidP="009B62B2">
      <w:pPr>
        <w:pStyle w:val="paragraph"/>
      </w:pPr>
      <w:r w:rsidRPr="006C069E">
        <w:tab/>
        <w:t>(e)</w:t>
      </w:r>
      <w:r w:rsidRPr="006C069E">
        <w:tab/>
        <w:t xml:space="preserve">no part of the minimum requisite benefit constitutes an element untaxed in the fund of the taxable component (within the meaning of the </w:t>
      </w:r>
      <w:r w:rsidRPr="006C069E">
        <w:rPr>
          <w:i/>
          <w:iCs/>
        </w:rPr>
        <w:t>Income Tax Assessment Act 1997</w:t>
      </w:r>
      <w:r w:rsidRPr="006C069E">
        <w:t>); and</w:t>
      </w:r>
    </w:p>
    <w:p w:rsidR="009B62B2" w:rsidRPr="006C069E" w:rsidRDefault="009B62B2" w:rsidP="009B62B2">
      <w:pPr>
        <w:pStyle w:val="paragraph"/>
      </w:pPr>
      <w:r w:rsidRPr="006C069E">
        <w:tab/>
        <w:t>(f)</w:t>
      </w:r>
      <w:r w:rsidRPr="006C069E">
        <w:tab/>
        <w:t>the benefit certificate to which the notional employer contribution rate relates is in respect of a single superannuation scheme; and</w:t>
      </w:r>
    </w:p>
    <w:p w:rsidR="009B62B2" w:rsidRPr="006C069E" w:rsidRDefault="009B62B2" w:rsidP="009B62B2">
      <w:pPr>
        <w:pStyle w:val="paragraph"/>
      </w:pPr>
      <w:r w:rsidRPr="006C069E">
        <w:tab/>
        <w:t>(g)</w:t>
      </w:r>
      <w:r w:rsidRPr="006C069E">
        <w:tab/>
        <w:t>the date of effect of the benefit certificate is on or after 1</w:t>
      </w:r>
      <w:r w:rsidR="006C069E" w:rsidRPr="006C069E">
        <w:t> </w:t>
      </w:r>
      <w:r w:rsidRPr="006C069E">
        <w:t>July 2008; and</w:t>
      </w:r>
    </w:p>
    <w:p w:rsidR="009B62B2" w:rsidRPr="006C069E" w:rsidRDefault="009B62B2" w:rsidP="009B62B2">
      <w:pPr>
        <w:pStyle w:val="paragraph"/>
      </w:pPr>
      <w:r w:rsidRPr="006C069E">
        <w:tab/>
        <w:t>(h)</w:t>
      </w:r>
      <w:r w:rsidRPr="006C069E">
        <w:tab/>
        <w:t>the minimum requisite benefit as at 30</w:t>
      </w:r>
      <w:r w:rsidR="006C069E" w:rsidRPr="006C069E">
        <w:t> </w:t>
      </w:r>
      <w:r w:rsidRPr="006C069E">
        <w:t>June 2008 in respect of each employee in the class was equal to the amount calculated using the formula:</w:t>
      </w:r>
    </w:p>
    <w:p w:rsidR="00320BA8" w:rsidRPr="006C069E" w:rsidRDefault="00320BA8" w:rsidP="009B62B2">
      <w:pPr>
        <w:pStyle w:val="paragraph"/>
      </w:pPr>
      <w:r w:rsidRPr="006C069E">
        <w:tab/>
      </w:r>
      <w:r w:rsidRPr="006C069E">
        <w:tab/>
      </w:r>
      <w:r w:rsidRPr="006C069E">
        <w:rPr>
          <w:position w:val="-32"/>
        </w:rPr>
        <w:object w:dxaOrig="4980" w:dyaOrig="760">
          <v:shape id="_x0000_i1027" type="#_x0000_t75" style="width:248.25pt;height:37.5pt" o:ole="">
            <v:imagedata r:id="rId25" o:title=""/>
          </v:shape>
          <o:OLEObject Type="Embed" ProgID="Equation.DSMT4" ShapeID="_x0000_i1027" DrawAspect="Content" ObjectID="_1598422707" r:id="rId26"/>
        </w:object>
      </w:r>
    </w:p>
    <w:p w:rsidR="009B62B2" w:rsidRPr="006C069E" w:rsidRDefault="00320BA8" w:rsidP="00320BA8">
      <w:pPr>
        <w:pStyle w:val="paragraph"/>
      </w:pPr>
      <w:r w:rsidRPr="006C069E">
        <w:tab/>
      </w:r>
      <w:r w:rsidRPr="006C069E">
        <w:tab/>
      </w:r>
      <w:r w:rsidR="009B62B2" w:rsidRPr="006C069E">
        <w:t xml:space="preserve">with the values of </w:t>
      </w:r>
      <w:r w:rsidR="009B62B2" w:rsidRPr="006C069E">
        <w:rPr>
          <w:b/>
          <w:i/>
        </w:rPr>
        <w:t>SAL</w:t>
      </w:r>
      <w:r w:rsidR="009B62B2" w:rsidRPr="006C069E">
        <w:t xml:space="preserve"> and </w:t>
      </w:r>
      <w:r w:rsidR="009B62B2" w:rsidRPr="006C069E">
        <w:rPr>
          <w:b/>
          <w:i/>
        </w:rPr>
        <w:t>DF</w:t>
      </w:r>
      <w:r w:rsidR="009B62B2" w:rsidRPr="006C069E">
        <w:t xml:space="preserve"> determined as at 30</w:t>
      </w:r>
      <w:r w:rsidR="006C069E" w:rsidRPr="006C069E">
        <w:t> </w:t>
      </w:r>
      <w:r w:rsidR="009B62B2" w:rsidRPr="006C069E">
        <w:t xml:space="preserve">June 2008 and the value of </w:t>
      </w:r>
      <w:r w:rsidR="009B62B2" w:rsidRPr="006C069E">
        <w:rPr>
          <w:b/>
          <w:i/>
        </w:rPr>
        <w:t>A</w:t>
      </w:r>
      <w:r w:rsidR="009B62B2" w:rsidRPr="006C069E">
        <w:t xml:space="preserve"> calculated in accordance with </w:t>
      </w:r>
      <w:r w:rsidR="006C069E" w:rsidRPr="006C069E">
        <w:t>subsection (</w:t>
      </w:r>
      <w:r w:rsidR="009B62B2" w:rsidRPr="006C069E">
        <w:t>6); and</w:t>
      </w:r>
    </w:p>
    <w:p w:rsidR="009B62B2" w:rsidRPr="006C069E" w:rsidRDefault="009B62B2" w:rsidP="009B62B2">
      <w:pPr>
        <w:pStyle w:val="paragraph"/>
      </w:pPr>
      <w:r w:rsidRPr="006C069E">
        <w:tab/>
        <w:t>(i)</w:t>
      </w:r>
      <w:r w:rsidRPr="006C069E">
        <w:tab/>
        <w:t>the minimum requisite benefit accruing in respect of the period from 1</w:t>
      </w:r>
      <w:r w:rsidR="006C069E" w:rsidRPr="006C069E">
        <w:t> </w:t>
      </w:r>
      <w:r w:rsidRPr="006C069E">
        <w:t>July 2008 in respect of each employee in the class is prescribed in the governing rules of the scheme as a multiple of:</w:t>
      </w:r>
    </w:p>
    <w:p w:rsidR="009B62B2" w:rsidRPr="006C069E" w:rsidRDefault="009B62B2" w:rsidP="009B62B2">
      <w:pPr>
        <w:pStyle w:val="paragraphsub"/>
      </w:pPr>
      <w:r w:rsidRPr="006C069E">
        <w:tab/>
        <w:t>(i)</w:t>
      </w:r>
      <w:r w:rsidRPr="006C069E">
        <w:tab/>
        <w:t xml:space="preserve">the annual ordinary time earnings of the employee as at the day when </w:t>
      </w:r>
      <w:r w:rsidR="00644831" w:rsidRPr="006C069E">
        <w:t>the employee</w:t>
      </w:r>
      <w:r w:rsidRPr="006C069E">
        <w:t xml:space="preserve"> withdraws from the </w:t>
      </w:r>
      <w:r w:rsidR="00F7392A" w:rsidRPr="006C069E">
        <w:t>fund</w:t>
      </w:r>
      <w:r w:rsidRPr="006C069E">
        <w:t>; or</w:t>
      </w:r>
    </w:p>
    <w:p w:rsidR="009B62B2" w:rsidRPr="006C069E" w:rsidRDefault="009B62B2" w:rsidP="009B62B2">
      <w:pPr>
        <w:pStyle w:val="paragraphsub"/>
      </w:pPr>
      <w:r w:rsidRPr="006C069E">
        <w:tab/>
        <w:t>(ii)</w:t>
      </w:r>
      <w:r w:rsidRPr="006C069E">
        <w:tab/>
        <w:t xml:space="preserve">the average annual ordinary time earnings of the employee in a period ending when </w:t>
      </w:r>
      <w:r w:rsidR="00644831" w:rsidRPr="006C069E">
        <w:t>the employee</w:t>
      </w:r>
      <w:r w:rsidRPr="006C069E">
        <w:t xml:space="preserve"> withdraws from the scheme.</w:t>
      </w:r>
    </w:p>
    <w:p w:rsidR="009B62B2" w:rsidRPr="006C069E" w:rsidRDefault="009B62B2" w:rsidP="009B62B2">
      <w:pPr>
        <w:pStyle w:val="subsection"/>
      </w:pPr>
      <w:r w:rsidRPr="006C069E">
        <w:tab/>
        <w:t>(3)</w:t>
      </w:r>
      <w:r w:rsidRPr="006C069E">
        <w:tab/>
        <w:t>The notional employer contribution rate in relation to a class of employees specified in a benefit certificate relating to a defined benefit superannuation scheme i</w:t>
      </w:r>
      <w:r w:rsidR="006616A0" w:rsidRPr="006C069E">
        <w:t>s calculated using the formula:</w:t>
      </w:r>
    </w:p>
    <w:p w:rsidR="00320BA8" w:rsidRPr="006C069E" w:rsidRDefault="00320BA8" w:rsidP="00331068">
      <w:pPr>
        <w:pStyle w:val="subsection2"/>
      </w:pPr>
      <w:r w:rsidRPr="006C069E">
        <w:object w:dxaOrig="1500" w:dyaOrig="760">
          <v:shape id="_x0000_i1028" type="#_x0000_t75" style="width:75pt;height:37.5pt" o:ole="">
            <v:imagedata r:id="rId27" o:title=""/>
          </v:shape>
          <o:OLEObject Type="Embed" ProgID="Equation.DSMT4" ShapeID="_x0000_i1028" DrawAspect="Content" ObjectID="_1598422708" r:id="rId28"/>
        </w:object>
      </w:r>
    </w:p>
    <w:p w:rsidR="009B62B2" w:rsidRPr="006C069E" w:rsidRDefault="009B62B2" w:rsidP="009B62B2">
      <w:pPr>
        <w:pStyle w:val="subsection"/>
      </w:pPr>
      <w:r w:rsidRPr="006C069E">
        <w:tab/>
        <w:t>(4)</w:t>
      </w:r>
      <w:r w:rsidRPr="006C069E">
        <w:tab/>
      </w:r>
      <w:r w:rsidRPr="006C069E">
        <w:rPr>
          <w:b/>
          <w:i/>
        </w:rPr>
        <w:t>TCR</w:t>
      </w:r>
      <w:r w:rsidRPr="006C069E">
        <w:t xml:space="preserve"> is calculated using the formula:</w:t>
      </w:r>
    </w:p>
    <w:p w:rsidR="00331068" w:rsidRPr="006C069E" w:rsidRDefault="00331068" w:rsidP="00331068">
      <w:pPr>
        <w:pStyle w:val="subsection2"/>
      </w:pPr>
      <w:r w:rsidRPr="006C069E">
        <w:object w:dxaOrig="3000" w:dyaOrig="840">
          <v:shape id="_x0000_i1029" type="#_x0000_t75" style="width:147.75pt;height:42pt" o:ole="">
            <v:imagedata r:id="rId29" o:title=""/>
          </v:shape>
          <o:OLEObject Type="Embed" ProgID="Equation.DSMT4" ShapeID="_x0000_i1029" DrawAspect="Content" ObjectID="_1598422709" r:id="rId30"/>
        </w:object>
      </w:r>
    </w:p>
    <w:p w:rsidR="009B62B2" w:rsidRPr="006C069E" w:rsidRDefault="009B62B2" w:rsidP="009B62B2">
      <w:pPr>
        <w:pStyle w:val="subsection"/>
      </w:pPr>
      <w:r w:rsidRPr="006C069E">
        <w:tab/>
        <w:t>(5)</w:t>
      </w:r>
      <w:r w:rsidRPr="006C069E">
        <w:tab/>
      </w:r>
      <w:r w:rsidRPr="006C069E">
        <w:rPr>
          <w:b/>
          <w:i/>
        </w:rPr>
        <w:t>MB</w:t>
      </w:r>
      <w:r w:rsidRPr="006C069E">
        <w:t xml:space="preserve"> is calculated using the formula:</w:t>
      </w:r>
    </w:p>
    <w:p w:rsidR="00331068" w:rsidRPr="006C069E" w:rsidRDefault="00331068" w:rsidP="00331068">
      <w:pPr>
        <w:pStyle w:val="subsection2"/>
      </w:pPr>
      <w:r w:rsidRPr="006C069E">
        <w:object w:dxaOrig="2100" w:dyaOrig="420">
          <v:shape id="_x0000_i1030" type="#_x0000_t75" style="width:104.25pt;height:20.25pt" o:ole="">
            <v:imagedata r:id="rId31" o:title=""/>
          </v:shape>
          <o:OLEObject Type="Embed" ProgID="Equation.DSMT4" ShapeID="_x0000_i1030" DrawAspect="Content" ObjectID="_1598422710" r:id="rId32"/>
        </w:object>
      </w:r>
    </w:p>
    <w:p w:rsidR="009B62B2" w:rsidRPr="006C069E" w:rsidRDefault="009B62B2" w:rsidP="009B62B2">
      <w:pPr>
        <w:pStyle w:val="subsection"/>
      </w:pPr>
      <w:r w:rsidRPr="006C069E">
        <w:tab/>
        <w:t>(6)</w:t>
      </w:r>
      <w:r w:rsidRPr="006C069E">
        <w:tab/>
      </w:r>
      <w:r w:rsidRPr="006C069E">
        <w:rPr>
          <w:b/>
          <w:i/>
        </w:rPr>
        <w:t>PAB1</w:t>
      </w:r>
      <w:r w:rsidRPr="006C069E">
        <w:t xml:space="preserve"> is calculated using the formula:</w:t>
      </w:r>
    </w:p>
    <w:p w:rsidR="00331068" w:rsidRPr="006C069E" w:rsidRDefault="00331068" w:rsidP="00331068">
      <w:pPr>
        <w:pStyle w:val="subsection2"/>
      </w:pPr>
      <w:r w:rsidRPr="006C069E">
        <w:object w:dxaOrig="920" w:dyaOrig="760">
          <v:shape id="_x0000_i1031" type="#_x0000_t75" style="width:46.5pt;height:37.5pt" o:ole="">
            <v:imagedata r:id="rId33" o:title=""/>
          </v:shape>
          <o:OLEObject Type="Embed" ProgID="Equation.DSMT4" ShapeID="_x0000_i1031" DrawAspect="Content" ObjectID="_1598422711" r:id="rId34"/>
        </w:object>
      </w:r>
    </w:p>
    <w:p w:rsidR="009B62B2" w:rsidRPr="006C069E" w:rsidRDefault="009B62B2" w:rsidP="00331068">
      <w:pPr>
        <w:pStyle w:val="subsection2"/>
      </w:pPr>
      <w:r w:rsidRPr="006C069E">
        <w:t>where:</w:t>
      </w:r>
    </w:p>
    <w:p w:rsidR="009B62B2" w:rsidRPr="006C069E" w:rsidRDefault="009B62B2" w:rsidP="009B62B2">
      <w:pPr>
        <w:pStyle w:val="Definition"/>
      </w:pPr>
      <w:r w:rsidRPr="006C069E">
        <w:rPr>
          <w:b/>
          <w:i/>
        </w:rPr>
        <w:t xml:space="preserve">A </w:t>
      </w:r>
      <w:r w:rsidRPr="006C069E">
        <w:t>is the lesser of:</w:t>
      </w:r>
    </w:p>
    <w:p w:rsidR="009B62B2" w:rsidRPr="006C069E" w:rsidRDefault="009B62B2" w:rsidP="009B62B2">
      <w:pPr>
        <w:pStyle w:val="paragraph"/>
      </w:pPr>
      <w:r w:rsidRPr="006C069E">
        <w:tab/>
        <w:t>(a)</w:t>
      </w:r>
      <w:r w:rsidRPr="006C069E">
        <w:tab/>
        <w:t>the amount of the benefit vested in the member as at 30</w:t>
      </w:r>
      <w:r w:rsidR="006C069E" w:rsidRPr="006C069E">
        <w:t> </w:t>
      </w:r>
      <w:r w:rsidRPr="006C069E">
        <w:t>June</w:t>
      </w:r>
      <w:r w:rsidR="0007199F" w:rsidRPr="006C069E">
        <w:t xml:space="preserve"> </w:t>
      </w:r>
      <w:r w:rsidRPr="006C069E">
        <w:t>1992 in accordance with the governing rules of the superannuation scheme; and</w:t>
      </w:r>
    </w:p>
    <w:p w:rsidR="009B62B2" w:rsidRPr="006C069E" w:rsidRDefault="009B62B2" w:rsidP="009B62B2">
      <w:pPr>
        <w:pStyle w:val="paragraph"/>
      </w:pPr>
      <w:r w:rsidRPr="006C069E">
        <w:tab/>
        <w:t>(b)</w:t>
      </w:r>
      <w:r w:rsidRPr="006C069E">
        <w:tab/>
        <w:t>the amount of the benefit that has accrued in respect of the member as at 30</w:t>
      </w:r>
      <w:r w:rsidR="006C069E" w:rsidRPr="006C069E">
        <w:t> </w:t>
      </w:r>
      <w:r w:rsidRPr="006C069E">
        <w:t>June 1992 in accordance with those governing rules.</w:t>
      </w:r>
    </w:p>
    <w:p w:rsidR="009B62B2" w:rsidRPr="006C069E" w:rsidRDefault="009B62B2" w:rsidP="009B62B2">
      <w:pPr>
        <w:pStyle w:val="subsection"/>
      </w:pPr>
      <w:r w:rsidRPr="006C069E">
        <w:tab/>
        <w:t>(7)</w:t>
      </w:r>
      <w:r w:rsidRPr="006C069E">
        <w:tab/>
      </w:r>
      <w:r w:rsidRPr="006C069E">
        <w:rPr>
          <w:b/>
          <w:i/>
        </w:rPr>
        <w:t>PAB2</w:t>
      </w:r>
      <w:r w:rsidRPr="006C069E">
        <w:t xml:space="preserve"> is calculated using the formula:</w:t>
      </w:r>
    </w:p>
    <w:p w:rsidR="00AB1A98" w:rsidRPr="006C069E" w:rsidRDefault="00AB1A98" w:rsidP="00AB1A98">
      <w:pPr>
        <w:pStyle w:val="subsection2"/>
      </w:pPr>
      <w:r w:rsidRPr="006C069E">
        <w:rPr>
          <w:position w:val="-24"/>
        </w:rPr>
        <w:object w:dxaOrig="3739" w:dyaOrig="580">
          <v:shape id="_x0000_i1032" type="#_x0000_t75" style="width:188.25pt;height:27.75pt" o:ole="">
            <v:imagedata r:id="rId35" o:title=""/>
          </v:shape>
          <o:OLEObject Type="Embed" ProgID="Equation.DSMT4" ShapeID="_x0000_i1032" DrawAspect="Content" ObjectID="_1598422712" r:id="rId36"/>
        </w:object>
      </w:r>
    </w:p>
    <w:p w:rsidR="00C31758" w:rsidRPr="006C069E" w:rsidRDefault="00C31758" w:rsidP="00C31758">
      <w:pPr>
        <w:pStyle w:val="ActHead2"/>
        <w:pageBreakBefore/>
      </w:pPr>
      <w:bookmarkStart w:id="14" w:name="_Toc523810807"/>
      <w:r w:rsidRPr="006C069E">
        <w:rPr>
          <w:rStyle w:val="CharPartNo"/>
        </w:rPr>
        <w:t>Part</w:t>
      </w:r>
      <w:r w:rsidR="006C069E" w:rsidRPr="006C069E">
        <w:rPr>
          <w:rStyle w:val="CharPartNo"/>
        </w:rPr>
        <w:t> </w:t>
      </w:r>
      <w:r w:rsidRPr="006C069E">
        <w:rPr>
          <w:rStyle w:val="CharPartNo"/>
        </w:rPr>
        <w:t>4</w:t>
      </w:r>
      <w:r w:rsidRPr="006C069E">
        <w:t>—</w:t>
      </w:r>
      <w:r w:rsidR="003F0BAE" w:rsidRPr="006C069E">
        <w:rPr>
          <w:rStyle w:val="CharPartText"/>
        </w:rPr>
        <w:t>L</w:t>
      </w:r>
      <w:r w:rsidRPr="006C069E">
        <w:rPr>
          <w:rStyle w:val="CharPartText"/>
        </w:rPr>
        <w:t>iability of employers to pay superannuation guarantee charge</w:t>
      </w:r>
      <w:bookmarkEnd w:id="14"/>
    </w:p>
    <w:p w:rsidR="00593A0B" w:rsidRPr="006C069E" w:rsidRDefault="00593A0B" w:rsidP="00593A0B">
      <w:pPr>
        <w:pStyle w:val="Header"/>
      </w:pPr>
      <w:r w:rsidRPr="006C069E">
        <w:rPr>
          <w:rStyle w:val="CharDivNo"/>
        </w:rPr>
        <w:t xml:space="preserve"> </w:t>
      </w:r>
      <w:r w:rsidRPr="006C069E">
        <w:rPr>
          <w:rStyle w:val="CharDivText"/>
        </w:rPr>
        <w:t xml:space="preserve"> </w:t>
      </w:r>
    </w:p>
    <w:p w:rsidR="009B62B2" w:rsidRPr="006C069E" w:rsidRDefault="00C45936" w:rsidP="009B62B2">
      <w:pPr>
        <w:pStyle w:val="ActHead5"/>
      </w:pPr>
      <w:bookmarkStart w:id="15" w:name="_Toc523810808"/>
      <w:r w:rsidRPr="006C069E">
        <w:rPr>
          <w:rStyle w:val="CharSectno"/>
        </w:rPr>
        <w:t>11</w:t>
      </w:r>
      <w:r w:rsidR="009B62B2" w:rsidRPr="006C069E">
        <w:t xml:space="preserve">  Certain employees excluded</w:t>
      </w:r>
      <w:bookmarkEnd w:id="15"/>
    </w:p>
    <w:p w:rsidR="009B62B2" w:rsidRPr="006C069E" w:rsidRDefault="009B62B2" w:rsidP="009B62B2">
      <w:pPr>
        <w:pStyle w:val="subsection"/>
      </w:pPr>
      <w:r w:rsidRPr="006C069E">
        <w:tab/>
      </w:r>
      <w:r w:rsidRPr="006C069E">
        <w:tab/>
        <w:t>For the purposes of paragraph</w:t>
      </w:r>
      <w:r w:rsidR="006C069E" w:rsidRPr="006C069E">
        <w:t> </w:t>
      </w:r>
      <w:r w:rsidRPr="006C069E">
        <w:t>27(1)(d) of the Act, each of the following employees is a prescribed employee:</w:t>
      </w:r>
    </w:p>
    <w:p w:rsidR="008F0F82" w:rsidRPr="006C069E" w:rsidRDefault="001C476B" w:rsidP="008F0F82">
      <w:pPr>
        <w:pStyle w:val="paragraph"/>
      </w:pPr>
      <w:r w:rsidRPr="006C069E">
        <w:tab/>
        <w:t>(a</w:t>
      </w:r>
      <w:r w:rsidR="009B62B2" w:rsidRPr="006C069E">
        <w:t>)</w:t>
      </w:r>
      <w:r w:rsidR="009B62B2" w:rsidRPr="006C069E">
        <w:tab/>
        <w:t xml:space="preserve">an employee who has been appointed by a company operating in Australia to be the national managing executive or deputy national managing executive or a state manager and who is the holder </w:t>
      </w:r>
      <w:r w:rsidR="008F0F82" w:rsidRPr="006C069E">
        <w:t>of:</w:t>
      </w:r>
    </w:p>
    <w:p w:rsidR="009B62B2" w:rsidRPr="006C069E" w:rsidRDefault="008F0F82" w:rsidP="008F0F82">
      <w:pPr>
        <w:pStyle w:val="paragraphsub"/>
      </w:pPr>
      <w:r w:rsidRPr="006C069E">
        <w:tab/>
        <w:t>(i)</w:t>
      </w:r>
      <w:r w:rsidRPr="006C069E">
        <w:tab/>
      </w:r>
      <w:r w:rsidR="009B62B2" w:rsidRPr="006C069E">
        <w:t xml:space="preserve">a Subclass 456 </w:t>
      </w:r>
      <w:r w:rsidRPr="006C069E">
        <w:t>(Business (Short Stay)) visa</w:t>
      </w:r>
      <w:r w:rsidR="00C16F45" w:rsidRPr="006C069E">
        <w:t xml:space="preserve"> granted under the </w:t>
      </w:r>
      <w:r w:rsidR="00C16F45" w:rsidRPr="006C069E">
        <w:rPr>
          <w:i/>
        </w:rPr>
        <w:t>Migration Act 1958</w:t>
      </w:r>
      <w:r w:rsidR="00747FD3" w:rsidRPr="006C069E">
        <w:t>;</w:t>
      </w:r>
      <w:r w:rsidR="00FF26AF" w:rsidRPr="006C069E">
        <w:t xml:space="preserve"> or</w:t>
      </w:r>
    </w:p>
    <w:p w:rsidR="00FF26AF" w:rsidRPr="006C069E" w:rsidRDefault="00FF26AF" w:rsidP="008F0F82">
      <w:pPr>
        <w:pStyle w:val="paragraphsub"/>
      </w:pPr>
      <w:r w:rsidRPr="006C069E">
        <w:tab/>
        <w:t>(ii)</w:t>
      </w:r>
      <w:r w:rsidRPr="006C069E">
        <w:tab/>
        <w:t>a Subclass 400 (Temporary Work (Short Stay Specialist)) visa</w:t>
      </w:r>
      <w:r w:rsidR="00C16F45" w:rsidRPr="006C069E">
        <w:t xml:space="preserve"> granted under that Act</w:t>
      </w:r>
      <w:r w:rsidRPr="006C069E">
        <w:t>;</w:t>
      </w:r>
    </w:p>
    <w:p w:rsidR="009B62B2" w:rsidRPr="006C069E" w:rsidRDefault="001C476B" w:rsidP="009B62B2">
      <w:pPr>
        <w:pStyle w:val="paragraph"/>
      </w:pPr>
      <w:r w:rsidRPr="006C069E">
        <w:tab/>
        <w:t>(b</w:t>
      </w:r>
      <w:r w:rsidR="009B62B2" w:rsidRPr="006C069E">
        <w:t>)</w:t>
      </w:r>
      <w:r w:rsidR="009B62B2" w:rsidRPr="006C069E">
        <w:tab/>
        <w:t xml:space="preserve">an employee who is the holder of a visa referred to in </w:t>
      </w:r>
      <w:r w:rsidR="006C069E" w:rsidRPr="006C069E">
        <w:t>paragraph (</w:t>
      </w:r>
      <w:r w:rsidR="003F0BAE" w:rsidRPr="006C069E">
        <w:t>a</w:t>
      </w:r>
      <w:r w:rsidR="009B62B2" w:rsidRPr="006C069E">
        <w:t>) if:</w:t>
      </w:r>
    </w:p>
    <w:p w:rsidR="009B62B2" w:rsidRPr="006C069E" w:rsidRDefault="009B62B2" w:rsidP="001C476B">
      <w:pPr>
        <w:pStyle w:val="paragraphsub"/>
      </w:pPr>
      <w:r w:rsidRPr="006C069E">
        <w:tab/>
        <w:t>(i)</w:t>
      </w:r>
      <w:r w:rsidRPr="006C069E">
        <w:tab/>
        <w:t>the employee</w:t>
      </w:r>
      <w:r w:rsidR="001C476B" w:rsidRPr="006C069E">
        <w:t xml:space="preserve"> </w:t>
      </w:r>
      <w:r w:rsidRPr="006C069E">
        <w:t>holds a position as a senior executive of a</w:t>
      </w:r>
      <w:r w:rsidR="001C476B" w:rsidRPr="006C069E">
        <w:t xml:space="preserve"> company operating in Australia</w:t>
      </w:r>
      <w:r w:rsidRPr="006C069E">
        <w:t xml:space="preserve"> or</w:t>
      </w:r>
      <w:r w:rsidR="001C476B" w:rsidRPr="006C069E">
        <w:t xml:space="preserve"> i</w:t>
      </w:r>
      <w:r w:rsidRPr="006C069E">
        <w:t>s establishing a business activity in Australia on behalf of the employer; and</w:t>
      </w:r>
    </w:p>
    <w:p w:rsidR="009B62B2" w:rsidRPr="006C069E" w:rsidRDefault="009B62B2" w:rsidP="009B62B2">
      <w:pPr>
        <w:pStyle w:val="paragraphsub"/>
      </w:pPr>
      <w:r w:rsidRPr="006C069E">
        <w:tab/>
        <w:t>(ii)</w:t>
      </w:r>
      <w:r w:rsidRPr="006C069E">
        <w:tab/>
        <w:t>the employee’s position carries substantial executive responsibility; and</w:t>
      </w:r>
    </w:p>
    <w:p w:rsidR="009B62B2" w:rsidRPr="006C069E" w:rsidRDefault="009B62B2" w:rsidP="009B62B2">
      <w:pPr>
        <w:pStyle w:val="paragraphsub"/>
      </w:pPr>
      <w:r w:rsidRPr="006C069E">
        <w:tab/>
        <w:t>(iii)</w:t>
      </w:r>
      <w:r w:rsidRPr="006C069E">
        <w:tab/>
        <w:t>the employee’s qualifications for the position are appropriate; and</w:t>
      </w:r>
    </w:p>
    <w:p w:rsidR="009B62B2" w:rsidRPr="006C069E" w:rsidRDefault="009B62B2" w:rsidP="009B62B2">
      <w:pPr>
        <w:pStyle w:val="paragraphsub"/>
      </w:pPr>
      <w:r w:rsidRPr="006C069E">
        <w:tab/>
        <w:t>(iv)</w:t>
      </w:r>
      <w:r w:rsidRPr="006C069E">
        <w:tab/>
        <w:t>the employee’s position is a full</w:t>
      </w:r>
      <w:r w:rsidR="006C069E">
        <w:noBreakHyphen/>
      </w:r>
      <w:r w:rsidRPr="006C069E">
        <w:t>time position;</w:t>
      </w:r>
    </w:p>
    <w:p w:rsidR="009B62B2" w:rsidRPr="006C069E" w:rsidRDefault="001C476B" w:rsidP="009B62B2">
      <w:pPr>
        <w:pStyle w:val="paragraph"/>
      </w:pPr>
      <w:r w:rsidRPr="006C069E">
        <w:tab/>
        <w:t>(c</w:t>
      </w:r>
      <w:r w:rsidR="009B62B2" w:rsidRPr="006C069E">
        <w:t>)</w:t>
      </w:r>
      <w:r w:rsidR="009B62B2" w:rsidRPr="006C069E">
        <w:tab/>
        <w:t xml:space="preserve">an employee who is the holder of a </w:t>
      </w:r>
      <w:r w:rsidR="0054230C" w:rsidRPr="006C069E">
        <w:t xml:space="preserve">Subclass 482 (Temporary Skill Shortage) visa or a </w:t>
      </w:r>
      <w:r w:rsidR="009B62B2" w:rsidRPr="006C069E">
        <w:t>Subclass 457 (</w:t>
      </w:r>
      <w:r w:rsidR="00747FD3" w:rsidRPr="006C069E">
        <w:t>Temporary Work (Skilled)</w:t>
      </w:r>
      <w:r w:rsidR="009B62B2" w:rsidRPr="006C069E">
        <w:t>) visa</w:t>
      </w:r>
      <w:r w:rsidR="00CE54E5" w:rsidRPr="006C069E">
        <w:t xml:space="preserve"> </w:t>
      </w:r>
      <w:r w:rsidR="00C16F45" w:rsidRPr="006C069E">
        <w:t xml:space="preserve">granted under the </w:t>
      </w:r>
      <w:r w:rsidR="00C16F45" w:rsidRPr="006C069E">
        <w:rPr>
          <w:i/>
        </w:rPr>
        <w:t>Migration Act 1958</w:t>
      </w:r>
      <w:r w:rsidR="00C16F45" w:rsidRPr="006C069E">
        <w:t xml:space="preserve"> </w:t>
      </w:r>
      <w:r w:rsidR="009B62B2" w:rsidRPr="006C069E">
        <w:t>if:</w:t>
      </w:r>
    </w:p>
    <w:p w:rsidR="009B62B2" w:rsidRPr="006C069E" w:rsidRDefault="009B62B2" w:rsidP="009B62B2">
      <w:pPr>
        <w:pStyle w:val="paragraphsub"/>
      </w:pPr>
      <w:r w:rsidRPr="006C069E">
        <w:tab/>
        <w:t>(i)</w:t>
      </w:r>
      <w:r w:rsidRPr="006C069E">
        <w:tab/>
        <w:t>the employee has been appointed by a company operating in Australia to be the national managing executive or deputy national managing executive or a state manager; and</w:t>
      </w:r>
    </w:p>
    <w:p w:rsidR="009B62B2" w:rsidRPr="006C069E" w:rsidRDefault="009B62B2" w:rsidP="009B62B2">
      <w:pPr>
        <w:pStyle w:val="paragraphsub"/>
      </w:pPr>
      <w:r w:rsidRPr="006C069E">
        <w:tab/>
        <w:t>(ii)</w:t>
      </w:r>
      <w:r w:rsidRPr="006C069E">
        <w:tab/>
        <w:t xml:space="preserve">the employee was nominated </w:t>
      </w:r>
      <w:r w:rsidR="00EB086D" w:rsidRPr="006C069E">
        <w:t xml:space="preserve">as mentioned in </w:t>
      </w:r>
      <w:r w:rsidR="00FD5EF3" w:rsidRPr="006C069E">
        <w:t>clause</w:t>
      </w:r>
      <w:r w:rsidR="006C069E" w:rsidRPr="006C069E">
        <w:t> </w:t>
      </w:r>
      <w:r w:rsidR="00531426" w:rsidRPr="006C069E">
        <w:t xml:space="preserve">482.212 </w:t>
      </w:r>
      <w:r w:rsidRPr="006C069E">
        <w:t>of Schedule</w:t>
      </w:r>
      <w:r w:rsidR="006C069E" w:rsidRPr="006C069E">
        <w:t> </w:t>
      </w:r>
      <w:r w:rsidRPr="006C069E">
        <w:t xml:space="preserve">2 to the </w:t>
      </w:r>
      <w:r w:rsidRPr="006C069E">
        <w:rPr>
          <w:i/>
        </w:rPr>
        <w:t>Migration Regulations</w:t>
      </w:r>
      <w:r w:rsidR="006C069E" w:rsidRPr="006C069E">
        <w:rPr>
          <w:i/>
        </w:rPr>
        <w:t> </w:t>
      </w:r>
      <w:r w:rsidRPr="006C069E">
        <w:rPr>
          <w:i/>
        </w:rPr>
        <w:t>1994</w:t>
      </w:r>
      <w:r w:rsidR="00D47B51" w:rsidRPr="006C069E">
        <w:t xml:space="preserve"> or </w:t>
      </w:r>
      <w:r w:rsidR="00A33542" w:rsidRPr="006C069E">
        <w:t xml:space="preserve">in </w:t>
      </w:r>
      <w:r w:rsidR="00D47B51" w:rsidRPr="006C069E">
        <w:t>paragraph</w:t>
      </w:r>
      <w:r w:rsidR="006C069E" w:rsidRPr="006C069E">
        <w:t> </w:t>
      </w:r>
      <w:r w:rsidR="00D47B51" w:rsidRPr="006C069E">
        <w:t>457.223(2)(c) or 457.223(4)(a) of that Schedule (as in force before 18</w:t>
      </w:r>
      <w:r w:rsidR="006C069E" w:rsidRPr="006C069E">
        <w:t> </w:t>
      </w:r>
      <w:r w:rsidR="00D47B51" w:rsidRPr="006C069E">
        <w:t>March 2018)</w:t>
      </w:r>
      <w:r w:rsidRPr="006C069E">
        <w:t>;</w:t>
      </w:r>
    </w:p>
    <w:p w:rsidR="009B62B2" w:rsidRPr="006C069E" w:rsidRDefault="001C476B" w:rsidP="009B62B2">
      <w:pPr>
        <w:pStyle w:val="paragraph"/>
      </w:pPr>
      <w:r w:rsidRPr="006C069E">
        <w:tab/>
        <w:t>(d</w:t>
      </w:r>
      <w:r w:rsidR="009B62B2" w:rsidRPr="006C069E">
        <w:t>)</w:t>
      </w:r>
      <w:r w:rsidR="009B62B2" w:rsidRPr="006C069E">
        <w:tab/>
        <w:t xml:space="preserve">an employee who is the holder of </w:t>
      </w:r>
      <w:r w:rsidR="0054230C" w:rsidRPr="006C069E">
        <w:t xml:space="preserve">a Subclass 482 (Temporary Skill Shortage) visa or </w:t>
      </w:r>
      <w:r w:rsidR="009B62B2" w:rsidRPr="006C069E">
        <w:t>a Subclass 457 (</w:t>
      </w:r>
      <w:r w:rsidR="00747FD3" w:rsidRPr="006C069E">
        <w:t>Temporary Work (Skilled)</w:t>
      </w:r>
      <w:r w:rsidR="009B62B2" w:rsidRPr="006C069E">
        <w:t xml:space="preserve">) </w:t>
      </w:r>
      <w:r w:rsidRPr="006C069E">
        <w:t>visa</w:t>
      </w:r>
      <w:r w:rsidR="00C16F45" w:rsidRPr="006C069E">
        <w:t xml:space="preserve"> granted under the </w:t>
      </w:r>
      <w:r w:rsidR="00C16F45" w:rsidRPr="006C069E">
        <w:rPr>
          <w:i/>
        </w:rPr>
        <w:t>Migration Act 1958</w:t>
      </w:r>
      <w:r w:rsidRPr="006C069E">
        <w:t xml:space="preserve"> </w:t>
      </w:r>
      <w:r w:rsidR="009B62B2" w:rsidRPr="006C069E">
        <w:t>if:</w:t>
      </w:r>
    </w:p>
    <w:p w:rsidR="009B62B2" w:rsidRPr="006C069E" w:rsidRDefault="009B62B2" w:rsidP="009B62B2">
      <w:pPr>
        <w:pStyle w:val="paragraphsub"/>
      </w:pPr>
      <w:r w:rsidRPr="006C069E">
        <w:tab/>
        <w:t>(i)</w:t>
      </w:r>
      <w:r w:rsidRPr="006C069E">
        <w:tab/>
        <w:t>the employee holds a position as a senior executive of a company operating in Australia; and</w:t>
      </w:r>
    </w:p>
    <w:p w:rsidR="009B62B2" w:rsidRPr="006C069E" w:rsidRDefault="009B62B2" w:rsidP="009B62B2">
      <w:pPr>
        <w:pStyle w:val="paragraphsub"/>
      </w:pPr>
      <w:r w:rsidRPr="006C069E">
        <w:tab/>
        <w:t>(ii)</w:t>
      </w:r>
      <w:r w:rsidRPr="006C069E">
        <w:tab/>
        <w:t>the employee was nominated as mentioned</w:t>
      </w:r>
      <w:r w:rsidR="0054230C" w:rsidRPr="006C069E">
        <w:t xml:space="preserve"> in clause</w:t>
      </w:r>
      <w:r w:rsidR="006C069E" w:rsidRPr="006C069E">
        <w:t> </w:t>
      </w:r>
      <w:r w:rsidR="0054230C" w:rsidRPr="006C069E">
        <w:t>482.212 of Schedule</w:t>
      </w:r>
      <w:r w:rsidR="006C069E" w:rsidRPr="006C069E">
        <w:t> </w:t>
      </w:r>
      <w:r w:rsidR="0054230C" w:rsidRPr="006C069E">
        <w:t xml:space="preserve">2 to the </w:t>
      </w:r>
      <w:r w:rsidR="0054230C" w:rsidRPr="006C069E">
        <w:rPr>
          <w:i/>
        </w:rPr>
        <w:t>Migration Regulations</w:t>
      </w:r>
      <w:r w:rsidR="006C069E" w:rsidRPr="006C069E">
        <w:rPr>
          <w:i/>
        </w:rPr>
        <w:t> </w:t>
      </w:r>
      <w:r w:rsidR="0054230C" w:rsidRPr="006C069E">
        <w:rPr>
          <w:i/>
        </w:rPr>
        <w:t>1994</w:t>
      </w:r>
      <w:r w:rsidR="0054230C" w:rsidRPr="006C069E">
        <w:t xml:space="preserve"> or </w:t>
      </w:r>
      <w:r w:rsidR="00A33542" w:rsidRPr="006C069E">
        <w:t xml:space="preserve">in </w:t>
      </w:r>
      <w:r w:rsidR="0054230C" w:rsidRPr="006C069E">
        <w:t>paragraph</w:t>
      </w:r>
      <w:r w:rsidR="006C069E" w:rsidRPr="006C069E">
        <w:t> </w:t>
      </w:r>
      <w:r w:rsidR="0054230C" w:rsidRPr="006C069E">
        <w:t>457.223(2)(c) or 457.223(4)(a) of that Schedule (as in force before 18</w:t>
      </w:r>
      <w:r w:rsidR="006C069E" w:rsidRPr="006C069E">
        <w:t> </w:t>
      </w:r>
      <w:r w:rsidR="0054230C" w:rsidRPr="006C069E">
        <w:t>March 2018)</w:t>
      </w:r>
      <w:r w:rsidRPr="006C069E">
        <w:t>; and</w:t>
      </w:r>
    </w:p>
    <w:p w:rsidR="009B62B2" w:rsidRPr="006C069E" w:rsidRDefault="009B62B2" w:rsidP="009B62B2">
      <w:pPr>
        <w:pStyle w:val="paragraphsub"/>
      </w:pPr>
      <w:r w:rsidRPr="006C069E">
        <w:tab/>
        <w:t>(iii)</w:t>
      </w:r>
      <w:r w:rsidRPr="006C069E">
        <w:tab/>
        <w:t>the employee’s position carries substantial executive responsibility; and</w:t>
      </w:r>
    </w:p>
    <w:p w:rsidR="009B62B2" w:rsidRPr="006C069E" w:rsidRDefault="009B62B2" w:rsidP="009B62B2">
      <w:pPr>
        <w:pStyle w:val="paragraphsub"/>
      </w:pPr>
      <w:r w:rsidRPr="006C069E">
        <w:tab/>
        <w:t>(iv)</w:t>
      </w:r>
      <w:r w:rsidRPr="006C069E">
        <w:tab/>
        <w:t>the employee’s qualifications for the position are appropriate; and</w:t>
      </w:r>
    </w:p>
    <w:p w:rsidR="009B62B2" w:rsidRPr="006C069E" w:rsidRDefault="009B62B2" w:rsidP="009B62B2">
      <w:pPr>
        <w:pStyle w:val="paragraphsub"/>
      </w:pPr>
      <w:r w:rsidRPr="006C069E">
        <w:tab/>
        <w:t>(v)</w:t>
      </w:r>
      <w:r w:rsidRPr="006C069E">
        <w:tab/>
        <w:t>the employee’s position is a full</w:t>
      </w:r>
      <w:r w:rsidR="006C069E">
        <w:noBreakHyphen/>
      </w:r>
      <w:r w:rsidRPr="006C069E">
        <w:t>time position;</w:t>
      </w:r>
    </w:p>
    <w:p w:rsidR="009B62B2" w:rsidRPr="006C069E" w:rsidRDefault="001C476B" w:rsidP="009B62B2">
      <w:pPr>
        <w:pStyle w:val="paragraph"/>
      </w:pPr>
      <w:r w:rsidRPr="006C069E">
        <w:tab/>
        <w:t>(e</w:t>
      </w:r>
      <w:r w:rsidR="009B62B2" w:rsidRPr="006C069E">
        <w:t>)</w:t>
      </w:r>
      <w:r w:rsidR="009B62B2" w:rsidRPr="006C069E">
        <w:tab/>
        <w:t xml:space="preserve">an employee who is the holder of a </w:t>
      </w:r>
      <w:r w:rsidR="0054230C" w:rsidRPr="006C069E">
        <w:t xml:space="preserve">Subclass 482 (Temporary Skill Shortage) visa or a </w:t>
      </w:r>
      <w:r w:rsidR="009B62B2" w:rsidRPr="006C069E">
        <w:t>Subclass 457 (</w:t>
      </w:r>
      <w:r w:rsidR="00747FD3" w:rsidRPr="006C069E">
        <w:t>Temporary Work (Skilled</w:t>
      </w:r>
      <w:r w:rsidR="009B62B2" w:rsidRPr="006C069E">
        <w:t>)) visa</w:t>
      </w:r>
      <w:r w:rsidR="00C16F45" w:rsidRPr="006C069E">
        <w:t xml:space="preserve"> granted under the </w:t>
      </w:r>
      <w:r w:rsidR="00C16F45" w:rsidRPr="006C069E">
        <w:rPr>
          <w:i/>
        </w:rPr>
        <w:t>Migration Act 1958</w:t>
      </w:r>
      <w:r w:rsidR="00CE54E5" w:rsidRPr="006C069E">
        <w:t xml:space="preserve"> </w:t>
      </w:r>
      <w:r w:rsidR="009B62B2" w:rsidRPr="006C069E">
        <w:t>if:</w:t>
      </w:r>
    </w:p>
    <w:p w:rsidR="009B62B2" w:rsidRPr="006C069E" w:rsidRDefault="009B62B2" w:rsidP="009B62B2">
      <w:pPr>
        <w:pStyle w:val="paragraphsub"/>
      </w:pPr>
      <w:r w:rsidRPr="006C069E">
        <w:tab/>
        <w:t>(i)</w:t>
      </w:r>
      <w:r w:rsidRPr="006C069E">
        <w:tab/>
        <w:t>the employee is establishing a business activity in Australia on behalf of the employer; and</w:t>
      </w:r>
    </w:p>
    <w:p w:rsidR="009B62B2" w:rsidRPr="006C069E" w:rsidRDefault="009B62B2" w:rsidP="009B62B2">
      <w:pPr>
        <w:pStyle w:val="paragraphsub"/>
      </w:pPr>
      <w:r w:rsidRPr="006C069E">
        <w:tab/>
        <w:t>(ii)</w:t>
      </w:r>
      <w:r w:rsidRPr="006C069E">
        <w:tab/>
        <w:t>the employee’s position carries substantial executive responsibility; and</w:t>
      </w:r>
    </w:p>
    <w:p w:rsidR="009B62B2" w:rsidRPr="006C069E" w:rsidRDefault="009B62B2" w:rsidP="009B62B2">
      <w:pPr>
        <w:pStyle w:val="paragraphsub"/>
      </w:pPr>
      <w:r w:rsidRPr="006C069E">
        <w:tab/>
        <w:t>(iii)</w:t>
      </w:r>
      <w:r w:rsidRPr="006C069E">
        <w:tab/>
        <w:t>the employee’s qualifications for the position are appropriate; and</w:t>
      </w:r>
    </w:p>
    <w:p w:rsidR="009B62B2" w:rsidRPr="006C069E" w:rsidRDefault="009B62B2" w:rsidP="009B62B2">
      <w:pPr>
        <w:pStyle w:val="paragraphsub"/>
      </w:pPr>
      <w:r w:rsidRPr="006C069E">
        <w:tab/>
        <w:t>(iv)</w:t>
      </w:r>
      <w:r w:rsidRPr="006C069E">
        <w:tab/>
        <w:t>the employee’s position is a full</w:t>
      </w:r>
      <w:r w:rsidR="006C069E">
        <w:noBreakHyphen/>
      </w:r>
      <w:r w:rsidRPr="006C069E">
        <w:t>time position.</w:t>
      </w:r>
    </w:p>
    <w:p w:rsidR="009B62B2" w:rsidRPr="006C069E" w:rsidRDefault="00C45936" w:rsidP="009B62B2">
      <w:pPr>
        <w:pStyle w:val="ActHead5"/>
      </w:pPr>
      <w:bookmarkStart w:id="16" w:name="_Toc523810809"/>
      <w:r w:rsidRPr="006C069E">
        <w:rPr>
          <w:rStyle w:val="CharSectno"/>
        </w:rPr>
        <w:t>12</w:t>
      </w:r>
      <w:r w:rsidR="006434CB" w:rsidRPr="006C069E">
        <w:t xml:space="preserve">  </w:t>
      </w:r>
      <w:r w:rsidR="003B64D5" w:rsidRPr="006C069E">
        <w:t>Certain s</w:t>
      </w:r>
      <w:r w:rsidR="006434CB" w:rsidRPr="006C069E">
        <w:t>alary or wages</w:t>
      </w:r>
      <w:r w:rsidRPr="006C069E">
        <w:t xml:space="preserve"> </w:t>
      </w:r>
      <w:r w:rsidR="003B64D5" w:rsidRPr="006C069E">
        <w:t>excluded</w:t>
      </w:r>
      <w:bookmarkEnd w:id="16"/>
    </w:p>
    <w:p w:rsidR="009B62B2" w:rsidRPr="006C069E" w:rsidRDefault="009B62B2" w:rsidP="009B62B2">
      <w:pPr>
        <w:pStyle w:val="subsection"/>
      </w:pPr>
      <w:r w:rsidRPr="006C069E">
        <w:tab/>
        <w:t>(1)</w:t>
      </w:r>
      <w:r w:rsidRPr="006C069E">
        <w:tab/>
        <w:t>For</w:t>
      </w:r>
      <w:r w:rsidR="00717B09" w:rsidRPr="006C069E">
        <w:t xml:space="preserve"> the purposes of</w:t>
      </w:r>
      <w:r w:rsidRPr="006C069E">
        <w:t xml:space="preserve"> paragraph</w:t>
      </w:r>
      <w:r w:rsidR="006C069E" w:rsidRPr="006C069E">
        <w:t> </w:t>
      </w:r>
      <w:r w:rsidRPr="006C069E">
        <w:t>27(1)(e) of the Act,</w:t>
      </w:r>
      <w:r w:rsidR="003F0BAE" w:rsidRPr="006C069E">
        <w:t xml:space="preserve"> the</w:t>
      </w:r>
      <w:r w:rsidRPr="006C069E">
        <w:t xml:space="preserve"> </w:t>
      </w:r>
      <w:r w:rsidR="003F0BAE" w:rsidRPr="006C069E">
        <w:t>following</w:t>
      </w:r>
      <w:r w:rsidR="00044D3A" w:rsidRPr="006C069E">
        <w:t xml:space="preserve"> </w:t>
      </w:r>
      <w:r w:rsidR="003F0BAE" w:rsidRPr="006C069E">
        <w:t>are prescribed:</w:t>
      </w:r>
    </w:p>
    <w:p w:rsidR="003F0BAE" w:rsidRPr="006C069E" w:rsidRDefault="003F0BAE" w:rsidP="003F0BAE">
      <w:pPr>
        <w:pStyle w:val="paragraph"/>
      </w:pPr>
      <w:r w:rsidRPr="006C069E">
        <w:tab/>
        <w:t>(a)</w:t>
      </w:r>
      <w:r w:rsidRPr="006C069E">
        <w:tab/>
        <w:t>salary or wages paid to an employee for a period of parental leave;</w:t>
      </w:r>
    </w:p>
    <w:p w:rsidR="003F0BAE" w:rsidRPr="006C069E" w:rsidRDefault="003F0BAE" w:rsidP="003F0BAE">
      <w:pPr>
        <w:pStyle w:val="paragraph"/>
      </w:pPr>
      <w:r w:rsidRPr="006C069E">
        <w:tab/>
        <w:t>(b)</w:t>
      </w:r>
      <w:r w:rsidRPr="006C069E">
        <w:tab/>
        <w:t>salary or wages:</w:t>
      </w:r>
    </w:p>
    <w:p w:rsidR="003F0BAE" w:rsidRPr="006C069E" w:rsidRDefault="003F0BAE" w:rsidP="003F0BAE">
      <w:pPr>
        <w:pStyle w:val="paragraphsub"/>
      </w:pPr>
      <w:r w:rsidRPr="006C069E">
        <w:tab/>
        <w:t>(i)</w:t>
      </w:r>
      <w:r w:rsidRPr="006C069E">
        <w:tab/>
        <w:t>paid to an employee who is engaging in an eligible community service activity; and</w:t>
      </w:r>
    </w:p>
    <w:p w:rsidR="003F0BAE" w:rsidRPr="006C069E" w:rsidRDefault="003F0BAE" w:rsidP="003F0BAE">
      <w:pPr>
        <w:pStyle w:val="paragraphsub"/>
      </w:pPr>
      <w:r w:rsidRPr="006C069E">
        <w:tab/>
        <w:t>(ii)</w:t>
      </w:r>
      <w:r w:rsidRPr="006C069E">
        <w:tab/>
        <w:t xml:space="preserve">paid by the employee’s usual employer while the employee is absent from </w:t>
      </w:r>
      <w:r w:rsidR="009F0DE0" w:rsidRPr="006C069E">
        <w:t>the employee’s</w:t>
      </w:r>
      <w:r w:rsidRPr="006C069E">
        <w:t xml:space="preserve"> usual employment;</w:t>
      </w:r>
    </w:p>
    <w:p w:rsidR="003F0BAE" w:rsidRPr="006C069E" w:rsidRDefault="003F0BAE" w:rsidP="003F0BAE">
      <w:pPr>
        <w:pStyle w:val="paragraph"/>
      </w:pPr>
      <w:r w:rsidRPr="006C069E">
        <w:tab/>
        <w:t>(c)</w:t>
      </w:r>
      <w:r w:rsidRPr="006C069E">
        <w:tab/>
        <w:t>salary or wages:</w:t>
      </w:r>
    </w:p>
    <w:p w:rsidR="003F0BAE" w:rsidRPr="006C069E" w:rsidRDefault="003F0BAE" w:rsidP="003F0BAE">
      <w:pPr>
        <w:pStyle w:val="paragraphsub"/>
      </w:pPr>
      <w:r w:rsidRPr="006C069E">
        <w:tab/>
        <w:t>(i)</w:t>
      </w:r>
      <w:r w:rsidRPr="006C069E">
        <w:tab/>
        <w:t>paid to an employee who is undertaking service with the Australian Defence Force; and</w:t>
      </w:r>
    </w:p>
    <w:p w:rsidR="003F0BAE" w:rsidRPr="006C069E" w:rsidRDefault="003F0BAE" w:rsidP="003F0BAE">
      <w:pPr>
        <w:pStyle w:val="paragraphsub"/>
      </w:pPr>
      <w:r w:rsidRPr="006C069E">
        <w:tab/>
        <w:t>(ii)</w:t>
      </w:r>
      <w:r w:rsidRPr="006C069E">
        <w:tab/>
        <w:t xml:space="preserve">paid by the employee’s usual employer while the employee is absent from </w:t>
      </w:r>
      <w:r w:rsidR="009F0DE0" w:rsidRPr="006C069E">
        <w:t xml:space="preserve">the employee’s </w:t>
      </w:r>
      <w:r w:rsidRPr="006C069E">
        <w:t>usual employment;</w:t>
      </w:r>
    </w:p>
    <w:p w:rsidR="003F0BAE" w:rsidRPr="006C069E" w:rsidRDefault="003F0BAE" w:rsidP="003F0BAE">
      <w:pPr>
        <w:pStyle w:val="paragraph"/>
      </w:pPr>
      <w:r w:rsidRPr="006C069E">
        <w:tab/>
        <w:t>(d)</w:t>
      </w:r>
      <w:r w:rsidRPr="006C069E">
        <w:tab/>
      </w:r>
      <w:r w:rsidR="00044D3A" w:rsidRPr="006C069E">
        <w:t xml:space="preserve">salary or wages consisting of a payment of green army allowance (within the meaning of the </w:t>
      </w:r>
      <w:r w:rsidR="00044D3A" w:rsidRPr="006C069E">
        <w:rPr>
          <w:i/>
        </w:rPr>
        <w:t>Social Security Act 1991</w:t>
      </w:r>
      <w:r w:rsidR="00044D3A" w:rsidRPr="006C069E">
        <w:t>);</w:t>
      </w:r>
    </w:p>
    <w:p w:rsidR="00044D3A" w:rsidRPr="006C069E" w:rsidRDefault="00044D3A" w:rsidP="003F0BAE">
      <w:pPr>
        <w:pStyle w:val="paragraph"/>
      </w:pPr>
      <w:r w:rsidRPr="006C069E">
        <w:tab/>
        <w:t>(e)</w:t>
      </w:r>
      <w:r w:rsidRPr="006C069E">
        <w:tab/>
        <w:t xml:space="preserve">if a scheduled international social security agreement provides that an employer to which salary or wages relate is not subject to the Act in relation to the work for which the salary or wages were paid—the salary or wages </w:t>
      </w:r>
      <w:r w:rsidR="00FD5EF3" w:rsidRPr="006C069E">
        <w:t xml:space="preserve">so </w:t>
      </w:r>
      <w:r w:rsidRPr="006C069E">
        <w:t>paid.</w:t>
      </w:r>
    </w:p>
    <w:p w:rsidR="009B62B2" w:rsidRPr="006C069E" w:rsidRDefault="009B62B2" w:rsidP="009B62B2">
      <w:pPr>
        <w:pStyle w:val="subsection"/>
      </w:pPr>
      <w:r w:rsidRPr="006C069E">
        <w:tab/>
        <w:t>(2)</w:t>
      </w:r>
      <w:r w:rsidRPr="006C069E">
        <w:tab/>
      </w:r>
      <w:r w:rsidR="006C069E" w:rsidRPr="006C069E">
        <w:t>Paragraph (</w:t>
      </w:r>
      <w:r w:rsidR="003B64D5" w:rsidRPr="006C069E">
        <w:t>1)(b)</w:t>
      </w:r>
      <w:r w:rsidRPr="006C069E">
        <w:t xml:space="preserve"> does not apply to the salary or wages of an employee who engages in the eligible community service activity in the capacity of an employee of the employer that carries on the activity.</w:t>
      </w:r>
    </w:p>
    <w:p w:rsidR="009B62B2" w:rsidRPr="006C069E" w:rsidRDefault="003B64D5" w:rsidP="009B62B2">
      <w:pPr>
        <w:pStyle w:val="subsection"/>
      </w:pPr>
      <w:r w:rsidRPr="006C069E">
        <w:tab/>
        <w:t>(3)</w:t>
      </w:r>
      <w:r w:rsidRPr="006C069E">
        <w:tab/>
      </w:r>
      <w:r w:rsidR="006C069E" w:rsidRPr="006C069E">
        <w:t>Paragraph (</w:t>
      </w:r>
      <w:r w:rsidRPr="006C069E">
        <w:t>1)(c)</w:t>
      </w:r>
      <w:r w:rsidR="009B62B2" w:rsidRPr="006C069E">
        <w:t xml:space="preserve"> does not apply to salary or wages paid by the Australian Defence Force (other than salary or wages to which section</w:t>
      </w:r>
      <w:r w:rsidR="006C069E" w:rsidRPr="006C069E">
        <w:t> </w:t>
      </w:r>
      <w:r w:rsidR="009B62B2" w:rsidRPr="006C069E">
        <w:t>29 of the Act applies).</w:t>
      </w:r>
    </w:p>
    <w:p w:rsidR="009B62B2" w:rsidRPr="006C069E" w:rsidRDefault="009B62B2" w:rsidP="009B62B2">
      <w:pPr>
        <w:pStyle w:val="subsection"/>
      </w:pPr>
      <w:r w:rsidRPr="006C069E">
        <w:tab/>
        <w:t>(4)</w:t>
      </w:r>
      <w:r w:rsidRPr="006C069E">
        <w:tab/>
      </w:r>
      <w:r w:rsidR="006C069E" w:rsidRPr="006C069E">
        <w:t>Paragraphs (</w:t>
      </w:r>
      <w:r w:rsidR="003B64D5" w:rsidRPr="006C069E">
        <w:t>1)(b) and (c)</w:t>
      </w:r>
      <w:r w:rsidRPr="006C069E">
        <w:t xml:space="preserve"> do not apply to a payment relating to:</w:t>
      </w:r>
    </w:p>
    <w:p w:rsidR="009B62B2" w:rsidRPr="006C069E" w:rsidRDefault="009B62B2" w:rsidP="009B62B2">
      <w:pPr>
        <w:pStyle w:val="paragraph"/>
      </w:pPr>
      <w:r w:rsidRPr="006C069E">
        <w:tab/>
        <w:t>(a)</w:t>
      </w:r>
      <w:r w:rsidRPr="006C069E">
        <w:tab/>
        <w:t>annual leave; or</w:t>
      </w:r>
    </w:p>
    <w:p w:rsidR="009B62B2" w:rsidRPr="006C069E" w:rsidRDefault="009B62B2" w:rsidP="009B62B2">
      <w:pPr>
        <w:pStyle w:val="paragraph"/>
      </w:pPr>
      <w:r w:rsidRPr="006C069E">
        <w:tab/>
        <w:t>(b)</w:t>
      </w:r>
      <w:r w:rsidRPr="006C069E">
        <w:tab/>
        <w:t>sick leave; or</w:t>
      </w:r>
    </w:p>
    <w:p w:rsidR="009B62B2" w:rsidRPr="006C069E" w:rsidRDefault="009B62B2" w:rsidP="009B62B2">
      <w:pPr>
        <w:pStyle w:val="paragraph"/>
      </w:pPr>
      <w:r w:rsidRPr="006C069E">
        <w:tab/>
        <w:t>(c)</w:t>
      </w:r>
      <w:r w:rsidRPr="006C069E">
        <w:tab/>
        <w:t>long service leave;</w:t>
      </w:r>
    </w:p>
    <w:p w:rsidR="009B62B2" w:rsidRPr="006C069E" w:rsidRDefault="009B62B2" w:rsidP="009B62B2">
      <w:pPr>
        <w:pStyle w:val="subsection2"/>
      </w:pPr>
      <w:r w:rsidRPr="006C069E">
        <w:t>that is paid in relation to the period during which the employee is engaged in the relevant activity or performing the relevant work.</w:t>
      </w:r>
    </w:p>
    <w:p w:rsidR="009B62B2" w:rsidRPr="006C069E" w:rsidRDefault="00C45936" w:rsidP="009B62B2">
      <w:pPr>
        <w:pStyle w:val="ActHead5"/>
      </w:pPr>
      <w:bookmarkStart w:id="17" w:name="_Toc523810810"/>
      <w:r w:rsidRPr="006C069E">
        <w:rPr>
          <w:rStyle w:val="CharSectno"/>
        </w:rPr>
        <w:t>13</w:t>
      </w:r>
      <w:r w:rsidR="009B62B2" w:rsidRPr="006C069E">
        <w:t xml:space="preserve">  Nominal interest component—rate applicable</w:t>
      </w:r>
      <w:bookmarkEnd w:id="17"/>
    </w:p>
    <w:p w:rsidR="009B62B2" w:rsidRPr="006C069E" w:rsidRDefault="009B62B2" w:rsidP="009B62B2">
      <w:pPr>
        <w:pStyle w:val="subsection"/>
      </w:pPr>
      <w:r w:rsidRPr="006C069E">
        <w:tab/>
      </w:r>
      <w:r w:rsidRPr="006C069E">
        <w:tab/>
        <w:t>For the purposes of section</w:t>
      </w:r>
      <w:r w:rsidR="006C069E" w:rsidRPr="006C069E">
        <w:t> </w:t>
      </w:r>
      <w:r w:rsidRPr="006C069E">
        <w:t>31 of the Act, the rate applicable is 10% per annum.</w:t>
      </w:r>
    </w:p>
    <w:p w:rsidR="00C31758" w:rsidRPr="006C069E" w:rsidRDefault="00C31758" w:rsidP="00C31758">
      <w:pPr>
        <w:pStyle w:val="ActHead2"/>
        <w:pageBreakBefore/>
      </w:pPr>
      <w:bookmarkStart w:id="18" w:name="_Toc523810811"/>
      <w:r w:rsidRPr="006C069E">
        <w:rPr>
          <w:rStyle w:val="CharPartNo"/>
        </w:rPr>
        <w:t>Part</w:t>
      </w:r>
      <w:r w:rsidR="006C069E" w:rsidRPr="006C069E">
        <w:rPr>
          <w:rStyle w:val="CharPartNo"/>
        </w:rPr>
        <w:t> </w:t>
      </w:r>
      <w:r w:rsidRPr="006C069E">
        <w:rPr>
          <w:rStyle w:val="CharPartNo"/>
        </w:rPr>
        <w:t>5</w:t>
      </w:r>
      <w:r w:rsidRPr="006C069E">
        <w:t>—</w:t>
      </w:r>
      <w:r w:rsidR="00D11FE9" w:rsidRPr="006C069E">
        <w:rPr>
          <w:rStyle w:val="CharPartText"/>
        </w:rPr>
        <w:t>C</w:t>
      </w:r>
      <w:r w:rsidRPr="006C069E">
        <w:rPr>
          <w:rStyle w:val="CharPartText"/>
        </w:rPr>
        <w:t>hoice of fund requirements</w:t>
      </w:r>
      <w:bookmarkEnd w:id="18"/>
    </w:p>
    <w:p w:rsidR="00593A0B" w:rsidRPr="006C069E" w:rsidRDefault="00593A0B" w:rsidP="00593A0B">
      <w:pPr>
        <w:pStyle w:val="Header"/>
      </w:pPr>
      <w:r w:rsidRPr="006C069E">
        <w:rPr>
          <w:rStyle w:val="CharDivNo"/>
        </w:rPr>
        <w:t xml:space="preserve"> </w:t>
      </w:r>
      <w:r w:rsidRPr="006C069E">
        <w:rPr>
          <w:rStyle w:val="CharDivText"/>
        </w:rPr>
        <w:t xml:space="preserve"> </w:t>
      </w:r>
    </w:p>
    <w:p w:rsidR="009B62B2" w:rsidRPr="006C069E" w:rsidRDefault="00C45936" w:rsidP="009B62B2">
      <w:pPr>
        <w:pStyle w:val="ActHead5"/>
      </w:pPr>
      <w:bookmarkStart w:id="19" w:name="_Toc523810812"/>
      <w:r w:rsidRPr="006C069E">
        <w:rPr>
          <w:rStyle w:val="CharSectno"/>
        </w:rPr>
        <w:t>14</w:t>
      </w:r>
      <w:r w:rsidR="009B62B2" w:rsidRPr="006C069E">
        <w:t xml:space="preserve">  Requirement for </w:t>
      </w:r>
      <w:r w:rsidR="00482106" w:rsidRPr="006C069E">
        <w:t xml:space="preserve">providing </w:t>
      </w:r>
      <w:r w:rsidR="00A57BC5" w:rsidRPr="006C069E">
        <w:t>or</w:t>
      </w:r>
      <w:r w:rsidR="00482106" w:rsidRPr="006C069E">
        <w:t xml:space="preserve"> </w:t>
      </w:r>
      <w:r w:rsidR="009B62B2" w:rsidRPr="006C069E">
        <w:t>offering insurance in respect of death</w:t>
      </w:r>
      <w:bookmarkEnd w:id="19"/>
    </w:p>
    <w:p w:rsidR="00A4135B" w:rsidRPr="006C069E" w:rsidRDefault="00A4135B" w:rsidP="00A4135B">
      <w:pPr>
        <w:pStyle w:val="SubsectionHead"/>
      </w:pPr>
      <w:r w:rsidRPr="006C069E">
        <w:t>MySuper members</w:t>
      </w:r>
    </w:p>
    <w:p w:rsidR="009B62B2" w:rsidRPr="006C069E" w:rsidRDefault="009B62B2" w:rsidP="009B62B2">
      <w:pPr>
        <w:pStyle w:val="subsection"/>
      </w:pPr>
      <w:r w:rsidRPr="006C069E">
        <w:tab/>
        <w:t>(1)</w:t>
      </w:r>
      <w:r w:rsidRPr="006C069E">
        <w:tab/>
        <w:t xml:space="preserve">For </w:t>
      </w:r>
      <w:r w:rsidR="00717B09" w:rsidRPr="006C069E">
        <w:t xml:space="preserve">the purposes of </w:t>
      </w:r>
      <w:r w:rsidRPr="006C069E">
        <w:t>paragraph</w:t>
      </w:r>
      <w:r w:rsidR="006C069E" w:rsidRPr="006C069E">
        <w:t> </w:t>
      </w:r>
      <w:r w:rsidRPr="006C069E">
        <w:t>32C(2)(d) of the Act, for a MySuper member, other than a member who is a defined benefit member, the requirement is that insurance be provided by the fund in the event of the death of the member:</w:t>
      </w:r>
    </w:p>
    <w:p w:rsidR="009B62B2" w:rsidRPr="006C069E" w:rsidRDefault="009B62B2" w:rsidP="009B62B2">
      <w:pPr>
        <w:pStyle w:val="paragraph"/>
      </w:pPr>
      <w:r w:rsidRPr="006C069E">
        <w:tab/>
        <w:t>(a)</w:t>
      </w:r>
      <w:r w:rsidRPr="006C069E">
        <w:tab/>
        <w:t xml:space="preserve">for a person of an age in an age range mentioned </w:t>
      </w:r>
      <w:r w:rsidR="00D078FB" w:rsidRPr="006C069E">
        <w:t xml:space="preserve">in </w:t>
      </w:r>
      <w:r w:rsidR="006C069E" w:rsidRPr="006C069E">
        <w:t>subsection (</w:t>
      </w:r>
      <w:r w:rsidR="00C45936" w:rsidRPr="006C069E">
        <w:t>5</w:t>
      </w:r>
      <w:r w:rsidR="00D078FB" w:rsidRPr="006C069E">
        <w:t>)</w:t>
      </w:r>
      <w:r w:rsidRPr="006C069E">
        <w:t>—at the level mentioned or higher; or</w:t>
      </w:r>
    </w:p>
    <w:p w:rsidR="009B62B2" w:rsidRPr="006C069E" w:rsidRDefault="009B62B2" w:rsidP="009B62B2">
      <w:pPr>
        <w:pStyle w:val="paragraph"/>
      </w:pPr>
      <w:r w:rsidRPr="006C069E">
        <w:tab/>
        <w:t>(b)</w:t>
      </w:r>
      <w:r w:rsidRPr="006C069E">
        <w:tab/>
        <w:t xml:space="preserve">for a person who </w:t>
      </w:r>
      <w:r w:rsidR="00B323D9" w:rsidRPr="006C069E">
        <w:t xml:space="preserve">is under </w:t>
      </w:r>
      <w:r w:rsidRPr="006C069E">
        <w:t>56 years—at a premium of at least $0.50 per week, or the equivalent.</w:t>
      </w:r>
    </w:p>
    <w:p w:rsidR="00D078FB" w:rsidRPr="006C069E" w:rsidRDefault="00D078FB" w:rsidP="00D078FB">
      <w:pPr>
        <w:pStyle w:val="subsection"/>
      </w:pPr>
      <w:r w:rsidRPr="006C069E">
        <w:tab/>
        <w:t>(</w:t>
      </w:r>
      <w:r w:rsidR="00C45936" w:rsidRPr="006C069E">
        <w:t>2</w:t>
      </w:r>
      <w:r w:rsidRPr="006C069E">
        <w:t>)</w:t>
      </w:r>
      <w:r w:rsidRPr="006C069E">
        <w:tab/>
        <w:t xml:space="preserve">However, if a MySuper member, other than a member who is a defined benefit member, has elected that insurance in relation to death not be provided, or that insurance in relation to death be provided at a lower level than provided for in </w:t>
      </w:r>
      <w:r w:rsidR="006C069E" w:rsidRPr="006C069E">
        <w:t>subsection (</w:t>
      </w:r>
      <w:r w:rsidRPr="006C069E">
        <w:t>1), the requirement is that insurance be offered by the fund in the event of the death of the member:</w:t>
      </w:r>
    </w:p>
    <w:p w:rsidR="00D078FB" w:rsidRPr="006C069E" w:rsidRDefault="00D078FB" w:rsidP="00D078FB">
      <w:pPr>
        <w:pStyle w:val="paragraph"/>
      </w:pPr>
      <w:r w:rsidRPr="006C069E">
        <w:tab/>
        <w:t>(a)</w:t>
      </w:r>
      <w:r w:rsidRPr="006C069E">
        <w:tab/>
        <w:t xml:space="preserve">for a person of an age in an age range mentioned </w:t>
      </w:r>
      <w:r w:rsidR="00D60EA6" w:rsidRPr="006C069E">
        <w:t xml:space="preserve">in </w:t>
      </w:r>
      <w:r w:rsidR="006C069E" w:rsidRPr="006C069E">
        <w:t>subsection (</w:t>
      </w:r>
      <w:r w:rsidR="00C45936" w:rsidRPr="006C069E">
        <w:t>5</w:t>
      </w:r>
      <w:r w:rsidR="00D60EA6" w:rsidRPr="006C069E">
        <w:t>)</w:t>
      </w:r>
      <w:r w:rsidRPr="006C069E">
        <w:t>—at the level mentioned or higher; or</w:t>
      </w:r>
    </w:p>
    <w:p w:rsidR="00D078FB" w:rsidRPr="006C069E" w:rsidRDefault="00D078FB" w:rsidP="00D078FB">
      <w:pPr>
        <w:pStyle w:val="paragraph"/>
      </w:pPr>
      <w:r w:rsidRPr="006C069E">
        <w:tab/>
        <w:t>(b)</w:t>
      </w:r>
      <w:r w:rsidRPr="006C069E">
        <w:tab/>
        <w:t xml:space="preserve">for a person who </w:t>
      </w:r>
      <w:r w:rsidR="00B323D9" w:rsidRPr="006C069E">
        <w:t>is under</w:t>
      </w:r>
      <w:r w:rsidRPr="006C069E">
        <w:t xml:space="preserve"> 56 years—at a premium of at least $0.50 per week, or the equivalent.</w:t>
      </w:r>
    </w:p>
    <w:p w:rsidR="009B62B2" w:rsidRPr="006C069E" w:rsidRDefault="009B62B2" w:rsidP="009B62B2">
      <w:pPr>
        <w:pStyle w:val="subsection"/>
      </w:pPr>
      <w:r w:rsidRPr="006C069E">
        <w:rPr>
          <w:color w:val="0000FF"/>
        </w:rPr>
        <w:tab/>
      </w:r>
      <w:r w:rsidR="00D078FB" w:rsidRPr="006C069E">
        <w:t>(</w:t>
      </w:r>
      <w:r w:rsidR="00C45936" w:rsidRPr="006C069E">
        <w:t>3</w:t>
      </w:r>
      <w:r w:rsidRPr="006C069E">
        <w:t>)</w:t>
      </w:r>
      <w:r w:rsidRPr="006C069E">
        <w:tab/>
        <w:t xml:space="preserve">The provision, by a regulated superannuation fund, of insurance in respect of death in accordance with </w:t>
      </w:r>
      <w:r w:rsidR="006C069E" w:rsidRPr="006C069E">
        <w:t>subsection (</w:t>
      </w:r>
      <w:r w:rsidRPr="006C069E">
        <w:t>1) is subject to such reasonable conditions as the trustees of the fund determine.</w:t>
      </w:r>
    </w:p>
    <w:p w:rsidR="00A4135B" w:rsidRPr="006C069E" w:rsidRDefault="00A4135B" w:rsidP="00A4135B">
      <w:pPr>
        <w:pStyle w:val="SubsectionHead"/>
      </w:pPr>
      <w:r w:rsidRPr="006C069E">
        <w:t>Members other than MySuper members</w:t>
      </w:r>
    </w:p>
    <w:p w:rsidR="009B62B2" w:rsidRPr="006C069E" w:rsidRDefault="009B62B2" w:rsidP="009B62B2">
      <w:pPr>
        <w:pStyle w:val="subsection"/>
      </w:pPr>
      <w:r w:rsidRPr="006C069E">
        <w:tab/>
        <w:t>(</w:t>
      </w:r>
      <w:r w:rsidR="00C45936" w:rsidRPr="006C069E">
        <w:t>4</w:t>
      </w:r>
      <w:r w:rsidRPr="006C069E">
        <w:t>)</w:t>
      </w:r>
      <w:r w:rsidRPr="006C069E">
        <w:tab/>
        <w:t>For</w:t>
      </w:r>
      <w:r w:rsidR="00717B09" w:rsidRPr="006C069E">
        <w:t xml:space="preserve"> the purposes of</w:t>
      </w:r>
      <w:r w:rsidRPr="006C069E">
        <w:t xml:space="preserve"> paragraph</w:t>
      </w:r>
      <w:r w:rsidR="006C069E" w:rsidRPr="006C069E">
        <w:t> </w:t>
      </w:r>
      <w:r w:rsidRPr="006C069E">
        <w:t>32C(2)(e) of the Act, for a defined benefit member, or a member other than a MySuper member, the requirement is that insurance be offered by the fund in the event of the death of the member:</w:t>
      </w:r>
    </w:p>
    <w:p w:rsidR="009B62B2" w:rsidRPr="006C069E" w:rsidRDefault="009B62B2" w:rsidP="009B62B2">
      <w:pPr>
        <w:pStyle w:val="paragraph"/>
      </w:pPr>
      <w:r w:rsidRPr="006C069E">
        <w:tab/>
        <w:t>(a)</w:t>
      </w:r>
      <w:r w:rsidRPr="006C069E">
        <w:tab/>
        <w:t>for a person of an age in an age range mentioned</w:t>
      </w:r>
      <w:r w:rsidR="00D078FB" w:rsidRPr="006C069E">
        <w:t xml:space="preserve"> in </w:t>
      </w:r>
      <w:r w:rsidR="006C069E" w:rsidRPr="006C069E">
        <w:t>subsection (</w:t>
      </w:r>
      <w:r w:rsidR="00C45936" w:rsidRPr="006C069E">
        <w:t>5</w:t>
      </w:r>
      <w:r w:rsidR="00D078FB" w:rsidRPr="006C069E">
        <w:t>)</w:t>
      </w:r>
      <w:r w:rsidRPr="006C069E">
        <w:t>—at the level mentioned or higher; or</w:t>
      </w:r>
    </w:p>
    <w:p w:rsidR="009B62B2" w:rsidRPr="006C069E" w:rsidRDefault="009B62B2" w:rsidP="009B62B2">
      <w:pPr>
        <w:pStyle w:val="paragraph"/>
      </w:pPr>
      <w:r w:rsidRPr="006C069E">
        <w:tab/>
        <w:t>(b)</w:t>
      </w:r>
      <w:r w:rsidRPr="006C069E">
        <w:tab/>
        <w:t xml:space="preserve">for a person who </w:t>
      </w:r>
      <w:r w:rsidR="00B323D9" w:rsidRPr="006C069E">
        <w:t xml:space="preserve">is under </w:t>
      </w:r>
      <w:r w:rsidRPr="006C069E">
        <w:t>56 years—at a premium of at least $0.50 per week, or the equivalent; or</w:t>
      </w:r>
    </w:p>
    <w:p w:rsidR="009B62B2" w:rsidRPr="006C069E" w:rsidRDefault="009B62B2" w:rsidP="009B62B2">
      <w:pPr>
        <w:pStyle w:val="paragraph"/>
      </w:pPr>
      <w:r w:rsidRPr="006C069E">
        <w:tab/>
        <w:t>(c)</w:t>
      </w:r>
      <w:r w:rsidRPr="006C069E">
        <w:tab/>
        <w:t xml:space="preserve">if the contribution is made to a defined benefit superannuation scheme on behalf of a defined benefit member—that provides a death benefit with a future service component that is at least equivalent to the level of insurance in relation to death mentioned in </w:t>
      </w:r>
      <w:r w:rsidR="006C069E" w:rsidRPr="006C069E">
        <w:t>paragraph (</w:t>
      </w:r>
      <w:r w:rsidRPr="006C069E">
        <w:t>a).</w:t>
      </w:r>
    </w:p>
    <w:p w:rsidR="00A4135B" w:rsidRPr="006C069E" w:rsidRDefault="00A4135B" w:rsidP="00A4135B">
      <w:pPr>
        <w:pStyle w:val="SubsectionHead"/>
      </w:pPr>
      <w:r w:rsidRPr="006C069E">
        <w:t>Level of insurance</w:t>
      </w:r>
    </w:p>
    <w:p w:rsidR="00D078FB" w:rsidRPr="006C069E" w:rsidRDefault="00D078FB" w:rsidP="00D078FB">
      <w:pPr>
        <w:pStyle w:val="subsection"/>
      </w:pPr>
      <w:r w:rsidRPr="006C069E">
        <w:tab/>
        <w:t>(</w:t>
      </w:r>
      <w:r w:rsidR="00C45936" w:rsidRPr="006C069E">
        <w:t>5</w:t>
      </w:r>
      <w:r w:rsidRPr="006C069E">
        <w:t>)</w:t>
      </w:r>
      <w:r w:rsidRPr="006C069E">
        <w:tab/>
      </w:r>
      <w:r w:rsidR="00B2793F" w:rsidRPr="006C069E">
        <w:t>F</w:t>
      </w:r>
      <w:r w:rsidRPr="006C069E">
        <w:t xml:space="preserve">or the purposes of </w:t>
      </w:r>
      <w:r w:rsidR="006C069E" w:rsidRPr="006C069E">
        <w:t>paragraph (</w:t>
      </w:r>
      <w:r w:rsidRPr="006C069E">
        <w:t>1)(a), (</w:t>
      </w:r>
      <w:r w:rsidR="00C45936" w:rsidRPr="006C069E">
        <w:t>2</w:t>
      </w:r>
      <w:r w:rsidRPr="006C069E">
        <w:t xml:space="preserve">)(a) </w:t>
      </w:r>
      <w:r w:rsidR="0000774A" w:rsidRPr="006C069E">
        <w:t>or</w:t>
      </w:r>
      <w:r w:rsidR="00C45936" w:rsidRPr="006C069E">
        <w:t xml:space="preserve"> (4</w:t>
      </w:r>
      <w:r w:rsidRPr="006C069E">
        <w:t>)(a)</w:t>
      </w:r>
      <w:r w:rsidR="00B2793F" w:rsidRPr="006C069E">
        <w:t>, the level of insurance in respect of death is as follows:</w:t>
      </w:r>
    </w:p>
    <w:p w:rsidR="00B2793F" w:rsidRPr="006C069E" w:rsidRDefault="00B2793F" w:rsidP="00B2793F">
      <w:pPr>
        <w:pStyle w:val="paragraph"/>
      </w:pPr>
      <w:r w:rsidRPr="006C069E">
        <w:tab/>
        <w:t>(a)</w:t>
      </w:r>
      <w:r w:rsidRPr="006C069E">
        <w:tab/>
        <w:t>if the person is aged from 20 to 34 years—$50,000;</w:t>
      </w:r>
    </w:p>
    <w:p w:rsidR="00B2793F" w:rsidRPr="006C069E" w:rsidRDefault="00B2793F" w:rsidP="00B2793F">
      <w:pPr>
        <w:pStyle w:val="paragraph"/>
      </w:pPr>
      <w:r w:rsidRPr="006C069E">
        <w:tab/>
        <w:t>(b)</w:t>
      </w:r>
      <w:r w:rsidRPr="006C069E">
        <w:tab/>
        <w:t>if the person is aged from 35 to 39 years—$35,000;</w:t>
      </w:r>
    </w:p>
    <w:p w:rsidR="00B2793F" w:rsidRPr="006C069E" w:rsidRDefault="00B2793F" w:rsidP="00B2793F">
      <w:pPr>
        <w:pStyle w:val="paragraph"/>
      </w:pPr>
      <w:r w:rsidRPr="006C069E">
        <w:tab/>
        <w:t>(c)</w:t>
      </w:r>
      <w:r w:rsidRPr="006C069E">
        <w:tab/>
        <w:t xml:space="preserve">if the person is aged from 40 to </w:t>
      </w:r>
      <w:r w:rsidR="00CA1E38" w:rsidRPr="006C069E">
        <w:t>44 years—$20,000;</w:t>
      </w:r>
    </w:p>
    <w:p w:rsidR="00CA1E38" w:rsidRPr="006C069E" w:rsidRDefault="00CA1E38" w:rsidP="00B2793F">
      <w:pPr>
        <w:pStyle w:val="paragraph"/>
      </w:pPr>
      <w:r w:rsidRPr="006C069E">
        <w:tab/>
        <w:t>(d)</w:t>
      </w:r>
      <w:r w:rsidRPr="006C069E">
        <w:tab/>
        <w:t>if the person is aged from 45 to 49 years—$14,000;</w:t>
      </w:r>
    </w:p>
    <w:p w:rsidR="00CA1E38" w:rsidRPr="006C069E" w:rsidRDefault="00CA1E38" w:rsidP="00B2793F">
      <w:pPr>
        <w:pStyle w:val="paragraph"/>
      </w:pPr>
      <w:r w:rsidRPr="006C069E">
        <w:tab/>
        <w:t>(e)</w:t>
      </w:r>
      <w:r w:rsidRPr="006C069E">
        <w:tab/>
        <w:t>if the person is aged from 50 to 55 years—$7,000.</w:t>
      </w:r>
    </w:p>
    <w:p w:rsidR="00A4135B" w:rsidRPr="006C069E" w:rsidRDefault="00A4135B" w:rsidP="00A4135B">
      <w:pPr>
        <w:pStyle w:val="SubsectionHead"/>
      </w:pPr>
      <w:r w:rsidRPr="006C069E">
        <w:t>Exceptions</w:t>
      </w:r>
    </w:p>
    <w:p w:rsidR="009B62B2" w:rsidRPr="006C069E" w:rsidRDefault="009B62B2" w:rsidP="007F2D66">
      <w:pPr>
        <w:pStyle w:val="subsection"/>
      </w:pPr>
      <w:r w:rsidRPr="006C069E">
        <w:tab/>
        <w:t>(</w:t>
      </w:r>
      <w:r w:rsidR="00C45936" w:rsidRPr="006C069E">
        <w:t>6</w:t>
      </w:r>
      <w:r w:rsidRPr="006C069E">
        <w:t>)</w:t>
      </w:r>
      <w:r w:rsidRPr="006C069E">
        <w:tab/>
        <w:t xml:space="preserve">The requirement in </w:t>
      </w:r>
      <w:r w:rsidR="006C069E" w:rsidRPr="006C069E">
        <w:t>subsection (</w:t>
      </w:r>
      <w:r w:rsidRPr="006C069E">
        <w:t>1), (</w:t>
      </w:r>
      <w:r w:rsidR="00C45936" w:rsidRPr="006C069E">
        <w:t>2</w:t>
      </w:r>
      <w:r w:rsidRPr="006C069E">
        <w:t>) or (</w:t>
      </w:r>
      <w:r w:rsidR="00C45936" w:rsidRPr="006C069E">
        <w:t>4</w:t>
      </w:r>
      <w:r w:rsidRPr="006C069E">
        <w:t>) does not apply to an employer:</w:t>
      </w:r>
    </w:p>
    <w:p w:rsidR="009B62B2" w:rsidRPr="006C069E" w:rsidRDefault="007F2D66" w:rsidP="009B62B2">
      <w:pPr>
        <w:pStyle w:val="paragraph"/>
      </w:pPr>
      <w:r w:rsidRPr="006C069E">
        <w:tab/>
        <w:t>(a</w:t>
      </w:r>
      <w:r w:rsidR="009B62B2" w:rsidRPr="006C069E">
        <w:t>)</w:t>
      </w:r>
      <w:r w:rsidR="009B62B2" w:rsidRPr="006C069E">
        <w:tab/>
        <w:t>if, on or after 1</w:t>
      </w:r>
      <w:r w:rsidR="006C069E" w:rsidRPr="006C069E">
        <w:t> </w:t>
      </w:r>
      <w:r w:rsidR="009B62B2" w:rsidRPr="006C069E">
        <w:t>July 2005, the employer is making contributions under a Federal award in respect of an employee to a fund that does not meet the requirement—to the extent that the employer continues to contribute to a fund under that award in respect of the employee; or</w:t>
      </w:r>
    </w:p>
    <w:p w:rsidR="009B62B2" w:rsidRPr="006C069E" w:rsidRDefault="007F2D66" w:rsidP="009B62B2">
      <w:pPr>
        <w:pStyle w:val="paragraph"/>
      </w:pPr>
      <w:r w:rsidRPr="006C069E">
        <w:tab/>
        <w:t>(b</w:t>
      </w:r>
      <w:r w:rsidR="009B62B2" w:rsidRPr="006C069E">
        <w:t>)</w:t>
      </w:r>
      <w:r w:rsidR="009B62B2" w:rsidRPr="006C069E">
        <w:tab/>
        <w:t>if the employer makes contributions to an RSA on behalf of an employee—</w:t>
      </w:r>
      <w:r w:rsidR="002A5A43" w:rsidRPr="006C069E">
        <w:t>to the extent that</w:t>
      </w:r>
      <w:r w:rsidR="009B62B2" w:rsidRPr="006C069E">
        <w:t xml:space="preserve"> the requirement relates to the employee; or</w:t>
      </w:r>
    </w:p>
    <w:p w:rsidR="009B62B2" w:rsidRPr="006C069E" w:rsidRDefault="007F2D66" w:rsidP="009B62B2">
      <w:pPr>
        <w:pStyle w:val="paragraph"/>
      </w:pPr>
      <w:r w:rsidRPr="006C069E">
        <w:tab/>
        <w:t>(c</w:t>
      </w:r>
      <w:r w:rsidR="009B62B2" w:rsidRPr="006C069E">
        <w:t>)</w:t>
      </w:r>
      <w:r w:rsidR="009B62B2" w:rsidRPr="006C069E">
        <w:tab/>
        <w:t>if the employer makes contributions to a capital guaranteed fund on behalf of an employee—</w:t>
      </w:r>
      <w:r w:rsidR="002A5A43" w:rsidRPr="006C069E">
        <w:t>to the extent that</w:t>
      </w:r>
      <w:r w:rsidR="009B62B2" w:rsidRPr="006C069E">
        <w:t xml:space="preserve"> the requirement relates to the employee; or</w:t>
      </w:r>
    </w:p>
    <w:p w:rsidR="009B62B2" w:rsidRPr="006C069E" w:rsidRDefault="007F2D66" w:rsidP="009B62B2">
      <w:pPr>
        <w:pStyle w:val="paragraph"/>
      </w:pPr>
      <w:r w:rsidRPr="006C069E">
        <w:tab/>
        <w:t>(d</w:t>
      </w:r>
      <w:r w:rsidR="009B62B2" w:rsidRPr="006C069E">
        <w:t>)</w:t>
      </w:r>
      <w:r w:rsidR="009B62B2" w:rsidRPr="006C069E">
        <w:tab/>
      </w:r>
      <w:r w:rsidR="002A5A43" w:rsidRPr="006C069E">
        <w:t xml:space="preserve">to the extent that </w:t>
      </w:r>
      <w:r w:rsidR="009B62B2" w:rsidRPr="006C069E">
        <w:t>the requirement relates to an employee in respect of whom an arrangement by the employer results in the provision of insurance cover that includes death cover:</w:t>
      </w:r>
    </w:p>
    <w:p w:rsidR="009B62B2" w:rsidRPr="006C069E" w:rsidRDefault="009B62B2" w:rsidP="009B62B2">
      <w:pPr>
        <w:pStyle w:val="paragraphsub"/>
      </w:pPr>
      <w:r w:rsidRPr="006C069E">
        <w:tab/>
        <w:t>(i)</w:t>
      </w:r>
      <w:r w:rsidRPr="006C069E">
        <w:tab/>
        <w:t>other than with</w:t>
      </w:r>
      <w:r w:rsidRPr="006C069E">
        <w:rPr>
          <w:rFonts w:eastAsia="MS Mincho"/>
        </w:rPr>
        <w:t xml:space="preserve"> the fund that the employer will contribute to if </w:t>
      </w:r>
      <w:r w:rsidRPr="006C069E">
        <w:rPr>
          <w:rFonts w:eastAsia="MS Mincho"/>
          <w:szCs w:val="22"/>
        </w:rPr>
        <w:t xml:space="preserve">the employee does not make a choice; </w:t>
      </w:r>
      <w:r w:rsidRPr="006C069E">
        <w:t>and</w:t>
      </w:r>
    </w:p>
    <w:p w:rsidR="009B62B2" w:rsidRPr="006C069E" w:rsidRDefault="009B62B2" w:rsidP="009B62B2">
      <w:pPr>
        <w:pStyle w:val="paragraphsub"/>
      </w:pPr>
      <w:r w:rsidRPr="006C069E">
        <w:tab/>
        <w:t>(ii)</w:t>
      </w:r>
      <w:r w:rsidRPr="006C069E">
        <w:tab/>
        <w:t xml:space="preserve">at a level that is at least equivalent to the level mentioned in </w:t>
      </w:r>
      <w:r w:rsidR="006C069E" w:rsidRPr="006C069E">
        <w:t>subsection (</w:t>
      </w:r>
      <w:r w:rsidRPr="006C069E">
        <w:t>1), (</w:t>
      </w:r>
      <w:r w:rsidR="00C45936" w:rsidRPr="006C069E">
        <w:t>2</w:t>
      </w:r>
      <w:r w:rsidRPr="006C069E">
        <w:t>) or (</w:t>
      </w:r>
      <w:r w:rsidR="00C45936" w:rsidRPr="006C069E">
        <w:t>4</w:t>
      </w:r>
      <w:r w:rsidRPr="006C069E">
        <w:t>); and</w:t>
      </w:r>
    </w:p>
    <w:p w:rsidR="009B62B2" w:rsidRPr="006C069E" w:rsidRDefault="009B62B2" w:rsidP="009B62B2">
      <w:pPr>
        <w:pStyle w:val="paragraphsub"/>
      </w:pPr>
      <w:r w:rsidRPr="006C069E">
        <w:tab/>
        <w:t>(iii)</w:t>
      </w:r>
      <w:r w:rsidRPr="006C069E">
        <w:tab/>
        <w:t>that does not provide for a potential benefit to the employer following the death of the employee; or</w:t>
      </w:r>
    </w:p>
    <w:p w:rsidR="009B62B2" w:rsidRPr="006C069E" w:rsidRDefault="007F2D66" w:rsidP="009B62B2">
      <w:pPr>
        <w:pStyle w:val="paragraph"/>
      </w:pPr>
      <w:r w:rsidRPr="006C069E">
        <w:tab/>
        <w:t>(e</w:t>
      </w:r>
      <w:r w:rsidR="009B62B2" w:rsidRPr="006C069E">
        <w:t>)</w:t>
      </w:r>
      <w:r w:rsidR="009B62B2" w:rsidRPr="006C069E">
        <w:tab/>
        <w:t xml:space="preserve">if, due to a particular employee’s health, occupation, hours worked or other circumstances determined by an insurer, the insurance requirement mentioned in </w:t>
      </w:r>
      <w:r w:rsidR="006C069E" w:rsidRPr="006C069E">
        <w:t>subsection (</w:t>
      </w:r>
      <w:r w:rsidR="009B62B2" w:rsidRPr="006C069E">
        <w:t>1), (</w:t>
      </w:r>
      <w:r w:rsidR="00C45936" w:rsidRPr="006C069E">
        <w:t>2</w:t>
      </w:r>
      <w:r w:rsidR="009B62B2" w:rsidRPr="006C069E">
        <w:t>) or (</w:t>
      </w:r>
      <w:r w:rsidR="00C45936" w:rsidRPr="006C069E">
        <w:t>4</w:t>
      </w:r>
      <w:r w:rsidR="009B62B2" w:rsidRPr="006C069E">
        <w:t>) is not available in respect of the employee from the fund normally used by the employer; or</w:t>
      </w:r>
    </w:p>
    <w:p w:rsidR="009B62B2" w:rsidRPr="006C069E" w:rsidRDefault="007F2D66" w:rsidP="009B62B2">
      <w:pPr>
        <w:pStyle w:val="paragraph"/>
      </w:pPr>
      <w:r w:rsidRPr="006C069E">
        <w:tab/>
        <w:t>(f</w:t>
      </w:r>
      <w:r w:rsidR="009B62B2" w:rsidRPr="006C069E">
        <w:t>)</w:t>
      </w:r>
      <w:r w:rsidR="009B62B2" w:rsidRPr="006C069E">
        <w:tab/>
        <w:t>if, in respect of an employee, the employer makes contributions:</w:t>
      </w:r>
    </w:p>
    <w:p w:rsidR="009B62B2" w:rsidRPr="006C069E" w:rsidRDefault="009B62B2" w:rsidP="009B62B2">
      <w:pPr>
        <w:pStyle w:val="paragraphsub"/>
      </w:pPr>
      <w:r w:rsidRPr="006C069E">
        <w:tab/>
        <w:t>(i)</w:t>
      </w:r>
      <w:r w:rsidRPr="006C069E">
        <w:tab/>
        <w:t>to a fund or successor fund governed by rules that, on 11</w:t>
      </w:r>
      <w:r w:rsidR="006C069E" w:rsidRPr="006C069E">
        <w:t> </w:t>
      </w:r>
      <w:r w:rsidRPr="006C069E">
        <w:t>March 2005, determined that an amount of not less than $50</w:t>
      </w:r>
      <w:r w:rsidR="00A6297B" w:rsidRPr="006C069E">
        <w:t>,</w:t>
      </w:r>
      <w:r w:rsidRPr="006C069E">
        <w:t>000 will be payable in respect of the death of an employee; and</w:t>
      </w:r>
    </w:p>
    <w:p w:rsidR="009B62B2" w:rsidRPr="006C069E" w:rsidRDefault="009B62B2" w:rsidP="009B62B2">
      <w:pPr>
        <w:pStyle w:val="paragraphsub"/>
      </w:pPr>
      <w:r w:rsidRPr="006C069E">
        <w:tab/>
        <w:t>(ii)</w:t>
      </w:r>
      <w:r w:rsidRPr="006C069E">
        <w:tab/>
        <w:t>that were continuing on, or commenced after, 11</w:t>
      </w:r>
      <w:r w:rsidR="006C069E" w:rsidRPr="006C069E">
        <w:t> </w:t>
      </w:r>
      <w:r w:rsidRPr="006C069E">
        <w:t>March 2005.</w:t>
      </w:r>
    </w:p>
    <w:p w:rsidR="009B62B2" w:rsidRPr="006C069E" w:rsidRDefault="00252EE5" w:rsidP="009B62B2">
      <w:pPr>
        <w:pStyle w:val="ActHead5"/>
      </w:pPr>
      <w:bookmarkStart w:id="20" w:name="_Toc523810813"/>
      <w:r w:rsidRPr="006C069E">
        <w:rPr>
          <w:rStyle w:val="CharSectno"/>
        </w:rPr>
        <w:t>15</w:t>
      </w:r>
      <w:r w:rsidR="009B62B2" w:rsidRPr="006C069E">
        <w:t xml:space="preserve">  Contributions under prescribed legislation</w:t>
      </w:r>
      <w:bookmarkEnd w:id="20"/>
    </w:p>
    <w:p w:rsidR="00043EFA" w:rsidRPr="006C069E" w:rsidRDefault="009B62B2" w:rsidP="003F74AA">
      <w:pPr>
        <w:pStyle w:val="subsection"/>
      </w:pPr>
      <w:r w:rsidRPr="006C069E">
        <w:tab/>
      </w:r>
      <w:r w:rsidRPr="006C069E">
        <w:tab/>
      </w:r>
      <w:r w:rsidR="003F74AA" w:rsidRPr="006C069E">
        <w:t>For the purposes of subsection</w:t>
      </w:r>
      <w:r w:rsidR="006C069E" w:rsidRPr="006C069E">
        <w:t> </w:t>
      </w:r>
      <w:r w:rsidR="003F74AA" w:rsidRPr="006C069E">
        <w:t>32C(9) of the Act, a contribution to a fund by an employer for the benefit of an employee is made in compliance with the choice of fund requirements if</w:t>
      </w:r>
      <w:r w:rsidR="00043EFA" w:rsidRPr="006C069E">
        <w:t>:</w:t>
      </w:r>
    </w:p>
    <w:p w:rsidR="00043EFA" w:rsidRPr="006C069E" w:rsidRDefault="00043EFA" w:rsidP="00043EFA">
      <w:pPr>
        <w:pStyle w:val="paragraph"/>
      </w:pPr>
      <w:r w:rsidRPr="006C069E">
        <w:tab/>
        <w:t>(a)</w:t>
      </w:r>
      <w:r w:rsidRPr="006C069E">
        <w:tab/>
      </w:r>
      <w:r w:rsidR="003F74AA" w:rsidRPr="006C069E">
        <w:t xml:space="preserve">the contribution is made </w:t>
      </w:r>
      <w:r w:rsidRPr="006C069E">
        <w:t>on or after 1</w:t>
      </w:r>
      <w:r w:rsidR="006C069E" w:rsidRPr="006C069E">
        <w:t> </w:t>
      </w:r>
      <w:r w:rsidRPr="006C069E">
        <w:t xml:space="preserve">July 2005 under </w:t>
      </w:r>
      <w:r w:rsidR="00357E87" w:rsidRPr="006C069E">
        <w:t>any</w:t>
      </w:r>
      <w:r w:rsidRPr="006C069E">
        <w:t xml:space="preserve"> of the following laws:</w:t>
      </w:r>
    </w:p>
    <w:p w:rsidR="00043EFA" w:rsidRPr="006C069E" w:rsidRDefault="00043EFA" w:rsidP="00043EFA">
      <w:pPr>
        <w:pStyle w:val="paragraphsub"/>
      </w:pPr>
      <w:r w:rsidRPr="006C069E">
        <w:tab/>
        <w:t>(i)</w:t>
      </w:r>
      <w:r w:rsidRPr="006C069E">
        <w:tab/>
        <w:t xml:space="preserve">the </w:t>
      </w:r>
      <w:r w:rsidRPr="006C069E">
        <w:rPr>
          <w:i/>
        </w:rPr>
        <w:t>Parliamentary Superannuation Act 2004</w:t>
      </w:r>
      <w:r w:rsidRPr="006C069E">
        <w:t>;</w:t>
      </w:r>
    </w:p>
    <w:p w:rsidR="003F74AA" w:rsidRPr="006C069E" w:rsidRDefault="00043EFA" w:rsidP="00043EFA">
      <w:pPr>
        <w:pStyle w:val="paragraphsub"/>
      </w:pPr>
      <w:r w:rsidRPr="006C069E">
        <w:tab/>
        <w:t>(ii)</w:t>
      </w:r>
      <w:r w:rsidRPr="006C069E">
        <w:tab/>
        <w:t xml:space="preserve">the </w:t>
      </w:r>
      <w:r w:rsidR="003F74AA" w:rsidRPr="006C069E">
        <w:rPr>
          <w:i/>
        </w:rPr>
        <w:t>First State Superannuation Act 1992</w:t>
      </w:r>
      <w:r w:rsidR="003F74AA" w:rsidRPr="006C069E">
        <w:t xml:space="preserve"> (NSW</w:t>
      </w:r>
      <w:r w:rsidRPr="006C069E">
        <w:t>)</w:t>
      </w:r>
      <w:r w:rsidR="003F74AA" w:rsidRPr="006C069E">
        <w:t>;</w:t>
      </w:r>
    </w:p>
    <w:p w:rsidR="003F74AA" w:rsidRPr="006C069E" w:rsidRDefault="003F74AA" w:rsidP="00043EFA">
      <w:pPr>
        <w:pStyle w:val="paragraphsub"/>
      </w:pPr>
      <w:r w:rsidRPr="006C069E">
        <w:tab/>
        <w:t>(</w:t>
      </w:r>
      <w:r w:rsidR="00043EFA" w:rsidRPr="006C069E">
        <w:t>iii</w:t>
      </w:r>
      <w:r w:rsidRPr="006C069E">
        <w:t>)</w:t>
      </w:r>
      <w:r w:rsidRPr="006C069E">
        <w:tab/>
        <w:t xml:space="preserve">the </w:t>
      </w:r>
      <w:r w:rsidRPr="006C069E">
        <w:rPr>
          <w:i/>
        </w:rPr>
        <w:t>Emergency Services Superannuation Act 1986</w:t>
      </w:r>
      <w:r w:rsidRPr="006C069E">
        <w:t xml:space="preserve"> (Vic.)</w:t>
      </w:r>
      <w:r w:rsidR="00043EFA" w:rsidRPr="006C069E">
        <w:t>;</w:t>
      </w:r>
    </w:p>
    <w:p w:rsidR="003F74AA" w:rsidRPr="006C069E" w:rsidRDefault="003F74AA" w:rsidP="00043EFA">
      <w:pPr>
        <w:pStyle w:val="paragraphsub"/>
      </w:pPr>
      <w:r w:rsidRPr="006C069E">
        <w:tab/>
      </w:r>
      <w:r w:rsidR="00043EFA" w:rsidRPr="006C069E">
        <w:t>(iv</w:t>
      </w:r>
      <w:r w:rsidRPr="006C069E">
        <w:t>)</w:t>
      </w:r>
      <w:r w:rsidRPr="006C069E">
        <w:tab/>
      </w:r>
      <w:r w:rsidR="00043EFA" w:rsidRPr="006C069E">
        <w:t xml:space="preserve">the </w:t>
      </w:r>
      <w:r w:rsidR="00043EFA" w:rsidRPr="006C069E">
        <w:rPr>
          <w:i/>
        </w:rPr>
        <w:t>Parliamentary Salaries and Superannuation Act 1968</w:t>
      </w:r>
      <w:r w:rsidR="00043EFA" w:rsidRPr="006C069E">
        <w:t xml:space="preserve"> (Vic.);</w:t>
      </w:r>
    </w:p>
    <w:p w:rsidR="003F74AA" w:rsidRPr="006C069E" w:rsidRDefault="003F74AA" w:rsidP="00043EFA">
      <w:pPr>
        <w:pStyle w:val="paragraphsub"/>
      </w:pPr>
      <w:r w:rsidRPr="006C069E">
        <w:tab/>
      </w:r>
      <w:r w:rsidR="00043EFA" w:rsidRPr="006C069E">
        <w:t>(v</w:t>
      </w:r>
      <w:r w:rsidRPr="006C069E">
        <w:t>)</w:t>
      </w:r>
      <w:r w:rsidRPr="006C069E">
        <w:tab/>
        <w:t xml:space="preserve">the </w:t>
      </w:r>
      <w:r w:rsidR="00043EFA" w:rsidRPr="006C069E">
        <w:rPr>
          <w:i/>
        </w:rPr>
        <w:t>State Employees Retirement Benefits Act 1979</w:t>
      </w:r>
      <w:r w:rsidR="00043EFA" w:rsidRPr="006C069E">
        <w:t xml:space="preserve"> (Vic.);</w:t>
      </w:r>
    </w:p>
    <w:p w:rsidR="003F74AA" w:rsidRPr="006C069E" w:rsidRDefault="003F74AA" w:rsidP="00043EFA">
      <w:pPr>
        <w:pStyle w:val="paragraphsub"/>
      </w:pPr>
      <w:r w:rsidRPr="006C069E">
        <w:tab/>
      </w:r>
      <w:r w:rsidR="00043EFA" w:rsidRPr="006C069E">
        <w:t>(vi</w:t>
      </w:r>
      <w:r w:rsidRPr="006C069E">
        <w:t>)</w:t>
      </w:r>
      <w:r w:rsidRPr="006C069E">
        <w:tab/>
        <w:t xml:space="preserve">the </w:t>
      </w:r>
      <w:r w:rsidR="00043EFA" w:rsidRPr="006C069E">
        <w:rPr>
          <w:i/>
        </w:rPr>
        <w:t>State Superannuation Act 1988</w:t>
      </w:r>
      <w:r w:rsidR="00043EFA" w:rsidRPr="006C069E">
        <w:t xml:space="preserve"> (Vic.);</w:t>
      </w:r>
    </w:p>
    <w:p w:rsidR="003F74AA" w:rsidRPr="006C069E" w:rsidRDefault="003F74AA" w:rsidP="00043EFA">
      <w:pPr>
        <w:pStyle w:val="paragraphsub"/>
      </w:pPr>
      <w:r w:rsidRPr="006C069E">
        <w:tab/>
      </w:r>
      <w:r w:rsidR="00043EFA" w:rsidRPr="006C069E">
        <w:t>(vii</w:t>
      </w:r>
      <w:r w:rsidRPr="006C069E">
        <w:t>)</w:t>
      </w:r>
      <w:r w:rsidRPr="006C069E">
        <w:tab/>
        <w:t xml:space="preserve">the </w:t>
      </w:r>
      <w:r w:rsidR="00043EFA" w:rsidRPr="006C069E">
        <w:rPr>
          <w:i/>
        </w:rPr>
        <w:t>Transport Superannuation Act 1988</w:t>
      </w:r>
      <w:r w:rsidR="00043EFA" w:rsidRPr="006C069E">
        <w:t xml:space="preserve"> (Vic.);</w:t>
      </w:r>
    </w:p>
    <w:p w:rsidR="003F74AA" w:rsidRPr="006C069E" w:rsidRDefault="003F74AA" w:rsidP="00043EFA">
      <w:pPr>
        <w:pStyle w:val="paragraphsub"/>
      </w:pPr>
      <w:r w:rsidRPr="006C069E">
        <w:tab/>
      </w:r>
      <w:r w:rsidR="00043EFA" w:rsidRPr="006C069E">
        <w:t>(viii</w:t>
      </w:r>
      <w:r w:rsidRPr="006C069E">
        <w:t>)</w:t>
      </w:r>
      <w:r w:rsidRPr="006C069E">
        <w:tab/>
        <w:t xml:space="preserve">the </w:t>
      </w:r>
      <w:r w:rsidR="00043EFA" w:rsidRPr="006C069E">
        <w:rPr>
          <w:i/>
        </w:rPr>
        <w:t>Coal Industry Superannuation Act 1989</w:t>
      </w:r>
      <w:r w:rsidR="00043EFA" w:rsidRPr="006C069E">
        <w:t xml:space="preserve"> (WA);</w:t>
      </w:r>
    </w:p>
    <w:p w:rsidR="003F74AA" w:rsidRPr="006C069E" w:rsidRDefault="003F74AA" w:rsidP="00043EFA">
      <w:pPr>
        <w:pStyle w:val="paragraphsub"/>
      </w:pPr>
      <w:r w:rsidRPr="006C069E">
        <w:tab/>
      </w:r>
      <w:r w:rsidR="00043EFA" w:rsidRPr="006C069E">
        <w:t>(ix</w:t>
      </w:r>
      <w:r w:rsidRPr="006C069E">
        <w:t>)</w:t>
      </w:r>
      <w:r w:rsidRPr="006C069E">
        <w:tab/>
        <w:t xml:space="preserve">the </w:t>
      </w:r>
      <w:r w:rsidR="00043EFA" w:rsidRPr="006C069E">
        <w:rPr>
          <w:i/>
        </w:rPr>
        <w:t>Fire and Emergency Services Superannuation Act 1985</w:t>
      </w:r>
      <w:r w:rsidR="00043EFA" w:rsidRPr="006C069E">
        <w:t xml:space="preserve"> (WA);</w:t>
      </w:r>
    </w:p>
    <w:p w:rsidR="003F74AA" w:rsidRPr="006C069E" w:rsidRDefault="003F74AA" w:rsidP="00043EFA">
      <w:pPr>
        <w:pStyle w:val="paragraphsub"/>
      </w:pPr>
      <w:r w:rsidRPr="006C069E">
        <w:tab/>
      </w:r>
      <w:r w:rsidR="00043EFA" w:rsidRPr="006C069E">
        <w:t>(x</w:t>
      </w:r>
      <w:r w:rsidRPr="006C069E">
        <w:t>)</w:t>
      </w:r>
      <w:r w:rsidRPr="006C069E">
        <w:tab/>
        <w:t xml:space="preserve">the </w:t>
      </w:r>
      <w:r w:rsidR="00043EFA" w:rsidRPr="006C069E">
        <w:rPr>
          <w:i/>
        </w:rPr>
        <w:t>State Superannuation Act 2000</w:t>
      </w:r>
      <w:r w:rsidR="00043EFA" w:rsidRPr="006C069E">
        <w:t xml:space="preserve"> (WA);</w:t>
      </w:r>
    </w:p>
    <w:p w:rsidR="00043EFA" w:rsidRPr="006C069E" w:rsidRDefault="00043EFA" w:rsidP="00043EFA">
      <w:pPr>
        <w:pStyle w:val="paragraphsub"/>
      </w:pPr>
      <w:r w:rsidRPr="006C069E">
        <w:tab/>
        <w:t>(xi)</w:t>
      </w:r>
      <w:r w:rsidRPr="006C069E">
        <w:tab/>
      </w:r>
      <w:r w:rsidR="00FD5EF3" w:rsidRPr="006C069E">
        <w:t xml:space="preserve">the </w:t>
      </w:r>
      <w:r w:rsidRPr="006C069E">
        <w:rPr>
          <w:i/>
        </w:rPr>
        <w:t>Electricity Corporations Act 1994</w:t>
      </w:r>
      <w:r w:rsidRPr="006C069E">
        <w:t xml:space="preserve"> (SA);</w:t>
      </w:r>
    </w:p>
    <w:p w:rsidR="00043EFA" w:rsidRPr="006C069E" w:rsidRDefault="00043EFA" w:rsidP="00043EFA">
      <w:pPr>
        <w:pStyle w:val="paragraphsub"/>
      </w:pPr>
      <w:r w:rsidRPr="006C069E">
        <w:tab/>
        <w:t>(xii)</w:t>
      </w:r>
      <w:r w:rsidRPr="006C069E">
        <w:tab/>
      </w:r>
      <w:r w:rsidR="00FD5EF3" w:rsidRPr="006C069E">
        <w:t xml:space="preserve">the </w:t>
      </w:r>
      <w:r w:rsidRPr="006C069E">
        <w:rPr>
          <w:i/>
        </w:rPr>
        <w:t>Local Government Act 1999</w:t>
      </w:r>
      <w:r w:rsidRPr="006C069E">
        <w:t xml:space="preserve"> (SA); or</w:t>
      </w:r>
    </w:p>
    <w:p w:rsidR="00895F99" w:rsidRPr="006C069E" w:rsidRDefault="003F74AA" w:rsidP="00895F99">
      <w:pPr>
        <w:pStyle w:val="paragraph"/>
      </w:pPr>
      <w:r w:rsidRPr="006C069E">
        <w:tab/>
      </w:r>
      <w:r w:rsidR="00895F99" w:rsidRPr="006C069E">
        <w:t>(b)</w:t>
      </w:r>
      <w:r w:rsidR="00895F99" w:rsidRPr="006C069E">
        <w:tab/>
        <w:t xml:space="preserve">the contribution is made on or after </w:t>
      </w:r>
      <w:r w:rsidR="00A2507F" w:rsidRPr="006C069E">
        <w:t>1</w:t>
      </w:r>
      <w:r w:rsidR="006C069E" w:rsidRPr="006C069E">
        <w:t> </w:t>
      </w:r>
      <w:r w:rsidR="00A2507F" w:rsidRPr="006C069E">
        <w:t xml:space="preserve">August 2009 under the </w:t>
      </w:r>
      <w:r w:rsidR="00A2507F" w:rsidRPr="006C069E">
        <w:rPr>
          <w:i/>
        </w:rPr>
        <w:t>Southern State Superannuation Act 2009</w:t>
      </w:r>
      <w:r w:rsidR="00A2507F" w:rsidRPr="006C069E">
        <w:t xml:space="preserve"> (SA)</w:t>
      </w:r>
      <w:r w:rsidR="00895F99" w:rsidRPr="006C069E">
        <w:t>; or</w:t>
      </w:r>
    </w:p>
    <w:p w:rsidR="00043EFA" w:rsidRPr="006C069E" w:rsidRDefault="00895F99" w:rsidP="00043EFA">
      <w:pPr>
        <w:pStyle w:val="paragraph"/>
      </w:pPr>
      <w:r w:rsidRPr="006C069E">
        <w:tab/>
        <w:t>(c</w:t>
      </w:r>
      <w:r w:rsidR="003F74AA" w:rsidRPr="006C069E">
        <w:t>)</w:t>
      </w:r>
      <w:r w:rsidR="003F74AA" w:rsidRPr="006C069E">
        <w:tab/>
      </w:r>
      <w:r w:rsidR="00043EFA" w:rsidRPr="006C069E">
        <w:t xml:space="preserve">the contribution is made on or after </w:t>
      </w:r>
      <w:r w:rsidR="00A2507F" w:rsidRPr="006C069E">
        <w:t>1</w:t>
      </w:r>
      <w:r w:rsidR="006C069E" w:rsidRPr="006C069E">
        <w:t> </w:t>
      </w:r>
      <w:r w:rsidR="00A2507F" w:rsidRPr="006C069E">
        <w:t xml:space="preserve">July 2010 under the </w:t>
      </w:r>
      <w:r w:rsidR="00A2507F" w:rsidRPr="006C069E">
        <w:rPr>
          <w:i/>
        </w:rPr>
        <w:t>Local Government Act 2009</w:t>
      </w:r>
      <w:r w:rsidR="00A2507F" w:rsidRPr="006C069E">
        <w:t xml:space="preserve"> (Qld)</w:t>
      </w:r>
      <w:r w:rsidR="00043EFA" w:rsidRPr="006C069E">
        <w:t>; or</w:t>
      </w:r>
    </w:p>
    <w:p w:rsidR="00043EFA" w:rsidRPr="006C069E" w:rsidRDefault="00043EFA" w:rsidP="00043EFA">
      <w:pPr>
        <w:pStyle w:val="paragraph"/>
      </w:pPr>
      <w:r w:rsidRPr="006C069E">
        <w:tab/>
        <w:t>(d)</w:t>
      </w:r>
      <w:r w:rsidRPr="006C069E">
        <w:tab/>
        <w:t>the co</w:t>
      </w:r>
      <w:r w:rsidR="004120E2" w:rsidRPr="006C069E">
        <w:t xml:space="preserve">ntribution is made on or after </w:t>
      </w:r>
      <w:r w:rsidR="000D5008" w:rsidRPr="006C069E">
        <w:t>31</w:t>
      </w:r>
      <w:r w:rsidR="006C069E" w:rsidRPr="006C069E">
        <w:t> </w:t>
      </w:r>
      <w:r w:rsidR="000D5008" w:rsidRPr="006C069E">
        <w:t>March 2017</w:t>
      </w:r>
      <w:r w:rsidRPr="006C069E">
        <w:t xml:space="preserve"> under the </w:t>
      </w:r>
      <w:r w:rsidRPr="006C069E">
        <w:rPr>
          <w:i/>
        </w:rPr>
        <w:t xml:space="preserve">Public Sector Superannuation Reform Act 2016 </w:t>
      </w:r>
      <w:r w:rsidRPr="006C069E">
        <w:t>(Tas.).</w:t>
      </w:r>
    </w:p>
    <w:p w:rsidR="009B62B2" w:rsidRPr="006C069E" w:rsidRDefault="003E0040" w:rsidP="009B62B2">
      <w:pPr>
        <w:pStyle w:val="ActHead5"/>
      </w:pPr>
      <w:bookmarkStart w:id="21" w:name="_Toc523810814"/>
      <w:r w:rsidRPr="006C069E">
        <w:rPr>
          <w:rStyle w:val="CharSectno"/>
        </w:rPr>
        <w:t>16</w:t>
      </w:r>
      <w:r w:rsidR="009B62B2" w:rsidRPr="006C069E">
        <w:t xml:space="preserve">  Chosen funds—information to be provided by employee</w:t>
      </w:r>
      <w:bookmarkEnd w:id="21"/>
    </w:p>
    <w:p w:rsidR="009B62B2" w:rsidRPr="006C069E" w:rsidRDefault="009B62B2" w:rsidP="009B62B2">
      <w:pPr>
        <w:pStyle w:val="subsection"/>
      </w:pPr>
      <w:r w:rsidRPr="006C069E">
        <w:tab/>
      </w:r>
      <w:r w:rsidRPr="006C069E">
        <w:tab/>
        <w:t xml:space="preserve">For </w:t>
      </w:r>
      <w:r w:rsidR="00717B09" w:rsidRPr="006C069E">
        <w:t xml:space="preserve">the purposes of </w:t>
      </w:r>
      <w:r w:rsidRPr="006C069E">
        <w:t>subparagraph</w:t>
      </w:r>
      <w:r w:rsidR="006C069E" w:rsidRPr="006C069E">
        <w:t> </w:t>
      </w:r>
      <w:r w:rsidRPr="006C069E">
        <w:t>32FA(1)(a)(ii)</w:t>
      </w:r>
      <w:r w:rsidR="00012126" w:rsidRPr="006C069E">
        <w:t xml:space="preserve"> of the Act</w:t>
      </w:r>
      <w:r w:rsidRPr="006C069E">
        <w:t>, the following information is prescribed:</w:t>
      </w:r>
    </w:p>
    <w:p w:rsidR="009B62B2" w:rsidRPr="006C069E" w:rsidRDefault="009B62B2" w:rsidP="009B62B2">
      <w:pPr>
        <w:pStyle w:val="paragraph"/>
      </w:pPr>
      <w:r w:rsidRPr="006C069E">
        <w:tab/>
        <w:t>(a)</w:t>
      </w:r>
      <w:r w:rsidRPr="006C069E">
        <w:tab/>
        <w:t>the employee’s account name in the fund;</w:t>
      </w:r>
    </w:p>
    <w:p w:rsidR="009B62B2" w:rsidRPr="006C069E" w:rsidRDefault="009B62B2" w:rsidP="009B62B2">
      <w:pPr>
        <w:pStyle w:val="paragraph"/>
      </w:pPr>
      <w:r w:rsidRPr="006C069E">
        <w:tab/>
        <w:t>(b)</w:t>
      </w:r>
      <w:r w:rsidRPr="006C069E">
        <w:tab/>
        <w:t>if the fund uses a number or other unique identifier to refer to the employee’s account—the number or identifier that relates to the account;</w:t>
      </w:r>
    </w:p>
    <w:p w:rsidR="009B62B2" w:rsidRPr="006C069E" w:rsidRDefault="009B62B2" w:rsidP="009B62B2">
      <w:pPr>
        <w:pStyle w:val="paragraph"/>
      </w:pPr>
      <w:r w:rsidRPr="006C069E">
        <w:tab/>
        <w:t>(c)</w:t>
      </w:r>
      <w:r w:rsidRPr="006C069E">
        <w:tab/>
        <w:t>the full name of the fund;</w:t>
      </w:r>
    </w:p>
    <w:p w:rsidR="009B62B2" w:rsidRPr="006C069E" w:rsidRDefault="009B62B2" w:rsidP="009B62B2">
      <w:pPr>
        <w:pStyle w:val="paragraph"/>
      </w:pPr>
      <w:r w:rsidRPr="006C069E">
        <w:tab/>
        <w:t>(d)</w:t>
      </w:r>
      <w:r w:rsidRPr="006C069E">
        <w:tab/>
        <w:t>if the fund has an Australian Business Number—the number;</w:t>
      </w:r>
    </w:p>
    <w:p w:rsidR="009B62B2" w:rsidRPr="006C069E" w:rsidRDefault="009B62B2" w:rsidP="009B62B2">
      <w:pPr>
        <w:pStyle w:val="paragraph"/>
      </w:pPr>
      <w:r w:rsidRPr="006C069E">
        <w:tab/>
        <w:t>(e)</w:t>
      </w:r>
      <w:r w:rsidRPr="006C069E">
        <w:tab/>
        <w:t>a written statement that complies with subsection</w:t>
      </w:r>
      <w:r w:rsidR="006C069E" w:rsidRPr="006C069E">
        <w:t> </w:t>
      </w:r>
      <w:r w:rsidRPr="006C069E">
        <w:t>25(1) of the Act from the trustee of the fund;</w:t>
      </w:r>
    </w:p>
    <w:p w:rsidR="009B62B2" w:rsidRPr="006C069E" w:rsidRDefault="009B62B2" w:rsidP="009B62B2">
      <w:pPr>
        <w:pStyle w:val="paragraph"/>
      </w:pPr>
      <w:r w:rsidRPr="006C069E">
        <w:tab/>
        <w:t>(f)</w:t>
      </w:r>
      <w:r w:rsidRPr="006C069E">
        <w:tab/>
        <w:t xml:space="preserve">if the fund is a self managed superannuation fund </w:t>
      </w:r>
      <w:r w:rsidR="00A031D7" w:rsidRPr="006C069E">
        <w:t>within the meaning of</w:t>
      </w:r>
      <w:r w:rsidRPr="006C069E">
        <w:t xml:space="preserve"> section</w:t>
      </w:r>
      <w:r w:rsidR="006C069E" w:rsidRPr="006C069E">
        <w:t> </w:t>
      </w:r>
      <w:r w:rsidRPr="006C069E">
        <w:t xml:space="preserve">17A of the </w:t>
      </w:r>
      <w:r w:rsidRPr="006C069E">
        <w:rPr>
          <w:i/>
        </w:rPr>
        <w:t>Superannuation Industry (Supervision) Act 1993—</w:t>
      </w:r>
      <w:r w:rsidRPr="006C069E">
        <w:t>evidence from the Australian Taxation Office that the fund is a regulated superannuation fund</w:t>
      </w:r>
      <w:r w:rsidR="00F9297D" w:rsidRPr="006C069E">
        <w:t xml:space="preserve"> (within the meaning of that Act)</w:t>
      </w:r>
      <w:r w:rsidRPr="006C069E">
        <w:t>;</w:t>
      </w:r>
    </w:p>
    <w:p w:rsidR="009B62B2" w:rsidRPr="006C069E" w:rsidRDefault="009B62B2" w:rsidP="009B62B2">
      <w:pPr>
        <w:pStyle w:val="paragraph"/>
      </w:pPr>
      <w:r w:rsidRPr="006C069E">
        <w:tab/>
        <w:t>(g)</w:t>
      </w:r>
      <w:r w:rsidRPr="006C069E">
        <w:tab/>
        <w:t>information concerning the method of payment for the employee’s contributions, and details necessary to make the payment;</w:t>
      </w:r>
    </w:p>
    <w:p w:rsidR="009B62B2" w:rsidRPr="006C069E" w:rsidRDefault="009B62B2" w:rsidP="009B62B2">
      <w:pPr>
        <w:pStyle w:val="paragraph"/>
      </w:pPr>
      <w:r w:rsidRPr="006C069E">
        <w:tab/>
        <w:t>(h)</w:t>
      </w:r>
      <w:r w:rsidRPr="006C069E">
        <w:tab/>
        <w:t>if the fund uses a number or other unique identifier to refer to its superannuation products—the number or identifier that relates to the product provided to the employee;</w:t>
      </w:r>
    </w:p>
    <w:p w:rsidR="009B62B2" w:rsidRPr="006C069E" w:rsidRDefault="009B62B2" w:rsidP="009B62B2">
      <w:pPr>
        <w:pStyle w:val="paragraph"/>
      </w:pPr>
      <w:r w:rsidRPr="006C069E">
        <w:tab/>
        <w:t>(i)</w:t>
      </w:r>
      <w:r w:rsidRPr="006C069E">
        <w:tab/>
        <w:t>if the employer uses a number or other unique identifier to refer to the employee—the number or identifier that relates to the employee.</w:t>
      </w:r>
    </w:p>
    <w:p w:rsidR="009B62B2" w:rsidRPr="006C069E" w:rsidRDefault="003E0040" w:rsidP="009B62B2">
      <w:pPr>
        <w:pStyle w:val="ActHead5"/>
      </w:pPr>
      <w:bookmarkStart w:id="22" w:name="_Toc523810815"/>
      <w:r w:rsidRPr="006C069E">
        <w:rPr>
          <w:rStyle w:val="CharSectno"/>
        </w:rPr>
        <w:t>17</w:t>
      </w:r>
      <w:r w:rsidR="009B62B2" w:rsidRPr="006C069E">
        <w:t xml:space="preserve">  Standard choice form</w:t>
      </w:r>
      <w:bookmarkEnd w:id="22"/>
    </w:p>
    <w:p w:rsidR="009B62B2" w:rsidRPr="006C069E" w:rsidRDefault="009B62B2" w:rsidP="009B62B2">
      <w:pPr>
        <w:pStyle w:val="subsection"/>
      </w:pPr>
      <w:r w:rsidRPr="006C069E">
        <w:tab/>
      </w:r>
      <w:r w:rsidRPr="006C069E">
        <w:tab/>
        <w:t xml:space="preserve">For </w:t>
      </w:r>
      <w:r w:rsidR="00717B09" w:rsidRPr="006C069E">
        <w:t xml:space="preserve">the purposes of </w:t>
      </w:r>
      <w:r w:rsidRPr="006C069E">
        <w:t>paragraphs 32P(1)(e) and (g) of the Act, the standard choice form is the form approved for those paragraphs under section</w:t>
      </w:r>
      <w:r w:rsidR="006C069E" w:rsidRPr="006C069E">
        <w:t> </w:t>
      </w:r>
      <w:r w:rsidRPr="006C069E">
        <w:t>388</w:t>
      </w:r>
      <w:r w:rsidR="006C069E">
        <w:noBreakHyphen/>
      </w:r>
      <w:r w:rsidRPr="006C069E">
        <w:t xml:space="preserve">50 </w:t>
      </w:r>
      <w:r w:rsidR="00A6297B" w:rsidRPr="006C069E">
        <w:t>in</w:t>
      </w:r>
      <w:r w:rsidRPr="006C069E">
        <w:t xml:space="preserve"> Schedule</w:t>
      </w:r>
      <w:r w:rsidR="006C069E" w:rsidRPr="006C069E">
        <w:t> </w:t>
      </w:r>
      <w:r w:rsidRPr="006C069E">
        <w:t xml:space="preserve">1 to the </w:t>
      </w:r>
      <w:r w:rsidRPr="006C069E">
        <w:rPr>
          <w:i/>
        </w:rPr>
        <w:t>Taxation Administration Act 1953</w:t>
      </w:r>
      <w:r w:rsidRPr="006C069E">
        <w:t>.</w:t>
      </w:r>
    </w:p>
    <w:p w:rsidR="00C24E95" w:rsidRPr="006C069E" w:rsidRDefault="00122D97" w:rsidP="00122D97">
      <w:pPr>
        <w:pStyle w:val="ActHead2"/>
        <w:pageBreakBefore/>
      </w:pPr>
      <w:bookmarkStart w:id="23" w:name="_Toc523810816"/>
      <w:r w:rsidRPr="006C069E">
        <w:rPr>
          <w:rStyle w:val="CharPartNo"/>
        </w:rPr>
        <w:t>Part</w:t>
      </w:r>
      <w:r w:rsidR="006C069E" w:rsidRPr="006C069E">
        <w:rPr>
          <w:rStyle w:val="CharPartNo"/>
        </w:rPr>
        <w:t> </w:t>
      </w:r>
      <w:r w:rsidRPr="006C069E">
        <w:rPr>
          <w:rStyle w:val="CharPartNo"/>
        </w:rPr>
        <w:t>6</w:t>
      </w:r>
      <w:r w:rsidRPr="006C069E">
        <w:t>—</w:t>
      </w:r>
      <w:r w:rsidR="005232B7" w:rsidRPr="006C069E">
        <w:rPr>
          <w:rStyle w:val="CharPartText"/>
        </w:rPr>
        <w:t>P</w:t>
      </w:r>
      <w:r w:rsidRPr="006C069E">
        <w:rPr>
          <w:rStyle w:val="CharPartText"/>
        </w:rPr>
        <w:t>ayments of amounts of shortfall components for the benefit of employees</w:t>
      </w:r>
      <w:bookmarkEnd w:id="23"/>
    </w:p>
    <w:p w:rsidR="00593A0B" w:rsidRPr="006C069E" w:rsidRDefault="00593A0B" w:rsidP="00593A0B">
      <w:pPr>
        <w:pStyle w:val="Header"/>
      </w:pPr>
      <w:r w:rsidRPr="006C069E">
        <w:rPr>
          <w:rStyle w:val="CharDivNo"/>
        </w:rPr>
        <w:t xml:space="preserve"> </w:t>
      </w:r>
      <w:r w:rsidRPr="006C069E">
        <w:rPr>
          <w:rStyle w:val="CharDivText"/>
        </w:rPr>
        <w:t xml:space="preserve"> </w:t>
      </w:r>
    </w:p>
    <w:p w:rsidR="009B62B2" w:rsidRPr="006C069E" w:rsidRDefault="003E0040" w:rsidP="009B62B2">
      <w:pPr>
        <w:pStyle w:val="ActHead5"/>
      </w:pPr>
      <w:bookmarkStart w:id="24" w:name="_Toc523810817"/>
      <w:r w:rsidRPr="006C069E">
        <w:rPr>
          <w:rStyle w:val="CharSectno"/>
        </w:rPr>
        <w:t>18</w:t>
      </w:r>
      <w:r w:rsidR="009B62B2" w:rsidRPr="006C069E">
        <w:t xml:space="preserve">  Employee must be notified of cert</w:t>
      </w:r>
      <w:r w:rsidR="00A909ED" w:rsidRPr="006C069E">
        <w:t>ain shortfall components</w:t>
      </w:r>
      <w:bookmarkEnd w:id="24"/>
    </w:p>
    <w:p w:rsidR="009B62B2" w:rsidRPr="006C069E" w:rsidRDefault="009B62B2" w:rsidP="009B62B2">
      <w:pPr>
        <w:pStyle w:val="subsection"/>
      </w:pPr>
      <w:r w:rsidRPr="006C069E">
        <w:tab/>
        <w:t>(1)</w:t>
      </w:r>
      <w:r w:rsidRPr="006C069E">
        <w:tab/>
        <w:t>The Commissioner must give written notice to an employee if the employee’s shortfall component exceeds $20.</w:t>
      </w:r>
    </w:p>
    <w:p w:rsidR="009B62B2" w:rsidRPr="006C069E" w:rsidRDefault="009B62B2" w:rsidP="009B62B2">
      <w:pPr>
        <w:pStyle w:val="subsection"/>
      </w:pPr>
      <w:r w:rsidRPr="006C069E">
        <w:tab/>
        <w:t>(2)</w:t>
      </w:r>
      <w:r w:rsidRPr="006C069E">
        <w:tab/>
        <w:t>The Commissioner may give written notice to an employee if the employee’s shortfall component is equal to or less than $20.</w:t>
      </w:r>
    </w:p>
    <w:p w:rsidR="009B62B2" w:rsidRPr="006C069E" w:rsidRDefault="009B62B2" w:rsidP="009B62B2">
      <w:pPr>
        <w:pStyle w:val="subsection"/>
      </w:pPr>
      <w:r w:rsidRPr="006C069E">
        <w:tab/>
        <w:t>(3)</w:t>
      </w:r>
      <w:r w:rsidRPr="006C069E">
        <w:tab/>
        <w:t>A notice must:</w:t>
      </w:r>
    </w:p>
    <w:p w:rsidR="009B62B2" w:rsidRPr="006C069E" w:rsidRDefault="009B62B2" w:rsidP="009B62B2">
      <w:pPr>
        <w:pStyle w:val="paragraph"/>
      </w:pPr>
      <w:r w:rsidRPr="006C069E">
        <w:tab/>
        <w:t>(a)</w:t>
      </w:r>
      <w:r w:rsidRPr="006C069E">
        <w:tab/>
        <w:t>state the date of the notice; and</w:t>
      </w:r>
    </w:p>
    <w:p w:rsidR="009B62B2" w:rsidRPr="006C069E" w:rsidRDefault="009B62B2" w:rsidP="009B62B2">
      <w:pPr>
        <w:pStyle w:val="paragraph"/>
      </w:pPr>
      <w:r w:rsidRPr="006C069E">
        <w:tab/>
        <w:t>(b)</w:t>
      </w:r>
      <w:r w:rsidRPr="006C069E">
        <w:tab/>
        <w:t>state the name of the employer; and</w:t>
      </w:r>
    </w:p>
    <w:p w:rsidR="009B62B2" w:rsidRPr="006C069E" w:rsidRDefault="009B62B2" w:rsidP="009B62B2">
      <w:pPr>
        <w:pStyle w:val="paragraph"/>
      </w:pPr>
      <w:r w:rsidRPr="006C069E">
        <w:tab/>
        <w:t>(c)</w:t>
      </w:r>
      <w:r w:rsidRPr="006C069E">
        <w:tab/>
        <w:t>state the amount, or the sum of the amounts, of the shortfall component.</w:t>
      </w:r>
    </w:p>
    <w:p w:rsidR="009B62B2" w:rsidRPr="006C069E" w:rsidRDefault="009B62B2" w:rsidP="009B62B2">
      <w:pPr>
        <w:pStyle w:val="subsection"/>
      </w:pPr>
      <w:r w:rsidRPr="006C069E">
        <w:tab/>
        <w:t>(4)</w:t>
      </w:r>
      <w:r w:rsidRPr="006C069E">
        <w:tab/>
        <w:t xml:space="preserve">A notice may also specify a relevant fund for </w:t>
      </w:r>
      <w:r w:rsidR="00FE15A7" w:rsidRPr="006C069E">
        <w:t xml:space="preserve">the purposes of </w:t>
      </w:r>
      <w:r w:rsidRPr="006C069E">
        <w:t>sub</w:t>
      </w:r>
      <w:r w:rsidR="00903DD9" w:rsidRPr="006C069E">
        <w:t>section</w:t>
      </w:r>
      <w:r w:rsidR="006C069E" w:rsidRPr="006C069E">
        <w:t> </w:t>
      </w:r>
      <w:r w:rsidR="003E0040" w:rsidRPr="006C069E">
        <w:t>19</w:t>
      </w:r>
      <w:r w:rsidRPr="006C069E">
        <w:t>(5).</w:t>
      </w:r>
    </w:p>
    <w:p w:rsidR="009B62B2" w:rsidRPr="006C069E" w:rsidRDefault="009B62B2" w:rsidP="009B62B2">
      <w:pPr>
        <w:pStyle w:val="subsection"/>
      </w:pPr>
      <w:r w:rsidRPr="006C069E">
        <w:tab/>
        <w:t>(5)</w:t>
      </w:r>
      <w:r w:rsidRPr="006C069E">
        <w:tab/>
        <w:t xml:space="preserve">The Commissioner may give more than </w:t>
      </w:r>
      <w:r w:rsidR="00B61F69" w:rsidRPr="006C069E">
        <w:t>one</w:t>
      </w:r>
      <w:r w:rsidRPr="006C069E">
        <w:t xml:space="preserve"> notice under this </w:t>
      </w:r>
      <w:r w:rsidR="00FD5EF3" w:rsidRPr="006C069E">
        <w:t>section</w:t>
      </w:r>
      <w:r w:rsidRPr="006C069E">
        <w:t>.</w:t>
      </w:r>
    </w:p>
    <w:p w:rsidR="009B62B2" w:rsidRPr="006C069E" w:rsidRDefault="003E0040" w:rsidP="009B62B2">
      <w:pPr>
        <w:pStyle w:val="ActHead5"/>
      </w:pPr>
      <w:bookmarkStart w:id="25" w:name="_Toc523810818"/>
      <w:r w:rsidRPr="006C069E">
        <w:rPr>
          <w:rStyle w:val="CharSectno"/>
        </w:rPr>
        <w:t>19</w:t>
      </w:r>
      <w:r w:rsidR="009B62B2" w:rsidRPr="006C069E">
        <w:t xml:space="preserve">  Responses to notice of a shortfall component</w:t>
      </w:r>
      <w:bookmarkEnd w:id="25"/>
    </w:p>
    <w:p w:rsidR="009B62B2" w:rsidRPr="006C069E" w:rsidRDefault="009B62B2" w:rsidP="009B62B2">
      <w:pPr>
        <w:pStyle w:val="subsection"/>
      </w:pPr>
      <w:r w:rsidRPr="006C069E">
        <w:tab/>
        <w:t>(1)</w:t>
      </w:r>
      <w:r w:rsidRPr="006C069E">
        <w:tab/>
        <w:t xml:space="preserve">This </w:t>
      </w:r>
      <w:r w:rsidR="00B61F69" w:rsidRPr="006C069E">
        <w:t>section</w:t>
      </w:r>
      <w:r w:rsidRPr="006C069E">
        <w:t xml:space="preserve"> applies to an employee who receives a notice under </w:t>
      </w:r>
      <w:r w:rsidR="00A909ED" w:rsidRPr="006C069E">
        <w:t>section</w:t>
      </w:r>
      <w:r w:rsidR="006C069E" w:rsidRPr="006C069E">
        <w:t> </w:t>
      </w:r>
      <w:r w:rsidR="003E0040" w:rsidRPr="006C069E">
        <w:t>18</w:t>
      </w:r>
      <w:r w:rsidRPr="006C069E">
        <w:t>.</w:t>
      </w:r>
    </w:p>
    <w:p w:rsidR="009B62B2" w:rsidRPr="006C069E" w:rsidRDefault="009B62B2" w:rsidP="009B62B2">
      <w:pPr>
        <w:pStyle w:val="subsection"/>
      </w:pPr>
      <w:r w:rsidRPr="006C069E">
        <w:tab/>
        <w:t>(2)</w:t>
      </w:r>
      <w:r w:rsidRPr="006C069E">
        <w:tab/>
        <w:t xml:space="preserve">If the employee is under 55 </w:t>
      </w:r>
      <w:r w:rsidR="0069796E" w:rsidRPr="006C069E">
        <w:t xml:space="preserve">years </w:t>
      </w:r>
      <w:r w:rsidRPr="006C069E">
        <w:t>and has retired from the workforce because of permanent incapacity or permanent invalidity, the employee must lodge the documents mentioned in paragraph</w:t>
      </w:r>
      <w:r w:rsidR="006C069E" w:rsidRPr="006C069E">
        <w:t> </w:t>
      </w:r>
      <w:r w:rsidR="007C72CE" w:rsidRPr="006C069E">
        <w:t>66</w:t>
      </w:r>
      <w:r w:rsidRPr="006C069E">
        <w:t>(b) of the Act.</w:t>
      </w:r>
    </w:p>
    <w:p w:rsidR="009B62B2" w:rsidRPr="006C069E" w:rsidRDefault="009B62B2" w:rsidP="009B62B2">
      <w:pPr>
        <w:pStyle w:val="subsection"/>
      </w:pPr>
      <w:r w:rsidRPr="006C069E">
        <w:tab/>
        <w:t>(3)</w:t>
      </w:r>
      <w:r w:rsidRPr="006C069E">
        <w:tab/>
        <w:t>If the employee has died, the legal personal representative of the deceased employee must lodge:</w:t>
      </w:r>
    </w:p>
    <w:p w:rsidR="009B62B2" w:rsidRPr="006C069E" w:rsidRDefault="009B62B2" w:rsidP="009B62B2">
      <w:pPr>
        <w:pStyle w:val="paragraph"/>
      </w:pPr>
      <w:r w:rsidRPr="006C069E">
        <w:tab/>
        <w:t>(a)</w:t>
      </w:r>
      <w:r w:rsidRPr="006C069E">
        <w:tab/>
        <w:t>written notice of the death, signed by the legal personal representative; and</w:t>
      </w:r>
    </w:p>
    <w:p w:rsidR="009B62B2" w:rsidRPr="006C069E" w:rsidRDefault="009B62B2" w:rsidP="009B62B2">
      <w:pPr>
        <w:pStyle w:val="paragraph"/>
      </w:pPr>
      <w:r w:rsidRPr="006C069E">
        <w:tab/>
        <w:t>(b)</w:t>
      </w:r>
      <w:r w:rsidRPr="006C069E">
        <w:tab/>
        <w:t>a copy of the death certificate of the deceased employee.</w:t>
      </w:r>
    </w:p>
    <w:p w:rsidR="009B62B2" w:rsidRPr="006C069E" w:rsidRDefault="009B62B2" w:rsidP="009B62B2">
      <w:pPr>
        <w:pStyle w:val="subsection"/>
      </w:pPr>
      <w:r w:rsidRPr="006C069E">
        <w:tab/>
        <w:t>(4)</w:t>
      </w:r>
      <w:r w:rsidRPr="006C069E">
        <w:tab/>
        <w:t xml:space="preserve">If </w:t>
      </w:r>
      <w:r w:rsidR="006C069E" w:rsidRPr="006C069E">
        <w:t>subsections (</w:t>
      </w:r>
      <w:r w:rsidRPr="006C069E">
        <w:t>2) and (3) do not apply, and the notice does not specify a relevant fund, the employee may:</w:t>
      </w:r>
    </w:p>
    <w:p w:rsidR="009B62B2" w:rsidRPr="006C069E" w:rsidRDefault="009B62B2" w:rsidP="009B62B2">
      <w:pPr>
        <w:pStyle w:val="paragraph"/>
      </w:pPr>
      <w:r w:rsidRPr="006C069E">
        <w:tab/>
        <w:t>(a)</w:t>
      </w:r>
      <w:r w:rsidRPr="006C069E">
        <w:tab/>
        <w:t>request in writing the responsible officers of a relevant fund to collect from the Commissioner the amount, or the sum of the amounts, of the shortfall component; or</w:t>
      </w:r>
    </w:p>
    <w:p w:rsidR="009B62B2" w:rsidRPr="006C069E" w:rsidRDefault="009B62B2" w:rsidP="009B62B2">
      <w:pPr>
        <w:pStyle w:val="paragraph"/>
      </w:pPr>
      <w:r w:rsidRPr="006C069E">
        <w:tab/>
        <w:t>(b)</w:t>
      </w:r>
      <w:r w:rsidRPr="006C069E">
        <w:tab/>
        <w:t>lodge a written nomination of a relevant fund.</w:t>
      </w:r>
    </w:p>
    <w:p w:rsidR="00A4135B" w:rsidRPr="006C069E" w:rsidRDefault="009B62B2" w:rsidP="009B62B2">
      <w:pPr>
        <w:pStyle w:val="subsection"/>
      </w:pPr>
      <w:r w:rsidRPr="006C069E">
        <w:tab/>
        <w:t>(5)</w:t>
      </w:r>
      <w:r w:rsidRPr="006C069E">
        <w:tab/>
        <w:t>If</w:t>
      </w:r>
      <w:r w:rsidR="00A4135B" w:rsidRPr="006C069E">
        <w:t>:</w:t>
      </w:r>
    </w:p>
    <w:p w:rsidR="00A4135B" w:rsidRPr="006C069E" w:rsidRDefault="00A4135B" w:rsidP="00A4135B">
      <w:pPr>
        <w:pStyle w:val="paragraph"/>
      </w:pPr>
      <w:r w:rsidRPr="006C069E">
        <w:tab/>
        <w:t>(a)</w:t>
      </w:r>
      <w:r w:rsidRPr="006C069E">
        <w:tab/>
      </w:r>
      <w:r w:rsidR="006C069E" w:rsidRPr="006C069E">
        <w:t>subsections (</w:t>
      </w:r>
      <w:r w:rsidRPr="006C069E">
        <w:t>2) and (3) do not apply; and</w:t>
      </w:r>
    </w:p>
    <w:p w:rsidR="00A4135B" w:rsidRPr="006C069E" w:rsidRDefault="00A4135B" w:rsidP="00A4135B">
      <w:pPr>
        <w:pStyle w:val="paragraph"/>
      </w:pPr>
      <w:r w:rsidRPr="006C069E">
        <w:tab/>
        <w:t>(b)</w:t>
      </w:r>
      <w:r w:rsidRPr="006C069E">
        <w:tab/>
      </w:r>
      <w:r w:rsidR="009B62B2" w:rsidRPr="006C069E">
        <w:t>the notice specifies a relevant fund</w:t>
      </w:r>
      <w:r w:rsidRPr="006C069E">
        <w:t>; and</w:t>
      </w:r>
    </w:p>
    <w:p w:rsidR="009B62B2" w:rsidRPr="006C069E" w:rsidRDefault="00A4135B" w:rsidP="00A4135B">
      <w:pPr>
        <w:pStyle w:val="paragraph"/>
      </w:pPr>
      <w:r w:rsidRPr="006C069E">
        <w:tab/>
        <w:t>(c)</w:t>
      </w:r>
      <w:r w:rsidRPr="006C069E">
        <w:tab/>
        <w:t>the employee does not wish to have the amount, or the sum of the amounts, of the shortfall component paid into the relevant fund specified in the notice;</w:t>
      </w:r>
    </w:p>
    <w:p w:rsidR="009B62B2" w:rsidRPr="006C069E" w:rsidRDefault="00A4135B" w:rsidP="00A4135B">
      <w:pPr>
        <w:pStyle w:val="subsection2"/>
      </w:pPr>
      <w:r w:rsidRPr="006C069E">
        <w:t xml:space="preserve">the employee may </w:t>
      </w:r>
      <w:r w:rsidR="009B62B2" w:rsidRPr="006C069E">
        <w:t>lodge a written nomination of another relevant fund</w:t>
      </w:r>
      <w:r w:rsidRPr="006C069E">
        <w:t>.</w:t>
      </w:r>
    </w:p>
    <w:p w:rsidR="0002142C" w:rsidRPr="006C069E" w:rsidRDefault="003E0040" w:rsidP="0002142C">
      <w:pPr>
        <w:pStyle w:val="ActHead5"/>
      </w:pPr>
      <w:bookmarkStart w:id="26" w:name="_Toc523810819"/>
      <w:r w:rsidRPr="006C069E">
        <w:rPr>
          <w:rStyle w:val="CharSectno"/>
        </w:rPr>
        <w:t>20</w:t>
      </w:r>
      <w:r w:rsidR="0002142C" w:rsidRPr="006C069E">
        <w:t xml:space="preserve">  Obligation of responsible officers who receive a request from </w:t>
      </w:r>
      <w:r w:rsidR="00FD5EF3" w:rsidRPr="006C069E">
        <w:t xml:space="preserve">an </w:t>
      </w:r>
      <w:r w:rsidR="0002142C" w:rsidRPr="006C069E">
        <w:t>employee</w:t>
      </w:r>
      <w:bookmarkEnd w:id="26"/>
    </w:p>
    <w:p w:rsidR="0002142C" w:rsidRPr="006C069E" w:rsidRDefault="0002142C" w:rsidP="0002142C">
      <w:pPr>
        <w:pStyle w:val="subsection"/>
      </w:pPr>
      <w:r w:rsidRPr="006C069E">
        <w:tab/>
        <w:t>(1)</w:t>
      </w:r>
      <w:r w:rsidRPr="006C069E">
        <w:tab/>
        <w:t>This section applies if the responsible officers of a relevant fund receive a request under paragraph</w:t>
      </w:r>
      <w:r w:rsidR="006C069E" w:rsidRPr="006C069E">
        <w:t> </w:t>
      </w:r>
      <w:r w:rsidR="003E0040" w:rsidRPr="006C069E">
        <w:t>19</w:t>
      </w:r>
      <w:r w:rsidRPr="006C069E">
        <w:t xml:space="preserve">(4)(a) or </w:t>
      </w:r>
      <w:r w:rsidR="003E0040" w:rsidRPr="006C069E">
        <w:t>22</w:t>
      </w:r>
      <w:r w:rsidRPr="006C069E">
        <w:t>(a).</w:t>
      </w:r>
    </w:p>
    <w:p w:rsidR="0002142C" w:rsidRPr="006C069E" w:rsidRDefault="0002142C" w:rsidP="0002142C">
      <w:pPr>
        <w:pStyle w:val="subsection"/>
      </w:pPr>
      <w:r w:rsidRPr="006C069E">
        <w:tab/>
        <w:t>(2)</w:t>
      </w:r>
      <w:r w:rsidRPr="006C069E">
        <w:tab/>
        <w:t>The responsible officers must:</w:t>
      </w:r>
    </w:p>
    <w:p w:rsidR="0002142C" w:rsidRPr="006C069E" w:rsidRDefault="0002142C" w:rsidP="0002142C">
      <w:pPr>
        <w:pStyle w:val="paragraph"/>
      </w:pPr>
      <w:r w:rsidRPr="006C069E">
        <w:tab/>
        <w:t>(a)</w:t>
      </w:r>
      <w:r w:rsidRPr="006C069E">
        <w:tab/>
        <w:t>give the employee written notice of receipt of the request; and</w:t>
      </w:r>
    </w:p>
    <w:p w:rsidR="0002142C" w:rsidRPr="006C069E" w:rsidRDefault="0002142C" w:rsidP="0002142C">
      <w:pPr>
        <w:pStyle w:val="paragraph"/>
      </w:pPr>
      <w:r w:rsidRPr="006C069E">
        <w:tab/>
        <w:t>(b)</w:t>
      </w:r>
      <w:r w:rsidRPr="006C069E">
        <w:tab/>
        <w:t>specify in the notice the date of its receipt.</w:t>
      </w:r>
    </w:p>
    <w:p w:rsidR="0002142C" w:rsidRPr="006C069E" w:rsidRDefault="0002142C" w:rsidP="0002142C">
      <w:pPr>
        <w:pStyle w:val="Penalty"/>
      </w:pPr>
      <w:r w:rsidRPr="006C069E">
        <w:t>Penalty:</w:t>
      </w:r>
      <w:r w:rsidRPr="006C069E">
        <w:tab/>
        <w:t>5 penalty units.</w:t>
      </w:r>
    </w:p>
    <w:p w:rsidR="0002142C" w:rsidRPr="006C069E" w:rsidRDefault="0002142C" w:rsidP="0002142C">
      <w:pPr>
        <w:pStyle w:val="subsection"/>
      </w:pPr>
      <w:r w:rsidRPr="006C069E">
        <w:tab/>
        <w:t>(</w:t>
      </w:r>
      <w:r w:rsidR="00640F1B" w:rsidRPr="006C069E">
        <w:t>3</w:t>
      </w:r>
      <w:r w:rsidRPr="006C069E">
        <w:t>)</w:t>
      </w:r>
      <w:r w:rsidRPr="006C069E">
        <w:tab/>
        <w:t xml:space="preserve">An offence against </w:t>
      </w:r>
      <w:r w:rsidR="006C069E" w:rsidRPr="006C069E">
        <w:t>subsection (</w:t>
      </w:r>
      <w:r w:rsidRPr="006C069E">
        <w:t>2) is an offence of strict liability.</w:t>
      </w:r>
    </w:p>
    <w:p w:rsidR="0002142C" w:rsidRPr="006C069E" w:rsidRDefault="0002142C" w:rsidP="0002142C">
      <w:pPr>
        <w:pStyle w:val="notetext"/>
      </w:pPr>
      <w:r w:rsidRPr="006C069E">
        <w:t>Note:</w:t>
      </w:r>
      <w:r w:rsidRPr="006C069E">
        <w:tab/>
        <w:t>For strict liability, see section</w:t>
      </w:r>
      <w:r w:rsidR="006C069E" w:rsidRPr="006C069E">
        <w:t> </w:t>
      </w:r>
      <w:r w:rsidRPr="006C069E">
        <w:t xml:space="preserve">6.1 of the </w:t>
      </w:r>
      <w:r w:rsidRPr="006C069E">
        <w:rPr>
          <w:i/>
        </w:rPr>
        <w:t>Criminal Code</w:t>
      </w:r>
      <w:r w:rsidRPr="006C069E">
        <w:t>.</w:t>
      </w:r>
    </w:p>
    <w:p w:rsidR="0002142C" w:rsidRPr="006C069E" w:rsidRDefault="00640F1B" w:rsidP="0002142C">
      <w:pPr>
        <w:pStyle w:val="subsection"/>
      </w:pPr>
      <w:r w:rsidRPr="006C069E">
        <w:tab/>
        <w:t>(4</w:t>
      </w:r>
      <w:r w:rsidR="0002142C" w:rsidRPr="006C069E">
        <w:t>)</w:t>
      </w:r>
      <w:r w:rsidR="0002142C" w:rsidRPr="006C069E">
        <w:tab/>
        <w:t>If the responsible officers decline to comply with the request, the responsible officers must notify the employee within 14 days after receiving the request.</w:t>
      </w:r>
    </w:p>
    <w:p w:rsidR="0002142C" w:rsidRPr="006C069E" w:rsidRDefault="0002142C" w:rsidP="0002142C">
      <w:pPr>
        <w:pStyle w:val="Penalty"/>
      </w:pPr>
      <w:r w:rsidRPr="006C069E">
        <w:t>Penalty:</w:t>
      </w:r>
      <w:r w:rsidRPr="006C069E">
        <w:tab/>
      </w:r>
      <w:r w:rsidRPr="006C069E">
        <w:rPr>
          <w:lang w:eastAsia="en-US"/>
        </w:rPr>
        <w:t>5</w:t>
      </w:r>
      <w:r w:rsidRPr="006C069E">
        <w:t xml:space="preserve"> penalty units.</w:t>
      </w:r>
    </w:p>
    <w:p w:rsidR="0002142C" w:rsidRPr="006C069E" w:rsidRDefault="0002142C" w:rsidP="0002142C">
      <w:pPr>
        <w:pStyle w:val="subsection"/>
      </w:pPr>
      <w:r w:rsidRPr="006C069E">
        <w:tab/>
        <w:t>(</w:t>
      </w:r>
      <w:r w:rsidR="00640F1B" w:rsidRPr="006C069E">
        <w:t>5</w:t>
      </w:r>
      <w:r w:rsidRPr="006C069E">
        <w:t>)</w:t>
      </w:r>
      <w:r w:rsidRPr="006C069E">
        <w:tab/>
        <w:t xml:space="preserve">An offence against </w:t>
      </w:r>
      <w:r w:rsidR="006C069E" w:rsidRPr="006C069E">
        <w:t>subsection (</w:t>
      </w:r>
      <w:r w:rsidR="00640F1B" w:rsidRPr="006C069E">
        <w:t>4</w:t>
      </w:r>
      <w:r w:rsidRPr="006C069E">
        <w:t>) is an offence of strict liability.</w:t>
      </w:r>
    </w:p>
    <w:p w:rsidR="0002142C" w:rsidRPr="006C069E" w:rsidRDefault="0002142C" w:rsidP="0002142C">
      <w:pPr>
        <w:pStyle w:val="notetext"/>
      </w:pPr>
      <w:r w:rsidRPr="006C069E">
        <w:t>Note:</w:t>
      </w:r>
      <w:r w:rsidRPr="006C069E">
        <w:tab/>
        <w:t>For strict liability, see section</w:t>
      </w:r>
      <w:r w:rsidR="006C069E" w:rsidRPr="006C069E">
        <w:t> </w:t>
      </w:r>
      <w:r w:rsidRPr="006C069E">
        <w:t xml:space="preserve">6.1 of the </w:t>
      </w:r>
      <w:r w:rsidRPr="006C069E">
        <w:rPr>
          <w:i/>
        </w:rPr>
        <w:t>Criminal Code</w:t>
      </w:r>
      <w:r w:rsidRPr="006C069E">
        <w:t>.</w:t>
      </w:r>
    </w:p>
    <w:p w:rsidR="0002142C" w:rsidRPr="006C069E" w:rsidRDefault="0002142C" w:rsidP="0002142C">
      <w:pPr>
        <w:pStyle w:val="subsection"/>
      </w:pPr>
      <w:r w:rsidRPr="006C069E">
        <w:tab/>
        <w:t>(</w:t>
      </w:r>
      <w:r w:rsidR="00640F1B" w:rsidRPr="006C069E">
        <w:t>6</w:t>
      </w:r>
      <w:r w:rsidRPr="006C069E">
        <w:t>)</w:t>
      </w:r>
      <w:r w:rsidRPr="006C069E">
        <w:tab/>
        <w:t>If the responsible officers agree to comply with the request, the responsible officers must lodge the request, or a copy of it, at an office of the Australian Taxation Office, within:</w:t>
      </w:r>
    </w:p>
    <w:p w:rsidR="0002142C" w:rsidRPr="006C069E" w:rsidRDefault="0002142C" w:rsidP="0002142C">
      <w:pPr>
        <w:pStyle w:val="paragraph"/>
      </w:pPr>
      <w:r w:rsidRPr="006C069E">
        <w:tab/>
        <w:t>(a)</w:t>
      </w:r>
      <w:r w:rsidRPr="006C069E">
        <w:tab/>
        <w:t>14 days after receiving the request; or</w:t>
      </w:r>
    </w:p>
    <w:p w:rsidR="0002142C" w:rsidRPr="006C069E" w:rsidRDefault="0002142C" w:rsidP="0002142C">
      <w:pPr>
        <w:pStyle w:val="paragraph"/>
      </w:pPr>
      <w:r w:rsidRPr="006C069E">
        <w:tab/>
        <w:t>(b)</w:t>
      </w:r>
      <w:r w:rsidRPr="006C069E">
        <w:tab/>
        <w:t>a further period determined by the Commissioner in writing.</w:t>
      </w:r>
    </w:p>
    <w:p w:rsidR="0002142C" w:rsidRPr="006C069E" w:rsidRDefault="0002142C" w:rsidP="0002142C">
      <w:pPr>
        <w:pStyle w:val="Penalty"/>
      </w:pPr>
      <w:r w:rsidRPr="006C069E">
        <w:t>Penalty:</w:t>
      </w:r>
      <w:r w:rsidRPr="006C069E">
        <w:tab/>
        <w:t>5 penalty units.</w:t>
      </w:r>
    </w:p>
    <w:p w:rsidR="0002142C" w:rsidRPr="006C069E" w:rsidRDefault="00640F1B" w:rsidP="0002142C">
      <w:pPr>
        <w:pStyle w:val="subsection"/>
      </w:pPr>
      <w:r w:rsidRPr="006C069E">
        <w:tab/>
        <w:t>(7</w:t>
      </w:r>
      <w:r w:rsidR="0002142C" w:rsidRPr="006C069E">
        <w:t>)</w:t>
      </w:r>
      <w:r w:rsidR="0002142C" w:rsidRPr="006C069E">
        <w:tab/>
        <w:t xml:space="preserve">An offence against </w:t>
      </w:r>
      <w:r w:rsidR="006C069E" w:rsidRPr="006C069E">
        <w:t>subsection (</w:t>
      </w:r>
      <w:r w:rsidRPr="006C069E">
        <w:t>6</w:t>
      </w:r>
      <w:r w:rsidR="0002142C" w:rsidRPr="006C069E">
        <w:t>) is an offence of strict liability.</w:t>
      </w:r>
    </w:p>
    <w:p w:rsidR="0002142C" w:rsidRPr="006C069E" w:rsidRDefault="0002142C" w:rsidP="0002142C">
      <w:pPr>
        <w:pStyle w:val="notetext"/>
      </w:pPr>
      <w:r w:rsidRPr="006C069E">
        <w:t>Note:</w:t>
      </w:r>
      <w:r w:rsidRPr="006C069E">
        <w:tab/>
        <w:t>For strict liability, see section</w:t>
      </w:r>
      <w:r w:rsidR="006C069E" w:rsidRPr="006C069E">
        <w:t> </w:t>
      </w:r>
      <w:r w:rsidRPr="006C069E">
        <w:t xml:space="preserve">6.1 of the </w:t>
      </w:r>
      <w:r w:rsidRPr="006C069E">
        <w:rPr>
          <w:i/>
        </w:rPr>
        <w:t>Criminal Code</w:t>
      </w:r>
      <w:r w:rsidRPr="006C069E">
        <w:t>.</w:t>
      </w:r>
    </w:p>
    <w:p w:rsidR="009B62B2" w:rsidRPr="006C069E" w:rsidRDefault="003E0040" w:rsidP="009B62B2">
      <w:pPr>
        <w:pStyle w:val="ActHead5"/>
      </w:pPr>
      <w:bookmarkStart w:id="27" w:name="_Toc523810820"/>
      <w:r w:rsidRPr="006C069E">
        <w:rPr>
          <w:rStyle w:val="CharSectno"/>
        </w:rPr>
        <w:t>21</w:t>
      </w:r>
      <w:r w:rsidR="00252276" w:rsidRPr="006C069E">
        <w:t xml:space="preserve"> </w:t>
      </w:r>
      <w:r w:rsidR="009B62B2" w:rsidRPr="006C069E">
        <w:t xml:space="preserve"> Responses to notice are nominations</w:t>
      </w:r>
      <w:bookmarkEnd w:id="27"/>
    </w:p>
    <w:p w:rsidR="009B62B2" w:rsidRPr="006C069E" w:rsidRDefault="009B62B2" w:rsidP="009B62B2">
      <w:pPr>
        <w:pStyle w:val="subsection"/>
      </w:pPr>
      <w:r w:rsidRPr="006C069E">
        <w:tab/>
        <w:t>(1)</w:t>
      </w:r>
      <w:r w:rsidRPr="006C069E">
        <w:tab/>
        <w:t>If a request, or a copy of the request, is lodged by the responsible officers of a relevant fund under sub</w:t>
      </w:r>
      <w:r w:rsidR="00903DD9" w:rsidRPr="006C069E">
        <w:t>section</w:t>
      </w:r>
      <w:r w:rsidR="006C069E" w:rsidRPr="006C069E">
        <w:t> </w:t>
      </w:r>
      <w:r w:rsidR="003E0040" w:rsidRPr="006C069E">
        <w:t>20</w:t>
      </w:r>
      <w:r w:rsidR="00357E87" w:rsidRPr="006C069E">
        <w:t>(6</w:t>
      </w:r>
      <w:r w:rsidRPr="006C069E">
        <w:t>), the employee is taken to have nominated the fund specified in the request for</w:t>
      </w:r>
      <w:r w:rsidR="00717B09" w:rsidRPr="006C069E">
        <w:t xml:space="preserve"> the purposes of</w:t>
      </w:r>
      <w:r w:rsidRPr="006C069E">
        <w:t xml:space="preserve"> paragraph</w:t>
      </w:r>
      <w:r w:rsidR="006C069E" w:rsidRPr="006C069E">
        <w:t> </w:t>
      </w:r>
      <w:r w:rsidR="008B2DCC" w:rsidRPr="006C069E">
        <w:t>65(1)(b</w:t>
      </w:r>
      <w:r w:rsidRPr="006C069E">
        <w:t>) of the Act.</w:t>
      </w:r>
    </w:p>
    <w:p w:rsidR="009B62B2" w:rsidRPr="006C069E" w:rsidRDefault="009B62B2" w:rsidP="009B62B2">
      <w:pPr>
        <w:pStyle w:val="subsection"/>
      </w:pPr>
      <w:r w:rsidRPr="006C069E">
        <w:tab/>
        <w:t>(2)</w:t>
      </w:r>
      <w:r w:rsidRPr="006C069E">
        <w:tab/>
        <w:t>A written nomination of a relevant fund lodged under paragraph</w:t>
      </w:r>
      <w:r w:rsidR="006C069E" w:rsidRPr="006C069E">
        <w:t> </w:t>
      </w:r>
      <w:r w:rsidR="003E0040" w:rsidRPr="006C069E">
        <w:t>19</w:t>
      </w:r>
      <w:r w:rsidRPr="006C069E">
        <w:t xml:space="preserve">(4)(b), </w:t>
      </w:r>
      <w:r w:rsidR="00A4135B" w:rsidRPr="006C069E">
        <w:t>subsection</w:t>
      </w:r>
      <w:r w:rsidR="006C069E" w:rsidRPr="006C069E">
        <w:t> </w:t>
      </w:r>
      <w:r w:rsidR="00A4135B" w:rsidRPr="006C069E">
        <w:t>19</w:t>
      </w:r>
      <w:r w:rsidRPr="006C069E">
        <w:t xml:space="preserve">(5) or </w:t>
      </w:r>
      <w:r w:rsidR="00A4135B" w:rsidRPr="006C069E">
        <w:t>paragraph</w:t>
      </w:r>
      <w:r w:rsidR="006C069E" w:rsidRPr="006C069E">
        <w:t> </w:t>
      </w:r>
      <w:r w:rsidR="003E0040" w:rsidRPr="006C069E">
        <w:t>22</w:t>
      </w:r>
      <w:r w:rsidRPr="006C069E">
        <w:t xml:space="preserve">(b) is a nomination for </w:t>
      </w:r>
      <w:r w:rsidR="00717B09" w:rsidRPr="006C069E">
        <w:t xml:space="preserve">the purposes of </w:t>
      </w:r>
      <w:r w:rsidRPr="006C069E">
        <w:t>paragraph</w:t>
      </w:r>
      <w:r w:rsidR="006C069E" w:rsidRPr="006C069E">
        <w:t> </w:t>
      </w:r>
      <w:r w:rsidR="007C72CE" w:rsidRPr="006C069E">
        <w:t>65</w:t>
      </w:r>
      <w:r w:rsidR="008B2DCC" w:rsidRPr="006C069E">
        <w:t>(1)(b</w:t>
      </w:r>
      <w:r w:rsidRPr="006C069E">
        <w:t>) of the Act.</w:t>
      </w:r>
    </w:p>
    <w:p w:rsidR="009B62B2" w:rsidRPr="006C069E" w:rsidRDefault="009B62B2" w:rsidP="009B62B2">
      <w:pPr>
        <w:pStyle w:val="subsection"/>
      </w:pPr>
      <w:r w:rsidRPr="006C069E">
        <w:tab/>
        <w:t>(3)</w:t>
      </w:r>
      <w:r w:rsidRPr="006C069E">
        <w:tab/>
        <w:t xml:space="preserve">If a notice given under </w:t>
      </w:r>
      <w:r w:rsidR="00B61F69" w:rsidRPr="006C069E">
        <w:t>section</w:t>
      </w:r>
      <w:r w:rsidR="006C069E" w:rsidRPr="006C069E">
        <w:t> </w:t>
      </w:r>
      <w:r w:rsidR="003E0040" w:rsidRPr="006C069E">
        <w:t>18</w:t>
      </w:r>
      <w:r w:rsidRPr="006C069E">
        <w:t xml:space="preserve"> specifies a relevant fund, and the employee does not otherwise nominate another relevant fund within 28 days after the date of the notice, the employee is taken, for </w:t>
      </w:r>
      <w:r w:rsidR="00717B09" w:rsidRPr="006C069E">
        <w:t xml:space="preserve">the purposes of </w:t>
      </w:r>
      <w:r w:rsidRPr="006C069E">
        <w:t>paragraph</w:t>
      </w:r>
      <w:r w:rsidR="006C069E" w:rsidRPr="006C069E">
        <w:t> </w:t>
      </w:r>
      <w:r w:rsidR="008B2DCC" w:rsidRPr="006C069E">
        <w:t>65(1)(b</w:t>
      </w:r>
      <w:r w:rsidRPr="006C069E">
        <w:t>) of the Act, to have nominated the relevant fund specified in the notice.</w:t>
      </w:r>
    </w:p>
    <w:p w:rsidR="009B62B2" w:rsidRPr="006C069E" w:rsidRDefault="003E0040" w:rsidP="009B62B2">
      <w:pPr>
        <w:pStyle w:val="ActHead5"/>
      </w:pPr>
      <w:bookmarkStart w:id="28" w:name="_Toc523810821"/>
      <w:r w:rsidRPr="006C069E">
        <w:rPr>
          <w:rStyle w:val="CharSectno"/>
        </w:rPr>
        <w:t>22</w:t>
      </w:r>
      <w:r w:rsidR="009B62B2" w:rsidRPr="006C069E">
        <w:t xml:space="preserve">  Nomination </w:t>
      </w:r>
      <w:r w:rsidR="00357E87" w:rsidRPr="006C069E">
        <w:t>of relevant fund by employee</w:t>
      </w:r>
      <w:bookmarkEnd w:id="28"/>
    </w:p>
    <w:p w:rsidR="009B62B2" w:rsidRPr="006C069E" w:rsidRDefault="009B62B2" w:rsidP="009B62B2">
      <w:pPr>
        <w:pStyle w:val="subsection"/>
      </w:pPr>
      <w:r w:rsidRPr="006C069E">
        <w:tab/>
      </w:r>
      <w:r w:rsidRPr="006C069E">
        <w:tab/>
        <w:t xml:space="preserve">Whether or not the Commissioner has given an employee a notice under </w:t>
      </w:r>
      <w:r w:rsidR="00B61F69" w:rsidRPr="006C069E">
        <w:t>section</w:t>
      </w:r>
      <w:r w:rsidR="006C069E" w:rsidRPr="006C069E">
        <w:t> </w:t>
      </w:r>
      <w:r w:rsidR="003E0040" w:rsidRPr="006C069E">
        <w:t>18</w:t>
      </w:r>
      <w:r w:rsidRPr="006C069E">
        <w:t>, the employee may:</w:t>
      </w:r>
    </w:p>
    <w:p w:rsidR="009B62B2" w:rsidRPr="006C069E" w:rsidRDefault="009B62B2" w:rsidP="009B62B2">
      <w:pPr>
        <w:pStyle w:val="paragraph"/>
      </w:pPr>
      <w:r w:rsidRPr="006C069E">
        <w:tab/>
        <w:t>(a)</w:t>
      </w:r>
      <w:r w:rsidRPr="006C069E">
        <w:tab/>
        <w:t>request in writing the responsible officers of a relevant fund to collect from the Commissioner the amount, or the sum of the amounts, of the employee’s shortfall component; or</w:t>
      </w:r>
    </w:p>
    <w:p w:rsidR="009B62B2" w:rsidRPr="006C069E" w:rsidRDefault="009B62B2" w:rsidP="009B62B2">
      <w:pPr>
        <w:pStyle w:val="paragraph"/>
      </w:pPr>
      <w:r w:rsidRPr="006C069E">
        <w:tab/>
        <w:t>(b)</w:t>
      </w:r>
      <w:r w:rsidRPr="006C069E">
        <w:tab/>
        <w:t>lodge, at an office of the Australian Taxation Office, a written nomination of a relevant fund.</w:t>
      </w:r>
    </w:p>
    <w:p w:rsidR="009B62B2" w:rsidRPr="006C069E" w:rsidRDefault="003E0040" w:rsidP="009B62B2">
      <w:pPr>
        <w:pStyle w:val="ActHead5"/>
      </w:pPr>
      <w:bookmarkStart w:id="29" w:name="_Toc523810822"/>
      <w:r w:rsidRPr="006C069E">
        <w:rPr>
          <w:rStyle w:val="CharSectno"/>
        </w:rPr>
        <w:t>23</w:t>
      </w:r>
      <w:r w:rsidR="009B62B2" w:rsidRPr="006C069E">
        <w:t xml:space="preserve">  Shortfall component not to be paid in certain circumstances</w:t>
      </w:r>
      <w:bookmarkEnd w:id="29"/>
    </w:p>
    <w:p w:rsidR="00D60EA6" w:rsidRPr="006C069E" w:rsidRDefault="009B62B2" w:rsidP="00D60EA6">
      <w:pPr>
        <w:pStyle w:val="subsection"/>
      </w:pPr>
      <w:r w:rsidRPr="006C069E">
        <w:tab/>
      </w:r>
      <w:r w:rsidRPr="006C069E">
        <w:tab/>
        <w:t xml:space="preserve">The Commissioner must not pay the amount of a shortfall component in respect of an employee unless sufficient information is reasonably available to the Commissioner to allow </w:t>
      </w:r>
      <w:r w:rsidR="009F0DE0" w:rsidRPr="006C069E">
        <w:t>the Commissioner</w:t>
      </w:r>
      <w:r w:rsidRPr="006C069E">
        <w:t xml:space="preserve"> to identify the employee.</w:t>
      </w:r>
    </w:p>
    <w:p w:rsidR="00B72031" w:rsidRPr="006C069E" w:rsidRDefault="00B72031" w:rsidP="00B72031">
      <w:pPr>
        <w:pStyle w:val="ActHead2"/>
        <w:pageBreakBefore/>
      </w:pPr>
      <w:bookmarkStart w:id="30" w:name="f_Check_Lines_above"/>
      <w:bookmarkStart w:id="31" w:name="_Toc523810823"/>
      <w:bookmarkEnd w:id="30"/>
      <w:r w:rsidRPr="006C069E">
        <w:rPr>
          <w:rStyle w:val="CharPartNo"/>
        </w:rPr>
        <w:t>Part</w:t>
      </w:r>
      <w:r w:rsidR="006C069E" w:rsidRPr="006C069E">
        <w:rPr>
          <w:rStyle w:val="CharPartNo"/>
        </w:rPr>
        <w:t> </w:t>
      </w:r>
      <w:r w:rsidRPr="006C069E">
        <w:rPr>
          <w:rStyle w:val="CharPartNo"/>
        </w:rPr>
        <w:t>7</w:t>
      </w:r>
      <w:r w:rsidRPr="006C069E">
        <w:t>—</w:t>
      </w:r>
      <w:r w:rsidRPr="006C069E">
        <w:rPr>
          <w:rStyle w:val="CharPartText"/>
        </w:rPr>
        <w:t>Miscellaneous</w:t>
      </w:r>
      <w:bookmarkEnd w:id="31"/>
    </w:p>
    <w:p w:rsidR="00593A0B" w:rsidRPr="006C069E" w:rsidRDefault="00593A0B" w:rsidP="00593A0B">
      <w:pPr>
        <w:pStyle w:val="Header"/>
      </w:pPr>
      <w:r w:rsidRPr="006C069E">
        <w:rPr>
          <w:rStyle w:val="CharDivNo"/>
        </w:rPr>
        <w:t xml:space="preserve"> </w:t>
      </w:r>
      <w:r w:rsidRPr="006C069E">
        <w:rPr>
          <w:rStyle w:val="CharDivText"/>
        </w:rPr>
        <w:t xml:space="preserve"> </w:t>
      </w:r>
    </w:p>
    <w:p w:rsidR="00C31758" w:rsidRPr="006C069E" w:rsidRDefault="003E0040" w:rsidP="00C31758">
      <w:pPr>
        <w:pStyle w:val="ActHead5"/>
      </w:pPr>
      <w:bookmarkStart w:id="32" w:name="_Toc523810824"/>
      <w:r w:rsidRPr="006C069E">
        <w:rPr>
          <w:rStyle w:val="CharSectno"/>
        </w:rPr>
        <w:t>24</w:t>
      </w:r>
      <w:r w:rsidR="00C31758" w:rsidRPr="006C069E">
        <w:t xml:space="preserve">  Approved clearing houses</w:t>
      </w:r>
      <w:bookmarkEnd w:id="32"/>
    </w:p>
    <w:p w:rsidR="004120E2" w:rsidRPr="006C069E" w:rsidRDefault="00C31758" w:rsidP="004120E2">
      <w:pPr>
        <w:pStyle w:val="subsection"/>
      </w:pPr>
      <w:r w:rsidRPr="006C069E">
        <w:tab/>
      </w:r>
      <w:r w:rsidRPr="006C069E">
        <w:tab/>
        <w:t>For the purposes of subsection</w:t>
      </w:r>
      <w:r w:rsidR="006C069E" w:rsidRPr="006C069E">
        <w:t> </w:t>
      </w:r>
      <w:r w:rsidRPr="006C069E">
        <w:t xml:space="preserve">79A(3) of the Act, </w:t>
      </w:r>
      <w:r w:rsidR="004120E2" w:rsidRPr="006C069E">
        <w:t xml:space="preserve">the Australian Taxation Office is </w:t>
      </w:r>
      <w:r w:rsidRPr="006C069E">
        <w:t xml:space="preserve">an </w:t>
      </w:r>
      <w:r w:rsidRPr="006C069E">
        <w:rPr>
          <w:b/>
          <w:i/>
        </w:rPr>
        <w:t>approved clearing house</w:t>
      </w:r>
      <w:r w:rsidR="004120E2" w:rsidRPr="006C069E">
        <w:t>.</w:t>
      </w:r>
    </w:p>
    <w:p w:rsidR="006070FF" w:rsidRPr="006C069E" w:rsidRDefault="006070FF" w:rsidP="006070FF">
      <w:pPr>
        <w:pStyle w:val="ActHead2"/>
        <w:pageBreakBefore/>
      </w:pPr>
      <w:bookmarkStart w:id="33" w:name="_Toc523810825"/>
      <w:r w:rsidRPr="006C069E">
        <w:rPr>
          <w:rStyle w:val="CharPartNo"/>
        </w:rPr>
        <w:t>Part</w:t>
      </w:r>
      <w:r w:rsidR="006C069E" w:rsidRPr="006C069E">
        <w:rPr>
          <w:rStyle w:val="CharPartNo"/>
        </w:rPr>
        <w:t> </w:t>
      </w:r>
      <w:r w:rsidRPr="006C069E">
        <w:rPr>
          <w:rStyle w:val="CharPartNo"/>
        </w:rPr>
        <w:t>8</w:t>
      </w:r>
      <w:r w:rsidRPr="006C069E">
        <w:t>—</w:t>
      </w:r>
      <w:r w:rsidRPr="006C069E">
        <w:rPr>
          <w:rStyle w:val="CharPartText"/>
        </w:rPr>
        <w:t>Application and transitional provisions</w:t>
      </w:r>
      <w:bookmarkEnd w:id="33"/>
    </w:p>
    <w:p w:rsidR="006070FF" w:rsidRPr="006C069E" w:rsidRDefault="00286692" w:rsidP="00286692">
      <w:pPr>
        <w:pStyle w:val="Header"/>
      </w:pPr>
      <w:r w:rsidRPr="006C069E">
        <w:rPr>
          <w:rStyle w:val="CharDivNo"/>
        </w:rPr>
        <w:t xml:space="preserve"> </w:t>
      </w:r>
      <w:r w:rsidRPr="006C069E">
        <w:rPr>
          <w:rStyle w:val="CharDivText"/>
        </w:rPr>
        <w:t xml:space="preserve"> </w:t>
      </w:r>
    </w:p>
    <w:p w:rsidR="00E346F4" w:rsidRPr="006C069E" w:rsidRDefault="00E346F4" w:rsidP="0088274D">
      <w:pPr>
        <w:pStyle w:val="ActHead5"/>
      </w:pPr>
      <w:bookmarkStart w:id="34" w:name="_Toc523810826"/>
      <w:r w:rsidRPr="006C069E">
        <w:rPr>
          <w:rStyle w:val="CharSectno"/>
        </w:rPr>
        <w:t>25</w:t>
      </w:r>
      <w:r w:rsidRPr="006C069E">
        <w:t xml:space="preserve">  Application</w:t>
      </w:r>
      <w:r w:rsidR="0062132F" w:rsidRPr="006C069E">
        <w:t>—contributions</w:t>
      </w:r>
      <w:bookmarkEnd w:id="34"/>
    </w:p>
    <w:p w:rsidR="00DB6C6B" w:rsidRPr="006C069E" w:rsidRDefault="00DB6C6B" w:rsidP="00E346F4">
      <w:pPr>
        <w:pStyle w:val="subsection"/>
      </w:pPr>
      <w:r w:rsidRPr="006C069E">
        <w:tab/>
      </w:r>
      <w:r w:rsidRPr="006C069E">
        <w:tab/>
        <w:t xml:space="preserve">Paragraph </w:t>
      </w:r>
      <w:r w:rsidR="00672A65" w:rsidRPr="006C069E">
        <w:t>15(d) applies in relation to contributions made on or after 31</w:t>
      </w:r>
      <w:r w:rsidR="006C069E" w:rsidRPr="006C069E">
        <w:t> </w:t>
      </w:r>
      <w:r w:rsidR="00672A65" w:rsidRPr="006C069E">
        <w:t xml:space="preserve">March 2017 under the </w:t>
      </w:r>
      <w:r w:rsidR="00672A65" w:rsidRPr="006C069E">
        <w:rPr>
          <w:i/>
        </w:rPr>
        <w:t xml:space="preserve">Public Sector Superannuation Reform Act 2016 </w:t>
      </w:r>
      <w:r w:rsidR="00672A65" w:rsidRPr="006C069E">
        <w:t>(Tas.).</w:t>
      </w:r>
    </w:p>
    <w:p w:rsidR="00FF0EC3" w:rsidRPr="006C069E" w:rsidRDefault="00E346F4" w:rsidP="00FF0EC3">
      <w:pPr>
        <w:pStyle w:val="ActHead5"/>
        <w:rPr>
          <w:i/>
        </w:rPr>
      </w:pPr>
      <w:bookmarkStart w:id="35" w:name="_Toc523810827"/>
      <w:r w:rsidRPr="006C069E">
        <w:rPr>
          <w:rStyle w:val="CharSectno"/>
        </w:rPr>
        <w:t>26</w:t>
      </w:r>
      <w:r w:rsidR="00FF0EC3" w:rsidRPr="006C069E">
        <w:t xml:space="preserve">  </w:t>
      </w:r>
      <w:r w:rsidR="00B827DA" w:rsidRPr="006C069E">
        <w:t xml:space="preserve">Things done under the </w:t>
      </w:r>
      <w:r w:rsidR="00B827DA" w:rsidRPr="006C069E">
        <w:rPr>
          <w:i/>
        </w:rPr>
        <w:t>Superannuation Guarantee (Administration) Regulations</w:t>
      </w:r>
      <w:r w:rsidR="006C069E" w:rsidRPr="006C069E">
        <w:rPr>
          <w:i/>
        </w:rPr>
        <w:t> </w:t>
      </w:r>
      <w:r w:rsidR="00B827DA" w:rsidRPr="006C069E">
        <w:rPr>
          <w:i/>
        </w:rPr>
        <w:t>1993</w:t>
      </w:r>
      <w:bookmarkEnd w:id="35"/>
    </w:p>
    <w:p w:rsidR="00B827DA" w:rsidRPr="006C069E" w:rsidRDefault="00B827DA" w:rsidP="00B827DA">
      <w:pPr>
        <w:pStyle w:val="subsection"/>
      </w:pPr>
      <w:r w:rsidRPr="006C069E">
        <w:tab/>
        <w:t>(1)</w:t>
      </w:r>
      <w:r w:rsidRPr="006C069E">
        <w:tab/>
        <w:t>If:</w:t>
      </w:r>
    </w:p>
    <w:p w:rsidR="00B827DA" w:rsidRPr="006C069E" w:rsidRDefault="00B827DA" w:rsidP="00B827DA">
      <w:pPr>
        <w:pStyle w:val="paragraph"/>
      </w:pPr>
      <w:r w:rsidRPr="006C069E">
        <w:tab/>
        <w:t>(a)</w:t>
      </w:r>
      <w:r w:rsidRPr="006C069E">
        <w:tab/>
        <w:t xml:space="preserve">a thing was done for a particular purpose under the </w:t>
      </w:r>
      <w:r w:rsidRPr="006C069E">
        <w:rPr>
          <w:i/>
        </w:rPr>
        <w:t>Superannuation Guarantee (Administration) Regulations</w:t>
      </w:r>
      <w:r w:rsidR="006C069E" w:rsidRPr="006C069E">
        <w:rPr>
          <w:i/>
        </w:rPr>
        <w:t> </w:t>
      </w:r>
      <w:r w:rsidRPr="006C069E">
        <w:rPr>
          <w:i/>
        </w:rPr>
        <w:t>1993</w:t>
      </w:r>
      <w:r w:rsidRPr="006C069E">
        <w:t xml:space="preserve"> as in force immediately before those Regulations were repealed; and</w:t>
      </w:r>
    </w:p>
    <w:p w:rsidR="00B827DA" w:rsidRPr="006C069E" w:rsidRDefault="00B827DA" w:rsidP="00B827DA">
      <w:pPr>
        <w:pStyle w:val="paragraph"/>
      </w:pPr>
      <w:r w:rsidRPr="006C069E">
        <w:tab/>
        <w:t>(b)</w:t>
      </w:r>
      <w:r w:rsidRPr="006C069E">
        <w:tab/>
        <w:t>the thing could be done for that purpose under this instrument;</w:t>
      </w:r>
    </w:p>
    <w:p w:rsidR="00B827DA" w:rsidRPr="006C069E" w:rsidRDefault="00B827DA" w:rsidP="00B827DA">
      <w:pPr>
        <w:pStyle w:val="subsection2"/>
      </w:pPr>
      <w:r w:rsidRPr="006C069E">
        <w:t>the thing has effect for the purposes of this instrument as if it had been done for that purpose under this instrument.</w:t>
      </w:r>
    </w:p>
    <w:p w:rsidR="00B827DA" w:rsidRPr="006C069E" w:rsidRDefault="00B827DA" w:rsidP="00B827DA">
      <w:pPr>
        <w:pStyle w:val="subsection"/>
      </w:pPr>
      <w:r w:rsidRPr="006C069E">
        <w:tab/>
        <w:t>(2)</w:t>
      </w:r>
      <w:r w:rsidRPr="006C069E">
        <w:tab/>
        <w:t xml:space="preserve">Without limiting </w:t>
      </w:r>
      <w:r w:rsidR="006C069E" w:rsidRPr="006C069E">
        <w:t>subsection (</w:t>
      </w:r>
      <w:r w:rsidRPr="006C069E">
        <w:t>1), a reference in that subsection to a thing being done includes a reference to a notice, application or other instrument being given or made.</w:t>
      </w:r>
    </w:p>
    <w:p w:rsidR="00FD14D6" w:rsidRPr="006C069E" w:rsidRDefault="00FD14D6">
      <w:pPr>
        <w:sectPr w:rsidR="00FD14D6" w:rsidRPr="006C069E" w:rsidSect="005F62E4">
          <w:headerReference w:type="even" r:id="rId37"/>
          <w:headerReference w:type="default" r:id="rId38"/>
          <w:footerReference w:type="even" r:id="rId39"/>
          <w:footerReference w:type="default" r:id="rId40"/>
          <w:footerReference w:type="first" r:id="rId41"/>
          <w:pgSz w:w="11907" w:h="16839" w:code="9"/>
          <w:pgMar w:top="2233" w:right="1797" w:bottom="1440" w:left="1797" w:header="720" w:footer="709" w:gutter="0"/>
          <w:pgNumType w:start="1"/>
          <w:cols w:space="720"/>
          <w:docGrid w:linePitch="299"/>
        </w:sectPr>
      </w:pPr>
    </w:p>
    <w:p w:rsidR="00FD14D6" w:rsidRPr="006C069E" w:rsidRDefault="00FD14D6" w:rsidP="00FD14D6">
      <w:pPr>
        <w:pStyle w:val="ActHead6"/>
      </w:pPr>
      <w:bookmarkStart w:id="36" w:name="_Toc523810828"/>
      <w:bookmarkStart w:id="37" w:name="opcAmSched"/>
      <w:bookmarkStart w:id="38" w:name="opcCurrentFind"/>
      <w:r w:rsidRPr="006C069E">
        <w:rPr>
          <w:rStyle w:val="CharAmSchNo"/>
        </w:rPr>
        <w:t>Schedule</w:t>
      </w:r>
      <w:r w:rsidR="006C069E" w:rsidRPr="006C069E">
        <w:rPr>
          <w:rStyle w:val="CharAmSchNo"/>
        </w:rPr>
        <w:t> </w:t>
      </w:r>
      <w:r w:rsidRPr="006C069E">
        <w:rPr>
          <w:rStyle w:val="CharAmSchNo"/>
        </w:rPr>
        <w:t>1</w:t>
      </w:r>
      <w:r w:rsidRPr="006C069E">
        <w:t>—</w:t>
      </w:r>
      <w:r w:rsidRPr="006C069E">
        <w:rPr>
          <w:rStyle w:val="CharAmSchText"/>
        </w:rPr>
        <w:t>Repeals</w:t>
      </w:r>
      <w:bookmarkEnd w:id="36"/>
    </w:p>
    <w:bookmarkEnd w:id="37"/>
    <w:bookmarkEnd w:id="38"/>
    <w:p w:rsidR="00FD14D6" w:rsidRPr="006C069E" w:rsidRDefault="00FD14D6">
      <w:pPr>
        <w:pStyle w:val="Header"/>
      </w:pPr>
      <w:r w:rsidRPr="006C069E">
        <w:rPr>
          <w:rStyle w:val="CharAmPartNo"/>
        </w:rPr>
        <w:t xml:space="preserve"> </w:t>
      </w:r>
      <w:r w:rsidRPr="006C069E">
        <w:rPr>
          <w:rStyle w:val="CharAmPartText"/>
        </w:rPr>
        <w:t xml:space="preserve"> </w:t>
      </w:r>
    </w:p>
    <w:p w:rsidR="00FD14D6" w:rsidRPr="006C069E" w:rsidRDefault="00FD14D6" w:rsidP="00FD14D6">
      <w:pPr>
        <w:pStyle w:val="ActHead9"/>
      </w:pPr>
      <w:bookmarkStart w:id="39" w:name="_Toc523810829"/>
      <w:r w:rsidRPr="006C069E">
        <w:t>Superannuation Guarantee (Administration) Regulations</w:t>
      </w:r>
      <w:r w:rsidR="006C069E" w:rsidRPr="006C069E">
        <w:t> </w:t>
      </w:r>
      <w:r w:rsidRPr="006C069E">
        <w:t>1993</w:t>
      </w:r>
      <w:bookmarkEnd w:id="39"/>
    </w:p>
    <w:p w:rsidR="00FD14D6" w:rsidRPr="006C069E" w:rsidRDefault="00FD14D6" w:rsidP="00FD14D6">
      <w:pPr>
        <w:pStyle w:val="ItemHead"/>
      </w:pPr>
      <w:r w:rsidRPr="006C069E">
        <w:t>1  The whole of the instrument</w:t>
      </w:r>
    </w:p>
    <w:p w:rsidR="00FD14D6" w:rsidRPr="006C069E" w:rsidRDefault="00FD14D6" w:rsidP="00FD5EF3">
      <w:pPr>
        <w:pStyle w:val="Item"/>
      </w:pPr>
      <w:r w:rsidRPr="006C069E">
        <w:t>Repeal the instrument.</w:t>
      </w:r>
    </w:p>
    <w:p w:rsidR="00FD14D6" w:rsidRPr="006C069E" w:rsidRDefault="00FD14D6">
      <w:pPr>
        <w:sectPr w:rsidR="00FD14D6" w:rsidRPr="006C069E" w:rsidSect="005F62E4">
          <w:headerReference w:type="even" r:id="rId42"/>
          <w:headerReference w:type="default" r:id="rId43"/>
          <w:footerReference w:type="even" r:id="rId44"/>
          <w:footerReference w:type="default" r:id="rId45"/>
          <w:headerReference w:type="first" r:id="rId46"/>
          <w:footerReference w:type="first" r:id="rId47"/>
          <w:pgSz w:w="11907" w:h="16839" w:code="9"/>
          <w:pgMar w:top="2233" w:right="1797" w:bottom="1440" w:left="1797" w:header="720" w:footer="709" w:gutter="0"/>
          <w:cols w:space="720"/>
          <w:docGrid w:linePitch="299"/>
        </w:sectPr>
      </w:pPr>
    </w:p>
    <w:p w:rsidR="00FD14D6" w:rsidRPr="006C069E" w:rsidRDefault="00FD14D6" w:rsidP="00CF0225">
      <w:pPr>
        <w:rPr>
          <w:b/>
          <w:i/>
        </w:rPr>
      </w:pPr>
    </w:p>
    <w:sectPr w:rsidR="00FD14D6" w:rsidRPr="006C069E" w:rsidSect="005F62E4">
      <w:headerReference w:type="even" r:id="rId48"/>
      <w:headerReference w:type="default" r:id="rId49"/>
      <w:footerReference w:type="even" r:id="rId50"/>
      <w:footerReference w:type="default" r:id="rId51"/>
      <w:headerReference w:type="first" r:id="rId52"/>
      <w:footerReference w:type="first" r:id="rId53"/>
      <w:type w:val="continuous"/>
      <w:pgSz w:w="11907" w:h="16839" w:code="9"/>
      <w:pgMar w:top="2234"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56" w:rsidRDefault="008C5956" w:rsidP="00715914">
      <w:pPr>
        <w:spacing w:line="240" w:lineRule="auto"/>
      </w:pPr>
      <w:r>
        <w:separator/>
      </w:r>
    </w:p>
  </w:endnote>
  <w:endnote w:type="continuationSeparator" w:id="0">
    <w:p w:rsidR="008C5956" w:rsidRDefault="008C595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E4" w:rsidRPr="005F62E4" w:rsidRDefault="005F62E4" w:rsidP="005F62E4">
    <w:pPr>
      <w:pStyle w:val="Footer"/>
      <w:rPr>
        <w:i/>
        <w:sz w:val="18"/>
      </w:rPr>
    </w:pPr>
    <w:r w:rsidRPr="005F62E4">
      <w:rPr>
        <w:i/>
        <w:sz w:val="18"/>
      </w:rPr>
      <w:t>OPC63191 -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D90ABA" w:rsidRDefault="008C5956" w:rsidP="00FD14D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8C5956" w:rsidTr="00FD14D6">
      <w:tc>
        <w:tcPr>
          <w:tcW w:w="942" w:type="pct"/>
        </w:tcPr>
        <w:p w:rsidR="008C5956" w:rsidRDefault="008C5956" w:rsidP="00BD41A6">
          <w:pPr>
            <w:spacing w:line="0" w:lineRule="atLeast"/>
            <w:rPr>
              <w:sz w:val="18"/>
            </w:rPr>
          </w:pPr>
        </w:p>
      </w:tc>
      <w:tc>
        <w:tcPr>
          <w:tcW w:w="3671" w:type="pct"/>
        </w:tcPr>
        <w:p w:rsidR="008C5956" w:rsidRDefault="008C5956" w:rsidP="00BD41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F36D8">
            <w:rPr>
              <w:i/>
              <w:sz w:val="18"/>
            </w:rPr>
            <w:t>Superannuation Guarantee (Administration) Regulations 2018</w:t>
          </w:r>
          <w:r w:rsidRPr="007A1328">
            <w:rPr>
              <w:i/>
              <w:sz w:val="18"/>
            </w:rPr>
            <w:fldChar w:fldCharType="end"/>
          </w:r>
        </w:p>
      </w:tc>
      <w:tc>
        <w:tcPr>
          <w:tcW w:w="387" w:type="pct"/>
        </w:tcPr>
        <w:p w:rsidR="008C5956" w:rsidRDefault="008C5956" w:rsidP="00BD41A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714C">
            <w:rPr>
              <w:i/>
              <w:noProof/>
              <w:sz w:val="18"/>
            </w:rPr>
            <w:t>20</w:t>
          </w:r>
          <w:r w:rsidRPr="00ED79B6">
            <w:rPr>
              <w:i/>
              <w:sz w:val="18"/>
            </w:rPr>
            <w:fldChar w:fldCharType="end"/>
          </w:r>
        </w:p>
      </w:tc>
    </w:tr>
  </w:tbl>
  <w:p w:rsidR="008C5956" w:rsidRPr="005F62E4" w:rsidRDefault="005F62E4" w:rsidP="005F62E4">
    <w:pPr>
      <w:rPr>
        <w:rFonts w:cs="Times New Roman"/>
        <w:i/>
        <w:sz w:val="18"/>
      </w:rPr>
    </w:pPr>
    <w:r w:rsidRPr="005F62E4">
      <w:rPr>
        <w:rFonts w:cs="Times New Roman"/>
        <w:i/>
        <w:sz w:val="18"/>
      </w:rPr>
      <w:t>OPC63191 -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Default="008C5956">
    <w:pPr>
      <w:pBdr>
        <w:top w:val="single" w:sz="6" w:space="1" w:color="auto"/>
      </w:pBdr>
      <w:rPr>
        <w:sz w:val="18"/>
      </w:rPr>
    </w:pPr>
  </w:p>
  <w:p w:rsidR="008C5956" w:rsidRDefault="008C5956">
    <w:pPr>
      <w:jc w:val="right"/>
      <w:rPr>
        <w:i/>
        <w:sz w:val="18"/>
      </w:rPr>
    </w:pPr>
    <w:r>
      <w:rPr>
        <w:i/>
        <w:sz w:val="18"/>
      </w:rPr>
      <w:fldChar w:fldCharType="begin"/>
    </w:r>
    <w:r>
      <w:rPr>
        <w:i/>
        <w:sz w:val="18"/>
      </w:rPr>
      <w:instrText xml:space="preserve"> STYLEREF ShortT </w:instrText>
    </w:r>
    <w:r>
      <w:rPr>
        <w:i/>
        <w:sz w:val="18"/>
      </w:rPr>
      <w:fldChar w:fldCharType="separate"/>
    </w:r>
    <w:r w:rsidR="003F36D8">
      <w:rPr>
        <w:i/>
        <w:noProof/>
        <w:sz w:val="18"/>
      </w:rPr>
      <w:t>Superannuation Guarantee (Administration)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F36D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9714C">
      <w:rPr>
        <w:i/>
        <w:noProof/>
        <w:sz w:val="18"/>
      </w:rPr>
      <w:t>20</w:t>
    </w:r>
    <w:r>
      <w:rPr>
        <w:i/>
        <w:sz w:val="18"/>
      </w:rPr>
      <w:fldChar w:fldCharType="end"/>
    </w:r>
  </w:p>
  <w:p w:rsidR="008C5956" w:rsidRPr="005F62E4" w:rsidRDefault="005F62E4" w:rsidP="005F62E4">
    <w:pPr>
      <w:rPr>
        <w:rFonts w:cs="Times New Roman"/>
        <w:i/>
        <w:sz w:val="18"/>
      </w:rPr>
    </w:pPr>
    <w:r w:rsidRPr="005F62E4">
      <w:rPr>
        <w:rFonts w:cs="Times New Roman"/>
        <w:i/>
        <w:sz w:val="18"/>
      </w:rPr>
      <w:t>OPC63191 - 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E33C1C" w:rsidRDefault="008C5956" w:rsidP="00FD14D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8C5956" w:rsidTr="00FD14D6">
      <w:tc>
        <w:tcPr>
          <w:tcW w:w="418" w:type="pct"/>
          <w:tcBorders>
            <w:top w:val="nil"/>
            <w:left w:val="nil"/>
            <w:bottom w:val="nil"/>
            <w:right w:val="nil"/>
          </w:tcBorders>
        </w:tcPr>
        <w:p w:rsidR="008C5956" w:rsidRDefault="008C5956" w:rsidP="00717B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714C">
            <w:rPr>
              <w:i/>
              <w:noProof/>
              <w:sz w:val="18"/>
            </w:rPr>
            <w:t>20</w:t>
          </w:r>
          <w:r w:rsidRPr="00ED79B6">
            <w:rPr>
              <w:i/>
              <w:sz w:val="18"/>
            </w:rPr>
            <w:fldChar w:fldCharType="end"/>
          </w:r>
        </w:p>
      </w:tc>
      <w:tc>
        <w:tcPr>
          <w:tcW w:w="3765" w:type="pct"/>
          <w:tcBorders>
            <w:top w:val="nil"/>
            <w:left w:val="nil"/>
            <w:bottom w:val="nil"/>
            <w:right w:val="nil"/>
          </w:tcBorders>
        </w:tcPr>
        <w:p w:rsidR="008C5956" w:rsidRDefault="008C5956" w:rsidP="00717B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F36D8">
            <w:rPr>
              <w:i/>
              <w:sz w:val="18"/>
            </w:rPr>
            <w:t>Superannuation Guarantee (Administration) Regulations 2018</w:t>
          </w:r>
          <w:r w:rsidRPr="007A1328">
            <w:rPr>
              <w:i/>
              <w:sz w:val="18"/>
            </w:rPr>
            <w:fldChar w:fldCharType="end"/>
          </w:r>
        </w:p>
      </w:tc>
      <w:tc>
        <w:tcPr>
          <w:tcW w:w="817" w:type="pct"/>
          <w:tcBorders>
            <w:top w:val="nil"/>
            <w:left w:val="nil"/>
            <w:bottom w:val="nil"/>
            <w:right w:val="nil"/>
          </w:tcBorders>
        </w:tcPr>
        <w:p w:rsidR="008C5956" w:rsidRDefault="008C5956" w:rsidP="00717B09">
          <w:pPr>
            <w:spacing w:line="0" w:lineRule="atLeast"/>
            <w:jc w:val="right"/>
            <w:rPr>
              <w:sz w:val="18"/>
            </w:rPr>
          </w:pPr>
        </w:p>
      </w:tc>
    </w:tr>
  </w:tbl>
  <w:p w:rsidR="008C5956" w:rsidRPr="00ED79B6" w:rsidRDefault="008C5956" w:rsidP="007500C8">
    <w:pPr>
      <w:rPr>
        <w:i/>
        <w:sz w:val="18"/>
      </w:rPr>
    </w:pPr>
  </w:p>
  <w:p w:rsidR="008C5956" w:rsidRPr="005F62E4" w:rsidRDefault="005F62E4" w:rsidP="005F62E4">
    <w:pPr>
      <w:rPr>
        <w:rFonts w:cs="Times New Roman"/>
        <w:i/>
        <w:sz w:val="18"/>
      </w:rPr>
    </w:pPr>
    <w:r w:rsidRPr="005F62E4">
      <w:rPr>
        <w:rFonts w:cs="Times New Roman"/>
        <w:i/>
        <w:sz w:val="18"/>
      </w:rPr>
      <w:t>OPC63191 -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E33C1C" w:rsidRDefault="008C5956" w:rsidP="00FD14D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C5956" w:rsidTr="00FD14D6">
      <w:tc>
        <w:tcPr>
          <w:tcW w:w="817" w:type="pct"/>
          <w:tcBorders>
            <w:top w:val="nil"/>
            <w:left w:val="nil"/>
            <w:bottom w:val="nil"/>
            <w:right w:val="nil"/>
          </w:tcBorders>
        </w:tcPr>
        <w:p w:rsidR="008C5956" w:rsidRDefault="008C5956" w:rsidP="00717B09">
          <w:pPr>
            <w:spacing w:line="0" w:lineRule="atLeast"/>
            <w:rPr>
              <w:sz w:val="18"/>
            </w:rPr>
          </w:pPr>
        </w:p>
      </w:tc>
      <w:tc>
        <w:tcPr>
          <w:tcW w:w="3765" w:type="pct"/>
          <w:tcBorders>
            <w:top w:val="nil"/>
            <w:left w:val="nil"/>
            <w:bottom w:val="nil"/>
            <w:right w:val="nil"/>
          </w:tcBorders>
        </w:tcPr>
        <w:p w:rsidR="008C5956" w:rsidRDefault="008C5956" w:rsidP="00717B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F36D8">
            <w:rPr>
              <w:i/>
              <w:sz w:val="18"/>
            </w:rPr>
            <w:t>Superannuation Guarantee (Administration) Regulations 2018</w:t>
          </w:r>
          <w:r w:rsidRPr="007A1328">
            <w:rPr>
              <w:i/>
              <w:sz w:val="18"/>
            </w:rPr>
            <w:fldChar w:fldCharType="end"/>
          </w:r>
        </w:p>
      </w:tc>
      <w:tc>
        <w:tcPr>
          <w:tcW w:w="418" w:type="pct"/>
          <w:tcBorders>
            <w:top w:val="nil"/>
            <w:left w:val="nil"/>
            <w:bottom w:val="nil"/>
            <w:right w:val="nil"/>
          </w:tcBorders>
        </w:tcPr>
        <w:p w:rsidR="008C5956" w:rsidRDefault="008C5956" w:rsidP="00717B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714C">
            <w:rPr>
              <w:i/>
              <w:noProof/>
              <w:sz w:val="18"/>
            </w:rPr>
            <w:t>20</w:t>
          </w:r>
          <w:r w:rsidRPr="00ED79B6">
            <w:rPr>
              <w:i/>
              <w:sz w:val="18"/>
            </w:rPr>
            <w:fldChar w:fldCharType="end"/>
          </w:r>
        </w:p>
      </w:tc>
    </w:tr>
  </w:tbl>
  <w:p w:rsidR="008C5956" w:rsidRPr="00ED79B6" w:rsidRDefault="008C5956" w:rsidP="00472DBE">
    <w:pPr>
      <w:rPr>
        <w:i/>
        <w:sz w:val="18"/>
      </w:rPr>
    </w:pPr>
  </w:p>
  <w:p w:rsidR="008C5956" w:rsidRPr="005F62E4" w:rsidRDefault="005F62E4" w:rsidP="005F62E4">
    <w:pPr>
      <w:rPr>
        <w:rFonts w:cs="Times New Roman"/>
        <w:i/>
        <w:sz w:val="18"/>
      </w:rPr>
    </w:pPr>
    <w:r w:rsidRPr="005F62E4">
      <w:rPr>
        <w:rFonts w:cs="Times New Roman"/>
        <w:i/>
        <w:sz w:val="18"/>
      </w:rPr>
      <w:t>OPC63191 -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E33C1C" w:rsidRDefault="008C5956"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C5956" w:rsidTr="00FD14D6">
      <w:tc>
        <w:tcPr>
          <w:tcW w:w="817" w:type="pct"/>
          <w:tcBorders>
            <w:top w:val="nil"/>
            <w:left w:val="nil"/>
            <w:bottom w:val="nil"/>
            <w:right w:val="nil"/>
          </w:tcBorders>
        </w:tcPr>
        <w:p w:rsidR="008C5956" w:rsidRDefault="008C5956" w:rsidP="00717B09">
          <w:pPr>
            <w:spacing w:line="0" w:lineRule="atLeast"/>
            <w:rPr>
              <w:sz w:val="18"/>
            </w:rPr>
          </w:pPr>
        </w:p>
      </w:tc>
      <w:tc>
        <w:tcPr>
          <w:tcW w:w="3765" w:type="pct"/>
          <w:tcBorders>
            <w:top w:val="nil"/>
            <w:left w:val="nil"/>
            <w:bottom w:val="nil"/>
            <w:right w:val="nil"/>
          </w:tcBorders>
        </w:tcPr>
        <w:p w:rsidR="008C5956" w:rsidRDefault="008C5956" w:rsidP="00717B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F36D8">
            <w:rPr>
              <w:i/>
              <w:sz w:val="18"/>
            </w:rPr>
            <w:t>Superannuation Guarantee (Administration) Regulations 2018</w:t>
          </w:r>
          <w:r w:rsidRPr="007A1328">
            <w:rPr>
              <w:i/>
              <w:sz w:val="18"/>
            </w:rPr>
            <w:fldChar w:fldCharType="end"/>
          </w:r>
        </w:p>
      </w:tc>
      <w:tc>
        <w:tcPr>
          <w:tcW w:w="418" w:type="pct"/>
          <w:tcBorders>
            <w:top w:val="nil"/>
            <w:left w:val="nil"/>
            <w:bottom w:val="nil"/>
            <w:right w:val="nil"/>
          </w:tcBorders>
        </w:tcPr>
        <w:p w:rsidR="008C5956" w:rsidRDefault="008C5956" w:rsidP="00717B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714C">
            <w:rPr>
              <w:i/>
              <w:noProof/>
              <w:sz w:val="18"/>
            </w:rPr>
            <w:t>20</w:t>
          </w:r>
          <w:r w:rsidRPr="00ED79B6">
            <w:rPr>
              <w:i/>
              <w:sz w:val="18"/>
            </w:rPr>
            <w:fldChar w:fldCharType="end"/>
          </w:r>
        </w:p>
      </w:tc>
    </w:tr>
  </w:tbl>
  <w:p w:rsidR="008C5956" w:rsidRPr="00ED79B6" w:rsidRDefault="008C5956" w:rsidP="007500C8">
    <w:pPr>
      <w:rPr>
        <w:i/>
        <w:sz w:val="18"/>
      </w:rPr>
    </w:pPr>
  </w:p>
  <w:p w:rsidR="008C5956" w:rsidRPr="005F62E4" w:rsidRDefault="005F62E4" w:rsidP="005F62E4">
    <w:pPr>
      <w:rPr>
        <w:rFonts w:cs="Times New Roman"/>
        <w:i/>
        <w:sz w:val="18"/>
      </w:rPr>
    </w:pPr>
    <w:r w:rsidRPr="005F62E4">
      <w:rPr>
        <w:rFonts w:cs="Times New Roman"/>
        <w:i/>
        <w:sz w:val="18"/>
      </w:rPr>
      <w:t>OPC63191 -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Default="008C5956" w:rsidP="00FD14D6">
    <w:pPr>
      <w:pStyle w:val="Footer"/>
      <w:spacing w:before="120"/>
    </w:pPr>
  </w:p>
  <w:p w:rsidR="008C5956" w:rsidRPr="005F62E4" w:rsidRDefault="005F62E4" w:rsidP="005F62E4">
    <w:pPr>
      <w:pStyle w:val="Footer"/>
      <w:rPr>
        <w:i/>
        <w:sz w:val="18"/>
      </w:rPr>
    </w:pPr>
    <w:r w:rsidRPr="005F62E4">
      <w:rPr>
        <w:i/>
        <w:sz w:val="18"/>
      </w:rPr>
      <w:t>OPC63191 -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5F62E4" w:rsidRDefault="005F62E4" w:rsidP="005F62E4">
    <w:pPr>
      <w:pStyle w:val="Footer"/>
      <w:tabs>
        <w:tab w:val="clear" w:pos="4153"/>
        <w:tab w:val="clear" w:pos="8306"/>
        <w:tab w:val="center" w:pos="4150"/>
        <w:tab w:val="right" w:pos="8307"/>
      </w:tabs>
      <w:spacing w:before="120"/>
      <w:rPr>
        <w:i/>
        <w:sz w:val="18"/>
      </w:rPr>
    </w:pPr>
    <w:r w:rsidRPr="005F62E4">
      <w:rPr>
        <w:i/>
        <w:sz w:val="18"/>
      </w:rPr>
      <w:t>OPC63191 -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E33C1C" w:rsidRDefault="008C5956" w:rsidP="00FD14D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8C5956" w:rsidTr="00FD14D6">
      <w:tc>
        <w:tcPr>
          <w:tcW w:w="418" w:type="pct"/>
          <w:tcBorders>
            <w:top w:val="nil"/>
            <w:left w:val="nil"/>
            <w:bottom w:val="nil"/>
            <w:right w:val="nil"/>
          </w:tcBorders>
        </w:tcPr>
        <w:p w:rsidR="008C5956" w:rsidRDefault="008C5956" w:rsidP="00717B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714C">
            <w:rPr>
              <w:i/>
              <w:noProof/>
              <w:sz w:val="18"/>
            </w:rPr>
            <w:t>xx</w:t>
          </w:r>
          <w:r w:rsidRPr="00ED79B6">
            <w:rPr>
              <w:i/>
              <w:sz w:val="18"/>
            </w:rPr>
            <w:fldChar w:fldCharType="end"/>
          </w:r>
        </w:p>
      </w:tc>
      <w:tc>
        <w:tcPr>
          <w:tcW w:w="3765" w:type="pct"/>
          <w:tcBorders>
            <w:top w:val="nil"/>
            <w:left w:val="nil"/>
            <w:bottom w:val="nil"/>
            <w:right w:val="nil"/>
          </w:tcBorders>
        </w:tcPr>
        <w:p w:rsidR="008C5956" w:rsidRDefault="008C5956" w:rsidP="00717B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F36D8">
            <w:rPr>
              <w:i/>
              <w:sz w:val="18"/>
            </w:rPr>
            <w:t>Superannuation Guarantee (Administration) Regulations 2018</w:t>
          </w:r>
          <w:r w:rsidRPr="007A1328">
            <w:rPr>
              <w:i/>
              <w:sz w:val="18"/>
            </w:rPr>
            <w:fldChar w:fldCharType="end"/>
          </w:r>
        </w:p>
      </w:tc>
      <w:tc>
        <w:tcPr>
          <w:tcW w:w="817" w:type="pct"/>
          <w:tcBorders>
            <w:top w:val="nil"/>
            <w:left w:val="nil"/>
            <w:bottom w:val="nil"/>
            <w:right w:val="nil"/>
          </w:tcBorders>
        </w:tcPr>
        <w:p w:rsidR="008C5956" w:rsidRDefault="008C5956" w:rsidP="00717B09">
          <w:pPr>
            <w:spacing w:line="0" w:lineRule="atLeast"/>
            <w:jc w:val="right"/>
            <w:rPr>
              <w:sz w:val="18"/>
            </w:rPr>
          </w:pPr>
        </w:p>
      </w:tc>
    </w:tr>
  </w:tbl>
  <w:p w:rsidR="008C5956" w:rsidRPr="005F62E4" w:rsidRDefault="005F62E4" w:rsidP="005F62E4">
    <w:pPr>
      <w:rPr>
        <w:rFonts w:cs="Times New Roman"/>
        <w:i/>
        <w:sz w:val="18"/>
      </w:rPr>
    </w:pPr>
    <w:r w:rsidRPr="005F62E4">
      <w:rPr>
        <w:rFonts w:cs="Times New Roman"/>
        <w:i/>
        <w:sz w:val="18"/>
      </w:rPr>
      <w:t>OPC63191 -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E33C1C" w:rsidRDefault="008C5956" w:rsidP="00FD14D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8C5956" w:rsidTr="00CF0225">
      <w:tc>
        <w:tcPr>
          <w:tcW w:w="816" w:type="pct"/>
          <w:tcBorders>
            <w:top w:val="nil"/>
            <w:left w:val="nil"/>
            <w:bottom w:val="nil"/>
            <w:right w:val="nil"/>
          </w:tcBorders>
        </w:tcPr>
        <w:p w:rsidR="008C5956" w:rsidRDefault="008C5956" w:rsidP="00717B09">
          <w:pPr>
            <w:spacing w:line="0" w:lineRule="atLeast"/>
            <w:rPr>
              <w:sz w:val="18"/>
            </w:rPr>
          </w:pPr>
        </w:p>
      </w:tc>
      <w:tc>
        <w:tcPr>
          <w:tcW w:w="3765" w:type="pct"/>
          <w:tcBorders>
            <w:top w:val="nil"/>
            <w:left w:val="nil"/>
            <w:bottom w:val="nil"/>
            <w:right w:val="nil"/>
          </w:tcBorders>
        </w:tcPr>
        <w:p w:rsidR="008C5956" w:rsidRDefault="008C5956" w:rsidP="00717B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F36D8">
            <w:rPr>
              <w:i/>
              <w:sz w:val="18"/>
            </w:rPr>
            <w:t>Superannuation Guarantee (Administration) Regulations 2018</w:t>
          </w:r>
          <w:r w:rsidRPr="007A1328">
            <w:rPr>
              <w:i/>
              <w:sz w:val="18"/>
            </w:rPr>
            <w:fldChar w:fldCharType="end"/>
          </w:r>
        </w:p>
      </w:tc>
      <w:tc>
        <w:tcPr>
          <w:tcW w:w="419" w:type="pct"/>
          <w:tcBorders>
            <w:top w:val="nil"/>
            <w:left w:val="nil"/>
            <w:bottom w:val="nil"/>
            <w:right w:val="nil"/>
          </w:tcBorders>
        </w:tcPr>
        <w:p w:rsidR="008C5956" w:rsidRDefault="008C5956" w:rsidP="00717B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1AC5">
            <w:rPr>
              <w:i/>
              <w:noProof/>
              <w:sz w:val="18"/>
            </w:rPr>
            <w:t>i</w:t>
          </w:r>
          <w:r w:rsidRPr="00ED79B6">
            <w:rPr>
              <w:i/>
              <w:sz w:val="18"/>
            </w:rPr>
            <w:fldChar w:fldCharType="end"/>
          </w:r>
        </w:p>
      </w:tc>
    </w:tr>
  </w:tbl>
  <w:p w:rsidR="008C5956" w:rsidRPr="005F62E4" w:rsidRDefault="005F62E4" w:rsidP="005F62E4">
    <w:pPr>
      <w:rPr>
        <w:rFonts w:cs="Times New Roman"/>
        <w:i/>
        <w:sz w:val="18"/>
      </w:rPr>
    </w:pPr>
    <w:r w:rsidRPr="005F62E4">
      <w:rPr>
        <w:rFonts w:cs="Times New Roman"/>
        <w:i/>
        <w:sz w:val="18"/>
      </w:rPr>
      <w:t>OPC63191 -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D90ABA" w:rsidRDefault="008C5956" w:rsidP="00FD14D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5956" w:rsidTr="00FD14D6">
      <w:tc>
        <w:tcPr>
          <w:tcW w:w="365" w:type="pct"/>
        </w:tcPr>
        <w:p w:rsidR="008C5956" w:rsidRDefault="008C5956" w:rsidP="00BD41A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1AC5">
            <w:rPr>
              <w:i/>
              <w:noProof/>
              <w:sz w:val="18"/>
            </w:rPr>
            <w:t>2</w:t>
          </w:r>
          <w:r w:rsidRPr="00ED79B6">
            <w:rPr>
              <w:i/>
              <w:sz w:val="18"/>
            </w:rPr>
            <w:fldChar w:fldCharType="end"/>
          </w:r>
        </w:p>
      </w:tc>
      <w:tc>
        <w:tcPr>
          <w:tcW w:w="3688" w:type="pct"/>
        </w:tcPr>
        <w:p w:rsidR="008C5956" w:rsidRDefault="008C5956" w:rsidP="00BD41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F36D8">
            <w:rPr>
              <w:i/>
              <w:sz w:val="18"/>
            </w:rPr>
            <w:t>Superannuation Guarantee (Administration) Regulations 2018</w:t>
          </w:r>
          <w:r w:rsidRPr="007A1328">
            <w:rPr>
              <w:i/>
              <w:sz w:val="18"/>
            </w:rPr>
            <w:fldChar w:fldCharType="end"/>
          </w:r>
        </w:p>
      </w:tc>
      <w:tc>
        <w:tcPr>
          <w:tcW w:w="947" w:type="pct"/>
        </w:tcPr>
        <w:p w:rsidR="008C5956" w:rsidRDefault="008C5956" w:rsidP="00BD41A6">
          <w:pPr>
            <w:spacing w:line="0" w:lineRule="atLeast"/>
            <w:jc w:val="right"/>
            <w:rPr>
              <w:sz w:val="18"/>
            </w:rPr>
          </w:pPr>
        </w:p>
      </w:tc>
    </w:tr>
  </w:tbl>
  <w:p w:rsidR="008C5956" w:rsidRPr="005F62E4" w:rsidRDefault="005F62E4" w:rsidP="005F62E4">
    <w:pPr>
      <w:rPr>
        <w:rFonts w:cs="Times New Roman"/>
        <w:i/>
        <w:sz w:val="18"/>
      </w:rPr>
    </w:pPr>
    <w:r w:rsidRPr="005F62E4">
      <w:rPr>
        <w:rFonts w:cs="Times New Roman"/>
        <w:i/>
        <w:sz w:val="18"/>
      </w:rPr>
      <w:t>OPC63191 -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D90ABA" w:rsidRDefault="008C5956" w:rsidP="00FD14D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C5956" w:rsidTr="00FD14D6">
      <w:tc>
        <w:tcPr>
          <w:tcW w:w="947" w:type="pct"/>
        </w:tcPr>
        <w:p w:rsidR="008C5956" w:rsidRDefault="008C5956" w:rsidP="00BD41A6">
          <w:pPr>
            <w:spacing w:line="0" w:lineRule="atLeast"/>
            <w:rPr>
              <w:sz w:val="18"/>
            </w:rPr>
          </w:pPr>
        </w:p>
      </w:tc>
      <w:tc>
        <w:tcPr>
          <w:tcW w:w="3688" w:type="pct"/>
        </w:tcPr>
        <w:p w:rsidR="008C5956" w:rsidRDefault="008C5956" w:rsidP="00BD41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F36D8">
            <w:rPr>
              <w:i/>
              <w:sz w:val="18"/>
            </w:rPr>
            <w:t>Superannuation Guarantee (Administration) Regulations 2018</w:t>
          </w:r>
          <w:r w:rsidRPr="007A1328">
            <w:rPr>
              <w:i/>
              <w:sz w:val="18"/>
            </w:rPr>
            <w:fldChar w:fldCharType="end"/>
          </w:r>
        </w:p>
      </w:tc>
      <w:tc>
        <w:tcPr>
          <w:tcW w:w="365" w:type="pct"/>
        </w:tcPr>
        <w:p w:rsidR="008C5956" w:rsidRDefault="008C5956" w:rsidP="00BD41A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1AC5">
            <w:rPr>
              <w:i/>
              <w:noProof/>
              <w:sz w:val="18"/>
            </w:rPr>
            <w:t>1</w:t>
          </w:r>
          <w:r w:rsidRPr="00ED79B6">
            <w:rPr>
              <w:i/>
              <w:sz w:val="18"/>
            </w:rPr>
            <w:fldChar w:fldCharType="end"/>
          </w:r>
        </w:p>
      </w:tc>
    </w:tr>
  </w:tbl>
  <w:p w:rsidR="008C5956" w:rsidRPr="005F62E4" w:rsidRDefault="005F62E4" w:rsidP="005F62E4">
    <w:pPr>
      <w:rPr>
        <w:rFonts w:cs="Times New Roman"/>
        <w:i/>
        <w:sz w:val="18"/>
      </w:rPr>
    </w:pPr>
    <w:r w:rsidRPr="005F62E4">
      <w:rPr>
        <w:rFonts w:cs="Times New Roman"/>
        <w:i/>
        <w:sz w:val="18"/>
      </w:rPr>
      <w:t>OPC63191 -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E33C1C" w:rsidRDefault="008C5956" w:rsidP="00FD14D6">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C5956" w:rsidTr="00FD14D6">
      <w:tc>
        <w:tcPr>
          <w:tcW w:w="817" w:type="pct"/>
          <w:tcBorders>
            <w:top w:val="nil"/>
            <w:left w:val="nil"/>
            <w:bottom w:val="nil"/>
            <w:right w:val="nil"/>
          </w:tcBorders>
        </w:tcPr>
        <w:p w:rsidR="008C5956" w:rsidRDefault="008C5956" w:rsidP="00BD41A6">
          <w:pPr>
            <w:spacing w:line="0" w:lineRule="atLeast"/>
            <w:rPr>
              <w:sz w:val="18"/>
            </w:rPr>
          </w:pPr>
        </w:p>
      </w:tc>
      <w:tc>
        <w:tcPr>
          <w:tcW w:w="3765" w:type="pct"/>
          <w:tcBorders>
            <w:top w:val="nil"/>
            <w:left w:val="nil"/>
            <w:bottom w:val="nil"/>
            <w:right w:val="nil"/>
          </w:tcBorders>
        </w:tcPr>
        <w:p w:rsidR="008C5956" w:rsidRDefault="008C5956" w:rsidP="00BD41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F36D8">
            <w:rPr>
              <w:i/>
              <w:sz w:val="18"/>
            </w:rPr>
            <w:t>Superannuation Guarantee (Administration) Regulations 2018</w:t>
          </w:r>
          <w:r w:rsidRPr="007A1328">
            <w:rPr>
              <w:i/>
              <w:sz w:val="18"/>
            </w:rPr>
            <w:fldChar w:fldCharType="end"/>
          </w:r>
        </w:p>
      </w:tc>
      <w:tc>
        <w:tcPr>
          <w:tcW w:w="418" w:type="pct"/>
          <w:tcBorders>
            <w:top w:val="nil"/>
            <w:left w:val="nil"/>
            <w:bottom w:val="nil"/>
            <w:right w:val="nil"/>
          </w:tcBorders>
        </w:tcPr>
        <w:p w:rsidR="008C5956" w:rsidRDefault="008C5956" w:rsidP="00BD41A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714C">
            <w:rPr>
              <w:i/>
              <w:noProof/>
              <w:sz w:val="18"/>
            </w:rPr>
            <w:t>20</w:t>
          </w:r>
          <w:r w:rsidRPr="00ED79B6">
            <w:rPr>
              <w:i/>
              <w:sz w:val="18"/>
            </w:rPr>
            <w:fldChar w:fldCharType="end"/>
          </w:r>
        </w:p>
      </w:tc>
    </w:tr>
  </w:tbl>
  <w:p w:rsidR="008C5956" w:rsidRPr="00ED79B6" w:rsidRDefault="008C5956" w:rsidP="00FD14D6">
    <w:pPr>
      <w:rPr>
        <w:i/>
        <w:sz w:val="18"/>
      </w:rPr>
    </w:pPr>
  </w:p>
  <w:p w:rsidR="008C5956" w:rsidRDefault="008C5956" w:rsidP="00FD14D6"/>
  <w:p w:rsidR="008C5956" w:rsidRPr="005F62E4" w:rsidRDefault="005F62E4" w:rsidP="005F62E4">
    <w:pPr>
      <w:pStyle w:val="Footer"/>
      <w:rPr>
        <w:i/>
        <w:sz w:val="18"/>
      </w:rPr>
    </w:pPr>
    <w:r w:rsidRPr="005F62E4">
      <w:rPr>
        <w:i/>
        <w:sz w:val="18"/>
      </w:rPr>
      <w:t>OPC63191 - 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D90ABA" w:rsidRDefault="008C5956" w:rsidP="00FD14D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5956" w:rsidTr="00FD14D6">
      <w:tc>
        <w:tcPr>
          <w:tcW w:w="365" w:type="pct"/>
        </w:tcPr>
        <w:p w:rsidR="008C5956" w:rsidRDefault="008C5956" w:rsidP="00BD41A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1AC5">
            <w:rPr>
              <w:i/>
              <w:noProof/>
              <w:sz w:val="18"/>
            </w:rPr>
            <w:t>20</w:t>
          </w:r>
          <w:r w:rsidRPr="00ED79B6">
            <w:rPr>
              <w:i/>
              <w:sz w:val="18"/>
            </w:rPr>
            <w:fldChar w:fldCharType="end"/>
          </w:r>
        </w:p>
      </w:tc>
      <w:tc>
        <w:tcPr>
          <w:tcW w:w="3688" w:type="pct"/>
        </w:tcPr>
        <w:p w:rsidR="008C5956" w:rsidRDefault="008C5956" w:rsidP="00BD41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F36D8">
            <w:rPr>
              <w:i/>
              <w:sz w:val="18"/>
            </w:rPr>
            <w:t>Superannuation Guarantee (Administration) Regulations 2018</w:t>
          </w:r>
          <w:r w:rsidRPr="007A1328">
            <w:rPr>
              <w:i/>
              <w:sz w:val="18"/>
            </w:rPr>
            <w:fldChar w:fldCharType="end"/>
          </w:r>
        </w:p>
      </w:tc>
      <w:tc>
        <w:tcPr>
          <w:tcW w:w="947" w:type="pct"/>
        </w:tcPr>
        <w:p w:rsidR="008C5956" w:rsidRDefault="008C5956" w:rsidP="00BD41A6">
          <w:pPr>
            <w:spacing w:line="0" w:lineRule="atLeast"/>
            <w:jc w:val="right"/>
            <w:rPr>
              <w:sz w:val="18"/>
            </w:rPr>
          </w:pPr>
        </w:p>
      </w:tc>
    </w:tr>
  </w:tbl>
  <w:p w:rsidR="008C5956" w:rsidRPr="005F62E4" w:rsidRDefault="005F62E4" w:rsidP="005F62E4">
    <w:pPr>
      <w:rPr>
        <w:rFonts w:cs="Times New Roman"/>
        <w:i/>
        <w:sz w:val="18"/>
      </w:rPr>
    </w:pPr>
    <w:r w:rsidRPr="005F62E4">
      <w:rPr>
        <w:rFonts w:cs="Times New Roman"/>
        <w:i/>
        <w:sz w:val="18"/>
      </w:rPr>
      <w:t>OPC63191 -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56" w:rsidRDefault="008C5956" w:rsidP="00715914">
      <w:pPr>
        <w:spacing w:line="240" w:lineRule="auto"/>
      </w:pPr>
      <w:r>
        <w:separator/>
      </w:r>
    </w:p>
  </w:footnote>
  <w:footnote w:type="continuationSeparator" w:id="0">
    <w:p w:rsidR="008C5956" w:rsidRDefault="008C595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5F1388" w:rsidRDefault="008C595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Default="008C5956">
    <w:pPr>
      <w:jc w:val="right"/>
      <w:rPr>
        <w:sz w:val="20"/>
      </w:rPr>
    </w:pPr>
    <w:r>
      <w:rPr>
        <w:sz w:val="20"/>
      </w:rPr>
      <w:fldChar w:fldCharType="begin"/>
    </w:r>
    <w:r>
      <w:rPr>
        <w:sz w:val="20"/>
      </w:rPr>
      <w:instrText xml:space="preserve"> STYLEREF CharAmSchText </w:instrText>
    </w:r>
    <w:r>
      <w:rPr>
        <w:sz w:val="20"/>
      </w:rPr>
      <w:fldChar w:fldCharType="separate"/>
    </w:r>
    <w:r w:rsidR="003F36D8">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F36D8">
      <w:rPr>
        <w:b/>
        <w:noProof/>
        <w:sz w:val="20"/>
      </w:rPr>
      <w:t>Schedule 1</w:t>
    </w:r>
    <w:r>
      <w:rPr>
        <w:b/>
        <w:sz w:val="20"/>
      </w:rPr>
      <w:fldChar w:fldCharType="end"/>
    </w:r>
  </w:p>
  <w:p w:rsidR="008C5956" w:rsidRDefault="008C595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8C5956" w:rsidRDefault="008C5956" w:rsidP="00FD14D6">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Default="008C595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Default="008C595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C5956" w:rsidRDefault="008C595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F36D8">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F36D8">
      <w:rPr>
        <w:noProof/>
        <w:sz w:val="20"/>
      </w:rPr>
      <w:t>Application and transitional provisions</w:t>
    </w:r>
    <w:r>
      <w:rPr>
        <w:sz w:val="20"/>
      </w:rPr>
      <w:fldChar w:fldCharType="end"/>
    </w:r>
  </w:p>
  <w:p w:rsidR="008C5956" w:rsidRPr="007A1328" w:rsidRDefault="008C595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5956" w:rsidRPr="007A1328" w:rsidRDefault="008C5956" w:rsidP="00715914">
    <w:pPr>
      <w:rPr>
        <w:b/>
        <w:sz w:val="24"/>
      </w:rPr>
    </w:pPr>
  </w:p>
  <w:p w:rsidR="008C5956" w:rsidRPr="007A1328" w:rsidRDefault="008C595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F36D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F36D8">
      <w:rPr>
        <w:noProof/>
        <w:sz w:val="24"/>
      </w:rPr>
      <w:t>26</w:t>
    </w:r>
    <w:r w:rsidRPr="007A1328">
      <w:rPr>
        <w:sz w:val="24"/>
      </w:rPr>
      <w:fldChar w:fldCharType="end"/>
    </w:r>
  </w:p>
  <w:p w:rsidR="008C5956" w:rsidRDefault="008C5956" w:rsidP="00FD14D6">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7A1328" w:rsidRDefault="008C595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C5956" w:rsidRPr="007A1328" w:rsidRDefault="008C595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F36D8">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F36D8">
      <w:rPr>
        <w:b/>
        <w:noProof/>
        <w:sz w:val="20"/>
      </w:rPr>
      <w:t>Part 8</w:t>
    </w:r>
    <w:r>
      <w:rPr>
        <w:b/>
        <w:sz w:val="20"/>
      </w:rPr>
      <w:fldChar w:fldCharType="end"/>
    </w:r>
  </w:p>
  <w:p w:rsidR="008C5956" w:rsidRPr="007A1328" w:rsidRDefault="008C595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5956" w:rsidRPr="007A1328" w:rsidRDefault="008C5956" w:rsidP="00715914">
    <w:pPr>
      <w:jc w:val="right"/>
      <w:rPr>
        <w:b/>
        <w:sz w:val="24"/>
      </w:rPr>
    </w:pPr>
  </w:p>
  <w:p w:rsidR="008C5956" w:rsidRPr="007A1328" w:rsidRDefault="008C5956"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F36D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F36D8">
      <w:rPr>
        <w:noProof/>
        <w:sz w:val="24"/>
      </w:rPr>
      <w:t>26</w:t>
    </w:r>
    <w:r w:rsidRPr="007A1328">
      <w:rPr>
        <w:sz w:val="24"/>
      </w:rPr>
      <w:fldChar w:fldCharType="end"/>
    </w:r>
  </w:p>
  <w:p w:rsidR="008C5956" w:rsidRDefault="008C5956" w:rsidP="00FD14D6">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7A1328" w:rsidRDefault="008C595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5F1388" w:rsidRDefault="008C595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5F1388" w:rsidRDefault="008C595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ED79B6" w:rsidRDefault="008C595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ED79B6" w:rsidRDefault="008C595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Pr="00ED79B6" w:rsidRDefault="008C595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Default="008C5956">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C5956" w:rsidRDefault="008C5956">
    <w:pPr>
      <w:rPr>
        <w:b/>
        <w:sz w:val="20"/>
      </w:rPr>
    </w:pPr>
    <w:r>
      <w:rPr>
        <w:b/>
        <w:sz w:val="20"/>
      </w:rPr>
      <w:fldChar w:fldCharType="begin"/>
    </w:r>
    <w:r>
      <w:rPr>
        <w:b/>
        <w:sz w:val="20"/>
      </w:rPr>
      <w:instrText xml:space="preserve"> STYLEREF CharPartNo </w:instrText>
    </w:r>
    <w:r>
      <w:rPr>
        <w:b/>
        <w:sz w:val="20"/>
      </w:rPr>
      <w:fldChar w:fldCharType="separate"/>
    </w:r>
    <w:r w:rsidR="00E01AC5">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E01AC5">
      <w:rPr>
        <w:noProof/>
        <w:sz w:val="20"/>
      </w:rPr>
      <w:t>Preliminary</w:t>
    </w:r>
    <w:r>
      <w:rPr>
        <w:sz w:val="20"/>
      </w:rPr>
      <w:fldChar w:fldCharType="end"/>
    </w:r>
  </w:p>
  <w:p w:rsidR="008C5956" w:rsidRDefault="008C595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C5956" w:rsidRDefault="008C5956">
    <w:pPr>
      <w:rPr>
        <w:b/>
        <w:sz w:val="24"/>
      </w:rPr>
    </w:pPr>
  </w:p>
  <w:p w:rsidR="008C5956" w:rsidRDefault="008C5956" w:rsidP="00FD14D6">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E01AC5">
      <w:rPr>
        <w:noProof/>
        <w:sz w:val="24"/>
      </w:rPr>
      <w:t>5</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Default="008C595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8C5956" w:rsidRDefault="008C5956">
    <w:pPr>
      <w:jc w:val="right"/>
      <w:rPr>
        <w:b/>
        <w:sz w:val="20"/>
      </w:rPr>
    </w:pPr>
    <w:r>
      <w:rPr>
        <w:sz w:val="20"/>
      </w:rPr>
      <w:fldChar w:fldCharType="begin"/>
    </w:r>
    <w:r>
      <w:rPr>
        <w:sz w:val="20"/>
      </w:rPr>
      <w:instrText xml:space="preserve"> STYLEREF CharPartText </w:instrText>
    </w:r>
    <w:r w:rsidR="00E01AC5">
      <w:rPr>
        <w:sz w:val="20"/>
      </w:rPr>
      <w:fldChar w:fldCharType="separate"/>
    </w:r>
    <w:r w:rsidR="00E01AC5">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E01AC5">
      <w:rPr>
        <w:b/>
        <w:sz w:val="20"/>
      </w:rPr>
      <w:fldChar w:fldCharType="separate"/>
    </w:r>
    <w:r w:rsidR="00E01AC5">
      <w:rPr>
        <w:b/>
        <w:noProof/>
        <w:sz w:val="20"/>
      </w:rPr>
      <w:t>Part 1</w:t>
    </w:r>
    <w:r>
      <w:rPr>
        <w:b/>
        <w:sz w:val="20"/>
      </w:rPr>
      <w:fldChar w:fldCharType="end"/>
    </w:r>
  </w:p>
  <w:p w:rsidR="008C5956" w:rsidRDefault="008C595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C5956" w:rsidRDefault="008C5956">
    <w:pPr>
      <w:jc w:val="right"/>
      <w:rPr>
        <w:b/>
        <w:sz w:val="24"/>
      </w:rPr>
    </w:pPr>
  </w:p>
  <w:p w:rsidR="008C5956" w:rsidRDefault="008C5956" w:rsidP="00FD14D6">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E01AC5">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56" w:rsidRDefault="008C5956">
    <w:pPr>
      <w:rPr>
        <w:sz w:val="20"/>
      </w:rPr>
    </w:pPr>
    <w:r>
      <w:rPr>
        <w:b/>
        <w:sz w:val="20"/>
      </w:rPr>
      <w:fldChar w:fldCharType="begin"/>
    </w:r>
    <w:r>
      <w:rPr>
        <w:b/>
        <w:sz w:val="20"/>
      </w:rPr>
      <w:instrText xml:space="preserve"> STYLEREF CharAmSchNo </w:instrText>
    </w:r>
    <w:r>
      <w:rPr>
        <w:b/>
        <w:sz w:val="20"/>
      </w:rPr>
      <w:fldChar w:fldCharType="separate"/>
    </w:r>
    <w:r w:rsidR="00E01AC5">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01AC5">
      <w:rPr>
        <w:noProof/>
        <w:sz w:val="20"/>
      </w:rPr>
      <w:t>Repeals</w:t>
    </w:r>
    <w:r>
      <w:rPr>
        <w:sz w:val="20"/>
      </w:rPr>
      <w:fldChar w:fldCharType="end"/>
    </w:r>
  </w:p>
  <w:p w:rsidR="008C5956" w:rsidRDefault="008C595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8C5956" w:rsidRDefault="008C5956" w:rsidP="00FD14D6">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8C"/>
    <w:rsid w:val="00004470"/>
    <w:rsid w:val="0000552E"/>
    <w:rsid w:val="0000774A"/>
    <w:rsid w:val="00007850"/>
    <w:rsid w:val="00012126"/>
    <w:rsid w:val="000136AF"/>
    <w:rsid w:val="00015852"/>
    <w:rsid w:val="000158CF"/>
    <w:rsid w:val="0001633F"/>
    <w:rsid w:val="00017CA7"/>
    <w:rsid w:val="0002142C"/>
    <w:rsid w:val="0002302E"/>
    <w:rsid w:val="00036610"/>
    <w:rsid w:val="000437C1"/>
    <w:rsid w:val="00043EFA"/>
    <w:rsid w:val="00044D3A"/>
    <w:rsid w:val="00050729"/>
    <w:rsid w:val="0005365D"/>
    <w:rsid w:val="000614BF"/>
    <w:rsid w:val="00061962"/>
    <w:rsid w:val="0006369E"/>
    <w:rsid w:val="0007199F"/>
    <w:rsid w:val="0007513B"/>
    <w:rsid w:val="00085861"/>
    <w:rsid w:val="000916DF"/>
    <w:rsid w:val="000A5CAE"/>
    <w:rsid w:val="000A7D4B"/>
    <w:rsid w:val="000B58FA"/>
    <w:rsid w:val="000D05EF"/>
    <w:rsid w:val="000D45BB"/>
    <w:rsid w:val="000D5008"/>
    <w:rsid w:val="000E2261"/>
    <w:rsid w:val="000E5DAD"/>
    <w:rsid w:val="000F21C1"/>
    <w:rsid w:val="00104E4A"/>
    <w:rsid w:val="00106D15"/>
    <w:rsid w:val="0010745C"/>
    <w:rsid w:val="00122D97"/>
    <w:rsid w:val="00125003"/>
    <w:rsid w:val="00132CEB"/>
    <w:rsid w:val="001424DF"/>
    <w:rsid w:val="00142B62"/>
    <w:rsid w:val="001446C1"/>
    <w:rsid w:val="00144E9A"/>
    <w:rsid w:val="0014539C"/>
    <w:rsid w:val="00157B8B"/>
    <w:rsid w:val="00166C2F"/>
    <w:rsid w:val="001809D7"/>
    <w:rsid w:val="00182EB7"/>
    <w:rsid w:val="00182F7D"/>
    <w:rsid w:val="00183F06"/>
    <w:rsid w:val="001939E1"/>
    <w:rsid w:val="00194C3E"/>
    <w:rsid w:val="00195382"/>
    <w:rsid w:val="001963FC"/>
    <w:rsid w:val="00196D95"/>
    <w:rsid w:val="001A5D8A"/>
    <w:rsid w:val="001B154D"/>
    <w:rsid w:val="001C476B"/>
    <w:rsid w:val="001C61C5"/>
    <w:rsid w:val="001C69C4"/>
    <w:rsid w:val="001C7663"/>
    <w:rsid w:val="001D37EF"/>
    <w:rsid w:val="001E1408"/>
    <w:rsid w:val="001E3590"/>
    <w:rsid w:val="001E478F"/>
    <w:rsid w:val="001E7407"/>
    <w:rsid w:val="001F5D5E"/>
    <w:rsid w:val="001F6219"/>
    <w:rsid w:val="001F6CD4"/>
    <w:rsid w:val="002018AC"/>
    <w:rsid w:val="00201A81"/>
    <w:rsid w:val="0020350C"/>
    <w:rsid w:val="00204634"/>
    <w:rsid w:val="00206C4D"/>
    <w:rsid w:val="0021053C"/>
    <w:rsid w:val="00215AF1"/>
    <w:rsid w:val="00226562"/>
    <w:rsid w:val="00230975"/>
    <w:rsid w:val="002321E8"/>
    <w:rsid w:val="00236EE9"/>
    <w:rsid w:val="00236EEC"/>
    <w:rsid w:val="0024010F"/>
    <w:rsid w:val="00240749"/>
    <w:rsid w:val="00243018"/>
    <w:rsid w:val="00252276"/>
    <w:rsid w:val="00252EE5"/>
    <w:rsid w:val="0025361B"/>
    <w:rsid w:val="00253F60"/>
    <w:rsid w:val="002564A4"/>
    <w:rsid w:val="00257A41"/>
    <w:rsid w:val="0026736C"/>
    <w:rsid w:val="002800A0"/>
    <w:rsid w:val="00281308"/>
    <w:rsid w:val="00284719"/>
    <w:rsid w:val="00286692"/>
    <w:rsid w:val="002878A5"/>
    <w:rsid w:val="00291C9B"/>
    <w:rsid w:val="00291D62"/>
    <w:rsid w:val="00297D4A"/>
    <w:rsid w:val="00297ECB"/>
    <w:rsid w:val="002A0C50"/>
    <w:rsid w:val="002A5A43"/>
    <w:rsid w:val="002A6EB1"/>
    <w:rsid w:val="002A7BCF"/>
    <w:rsid w:val="002B0CDE"/>
    <w:rsid w:val="002B3E8F"/>
    <w:rsid w:val="002B6979"/>
    <w:rsid w:val="002C7252"/>
    <w:rsid w:val="002D043A"/>
    <w:rsid w:val="002D60F2"/>
    <w:rsid w:val="002D6224"/>
    <w:rsid w:val="002E0B7D"/>
    <w:rsid w:val="002E3F4B"/>
    <w:rsid w:val="002E44F6"/>
    <w:rsid w:val="002F01B0"/>
    <w:rsid w:val="00300D19"/>
    <w:rsid w:val="00304F8B"/>
    <w:rsid w:val="003101E5"/>
    <w:rsid w:val="00320BA8"/>
    <w:rsid w:val="00321714"/>
    <w:rsid w:val="00331068"/>
    <w:rsid w:val="003354D2"/>
    <w:rsid w:val="00335BC6"/>
    <w:rsid w:val="003415D3"/>
    <w:rsid w:val="00344701"/>
    <w:rsid w:val="00351A48"/>
    <w:rsid w:val="00352B0F"/>
    <w:rsid w:val="00353826"/>
    <w:rsid w:val="00356690"/>
    <w:rsid w:val="00357E87"/>
    <w:rsid w:val="00360459"/>
    <w:rsid w:val="003622FA"/>
    <w:rsid w:val="003638ED"/>
    <w:rsid w:val="00376D47"/>
    <w:rsid w:val="00391E7A"/>
    <w:rsid w:val="00393A84"/>
    <w:rsid w:val="00397589"/>
    <w:rsid w:val="003A753C"/>
    <w:rsid w:val="003B479F"/>
    <w:rsid w:val="003B5916"/>
    <w:rsid w:val="003B64D5"/>
    <w:rsid w:val="003B66A3"/>
    <w:rsid w:val="003C6231"/>
    <w:rsid w:val="003D0BFE"/>
    <w:rsid w:val="003D5631"/>
    <w:rsid w:val="003D5700"/>
    <w:rsid w:val="003E0040"/>
    <w:rsid w:val="003E341B"/>
    <w:rsid w:val="003E5F65"/>
    <w:rsid w:val="003F0BAE"/>
    <w:rsid w:val="003F36D8"/>
    <w:rsid w:val="003F74AA"/>
    <w:rsid w:val="004109BA"/>
    <w:rsid w:val="004116CD"/>
    <w:rsid w:val="004117F0"/>
    <w:rsid w:val="004120E2"/>
    <w:rsid w:val="004144EC"/>
    <w:rsid w:val="004171ED"/>
    <w:rsid w:val="00417337"/>
    <w:rsid w:val="00417EB9"/>
    <w:rsid w:val="00420A22"/>
    <w:rsid w:val="00421A0B"/>
    <w:rsid w:val="0042218E"/>
    <w:rsid w:val="00422872"/>
    <w:rsid w:val="00424CA9"/>
    <w:rsid w:val="00431E9B"/>
    <w:rsid w:val="00435D77"/>
    <w:rsid w:val="00436217"/>
    <w:rsid w:val="004379E3"/>
    <w:rsid w:val="0044015E"/>
    <w:rsid w:val="0044291A"/>
    <w:rsid w:val="00444ABD"/>
    <w:rsid w:val="00461C81"/>
    <w:rsid w:val="00461CC3"/>
    <w:rsid w:val="00467661"/>
    <w:rsid w:val="004705B7"/>
    <w:rsid w:val="0047243F"/>
    <w:rsid w:val="00472DBE"/>
    <w:rsid w:val="00474A19"/>
    <w:rsid w:val="00475438"/>
    <w:rsid w:val="00482106"/>
    <w:rsid w:val="00486542"/>
    <w:rsid w:val="00496F97"/>
    <w:rsid w:val="004A298A"/>
    <w:rsid w:val="004A311D"/>
    <w:rsid w:val="004A5502"/>
    <w:rsid w:val="004C1E4C"/>
    <w:rsid w:val="004C56CD"/>
    <w:rsid w:val="004C6AE8"/>
    <w:rsid w:val="004D3593"/>
    <w:rsid w:val="004D670D"/>
    <w:rsid w:val="004E063A"/>
    <w:rsid w:val="004E0ADD"/>
    <w:rsid w:val="004E6696"/>
    <w:rsid w:val="004E7321"/>
    <w:rsid w:val="004E7BEC"/>
    <w:rsid w:val="004F2E40"/>
    <w:rsid w:val="00505D3D"/>
    <w:rsid w:val="00506AF6"/>
    <w:rsid w:val="00506DB0"/>
    <w:rsid w:val="00516B8D"/>
    <w:rsid w:val="005232B7"/>
    <w:rsid w:val="00530A94"/>
    <w:rsid w:val="00531426"/>
    <w:rsid w:val="00537FBC"/>
    <w:rsid w:val="0054230C"/>
    <w:rsid w:val="00542484"/>
    <w:rsid w:val="00542D22"/>
    <w:rsid w:val="00542EBA"/>
    <w:rsid w:val="0054755B"/>
    <w:rsid w:val="00547694"/>
    <w:rsid w:val="00554954"/>
    <w:rsid w:val="00554A56"/>
    <w:rsid w:val="005574D1"/>
    <w:rsid w:val="00566FFF"/>
    <w:rsid w:val="005721ED"/>
    <w:rsid w:val="00584811"/>
    <w:rsid w:val="00585784"/>
    <w:rsid w:val="00586854"/>
    <w:rsid w:val="005927C5"/>
    <w:rsid w:val="00592C43"/>
    <w:rsid w:val="00593A0B"/>
    <w:rsid w:val="00593AA6"/>
    <w:rsid w:val="00594161"/>
    <w:rsid w:val="00594749"/>
    <w:rsid w:val="005969F7"/>
    <w:rsid w:val="005A62A8"/>
    <w:rsid w:val="005B036E"/>
    <w:rsid w:val="005B4067"/>
    <w:rsid w:val="005B5CC8"/>
    <w:rsid w:val="005C3F41"/>
    <w:rsid w:val="005D2D09"/>
    <w:rsid w:val="005D4EF0"/>
    <w:rsid w:val="005D5AC0"/>
    <w:rsid w:val="005E72B8"/>
    <w:rsid w:val="005F0B89"/>
    <w:rsid w:val="005F1B2B"/>
    <w:rsid w:val="005F62E4"/>
    <w:rsid w:val="005F695E"/>
    <w:rsid w:val="00600219"/>
    <w:rsid w:val="0060235F"/>
    <w:rsid w:val="00603DC4"/>
    <w:rsid w:val="006070FF"/>
    <w:rsid w:val="006072C5"/>
    <w:rsid w:val="0061771B"/>
    <w:rsid w:val="00620076"/>
    <w:rsid w:val="00620400"/>
    <w:rsid w:val="0062132F"/>
    <w:rsid w:val="0063000B"/>
    <w:rsid w:val="006320BA"/>
    <w:rsid w:val="00632C05"/>
    <w:rsid w:val="00640F1B"/>
    <w:rsid w:val="006434CB"/>
    <w:rsid w:val="0064390D"/>
    <w:rsid w:val="00644831"/>
    <w:rsid w:val="00645269"/>
    <w:rsid w:val="00655955"/>
    <w:rsid w:val="006616A0"/>
    <w:rsid w:val="006643FD"/>
    <w:rsid w:val="00670EA1"/>
    <w:rsid w:val="00672A65"/>
    <w:rsid w:val="00674A3B"/>
    <w:rsid w:val="00674B20"/>
    <w:rsid w:val="00674D8A"/>
    <w:rsid w:val="00677CC2"/>
    <w:rsid w:val="006905DE"/>
    <w:rsid w:val="00690AF4"/>
    <w:rsid w:val="00691D39"/>
    <w:rsid w:val="0069207B"/>
    <w:rsid w:val="0069796E"/>
    <w:rsid w:val="006A343D"/>
    <w:rsid w:val="006A62AA"/>
    <w:rsid w:val="006B0053"/>
    <w:rsid w:val="006B5789"/>
    <w:rsid w:val="006C069E"/>
    <w:rsid w:val="006C30C5"/>
    <w:rsid w:val="006C5D36"/>
    <w:rsid w:val="006C7DED"/>
    <w:rsid w:val="006C7F8C"/>
    <w:rsid w:val="006D140E"/>
    <w:rsid w:val="006D7E7F"/>
    <w:rsid w:val="006E0751"/>
    <w:rsid w:val="006E6246"/>
    <w:rsid w:val="006F318F"/>
    <w:rsid w:val="006F4226"/>
    <w:rsid w:val="006F6314"/>
    <w:rsid w:val="006F7651"/>
    <w:rsid w:val="0070017E"/>
    <w:rsid w:val="00700B2C"/>
    <w:rsid w:val="007050A2"/>
    <w:rsid w:val="00707314"/>
    <w:rsid w:val="00713084"/>
    <w:rsid w:val="00714752"/>
    <w:rsid w:val="00714F20"/>
    <w:rsid w:val="0071590F"/>
    <w:rsid w:val="00715914"/>
    <w:rsid w:val="00716E31"/>
    <w:rsid w:val="00717B09"/>
    <w:rsid w:val="0072282C"/>
    <w:rsid w:val="007248B9"/>
    <w:rsid w:val="00731E00"/>
    <w:rsid w:val="0073249A"/>
    <w:rsid w:val="007355A3"/>
    <w:rsid w:val="007374DF"/>
    <w:rsid w:val="0074392F"/>
    <w:rsid w:val="007440B7"/>
    <w:rsid w:val="00747FD3"/>
    <w:rsid w:val="007500C8"/>
    <w:rsid w:val="00751783"/>
    <w:rsid w:val="00756272"/>
    <w:rsid w:val="0076681A"/>
    <w:rsid w:val="007715C9"/>
    <w:rsid w:val="00771613"/>
    <w:rsid w:val="007721C1"/>
    <w:rsid w:val="00774EDD"/>
    <w:rsid w:val="007757EC"/>
    <w:rsid w:val="00783B0D"/>
    <w:rsid w:val="00783E89"/>
    <w:rsid w:val="00785A3B"/>
    <w:rsid w:val="00793515"/>
    <w:rsid w:val="00793634"/>
    <w:rsid w:val="00793915"/>
    <w:rsid w:val="007939FF"/>
    <w:rsid w:val="00793F6A"/>
    <w:rsid w:val="007A317F"/>
    <w:rsid w:val="007A6971"/>
    <w:rsid w:val="007A7571"/>
    <w:rsid w:val="007C05E3"/>
    <w:rsid w:val="007C2253"/>
    <w:rsid w:val="007C3694"/>
    <w:rsid w:val="007C72CE"/>
    <w:rsid w:val="007D4E3A"/>
    <w:rsid w:val="007D57BC"/>
    <w:rsid w:val="007D5A63"/>
    <w:rsid w:val="007D7B81"/>
    <w:rsid w:val="007E0884"/>
    <w:rsid w:val="007E163D"/>
    <w:rsid w:val="007E667A"/>
    <w:rsid w:val="007F05F3"/>
    <w:rsid w:val="007F28C9"/>
    <w:rsid w:val="007F2D66"/>
    <w:rsid w:val="007F4EB1"/>
    <w:rsid w:val="007F6536"/>
    <w:rsid w:val="007F7BD0"/>
    <w:rsid w:val="00803587"/>
    <w:rsid w:val="00804EB5"/>
    <w:rsid w:val="008117E9"/>
    <w:rsid w:val="00816CE6"/>
    <w:rsid w:val="00824498"/>
    <w:rsid w:val="00827D41"/>
    <w:rsid w:val="0083403D"/>
    <w:rsid w:val="00836244"/>
    <w:rsid w:val="00843FEE"/>
    <w:rsid w:val="00846D30"/>
    <w:rsid w:val="00856A31"/>
    <w:rsid w:val="0086117B"/>
    <w:rsid w:val="008642F2"/>
    <w:rsid w:val="00864B24"/>
    <w:rsid w:val="00867B37"/>
    <w:rsid w:val="008743FC"/>
    <w:rsid w:val="00875479"/>
    <w:rsid w:val="008754D0"/>
    <w:rsid w:val="0088274D"/>
    <w:rsid w:val="00884204"/>
    <w:rsid w:val="008855C9"/>
    <w:rsid w:val="00886456"/>
    <w:rsid w:val="00886FF0"/>
    <w:rsid w:val="00895F99"/>
    <w:rsid w:val="008960EC"/>
    <w:rsid w:val="008A306F"/>
    <w:rsid w:val="008A46E1"/>
    <w:rsid w:val="008A4F43"/>
    <w:rsid w:val="008A688A"/>
    <w:rsid w:val="008B2706"/>
    <w:rsid w:val="008B2DCC"/>
    <w:rsid w:val="008B4412"/>
    <w:rsid w:val="008B510E"/>
    <w:rsid w:val="008B6BCF"/>
    <w:rsid w:val="008C5956"/>
    <w:rsid w:val="008D0EE0"/>
    <w:rsid w:val="008D176E"/>
    <w:rsid w:val="008D5362"/>
    <w:rsid w:val="008E6067"/>
    <w:rsid w:val="008F0F82"/>
    <w:rsid w:val="008F54E7"/>
    <w:rsid w:val="00903422"/>
    <w:rsid w:val="00903DD9"/>
    <w:rsid w:val="00910840"/>
    <w:rsid w:val="00915DF9"/>
    <w:rsid w:val="00920E45"/>
    <w:rsid w:val="009254C3"/>
    <w:rsid w:val="00932377"/>
    <w:rsid w:val="009423A1"/>
    <w:rsid w:val="00942B16"/>
    <w:rsid w:val="00944B8B"/>
    <w:rsid w:val="00947D5A"/>
    <w:rsid w:val="009532A5"/>
    <w:rsid w:val="00956024"/>
    <w:rsid w:val="009601B8"/>
    <w:rsid w:val="00963E52"/>
    <w:rsid w:val="0096657D"/>
    <w:rsid w:val="0097292C"/>
    <w:rsid w:val="00982242"/>
    <w:rsid w:val="009837AA"/>
    <w:rsid w:val="009867F1"/>
    <w:rsid w:val="009868E9"/>
    <w:rsid w:val="009B155C"/>
    <w:rsid w:val="009B30D1"/>
    <w:rsid w:val="009B41E4"/>
    <w:rsid w:val="009B62B2"/>
    <w:rsid w:val="009C345B"/>
    <w:rsid w:val="009D09C3"/>
    <w:rsid w:val="009D17A5"/>
    <w:rsid w:val="009D1891"/>
    <w:rsid w:val="009E2E34"/>
    <w:rsid w:val="009E5CFC"/>
    <w:rsid w:val="009F0DE0"/>
    <w:rsid w:val="009F4D38"/>
    <w:rsid w:val="00A02162"/>
    <w:rsid w:val="00A031D7"/>
    <w:rsid w:val="00A079CB"/>
    <w:rsid w:val="00A12128"/>
    <w:rsid w:val="00A22C98"/>
    <w:rsid w:val="00A231E2"/>
    <w:rsid w:val="00A2507F"/>
    <w:rsid w:val="00A33542"/>
    <w:rsid w:val="00A4135B"/>
    <w:rsid w:val="00A55741"/>
    <w:rsid w:val="00A57BC5"/>
    <w:rsid w:val="00A6297B"/>
    <w:rsid w:val="00A64912"/>
    <w:rsid w:val="00A70A74"/>
    <w:rsid w:val="00A75676"/>
    <w:rsid w:val="00A80328"/>
    <w:rsid w:val="00A84185"/>
    <w:rsid w:val="00A909ED"/>
    <w:rsid w:val="00AB1A98"/>
    <w:rsid w:val="00AB1CFB"/>
    <w:rsid w:val="00AB75A2"/>
    <w:rsid w:val="00AB75BD"/>
    <w:rsid w:val="00AC637F"/>
    <w:rsid w:val="00AD5641"/>
    <w:rsid w:val="00AD7889"/>
    <w:rsid w:val="00AE4C79"/>
    <w:rsid w:val="00AE7A71"/>
    <w:rsid w:val="00AF021B"/>
    <w:rsid w:val="00AF06CF"/>
    <w:rsid w:val="00AF1775"/>
    <w:rsid w:val="00AF65FA"/>
    <w:rsid w:val="00AF6E00"/>
    <w:rsid w:val="00B05CF4"/>
    <w:rsid w:val="00B07CDB"/>
    <w:rsid w:val="00B16A31"/>
    <w:rsid w:val="00B17DFD"/>
    <w:rsid w:val="00B2075E"/>
    <w:rsid w:val="00B20D5B"/>
    <w:rsid w:val="00B2240B"/>
    <w:rsid w:val="00B228E3"/>
    <w:rsid w:val="00B24C10"/>
    <w:rsid w:val="00B27271"/>
    <w:rsid w:val="00B27371"/>
    <w:rsid w:val="00B2793F"/>
    <w:rsid w:val="00B308FE"/>
    <w:rsid w:val="00B323D9"/>
    <w:rsid w:val="00B33709"/>
    <w:rsid w:val="00B33B3C"/>
    <w:rsid w:val="00B4044B"/>
    <w:rsid w:val="00B50ADC"/>
    <w:rsid w:val="00B512D5"/>
    <w:rsid w:val="00B566B1"/>
    <w:rsid w:val="00B61791"/>
    <w:rsid w:val="00B61F69"/>
    <w:rsid w:val="00B63834"/>
    <w:rsid w:val="00B65F8A"/>
    <w:rsid w:val="00B71B48"/>
    <w:rsid w:val="00B71F5F"/>
    <w:rsid w:val="00B72031"/>
    <w:rsid w:val="00B720C3"/>
    <w:rsid w:val="00B72734"/>
    <w:rsid w:val="00B80199"/>
    <w:rsid w:val="00B827DA"/>
    <w:rsid w:val="00B83204"/>
    <w:rsid w:val="00B83A53"/>
    <w:rsid w:val="00B9714C"/>
    <w:rsid w:val="00BA0C87"/>
    <w:rsid w:val="00BA1A0A"/>
    <w:rsid w:val="00BA1AB5"/>
    <w:rsid w:val="00BA220B"/>
    <w:rsid w:val="00BA2D8C"/>
    <w:rsid w:val="00BA3A57"/>
    <w:rsid w:val="00BA5453"/>
    <w:rsid w:val="00BA691F"/>
    <w:rsid w:val="00BB299A"/>
    <w:rsid w:val="00BB3EFB"/>
    <w:rsid w:val="00BB4E1A"/>
    <w:rsid w:val="00BB7BA5"/>
    <w:rsid w:val="00BC015E"/>
    <w:rsid w:val="00BC2D1E"/>
    <w:rsid w:val="00BC76AC"/>
    <w:rsid w:val="00BD0911"/>
    <w:rsid w:val="00BD0ECB"/>
    <w:rsid w:val="00BD41A6"/>
    <w:rsid w:val="00BE2155"/>
    <w:rsid w:val="00BE2213"/>
    <w:rsid w:val="00BE719A"/>
    <w:rsid w:val="00BE720A"/>
    <w:rsid w:val="00BF0D73"/>
    <w:rsid w:val="00BF2465"/>
    <w:rsid w:val="00C024B0"/>
    <w:rsid w:val="00C04063"/>
    <w:rsid w:val="00C040A0"/>
    <w:rsid w:val="00C07C04"/>
    <w:rsid w:val="00C16F45"/>
    <w:rsid w:val="00C24823"/>
    <w:rsid w:val="00C24E95"/>
    <w:rsid w:val="00C25E7F"/>
    <w:rsid w:val="00C2746F"/>
    <w:rsid w:val="00C30764"/>
    <w:rsid w:val="00C30BA0"/>
    <w:rsid w:val="00C31758"/>
    <w:rsid w:val="00C324A0"/>
    <w:rsid w:val="00C3300F"/>
    <w:rsid w:val="00C3321F"/>
    <w:rsid w:val="00C42BF8"/>
    <w:rsid w:val="00C45936"/>
    <w:rsid w:val="00C50043"/>
    <w:rsid w:val="00C66764"/>
    <w:rsid w:val="00C67019"/>
    <w:rsid w:val="00C7038F"/>
    <w:rsid w:val="00C7573B"/>
    <w:rsid w:val="00C82336"/>
    <w:rsid w:val="00C8777A"/>
    <w:rsid w:val="00C93C03"/>
    <w:rsid w:val="00C93D1B"/>
    <w:rsid w:val="00CA0BAB"/>
    <w:rsid w:val="00CA1E38"/>
    <w:rsid w:val="00CA38E5"/>
    <w:rsid w:val="00CB1B21"/>
    <w:rsid w:val="00CB2435"/>
    <w:rsid w:val="00CB2C8E"/>
    <w:rsid w:val="00CB602E"/>
    <w:rsid w:val="00CC06EC"/>
    <w:rsid w:val="00CC6969"/>
    <w:rsid w:val="00CD72E8"/>
    <w:rsid w:val="00CE051D"/>
    <w:rsid w:val="00CE1335"/>
    <w:rsid w:val="00CE493D"/>
    <w:rsid w:val="00CE54E5"/>
    <w:rsid w:val="00CE6A26"/>
    <w:rsid w:val="00CF0225"/>
    <w:rsid w:val="00CF07FA"/>
    <w:rsid w:val="00CF0BB2"/>
    <w:rsid w:val="00CF3EE8"/>
    <w:rsid w:val="00CF46A4"/>
    <w:rsid w:val="00CF5BDE"/>
    <w:rsid w:val="00D0036C"/>
    <w:rsid w:val="00D050E6"/>
    <w:rsid w:val="00D078FB"/>
    <w:rsid w:val="00D11FE9"/>
    <w:rsid w:val="00D13441"/>
    <w:rsid w:val="00D13F4F"/>
    <w:rsid w:val="00D150E7"/>
    <w:rsid w:val="00D32F65"/>
    <w:rsid w:val="00D3770E"/>
    <w:rsid w:val="00D47B51"/>
    <w:rsid w:val="00D52DC2"/>
    <w:rsid w:val="00D533AF"/>
    <w:rsid w:val="00D53BCC"/>
    <w:rsid w:val="00D5650A"/>
    <w:rsid w:val="00D57026"/>
    <w:rsid w:val="00D60EA6"/>
    <w:rsid w:val="00D70DFB"/>
    <w:rsid w:val="00D766DF"/>
    <w:rsid w:val="00D7787C"/>
    <w:rsid w:val="00D77C1E"/>
    <w:rsid w:val="00D85D40"/>
    <w:rsid w:val="00DA0FBB"/>
    <w:rsid w:val="00DA186E"/>
    <w:rsid w:val="00DA1C56"/>
    <w:rsid w:val="00DA4116"/>
    <w:rsid w:val="00DB251C"/>
    <w:rsid w:val="00DB4630"/>
    <w:rsid w:val="00DB6C6B"/>
    <w:rsid w:val="00DC4F88"/>
    <w:rsid w:val="00DC55D2"/>
    <w:rsid w:val="00DC7DF4"/>
    <w:rsid w:val="00DD5522"/>
    <w:rsid w:val="00DE7540"/>
    <w:rsid w:val="00DE7B85"/>
    <w:rsid w:val="00E01AC5"/>
    <w:rsid w:val="00E036E4"/>
    <w:rsid w:val="00E05704"/>
    <w:rsid w:val="00E065CB"/>
    <w:rsid w:val="00E11A40"/>
    <w:rsid w:val="00E11E44"/>
    <w:rsid w:val="00E11F94"/>
    <w:rsid w:val="00E125D0"/>
    <w:rsid w:val="00E14334"/>
    <w:rsid w:val="00E31A32"/>
    <w:rsid w:val="00E3270E"/>
    <w:rsid w:val="00E338EF"/>
    <w:rsid w:val="00E346F4"/>
    <w:rsid w:val="00E35276"/>
    <w:rsid w:val="00E4188E"/>
    <w:rsid w:val="00E42605"/>
    <w:rsid w:val="00E43BDA"/>
    <w:rsid w:val="00E4543D"/>
    <w:rsid w:val="00E544BB"/>
    <w:rsid w:val="00E57254"/>
    <w:rsid w:val="00E62DA5"/>
    <w:rsid w:val="00E635E2"/>
    <w:rsid w:val="00E662CB"/>
    <w:rsid w:val="00E70D57"/>
    <w:rsid w:val="00E74DC7"/>
    <w:rsid w:val="00E75A12"/>
    <w:rsid w:val="00E76806"/>
    <w:rsid w:val="00E77F86"/>
    <w:rsid w:val="00E8075A"/>
    <w:rsid w:val="00E93DB0"/>
    <w:rsid w:val="00E94D5E"/>
    <w:rsid w:val="00EA13D7"/>
    <w:rsid w:val="00EA552B"/>
    <w:rsid w:val="00EA7100"/>
    <w:rsid w:val="00EA7F9F"/>
    <w:rsid w:val="00EB0519"/>
    <w:rsid w:val="00EB086D"/>
    <w:rsid w:val="00EB1274"/>
    <w:rsid w:val="00EB13AE"/>
    <w:rsid w:val="00EB161F"/>
    <w:rsid w:val="00EB6AD0"/>
    <w:rsid w:val="00EC3599"/>
    <w:rsid w:val="00ED2BB6"/>
    <w:rsid w:val="00ED34E1"/>
    <w:rsid w:val="00ED3B8D"/>
    <w:rsid w:val="00ED659C"/>
    <w:rsid w:val="00EF1D60"/>
    <w:rsid w:val="00EF2E3A"/>
    <w:rsid w:val="00EF5A1C"/>
    <w:rsid w:val="00F0146E"/>
    <w:rsid w:val="00F072A7"/>
    <w:rsid w:val="00F078DC"/>
    <w:rsid w:val="00F163B4"/>
    <w:rsid w:val="00F307BB"/>
    <w:rsid w:val="00F32BA8"/>
    <w:rsid w:val="00F349F1"/>
    <w:rsid w:val="00F35A70"/>
    <w:rsid w:val="00F366A7"/>
    <w:rsid w:val="00F4350D"/>
    <w:rsid w:val="00F567F7"/>
    <w:rsid w:val="00F6177B"/>
    <w:rsid w:val="00F62036"/>
    <w:rsid w:val="00F65B52"/>
    <w:rsid w:val="00F66018"/>
    <w:rsid w:val="00F66848"/>
    <w:rsid w:val="00F66B03"/>
    <w:rsid w:val="00F67685"/>
    <w:rsid w:val="00F67BCA"/>
    <w:rsid w:val="00F7392A"/>
    <w:rsid w:val="00F73BD6"/>
    <w:rsid w:val="00F73F95"/>
    <w:rsid w:val="00F83989"/>
    <w:rsid w:val="00F85099"/>
    <w:rsid w:val="00F92595"/>
    <w:rsid w:val="00F9297D"/>
    <w:rsid w:val="00F92CC3"/>
    <w:rsid w:val="00F9379C"/>
    <w:rsid w:val="00F95C9C"/>
    <w:rsid w:val="00F9632C"/>
    <w:rsid w:val="00FA1E52"/>
    <w:rsid w:val="00FA4E11"/>
    <w:rsid w:val="00FB7CE1"/>
    <w:rsid w:val="00FC0926"/>
    <w:rsid w:val="00FC6EE6"/>
    <w:rsid w:val="00FD0D27"/>
    <w:rsid w:val="00FD14D6"/>
    <w:rsid w:val="00FD5254"/>
    <w:rsid w:val="00FD5EF3"/>
    <w:rsid w:val="00FE15A7"/>
    <w:rsid w:val="00FE4688"/>
    <w:rsid w:val="00FF0CA6"/>
    <w:rsid w:val="00FF0EC3"/>
    <w:rsid w:val="00FF22C5"/>
    <w:rsid w:val="00FF2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069E"/>
    <w:pPr>
      <w:spacing w:line="260" w:lineRule="atLeast"/>
    </w:pPr>
    <w:rPr>
      <w:sz w:val="22"/>
    </w:rPr>
  </w:style>
  <w:style w:type="paragraph" w:styleId="Heading1">
    <w:name w:val="heading 1"/>
    <w:basedOn w:val="Normal"/>
    <w:next w:val="Normal"/>
    <w:link w:val="Heading1Char"/>
    <w:uiPriority w:val="9"/>
    <w:qFormat/>
    <w:rsid w:val="006C069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069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069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069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069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069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C069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C069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C069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069E"/>
  </w:style>
  <w:style w:type="paragraph" w:customStyle="1" w:styleId="OPCParaBase">
    <w:name w:val="OPCParaBase"/>
    <w:qFormat/>
    <w:rsid w:val="006C069E"/>
    <w:pPr>
      <w:spacing w:line="260" w:lineRule="atLeast"/>
    </w:pPr>
    <w:rPr>
      <w:rFonts w:eastAsia="Times New Roman" w:cs="Times New Roman"/>
      <w:sz w:val="22"/>
      <w:lang w:eastAsia="en-AU"/>
    </w:rPr>
  </w:style>
  <w:style w:type="paragraph" w:customStyle="1" w:styleId="ShortT">
    <w:name w:val="ShortT"/>
    <w:basedOn w:val="OPCParaBase"/>
    <w:next w:val="Normal"/>
    <w:qFormat/>
    <w:rsid w:val="006C069E"/>
    <w:pPr>
      <w:spacing w:line="240" w:lineRule="auto"/>
    </w:pPr>
    <w:rPr>
      <w:b/>
      <w:sz w:val="40"/>
    </w:rPr>
  </w:style>
  <w:style w:type="paragraph" w:customStyle="1" w:styleId="ActHead1">
    <w:name w:val="ActHead 1"/>
    <w:aliases w:val="c"/>
    <w:basedOn w:val="OPCParaBase"/>
    <w:next w:val="Normal"/>
    <w:qFormat/>
    <w:rsid w:val="006C06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06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06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06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06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06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06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06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06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069E"/>
  </w:style>
  <w:style w:type="paragraph" w:customStyle="1" w:styleId="Blocks">
    <w:name w:val="Blocks"/>
    <w:aliases w:val="bb"/>
    <w:basedOn w:val="OPCParaBase"/>
    <w:qFormat/>
    <w:rsid w:val="006C069E"/>
    <w:pPr>
      <w:spacing w:line="240" w:lineRule="auto"/>
    </w:pPr>
    <w:rPr>
      <w:sz w:val="24"/>
    </w:rPr>
  </w:style>
  <w:style w:type="paragraph" w:customStyle="1" w:styleId="BoxText">
    <w:name w:val="BoxText"/>
    <w:aliases w:val="bt"/>
    <w:basedOn w:val="OPCParaBase"/>
    <w:qFormat/>
    <w:rsid w:val="006C06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069E"/>
    <w:rPr>
      <w:b/>
    </w:rPr>
  </w:style>
  <w:style w:type="paragraph" w:customStyle="1" w:styleId="BoxHeadItalic">
    <w:name w:val="BoxHeadItalic"/>
    <w:aliases w:val="bhi"/>
    <w:basedOn w:val="BoxText"/>
    <w:next w:val="BoxStep"/>
    <w:qFormat/>
    <w:rsid w:val="006C069E"/>
    <w:rPr>
      <w:i/>
    </w:rPr>
  </w:style>
  <w:style w:type="paragraph" w:customStyle="1" w:styleId="BoxList">
    <w:name w:val="BoxList"/>
    <w:aliases w:val="bl"/>
    <w:basedOn w:val="BoxText"/>
    <w:qFormat/>
    <w:rsid w:val="006C069E"/>
    <w:pPr>
      <w:ind w:left="1559" w:hanging="425"/>
    </w:pPr>
  </w:style>
  <w:style w:type="paragraph" w:customStyle="1" w:styleId="BoxNote">
    <w:name w:val="BoxNote"/>
    <w:aliases w:val="bn"/>
    <w:basedOn w:val="BoxText"/>
    <w:qFormat/>
    <w:rsid w:val="006C069E"/>
    <w:pPr>
      <w:tabs>
        <w:tab w:val="left" w:pos="1985"/>
      </w:tabs>
      <w:spacing w:before="122" w:line="198" w:lineRule="exact"/>
      <w:ind w:left="2948" w:hanging="1814"/>
    </w:pPr>
    <w:rPr>
      <w:sz w:val="18"/>
    </w:rPr>
  </w:style>
  <w:style w:type="paragraph" w:customStyle="1" w:styleId="BoxPara">
    <w:name w:val="BoxPara"/>
    <w:aliases w:val="bp"/>
    <w:basedOn w:val="BoxText"/>
    <w:qFormat/>
    <w:rsid w:val="006C069E"/>
    <w:pPr>
      <w:tabs>
        <w:tab w:val="right" w:pos="2268"/>
      </w:tabs>
      <w:ind w:left="2552" w:hanging="1418"/>
    </w:pPr>
  </w:style>
  <w:style w:type="paragraph" w:customStyle="1" w:styleId="BoxStep">
    <w:name w:val="BoxStep"/>
    <w:aliases w:val="bs"/>
    <w:basedOn w:val="BoxText"/>
    <w:qFormat/>
    <w:rsid w:val="006C069E"/>
    <w:pPr>
      <w:ind w:left="1985" w:hanging="851"/>
    </w:pPr>
  </w:style>
  <w:style w:type="character" w:customStyle="1" w:styleId="CharAmPartNo">
    <w:name w:val="CharAmPartNo"/>
    <w:basedOn w:val="OPCCharBase"/>
    <w:qFormat/>
    <w:rsid w:val="006C069E"/>
  </w:style>
  <w:style w:type="character" w:customStyle="1" w:styleId="CharAmPartText">
    <w:name w:val="CharAmPartText"/>
    <w:basedOn w:val="OPCCharBase"/>
    <w:qFormat/>
    <w:rsid w:val="006C069E"/>
  </w:style>
  <w:style w:type="character" w:customStyle="1" w:styleId="CharAmSchNo">
    <w:name w:val="CharAmSchNo"/>
    <w:basedOn w:val="OPCCharBase"/>
    <w:qFormat/>
    <w:rsid w:val="006C069E"/>
  </w:style>
  <w:style w:type="character" w:customStyle="1" w:styleId="CharAmSchText">
    <w:name w:val="CharAmSchText"/>
    <w:basedOn w:val="OPCCharBase"/>
    <w:qFormat/>
    <w:rsid w:val="006C069E"/>
  </w:style>
  <w:style w:type="character" w:customStyle="1" w:styleId="CharBoldItalic">
    <w:name w:val="CharBoldItalic"/>
    <w:basedOn w:val="OPCCharBase"/>
    <w:uiPriority w:val="1"/>
    <w:qFormat/>
    <w:rsid w:val="006C069E"/>
    <w:rPr>
      <w:b/>
      <w:i/>
    </w:rPr>
  </w:style>
  <w:style w:type="character" w:customStyle="1" w:styleId="CharChapNo">
    <w:name w:val="CharChapNo"/>
    <w:basedOn w:val="OPCCharBase"/>
    <w:uiPriority w:val="1"/>
    <w:qFormat/>
    <w:rsid w:val="006C069E"/>
  </w:style>
  <w:style w:type="character" w:customStyle="1" w:styleId="CharChapText">
    <w:name w:val="CharChapText"/>
    <w:basedOn w:val="OPCCharBase"/>
    <w:uiPriority w:val="1"/>
    <w:qFormat/>
    <w:rsid w:val="006C069E"/>
  </w:style>
  <w:style w:type="character" w:customStyle="1" w:styleId="CharDivNo">
    <w:name w:val="CharDivNo"/>
    <w:basedOn w:val="OPCCharBase"/>
    <w:uiPriority w:val="1"/>
    <w:qFormat/>
    <w:rsid w:val="006C069E"/>
  </w:style>
  <w:style w:type="character" w:customStyle="1" w:styleId="CharDivText">
    <w:name w:val="CharDivText"/>
    <w:basedOn w:val="OPCCharBase"/>
    <w:uiPriority w:val="1"/>
    <w:qFormat/>
    <w:rsid w:val="006C069E"/>
  </w:style>
  <w:style w:type="character" w:customStyle="1" w:styleId="CharItalic">
    <w:name w:val="CharItalic"/>
    <w:basedOn w:val="OPCCharBase"/>
    <w:uiPriority w:val="1"/>
    <w:qFormat/>
    <w:rsid w:val="006C069E"/>
    <w:rPr>
      <w:i/>
    </w:rPr>
  </w:style>
  <w:style w:type="character" w:customStyle="1" w:styleId="CharPartNo">
    <w:name w:val="CharPartNo"/>
    <w:basedOn w:val="OPCCharBase"/>
    <w:uiPriority w:val="1"/>
    <w:qFormat/>
    <w:rsid w:val="006C069E"/>
  </w:style>
  <w:style w:type="character" w:customStyle="1" w:styleId="CharPartText">
    <w:name w:val="CharPartText"/>
    <w:basedOn w:val="OPCCharBase"/>
    <w:uiPriority w:val="1"/>
    <w:qFormat/>
    <w:rsid w:val="006C069E"/>
  </w:style>
  <w:style w:type="character" w:customStyle="1" w:styleId="CharSectno">
    <w:name w:val="CharSectno"/>
    <w:basedOn w:val="OPCCharBase"/>
    <w:qFormat/>
    <w:rsid w:val="006C069E"/>
  </w:style>
  <w:style w:type="character" w:customStyle="1" w:styleId="CharSubdNo">
    <w:name w:val="CharSubdNo"/>
    <w:basedOn w:val="OPCCharBase"/>
    <w:uiPriority w:val="1"/>
    <w:qFormat/>
    <w:rsid w:val="006C069E"/>
  </w:style>
  <w:style w:type="character" w:customStyle="1" w:styleId="CharSubdText">
    <w:name w:val="CharSubdText"/>
    <w:basedOn w:val="OPCCharBase"/>
    <w:uiPriority w:val="1"/>
    <w:qFormat/>
    <w:rsid w:val="006C069E"/>
  </w:style>
  <w:style w:type="paragraph" w:customStyle="1" w:styleId="CTA--">
    <w:name w:val="CTA --"/>
    <w:basedOn w:val="OPCParaBase"/>
    <w:next w:val="Normal"/>
    <w:rsid w:val="006C069E"/>
    <w:pPr>
      <w:spacing w:before="60" w:line="240" w:lineRule="atLeast"/>
      <w:ind w:left="142" w:hanging="142"/>
    </w:pPr>
    <w:rPr>
      <w:sz w:val="20"/>
    </w:rPr>
  </w:style>
  <w:style w:type="paragraph" w:customStyle="1" w:styleId="CTA-">
    <w:name w:val="CTA -"/>
    <w:basedOn w:val="OPCParaBase"/>
    <w:rsid w:val="006C069E"/>
    <w:pPr>
      <w:spacing w:before="60" w:line="240" w:lineRule="atLeast"/>
      <w:ind w:left="85" w:hanging="85"/>
    </w:pPr>
    <w:rPr>
      <w:sz w:val="20"/>
    </w:rPr>
  </w:style>
  <w:style w:type="paragraph" w:customStyle="1" w:styleId="CTA---">
    <w:name w:val="CTA ---"/>
    <w:basedOn w:val="OPCParaBase"/>
    <w:next w:val="Normal"/>
    <w:rsid w:val="006C069E"/>
    <w:pPr>
      <w:spacing w:before="60" w:line="240" w:lineRule="atLeast"/>
      <w:ind w:left="198" w:hanging="198"/>
    </w:pPr>
    <w:rPr>
      <w:sz w:val="20"/>
    </w:rPr>
  </w:style>
  <w:style w:type="paragraph" w:customStyle="1" w:styleId="CTA----">
    <w:name w:val="CTA ----"/>
    <w:basedOn w:val="OPCParaBase"/>
    <w:next w:val="Normal"/>
    <w:rsid w:val="006C069E"/>
    <w:pPr>
      <w:spacing w:before="60" w:line="240" w:lineRule="atLeast"/>
      <w:ind w:left="255" w:hanging="255"/>
    </w:pPr>
    <w:rPr>
      <w:sz w:val="20"/>
    </w:rPr>
  </w:style>
  <w:style w:type="paragraph" w:customStyle="1" w:styleId="CTA1a">
    <w:name w:val="CTA 1(a)"/>
    <w:basedOn w:val="OPCParaBase"/>
    <w:rsid w:val="006C069E"/>
    <w:pPr>
      <w:tabs>
        <w:tab w:val="right" w:pos="414"/>
      </w:tabs>
      <w:spacing w:before="40" w:line="240" w:lineRule="atLeast"/>
      <w:ind w:left="675" w:hanging="675"/>
    </w:pPr>
    <w:rPr>
      <w:sz w:val="20"/>
    </w:rPr>
  </w:style>
  <w:style w:type="paragraph" w:customStyle="1" w:styleId="CTA1ai">
    <w:name w:val="CTA 1(a)(i)"/>
    <w:basedOn w:val="OPCParaBase"/>
    <w:rsid w:val="006C069E"/>
    <w:pPr>
      <w:tabs>
        <w:tab w:val="right" w:pos="1004"/>
      </w:tabs>
      <w:spacing w:before="40" w:line="240" w:lineRule="atLeast"/>
      <w:ind w:left="1253" w:hanging="1253"/>
    </w:pPr>
    <w:rPr>
      <w:sz w:val="20"/>
    </w:rPr>
  </w:style>
  <w:style w:type="paragraph" w:customStyle="1" w:styleId="CTA2a">
    <w:name w:val="CTA 2(a)"/>
    <w:basedOn w:val="OPCParaBase"/>
    <w:rsid w:val="006C069E"/>
    <w:pPr>
      <w:tabs>
        <w:tab w:val="right" w:pos="482"/>
      </w:tabs>
      <w:spacing w:before="40" w:line="240" w:lineRule="atLeast"/>
      <w:ind w:left="748" w:hanging="748"/>
    </w:pPr>
    <w:rPr>
      <w:sz w:val="20"/>
    </w:rPr>
  </w:style>
  <w:style w:type="paragraph" w:customStyle="1" w:styleId="CTA2ai">
    <w:name w:val="CTA 2(a)(i)"/>
    <w:basedOn w:val="OPCParaBase"/>
    <w:rsid w:val="006C069E"/>
    <w:pPr>
      <w:tabs>
        <w:tab w:val="right" w:pos="1089"/>
      </w:tabs>
      <w:spacing w:before="40" w:line="240" w:lineRule="atLeast"/>
      <w:ind w:left="1327" w:hanging="1327"/>
    </w:pPr>
    <w:rPr>
      <w:sz w:val="20"/>
    </w:rPr>
  </w:style>
  <w:style w:type="paragraph" w:customStyle="1" w:styleId="CTA3a">
    <w:name w:val="CTA 3(a)"/>
    <w:basedOn w:val="OPCParaBase"/>
    <w:rsid w:val="006C069E"/>
    <w:pPr>
      <w:tabs>
        <w:tab w:val="right" w:pos="556"/>
      </w:tabs>
      <w:spacing w:before="40" w:line="240" w:lineRule="atLeast"/>
      <w:ind w:left="805" w:hanging="805"/>
    </w:pPr>
    <w:rPr>
      <w:sz w:val="20"/>
    </w:rPr>
  </w:style>
  <w:style w:type="paragraph" w:customStyle="1" w:styleId="CTA3ai">
    <w:name w:val="CTA 3(a)(i)"/>
    <w:basedOn w:val="OPCParaBase"/>
    <w:rsid w:val="006C069E"/>
    <w:pPr>
      <w:tabs>
        <w:tab w:val="right" w:pos="1140"/>
      </w:tabs>
      <w:spacing w:before="40" w:line="240" w:lineRule="atLeast"/>
      <w:ind w:left="1361" w:hanging="1361"/>
    </w:pPr>
    <w:rPr>
      <w:sz w:val="20"/>
    </w:rPr>
  </w:style>
  <w:style w:type="paragraph" w:customStyle="1" w:styleId="CTA4a">
    <w:name w:val="CTA 4(a)"/>
    <w:basedOn w:val="OPCParaBase"/>
    <w:rsid w:val="006C069E"/>
    <w:pPr>
      <w:tabs>
        <w:tab w:val="right" w:pos="624"/>
      </w:tabs>
      <w:spacing w:before="40" w:line="240" w:lineRule="atLeast"/>
      <w:ind w:left="873" w:hanging="873"/>
    </w:pPr>
    <w:rPr>
      <w:sz w:val="20"/>
    </w:rPr>
  </w:style>
  <w:style w:type="paragraph" w:customStyle="1" w:styleId="CTA4ai">
    <w:name w:val="CTA 4(a)(i)"/>
    <w:basedOn w:val="OPCParaBase"/>
    <w:rsid w:val="006C069E"/>
    <w:pPr>
      <w:tabs>
        <w:tab w:val="right" w:pos="1213"/>
      </w:tabs>
      <w:spacing w:before="40" w:line="240" w:lineRule="atLeast"/>
      <w:ind w:left="1452" w:hanging="1452"/>
    </w:pPr>
    <w:rPr>
      <w:sz w:val="20"/>
    </w:rPr>
  </w:style>
  <w:style w:type="paragraph" w:customStyle="1" w:styleId="CTACAPS">
    <w:name w:val="CTA CAPS"/>
    <w:basedOn w:val="OPCParaBase"/>
    <w:rsid w:val="006C069E"/>
    <w:pPr>
      <w:spacing w:before="60" w:line="240" w:lineRule="atLeast"/>
    </w:pPr>
    <w:rPr>
      <w:sz w:val="20"/>
    </w:rPr>
  </w:style>
  <w:style w:type="paragraph" w:customStyle="1" w:styleId="CTAright">
    <w:name w:val="CTA right"/>
    <w:basedOn w:val="OPCParaBase"/>
    <w:rsid w:val="006C069E"/>
    <w:pPr>
      <w:spacing w:before="60" w:line="240" w:lineRule="auto"/>
      <w:jc w:val="right"/>
    </w:pPr>
    <w:rPr>
      <w:sz w:val="20"/>
    </w:rPr>
  </w:style>
  <w:style w:type="paragraph" w:customStyle="1" w:styleId="subsection">
    <w:name w:val="subsection"/>
    <w:aliases w:val="ss,Subsection"/>
    <w:basedOn w:val="OPCParaBase"/>
    <w:link w:val="subsectionChar"/>
    <w:rsid w:val="006C069E"/>
    <w:pPr>
      <w:tabs>
        <w:tab w:val="right" w:pos="1021"/>
      </w:tabs>
      <w:spacing w:before="180" w:line="240" w:lineRule="auto"/>
      <w:ind w:left="1134" w:hanging="1134"/>
    </w:pPr>
  </w:style>
  <w:style w:type="paragraph" w:customStyle="1" w:styleId="Definition">
    <w:name w:val="Definition"/>
    <w:aliases w:val="dd"/>
    <w:basedOn w:val="OPCParaBase"/>
    <w:rsid w:val="006C069E"/>
    <w:pPr>
      <w:spacing w:before="180" w:line="240" w:lineRule="auto"/>
      <w:ind w:left="1134"/>
    </w:pPr>
  </w:style>
  <w:style w:type="paragraph" w:customStyle="1" w:styleId="EndNotespara">
    <w:name w:val="EndNotes(para)"/>
    <w:aliases w:val="eta"/>
    <w:basedOn w:val="OPCParaBase"/>
    <w:next w:val="EndNotessubpara"/>
    <w:rsid w:val="006C06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06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06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069E"/>
    <w:pPr>
      <w:tabs>
        <w:tab w:val="right" w:pos="1412"/>
      </w:tabs>
      <w:spacing w:before="60" w:line="240" w:lineRule="auto"/>
      <w:ind w:left="1525" w:hanging="1525"/>
    </w:pPr>
    <w:rPr>
      <w:sz w:val="20"/>
    </w:rPr>
  </w:style>
  <w:style w:type="paragraph" w:customStyle="1" w:styleId="Formula">
    <w:name w:val="Formula"/>
    <w:basedOn w:val="OPCParaBase"/>
    <w:rsid w:val="006C069E"/>
    <w:pPr>
      <w:spacing w:line="240" w:lineRule="auto"/>
      <w:ind w:left="1134"/>
    </w:pPr>
    <w:rPr>
      <w:sz w:val="20"/>
    </w:rPr>
  </w:style>
  <w:style w:type="paragraph" w:styleId="Header">
    <w:name w:val="header"/>
    <w:basedOn w:val="OPCParaBase"/>
    <w:link w:val="HeaderChar"/>
    <w:unhideWhenUsed/>
    <w:rsid w:val="006C06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069E"/>
    <w:rPr>
      <w:rFonts w:eastAsia="Times New Roman" w:cs="Times New Roman"/>
      <w:sz w:val="16"/>
      <w:lang w:eastAsia="en-AU"/>
    </w:rPr>
  </w:style>
  <w:style w:type="paragraph" w:customStyle="1" w:styleId="House">
    <w:name w:val="House"/>
    <w:basedOn w:val="OPCParaBase"/>
    <w:rsid w:val="006C069E"/>
    <w:pPr>
      <w:spacing w:line="240" w:lineRule="auto"/>
    </w:pPr>
    <w:rPr>
      <w:sz w:val="28"/>
    </w:rPr>
  </w:style>
  <w:style w:type="paragraph" w:customStyle="1" w:styleId="Item">
    <w:name w:val="Item"/>
    <w:aliases w:val="i"/>
    <w:basedOn w:val="OPCParaBase"/>
    <w:next w:val="ItemHead"/>
    <w:rsid w:val="006C069E"/>
    <w:pPr>
      <w:keepLines/>
      <w:spacing w:before="80" w:line="240" w:lineRule="auto"/>
      <w:ind w:left="709"/>
    </w:pPr>
  </w:style>
  <w:style w:type="paragraph" w:customStyle="1" w:styleId="ItemHead">
    <w:name w:val="ItemHead"/>
    <w:aliases w:val="ih"/>
    <w:basedOn w:val="OPCParaBase"/>
    <w:next w:val="Item"/>
    <w:rsid w:val="006C06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069E"/>
    <w:pPr>
      <w:spacing w:line="240" w:lineRule="auto"/>
    </w:pPr>
    <w:rPr>
      <w:b/>
      <w:sz w:val="32"/>
    </w:rPr>
  </w:style>
  <w:style w:type="paragraph" w:customStyle="1" w:styleId="notedraft">
    <w:name w:val="note(draft)"/>
    <w:aliases w:val="nd"/>
    <w:basedOn w:val="OPCParaBase"/>
    <w:rsid w:val="006C069E"/>
    <w:pPr>
      <w:spacing w:before="240" w:line="240" w:lineRule="auto"/>
      <w:ind w:left="284" w:hanging="284"/>
    </w:pPr>
    <w:rPr>
      <w:i/>
      <w:sz w:val="24"/>
    </w:rPr>
  </w:style>
  <w:style w:type="paragraph" w:customStyle="1" w:styleId="notemargin">
    <w:name w:val="note(margin)"/>
    <w:aliases w:val="nm"/>
    <w:basedOn w:val="OPCParaBase"/>
    <w:rsid w:val="006C069E"/>
    <w:pPr>
      <w:tabs>
        <w:tab w:val="left" w:pos="709"/>
      </w:tabs>
      <w:spacing w:before="122" w:line="198" w:lineRule="exact"/>
      <w:ind w:left="709" w:hanging="709"/>
    </w:pPr>
    <w:rPr>
      <w:sz w:val="18"/>
    </w:rPr>
  </w:style>
  <w:style w:type="paragraph" w:customStyle="1" w:styleId="noteToPara">
    <w:name w:val="noteToPara"/>
    <w:aliases w:val="ntp"/>
    <w:basedOn w:val="OPCParaBase"/>
    <w:rsid w:val="006C069E"/>
    <w:pPr>
      <w:spacing w:before="122" w:line="198" w:lineRule="exact"/>
      <w:ind w:left="2353" w:hanging="709"/>
    </w:pPr>
    <w:rPr>
      <w:sz w:val="18"/>
    </w:rPr>
  </w:style>
  <w:style w:type="paragraph" w:customStyle="1" w:styleId="noteParlAmend">
    <w:name w:val="note(ParlAmend)"/>
    <w:aliases w:val="npp"/>
    <w:basedOn w:val="OPCParaBase"/>
    <w:next w:val="ParlAmend"/>
    <w:rsid w:val="006C069E"/>
    <w:pPr>
      <w:spacing w:line="240" w:lineRule="auto"/>
      <w:jc w:val="right"/>
    </w:pPr>
    <w:rPr>
      <w:rFonts w:ascii="Arial" w:hAnsi="Arial"/>
      <w:b/>
      <w:i/>
    </w:rPr>
  </w:style>
  <w:style w:type="paragraph" w:customStyle="1" w:styleId="Page1">
    <w:name w:val="Page1"/>
    <w:basedOn w:val="OPCParaBase"/>
    <w:rsid w:val="006C069E"/>
    <w:pPr>
      <w:spacing w:before="5600" w:line="240" w:lineRule="auto"/>
    </w:pPr>
    <w:rPr>
      <w:b/>
      <w:sz w:val="32"/>
    </w:rPr>
  </w:style>
  <w:style w:type="paragraph" w:customStyle="1" w:styleId="PageBreak">
    <w:name w:val="PageBreak"/>
    <w:aliases w:val="pb"/>
    <w:basedOn w:val="OPCParaBase"/>
    <w:rsid w:val="006C069E"/>
    <w:pPr>
      <w:spacing w:line="240" w:lineRule="auto"/>
    </w:pPr>
    <w:rPr>
      <w:sz w:val="20"/>
    </w:rPr>
  </w:style>
  <w:style w:type="paragraph" w:customStyle="1" w:styleId="paragraphsub">
    <w:name w:val="paragraph(sub)"/>
    <w:aliases w:val="aa"/>
    <w:basedOn w:val="OPCParaBase"/>
    <w:rsid w:val="006C069E"/>
    <w:pPr>
      <w:tabs>
        <w:tab w:val="right" w:pos="1985"/>
      </w:tabs>
      <w:spacing w:before="40" w:line="240" w:lineRule="auto"/>
      <w:ind w:left="2098" w:hanging="2098"/>
    </w:pPr>
  </w:style>
  <w:style w:type="paragraph" w:customStyle="1" w:styleId="paragraphsub-sub">
    <w:name w:val="paragraph(sub-sub)"/>
    <w:aliases w:val="aaa"/>
    <w:basedOn w:val="OPCParaBase"/>
    <w:rsid w:val="006C069E"/>
    <w:pPr>
      <w:tabs>
        <w:tab w:val="right" w:pos="2722"/>
      </w:tabs>
      <w:spacing w:before="40" w:line="240" w:lineRule="auto"/>
      <w:ind w:left="2835" w:hanging="2835"/>
    </w:pPr>
  </w:style>
  <w:style w:type="paragraph" w:customStyle="1" w:styleId="paragraph">
    <w:name w:val="paragraph"/>
    <w:aliases w:val="a"/>
    <w:basedOn w:val="OPCParaBase"/>
    <w:link w:val="paragraphChar"/>
    <w:rsid w:val="006C069E"/>
    <w:pPr>
      <w:tabs>
        <w:tab w:val="right" w:pos="1531"/>
      </w:tabs>
      <w:spacing w:before="40" w:line="240" w:lineRule="auto"/>
      <w:ind w:left="1644" w:hanging="1644"/>
    </w:pPr>
  </w:style>
  <w:style w:type="paragraph" w:customStyle="1" w:styleId="ParlAmend">
    <w:name w:val="ParlAmend"/>
    <w:aliases w:val="pp"/>
    <w:basedOn w:val="OPCParaBase"/>
    <w:rsid w:val="006C069E"/>
    <w:pPr>
      <w:spacing w:before="240" w:line="240" w:lineRule="atLeast"/>
      <w:ind w:hanging="567"/>
    </w:pPr>
    <w:rPr>
      <w:sz w:val="24"/>
    </w:rPr>
  </w:style>
  <w:style w:type="paragraph" w:customStyle="1" w:styleId="Penalty">
    <w:name w:val="Penalty"/>
    <w:basedOn w:val="OPCParaBase"/>
    <w:rsid w:val="006C069E"/>
    <w:pPr>
      <w:tabs>
        <w:tab w:val="left" w:pos="2977"/>
      </w:tabs>
      <w:spacing w:before="180" w:line="240" w:lineRule="auto"/>
      <w:ind w:left="1985" w:hanging="851"/>
    </w:pPr>
  </w:style>
  <w:style w:type="paragraph" w:customStyle="1" w:styleId="Portfolio">
    <w:name w:val="Portfolio"/>
    <w:basedOn w:val="OPCParaBase"/>
    <w:rsid w:val="006C069E"/>
    <w:pPr>
      <w:spacing w:line="240" w:lineRule="auto"/>
    </w:pPr>
    <w:rPr>
      <w:i/>
      <w:sz w:val="20"/>
    </w:rPr>
  </w:style>
  <w:style w:type="paragraph" w:customStyle="1" w:styleId="Preamble">
    <w:name w:val="Preamble"/>
    <w:basedOn w:val="OPCParaBase"/>
    <w:next w:val="Normal"/>
    <w:rsid w:val="006C06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069E"/>
    <w:pPr>
      <w:spacing w:line="240" w:lineRule="auto"/>
    </w:pPr>
    <w:rPr>
      <w:i/>
      <w:sz w:val="20"/>
    </w:rPr>
  </w:style>
  <w:style w:type="paragraph" w:customStyle="1" w:styleId="Session">
    <w:name w:val="Session"/>
    <w:basedOn w:val="OPCParaBase"/>
    <w:rsid w:val="006C069E"/>
    <w:pPr>
      <w:spacing w:line="240" w:lineRule="auto"/>
    </w:pPr>
    <w:rPr>
      <w:sz w:val="28"/>
    </w:rPr>
  </w:style>
  <w:style w:type="paragraph" w:customStyle="1" w:styleId="Sponsor">
    <w:name w:val="Sponsor"/>
    <w:basedOn w:val="OPCParaBase"/>
    <w:rsid w:val="006C069E"/>
    <w:pPr>
      <w:spacing w:line="240" w:lineRule="auto"/>
    </w:pPr>
    <w:rPr>
      <w:i/>
    </w:rPr>
  </w:style>
  <w:style w:type="paragraph" w:customStyle="1" w:styleId="Subitem">
    <w:name w:val="Subitem"/>
    <w:aliases w:val="iss"/>
    <w:basedOn w:val="OPCParaBase"/>
    <w:rsid w:val="006C069E"/>
    <w:pPr>
      <w:spacing w:before="180" w:line="240" w:lineRule="auto"/>
      <w:ind w:left="709" w:hanging="709"/>
    </w:pPr>
  </w:style>
  <w:style w:type="paragraph" w:customStyle="1" w:styleId="SubitemHead">
    <w:name w:val="SubitemHead"/>
    <w:aliases w:val="issh"/>
    <w:basedOn w:val="OPCParaBase"/>
    <w:rsid w:val="006C06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069E"/>
    <w:pPr>
      <w:spacing w:before="40" w:line="240" w:lineRule="auto"/>
      <w:ind w:left="1134"/>
    </w:pPr>
  </w:style>
  <w:style w:type="paragraph" w:customStyle="1" w:styleId="SubsectionHead">
    <w:name w:val="SubsectionHead"/>
    <w:aliases w:val="ssh"/>
    <w:basedOn w:val="OPCParaBase"/>
    <w:next w:val="subsection"/>
    <w:rsid w:val="006C069E"/>
    <w:pPr>
      <w:keepNext/>
      <w:keepLines/>
      <w:spacing w:before="240" w:line="240" w:lineRule="auto"/>
      <w:ind w:left="1134"/>
    </w:pPr>
    <w:rPr>
      <w:i/>
    </w:rPr>
  </w:style>
  <w:style w:type="paragraph" w:customStyle="1" w:styleId="Tablea">
    <w:name w:val="Table(a)"/>
    <w:aliases w:val="ta"/>
    <w:basedOn w:val="OPCParaBase"/>
    <w:rsid w:val="006C069E"/>
    <w:pPr>
      <w:spacing w:before="60" w:line="240" w:lineRule="auto"/>
      <w:ind w:left="284" w:hanging="284"/>
    </w:pPr>
    <w:rPr>
      <w:sz w:val="20"/>
    </w:rPr>
  </w:style>
  <w:style w:type="paragraph" w:customStyle="1" w:styleId="TableAA">
    <w:name w:val="Table(AA)"/>
    <w:aliases w:val="taaa"/>
    <w:basedOn w:val="OPCParaBase"/>
    <w:rsid w:val="006C06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06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069E"/>
    <w:pPr>
      <w:spacing w:before="60" w:line="240" w:lineRule="atLeast"/>
    </w:pPr>
    <w:rPr>
      <w:sz w:val="20"/>
    </w:rPr>
  </w:style>
  <w:style w:type="paragraph" w:customStyle="1" w:styleId="TLPBoxTextnote">
    <w:name w:val="TLPBoxText(note"/>
    <w:aliases w:val="right)"/>
    <w:basedOn w:val="OPCParaBase"/>
    <w:rsid w:val="006C06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06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069E"/>
    <w:pPr>
      <w:spacing w:before="122" w:line="198" w:lineRule="exact"/>
      <w:ind w:left="1985" w:hanging="851"/>
      <w:jc w:val="right"/>
    </w:pPr>
    <w:rPr>
      <w:sz w:val="18"/>
    </w:rPr>
  </w:style>
  <w:style w:type="paragraph" w:customStyle="1" w:styleId="TLPTableBullet">
    <w:name w:val="TLPTableBullet"/>
    <w:aliases w:val="ttb"/>
    <w:basedOn w:val="OPCParaBase"/>
    <w:rsid w:val="006C069E"/>
    <w:pPr>
      <w:spacing w:line="240" w:lineRule="exact"/>
      <w:ind w:left="284" w:hanging="284"/>
    </w:pPr>
    <w:rPr>
      <w:sz w:val="20"/>
    </w:rPr>
  </w:style>
  <w:style w:type="paragraph" w:styleId="TOC1">
    <w:name w:val="toc 1"/>
    <w:basedOn w:val="Normal"/>
    <w:next w:val="Normal"/>
    <w:uiPriority w:val="39"/>
    <w:unhideWhenUsed/>
    <w:rsid w:val="006C069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C069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C069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C069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C069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C069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C069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C069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C069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C069E"/>
    <w:pPr>
      <w:keepLines/>
      <w:spacing w:before="240" w:after="120" w:line="240" w:lineRule="auto"/>
      <w:ind w:left="794"/>
    </w:pPr>
    <w:rPr>
      <w:b/>
      <w:kern w:val="28"/>
      <w:sz w:val="20"/>
    </w:rPr>
  </w:style>
  <w:style w:type="paragraph" w:customStyle="1" w:styleId="TofSectsHeading">
    <w:name w:val="TofSects(Heading)"/>
    <w:basedOn w:val="OPCParaBase"/>
    <w:rsid w:val="006C069E"/>
    <w:pPr>
      <w:spacing w:before="240" w:after="120" w:line="240" w:lineRule="auto"/>
    </w:pPr>
    <w:rPr>
      <w:b/>
      <w:sz w:val="24"/>
    </w:rPr>
  </w:style>
  <w:style w:type="paragraph" w:customStyle="1" w:styleId="TofSectsSection">
    <w:name w:val="TofSects(Section)"/>
    <w:basedOn w:val="OPCParaBase"/>
    <w:rsid w:val="006C069E"/>
    <w:pPr>
      <w:keepLines/>
      <w:spacing w:before="40" w:line="240" w:lineRule="auto"/>
      <w:ind w:left="1588" w:hanging="794"/>
    </w:pPr>
    <w:rPr>
      <w:kern w:val="28"/>
      <w:sz w:val="18"/>
    </w:rPr>
  </w:style>
  <w:style w:type="paragraph" w:customStyle="1" w:styleId="TofSectsSubdiv">
    <w:name w:val="TofSects(Subdiv)"/>
    <w:basedOn w:val="OPCParaBase"/>
    <w:rsid w:val="006C069E"/>
    <w:pPr>
      <w:keepLines/>
      <w:spacing w:before="80" w:line="240" w:lineRule="auto"/>
      <w:ind w:left="1588" w:hanging="794"/>
    </w:pPr>
    <w:rPr>
      <w:kern w:val="28"/>
    </w:rPr>
  </w:style>
  <w:style w:type="paragraph" w:customStyle="1" w:styleId="WRStyle">
    <w:name w:val="WR Style"/>
    <w:aliases w:val="WR"/>
    <w:basedOn w:val="OPCParaBase"/>
    <w:rsid w:val="006C069E"/>
    <w:pPr>
      <w:spacing w:before="240" w:line="240" w:lineRule="auto"/>
      <w:ind w:left="284" w:hanging="284"/>
    </w:pPr>
    <w:rPr>
      <w:b/>
      <w:i/>
      <w:kern w:val="28"/>
      <w:sz w:val="24"/>
    </w:rPr>
  </w:style>
  <w:style w:type="paragraph" w:customStyle="1" w:styleId="notepara">
    <w:name w:val="note(para)"/>
    <w:aliases w:val="na"/>
    <w:basedOn w:val="OPCParaBase"/>
    <w:rsid w:val="006C069E"/>
    <w:pPr>
      <w:spacing w:before="40" w:line="198" w:lineRule="exact"/>
      <w:ind w:left="2354" w:hanging="369"/>
    </w:pPr>
    <w:rPr>
      <w:sz w:val="18"/>
    </w:rPr>
  </w:style>
  <w:style w:type="paragraph" w:styleId="Footer">
    <w:name w:val="footer"/>
    <w:link w:val="FooterChar"/>
    <w:rsid w:val="006C06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069E"/>
    <w:rPr>
      <w:rFonts w:eastAsia="Times New Roman" w:cs="Times New Roman"/>
      <w:sz w:val="22"/>
      <w:szCs w:val="24"/>
      <w:lang w:eastAsia="en-AU"/>
    </w:rPr>
  </w:style>
  <w:style w:type="character" w:styleId="LineNumber">
    <w:name w:val="line number"/>
    <w:basedOn w:val="OPCCharBase"/>
    <w:uiPriority w:val="99"/>
    <w:unhideWhenUsed/>
    <w:rsid w:val="006C069E"/>
    <w:rPr>
      <w:sz w:val="16"/>
    </w:rPr>
  </w:style>
  <w:style w:type="table" w:customStyle="1" w:styleId="CFlag">
    <w:name w:val="CFlag"/>
    <w:basedOn w:val="TableNormal"/>
    <w:uiPriority w:val="99"/>
    <w:rsid w:val="006C069E"/>
    <w:rPr>
      <w:rFonts w:eastAsia="Times New Roman" w:cs="Times New Roman"/>
      <w:lang w:eastAsia="en-AU"/>
    </w:rPr>
    <w:tblPr/>
  </w:style>
  <w:style w:type="paragraph" w:styleId="BalloonText">
    <w:name w:val="Balloon Text"/>
    <w:basedOn w:val="Normal"/>
    <w:link w:val="BalloonTextChar"/>
    <w:uiPriority w:val="99"/>
    <w:unhideWhenUsed/>
    <w:rsid w:val="006C06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C069E"/>
    <w:rPr>
      <w:rFonts w:ascii="Tahoma" w:hAnsi="Tahoma" w:cs="Tahoma"/>
      <w:sz w:val="16"/>
      <w:szCs w:val="16"/>
    </w:rPr>
  </w:style>
  <w:style w:type="table" w:styleId="TableGrid">
    <w:name w:val="Table Grid"/>
    <w:basedOn w:val="TableNormal"/>
    <w:uiPriority w:val="59"/>
    <w:rsid w:val="006C0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069E"/>
    <w:rPr>
      <w:b/>
      <w:sz w:val="28"/>
      <w:szCs w:val="32"/>
    </w:rPr>
  </w:style>
  <w:style w:type="paragraph" w:customStyle="1" w:styleId="LegislationMadeUnder">
    <w:name w:val="LegislationMadeUnder"/>
    <w:basedOn w:val="OPCParaBase"/>
    <w:next w:val="Normal"/>
    <w:rsid w:val="006C069E"/>
    <w:rPr>
      <w:i/>
      <w:sz w:val="32"/>
      <w:szCs w:val="32"/>
    </w:rPr>
  </w:style>
  <w:style w:type="paragraph" w:customStyle="1" w:styleId="SignCoverPageEnd">
    <w:name w:val="SignCoverPageEnd"/>
    <w:basedOn w:val="OPCParaBase"/>
    <w:next w:val="Normal"/>
    <w:rsid w:val="006C06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069E"/>
    <w:pPr>
      <w:pBdr>
        <w:top w:val="single" w:sz="4" w:space="1" w:color="auto"/>
      </w:pBdr>
      <w:spacing w:before="360"/>
      <w:ind w:right="397"/>
      <w:jc w:val="both"/>
    </w:pPr>
  </w:style>
  <w:style w:type="paragraph" w:customStyle="1" w:styleId="NotesHeading1">
    <w:name w:val="NotesHeading 1"/>
    <w:basedOn w:val="OPCParaBase"/>
    <w:next w:val="Normal"/>
    <w:rsid w:val="006C069E"/>
    <w:rPr>
      <w:b/>
      <w:sz w:val="28"/>
      <w:szCs w:val="28"/>
    </w:rPr>
  </w:style>
  <w:style w:type="paragraph" w:customStyle="1" w:styleId="NotesHeading2">
    <w:name w:val="NotesHeading 2"/>
    <w:basedOn w:val="OPCParaBase"/>
    <w:next w:val="Normal"/>
    <w:rsid w:val="006C069E"/>
    <w:rPr>
      <w:b/>
      <w:sz w:val="28"/>
      <w:szCs w:val="28"/>
    </w:rPr>
  </w:style>
  <w:style w:type="paragraph" w:customStyle="1" w:styleId="CompiledActNo">
    <w:name w:val="CompiledActNo"/>
    <w:basedOn w:val="OPCParaBase"/>
    <w:next w:val="Normal"/>
    <w:rsid w:val="006C069E"/>
    <w:rPr>
      <w:b/>
      <w:sz w:val="24"/>
      <w:szCs w:val="24"/>
    </w:rPr>
  </w:style>
  <w:style w:type="paragraph" w:customStyle="1" w:styleId="ENotesText">
    <w:name w:val="ENotesText"/>
    <w:aliases w:val="Ent"/>
    <w:basedOn w:val="OPCParaBase"/>
    <w:next w:val="Normal"/>
    <w:rsid w:val="006C069E"/>
    <w:pPr>
      <w:spacing w:before="120"/>
    </w:pPr>
  </w:style>
  <w:style w:type="paragraph" w:customStyle="1" w:styleId="CompiledMadeUnder">
    <w:name w:val="CompiledMadeUnder"/>
    <w:basedOn w:val="OPCParaBase"/>
    <w:next w:val="Normal"/>
    <w:rsid w:val="006C069E"/>
    <w:rPr>
      <w:i/>
      <w:sz w:val="24"/>
      <w:szCs w:val="24"/>
    </w:rPr>
  </w:style>
  <w:style w:type="paragraph" w:customStyle="1" w:styleId="Paragraphsub-sub-sub">
    <w:name w:val="Paragraph(sub-sub-sub)"/>
    <w:aliases w:val="aaaa"/>
    <w:basedOn w:val="OPCParaBase"/>
    <w:rsid w:val="006C069E"/>
    <w:pPr>
      <w:tabs>
        <w:tab w:val="right" w:pos="3402"/>
      </w:tabs>
      <w:spacing w:before="40" w:line="240" w:lineRule="auto"/>
      <w:ind w:left="3402" w:hanging="3402"/>
    </w:pPr>
  </w:style>
  <w:style w:type="paragraph" w:customStyle="1" w:styleId="TableTextEndNotes">
    <w:name w:val="TableTextEndNotes"/>
    <w:aliases w:val="Tten"/>
    <w:basedOn w:val="Normal"/>
    <w:rsid w:val="006C069E"/>
    <w:pPr>
      <w:spacing w:before="60" w:line="240" w:lineRule="auto"/>
    </w:pPr>
    <w:rPr>
      <w:rFonts w:cs="Arial"/>
      <w:sz w:val="20"/>
      <w:szCs w:val="22"/>
    </w:rPr>
  </w:style>
  <w:style w:type="paragraph" w:customStyle="1" w:styleId="NoteToSubpara">
    <w:name w:val="NoteToSubpara"/>
    <w:aliases w:val="nts"/>
    <w:basedOn w:val="OPCParaBase"/>
    <w:rsid w:val="006C069E"/>
    <w:pPr>
      <w:spacing w:before="40" w:line="198" w:lineRule="exact"/>
      <w:ind w:left="2835" w:hanging="709"/>
    </w:pPr>
    <w:rPr>
      <w:sz w:val="18"/>
    </w:rPr>
  </w:style>
  <w:style w:type="paragraph" w:customStyle="1" w:styleId="ENoteTableHeading">
    <w:name w:val="ENoteTableHeading"/>
    <w:aliases w:val="enth"/>
    <w:basedOn w:val="OPCParaBase"/>
    <w:rsid w:val="006C069E"/>
    <w:pPr>
      <w:keepNext/>
      <w:spacing w:before="60" w:line="240" w:lineRule="atLeast"/>
    </w:pPr>
    <w:rPr>
      <w:rFonts w:ascii="Arial" w:hAnsi="Arial"/>
      <w:b/>
      <w:sz w:val="16"/>
    </w:rPr>
  </w:style>
  <w:style w:type="paragraph" w:customStyle="1" w:styleId="ENoteTTi">
    <w:name w:val="ENoteTTi"/>
    <w:aliases w:val="entti"/>
    <w:basedOn w:val="OPCParaBase"/>
    <w:rsid w:val="006C069E"/>
    <w:pPr>
      <w:keepNext/>
      <w:spacing w:before="60" w:line="240" w:lineRule="atLeast"/>
      <w:ind w:left="170"/>
    </w:pPr>
    <w:rPr>
      <w:sz w:val="16"/>
    </w:rPr>
  </w:style>
  <w:style w:type="paragraph" w:customStyle="1" w:styleId="ENotesHeading1">
    <w:name w:val="ENotesHeading 1"/>
    <w:aliases w:val="Enh1"/>
    <w:basedOn w:val="OPCParaBase"/>
    <w:next w:val="Normal"/>
    <w:rsid w:val="006C069E"/>
    <w:pPr>
      <w:spacing w:before="120"/>
      <w:outlineLvl w:val="1"/>
    </w:pPr>
    <w:rPr>
      <w:b/>
      <w:sz w:val="28"/>
      <w:szCs w:val="28"/>
    </w:rPr>
  </w:style>
  <w:style w:type="paragraph" w:customStyle="1" w:styleId="ENotesHeading2">
    <w:name w:val="ENotesHeading 2"/>
    <w:aliases w:val="Enh2"/>
    <w:basedOn w:val="OPCParaBase"/>
    <w:next w:val="Normal"/>
    <w:rsid w:val="006C069E"/>
    <w:pPr>
      <w:spacing w:before="120" w:after="120"/>
      <w:outlineLvl w:val="2"/>
    </w:pPr>
    <w:rPr>
      <w:b/>
      <w:sz w:val="24"/>
      <w:szCs w:val="28"/>
    </w:rPr>
  </w:style>
  <w:style w:type="paragraph" w:customStyle="1" w:styleId="ENoteTTIndentHeading">
    <w:name w:val="ENoteTTIndentHeading"/>
    <w:aliases w:val="enTTHi"/>
    <w:basedOn w:val="OPCParaBase"/>
    <w:rsid w:val="006C06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069E"/>
    <w:pPr>
      <w:spacing w:before="60" w:line="240" w:lineRule="atLeast"/>
    </w:pPr>
    <w:rPr>
      <w:sz w:val="16"/>
    </w:rPr>
  </w:style>
  <w:style w:type="paragraph" w:customStyle="1" w:styleId="MadeunderText">
    <w:name w:val="MadeunderText"/>
    <w:basedOn w:val="OPCParaBase"/>
    <w:next w:val="Normal"/>
    <w:rsid w:val="006C069E"/>
    <w:pPr>
      <w:spacing w:before="240"/>
    </w:pPr>
    <w:rPr>
      <w:sz w:val="24"/>
      <w:szCs w:val="24"/>
    </w:rPr>
  </w:style>
  <w:style w:type="paragraph" w:customStyle="1" w:styleId="ENotesHeading3">
    <w:name w:val="ENotesHeading 3"/>
    <w:aliases w:val="Enh3"/>
    <w:basedOn w:val="OPCParaBase"/>
    <w:next w:val="Normal"/>
    <w:rsid w:val="006C069E"/>
    <w:pPr>
      <w:keepNext/>
      <w:spacing w:before="120" w:line="240" w:lineRule="auto"/>
      <w:outlineLvl w:val="4"/>
    </w:pPr>
    <w:rPr>
      <w:b/>
      <w:szCs w:val="24"/>
    </w:rPr>
  </w:style>
  <w:style w:type="character" w:customStyle="1" w:styleId="CharSubPartTextCASA">
    <w:name w:val="CharSubPartText(CASA)"/>
    <w:basedOn w:val="OPCCharBase"/>
    <w:uiPriority w:val="1"/>
    <w:rsid w:val="006C069E"/>
  </w:style>
  <w:style w:type="character" w:customStyle="1" w:styleId="CharSubPartNoCASA">
    <w:name w:val="CharSubPartNo(CASA)"/>
    <w:basedOn w:val="OPCCharBase"/>
    <w:uiPriority w:val="1"/>
    <w:rsid w:val="006C069E"/>
  </w:style>
  <w:style w:type="paragraph" w:customStyle="1" w:styleId="ENoteTTIndentHeadingSub">
    <w:name w:val="ENoteTTIndentHeadingSub"/>
    <w:aliases w:val="enTTHis"/>
    <w:basedOn w:val="OPCParaBase"/>
    <w:rsid w:val="006C069E"/>
    <w:pPr>
      <w:keepNext/>
      <w:spacing w:before="60" w:line="240" w:lineRule="atLeast"/>
      <w:ind w:left="340"/>
    </w:pPr>
    <w:rPr>
      <w:b/>
      <w:sz w:val="16"/>
    </w:rPr>
  </w:style>
  <w:style w:type="paragraph" w:customStyle="1" w:styleId="ENoteTTiSub">
    <w:name w:val="ENoteTTiSub"/>
    <w:aliases w:val="enttis"/>
    <w:basedOn w:val="OPCParaBase"/>
    <w:rsid w:val="006C069E"/>
    <w:pPr>
      <w:keepNext/>
      <w:spacing w:before="60" w:line="240" w:lineRule="atLeast"/>
      <w:ind w:left="340"/>
    </w:pPr>
    <w:rPr>
      <w:sz w:val="16"/>
    </w:rPr>
  </w:style>
  <w:style w:type="paragraph" w:customStyle="1" w:styleId="SubDivisionMigration">
    <w:name w:val="SubDivisionMigration"/>
    <w:aliases w:val="sdm"/>
    <w:basedOn w:val="OPCParaBase"/>
    <w:rsid w:val="006C06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069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C069E"/>
    <w:pPr>
      <w:spacing w:before="122" w:line="240" w:lineRule="auto"/>
      <w:ind w:left="1985" w:hanging="851"/>
    </w:pPr>
    <w:rPr>
      <w:sz w:val="18"/>
    </w:rPr>
  </w:style>
  <w:style w:type="paragraph" w:customStyle="1" w:styleId="FreeForm">
    <w:name w:val="FreeForm"/>
    <w:rsid w:val="00FD14D6"/>
    <w:rPr>
      <w:rFonts w:ascii="Arial" w:hAnsi="Arial"/>
      <w:sz w:val="22"/>
    </w:rPr>
  </w:style>
  <w:style w:type="paragraph" w:customStyle="1" w:styleId="SOText">
    <w:name w:val="SO Text"/>
    <w:aliases w:val="sot"/>
    <w:link w:val="SOTextChar"/>
    <w:rsid w:val="006C06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069E"/>
    <w:rPr>
      <w:sz w:val="22"/>
    </w:rPr>
  </w:style>
  <w:style w:type="paragraph" w:customStyle="1" w:styleId="SOTextNote">
    <w:name w:val="SO TextNote"/>
    <w:aliases w:val="sont"/>
    <w:basedOn w:val="SOText"/>
    <w:qFormat/>
    <w:rsid w:val="006C069E"/>
    <w:pPr>
      <w:spacing w:before="122" w:line="198" w:lineRule="exact"/>
      <w:ind w:left="1843" w:hanging="709"/>
    </w:pPr>
    <w:rPr>
      <w:sz w:val="18"/>
    </w:rPr>
  </w:style>
  <w:style w:type="paragraph" w:customStyle="1" w:styleId="SOPara">
    <w:name w:val="SO Para"/>
    <w:aliases w:val="soa"/>
    <w:basedOn w:val="SOText"/>
    <w:link w:val="SOParaChar"/>
    <w:qFormat/>
    <w:rsid w:val="006C069E"/>
    <w:pPr>
      <w:tabs>
        <w:tab w:val="right" w:pos="1786"/>
      </w:tabs>
      <w:spacing w:before="40"/>
      <w:ind w:left="2070" w:hanging="936"/>
    </w:pPr>
  </w:style>
  <w:style w:type="character" w:customStyle="1" w:styleId="SOParaChar">
    <w:name w:val="SO Para Char"/>
    <w:aliases w:val="soa Char"/>
    <w:basedOn w:val="DefaultParagraphFont"/>
    <w:link w:val="SOPara"/>
    <w:rsid w:val="006C069E"/>
    <w:rPr>
      <w:sz w:val="22"/>
    </w:rPr>
  </w:style>
  <w:style w:type="paragraph" w:customStyle="1" w:styleId="FileName">
    <w:name w:val="FileName"/>
    <w:basedOn w:val="Normal"/>
    <w:rsid w:val="006C069E"/>
  </w:style>
  <w:style w:type="paragraph" w:customStyle="1" w:styleId="TableHeading">
    <w:name w:val="TableHeading"/>
    <w:aliases w:val="th"/>
    <w:basedOn w:val="OPCParaBase"/>
    <w:next w:val="Tabletext"/>
    <w:rsid w:val="006C069E"/>
    <w:pPr>
      <w:keepNext/>
      <w:spacing w:before="60" w:line="240" w:lineRule="atLeast"/>
    </w:pPr>
    <w:rPr>
      <w:b/>
      <w:sz w:val="20"/>
    </w:rPr>
  </w:style>
  <w:style w:type="paragraph" w:customStyle="1" w:styleId="SOHeadBold">
    <w:name w:val="SO HeadBold"/>
    <w:aliases w:val="sohb"/>
    <w:basedOn w:val="SOText"/>
    <w:next w:val="SOText"/>
    <w:link w:val="SOHeadBoldChar"/>
    <w:qFormat/>
    <w:rsid w:val="006C069E"/>
    <w:rPr>
      <w:b/>
    </w:rPr>
  </w:style>
  <w:style w:type="character" w:customStyle="1" w:styleId="SOHeadBoldChar">
    <w:name w:val="SO HeadBold Char"/>
    <w:aliases w:val="sohb Char"/>
    <w:basedOn w:val="DefaultParagraphFont"/>
    <w:link w:val="SOHeadBold"/>
    <w:rsid w:val="006C069E"/>
    <w:rPr>
      <w:b/>
      <w:sz w:val="22"/>
    </w:rPr>
  </w:style>
  <w:style w:type="paragraph" w:customStyle="1" w:styleId="SOHeadItalic">
    <w:name w:val="SO HeadItalic"/>
    <w:aliases w:val="sohi"/>
    <w:basedOn w:val="SOText"/>
    <w:next w:val="SOText"/>
    <w:link w:val="SOHeadItalicChar"/>
    <w:qFormat/>
    <w:rsid w:val="006C069E"/>
    <w:rPr>
      <w:i/>
    </w:rPr>
  </w:style>
  <w:style w:type="character" w:customStyle="1" w:styleId="SOHeadItalicChar">
    <w:name w:val="SO HeadItalic Char"/>
    <w:aliases w:val="sohi Char"/>
    <w:basedOn w:val="DefaultParagraphFont"/>
    <w:link w:val="SOHeadItalic"/>
    <w:rsid w:val="006C069E"/>
    <w:rPr>
      <w:i/>
      <w:sz w:val="22"/>
    </w:rPr>
  </w:style>
  <w:style w:type="paragraph" w:customStyle="1" w:styleId="SOBullet">
    <w:name w:val="SO Bullet"/>
    <w:aliases w:val="sotb"/>
    <w:basedOn w:val="SOText"/>
    <w:link w:val="SOBulletChar"/>
    <w:qFormat/>
    <w:rsid w:val="006C069E"/>
    <w:pPr>
      <w:ind w:left="1559" w:hanging="425"/>
    </w:pPr>
  </w:style>
  <w:style w:type="character" w:customStyle="1" w:styleId="SOBulletChar">
    <w:name w:val="SO Bullet Char"/>
    <w:aliases w:val="sotb Char"/>
    <w:basedOn w:val="DefaultParagraphFont"/>
    <w:link w:val="SOBullet"/>
    <w:rsid w:val="006C069E"/>
    <w:rPr>
      <w:sz w:val="22"/>
    </w:rPr>
  </w:style>
  <w:style w:type="paragraph" w:customStyle="1" w:styleId="SOBulletNote">
    <w:name w:val="SO BulletNote"/>
    <w:aliases w:val="sonb"/>
    <w:basedOn w:val="SOTextNote"/>
    <w:link w:val="SOBulletNoteChar"/>
    <w:qFormat/>
    <w:rsid w:val="006C069E"/>
    <w:pPr>
      <w:tabs>
        <w:tab w:val="left" w:pos="1560"/>
      </w:tabs>
      <w:ind w:left="2268" w:hanging="1134"/>
    </w:pPr>
  </w:style>
  <w:style w:type="character" w:customStyle="1" w:styleId="SOBulletNoteChar">
    <w:name w:val="SO BulletNote Char"/>
    <w:aliases w:val="sonb Char"/>
    <w:basedOn w:val="DefaultParagraphFont"/>
    <w:link w:val="SOBulletNote"/>
    <w:rsid w:val="006C069E"/>
    <w:rPr>
      <w:sz w:val="18"/>
    </w:rPr>
  </w:style>
  <w:style w:type="paragraph" w:customStyle="1" w:styleId="SOText2">
    <w:name w:val="SO Text2"/>
    <w:aliases w:val="sot2"/>
    <w:basedOn w:val="Normal"/>
    <w:next w:val="SOText"/>
    <w:link w:val="SOText2Char"/>
    <w:rsid w:val="006C06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069E"/>
    <w:rPr>
      <w:sz w:val="22"/>
    </w:rPr>
  </w:style>
  <w:style w:type="paragraph" w:customStyle="1" w:styleId="SubPartCASA">
    <w:name w:val="SubPart(CASA)"/>
    <w:aliases w:val="csp"/>
    <w:basedOn w:val="OPCParaBase"/>
    <w:next w:val="ActHead3"/>
    <w:rsid w:val="006C069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C069E"/>
    <w:rPr>
      <w:rFonts w:eastAsia="Times New Roman" w:cs="Times New Roman"/>
      <w:sz w:val="22"/>
      <w:lang w:eastAsia="en-AU"/>
    </w:rPr>
  </w:style>
  <w:style w:type="character" w:customStyle="1" w:styleId="notetextChar">
    <w:name w:val="note(text) Char"/>
    <w:aliases w:val="n Char"/>
    <w:basedOn w:val="DefaultParagraphFont"/>
    <w:link w:val="notetext"/>
    <w:rsid w:val="006C069E"/>
    <w:rPr>
      <w:rFonts w:eastAsia="Times New Roman" w:cs="Times New Roman"/>
      <w:sz w:val="18"/>
      <w:lang w:eastAsia="en-AU"/>
    </w:rPr>
  </w:style>
  <w:style w:type="character" w:customStyle="1" w:styleId="Heading1Char">
    <w:name w:val="Heading 1 Char"/>
    <w:basedOn w:val="DefaultParagraphFont"/>
    <w:link w:val="Heading1"/>
    <w:uiPriority w:val="9"/>
    <w:rsid w:val="006C06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06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069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C069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C069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C069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C069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C06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C069E"/>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9B62B2"/>
    <w:rPr>
      <w:rFonts w:eastAsia="Times New Roman" w:cs="Times New Roman"/>
      <w:sz w:val="22"/>
      <w:lang w:eastAsia="en-AU"/>
    </w:rPr>
  </w:style>
  <w:style w:type="character" w:styleId="Hyperlink">
    <w:name w:val="Hyperlink"/>
    <w:basedOn w:val="DefaultParagraphFont"/>
    <w:rsid w:val="006C069E"/>
    <w:rPr>
      <w:color w:val="0000FF"/>
      <w:u w:val="single"/>
    </w:rPr>
  </w:style>
  <w:style w:type="character" w:customStyle="1" w:styleId="charlegsubtitle1">
    <w:name w:val="charlegsubtitle1"/>
    <w:basedOn w:val="DefaultParagraphFont"/>
    <w:rsid w:val="006C069E"/>
    <w:rPr>
      <w:rFonts w:ascii="Arial" w:hAnsi="Arial" w:cs="Arial" w:hint="default"/>
      <w:b/>
      <w:bCs/>
      <w:sz w:val="28"/>
      <w:szCs w:val="28"/>
    </w:rPr>
  </w:style>
  <w:style w:type="paragraph" w:styleId="Index1">
    <w:name w:val="index 1"/>
    <w:basedOn w:val="Normal"/>
    <w:next w:val="Normal"/>
    <w:autoRedefine/>
    <w:rsid w:val="006C069E"/>
    <w:pPr>
      <w:ind w:left="240" w:hanging="240"/>
    </w:pPr>
  </w:style>
  <w:style w:type="paragraph" w:styleId="Index2">
    <w:name w:val="index 2"/>
    <w:basedOn w:val="Normal"/>
    <w:next w:val="Normal"/>
    <w:autoRedefine/>
    <w:rsid w:val="006C069E"/>
    <w:pPr>
      <w:ind w:left="480" w:hanging="240"/>
    </w:pPr>
  </w:style>
  <w:style w:type="paragraph" w:styleId="Index3">
    <w:name w:val="index 3"/>
    <w:basedOn w:val="Normal"/>
    <w:next w:val="Normal"/>
    <w:autoRedefine/>
    <w:rsid w:val="006C069E"/>
    <w:pPr>
      <w:ind w:left="720" w:hanging="240"/>
    </w:pPr>
  </w:style>
  <w:style w:type="paragraph" w:styleId="Index4">
    <w:name w:val="index 4"/>
    <w:basedOn w:val="Normal"/>
    <w:next w:val="Normal"/>
    <w:autoRedefine/>
    <w:rsid w:val="006C069E"/>
    <w:pPr>
      <w:ind w:left="960" w:hanging="240"/>
    </w:pPr>
  </w:style>
  <w:style w:type="paragraph" w:styleId="Index5">
    <w:name w:val="index 5"/>
    <w:basedOn w:val="Normal"/>
    <w:next w:val="Normal"/>
    <w:autoRedefine/>
    <w:rsid w:val="006C069E"/>
    <w:pPr>
      <w:ind w:left="1200" w:hanging="240"/>
    </w:pPr>
  </w:style>
  <w:style w:type="paragraph" w:styleId="Index6">
    <w:name w:val="index 6"/>
    <w:basedOn w:val="Normal"/>
    <w:next w:val="Normal"/>
    <w:autoRedefine/>
    <w:rsid w:val="006C069E"/>
    <w:pPr>
      <w:ind w:left="1440" w:hanging="240"/>
    </w:pPr>
  </w:style>
  <w:style w:type="paragraph" w:styleId="Index7">
    <w:name w:val="index 7"/>
    <w:basedOn w:val="Normal"/>
    <w:next w:val="Normal"/>
    <w:autoRedefine/>
    <w:rsid w:val="006C069E"/>
    <w:pPr>
      <w:ind w:left="1680" w:hanging="240"/>
    </w:pPr>
  </w:style>
  <w:style w:type="paragraph" w:styleId="Index8">
    <w:name w:val="index 8"/>
    <w:basedOn w:val="Normal"/>
    <w:next w:val="Normal"/>
    <w:autoRedefine/>
    <w:rsid w:val="006C069E"/>
    <w:pPr>
      <w:ind w:left="1920" w:hanging="240"/>
    </w:pPr>
  </w:style>
  <w:style w:type="paragraph" w:styleId="Index9">
    <w:name w:val="index 9"/>
    <w:basedOn w:val="Normal"/>
    <w:next w:val="Normal"/>
    <w:autoRedefine/>
    <w:rsid w:val="006C069E"/>
    <w:pPr>
      <w:ind w:left="2160" w:hanging="240"/>
    </w:pPr>
  </w:style>
  <w:style w:type="paragraph" w:styleId="NormalIndent">
    <w:name w:val="Normal Indent"/>
    <w:basedOn w:val="Normal"/>
    <w:rsid w:val="006C069E"/>
    <w:pPr>
      <w:ind w:left="720"/>
    </w:pPr>
  </w:style>
  <w:style w:type="paragraph" w:styleId="FootnoteText">
    <w:name w:val="footnote text"/>
    <w:basedOn w:val="Normal"/>
    <w:link w:val="FootnoteTextChar"/>
    <w:rsid w:val="006C069E"/>
    <w:rPr>
      <w:sz w:val="20"/>
    </w:rPr>
  </w:style>
  <w:style w:type="character" w:customStyle="1" w:styleId="FootnoteTextChar">
    <w:name w:val="Footnote Text Char"/>
    <w:basedOn w:val="DefaultParagraphFont"/>
    <w:link w:val="FootnoteText"/>
    <w:rsid w:val="006C069E"/>
  </w:style>
  <w:style w:type="paragraph" w:styleId="CommentText">
    <w:name w:val="annotation text"/>
    <w:basedOn w:val="Normal"/>
    <w:link w:val="CommentTextChar"/>
    <w:rsid w:val="006C069E"/>
    <w:rPr>
      <w:sz w:val="20"/>
    </w:rPr>
  </w:style>
  <w:style w:type="character" w:customStyle="1" w:styleId="CommentTextChar">
    <w:name w:val="Comment Text Char"/>
    <w:basedOn w:val="DefaultParagraphFont"/>
    <w:link w:val="CommentText"/>
    <w:rsid w:val="006C069E"/>
  </w:style>
  <w:style w:type="paragraph" w:styleId="IndexHeading">
    <w:name w:val="index heading"/>
    <w:basedOn w:val="Normal"/>
    <w:next w:val="Index1"/>
    <w:rsid w:val="006C069E"/>
    <w:rPr>
      <w:rFonts w:ascii="Arial" w:hAnsi="Arial" w:cs="Arial"/>
      <w:b/>
      <w:bCs/>
    </w:rPr>
  </w:style>
  <w:style w:type="paragraph" w:styleId="Caption">
    <w:name w:val="caption"/>
    <w:basedOn w:val="Normal"/>
    <w:next w:val="Normal"/>
    <w:qFormat/>
    <w:rsid w:val="006C069E"/>
    <w:pPr>
      <w:spacing w:before="120" w:after="120"/>
    </w:pPr>
    <w:rPr>
      <w:b/>
      <w:bCs/>
      <w:sz w:val="20"/>
    </w:rPr>
  </w:style>
  <w:style w:type="paragraph" w:styleId="TableofFigures">
    <w:name w:val="table of figures"/>
    <w:basedOn w:val="Normal"/>
    <w:next w:val="Normal"/>
    <w:rsid w:val="006C069E"/>
    <w:pPr>
      <w:ind w:left="480" w:hanging="480"/>
    </w:pPr>
  </w:style>
  <w:style w:type="paragraph" w:styleId="EnvelopeAddress">
    <w:name w:val="envelope address"/>
    <w:basedOn w:val="Normal"/>
    <w:rsid w:val="006C069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C069E"/>
    <w:rPr>
      <w:rFonts w:ascii="Arial" w:hAnsi="Arial" w:cs="Arial"/>
      <w:sz w:val="20"/>
    </w:rPr>
  </w:style>
  <w:style w:type="character" w:styleId="FootnoteReference">
    <w:name w:val="footnote reference"/>
    <w:basedOn w:val="DefaultParagraphFont"/>
    <w:rsid w:val="006C069E"/>
    <w:rPr>
      <w:rFonts w:ascii="Times New Roman" w:hAnsi="Times New Roman"/>
      <w:sz w:val="20"/>
      <w:vertAlign w:val="superscript"/>
    </w:rPr>
  </w:style>
  <w:style w:type="character" w:styleId="CommentReference">
    <w:name w:val="annotation reference"/>
    <w:basedOn w:val="DefaultParagraphFont"/>
    <w:rsid w:val="006C069E"/>
    <w:rPr>
      <w:sz w:val="16"/>
      <w:szCs w:val="16"/>
    </w:rPr>
  </w:style>
  <w:style w:type="character" w:styleId="PageNumber">
    <w:name w:val="page number"/>
    <w:basedOn w:val="DefaultParagraphFont"/>
    <w:rsid w:val="006C069E"/>
  </w:style>
  <w:style w:type="character" w:styleId="EndnoteReference">
    <w:name w:val="endnote reference"/>
    <w:basedOn w:val="DefaultParagraphFont"/>
    <w:rsid w:val="006C069E"/>
    <w:rPr>
      <w:vertAlign w:val="superscript"/>
    </w:rPr>
  </w:style>
  <w:style w:type="paragraph" w:styleId="EndnoteText">
    <w:name w:val="endnote text"/>
    <w:basedOn w:val="Normal"/>
    <w:link w:val="EndnoteTextChar"/>
    <w:rsid w:val="006C069E"/>
    <w:rPr>
      <w:sz w:val="20"/>
    </w:rPr>
  </w:style>
  <w:style w:type="character" w:customStyle="1" w:styleId="EndnoteTextChar">
    <w:name w:val="Endnote Text Char"/>
    <w:basedOn w:val="DefaultParagraphFont"/>
    <w:link w:val="EndnoteText"/>
    <w:rsid w:val="006C069E"/>
  </w:style>
  <w:style w:type="paragraph" w:styleId="TableofAuthorities">
    <w:name w:val="table of authorities"/>
    <w:basedOn w:val="Normal"/>
    <w:next w:val="Normal"/>
    <w:rsid w:val="006C069E"/>
    <w:pPr>
      <w:ind w:left="240" w:hanging="240"/>
    </w:pPr>
  </w:style>
  <w:style w:type="paragraph" w:styleId="MacroText">
    <w:name w:val="macro"/>
    <w:link w:val="MacroTextChar"/>
    <w:rsid w:val="006C069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C069E"/>
    <w:rPr>
      <w:rFonts w:ascii="Courier New" w:eastAsia="Times New Roman" w:hAnsi="Courier New" w:cs="Courier New"/>
      <w:lang w:eastAsia="en-AU"/>
    </w:rPr>
  </w:style>
  <w:style w:type="paragraph" w:styleId="TOAHeading">
    <w:name w:val="toa heading"/>
    <w:basedOn w:val="Normal"/>
    <w:next w:val="Normal"/>
    <w:rsid w:val="006C069E"/>
    <w:pPr>
      <w:spacing w:before="120"/>
    </w:pPr>
    <w:rPr>
      <w:rFonts w:ascii="Arial" w:hAnsi="Arial" w:cs="Arial"/>
      <w:b/>
      <w:bCs/>
    </w:rPr>
  </w:style>
  <w:style w:type="paragraph" w:styleId="List">
    <w:name w:val="List"/>
    <w:basedOn w:val="Normal"/>
    <w:rsid w:val="006C069E"/>
    <w:pPr>
      <w:ind w:left="283" w:hanging="283"/>
    </w:pPr>
  </w:style>
  <w:style w:type="paragraph" w:styleId="ListBullet">
    <w:name w:val="List Bullet"/>
    <w:basedOn w:val="Normal"/>
    <w:autoRedefine/>
    <w:rsid w:val="006C069E"/>
    <w:pPr>
      <w:tabs>
        <w:tab w:val="num" w:pos="360"/>
      </w:tabs>
      <w:ind w:left="360" w:hanging="360"/>
    </w:pPr>
  </w:style>
  <w:style w:type="paragraph" w:styleId="ListNumber">
    <w:name w:val="List Number"/>
    <w:basedOn w:val="Normal"/>
    <w:rsid w:val="006C069E"/>
    <w:pPr>
      <w:tabs>
        <w:tab w:val="num" w:pos="360"/>
      </w:tabs>
      <w:ind w:left="360" w:hanging="360"/>
    </w:pPr>
  </w:style>
  <w:style w:type="paragraph" w:styleId="List2">
    <w:name w:val="List 2"/>
    <w:basedOn w:val="Normal"/>
    <w:rsid w:val="006C069E"/>
    <w:pPr>
      <w:ind w:left="566" w:hanging="283"/>
    </w:pPr>
  </w:style>
  <w:style w:type="paragraph" w:styleId="List3">
    <w:name w:val="List 3"/>
    <w:basedOn w:val="Normal"/>
    <w:rsid w:val="006C069E"/>
    <w:pPr>
      <w:ind w:left="849" w:hanging="283"/>
    </w:pPr>
  </w:style>
  <w:style w:type="paragraph" w:styleId="List4">
    <w:name w:val="List 4"/>
    <w:basedOn w:val="Normal"/>
    <w:rsid w:val="006C069E"/>
    <w:pPr>
      <w:ind w:left="1132" w:hanging="283"/>
    </w:pPr>
  </w:style>
  <w:style w:type="paragraph" w:styleId="List5">
    <w:name w:val="List 5"/>
    <w:basedOn w:val="Normal"/>
    <w:rsid w:val="006C069E"/>
    <w:pPr>
      <w:ind w:left="1415" w:hanging="283"/>
    </w:pPr>
  </w:style>
  <w:style w:type="paragraph" w:styleId="ListBullet2">
    <w:name w:val="List Bullet 2"/>
    <w:basedOn w:val="Normal"/>
    <w:autoRedefine/>
    <w:rsid w:val="006C069E"/>
    <w:pPr>
      <w:tabs>
        <w:tab w:val="num" w:pos="360"/>
      </w:tabs>
    </w:pPr>
  </w:style>
  <w:style w:type="paragraph" w:styleId="ListBullet3">
    <w:name w:val="List Bullet 3"/>
    <w:basedOn w:val="Normal"/>
    <w:autoRedefine/>
    <w:rsid w:val="006C069E"/>
    <w:pPr>
      <w:tabs>
        <w:tab w:val="num" w:pos="926"/>
      </w:tabs>
      <w:ind w:left="926" w:hanging="360"/>
    </w:pPr>
  </w:style>
  <w:style w:type="paragraph" w:styleId="ListBullet4">
    <w:name w:val="List Bullet 4"/>
    <w:basedOn w:val="Normal"/>
    <w:autoRedefine/>
    <w:rsid w:val="006C069E"/>
    <w:pPr>
      <w:tabs>
        <w:tab w:val="num" w:pos="1209"/>
      </w:tabs>
      <w:ind w:left="1209" w:hanging="360"/>
    </w:pPr>
  </w:style>
  <w:style w:type="paragraph" w:styleId="ListBullet5">
    <w:name w:val="List Bullet 5"/>
    <w:basedOn w:val="Normal"/>
    <w:autoRedefine/>
    <w:rsid w:val="006C069E"/>
    <w:pPr>
      <w:tabs>
        <w:tab w:val="num" w:pos="1492"/>
      </w:tabs>
      <w:ind w:left="1492" w:hanging="360"/>
    </w:pPr>
  </w:style>
  <w:style w:type="paragraph" w:styleId="ListNumber2">
    <w:name w:val="List Number 2"/>
    <w:basedOn w:val="Normal"/>
    <w:rsid w:val="006C069E"/>
    <w:pPr>
      <w:tabs>
        <w:tab w:val="num" w:pos="643"/>
      </w:tabs>
      <w:ind w:left="643" w:hanging="360"/>
    </w:pPr>
  </w:style>
  <w:style w:type="paragraph" w:styleId="ListNumber3">
    <w:name w:val="List Number 3"/>
    <w:basedOn w:val="Normal"/>
    <w:rsid w:val="006C069E"/>
    <w:pPr>
      <w:tabs>
        <w:tab w:val="num" w:pos="926"/>
      </w:tabs>
      <w:ind w:left="926" w:hanging="360"/>
    </w:pPr>
  </w:style>
  <w:style w:type="paragraph" w:styleId="ListNumber4">
    <w:name w:val="List Number 4"/>
    <w:basedOn w:val="Normal"/>
    <w:rsid w:val="006C069E"/>
    <w:pPr>
      <w:tabs>
        <w:tab w:val="num" w:pos="1209"/>
      </w:tabs>
      <w:ind w:left="1209" w:hanging="360"/>
    </w:pPr>
  </w:style>
  <w:style w:type="paragraph" w:styleId="ListNumber5">
    <w:name w:val="List Number 5"/>
    <w:basedOn w:val="Normal"/>
    <w:rsid w:val="006C069E"/>
    <w:pPr>
      <w:tabs>
        <w:tab w:val="num" w:pos="1492"/>
      </w:tabs>
      <w:ind w:left="1492" w:hanging="360"/>
    </w:pPr>
  </w:style>
  <w:style w:type="paragraph" w:styleId="Title">
    <w:name w:val="Title"/>
    <w:basedOn w:val="Normal"/>
    <w:link w:val="TitleChar"/>
    <w:qFormat/>
    <w:rsid w:val="006C069E"/>
    <w:pPr>
      <w:spacing w:before="240" w:after="60"/>
    </w:pPr>
    <w:rPr>
      <w:rFonts w:ascii="Arial" w:hAnsi="Arial" w:cs="Arial"/>
      <w:b/>
      <w:bCs/>
      <w:sz w:val="40"/>
      <w:szCs w:val="40"/>
    </w:rPr>
  </w:style>
  <w:style w:type="character" w:customStyle="1" w:styleId="TitleChar">
    <w:name w:val="Title Char"/>
    <w:basedOn w:val="DefaultParagraphFont"/>
    <w:link w:val="Title"/>
    <w:rsid w:val="006C069E"/>
    <w:rPr>
      <w:rFonts w:ascii="Arial" w:hAnsi="Arial" w:cs="Arial"/>
      <w:b/>
      <w:bCs/>
      <w:sz w:val="40"/>
      <w:szCs w:val="40"/>
    </w:rPr>
  </w:style>
  <w:style w:type="paragraph" w:styleId="Closing">
    <w:name w:val="Closing"/>
    <w:basedOn w:val="Normal"/>
    <w:link w:val="ClosingChar"/>
    <w:rsid w:val="006C069E"/>
    <w:pPr>
      <w:ind w:left="4252"/>
    </w:pPr>
  </w:style>
  <w:style w:type="character" w:customStyle="1" w:styleId="ClosingChar">
    <w:name w:val="Closing Char"/>
    <w:basedOn w:val="DefaultParagraphFont"/>
    <w:link w:val="Closing"/>
    <w:rsid w:val="006C069E"/>
    <w:rPr>
      <w:sz w:val="22"/>
    </w:rPr>
  </w:style>
  <w:style w:type="paragraph" w:styleId="Signature">
    <w:name w:val="Signature"/>
    <w:basedOn w:val="Normal"/>
    <w:link w:val="SignatureChar"/>
    <w:rsid w:val="006C069E"/>
    <w:pPr>
      <w:ind w:left="4252"/>
    </w:pPr>
  </w:style>
  <w:style w:type="character" w:customStyle="1" w:styleId="SignatureChar">
    <w:name w:val="Signature Char"/>
    <w:basedOn w:val="DefaultParagraphFont"/>
    <w:link w:val="Signature"/>
    <w:rsid w:val="006C069E"/>
    <w:rPr>
      <w:sz w:val="22"/>
    </w:rPr>
  </w:style>
  <w:style w:type="paragraph" w:styleId="BodyText">
    <w:name w:val="Body Text"/>
    <w:basedOn w:val="Normal"/>
    <w:link w:val="BodyTextChar"/>
    <w:rsid w:val="006C069E"/>
    <w:pPr>
      <w:spacing w:after="120"/>
    </w:pPr>
  </w:style>
  <w:style w:type="character" w:customStyle="1" w:styleId="BodyTextChar">
    <w:name w:val="Body Text Char"/>
    <w:basedOn w:val="DefaultParagraphFont"/>
    <w:link w:val="BodyText"/>
    <w:rsid w:val="006C069E"/>
    <w:rPr>
      <w:sz w:val="22"/>
    </w:rPr>
  </w:style>
  <w:style w:type="paragraph" w:styleId="BodyTextIndent">
    <w:name w:val="Body Text Indent"/>
    <w:basedOn w:val="Normal"/>
    <w:link w:val="BodyTextIndentChar"/>
    <w:rsid w:val="006C069E"/>
    <w:pPr>
      <w:spacing w:after="120"/>
      <w:ind w:left="283"/>
    </w:pPr>
  </w:style>
  <w:style w:type="character" w:customStyle="1" w:styleId="BodyTextIndentChar">
    <w:name w:val="Body Text Indent Char"/>
    <w:basedOn w:val="DefaultParagraphFont"/>
    <w:link w:val="BodyTextIndent"/>
    <w:rsid w:val="006C069E"/>
    <w:rPr>
      <w:sz w:val="22"/>
    </w:rPr>
  </w:style>
  <w:style w:type="paragraph" w:styleId="ListContinue">
    <w:name w:val="List Continue"/>
    <w:basedOn w:val="Normal"/>
    <w:rsid w:val="006C069E"/>
    <w:pPr>
      <w:spacing w:after="120"/>
      <w:ind w:left="283"/>
    </w:pPr>
  </w:style>
  <w:style w:type="paragraph" w:styleId="ListContinue2">
    <w:name w:val="List Continue 2"/>
    <w:basedOn w:val="Normal"/>
    <w:rsid w:val="006C069E"/>
    <w:pPr>
      <w:spacing w:after="120"/>
      <w:ind w:left="566"/>
    </w:pPr>
  </w:style>
  <w:style w:type="paragraph" w:styleId="ListContinue3">
    <w:name w:val="List Continue 3"/>
    <w:basedOn w:val="Normal"/>
    <w:rsid w:val="006C069E"/>
    <w:pPr>
      <w:spacing w:after="120"/>
      <w:ind w:left="849"/>
    </w:pPr>
  </w:style>
  <w:style w:type="paragraph" w:styleId="ListContinue4">
    <w:name w:val="List Continue 4"/>
    <w:basedOn w:val="Normal"/>
    <w:rsid w:val="006C069E"/>
    <w:pPr>
      <w:spacing w:after="120"/>
      <w:ind w:left="1132"/>
    </w:pPr>
  </w:style>
  <w:style w:type="paragraph" w:styleId="ListContinue5">
    <w:name w:val="List Continue 5"/>
    <w:basedOn w:val="Normal"/>
    <w:rsid w:val="006C069E"/>
    <w:pPr>
      <w:spacing w:after="120"/>
      <w:ind w:left="1415"/>
    </w:pPr>
  </w:style>
  <w:style w:type="paragraph" w:styleId="MessageHeader">
    <w:name w:val="Message Header"/>
    <w:basedOn w:val="Normal"/>
    <w:link w:val="MessageHeaderChar"/>
    <w:rsid w:val="006C06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C069E"/>
    <w:rPr>
      <w:rFonts w:ascii="Arial" w:hAnsi="Arial" w:cs="Arial"/>
      <w:sz w:val="22"/>
      <w:shd w:val="pct20" w:color="auto" w:fill="auto"/>
    </w:rPr>
  </w:style>
  <w:style w:type="paragraph" w:styleId="Subtitle">
    <w:name w:val="Subtitle"/>
    <w:basedOn w:val="Normal"/>
    <w:link w:val="SubtitleChar"/>
    <w:qFormat/>
    <w:rsid w:val="006C069E"/>
    <w:pPr>
      <w:spacing w:after="60"/>
      <w:jc w:val="center"/>
      <w:outlineLvl w:val="1"/>
    </w:pPr>
    <w:rPr>
      <w:rFonts w:ascii="Arial" w:hAnsi="Arial" w:cs="Arial"/>
    </w:rPr>
  </w:style>
  <w:style w:type="character" w:customStyle="1" w:styleId="SubtitleChar">
    <w:name w:val="Subtitle Char"/>
    <w:basedOn w:val="DefaultParagraphFont"/>
    <w:link w:val="Subtitle"/>
    <w:rsid w:val="006C069E"/>
    <w:rPr>
      <w:rFonts w:ascii="Arial" w:hAnsi="Arial" w:cs="Arial"/>
      <w:sz w:val="22"/>
    </w:rPr>
  </w:style>
  <w:style w:type="paragraph" w:styleId="Salutation">
    <w:name w:val="Salutation"/>
    <w:basedOn w:val="Normal"/>
    <w:next w:val="Normal"/>
    <w:link w:val="SalutationChar"/>
    <w:rsid w:val="006C069E"/>
  </w:style>
  <w:style w:type="character" w:customStyle="1" w:styleId="SalutationChar">
    <w:name w:val="Salutation Char"/>
    <w:basedOn w:val="DefaultParagraphFont"/>
    <w:link w:val="Salutation"/>
    <w:rsid w:val="006C069E"/>
    <w:rPr>
      <w:sz w:val="22"/>
    </w:rPr>
  </w:style>
  <w:style w:type="paragraph" w:styleId="Date">
    <w:name w:val="Date"/>
    <w:basedOn w:val="Normal"/>
    <w:next w:val="Normal"/>
    <w:link w:val="DateChar"/>
    <w:rsid w:val="006C069E"/>
  </w:style>
  <w:style w:type="character" w:customStyle="1" w:styleId="DateChar">
    <w:name w:val="Date Char"/>
    <w:basedOn w:val="DefaultParagraphFont"/>
    <w:link w:val="Date"/>
    <w:rsid w:val="006C069E"/>
    <w:rPr>
      <w:sz w:val="22"/>
    </w:rPr>
  </w:style>
  <w:style w:type="paragraph" w:styleId="BodyTextFirstIndent">
    <w:name w:val="Body Text First Indent"/>
    <w:basedOn w:val="BodyText"/>
    <w:link w:val="BodyTextFirstIndentChar"/>
    <w:rsid w:val="006C069E"/>
    <w:pPr>
      <w:ind w:firstLine="210"/>
    </w:pPr>
  </w:style>
  <w:style w:type="character" w:customStyle="1" w:styleId="BodyTextFirstIndentChar">
    <w:name w:val="Body Text First Indent Char"/>
    <w:basedOn w:val="BodyTextChar"/>
    <w:link w:val="BodyTextFirstIndent"/>
    <w:rsid w:val="006C069E"/>
    <w:rPr>
      <w:sz w:val="22"/>
    </w:rPr>
  </w:style>
  <w:style w:type="paragraph" w:styleId="BodyTextFirstIndent2">
    <w:name w:val="Body Text First Indent 2"/>
    <w:basedOn w:val="BodyTextIndent"/>
    <w:link w:val="BodyTextFirstIndent2Char"/>
    <w:rsid w:val="006C069E"/>
    <w:pPr>
      <w:ind w:firstLine="210"/>
    </w:pPr>
  </w:style>
  <w:style w:type="character" w:customStyle="1" w:styleId="BodyTextFirstIndent2Char">
    <w:name w:val="Body Text First Indent 2 Char"/>
    <w:basedOn w:val="BodyTextIndentChar"/>
    <w:link w:val="BodyTextFirstIndent2"/>
    <w:rsid w:val="006C069E"/>
    <w:rPr>
      <w:sz w:val="22"/>
    </w:rPr>
  </w:style>
  <w:style w:type="paragraph" w:styleId="BodyText2">
    <w:name w:val="Body Text 2"/>
    <w:basedOn w:val="Normal"/>
    <w:link w:val="BodyText2Char"/>
    <w:rsid w:val="006C069E"/>
    <w:pPr>
      <w:spacing w:after="120" w:line="480" w:lineRule="auto"/>
    </w:pPr>
  </w:style>
  <w:style w:type="character" w:customStyle="1" w:styleId="BodyText2Char">
    <w:name w:val="Body Text 2 Char"/>
    <w:basedOn w:val="DefaultParagraphFont"/>
    <w:link w:val="BodyText2"/>
    <w:rsid w:val="006C069E"/>
    <w:rPr>
      <w:sz w:val="22"/>
    </w:rPr>
  </w:style>
  <w:style w:type="paragraph" w:styleId="BodyText3">
    <w:name w:val="Body Text 3"/>
    <w:basedOn w:val="Normal"/>
    <w:link w:val="BodyText3Char"/>
    <w:rsid w:val="006C069E"/>
    <w:pPr>
      <w:spacing w:after="120"/>
    </w:pPr>
    <w:rPr>
      <w:sz w:val="16"/>
      <w:szCs w:val="16"/>
    </w:rPr>
  </w:style>
  <w:style w:type="character" w:customStyle="1" w:styleId="BodyText3Char">
    <w:name w:val="Body Text 3 Char"/>
    <w:basedOn w:val="DefaultParagraphFont"/>
    <w:link w:val="BodyText3"/>
    <w:rsid w:val="006C069E"/>
    <w:rPr>
      <w:sz w:val="16"/>
      <w:szCs w:val="16"/>
    </w:rPr>
  </w:style>
  <w:style w:type="paragraph" w:styleId="BodyTextIndent2">
    <w:name w:val="Body Text Indent 2"/>
    <w:basedOn w:val="Normal"/>
    <w:link w:val="BodyTextIndent2Char"/>
    <w:rsid w:val="006C069E"/>
    <w:pPr>
      <w:spacing w:after="120" w:line="480" w:lineRule="auto"/>
      <w:ind w:left="283"/>
    </w:pPr>
  </w:style>
  <w:style w:type="character" w:customStyle="1" w:styleId="BodyTextIndent2Char">
    <w:name w:val="Body Text Indent 2 Char"/>
    <w:basedOn w:val="DefaultParagraphFont"/>
    <w:link w:val="BodyTextIndent2"/>
    <w:rsid w:val="006C069E"/>
    <w:rPr>
      <w:sz w:val="22"/>
    </w:rPr>
  </w:style>
  <w:style w:type="paragraph" w:styleId="BodyTextIndent3">
    <w:name w:val="Body Text Indent 3"/>
    <w:basedOn w:val="Normal"/>
    <w:link w:val="BodyTextIndent3Char"/>
    <w:rsid w:val="006C069E"/>
    <w:pPr>
      <w:spacing w:after="120"/>
      <w:ind w:left="283"/>
    </w:pPr>
    <w:rPr>
      <w:sz w:val="16"/>
      <w:szCs w:val="16"/>
    </w:rPr>
  </w:style>
  <w:style w:type="character" w:customStyle="1" w:styleId="BodyTextIndent3Char">
    <w:name w:val="Body Text Indent 3 Char"/>
    <w:basedOn w:val="DefaultParagraphFont"/>
    <w:link w:val="BodyTextIndent3"/>
    <w:rsid w:val="006C069E"/>
    <w:rPr>
      <w:sz w:val="16"/>
      <w:szCs w:val="16"/>
    </w:rPr>
  </w:style>
  <w:style w:type="paragraph" w:styleId="BlockText">
    <w:name w:val="Block Text"/>
    <w:basedOn w:val="Normal"/>
    <w:rsid w:val="006C069E"/>
    <w:pPr>
      <w:spacing w:after="120"/>
      <w:ind w:left="1440" w:right="1440"/>
    </w:pPr>
  </w:style>
  <w:style w:type="character" w:styleId="FollowedHyperlink">
    <w:name w:val="FollowedHyperlink"/>
    <w:basedOn w:val="DefaultParagraphFont"/>
    <w:rsid w:val="006C069E"/>
    <w:rPr>
      <w:color w:val="800080"/>
      <w:u w:val="single"/>
    </w:rPr>
  </w:style>
  <w:style w:type="character" w:styleId="Strong">
    <w:name w:val="Strong"/>
    <w:basedOn w:val="DefaultParagraphFont"/>
    <w:qFormat/>
    <w:rsid w:val="006C069E"/>
    <w:rPr>
      <w:b/>
      <w:bCs/>
    </w:rPr>
  </w:style>
  <w:style w:type="character" w:styleId="Emphasis">
    <w:name w:val="Emphasis"/>
    <w:basedOn w:val="DefaultParagraphFont"/>
    <w:qFormat/>
    <w:rsid w:val="006C069E"/>
    <w:rPr>
      <w:i/>
      <w:iCs/>
    </w:rPr>
  </w:style>
  <w:style w:type="paragraph" w:styleId="DocumentMap">
    <w:name w:val="Document Map"/>
    <w:basedOn w:val="Normal"/>
    <w:link w:val="DocumentMapChar"/>
    <w:rsid w:val="006C069E"/>
    <w:pPr>
      <w:shd w:val="clear" w:color="auto" w:fill="000080"/>
    </w:pPr>
    <w:rPr>
      <w:rFonts w:ascii="Tahoma" w:hAnsi="Tahoma" w:cs="Tahoma"/>
    </w:rPr>
  </w:style>
  <w:style w:type="character" w:customStyle="1" w:styleId="DocumentMapChar">
    <w:name w:val="Document Map Char"/>
    <w:basedOn w:val="DefaultParagraphFont"/>
    <w:link w:val="DocumentMap"/>
    <w:rsid w:val="006C069E"/>
    <w:rPr>
      <w:rFonts w:ascii="Tahoma" w:hAnsi="Tahoma" w:cs="Tahoma"/>
      <w:sz w:val="22"/>
      <w:shd w:val="clear" w:color="auto" w:fill="000080"/>
    </w:rPr>
  </w:style>
  <w:style w:type="paragraph" w:styleId="PlainText">
    <w:name w:val="Plain Text"/>
    <w:basedOn w:val="Normal"/>
    <w:link w:val="PlainTextChar"/>
    <w:rsid w:val="006C069E"/>
    <w:rPr>
      <w:rFonts w:ascii="Courier New" w:hAnsi="Courier New" w:cs="Courier New"/>
      <w:sz w:val="20"/>
    </w:rPr>
  </w:style>
  <w:style w:type="character" w:customStyle="1" w:styleId="PlainTextChar">
    <w:name w:val="Plain Text Char"/>
    <w:basedOn w:val="DefaultParagraphFont"/>
    <w:link w:val="PlainText"/>
    <w:rsid w:val="006C069E"/>
    <w:rPr>
      <w:rFonts w:ascii="Courier New" w:hAnsi="Courier New" w:cs="Courier New"/>
    </w:rPr>
  </w:style>
  <w:style w:type="paragraph" w:styleId="E-mailSignature">
    <w:name w:val="E-mail Signature"/>
    <w:basedOn w:val="Normal"/>
    <w:link w:val="E-mailSignatureChar"/>
    <w:rsid w:val="006C069E"/>
  </w:style>
  <w:style w:type="character" w:customStyle="1" w:styleId="E-mailSignatureChar">
    <w:name w:val="E-mail Signature Char"/>
    <w:basedOn w:val="DefaultParagraphFont"/>
    <w:link w:val="E-mailSignature"/>
    <w:rsid w:val="006C069E"/>
    <w:rPr>
      <w:sz w:val="22"/>
    </w:rPr>
  </w:style>
  <w:style w:type="paragraph" w:styleId="NormalWeb">
    <w:name w:val="Normal (Web)"/>
    <w:basedOn w:val="Normal"/>
    <w:rsid w:val="006C069E"/>
  </w:style>
  <w:style w:type="character" w:styleId="HTMLAcronym">
    <w:name w:val="HTML Acronym"/>
    <w:basedOn w:val="DefaultParagraphFont"/>
    <w:rsid w:val="006C069E"/>
  </w:style>
  <w:style w:type="paragraph" w:styleId="HTMLAddress">
    <w:name w:val="HTML Address"/>
    <w:basedOn w:val="Normal"/>
    <w:link w:val="HTMLAddressChar"/>
    <w:rsid w:val="006C069E"/>
    <w:rPr>
      <w:i/>
      <w:iCs/>
    </w:rPr>
  </w:style>
  <w:style w:type="character" w:customStyle="1" w:styleId="HTMLAddressChar">
    <w:name w:val="HTML Address Char"/>
    <w:basedOn w:val="DefaultParagraphFont"/>
    <w:link w:val="HTMLAddress"/>
    <w:rsid w:val="006C069E"/>
    <w:rPr>
      <w:i/>
      <w:iCs/>
      <w:sz w:val="22"/>
    </w:rPr>
  </w:style>
  <w:style w:type="character" w:styleId="HTMLCite">
    <w:name w:val="HTML Cite"/>
    <w:basedOn w:val="DefaultParagraphFont"/>
    <w:rsid w:val="006C069E"/>
    <w:rPr>
      <w:i/>
      <w:iCs/>
    </w:rPr>
  </w:style>
  <w:style w:type="character" w:styleId="HTMLCode">
    <w:name w:val="HTML Code"/>
    <w:basedOn w:val="DefaultParagraphFont"/>
    <w:rsid w:val="006C069E"/>
    <w:rPr>
      <w:rFonts w:ascii="Courier New" w:hAnsi="Courier New" w:cs="Courier New"/>
      <w:sz w:val="20"/>
      <w:szCs w:val="20"/>
    </w:rPr>
  </w:style>
  <w:style w:type="character" w:styleId="HTMLDefinition">
    <w:name w:val="HTML Definition"/>
    <w:basedOn w:val="DefaultParagraphFont"/>
    <w:rsid w:val="006C069E"/>
    <w:rPr>
      <w:i/>
      <w:iCs/>
    </w:rPr>
  </w:style>
  <w:style w:type="character" w:styleId="HTMLKeyboard">
    <w:name w:val="HTML Keyboard"/>
    <w:basedOn w:val="DefaultParagraphFont"/>
    <w:rsid w:val="006C069E"/>
    <w:rPr>
      <w:rFonts w:ascii="Courier New" w:hAnsi="Courier New" w:cs="Courier New"/>
      <w:sz w:val="20"/>
      <w:szCs w:val="20"/>
    </w:rPr>
  </w:style>
  <w:style w:type="paragraph" w:styleId="HTMLPreformatted">
    <w:name w:val="HTML Preformatted"/>
    <w:basedOn w:val="Normal"/>
    <w:link w:val="HTMLPreformattedChar"/>
    <w:rsid w:val="006C069E"/>
    <w:rPr>
      <w:rFonts w:ascii="Courier New" w:hAnsi="Courier New" w:cs="Courier New"/>
      <w:sz w:val="20"/>
    </w:rPr>
  </w:style>
  <w:style w:type="character" w:customStyle="1" w:styleId="HTMLPreformattedChar">
    <w:name w:val="HTML Preformatted Char"/>
    <w:basedOn w:val="DefaultParagraphFont"/>
    <w:link w:val="HTMLPreformatted"/>
    <w:rsid w:val="006C069E"/>
    <w:rPr>
      <w:rFonts w:ascii="Courier New" w:hAnsi="Courier New" w:cs="Courier New"/>
    </w:rPr>
  </w:style>
  <w:style w:type="character" w:styleId="HTMLSample">
    <w:name w:val="HTML Sample"/>
    <w:basedOn w:val="DefaultParagraphFont"/>
    <w:rsid w:val="006C069E"/>
    <w:rPr>
      <w:rFonts w:ascii="Courier New" w:hAnsi="Courier New" w:cs="Courier New"/>
    </w:rPr>
  </w:style>
  <w:style w:type="character" w:styleId="HTMLTypewriter">
    <w:name w:val="HTML Typewriter"/>
    <w:basedOn w:val="DefaultParagraphFont"/>
    <w:rsid w:val="006C069E"/>
    <w:rPr>
      <w:rFonts w:ascii="Courier New" w:hAnsi="Courier New" w:cs="Courier New"/>
      <w:sz w:val="20"/>
      <w:szCs w:val="20"/>
    </w:rPr>
  </w:style>
  <w:style w:type="character" w:styleId="HTMLVariable">
    <w:name w:val="HTML Variable"/>
    <w:basedOn w:val="DefaultParagraphFont"/>
    <w:rsid w:val="006C069E"/>
    <w:rPr>
      <w:i/>
      <w:iCs/>
    </w:rPr>
  </w:style>
  <w:style w:type="paragraph" w:styleId="CommentSubject">
    <w:name w:val="annotation subject"/>
    <w:basedOn w:val="CommentText"/>
    <w:next w:val="CommentText"/>
    <w:link w:val="CommentSubjectChar"/>
    <w:rsid w:val="006C069E"/>
    <w:rPr>
      <w:b/>
      <w:bCs/>
    </w:rPr>
  </w:style>
  <w:style w:type="character" w:customStyle="1" w:styleId="CommentSubjectChar">
    <w:name w:val="Comment Subject Char"/>
    <w:basedOn w:val="CommentTextChar"/>
    <w:link w:val="CommentSubject"/>
    <w:rsid w:val="006C069E"/>
    <w:rPr>
      <w:b/>
      <w:bCs/>
    </w:rPr>
  </w:style>
  <w:style w:type="numbering" w:styleId="1ai">
    <w:name w:val="Outline List 1"/>
    <w:basedOn w:val="NoList"/>
    <w:rsid w:val="006C069E"/>
    <w:pPr>
      <w:numPr>
        <w:numId w:val="14"/>
      </w:numPr>
    </w:pPr>
  </w:style>
  <w:style w:type="numbering" w:styleId="111111">
    <w:name w:val="Outline List 2"/>
    <w:basedOn w:val="NoList"/>
    <w:rsid w:val="006C069E"/>
    <w:pPr>
      <w:numPr>
        <w:numId w:val="15"/>
      </w:numPr>
    </w:pPr>
  </w:style>
  <w:style w:type="numbering" w:styleId="ArticleSection">
    <w:name w:val="Outline List 3"/>
    <w:basedOn w:val="NoList"/>
    <w:rsid w:val="006C069E"/>
    <w:pPr>
      <w:numPr>
        <w:numId w:val="17"/>
      </w:numPr>
    </w:pPr>
  </w:style>
  <w:style w:type="table" w:styleId="TableSimple1">
    <w:name w:val="Table Simple 1"/>
    <w:basedOn w:val="TableNormal"/>
    <w:rsid w:val="006C069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069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06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C06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06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069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069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069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069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069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069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069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069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069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069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C06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069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069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069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06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06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069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069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069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069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069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06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06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06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069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06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C069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069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069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C069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069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C06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069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069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C069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069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069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C069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C069E"/>
    <w:rPr>
      <w:rFonts w:eastAsia="Times New Roman" w:cs="Times New Roman"/>
      <w:b/>
      <w:kern w:val="28"/>
      <w:sz w:val="24"/>
      <w:lang w:eastAsia="en-AU"/>
    </w:rPr>
  </w:style>
  <w:style w:type="paragraph" w:customStyle="1" w:styleId="ETAsubitem">
    <w:name w:val="ETA(subitem)"/>
    <w:basedOn w:val="OPCParaBase"/>
    <w:rsid w:val="006C069E"/>
    <w:pPr>
      <w:tabs>
        <w:tab w:val="right" w:pos="340"/>
      </w:tabs>
      <w:spacing w:before="60" w:line="240" w:lineRule="auto"/>
      <w:ind w:left="454" w:hanging="454"/>
    </w:pPr>
    <w:rPr>
      <w:sz w:val="20"/>
    </w:rPr>
  </w:style>
  <w:style w:type="paragraph" w:customStyle="1" w:styleId="ETApara">
    <w:name w:val="ETA(para)"/>
    <w:basedOn w:val="OPCParaBase"/>
    <w:rsid w:val="006C069E"/>
    <w:pPr>
      <w:tabs>
        <w:tab w:val="right" w:pos="754"/>
      </w:tabs>
      <w:spacing w:before="60" w:line="240" w:lineRule="auto"/>
      <w:ind w:left="828" w:hanging="828"/>
    </w:pPr>
    <w:rPr>
      <w:sz w:val="20"/>
    </w:rPr>
  </w:style>
  <w:style w:type="paragraph" w:customStyle="1" w:styleId="ETAsubpara">
    <w:name w:val="ETA(subpara)"/>
    <w:basedOn w:val="OPCParaBase"/>
    <w:rsid w:val="006C069E"/>
    <w:pPr>
      <w:tabs>
        <w:tab w:val="right" w:pos="1083"/>
      </w:tabs>
      <w:spacing w:before="60" w:line="240" w:lineRule="auto"/>
      <w:ind w:left="1191" w:hanging="1191"/>
    </w:pPr>
    <w:rPr>
      <w:sz w:val="20"/>
    </w:rPr>
  </w:style>
  <w:style w:type="paragraph" w:customStyle="1" w:styleId="ETAsub-subpara">
    <w:name w:val="ETA(sub-subpara)"/>
    <w:basedOn w:val="OPCParaBase"/>
    <w:rsid w:val="006C069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C0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069E"/>
    <w:pPr>
      <w:spacing w:line="260" w:lineRule="atLeast"/>
    </w:pPr>
    <w:rPr>
      <w:sz w:val="22"/>
    </w:rPr>
  </w:style>
  <w:style w:type="paragraph" w:styleId="Heading1">
    <w:name w:val="heading 1"/>
    <w:basedOn w:val="Normal"/>
    <w:next w:val="Normal"/>
    <w:link w:val="Heading1Char"/>
    <w:uiPriority w:val="9"/>
    <w:qFormat/>
    <w:rsid w:val="006C069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069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069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069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069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069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C069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C069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C069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069E"/>
  </w:style>
  <w:style w:type="paragraph" w:customStyle="1" w:styleId="OPCParaBase">
    <w:name w:val="OPCParaBase"/>
    <w:qFormat/>
    <w:rsid w:val="006C069E"/>
    <w:pPr>
      <w:spacing w:line="260" w:lineRule="atLeast"/>
    </w:pPr>
    <w:rPr>
      <w:rFonts w:eastAsia="Times New Roman" w:cs="Times New Roman"/>
      <w:sz w:val="22"/>
      <w:lang w:eastAsia="en-AU"/>
    </w:rPr>
  </w:style>
  <w:style w:type="paragraph" w:customStyle="1" w:styleId="ShortT">
    <w:name w:val="ShortT"/>
    <w:basedOn w:val="OPCParaBase"/>
    <w:next w:val="Normal"/>
    <w:qFormat/>
    <w:rsid w:val="006C069E"/>
    <w:pPr>
      <w:spacing w:line="240" w:lineRule="auto"/>
    </w:pPr>
    <w:rPr>
      <w:b/>
      <w:sz w:val="40"/>
    </w:rPr>
  </w:style>
  <w:style w:type="paragraph" w:customStyle="1" w:styleId="ActHead1">
    <w:name w:val="ActHead 1"/>
    <w:aliases w:val="c"/>
    <w:basedOn w:val="OPCParaBase"/>
    <w:next w:val="Normal"/>
    <w:qFormat/>
    <w:rsid w:val="006C06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06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06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06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06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06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06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06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06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069E"/>
  </w:style>
  <w:style w:type="paragraph" w:customStyle="1" w:styleId="Blocks">
    <w:name w:val="Blocks"/>
    <w:aliases w:val="bb"/>
    <w:basedOn w:val="OPCParaBase"/>
    <w:qFormat/>
    <w:rsid w:val="006C069E"/>
    <w:pPr>
      <w:spacing w:line="240" w:lineRule="auto"/>
    </w:pPr>
    <w:rPr>
      <w:sz w:val="24"/>
    </w:rPr>
  </w:style>
  <w:style w:type="paragraph" w:customStyle="1" w:styleId="BoxText">
    <w:name w:val="BoxText"/>
    <w:aliases w:val="bt"/>
    <w:basedOn w:val="OPCParaBase"/>
    <w:qFormat/>
    <w:rsid w:val="006C06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069E"/>
    <w:rPr>
      <w:b/>
    </w:rPr>
  </w:style>
  <w:style w:type="paragraph" w:customStyle="1" w:styleId="BoxHeadItalic">
    <w:name w:val="BoxHeadItalic"/>
    <w:aliases w:val="bhi"/>
    <w:basedOn w:val="BoxText"/>
    <w:next w:val="BoxStep"/>
    <w:qFormat/>
    <w:rsid w:val="006C069E"/>
    <w:rPr>
      <w:i/>
    </w:rPr>
  </w:style>
  <w:style w:type="paragraph" w:customStyle="1" w:styleId="BoxList">
    <w:name w:val="BoxList"/>
    <w:aliases w:val="bl"/>
    <w:basedOn w:val="BoxText"/>
    <w:qFormat/>
    <w:rsid w:val="006C069E"/>
    <w:pPr>
      <w:ind w:left="1559" w:hanging="425"/>
    </w:pPr>
  </w:style>
  <w:style w:type="paragraph" w:customStyle="1" w:styleId="BoxNote">
    <w:name w:val="BoxNote"/>
    <w:aliases w:val="bn"/>
    <w:basedOn w:val="BoxText"/>
    <w:qFormat/>
    <w:rsid w:val="006C069E"/>
    <w:pPr>
      <w:tabs>
        <w:tab w:val="left" w:pos="1985"/>
      </w:tabs>
      <w:spacing w:before="122" w:line="198" w:lineRule="exact"/>
      <w:ind w:left="2948" w:hanging="1814"/>
    </w:pPr>
    <w:rPr>
      <w:sz w:val="18"/>
    </w:rPr>
  </w:style>
  <w:style w:type="paragraph" w:customStyle="1" w:styleId="BoxPara">
    <w:name w:val="BoxPara"/>
    <w:aliases w:val="bp"/>
    <w:basedOn w:val="BoxText"/>
    <w:qFormat/>
    <w:rsid w:val="006C069E"/>
    <w:pPr>
      <w:tabs>
        <w:tab w:val="right" w:pos="2268"/>
      </w:tabs>
      <w:ind w:left="2552" w:hanging="1418"/>
    </w:pPr>
  </w:style>
  <w:style w:type="paragraph" w:customStyle="1" w:styleId="BoxStep">
    <w:name w:val="BoxStep"/>
    <w:aliases w:val="bs"/>
    <w:basedOn w:val="BoxText"/>
    <w:qFormat/>
    <w:rsid w:val="006C069E"/>
    <w:pPr>
      <w:ind w:left="1985" w:hanging="851"/>
    </w:pPr>
  </w:style>
  <w:style w:type="character" w:customStyle="1" w:styleId="CharAmPartNo">
    <w:name w:val="CharAmPartNo"/>
    <w:basedOn w:val="OPCCharBase"/>
    <w:qFormat/>
    <w:rsid w:val="006C069E"/>
  </w:style>
  <w:style w:type="character" w:customStyle="1" w:styleId="CharAmPartText">
    <w:name w:val="CharAmPartText"/>
    <w:basedOn w:val="OPCCharBase"/>
    <w:qFormat/>
    <w:rsid w:val="006C069E"/>
  </w:style>
  <w:style w:type="character" w:customStyle="1" w:styleId="CharAmSchNo">
    <w:name w:val="CharAmSchNo"/>
    <w:basedOn w:val="OPCCharBase"/>
    <w:qFormat/>
    <w:rsid w:val="006C069E"/>
  </w:style>
  <w:style w:type="character" w:customStyle="1" w:styleId="CharAmSchText">
    <w:name w:val="CharAmSchText"/>
    <w:basedOn w:val="OPCCharBase"/>
    <w:qFormat/>
    <w:rsid w:val="006C069E"/>
  </w:style>
  <w:style w:type="character" w:customStyle="1" w:styleId="CharBoldItalic">
    <w:name w:val="CharBoldItalic"/>
    <w:basedOn w:val="OPCCharBase"/>
    <w:uiPriority w:val="1"/>
    <w:qFormat/>
    <w:rsid w:val="006C069E"/>
    <w:rPr>
      <w:b/>
      <w:i/>
    </w:rPr>
  </w:style>
  <w:style w:type="character" w:customStyle="1" w:styleId="CharChapNo">
    <w:name w:val="CharChapNo"/>
    <w:basedOn w:val="OPCCharBase"/>
    <w:uiPriority w:val="1"/>
    <w:qFormat/>
    <w:rsid w:val="006C069E"/>
  </w:style>
  <w:style w:type="character" w:customStyle="1" w:styleId="CharChapText">
    <w:name w:val="CharChapText"/>
    <w:basedOn w:val="OPCCharBase"/>
    <w:uiPriority w:val="1"/>
    <w:qFormat/>
    <w:rsid w:val="006C069E"/>
  </w:style>
  <w:style w:type="character" w:customStyle="1" w:styleId="CharDivNo">
    <w:name w:val="CharDivNo"/>
    <w:basedOn w:val="OPCCharBase"/>
    <w:uiPriority w:val="1"/>
    <w:qFormat/>
    <w:rsid w:val="006C069E"/>
  </w:style>
  <w:style w:type="character" w:customStyle="1" w:styleId="CharDivText">
    <w:name w:val="CharDivText"/>
    <w:basedOn w:val="OPCCharBase"/>
    <w:uiPriority w:val="1"/>
    <w:qFormat/>
    <w:rsid w:val="006C069E"/>
  </w:style>
  <w:style w:type="character" w:customStyle="1" w:styleId="CharItalic">
    <w:name w:val="CharItalic"/>
    <w:basedOn w:val="OPCCharBase"/>
    <w:uiPriority w:val="1"/>
    <w:qFormat/>
    <w:rsid w:val="006C069E"/>
    <w:rPr>
      <w:i/>
    </w:rPr>
  </w:style>
  <w:style w:type="character" w:customStyle="1" w:styleId="CharPartNo">
    <w:name w:val="CharPartNo"/>
    <w:basedOn w:val="OPCCharBase"/>
    <w:uiPriority w:val="1"/>
    <w:qFormat/>
    <w:rsid w:val="006C069E"/>
  </w:style>
  <w:style w:type="character" w:customStyle="1" w:styleId="CharPartText">
    <w:name w:val="CharPartText"/>
    <w:basedOn w:val="OPCCharBase"/>
    <w:uiPriority w:val="1"/>
    <w:qFormat/>
    <w:rsid w:val="006C069E"/>
  </w:style>
  <w:style w:type="character" w:customStyle="1" w:styleId="CharSectno">
    <w:name w:val="CharSectno"/>
    <w:basedOn w:val="OPCCharBase"/>
    <w:qFormat/>
    <w:rsid w:val="006C069E"/>
  </w:style>
  <w:style w:type="character" w:customStyle="1" w:styleId="CharSubdNo">
    <w:name w:val="CharSubdNo"/>
    <w:basedOn w:val="OPCCharBase"/>
    <w:uiPriority w:val="1"/>
    <w:qFormat/>
    <w:rsid w:val="006C069E"/>
  </w:style>
  <w:style w:type="character" w:customStyle="1" w:styleId="CharSubdText">
    <w:name w:val="CharSubdText"/>
    <w:basedOn w:val="OPCCharBase"/>
    <w:uiPriority w:val="1"/>
    <w:qFormat/>
    <w:rsid w:val="006C069E"/>
  </w:style>
  <w:style w:type="paragraph" w:customStyle="1" w:styleId="CTA--">
    <w:name w:val="CTA --"/>
    <w:basedOn w:val="OPCParaBase"/>
    <w:next w:val="Normal"/>
    <w:rsid w:val="006C069E"/>
    <w:pPr>
      <w:spacing w:before="60" w:line="240" w:lineRule="atLeast"/>
      <w:ind w:left="142" w:hanging="142"/>
    </w:pPr>
    <w:rPr>
      <w:sz w:val="20"/>
    </w:rPr>
  </w:style>
  <w:style w:type="paragraph" w:customStyle="1" w:styleId="CTA-">
    <w:name w:val="CTA -"/>
    <w:basedOn w:val="OPCParaBase"/>
    <w:rsid w:val="006C069E"/>
    <w:pPr>
      <w:spacing w:before="60" w:line="240" w:lineRule="atLeast"/>
      <w:ind w:left="85" w:hanging="85"/>
    </w:pPr>
    <w:rPr>
      <w:sz w:val="20"/>
    </w:rPr>
  </w:style>
  <w:style w:type="paragraph" w:customStyle="1" w:styleId="CTA---">
    <w:name w:val="CTA ---"/>
    <w:basedOn w:val="OPCParaBase"/>
    <w:next w:val="Normal"/>
    <w:rsid w:val="006C069E"/>
    <w:pPr>
      <w:spacing w:before="60" w:line="240" w:lineRule="atLeast"/>
      <w:ind w:left="198" w:hanging="198"/>
    </w:pPr>
    <w:rPr>
      <w:sz w:val="20"/>
    </w:rPr>
  </w:style>
  <w:style w:type="paragraph" w:customStyle="1" w:styleId="CTA----">
    <w:name w:val="CTA ----"/>
    <w:basedOn w:val="OPCParaBase"/>
    <w:next w:val="Normal"/>
    <w:rsid w:val="006C069E"/>
    <w:pPr>
      <w:spacing w:before="60" w:line="240" w:lineRule="atLeast"/>
      <w:ind w:left="255" w:hanging="255"/>
    </w:pPr>
    <w:rPr>
      <w:sz w:val="20"/>
    </w:rPr>
  </w:style>
  <w:style w:type="paragraph" w:customStyle="1" w:styleId="CTA1a">
    <w:name w:val="CTA 1(a)"/>
    <w:basedOn w:val="OPCParaBase"/>
    <w:rsid w:val="006C069E"/>
    <w:pPr>
      <w:tabs>
        <w:tab w:val="right" w:pos="414"/>
      </w:tabs>
      <w:spacing w:before="40" w:line="240" w:lineRule="atLeast"/>
      <w:ind w:left="675" w:hanging="675"/>
    </w:pPr>
    <w:rPr>
      <w:sz w:val="20"/>
    </w:rPr>
  </w:style>
  <w:style w:type="paragraph" w:customStyle="1" w:styleId="CTA1ai">
    <w:name w:val="CTA 1(a)(i)"/>
    <w:basedOn w:val="OPCParaBase"/>
    <w:rsid w:val="006C069E"/>
    <w:pPr>
      <w:tabs>
        <w:tab w:val="right" w:pos="1004"/>
      </w:tabs>
      <w:spacing w:before="40" w:line="240" w:lineRule="atLeast"/>
      <w:ind w:left="1253" w:hanging="1253"/>
    </w:pPr>
    <w:rPr>
      <w:sz w:val="20"/>
    </w:rPr>
  </w:style>
  <w:style w:type="paragraph" w:customStyle="1" w:styleId="CTA2a">
    <w:name w:val="CTA 2(a)"/>
    <w:basedOn w:val="OPCParaBase"/>
    <w:rsid w:val="006C069E"/>
    <w:pPr>
      <w:tabs>
        <w:tab w:val="right" w:pos="482"/>
      </w:tabs>
      <w:spacing w:before="40" w:line="240" w:lineRule="atLeast"/>
      <w:ind w:left="748" w:hanging="748"/>
    </w:pPr>
    <w:rPr>
      <w:sz w:val="20"/>
    </w:rPr>
  </w:style>
  <w:style w:type="paragraph" w:customStyle="1" w:styleId="CTA2ai">
    <w:name w:val="CTA 2(a)(i)"/>
    <w:basedOn w:val="OPCParaBase"/>
    <w:rsid w:val="006C069E"/>
    <w:pPr>
      <w:tabs>
        <w:tab w:val="right" w:pos="1089"/>
      </w:tabs>
      <w:spacing w:before="40" w:line="240" w:lineRule="atLeast"/>
      <w:ind w:left="1327" w:hanging="1327"/>
    </w:pPr>
    <w:rPr>
      <w:sz w:val="20"/>
    </w:rPr>
  </w:style>
  <w:style w:type="paragraph" w:customStyle="1" w:styleId="CTA3a">
    <w:name w:val="CTA 3(a)"/>
    <w:basedOn w:val="OPCParaBase"/>
    <w:rsid w:val="006C069E"/>
    <w:pPr>
      <w:tabs>
        <w:tab w:val="right" w:pos="556"/>
      </w:tabs>
      <w:spacing w:before="40" w:line="240" w:lineRule="atLeast"/>
      <w:ind w:left="805" w:hanging="805"/>
    </w:pPr>
    <w:rPr>
      <w:sz w:val="20"/>
    </w:rPr>
  </w:style>
  <w:style w:type="paragraph" w:customStyle="1" w:styleId="CTA3ai">
    <w:name w:val="CTA 3(a)(i)"/>
    <w:basedOn w:val="OPCParaBase"/>
    <w:rsid w:val="006C069E"/>
    <w:pPr>
      <w:tabs>
        <w:tab w:val="right" w:pos="1140"/>
      </w:tabs>
      <w:spacing w:before="40" w:line="240" w:lineRule="atLeast"/>
      <w:ind w:left="1361" w:hanging="1361"/>
    </w:pPr>
    <w:rPr>
      <w:sz w:val="20"/>
    </w:rPr>
  </w:style>
  <w:style w:type="paragraph" w:customStyle="1" w:styleId="CTA4a">
    <w:name w:val="CTA 4(a)"/>
    <w:basedOn w:val="OPCParaBase"/>
    <w:rsid w:val="006C069E"/>
    <w:pPr>
      <w:tabs>
        <w:tab w:val="right" w:pos="624"/>
      </w:tabs>
      <w:spacing w:before="40" w:line="240" w:lineRule="atLeast"/>
      <w:ind w:left="873" w:hanging="873"/>
    </w:pPr>
    <w:rPr>
      <w:sz w:val="20"/>
    </w:rPr>
  </w:style>
  <w:style w:type="paragraph" w:customStyle="1" w:styleId="CTA4ai">
    <w:name w:val="CTA 4(a)(i)"/>
    <w:basedOn w:val="OPCParaBase"/>
    <w:rsid w:val="006C069E"/>
    <w:pPr>
      <w:tabs>
        <w:tab w:val="right" w:pos="1213"/>
      </w:tabs>
      <w:spacing w:before="40" w:line="240" w:lineRule="atLeast"/>
      <w:ind w:left="1452" w:hanging="1452"/>
    </w:pPr>
    <w:rPr>
      <w:sz w:val="20"/>
    </w:rPr>
  </w:style>
  <w:style w:type="paragraph" w:customStyle="1" w:styleId="CTACAPS">
    <w:name w:val="CTA CAPS"/>
    <w:basedOn w:val="OPCParaBase"/>
    <w:rsid w:val="006C069E"/>
    <w:pPr>
      <w:spacing w:before="60" w:line="240" w:lineRule="atLeast"/>
    </w:pPr>
    <w:rPr>
      <w:sz w:val="20"/>
    </w:rPr>
  </w:style>
  <w:style w:type="paragraph" w:customStyle="1" w:styleId="CTAright">
    <w:name w:val="CTA right"/>
    <w:basedOn w:val="OPCParaBase"/>
    <w:rsid w:val="006C069E"/>
    <w:pPr>
      <w:spacing w:before="60" w:line="240" w:lineRule="auto"/>
      <w:jc w:val="right"/>
    </w:pPr>
    <w:rPr>
      <w:sz w:val="20"/>
    </w:rPr>
  </w:style>
  <w:style w:type="paragraph" w:customStyle="1" w:styleId="subsection">
    <w:name w:val="subsection"/>
    <w:aliases w:val="ss,Subsection"/>
    <w:basedOn w:val="OPCParaBase"/>
    <w:link w:val="subsectionChar"/>
    <w:rsid w:val="006C069E"/>
    <w:pPr>
      <w:tabs>
        <w:tab w:val="right" w:pos="1021"/>
      </w:tabs>
      <w:spacing w:before="180" w:line="240" w:lineRule="auto"/>
      <w:ind w:left="1134" w:hanging="1134"/>
    </w:pPr>
  </w:style>
  <w:style w:type="paragraph" w:customStyle="1" w:styleId="Definition">
    <w:name w:val="Definition"/>
    <w:aliases w:val="dd"/>
    <w:basedOn w:val="OPCParaBase"/>
    <w:rsid w:val="006C069E"/>
    <w:pPr>
      <w:spacing w:before="180" w:line="240" w:lineRule="auto"/>
      <w:ind w:left="1134"/>
    </w:pPr>
  </w:style>
  <w:style w:type="paragraph" w:customStyle="1" w:styleId="EndNotespara">
    <w:name w:val="EndNotes(para)"/>
    <w:aliases w:val="eta"/>
    <w:basedOn w:val="OPCParaBase"/>
    <w:next w:val="EndNotessubpara"/>
    <w:rsid w:val="006C06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06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06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069E"/>
    <w:pPr>
      <w:tabs>
        <w:tab w:val="right" w:pos="1412"/>
      </w:tabs>
      <w:spacing w:before="60" w:line="240" w:lineRule="auto"/>
      <w:ind w:left="1525" w:hanging="1525"/>
    </w:pPr>
    <w:rPr>
      <w:sz w:val="20"/>
    </w:rPr>
  </w:style>
  <w:style w:type="paragraph" w:customStyle="1" w:styleId="Formula">
    <w:name w:val="Formula"/>
    <w:basedOn w:val="OPCParaBase"/>
    <w:rsid w:val="006C069E"/>
    <w:pPr>
      <w:spacing w:line="240" w:lineRule="auto"/>
      <w:ind w:left="1134"/>
    </w:pPr>
    <w:rPr>
      <w:sz w:val="20"/>
    </w:rPr>
  </w:style>
  <w:style w:type="paragraph" w:styleId="Header">
    <w:name w:val="header"/>
    <w:basedOn w:val="OPCParaBase"/>
    <w:link w:val="HeaderChar"/>
    <w:unhideWhenUsed/>
    <w:rsid w:val="006C06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069E"/>
    <w:rPr>
      <w:rFonts w:eastAsia="Times New Roman" w:cs="Times New Roman"/>
      <w:sz w:val="16"/>
      <w:lang w:eastAsia="en-AU"/>
    </w:rPr>
  </w:style>
  <w:style w:type="paragraph" w:customStyle="1" w:styleId="House">
    <w:name w:val="House"/>
    <w:basedOn w:val="OPCParaBase"/>
    <w:rsid w:val="006C069E"/>
    <w:pPr>
      <w:spacing w:line="240" w:lineRule="auto"/>
    </w:pPr>
    <w:rPr>
      <w:sz w:val="28"/>
    </w:rPr>
  </w:style>
  <w:style w:type="paragraph" w:customStyle="1" w:styleId="Item">
    <w:name w:val="Item"/>
    <w:aliases w:val="i"/>
    <w:basedOn w:val="OPCParaBase"/>
    <w:next w:val="ItemHead"/>
    <w:rsid w:val="006C069E"/>
    <w:pPr>
      <w:keepLines/>
      <w:spacing w:before="80" w:line="240" w:lineRule="auto"/>
      <w:ind w:left="709"/>
    </w:pPr>
  </w:style>
  <w:style w:type="paragraph" w:customStyle="1" w:styleId="ItemHead">
    <w:name w:val="ItemHead"/>
    <w:aliases w:val="ih"/>
    <w:basedOn w:val="OPCParaBase"/>
    <w:next w:val="Item"/>
    <w:rsid w:val="006C06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069E"/>
    <w:pPr>
      <w:spacing w:line="240" w:lineRule="auto"/>
    </w:pPr>
    <w:rPr>
      <w:b/>
      <w:sz w:val="32"/>
    </w:rPr>
  </w:style>
  <w:style w:type="paragraph" w:customStyle="1" w:styleId="notedraft">
    <w:name w:val="note(draft)"/>
    <w:aliases w:val="nd"/>
    <w:basedOn w:val="OPCParaBase"/>
    <w:rsid w:val="006C069E"/>
    <w:pPr>
      <w:spacing w:before="240" w:line="240" w:lineRule="auto"/>
      <w:ind w:left="284" w:hanging="284"/>
    </w:pPr>
    <w:rPr>
      <w:i/>
      <w:sz w:val="24"/>
    </w:rPr>
  </w:style>
  <w:style w:type="paragraph" w:customStyle="1" w:styleId="notemargin">
    <w:name w:val="note(margin)"/>
    <w:aliases w:val="nm"/>
    <w:basedOn w:val="OPCParaBase"/>
    <w:rsid w:val="006C069E"/>
    <w:pPr>
      <w:tabs>
        <w:tab w:val="left" w:pos="709"/>
      </w:tabs>
      <w:spacing w:before="122" w:line="198" w:lineRule="exact"/>
      <w:ind w:left="709" w:hanging="709"/>
    </w:pPr>
    <w:rPr>
      <w:sz w:val="18"/>
    </w:rPr>
  </w:style>
  <w:style w:type="paragraph" w:customStyle="1" w:styleId="noteToPara">
    <w:name w:val="noteToPara"/>
    <w:aliases w:val="ntp"/>
    <w:basedOn w:val="OPCParaBase"/>
    <w:rsid w:val="006C069E"/>
    <w:pPr>
      <w:spacing w:before="122" w:line="198" w:lineRule="exact"/>
      <w:ind w:left="2353" w:hanging="709"/>
    </w:pPr>
    <w:rPr>
      <w:sz w:val="18"/>
    </w:rPr>
  </w:style>
  <w:style w:type="paragraph" w:customStyle="1" w:styleId="noteParlAmend">
    <w:name w:val="note(ParlAmend)"/>
    <w:aliases w:val="npp"/>
    <w:basedOn w:val="OPCParaBase"/>
    <w:next w:val="ParlAmend"/>
    <w:rsid w:val="006C069E"/>
    <w:pPr>
      <w:spacing w:line="240" w:lineRule="auto"/>
      <w:jc w:val="right"/>
    </w:pPr>
    <w:rPr>
      <w:rFonts w:ascii="Arial" w:hAnsi="Arial"/>
      <w:b/>
      <w:i/>
    </w:rPr>
  </w:style>
  <w:style w:type="paragraph" w:customStyle="1" w:styleId="Page1">
    <w:name w:val="Page1"/>
    <w:basedOn w:val="OPCParaBase"/>
    <w:rsid w:val="006C069E"/>
    <w:pPr>
      <w:spacing w:before="5600" w:line="240" w:lineRule="auto"/>
    </w:pPr>
    <w:rPr>
      <w:b/>
      <w:sz w:val="32"/>
    </w:rPr>
  </w:style>
  <w:style w:type="paragraph" w:customStyle="1" w:styleId="PageBreak">
    <w:name w:val="PageBreak"/>
    <w:aliases w:val="pb"/>
    <w:basedOn w:val="OPCParaBase"/>
    <w:rsid w:val="006C069E"/>
    <w:pPr>
      <w:spacing w:line="240" w:lineRule="auto"/>
    </w:pPr>
    <w:rPr>
      <w:sz w:val="20"/>
    </w:rPr>
  </w:style>
  <w:style w:type="paragraph" w:customStyle="1" w:styleId="paragraphsub">
    <w:name w:val="paragraph(sub)"/>
    <w:aliases w:val="aa"/>
    <w:basedOn w:val="OPCParaBase"/>
    <w:rsid w:val="006C069E"/>
    <w:pPr>
      <w:tabs>
        <w:tab w:val="right" w:pos="1985"/>
      </w:tabs>
      <w:spacing w:before="40" w:line="240" w:lineRule="auto"/>
      <w:ind w:left="2098" w:hanging="2098"/>
    </w:pPr>
  </w:style>
  <w:style w:type="paragraph" w:customStyle="1" w:styleId="paragraphsub-sub">
    <w:name w:val="paragraph(sub-sub)"/>
    <w:aliases w:val="aaa"/>
    <w:basedOn w:val="OPCParaBase"/>
    <w:rsid w:val="006C069E"/>
    <w:pPr>
      <w:tabs>
        <w:tab w:val="right" w:pos="2722"/>
      </w:tabs>
      <w:spacing w:before="40" w:line="240" w:lineRule="auto"/>
      <w:ind w:left="2835" w:hanging="2835"/>
    </w:pPr>
  </w:style>
  <w:style w:type="paragraph" w:customStyle="1" w:styleId="paragraph">
    <w:name w:val="paragraph"/>
    <w:aliases w:val="a"/>
    <w:basedOn w:val="OPCParaBase"/>
    <w:link w:val="paragraphChar"/>
    <w:rsid w:val="006C069E"/>
    <w:pPr>
      <w:tabs>
        <w:tab w:val="right" w:pos="1531"/>
      </w:tabs>
      <w:spacing w:before="40" w:line="240" w:lineRule="auto"/>
      <w:ind w:left="1644" w:hanging="1644"/>
    </w:pPr>
  </w:style>
  <w:style w:type="paragraph" w:customStyle="1" w:styleId="ParlAmend">
    <w:name w:val="ParlAmend"/>
    <w:aliases w:val="pp"/>
    <w:basedOn w:val="OPCParaBase"/>
    <w:rsid w:val="006C069E"/>
    <w:pPr>
      <w:spacing w:before="240" w:line="240" w:lineRule="atLeast"/>
      <w:ind w:hanging="567"/>
    </w:pPr>
    <w:rPr>
      <w:sz w:val="24"/>
    </w:rPr>
  </w:style>
  <w:style w:type="paragraph" w:customStyle="1" w:styleId="Penalty">
    <w:name w:val="Penalty"/>
    <w:basedOn w:val="OPCParaBase"/>
    <w:rsid w:val="006C069E"/>
    <w:pPr>
      <w:tabs>
        <w:tab w:val="left" w:pos="2977"/>
      </w:tabs>
      <w:spacing w:before="180" w:line="240" w:lineRule="auto"/>
      <w:ind w:left="1985" w:hanging="851"/>
    </w:pPr>
  </w:style>
  <w:style w:type="paragraph" w:customStyle="1" w:styleId="Portfolio">
    <w:name w:val="Portfolio"/>
    <w:basedOn w:val="OPCParaBase"/>
    <w:rsid w:val="006C069E"/>
    <w:pPr>
      <w:spacing w:line="240" w:lineRule="auto"/>
    </w:pPr>
    <w:rPr>
      <w:i/>
      <w:sz w:val="20"/>
    </w:rPr>
  </w:style>
  <w:style w:type="paragraph" w:customStyle="1" w:styleId="Preamble">
    <w:name w:val="Preamble"/>
    <w:basedOn w:val="OPCParaBase"/>
    <w:next w:val="Normal"/>
    <w:rsid w:val="006C06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069E"/>
    <w:pPr>
      <w:spacing w:line="240" w:lineRule="auto"/>
    </w:pPr>
    <w:rPr>
      <w:i/>
      <w:sz w:val="20"/>
    </w:rPr>
  </w:style>
  <w:style w:type="paragraph" w:customStyle="1" w:styleId="Session">
    <w:name w:val="Session"/>
    <w:basedOn w:val="OPCParaBase"/>
    <w:rsid w:val="006C069E"/>
    <w:pPr>
      <w:spacing w:line="240" w:lineRule="auto"/>
    </w:pPr>
    <w:rPr>
      <w:sz w:val="28"/>
    </w:rPr>
  </w:style>
  <w:style w:type="paragraph" w:customStyle="1" w:styleId="Sponsor">
    <w:name w:val="Sponsor"/>
    <w:basedOn w:val="OPCParaBase"/>
    <w:rsid w:val="006C069E"/>
    <w:pPr>
      <w:spacing w:line="240" w:lineRule="auto"/>
    </w:pPr>
    <w:rPr>
      <w:i/>
    </w:rPr>
  </w:style>
  <w:style w:type="paragraph" w:customStyle="1" w:styleId="Subitem">
    <w:name w:val="Subitem"/>
    <w:aliases w:val="iss"/>
    <w:basedOn w:val="OPCParaBase"/>
    <w:rsid w:val="006C069E"/>
    <w:pPr>
      <w:spacing w:before="180" w:line="240" w:lineRule="auto"/>
      <w:ind w:left="709" w:hanging="709"/>
    </w:pPr>
  </w:style>
  <w:style w:type="paragraph" w:customStyle="1" w:styleId="SubitemHead">
    <w:name w:val="SubitemHead"/>
    <w:aliases w:val="issh"/>
    <w:basedOn w:val="OPCParaBase"/>
    <w:rsid w:val="006C06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069E"/>
    <w:pPr>
      <w:spacing w:before="40" w:line="240" w:lineRule="auto"/>
      <w:ind w:left="1134"/>
    </w:pPr>
  </w:style>
  <w:style w:type="paragraph" w:customStyle="1" w:styleId="SubsectionHead">
    <w:name w:val="SubsectionHead"/>
    <w:aliases w:val="ssh"/>
    <w:basedOn w:val="OPCParaBase"/>
    <w:next w:val="subsection"/>
    <w:rsid w:val="006C069E"/>
    <w:pPr>
      <w:keepNext/>
      <w:keepLines/>
      <w:spacing w:before="240" w:line="240" w:lineRule="auto"/>
      <w:ind w:left="1134"/>
    </w:pPr>
    <w:rPr>
      <w:i/>
    </w:rPr>
  </w:style>
  <w:style w:type="paragraph" w:customStyle="1" w:styleId="Tablea">
    <w:name w:val="Table(a)"/>
    <w:aliases w:val="ta"/>
    <w:basedOn w:val="OPCParaBase"/>
    <w:rsid w:val="006C069E"/>
    <w:pPr>
      <w:spacing w:before="60" w:line="240" w:lineRule="auto"/>
      <w:ind w:left="284" w:hanging="284"/>
    </w:pPr>
    <w:rPr>
      <w:sz w:val="20"/>
    </w:rPr>
  </w:style>
  <w:style w:type="paragraph" w:customStyle="1" w:styleId="TableAA">
    <w:name w:val="Table(AA)"/>
    <w:aliases w:val="taaa"/>
    <w:basedOn w:val="OPCParaBase"/>
    <w:rsid w:val="006C06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06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069E"/>
    <w:pPr>
      <w:spacing w:before="60" w:line="240" w:lineRule="atLeast"/>
    </w:pPr>
    <w:rPr>
      <w:sz w:val="20"/>
    </w:rPr>
  </w:style>
  <w:style w:type="paragraph" w:customStyle="1" w:styleId="TLPBoxTextnote">
    <w:name w:val="TLPBoxText(note"/>
    <w:aliases w:val="right)"/>
    <w:basedOn w:val="OPCParaBase"/>
    <w:rsid w:val="006C06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06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069E"/>
    <w:pPr>
      <w:spacing w:before="122" w:line="198" w:lineRule="exact"/>
      <w:ind w:left="1985" w:hanging="851"/>
      <w:jc w:val="right"/>
    </w:pPr>
    <w:rPr>
      <w:sz w:val="18"/>
    </w:rPr>
  </w:style>
  <w:style w:type="paragraph" w:customStyle="1" w:styleId="TLPTableBullet">
    <w:name w:val="TLPTableBullet"/>
    <w:aliases w:val="ttb"/>
    <w:basedOn w:val="OPCParaBase"/>
    <w:rsid w:val="006C069E"/>
    <w:pPr>
      <w:spacing w:line="240" w:lineRule="exact"/>
      <w:ind w:left="284" w:hanging="284"/>
    </w:pPr>
    <w:rPr>
      <w:sz w:val="20"/>
    </w:rPr>
  </w:style>
  <w:style w:type="paragraph" w:styleId="TOC1">
    <w:name w:val="toc 1"/>
    <w:basedOn w:val="Normal"/>
    <w:next w:val="Normal"/>
    <w:uiPriority w:val="39"/>
    <w:unhideWhenUsed/>
    <w:rsid w:val="006C069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C069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C069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C069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C069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C069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C069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C069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C069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C069E"/>
    <w:pPr>
      <w:keepLines/>
      <w:spacing w:before="240" w:after="120" w:line="240" w:lineRule="auto"/>
      <w:ind w:left="794"/>
    </w:pPr>
    <w:rPr>
      <w:b/>
      <w:kern w:val="28"/>
      <w:sz w:val="20"/>
    </w:rPr>
  </w:style>
  <w:style w:type="paragraph" w:customStyle="1" w:styleId="TofSectsHeading">
    <w:name w:val="TofSects(Heading)"/>
    <w:basedOn w:val="OPCParaBase"/>
    <w:rsid w:val="006C069E"/>
    <w:pPr>
      <w:spacing w:before="240" w:after="120" w:line="240" w:lineRule="auto"/>
    </w:pPr>
    <w:rPr>
      <w:b/>
      <w:sz w:val="24"/>
    </w:rPr>
  </w:style>
  <w:style w:type="paragraph" w:customStyle="1" w:styleId="TofSectsSection">
    <w:name w:val="TofSects(Section)"/>
    <w:basedOn w:val="OPCParaBase"/>
    <w:rsid w:val="006C069E"/>
    <w:pPr>
      <w:keepLines/>
      <w:spacing w:before="40" w:line="240" w:lineRule="auto"/>
      <w:ind w:left="1588" w:hanging="794"/>
    </w:pPr>
    <w:rPr>
      <w:kern w:val="28"/>
      <w:sz w:val="18"/>
    </w:rPr>
  </w:style>
  <w:style w:type="paragraph" w:customStyle="1" w:styleId="TofSectsSubdiv">
    <w:name w:val="TofSects(Subdiv)"/>
    <w:basedOn w:val="OPCParaBase"/>
    <w:rsid w:val="006C069E"/>
    <w:pPr>
      <w:keepLines/>
      <w:spacing w:before="80" w:line="240" w:lineRule="auto"/>
      <w:ind w:left="1588" w:hanging="794"/>
    </w:pPr>
    <w:rPr>
      <w:kern w:val="28"/>
    </w:rPr>
  </w:style>
  <w:style w:type="paragraph" w:customStyle="1" w:styleId="WRStyle">
    <w:name w:val="WR Style"/>
    <w:aliases w:val="WR"/>
    <w:basedOn w:val="OPCParaBase"/>
    <w:rsid w:val="006C069E"/>
    <w:pPr>
      <w:spacing w:before="240" w:line="240" w:lineRule="auto"/>
      <w:ind w:left="284" w:hanging="284"/>
    </w:pPr>
    <w:rPr>
      <w:b/>
      <w:i/>
      <w:kern w:val="28"/>
      <w:sz w:val="24"/>
    </w:rPr>
  </w:style>
  <w:style w:type="paragraph" w:customStyle="1" w:styleId="notepara">
    <w:name w:val="note(para)"/>
    <w:aliases w:val="na"/>
    <w:basedOn w:val="OPCParaBase"/>
    <w:rsid w:val="006C069E"/>
    <w:pPr>
      <w:spacing w:before="40" w:line="198" w:lineRule="exact"/>
      <w:ind w:left="2354" w:hanging="369"/>
    </w:pPr>
    <w:rPr>
      <w:sz w:val="18"/>
    </w:rPr>
  </w:style>
  <w:style w:type="paragraph" w:styleId="Footer">
    <w:name w:val="footer"/>
    <w:link w:val="FooterChar"/>
    <w:rsid w:val="006C06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069E"/>
    <w:rPr>
      <w:rFonts w:eastAsia="Times New Roman" w:cs="Times New Roman"/>
      <w:sz w:val="22"/>
      <w:szCs w:val="24"/>
      <w:lang w:eastAsia="en-AU"/>
    </w:rPr>
  </w:style>
  <w:style w:type="character" w:styleId="LineNumber">
    <w:name w:val="line number"/>
    <w:basedOn w:val="OPCCharBase"/>
    <w:uiPriority w:val="99"/>
    <w:unhideWhenUsed/>
    <w:rsid w:val="006C069E"/>
    <w:rPr>
      <w:sz w:val="16"/>
    </w:rPr>
  </w:style>
  <w:style w:type="table" w:customStyle="1" w:styleId="CFlag">
    <w:name w:val="CFlag"/>
    <w:basedOn w:val="TableNormal"/>
    <w:uiPriority w:val="99"/>
    <w:rsid w:val="006C069E"/>
    <w:rPr>
      <w:rFonts w:eastAsia="Times New Roman" w:cs="Times New Roman"/>
      <w:lang w:eastAsia="en-AU"/>
    </w:rPr>
    <w:tblPr/>
  </w:style>
  <w:style w:type="paragraph" w:styleId="BalloonText">
    <w:name w:val="Balloon Text"/>
    <w:basedOn w:val="Normal"/>
    <w:link w:val="BalloonTextChar"/>
    <w:uiPriority w:val="99"/>
    <w:unhideWhenUsed/>
    <w:rsid w:val="006C06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C069E"/>
    <w:rPr>
      <w:rFonts w:ascii="Tahoma" w:hAnsi="Tahoma" w:cs="Tahoma"/>
      <w:sz w:val="16"/>
      <w:szCs w:val="16"/>
    </w:rPr>
  </w:style>
  <w:style w:type="table" w:styleId="TableGrid">
    <w:name w:val="Table Grid"/>
    <w:basedOn w:val="TableNormal"/>
    <w:uiPriority w:val="59"/>
    <w:rsid w:val="006C0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069E"/>
    <w:rPr>
      <w:b/>
      <w:sz w:val="28"/>
      <w:szCs w:val="32"/>
    </w:rPr>
  </w:style>
  <w:style w:type="paragraph" w:customStyle="1" w:styleId="LegislationMadeUnder">
    <w:name w:val="LegislationMadeUnder"/>
    <w:basedOn w:val="OPCParaBase"/>
    <w:next w:val="Normal"/>
    <w:rsid w:val="006C069E"/>
    <w:rPr>
      <w:i/>
      <w:sz w:val="32"/>
      <w:szCs w:val="32"/>
    </w:rPr>
  </w:style>
  <w:style w:type="paragraph" w:customStyle="1" w:styleId="SignCoverPageEnd">
    <w:name w:val="SignCoverPageEnd"/>
    <w:basedOn w:val="OPCParaBase"/>
    <w:next w:val="Normal"/>
    <w:rsid w:val="006C06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069E"/>
    <w:pPr>
      <w:pBdr>
        <w:top w:val="single" w:sz="4" w:space="1" w:color="auto"/>
      </w:pBdr>
      <w:spacing w:before="360"/>
      <w:ind w:right="397"/>
      <w:jc w:val="both"/>
    </w:pPr>
  </w:style>
  <w:style w:type="paragraph" w:customStyle="1" w:styleId="NotesHeading1">
    <w:name w:val="NotesHeading 1"/>
    <w:basedOn w:val="OPCParaBase"/>
    <w:next w:val="Normal"/>
    <w:rsid w:val="006C069E"/>
    <w:rPr>
      <w:b/>
      <w:sz w:val="28"/>
      <w:szCs w:val="28"/>
    </w:rPr>
  </w:style>
  <w:style w:type="paragraph" w:customStyle="1" w:styleId="NotesHeading2">
    <w:name w:val="NotesHeading 2"/>
    <w:basedOn w:val="OPCParaBase"/>
    <w:next w:val="Normal"/>
    <w:rsid w:val="006C069E"/>
    <w:rPr>
      <w:b/>
      <w:sz w:val="28"/>
      <w:szCs w:val="28"/>
    </w:rPr>
  </w:style>
  <w:style w:type="paragraph" w:customStyle="1" w:styleId="CompiledActNo">
    <w:name w:val="CompiledActNo"/>
    <w:basedOn w:val="OPCParaBase"/>
    <w:next w:val="Normal"/>
    <w:rsid w:val="006C069E"/>
    <w:rPr>
      <w:b/>
      <w:sz w:val="24"/>
      <w:szCs w:val="24"/>
    </w:rPr>
  </w:style>
  <w:style w:type="paragraph" w:customStyle="1" w:styleId="ENotesText">
    <w:name w:val="ENotesText"/>
    <w:aliases w:val="Ent"/>
    <w:basedOn w:val="OPCParaBase"/>
    <w:next w:val="Normal"/>
    <w:rsid w:val="006C069E"/>
    <w:pPr>
      <w:spacing w:before="120"/>
    </w:pPr>
  </w:style>
  <w:style w:type="paragraph" w:customStyle="1" w:styleId="CompiledMadeUnder">
    <w:name w:val="CompiledMadeUnder"/>
    <w:basedOn w:val="OPCParaBase"/>
    <w:next w:val="Normal"/>
    <w:rsid w:val="006C069E"/>
    <w:rPr>
      <w:i/>
      <w:sz w:val="24"/>
      <w:szCs w:val="24"/>
    </w:rPr>
  </w:style>
  <w:style w:type="paragraph" w:customStyle="1" w:styleId="Paragraphsub-sub-sub">
    <w:name w:val="Paragraph(sub-sub-sub)"/>
    <w:aliases w:val="aaaa"/>
    <w:basedOn w:val="OPCParaBase"/>
    <w:rsid w:val="006C069E"/>
    <w:pPr>
      <w:tabs>
        <w:tab w:val="right" w:pos="3402"/>
      </w:tabs>
      <w:spacing w:before="40" w:line="240" w:lineRule="auto"/>
      <w:ind w:left="3402" w:hanging="3402"/>
    </w:pPr>
  </w:style>
  <w:style w:type="paragraph" w:customStyle="1" w:styleId="TableTextEndNotes">
    <w:name w:val="TableTextEndNotes"/>
    <w:aliases w:val="Tten"/>
    <w:basedOn w:val="Normal"/>
    <w:rsid w:val="006C069E"/>
    <w:pPr>
      <w:spacing w:before="60" w:line="240" w:lineRule="auto"/>
    </w:pPr>
    <w:rPr>
      <w:rFonts w:cs="Arial"/>
      <w:sz w:val="20"/>
      <w:szCs w:val="22"/>
    </w:rPr>
  </w:style>
  <w:style w:type="paragraph" w:customStyle="1" w:styleId="NoteToSubpara">
    <w:name w:val="NoteToSubpara"/>
    <w:aliases w:val="nts"/>
    <w:basedOn w:val="OPCParaBase"/>
    <w:rsid w:val="006C069E"/>
    <w:pPr>
      <w:spacing w:before="40" w:line="198" w:lineRule="exact"/>
      <w:ind w:left="2835" w:hanging="709"/>
    </w:pPr>
    <w:rPr>
      <w:sz w:val="18"/>
    </w:rPr>
  </w:style>
  <w:style w:type="paragraph" w:customStyle="1" w:styleId="ENoteTableHeading">
    <w:name w:val="ENoteTableHeading"/>
    <w:aliases w:val="enth"/>
    <w:basedOn w:val="OPCParaBase"/>
    <w:rsid w:val="006C069E"/>
    <w:pPr>
      <w:keepNext/>
      <w:spacing w:before="60" w:line="240" w:lineRule="atLeast"/>
    </w:pPr>
    <w:rPr>
      <w:rFonts w:ascii="Arial" w:hAnsi="Arial"/>
      <w:b/>
      <w:sz w:val="16"/>
    </w:rPr>
  </w:style>
  <w:style w:type="paragraph" w:customStyle="1" w:styleId="ENoteTTi">
    <w:name w:val="ENoteTTi"/>
    <w:aliases w:val="entti"/>
    <w:basedOn w:val="OPCParaBase"/>
    <w:rsid w:val="006C069E"/>
    <w:pPr>
      <w:keepNext/>
      <w:spacing w:before="60" w:line="240" w:lineRule="atLeast"/>
      <w:ind w:left="170"/>
    </w:pPr>
    <w:rPr>
      <w:sz w:val="16"/>
    </w:rPr>
  </w:style>
  <w:style w:type="paragraph" w:customStyle="1" w:styleId="ENotesHeading1">
    <w:name w:val="ENotesHeading 1"/>
    <w:aliases w:val="Enh1"/>
    <w:basedOn w:val="OPCParaBase"/>
    <w:next w:val="Normal"/>
    <w:rsid w:val="006C069E"/>
    <w:pPr>
      <w:spacing w:before="120"/>
      <w:outlineLvl w:val="1"/>
    </w:pPr>
    <w:rPr>
      <w:b/>
      <w:sz w:val="28"/>
      <w:szCs w:val="28"/>
    </w:rPr>
  </w:style>
  <w:style w:type="paragraph" w:customStyle="1" w:styleId="ENotesHeading2">
    <w:name w:val="ENotesHeading 2"/>
    <w:aliases w:val="Enh2"/>
    <w:basedOn w:val="OPCParaBase"/>
    <w:next w:val="Normal"/>
    <w:rsid w:val="006C069E"/>
    <w:pPr>
      <w:spacing w:before="120" w:after="120"/>
      <w:outlineLvl w:val="2"/>
    </w:pPr>
    <w:rPr>
      <w:b/>
      <w:sz w:val="24"/>
      <w:szCs w:val="28"/>
    </w:rPr>
  </w:style>
  <w:style w:type="paragraph" w:customStyle="1" w:styleId="ENoteTTIndentHeading">
    <w:name w:val="ENoteTTIndentHeading"/>
    <w:aliases w:val="enTTHi"/>
    <w:basedOn w:val="OPCParaBase"/>
    <w:rsid w:val="006C06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069E"/>
    <w:pPr>
      <w:spacing w:before="60" w:line="240" w:lineRule="atLeast"/>
    </w:pPr>
    <w:rPr>
      <w:sz w:val="16"/>
    </w:rPr>
  </w:style>
  <w:style w:type="paragraph" w:customStyle="1" w:styleId="MadeunderText">
    <w:name w:val="MadeunderText"/>
    <w:basedOn w:val="OPCParaBase"/>
    <w:next w:val="Normal"/>
    <w:rsid w:val="006C069E"/>
    <w:pPr>
      <w:spacing w:before="240"/>
    </w:pPr>
    <w:rPr>
      <w:sz w:val="24"/>
      <w:szCs w:val="24"/>
    </w:rPr>
  </w:style>
  <w:style w:type="paragraph" w:customStyle="1" w:styleId="ENotesHeading3">
    <w:name w:val="ENotesHeading 3"/>
    <w:aliases w:val="Enh3"/>
    <w:basedOn w:val="OPCParaBase"/>
    <w:next w:val="Normal"/>
    <w:rsid w:val="006C069E"/>
    <w:pPr>
      <w:keepNext/>
      <w:spacing w:before="120" w:line="240" w:lineRule="auto"/>
      <w:outlineLvl w:val="4"/>
    </w:pPr>
    <w:rPr>
      <w:b/>
      <w:szCs w:val="24"/>
    </w:rPr>
  </w:style>
  <w:style w:type="character" w:customStyle="1" w:styleId="CharSubPartTextCASA">
    <w:name w:val="CharSubPartText(CASA)"/>
    <w:basedOn w:val="OPCCharBase"/>
    <w:uiPriority w:val="1"/>
    <w:rsid w:val="006C069E"/>
  </w:style>
  <w:style w:type="character" w:customStyle="1" w:styleId="CharSubPartNoCASA">
    <w:name w:val="CharSubPartNo(CASA)"/>
    <w:basedOn w:val="OPCCharBase"/>
    <w:uiPriority w:val="1"/>
    <w:rsid w:val="006C069E"/>
  </w:style>
  <w:style w:type="paragraph" w:customStyle="1" w:styleId="ENoteTTIndentHeadingSub">
    <w:name w:val="ENoteTTIndentHeadingSub"/>
    <w:aliases w:val="enTTHis"/>
    <w:basedOn w:val="OPCParaBase"/>
    <w:rsid w:val="006C069E"/>
    <w:pPr>
      <w:keepNext/>
      <w:spacing w:before="60" w:line="240" w:lineRule="atLeast"/>
      <w:ind w:left="340"/>
    </w:pPr>
    <w:rPr>
      <w:b/>
      <w:sz w:val="16"/>
    </w:rPr>
  </w:style>
  <w:style w:type="paragraph" w:customStyle="1" w:styleId="ENoteTTiSub">
    <w:name w:val="ENoteTTiSub"/>
    <w:aliases w:val="enttis"/>
    <w:basedOn w:val="OPCParaBase"/>
    <w:rsid w:val="006C069E"/>
    <w:pPr>
      <w:keepNext/>
      <w:spacing w:before="60" w:line="240" w:lineRule="atLeast"/>
      <w:ind w:left="340"/>
    </w:pPr>
    <w:rPr>
      <w:sz w:val="16"/>
    </w:rPr>
  </w:style>
  <w:style w:type="paragraph" w:customStyle="1" w:styleId="SubDivisionMigration">
    <w:name w:val="SubDivisionMigration"/>
    <w:aliases w:val="sdm"/>
    <w:basedOn w:val="OPCParaBase"/>
    <w:rsid w:val="006C06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069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C069E"/>
    <w:pPr>
      <w:spacing w:before="122" w:line="240" w:lineRule="auto"/>
      <w:ind w:left="1985" w:hanging="851"/>
    </w:pPr>
    <w:rPr>
      <w:sz w:val="18"/>
    </w:rPr>
  </w:style>
  <w:style w:type="paragraph" w:customStyle="1" w:styleId="FreeForm">
    <w:name w:val="FreeForm"/>
    <w:rsid w:val="00FD14D6"/>
    <w:rPr>
      <w:rFonts w:ascii="Arial" w:hAnsi="Arial"/>
      <w:sz w:val="22"/>
    </w:rPr>
  </w:style>
  <w:style w:type="paragraph" w:customStyle="1" w:styleId="SOText">
    <w:name w:val="SO Text"/>
    <w:aliases w:val="sot"/>
    <w:link w:val="SOTextChar"/>
    <w:rsid w:val="006C06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069E"/>
    <w:rPr>
      <w:sz w:val="22"/>
    </w:rPr>
  </w:style>
  <w:style w:type="paragraph" w:customStyle="1" w:styleId="SOTextNote">
    <w:name w:val="SO TextNote"/>
    <w:aliases w:val="sont"/>
    <w:basedOn w:val="SOText"/>
    <w:qFormat/>
    <w:rsid w:val="006C069E"/>
    <w:pPr>
      <w:spacing w:before="122" w:line="198" w:lineRule="exact"/>
      <w:ind w:left="1843" w:hanging="709"/>
    </w:pPr>
    <w:rPr>
      <w:sz w:val="18"/>
    </w:rPr>
  </w:style>
  <w:style w:type="paragraph" w:customStyle="1" w:styleId="SOPara">
    <w:name w:val="SO Para"/>
    <w:aliases w:val="soa"/>
    <w:basedOn w:val="SOText"/>
    <w:link w:val="SOParaChar"/>
    <w:qFormat/>
    <w:rsid w:val="006C069E"/>
    <w:pPr>
      <w:tabs>
        <w:tab w:val="right" w:pos="1786"/>
      </w:tabs>
      <w:spacing w:before="40"/>
      <w:ind w:left="2070" w:hanging="936"/>
    </w:pPr>
  </w:style>
  <w:style w:type="character" w:customStyle="1" w:styleId="SOParaChar">
    <w:name w:val="SO Para Char"/>
    <w:aliases w:val="soa Char"/>
    <w:basedOn w:val="DefaultParagraphFont"/>
    <w:link w:val="SOPara"/>
    <w:rsid w:val="006C069E"/>
    <w:rPr>
      <w:sz w:val="22"/>
    </w:rPr>
  </w:style>
  <w:style w:type="paragraph" w:customStyle="1" w:styleId="FileName">
    <w:name w:val="FileName"/>
    <w:basedOn w:val="Normal"/>
    <w:rsid w:val="006C069E"/>
  </w:style>
  <w:style w:type="paragraph" w:customStyle="1" w:styleId="TableHeading">
    <w:name w:val="TableHeading"/>
    <w:aliases w:val="th"/>
    <w:basedOn w:val="OPCParaBase"/>
    <w:next w:val="Tabletext"/>
    <w:rsid w:val="006C069E"/>
    <w:pPr>
      <w:keepNext/>
      <w:spacing w:before="60" w:line="240" w:lineRule="atLeast"/>
    </w:pPr>
    <w:rPr>
      <w:b/>
      <w:sz w:val="20"/>
    </w:rPr>
  </w:style>
  <w:style w:type="paragraph" w:customStyle="1" w:styleId="SOHeadBold">
    <w:name w:val="SO HeadBold"/>
    <w:aliases w:val="sohb"/>
    <w:basedOn w:val="SOText"/>
    <w:next w:val="SOText"/>
    <w:link w:val="SOHeadBoldChar"/>
    <w:qFormat/>
    <w:rsid w:val="006C069E"/>
    <w:rPr>
      <w:b/>
    </w:rPr>
  </w:style>
  <w:style w:type="character" w:customStyle="1" w:styleId="SOHeadBoldChar">
    <w:name w:val="SO HeadBold Char"/>
    <w:aliases w:val="sohb Char"/>
    <w:basedOn w:val="DefaultParagraphFont"/>
    <w:link w:val="SOHeadBold"/>
    <w:rsid w:val="006C069E"/>
    <w:rPr>
      <w:b/>
      <w:sz w:val="22"/>
    </w:rPr>
  </w:style>
  <w:style w:type="paragraph" w:customStyle="1" w:styleId="SOHeadItalic">
    <w:name w:val="SO HeadItalic"/>
    <w:aliases w:val="sohi"/>
    <w:basedOn w:val="SOText"/>
    <w:next w:val="SOText"/>
    <w:link w:val="SOHeadItalicChar"/>
    <w:qFormat/>
    <w:rsid w:val="006C069E"/>
    <w:rPr>
      <w:i/>
    </w:rPr>
  </w:style>
  <w:style w:type="character" w:customStyle="1" w:styleId="SOHeadItalicChar">
    <w:name w:val="SO HeadItalic Char"/>
    <w:aliases w:val="sohi Char"/>
    <w:basedOn w:val="DefaultParagraphFont"/>
    <w:link w:val="SOHeadItalic"/>
    <w:rsid w:val="006C069E"/>
    <w:rPr>
      <w:i/>
      <w:sz w:val="22"/>
    </w:rPr>
  </w:style>
  <w:style w:type="paragraph" w:customStyle="1" w:styleId="SOBullet">
    <w:name w:val="SO Bullet"/>
    <w:aliases w:val="sotb"/>
    <w:basedOn w:val="SOText"/>
    <w:link w:val="SOBulletChar"/>
    <w:qFormat/>
    <w:rsid w:val="006C069E"/>
    <w:pPr>
      <w:ind w:left="1559" w:hanging="425"/>
    </w:pPr>
  </w:style>
  <w:style w:type="character" w:customStyle="1" w:styleId="SOBulletChar">
    <w:name w:val="SO Bullet Char"/>
    <w:aliases w:val="sotb Char"/>
    <w:basedOn w:val="DefaultParagraphFont"/>
    <w:link w:val="SOBullet"/>
    <w:rsid w:val="006C069E"/>
    <w:rPr>
      <w:sz w:val="22"/>
    </w:rPr>
  </w:style>
  <w:style w:type="paragraph" w:customStyle="1" w:styleId="SOBulletNote">
    <w:name w:val="SO BulletNote"/>
    <w:aliases w:val="sonb"/>
    <w:basedOn w:val="SOTextNote"/>
    <w:link w:val="SOBulletNoteChar"/>
    <w:qFormat/>
    <w:rsid w:val="006C069E"/>
    <w:pPr>
      <w:tabs>
        <w:tab w:val="left" w:pos="1560"/>
      </w:tabs>
      <w:ind w:left="2268" w:hanging="1134"/>
    </w:pPr>
  </w:style>
  <w:style w:type="character" w:customStyle="1" w:styleId="SOBulletNoteChar">
    <w:name w:val="SO BulletNote Char"/>
    <w:aliases w:val="sonb Char"/>
    <w:basedOn w:val="DefaultParagraphFont"/>
    <w:link w:val="SOBulletNote"/>
    <w:rsid w:val="006C069E"/>
    <w:rPr>
      <w:sz w:val="18"/>
    </w:rPr>
  </w:style>
  <w:style w:type="paragraph" w:customStyle="1" w:styleId="SOText2">
    <w:name w:val="SO Text2"/>
    <w:aliases w:val="sot2"/>
    <w:basedOn w:val="Normal"/>
    <w:next w:val="SOText"/>
    <w:link w:val="SOText2Char"/>
    <w:rsid w:val="006C06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069E"/>
    <w:rPr>
      <w:sz w:val="22"/>
    </w:rPr>
  </w:style>
  <w:style w:type="paragraph" w:customStyle="1" w:styleId="SubPartCASA">
    <w:name w:val="SubPart(CASA)"/>
    <w:aliases w:val="csp"/>
    <w:basedOn w:val="OPCParaBase"/>
    <w:next w:val="ActHead3"/>
    <w:rsid w:val="006C069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C069E"/>
    <w:rPr>
      <w:rFonts w:eastAsia="Times New Roman" w:cs="Times New Roman"/>
      <w:sz w:val="22"/>
      <w:lang w:eastAsia="en-AU"/>
    </w:rPr>
  </w:style>
  <w:style w:type="character" w:customStyle="1" w:styleId="notetextChar">
    <w:name w:val="note(text) Char"/>
    <w:aliases w:val="n Char"/>
    <w:basedOn w:val="DefaultParagraphFont"/>
    <w:link w:val="notetext"/>
    <w:rsid w:val="006C069E"/>
    <w:rPr>
      <w:rFonts w:eastAsia="Times New Roman" w:cs="Times New Roman"/>
      <w:sz w:val="18"/>
      <w:lang w:eastAsia="en-AU"/>
    </w:rPr>
  </w:style>
  <w:style w:type="character" w:customStyle="1" w:styleId="Heading1Char">
    <w:name w:val="Heading 1 Char"/>
    <w:basedOn w:val="DefaultParagraphFont"/>
    <w:link w:val="Heading1"/>
    <w:uiPriority w:val="9"/>
    <w:rsid w:val="006C06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06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069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C069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C069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C069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C069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C06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C069E"/>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9B62B2"/>
    <w:rPr>
      <w:rFonts w:eastAsia="Times New Roman" w:cs="Times New Roman"/>
      <w:sz w:val="22"/>
      <w:lang w:eastAsia="en-AU"/>
    </w:rPr>
  </w:style>
  <w:style w:type="character" w:styleId="Hyperlink">
    <w:name w:val="Hyperlink"/>
    <w:basedOn w:val="DefaultParagraphFont"/>
    <w:rsid w:val="006C069E"/>
    <w:rPr>
      <w:color w:val="0000FF"/>
      <w:u w:val="single"/>
    </w:rPr>
  </w:style>
  <w:style w:type="character" w:customStyle="1" w:styleId="charlegsubtitle1">
    <w:name w:val="charlegsubtitle1"/>
    <w:basedOn w:val="DefaultParagraphFont"/>
    <w:rsid w:val="006C069E"/>
    <w:rPr>
      <w:rFonts w:ascii="Arial" w:hAnsi="Arial" w:cs="Arial" w:hint="default"/>
      <w:b/>
      <w:bCs/>
      <w:sz w:val="28"/>
      <w:szCs w:val="28"/>
    </w:rPr>
  </w:style>
  <w:style w:type="paragraph" w:styleId="Index1">
    <w:name w:val="index 1"/>
    <w:basedOn w:val="Normal"/>
    <w:next w:val="Normal"/>
    <w:autoRedefine/>
    <w:rsid w:val="006C069E"/>
    <w:pPr>
      <w:ind w:left="240" w:hanging="240"/>
    </w:pPr>
  </w:style>
  <w:style w:type="paragraph" w:styleId="Index2">
    <w:name w:val="index 2"/>
    <w:basedOn w:val="Normal"/>
    <w:next w:val="Normal"/>
    <w:autoRedefine/>
    <w:rsid w:val="006C069E"/>
    <w:pPr>
      <w:ind w:left="480" w:hanging="240"/>
    </w:pPr>
  </w:style>
  <w:style w:type="paragraph" w:styleId="Index3">
    <w:name w:val="index 3"/>
    <w:basedOn w:val="Normal"/>
    <w:next w:val="Normal"/>
    <w:autoRedefine/>
    <w:rsid w:val="006C069E"/>
    <w:pPr>
      <w:ind w:left="720" w:hanging="240"/>
    </w:pPr>
  </w:style>
  <w:style w:type="paragraph" w:styleId="Index4">
    <w:name w:val="index 4"/>
    <w:basedOn w:val="Normal"/>
    <w:next w:val="Normal"/>
    <w:autoRedefine/>
    <w:rsid w:val="006C069E"/>
    <w:pPr>
      <w:ind w:left="960" w:hanging="240"/>
    </w:pPr>
  </w:style>
  <w:style w:type="paragraph" w:styleId="Index5">
    <w:name w:val="index 5"/>
    <w:basedOn w:val="Normal"/>
    <w:next w:val="Normal"/>
    <w:autoRedefine/>
    <w:rsid w:val="006C069E"/>
    <w:pPr>
      <w:ind w:left="1200" w:hanging="240"/>
    </w:pPr>
  </w:style>
  <w:style w:type="paragraph" w:styleId="Index6">
    <w:name w:val="index 6"/>
    <w:basedOn w:val="Normal"/>
    <w:next w:val="Normal"/>
    <w:autoRedefine/>
    <w:rsid w:val="006C069E"/>
    <w:pPr>
      <w:ind w:left="1440" w:hanging="240"/>
    </w:pPr>
  </w:style>
  <w:style w:type="paragraph" w:styleId="Index7">
    <w:name w:val="index 7"/>
    <w:basedOn w:val="Normal"/>
    <w:next w:val="Normal"/>
    <w:autoRedefine/>
    <w:rsid w:val="006C069E"/>
    <w:pPr>
      <w:ind w:left="1680" w:hanging="240"/>
    </w:pPr>
  </w:style>
  <w:style w:type="paragraph" w:styleId="Index8">
    <w:name w:val="index 8"/>
    <w:basedOn w:val="Normal"/>
    <w:next w:val="Normal"/>
    <w:autoRedefine/>
    <w:rsid w:val="006C069E"/>
    <w:pPr>
      <w:ind w:left="1920" w:hanging="240"/>
    </w:pPr>
  </w:style>
  <w:style w:type="paragraph" w:styleId="Index9">
    <w:name w:val="index 9"/>
    <w:basedOn w:val="Normal"/>
    <w:next w:val="Normal"/>
    <w:autoRedefine/>
    <w:rsid w:val="006C069E"/>
    <w:pPr>
      <w:ind w:left="2160" w:hanging="240"/>
    </w:pPr>
  </w:style>
  <w:style w:type="paragraph" w:styleId="NormalIndent">
    <w:name w:val="Normal Indent"/>
    <w:basedOn w:val="Normal"/>
    <w:rsid w:val="006C069E"/>
    <w:pPr>
      <w:ind w:left="720"/>
    </w:pPr>
  </w:style>
  <w:style w:type="paragraph" w:styleId="FootnoteText">
    <w:name w:val="footnote text"/>
    <w:basedOn w:val="Normal"/>
    <w:link w:val="FootnoteTextChar"/>
    <w:rsid w:val="006C069E"/>
    <w:rPr>
      <w:sz w:val="20"/>
    </w:rPr>
  </w:style>
  <w:style w:type="character" w:customStyle="1" w:styleId="FootnoteTextChar">
    <w:name w:val="Footnote Text Char"/>
    <w:basedOn w:val="DefaultParagraphFont"/>
    <w:link w:val="FootnoteText"/>
    <w:rsid w:val="006C069E"/>
  </w:style>
  <w:style w:type="paragraph" w:styleId="CommentText">
    <w:name w:val="annotation text"/>
    <w:basedOn w:val="Normal"/>
    <w:link w:val="CommentTextChar"/>
    <w:rsid w:val="006C069E"/>
    <w:rPr>
      <w:sz w:val="20"/>
    </w:rPr>
  </w:style>
  <w:style w:type="character" w:customStyle="1" w:styleId="CommentTextChar">
    <w:name w:val="Comment Text Char"/>
    <w:basedOn w:val="DefaultParagraphFont"/>
    <w:link w:val="CommentText"/>
    <w:rsid w:val="006C069E"/>
  </w:style>
  <w:style w:type="paragraph" w:styleId="IndexHeading">
    <w:name w:val="index heading"/>
    <w:basedOn w:val="Normal"/>
    <w:next w:val="Index1"/>
    <w:rsid w:val="006C069E"/>
    <w:rPr>
      <w:rFonts w:ascii="Arial" w:hAnsi="Arial" w:cs="Arial"/>
      <w:b/>
      <w:bCs/>
    </w:rPr>
  </w:style>
  <w:style w:type="paragraph" w:styleId="Caption">
    <w:name w:val="caption"/>
    <w:basedOn w:val="Normal"/>
    <w:next w:val="Normal"/>
    <w:qFormat/>
    <w:rsid w:val="006C069E"/>
    <w:pPr>
      <w:spacing w:before="120" w:after="120"/>
    </w:pPr>
    <w:rPr>
      <w:b/>
      <w:bCs/>
      <w:sz w:val="20"/>
    </w:rPr>
  </w:style>
  <w:style w:type="paragraph" w:styleId="TableofFigures">
    <w:name w:val="table of figures"/>
    <w:basedOn w:val="Normal"/>
    <w:next w:val="Normal"/>
    <w:rsid w:val="006C069E"/>
    <w:pPr>
      <w:ind w:left="480" w:hanging="480"/>
    </w:pPr>
  </w:style>
  <w:style w:type="paragraph" w:styleId="EnvelopeAddress">
    <w:name w:val="envelope address"/>
    <w:basedOn w:val="Normal"/>
    <w:rsid w:val="006C069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C069E"/>
    <w:rPr>
      <w:rFonts w:ascii="Arial" w:hAnsi="Arial" w:cs="Arial"/>
      <w:sz w:val="20"/>
    </w:rPr>
  </w:style>
  <w:style w:type="character" w:styleId="FootnoteReference">
    <w:name w:val="footnote reference"/>
    <w:basedOn w:val="DefaultParagraphFont"/>
    <w:rsid w:val="006C069E"/>
    <w:rPr>
      <w:rFonts w:ascii="Times New Roman" w:hAnsi="Times New Roman"/>
      <w:sz w:val="20"/>
      <w:vertAlign w:val="superscript"/>
    </w:rPr>
  </w:style>
  <w:style w:type="character" w:styleId="CommentReference">
    <w:name w:val="annotation reference"/>
    <w:basedOn w:val="DefaultParagraphFont"/>
    <w:rsid w:val="006C069E"/>
    <w:rPr>
      <w:sz w:val="16"/>
      <w:szCs w:val="16"/>
    </w:rPr>
  </w:style>
  <w:style w:type="character" w:styleId="PageNumber">
    <w:name w:val="page number"/>
    <w:basedOn w:val="DefaultParagraphFont"/>
    <w:rsid w:val="006C069E"/>
  </w:style>
  <w:style w:type="character" w:styleId="EndnoteReference">
    <w:name w:val="endnote reference"/>
    <w:basedOn w:val="DefaultParagraphFont"/>
    <w:rsid w:val="006C069E"/>
    <w:rPr>
      <w:vertAlign w:val="superscript"/>
    </w:rPr>
  </w:style>
  <w:style w:type="paragraph" w:styleId="EndnoteText">
    <w:name w:val="endnote text"/>
    <w:basedOn w:val="Normal"/>
    <w:link w:val="EndnoteTextChar"/>
    <w:rsid w:val="006C069E"/>
    <w:rPr>
      <w:sz w:val="20"/>
    </w:rPr>
  </w:style>
  <w:style w:type="character" w:customStyle="1" w:styleId="EndnoteTextChar">
    <w:name w:val="Endnote Text Char"/>
    <w:basedOn w:val="DefaultParagraphFont"/>
    <w:link w:val="EndnoteText"/>
    <w:rsid w:val="006C069E"/>
  </w:style>
  <w:style w:type="paragraph" w:styleId="TableofAuthorities">
    <w:name w:val="table of authorities"/>
    <w:basedOn w:val="Normal"/>
    <w:next w:val="Normal"/>
    <w:rsid w:val="006C069E"/>
    <w:pPr>
      <w:ind w:left="240" w:hanging="240"/>
    </w:pPr>
  </w:style>
  <w:style w:type="paragraph" w:styleId="MacroText">
    <w:name w:val="macro"/>
    <w:link w:val="MacroTextChar"/>
    <w:rsid w:val="006C069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C069E"/>
    <w:rPr>
      <w:rFonts w:ascii="Courier New" w:eastAsia="Times New Roman" w:hAnsi="Courier New" w:cs="Courier New"/>
      <w:lang w:eastAsia="en-AU"/>
    </w:rPr>
  </w:style>
  <w:style w:type="paragraph" w:styleId="TOAHeading">
    <w:name w:val="toa heading"/>
    <w:basedOn w:val="Normal"/>
    <w:next w:val="Normal"/>
    <w:rsid w:val="006C069E"/>
    <w:pPr>
      <w:spacing w:before="120"/>
    </w:pPr>
    <w:rPr>
      <w:rFonts w:ascii="Arial" w:hAnsi="Arial" w:cs="Arial"/>
      <w:b/>
      <w:bCs/>
    </w:rPr>
  </w:style>
  <w:style w:type="paragraph" w:styleId="List">
    <w:name w:val="List"/>
    <w:basedOn w:val="Normal"/>
    <w:rsid w:val="006C069E"/>
    <w:pPr>
      <w:ind w:left="283" w:hanging="283"/>
    </w:pPr>
  </w:style>
  <w:style w:type="paragraph" w:styleId="ListBullet">
    <w:name w:val="List Bullet"/>
    <w:basedOn w:val="Normal"/>
    <w:autoRedefine/>
    <w:rsid w:val="006C069E"/>
    <w:pPr>
      <w:tabs>
        <w:tab w:val="num" w:pos="360"/>
      </w:tabs>
      <w:ind w:left="360" w:hanging="360"/>
    </w:pPr>
  </w:style>
  <w:style w:type="paragraph" w:styleId="ListNumber">
    <w:name w:val="List Number"/>
    <w:basedOn w:val="Normal"/>
    <w:rsid w:val="006C069E"/>
    <w:pPr>
      <w:tabs>
        <w:tab w:val="num" w:pos="360"/>
      </w:tabs>
      <w:ind w:left="360" w:hanging="360"/>
    </w:pPr>
  </w:style>
  <w:style w:type="paragraph" w:styleId="List2">
    <w:name w:val="List 2"/>
    <w:basedOn w:val="Normal"/>
    <w:rsid w:val="006C069E"/>
    <w:pPr>
      <w:ind w:left="566" w:hanging="283"/>
    </w:pPr>
  </w:style>
  <w:style w:type="paragraph" w:styleId="List3">
    <w:name w:val="List 3"/>
    <w:basedOn w:val="Normal"/>
    <w:rsid w:val="006C069E"/>
    <w:pPr>
      <w:ind w:left="849" w:hanging="283"/>
    </w:pPr>
  </w:style>
  <w:style w:type="paragraph" w:styleId="List4">
    <w:name w:val="List 4"/>
    <w:basedOn w:val="Normal"/>
    <w:rsid w:val="006C069E"/>
    <w:pPr>
      <w:ind w:left="1132" w:hanging="283"/>
    </w:pPr>
  </w:style>
  <w:style w:type="paragraph" w:styleId="List5">
    <w:name w:val="List 5"/>
    <w:basedOn w:val="Normal"/>
    <w:rsid w:val="006C069E"/>
    <w:pPr>
      <w:ind w:left="1415" w:hanging="283"/>
    </w:pPr>
  </w:style>
  <w:style w:type="paragraph" w:styleId="ListBullet2">
    <w:name w:val="List Bullet 2"/>
    <w:basedOn w:val="Normal"/>
    <w:autoRedefine/>
    <w:rsid w:val="006C069E"/>
    <w:pPr>
      <w:tabs>
        <w:tab w:val="num" w:pos="360"/>
      </w:tabs>
    </w:pPr>
  </w:style>
  <w:style w:type="paragraph" w:styleId="ListBullet3">
    <w:name w:val="List Bullet 3"/>
    <w:basedOn w:val="Normal"/>
    <w:autoRedefine/>
    <w:rsid w:val="006C069E"/>
    <w:pPr>
      <w:tabs>
        <w:tab w:val="num" w:pos="926"/>
      </w:tabs>
      <w:ind w:left="926" w:hanging="360"/>
    </w:pPr>
  </w:style>
  <w:style w:type="paragraph" w:styleId="ListBullet4">
    <w:name w:val="List Bullet 4"/>
    <w:basedOn w:val="Normal"/>
    <w:autoRedefine/>
    <w:rsid w:val="006C069E"/>
    <w:pPr>
      <w:tabs>
        <w:tab w:val="num" w:pos="1209"/>
      </w:tabs>
      <w:ind w:left="1209" w:hanging="360"/>
    </w:pPr>
  </w:style>
  <w:style w:type="paragraph" w:styleId="ListBullet5">
    <w:name w:val="List Bullet 5"/>
    <w:basedOn w:val="Normal"/>
    <w:autoRedefine/>
    <w:rsid w:val="006C069E"/>
    <w:pPr>
      <w:tabs>
        <w:tab w:val="num" w:pos="1492"/>
      </w:tabs>
      <w:ind w:left="1492" w:hanging="360"/>
    </w:pPr>
  </w:style>
  <w:style w:type="paragraph" w:styleId="ListNumber2">
    <w:name w:val="List Number 2"/>
    <w:basedOn w:val="Normal"/>
    <w:rsid w:val="006C069E"/>
    <w:pPr>
      <w:tabs>
        <w:tab w:val="num" w:pos="643"/>
      </w:tabs>
      <w:ind w:left="643" w:hanging="360"/>
    </w:pPr>
  </w:style>
  <w:style w:type="paragraph" w:styleId="ListNumber3">
    <w:name w:val="List Number 3"/>
    <w:basedOn w:val="Normal"/>
    <w:rsid w:val="006C069E"/>
    <w:pPr>
      <w:tabs>
        <w:tab w:val="num" w:pos="926"/>
      </w:tabs>
      <w:ind w:left="926" w:hanging="360"/>
    </w:pPr>
  </w:style>
  <w:style w:type="paragraph" w:styleId="ListNumber4">
    <w:name w:val="List Number 4"/>
    <w:basedOn w:val="Normal"/>
    <w:rsid w:val="006C069E"/>
    <w:pPr>
      <w:tabs>
        <w:tab w:val="num" w:pos="1209"/>
      </w:tabs>
      <w:ind w:left="1209" w:hanging="360"/>
    </w:pPr>
  </w:style>
  <w:style w:type="paragraph" w:styleId="ListNumber5">
    <w:name w:val="List Number 5"/>
    <w:basedOn w:val="Normal"/>
    <w:rsid w:val="006C069E"/>
    <w:pPr>
      <w:tabs>
        <w:tab w:val="num" w:pos="1492"/>
      </w:tabs>
      <w:ind w:left="1492" w:hanging="360"/>
    </w:pPr>
  </w:style>
  <w:style w:type="paragraph" w:styleId="Title">
    <w:name w:val="Title"/>
    <w:basedOn w:val="Normal"/>
    <w:link w:val="TitleChar"/>
    <w:qFormat/>
    <w:rsid w:val="006C069E"/>
    <w:pPr>
      <w:spacing w:before="240" w:after="60"/>
    </w:pPr>
    <w:rPr>
      <w:rFonts w:ascii="Arial" w:hAnsi="Arial" w:cs="Arial"/>
      <w:b/>
      <w:bCs/>
      <w:sz w:val="40"/>
      <w:szCs w:val="40"/>
    </w:rPr>
  </w:style>
  <w:style w:type="character" w:customStyle="1" w:styleId="TitleChar">
    <w:name w:val="Title Char"/>
    <w:basedOn w:val="DefaultParagraphFont"/>
    <w:link w:val="Title"/>
    <w:rsid w:val="006C069E"/>
    <w:rPr>
      <w:rFonts w:ascii="Arial" w:hAnsi="Arial" w:cs="Arial"/>
      <w:b/>
      <w:bCs/>
      <w:sz w:val="40"/>
      <w:szCs w:val="40"/>
    </w:rPr>
  </w:style>
  <w:style w:type="paragraph" w:styleId="Closing">
    <w:name w:val="Closing"/>
    <w:basedOn w:val="Normal"/>
    <w:link w:val="ClosingChar"/>
    <w:rsid w:val="006C069E"/>
    <w:pPr>
      <w:ind w:left="4252"/>
    </w:pPr>
  </w:style>
  <w:style w:type="character" w:customStyle="1" w:styleId="ClosingChar">
    <w:name w:val="Closing Char"/>
    <w:basedOn w:val="DefaultParagraphFont"/>
    <w:link w:val="Closing"/>
    <w:rsid w:val="006C069E"/>
    <w:rPr>
      <w:sz w:val="22"/>
    </w:rPr>
  </w:style>
  <w:style w:type="paragraph" w:styleId="Signature">
    <w:name w:val="Signature"/>
    <w:basedOn w:val="Normal"/>
    <w:link w:val="SignatureChar"/>
    <w:rsid w:val="006C069E"/>
    <w:pPr>
      <w:ind w:left="4252"/>
    </w:pPr>
  </w:style>
  <w:style w:type="character" w:customStyle="1" w:styleId="SignatureChar">
    <w:name w:val="Signature Char"/>
    <w:basedOn w:val="DefaultParagraphFont"/>
    <w:link w:val="Signature"/>
    <w:rsid w:val="006C069E"/>
    <w:rPr>
      <w:sz w:val="22"/>
    </w:rPr>
  </w:style>
  <w:style w:type="paragraph" w:styleId="BodyText">
    <w:name w:val="Body Text"/>
    <w:basedOn w:val="Normal"/>
    <w:link w:val="BodyTextChar"/>
    <w:rsid w:val="006C069E"/>
    <w:pPr>
      <w:spacing w:after="120"/>
    </w:pPr>
  </w:style>
  <w:style w:type="character" w:customStyle="1" w:styleId="BodyTextChar">
    <w:name w:val="Body Text Char"/>
    <w:basedOn w:val="DefaultParagraphFont"/>
    <w:link w:val="BodyText"/>
    <w:rsid w:val="006C069E"/>
    <w:rPr>
      <w:sz w:val="22"/>
    </w:rPr>
  </w:style>
  <w:style w:type="paragraph" w:styleId="BodyTextIndent">
    <w:name w:val="Body Text Indent"/>
    <w:basedOn w:val="Normal"/>
    <w:link w:val="BodyTextIndentChar"/>
    <w:rsid w:val="006C069E"/>
    <w:pPr>
      <w:spacing w:after="120"/>
      <w:ind w:left="283"/>
    </w:pPr>
  </w:style>
  <w:style w:type="character" w:customStyle="1" w:styleId="BodyTextIndentChar">
    <w:name w:val="Body Text Indent Char"/>
    <w:basedOn w:val="DefaultParagraphFont"/>
    <w:link w:val="BodyTextIndent"/>
    <w:rsid w:val="006C069E"/>
    <w:rPr>
      <w:sz w:val="22"/>
    </w:rPr>
  </w:style>
  <w:style w:type="paragraph" w:styleId="ListContinue">
    <w:name w:val="List Continue"/>
    <w:basedOn w:val="Normal"/>
    <w:rsid w:val="006C069E"/>
    <w:pPr>
      <w:spacing w:after="120"/>
      <w:ind w:left="283"/>
    </w:pPr>
  </w:style>
  <w:style w:type="paragraph" w:styleId="ListContinue2">
    <w:name w:val="List Continue 2"/>
    <w:basedOn w:val="Normal"/>
    <w:rsid w:val="006C069E"/>
    <w:pPr>
      <w:spacing w:after="120"/>
      <w:ind w:left="566"/>
    </w:pPr>
  </w:style>
  <w:style w:type="paragraph" w:styleId="ListContinue3">
    <w:name w:val="List Continue 3"/>
    <w:basedOn w:val="Normal"/>
    <w:rsid w:val="006C069E"/>
    <w:pPr>
      <w:spacing w:after="120"/>
      <w:ind w:left="849"/>
    </w:pPr>
  </w:style>
  <w:style w:type="paragraph" w:styleId="ListContinue4">
    <w:name w:val="List Continue 4"/>
    <w:basedOn w:val="Normal"/>
    <w:rsid w:val="006C069E"/>
    <w:pPr>
      <w:spacing w:after="120"/>
      <w:ind w:left="1132"/>
    </w:pPr>
  </w:style>
  <w:style w:type="paragraph" w:styleId="ListContinue5">
    <w:name w:val="List Continue 5"/>
    <w:basedOn w:val="Normal"/>
    <w:rsid w:val="006C069E"/>
    <w:pPr>
      <w:spacing w:after="120"/>
      <w:ind w:left="1415"/>
    </w:pPr>
  </w:style>
  <w:style w:type="paragraph" w:styleId="MessageHeader">
    <w:name w:val="Message Header"/>
    <w:basedOn w:val="Normal"/>
    <w:link w:val="MessageHeaderChar"/>
    <w:rsid w:val="006C06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C069E"/>
    <w:rPr>
      <w:rFonts w:ascii="Arial" w:hAnsi="Arial" w:cs="Arial"/>
      <w:sz w:val="22"/>
      <w:shd w:val="pct20" w:color="auto" w:fill="auto"/>
    </w:rPr>
  </w:style>
  <w:style w:type="paragraph" w:styleId="Subtitle">
    <w:name w:val="Subtitle"/>
    <w:basedOn w:val="Normal"/>
    <w:link w:val="SubtitleChar"/>
    <w:qFormat/>
    <w:rsid w:val="006C069E"/>
    <w:pPr>
      <w:spacing w:after="60"/>
      <w:jc w:val="center"/>
      <w:outlineLvl w:val="1"/>
    </w:pPr>
    <w:rPr>
      <w:rFonts w:ascii="Arial" w:hAnsi="Arial" w:cs="Arial"/>
    </w:rPr>
  </w:style>
  <w:style w:type="character" w:customStyle="1" w:styleId="SubtitleChar">
    <w:name w:val="Subtitle Char"/>
    <w:basedOn w:val="DefaultParagraphFont"/>
    <w:link w:val="Subtitle"/>
    <w:rsid w:val="006C069E"/>
    <w:rPr>
      <w:rFonts w:ascii="Arial" w:hAnsi="Arial" w:cs="Arial"/>
      <w:sz w:val="22"/>
    </w:rPr>
  </w:style>
  <w:style w:type="paragraph" w:styleId="Salutation">
    <w:name w:val="Salutation"/>
    <w:basedOn w:val="Normal"/>
    <w:next w:val="Normal"/>
    <w:link w:val="SalutationChar"/>
    <w:rsid w:val="006C069E"/>
  </w:style>
  <w:style w:type="character" w:customStyle="1" w:styleId="SalutationChar">
    <w:name w:val="Salutation Char"/>
    <w:basedOn w:val="DefaultParagraphFont"/>
    <w:link w:val="Salutation"/>
    <w:rsid w:val="006C069E"/>
    <w:rPr>
      <w:sz w:val="22"/>
    </w:rPr>
  </w:style>
  <w:style w:type="paragraph" w:styleId="Date">
    <w:name w:val="Date"/>
    <w:basedOn w:val="Normal"/>
    <w:next w:val="Normal"/>
    <w:link w:val="DateChar"/>
    <w:rsid w:val="006C069E"/>
  </w:style>
  <w:style w:type="character" w:customStyle="1" w:styleId="DateChar">
    <w:name w:val="Date Char"/>
    <w:basedOn w:val="DefaultParagraphFont"/>
    <w:link w:val="Date"/>
    <w:rsid w:val="006C069E"/>
    <w:rPr>
      <w:sz w:val="22"/>
    </w:rPr>
  </w:style>
  <w:style w:type="paragraph" w:styleId="BodyTextFirstIndent">
    <w:name w:val="Body Text First Indent"/>
    <w:basedOn w:val="BodyText"/>
    <w:link w:val="BodyTextFirstIndentChar"/>
    <w:rsid w:val="006C069E"/>
    <w:pPr>
      <w:ind w:firstLine="210"/>
    </w:pPr>
  </w:style>
  <w:style w:type="character" w:customStyle="1" w:styleId="BodyTextFirstIndentChar">
    <w:name w:val="Body Text First Indent Char"/>
    <w:basedOn w:val="BodyTextChar"/>
    <w:link w:val="BodyTextFirstIndent"/>
    <w:rsid w:val="006C069E"/>
    <w:rPr>
      <w:sz w:val="22"/>
    </w:rPr>
  </w:style>
  <w:style w:type="paragraph" w:styleId="BodyTextFirstIndent2">
    <w:name w:val="Body Text First Indent 2"/>
    <w:basedOn w:val="BodyTextIndent"/>
    <w:link w:val="BodyTextFirstIndent2Char"/>
    <w:rsid w:val="006C069E"/>
    <w:pPr>
      <w:ind w:firstLine="210"/>
    </w:pPr>
  </w:style>
  <w:style w:type="character" w:customStyle="1" w:styleId="BodyTextFirstIndent2Char">
    <w:name w:val="Body Text First Indent 2 Char"/>
    <w:basedOn w:val="BodyTextIndentChar"/>
    <w:link w:val="BodyTextFirstIndent2"/>
    <w:rsid w:val="006C069E"/>
    <w:rPr>
      <w:sz w:val="22"/>
    </w:rPr>
  </w:style>
  <w:style w:type="paragraph" w:styleId="BodyText2">
    <w:name w:val="Body Text 2"/>
    <w:basedOn w:val="Normal"/>
    <w:link w:val="BodyText2Char"/>
    <w:rsid w:val="006C069E"/>
    <w:pPr>
      <w:spacing w:after="120" w:line="480" w:lineRule="auto"/>
    </w:pPr>
  </w:style>
  <w:style w:type="character" w:customStyle="1" w:styleId="BodyText2Char">
    <w:name w:val="Body Text 2 Char"/>
    <w:basedOn w:val="DefaultParagraphFont"/>
    <w:link w:val="BodyText2"/>
    <w:rsid w:val="006C069E"/>
    <w:rPr>
      <w:sz w:val="22"/>
    </w:rPr>
  </w:style>
  <w:style w:type="paragraph" w:styleId="BodyText3">
    <w:name w:val="Body Text 3"/>
    <w:basedOn w:val="Normal"/>
    <w:link w:val="BodyText3Char"/>
    <w:rsid w:val="006C069E"/>
    <w:pPr>
      <w:spacing w:after="120"/>
    </w:pPr>
    <w:rPr>
      <w:sz w:val="16"/>
      <w:szCs w:val="16"/>
    </w:rPr>
  </w:style>
  <w:style w:type="character" w:customStyle="1" w:styleId="BodyText3Char">
    <w:name w:val="Body Text 3 Char"/>
    <w:basedOn w:val="DefaultParagraphFont"/>
    <w:link w:val="BodyText3"/>
    <w:rsid w:val="006C069E"/>
    <w:rPr>
      <w:sz w:val="16"/>
      <w:szCs w:val="16"/>
    </w:rPr>
  </w:style>
  <w:style w:type="paragraph" w:styleId="BodyTextIndent2">
    <w:name w:val="Body Text Indent 2"/>
    <w:basedOn w:val="Normal"/>
    <w:link w:val="BodyTextIndent2Char"/>
    <w:rsid w:val="006C069E"/>
    <w:pPr>
      <w:spacing w:after="120" w:line="480" w:lineRule="auto"/>
      <w:ind w:left="283"/>
    </w:pPr>
  </w:style>
  <w:style w:type="character" w:customStyle="1" w:styleId="BodyTextIndent2Char">
    <w:name w:val="Body Text Indent 2 Char"/>
    <w:basedOn w:val="DefaultParagraphFont"/>
    <w:link w:val="BodyTextIndent2"/>
    <w:rsid w:val="006C069E"/>
    <w:rPr>
      <w:sz w:val="22"/>
    </w:rPr>
  </w:style>
  <w:style w:type="paragraph" w:styleId="BodyTextIndent3">
    <w:name w:val="Body Text Indent 3"/>
    <w:basedOn w:val="Normal"/>
    <w:link w:val="BodyTextIndent3Char"/>
    <w:rsid w:val="006C069E"/>
    <w:pPr>
      <w:spacing w:after="120"/>
      <w:ind w:left="283"/>
    </w:pPr>
    <w:rPr>
      <w:sz w:val="16"/>
      <w:szCs w:val="16"/>
    </w:rPr>
  </w:style>
  <w:style w:type="character" w:customStyle="1" w:styleId="BodyTextIndent3Char">
    <w:name w:val="Body Text Indent 3 Char"/>
    <w:basedOn w:val="DefaultParagraphFont"/>
    <w:link w:val="BodyTextIndent3"/>
    <w:rsid w:val="006C069E"/>
    <w:rPr>
      <w:sz w:val="16"/>
      <w:szCs w:val="16"/>
    </w:rPr>
  </w:style>
  <w:style w:type="paragraph" w:styleId="BlockText">
    <w:name w:val="Block Text"/>
    <w:basedOn w:val="Normal"/>
    <w:rsid w:val="006C069E"/>
    <w:pPr>
      <w:spacing w:after="120"/>
      <w:ind w:left="1440" w:right="1440"/>
    </w:pPr>
  </w:style>
  <w:style w:type="character" w:styleId="FollowedHyperlink">
    <w:name w:val="FollowedHyperlink"/>
    <w:basedOn w:val="DefaultParagraphFont"/>
    <w:rsid w:val="006C069E"/>
    <w:rPr>
      <w:color w:val="800080"/>
      <w:u w:val="single"/>
    </w:rPr>
  </w:style>
  <w:style w:type="character" w:styleId="Strong">
    <w:name w:val="Strong"/>
    <w:basedOn w:val="DefaultParagraphFont"/>
    <w:qFormat/>
    <w:rsid w:val="006C069E"/>
    <w:rPr>
      <w:b/>
      <w:bCs/>
    </w:rPr>
  </w:style>
  <w:style w:type="character" w:styleId="Emphasis">
    <w:name w:val="Emphasis"/>
    <w:basedOn w:val="DefaultParagraphFont"/>
    <w:qFormat/>
    <w:rsid w:val="006C069E"/>
    <w:rPr>
      <w:i/>
      <w:iCs/>
    </w:rPr>
  </w:style>
  <w:style w:type="paragraph" w:styleId="DocumentMap">
    <w:name w:val="Document Map"/>
    <w:basedOn w:val="Normal"/>
    <w:link w:val="DocumentMapChar"/>
    <w:rsid w:val="006C069E"/>
    <w:pPr>
      <w:shd w:val="clear" w:color="auto" w:fill="000080"/>
    </w:pPr>
    <w:rPr>
      <w:rFonts w:ascii="Tahoma" w:hAnsi="Tahoma" w:cs="Tahoma"/>
    </w:rPr>
  </w:style>
  <w:style w:type="character" w:customStyle="1" w:styleId="DocumentMapChar">
    <w:name w:val="Document Map Char"/>
    <w:basedOn w:val="DefaultParagraphFont"/>
    <w:link w:val="DocumentMap"/>
    <w:rsid w:val="006C069E"/>
    <w:rPr>
      <w:rFonts w:ascii="Tahoma" w:hAnsi="Tahoma" w:cs="Tahoma"/>
      <w:sz w:val="22"/>
      <w:shd w:val="clear" w:color="auto" w:fill="000080"/>
    </w:rPr>
  </w:style>
  <w:style w:type="paragraph" w:styleId="PlainText">
    <w:name w:val="Plain Text"/>
    <w:basedOn w:val="Normal"/>
    <w:link w:val="PlainTextChar"/>
    <w:rsid w:val="006C069E"/>
    <w:rPr>
      <w:rFonts w:ascii="Courier New" w:hAnsi="Courier New" w:cs="Courier New"/>
      <w:sz w:val="20"/>
    </w:rPr>
  </w:style>
  <w:style w:type="character" w:customStyle="1" w:styleId="PlainTextChar">
    <w:name w:val="Plain Text Char"/>
    <w:basedOn w:val="DefaultParagraphFont"/>
    <w:link w:val="PlainText"/>
    <w:rsid w:val="006C069E"/>
    <w:rPr>
      <w:rFonts w:ascii="Courier New" w:hAnsi="Courier New" w:cs="Courier New"/>
    </w:rPr>
  </w:style>
  <w:style w:type="paragraph" w:styleId="E-mailSignature">
    <w:name w:val="E-mail Signature"/>
    <w:basedOn w:val="Normal"/>
    <w:link w:val="E-mailSignatureChar"/>
    <w:rsid w:val="006C069E"/>
  </w:style>
  <w:style w:type="character" w:customStyle="1" w:styleId="E-mailSignatureChar">
    <w:name w:val="E-mail Signature Char"/>
    <w:basedOn w:val="DefaultParagraphFont"/>
    <w:link w:val="E-mailSignature"/>
    <w:rsid w:val="006C069E"/>
    <w:rPr>
      <w:sz w:val="22"/>
    </w:rPr>
  </w:style>
  <w:style w:type="paragraph" w:styleId="NormalWeb">
    <w:name w:val="Normal (Web)"/>
    <w:basedOn w:val="Normal"/>
    <w:rsid w:val="006C069E"/>
  </w:style>
  <w:style w:type="character" w:styleId="HTMLAcronym">
    <w:name w:val="HTML Acronym"/>
    <w:basedOn w:val="DefaultParagraphFont"/>
    <w:rsid w:val="006C069E"/>
  </w:style>
  <w:style w:type="paragraph" w:styleId="HTMLAddress">
    <w:name w:val="HTML Address"/>
    <w:basedOn w:val="Normal"/>
    <w:link w:val="HTMLAddressChar"/>
    <w:rsid w:val="006C069E"/>
    <w:rPr>
      <w:i/>
      <w:iCs/>
    </w:rPr>
  </w:style>
  <w:style w:type="character" w:customStyle="1" w:styleId="HTMLAddressChar">
    <w:name w:val="HTML Address Char"/>
    <w:basedOn w:val="DefaultParagraphFont"/>
    <w:link w:val="HTMLAddress"/>
    <w:rsid w:val="006C069E"/>
    <w:rPr>
      <w:i/>
      <w:iCs/>
      <w:sz w:val="22"/>
    </w:rPr>
  </w:style>
  <w:style w:type="character" w:styleId="HTMLCite">
    <w:name w:val="HTML Cite"/>
    <w:basedOn w:val="DefaultParagraphFont"/>
    <w:rsid w:val="006C069E"/>
    <w:rPr>
      <w:i/>
      <w:iCs/>
    </w:rPr>
  </w:style>
  <w:style w:type="character" w:styleId="HTMLCode">
    <w:name w:val="HTML Code"/>
    <w:basedOn w:val="DefaultParagraphFont"/>
    <w:rsid w:val="006C069E"/>
    <w:rPr>
      <w:rFonts w:ascii="Courier New" w:hAnsi="Courier New" w:cs="Courier New"/>
      <w:sz w:val="20"/>
      <w:szCs w:val="20"/>
    </w:rPr>
  </w:style>
  <w:style w:type="character" w:styleId="HTMLDefinition">
    <w:name w:val="HTML Definition"/>
    <w:basedOn w:val="DefaultParagraphFont"/>
    <w:rsid w:val="006C069E"/>
    <w:rPr>
      <w:i/>
      <w:iCs/>
    </w:rPr>
  </w:style>
  <w:style w:type="character" w:styleId="HTMLKeyboard">
    <w:name w:val="HTML Keyboard"/>
    <w:basedOn w:val="DefaultParagraphFont"/>
    <w:rsid w:val="006C069E"/>
    <w:rPr>
      <w:rFonts w:ascii="Courier New" w:hAnsi="Courier New" w:cs="Courier New"/>
      <w:sz w:val="20"/>
      <w:szCs w:val="20"/>
    </w:rPr>
  </w:style>
  <w:style w:type="paragraph" w:styleId="HTMLPreformatted">
    <w:name w:val="HTML Preformatted"/>
    <w:basedOn w:val="Normal"/>
    <w:link w:val="HTMLPreformattedChar"/>
    <w:rsid w:val="006C069E"/>
    <w:rPr>
      <w:rFonts w:ascii="Courier New" w:hAnsi="Courier New" w:cs="Courier New"/>
      <w:sz w:val="20"/>
    </w:rPr>
  </w:style>
  <w:style w:type="character" w:customStyle="1" w:styleId="HTMLPreformattedChar">
    <w:name w:val="HTML Preformatted Char"/>
    <w:basedOn w:val="DefaultParagraphFont"/>
    <w:link w:val="HTMLPreformatted"/>
    <w:rsid w:val="006C069E"/>
    <w:rPr>
      <w:rFonts w:ascii="Courier New" w:hAnsi="Courier New" w:cs="Courier New"/>
    </w:rPr>
  </w:style>
  <w:style w:type="character" w:styleId="HTMLSample">
    <w:name w:val="HTML Sample"/>
    <w:basedOn w:val="DefaultParagraphFont"/>
    <w:rsid w:val="006C069E"/>
    <w:rPr>
      <w:rFonts w:ascii="Courier New" w:hAnsi="Courier New" w:cs="Courier New"/>
    </w:rPr>
  </w:style>
  <w:style w:type="character" w:styleId="HTMLTypewriter">
    <w:name w:val="HTML Typewriter"/>
    <w:basedOn w:val="DefaultParagraphFont"/>
    <w:rsid w:val="006C069E"/>
    <w:rPr>
      <w:rFonts w:ascii="Courier New" w:hAnsi="Courier New" w:cs="Courier New"/>
      <w:sz w:val="20"/>
      <w:szCs w:val="20"/>
    </w:rPr>
  </w:style>
  <w:style w:type="character" w:styleId="HTMLVariable">
    <w:name w:val="HTML Variable"/>
    <w:basedOn w:val="DefaultParagraphFont"/>
    <w:rsid w:val="006C069E"/>
    <w:rPr>
      <w:i/>
      <w:iCs/>
    </w:rPr>
  </w:style>
  <w:style w:type="paragraph" w:styleId="CommentSubject">
    <w:name w:val="annotation subject"/>
    <w:basedOn w:val="CommentText"/>
    <w:next w:val="CommentText"/>
    <w:link w:val="CommentSubjectChar"/>
    <w:rsid w:val="006C069E"/>
    <w:rPr>
      <w:b/>
      <w:bCs/>
    </w:rPr>
  </w:style>
  <w:style w:type="character" w:customStyle="1" w:styleId="CommentSubjectChar">
    <w:name w:val="Comment Subject Char"/>
    <w:basedOn w:val="CommentTextChar"/>
    <w:link w:val="CommentSubject"/>
    <w:rsid w:val="006C069E"/>
    <w:rPr>
      <w:b/>
      <w:bCs/>
    </w:rPr>
  </w:style>
  <w:style w:type="numbering" w:styleId="1ai">
    <w:name w:val="Outline List 1"/>
    <w:basedOn w:val="NoList"/>
    <w:rsid w:val="006C069E"/>
    <w:pPr>
      <w:numPr>
        <w:numId w:val="14"/>
      </w:numPr>
    </w:pPr>
  </w:style>
  <w:style w:type="numbering" w:styleId="111111">
    <w:name w:val="Outline List 2"/>
    <w:basedOn w:val="NoList"/>
    <w:rsid w:val="006C069E"/>
    <w:pPr>
      <w:numPr>
        <w:numId w:val="15"/>
      </w:numPr>
    </w:pPr>
  </w:style>
  <w:style w:type="numbering" w:styleId="ArticleSection">
    <w:name w:val="Outline List 3"/>
    <w:basedOn w:val="NoList"/>
    <w:rsid w:val="006C069E"/>
    <w:pPr>
      <w:numPr>
        <w:numId w:val="17"/>
      </w:numPr>
    </w:pPr>
  </w:style>
  <w:style w:type="table" w:styleId="TableSimple1">
    <w:name w:val="Table Simple 1"/>
    <w:basedOn w:val="TableNormal"/>
    <w:rsid w:val="006C069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069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06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C06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06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069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069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069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069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069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069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069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069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069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069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C06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069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069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069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06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06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069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069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069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069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069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06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06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06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069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06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C069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069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069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C069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069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C06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069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069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C069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069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069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C069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C069E"/>
    <w:rPr>
      <w:rFonts w:eastAsia="Times New Roman" w:cs="Times New Roman"/>
      <w:b/>
      <w:kern w:val="28"/>
      <w:sz w:val="24"/>
      <w:lang w:eastAsia="en-AU"/>
    </w:rPr>
  </w:style>
  <w:style w:type="paragraph" w:customStyle="1" w:styleId="ETAsubitem">
    <w:name w:val="ETA(subitem)"/>
    <w:basedOn w:val="OPCParaBase"/>
    <w:rsid w:val="006C069E"/>
    <w:pPr>
      <w:tabs>
        <w:tab w:val="right" w:pos="340"/>
      </w:tabs>
      <w:spacing w:before="60" w:line="240" w:lineRule="auto"/>
      <w:ind w:left="454" w:hanging="454"/>
    </w:pPr>
    <w:rPr>
      <w:sz w:val="20"/>
    </w:rPr>
  </w:style>
  <w:style w:type="paragraph" w:customStyle="1" w:styleId="ETApara">
    <w:name w:val="ETA(para)"/>
    <w:basedOn w:val="OPCParaBase"/>
    <w:rsid w:val="006C069E"/>
    <w:pPr>
      <w:tabs>
        <w:tab w:val="right" w:pos="754"/>
      </w:tabs>
      <w:spacing w:before="60" w:line="240" w:lineRule="auto"/>
      <w:ind w:left="828" w:hanging="828"/>
    </w:pPr>
    <w:rPr>
      <w:sz w:val="20"/>
    </w:rPr>
  </w:style>
  <w:style w:type="paragraph" w:customStyle="1" w:styleId="ETAsubpara">
    <w:name w:val="ETA(subpara)"/>
    <w:basedOn w:val="OPCParaBase"/>
    <w:rsid w:val="006C069E"/>
    <w:pPr>
      <w:tabs>
        <w:tab w:val="right" w:pos="1083"/>
      </w:tabs>
      <w:spacing w:before="60" w:line="240" w:lineRule="auto"/>
      <w:ind w:left="1191" w:hanging="1191"/>
    </w:pPr>
    <w:rPr>
      <w:sz w:val="20"/>
    </w:rPr>
  </w:style>
  <w:style w:type="paragraph" w:customStyle="1" w:styleId="ETAsub-subpara">
    <w:name w:val="ETA(sub-subpara)"/>
    <w:basedOn w:val="OPCParaBase"/>
    <w:rsid w:val="006C069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C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2397">
      <w:bodyDiv w:val="1"/>
      <w:marLeft w:val="0"/>
      <w:marRight w:val="0"/>
      <w:marTop w:val="0"/>
      <w:marBottom w:val="0"/>
      <w:divBdr>
        <w:top w:val="none" w:sz="0" w:space="0" w:color="auto"/>
        <w:left w:val="none" w:sz="0" w:space="0" w:color="auto"/>
        <w:bottom w:val="none" w:sz="0" w:space="0" w:color="auto"/>
        <w:right w:val="none" w:sz="0" w:space="0" w:color="auto"/>
      </w:divBdr>
      <w:divsChild>
        <w:div w:id="1981763874">
          <w:marLeft w:val="0"/>
          <w:marRight w:val="0"/>
          <w:marTop w:val="0"/>
          <w:marBottom w:val="0"/>
          <w:divBdr>
            <w:top w:val="none" w:sz="0" w:space="0" w:color="auto"/>
            <w:left w:val="none" w:sz="0" w:space="0" w:color="auto"/>
            <w:bottom w:val="none" w:sz="0" w:space="0" w:color="auto"/>
            <w:right w:val="none" w:sz="0" w:space="0" w:color="auto"/>
          </w:divBdr>
          <w:divsChild>
            <w:div w:id="1081415491">
              <w:marLeft w:val="0"/>
              <w:marRight w:val="0"/>
              <w:marTop w:val="0"/>
              <w:marBottom w:val="0"/>
              <w:divBdr>
                <w:top w:val="none" w:sz="0" w:space="0" w:color="auto"/>
                <w:left w:val="none" w:sz="0" w:space="0" w:color="auto"/>
                <w:bottom w:val="none" w:sz="0" w:space="0" w:color="auto"/>
                <w:right w:val="none" w:sz="0" w:space="0" w:color="auto"/>
              </w:divBdr>
              <w:divsChild>
                <w:div w:id="813789644">
                  <w:marLeft w:val="0"/>
                  <w:marRight w:val="0"/>
                  <w:marTop w:val="0"/>
                  <w:marBottom w:val="0"/>
                  <w:divBdr>
                    <w:top w:val="none" w:sz="0" w:space="0" w:color="auto"/>
                    <w:left w:val="none" w:sz="0" w:space="0" w:color="auto"/>
                    <w:bottom w:val="none" w:sz="0" w:space="0" w:color="auto"/>
                    <w:right w:val="none" w:sz="0" w:space="0" w:color="auto"/>
                  </w:divBdr>
                  <w:divsChild>
                    <w:div w:id="2052613458">
                      <w:marLeft w:val="0"/>
                      <w:marRight w:val="0"/>
                      <w:marTop w:val="0"/>
                      <w:marBottom w:val="0"/>
                      <w:divBdr>
                        <w:top w:val="none" w:sz="0" w:space="0" w:color="auto"/>
                        <w:left w:val="none" w:sz="0" w:space="0" w:color="auto"/>
                        <w:bottom w:val="none" w:sz="0" w:space="0" w:color="auto"/>
                        <w:right w:val="none" w:sz="0" w:space="0" w:color="auto"/>
                      </w:divBdr>
                      <w:divsChild>
                        <w:div w:id="489294808">
                          <w:marLeft w:val="0"/>
                          <w:marRight w:val="0"/>
                          <w:marTop w:val="0"/>
                          <w:marBottom w:val="0"/>
                          <w:divBdr>
                            <w:top w:val="none" w:sz="0" w:space="0" w:color="auto"/>
                            <w:left w:val="none" w:sz="0" w:space="0" w:color="auto"/>
                            <w:bottom w:val="none" w:sz="0" w:space="0" w:color="auto"/>
                            <w:right w:val="none" w:sz="0" w:space="0" w:color="auto"/>
                          </w:divBdr>
                          <w:divsChild>
                            <w:div w:id="790711175">
                              <w:marLeft w:val="0"/>
                              <w:marRight w:val="0"/>
                              <w:marTop w:val="0"/>
                              <w:marBottom w:val="0"/>
                              <w:divBdr>
                                <w:top w:val="none" w:sz="0" w:space="0" w:color="auto"/>
                                <w:left w:val="none" w:sz="0" w:space="0" w:color="auto"/>
                                <w:bottom w:val="none" w:sz="0" w:space="0" w:color="auto"/>
                                <w:right w:val="none" w:sz="0" w:space="0" w:color="auto"/>
                              </w:divBdr>
                              <w:divsChild>
                                <w:div w:id="341469699">
                                  <w:marLeft w:val="0"/>
                                  <w:marRight w:val="0"/>
                                  <w:marTop w:val="0"/>
                                  <w:marBottom w:val="0"/>
                                  <w:divBdr>
                                    <w:top w:val="none" w:sz="0" w:space="0" w:color="auto"/>
                                    <w:left w:val="none" w:sz="0" w:space="0" w:color="auto"/>
                                    <w:bottom w:val="none" w:sz="0" w:space="0" w:color="auto"/>
                                    <w:right w:val="none" w:sz="0" w:space="0" w:color="auto"/>
                                  </w:divBdr>
                                  <w:divsChild>
                                    <w:div w:id="12607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7332">
      <w:bodyDiv w:val="1"/>
      <w:marLeft w:val="0"/>
      <w:marRight w:val="0"/>
      <w:marTop w:val="0"/>
      <w:marBottom w:val="0"/>
      <w:divBdr>
        <w:top w:val="none" w:sz="0" w:space="0" w:color="auto"/>
        <w:left w:val="none" w:sz="0" w:space="0" w:color="auto"/>
        <w:bottom w:val="none" w:sz="0" w:space="0" w:color="auto"/>
        <w:right w:val="none" w:sz="0" w:space="0" w:color="auto"/>
      </w:divBdr>
      <w:divsChild>
        <w:div w:id="1320159041">
          <w:marLeft w:val="0"/>
          <w:marRight w:val="0"/>
          <w:marTop w:val="0"/>
          <w:marBottom w:val="0"/>
          <w:divBdr>
            <w:top w:val="none" w:sz="0" w:space="0" w:color="auto"/>
            <w:left w:val="none" w:sz="0" w:space="0" w:color="auto"/>
            <w:bottom w:val="none" w:sz="0" w:space="0" w:color="auto"/>
            <w:right w:val="none" w:sz="0" w:space="0" w:color="auto"/>
          </w:divBdr>
          <w:divsChild>
            <w:div w:id="999769058">
              <w:marLeft w:val="0"/>
              <w:marRight w:val="0"/>
              <w:marTop w:val="0"/>
              <w:marBottom w:val="0"/>
              <w:divBdr>
                <w:top w:val="none" w:sz="0" w:space="0" w:color="auto"/>
                <w:left w:val="none" w:sz="0" w:space="0" w:color="auto"/>
                <w:bottom w:val="none" w:sz="0" w:space="0" w:color="auto"/>
                <w:right w:val="none" w:sz="0" w:space="0" w:color="auto"/>
              </w:divBdr>
              <w:divsChild>
                <w:div w:id="87430681">
                  <w:marLeft w:val="0"/>
                  <w:marRight w:val="0"/>
                  <w:marTop w:val="0"/>
                  <w:marBottom w:val="0"/>
                  <w:divBdr>
                    <w:top w:val="none" w:sz="0" w:space="0" w:color="auto"/>
                    <w:left w:val="none" w:sz="0" w:space="0" w:color="auto"/>
                    <w:bottom w:val="none" w:sz="0" w:space="0" w:color="auto"/>
                    <w:right w:val="none" w:sz="0" w:space="0" w:color="auto"/>
                  </w:divBdr>
                  <w:divsChild>
                    <w:div w:id="1572304701">
                      <w:marLeft w:val="0"/>
                      <w:marRight w:val="0"/>
                      <w:marTop w:val="0"/>
                      <w:marBottom w:val="0"/>
                      <w:divBdr>
                        <w:top w:val="none" w:sz="0" w:space="0" w:color="auto"/>
                        <w:left w:val="none" w:sz="0" w:space="0" w:color="auto"/>
                        <w:bottom w:val="none" w:sz="0" w:space="0" w:color="auto"/>
                        <w:right w:val="none" w:sz="0" w:space="0" w:color="auto"/>
                      </w:divBdr>
                      <w:divsChild>
                        <w:div w:id="1231965095">
                          <w:marLeft w:val="0"/>
                          <w:marRight w:val="0"/>
                          <w:marTop w:val="0"/>
                          <w:marBottom w:val="0"/>
                          <w:divBdr>
                            <w:top w:val="none" w:sz="0" w:space="0" w:color="auto"/>
                            <w:left w:val="none" w:sz="0" w:space="0" w:color="auto"/>
                            <w:bottom w:val="none" w:sz="0" w:space="0" w:color="auto"/>
                            <w:right w:val="none" w:sz="0" w:space="0" w:color="auto"/>
                          </w:divBdr>
                          <w:divsChild>
                            <w:div w:id="364599284">
                              <w:marLeft w:val="0"/>
                              <w:marRight w:val="0"/>
                              <w:marTop w:val="0"/>
                              <w:marBottom w:val="0"/>
                              <w:divBdr>
                                <w:top w:val="none" w:sz="0" w:space="0" w:color="auto"/>
                                <w:left w:val="none" w:sz="0" w:space="0" w:color="auto"/>
                                <w:bottom w:val="none" w:sz="0" w:space="0" w:color="auto"/>
                                <w:right w:val="none" w:sz="0" w:space="0" w:color="auto"/>
                              </w:divBdr>
                              <w:divsChild>
                                <w:div w:id="1379628021">
                                  <w:marLeft w:val="0"/>
                                  <w:marRight w:val="0"/>
                                  <w:marTop w:val="0"/>
                                  <w:marBottom w:val="0"/>
                                  <w:divBdr>
                                    <w:top w:val="none" w:sz="0" w:space="0" w:color="auto"/>
                                    <w:left w:val="none" w:sz="0" w:space="0" w:color="auto"/>
                                    <w:bottom w:val="none" w:sz="0" w:space="0" w:color="auto"/>
                                    <w:right w:val="none" w:sz="0" w:space="0" w:color="auto"/>
                                  </w:divBdr>
                                  <w:divsChild>
                                    <w:div w:id="120848706">
                                      <w:marLeft w:val="0"/>
                                      <w:marRight w:val="0"/>
                                      <w:marTop w:val="0"/>
                                      <w:marBottom w:val="0"/>
                                      <w:divBdr>
                                        <w:top w:val="none" w:sz="0" w:space="0" w:color="auto"/>
                                        <w:left w:val="none" w:sz="0" w:space="0" w:color="auto"/>
                                        <w:bottom w:val="none" w:sz="0" w:space="0" w:color="auto"/>
                                        <w:right w:val="none" w:sz="0" w:space="0" w:color="auto"/>
                                      </w:divBdr>
                                      <w:divsChild>
                                        <w:div w:id="1805928667">
                                          <w:marLeft w:val="0"/>
                                          <w:marRight w:val="0"/>
                                          <w:marTop w:val="0"/>
                                          <w:marBottom w:val="0"/>
                                          <w:divBdr>
                                            <w:top w:val="none" w:sz="0" w:space="0" w:color="auto"/>
                                            <w:left w:val="none" w:sz="0" w:space="0" w:color="auto"/>
                                            <w:bottom w:val="none" w:sz="0" w:space="0" w:color="auto"/>
                                            <w:right w:val="none" w:sz="0" w:space="0" w:color="auto"/>
                                          </w:divBdr>
                                          <w:divsChild>
                                            <w:div w:id="906381797">
                                              <w:marLeft w:val="0"/>
                                              <w:marRight w:val="0"/>
                                              <w:marTop w:val="0"/>
                                              <w:marBottom w:val="0"/>
                                              <w:divBdr>
                                                <w:top w:val="none" w:sz="0" w:space="0" w:color="auto"/>
                                                <w:left w:val="none" w:sz="0" w:space="0" w:color="auto"/>
                                                <w:bottom w:val="none" w:sz="0" w:space="0" w:color="auto"/>
                                                <w:right w:val="none" w:sz="0" w:space="0" w:color="auto"/>
                                              </w:divBdr>
                                              <w:divsChild>
                                                <w:div w:id="1116027232">
                                                  <w:marLeft w:val="0"/>
                                                  <w:marRight w:val="0"/>
                                                  <w:marTop w:val="0"/>
                                                  <w:marBottom w:val="0"/>
                                                  <w:divBdr>
                                                    <w:top w:val="none" w:sz="0" w:space="0" w:color="auto"/>
                                                    <w:left w:val="none" w:sz="0" w:space="0" w:color="auto"/>
                                                    <w:bottom w:val="none" w:sz="0" w:space="0" w:color="auto"/>
                                                    <w:right w:val="none" w:sz="0" w:space="0" w:color="auto"/>
                                                  </w:divBdr>
                                                  <w:divsChild>
                                                    <w:div w:id="961576540">
                                                      <w:marLeft w:val="0"/>
                                                      <w:marRight w:val="0"/>
                                                      <w:marTop w:val="0"/>
                                                      <w:marBottom w:val="0"/>
                                                      <w:divBdr>
                                                        <w:top w:val="none" w:sz="0" w:space="0" w:color="auto"/>
                                                        <w:left w:val="none" w:sz="0" w:space="0" w:color="auto"/>
                                                        <w:bottom w:val="none" w:sz="0" w:space="0" w:color="auto"/>
                                                        <w:right w:val="none" w:sz="0" w:space="0" w:color="auto"/>
                                                      </w:divBdr>
                                                      <w:divsChild>
                                                        <w:div w:id="13218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589489">
      <w:bodyDiv w:val="1"/>
      <w:marLeft w:val="0"/>
      <w:marRight w:val="0"/>
      <w:marTop w:val="0"/>
      <w:marBottom w:val="0"/>
      <w:divBdr>
        <w:top w:val="none" w:sz="0" w:space="0" w:color="auto"/>
        <w:left w:val="none" w:sz="0" w:space="0" w:color="auto"/>
        <w:bottom w:val="none" w:sz="0" w:space="0" w:color="auto"/>
        <w:right w:val="none" w:sz="0" w:space="0" w:color="auto"/>
      </w:divBdr>
      <w:divsChild>
        <w:div w:id="615406895">
          <w:marLeft w:val="0"/>
          <w:marRight w:val="0"/>
          <w:marTop w:val="0"/>
          <w:marBottom w:val="0"/>
          <w:divBdr>
            <w:top w:val="none" w:sz="0" w:space="0" w:color="auto"/>
            <w:left w:val="none" w:sz="0" w:space="0" w:color="auto"/>
            <w:bottom w:val="none" w:sz="0" w:space="0" w:color="auto"/>
            <w:right w:val="none" w:sz="0" w:space="0" w:color="auto"/>
          </w:divBdr>
          <w:divsChild>
            <w:div w:id="725223185">
              <w:marLeft w:val="0"/>
              <w:marRight w:val="0"/>
              <w:marTop w:val="0"/>
              <w:marBottom w:val="0"/>
              <w:divBdr>
                <w:top w:val="none" w:sz="0" w:space="0" w:color="auto"/>
                <w:left w:val="none" w:sz="0" w:space="0" w:color="auto"/>
                <w:bottom w:val="none" w:sz="0" w:space="0" w:color="auto"/>
                <w:right w:val="none" w:sz="0" w:space="0" w:color="auto"/>
              </w:divBdr>
              <w:divsChild>
                <w:div w:id="802042411">
                  <w:marLeft w:val="0"/>
                  <w:marRight w:val="0"/>
                  <w:marTop w:val="0"/>
                  <w:marBottom w:val="0"/>
                  <w:divBdr>
                    <w:top w:val="none" w:sz="0" w:space="0" w:color="auto"/>
                    <w:left w:val="none" w:sz="0" w:space="0" w:color="auto"/>
                    <w:bottom w:val="none" w:sz="0" w:space="0" w:color="auto"/>
                    <w:right w:val="none" w:sz="0" w:space="0" w:color="auto"/>
                  </w:divBdr>
                  <w:divsChild>
                    <w:div w:id="939799613">
                      <w:marLeft w:val="0"/>
                      <w:marRight w:val="0"/>
                      <w:marTop w:val="0"/>
                      <w:marBottom w:val="0"/>
                      <w:divBdr>
                        <w:top w:val="none" w:sz="0" w:space="0" w:color="auto"/>
                        <w:left w:val="none" w:sz="0" w:space="0" w:color="auto"/>
                        <w:bottom w:val="none" w:sz="0" w:space="0" w:color="auto"/>
                        <w:right w:val="none" w:sz="0" w:space="0" w:color="auto"/>
                      </w:divBdr>
                      <w:divsChild>
                        <w:div w:id="1787850458">
                          <w:marLeft w:val="0"/>
                          <w:marRight w:val="0"/>
                          <w:marTop w:val="0"/>
                          <w:marBottom w:val="0"/>
                          <w:divBdr>
                            <w:top w:val="none" w:sz="0" w:space="0" w:color="auto"/>
                            <w:left w:val="none" w:sz="0" w:space="0" w:color="auto"/>
                            <w:bottom w:val="none" w:sz="0" w:space="0" w:color="auto"/>
                            <w:right w:val="none" w:sz="0" w:space="0" w:color="auto"/>
                          </w:divBdr>
                          <w:divsChild>
                            <w:div w:id="2063557178">
                              <w:marLeft w:val="0"/>
                              <w:marRight w:val="0"/>
                              <w:marTop w:val="0"/>
                              <w:marBottom w:val="0"/>
                              <w:divBdr>
                                <w:top w:val="none" w:sz="0" w:space="0" w:color="auto"/>
                                <w:left w:val="none" w:sz="0" w:space="0" w:color="auto"/>
                                <w:bottom w:val="none" w:sz="0" w:space="0" w:color="auto"/>
                                <w:right w:val="none" w:sz="0" w:space="0" w:color="auto"/>
                              </w:divBdr>
                              <w:divsChild>
                                <w:div w:id="731002090">
                                  <w:marLeft w:val="0"/>
                                  <w:marRight w:val="0"/>
                                  <w:marTop w:val="0"/>
                                  <w:marBottom w:val="0"/>
                                  <w:divBdr>
                                    <w:top w:val="none" w:sz="0" w:space="0" w:color="auto"/>
                                    <w:left w:val="none" w:sz="0" w:space="0" w:color="auto"/>
                                    <w:bottom w:val="none" w:sz="0" w:space="0" w:color="auto"/>
                                    <w:right w:val="none" w:sz="0" w:space="0" w:color="auto"/>
                                  </w:divBdr>
                                  <w:divsChild>
                                    <w:div w:id="548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footer" Target="footer6.xml"/><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header" Target="header9.xml"/><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eader" Target="header8.xm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wmf"/><Relationship Id="rId41" Type="http://schemas.openxmlformats.org/officeDocument/2006/relationships/footer" Target="footer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header" Target="header7.xml"/><Relationship Id="rId40" Type="http://schemas.openxmlformats.org/officeDocument/2006/relationships/footer" Target="footer7.xml"/><Relationship Id="rId45" Type="http://schemas.openxmlformats.org/officeDocument/2006/relationships/footer" Target="footer10.xml"/><Relationship Id="rId53"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footer" Target="footer9.xml"/><Relationship Id="rId52"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header" Target="header10.xml"/><Relationship Id="rId48" Type="http://schemas.openxmlformats.org/officeDocument/2006/relationships/header" Target="header12.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54EE-7245-4508-8025-0A416FDC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24</Pages>
  <Words>5562</Words>
  <Characters>31710</Characters>
  <Application>Microsoft Office Word</Application>
  <DocSecurity>0</DocSecurity>
  <PresentationFormat/>
  <Lines>264</Lines>
  <Paragraphs>74</Paragraphs>
  <ScaleCrop>false</ScaleCrop>
  <HeadingPairs>
    <vt:vector size="2" baseType="variant">
      <vt:variant>
        <vt:lpstr>Title</vt:lpstr>
      </vt:variant>
      <vt:variant>
        <vt:i4>1</vt:i4>
      </vt:variant>
    </vt:vector>
  </HeadingPairs>
  <TitlesOfParts>
    <vt:vector size="1" baseType="lpstr">
      <vt:lpstr>Superannuation Guarantee (Administration) Regulations 2018</vt:lpstr>
    </vt:vector>
  </TitlesOfParts>
  <LinksUpToDate>false</LinksUpToDate>
  <CharactersWithSpaces>37198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2018-09-03T07:09:00Z</cp:lastPrinted>
  <dcterms:created xsi:type="dcterms:W3CDTF">2018-09-13T23:30:00Z</dcterms:created>
  <dcterms:modified xsi:type="dcterms:W3CDTF">2018-09-13T23:31:00Z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Superannuation Guarantee (Administration)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13 September 2018</vt:lpwstr>
  </property>
  <property fmtid="{D5CDD505-2E9C-101B-9397-08002B2CF9AE}" pid="10" name="Authority">
    <vt:lpwstr/>
  </property>
  <property fmtid="{D5CDD505-2E9C-101B-9397-08002B2CF9AE}" pid="11" name="ID">
    <vt:lpwstr>OPC63191</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y fmtid="{D5CDD505-2E9C-101B-9397-08002B2CF9AE}" pid="18" name="ExcoDate">
    <vt:lpwstr>13 September 2018</vt:lpwstr>
  </property>
</Properties>
</file>