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ja-JP"/>
        </w:rPr>
        <w:drawing>
          <wp:inline distT="0" distB="0" distL="0" distR="0" wp14:anchorId="301FCE73" wp14:editId="4F3FD7D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Default="00B659A4" w:rsidP="00554826">
      <w:pPr>
        <w:pStyle w:val="ShortT"/>
      </w:pPr>
      <w:r>
        <w:t xml:space="preserve">Private Health Insurance </w:t>
      </w:r>
      <w:r w:rsidR="00554826">
        <w:t>(</w:t>
      </w:r>
      <w:r w:rsidR="00764662">
        <w:t xml:space="preserve">Complying Product) </w:t>
      </w:r>
      <w:r w:rsidR="00CB5B2E">
        <w:t xml:space="preserve">Amendment </w:t>
      </w:r>
      <w:r w:rsidR="00E43A67" w:rsidRPr="0072335E">
        <w:t>(</w:t>
      </w:r>
      <w:r w:rsidR="000947E4" w:rsidRPr="00647203">
        <w:t xml:space="preserve">Terminating </w:t>
      </w:r>
      <w:r w:rsidR="00E43A67" w:rsidRPr="0072335E">
        <w:t xml:space="preserve">Products) </w:t>
      </w:r>
      <w:r>
        <w:t>Rule</w:t>
      </w:r>
      <w:r w:rsidR="00CB5B2E">
        <w:t>s</w:t>
      </w:r>
      <w:r>
        <w:t xml:space="preserve"> 2018</w:t>
      </w:r>
    </w:p>
    <w:p w:rsidR="00B66018" w:rsidRDefault="00B66018" w:rsidP="00554826">
      <w:pPr>
        <w:pStyle w:val="SignCoverPageStart"/>
        <w:spacing w:before="240"/>
        <w:ind w:right="91"/>
        <w:rPr>
          <w:szCs w:val="22"/>
        </w:rPr>
      </w:pPr>
    </w:p>
    <w:p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945B52">
        <w:rPr>
          <w:b/>
          <w:szCs w:val="22"/>
        </w:rPr>
        <w:t>SUSAN AZMI</w:t>
      </w:r>
      <w:r w:rsidRPr="00DA182D">
        <w:rPr>
          <w:szCs w:val="22"/>
        </w:rPr>
        <w:t xml:space="preserve">, </w:t>
      </w:r>
      <w:r w:rsidR="00B659A4">
        <w:rPr>
          <w:szCs w:val="22"/>
        </w:rPr>
        <w:t>delegate of the Minister for Health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B659A4">
        <w:rPr>
          <w:szCs w:val="22"/>
        </w:rPr>
        <w:t>rules</w:t>
      </w:r>
      <w:r w:rsidRPr="00DA182D">
        <w:rPr>
          <w:szCs w:val="22"/>
        </w:rPr>
        <w:t>.</w:t>
      </w:r>
    </w:p>
    <w:p w:rsidR="0072335E" w:rsidRDefault="0072335E" w:rsidP="0072335E">
      <w:pPr>
        <w:pStyle w:val="nDrafterComment"/>
        <w:rPr>
          <w:b/>
          <w:i/>
        </w:rPr>
      </w:pPr>
    </w:p>
    <w:p w:rsidR="00554826" w:rsidRPr="0064190B" w:rsidRDefault="00554826" w:rsidP="00554826">
      <w:pPr>
        <w:keepNext/>
        <w:spacing w:before="300" w:line="240" w:lineRule="atLeast"/>
        <w:ind w:right="397"/>
        <w:jc w:val="both"/>
        <w:rPr>
          <w:rFonts w:hint="eastAsia"/>
          <w:szCs w:val="22"/>
          <w:lang w:eastAsia="ja-JP"/>
        </w:rPr>
      </w:pPr>
      <w:r>
        <w:rPr>
          <w:szCs w:val="22"/>
        </w:rPr>
        <w:t>Dated</w:t>
      </w:r>
      <w:r w:rsidR="0064190B">
        <w:rPr>
          <w:rFonts w:hint="eastAsia"/>
          <w:szCs w:val="22"/>
          <w:lang w:eastAsia="ja-JP"/>
        </w:rPr>
        <w:t xml:space="preserve"> 14 </w:t>
      </w:r>
      <w:r w:rsidR="0064190B">
        <w:rPr>
          <w:szCs w:val="22"/>
          <w:lang w:eastAsia="ja-JP"/>
        </w:rPr>
        <w:t>September</w:t>
      </w:r>
      <w:r w:rsidR="0064190B">
        <w:rPr>
          <w:rFonts w:hint="eastAsia"/>
          <w:szCs w:val="22"/>
          <w:lang w:eastAsia="ja-JP"/>
        </w:rPr>
        <w:t xml:space="preserve"> 2018</w:t>
      </w:r>
      <w:bookmarkStart w:id="0" w:name="_GoBack"/>
      <w:bookmarkEnd w:id="0"/>
    </w:p>
    <w:p w:rsidR="0068201F" w:rsidRPr="00A34C1D" w:rsidRDefault="0068201F" w:rsidP="00A34C1D">
      <w:pPr>
        <w:pStyle w:val="nDrafterComment"/>
        <w:rPr>
          <w:szCs w:val="22"/>
        </w:rPr>
      </w:pPr>
    </w:p>
    <w:p w:rsidR="00554826" w:rsidRDefault="00945B52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b/>
          <w:szCs w:val="22"/>
        </w:rPr>
        <w:t>SUSAN AZMI</w:t>
      </w:r>
      <w:r w:rsidR="00554826" w:rsidRPr="00A75FE9">
        <w:rPr>
          <w:szCs w:val="22"/>
        </w:rPr>
        <w:t xml:space="preserve"> </w:t>
      </w:r>
    </w:p>
    <w:p w:rsidR="00554826" w:rsidRPr="008E0027" w:rsidRDefault="00B659A4" w:rsidP="00554826">
      <w:pPr>
        <w:pStyle w:val="SignCoverPageEnd"/>
        <w:ind w:right="91"/>
        <w:rPr>
          <w:sz w:val="22"/>
        </w:rPr>
      </w:pPr>
      <w:r>
        <w:rPr>
          <w:sz w:val="22"/>
        </w:rPr>
        <w:t>Delegate of the Minister for Health</w:t>
      </w:r>
    </w:p>
    <w:p w:rsidR="00554826" w:rsidRDefault="00554826" w:rsidP="00554826"/>
    <w:p w:rsidR="00554826" w:rsidRPr="00ED79B6" w:rsidRDefault="00554826" w:rsidP="00554826"/>
    <w:p w:rsidR="00F6696E" w:rsidRDefault="00F6696E" w:rsidP="00F6696E"/>
    <w:p w:rsidR="00F6696E" w:rsidRDefault="00F6696E" w:rsidP="00F6696E">
      <w:pPr>
        <w:sectPr w:rsidR="00F6696E" w:rsidSect="004F1BE1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764662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</w:rPr>
        <w:fldChar w:fldCharType="begin"/>
      </w:r>
      <w:r>
        <w:instrText xml:space="preserve"> TOC \o "1-9" </w:instrText>
      </w:r>
      <w:r>
        <w:rPr>
          <w:b/>
        </w:rPr>
        <w:fldChar w:fldCharType="separate"/>
      </w:r>
      <w:r w:rsidR="00764662">
        <w:rPr>
          <w:noProof/>
        </w:rPr>
        <w:t>1  Name</w:t>
      </w:r>
      <w:r w:rsidR="00764662">
        <w:rPr>
          <w:noProof/>
        </w:rPr>
        <w:tab/>
      </w:r>
      <w:r w:rsidR="00764662">
        <w:rPr>
          <w:noProof/>
        </w:rPr>
        <w:fldChar w:fldCharType="begin"/>
      </w:r>
      <w:r w:rsidR="00764662">
        <w:rPr>
          <w:noProof/>
        </w:rPr>
        <w:instrText xml:space="preserve"> PAGEREF _Toc513817936 \h </w:instrText>
      </w:r>
      <w:r w:rsidR="00764662">
        <w:rPr>
          <w:noProof/>
        </w:rPr>
      </w:r>
      <w:r w:rsidR="00764662">
        <w:rPr>
          <w:noProof/>
        </w:rPr>
        <w:fldChar w:fldCharType="separate"/>
      </w:r>
      <w:r w:rsidR="00B66018">
        <w:rPr>
          <w:noProof/>
        </w:rPr>
        <w:t>1</w:t>
      </w:r>
      <w:r w:rsidR="00764662">
        <w:rPr>
          <w:noProof/>
        </w:rPr>
        <w:fldChar w:fldCharType="end"/>
      </w:r>
    </w:p>
    <w:p w:rsidR="00764662" w:rsidRDefault="007646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_Toc513817937 \h </w:instrText>
      </w:r>
      <w:r>
        <w:rPr>
          <w:noProof/>
        </w:rPr>
      </w:r>
      <w:r>
        <w:rPr>
          <w:noProof/>
        </w:rPr>
        <w:fldChar w:fldCharType="separate"/>
      </w:r>
      <w:r w:rsidR="00B66018">
        <w:rPr>
          <w:noProof/>
        </w:rPr>
        <w:t>1</w:t>
      </w:r>
      <w:r>
        <w:rPr>
          <w:noProof/>
        </w:rPr>
        <w:fldChar w:fldCharType="end"/>
      </w:r>
    </w:p>
    <w:p w:rsidR="00764662" w:rsidRDefault="007646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_Toc513817938 \h </w:instrText>
      </w:r>
      <w:r>
        <w:rPr>
          <w:noProof/>
        </w:rPr>
      </w:r>
      <w:r>
        <w:rPr>
          <w:noProof/>
        </w:rPr>
        <w:fldChar w:fldCharType="separate"/>
      </w:r>
      <w:r w:rsidR="00B66018">
        <w:rPr>
          <w:noProof/>
        </w:rPr>
        <w:t>1</w:t>
      </w:r>
      <w:r>
        <w:rPr>
          <w:noProof/>
        </w:rPr>
        <w:fldChar w:fldCharType="end"/>
      </w:r>
    </w:p>
    <w:p w:rsidR="00764662" w:rsidRDefault="007646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_Toc513817939 \h </w:instrText>
      </w:r>
      <w:r>
        <w:rPr>
          <w:noProof/>
        </w:rPr>
      </w:r>
      <w:r>
        <w:rPr>
          <w:noProof/>
        </w:rPr>
        <w:fldChar w:fldCharType="separate"/>
      </w:r>
      <w:r w:rsidR="00B66018">
        <w:rPr>
          <w:noProof/>
        </w:rPr>
        <w:t>1</w:t>
      </w:r>
      <w:r>
        <w:rPr>
          <w:noProof/>
        </w:rPr>
        <w:fldChar w:fldCharType="end"/>
      </w:r>
    </w:p>
    <w:p w:rsidR="00764662" w:rsidRDefault="0076466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 xml:space="preserve">Schedule 1 </w:t>
      </w:r>
      <w:r w:rsidRPr="00700A67">
        <w:rPr>
          <w:noProof/>
          <w:color w:val="000000" w:themeColor="text1"/>
        </w:rPr>
        <w:t>—Terminating products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_Toc513817940 \h </w:instrText>
      </w:r>
      <w:r>
        <w:rPr>
          <w:noProof/>
        </w:rPr>
      </w:r>
      <w:r>
        <w:rPr>
          <w:noProof/>
        </w:rPr>
        <w:fldChar w:fldCharType="separate"/>
      </w:r>
      <w:r w:rsidR="00B66018">
        <w:rPr>
          <w:noProof/>
        </w:rPr>
        <w:t>2</w:t>
      </w:r>
      <w:r>
        <w:rPr>
          <w:noProof/>
        </w:rPr>
        <w:fldChar w:fldCharType="end"/>
      </w:r>
    </w:p>
    <w:p w:rsidR="008B1BE1" w:rsidRPr="004C3D5E" w:rsidRDefault="00B418CB" w:rsidP="004C3D5E">
      <w:pPr>
        <w:outlineLvl w:val="0"/>
      </w:pPr>
      <w:r>
        <w:fldChar w:fldCharType="end"/>
      </w:r>
    </w:p>
    <w:p w:rsidR="00F6696E" w:rsidRPr="008B1BE1" w:rsidRDefault="008B1BE1" w:rsidP="008B1BE1">
      <w:pPr>
        <w:tabs>
          <w:tab w:val="center" w:pos="4156"/>
        </w:tabs>
        <w:sectPr w:rsidR="00F6696E" w:rsidRPr="008B1BE1" w:rsidSect="003507D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tab/>
      </w:r>
    </w:p>
    <w:p w:rsidR="00554826" w:rsidRPr="00554826" w:rsidRDefault="001D0A72" w:rsidP="001D0A72">
      <w:pPr>
        <w:pStyle w:val="ActHead5"/>
      </w:pPr>
      <w:r>
        <w:lastRenderedPageBreak/>
        <w:fldChar w:fldCharType="begin"/>
      </w:r>
      <w:bookmarkStart w:id="1" w:name="_Ref511293646"/>
      <w:bookmarkEnd w:id="1"/>
      <w:r>
        <w:instrText xml:space="preserve">  LISTNUM "main numbering" \l 5 \* MERGEFORMAT </w:instrText>
      </w:r>
      <w:bookmarkStart w:id="2" w:name="_Toc513817936"/>
      <w:r>
        <w:fldChar w:fldCharType="end"/>
      </w:r>
      <w:r>
        <w:t xml:space="preserve">  </w:t>
      </w:r>
      <w:r w:rsidR="00554826" w:rsidRPr="00554826">
        <w:t>Name</w:t>
      </w:r>
      <w:bookmarkEnd w:id="2"/>
    </w:p>
    <w:p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A57A61" w:rsidRPr="00B659A4">
        <w:rPr>
          <w:i/>
        </w:rPr>
        <w:fldChar w:fldCharType="begin"/>
      </w:r>
      <w:r w:rsidR="00A57A61" w:rsidRPr="00B659A4">
        <w:rPr>
          <w:i/>
        </w:rPr>
        <w:instrText xml:space="preserve"> STYLEREF  ShortT </w:instrText>
      </w:r>
      <w:r w:rsidR="00A57A61" w:rsidRPr="00B659A4">
        <w:rPr>
          <w:i/>
        </w:rPr>
        <w:fldChar w:fldCharType="separate"/>
      </w:r>
      <w:r w:rsidR="00B66018">
        <w:rPr>
          <w:i/>
          <w:noProof/>
        </w:rPr>
        <w:t>Private Health Insurance (Complying Product) Amendment (Terminating Products) Rules 2018</w:t>
      </w:r>
      <w:r w:rsidR="00A57A61" w:rsidRPr="00B659A4">
        <w:rPr>
          <w:i/>
        </w:rPr>
        <w:fldChar w:fldCharType="end"/>
      </w:r>
      <w:r w:rsidRPr="009C2562">
        <w:t>.</w:t>
      </w:r>
    </w:p>
    <w:p w:rsidR="00554826" w:rsidRPr="00554826" w:rsidRDefault="00314493" w:rsidP="00314493">
      <w:pPr>
        <w:pStyle w:val="ActHead5"/>
      </w:pPr>
      <w:r>
        <w:fldChar w:fldCharType="begin"/>
      </w:r>
      <w:r>
        <w:instrText xml:space="preserve">  LISTNUM "main numbering" \l 5 \* MERGEFORMAT </w:instrText>
      </w:r>
      <w:bookmarkStart w:id="4" w:name="_Toc513817937"/>
      <w:r>
        <w:fldChar w:fldCharType="end"/>
      </w:r>
      <w:r>
        <w:t xml:space="preserve">  </w:t>
      </w:r>
      <w:r w:rsidR="00554826" w:rsidRPr="00554826">
        <w:t>Commencement</w:t>
      </w:r>
      <w:bookmarkEnd w:id="4"/>
    </w:p>
    <w:p w:rsidR="00E67AE3" w:rsidRPr="00DD4627" w:rsidRDefault="00E67AE3" w:rsidP="00E67AE3">
      <w:pPr>
        <w:pStyle w:val="subsection"/>
      </w:pPr>
      <w:r>
        <w:tab/>
      </w:r>
      <w:r>
        <w:fldChar w:fldCharType="begin"/>
      </w:r>
      <w:r>
        <w:instrText xml:space="preserve">  LISTNUM "main numbering" \l 6 \* MERGEFORMAT </w:instrText>
      </w:r>
      <w:r>
        <w:fldChar w:fldCharType="end"/>
      </w:r>
      <w:r>
        <w:tab/>
      </w:r>
      <w:r w:rsidRPr="00DD4627"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E67AE3" w:rsidRPr="00DD4627" w:rsidRDefault="00E67AE3" w:rsidP="00E67AE3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E67AE3" w:rsidRPr="008F68B7" w:rsidTr="00CE17B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E67AE3" w:rsidRPr="00DD4627" w:rsidRDefault="00E67AE3" w:rsidP="003507D2">
            <w:pPr>
              <w:pStyle w:val="TableHeading"/>
            </w:pPr>
            <w:r w:rsidRPr="00DD4627">
              <w:t>Commencement information</w:t>
            </w:r>
          </w:p>
        </w:tc>
      </w:tr>
      <w:tr w:rsidR="00E67AE3" w:rsidRPr="008F68B7" w:rsidTr="00CE17B7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67AE3" w:rsidRPr="00DD4627" w:rsidRDefault="00E67AE3" w:rsidP="003507D2">
            <w:pPr>
              <w:pStyle w:val="TableHeading"/>
            </w:pPr>
            <w:r w:rsidRPr="00DD4627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67AE3" w:rsidRPr="00DD4627" w:rsidRDefault="00E67AE3" w:rsidP="003507D2">
            <w:pPr>
              <w:pStyle w:val="TableHeading"/>
            </w:pPr>
            <w:r w:rsidRPr="00DD4627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67AE3" w:rsidRPr="00DD4627" w:rsidRDefault="00E67AE3" w:rsidP="003507D2">
            <w:pPr>
              <w:pStyle w:val="TableHeading"/>
            </w:pPr>
            <w:r w:rsidRPr="00DD4627">
              <w:t>Column 3</w:t>
            </w:r>
          </w:p>
        </w:tc>
      </w:tr>
      <w:tr w:rsidR="00E67AE3" w:rsidRPr="008F68B7" w:rsidTr="00CE17B7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67AE3" w:rsidRPr="00DD4627" w:rsidRDefault="00E67AE3" w:rsidP="003507D2">
            <w:pPr>
              <w:pStyle w:val="TableHeading"/>
            </w:pPr>
            <w:r w:rsidRPr="00DD4627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67AE3" w:rsidRPr="00DD4627" w:rsidRDefault="00E67AE3" w:rsidP="003507D2">
            <w:pPr>
              <w:pStyle w:val="TableHeading"/>
            </w:pPr>
            <w:r w:rsidRPr="00DD4627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67AE3" w:rsidRPr="00DD4627" w:rsidRDefault="00E67AE3" w:rsidP="003507D2">
            <w:pPr>
              <w:pStyle w:val="TableHeading"/>
            </w:pPr>
            <w:r w:rsidRPr="00DD4627">
              <w:t>Date/Details</w:t>
            </w:r>
          </w:p>
        </w:tc>
      </w:tr>
      <w:tr w:rsidR="00E67AE3" w:rsidRPr="008F68B7" w:rsidTr="00CE17B7">
        <w:tc>
          <w:tcPr>
            <w:tcW w:w="212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E67AE3" w:rsidRPr="00CE17B7" w:rsidRDefault="00CE17B7" w:rsidP="00CE17B7">
            <w:pPr>
              <w:pStyle w:val="Tabletext"/>
            </w:pPr>
            <w:r>
              <w:t xml:space="preserve">1.  </w:t>
            </w:r>
            <w:r w:rsidR="00E67AE3" w:rsidRPr="00CE17B7">
              <w:t>Sections</w:t>
            </w:r>
            <w:r w:rsidRPr="00CE17B7">
              <w:t xml:space="preserve"> </w:t>
            </w:r>
            <w:r w:rsidRPr="00CE17B7">
              <w:fldChar w:fldCharType="begin"/>
            </w:r>
            <w:r w:rsidRPr="00CE17B7">
              <w:instrText xml:space="preserve"> REF _Ref511293646 \n </w:instrText>
            </w:r>
            <w:r>
              <w:instrText xml:space="preserve"> \* MERGEFORMAT </w:instrText>
            </w:r>
            <w:r w:rsidRPr="00CE17B7">
              <w:fldChar w:fldCharType="separate"/>
            </w:r>
            <w:r w:rsidR="00B66018">
              <w:t>1</w:t>
            </w:r>
            <w:r w:rsidRPr="00CE17B7">
              <w:fldChar w:fldCharType="end"/>
            </w:r>
            <w:r w:rsidRPr="00CE17B7">
              <w:t xml:space="preserve"> to </w:t>
            </w:r>
            <w:r w:rsidRPr="00CE17B7">
              <w:fldChar w:fldCharType="begin"/>
            </w:r>
            <w:r w:rsidRPr="00CE17B7">
              <w:instrText xml:space="preserve"> REF _Ref511293656 \n </w:instrText>
            </w:r>
            <w:r>
              <w:instrText xml:space="preserve"> \* MERGEFORMAT </w:instrText>
            </w:r>
            <w:r w:rsidRPr="00CE17B7">
              <w:fldChar w:fldCharType="separate"/>
            </w:r>
            <w:r w:rsidR="00B66018">
              <w:t>4</w:t>
            </w:r>
            <w:r w:rsidRPr="00CE17B7">
              <w:fldChar w:fldCharType="end"/>
            </w:r>
            <w:r w:rsidRPr="00CE17B7">
              <w:t xml:space="preserve"> and anything in this instrument not elsewhere covered by this table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E67AE3" w:rsidRPr="00CE17B7" w:rsidRDefault="008A020F" w:rsidP="008A020F">
            <w:pPr>
              <w:pStyle w:val="Tabletext"/>
            </w:pPr>
            <w:r w:rsidRPr="00CE17B7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E67AE3" w:rsidRPr="00DD4627" w:rsidRDefault="00E67AE3" w:rsidP="003507D2">
            <w:pPr>
              <w:pStyle w:val="Tabletext"/>
            </w:pPr>
          </w:p>
        </w:tc>
      </w:tr>
      <w:tr w:rsidR="0009036D" w:rsidRPr="008F68B7" w:rsidTr="00CE17B7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9036D" w:rsidRDefault="00764662" w:rsidP="0009036D">
            <w:pPr>
              <w:pStyle w:val="Tabletext"/>
            </w:pPr>
            <w:r>
              <w:t>2</w:t>
            </w:r>
            <w:r w:rsidR="0009036D">
              <w:t xml:space="preserve">.  </w:t>
            </w:r>
            <w:fldSimple w:instr=" REF _Ref512846368 \n ">
              <w:r w:rsidR="00B66018">
                <w:t>Schedule 1</w:t>
              </w:r>
            </w:fldSimple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9036D" w:rsidRDefault="0009036D" w:rsidP="0009036D">
            <w:pPr>
              <w:pStyle w:val="Tabletext"/>
            </w:pPr>
            <w:r>
              <w:t xml:space="preserve">At the same time as Part 4 of Schedule 5 to the </w:t>
            </w:r>
            <w:r w:rsidRPr="00C5477E">
              <w:rPr>
                <w:i/>
              </w:rPr>
              <w:t>Private Health Insurance Legislation Amendment Act 2018</w:t>
            </w:r>
            <w:r>
              <w:t xml:space="preserve"> commences.</w:t>
            </w:r>
          </w:p>
          <w:p w:rsidR="0009036D" w:rsidRPr="004263BE" w:rsidRDefault="0009036D" w:rsidP="0009036D">
            <w:pPr>
              <w:pStyle w:val="Tabletext"/>
            </w:pPr>
            <w:r>
              <w:t>However, the provisions do not commence at all if that Part does not commence.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9036D" w:rsidRPr="00CE17B7" w:rsidRDefault="0009036D" w:rsidP="0009036D">
            <w:pPr>
              <w:pStyle w:val="Tabletext"/>
            </w:pPr>
          </w:p>
        </w:tc>
      </w:tr>
    </w:tbl>
    <w:p w:rsidR="00E67AE3" w:rsidRPr="00DD4627" w:rsidRDefault="00E67AE3" w:rsidP="00E67AE3">
      <w:pPr>
        <w:pStyle w:val="notetext"/>
      </w:pPr>
      <w:r w:rsidRPr="00DD4627">
        <w:rPr>
          <w:snapToGrid w:val="0"/>
          <w:lang w:eastAsia="en-US"/>
        </w:rPr>
        <w:t>Note:</w:t>
      </w:r>
      <w:r w:rsidRPr="00DD4627">
        <w:rPr>
          <w:snapToGrid w:val="0"/>
          <w:lang w:eastAsia="en-US"/>
        </w:rPr>
        <w:tab/>
        <w:t>This table relates only to the provisions of this instrument</w:t>
      </w:r>
      <w:r w:rsidRPr="00DD4627">
        <w:t xml:space="preserve"> </w:t>
      </w:r>
      <w:r w:rsidRPr="00DD4627">
        <w:rPr>
          <w:snapToGrid w:val="0"/>
          <w:lang w:eastAsia="en-US"/>
        </w:rPr>
        <w:t>as originally made. It will not be amended to deal with any later amendments of this instrument.</w:t>
      </w:r>
    </w:p>
    <w:p w:rsidR="00E67AE3" w:rsidRPr="00E67AE3" w:rsidRDefault="00E67AE3" w:rsidP="00554826">
      <w:pPr>
        <w:pStyle w:val="subsection"/>
        <w:rPr>
          <w:b/>
        </w:rPr>
      </w:pPr>
      <w:r>
        <w:tab/>
      </w:r>
      <w:r>
        <w:fldChar w:fldCharType="begin"/>
      </w:r>
      <w:r>
        <w:instrText xml:space="preserve">  LISTNUM "main numbering" \l 6 \* MERGEFORMAT </w:instrText>
      </w:r>
      <w:r>
        <w:fldChar w:fldCharType="end"/>
      </w:r>
      <w:r>
        <w:tab/>
      </w:r>
      <w:r w:rsidRPr="00DD4627">
        <w:t>Any information in column 3 of the table is not part of this instrument. Information may be inserted in this column, or information in it may be edited, in any published version of this instrument.</w:t>
      </w:r>
    </w:p>
    <w:p w:rsidR="00554826" w:rsidRDefault="00056495" w:rsidP="00056495">
      <w:pPr>
        <w:pStyle w:val="ActHead5"/>
      </w:pPr>
      <w:r>
        <w:fldChar w:fldCharType="begin"/>
      </w:r>
      <w:r>
        <w:instrText xml:space="preserve">  LISTNUM "main numbering" \l 5 \* MERGEFORMAT </w:instrText>
      </w:r>
      <w:bookmarkStart w:id="5" w:name="_Toc513817938"/>
      <w:r>
        <w:fldChar w:fldCharType="end"/>
      </w:r>
      <w:r>
        <w:t xml:space="preserve">  </w:t>
      </w:r>
      <w:r w:rsidR="00554826" w:rsidRPr="00554826">
        <w:t>Authority</w:t>
      </w:r>
      <w:bookmarkEnd w:id="5"/>
    </w:p>
    <w:p w:rsidR="00E67AE3" w:rsidRDefault="00554826" w:rsidP="00E67AE3">
      <w:pPr>
        <w:pStyle w:val="subsection"/>
      </w:pPr>
      <w:r w:rsidRPr="009C2562">
        <w:tab/>
      </w:r>
      <w:r w:rsidRPr="009C2562">
        <w:tab/>
        <w:t>This instrument is made under</w:t>
      </w:r>
      <w:r w:rsidR="00B659A4">
        <w:t xml:space="preserve"> section 333</w:t>
      </w:r>
      <w:r w:rsidR="00B472F2">
        <w:noBreakHyphen/>
      </w:r>
      <w:r w:rsidR="00B659A4">
        <w:t xml:space="preserve">20 of the </w:t>
      </w:r>
      <w:r w:rsidR="00B659A4">
        <w:rPr>
          <w:i/>
        </w:rPr>
        <w:t>Private Health Insurance Act 2007</w:t>
      </w:r>
      <w:r w:rsidRPr="009C2562">
        <w:t>.</w:t>
      </w:r>
    </w:p>
    <w:bookmarkStart w:id="6" w:name="_Toc454781205"/>
    <w:p w:rsidR="00554826" w:rsidRDefault="001D0A72" w:rsidP="001D0A72">
      <w:pPr>
        <w:pStyle w:val="ActHead5"/>
      </w:pPr>
      <w:r>
        <w:fldChar w:fldCharType="begin"/>
      </w:r>
      <w:bookmarkStart w:id="7" w:name="_Ref511293656"/>
      <w:bookmarkEnd w:id="7"/>
      <w:r>
        <w:instrText xml:space="preserve">  LISTNUM "main numbering" \l 5 \* MERGEFORMAT </w:instrText>
      </w:r>
      <w:bookmarkStart w:id="8" w:name="_Toc513817939"/>
      <w:r>
        <w:fldChar w:fldCharType="end"/>
      </w:r>
      <w:r>
        <w:t xml:space="preserve">  </w:t>
      </w:r>
      <w:r w:rsidR="00554826" w:rsidRPr="00554826">
        <w:t>Schedules</w:t>
      </w:r>
      <w:bookmarkEnd w:id="6"/>
      <w:bookmarkEnd w:id="8"/>
    </w:p>
    <w:p w:rsidR="00554826" w:rsidRDefault="00554826" w:rsidP="00554826">
      <w:pPr>
        <w:pStyle w:val="subsection"/>
      </w:pPr>
      <w:r w:rsidRPr="006065DA">
        <w:tab/>
      </w:r>
      <w:r w:rsidRPr="006065DA">
        <w:tab/>
        <w:t xml:space="preserve">Each </w:t>
      </w:r>
      <w:r w:rsidRPr="00617494">
        <w:t>instrument that is specified</w:t>
      </w:r>
      <w:r w:rsidRPr="006065DA"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:rsidR="001D77E6" w:rsidRDefault="001D77E6" w:rsidP="001D77E6">
      <w:pPr>
        <w:pStyle w:val="ActHead6"/>
        <w:rPr>
          <w:color w:val="000000" w:themeColor="text1"/>
        </w:rPr>
      </w:pPr>
      <w:r w:rsidRPr="00A34C1D">
        <w:rPr>
          <w:color w:val="000000" w:themeColor="text1"/>
        </w:rPr>
        <w:lastRenderedPageBreak/>
        <w:fldChar w:fldCharType="begin"/>
      </w:r>
      <w:bookmarkStart w:id="9" w:name="_Ref512846368"/>
      <w:bookmarkEnd w:id="9"/>
      <w:r w:rsidRPr="00A34C1D">
        <w:rPr>
          <w:color w:val="000000" w:themeColor="text1"/>
        </w:rPr>
        <w:instrText xml:space="preserve">  LISTNUM "schedule numbering" \l 1 \* MERGEFORMAT </w:instrText>
      </w:r>
      <w:bookmarkStart w:id="10" w:name="_Toc513817940"/>
      <w:r w:rsidRPr="00A34C1D">
        <w:rPr>
          <w:color w:val="000000" w:themeColor="text1"/>
        </w:rPr>
        <w:fldChar w:fldCharType="end"/>
      </w:r>
      <w:r w:rsidRPr="00A34C1D">
        <w:rPr>
          <w:color w:val="000000" w:themeColor="text1"/>
        </w:rPr>
        <w:t>—Terminating products</w:t>
      </w:r>
      <w:bookmarkEnd w:id="10"/>
    </w:p>
    <w:p w:rsidR="009A3B36" w:rsidRPr="00A34C1D" w:rsidRDefault="009A3B36" w:rsidP="009A3B36">
      <w:pPr>
        <w:pStyle w:val="ActHead9"/>
        <w:rPr>
          <w:i w:val="0"/>
          <w:color w:val="000000" w:themeColor="text1"/>
        </w:rPr>
      </w:pPr>
      <w:bookmarkStart w:id="11" w:name="_Toc513817941"/>
      <w:r w:rsidRPr="00A34C1D">
        <w:rPr>
          <w:color w:val="000000" w:themeColor="text1"/>
        </w:rPr>
        <w:t>Private Health Insurance (Complying Product) Rules 2015</w:t>
      </w:r>
      <w:bookmarkEnd w:id="11"/>
    </w:p>
    <w:p w:rsidR="001D77E6" w:rsidRDefault="001D77E6" w:rsidP="001D77E6">
      <w:pPr>
        <w:pStyle w:val="ItemHead"/>
        <w:rPr>
          <w:color w:val="000000" w:themeColor="text1"/>
        </w:rPr>
      </w:pPr>
      <w:r w:rsidRPr="00A34C1D">
        <w:rPr>
          <w:color w:val="000000" w:themeColor="text1"/>
        </w:rPr>
        <w:fldChar w:fldCharType="begin"/>
      </w:r>
      <w:r w:rsidRPr="00A34C1D">
        <w:rPr>
          <w:color w:val="000000" w:themeColor="text1"/>
        </w:rPr>
        <w:instrText xml:space="preserve">  LISTNUM "schedule numbering" \l 5 \* MERGEFORMAT </w:instrText>
      </w:r>
      <w:r w:rsidRPr="00A34C1D">
        <w:rPr>
          <w:color w:val="000000" w:themeColor="text1"/>
        </w:rPr>
        <w:fldChar w:fldCharType="end"/>
      </w:r>
      <w:r w:rsidRPr="00A34C1D">
        <w:rPr>
          <w:color w:val="000000" w:themeColor="text1"/>
        </w:rPr>
        <w:t xml:space="preserve">  </w:t>
      </w:r>
      <w:r w:rsidR="00AF75AB">
        <w:rPr>
          <w:color w:val="000000" w:themeColor="text1"/>
        </w:rPr>
        <w:t>After rule 9</w:t>
      </w:r>
    </w:p>
    <w:p w:rsidR="00AF75AB" w:rsidRDefault="00AF75AB" w:rsidP="00AF75AB">
      <w:pPr>
        <w:pStyle w:val="Item"/>
      </w:pPr>
      <w:r>
        <w:t>Insert:</w:t>
      </w:r>
    </w:p>
    <w:p w:rsidR="00AF75AB" w:rsidRPr="00AF75AB" w:rsidRDefault="00AF75AB" w:rsidP="00AF75AB">
      <w:pPr>
        <w:pStyle w:val="ActHead5"/>
      </w:pPr>
      <w:bookmarkStart w:id="12" w:name="_Toc513817942"/>
      <w:proofErr w:type="gramStart"/>
      <w:r>
        <w:t xml:space="preserve">9AA  </w:t>
      </w:r>
      <w:r w:rsidR="00396CB9">
        <w:t>Terminat</w:t>
      </w:r>
      <w:r w:rsidR="004B5A78">
        <w:t>ing</w:t>
      </w:r>
      <w:proofErr w:type="gramEnd"/>
      <w:r w:rsidR="00396CB9">
        <w:t xml:space="preserve"> products—portability requirements</w:t>
      </w:r>
      <w:bookmarkEnd w:id="12"/>
    </w:p>
    <w:p w:rsidR="00CB5B2E" w:rsidRDefault="008E3A77" w:rsidP="008E3A77">
      <w:pPr>
        <w:pStyle w:val="subsection"/>
      </w:pPr>
      <w:r>
        <w:tab/>
      </w:r>
      <w:r>
        <w:fldChar w:fldCharType="begin"/>
      </w:r>
      <w:bookmarkStart w:id="13" w:name="_Ref515012381"/>
      <w:bookmarkEnd w:id="13"/>
      <w:r>
        <w:instrText xml:space="preserve">  LISTNUM "main numbering" \l 6 \* MERGEFORMAT </w:instrText>
      </w:r>
      <w:r>
        <w:fldChar w:fldCharType="end"/>
      </w:r>
      <w:r>
        <w:tab/>
      </w:r>
      <w:r w:rsidR="00CB5B2E">
        <w:t>For paragraph 78</w:t>
      </w:r>
      <w:r w:rsidR="00CB5B2E">
        <w:noBreakHyphen/>
        <w:t>1 (5A) (c) of the Act, the matters are:</w:t>
      </w:r>
    </w:p>
    <w:p w:rsidR="00E50768" w:rsidRDefault="00E50768" w:rsidP="00E50768">
      <w:pPr>
        <w:pStyle w:val="paragraph"/>
      </w:pPr>
      <w:r>
        <w:tab/>
      </w:r>
      <w:r>
        <w:fldChar w:fldCharType="begin"/>
      </w:r>
      <w:r>
        <w:instrText xml:space="preserve"> LISTNUM  "main numbering" \l 7 \s 1 </w:instrText>
      </w:r>
      <w:r>
        <w:fldChar w:fldCharType="end"/>
      </w:r>
      <w:r>
        <w:tab/>
        <w:t>that the policy forms part of a product, or</w:t>
      </w:r>
      <w:r w:rsidR="00145AA5">
        <w:t xml:space="preserve"> belongs to a</w:t>
      </w:r>
      <w:r>
        <w:t xml:space="preserve"> product subgroup, that is being terminated and that will not be available to any person insured under a policy that forms part of the product or that belongs to the product subgroup, as appropriate (a </w:t>
      </w:r>
      <w:r>
        <w:rPr>
          <w:b/>
          <w:i/>
        </w:rPr>
        <w:t>terminating policy</w:t>
      </w:r>
      <w:r>
        <w:t>); and</w:t>
      </w:r>
    </w:p>
    <w:p w:rsidR="008D36E0" w:rsidRDefault="008E3A77" w:rsidP="008E3A77">
      <w:pPr>
        <w:pStyle w:val="paragraph"/>
      </w:pPr>
      <w:r>
        <w:tab/>
      </w:r>
      <w:r>
        <w:fldChar w:fldCharType="begin"/>
      </w:r>
      <w:r>
        <w:instrText xml:space="preserve">  LISTNUM "main numbering" \l 7 \* MERGEFORMAT </w:instrText>
      </w:r>
      <w:r>
        <w:fldChar w:fldCharType="end"/>
      </w:r>
      <w:r>
        <w:tab/>
      </w:r>
      <w:proofErr w:type="gramStart"/>
      <w:r>
        <w:t>that</w:t>
      </w:r>
      <w:proofErr w:type="gramEnd"/>
      <w:r>
        <w:t xml:space="preserve">, as a consequence, </w:t>
      </w:r>
      <w:r w:rsidR="000E570E">
        <w:t xml:space="preserve">the </w:t>
      </w:r>
      <w:r w:rsidR="008D36E0">
        <w:t>persons</w:t>
      </w:r>
      <w:r>
        <w:t xml:space="preserve"> insured under the policy </w:t>
      </w:r>
      <w:r w:rsidR="008D36E0">
        <w:t xml:space="preserve">are </w:t>
      </w:r>
      <w:r>
        <w:t>to be transferred to another insurance policy</w:t>
      </w:r>
      <w:r w:rsidR="008D36E0">
        <w:t>; and</w:t>
      </w:r>
    </w:p>
    <w:p w:rsidR="00BD5530" w:rsidRDefault="008D36E0" w:rsidP="008D36E0">
      <w:pPr>
        <w:pStyle w:val="paragraph"/>
      </w:pPr>
      <w:r>
        <w:tab/>
      </w:r>
      <w:r>
        <w:fldChar w:fldCharType="begin"/>
      </w:r>
      <w:r>
        <w:instrText xml:space="preserve">  LISTNUM "main numbering" \l 7 \* MERGEFORMAT </w:instrText>
      </w:r>
      <w:r>
        <w:fldChar w:fldCharType="end"/>
      </w:r>
      <w:r>
        <w:tab/>
      </w:r>
      <w:proofErr w:type="gramStart"/>
      <w:r>
        <w:t>the</w:t>
      </w:r>
      <w:proofErr w:type="gramEnd"/>
      <w:r>
        <w:t xml:space="preserve"> date</w:t>
      </w:r>
      <w:r w:rsidR="000E570E">
        <w:t xml:space="preserve"> by which the transfer is to take place </w:t>
      </w:r>
      <w:r w:rsidR="008E3A77">
        <w:t xml:space="preserve">(the </w:t>
      </w:r>
      <w:r w:rsidR="000E570E">
        <w:rPr>
          <w:b/>
          <w:i/>
        </w:rPr>
        <w:t xml:space="preserve">transfer </w:t>
      </w:r>
      <w:r w:rsidR="008E3A77">
        <w:rPr>
          <w:b/>
          <w:i/>
        </w:rPr>
        <w:t>date</w:t>
      </w:r>
      <w:r w:rsidR="008E3A77">
        <w:t>); and</w:t>
      </w:r>
    </w:p>
    <w:p w:rsidR="008E3A77" w:rsidRDefault="008E3A77" w:rsidP="008E3A77">
      <w:pPr>
        <w:pStyle w:val="paragraph"/>
      </w:pPr>
      <w:r>
        <w:tab/>
      </w:r>
      <w:r>
        <w:fldChar w:fldCharType="begin"/>
      </w:r>
      <w:r>
        <w:instrText xml:space="preserve">  LISTNUM "main numbering" \l 7 \* MERGEFORMAT </w:instrText>
      </w:r>
      <w:r>
        <w:fldChar w:fldCharType="end"/>
      </w:r>
      <w:r>
        <w:tab/>
      </w:r>
      <w:proofErr w:type="gramStart"/>
      <w:r>
        <w:t>that</w:t>
      </w:r>
      <w:proofErr w:type="gramEnd"/>
      <w:r>
        <w:t>:</w:t>
      </w:r>
    </w:p>
    <w:p w:rsidR="00BD5530" w:rsidRDefault="008E3A77" w:rsidP="008E3A77">
      <w:pPr>
        <w:pStyle w:val="paragraphsub"/>
      </w:pPr>
      <w:r>
        <w:tab/>
      </w:r>
      <w:r>
        <w:fldChar w:fldCharType="begin"/>
      </w:r>
      <w:r>
        <w:instrText xml:space="preserve">  LISTNUM "main numbering" \l 8 \* MERGEFORMAT </w:instrText>
      </w:r>
      <w:r>
        <w:fldChar w:fldCharType="end"/>
      </w:r>
      <w:r>
        <w:tab/>
      </w:r>
      <w:proofErr w:type="gramStart"/>
      <w:r>
        <w:t>before</w:t>
      </w:r>
      <w:proofErr w:type="gramEnd"/>
      <w:r>
        <w:t xml:space="preserve"> the </w:t>
      </w:r>
      <w:r w:rsidR="000E570E">
        <w:t xml:space="preserve">transfer </w:t>
      </w:r>
      <w:r>
        <w:t>date,</w:t>
      </w:r>
      <w:r w:rsidR="00E509D0">
        <w:t xml:space="preserve"> the persons </w:t>
      </w:r>
      <w:r w:rsidR="008D36E0">
        <w:t xml:space="preserve">insured under the policy </w:t>
      </w:r>
      <w:r>
        <w:t>may transfer to any insurance policy of their choosing; but</w:t>
      </w:r>
    </w:p>
    <w:p w:rsidR="008E3A77" w:rsidRDefault="008E3A77" w:rsidP="008E3A77">
      <w:pPr>
        <w:pStyle w:val="paragraphsub"/>
      </w:pPr>
      <w:r>
        <w:tab/>
      </w:r>
      <w:r>
        <w:fldChar w:fldCharType="begin"/>
      </w:r>
      <w:r>
        <w:instrText xml:space="preserve">  LISTNUM "main numbering" \l 8 \* MERGEFORMAT </w:instrText>
      </w:r>
      <w:r>
        <w:fldChar w:fldCharType="end"/>
      </w:r>
      <w:r>
        <w:tab/>
      </w:r>
      <w:proofErr w:type="gramStart"/>
      <w:r w:rsidR="00E509D0">
        <w:t>if</w:t>
      </w:r>
      <w:proofErr w:type="gramEnd"/>
      <w:r w:rsidR="00E509D0">
        <w:t xml:space="preserve"> th</w:t>
      </w:r>
      <w:r w:rsidR="00E625DB">
        <w:t>ey</w:t>
      </w:r>
      <w:r w:rsidR="00E509D0">
        <w:t xml:space="preserve"> do </w:t>
      </w:r>
      <w:r>
        <w:t xml:space="preserve">not do so before </w:t>
      </w:r>
      <w:r w:rsidR="008D36E0">
        <w:t xml:space="preserve">the </w:t>
      </w:r>
      <w:r w:rsidR="000E570E">
        <w:t xml:space="preserve">transfer </w:t>
      </w:r>
      <w:r>
        <w:t>date</w:t>
      </w:r>
      <w:r w:rsidR="00E509D0">
        <w:t xml:space="preserve">, they </w:t>
      </w:r>
      <w:r>
        <w:t>will be transferred, on th</w:t>
      </w:r>
      <w:r w:rsidR="00E625DB">
        <w:t xml:space="preserve">e </w:t>
      </w:r>
      <w:r w:rsidR="000E570E">
        <w:t xml:space="preserve">transfer </w:t>
      </w:r>
      <w:r>
        <w:t xml:space="preserve">date, to </w:t>
      </w:r>
      <w:r w:rsidR="00D57E0E">
        <w:t xml:space="preserve">a specified </w:t>
      </w:r>
      <w:r>
        <w:t xml:space="preserve">insurance policy (the </w:t>
      </w:r>
      <w:r>
        <w:rPr>
          <w:b/>
          <w:i/>
        </w:rPr>
        <w:t>default policy</w:t>
      </w:r>
      <w:r>
        <w:t>);</w:t>
      </w:r>
      <w:r w:rsidR="008D36E0">
        <w:t xml:space="preserve"> and</w:t>
      </w:r>
    </w:p>
    <w:p w:rsidR="008E3A77" w:rsidRDefault="008E3A77" w:rsidP="008E3A77">
      <w:pPr>
        <w:pStyle w:val="paragraph"/>
      </w:pPr>
      <w:r>
        <w:tab/>
      </w:r>
      <w:r>
        <w:fldChar w:fldCharType="begin"/>
      </w:r>
      <w:bookmarkStart w:id="14" w:name="_Ref515012383"/>
      <w:bookmarkEnd w:id="14"/>
      <w:r>
        <w:instrText xml:space="preserve">  LISTNUM "main numbering" \l 7 \* MERGEFORMAT </w:instrText>
      </w:r>
      <w:r>
        <w:fldChar w:fldCharType="end"/>
      </w:r>
      <w:r>
        <w:tab/>
      </w:r>
      <w:proofErr w:type="gramStart"/>
      <w:r>
        <w:t>the</w:t>
      </w:r>
      <w:proofErr w:type="gramEnd"/>
      <w:r>
        <w:t xml:space="preserve"> matters set out in </w:t>
      </w:r>
      <w:proofErr w:type="spellStart"/>
      <w:r>
        <w:t>subrule</w:t>
      </w:r>
      <w:proofErr w:type="spellEnd"/>
      <w:r>
        <w:t> </w:t>
      </w:r>
      <w:r w:rsidR="0064190B">
        <w:fldChar w:fldCharType="begin"/>
      </w:r>
      <w:r w:rsidR="0064190B">
        <w:instrText xml:space="preserve"> REF _Ref515012384 \n </w:instrText>
      </w:r>
      <w:r w:rsidR="0064190B">
        <w:fldChar w:fldCharType="separate"/>
      </w:r>
      <w:r w:rsidR="00B66018">
        <w:t>(2)</w:t>
      </w:r>
      <w:r w:rsidR="0064190B">
        <w:fldChar w:fldCharType="end"/>
      </w:r>
      <w:r>
        <w:t xml:space="preserve"> that relate to the default policy;</w:t>
      </w:r>
      <w:r w:rsidR="00EC325E">
        <w:t xml:space="preserve"> and</w:t>
      </w:r>
    </w:p>
    <w:p w:rsidR="008E3A77" w:rsidRPr="008E3A77" w:rsidRDefault="008126CA" w:rsidP="008E3A77">
      <w:pPr>
        <w:pStyle w:val="paragraph"/>
      </w:pPr>
      <w:r>
        <w:tab/>
      </w:r>
      <w:r>
        <w:fldChar w:fldCharType="begin"/>
      </w:r>
      <w:bookmarkStart w:id="15" w:name="_Ref515013068"/>
      <w:bookmarkEnd w:id="15"/>
      <w:r>
        <w:instrText xml:space="preserve">  LISTNUM "main numbering" \l 7 \* MERGEFORMAT </w:instrText>
      </w:r>
      <w:r>
        <w:fldChar w:fldCharType="end"/>
      </w:r>
      <w:r>
        <w:tab/>
      </w:r>
      <w:proofErr w:type="gramStart"/>
      <w:r>
        <w:t>the</w:t>
      </w:r>
      <w:proofErr w:type="gramEnd"/>
      <w:r w:rsidR="00606E10">
        <w:t xml:space="preserve"> other</w:t>
      </w:r>
      <w:r>
        <w:t xml:space="preserve"> matters set out in </w:t>
      </w:r>
      <w:proofErr w:type="spellStart"/>
      <w:r>
        <w:t>subrule</w:t>
      </w:r>
      <w:proofErr w:type="spellEnd"/>
      <w:r>
        <w:t> </w:t>
      </w:r>
      <w:fldSimple w:instr=" REF _Ref515013015 \n ">
        <w:r w:rsidR="00B66018">
          <w:t>(3)</w:t>
        </w:r>
      </w:fldSimple>
      <w:r w:rsidR="00E625DB">
        <w:t xml:space="preserve"> that relate to </w:t>
      </w:r>
      <w:r w:rsidR="00606E10">
        <w:t>the transfer</w:t>
      </w:r>
      <w:r>
        <w:t>.</w:t>
      </w:r>
    </w:p>
    <w:p w:rsidR="00BD5530" w:rsidRDefault="008E3A77" w:rsidP="008E3A77">
      <w:pPr>
        <w:pStyle w:val="SubsectionHead"/>
      </w:pPr>
      <w:r>
        <w:t xml:space="preserve">Matters </w:t>
      </w:r>
      <w:r w:rsidR="00E625DB">
        <w:t xml:space="preserve">that </w:t>
      </w:r>
      <w:r>
        <w:t>relat</w:t>
      </w:r>
      <w:r w:rsidR="00E625DB">
        <w:t>e</w:t>
      </w:r>
      <w:r>
        <w:t xml:space="preserve"> to </w:t>
      </w:r>
      <w:r w:rsidR="007E460A">
        <w:t xml:space="preserve">the </w:t>
      </w:r>
      <w:r>
        <w:t>default policy</w:t>
      </w:r>
    </w:p>
    <w:p w:rsidR="008E3A77" w:rsidRPr="008E3A77" w:rsidRDefault="008E3A77" w:rsidP="008E3A77">
      <w:pPr>
        <w:pStyle w:val="subsection"/>
      </w:pPr>
      <w:r>
        <w:tab/>
      </w:r>
      <w:r>
        <w:fldChar w:fldCharType="begin"/>
      </w:r>
      <w:bookmarkStart w:id="16" w:name="_Ref515012384"/>
      <w:bookmarkEnd w:id="16"/>
      <w:r>
        <w:instrText xml:space="preserve">  LISTNUM "main numbering" \l 6 \* MERGEFORMAT </w:instrText>
      </w:r>
      <w:r>
        <w:fldChar w:fldCharType="end"/>
      </w:r>
      <w:r>
        <w:tab/>
        <w:t>For paragraph </w:t>
      </w:r>
      <w:fldSimple w:instr=" REF _Ref515012381 \n ">
        <w:r w:rsidR="00B66018">
          <w:t>(1)</w:t>
        </w:r>
      </w:fldSimple>
      <w:r>
        <w:t> </w:t>
      </w:r>
      <w:fldSimple w:instr=" REF _Ref515012383 \n ">
        <w:r w:rsidR="00B66018">
          <w:t>(e)</w:t>
        </w:r>
      </w:fldSimple>
      <w:r w:rsidR="005B02D7">
        <w:t>, the matters are:</w:t>
      </w:r>
    </w:p>
    <w:p w:rsidR="00CB5B2E" w:rsidRDefault="00CB5B2E" w:rsidP="00CB5B2E">
      <w:pPr>
        <w:pStyle w:val="paragraph"/>
      </w:pPr>
      <w:r>
        <w:tab/>
      </w:r>
      <w:r>
        <w:fldChar w:fldCharType="begin"/>
      </w:r>
      <w:r>
        <w:instrText xml:space="preserve">  LISTNUM "main numbering" \l 7 \* MERGEFORMAT </w:instrText>
      </w:r>
      <w:r>
        <w:fldChar w:fldCharType="end"/>
      </w:r>
      <w:r>
        <w:tab/>
      </w:r>
      <w:proofErr w:type="gramStart"/>
      <w:r>
        <w:t>the</w:t>
      </w:r>
      <w:proofErr w:type="gramEnd"/>
      <w:r>
        <w:t xml:space="preserve"> standard information statement for the </w:t>
      </w:r>
      <w:r w:rsidR="005B02D7">
        <w:t xml:space="preserve">default </w:t>
      </w:r>
      <w:r>
        <w:t>policy;</w:t>
      </w:r>
      <w:r w:rsidR="004F4C1B">
        <w:t xml:space="preserve"> and</w:t>
      </w:r>
    </w:p>
    <w:p w:rsidR="00CB5B2E" w:rsidRDefault="00CB5B2E" w:rsidP="00CB5B2E">
      <w:pPr>
        <w:pStyle w:val="paragraph"/>
      </w:pPr>
      <w:r>
        <w:tab/>
      </w:r>
      <w:r>
        <w:fldChar w:fldCharType="begin"/>
      </w:r>
      <w:r>
        <w:instrText xml:space="preserve">  LISTNUM "main numbering" \l 7 \* MERGEFORMAT </w:instrText>
      </w:r>
      <w:r>
        <w:fldChar w:fldCharType="end"/>
      </w:r>
      <w:r>
        <w:tab/>
      </w:r>
      <w:proofErr w:type="gramStart"/>
      <w:r w:rsidRPr="0072335E">
        <w:t>details</w:t>
      </w:r>
      <w:proofErr w:type="gramEnd"/>
      <w:r w:rsidRPr="0072335E">
        <w:t xml:space="preserve"> of the premium that </w:t>
      </w:r>
      <w:r w:rsidR="00E71709">
        <w:t xml:space="preserve">would </w:t>
      </w:r>
      <w:r w:rsidRPr="0072335E">
        <w:t xml:space="preserve">be payable for the </w:t>
      </w:r>
      <w:r w:rsidR="005B02D7">
        <w:t xml:space="preserve">default </w:t>
      </w:r>
      <w:r w:rsidRPr="0072335E">
        <w:t>policy, including any increase in the premium under Part 2</w:t>
      </w:r>
      <w:r w:rsidRPr="0072335E">
        <w:noBreakHyphen/>
        <w:t>3 of the Act (lifetime health cover), and any discounts that might apply;</w:t>
      </w:r>
      <w:r w:rsidR="004F4C1B">
        <w:t xml:space="preserve"> and</w:t>
      </w:r>
    </w:p>
    <w:p w:rsidR="00E03B0D" w:rsidRDefault="00E03B0D" w:rsidP="00E03B0D">
      <w:pPr>
        <w:pStyle w:val="paragraph"/>
        <w:rPr>
          <w:szCs w:val="22"/>
        </w:rPr>
      </w:pPr>
      <w:r>
        <w:tab/>
      </w:r>
      <w:r>
        <w:fldChar w:fldCharType="begin"/>
      </w:r>
      <w:r>
        <w:instrText xml:space="preserve">  LISTNUM "main numbering" \l 7 \* MERGEFORMAT </w:instrText>
      </w:r>
      <w:r>
        <w:fldChar w:fldCharType="end"/>
      </w:r>
      <w:r>
        <w:tab/>
      </w:r>
      <w:proofErr w:type="gramStart"/>
      <w:r>
        <w:t>details</w:t>
      </w:r>
      <w:proofErr w:type="gramEnd"/>
      <w:r>
        <w:t xml:space="preserve"> of:</w:t>
      </w:r>
    </w:p>
    <w:p w:rsidR="00E03B0D" w:rsidRDefault="00E03B0D" w:rsidP="00E03B0D">
      <w:pPr>
        <w:pStyle w:val="paragraphsub"/>
        <w:rPr>
          <w:szCs w:val="22"/>
        </w:rPr>
      </w:pPr>
      <w:r>
        <w:tab/>
      </w:r>
      <w:r>
        <w:fldChar w:fldCharType="begin"/>
      </w:r>
      <w:r>
        <w:instrText xml:space="preserve">  LISTNUM "main numbering" \l 8 \* MERGEFORMAT </w:instrText>
      </w:r>
      <w:r>
        <w:fldChar w:fldCharType="end"/>
      </w:r>
      <w:r>
        <w:tab/>
      </w:r>
      <w:proofErr w:type="gramStart"/>
      <w:r>
        <w:t>any</w:t>
      </w:r>
      <w:proofErr w:type="gramEnd"/>
      <w:r>
        <w:t xml:space="preserve"> </w:t>
      </w:r>
      <w:r w:rsidR="0072780F">
        <w:t>treatments</w:t>
      </w:r>
      <w:r>
        <w:t xml:space="preserve"> </w:t>
      </w:r>
      <w:r w:rsidR="009F2357">
        <w:t xml:space="preserve">that are </w:t>
      </w:r>
      <w:r>
        <w:t>covered under the terminating policy that will not be covered under the default policy; and</w:t>
      </w:r>
    </w:p>
    <w:p w:rsidR="00E03B0D" w:rsidRDefault="00E03B0D" w:rsidP="00E03B0D">
      <w:pPr>
        <w:pStyle w:val="paragraphsub"/>
      </w:pPr>
      <w:r>
        <w:tab/>
      </w:r>
      <w:r>
        <w:fldChar w:fldCharType="begin"/>
      </w:r>
      <w:r>
        <w:instrText xml:space="preserve">  LISTNUM "main numbering" \l 8 \* MERGEFORMAT </w:instrText>
      </w:r>
      <w:r>
        <w:fldChar w:fldCharType="end"/>
      </w:r>
      <w:r>
        <w:tab/>
      </w:r>
      <w:proofErr w:type="gramStart"/>
      <w:r>
        <w:t>any</w:t>
      </w:r>
      <w:proofErr w:type="gramEnd"/>
      <w:r>
        <w:t xml:space="preserve"> differences between the excesses or co</w:t>
      </w:r>
      <w:r>
        <w:noBreakHyphen/>
        <w:t>payments payable under the terminating policy and the default policy</w:t>
      </w:r>
      <w:r w:rsidR="00EC325E">
        <w:t>.</w:t>
      </w:r>
    </w:p>
    <w:p w:rsidR="00EC325E" w:rsidRDefault="00606E10" w:rsidP="00EC325E">
      <w:pPr>
        <w:pStyle w:val="SubsectionHead"/>
      </w:pPr>
      <w:r>
        <w:t>Other m</w:t>
      </w:r>
      <w:r w:rsidR="00E625DB">
        <w:t xml:space="preserve">atters that relate to </w:t>
      </w:r>
      <w:r w:rsidR="007E460A">
        <w:t xml:space="preserve">the </w:t>
      </w:r>
      <w:r>
        <w:t>transfer</w:t>
      </w:r>
    </w:p>
    <w:p w:rsidR="00EC325E" w:rsidRPr="008126CA" w:rsidRDefault="00EC325E" w:rsidP="00EC325E">
      <w:pPr>
        <w:pStyle w:val="subsection"/>
      </w:pPr>
      <w:r>
        <w:tab/>
      </w:r>
      <w:r>
        <w:fldChar w:fldCharType="begin"/>
      </w:r>
      <w:bookmarkStart w:id="17" w:name="_Ref515013015"/>
      <w:bookmarkEnd w:id="17"/>
      <w:r>
        <w:instrText xml:space="preserve">  LISTNUM "main numbering" \l 6 \* MERGEFORMAT </w:instrText>
      </w:r>
      <w:r>
        <w:fldChar w:fldCharType="end"/>
      </w:r>
      <w:r>
        <w:tab/>
      </w:r>
      <w:r w:rsidR="008126CA">
        <w:t>For paragraph </w:t>
      </w:r>
      <w:fldSimple w:instr=" REF _Ref515012381 \n ">
        <w:r w:rsidR="00B66018">
          <w:t>(1)</w:t>
        </w:r>
      </w:fldSimple>
      <w:r w:rsidR="008126CA" w:rsidRPr="008126CA">
        <w:t> </w:t>
      </w:r>
      <w:fldSimple w:instr=" REF _Ref515013068 \n ">
        <w:r w:rsidR="00B66018">
          <w:t>(f)</w:t>
        </w:r>
      </w:fldSimple>
      <w:r w:rsidR="008126CA">
        <w:t>, the matters are:</w:t>
      </w:r>
    </w:p>
    <w:p w:rsidR="002964EA" w:rsidRDefault="008126CA" w:rsidP="008126CA">
      <w:pPr>
        <w:pStyle w:val="paragraph"/>
      </w:pPr>
      <w:r>
        <w:tab/>
      </w:r>
      <w:r>
        <w:fldChar w:fldCharType="begin"/>
      </w:r>
      <w:r>
        <w:instrText xml:space="preserve">  LISTNUM "main numbering" \l 7 \* MERGEFORMAT </w:instrText>
      </w:r>
      <w:r>
        <w:fldChar w:fldCharType="end"/>
      </w:r>
      <w:r>
        <w:tab/>
      </w:r>
      <w:proofErr w:type="gramStart"/>
      <w:r w:rsidRPr="0072335E">
        <w:t>that</w:t>
      </w:r>
      <w:proofErr w:type="gramEnd"/>
      <w:r w:rsidR="002964EA">
        <w:t xml:space="preserve"> if:</w:t>
      </w:r>
    </w:p>
    <w:p w:rsidR="002964EA" w:rsidRDefault="002964EA" w:rsidP="002964EA">
      <w:pPr>
        <w:pStyle w:val="paragraphsub"/>
      </w:pPr>
      <w:r>
        <w:tab/>
      </w:r>
      <w:r>
        <w:fldChar w:fldCharType="begin"/>
      </w:r>
      <w:r>
        <w:instrText xml:space="preserve">  LISTNUM "main numbering" \l 8 \* MERGEFORMAT </w:instrText>
      </w:r>
      <w:r>
        <w:fldChar w:fldCharType="end"/>
      </w:r>
      <w:r>
        <w:tab/>
      </w:r>
      <w:proofErr w:type="gramStart"/>
      <w:r>
        <w:t>a</w:t>
      </w:r>
      <w:proofErr w:type="gramEnd"/>
      <w:r>
        <w:t xml:space="preserve"> person transfers from the terminating policy to another policy</w:t>
      </w:r>
      <w:r w:rsidR="000740E7">
        <w:t xml:space="preserve">, or is transferred to </w:t>
      </w:r>
      <w:r w:rsidR="00F41A0C">
        <w:t>the default policy</w:t>
      </w:r>
      <w:r>
        <w:t>; and</w:t>
      </w:r>
    </w:p>
    <w:p w:rsidR="002964EA" w:rsidRDefault="002964EA" w:rsidP="002964EA">
      <w:pPr>
        <w:pStyle w:val="paragraphsub"/>
      </w:pPr>
      <w:r>
        <w:tab/>
      </w:r>
      <w:r>
        <w:fldChar w:fldCharType="begin"/>
      </w:r>
      <w:r>
        <w:instrText xml:space="preserve">  LISTNUM "main numbering" \l 8 \* MERGEFORMAT </w:instrText>
      </w:r>
      <w:r>
        <w:fldChar w:fldCharType="end"/>
      </w:r>
      <w:r>
        <w:tab/>
      </w:r>
      <w:proofErr w:type="gramStart"/>
      <w:r>
        <w:t>there</w:t>
      </w:r>
      <w:proofErr w:type="gramEnd"/>
      <w:r>
        <w:t xml:space="preserve"> </w:t>
      </w:r>
      <w:r w:rsidR="007F101E">
        <w:t>are</w:t>
      </w:r>
      <w:r w:rsidR="000947E4">
        <w:t xml:space="preserve"> </w:t>
      </w:r>
      <w:r w:rsidR="000947E4" w:rsidRPr="00647203">
        <w:t>particular hospital treatments or hospital</w:t>
      </w:r>
      <w:r w:rsidR="000947E4" w:rsidRPr="00647203">
        <w:noBreakHyphen/>
        <w:t xml:space="preserve">substitute treatments </w:t>
      </w:r>
      <w:r>
        <w:t xml:space="preserve">that are covered by both </w:t>
      </w:r>
      <w:r w:rsidR="000740E7">
        <w:t>the terminating policy and the policy to which the person transfers or is transferred</w:t>
      </w:r>
      <w:r>
        <w:t>;</w:t>
      </w:r>
    </w:p>
    <w:p w:rsidR="008126CA" w:rsidRPr="0072335E" w:rsidRDefault="002964EA" w:rsidP="002964EA">
      <w:pPr>
        <w:pStyle w:val="paragraph"/>
      </w:pPr>
      <w:r>
        <w:lastRenderedPageBreak/>
        <w:tab/>
      </w:r>
      <w:r>
        <w:tab/>
      </w:r>
      <w:r w:rsidR="008126CA" w:rsidRPr="0072335E">
        <w:t xml:space="preserve">for </w:t>
      </w:r>
      <w:r>
        <w:t xml:space="preserve">each such </w:t>
      </w:r>
      <w:r w:rsidR="008126CA" w:rsidRPr="0072335E">
        <w:t>treatment</w:t>
      </w:r>
      <w:r>
        <w:t xml:space="preserve">, </w:t>
      </w:r>
      <w:r w:rsidR="008126CA" w:rsidRPr="00E625DB">
        <w:t xml:space="preserve">to the extent that the person has satisfied the waiting period (if any) under the terminating policy, the person will have satisfied the waiting period (if any) under </w:t>
      </w:r>
      <w:r w:rsidR="00EE24FD" w:rsidRPr="00E625DB">
        <w:t>th</w:t>
      </w:r>
      <w:r>
        <w:t>e</w:t>
      </w:r>
      <w:r w:rsidR="00EE24FD" w:rsidRPr="00E625DB">
        <w:t xml:space="preserve"> other </w:t>
      </w:r>
      <w:r w:rsidR="008126CA" w:rsidRPr="00E625DB">
        <w:t>policy</w:t>
      </w:r>
      <w:r w:rsidR="008126CA" w:rsidRPr="0072335E">
        <w:t>;</w:t>
      </w:r>
      <w:r w:rsidR="00C34978">
        <w:t xml:space="preserve"> but</w:t>
      </w:r>
    </w:p>
    <w:p w:rsidR="00D63E87" w:rsidRDefault="00E03B0D" w:rsidP="00E03B0D">
      <w:pPr>
        <w:pStyle w:val="paragraph"/>
      </w:pPr>
      <w:r>
        <w:tab/>
      </w:r>
      <w:r>
        <w:fldChar w:fldCharType="begin"/>
      </w:r>
      <w:r>
        <w:instrText xml:space="preserve">  LISTNUM "main numbering" \l 7 \* MERGEFORMAT </w:instrText>
      </w:r>
      <w:r>
        <w:fldChar w:fldCharType="end"/>
      </w:r>
      <w:r>
        <w:tab/>
      </w:r>
      <w:proofErr w:type="gramStart"/>
      <w:r>
        <w:t>that</w:t>
      </w:r>
      <w:proofErr w:type="gramEnd"/>
      <w:r>
        <w:t xml:space="preserve"> if</w:t>
      </w:r>
      <w:r w:rsidR="00D63E87">
        <w:t>:</w:t>
      </w:r>
    </w:p>
    <w:p w:rsidR="00D63E87" w:rsidRDefault="00D63E87" w:rsidP="00D63E87">
      <w:pPr>
        <w:pStyle w:val="paragraphsub"/>
      </w:pPr>
      <w:r>
        <w:tab/>
      </w:r>
      <w:r>
        <w:fldChar w:fldCharType="begin"/>
      </w:r>
      <w:r>
        <w:instrText xml:space="preserve">  LISTNUM "main numbering" \l 8 \* MERGEFORMAT </w:instrText>
      </w:r>
      <w:r>
        <w:fldChar w:fldCharType="end"/>
      </w:r>
      <w:r>
        <w:tab/>
      </w:r>
      <w:proofErr w:type="gramStart"/>
      <w:r w:rsidR="00E03B0D">
        <w:t>a</w:t>
      </w:r>
      <w:proofErr w:type="gramEnd"/>
      <w:r w:rsidR="00E03B0D">
        <w:t xml:space="preserve"> person </w:t>
      </w:r>
      <w:r w:rsidR="007E460A">
        <w:t xml:space="preserve">is </w:t>
      </w:r>
      <w:r w:rsidR="00E03B0D">
        <w:t>transfer</w:t>
      </w:r>
      <w:r w:rsidR="007E460A">
        <w:t>red</w:t>
      </w:r>
      <w:r w:rsidR="00E03B0D">
        <w:t xml:space="preserve"> </w:t>
      </w:r>
      <w:r>
        <w:t xml:space="preserve">from the terminating policy </w:t>
      </w:r>
      <w:r w:rsidR="00E03B0D">
        <w:t>to the default policy</w:t>
      </w:r>
      <w:r>
        <w:t>; and</w:t>
      </w:r>
    </w:p>
    <w:p w:rsidR="00E03B0D" w:rsidRDefault="00D63E87" w:rsidP="00D63E87">
      <w:pPr>
        <w:pStyle w:val="paragraphsub"/>
      </w:pPr>
      <w:r>
        <w:tab/>
      </w:r>
      <w:r>
        <w:fldChar w:fldCharType="begin"/>
      </w:r>
      <w:r>
        <w:instrText xml:space="preserve">  LISTNUM "main numbering" \l 8 \* MERGEFORMAT </w:instrText>
      </w:r>
      <w:r>
        <w:fldChar w:fldCharType="end"/>
      </w:r>
      <w:r>
        <w:tab/>
      </w:r>
      <w:proofErr w:type="gramStart"/>
      <w:r w:rsidR="00F41A0C">
        <w:t>the</w:t>
      </w:r>
      <w:proofErr w:type="gramEnd"/>
      <w:r w:rsidR="00F41A0C">
        <w:t xml:space="preserve"> person </w:t>
      </w:r>
      <w:r w:rsidR="00E03B0D">
        <w:t xml:space="preserve">subsequently transfers </w:t>
      </w:r>
      <w:r>
        <w:t xml:space="preserve">from the default policy </w:t>
      </w:r>
      <w:r w:rsidR="00E03B0D">
        <w:t xml:space="preserve">to another insurance policy (the </w:t>
      </w:r>
      <w:r w:rsidR="00E03B0D">
        <w:rPr>
          <w:b/>
          <w:bCs/>
          <w:i/>
          <w:iCs/>
        </w:rPr>
        <w:t>replacement policy</w:t>
      </w:r>
      <w:r>
        <w:t>);</w:t>
      </w:r>
    </w:p>
    <w:p w:rsidR="00D63E87" w:rsidRDefault="00D63E87" w:rsidP="00D63E87">
      <w:pPr>
        <w:pStyle w:val="paragraph"/>
      </w:pPr>
      <w:r>
        <w:tab/>
      </w:r>
      <w:r>
        <w:tab/>
      </w:r>
      <w:proofErr w:type="gramStart"/>
      <w:r>
        <w:t>then</w:t>
      </w:r>
      <w:proofErr w:type="gramEnd"/>
      <w:r>
        <w:t>:</w:t>
      </w:r>
    </w:p>
    <w:p w:rsidR="00E03B0D" w:rsidRDefault="00E03B0D" w:rsidP="00E03B0D">
      <w:pPr>
        <w:pStyle w:val="paragraphsub"/>
      </w:pPr>
      <w:r>
        <w:tab/>
      </w:r>
      <w:r>
        <w:fldChar w:fldCharType="begin"/>
      </w:r>
      <w:r>
        <w:instrText xml:space="preserve">  LISTNUM "main numbering" \l 8 \* MERGEFORMAT </w:instrText>
      </w:r>
      <w:r>
        <w:fldChar w:fldCharType="end"/>
      </w:r>
      <w:r>
        <w:tab/>
        <w:t xml:space="preserve">if there are any </w:t>
      </w:r>
      <w:r w:rsidR="007A6392" w:rsidRPr="00647203">
        <w:t xml:space="preserve">treatments </w:t>
      </w:r>
      <w:r>
        <w:t xml:space="preserve">that were not covered by the </w:t>
      </w:r>
      <w:r w:rsidR="008126CA">
        <w:t>default</w:t>
      </w:r>
      <w:r>
        <w:t xml:space="preserve"> policy but that are covered by the replacement policy—the person may be subject to a waiting period under the replacement policy in respect of those </w:t>
      </w:r>
      <w:r w:rsidR="007A6392" w:rsidRPr="00647203">
        <w:t>treatments</w:t>
      </w:r>
      <w:r>
        <w:t xml:space="preserve">, even if the </w:t>
      </w:r>
      <w:r w:rsidR="007A6392" w:rsidRPr="00647203">
        <w:t xml:space="preserve">treatments </w:t>
      </w:r>
      <w:r>
        <w:t>were originally covered by the terminating policy; and</w:t>
      </w:r>
    </w:p>
    <w:p w:rsidR="008126CA" w:rsidRDefault="00E03B0D" w:rsidP="008126CA">
      <w:pPr>
        <w:pStyle w:val="paragraphsub"/>
      </w:pPr>
      <w:r>
        <w:tab/>
      </w:r>
      <w:r>
        <w:fldChar w:fldCharType="begin"/>
      </w:r>
      <w:r>
        <w:instrText xml:space="preserve">  LISTNUM "main numbering" \l 8 \* MERGEFORMAT </w:instrText>
      </w:r>
      <w:r>
        <w:fldChar w:fldCharType="end"/>
      </w:r>
      <w:r>
        <w:tab/>
      </w:r>
      <w:proofErr w:type="gramStart"/>
      <w:r>
        <w:t>if</w:t>
      </w:r>
      <w:proofErr w:type="gramEnd"/>
      <w:r>
        <w:t xml:space="preserve"> the default policy had higher excesses or co</w:t>
      </w:r>
      <w:r>
        <w:noBreakHyphen/>
        <w:t>payments than the replacement policy—those higher excesses or co</w:t>
      </w:r>
      <w:r>
        <w:noBreakHyphen/>
        <w:t>payments might, for a period of time, continue to apply under the replacement polic</w:t>
      </w:r>
      <w:r w:rsidR="008126CA">
        <w:t>y</w:t>
      </w:r>
      <w:r w:rsidR="00EE24FD">
        <w:t>.</w:t>
      </w:r>
    </w:p>
    <w:p w:rsidR="007A6392" w:rsidRDefault="007A6392" w:rsidP="008126CA">
      <w:pPr>
        <w:pStyle w:val="paragraphsub"/>
      </w:pPr>
    </w:p>
    <w:sectPr w:rsidR="007A6392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395" w:rsidRDefault="00091395" w:rsidP="00715914">
      <w:pPr>
        <w:spacing w:line="240" w:lineRule="auto"/>
      </w:pPr>
      <w:r>
        <w:separator/>
      </w:r>
    </w:p>
  </w:endnote>
  <w:endnote w:type="continuationSeparator" w:id="0">
    <w:p w:rsidR="00091395" w:rsidRDefault="0009139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95" w:rsidRPr="00E33C1C" w:rsidRDefault="0009139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91395" w:rsidTr="004F1BE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91395" w:rsidRDefault="00091395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91395" w:rsidRPr="004E1307" w:rsidRDefault="00091395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66018">
            <w:rPr>
              <w:i/>
              <w:noProof/>
              <w:sz w:val="18"/>
            </w:rPr>
            <w:t>Private Health Insurance (Complying Product) Amendment (Terminating Products) Rules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91395" w:rsidRDefault="00091395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091395" w:rsidRPr="00ED79B6" w:rsidRDefault="00091395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95" w:rsidRPr="00E33C1C" w:rsidRDefault="0009139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91395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91395" w:rsidRDefault="0009139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91395" w:rsidRDefault="00091395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66018">
            <w:rPr>
              <w:i/>
              <w:noProof/>
              <w:sz w:val="18"/>
            </w:rPr>
            <w:t>Private Health Insurance (Complying Product) Amendment (Terminating Products) Rules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91395" w:rsidRDefault="00091395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6466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91395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091395" w:rsidRDefault="00091395" w:rsidP="00A369E3">
          <w:pPr>
            <w:rPr>
              <w:sz w:val="18"/>
            </w:rPr>
          </w:pPr>
        </w:p>
      </w:tc>
    </w:tr>
  </w:tbl>
  <w:p w:rsidR="00091395" w:rsidRPr="00ED79B6" w:rsidRDefault="00091395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95" w:rsidRPr="00E33C1C" w:rsidRDefault="00091395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91395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91395" w:rsidRDefault="0009139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91395" w:rsidRDefault="00091395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91395" w:rsidRDefault="00091395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091395" w:rsidRPr="00ED79B6" w:rsidRDefault="00091395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95" w:rsidRPr="002B0EA5" w:rsidRDefault="00091395" w:rsidP="003507D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091395" w:rsidTr="003507D2">
      <w:tc>
        <w:tcPr>
          <w:tcW w:w="365" w:type="pct"/>
        </w:tcPr>
        <w:p w:rsidR="00091395" w:rsidRDefault="00091395" w:rsidP="003507D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091395" w:rsidRDefault="00091395" w:rsidP="003507D2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66018">
            <w:rPr>
              <w:i/>
              <w:noProof/>
              <w:sz w:val="18"/>
            </w:rPr>
            <w:t>Private Health Insurance (Complying Product) Amendment (Terminating Products) Rules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091395" w:rsidRDefault="00091395" w:rsidP="003507D2">
          <w:pPr>
            <w:spacing w:line="0" w:lineRule="atLeast"/>
            <w:jc w:val="right"/>
            <w:rPr>
              <w:sz w:val="18"/>
            </w:rPr>
          </w:pPr>
        </w:p>
      </w:tc>
    </w:tr>
    <w:tr w:rsidR="00091395" w:rsidTr="003507D2">
      <w:tc>
        <w:tcPr>
          <w:tcW w:w="5000" w:type="pct"/>
          <w:gridSpan w:val="3"/>
        </w:tcPr>
        <w:p w:rsidR="00091395" w:rsidRDefault="00091395" w:rsidP="003507D2">
          <w:pPr>
            <w:jc w:val="right"/>
            <w:rPr>
              <w:sz w:val="18"/>
            </w:rPr>
          </w:pPr>
        </w:p>
      </w:tc>
    </w:tr>
  </w:tbl>
  <w:p w:rsidR="00091395" w:rsidRPr="00ED79B6" w:rsidRDefault="00091395" w:rsidP="003507D2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95" w:rsidRPr="002B0EA5" w:rsidRDefault="00091395" w:rsidP="003507D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091395" w:rsidTr="003507D2">
      <w:tc>
        <w:tcPr>
          <w:tcW w:w="947" w:type="pct"/>
        </w:tcPr>
        <w:p w:rsidR="00091395" w:rsidRDefault="00091395" w:rsidP="003507D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091395" w:rsidRDefault="00091395" w:rsidP="003507D2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4190B">
            <w:rPr>
              <w:i/>
              <w:noProof/>
              <w:sz w:val="18"/>
            </w:rPr>
            <w:t>Private Health Insurance (Complying Product) Amendment (Terminating Products) Rules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091395" w:rsidRDefault="00091395" w:rsidP="003507D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4190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91395" w:rsidRPr="00ED79B6" w:rsidRDefault="00091395" w:rsidP="001B269E">
    <w:pPr>
      <w:tabs>
        <w:tab w:val="center" w:pos="3969"/>
        <w:tab w:val="right" w:pos="9356"/>
      </w:tabs>
      <w:jc w:val="both"/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95" w:rsidRPr="002B0EA5" w:rsidRDefault="00091395" w:rsidP="003507D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091395" w:rsidTr="003507D2">
      <w:tc>
        <w:tcPr>
          <w:tcW w:w="365" w:type="pct"/>
        </w:tcPr>
        <w:p w:rsidR="00091395" w:rsidRDefault="00091395" w:rsidP="003507D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091395" w:rsidRDefault="00091395" w:rsidP="003507D2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66018">
            <w:rPr>
              <w:i/>
              <w:noProof/>
              <w:sz w:val="18"/>
            </w:rPr>
            <w:t>Private Health Insurance (Complying Product) Amendment (Terminating Products) Rules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091395" w:rsidRDefault="00091395" w:rsidP="003507D2">
          <w:pPr>
            <w:spacing w:line="0" w:lineRule="atLeast"/>
            <w:jc w:val="right"/>
            <w:rPr>
              <w:sz w:val="18"/>
            </w:rPr>
          </w:pPr>
        </w:p>
      </w:tc>
    </w:tr>
    <w:tr w:rsidR="00091395" w:rsidTr="003507D2">
      <w:tc>
        <w:tcPr>
          <w:tcW w:w="5000" w:type="pct"/>
          <w:gridSpan w:val="3"/>
        </w:tcPr>
        <w:p w:rsidR="00091395" w:rsidRDefault="00091395" w:rsidP="003507D2">
          <w:pPr>
            <w:jc w:val="right"/>
            <w:rPr>
              <w:sz w:val="18"/>
            </w:rPr>
          </w:pPr>
        </w:p>
      </w:tc>
    </w:tr>
  </w:tbl>
  <w:p w:rsidR="00091395" w:rsidRPr="00ED79B6" w:rsidRDefault="00091395" w:rsidP="003507D2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95" w:rsidRPr="002B0EA5" w:rsidRDefault="00091395" w:rsidP="003507D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091395" w:rsidTr="003507D2">
      <w:tc>
        <w:tcPr>
          <w:tcW w:w="947" w:type="pct"/>
        </w:tcPr>
        <w:p w:rsidR="00091395" w:rsidRDefault="00091395" w:rsidP="003507D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091395" w:rsidRDefault="00091395" w:rsidP="003507D2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4190B">
            <w:rPr>
              <w:i/>
              <w:noProof/>
              <w:sz w:val="18"/>
            </w:rPr>
            <w:t>Private Health Insurance (Complying Product) Amendment (Terminating Products) Rules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091395" w:rsidRDefault="00091395" w:rsidP="003507D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4190B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91395" w:rsidRPr="00ED79B6" w:rsidRDefault="00091395" w:rsidP="00D04705">
    <w:pPr>
      <w:tabs>
        <w:tab w:val="center" w:pos="3969"/>
        <w:tab w:val="right" w:pos="9356"/>
      </w:tabs>
      <w:jc w:val="both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395" w:rsidRDefault="00091395" w:rsidP="00715914">
      <w:pPr>
        <w:spacing w:line="240" w:lineRule="auto"/>
      </w:pPr>
      <w:r>
        <w:separator/>
      </w:r>
    </w:p>
  </w:footnote>
  <w:footnote w:type="continuationSeparator" w:id="0">
    <w:p w:rsidR="00091395" w:rsidRDefault="0009139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95" w:rsidRPr="005F1388" w:rsidRDefault="00091395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95" w:rsidRPr="005F1388" w:rsidRDefault="0009139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95" w:rsidRPr="00ED79B6" w:rsidRDefault="00091395" w:rsidP="003507D2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95" w:rsidRPr="00ED79B6" w:rsidRDefault="00091395" w:rsidP="003507D2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95" w:rsidRPr="00ED79B6" w:rsidRDefault="00091395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95" w:rsidRDefault="00091395" w:rsidP="00715914">
    <w:pPr>
      <w:rPr>
        <w:sz w:val="20"/>
      </w:rPr>
    </w:pPr>
  </w:p>
  <w:p w:rsidR="00091395" w:rsidRDefault="00091395" w:rsidP="00715914">
    <w:pPr>
      <w:rPr>
        <w:sz w:val="20"/>
      </w:rPr>
    </w:pPr>
  </w:p>
  <w:p w:rsidR="00091395" w:rsidRPr="007A1328" w:rsidRDefault="00091395" w:rsidP="00715914">
    <w:pPr>
      <w:rPr>
        <w:sz w:val="20"/>
      </w:rPr>
    </w:pPr>
  </w:p>
  <w:p w:rsidR="00091395" w:rsidRPr="007A1328" w:rsidRDefault="00091395" w:rsidP="00715914">
    <w:pPr>
      <w:rPr>
        <w:b/>
        <w:sz w:val="24"/>
      </w:rPr>
    </w:pPr>
  </w:p>
  <w:p w:rsidR="00091395" w:rsidRPr="007A1328" w:rsidRDefault="00091395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95" w:rsidRPr="007A1328" w:rsidRDefault="00091395" w:rsidP="00715914">
    <w:pPr>
      <w:jc w:val="right"/>
      <w:rPr>
        <w:sz w:val="20"/>
      </w:rPr>
    </w:pPr>
  </w:p>
  <w:p w:rsidR="00091395" w:rsidRPr="007A1328" w:rsidRDefault="00091395" w:rsidP="00715914">
    <w:pPr>
      <w:jc w:val="right"/>
      <w:rPr>
        <w:sz w:val="20"/>
      </w:rPr>
    </w:pPr>
  </w:p>
  <w:p w:rsidR="00091395" w:rsidRPr="007A1328" w:rsidRDefault="00091395" w:rsidP="00715914">
    <w:pPr>
      <w:jc w:val="right"/>
      <w:rPr>
        <w:sz w:val="20"/>
      </w:rPr>
    </w:pPr>
  </w:p>
  <w:p w:rsidR="00091395" w:rsidRPr="007A1328" w:rsidRDefault="00091395" w:rsidP="00715914">
    <w:pPr>
      <w:jc w:val="right"/>
      <w:rPr>
        <w:b/>
        <w:sz w:val="24"/>
      </w:rPr>
    </w:pPr>
  </w:p>
  <w:p w:rsidR="00091395" w:rsidRPr="007A1328" w:rsidRDefault="00091395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2EF0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multilevel"/>
    <w:tmpl w:val="AAFE3D3E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3"/>
      <w:lvlJc w:val="left"/>
      <w:pPr>
        <w:ind w:left="0" w:firstLine="0"/>
      </w:pPr>
    </w:lvl>
    <w:lvl w:ilvl="3">
      <w:start w:val="1"/>
      <w:numFmt w:val="decimal"/>
      <w:lvlText w:val="Subdivision 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>
    <w:nsid w:val="FFFFFF7E"/>
    <w:multiLevelType w:val="multilevel"/>
    <w:tmpl w:val="80C46072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3">
    <w:nsid w:val="FFFFFF7F"/>
    <w:multiLevelType w:val="singleLevel"/>
    <w:tmpl w:val="6DB40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5E7B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5A84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8CD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D214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248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B4B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0DB2266"/>
    <w:multiLevelType w:val="hybridMultilevel"/>
    <w:tmpl w:val="63E605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4C6AF8"/>
    <w:multiLevelType w:val="hybridMultilevel"/>
    <w:tmpl w:val="1348F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17376"/>
    <w:multiLevelType w:val="hybridMultilevel"/>
    <w:tmpl w:val="7FF0B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340479"/>
    <w:multiLevelType w:val="hybridMultilevel"/>
    <w:tmpl w:val="AF7CCF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07539"/>
    <w:multiLevelType w:val="hybridMultilevel"/>
    <w:tmpl w:val="97B68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8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>
    <w:nsid w:val="41354871"/>
    <w:multiLevelType w:val="hybridMultilevel"/>
    <w:tmpl w:val="CD6EA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C05AF"/>
    <w:multiLevelType w:val="hybridMultilevel"/>
    <w:tmpl w:val="6AE8A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D66A7C"/>
    <w:multiLevelType w:val="hybridMultilevel"/>
    <w:tmpl w:val="DD3CF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144413"/>
    <w:multiLevelType w:val="multilevel"/>
    <w:tmpl w:val="1C1A5AA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43"/>
        </w:tabs>
        <w:ind w:left="1843" w:hanging="851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551"/>
        </w:tabs>
        <w:ind w:left="2551" w:hanging="85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 w:hint="default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 w:hint="default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 w:hint="default"/>
      </w:rPr>
    </w:lvl>
  </w:abstractNum>
  <w:abstractNum w:abstractNumId="23">
    <w:nsid w:val="68A550BF"/>
    <w:multiLevelType w:val="multilevel"/>
    <w:tmpl w:val="6E7861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sz w:val="24"/>
        <w:szCs w:val="24"/>
      </w:rPr>
    </w:lvl>
    <w:lvl w:ilvl="1">
      <w:start w:val="1"/>
      <w:numFmt w:val="none"/>
      <w:lvlText w:val="8A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70"/>
        </w:tabs>
        <w:ind w:left="2170" w:hanging="85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/>
      </w:rPr>
    </w:lvl>
  </w:abstractNum>
  <w:abstractNum w:abstractNumId="24">
    <w:nsid w:val="68F26A79"/>
    <w:multiLevelType w:val="hybridMultilevel"/>
    <w:tmpl w:val="C83C5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8A0048"/>
    <w:multiLevelType w:val="multilevel"/>
    <w:tmpl w:val="6E7861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sz w:val="24"/>
        <w:szCs w:val="24"/>
      </w:rPr>
    </w:lvl>
    <w:lvl w:ilvl="1">
      <w:start w:val="1"/>
      <w:numFmt w:val="none"/>
      <w:lvlText w:val="8A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70"/>
        </w:tabs>
        <w:ind w:left="2170" w:hanging="85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/>
      </w:rPr>
    </w:lvl>
  </w:abstractNum>
  <w:abstractNum w:abstractNumId="26">
    <w:nsid w:val="73AD7821"/>
    <w:multiLevelType w:val="hybridMultilevel"/>
    <w:tmpl w:val="BAC23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F944BF"/>
    <w:multiLevelType w:val="multilevel"/>
    <w:tmpl w:val="6E7861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sz w:val="24"/>
        <w:szCs w:val="24"/>
      </w:rPr>
    </w:lvl>
    <w:lvl w:ilvl="1">
      <w:start w:val="1"/>
      <w:numFmt w:val="none"/>
      <w:lvlText w:val="8A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70"/>
        </w:tabs>
        <w:ind w:left="2170" w:hanging="85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0"/>
  </w:num>
  <w:num w:numId="13">
    <w:abstractNumId w:val="11"/>
  </w:num>
  <w:num w:numId="14">
    <w:abstractNumId w:val="17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5"/>
  </w:num>
  <w:num w:numId="20">
    <w:abstractNumId w:val="24"/>
  </w:num>
  <w:num w:numId="21">
    <w:abstractNumId w:val="21"/>
  </w:num>
  <w:num w:numId="22">
    <w:abstractNumId w:val="15"/>
  </w:num>
  <w:num w:numId="23">
    <w:abstractNumId w:val="14"/>
  </w:num>
  <w:num w:numId="24">
    <w:abstractNumId w:val="26"/>
  </w:num>
  <w:num w:numId="25">
    <w:abstractNumId w:val="16"/>
  </w:num>
  <w:num w:numId="26">
    <w:abstractNumId w:val="12"/>
  </w:num>
  <w:num w:numId="27">
    <w:abstractNumId w:val="20"/>
  </w:num>
  <w:num w:numId="28">
    <w:abstractNumId w:val="1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A4"/>
    <w:rsid w:val="00002B3E"/>
    <w:rsid w:val="00004174"/>
    <w:rsid w:val="00004470"/>
    <w:rsid w:val="00004ADE"/>
    <w:rsid w:val="000052E0"/>
    <w:rsid w:val="00006535"/>
    <w:rsid w:val="00006E6A"/>
    <w:rsid w:val="00011B58"/>
    <w:rsid w:val="00012F49"/>
    <w:rsid w:val="000136AF"/>
    <w:rsid w:val="000136B4"/>
    <w:rsid w:val="00013A8F"/>
    <w:rsid w:val="00015AB6"/>
    <w:rsid w:val="000258B1"/>
    <w:rsid w:val="00037AAA"/>
    <w:rsid w:val="00040A89"/>
    <w:rsid w:val="000411D7"/>
    <w:rsid w:val="000427FF"/>
    <w:rsid w:val="00042B62"/>
    <w:rsid w:val="000437C1"/>
    <w:rsid w:val="0004455A"/>
    <w:rsid w:val="00045D17"/>
    <w:rsid w:val="000506EB"/>
    <w:rsid w:val="0005365D"/>
    <w:rsid w:val="00054F5C"/>
    <w:rsid w:val="00056495"/>
    <w:rsid w:val="000577E0"/>
    <w:rsid w:val="0006083C"/>
    <w:rsid w:val="000614BF"/>
    <w:rsid w:val="000615CE"/>
    <w:rsid w:val="00062340"/>
    <w:rsid w:val="0006709C"/>
    <w:rsid w:val="000740E7"/>
    <w:rsid w:val="00074376"/>
    <w:rsid w:val="00077646"/>
    <w:rsid w:val="000810CC"/>
    <w:rsid w:val="00081D0A"/>
    <w:rsid w:val="00083802"/>
    <w:rsid w:val="00084885"/>
    <w:rsid w:val="00086A05"/>
    <w:rsid w:val="0009036D"/>
    <w:rsid w:val="00091395"/>
    <w:rsid w:val="00091583"/>
    <w:rsid w:val="000947E4"/>
    <w:rsid w:val="00094822"/>
    <w:rsid w:val="0009485B"/>
    <w:rsid w:val="000978F5"/>
    <w:rsid w:val="000A0A4B"/>
    <w:rsid w:val="000A191C"/>
    <w:rsid w:val="000A50A7"/>
    <w:rsid w:val="000B15CD"/>
    <w:rsid w:val="000B35EB"/>
    <w:rsid w:val="000B5E2D"/>
    <w:rsid w:val="000C0D49"/>
    <w:rsid w:val="000D05EF"/>
    <w:rsid w:val="000E2261"/>
    <w:rsid w:val="000E432C"/>
    <w:rsid w:val="000E570E"/>
    <w:rsid w:val="000E6FA8"/>
    <w:rsid w:val="000E7533"/>
    <w:rsid w:val="000E78B7"/>
    <w:rsid w:val="000F0BE6"/>
    <w:rsid w:val="000F0CDF"/>
    <w:rsid w:val="000F21C1"/>
    <w:rsid w:val="0010615D"/>
    <w:rsid w:val="0010745C"/>
    <w:rsid w:val="00113461"/>
    <w:rsid w:val="001176F3"/>
    <w:rsid w:val="00121AD9"/>
    <w:rsid w:val="00122882"/>
    <w:rsid w:val="001303D6"/>
    <w:rsid w:val="00132B05"/>
    <w:rsid w:val="00132CEB"/>
    <w:rsid w:val="001339B0"/>
    <w:rsid w:val="00135EF1"/>
    <w:rsid w:val="001402E2"/>
    <w:rsid w:val="00140F83"/>
    <w:rsid w:val="00141056"/>
    <w:rsid w:val="0014216D"/>
    <w:rsid w:val="00142B62"/>
    <w:rsid w:val="001441B7"/>
    <w:rsid w:val="001444F8"/>
    <w:rsid w:val="001450CE"/>
    <w:rsid w:val="00145983"/>
    <w:rsid w:val="00145AA5"/>
    <w:rsid w:val="001516CB"/>
    <w:rsid w:val="0015180B"/>
    <w:rsid w:val="001519CF"/>
    <w:rsid w:val="00151D80"/>
    <w:rsid w:val="00152336"/>
    <w:rsid w:val="0015375D"/>
    <w:rsid w:val="00153AE3"/>
    <w:rsid w:val="001550CB"/>
    <w:rsid w:val="00156302"/>
    <w:rsid w:val="00157B8B"/>
    <w:rsid w:val="00162EFF"/>
    <w:rsid w:val="0016547D"/>
    <w:rsid w:val="00166840"/>
    <w:rsid w:val="00166C2F"/>
    <w:rsid w:val="00171432"/>
    <w:rsid w:val="0017250B"/>
    <w:rsid w:val="00172578"/>
    <w:rsid w:val="00172E95"/>
    <w:rsid w:val="0017539D"/>
    <w:rsid w:val="00177E8F"/>
    <w:rsid w:val="00180735"/>
    <w:rsid w:val="001809D7"/>
    <w:rsid w:val="00180D7C"/>
    <w:rsid w:val="001810C5"/>
    <w:rsid w:val="0019115F"/>
    <w:rsid w:val="001939E1"/>
    <w:rsid w:val="00194C3E"/>
    <w:rsid w:val="00194D0C"/>
    <w:rsid w:val="00195382"/>
    <w:rsid w:val="001A25F2"/>
    <w:rsid w:val="001B269E"/>
    <w:rsid w:val="001B2CB6"/>
    <w:rsid w:val="001B5696"/>
    <w:rsid w:val="001B7630"/>
    <w:rsid w:val="001C1508"/>
    <w:rsid w:val="001C534A"/>
    <w:rsid w:val="001C61C5"/>
    <w:rsid w:val="001C69C4"/>
    <w:rsid w:val="001D0A72"/>
    <w:rsid w:val="001D360E"/>
    <w:rsid w:val="001D37EF"/>
    <w:rsid w:val="001D4C5C"/>
    <w:rsid w:val="001D77E6"/>
    <w:rsid w:val="001E1778"/>
    <w:rsid w:val="001E3590"/>
    <w:rsid w:val="001E7407"/>
    <w:rsid w:val="001E7E4F"/>
    <w:rsid w:val="001F12F0"/>
    <w:rsid w:val="001F5D5E"/>
    <w:rsid w:val="001F6219"/>
    <w:rsid w:val="001F6CD4"/>
    <w:rsid w:val="00206C4D"/>
    <w:rsid w:val="00207964"/>
    <w:rsid w:val="00210B44"/>
    <w:rsid w:val="00211594"/>
    <w:rsid w:val="0021331B"/>
    <w:rsid w:val="00215104"/>
    <w:rsid w:val="00215AF1"/>
    <w:rsid w:val="0021619A"/>
    <w:rsid w:val="002161F4"/>
    <w:rsid w:val="002167B8"/>
    <w:rsid w:val="00216B39"/>
    <w:rsid w:val="0022022D"/>
    <w:rsid w:val="00221553"/>
    <w:rsid w:val="00221FE2"/>
    <w:rsid w:val="00222743"/>
    <w:rsid w:val="00222AFA"/>
    <w:rsid w:val="00224CE7"/>
    <w:rsid w:val="00225CA4"/>
    <w:rsid w:val="002321E8"/>
    <w:rsid w:val="00232984"/>
    <w:rsid w:val="002330B4"/>
    <w:rsid w:val="0024010F"/>
    <w:rsid w:val="00240749"/>
    <w:rsid w:val="00242663"/>
    <w:rsid w:val="00243018"/>
    <w:rsid w:val="002446B4"/>
    <w:rsid w:val="002544DA"/>
    <w:rsid w:val="002564A4"/>
    <w:rsid w:val="00260ECE"/>
    <w:rsid w:val="00261F06"/>
    <w:rsid w:val="00265161"/>
    <w:rsid w:val="00265EFC"/>
    <w:rsid w:val="0026658B"/>
    <w:rsid w:val="0026722C"/>
    <w:rsid w:val="0026736C"/>
    <w:rsid w:val="00271A63"/>
    <w:rsid w:val="00281308"/>
    <w:rsid w:val="00282894"/>
    <w:rsid w:val="00284719"/>
    <w:rsid w:val="00290368"/>
    <w:rsid w:val="002947C5"/>
    <w:rsid w:val="002964EA"/>
    <w:rsid w:val="00297ECB"/>
    <w:rsid w:val="002A7BCF"/>
    <w:rsid w:val="002B0B56"/>
    <w:rsid w:val="002B724C"/>
    <w:rsid w:val="002C0E08"/>
    <w:rsid w:val="002C2BE3"/>
    <w:rsid w:val="002C31FA"/>
    <w:rsid w:val="002C3FD1"/>
    <w:rsid w:val="002C68B3"/>
    <w:rsid w:val="002C75BE"/>
    <w:rsid w:val="002D043A"/>
    <w:rsid w:val="002D0F2F"/>
    <w:rsid w:val="002D266B"/>
    <w:rsid w:val="002D6224"/>
    <w:rsid w:val="002E1C9A"/>
    <w:rsid w:val="002E6FA9"/>
    <w:rsid w:val="002F0926"/>
    <w:rsid w:val="002F2CB3"/>
    <w:rsid w:val="002F54F7"/>
    <w:rsid w:val="002F570D"/>
    <w:rsid w:val="00304F8B"/>
    <w:rsid w:val="0030560A"/>
    <w:rsid w:val="00306D6D"/>
    <w:rsid w:val="003114E0"/>
    <w:rsid w:val="00314493"/>
    <w:rsid w:val="00314A6A"/>
    <w:rsid w:val="00315523"/>
    <w:rsid w:val="003168E6"/>
    <w:rsid w:val="00323385"/>
    <w:rsid w:val="003240AA"/>
    <w:rsid w:val="00330A1F"/>
    <w:rsid w:val="00335BC6"/>
    <w:rsid w:val="00340B78"/>
    <w:rsid w:val="003415D3"/>
    <w:rsid w:val="00344338"/>
    <w:rsid w:val="00344701"/>
    <w:rsid w:val="00346D62"/>
    <w:rsid w:val="00347475"/>
    <w:rsid w:val="003507D2"/>
    <w:rsid w:val="00352B0F"/>
    <w:rsid w:val="00353D53"/>
    <w:rsid w:val="00360459"/>
    <w:rsid w:val="003622A8"/>
    <w:rsid w:val="00362F47"/>
    <w:rsid w:val="003675FB"/>
    <w:rsid w:val="003676DC"/>
    <w:rsid w:val="00374378"/>
    <w:rsid w:val="00374AB9"/>
    <w:rsid w:val="0038049F"/>
    <w:rsid w:val="00382861"/>
    <w:rsid w:val="0038431D"/>
    <w:rsid w:val="00384406"/>
    <w:rsid w:val="003851E1"/>
    <w:rsid w:val="003853DE"/>
    <w:rsid w:val="003915B2"/>
    <w:rsid w:val="00392F78"/>
    <w:rsid w:val="00396CB9"/>
    <w:rsid w:val="003A11F6"/>
    <w:rsid w:val="003A222D"/>
    <w:rsid w:val="003A5FD1"/>
    <w:rsid w:val="003B2A75"/>
    <w:rsid w:val="003B3573"/>
    <w:rsid w:val="003B7230"/>
    <w:rsid w:val="003B7759"/>
    <w:rsid w:val="003C0F29"/>
    <w:rsid w:val="003C1F13"/>
    <w:rsid w:val="003C6231"/>
    <w:rsid w:val="003C773E"/>
    <w:rsid w:val="003D06FF"/>
    <w:rsid w:val="003D0BFE"/>
    <w:rsid w:val="003D24FC"/>
    <w:rsid w:val="003D3264"/>
    <w:rsid w:val="003D3BEE"/>
    <w:rsid w:val="003D5700"/>
    <w:rsid w:val="003D5D47"/>
    <w:rsid w:val="003E341B"/>
    <w:rsid w:val="003E4D00"/>
    <w:rsid w:val="003E7092"/>
    <w:rsid w:val="003E7E60"/>
    <w:rsid w:val="003F3C6E"/>
    <w:rsid w:val="004002DD"/>
    <w:rsid w:val="00401EFE"/>
    <w:rsid w:val="0040569C"/>
    <w:rsid w:val="00406313"/>
    <w:rsid w:val="00410E32"/>
    <w:rsid w:val="004116CD"/>
    <w:rsid w:val="00412EA6"/>
    <w:rsid w:val="00413641"/>
    <w:rsid w:val="00417EB9"/>
    <w:rsid w:val="00424CA9"/>
    <w:rsid w:val="004257D2"/>
    <w:rsid w:val="004276DF"/>
    <w:rsid w:val="00431E9B"/>
    <w:rsid w:val="004356EB"/>
    <w:rsid w:val="004379E3"/>
    <w:rsid w:val="0044015E"/>
    <w:rsid w:val="00440EED"/>
    <w:rsid w:val="0044291A"/>
    <w:rsid w:val="00444BE5"/>
    <w:rsid w:val="00456F04"/>
    <w:rsid w:val="00467661"/>
    <w:rsid w:val="00472DBE"/>
    <w:rsid w:val="004748BA"/>
    <w:rsid w:val="00474A19"/>
    <w:rsid w:val="00477830"/>
    <w:rsid w:val="0048445A"/>
    <w:rsid w:val="00487764"/>
    <w:rsid w:val="00495358"/>
    <w:rsid w:val="004962C2"/>
    <w:rsid w:val="00496F97"/>
    <w:rsid w:val="004A0CF6"/>
    <w:rsid w:val="004A2AC8"/>
    <w:rsid w:val="004A46E0"/>
    <w:rsid w:val="004A7385"/>
    <w:rsid w:val="004B5A78"/>
    <w:rsid w:val="004B6C48"/>
    <w:rsid w:val="004C08D6"/>
    <w:rsid w:val="004C28D4"/>
    <w:rsid w:val="004C339D"/>
    <w:rsid w:val="004C3D5E"/>
    <w:rsid w:val="004C4E59"/>
    <w:rsid w:val="004C65B0"/>
    <w:rsid w:val="004C6809"/>
    <w:rsid w:val="004C6CE4"/>
    <w:rsid w:val="004C7D80"/>
    <w:rsid w:val="004D1FEA"/>
    <w:rsid w:val="004D546D"/>
    <w:rsid w:val="004D7471"/>
    <w:rsid w:val="004E063A"/>
    <w:rsid w:val="004E1307"/>
    <w:rsid w:val="004E374D"/>
    <w:rsid w:val="004E6166"/>
    <w:rsid w:val="004E62D1"/>
    <w:rsid w:val="004E7BEC"/>
    <w:rsid w:val="004F0468"/>
    <w:rsid w:val="004F18DA"/>
    <w:rsid w:val="004F1BE1"/>
    <w:rsid w:val="004F1F6F"/>
    <w:rsid w:val="004F4C1B"/>
    <w:rsid w:val="004F5CD1"/>
    <w:rsid w:val="004F7049"/>
    <w:rsid w:val="00505D3D"/>
    <w:rsid w:val="00506AF6"/>
    <w:rsid w:val="005131F9"/>
    <w:rsid w:val="00516B8D"/>
    <w:rsid w:val="00527354"/>
    <w:rsid w:val="00527AA1"/>
    <w:rsid w:val="005303C8"/>
    <w:rsid w:val="00533BB2"/>
    <w:rsid w:val="005359E5"/>
    <w:rsid w:val="00536BD0"/>
    <w:rsid w:val="00537FBC"/>
    <w:rsid w:val="005421FC"/>
    <w:rsid w:val="0054257A"/>
    <w:rsid w:val="00542F8E"/>
    <w:rsid w:val="00543F64"/>
    <w:rsid w:val="0054643B"/>
    <w:rsid w:val="00552645"/>
    <w:rsid w:val="00554826"/>
    <w:rsid w:val="005561F7"/>
    <w:rsid w:val="00561AD9"/>
    <w:rsid w:val="00570C72"/>
    <w:rsid w:val="00574F39"/>
    <w:rsid w:val="00576B7F"/>
    <w:rsid w:val="00576B9F"/>
    <w:rsid w:val="00583999"/>
    <w:rsid w:val="00584811"/>
    <w:rsid w:val="005850C1"/>
    <w:rsid w:val="00585784"/>
    <w:rsid w:val="00591EAC"/>
    <w:rsid w:val="00593AA6"/>
    <w:rsid w:val="00594161"/>
    <w:rsid w:val="00594749"/>
    <w:rsid w:val="005A0FF4"/>
    <w:rsid w:val="005A58A8"/>
    <w:rsid w:val="005A65D5"/>
    <w:rsid w:val="005B02D7"/>
    <w:rsid w:val="005B19E4"/>
    <w:rsid w:val="005B4067"/>
    <w:rsid w:val="005B4812"/>
    <w:rsid w:val="005C050D"/>
    <w:rsid w:val="005C1EFE"/>
    <w:rsid w:val="005C3F41"/>
    <w:rsid w:val="005C48F3"/>
    <w:rsid w:val="005C5145"/>
    <w:rsid w:val="005C7286"/>
    <w:rsid w:val="005C79FA"/>
    <w:rsid w:val="005D1D92"/>
    <w:rsid w:val="005D2D09"/>
    <w:rsid w:val="005D30B8"/>
    <w:rsid w:val="005D4F8D"/>
    <w:rsid w:val="005D5D1A"/>
    <w:rsid w:val="005E3AA9"/>
    <w:rsid w:val="005E5740"/>
    <w:rsid w:val="005E6F9E"/>
    <w:rsid w:val="005F11D1"/>
    <w:rsid w:val="005F3D90"/>
    <w:rsid w:val="005F46F3"/>
    <w:rsid w:val="005F745B"/>
    <w:rsid w:val="0060001B"/>
    <w:rsid w:val="00600219"/>
    <w:rsid w:val="00600B75"/>
    <w:rsid w:val="00603248"/>
    <w:rsid w:val="006048F2"/>
    <w:rsid w:val="00604F2A"/>
    <w:rsid w:val="00606E10"/>
    <w:rsid w:val="00611100"/>
    <w:rsid w:val="00617494"/>
    <w:rsid w:val="00620076"/>
    <w:rsid w:val="006237F6"/>
    <w:rsid w:val="00625EAF"/>
    <w:rsid w:val="00627E0A"/>
    <w:rsid w:val="0063395F"/>
    <w:rsid w:val="00634A2B"/>
    <w:rsid w:val="00637F6C"/>
    <w:rsid w:val="0064190B"/>
    <w:rsid w:val="006428CE"/>
    <w:rsid w:val="0064468A"/>
    <w:rsid w:val="00645533"/>
    <w:rsid w:val="00647203"/>
    <w:rsid w:val="00650303"/>
    <w:rsid w:val="00650322"/>
    <w:rsid w:val="00651598"/>
    <w:rsid w:val="0065488B"/>
    <w:rsid w:val="00657EB1"/>
    <w:rsid w:val="00665366"/>
    <w:rsid w:val="00666879"/>
    <w:rsid w:val="00670A4A"/>
    <w:rsid w:val="00670EA1"/>
    <w:rsid w:val="00677CC2"/>
    <w:rsid w:val="0068201F"/>
    <w:rsid w:val="00682DD6"/>
    <w:rsid w:val="0068744B"/>
    <w:rsid w:val="006905DE"/>
    <w:rsid w:val="0069064E"/>
    <w:rsid w:val="0069207B"/>
    <w:rsid w:val="00695155"/>
    <w:rsid w:val="0069799C"/>
    <w:rsid w:val="006A154F"/>
    <w:rsid w:val="006A19AF"/>
    <w:rsid w:val="006A437B"/>
    <w:rsid w:val="006A4CCB"/>
    <w:rsid w:val="006B13B8"/>
    <w:rsid w:val="006B5789"/>
    <w:rsid w:val="006C30C5"/>
    <w:rsid w:val="006C7F8C"/>
    <w:rsid w:val="006D5C12"/>
    <w:rsid w:val="006E2E1C"/>
    <w:rsid w:val="006E43E3"/>
    <w:rsid w:val="006E489B"/>
    <w:rsid w:val="006E6246"/>
    <w:rsid w:val="006E69C2"/>
    <w:rsid w:val="006E6DCC"/>
    <w:rsid w:val="006E6E7F"/>
    <w:rsid w:val="006F00AD"/>
    <w:rsid w:val="006F318F"/>
    <w:rsid w:val="006F4484"/>
    <w:rsid w:val="006F64C3"/>
    <w:rsid w:val="006F658F"/>
    <w:rsid w:val="006F6A8E"/>
    <w:rsid w:val="0070017E"/>
    <w:rsid w:val="00700B2C"/>
    <w:rsid w:val="007016A9"/>
    <w:rsid w:val="00702080"/>
    <w:rsid w:val="00702396"/>
    <w:rsid w:val="007050A2"/>
    <w:rsid w:val="007074CF"/>
    <w:rsid w:val="00711041"/>
    <w:rsid w:val="00711D10"/>
    <w:rsid w:val="00713084"/>
    <w:rsid w:val="00714F20"/>
    <w:rsid w:val="0071590F"/>
    <w:rsid w:val="00715914"/>
    <w:rsid w:val="0072147A"/>
    <w:rsid w:val="007220E6"/>
    <w:rsid w:val="0072335E"/>
    <w:rsid w:val="00723791"/>
    <w:rsid w:val="0072780F"/>
    <w:rsid w:val="00730E7C"/>
    <w:rsid w:val="00731E00"/>
    <w:rsid w:val="00737533"/>
    <w:rsid w:val="0074088B"/>
    <w:rsid w:val="007440B7"/>
    <w:rsid w:val="00744AF2"/>
    <w:rsid w:val="00746704"/>
    <w:rsid w:val="007500C8"/>
    <w:rsid w:val="00756272"/>
    <w:rsid w:val="00756FEC"/>
    <w:rsid w:val="007577EC"/>
    <w:rsid w:val="00762D38"/>
    <w:rsid w:val="00764662"/>
    <w:rsid w:val="007663CE"/>
    <w:rsid w:val="007715C9"/>
    <w:rsid w:val="00771613"/>
    <w:rsid w:val="00774EDD"/>
    <w:rsid w:val="007757EC"/>
    <w:rsid w:val="00781D75"/>
    <w:rsid w:val="00783416"/>
    <w:rsid w:val="00783E89"/>
    <w:rsid w:val="00787A1C"/>
    <w:rsid w:val="00793915"/>
    <w:rsid w:val="00796E79"/>
    <w:rsid w:val="007A2F5C"/>
    <w:rsid w:val="007A6392"/>
    <w:rsid w:val="007A75FF"/>
    <w:rsid w:val="007B1FFD"/>
    <w:rsid w:val="007B23BB"/>
    <w:rsid w:val="007B2BF0"/>
    <w:rsid w:val="007B3359"/>
    <w:rsid w:val="007B63BD"/>
    <w:rsid w:val="007B7063"/>
    <w:rsid w:val="007C2253"/>
    <w:rsid w:val="007D7911"/>
    <w:rsid w:val="007E01D1"/>
    <w:rsid w:val="007E06D0"/>
    <w:rsid w:val="007E163D"/>
    <w:rsid w:val="007E2C13"/>
    <w:rsid w:val="007E460A"/>
    <w:rsid w:val="007E5013"/>
    <w:rsid w:val="007E667A"/>
    <w:rsid w:val="007F101E"/>
    <w:rsid w:val="007F28C9"/>
    <w:rsid w:val="007F51B2"/>
    <w:rsid w:val="00801870"/>
    <w:rsid w:val="00803B1B"/>
    <w:rsid w:val="008040DD"/>
    <w:rsid w:val="0080445C"/>
    <w:rsid w:val="00804641"/>
    <w:rsid w:val="00804885"/>
    <w:rsid w:val="00805371"/>
    <w:rsid w:val="008117E9"/>
    <w:rsid w:val="008126CA"/>
    <w:rsid w:val="008200B2"/>
    <w:rsid w:val="008223BD"/>
    <w:rsid w:val="00824498"/>
    <w:rsid w:val="0082667C"/>
    <w:rsid w:val="008269BD"/>
    <w:rsid w:val="00826BD1"/>
    <w:rsid w:val="00827636"/>
    <w:rsid w:val="008328FA"/>
    <w:rsid w:val="00844C01"/>
    <w:rsid w:val="00844CD3"/>
    <w:rsid w:val="00852505"/>
    <w:rsid w:val="00854D0B"/>
    <w:rsid w:val="00855030"/>
    <w:rsid w:val="00855379"/>
    <w:rsid w:val="00856752"/>
    <w:rsid w:val="00856A31"/>
    <w:rsid w:val="00860B4E"/>
    <w:rsid w:val="00864594"/>
    <w:rsid w:val="00866755"/>
    <w:rsid w:val="00867B37"/>
    <w:rsid w:val="008754D0"/>
    <w:rsid w:val="00875D13"/>
    <w:rsid w:val="0088235F"/>
    <w:rsid w:val="00882907"/>
    <w:rsid w:val="008855C9"/>
    <w:rsid w:val="00886456"/>
    <w:rsid w:val="0088662B"/>
    <w:rsid w:val="00890B51"/>
    <w:rsid w:val="008943B5"/>
    <w:rsid w:val="00896093"/>
    <w:rsid w:val="00896176"/>
    <w:rsid w:val="008A020F"/>
    <w:rsid w:val="008A11E3"/>
    <w:rsid w:val="008A1915"/>
    <w:rsid w:val="008A1BF8"/>
    <w:rsid w:val="008A46E1"/>
    <w:rsid w:val="008A4D66"/>
    <w:rsid w:val="008A4F43"/>
    <w:rsid w:val="008B0947"/>
    <w:rsid w:val="008B13B4"/>
    <w:rsid w:val="008B1BE1"/>
    <w:rsid w:val="008B25EF"/>
    <w:rsid w:val="008B2706"/>
    <w:rsid w:val="008B414E"/>
    <w:rsid w:val="008B43A6"/>
    <w:rsid w:val="008B7EF8"/>
    <w:rsid w:val="008C0460"/>
    <w:rsid w:val="008C2EAC"/>
    <w:rsid w:val="008C446A"/>
    <w:rsid w:val="008C593A"/>
    <w:rsid w:val="008C7F8B"/>
    <w:rsid w:val="008D0EE0"/>
    <w:rsid w:val="008D2F7B"/>
    <w:rsid w:val="008D36E0"/>
    <w:rsid w:val="008E0027"/>
    <w:rsid w:val="008E23E0"/>
    <w:rsid w:val="008E3A77"/>
    <w:rsid w:val="008E6067"/>
    <w:rsid w:val="008F0958"/>
    <w:rsid w:val="008F1CA1"/>
    <w:rsid w:val="008F54E7"/>
    <w:rsid w:val="00900BB2"/>
    <w:rsid w:val="00903422"/>
    <w:rsid w:val="00905E06"/>
    <w:rsid w:val="00911066"/>
    <w:rsid w:val="00911BDC"/>
    <w:rsid w:val="00922A7A"/>
    <w:rsid w:val="009254C3"/>
    <w:rsid w:val="00932377"/>
    <w:rsid w:val="009345E6"/>
    <w:rsid w:val="00941236"/>
    <w:rsid w:val="0094280C"/>
    <w:rsid w:val="00943FD5"/>
    <w:rsid w:val="00945B52"/>
    <w:rsid w:val="00945F2F"/>
    <w:rsid w:val="00946D96"/>
    <w:rsid w:val="00947D5A"/>
    <w:rsid w:val="009532A5"/>
    <w:rsid w:val="009545BD"/>
    <w:rsid w:val="00964CF0"/>
    <w:rsid w:val="00965E16"/>
    <w:rsid w:val="009679CE"/>
    <w:rsid w:val="00967A6C"/>
    <w:rsid w:val="00971F9B"/>
    <w:rsid w:val="009730A4"/>
    <w:rsid w:val="00977806"/>
    <w:rsid w:val="00980BED"/>
    <w:rsid w:val="00981093"/>
    <w:rsid w:val="00982242"/>
    <w:rsid w:val="0098426E"/>
    <w:rsid w:val="009868E9"/>
    <w:rsid w:val="00987495"/>
    <w:rsid w:val="009900A3"/>
    <w:rsid w:val="0099670B"/>
    <w:rsid w:val="009A3331"/>
    <w:rsid w:val="009A3B36"/>
    <w:rsid w:val="009A3C89"/>
    <w:rsid w:val="009A4971"/>
    <w:rsid w:val="009A7597"/>
    <w:rsid w:val="009B7D9B"/>
    <w:rsid w:val="009C1061"/>
    <w:rsid w:val="009C3413"/>
    <w:rsid w:val="009C5636"/>
    <w:rsid w:val="009D0AF9"/>
    <w:rsid w:val="009E1274"/>
    <w:rsid w:val="009E15A8"/>
    <w:rsid w:val="009E420D"/>
    <w:rsid w:val="009E4687"/>
    <w:rsid w:val="009E6A03"/>
    <w:rsid w:val="009E6F18"/>
    <w:rsid w:val="009F2357"/>
    <w:rsid w:val="009F3ED3"/>
    <w:rsid w:val="009F4308"/>
    <w:rsid w:val="00A0123A"/>
    <w:rsid w:val="00A017CF"/>
    <w:rsid w:val="00A0441E"/>
    <w:rsid w:val="00A10182"/>
    <w:rsid w:val="00A1161A"/>
    <w:rsid w:val="00A11B30"/>
    <w:rsid w:val="00A12128"/>
    <w:rsid w:val="00A13332"/>
    <w:rsid w:val="00A162C3"/>
    <w:rsid w:val="00A16723"/>
    <w:rsid w:val="00A171A1"/>
    <w:rsid w:val="00A17C2F"/>
    <w:rsid w:val="00A2299F"/>
    <w:rsid w:val="00A22C98"/>
    <w:rsid w:val="00A231E2"/>
    <w:rsid w:val="00A252DD"/>
    <w:rsid w:val="00A33AEB"/>
    <w:rsid w:val="00A34C1D"/>
    <w:rsid w:val="00A369E3"/>
    <w:rsid w:val="00A37806"/>
    <w:rsid w:val="00A57600"/>
    <w:rsid w:val="00A57A61"/>
    <w:rsid w:val="00A640D2"/>
    <w:rsid w:val="00A64912"/>
    <w:rsid w:val="00A65DA0"/>
    <w:rsid w:val="00A70A74"/>
    <w:rsid w:val="00A71E2B"/>
    <w:rsid w:val="00A740E6"/>
    <w:rsid w:val="00A75C64"/>
    <w:rsid w:val="00A75FE9"/>
    <w:rsid w:val="00A800CE"/>
    <w:rsid w:val="00A90455"/>
    <w:rsid w:val="00A96AF7"/>
    <w:rsid w:val="00AA0220"/>
    <w:rsid w:val="00AA2A1F"/>
    <w:rsid w:val="00AA3EC8"/>
    <w:rsid w:val="00AC0E38"/>
    <w:rsid w:val="00AC36C7"/>
    <w:rsid w:val="00AC5B1A"/>
    <w:rsid w:val="00AC6FFF"/>
    <w:rsid w:val="00AD53CC"/>
    <w:rsid w:val="00AD5641"/>
    <w:rsid w:val="00AE2964"/>
    <w:rsid w:val="00AE3192"/>
    <w:rsid w:val="00AE4E0C"/>
    <w:rsid w:val="00AF06CF"/>
    <w:rsid w:val="00AF136D"/>
    <w:rsid w:val="00AF5C44"/>
    <w:rsid w:val="00AF75AB"/>
    <w:rsid w:val="00B01166"/>
    <w:rsid w:val="00B02B4E"/>
    <w:rsid w:val="00B03B51"/>
    <w:rsid w:val="00B0532C"/>
    <w:rsid w:val="00B0657D"/>
    <w:rsid w:val="00B07CDB"/>
    <w:rsid w:val="00B12144"/>
    <w:rsid w:val="00B15188"/>
    <w:rsid w:val="00B16A31"/>
    <w:rsid w:val="00B17DFD"/>
    <w:rsid w:val="00B2338C"/>
    <w:rsid w:val="00B23C90"/>
    <w:rsid w:val="00B24F75"/>
    <w:rsid w:val="00B25306"/>
    <w:rsid w:val="00B25BBF"/>
    <w:rsid w:val="00B27831"/>
    <w:rsid w:val="00B308FE"/>
    <w:rsid w:val="00B33709"/>
    <w:rsid w:val="00B33B3C"/>
    <w:rsid w:val="00B35E80"/>
    <w:rsid w:val="00B36392"/>
    <w:rsid w:val="00B367F7"/>
    <w:rsid w:val="00B418CB"/>
    <w:rsid w:val="00B443D7"/>
    <w:rsid w:val="00B472F2"/>
    <w:rsid w:val="00B47444"/>
    <w:rsid w:val="00B47C4B"/>
    <w:rsid w:val="00B50ADC"/>
    <w:rsid w:val="00B515A5"/>
    <w:rsid w:val="00B566B1"/>
    <w:rsid w:val="00B56903"/>
    <w:rsid w:val="00B57674"/>
    <w:rsid w:val="00B60D5A"/>
    <w:rsid w:val="00B6374B"/>
    <w:rsid w:val="00B63834"/>
    <w:rsid w:val="00B64A49"/>
    <w:rsid w:val="00B659A4"/>
    <w:rsid w:val="00B66018"/>
    <w:rsid w:val="00B73457"/>
    <w:rsid w:val="00B737DB"/>
    <w:rsid w:val="00B76056"/>
    <w:rsid w:val="00B80199"/>
    <w:rsid w:val="00B83204"/>
    <w:rsid w:val="00B83EF8"/>
    <w:rsid w:val="00B856BD"/>
    <w:rsid w:val="00B856E7"/>
    <w:rsid w:val="00B856FB"/>
    <w:rsid w:val="00B85948"/>
    <w:rsid w:val="00B940ED"/>
    <w:rsid w:val="00B95983"/>
    <w:rsid w:val="00B95BDE"/>
    <w:rsid w:val="00BA083A"/>
    <w:rsid w:val="00BA0D7B"/>
    <w:rsid w:val="00BA220B"/>
    <w:rsid w:val="00BA3A57"/>
    <w:rsid w:val="00BB1533"/>
    <w:rsid w:val="00BB4E1A"/>
    <w:rsid w:val="00BB599C"/>
    <w:rsid w:val="00BC015E"/>
    <w:rsid w:val="00BC3D80"/>
    <w:rsid w:val="00BC76AC"/>
    <w:rsid w:val="00BD0462"/>
    <w:rsid w:val="00BD0ECB"/>
    <w:rsid w:val="00BD1DD6"/>
    <w:rsid w:val="00BD5530"/>
    <w:rsid w:val="00BD6035"/>
    <w:rsid w:val="00BD63EB"/>
    <w:rsid w:val="00BD7BCE"/>
    <w:rsid w:val="00BE0C7F"/>
    <w:rsid w:val="00BE2155"/>
    <w:rsid w:val="00BE5DFA"/>
    <w:rsid w:val="00BE719A"/>
    <w:rsid w:val="00BE720A"/>
    <w:rsid w:val="00BE7C97"/>
    <w:rsid w:val="00BF0BA0"/>
    <w:rsid w:val="00BF0D73"/>
    <w:rsid w:val="00BF2465"/>
    <w:rsid w:val="00BF5A6E"/>
    <w:rsid w:val="00BF737B"/>
    <w:rsid w:val="00C00867"/>
    <w:rsid w:val="00C029B3"/>
    <w:rsid w:val="00C02D2A"/>
    <w:rsid w:val="00C038DC"/>
    <w:rsid w:val="00C03904"/>
    <w:rsid w:val="00C12200"/>
    <w:rsid w:val="00C12497"/>
    <w:rsid w:val="00C133F8"/>
    <w:rsid w:val="00C15259"/>
    <w:rsid w:val="00C1549C"/>
    <w:rsid w:val="00C15FDE"/>
    <w:rsid w:val="00C16619"/>
    <w:rsid w:val="00C20DCA"/>
    <w:rsid w:val="00C221B4"/>
    <w:rsid w:val="00C25E7F"/>
    <w:rsid w:val="00C2746F"/>
    <w:rsid w:val="00C31632"/>
    <w:rsid w:val="00C323D6"/>
    <w:rsid w:val="00C324A0"/>
    <w:rsid w:val="00C333D9"/>
    <w:rsid w:val="00C34978"/>
    <w:rsid w:val="00C35942"/>
    <w:rsid w:val="00C35DD7"/>
    <w:rsid w:val="00C42BF8"/>
    <w:rsid w:val="00C463D1"/>
    <w:rsid w:val="00C47EB0"/>
    <w:rsid w:val="00C50043"/>
    <w:rsid w:val="00C514DE"/>
    <w:rsid w:val="00C5236A"/>
    <w:rsid w:val="00C53705"/>
    <w:rsid w:val="00C53B46"/>
    <w:rsid w:val="00C5477E"/>
    <w:rsid w:val="00C55992"/>
    <w:rsid w:val="00C55BE2"/>
    <w:rsid w:val="00C66D15"/>
    <w:rsid w:val="00C71AB8"/>
    <w:rsid w:val="00C7460F"/>
    <w:rsid w:val="00C7573B"/>
    <w:rsid w:val="00C778A8"/>
    <w:rsid w:val="00C86A0F"/>
    <w:rsid w:val="00C87219"/>
    <w:rsid w:val="00C92A25"/>
    <w:rsid w:val="00C94A93"/>
    <w:rsid w:val="00C96F63"/>
    <w:rsid w:val="00C97A54"/>
    <w:rsid w:val="00C97B3B"/>
    <w:rsid w:val="00CA5B23"/>
    <w:rsid w:val="00CB4CDB"/>
    <w:rsid w:val="00CB5B2E"/>
    <w:rsid w:val="00CB602E"/>
    <w:rsid w:val="00CB6FD2"/>
    <w:rsid w:val="00CB74FE"/>
    <w:rsid w:val="00CB7E90"/>
    <w:rsid w:val="00CC1E35"/>
    <w:rsid w:val="00CD0365"/>
    <w:rsid w:val="00CE051D"/>
    <w:rsid w:val="00CE12CF"/>
    <w:rsid w:val="00CE1335"/>
    <w:rsid w:val="00CE17B7"/>
    <w:rsid w:val="00CE493D"/>
    <w:rsid w:val="00CE51C5"/>
    <w:rsid w:val="00CF07FA"/>
    <w:rsid w:val="00CF0BB2"/>
    <w:rsid w:val="00CF14A5"/>
    <w:rsid w:val="00CF3EE8"/>
    <w:rsid w:val="00CF415E"/>
    <w:rsid w:val="00CF5BCD"/>
    <w:rsid w:val="00CF6F36"/>
    <w:rsid w:val="00D0379B"/>
    <w:rsid w:val="00D04705"/>
    <w:rsid w:val="00D04BEF"/>
    <w:rsid w:val="00D04D0E"/>
    <w:rsid w:val="00D115C1"/>
    <w:rsid w:val="00D11EB3"/>
    <w:rsid w:val="00D13441"/>
    <w:rsid w:val="00D150E7"/>
    <w:rsid w:val="00D23BDD"/>
    <w:rsid w:val="00D262A3"/>
    <w:rsid w:val="00D27CE3"/>
    <w:rsid w:val="00D27DB8"/>
    <w:rsid w:val="00D32A3C"/>
    <w:rsid w:val="00D35B63"/>
    <w:rsid w:val="00D362A9"/>
    <w:rsid w:val="00D405AA"/>
    <w:rsid w:val="00D43250"/>
    <w:rsid w:val="00D43FF3"/>
    <w:rsid w:val="00D458B4"/>
    <w:rsid w:val="00D468C0"/>
    <w:rsid w:val="00D52DC2"/>
    <w:rsid w:val="00D52DF7"/>
    <w:rsid w:val="00D53BCC"/>
    <w:rsid w:val="00D54C9E"/>
    <w:rsid w:val="00D551BF"/>
    <w:rsid w:val="00D57B7A"/>
    <w:rsid w:val="00D57E0E"/>
    <w:rsid w:val="00D60705"/>
    <w:rsid w:val="00D63E87"/>
    <w:rsid w:val="00D6537E"/>
    <w:rsid w:val="00D65982"/>
    <w:rsid w:val="00D67BB9"/>
    <w:rsid w:val="00D70DFB"/>
    <w:rsid w:val="00D723AA"/>
    <w:rsid w:val="00D766DF"/>
    <w:rsid w:val="00D7673E"/>
    <w:rsid w:val="00D80A64"/>
    <w:rsid w:val="00D8206C"/>
    <w:rsid w:val="00D82BD1"/>
    <w:rsid w:val="00D85534"/>
    <w:rsid w:val="00D86778"/>
    <w:rsid w:val="00D91F10"/>
    <w:rsid w:val="00D935A8"/>
    <w:rsid w:val="00D93AA3"/>
    <w:rsid w:val="00DA186E"/>
    <w:rsid w:val="00DA4116"/>
    <w:rsid w:val="00DA6357"/>
    <w:rsid w:val="00DA7E95"/>
    <w:rsid w:val="00DB251C"/>
    <w:rsid w:val="00DB4630"/>
    <w:rsid w:val="00DB4C80"/>
    <w:rsid w:val="00DC06C7"/>
    <w:rsid w:val="00DC2AF3"/>
    <w:rsid w:val="00DC3CC6"/>
    <w:rsid w:val="00DC4F88"/>
    <w:rsid w:val="00DC6D12"/>
    <w:rsid w:val="00DC786E"/>
    <w:rsid w:val="00DC7A92"/>
    <w:rsid w:val="00DD3501"/>
    <w:rsid w:val="00DD57CD"/>
    <w:rsid w:val="00DE107C"/>
    <w:rsid w:val="00DE2C8C"/>
    <w:rsid w:val="00DF2388"/>
    <w:rsid w:val="00DF365C"/>
    <w:rsid w:val="00DF425D"/>
    <w:rsid w:val="00E00038"/>
    <w:rsid w:val="00E004A1"/>
    <w:rsid w:val="00E00BDC"/>
    <w:rsid w:val="00E0100E"/>
    <w:rsid w:val="00E01D9A"/>
    <w:rsid w:val="00E024DC"/>
    <w:rsid w:val="00E03B0D"/>
    <w:rsid w:val="00E05704"/>
    <w:rsid w:val="00E10D6E"/>
    <w:rsid w:val="00E128A2"/>
    <w:rsid w:val="00E20708"/>
    <w:rsid w:val="00E2552F"/>
    <w:rsid w:val="00E25A07"/>
    <w:rsid w:val="00E2713A"/>
    <w:rsid w:val="00E31FFE"/>
    <w:rsid w:val="00E32432"/>
    <w:rsid w:val="00E338EF"/>
    <w:rsid w:val="00E35BF2"/>
    <w:rsid w:val="00E42B14"/>
    <w:rsid w:val="00E43A67"/>
    <w:rsid w:val="00E456FD"/>
    <w:rsid w:val="00E47DC7"/>
    <w:rsid w:val="00E50768"/>
    <w:rsid w:val="00E509D0"/>
    <w:rsid w:val="00E51448"/>
    <w:rsid w:val="00E53AA6"/>
    <w:rsid w:val="00E54063"/>
    <w:rsid w:val="00E544BB"/>
    <w:rsid w:val="00E55FA3"/>
    <w:rsid w:val="00E57461"/>
    <w:rsid w:val="00E625DB"/>
    <w:rsid w:val="00E65187"/>
    <w:rsid w:val="00E660B8"/>
    <w:rsid w:val="00E668F9"/>
    <w:rsid w:val="00E66D79"/>
    <w:rsid w:val="00E67AE3"/>
    <w:rsid w:val="00E71709"/>
    <w:rsid w:val="00E71D17"/>
    <w:rsid w:val="00E74DC7"/>
    <w:rsid w:val="00E8075A"/>
    <w:rsid w:val="00E82EAC"/>
    <w:rsid w:val="00E83F94"/>
    <w:rsid w:val="00E86520"/>
    <w:rsid w:val="00E928C5"/>
    <w:rsid w:val="00E940D8"/>
    <w:rsid w:val="00E94D5E"/>
    <w:rsid w:val="00EA0189"/>
    <w:rsid w:val="00EA088B"/>
    <w:rsid w:val="00EA59D2"/>
    <w:rsid w:val="00EA7100"/>
    <w:rsid w:val="00EA78B7"/>
    <w:rsid w:val="00EA7F9F"/>
    <w:rsid w:val="00EB1274"/>
    <w:rsid w:val="00EB2D57"/>
    <w:rsid w:val="00EB7436"/>
    <w:rsid w:val="00EC325E"/>
    <w:rsid w:val="00EC7150"/>
    <w:rsid w:val="00ED1B3E"/>
    <w:rsid w:val="00ED2025"/>
    <w:rsid w:val="00ED2BB6"/>
    <w:rsid w:val="00ED34E1"/>
    <w:rsid w:val="00ED3B8D"/>
    <w:rsid w:val="00ED5F11"/>
    <w:rsid w:val="00ED724B"/>
    <w:rsid w:val="00EE049C"/>
    <w:rsid w:val="00EE24FD"/>
    <w:rsid w:val="00EE387A"/>
    <w:rsid w:val="00EE5E36"/>
    <w:rsid w:val="00EF2E3A"/>
    <w:rsid w:val="00EF4783"/>
    <w:rsid w:val="00EF48F6"/>
    <w:rsid w:val="00EF6100"/>
    <w:rsid w:val="00EF6713"/>
    <w:rsid w:val="00EF7C07"/>
    <w:rsid w:val="00F02C7C"/>
    <w:rsid w:val="00F02FF6"/>
    <w:rsid w:val="00F04064"/>
    <w:rsid w:val="00F05C00"/>
    <w:rsid w:val="00F072A7"/>
    <w:rsid w:val="00F078DC"/>
    <w:rsid w:val="00F12A77"/>
    <w:rsid w:val="00F1391F"/>
    <w:rsid w:val="00F16754"/>
    <w:rsid w:val="00F17BC2"/>
    <w:rsid w:val="00F20ED8"/>
    <w:rsid w:val="00F238DF"/>
    <w:rsid w:val="00F24D2C"/>
    <w:rsid w:val="00F2522C"/>
    <w:rsid w:val="00F2527E"/>
    <w:rsid w:val="00F25665"/>
    <w:rsid w:val="00F32BA8"/>
    <w:rsid w:val="00F32EE0"/>
    <w:rsid w:val="00F332E7"/>
    <w:rsid w:val="00F33FB7"/>
    <w:rsid w:val="00F349A7"/>
    <w:rsid w:val="00F349F1"/>
    <w:rsid w:val="00F41A0C"/>
    <w:rsid w:val="00F4350D"/>
    <w:rsid w:val="00F479C4"/>
    <w:rsid w:val="00F544AE"/>
    <w:rsid w:val="00F54DE5"/>
    <w:rsid w:val="00F567F7"/>
    <w:rsid w:val="00F57832"/>
    <w:rsid w:val="00F606AF"/>
    <w:rsid w:val="00F61A0B"/>
    <w:rsid w:val="00F62FAE"/>
    <w:rsid w:val="00F636B0"/>
    <w:rsid w:val="00F6696E"/>
    <w:rsid w:val="00F72759"/>
    <w:rsid w:val="00F73BD6"/>
    <w:rsid w:val="00F75E2F"/>
    <w:rsid w:val="00F770BF"/>
    <w:rsid w:val="00F8239C"/>
    <w:rsid w:val="00F83989"/>
    <w:rsid w:val="00F83AD7"/>
    <w:rsid w:val="00F83D49"/>
    <w:rsid w:val="00F83F89"/>
    <w:rsid w:val="00F84B82"/>
    <w:rsid w:val="00F85099"/>
    <w:rsid w:val="00F9151C"/>
    <w:rsid w:val="00F916E3"/>
    <w:rsid w:val="00F91A56"/>
    <w:rsid w:val="00F9379C"/>
    <w:rsid w:val="00F9632C"/>
    <w:rsid w:val="00F976CC"/>
    <w:rsid w:val="00FA0740"/>
    <w:rsid w:val="00FA1E52"/>
    <w:rsid w:val="00FA7337"/>
    <w:rsid w:val="00FB5A08"/>
    <w:rsid w:val="00FC0F09"/>
    <w:rsid w:val="00FC20B5"/>
    <w:rsid w:val="00FC3D10"/>
    <w:rsid w:val="00FC4BD5"/>
    <w:rsid w:val="00FC6250"/>
    <w:rsid w:val="00FC6A20"/>
    <w:rsid w:val="00FC6A80"/>
    <w:rsid w:val="00FC71E1"/>
    <w:rsid w:val="00FD74E8"/>
    <w:rsid w:val="00FE0FD0"/>
    <w:rsid w:val="00FE4688"/>
    <w:rsid w:val="00FF20A5"/>
    <w:rsid w:val="00FF2BB1"/>
    <w:rsid w:val="00FF39A8"/>
    <w:rsid w:val="00FF5704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autoRedefine/>
    <w:qFormat/>
    <w:rsid w:val="009A3331"/>
    <w:pPr>
      <w:keepNext/>
      <w:autoSpaceDE w:val="0"/>
      <w:autoSpaceDN w:val="0"/>
      <w:spacing w:before="360" w:line="240" w:lineRule="auto"/>
      <w:ind w:left="720" w:hanging="720"/>
      <w:outlineLvl w:val="0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,n_to_Heading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14493"/>
    <w:pPr>
      <w:tabs>
        <w:tab w:val="left" w:pos="357"/>
      </w:tabs>
      <w:spacing w:before="60" w:line="198" w:lineRule="exact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314493"/>
    <w:p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314493"/>
    <w:p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314493"/>
  </w:style>
  <w:style w:type="paragraph" w:styleId="BlockText">
    <w:name w:val="Block Text"/>
    <w:basedOn w:val="Normal"/>
    <w:uiPriority w:val="99"/>
    <w:semiHidden/>
    <w:unhideWhenUsed/>
    <w:rsid w:val="0031449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144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14493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144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4493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44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449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1449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14493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144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4493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1449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14493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144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14493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44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449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449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14493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14493"/>
    <w:rPr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49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4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493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14493"/>
  </w:style>
  <w:style w:type="character" w:customStyle="1" w:styleId="DateChar">
    <w:name w:val="Date Char"/>
    <w:basedOn w:val="DefaultParagraphFont"/>
    <w:link w:val="Date"/>
    <w:uiPriority w:val="99"/>
    <w:semiHidden/>
    <w:rsid w:val="00314493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449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449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14493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14493"/>
    <w:rPr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4493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4493"/>
  </w:style>
  <w:style w:type="paragraph" w:styleId="EnvelopeAddress">
    <w:name w:val="envelope address"/>
    <w:basedOn w:val="Normal"/>
    <w:uiPriority w:val="99"/>
    <w:semiHidden/>
    <w:unhideWhenUsed/>
    <w:rsid w:val="0031449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14493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4493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4493"/>
  </w:style>
  <w:style w:type="paragraph" w:styleId="HTMLAddress">
    <w:name w:val="HTML Address"/>
    <w:basedOn w:val="Normal"/>
    <w:link w:val="HTMLAddressChar"/>
    <w:uiPriority w:val="99"/>
    <w:semiHidden/>
    <w:unhideWhenUsed/>
    <w:rsid w:val="00314493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14493"/>
    <w:rPr>
      <w:i/>
      <w:iCs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4493"/>
    <w:pPr>
      <w:spacing w:line="240" w:lineRule="auto"/>
    </w:pPr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4493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14493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14493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14493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14493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14493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14493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14493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14493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14493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1449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49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493"/>
    <w:rPr>
      <w:i/>
      <w:iCs/>
      <w:color w:val="4F81BD" w:themeColor="accent1"/>
      <w:sz w:val="22"/>
    </w:rPr>
  </w:style>
  <w:style w:type="paragraph" w:styleId="List">
    <w:name w:val="List"/>
    <w:basedOn w:val="Normal"/>
    <w:uiPriority w:val="99"/>
    <w:semiHidden/>
    <w:unhideWhenUsed/>
    <w:rsid w:val="0031449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1449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1449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1449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1449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14493"/>
    <w:pPr>
      <w:contextualSpacing/>
    </w:pPr>
  </w:style>
  <w:style w:type="paragraph" w:styleId="ListBullet2">
    <w:name w:val="List Bullet 2"/>
    <w:basedOn w:val="Normal"/>
    <w:uiPriority w:val="99"/>
    <w:semiHidden/>
    <w:unhideWhenUsed/>
    <w:rsid w:val="00314493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314493"/>
    <w:pPr>
      <w:contextualSpacing/>
    </w:pPr>
  </w:style>
  <w:style w:type="paragraph" w:styleId="ListBullet4">
    <w:name w:val="List Bullet 4"/>
    <w:basedOn w:val="Normal"/>
    <w:uiPriority w:val="99"/>
    <w:semiHidden/>
    <w:unhideWhenUsed/>
    <w:rsid w:val="00314493"/>
    <w:pPr>
      <w:contextualSpacing/>
    </w:pPr>
  </w:style>
  <w:style w:type="paragraph" w:styleId="ListBullet5">
    <w:name w:val="List Bullet 5"/>
    <w:basedOn w:val="Normal"/>
    <w:uiPriority w:val="99"/>
    <w:semiHidden/>
    <w:unhideWhenUsed/>
    <w:rsid w:val="00314493"/>
    <w:p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1449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1449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1449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1449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1449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14493"/>
    <w:pPr>
      <w:contextualSpacing/>
    </w:pPr>
  </w:style>
  <w:style w:type="paragraph" w:styleId="ListNumber2">
    <w:name w:val="List Number 2"/>
    <w:basedOn w:val="Normal"/>
    <w:uiPriority w:val="99"/>
    <w:semiHidden/>
    <w:unhideWhenUsed/>
    <w:rsid w:val="00314493"/>
    <w:pPr>
      <w:contextualSpacing/>
    </w:pPr>
  </w:style>
  <w:style w:type="paragraph" w:styleId="ListNumber3">
    <w:name w:val="List Number 3"/>
    <w:basedOn w:val="Normal"/>
    <w:uiPriority w:val="99"/>
    <w:semiHidden/>
    <w:unhideWhenUsed/>
    <w:rsid w:val="00314493"/>
    <w:pPr>
      <w:contextualSpacing/>
    </w:pPr>
  </w:style>
  <w:style w:type="paragraph" w:styleId="ListNumber4">
    <w:name w:val="List Number 4"/>
    <w:basedOn w:val="Normal"/>
    <w:uiPriority w:val="99"/>
    <w:semiHidden/>
    <w:unhideWhenUsed/>
    <w:rsid w:val="00314493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314493"/>
    <w:pPr>
      <w:contextualSpacing/>
    </w:pPr>
  </w:style>
  <w:style w:type="paragraph" w:styleId="ListParagraph">
    <w:name w:val="List Paragraph"/>
    <w:basedOn w:val="Normal"/>
    <w:uiPriority w:val="34"/>
    <w:qFormat/>
    <w:rsid w:val="0031449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3144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14493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144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1449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14493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314493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14493"/>
    <w:pPr>
      <w:ind w:left="425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1449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14493"/>
    <w:rPr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4493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4493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1449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4493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1449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14493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14493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14493"/>
    <w:rPr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493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4493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1449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14493"/>
  </w:style>
  <w:style w:type="paragraph" w:styleId="Title">
    <w:name w:val="Title"/>
    <w:basedOn w:val="Normal"/>
    <w:next w:val="Normal"/>
    <w:link w:val="TitleChar"/>
    <w:uiPriority w:val="10"/>
    <w:qFormat/>
    <w:rsid w:val="0031449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1449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4493"/>
    <w:pPr>
      <w:spacing w:before="240"/>
      <w:outlineLvl w:val="9"/>
    </w:pPr>
    <w:rPr>
      <w:b w:val="0"/>
      <w:bCs w:val="0"/>
      <w:sz w:val="32"/>
      <w:szCs w:val="32"/>
    </w:rPr>
  </w:style>
  <w:style w:type="paragraph" w:customStyle="1" w:styleId="ttExplainTemplate">
    <w:name w:val="tt_Explain_Template"/>
    <w:basedOn w:val="Normal"/>
    <w:qFormat/>
    <w:rsid w:val="00A57A61"/>
    <w:pPr>
      <w:tabs>
        <w:tab w:val="left" w:pos="737"/>
        <w:tab w:val="left" w:pos="1191"/>
        <w:tab w:val="left" w:pos="1644"/>
      </w:tabs>
      <w:spacing w:before="80"/>
    </w:pPr>
    <w:rPr>
      <w:rFonts w:ascii="Arial" w:eastAsia="Calibri" w:hAnsi="Arial" w:cs="Times New Roman"/>
      <w:color w:val="7030A0"/>
    </w:rPr>
  </w:style>
  <w:style w:type="paragraph" w:customStyle="1" w:styleId="ttDraftstrip">
    <w:name w:val="tt_Draft_strip"/>
    <w:basedOn w:val="Normal"/>
    <w:qFormat/>
    <w:rsid w:val="008B1BE1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Calibri" w:hAnsi="Arial" w:cs="Arial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74670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C6250"/>
    <w:rPr>
      <w:sz w:val="16"/>
      <w:szCs w:val="16"/>
    </w:rPr>
  </w:style>
  <w:style w:type="paragraph" w:customStyle="1" w:styleId="nDrafterComment">
    <w:name w:val="n_Drafter_Comment"/>
    <w:basedOn w:val="Normal"/>
    <w:qFormat/>
    <w:rsid w:val="00AA0220"/>
    <w:pPr>
      <w:spacing w:before="80"/>
    </w:pPr>
    <w:rPr>
      <w:rFonts w:ascii="Arial" w:eastAsia="Calibri" w:hAnsi="Arial" w:cs="Times New Roman"/>
      <w:color w:val="7030A0"/>
    </w:rPr>
  </w:style>
  <w:style w:type="character" w:customStyle="1" w:styleId="paragraphChar">
    <w:name w:val="paragraph Char"/>
    <w:aliases w:val="a Char"/>
    <w:basedOn w:val="DefaultParagraphFont"/>
    <w:link w:val="paragraph"/>
    <w:rsid w:val="0068201F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autoRedefine/>
    <w:qFormat/>
    <w:rsid w:val="009A3331"/>
    <w:pPr>
      <w:keepNext/>
      <w:autoSpaceDE w:val="0"/>
      <w:autoSpaceDN w:val="0"/>
      <w:spacing w:before="360" w:line="240" w:lineRule="auto"/>
      <w:ind w:left="720" w:hanging="720"/>
      <w:outlineLvl w:val="0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,n_to_Heading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14493"/>
    <w:pPr>
      <w:tabs>
        <w:tab w:val="left" w:pos="357"/>
      </w:tabs>
      <w:spacing w:before="60" w:line="198" w:lineRule="exact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314493"/>
    <w:p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314493"/>
    <w:p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314493"/>
  </w:style>
  <w:style w:type="paragraph" w:styleId="BlockText">
    <w:name w:val="Block Text"/>
    <w:basedOn w:val="Normal"/>
    <w:uiPriority w:val="99"/>
    <w:semiHidden/>
    <w:unhideWhenUsed/>
    <w:rsid w:val="0031449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144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14493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144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4493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44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449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1449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14493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144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4493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1449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14493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144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14493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44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449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449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14493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14493"/>
    <w:rPr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49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4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493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14493"/>
  </w:style>
  <w:style w:type="character" w:customStyle="1" w:styleId="DateChar">
    <w:name w:val="Date Char"/>
    <w:basedOn w:val="DefaultParagraphFont"/>
    <w:link w:val="Date"/>
    <w:uiPriority w:val="99"/>
    <w:semiHidden/>
    <w:rsid w:val="00314493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449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449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14493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14493"/>
    <w:rPr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4493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4493"/>
  </w:style>
  <w:style w:type="paragraph" w:styleId="EnvelopeAddress">
    <w:name w:val="envelope address"/>
    <w:basedOn w:val="Normal"/>
    <w:uiPriority w:val="99"/>
    <w:semiHidden/>
    <w:unhideWhenUsed/>
    <w:rsid w:val="0031449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14493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4493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4493"/>
  </w:style>
  <w:style w:type="paragraph" w:styleId="HTMLAddress">
    <w:name w:val="HTML Address"/>
    <w:basedOn w:val="Normal"/>
    <w:link w:val="HTMLAddressChar"/>
    <w:uiPriority w:val="99"/>
    <w:semiHidden/>
    <w:unhideWhenUsed/>
    <w:rsid w:val="00314493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14493"/>
    <w:rPr>
      <w:i/>
      <w:iCs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4493"/>
    <w:pPr>
      <w:spacing w:line="240" w:lineRule="auto"/>
    </w:pPr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4493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14493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14493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14493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14493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14493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14493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14493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14493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14493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1449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49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493"/>
    <w:rPr>
      <w:i/>
      <w:iCs/>
      <w:color w:val="4F81BD" w:themeColor="accent1"/>
      <w:sz w:val="22"/>
    </w:rPr>
  </w:style>
  <w:style w:type="paragraph" w:styleId="List">
    <w:name w:val="List"/>
    <w:basedOn w:val="Normal"/>
    <w:uiPriority w:val="99"/>
    <w:semiHidden/>
    <w:unhideWhenUsed/>
    <w:rsid w:val="0031449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1449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1449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1449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1449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14493"/>
    <w:pPr>
      <w:contextualSpacing/>
    </w:pPr>
  </w:style>
  <w:style w:type="paragraph" w:styleId="ListBullet2">
    <w:name w:val="List Bullet 2"/>
    <w:basedOn w:val="Normal"/>
    <w:uiPriority w:val="99"/>
    <w:semiHidden/>
    <w:unhideWhenUsed/>
    <w:rsid w:val="00314493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314493"/>
    <w:pPr>
      <w:contextualSpacing/>
    </w:pPr>
  </w:style>
  <w:style w:type="paragraph" w:styleId="ListBullet4">
    <w:name w:val="List Bullet 4"/>
    <w:basedOn w:val="Normal"/>
    <w:uiPriority w:val="99"/>
    <w:semiHidden/>
    <w:unhideWhenUsed/>
    <w:rsid w:val="00314493"/>
    <w:pPr>
      <w:contextualSpacing/>
    </w:pPr>
  </w:style>
  <w:style w:type="paragraph" w:styleId="ListBullet5">
    <w:name w:val="List Bullet 5"/>
    <w:basedOn w:val="Normal"/>
    <w:uiPriority w:val="99"/>
    <w:semiHidden/>
    <w:unhideWhenUsed/>
    <w:rsid w:val="00314493"/>
    <w:p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1449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1449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1449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1449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1449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14493"/>
    <w:pPr>
      <w:contextualSpacing/>
    </w:pPr>
  </w:style>
  <w:style w:type="paragraph" w:styleId="ListNumber2">
    <w:name w:val="List Number 2"/>
    <w:basedOn w:val="Normal"/>
    <w:uiPriority w:val="99"/>
    <w:semiHidden/>
    <w:unhideWhenUsed/>
    <w:rsid w:val="00314493"/>
    <w:pPr>
      <w:contextualSpacing/>
    </w:pPr>
  </w:style>
  <w:style w:type="paragraph" w:styleId="ListNumber3">
    <w:name w:val="List Number 3"/>
    <w:basedOn w:val="Normal"/>
    <w:uiPriority w:val="99"/>
    <w:semiHidden/>
    <w:unhideWhenUsed/>
    <w:rsid w:val="00314493"/>
    <w:pPr>
      <w:contextualSpacing/>
    </w:pPr>
  </w:style>
  <w:style w:type="paragraph" w:styleId="ListNumber4">
    <w:name w:val="List Number 4"/>
    <w:basedOn w:val="Normal"/>
    <w:uiPriority w:val="99"/>
    <w:semiHidden/>
    <w:unhideWhenUsed/>
    <w:rsid w:val="00314493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314493"/>
    <w:pPr>
      <w:contextualSpacing/>
    </w:pPr>
  </w:style>
  <w:style w:type="paragraph" w:styleId="ListParagraph">
    <w:name w:val="List Paragraph"/>
    <w:basedOn w:val="Normal"/>
    <w:uiPriority w:val="34"/>
    <w:qFormat/>
    <w:rsid w:val="0031449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3144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14493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144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1449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14493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314493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14493"/>
    <w:pPr>
      <w:ind w:left="425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1449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14493"/>
    <w:rPr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4493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4493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1449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4493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1449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14493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14493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14493"/>
    <w:rPr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493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4493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1449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14493"/>
  </w:style>
  <w:style w:type="paragraph" w:styleId="Title">
    <w:name w:val="Title"/>
    <w:basedOn w:val="Normal"/>
    <w:next w:val="Normal"/>
    <w:link w:val="TitleChar"/>
    <w:uiPriority w:val="10"/>
    <w:qFormat/>
    <w:rsid w:val="0031449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1449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4493"/>
    <w:pPr>
      <w:spacing w:before="240"/>
      <w:outlineLvl w:val="9"/>
    </w:pPr>
    <w:rPr>
      <w:b w:val="0"/>
      <w:bCs w:val="0"/>
      <w:sz w:val="32"/>
      <w:szCs w:val="32"/>
    </w:rPr>
  </w:style>
  <w:style w:type="paragraph" w:customStyle="1" w:styleId="ttExplainTemplate">
    <w:name w:val="tt_Explain_Template"/>
    <w:basedOn w:val="Normal"/>
    <w:qFormat/>
    <w:rsid w:val="00A57A61"/>
    <w:pPr>
      <w:tabs>
        <w:tab w:val="left" w:pos="737"/>
        <w:tab w:val="left" w:pos="1191"/>
        <w:tab w:val="left" w:pos="1644"/>
      </w:tabs>
      <w:spacing w:before="80"/>
    </w:pPr>
    <w:rPr>
      <w:rFonts w:ascii="Arial" w:eastAsia="Calibri" w:hAnsi="Arial" w:cs="Times New Roman"/>
      <w:color w:val="7030A0"/>
    </w:rPr>
  </w:style>
  <w:style w:type="paragraph" w:customStyle="1" w:styleId="ttDraftstrip">
    <w:name w:val="tt_Draft_strip"/>
    <w:basedOn w:val="Normal"/>
    <w:qFormat/>
    <w:rsid w:val="008B1BE1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Calibri" w:hAnsi="Arial" w:cs="Arial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74670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C6250"/>
    <w:rPr>
      <w:sz w:val="16"/>
      <w:szCs w:val="16"/>
    </w:rPr>
  </w:style>
  <w:style w:type="paragraph" w:customStyle="1" w:styleId="nDrafterComment">
    <w:name w:val="n_Drafter_Comment"/>
    <w:basedOn w:val="Normal"/>
    <w:qFormat/>
    <w:rsid w:val="00AA0220"/>
    <w:pPr>
      <w:spacing w:before="80"/>
    </w:pPr>
    <w:rPr>
      <w:rFonts w:ascii="Arial" w:eastAsia="Calibri" w:hAnsi="Arial" w:cs="Times New Roman"/>
      <w:color w:val="7030A0"/>
    </w:rPr>
  </w:style>
  <w:style w:type="character" w:customStyle="1" w:styleId="paragraphChar">
    <w:name w:val="paragraph Char"/>
    <w:aliases w:val="a Char"/>
    <w:basedOn w:val="DefaultParagraphFont"/>
    <w:link w:val="paragraph"/>
    <w:rsid w:val="0068201F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y%20Documents\Drafting%202\Macros%20for%20drafting%20in%20AGS%20-%20OPC%20styl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077EF-2F04-484E-BCBA-07EBA6ECC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Macros for drafting in AGS - OPC styles.dotm</Template>
  <TotalTime>1</TotalTime>
  <Pages>5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O'Rourke, Michael</dc:creator>
  <cp:lastModifiedBy>NADINE, Tamara</cp:lastModifiedBy>
  <cp:revision>3</cp:revision>
  <cp:lastPrinted>2018-09-07T04:31:00Z</cp:lastPrinted>
  <dcterms:created xsi:type="dcterms:W3CDTF">2018-09-07T05:05:00Z</dcterms:created>
  <dcterms:modified xsi:type="dcterms:W3CDTF">2018-09-14T04:37:00Z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ObjectiveRef">
    <vt:lpwstr>Removed</vt:lpwstr>
  </property>
  <property fmtid="{D5CDD505-2E9C-101B-9397-08002B2CF9AE}" pid="4" name="LeadingLawyers">
    <vt:lpwstr>Removed</vt:lpwstr>
  </property>
  <property fmtid="{D5CDD505-2E9C-101B-9397-08002B2CF9AE}" pid="5" name="Template Filename">
    <vt:lpwstr/>
  </property>
</Properties>
</file>