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70B20" w14:textId="77777777" w:rsidR="005833BE" w:rsidRPr="00941C0D" w:rsidRDefault="00F109D4" w:rsidP="0039795F">
      <w:pPr>
        <w:pStyle w:val="Heading1"/>
        <w:spacing w:after="240"/>
      </w:pPr>
      <w:bookmarkStart w:id="0" w:name="OLE_LINK1"/>
      <w:bookmarkStart w:id="1" w:name="OLE_LINK2"/>
      <w:bookmarkStart w:id="2" w:name="_GoBack"/>
      <w:r w:rsidRPr="00503E44">
        <w:t>EXPLANATORY STATEMENT</w:t>
      </w:r>
    </w:p>
    <w:bookmarkEnd w:id="2"/>
    <w:p w14:paraId="2D470B22" w14:textId="47F61EC2" w:rsidR="00941C0D" w:rsidRPr="0039795F" w:rsidRDefault="00941C0D" w:rsidP="0039795F">
      <w:pPr>
        <w:pStyle w:val="Heading2"/>
        <w:spacing w:after="240"/>
        <w:jc w:val="center"/>
        <w:rPr>
          <w:b w:val="0"/>
          <w:sz w:val="24"/>
          <w:szCs w:val="24"/>
        </w:rPr>
      </w:pPr>
      <w:r w:rsidRPr="0039795F">
        <w:rPr>
          <w:b w:val="0"/>
          <w:sz w:val="24"/>
          <w:szCs w:val="24"/>
        </w:rPr>
        <w:t xml:space="preserve">Issued by authority of the </w:t>
      </w:r>
      <w:r w:rsidR="0039795F" w:rsidRPr="0039795F">
        <w:rPr>
          <w:b w:val="0"/>
          <w:sz w:val="24"/>
          <w:szCs w:val="24"/>
        </w:rPr>
        <w:t>Minister for the Environment</w:t>
      </w:r>
      <w:r w:rsidR="00F953FC">
        <w:rPr>
          <w:b w:val="0"/>
          <w:sz w:val="24"/>
          <w:szCs w:val="24"/>
        </w:rPr>
        <w:t xml:space="preserve"> and Energy</w:t>
      </w:r>
    </w:p>
    <w:p w14:paraId="2D470B23" w14:textId="682142F2" w:rsidR="00B460E9" w:rsidRPr="00B460E9" w:rsidRDefault="00F953FC" w:rsidP="0039795F">
      <w:pPr>
        <w:spacing w:before="240" w:after="240"/>
        <w:jc w:val="center"/>
        <w:rPr>
          <w:i/>
        </w:rPr>
      </w:pPr>
      <w:r>
        <w:rPr>
          <w:i/>
          <w:iCs/>
        </w:rPr>
        <w:t>Australian Renewable Energy Agency Act 2011</w:t>
      </w:r>
    </w:p>
    <w:p w14:paraId="2D470B24" w14:textId="139EA4FB" w:rsidR="00941C0D" w:rsidRPr="0039795F" w:rsidRDefault="00F953FC" w:rsidP="0039795F">
      <w:pPr>
        <w:spacing w:before="240" w:after="240"/>
        <w:jc w:val="center"/>
        <w:rPr>
          <w:i/>
        </w:rPr>
      </w:pPr>
      <w:r>
        <w:rPr>
          <w:i/>
        </w:rPr>
        <w:t>Australian Renewable Energy Agency (General Fund</w:t>
      </w:r>
      <w:r w:rsidR="00B519B7">
        <w:rPr>
          <w:i/>
        </w:rPr>
        <w:t>ing Strategy) Determination 2018</w:t>
      </w:r>
    </w:p>
    <w:p w14:paraId="10E3A637" w14:textId="5E74E0C2" w:rsidR="00DD42E2" w:rsidRDefault="0032329D" w:rsidP="00F71F27">
      <w:pPr>
        <w:spacing w:before="0" w:after="240"/>
        <w:rPr>
          <w:iCs/>
        </w:rPr>
      </w:pPr>
      <w:r>
        <w:t xml:space="preserve">Section 19 of the </w:t>
      </w:r>
      <w:r w:rsidR="00F63B37">
        <w:rPr>
          <w:i/>
          <w:iCs/>
        </w:rPr>
        <w:t>Australian Renewable Energy Agency Act 2011</w:t>
      </w:r>
      <w:r w:rsidR="00F63B37">
        <w:t xml:space="preserve"> </w:t>
      </w:r>
      <w:r>
        <w:t>(the “</w:t>
      </w:r>
      <w:r w:rsidR="00F63B37">
        <w:t xml:space="preserve">Act”) provides that the Board of the </w:t>
      </w:r>
      <w:r w:rsidR="00F63B37" w:rsidRPr="00F63B37">
        <w:rPr>
          <w:iCs/>
        </w:rPr>
        <w:t>Australian Renewable Energy Agency</w:t>
      </w:r>
      <w:r w:rsidR="00F63B37">
        <w:rPr>
          <w:iCs/>
        </w:rPr>
        <w:t xml:space="preserve"> (“ARENA”) must, for each financial year, develop a General Funding Strategy (“GFS”) to govern the provision of financial assistance by ARENA under the Act. A GFS must relate to the financial year for which the strategy is developed and the next two financial years, and must state ARENA’s principal objectives and priorities for the provision of financial assistance during this time period.</w:t>
      </w:r>
      <w:r w:rsidR="005C5396">
        <w:rPr>
          <w:iCs/>
        </w:rPr>
        <w:t xml:space="preserve"> Each GFS must be developed during the financial year previous to that </w:t>
      </w:r>
      <w:r w:rsidR="006E0F50">
        <w:rPr>
          <w:iCs/>
        </w:rPr>
        <w:t>in which it commences</w:t>
      </w:r>
      <w:r w:rsidR="005C5396">
        <w:rPr>
          <w:iCs/>
        </w:rPr>
        <w:t>.</w:t>
      </w:r>
    </w:p>
    <w:p w14:paraId="32FDEC29" w14:textId="1F113631" w:rsidR="00F63B37" w:rsidRDefault="00F63B37" w:rsidP="00F71F27">
      <w:pPr>
        <w:spacing w:before="0" w:after="240"/>
        <w:rPr>
          <w:iCs/>
        </w:rPr>
      </w:pPr>
      <w:r>
        <w:rPr>
          <w:iCs/>
        </w:rPr>
        <w:t xml:space="preserve">Section 20 provides that, as soon as practicable after developing a GFS for a financial year, the Board must present a copy to the Minister for approval. </w:t>
      </w:r>
      <w:r w:rsidR="005C5396">
        <w:rPr>
          <w:iCs/>
        </w:rPr>
        <w:t>Following this, t</w:t>
      </w:r>
      <w:r>
        <w:rPr>
          <w:iCs/>
        </w:rPr>
        <w:t>he</w:t>
      </w:r>
      <w:r w:rsidR="005C5396">
        <w:rPr>
          <w:iCs/>
        </w:rPr>
        <w:t xml:space="preserve"> GFS becomes a non-disallowable legislative instrument made on the date of Ministerial approval.</w:t>
      </w:r>
    </w:p>
    <w:p w14:paraId="6B6BBBD1" w14:textId="0DD43295" w:rsidR="005C5396" w:rsidRDefault="005C5396" w:rsidP="00F71F27">
      <w:pPr>
        <w:spacing w:before="0" w:after="240"/>
      </w:pPr>
      <w:r>
        <w:t xml:space="preserve">The </w:t>
      </w:r>
      <w:r>
        <w:rPr>
          <w:i/>
        </w:rPr>
        <w:t>Australian Renewable Energy Agency (General Fund</w:t>
      </w:r>
      <w:r w:rsidR="00B519B7">
        <w:rPr>
          <w:i/>
        </w:rPr>
        <w:t>ing Strategy) Determination 2018</w:t>
      </w:r>
      <w:r>
        <w:t xml:space="preserve"> (the “Determination”)</w:t>
      </w:r>
      <w:r w:rsidR="00B519B7">
        <w:t xml:space="preserve"> enacts ARENA’s GFS for the 2018/19 – 2020/21</w:t>
      </w:r>
      <w:r>
        <w:t xml:space="preserve"> financial years as a legislative instrument, as per the above.</w:t>
      </w:r>
    </w:p>
    <w:p w14:paraId="2D470B32" w14:textId="527DC7A4" w:rsidR="00EE2FAF" w:rsidRPr="00E04045" w:rsidRDefault="00B519B7" w:rsidP="006E0F50">
      <w:pPr>
        <w:spacing w:before="0" w:after="240"/>
        <w:rPr>
          <w:iCs/>
        </w:rPr>
      </w:pPr>
      <w:r>
        <w:rPr>
          <w:iCs/>
        </w:rPr>
        <w:t xml:space="preserve">The </w:t>
      </w:r>
      <w:r>
        <w:rPr>
          <w:szCs w:val="24"/>
        </w:rPr>
        <w:t>GFS for the 2018/19 – 2020/21 financial years</w:t>
      </w:r>
      <w:r w:rsidRPr="00E04045">
        <w:rPr>
          <w:iCs/>
        </w:rPr>
        <w:t xml:space="preserve"> </w:t>
      </w:r>
      <w:r>
        <w:rPr>
          <w:iCs/>
        </w:rPr>
        <w:t xml:space="preserve">is largely unchanged from the instrument that was prepared for the </w:t>
      </w:r>
      <w:r>
        <w:rPr>
          <w:szCs w:val="24"/>
        </w:rPr>
        <w:t>2017/18 – 2019/20 financial years</w:t>
      </w:r>
      <w:r>
        <w:rPr>
          <w:iCs/>
        </w:rPr>
        <w:t xml:space="preserve">. </w:t>
      </w:r>
      <w:r w:rsidR="00E04045" w:rsidRPr="00E04045">
        <w:rPr>
          <w:iCs/>
        </w:rPr>
        <w:t xml:space="preserve">ARENA </w:t>
      </w:r>
      <w:r w:rsidR="00E04045">
        <w:rPr>
          <w:iCs/>
        </w:rPr>
        <w:t>consulted widely while</w:t>
      </w:r>
      <w:r w:rsidR="00E04045" w:rsidRPr="00E04045">
        <w:rPr>
          <w:iCs/>
        </w:rPr>
        <w:t xml:space="preserve"> preparing </w:t>
      </w:r>
      <w:r>
        <w:rPr>
          <w:iCs/>
        </w:rPr>
        <w:t>this earlier document</w:t>
      </w:r>
      <w:r w:rsidR="00E04045">
        <w:rPr>
          <w:iCs/>
        </w:rPr>
        <w:t>. C</w:t>
      </w:r>
      <w:r w:rsidR="00E04045" w:rsidRPr="00E04045">
        <w:rPr>
          <w:iCs/>
        </w:rPr>
        <w:t xml:space="preserve">onsultation centred </w:t>
      </w:r>
      <w:r w:rsidR="00E04045">
        <w:rPr>
          <w:iCs/>
        </w:rPr>
        <w:t>primarily</w:t>
      </w:r>
      <w:r w:rsidR="00E04045" w:rsidRPr="00E04045">
        <w:rPr>
          <w:iCs/>
        </w:rPr>
        <w:t xml:space="preserve"> on ARENA’s new investment priorities. </w:t>
      </w:r>
      <w:r w:rsidR="00E04045">
        <w:rPr>
          <w:iCs/>
        </w:rPr>
        <w:t xml:space="preserve">The consultation process </w:t>
      </w:r>
      <w:r w:rsidR="00E04045" w:rsidRPr="00E04045">
        <w:rPr>
          <w:iCs/>
        </w:rPr>
        <w:t xml:space="preserve">included a range of interviews and a series of workshops with industry and researchers in 2016. In addition, an embargoed version of the draft </w:t>
      </w:r>
      <w:r w:rsidR="00E04045">
        <w:rPr>
          <w:szCs w:val="24"/>
        </w:rPr>
        <w:t xml:space="preserve">2017 ARENA Investment Plan </w:t>
      </w:r>
      <w:r w:rsidR="00E04045" w:rsidRPr="00E04045">
        <w:rPr>
          <w:iCs/>
        </w:rPr>
        <w:t xml:space="preserve">(a </w:t>
      </w:r>
      <w:r w:rsidR="00E04045">
        <w:rPr>
          <w:iCs/>
        </w:rPr>
        <w:t>document closely related to the GFS, as outlined below</w:t>
      </w:r>
      <w:r w:rsidR="00E04045" w:rsidRPr="00E04045">
        <w:rPr>
          <w:iCs/>
        </w:rPr>
        <w:t>) was distributed for input in March 2017. This consultation included a roundtable and written input from multiple Australian Government departments and agencies as well as energy industry leaders and broader industry groups and organisations.</w:t>
      </w:r>
    </w:p>
    <w:p w14:paraId="2D470B33" w14:textId="4A46F899" w:rsidR="00221988" w:rsidRPr="001B0EC8" w:rsidRDefault="00221988" w:rsidP="002B6A65">
      <w:pPr>
        <w:pStyle w:val="Bullet"/>
        <w:numPr>
          <w:ilvl w:val="0"/>
          <w:numId w:val="0"/>
        </w:numPr>
        <w:spacing w:before="200" w:after="200"/>
      </w:pPr>
      <w:r w:rsidRPr="004109D3">
        <w:t xml:space="preserve">Details of the </w:t>
      </w:r>
      <w:r w:rsidR="00E37BB3">
        <w:t>Determination</w:t>
      </w:r>
      <w:r w:rsidRPr="004109D3">
        <w:t xml:space="preserve"> are </w:t>
      </w:r>
      <w:r w:rsidR="001B0EC8">
        <w:t>outlined</w:t>
      </w:r>
      <w:r w:rsidRPr="004109D3">
        <w:t xml:space="preserve"> in </w:t>
      </w:r>
      <w:r w:rsidR="006148E4" w:rsidRPr="00164AE8">
        <w:rPr>
          <w:b/>
          <w:u w:val="single"/>
        </w:rPr>
        <w:t>Attachment</w:t>
      </w:r>
      <w:r w:rsidR="001B0EC8" w:rsidRPr="00164AE8">
        <w:rPr>
          <w:b/>
          <w:u w:val="single"/>
        </w:rPr>
        <w:t xml:space="preserve"> A</w:t>
      </w:r>
      <w:r w:rsidR="001B0EC8">
        <w:t>.</w:t>
      </w:r>
    </w:p>
    <w:p w14:paraId="2D470B34" w14:textId="16181B81" w:rsidR="00221988" w:rsidRDefault="00221988" w:rsidP="002B6A65">
      <w:pPr>
        <w:spacing w:before="200" w:after="200"/>
      </w:pPr>
      <w:r w:rsidRPr="0038144C">
        <w:t xml:space="preserve">A statement of the </w:t>
      </w:r>
      <w:r w:rsidR="00E37BB3">
        <w:t>Determination’s</w:t>
      </w:r>
      <w:r w:rsidRPr="0038144C">
        <w:t xml:space="preserve"> compatibility with human </w:t>
      </w:r>
      <w:r>
        <w:t xml:space="preserve">rights is set out in </w:t>
      </w:r>
      <w:r w:rsidRPr="00164AE8">
        <w:rPr>
          <w:b/>
          <w:u w:val="single"/>
        </w:rPr>
        <w:t>Attachment</w:t>
      </w:r>
      <w:r w:rsidR="001B0EC8" w:rsidRPr="00164AE8">
        <w:rPr>
          <w:b/>
          <w:u w:val="single"/>
        </w:rPr>
        <w:t xml:space="preserve"> B</w:t>
      </w:r>
      <w:r w:rsidRPr="0038144C">
        <w:t>.</w:t>
      </w:r>
    </w:p>
    <w:p w14:paraId="2D470B37" w14:textId="636F99BD" w:rsidR="003B6048" w:rsidRDefault="00221988" w:rsidP="002B6A65">
      <w:pPr>
        <w:pStyle w:val="Bullet"/>
        <w:numPr>
          <w:ilvl w:val="0"/>
          <w:numId w:val="0"/>
        </w:numPr>
        <w:spacing w:before="200" w:after="200"/>
      </w:pPr>
      <w:r w:rsidRPr="004109D3">
        <w:t xml:space="preserve">There are no statutory pre-conditions that need to be satisfied before the power to make the </w:t>
      </w:r>
      <w:r w:rsidR="00E37BB3">
        <w:t>Determination</w:t>
      </w:r>
      <w:r w:rsidR="001B0EC8">
        <w:t xml:space="preserve"> may be exercised.</w:t>
      </w:r>
    </w:p>
    <w:bookmarkEnd w:id="0"/>
    <w:bookmarkEnd w:id="1"/>
    <w:p w14:paraId="2D470B38" w14:textId="77777777" w:rsidR="00221988" w:rsidRDefault="00221988" w:rsidP="002B6A65">
      <w:pPr>
        <w:tabs>
          <w:tab w:val="left" w:pos="1701"/>
          <w:tab w:val="right" w:pos="9072"/>
        </w:tabs>
        <w:spacing w:before="200" w:after="200"/>
        <w:ind w:right="91"/>
        <w:rPr>
          <w:rFonts w:ascii="Helvetica" w:hAnsi="Helvetica"/>
          <w:b/>
          <w:kern w:val="28"/>
        </w:rPr>
      </w:pPr>
      <w:r>
        <w:br w:type="page"/>
      </w:r>
    </w:p>
    <w:p w14:paraId="2D470B39" w14:textId="77777777" w:rsidR="002D0C0C" w:rsidRPr="001550FB" w:rsidRDefault="002D0C0C" w:rsidP="00773782">
      <w:pPr>
        <w:tabs>
          <w:tab w:val="right" w:pos="9072"/>
        </w:tabs>
        <w:spacing w:before="0" w:after="240"/>
        <w:ind w:right="91"/>
        <w:jc w:val="right"/>
        <w:rPr>
          <w:b/>
          <w:u w:val="single"/>
        </w:rPr>
      </w:pPr>
      <w:r w:rsidRPr="001550FB">
        <w:rPr>
          <w:b/>
          <w:u w:val="single"/>
        </w:rPr>
        <w:lastRenderedPageBreak/>
        <w:t>ATTACHMENT</w:t>
      </w:r>
      <w:r w:rsidR="00534C53">
        <w:rPr>
          <w:b/>
          <w:u w:val="single"/>
        </w:rPr>
        <w:t xml:space="preserve"> A</w:t>
      </w:r>
    </w:p>
    <w:p w14:paraId="2D470B3A" w14:textId="21DCF809" w:rsidR="002D0C0C" w:rsidRPr="00E37BB3" w:rsidRDefault="00723C9D" w:rsidP="00723C9D">
      <w:pPr>
        <w:keepNext/>
        <w:spacing w:after="240"/>
        <w:jc w:val="center"/>
        <w:outlineLvl w:val="1"/>
        <w:rPr>
          <w:b/>
          <w:i/>
          <w:szCs w:val="24"/>
          <w:u w:val="single"/>
        </w:rPr>
      </w:pPr>
      <w:r w:rsidRPr="00E37BB3">
        <w:rPr>
          <w:b/>
        </w:rPr>
        <w:t xml:space="preserve">Details of the </w:t>
      </w:r>
      <w:r w:rsidR="00E37BB3" w:rsidRPr="00E37BB3">
        <w:rPr>
          <w:b/>
          <w:i/>
        </w:rPr>
        <w:t>Australian Renewable Energy Agency (General Fund</w:t>
      </w:r>
      <w:r w:rsidR="00B519B7">
        <w:rPr>
          <w:b/>
          <w:i/>
        </w:rPr>
        <w:t>ing Strategy) Determination 2018</w:t>
      </w:r>
    </w:p>
    <w:p w14:paraId="2D470B3B" w14:textId="5C0F66B4" w:rsidR="001F5A3D" w:rsidRPr="00B9380B" w:rsidRDefault="008019CF" w:rsidP="00DE0467">
      <w:pPr>
        <w:spacing w:before="0" w:after="240"/>
        <w:ind w:right="91"/>
        <w:rPr>
          <w:szCs w:val="24"/>
        </w:rPr>
      </w:pPr>
      <w:r>
        <w:rPr>
          <w:szCs w:val="24"/>
          <w:u w:val="single"/>
        </w:rPr>
        <w:t xml:space="preserve">Section 1 – Name of </w:t>
      </w:r>
      <w:r w:rsidR="00E37BB3">
        <w:rPr>
          <w:szCs w:val="24"/>
          <w:u w:val="single"/>
        </w:rPr>
        <w:t>Determination</w:t>
      </w:r>
    </w:p>
    <w:p w14:paraId="2D470B3C" w14:textId="4671A742" w:rsidR="001F5A3D" w:rsidRPr="00F90D84" w:rsidRDefault="00F90D84" w:rsidP="001F5A3D">
      <w:pPr>
        <w:spacing w:before="0" w:after="240"/>
        <w:ind w:right="91"/>
        <w:rPr>
          <w:szCs w:val="24"/>
        </w:rPr>
      </w:pPr>
      <w:r>
        <w:rPr>
          <w:szCs w:val="24"/>
        </w:rPr>
        <w:t>Section 1</w:t>
      </w:r>
      <w:r w:rsidR="001F5A3D" w:rsidRPr="00F90D84">
        <w:rPr>
          <w:szCs w:val="24"/>
        </w:rPr>
        <w:t xml:space="preserve"> provide</w:t>
      </w:r>
      <w:r w:rsidR="003A2330" w:rsidRPr="00F90D84">
        <w:rPr>
          <w:szCs w:val="24"/>
        </w:rPr>
        <w:t>s</w:t>
      </w:r>
      <w:r w:rsidR="001F5A3D" w:rsidRPr="00F90D84">
        <w:rPr>
          <w:szCs w:val="24"/>
        </w:rPr>
        <w:t xml:space="preserve"> that the title of the </w:t>
      </w:r>
      <w:r w:rsidR="00E37BB3">
        <w:rPr>
          <w:szCs w:val="24"/>
        </w:rPr>
        <w:t>Determination</w:t>
      </w:r>
      <w:r w:rsidR="001F5A3D" w:rsidRPr="00F90D84">
        <w:rPr>
          <w:szCs w:val="24"/>
        </w:rPr>
        <w:t xml:space="preserve"> is the </w:t>
      </w:r>
      <w:r w:rsidR="00E37BB3">
        <w:rPr>
          <w:i/>
        </w:rPr>
        <w:t xml:space="preserve">Australian Renewable Energy Agency (General Funding Strategy) </w:t>
      </w:r>
      <w:r w:rsidR="00B519B7">
        <w:rPr>
          <w:i/>
        </w:rPr>
        <w:t>Determination 2018</w:t>
      </w:r>
      <w:r w:rsidR="001F5A3D" w:rsidRPr="00F90D84">
        <w:rPr>
          <w:szCs w:val="24"/>
        </w:rPr>
        <w:t>.</w:t>
      </w:r>
    </w:p>
    <w:p w14:paraId="2D470B3D" w14:textId="77777777" w:rsidR="001F5A3D" w:rsidRPr="00FC52C4" w:rsidRDefault="001F5A3D" w:rsidP="001F5A3D">
      <w:pPr>
        <w:spacing w:before="0" w:after="240"/>
        <w:ind w:right="91"/>
        <w:rPr>
          <w:szCs w:val="24"/>
          <w:u w:val="single"/>
        </w:rPr>
      </w:pPr>
      <w:r w:rsidRPr="00FC52C4">
        <w:rPr>
          <w:szCs w:val="24"/>
          <w:u w:val="single"/>
        </w:rPr>
        <w:t>Section 2 – Commencement</w:t>
      </w:r>
    </w:p>
    <w:p w14:paraId="2A0611DA" w14:textId="09482E0D" w:rsidR="008D211E" w:rsidRDefault="00F90D84" w:rsidP="001F5A3D">
      <w:pPr>
        <w:spacing w:before="0" w:after="240"/>
        <w:ind w:right="91"/>
        <w:rPr>
          <w:szCs w:val="24"/>
        </w:rPr>
      </w:pPr>
      <w:r>
        <w:rPr>
          <w:szCs w:val="24"/>
        </w:rPr>
        <w:t>Section 2</w:t>
      </w:r>
      <w:r w:rsidR="001F5A3D" w:rsidRPr="00FC52C4">
        <w:rPr>
          <w:szCs w:val="24"/>
        </w:rPr>
        <w:t xml:space="preserve"> </w:t>
      </w:r>
      <w:r w:rsidR="001F5A3D">
        <w:rPr>
          <w:szCs w:val="24"/>
        </w:rPr>
        <w:t>provide</w:t>
      </w:r>
      <w:r w:rsidR="004E7915">
        <w:rPr>
          <w:szCs w:val="24"/>
        </w:rPr>
        <w:t>s</w:t>
      </w:r>
      <w:r w:rsidR="001F5A3D" w:rsidRPr="00FC52C4">
        <w:rPr>
          <w:szCs w:val="24"/>
        </w:rPr>
        <w:t xml:space="preserve"> that the </w:t>
      </w:r>
      <w:r w:rsidR="00E37BB3">
        <w:rPr>
          <w:szCs w:val="24"/>
        </w:rPr>
        <w:t>Determination</w:t>
      </w:r>
      <w:r w:rsidR="001F5A3D" w:rsidRPr="00FC52C4">
        <w:rPr>
          <w:szCs w:val="24"/>
        </w:rPr>
        <w:t xml:space="preserve"> commences</w:t>
      </w:r>
      <w:r>
        <w:rPr>
          <w:szCs w:val="24"/>
        </w:rPr>
        <w:t xml:space="preserve"> the day afte</w:t>
      </w:r>
      <w:r w:rsidR="00B719D4">
        <w:rPr>
          <w:szCs w:val="24"/>
        </w:rPr>
        <w:t xml:space="preserve">r it is </w:t>
      </w:r>
      <w:r w:rsidR="00E37BB3">
        <w:rPr>
          <w:szCs w:val="24"/>
        </w:rPr>
        <w:t>registered on the Federal Register of Legislation.</w:t>
      </w:r>
      <w:r w:rsidR="001C1FF7">
        <w:rPr>
          <w:szCs w:val="24"/>
        </w:rPr>
        <w:t xml:space="preserve"> </w:t>
      </w:r>
      <w:r w:rsidR="008D211E">
        <w:rPr>
          <w:szCs w:val="24"/>
        </w:rPr>
        <w:t xml:space="preserve">To avoid any retrospectivity, this </w:t>
      </w:r>
      <w:r w:rsidR="002C3B7B">
        <w:rPr>
          <w:szCs w:val="24"/>
        </w:rPr>
        <w:t>clause is</w:t>
      </w:r>
      <w:r w:rsidR="008D211E">
        <w:rPr>
          <w:szCs w:val="24"/>
        </w:rPr>
        <w:t xml:space="preserve"> taken to </w:t>
      </w:r>
      <w:r w:rsidR="002C3B7B">
        <w:rPr>
          <w:szCs w:val="24"/>
        </w:rPr>
        <w:t>override</w:t>
      </w:r>
      <w:r w:rsidR="008D211E">
        <w:rPr>
          <w:szCs w:val="24"/>
        </w:rPr>
        <w:t xml:space="preserve"> sub-section 21(1) of the Act.</w:t>
      </w:r>
    </w:p>
    <w:p w14:paraId="2D470B3F" w14:textId="77777777" w:rsidR="001F5A3D" w:rsidRPr="001C68D5" w:rsidRDefault="001F5A3D" w:rsidP="001F5A3D">
      <w:pPr>
        <w:spacing w:before="0" w:after="240"/>
        <w:ind w:right="91"/>
        <w:rPr>
          <w:szCs w:val="24"/>
        </w:rPr>
      </w:pPr>
      <w:r w:rsidRPr="00286CC0">
        <w:rPr>
          <w:szCs w:val="24"/>
          <w:u w:val="single"/>
        </w:rPr>
        <w:t>Section 3 – Authority</w:t>
      </w:r>
    </w:p>
    <w:p w14:paraId="2D470B40" w14:textId="7514E386" w:rsidR="001F5A3D" w:rsidRPr="001C68D5" w:rsidRDefault="003A612B" w:rsidP="001F5A3D">
      <w:pPr>
        <w:spacing w:before="0" w:after="240"/>
        <w:ind w:right="91"/>
        <w:rPr>
          <w:i/>
          <w:szCs w:val="24"/>
        </w:rPr>
      </w:pPr>
      <w:r>
        <w:rPr>
          <w:szCs w:val="24"/>
        </w:rPr>
        <w:t>Section 3</w:t>
      </w:r>
      <w:r w:rsidR="001F5A3D">
        <w:rPr>
          <w:szCs w:val="24"/>
        </w:rPr>
        <w:t xml:space="preserve"> provide</w:t>
      </w:r>
      <w:r w:rsidR="00B55843">
        <w:rPr>
          <w:szCs w:val="24"/>
        </w:rPr>
        <w:t>s</w:t>
      </w:r>
      <w:r w:rsidR="001F5A3D" w:rsidRPr="00D33F05">
        <w:rPr>
          <w:szCs w:val="24"/>
        </w:rPr>
        <w:t xml:space="preserve"> that the </w:t>
      </w:r>
      <w:r w:rsidR="00E37BB3">
        <w:rPr>
          <w:szCs w:val="24"/>
        </w:rPr>
        <w:t>Determination</w:t>
      </w:r>
      <w:r w:rsidR="001F5A3D" w:rsidRPr="00FC52C4">
        <w:rPr>
          <w:szCs w:val="24"/>
        </w:rPr>
        <w:t xml:space="preserve"> is made under </w:t>
      </w:r>
      <w:r w:rsidR="00B719D4" w:rsidRPr="003E1CCD">
        <w:t xml:space="preserve">the </w:t>
      </w:r>
      <w:r w:rsidR="00E37BB3">
        <w:rPr>
          <w:i/>
          <w:iCs/>
        </w:rPr>
        <w:t>Australian Renewable Energy Agency Act 2011</w:t>
      </w:r>
      <w:r w:rsidR="005C0D0D">
        <w:rPr>
          <w:iCs/>
        </w:rPr>
        <w:t>.</w:t>
      </w:r>
    </w:p>
    <w:p w14:paraId="2D470B41" w14:textId="394015BC" w:rsidR="001F5A3D" w:rsidRPr="00FC52C4" w:rsidRDefault="001F5A3D" w:rsidP="008019CF">
      <w:pPr>
        <w:spacing w:before="0" w:after="240"/>
        <w:ind w:right="91"/>
        <w:rPr>
          <w:szCs w:val="24"/>
          <w:u w:val="single"/>
        </w:rPr>
      </w:pPr>
      <w:r w:rsidRPr="00D33F05">
        <w:rPr>
          <w:szCs w:val="24"/>
          <w:u w:val="single"/>
        </w:rPr>
        <w:t xml:space="preserve">Section 4 – </w:t>
      </w:r>
      <w:r w:rsidR="00E37BB3">
        <w:rPr>
          <w:szCs w:val="24"/>
          <w:u w:val="single"/>
        </w:rPr>
        <w:t>Definitions</w:t>
      </w:r>
    </w:p>
    <w:p w14:paraId="2D470B42" w14:textId="1474EB28" w:rsidR="001F5A3D" w:rsidRDefault="008019CF" w:rsidP="001F5A3D">
      <w:pPr>
        <w:spacing w:before="0" w:after="240"/>
        <w:rPr>
          <w:szCs w:val="24"/>
        </w:rPr>
      </w:pPr>
      <w:r>
        <w:rPr>
          <w:szCs w:val="24"/>
        </w:rPr>
        <w:t>Section 4</w:t>
      </w:r>
      <w:r w:rsidR="001F5A3D" w:rsidRPr="00FC52C4">
        <w:rPr>
          <w:szCs w:val="24"/>
        </w:rPr>
        <w:t xml:space="preserve"> </w:t>
      </w:r>
      <w:r w:rsidR="00E37BB3">
        <w:rPr>
          <w:szCs w:val="24"/>
        </w:rPr>
        <w:t xml:space="preserve">provides that the term “Act” in the instrument refers to the </w:t>
      </w:r>
      <w:r w:rsidR="00E37BB3">
        <w:rPr>
          <w:i/>
          <w:iCs/>
        </w:rPr>
        <w:t>Australian Renewable Energy Agency Act 2011</w:t>
      </w:r>
      <w:r w:rsidR="00E37BB3">
        <w:rPr>
          <w:szCs w:val="24"/>
        </w:rPr>
        <w:t>.</w:t>
      </w:r>
    </w:p>
    <w:p w14:paraId="7D205AA3" w14:textId="16E77F9F" w:rsidR="00E37BB3" w:rsidRPr="00FC52C4" w:rsidRDefault="00E37BB3" w:rsidP="00E37BB3">
      <w:pPr>
        <w:spacing w:before="0" w:after="240"/>
        <w:ind w:right="91"/>
        <w:rPr>
          <w:szCs w:val="24"/>
          <w:u w:val="single"/>
        </w:rPr>
      </w:pPr>
      <w:r w:rsidRPr="00D33F05">
        <w:rPr>
          <w:szCs w:val="24"/>
          <w:u w:val="single"/>
        </w:rPr>
        <w:t xml:space="preserve">Section </w:t>
      </w:r>
      <w:r>
        <w:rPr>
          <w:szCs w:val="24"/>
          <w:u w:val="single"/>
        </w:rPr>
        <w:t>5</w:t>
      </w:r>
      <w:r w:rsidRPr="00D33F05">
        <w:rPr>
          <w:szCs w:val="24"/>
          <w:u w:val="single"/>
        </w:rPr>
        <w:t xml:space="preserve"> – </w:t>
      </w:r>
      <w:r>
        <w:rPr>
          <w:szCs w:val="24"/>
          <w:u w:val="single"/>
        </w:rPr>
        <w:t>Repeals</w:t>
      </w:r>
    </w:p>
    <w:p w14:paraId="5D421527" w14:textId="4FAF55FC" w:rsidR="00E37BB3" w:rsidRDefault="00E37BB3" w:rsidP="00E37BB3">
      <w:pPr>
        <w:spacing w:before="0" w:after="240"/>
      </w:pPr>
      <w:r>
        <w:rPr>
          <w:szCs w:val="24"/>
        </w:rPr>
        <w:t>Section 5</w:t>
      </w:r>
      <w:r w:rsidRPr="00FC52C4">
        <w:rPr>
          <w:szCs w:val="24"/>
        </w:rPr>
        <w:t xml:space="preserve"> </w:t>
      </w:r>
      <w:r w:rsidR="00E04045">
        <w:rPr>
          <w:szCs w:val="24"/>
        </w:rPr>
        <w:t xml:space="preserve">provides that the Determination, on the day that it comes into force, </w:t>
      </w:r>
      <w:r>
        <w:rPr>
          <w:szCs w:val="24"/>
        </w:rPr>
        <w:t xml:space="preserve">repeals the </w:t>
      </w:r>
      <w:r w:rsidR="006C7F74">
        <w:rPr>
          <w:szCs w:val="24"/>
        </w:rPr>
        <w:t xml:space="preserve">previous GFS (the </w:t>
      </w:r>
      <w:r w:rsidR="008D211E">
        <w:rPr>
          <w:i/>
        </w:rPr>
        <w:t>Australian Renewable Energy Agency (General Funding Strategy) Determination 2017</w:t>
      </w:r>
      <w:r w:rsidR="008D211E">
        <w:t xml:space="preserve"> (the “2017</w:t>
      </w:r>
      <w:r w:rsidRPr="00E37BB3">
        <w:t xml:space="preserve"> Determination”)</w:t>
      </w:r>
      <w:r w:rsidR="006C7F74">
        <w:t>)</w:t>
      </w:r>
      <w:r>
        <w:rPr>
          <w:szCs w:val="24"/>
        </w:rPr>
        <w:t xml:space="preserve">. The power to do this derives from sub-section 33(3) of the </w:t>
      </w:r>
      <w:r>
        <w:rPr>
          <w:i/>
        </w:rPr>
        <w:t>Acts Interpretation Act 1901</w:t>
      </w:r>
      <w:r>
        <w:rPr>
          <w:rStyle w:val="FootnoteReference"/>
          <w:szCs w:val="24"/>
        </w:rPr>
        <w:footnoteReference w:id="1"/>
      </w:r>
      <w:r w:rsidR="008D211E">
        <w:t xml:space="preserve"> read in conjunction with sub-section </w:t>
      </w:r>
      <w:r w:rsidR="008D211E">
        <w:rPr>
          <w:szCs w:val="24"/>
        </w:rPr>
        <w:t>21(2) of the Act.</w:t>
      </w:r>
    </w:p>
    <w:p w14:paraId="007C4F5F" w14:textId="71B6179B" w:rsidR="00A62FCF" w:rsidRPr="00FC52C4" w:rsidRDefault="00A62FCF" w:rsidP="00A62FCF">
      <w:pPr>
        <w:spacing w:before="0" w:after="240"/>
        <w:ind w:right="91"/>
        <w:rPr>
          <w:szCs w:val="24"/>
          <w:u w:val="single"/>
        </w:rPr>
      </w:pPr>
      <w:r w:rsidRPr="00D33F05">
        <w:rPr>
          <w:szCs w:val="24"/>
          <w:u w:val="single"/>
        </w:rPr>
        <w:t xml:space="preserve">Section </w:t>
      </w:r>
      <w:r>
        <w:rPr>
          <w:szCs w:val="24"/>
          <w:u w:val="single"/>
        </w:rPr>
        <w:t>6</w:t>
      </w:r>
      <w:r w:rsidRPr="00D33F05">
        <w:rPr>
          <w:szCs w:val="24"/>
          <w:u w:val="single"/>
        </w:rPr>
        <w:t xml:space="preserve"> – </w:t>
      </w:r>
      <w:r>
        <w:rPr>
          <w:szCs w:val="24"/>
          <w:u w:val="single"/>
        </w:rPr>
        <w:t>Approval of General Funding Strategy</w:t>
      </w:r>
    </w:p>
    <w:p w14:paraId="5B965E8E" w14:textId="3E74382B" w:rsidR="00A62FCF" w:rsidRDefault="00A62FCF" w:rsidP="00A62FCF">
      <w:pPr>
        <w:spacing w:before="0" w:after="240"/>
        <w:rPr>
          <w:szCs w:val="24"/>
        </w:rPr>
      </w:pPr>
      <w:r>
        <w:rPr>
          <w:szCs w:val="24"/>
        </w:rPr>
        <w:t>Section 6</w:t>
      </w:r>
      <w:r w:rsidRPr="00FC52C4">
        <w:rPr>
          <w:szCs w:val="24"/>
        </w:rPr>
        <w:t xml:space="preserve"> </w:t>
      </w:r>
      <w:r>
        <w:rPr>
          <w:szCs w:val="24"/>
        </w:rPr>
        <w:t>provides that, by signing the Determination, the Minister thereby approve</w:t>
      </w:r>
      <w:r w:rsidR="002C3B7B">
        <w:rPr>
          <w:szCs w:val="24"/>
        </w:rPr>
        <w:t>s and makes the GFS for the 2018/19 – 2020/21</w:t>
      </w:r>
      <w:r>
        <w:rPr>
          <w:szCs w:val="24"/>
        </w:rPr>
        <w:t xml:space="preserve"> financial years </w:t>
      </w:r>
      <w:r w:rsidR="00510E60">
        <w:rPr>
          <w:szCs w:val="24"/>
        </w:rPr>
        <w:t>(</w:t>
      </w:r>
      <w:r>
        <w:rPr>
          <w:szCs w:val="24"/>
        </w:rPr>
        <w:t xml:space="preserve">at Schedule 1 </w:t>
      </w:r>
      <w:r w:rsidR="00510E60">
        <w:rPr>
          <w:szCs w:val="24"/>
        </w:rPr>
        <w:t xml:space="preserve">of the Determination) </w:t>
      </w:r>
      <w:r>
        <w:rPr>
          <w:szCs w:val="24"/>
        </w:rPr>
        <w:t>as a non-disallowable legislative instrument</w:t>
      </w:r>
      <w:r w:rsidR="00510E60">
        <w:rPr>
          <w:szCs w:val="24"/>
        </w:rPr>
        <w:t xml:space="preserve"> as at the date of signature. The power to do this derives from sub-section 20(2) of the Act.</w:t>
      </w:r>
    </w:p>
    <w:p w14:paraId="2B5EA965" w14:textId="1B484E9F" w:rsidR="00674108" w:rsidRDefault="00510E60" w:rsidP="00A62FCF">
      <w:pPr>
        <w:spacing w:before="0" w:after="240"/>
        <w:rPr>
          <w:szCs w:val="24"/>
        </w:rPr>
      </w:pPr>
      <w:r>
        <w:rPr>
          <w:szCs w:val="24"/>
        </w:rPr>
        <w:t xml:space="preserve">It should be noted that sub-section 19(2) of the Act requires a GFS to be developed </w:t>
      </w:r>
      <w:r>
        <w:rPr>
          <w:iCs/>
        </w:rPr>
        <w:t xml:space="preserve">during the financial year previous to that in which it commences. </w:t>
      </w:r>
      <w:r w:rsidR="002C3B7B">
        <w:rPr>
          <w:szCs w:val="24"/>
        </w:rPr>
        <w:t>The GFS for the 2018/19 – 2020/21</w:t>
      </w:r>
      <w:r>
        <w:rPr>
          <w:szCs w:val="24"/>
        </w:rPr>
        <w:t xml:space="preserve"> financial years was de</w:t>
      </w:r>
      <w:r w:rsidR="002C3B7B">
        <w:rPr>
          <w:szCs w:val="24"/>
        </w:rPr>
        <w:t>veloped by the Board in the 2017/18</w:t>
      </w:r>
      <w:r>
        <w:rPr>
          <w:szCs w:val="24"/>
        </w:rPr>
        <w:t xml:space="preserve"> financial year, as required by sub-section 19(2).</w:t>
      </w:r>
    </w:p>
    <w:p w14:paraId="24EEC834" w14:textId="193CC9B8" w:rsidR="00BB6F3A" w:rsidRDefault="00BB6F3A" w:rsidP="00A62FCF">
      <w:pPr>
        <w:spacing w:before="0" w:after="240"/>
        <w:rPr>
          <w:szCs w:val="24"/>
        </w:rPr>
      </w:pPr>
      <w:r>
        <w:rPr>
          <w:szCs w:val="24"/>
        </w:rPr>
        <w:t>The GFS for the 201</w:t>
      </w:r>
      <w:r w:rsidR="002C3B7B">
        <w:rPr>
          <w:szCs w:val="24"/>
        </w:rPr>
        <w:t>8/19 – 2020/21</w:t>
      </w:r>
      <w:r>
        <w:rPr>
          <w:szCs w:val="24"/>
        </w:rPr>
        <w:t xml:space="preserve"> financial years should be read in conjunction with the </w:t>
      </w:r>
      <w:r w:rsidR="002C3B7B">
        <w:rPr>
          <w:szCs w:val="24"/>
        </w:rPr>
        <w:t>latest</w:t>
      </w:r>
      <w:r>
        <w:rPr>
          <w:szCs w:val="24"/>
        </w:rPr>
        <w:t xml:space="preserve"> ARENA Investment Plan. While the </w:t>
      </w:r>
      <w:r w:rsidR="00E04045">
        <w:rPr>
          <w:szCs w:val="24"/>
        </w:rPr>
        <w:t>Investment Plan</w:t>
      </w:r>
      <w:r>
        <w:rPr>
          <w:szCs w:val="24"/>
        </w:rPr>
        <w:t xml:space="preserve"> does not form part of the Determination (and is therefo</w:t>
      </w:r>
      <w:r w:rsidR="002C3B7B">
        <w:rPr>
          <w:szCs w:val="24"/>
        </w:rPr>
        <w:t>re not formally part of the 2018/19 – 2020/21</w:t>
      </w:r>
      <w:r>
        <w:rPr>
          <w:szCs w:val="24"/>
        </w:rPr>
        <w:t xml:space="preserve"> GFS), it does outline non-binding principles the Board will consider when assessing funding applications.</w:t>
      </w:r>
    </w:p>
    <w:p w14:paraId="2D470B8E" w14:textId="77777777" w:rsidR="005B17D1" w:rsidRDefault="005B17D1">
      <w:pPr>
        <w:spacing w:before="0" w:after="0"/>
        <w:rPr>
          <w:szCs w:val="24"/>
        </w:rPr>
      </w:pPr>
      <w:r>
        <w:rPr>
          <w:szCs w:val="24"/>
        </w:rPr>
        <w:br w:type="page"/>
      </w:r>
    </w:p>
    <w:p w14:paraId="2D470B8F" w14:textId="77777777" w:rsidR="005B17D1" w:rsidRDefault="00723C9D" w:rsidP="005B17D1">
      <w:pPr>
        <w:tabs>
          <w:tab w:val="right" w:pos="9072"/>
        </w:tabs>
        <w:spacing w:after="240"/>
        <w:ind w:right="91"/>
        <w:jc w:val="right"/>
        <w:rPr>
          <w:b/>
          <w:szCs w:val="24"/>
          <w:u w:val="single"/>
        </w:rPr>
      </w:pPr>
      <w:r>
        <w:rPr>
          <w:b/>
          <w:szCs w:val="24"/>
          <w:u w:val="single"/>
        </w:rPr>
        <w:t>ATTACHMENT B</w:t>
      </w:r>
    </w:p>
    <w:p w14:paraId="2D470B90" w14:textId="77777777" w:rsidR="005B17D1" w:rsidRDefault="005B17D1" w:rsidP="005B17D1">
      <w:pPr>
        <w:pStyle w:val="Heading3"/>
        <w:spacing w:before="0" w:after="240"/>
        <w:jc w:val="center"/>
        <w:rPr>
          <w:szCs w:val="24"/>
        </w:rPr>
      </w:pPr>
      <w:r>
        <w:rPr>
          <w:szCs w:val="24"/>
        </w:rPr>
        <w:t>Statement of Compatibility with Human Rights</w:t>
      </w:r>
    </w:p>
    <w:p w14:paraId="2D470B91" w14:textId="77777777" w:rsidR="005B17D1" w:rsidRDefault="005B17D1" w:rsidP="005B17D1">
      <w:pPr>
        <w:spacing w:after="240"/>
        <w:jc w:val="center"/>
        <w:rPr>
          <w:i/>
          <w:szCs w:val="24"/>
        </w:rPr>
      </w:pPr>
      <w:r>
        <w:rPr>
          <w:i/>
          <w:szCs w:val="24"/>
        </w:rPr>
        <w:t>Prepared in accordance with Part 3 of the Human Rights (Parliamentary Scrutiny) Act 2011</w:t>
      </w:r>
    </w:p>
    <w:p w14:paraId="2D470B92" w14:textId="77777777" w:rsidR="00723C9D" w:rsidRPr="00723C9D" w:rsidRDefault="00723C9D" w:rsidP="00723C9D">
      <w:pPr>
        <w:spacing w:after="240"/>
        <w:rPr>
          <w:szCs w:val="24"/>
        </w:rPr>
      </w:pPr>
    </w:p>
    <w:p w14:paraId="2D470B93" w14:textId="1A6B83E8" w:rsidR="00723C9D" w:rsidRPr="00723C9D" w:rsidRDefault="00510E60" w:rsidP="00723C9D">
      <w:pPr>
        <w:spacing w:before="240" w:after="240"/>
        <w:jc w:val="center"/>
        <w:rPr>
          <w:b/>
          <w:i/>
        </w:rPr>
      </w:pPr>
      <w:r w:rsidRPr="00E37BB3">
        <w:rPr>
          <w:b/>
          <w:i/>
        </w:rPr>
        <w:t>Australian Renewable Energy Agency (General Fund</w:t>
      </w:r>
      <w:r w:rsidR="002C3B7B">
        <w:rPr>
          <w:b/>
          <w:i/>
        </w:rPr>
        <w:t>ing Strategy) Determination 2018</w:t>
      </w:r>
    </w:p>
    <w:p w14:paraId="2D470B94" w14:textId="61C5CFCC" w:rsidR="005B17D1" w:rsidRDefault="00510E60" w:rsidP="005B17D1">
      <w:pPr>
        <w:spacing w:after="240"/>
        <w:rPr>
          <w:szCs w:val="24"/>
        </w:rPr>
      </w:pPr>
      <w:r>
        <w:rPr>
          <w:szCs w:val="24"/>
        </w:rPr>
        <w:t>This legislative i</w:t>
      </w:r>
      <w:r w:rsidR="005B17D1">
        <w:rPr>
          <w:szCs w:val="24"/>
        </w:rPr>
        <w:t xml:space="preserve">nstrument is compatible with the human rights and freedoms recognised or declared in the international instruments listed in section 3 of the </w:t>
      </w:r>
      <w:r w:rsidR="005B17D1">
        <w:rPr>
          <w:i/>
          <w:szCs w:val="24"/>
        </w:rPr>
        <w:t>Human Rights (Parliamentary Scrutiny) Act 2011</w:t>
      </w:r>
      <w:r w:rsidR="005B17D1">
        <w:rPr>
          <w:szCs w:val="24"/>
        </w:rPr>
        <w:t>.</w:t>
      </w:r>
    </w:p>
    <w:p w14:paraId="2D470B95" w14:textId="09036D3D" w:rsidR="005B17D1" w:rsidRDefault="00674108" w:rsidP="005B17D1">
      <w:pPr>
        <w:pStyle w:val="Heading4"/>
        <w:spacing w:after="240"/>
        <w:rPr>
          <w:szCs w:val="24"/>
        </w:rPr>
      </w:pPr>
      <w:r>
        <w:rPr>
          <w:szCs w:val="24"/>
        </w:rPr>
        <w:t>Overview of the l</w:t>
      </w:r>
      <w:r w:rsidR="005B17D1">
        <w:rPr>
          <w:szCs w:val="24"/>
        </w:rPr>
        <w:t xml:space="preserve">egislative </w:t>
      </w:r>
      <w:r>
        <w:rPr>
          <w:szCs w:val="24"/>
        </w:rPr>
        <w:t>i</w:t>
      </w:r>
      <w:r w:rsidR="005B17D1">
        <w:rPr>
          <w:szCs w:val="24"/>
        </w:rPr>
        <w:t>nstrument</w:t>
      </w:r>
    </w:p>
    <w:p w14:paraId="2D470B96" w14:textId="22F28787" w:rsidR="005B17D1" w:rsidRPr="00FE795E" w:rsidRDefault="000F0BED" w:rsidP="005B17D1">
      <w:pPr>
        <w:spacing w:after="240"/>
        <w:rPr>
          <w:szCs w:val="24"/>
        </w:rPr>
      </w:pPr>
      <w:r>
        <w:rPr>
          <w:szCs w:val="24"/>
        </w:rPr>
        <w:t>T</w:t>
      </w:r>
      <w:r w:rsidR="005B17D1" w:rsidRPr="00FE795E">
        <w:rPr>
          <w:szCs w:val="24"/>
        </w:rPr>
        <w:t xml:space="preserve">he </w:t>
      </w:r>
      <w:r w:rsidR="00674108" w:rsidRPr="00674108">
        <w:rPr>
          <w:i/>
        </w:rPr>
        <w:t>Australian Renewable Energy Agency (General Fund</w:t>
      </w:r>
      <w:r w:rsidR="002C3B7B">
        <w:rPr>
          <w:i/>
        </w:rPr>
        <w:t>ing Strategy) Determination 2018</w:t>
      </w:r>
      <w:r w:rsidR="00674108" w:rsidRPr="00674108">
        <w:t xml:space="preserve"> </w:t>
      </w:r>
      <w:r w:rsidR="00674108">
        <w:t>enacts the Australian Renewable Energy Agency’s Gener</w:t>
      </w:r>
      <w:r w:rsidR="002C3B7B">
        <w:t>al Funding Strategy for the 2018/19 – 2020/21</w:t>
      </w:r>
      <w:r w:rsidR="00674108">
        <w:t xml:space="preserve"> financial years as a legislative instrument.</w:t>
      </w:r>
    </w:p>
    <w:p w14:paraId="2D470B97" w14:textId="77777777" w:rsidR="005B17D1" w:rsidRDefault="005B17D1" w:rsidP="005B17D1">
      <w:pPr>
        <w:pStyle w:val="Heading4"/>
        <w:spacing w:after="240"/>
        <w:rPr>
          <w:szCs w:val="24"/>
        </w:rPr>
      </w:pPr>
      <w:r>
        <w:rPr>
          <w:szCs w:val="24"/>
        </w:rPr>
        <w:t>Human rights implications</w:t>
      </w:r>
    </w:p>
    <w:p w14:paraId="2D470B98" w14:textId="60ED02A6" w:rsidR="00C507FD" w:rsidRDefault="005B17D1" w:rsidP="00742F0C">
      <w:pPr>
        <w:spacing w:after="240"/>
        <w:rPr>
          <w:szCs w:val="24"/>
        </w:rPr>
      </w:pPr>
      <w:r>
        <w:rPr>
          <w:szCs w:val="24"/>
        </w:rPr>
        <w:t xml:space="preserve">This </w:t>
      </w:r>
      <w:r w:rsidR="00674108">
        <w:rPr>
          <w:szCs w:val="24"/>
        </w:rPr>
        <w:t>legislative i</w:t>
      </w:r>
      <w:r>
        <w:rPr>
          <w:szCs w:val="24"/>
        </w:rPr>
        <w:t>nstrument does not engage any of the applicable human rights or free</w:t>
      </w:r>
      <w:r w:rsidR="00674108">
        <w:rPr>
          <w:szCs w:val="24"/>
        </w:rPr>
        <w:t>doms.</w:t>
      </w:r>
    </w:p>
    <w:p w14:paraId="2D470B99" w14:textId="77777777" w:rsidR="005B17D1" w:rsidRDefault="005B17D1" w:rsidP="005B17D1">
      <w:pPr>
        <w:pStyle w:val="Heading4"/>
        <w:spacing w:after="240"/>
        <w:rPr>
          <w:szCs w:val="24"/>
        </w:rPr>
      </w:pPr>
      <w:r>
        <w:rPr>
          <w:szCs w:val="24"/>
        </w:rPr>
        <w:t>Conclusion</w:t>
      </w:r>
    </w:p>
    <w:p w14:paraId="2D470B9A" w14:textId="37FDFB11" w:rsidR="00CC032A" w:rsidRDefault="00674108">
      <w:pPr>
        <w:rPr>
          <w:szCs w:val="24"/>
        </w:rPr>
      </w:pPr>
      <w:r>
        <w:rPr>
          <w:szCs w:val="24"/>
        </w:rPr>
        <w:t>This legislative i</w:t>
      </w:r>
      <w:r w:rsidR="005B17D1">
        <w:rPr>
          <w:szCs w:val="24"/>
        </w:rPr>
        <w:t>nstrument is compatible with human rights as it does not</w:t>
      </w:r>
      <w:r w:rsidR="00D00C39">
        <w:rPr>
          <w:szCs w:val="24"/>
        </w:rPr>
        <w:t xml:space="preserve"> raise any human rights issues.</w:t>
      </w:r>
    </w:p>
    <w:p w14:paraId="2D470B9B" w14:textId="77777777" w:rsidR="00FE795E" w:rsidRDefault="00FE795E">
      <w:pPr>
        <w:rPr>
          <w:szCs w:val="24"/>
        </w:rPr>
      </w:pPr>
    </w:p>
    <w:p w14:paraId="2D470B9C" w14:textId="77777777" w:rsidR="003515C5" w:rsidRDefault="003515C5">
      <w:pPr>
        <w:rPr>
          <w:szCs w:val="24"/>
        </w:rPr>
      </w:pPr>
    </w:p>
    <w:p w14:paraId="2D470B9D" w14:textId="04E965AB" w:rsidR="00723C9D" w:rsidRPr="00FE795E" w:rsidRDefault="00723C9D" w:rsidP="00FE795E">
      <w:pPr>
        <w:jc w:val="center"/>
        <w:rPr>
          <w:b/>
          <w:szCs w:val="24"/>
        </w:rPr>
      </w:pPr>
      <w:r w:rsidRPr="00FE795E">
        <w:rPr>
          <w:b/>
          <w:szCs w:val="24"/>
        </w:rPr>
        <w:t xml:space="preserve">The Hon </w:t>
      </w:r>
      <w:r w:rsidR="00674108">
        <w:rPr>
          <w:b/>
          <w:szCs w:val="24"/>
        </w:rPr>
        <w:t>Josh Frydenberg</w:t>
      </w:r>
      <w:r w:rsidRPr="00FE795E">
        <w:rPr>
          <w:b/>
          <w:szCs w:val="24"/>
        </w:rPr>
        <w:t xml:space="preserve"> MP</w:t>
      </w:r>
    </w:p>
    <w:p w14:paraId="2D470BA0" w14:textId="6169FA8C" w:rsidR="00AC5531" w:rsidRPr="00677970" w:rsidRDefault="00723C9D" w:rsidP="00677970">
      <w:pPr>
        <w:jc w:val="center"/>
        <w:rPr>
          <w:b/>
          <w:szCs w:val="24"/>
        </w:rPr>
      </w:pPr>
      <w:r w:rsidRPr="00FE795E">
        <w:rPr>
          <w:b/>
          <w:szCs w:val="24"/>
        </w:rPr>
        <w:t>Minister for the Environment</w:t>
      </w:r>
      <w:r w:rsidR="00674108">
        <w:rPr>
          <w:b/>
          <w:szCs w:val="24"/>
        </w:rPr>
        <w:t xml:space="preserve"> and Energy</w:t>
      </w:r>
    </w:p>
    <w:sectPr w:rsidR="00AC5531" w:rsidRPr="00677970"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70BC7" w14:textId="77777777" w:rsidR="001C54F0" w:rsidRDefault="001C54F0" w:rsidP="00CF785C">
      <w:pPr>
        <w:spacing w:before="0" w:after="0"/>
      </w:pPr>
      <w:r>
        <w:separator/>
      </w:r>
    </w:p>
  </w:endnote>
  <w:endnote w:type="continuationSeparator" w:id="0">
    <w:p w14:paraId="2D470BC8" w14:textId="77777777" w:rsidR="001C54F0" w:rsidRDefault="001C54F0" w:rsidP="00CF7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6DA9D" w14:textId="77777777" w:rsidR="003E0813" w:rsidRDefault="003E0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49ED2" w14:textId="77777777" w:rsidR="003E0813" w:rsidRDefault="003E0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A2E17" w14:textId="77777777" w:rsidR="003E0813" w:rsidRDefault="003E0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70BC5" w14:textId="77777777" w:rsidR="001C54F0" w:rsidRDefault="001C54F0" w:rsidP="00CF785C">
      <w:pPr>
        <w:spacing w:before="0" w:after="0"/>
      </w:pPr>
      <w:r>
        <w:separator/>
      </w:r>
    </w:p>
  </w:footnote>
  <w:footnote w:type="continuationSeparator" w:id="0">
    <w:p w14:paraId="2D470BC6" w14:textId="77777777" w:rsidR="001C54F0" w:rsidRDefault="001C54F0" w:rsidP="00CF785C">
      <w:pPr>
        <w:spacing w:before="0" w:after="0"/>
      </w:pPr>
      <w:r>
        <w:continuationSeparator/>
      </w:r>
    </w:p>
  </w:footnote>
  <w:footnote w:id="1">
    <w:p w14:paraId="25BFFAA5" w14:textId="77777777" w:rsidR="00E37BB3" w:rsidRDefault="00E37BB3" w:rsidP="00E37BB3">
      <w:pPr>
        <w:pStyle w:val="FootnoteText"/>
      </w:pPr>
      <w:r>
        <w:rPr>
          <w:rStyle w:val="FootnoteReference"/>
        </w:rPr>
        <w:footnoteRef/>
      </w:r>
      <w:r>
        <w:t xml:space="preserve"> 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E2025" w14:textId="77777777" w:rsidR="003E0813" w:rsidRDefault="003E0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069B9" w14:textId="77777777" w:rsidR="003E0813" w:rsidRDefault="003E0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A9048" w14:textId="77777777" w:rsidR="003E0813" w:rsidRDefault="003E0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4"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5"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2"/>
  </w:num>
  <w:num w:numId="2">
    <w:abstractNumId w:val="5"/>
  </w:num>
  <w:num w:numId="3">
    <w:abstractNumId w:val="6"/>
  </w:num>
  <w:num w:numId="4">
    <w:abstractNumId w:val="7"/>
  </w:num>
  <w:num w:numId="5">
    <w:abstractNumId w:val="4"/>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 w:numId="11">
    <w:abstractNumId w:val="0"/>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E9"/>
    <w:rsid w:val="00001661"/>
    <w:rsid w:val="00011BE2"/>
    <w:rsid w:val="00012FFD"/>
    <w:rsid w:val="00016AB4"/>
    <w:rsid w:val="00016EA2"/>
    <w:rsid w:val="000212FB"/>
    <w:rsid w:val="00022A12"/>
    <w:rsid w:val="000250CB"/>
    <w:rsid w:val="000263D6"/>
    <w:rsid w:val="00026576"/>
    <w:rsid w:val="00026BD0"/>
    <w:rsid w:val="00027420"/>
    <w:rsid w:val="00027846"/>
    <w:rsid w:val="00030CCB"/>
    <w:rsid w:val="0003196C"/>
    <w:rsid w:val="00034316"/>
    <w:rsid w:val="000372F4"/>
    <w:rsid w:val="00040CEC"/>
    <w:rsid w:val="0004434C"/>
    <w:rsid w:val="00046C9F"/>
    <w:rsid w:val="000562DA"/>
    <w:rsid w:val="00056C8F"/>
    <w:rsid w:val="00057627"/>
    <w:rsid w:val="00062FFE"/>
    <w:rsid w:val="000665DB"/>
    <w:rsid w:val="000667CB"/>
    <w:rsid w:val="00070C06"/>
    <w:rsid w:val="00070C3D"/>
    <w:rsid w:val="00074927"/>
    <w:rsid w:val="00082011"/>
    <w:rsid w:val="000832D0"/>
    <w:rsid w:val="000858FA"/>
    <w:rsid w:val="00086ADC"/>
    <w:rsid w:val="000879AF"/>
    <w:rsid w:val="00087A55"/>
    <w:rsid w:val="00095211"/>
    <w:rsid w:val="00097F6B"/>
    <w:rsid w:val="000A17A8"/>
    <w:rsid w:val="000A2491"/>
    <w:rsid w:val="000A2BAF"/>
    <w:rsid w:val="000A2C46"/>
    <w:rsid w:val="000A5077"/>
    <w:rsid w:val="000A5473"/>
    <w:rsid w:val="000B0950"/>
    <w:rsid w:val="000B0E9E"/>
    <w:rsid w:val="000B1F03"/>
    <w:rsid w:val="000B2694"/>
    <w:rsid w:val="000B6310"/>
    <w:rsid w:val="000B6571"/>
    <w:rsid w:val="000B696B"/>
    <w:rsid w:val="000B791F"/>
    <w:rsid w:val="000C10DF"/>
    <w:rsid w:val="000C349C"/>
    <w:rsid w:val="000D27C0"/>
    <w:rsid w:val="000D45D5"/>
    <w:rsid w:val="000D640B"/>
    <w:rsid w:val="000F0BED"/>
    <w:rsid w:val="000F0ECC"/>
    <w:rsid w:val="000F26C9"/>
    <w:rsid w:val="000F2873"/>
    <w:rsid w:val="000F2D8C"/>
    <w:rsid w:val="000F47F6"/>
    <w:rsid w:val="000F618F"/>
    <w:rsid w:val="000F636A"/>
    <w:rsid w:val="001037D5"/>
    <w:rsid w:val="00104230"/>
    <w:rsid w:val="0010738D"/>
    <w:rsid w:val="00111F32"/>
    <w:rsid w:val="00112387"/>
    <w:rsid w:val="00112888"/>
    <w:rsid w:val="00113B45"/>
    <w:rsid w:val="00114F70"/>
    <w:rsid w:val="001154C7"/>
    <w:rsid w:val="00117066"/>
    <w:rsid w:val="00117213"/>
    <w:rsid w:val="00117DBA"/>
    <w:rsid w:val="00120B5C"/>
    <w:rsid w:val="001218DE"/>
    <w:rsid w:val="001268C6"/>
    <w:rsid w:val="00130C93"/>
    <w:rsid w:val="00131714"/>
    <w:rsid w:val="001318AC"/>
    <w:rsid w:val="0013786F"/>
    <w:rsid w:val="00140A21"/>
    <w:rsid w:val="0014344B"/>
    <w:rsid w:val="0014688B"/>
    <w:rsid w:val="00147F5F"/>
    <w:rsid w:val="001500D9"/>
    <w:rsid w:val="00154215"/>
    <w:rsid w:val="00160725"/>
    <w:rsid w:val="001623AD"/>
    <w:rsid w:val="00164AE8"/>
    <w:rsid w:val="001716D8"/>
    <w:rsid w:val="00175EF5"/>
    <w:rsid w:val="00176A1C"/>
    <w:rsid w:val="001807C7"/>
    <w:rsid w:val="001807E5"/>
    <w:rsid w:val="001826FD"/>
    <w:rsid w:val="00184B1C"/>
    <w:rsid w:val="00185207"/>
    <w:rsid w:val="001855A0"/>
    <w:rsid w:val="00185DAB"/>
    <w:rsid w:val="00187130"/>
    <w:rsid w:val="00191E55"/>
    <w:rsid w:val="00193F22"/>
    <w:rsid w:val="001955F8"/>
    <w:rsid w:val="00196ABF"/>
    <w:rsid w:val="001A0106"/>
    <w:rsid w:val="001A0EF2"/>
    <w:rsid w:val="001A1C60"/>
    <w:rsid w:val="001A31C5"/>
    <w:rsid w:val="001A6C0C"/>
    <w:rsid w:val="001B0EC8"/>
    <w:rsid w:val="001B1332"/>
    <w:rsid w:val="001C1FF7"/>
    <w:rsid w:val="001C2159"/>
    <w:rsid w:val="001C32DA"/>
    <w:rsid w:val="001C399E"/>
    <w:rsid w:val="001C54F0"/>
    <w:rsid w:val="001D2A02"/>
    <w:rsid w:val="001D6ED0"/>
    <w:rsid w:val="001E510E"/>
    <w:rsid w:val="001E5B50"/>
    <w:rsid w:val="001E6A74"/>
    <w:rsid w:val="001E765C"/>
    <w:rsid w:val="001E772E"/>
    <w:rsid w:val="001F0026"/>
    <w:rsid w:val="001F1215"/>
    <w:rsid w:val="001F1C48"/>
    <w:rsid w:val="001F41D0"/>
    <w:rsid w:val="001F5A3D"/>
    <w:rsid w:val="001F6752"/>
    <w:rsid w:val="002069C7"/>
    <w:rsid w:val="00210F96"/>
    <w:rsid w:val="00212CEF"/>
    <w:rsid w:val="0021388D"/>
    <w:rsid w:val="002143AB"/>
    <w:rsid w:val="002154D3"/>
    <w:rsid w:val="0021614B"/>
    <w:rsid w:val="002177CD"/>
    <w:rsid w:val="00220F16"/>
    <w:rsid w:val="00221281"/>
    <w:rsid w:val="00221988"/>
    <w:rsid w:val="00223642"/>
    <w:rsid w:val="00224554"/>
    <w:rsid w:val="002250CC"/>
    <w:rsid w:val="00226D26"/>
    <w:rsid w:val="00232591"/>
    <w:rsid w:val="0023283C"/>
    <w:rsid w:val="00236E66"/>
    <w:rsid w:val="00237DBC"/>
    <w:rsid w:val="00241264"/>
    <w:rsid w:val="002415FC"/>
    <w:rsid w:val="0024774F"/>
    <w:rsid w:val="0025112C"/>
    <w:rsid w:val="00254C5B"/>
    <w:rsid w:val="00257FE6"/>
    <w:rsid w:val="00260C11"/>
    <w:rsid w:val="00262EB1"/>
    <w:rsid w:val="0026628B"/>
    <w:rsid w:val="002668FC"/>
    <w:rsid w:val="00271380"/>
    <w:rsid w:val="00273465"/>
    <w:rsid w:val="00273892"/>
    <w:rsid w:val="002805A4"/>
    <w:rsid w:val="00281840"/>
    <w:rsid w:val="002868CE"/>
    <w:rsid w:val="00291ECB"/>
    <w:rsid w:val="00292712"/>
    <w:rsid w:val="00295270"/>
    <w:rsid w:val="00295B17"/>
    <w:rsid w:val="002967CB"/>
    <w:rsid w:val="002A309E"/>
    <w:rsid w:val="002A3988"/>
    <w:rsid w:val="002B1A4C"/>
    <w:rsid w:val="002B2DD7"/>
    <w:rsid w:val="002B42DD"/>
    <w:rsid w:val="002B6A65"/>
    <w:rsid w:val="002B764F"/>
    <w:rsid w:val="002C12DE"/>
    <w:rsid w:val="002C3183"/>
    <w:rsid w:val="002C3B7B"/>
    <w:rsid w:val="002D0C0C"/>
    <w:rsid w:val="002E0BB9"/>
    <w:rsid w:val="002E18B4"/>
    <w:rsid w:val="002E335E"/>
    <w:rsid w:val="002E53A7"/>
    <w:rsid w:val="002E63F8"/>
    <w:rsid w:val="002F24FC"/>
    <w:rsid w:val="002F25C9"/>
    <w:rsid w:val="002F2816"/>
    <w:rsid w:val="002F58BF"/>
    <w:rsid w:val="002F7DEB"/>
    <w:rsid w:val="00300396"/>
    <w:rsid w:val="00301E34"/>
    <w:rsid w:val="0031132E"/>
    <w:rsid w:val="00312D98"/>
    <w:rsid w:val="0032329D"/>
    <w:rsid w:val="00325864"/>
    <w:rsid w:val="00326FD4"/>
    <w:rsid w:val="00331DB4"/>
    <w:rsid w:val="003342CD"/>
    <w:rsid w:val="00335042"/>
    <w:rsid w:val="0034011A"/>
    <w:rsid w:val="00342492"/>
    <w:rsid w:val="00343673"/>
    <w:rsid w:val="00343B96"/>
    <w:rsid w:val="003440EB"/>
    <w:rsid w:val="00346F24"/>
    <w:rsid w:val="003515C5"/>
    <w:rsid w:val="00352DFD"/>
    <w:rsid w:val="0035409D"/>
    <w:rsid w:val="0035469B"/>
    <w:rsid w:val="0035681A"/>
    <w:rsid w:val="00356B48"/>
    <w:rsid w:val="00356E31"/>
    <w:rsid w:val="003579FD"/>
    <w:rsid w:val="0036170D"/>
    <w:rsid w:val="00361912"/>
    <w:rsid w:val="0036570A"/>
    <w:rsid w:val="003670B8"/>
    <w:rsid w:val="003676D5"/>
    <w:rsid w:val="003678A8"/>
    <w:rsid w:val="0036799A"/>
    <w:rsid w:val="00370929"/>
    <w:rsid w:val="00372800"/>
    <w:rsid w:val="00375618"/>
    <w:rsid w:val="00377BEE"/>
    <w:rsid w:val="003833E9"/>
    <w:rsid w:val="00385170"/>
    <w:rsid w:val="003855E0"/>
    <w:rsid w:val="00386E5D"/>
    <w:rsid w:val="003919A0"/>
    <w:rsid w:val="00392BBA"/>
    <w:rsid w:val="00393EEB"/>
    <w:rsid w:val="00394700"/>
    <w:rsid w:val="00397036"/>
    <w:rsid w:val="0039795F"/>
    <w:rsid w:val="003A2330"/>
    <w:rsid w:val="003A5DE0"/>
    <w:rsid w:val="003A612B"/>
    <w:rsid w:val="003B5B37"/>
    <w:rsid w:val="003B6048"/>
    <w:rsid w:val="003B7A0A"/>
    <w:rsid w:val="003C3846"/>
    <w:rsid w:val="003C3D01"/>
    <w:rsid w:val="003C456B"/>
    <w:rsid w:val="003C70C7"/>
    <w:rsid w:val="003D039F"/>
    <w:rsid w:val="003D0A33"/>
    <w:rsid w:val="003E0813"/>
    <w:rsid w:val="003E090D"/>
    <w:rsid w:val="003E1CCD"/>
    <w:rsid w:val="003E26B2"/>
    <w:rsid w:val="003E285E"/>
    <w:rsid w:val="003E460C"/>
    <w:rsid w:val="003E527B"/>
    <w:rsid w:val="003E5E25"/>
    <w:rsid w:val="003E6A52"/>
    <w:rsid w:val="003E7563"/>
    <w:rsid w:val="003F6649"/>
    <w:rsid w:val="00401D67"/>
    <w:rsid w:val="004026D9"/>
    <w:rsid w:val="004028A4"/>
    <w:rsid w:val="00406042"/>
    <w:rsid w:val="0041437A"/>
    <w:rsid w:val="0041495E"/>
    <w:rsid w:val="004153C7"/>
    <w:rsid w:val="00415A00"/>
    <w:rsid w:val="00416A0F"/>
    <w:rsid w:val="00420244"/>
    <w:rsid w:val="00420346"/>
    <w:rsid w:val="00431010"/>
    <w:rsid w:val="00434CF8"/>
    <w:rsid w:val="0043650C"/>
    <w:rsid w:val="004369A8"/>
    <w:rsid w:val="00443C1E"/>
    <w:rsid w:val="00447D0B"/>
    <w:rsid w:val="00450549"/>
    <w:rsid w:val="004554E9"/>
    <w:rsid w:val="004562A6"/>
    <w:rsid w:val="00460A9B"/>
    <w:rsid w:val="00460D26"/>
    <w:rsid w:val="004629E6"/>
    <w:rsid w:val="00471D19"/>
    <w:rsid w:val="00471DAF"/>
    <w:rsid w:val="00472EAB"/>
    <w:rsid w:val="004747AC"/>
    <w:rsid w:val="00475B2B"/>
    <w:rsid w:val="00476549"/>
    <w:rsid w:val="00476DF8"/>
    <w:rsid w:val="004845BF"/>
    <w:rsid w:val="00484D65"/>
    <w:rsid w:val="004876B0"/>
    <w:rsid w:val="00487B5B"/>
    <w:rsid w:val="00491AEA"/>
    <w:rsid w:val="0049209C"/>
    <w:rsid w:val="004926E5"/>
    <w:rsid w:val="00493374"/>
    <w:rsid w:val="00493B9D"/>
    <w:rsid w:val="004A0370"/>
    <w:rsid w:val="004A4D33"/>
    <w:rsid w:val="004B2249"/>
    <w:rsid w:val="004B3171"/>
    <w:rsid w:val="004B3FF5"/>
    <w:rsid w:val="004B5194"/>
    <w:rsid w:val="004B7388"/>
    <w:rsid w:val="004C3F85"/>
    <w:rsid w:val="004C6BED"/>
    <w:rsid w:val="004D41FC"/>
    <w:rsid w:val="004D4467"/>
    <w:rsid w:val="004D5858"/>
    <w:rsid w:val="004D5CA8"/>
    <w:rsid w:val="004D7AFE"/>
    <w:rsid w:val="004E0423"/>
    <w:rsid w:val="004E09E7"/>
    <w:rsid w:val="004E2255"/>
    <w:rsid w:val="004E36B7"/>
    <w:rsid w:val="004E39E1"/>
    <w:rsid w:val="004E4FD3"/>
    <w:rsid w:val="004E65A0"/>
    <w:rsid w:val="004E6A9C"/>
    <w:rsid w:val="004E7915"/>
    <w:rsid w:val="004E7EDA"/>
    <w:rsid w:val="004F0195"/>
    <w:rsid w:val="00503E44"/>
    <w:rsid w:val="0050647C"/>
    <w:rsid w:val="00510E60"/>
    <w:rsid w:val="00515283"/>
    <w:rsid w:val="005221AB"/>
    <w:rsid w:val="00523768"/>
    <w:rsid w:val="00524916"/>
    <w:rsid w:val="00525756"/>
    <w:rsid w:val="005326EC"/>
    <w:rsid w:val="00534C53"/>
    <w:rsid w:val="005372EE"/>
    <w:rsid w:val="00540ACA"/>
    <w:rsid w:val="00543697"/>
    <w:rsid w:val="005443FB"/>
    <w:rsid w:val="00544811"/>
    <w:rsid w:val="005500D0"/>
    <w:rsid w:val="00554100"/>
    <w:rsid w:val="0055675D"/>
    <w:rsid w:val="00562D29"/>
    <w:rsid w:val="005669F8"/>
    <w:rsid w:val="00566E17"/>
    <w:rsid w:val="00570080"/>
    <w:rsid w:val="00571A35"/>
    <w:rsid w:val="0057281A"/>
    <w:rsid w:val="00575F59"/>
    <w:rsid w:val="005769F4"/>
    <w:rsid w:val="00582298"/>
    <w:rsid w:val="00582CB6"/>
    <w:rsid w:val="005833BE"/>
    <w:rsid w:val="005843E1"/>
    <w:rsid w:val="00584DAC"/>
    <w:rsid w:val="005908BD"/>
    <w:rsid w:val="00590EE5"/>
    <w:rsid w:val="00592403"/>
    <w:rsid w:val="00597552"/>
    <w:rsid w:val="00597CDB"/>
    <w:rsid w:val="005A05A8"/>
    <w:rsid w:val="005A09FB"/>
    <w:rsid w:val="005A349F"/>
    <w:rsid w:val="005B17D1"/>
    <w:rsid w:val="005B3CA2"/>
    <w:rsid w:val="005B4365"/>
    <w:rsid w:val="005B5BF3"/>
    <w:rsid w:val="005C0D0D"/>
    <w:rsid w:val="005C10B9"/>
    <w:rsid w:val="005C407C"/>
    <w:rsid w:val="005C5396"/>
    <w:rsid w:val="005C62E5"/>
    <w:rsid w:val="005C7417"/>
    <w:rsid w:val="005C7779"/>
    <w:rsid w:val="005C7C06"/>
    <w:rsid w:val="005D2703"/>
    <w:rsid w:val="005D3032"/>
    <w:rsid w:val="005D3B39"/>
    <w:rsid w:val="005D7D5A"/>
    <w:rsid w:val="005E5EC7"/>
    <w:rsid w:val="005F2439"/>
    <w:rsid w:val="005F34B6"/>
    <w:rsid w:val="005F6666"/>
    <w:rsid w:val="005F76E3"/>
    <w:rsid w:val="0060130D"/>
    <w:rsid w:val="00601B43"/>
    <w:rsid w:val="00606ED8"/>
    <w:rsid w:val="00607362"/>
    <w:rsid w:val="00607FC8"/>
    <w:rsid w:val="006102B4"/>
    <w:rsid w:val="00610426"/>
    <w:rsid w:val="00611E56"/>
    <w:rsid w:val="00613A28"/>
    <w:rsid w:val="006148E4"/>
    <w:rsid w:val="006154E7"/>
    <w:rsid w:val="006157CC"/>
    <w:rsid w:val="00620DA1"/>
    <w:rsid w:val="00622EF5"/>
    <w:rsid w:val="00625CFC"/>
    <w:rsid w:val="00627B34"/>
    <w:rsid w:val="00634B56"/>
    <w:rsid w:val="00634F7B"/>
    <w:rsid w:val="006351EA"/>
    <w:rsid w:val="00635FE0"/>
    <w:rsid w:val="0064100E"/>
    <w:rsid w:val="0064129F"/>
    <w:rsid w:val="006454EC"/>
    <w:rsid w:val="00650FE5"/>
    <w:rsid w:val="00662B8C"/>
    <w:rsid w:val="00666424"/>
    <w:rsid w:val="00667045"/>
    <w:rsid w:val="0067378E"/>
    <w:rsid w:val="00674108"/>
    <w:rsid w:val="0067514C"/>
    <w:rsid w:val="0067615F"/>
    <w:rsid w:val="00676F4F"/>
    <w:rsid w:val="00677877"/>
    <w:rsid w:val="00677970"/>
    <w:rsid w:val="00681E5A"/>
    <w:rsid w:val="006A2753"/>
    <w:rsid w:val="006A39D2"/>
    <w:rsid w:val="006A50D2"/>
    <w:rsid w:val="006A5160"/>
    <w:rsid w:val="006A5B46"/>
    <w:rsid w:val="006A6A8A"/>
    <w:rsid w:val="006A7670"/>
    <w:rsid w:val="006A7C7F"/>
    <w:rsid w:val="006B3AB0"/>
    <w:rsid w:val="006B3CDA"/>
    <w:rsid w:val="006C332F"/>
    <w:rsid w:val="006C368B"/>
    <w:rsid w:val="006C636C"/>
    <w:rsid w:val="006C679D"/>
    <w:rsid w:val="006C7CC5"/>
    <w:rsid w:val="006C7F74"/>
    <w:rsid w:val="006D3653"/>
    <w:rsid w:val="006D4DEB"/>
    <w:rsid w:val="006D5F6C"/>
    <w:rsid w:val="006D7303"/>
    <w:rsid w:val="006E0F50"/>
    <w:rsid w:val="006E1335"/>
    <w:rsid w:val="006E3589"/>
    <w:rsid w:val="006F1005"/>
    <w:rsid w:val="006F2032"/>
    <w:rsid w:val="006F2591"/>
    <w:rsid w:val="006F317D"/>
    <w:rsid w:val="007025D4"/>
    <w:rsid w:val="00705D34"/>
    <w:rsid w:val="00710233"/>
    <w:rsid w:val="00714B37"/>
    <w:rsid w:val="00714C8F"/>
    <w:rsid w:val="00715C57"/>
    <w:rsid w:val="007165EF"/>
    <w:rsid w:val="00717609"/>
    <w:rsid w:val="007200E3"/>
    <w:rsid w:val="00722A48"/>
    <w:rsid w:val="00723C9D"/>
    <w:rsid w:val="00724DB6"/>
    <w:rsid w:val="00727596"/>
    <w:rsid w:val="0073175F"/>
    <w:rsid w:val="00735A47"/>
    <w:rsid w:val="007429BD"/>
    <w:rsid w:val="00742F0C"/>
    <w:rsid w:val="00744C1D"/>
    <w:rsid w:val="0074614E"/>
    <w:rsid w:val="0074648C"/>
    <w:rsid w:val="00750FA6"/>
    <w:rsid w:val="00751ED7"/>
    <w:rsid w:val="00760A76"/>
    <w:rsid w:val="007621EE"/>
    <w:rsid w:val="00765E69"/>
    <w:rsid w:val="00771BCF"/>
    <w:rsid w:val="00773527"/>
    <w:rsid w:val="00773782"/>
    <w:rsid w:val="0077436D"/>
    <w:rsid w:val="0077437F"/>
    <w:rsid w:val="0077528A"/>
    <w:rsid w:val="00775624"/>
    <w:rsid w:val="007758E3"/>
    <w:rsid w:val="00776B98"/>
    <w:rsid w:val="00777094"/>
    <w:rsid w:val="007807C7"/>
    <w:rsid w:val="00780B9C"/>
    <w:rsid w:val="00780FF9"/>
    <w:rsid w:val="00784198"/>
    <w:rsid w:val="007876D2"/>
    <w:rsid w:val="00795925"/>
    <w:rsid w:val="00796B53"/>
    <w:rsid w:val="0079757D"/>
    <w:rsid w:val="007A2AC8"/>
    <w:rsid w:val="007A4336"/>
    <w:rsid w:val="007A4725"/>
    <w:rsid w:val="007B161D"/>
    <w:rsid w:val="007B2E69"/>
    <w:rsid w:val="007C23BF"/>
    <w:rsid w:val="007C2839"/>
    <w:rsid w:val="007C4F4B"/>
    <w:rsid w:val="007D0AD0"/>
    <w:rsid w:val="007D0CC1"/>
    <w:rsid w:val="007D233B"/>
    <w:rsid w:val="007D32D9"/>
    <w:rsid w:val="007D4F2C"/>
    <w:rsid w:val="007D776C"/>
    <w:rsid w:val="007E018D"/>
    <w:rsid w:val="007E15D6"/>
    <w:rsid w:val="007E1D41"/>
    <w:rsid w:val="007E1E38"/>
    <w:rsid w:val="007E3B31"/>
    <w:rsid w:val="007E4966"/>
    <w:rsid w:val="007E75E1"/>
    <w:rsid w:val="007F239B"/>
    <w:rsid w:val="007F3852"/>
    <w:rsid w:val="007F3DF7"/>
    <w:rsid w:val="007F541E"/>
    <w:rsid w:val="008019CF"/>
    <w:rsid w:val="00802575"/>
    <w:rsid w:val="0080321D"/>
    <w:rsid w:val="0080714C"/>
    <w:rsid w:val="00807DB4"/>
    <w:rsid w:val="00807E7D"/>
    <w:rsid w:val="00812B83"/>
    <w:rsid w:val="00813CEA"/>
    <w:rsid w:val="00814D0E"/>
    <w:rsid w:val="00815F14"/>
    <w:rsid w:val="00817C9B"/>
    <w:rsid w:val="00822144"/>
    <w:rsid w:val="008221BA"/>
    <w:rsid w:val="00822CCA"/>
    <w:rsid w:val="00823128"/>
    <w:rsid w:val="008272A9"/>
    <w:rsid w:val="008273EC"/>
    <w:rsid w:val="00831675"/>
    <w:rsid w:val="00832524"/>
    <w:rsid w:val="00834029"/>
    <w:rsid w:val="00834A07"/>
    <w:rsid w:val="00836176"/>
    <w:rsid w:val="0083693E"/>
    <w:rsid w:val="0083772D"/>
    <w:rsid w:val="00845B2E"/>
    <w:rsid w:val="00852C36"/>
    <w:rsid w:val="00852D1C"/>
    <w:rsid w:val="00853CF5"/>
    <w:rsid w:val="0085448E"/>
    <w:rsid w:val="00854645"/>
    <w:rsid w:val="00856C94"/>
    <w:rsid w:val="00857FFE"/>
    <w:rsid w:val="00860977"/>
    <w:rsid w:val="00861DC8"/>
    <w:rsid w:val="00865F8E"/>
    <w:rsid w:val="00872AE6"/>
    <w:rsid w:val="00872B1B"/>
    <w:rsid w:val="00874D48"/>
    <w:rsid w:val="008837E0"/>
    <w:rsid w:val="0088467C"/>
    <w:rsid w:val="00885BF8"/>
    <w:rsid w:val="0088615C"/>
    <w:rsid w:val="008867FC"/>
    <w:rsid w:val="0089776D"/>
    <w:rsid w:val="008A0BE8"/>
    <w:rsid w:val="008A1684"/>
    <w:rsid w:val="008A251E"/>
    <w:rsid w:val="008A4C4F"/>
    <w:rsid w:val="008A566C"/>
    <w:rsid w:val="008B3A82"/>
    <w:rsid w:val="008B43B3"/>
    <w:rsid w:val="008B549A"/>
    <w:rsid w:val="008C00ED"/>
    <w:rsid w:val="008C3260"/>
    <w:rsid w:val="008C6508"/>
    <w:rsid w:val="008C65D6"/>
    <w:rsid w:val="008C79C6"/>
    <w:rsid w:val="008D03F8"/>
    <w:rsid w:val="008D10F6"/>
    <w:rsid w:val="008D1336"/>
    <w:rsid w:val="008D16F7"/>
    <w:rsid w:val="008D211E"/>
    <w:rsid w:val="008D66F3"/>
    <w:rsid w:val="008D67AB"/>
    <w:rsid w:val="008D6E72"/>
    <w:rsid w:val="008D7AFF"/>
    <w:rsid w:val="008E5397"/>
    <w:rsid w:val="008F3969"/>
    <w:rsid w:val="008F4188"/>
    <w:rsid w:val="008F4574"/>
    <w:rsid w:val="008F652D"/>
    <w:rsid w:val="0090036B"/>
    <w:rsid w:val="009004B3"/>
    <w:rsid w:val="00903325"/>
    <w:rsid w:val="0090726C"/>
    <w:rsid w:val="009113FD"/>
    <w:rsid w:val="00911DA8"/>
    <w:rsid w:val="0091528F"/>
    <w:rsid w:val="00922F8D"/>
    <w:rsid w:val="009231C7"/>
    <w:rsid w:val="00926F2E"/>
    <w:rsid w:val="009309A8"/>
    <w:rsid w:val="00933748"/>
    <w:rsid w:val="00937D90"/>
    <w:rsid w:val="00941C0D"/>
    <w:rsid w:val="00943A67"/>
    <w:rsid w:val="009461AD"/>
    <w:rsid w:val="00951EE3"/>
    <w:rsid w:val="00955D92"/>
    <w:rsid w:val="00956C03"/>
    <w:rsid w:val="009579A5"/>
    <w:rsid w:val="00963006"/>
    <w:rsid w:val="00970A74"/>
    <w:rsid w:val="00971062"/>
    <w:rsid w:val="00977146"/>
    <w:rsid w:val="00980D13"/>
    <w:rsid w:val="00985056"/>
    <w:rsid w:val="00985FB9"/>
    <w:rsid w:val="00987D29"/>
    <w:rsid w:val="009914C8"/>
    <w:rsid w:val="00991D3F"/>
    <w:rsid w:val="00992DE0"/>
    <w:rsid w:val="009938ED"/>
    <w:rsid w:val="009970D7"/>
    <w:rsid w:val="00997A53"/>
    <w:rsid w:val="009A5B6C"/>
    <w:rsid w:val="009A5F2E"/>
    <w:rsid w:val="009B198F"/>
    <w:rsid w:val="009B2647"/>
    <w:rsid w:val="009B4157"/>
    <w:rsid w:val="009B7A83"/>
    <w:rsid w:val="009C355B"/>
    <w:rsid w:val="009C3801"/>
    <w:rsid w:val="009C3F66"/>
    <w:rsid w:val="009C52A6"/>
    <w:rsid w:val="009C5A5B"/>
    <w:rsid w:val="009C5EF7"/>
    <w:rsid w:val="009C664C"/>
    <w:rsid w:val="009D1951"/>
    <w:rsid w:val="009D20AB"/>
    <w:rsid w:val="009D74C8"/>
    <w:rsid w:val="009E1599"/>
    <w:rsid w:val="009E1677"/>
    <w:rsid w:val="009E1D9C"/>
    <w:rsid w:val="009E2F86"/>
    <w:rsid w:val="009F3B7D"/>
    <w:rsid w:val="009F60A3"/>
    <w:rsid w:val="00A02A3E"/>
    <w:rsid w:val="00A03285"/>
    <w:rsid w:val="00A03936"/>
    <w:rsid w:val="00A06664"/>
    <w:rsid w:val="00A10F57"/>
    <w:rsid w:val="00A1147B"/>
    <w:rsid w:val="00A12209"/>
    <w:rsid w:val="00A129EC"/>
    <w:rsid w:val="00A133E9"/>
    <w:rsid w:val="00A14E73"/>
    <w:rsid w:val="00A154FE"/>
    <w:rsid w:val="00A1685B"/>
    <w:rsid w:val="00A176B0"/>
    <w:rsid w:val="00A22BE0"/>
    <w:rsid w:val="00A24A78"/>
    <w:rsid w:val="00A27115"/>
    <w:rsid w:val="00A271B4"/>
    <w:rsid w:val="00A27CEA"/>
    <w:rsid w:val="00A34805"/>
    <w:rsid w:val="00A368B1"/>
    <w:rsid w:val="00A36DF3"/>
    <w:rsid w:val="00A41742"/>
    <w:rsid w:val="00A42723"/>
    <w:rsid w:val="00A43C5C"/>
    <w:rsid w:val="00A43C76"/>
    <w:rsid w:val="00A507AA"/>
    <w:rsid w:val="00A532DD"/>
    <w:rsid w:val="00A545C4"/>
    <w:rsid w:val="00A571C6"/>
    <w:rsid w:val="00A6237B"/>
    <w:rsid w:val="00A62FCF"/>
    <w:rsid w:val="00A707AF"/>
    <w:rsid w:val="00A80AF5"/>
    <w:rsid w:val="00A80BCF"/>
    <w:rsid w:val="00A81DEF"/>
    <w:rsid w:val="00A8304D"/>
    <w:rsid w:val="00A83762"/>
    <w:rsid w:val="00A856E6"/>
    <w:rsid w:val="00A86EAB"/>
    <w:rsid w:val="00A86F60"/>
    <w:rsid w:val="00A90292"/>
    <w:rsid w:val="00AA43D6"/>
    <w:rsid w:val="00AA4492"/>
    <w:rsid w:val="00AA494B"/>
    <w:rsid w:val="00AB3BAF"/>
    <w:rsid w:val="00AB64FF"/>
    <w:rsid w:val="00AB6B64"/>
    <w:rsid w:val="00AC214A"/>
    <w:rsid w:val="00AC5531"/>
    <w:rsid w:val="00AD0392"/>
    <w:rsid w:val="00AD044E"/>
    <w:rsid w:val="00AD30C3"/>
    <w:rsid w:val="00AD3352"/>
    <w:rsid w:val="00AD46F0"/>
    <w:rsid w:val="00AE2FD3"/>
    <w:rsid w:val="00AE3D7F"/>
    <w:rsid w:val="00AE65E9"/>
    <w:rsid w:val="00AF380D"/>
    <w:rsid w:val="00AF3F53"/>
    <w:rsid w:val="00AF58D1"/>
    <w:rsid w:val="00AF7576"/>
    <w:rsid w:val="00B011D5"/>
    <w:rsid w:val="00B02848"/>
    <w:rsid w:val="00B03BDD"/>
    <w:rsid w:val="00B05A08"/>
    <w:rsid w:val="00B062D0"/>
    <w:rsid w:val="00B06597"/>
    <w:rsid w:val="00B06B51"/>
    <w:rsid w:val="00B07B0C"/>
    <w:rsid w:val="00B10746"/>
    <w:rsid w:val="00B10FE5"/>
    <w:rsid w:val="00B1126D"/>
    <w:rsid w:val="00B14D9E"/>
    <w:rsid w:val="00B15AAF"/>
    <w:rsid w:val="00B210A1"/>
    <w:rsid w:val="00B2584A"/>
    <w:rsid w:val="00B26020"/>
    <w:rsid w:val="00B26F7D"/>
    <w:rsid w:val="00B27F1D"/>
    <w:rsid w:val="00B30E77"/>
    <w:rsid w:val="00B32362"/>
    <w:rsid w:val="00B36237"/>
    <w:rsid w:val="00B36843"/>
    <w:rsid w:val="00B372D1"/>
    <w:rsid w:val="00B37D0F"/>
    <w:rsid w:val="00B42EE4"/>
    <w:rsid w:val="00B4337C"/>
    <w:rsid w:val="00B459A6"/>
    <w:rsid w:val="00B460E9"/>
    <w:rsid w:val="00B50D14"/>
    <w:rsid w:val="00B519B7"/>
    <w:rsid w:val="00B553D6"/>
    <w:rsid w:val="00B55843"/>
    <w:rsid w:val="00B576A5"/>
    <w:rsid w:val="00B649FC"/>
    <w:rsid w:val="00B6688F"/>
    <w:rsid w:val="00B672D8"/>
    <w:rsid w:val="00B719D4"/>
    <w:rsid w:val="00B83D07"/>
    <w:rsid w:val="00B9106D"/>
    <w:rsid w:val="00B9129B"/>
    <w:rsid w:val="00B934FD"/>
    <w:rsid w:val="00B949F2"/>
    <w:rsid w:val="00BA4001"/>
    <w:rsid w:val="00BA5B86"/>
    <w:rsid w:val="00BA65CB"/>
    <w:rsid w:val="00BB43C8"/>
    <w:rsid w:val="00BB6F3A"/>
    <w:rsid w:val="00BC43CD"/>
    <w:rsid w:val="00BC54E9"/>
    <w:rsid w:val="00BD53F3"/>
    <w:rsid w:val="00BD5578"/>
    <w:rsid w:val="00BD5625"/>
    <w:rsid w:val="00BD61A2"/>
    <w:rsid w:val="00BD6806"/>
    <w:rsid w:val="00BD6E26"/>
    <w:rsid w:val="00BD6FFD"/>
    <w:rsid w:val="00BE06F5"/>
    <w:rsid w:val="00BE484D"/>
    <w:rsid w:val="00BE4996"/>
    <w:rsid w:val="00BE4AC2"/>
    <w:rsid w:val="00BE5EFB"/>
    <w:rsid w:val="00BF0A77"/>
    <w:rsid w:val="00BF1150"/>
    <w:rsid w:val="00BF3F51"/>
    <w:rsid w:val="00BF4201"/>
    <w:rsid w:val="00C01CF7"/>
    <w:rsid w:val="00C108C5"/>
    <w:rsid w:val="00C129C1"/>
    <w:rsid w:val="00C12AF7"/>
    <w:rsid w:val="00C15441"/>
    <w:rsid w:val="00C2489F"/>
    <w:rsid w:val="00C36C94"/>
    <w:rsid w:val="00C37E05"/>
    <w:rsid w:val="00C47CBA"/>
    <w:rsid w:val="00C507FD"/>
    <w:rsid w:val="00C51008"/>
    <w:rsid w:val="00C51152"/>
    <w:rsid w:val="00C51DC3"/>
    <w:rsid w:val="00C55D29"/>
    <w:rsid w:val="00C563FB"/>
    <w:rsid w:val="00C56A03"/>
    <w:rsid w:val="00C56D78"/>
    <w:rsid w:val="00C6365A"/>
    <w:rsid w:val="00C639C9"/>
    <w:rsid w:val="00C640CA"/>
    <w:rsid w:val="00C7171B"/>
    <w:rsid w:val="00C7432A"/>
    <w:rsid w:val="00C7709E"/>
    <w:rsid w:val="00C875AC"/>
    <w:rsid w:val="00C96958"/>
    <w:rsid w:val="00CA0A94"/>
    <w:rsid w:val="00CA659A"/>
    <w:rsid w:val="00CA788B"/>
    <w:rsid w:val="00CB17B5"/>
    <w:rsid w:val="00CB31F3"/>
    <w:rsid w:val="00CC032A"/>
    <w:rsid w:val="00CC336A"/>
    <w:rsid w:val="00CC5E0C"/>
    <w:rsid w:val="00CC6AE7"/>
    <w:rsid w:val="00CD496A"/>
    <w:rsid w:val="00CD6FE4"/>
    <w:rsid w:val="00CD7B95"/>
    <w:rsid w:val="00CE48BC"/>
    <w:rsid w:val="00CF0D0E"/>
    <w:rsid w:val="00CF1B9D"/>
    <w:rsid w:val="00CF5BAC"/>
    <w:rsid w:val="00CF785C"/>
    <w:rsid w:val="00D00C39"/>
    <w:rsid w:val="00D01D31"/>
    <w:rsid w:val="00D036C0"/>
    <w:rsid w:val="00D05F80"/>
    <w:rsid w:val="00D06725"/>
    <w:rsid w:val="00D12321"/>
    <w:rsid w:val="00D1332D"/>
    <w:rsid w:val="00D14CC0"/>
    <w:rsid w:val="00D205B8"/>
    <w:rsid w:val="00D20AAB"/>
    <w:rsid w:val="00D2364C"/>
    <w:rsid w:val="00D25A55"/>
    <w:rsid w:val="00D27609"/>
    <w:rsid w:val="00D31B88"/>
    <w:rsid w:val="00D34626"/>
    <w:rsid w:val="00D40B87"/>
    <w:rsid w:val="00D4257A"/>
    <w:rsid w:val="00D45C94"/>
    <w:rsid w:val="00D53B6A"/>
    <w:rsid w:val="00D5553F"/>
    <w:rsid w:val="00D55CBC"/>
    <w:rsid w:val="00D633FF"/>
    <w:rsid w:val="00D67A41"/>
    <w:rsid w:val="00D727C4"/>
    <w:rsid w:val="00D7606D"/>
    <w:rsid w:val="00D760C5"/>
    <w:rsid w:val="00D763EB"/>
    <w:rsid w:val="00D77861"/>
    <w:rsid w:val="00D81868"/>
    <w:rsid w:val="00D81C8B"/>
    <w:rsid w:val="00D84BBC"/>
    <w:rsid w:val="00D8745F"/>
    <w:rsid w:val="00D91573"/>
    <w:rsid w:val="00D94E98"/>
    <w:rsid w:val="00D968AB"/>
    <w:rsid w:val="00D96919"/>
    <w:rsid w:val="00D9789E"/>
    <w:rsid w:val="00DA0573"/>
    <w:rsid w:val="00DA142F"/>
    <w:rsid w:val="00DA4605"/>
    <w:rsid w:val="00DB59CB"/>
    <w:rsid w:val="00DC0CDE"/>
    <w:rsid w:val="00DC0EF8"/>
    <w:rsid w:val="00DC1400"/>
    <w:rsid w:val="00DC55C9"/>
    <w:rsid w:val="00DD01C7"/>
    <w:rsid w:val="00DD1D7F"/>
    <w:rsid w:val="00DD2A03"/>
    <w:rsid w:val="00DD2BBF"/>
    <w:rsid w:val="00DD42E2"/>
    <w:rsid w:val="00DD4ED3"/>
    <w:rsid w:val="00DD5CFD"/>
    <w:rsid w:val="00DE0467"/>
    <w:rsid w:val="00DE5807"/>
    <w:rsid w:val="00DE67B0"/>
    <w:rsid w:val="00DF07F0"/>
    <w:rsid w:val="00DF1188"/>
    <w:rsid w:val="00DF1E25"/>
    <w:rsid w:val="00DF2389"/>
    <w:rsid w:val="00DF29F5"/>
    <w:rsid w:val="00DF3CD3"/>
    <w:rsid w:val="00DF49BA"/>
    <w:rsid w:val="00DF619D"/>
    <w:rsid w:val="00DF6909"/>
    <w:rsid w:val="00DF736B"/>
    <w:rsid w:val="00E0152D"/>
    <w:rsid w:val="00E02D37"/>
    <w:rsid w:val="00E04045"/>
    <w:rsid w:val="00E043AE"/>
    <w:rsid w:val="00E0624D"/>
    <w:rsid w:val="00E136C1"/>
    <w:rsid w:val="00E13E23"/>
    <w:rsid w:val="00E17010"/>
    <w:rsid w:val="00E2649A"/>
    <w:rsid w:val="00E302E6"/>
    <w:rsid w:val="00E31F90"/>
    <w:rsid w:val="00E335FF"/>
    <w:rsid w:val="00E37BB3"/>
    <w:rsid w:val="00E436F5"/>
    <w:rsid w:val="00E4438C"/>
    <w:rsid w:val="00E448E0"/>
    <w:rsid w:val="00E457F3"/>
    <w:rsid w:val="00E46855"/>
    <w:rsid w:val="00E52180"/>
    <w:rsid w:val="00E528AA"/>
    <w:rsid w:val="00E54E32"/>
    <w:rsid w:val="00E55886"/>
    <w:rsid w:val="00E60CB6"/>
    <w:rsid w:val="00E63F53"/>
    <w:rsid w:val="00E70245"/>
    <w:rsid w:val="00E74F1F"/>
    <w:rsid w:val="00E779E1"/>
    <w:rsid w:val="00E77C58"/>
    <w:rsid w:val="00E81140"/>
    <w:rsid w:val="00E849ED"/>
    <w:rsid w:val="00E860F1"/>
    <w:rsid w:val="00E86D21"/>
    <w:rsid w:val="00E9059F"/>
    <w:rsid w:val="00E9352E"/>
    <w:rsid w:val="00E9430A"/>
    <w:rsid w:val="00E943F8"/>
    <w:rsid w:val="00E95609"/>
    <w:rsid w:val="00EA287B"/>
    <w:rsid w:val="00EA3AA1"/>
    <w:rsid w:val="00EA5660"/>
    <w:rsid w:val="00EA5EF0"/>
    <w:rsid w:val="00EA767C"/>
    <w:rsid w:val="00EB07F9"/>
    <w:rsid w:val="00EB2D4F"/>
    <w:rsid w:val="00EB372A"/>
    <w:rsid w:val="00EB3F46"/>
    <w:rsid w:val="00EB62ED"/>
    <w:rsid w:val="00EB791E"/>
    <w:rsid w:val="00EB7E71"/>
    <w:rsid w:val="00EC037D"/>
    <w:rsid w:val="00EC14FA"/>
    <w:rsid w:val="00EC6045"/>
    <w:rsid w:val="00ED26A6"/>
    <w:rsid w:val="00ED33A1"/>
    <w:rsid w:val="00ED72AF"/>
    <w:rsid w:val="00ED7FC7"/>
    <w:rsid w:val="00EE0965"/>
    <w:rsid w:val="00EE0ABE"/>
    <w:rsid w:val="00EE1D2C"/>
    <w:rsid w:val="00EE2BCD"/>
    <w:rsid w:val="00EE2F0A"/>
    <w:rsid w:val="00EE2FAF"/>
    <w:rsid w:val="00EE45C6"/>
    <w:rsid w:val="00EE7032"/>
    <w:rsid w:val="00EE76B8"/>
    <w:rsid w:val="00EE78A6"/>
    <w:rsid w:val="00EE7F5B"/>
    <w:rsid w:val="00EF3347"/>
    <w:rsid w:val="00EF3C79"/>
    <w:rsid w:val="00EF40AC"/>
    <w:rsid w:val="00EF476A"/>
    <w:rsid w:val="00EF77E3"/>
    <w:rsid w:val="00F00AA3"/>
    <w:rsid w:val="00F07AAA"/>
    <w:rsid w:val="00F109D4"/>
    <w:rsid w:val="00F146A6"/>
    <w:rsid w:val="00F15975"/>
    <w:rsid w:val="00F2134D"/>
    <w:rsid w:val="00F21CB0"/>
    <w:rsid w:val="00F23459"/>
    <w:rsid w:val="00F23CC0"/>
    <w:rsid w:val="00F24791"/>
    <w:rsid w:val="00F251D1"/>
    <w:rsid w:val="00F2572B"/>
    <w:rsid w:val="00F272AB"/>
    <w:rsid w:val="00F30E9A"/>
    <w:rsid w:val="00F35972"/>
    <w:rsid w:val="00F35F02"/>
    <w:rsid w:val="00F36655"/>
    <w:rsid w:val="00F417B5"/>
    <w:rsid w:val="00F41E25"/>
    <w:rsid w:val="00F42688"/>
    <w:rsid w:val="00F42803"/>
    <w:rsid w:val="00F44835"/>
    <w:rsid w:val="00F471B9"/>
    <w:rsid w:val="00F47564"/>
    <w:rsid w:val="00F55A7A"/>
    <w:rsid w:val="00F63B37"/>
    <w:rsid w:val="00F6625F"/>
    <w:rsid w:val="00F66832"/>
    <w:rsid w:val="00F706B7"/>
    <w:rsid w:val="00F70DB1"/>
    <w:rsid w:val="00F71364"/>
    <w:rsid w:val="00F71F27"/>
    <w:rsid w:val="00F7300E"/>
    <w:rsid w:val="00F7681C"/>
    <w:rsid w:val="00F77C79"/>
    <w:rsid w:val="00F83332"/>
    <w:rsid w:val="00F84803"/>
    <w:rsid w:val="00F85F1F"/>
    <w:rsid w:val="00F85FD2"/>
    <w:rsid w:val="00F86FC4"/>
    <w:rsid w:val="00F87C1E"/>
    <w:rsid w:val="00F90469"/>
    <w:rsid w:val="00F90D84"/>
    <w:rsid w:val="00F9136F"/>
    <w:rsid w:val="00F921B4"/>
    <w:rsid w:val="00F92DE2"/>
    <w:rsid w:val="00F93706"/>
    <w:rsid w:val="00F953FC"/>
    <w:rsid w:val="00FA19C4"/>
    <w:rsid w:val="00FA25AC"/>
    <w:rsid w:val="00FA4366"/>
    <w:rsid w:val="00FA4FCA"/>
    <w:rsid w:val="00FA54EC"/>
    <w:rsid w:val="00FC08FD"/>
    <w:rsid w:val="00FC0DF2"/>
    <w:rsid w:val="00FC122D"/>
    <w:rsid w:val="00FC20DF"/>
    <w:rsid w:val="00FC21B2"/>
    <w:rsid w:val="00FC36B4"/>
    <w:rsid w:val="00FC45F5"/>
    <w:rsid w:val="00FC6BB9"/>
    <w:rsid w:val="00FC6CFA"/>
    <w:rsid w:val="00FC723E"/>
    <w:rsid w:val="00FD1DA2"/>
    <w:rsid w:val="00FD51AF"/>
    <w:rsid w:val="00FD5A2D"/>
    <w:rsid w:val="00FD6FDF"/>
    <w:rsid w:val="00FE46C1"/>
    <w:rsid w:val="00FE6F03"/>
    <w:rsid w:val="00FE795E"/>
    <w:rsid w:val="00FF1057"/>
    <w:rsid w:val="00FF133C"/>
    <w:rsid w:val="00FF1B6F"/>
    <w:rsid w:val="00FF3705"/>
    <w:rsid w:val="00FF47A0"/>
    <w:rsid w:val="00FF7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7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813"/>
    <w:pPr>
      <w:tabs>
        <w:tab w:val="center" w:pos="4680"/>
        <w:tab w:val="right" w:pos="9360"/>
      </w:tabs>
      <w:spacing w:before="0" w:after="0"/>
    </w:pPr>
  </w:style>
  <w:style w:type="character" w:customStyle="1" w:styleId="HeaderChar">
    <w:name w:val="Header Char"/>
    <w:basedOn w:val="DefaultParagraphFont"/>
    <w:link w:val="Header"/>
    <w:uiPriority w:val="99"/>
    <w:rsid w:val="003E0813"/>
    <w:rPr>
      <w:sz w:val="24"/>
    </w:rPr>
  </w:style>
  <w:style w:type="paragraph" w:styleId="Footer">
    <w:name w:val="footer"/>
    <w:basedOn w:val="Normal"/>
    <w:link w:val="FooterChar"/>
    <w:uiPriority w:val="99"/>
    <w:unhideWhenUsed/>
    <w:rsid w:val="003E0813"/>
    <w:pPr>
      <w:tabs>
        <w:tab w:val="center" w:pos="4680"/>
        <w:tab w:val="right" w:pos="9360"/>
      </w:tabs>
      <w:spacing w:before="0" w:after="0"/>
    </w:pPr>
  </w:style>
  <w:style w:type="character" w:customStyle="1" w:styleId="FooterChar">
    <w:name w:val="Footer Char"/>
    <w:basedOn w:val="DefaultParagraphFont"/>
    <w:link w:val="Footer"/>
    <w:uiPriority w:val="99"/>
    <w:rsid w:val="003E08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E629-F956-4534-8E80-62DE92BB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4DCF7CF0.dotm</Template>
  <TotalTime>0</TotalTime>
  <Pages>4</Pages>
  <Words>836</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2018-09-18T02:07:00Z</dcterms:created>
  <dcterms:modified xsi:type="dcterms:W3CDTF">2018-09-18T02:07:00Z</dcterms:modified>
</cp:coreProperties>
</file>