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324467" w:rsidP="00554826">
      <w:pPr>
        <w:pStyle w:val="ShortT"/>
      </w:pPr>
      <w:r w:rsidRPr="00324467">
        <w:t xml:space="preserve">Private Health Insurance (Prostheses Application and Listing Fee) Rules 2018 </w:t>
      </w:r>
    </w:p>
    <w:p w:rsidR="00554826" w:rsidRPr="00DA182D" w:rsidRDefault="00554826" w:rsidP="00554826">
      <w:pPr>
        <w:pStyle w:val="SignCoverPageStart"/>
        <w:spacing w:before="240"/>
        <w:ind w:right="91"/>
        <w:rPr>
          <w:szCs w:val="22"/>
        </w:rPr>
      </w:pPr>
      <w:r w:rsidRPr="00DA182D">
        <w:rPr>
          <w:szCs w:val="22"/>
        </w:rPr>
        <w:t>I,</w:t>
      </w:r>
      <w:r w:rsidR="00E24749">
        <w:rPr>
          <w:szCs w:val="22"/>
        </w:rPr>
        <w:t xml:space="preserve"> GREG HUNT, Minister for Health</w:t>
      </w:r>
      <w:r w:rsidRPr="00DA182D">
        <w:rPr>
          <w:szCs w:val="22"/>
        </w:rPr>
        <w:t xml:space="preserve">, </w:t>
      </w:r>
      <w:r>
        <w:rPr>
          <w:szCs w:val="22"/>
        </w:rPr>
        <w:t xml:space="preserve">make the following </w:t>
      </w:r>
      <w:r w:rsidR="00324467">
        <w:rPr>
          <w:szCs w:val="22"/>
        </w:rPr>
        <w:t>Rules</w:t>
      </w:r>
      <w:r w:rsidR="0070057D">
        <w:rPr>
          <w:szCs w:val="22"/>
        </w:rPr>
        <w:t xml:space="preserve"> under section 8 of the </w:t>
      </w:r>
      <w:r w:rsidR="0070057D" w:rsidRPr="000439FB">
        <w:rPr>
          <w:i/>
        </w:rPr>
        <w:t>Private Health Insurance (Prostheses Application and Listing Fees</w:t>
      </w:r>
      <w:proofErr w:type="gramStart"/>
      <w:r w:rsidR="0070057D" w:rsidRPr="000439FB">
        <w:rPr>
          <w:i/>
        </w:rPr>
        <w:t>)</w:t>
      </w:r>
      <w:r w:rsidR="0070057D">
        <w:rPr>
          <w:i/>
        </w:rPr>
        <w:t>Act</w:t>
      </w:r>
      <w:proofErr w:type="gramEnd"/>
      <w:r w:rsidR="0070057D">
        <w:rPr>
          <w:i/>
        </w:rPr>
        <w:t xml:space="preserve"> 2007</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812F16">
        <w:rPr>
          <w:szCs w:val="22"/>
        </w:rPr>
        <w:t>16 September 2018</w:t>
      </w:r>
      <w:bookmarkStart w:id="0" w:name="_GoBack"/>
      <w:bookmarkEnd w:id="0"/>
      <w:r w:rsidRPr="00001A63">
        <w:rPr>
          <w:szCs w:val="22"/>
        </w:rPr>
        <w:tab/>
      </w:r>
      <w:r>
        <w:rPr>
          <w:szCs w:val="22"/>
        </w:rPr>
        <w:tab/>
      </w:r>
      <w:r w:rsidRPr="00001A63">
        <w:rPr>
          <w:szCs w:val="22"/>
        </w:rPr>
        <w:tab/>
      </w:r>
    </w:p>
    <w:p w:rsidR="00554826" w:rsidRDefault="00E24749" w:rsidP="00554826">
      <w:pPr>
        <w:keepNext/>
        <w:tabs>
          <w:tab w:val="left" w:pos="3402"/>
        </w:tabs>
        <w:spacing w:before="1440" w:line="300" w:lineRule="atLeast"/>
        <w:ind w:right="397"/>
        <w:rPr>
          <w:b/>
          <w:szCs w:val="22"/>
        </w:rPr>
      </w:pPr>
      <w:r>
        <w:rPr>
          <w:szCs w:val="22"/>
        </w:rPr>
        <w:t>Greg Hunt</w:t>
      </w:r>
      <w:r w:rsidR="00554826" w:rsidRPr="00911BA0">
        <w:rPr>
          <w:b/>
          <w:szCs w:val="22"/>
          <w:highlight w:val="lightGray"/>
        </w:rPr>
        <w:t xml:space="preserve"> </w:t>
      </w:r>
    </w:p>
    <w:p w:rsidR="00554826" w:rsidRPr="008E0027" w:rsidRDefault="00E24749" w:rsidP="00324467">
      <w:pPr>
        <w:pStyle w:val="SignCoverPageEnd"/>
        <w:pBdr>
          <w:bottom w:val="single" w:sz="4" w:space="11" w:color="auto"/>
        </w:pBdr>
        <w:ind w:right="91"/>
        <w:rPr>
          <w:sz w:val="22"/>
        </w:rPr>
      </w:pPr>
      <w:r>
        <w:rPr>
          <w:sz w:val="22"/>
        </w:rPr>
        <w:t>Minister for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B418C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8663A6">
        <w:rPr>
          <w:noProof/>
        </w:rPr>
        <w:t>1</w:t>
      </w:r>
      <w:r w:rsidRPr="00B418CB">
        <w:rPr>
          <w:noProof/>
        </w:rPr>
        <w:fldChar w:fldCharType="end"/>
      </w:r>
    </w:p>
    <w:p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8663A6">
        <w:rPr>
          <w:noProof/>
        </w:rPr>
        <w:t>1</w:t>
      </w:r>
      <w:r w:rsidRPr="00B418CB">
        <w:rPr>
          <w:noProof/>
        </w:rPr>
        <w:fldChar w:fldCharType="end"/>
      </w:r>
    </w:p>
    <w:p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8663A6">
        <w:rPr>
          <w:noProof/>
        </w:rPr>
        <w:t>1</w:t>
      </w:r>
      <w:r w:rsidRPr="00B418CB">
        <w:rPr>
          <w:noProof/>
        </w:rPr>
        <w:fldChar w:fldCharType="end"/>
      </w:r>
    </w:p>
    <w:p w:rsidR="00B418CB" w:rsidRDefault="00B418CB">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8663A6">
        <w:rPr>
          <w:noProof/>
        </w:rPr>
        <w:t>1</w:t>
      </w:r>
      <w:r w:rsidRPr="00B418CB">
        <w:rPr>
          <w:noProof/>
        </w:rPr>
        <w:fldChar w:fldCharType="end"/>
      </w:r>
    </w:p>
    <w:p w:rsidR="00B418CB" w:rsidRDefault="00B418CB">
      <w:pPr>
        <w:pStyle w:val="TOC5"/>
        <w:rPr>
          <w:noProof/>
        </w:rPr>
      </w:pPr>
      <w:r>
        <w:rPr>
          <w:noProof/>
        </w:rPr>
        <w:t>5</w:t>
      </w:r>
      <w:r>
        <w:rPr>
          <w:noProof/>
        </w:rPr>
        <w:tab/>
      </w:r>
      <w:r w:rsidR="005C0F37">
        <w:rPr>
          <w:noProof/>
        </w:rPr>
        <w:t>Schedules</w:t>
      </w:r>
      <w:r w:rsidRPr="00B418CB">
        <w:rPr>
          <w:noProof/>
        </w:rPr>
        <w:tab/>
      </w:r>
      <w:r w:rsidR="005C0F37">
        <w:rPr>
          <w:noProof/>
        </w:rPr>
        <w:t>2</w:t>
      </w:r>
    </w:p>
    <w:p w:rsidR="00C8251D" w:rsidRDefault="00800CA9" w:rsidP="00C8251D">
      <w:pPr>
        <w:pStyle w:val="TOC5"/>
        <w:rPr>
          <w:rFonts w:asciiTheme="minorHAnsi" w:eastAsiaTheme="minorEastAsia" w:hAnsiTheme="minorHAnsi" w:cstheme="minorBidi"/>
          <w:noProof/>
          <w:kern w:val="0"/>
          <w:sz w:val="22"/>
          <w:szCs w:val="22"/>
        </w:rPr>
      </w:pPr>
      <w:r>
        <w:rPr>
          <w:noProof/>
        </w:rPr>
        <w:t>6</w:t>
      </w:r>
      <w:r w:rsidR="00C8251D">
        <w:rPr>
          <w:noProof/>
        </w:rPr>
        <w:tab/>
      </w:r>
      <w:r w:rsidR="005C0F37">
        <w:rPr>
          <w:noProof/>
        </w:rPr>
        <w:t>Application fees</w:t>
      </w:r>
      <w:r w:rsidR="00C8251D" w:rsidRPr="00B418CB">
        <w:rPr>
          <w:noProof/>
        </w:rPr>
        <w:tab/>
      </w:r>
      <w:r w:rsidR="00A46842">
        <w:rPr>
          <w:noProof/>
        </w:rPr>
        <w:t>2</w:t>
      </w:r>
    </w:p>
    <w:p w:rsidR="005C0F37" w:rsidRDefault="00800CA9" w:rsidP="005C0F37">
      <w:pPr>
        <w:pStyle w:val="TOC5"/>
        <w:rPr>
          <w:rFonts w:asciiTheme="minorHAnsi" w:eastAsiaTheme="minorEastAsia" w:hAnsiTheme="minorHAnsi" w:cstheme="minorBidi"/>
          <w:noProof/>
          <w:kern w:val="0"/>
          <w:sz w:val="22"/>
          <w:szCs w:val="22"/>
        </w:rPr>
      </w:pPr>
      <w:r>
        <w:rPr>
          <w:noProof/>
        </w:rPr>
        <w:t>7</w:t>
      </w:r>
      <w:r w:rsidR="005C0F37">
        <w:rPr>
          <w:noProof/>
        </w:rPr>
        <w:tab/>
      </w:r>
      <w:r w:rsidR="005C0F37" w:rsidRPr="005C0F37">
        <w:rPr>
          <w:noProof/>
        </w:rPr>
        <w:t>Initial listing fee</w:t>
      </w:r>
      <w:r w:rsidR="005C0F37" w:rsidRPr="00B418CB">
        <w:rPr>
          <w:noProof/>
        </w:rPr>
        <w:tab/>
      </w:r>
      <w:r w:rsidR="00A46842">
        <w:rPr>
          <w:noProof/>
        </w:rPr>
        <w:t>3</w:t>
      </w:r>
    </w:p>
    <w:p w:rsidR="005C0F37" w:rsidRDefault="00800CA9" w:rsidP="005C0F37">
      <w:pPr>
        <w:pStyle w:val="TOC5"/>
        <w:rPr>
          <w:rFonts w:asciiTheme="minorHAnsi" w:eastAsiaTheme="minorEastAsia" w:hAnsiTheme="minorHAnsi" w:cstheme="minorBidi"/>
          <w:noProof/>
          <w:kern w:val="0"/>
          <w:sz w:val="22"/>
          <w:szCs w:val="22"/>
        </w:rPr>
      </w:pPr>
      <w:r>
        <w:rPr>
          <w:noProof/>
        </w:rPr>
        <w:t>8</w:t>
      </w:r>
      <w:r w:rsidR="005C0F37">
        <w:rPr>
          <w:noProof/>
        </w:rPr>
        <w:tab/>
      </w:r>
      <w:r w:rsidR="005C0F37" w:rsidRPr="005C0F37">
        <w:rPr>
          <w:noProof/>
        </w:rPr>
        <w:t>Ongoing listing fee</w:t>
      </w:r>
      <w:r w:rsidR="005C0F37" w:rsidRPr="00B418CB">
        <w:rPr>
          <w:noProof/>
        </w:rPr>
        <w:tab/>
      </w:r>
      <w:r w:rsidR="00A46842">
        <w:rPr>
          <w:noProof/>
        </w:rPr>
        <w:t>3</w:t>
      </w:r>
    </w:p>
    <w:p w:rsidR="005C0F37" w:rsidRDefault="00800CA9" w:rsidP="005C0F37">
      <w:pPr>
        <w:pStyle w:val="TOC5"/>
        <w:rPr>
          <w:rFonts w:asciiTheme="minorHAnsi" w:eastAsiaTheme="minorEastAsia" w:hAnsiTheme="minorHAnsi" w:cstheme="minorBidi"/>
          <w:noProof/>
          <w:kern w:val="0"/>
          <w:sz w:val="22"/>
          <w:szCs w:val="22"/>
        </w:rPr>
      </w:pPr>
      <w:r>
        <w:rPr>
          <w:noProof/>
        </w:rPr>
        <w:t>9</w:t>
      </w:r>
      <w:r w:rsidR="005C0F37">
        <w:rPr>
          <w:noProof/>
        </w:rPr>
        <w:tab/>
      </w:r>
      <w:r w:rsidR="005C0F37" w:rsidRPr="005C0F37">
        <w:rPr>
          <w:noProof/>
        </w:rPr>
        <w:t>First ongoing listing fee following grant of application</w:t>
      </w:r>
      <w:r w:rsidR="005C0F37" w:rsidRPr="00B418CB">
        <w:rPr>
          <w:noProof/>
        </w:rPr>
        <w:tab/>
      </w:r>
      <w:r w:rsidR="00A46842">
        <w:rPr>
          <w:noProof/>
        </w:rPr>
        <w:t>3</w:t>
      </w:r>
    </w:p>
    <w:p w:rsidR="00C8251D" w:rsidRPr="00C27C2A" w:rsidRDefault="00800CA9" w:rsidP="00C27C2A">
      <w:pPr>
        <w:pStyle w:val="TOC5"/>
        <w:rPr>
          <w:rFonts w:asciiTheme="minorHAnsi" w:eastAsiaTheme="minorEastAsia" w:hAnsiTheme="minorHAnsi" w:cstheme="minorBidi"/>
          <w:noProof/>
          <w:kern w:val="0"/>
          <w:sz w:val="22"/>
          <w:szCs w:val="22"/>
        </w:rPr>
      </w:pPr>
      <w:r>
        <w:rPr>
          <w:noProof/>
        </w:rPr>
        <w:t>10</w:t>
      </w:r>
      <w:r w:rsidR="005C0F37">
        <w:rPr>
          <w:noProof/>
        </w:rPr>
        <w:tab/>
      </w:r>
      <w:r w:rsidR="005C0F37" w:rsidRPr="005C0F37">
        <w:rPr>
          <w:noProof/>
        </w:rPr>
        <w:t>Ongoing listing fee imposition day</w:t>
      </w:r>
      <w:r w:rsidR="005C0F37" w:rsidRPr="00B418CB">
        <w:rPr>
          <w:noProof/>
        </w:rPr>
        <w:tab/>
      </w:r>
      <w:r w:rsidR="00A46842">
        <w:rPr>
          <w:noProof/>
        </w:rPr>
        <w:t>3</w:t>
      </w:r>
    </w:p>
    <w:p w:rsidR="00B418CB" w:rsidRDefault="00B418CB">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sidR="005C0F37">
        <w:rPr>
          <w:b w:val="0"/>
          <w:noProof/>
          <w:sz w:val="18"/>
        </w:rPr>
        <w:t>4</w:t>
      </w:r>
    </w:p>
    <w:p w:rsidR="00B418CB" w:rsidRPr="00193FCE" w:rsidRDefault="00193FCE" w:rsidP="00193FCE">
      <w:pPr>
        <w:pStyle w:val="TOC9"/>
        <w:rPr>
          <w:b/>
          <w:noProof/>
          <w:highlight w:val="yellow"/>
        </w:rPr>
      </w:pPr>
      <w:r w:rsidRPr="000439FB">
        <w:rPr>
          <w:noProof/>
        </w:rPr>
        <w:t xml:space="preserve">Private Health Insurance (Prostheses Application and Listing Fees) </w:t>
      </w:r>
      <w:r w:rsidR="00413938">
        <w:rPr>
          <w:noProof/>
        </w:rPr>
        <w:t>Rules</w:t>
      </w:r>
      <w:r w:rsidRPr="000439FB">
        <w:rPr>
          <w:noProof/>
        </w:rPr>
        <w:t xml:space="preserve"> 2008 </w:t>
      </w:r>
      <w:r w:rsidR="00B418CB" w:rsidRPr="00B418CB">
        <w:rPr>
          <w:i w:val="0"/>
          <w:noProof/>
          <w:sz w:val="18"/>
        </w:rPr>
        <w:tab/>
      </w:r>
      <w:r w:rsidR="005C0F37">
        <w:rPr>
          <w:i w:val="0"/>
          <w:noProof/>
          <w:sz w:val="18"/>
        </w:rPr>
        <w:t>4</w:t>
      </w:r>
    </w:p>
    <w:p w:rsidR="00413938" w:rsidRPr="00413938" w:rsidRDefault="00B418CB" w:rsidP="00C27C2A">
      <w:pPr>
        <w:outlineLvl w:val="0"/>
      </w:pPr>
      <w:r>
        <w:fldChar w:fldCharType="end"/>
      </w:r>
    </w:p>
    <w:p w:rsidR="00413938" w:rsidRDefault="00413938" w:rsidP="00413938"/>
    <w:p w:rsidR="00F6696E" w:rsidRPr="00413938" w:rsidRDefault="00F6696E" w:rsidP="00413938">
      <w:pPr>
        <w:sectPr w:rsidR="00F6696E" w:rsidRPr="00413938"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454512513"/>
      <w:proofErr w:type="gramStart"/>
      <w:r w:rsidRPr="00554826">
        <w:lastRenderedPageBreak/>
        <w:t>1  Name</w:t>
      </w:r>
      <w:bookmarkEnd w:id="1"/>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424A99" w:rsidRPr="00424A99">
        <w:rPr>
          <w:i/>
        </w:rPr>
        <w:t>Private Health Insurance (Prostheses Application and Listing Fee) Rules 2018</w:t>
      </w:r>
      <w:r w:rsidRPr="009C2562">
        <w:t>.</w:t>
      </w:r>
    </w:p>
    <w:p w:rsidR="00554826" w:rsidRPr="00554826" w:rsidRDefault="00554826" w:rsidP="00554826">
      <w:pPr>
        <w:pStyle w:val="ActHead5"/>
      </w:pPr>
      <w:bookmarkStart w:id="3" w:name="_Toc454512514"/>
      <w:proofErr w:type="gramStart"/>
      <w:r w:rsidRPr="00554826">
        <w:t>2  Commencement</w:t>
      </w:r>
      <w:bookmarkEnd w:id="3"/>
      <w:proofErr w:type="gramEnd"/>
    </w:p>
    <w:p w:rsidR="000B316B" w:rsidRPr="006A125D" w:rsidRDefault="000B316B" w:rsidP="000B316B">
      <w:pPr>
        <w:tabs>
          <w:tab w:val="right" w:pos="1021"/>
        </w:tabs>
        <w:spacing w:before="180" w:line="240" w:lineRule="auto"/>
        <w:ind w:left="1134" w:hanging="1134"/>
        <w:rPr>
          <w:rFonts w:eastAsia="Times New Roman" w:cs="Times New Roman"/>
          <w:lang w:eastAsia="en-AU"/>
        </w:rPr>
      </w:pPr>
      <w:bookmarkStart w:id="4" w:name="_Toc454512515"/>
      <w:r w:rsidRPr="006A125D">
        <w:rPr>
          <w:rFonts w:eastAsia="Times New Roman" w:cs="Times New Roman"/>
          <w:lang w:eastAsia="en-AU"/>
        </w:rPr>
        <w:tab/>
        <w:t>(1)</w:t>
      </w:r>
      <w:r w:rsidRPr="006A125D">
        <w:rPr>
          <w:rFonts w:eastAsia="Times New Roman" w:cs="Times New Roman"/>
          <w:lang w:eastAsia="en-AU"/>
        </w:rPr>
        <w:tab/>
        <w:t>Each provision of this instrument specified in column 1 of the table commences, or is taken to have commenced, in accordance with column 2 of the table. Any other statement in column 2 has effect according to its terms.</w:t>
      </w:r>
    </w:p>
    <w:p w:rsidR="000B316B" w:rsidRPr="006A125D" w:rsidRDefault="000B316B" w:rsidP="000B316B">
      <w:pPr>
        <w:spacing w:before="60" w:line="240" w:lineRule="atLeast"/>
        <w:rPr>
          <w:rFonts w:eastAsia="Times New Roman" w:cs="Times New Roman"/>
          <w:sz w:val="20"/>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0B316B" w:rsidRPr="006A125D" w:rsidTr="00B6147A">
        <w:trPr>
          <w:tblHeader/>
        </w:trPr>
        <w:tc>
          <w:tcPr>
            <w:tcW w:w="5000" w:type="pct"/>
            <w:gridSpan w:val="3"/>
            <w:tcBorders>
              <w:top w:val="single" w:sz="12" w:space="0" w:color="auto"/>
              <w:bottom w:val="single" w:sz="6"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Commencement information</w:t>
            </w:r>
          </w:p>
        </w:tc>
      </w:tr>
      <w:tr w:rsidR="000B316B" w:rsidRPr="006A125D" w:rsidTr="00B6147A">
        <w:trPr>
          <w:tblHeader/>
        </w:trPr>
        <w:tc>
          <w:tcPr>
            <w:tcW w:w="1272" w:type="pct"/>
            <w:tcBorders>
              <w:top w:val="single" w:sz="6" w:space="0" w:color="auto"/>
              <w:bottom w:val="single" w:sz="6"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Column 1</w:t>
            </w:r>
          </w:p>
        </w:tc>
        <w:tc>
          <w:tcPr>
            <w:tcW w:w="2627" w:type="pct"/>
            <w:tcBorders>
              <w:top w:val="single" w:sz="6" w:space="0" w:color="auto"/>
              <w:bottom w:val="single" w:sz="6"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Column 2</w:t>
            </w:r>
          </w:p>
        </w:tc>
        <w:tc>
          <w:tcPr>
            <w:tcW w:w="1101" w:type="pct"/>
            <w:tcBorders>
              <w:top w:val="single" w:sz="6" w:space="0" w:color="auto"/>
              <w:bottom w:val="single" w:sz="6"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Column 3</w:t>
            </w:r>
          </w:p>
        </w:tc>
      </w:tr>
      <w:tr w:rsidR="000B316B" w:rsidRPr="006A125D" w:rsidTr="00B6147A">
        <w:trPr>
          <w:tblHeader/>
        </w:trPr>
        <w:tc>
          <w:tcPr>
            <w:tcW w:w="1272" w:type="pct"/>
            <w:tcBorders>
              <w:top w:val="single" w:sz="6" w:space="0" w:color="auto"/>
              <w:bottom w:val="single" w:sz="12"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Provisions</w:t>
            </w:r>
          </w:p>
        </w:tc>
        <w:tc>
          <w:tcPr>
            <w:tcW w:w="2627" w:type="pct"/>
            <w:tcBorders>
              <w:top w:val="single" w:sz="6" w:space="0" w:color="auto"/>
              <w:bottom w:val="single" w:sz="12"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Commencement</w:t>
            </w:r>
          </w:p>
        </w:tc>
        <w:tc>
          <w:tcPr>
            <w:tcW w:w="1101" w:type="pct"/>
            <w:tcBorders>
              <w:top w:val="single" w:sz="6" w:space="0" w:color="auto"/>
              <w:bottom w:val="single" w:sz="12" w:space="0" w:color="auto"/>
            </w:tcBorders>
            <w:shd w:val="clear" w:color="auto" w:fill="auto"/>
            <w:hideMark/>
          </w:tcPr>
          <w:p w:rsidR="000B316B" w:rsidRPr="006A125D" w:rsidRDefault="000B316B" w:rsidP="00B6147A">
            <w:pPr>
              <w:keepNext/>
              <w:spacing w:before="60" w:line="240" w:lineRule="atLeast"/>
              <w:rPr>
                <w:rFonts w:eastAsia="Times New Roman" w:cs="Times New Roman"/>
                <w:b/>
                <w:sz w:val="20"/>
                <w:lang w:eastAsia="en-AU"/>
              </w:rPr>
            </w:pPr>
            <w:r w:rsidRPr="006A125D">
              <w:rPr>
                <w:rFonts w:eastAsia="Times New Roman" w:cs="Times New Roman"/>
                <w:b/>
                <w:sz w:val="20"/>
                <w:lang w:eastAsia="en-AU"/>
              </w:rPr>
              <w:t>Date/Details</w:t>
            </w:r>
          </w:p>
        </w:tc>
      </w:tr>
      <w:tr w:rsidR="000B316B" w:rsidRPr="006A125D" w:rsidTr="00B6147A">
        <w:tc>
          <w:tcPr>
            <w:tcW w:w="1272" w:type="pct"/>
            <w:tcBorders>
              <w:top w:val="single" w:sz="12" w:space="0" w:color="auto"/>
              <w:bottom w:val="single" w:sz="12" w:space="0" w:color="auto"/>
            </w:tcBorders>
            <w:shd w:val="clear" w:color="auto" w:fill="auto"/>
            <w:hideMark/>
          </w:tcPr>
          <w:p w:rsidR="000B316B" w:rsidRPr="006A125D" w:rsidRDefault="000B316B" w:rsidP="00B6147A">
            <w:pPr>
              <w:spacing w:before="60" w:line="240" w:lineRule="atLeast"/>
              <w:rPr>
                <w:rFonts w:eastAsia="Times New Roman" w:cs="Times New Roman"/>
                <w:sz w:val="20"/>
                <w:lang w:eastAsia="en-AU"/>
              </w:rPr>
            </w:pPr>
            <w:r w:rsidRPr="006A125D">
              <w:rPr>
                <w:rFonts w:eastAsia="Times New Roman" w:cs="Times New Roman"/>
                <w:sz w:val="20"/>
                <w:lang w:eastAsia="en-AU"/>
              </w:rPr>
              <w:t>1.  The whole of this instrument</w:t>
            </w:r>
          </w:p>
        </w:tc>
        <w:tc>
          <w:tcPr>
            <w:tcW w:w="2627" w:type="pct"/>
            <w:tcBorders>
              <w:top w:val="single" w:sz="12" w:space="0" w:color="auto"/>
              <w:bottom w:val="single" w:sz="12" w:space="0" w:color="auto"/>
            </w:tcBorders>
            <w:shd w:val="clear" w:color="auto" w:fill="auto"/>
            <w:hideMark/>
          </w:tcPr>
          <w:p w:rsidR="000B316B" w:rsidRPr="006A125D" w:rsidRDefault="000B316B" w:rsidP="00B6147A">
            <w:pPr>
              <w:spacing w:before="60" w:line="240" w:lineRule="atLeast"/>
              <w:rPr>
                <w:rFonts w:eastAsia="Times New Roman" w:cs="Times New Roman"/>
                <w:sz w:val="20"/>
                <w:lang w:eastAsia="en-AU"/>
              </w:rPr>
            </w:pPr>
            <w:r w:rsidRPr="006A125D">
              <w:rPr>
                <w:rFonts w:eastAsia="Times New Roman" w:cs="Times New Roman"/>
                <w:sz w:val="20"/>
                <w:lang w:eastAsia="en-AU"/>
              </w:rPr>
              <w:t>The day after this instrument is registered.</w:t>
            </w:r>
          </w:p>
        </w:tc>
        <w:tc>
          <w:tcPr>
            <w:tcW w:w="1101" w:type="pct"/>
            <w:tcBorders>
              <w:top w:val="single" w:sz="12" w:space="0" w:color="auto"/>
              <w:bottom w:val="single" w:sz="12" w:space="0" w:color="auto"/>
            </w:tcBorders>
            <w:shd w:val="clear" w:color="auto" w:fill="auto"/>
          </w:tcPr>
          <w:p w:rsidR="000B316B" w:rsidRPr="006A125D" w:rsidRDefault="000B316B" w:rsidP="00B6147A">
            <w:pPr>
              <w:spacing w:before="60" w:line="240" w:lineRule="atLeast"/>
              <w:rPr>
                <w:rFonts w:eastAsia="Times New Roman" w:cs="Times New Roman"/>
                <w:sz w:val="20"/>
                <w:lang w:eastAsia="en-AU"/>
              </w:rPr>
            </w:pPr>
          </w:p>
        </w:tc>
      </w:tr>
    </w:tbl>
    <w:p w:rsidR="000B316B" w:rsidRPr="006A125D" w:rsidRDefault="000B316B" w:rsidP="000B316B">
      <w:pPr>
        <w:spacing w:before="122" w:line="240" w:lineRule="auto"/>
        <w:ind w:left="1985" w:hanging="851"/>
        <w:rPr>
          <w:rFonts w:eastAsia="Times New Roman" w:cs="Times New Roman"/>
          <w:sz w:val="18"/>
          <w:lang w:eastAsia="en-AU"/>
        </w:rPr>
      </w:pPr>
      <w:r w:rsidRPr="006A125D">
        <w:rPr>
          <w:rFonts w:eastAsia="Times New Roman" w:cs="Times New Roman"/>
          <w:snapToGrid w:val="0"/>
          <w:sz w:val="18"/>
        </w:rPr>
        <w:t>Note:</w:t>
      </w:r>
      <w:r w:rsidRPr="006A125D">
        <w:rPr>
          <w:rFonts w:eastAsia="Times New Roman" w:cs="Times New Roman"/>
          <w:snapToGrid w:val="0"/>
          <w:sz w:val="18"/>
        </w:rPr>
        <w:tab/>
        <w:t>This table relates only to the provisions of this instrument</w:t>
      </w:r>
      <w:r w:rsidRPr="006A125D">
        <w:rPr>
          <w:rFonts w:eastAsia="Times New Roman" w:cs="Times New Roman"/>
          <w:sz w:val="18"/>
          <w:lang w:eastAsia="en-AU"/>
        </w:rPr>
        <w:t xml:space="preserve"> </w:t>
      </w:r>
      <w:r w:rsidRPr="006A125D">
        <w:rPr>
          <w:rFonts w:eastAsia="Times New Roman" w:cs="Times New Roman"/>
          <w:snapToGrid w:val="0"/>
          <w:sz w:val="18"/>
        </w:rPr>
        <w:t>as originally made. It will not be amended to deal with any later amendments of this instrument.</w:t>
      </w:r>
    </w:p>
    <w:p w:rsidR="000B316B" w:rsidRPr="006A125D" w:rsidRDefault="000B316B" w:rsidP="000B316B">
      <w:pPr>
        <w:tabs>
          <w:tab w:val="right" w:pos="1021"/>
        </w:tabs>
        <w:spacing w:before="180" w:line="240" w:lineRule="auto"/>
        <w:ind w:left="1134" w:hanging="1134"/>
        <w:rPr>
          <w:rFonts w:eastAsia="Times New Roman" w:cs="Times New Roman"/>
          <w:lang w:eastAsia="en-AU"/>
        </w:rPr>
      </w:pPr>
      <w:r w:rsidRPr="006A125D">
        <w:rPr>
          <w:rFonts w:eastAsia="Times New Roman" w:cs="Times New Roman"/>
          <w:lang w:eastAsia="en-AU"/>
        </w:rPr>
        <w:tab/>
        <w:t>(2)</w:t>
      </w:r>
      <w:r w:rsidRPr="006A125D">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under </w:t>
      </w:r>
      <w:r w:rsidR="000439FB">
        <w:t xml:space="preserve">section 8 of the </w:t>
      </w:r>
      <w:r w:rsidR="000439FB" w:rsidRPr="000439FB">
        <w:rPr>
          <w:i/>
        </w:rPr>
        <w:t>Private Health Insurance (Prostheses Application and Listing Fees) Act 2007</w:t>
      </w:r>
      <w:r w:rsidR="000439FB" w:rsidRPr="000439FB">
        <w:t>.</w:t>
      </w:r>
    </w:p>
    <w:p w:rsidR="00554826" w:rsidRPr="00130324" w:rsidRDefault="00554826" w:rsidP="00554826">
      <w:pPr>
        <w:pStyle w:val="ActHead5"/>
      </w:pPr>
      <w:bookmarkStart w:id="5" w:name="_Toc454512516"/>
      <w:proofErr w:type="gramStart"/>
      <w:r w:rsidRPr="00130324">
        <w:t>4  Definitions</w:t>
      </w:r>
      <w:bookmarkEnd w:id="5"/>
      <w:proofErr w:type="gramEnd"/>
    </w:p>
    <w:p w:rsidR="00554826" w:rsidRPr="00130324" w:rsidRDefault="00554826" w:rsidP="00554826">
      <w:pPr>
        <w:pStyle w:val="subsection"/>
      </w:pPr>
      <w:r w:rsidRPr="00130324">
        <w:tab/>
      </w:r>
      <w:r w:rsidRPr="00130324">
        <w:tab/>
        <w:t>In this instrument:</w:t>
      </w:r>
    </w:p>
    <w:p w:rsidR="00554826" w:rsidRPr="00130324" w:rsidRDefault="00554826" w:rsidP="00554826">
      <w:pPr>
        <w:pStyle w:val="Definition"/>
      </w:pPr>
      <w:r w:rsidRPr="00130324">
        <w:rPr>
          <w:b/>
          <w:i/>
        </w:rPr>
        <w:t>Act</w:t>
      </w:r>
      <w:r w:rsidRPr="00130324">
        <w:t xml:space="preserve"> means the </w:t>
      </w:r>
      <w:r w:rsidR="00921B19" w:rsidRPr="00130324">
        <w:rPr>
          <w:i/>
        </w:rPr>
        <w:t>Private Health Insurance (Prostheses Application and Listing Fees) Act 2007</w:t>
      </w:r>
      <w:r w:rsidRPr="00130324">
        <w:t>.</w:t>
      </w:r>
    </w:p>
    <w:p w:rsidR="00554826" w:rsidRPr="00130324" w:rsidRDefault="003944ED" w:rsidP="00554826">
      <w:pPr>
        <w:pStyle w:val="Definition"/>
      </w:pPr>
      <w:proofErr w:type="gramStart"/>
      <w:r w:rsidRPr="00130324">
        <w:rPr>
          <w:b/>
          <w:i/>
        </w:rPr>
        <w:t>duplicate</w:t>
      </w:r>
      <w:proofErr w:type="gramEnd"/>
      <w:r w:rsidRPr="00130324">
        <w:rPr>
          <w:b/>
          <w:i/>
        </w:rPr>
        <w:t xml:space="preserve"> listing</w:t>
      </w:r>
      <w:r w:rsidRPr="00130324">
        <w:t xml:space="preserve"> is defined </w:t>
      </w:r>
      <w:r w:rsidR="00C33C46" w:rsidRPr="00130324">
        <w:t>in s</w:t>
      </w:r>
      <w:r w:rsidR="003B6F6D">
        <w:t>ubsection 6</w:t>
      </w:r>
      <w:r w:rsidR="00C33C46" w:rsidRPr="00130324">
        <w:t>(5)</w:t>
      </w:r>
      <w:r w:rsidR="00554826" w:rsidRPr="00130324">
        <w:t>.</w:t>
      </w:r>
    </w:p>
    <w:p w:rsidR="00554826" w:rsidRPr="00130324" w:rsidRDefault="00711D06" w:rsidP="00554826">
      <w:pPr>
        <w:pStyle w:val="Definition"/>
      </w:pPr>
      <w:proofErr w:type="gramStart"/>
      <w:r w:rsidRPr="00130324">
        <w:rPr>
          <w:b/>
          <w:i/>
        </w:rPr>
        <w:t>human</w:t>
      </w:r>
      <w:proofErr w:type="gramEnd"/>
      <w:r w:rsidRPr="00130324">
        <w:rPr>
          <w:b/>
          <w:i/>
        </w:rPr>
        <w:t xml:space="preserve"> tissue prosthesis </w:t>
      </w:r>
      <w:r w:rsidR="00554826" w:rsidRPr="00130324">
        <w:t xml:space="preserve">means </w:t>
      </w:r>
      <w:r w:rsidRPr="00130324">
        <w:t>a product that is substantially derived from human tissue where the tissue has been subjected to processing or treatments and the supply (however described, including trade, sell, give or gift) of which is governed by State or Territory law.</w:t>
      </w:r>
    </w:p>
    <w:p w:rsidR="00711D06" w:rsidRPr="00130324" w:rsidRDefault="00711D06" w:rsidP="00711D06">
      <w:pPr>
        <w:pStyle w:val="Definition"/>
      </w:pPr>
      <w:r w:rsidRPr="00130324">
        <w:rPr>
          <w:b/>
          <w:i/>
        </w:rPr>
        <w:t xml:space="preserve">Private Health Insurance Act </w:t>
      </w:r>
      <w:r w:rsidRPr="00130324">
        <w:t xml:space="preserve">means </w:t>
      </w:r>
      <w:r w:rsidR="00507CA8" w:rsidRPr="00130324">
        <w:rPr>
          <w:i/>
        </w:rPr>
        <w:t>Private Health Insurance Act 2007</w:t>
      </w:r>
      <w:r w:rsidRPr="00130324">
        <w:t>.</w:t>
      </w:r>
    </w:p>
    <w:p w:rsidR="00711D06" w:rsidRPr="00130324" w:rsidRDefault="00AB3AEF" w:rsidP="00711D06">
      <w:pPr>
        <w:pStyle w:val="Definition"/>
      </w:pPr>
      <w:proofErr w:type="gramStart"/>
      <w:r>
        <w:rPr>
          <w:b/>
          <w:i/>
        </w:rPr>
        <w:t>revocation</w:t>
      </w:r>
      <w:proofErr w:type="gramEnd"/>
      <w:r w:rsidR="00507CA8" w:rsidRPr="00130324">
        <w:rPr>
          <w:b/>
          <w:i/>
        </w:rPr>
        <w:t xml:space="preserve"> and relisting</w:t>
      </w:r>
      <w:r w:rsidR="00711D06" w:rsidRPr="00130324">
        <w:rPr>
          <w:b/>
          <w:i/>
        </w:rPr>
        <w:t xml:space="preserve"> </w:t>
      </w:r>
      <w:r w:rsidR="00711D06" w:rsidRPr="00130324">
        <w:t>i</w:t>
      </w:r>
      <w:r w:rsidR="00507CA8" w:rsidRPr="00130324">
        <w:t xml:space="preserve">s defined in </w:t>
      </w:r>
      <w:r w:rsidR="00254660">
        <w:t>sub</w:t>
      </w:r>
      <w:r w:rsidR="003B6F6D">
        <w:t>section 6</w:t>
      </w:r>
      <w:r w:rsidR="00507CA8" w:rsidRPr="00130324">
        <w:t>(4)</w:t>
      </w:r>
      <w:r w:rsidR="00711D06" w:rsidRPr="00130324">
        <w:t>.</w:t>
      </w:r>
    </w:p>
    <w:p w:rsidR="00554826" w:rsidRPr="00130324" w:rsidRDefault="00554826" w:rsidP="00554826">
      <w:pPr>
        <w:pStyle w:val="ActHead5"/>
      </w:pPr>
      <w:bookmarkStart w:id="6" w:name="_Toc454781205"/>
      <w:bookmarkStart w:id="7" w:name="_Toc454512517"/>
      <w:proofErr w:type="gramStart"/>
      <w:r w:rsidRPr="00130324">
        <w:lastRenderedPageBreak/>
        <w:t>5  Schedules</w:t>
      </w:r>
      <w:bookmarkEnd w:id="6"/>
      <w:proofErr w:type="gramEnd"/>
    </w:p>
    <w:p w:rsidR="00554826" w:rsidRPr="00130324" w:rsidRDefault="00554826" w:rsidP="00554826">
      <w:pPr>
        <w:pStyle w:val="subsection"/>
      </w:pPr>
      <w:r w:rsidRPr="00130324">
        <w:tab/>
      </w:r>
      <w:r w:rsidRPr="00130324">
        <w:tab/>
        <w:t>Each instrument that is specified in a Schedule to this instrument is amended or repealed as set out in the applicable items in the Schedule concerned, and any other item in a Schedule to this instrument has effect according to its terms.</w:t>
      </w:r>
    </w:p>
    <w:p w:rsidR="00554826" w:rsidRPr="00130324" w:rsidRDefault="00554826" w:rsidP="00554826">
      <w:pPr>
        <w:pStyle w:val="ActHead5"/>
      </w:pPr>
      <w:proofErr w:type="gramStart"/>
      <w:r w:rsidRPr="00130324">
        <w:t xml:space="preserve">6  </w:t>
      </w:r>
      <w:bookmarkEnd w:id="7"/>
      <w:r w:rsidR="00B63A68" w:rsidRPr="00130324">
        <w:t>Application</w:t>
      </w:r>
      <w:proofErr w:type="gramEnd"/>
      <w:r w:rsidR="00B63A68" w:rsidRPr="00130324">
        <w:t xml:space="preserve"> fees</w:t>
      </w:r>
    </w:p>
    <w:p w:rsidR="00554826" w:rsidRPr="00130324" w:rsidRDefault="00554826" w:rsidP="00554826">
      <w:pPr>
        <w:pStyle w:val="subsection"/>
      </w:pPr>
      <w:r w:rsidRPr="00130324">
        <w:tab/>
        <w:t>(1)</w:t>
      </w:r>
      <w:r w:rsidRPr="00130324">
        <w:tab/>
      </w:r>
      <w:r w:rsidR="00861819" w:rsidRPr="00130324">
        <w:t>For subsection 3(1) of the Act, the application fee for an applicat</w:t>
      </w:r>
      <w:r w:rsidR="005E1CB9">
        <w:t>ion made under subsection 72-10</w:t>
      </w:r>
      <w:r w:rsidR="00861819" w:rsidRPr="00130324">
        <w:t>(2) of the Private Health Insurance Act is:</w:t>
      </w:r>
    </w:p>
    <w:p w:rsidR="00554826" w:rsidRPr="00130324" w:rsidRDefault="00554826" w:rsidP="00554826">
      <w:pPr>
        <w:pStyle w:val="paragraph"/>
      </w:pPr>
      <w:r w:rsidRPr="00130324">
        <w:tab/>
        <w:t>(a)</w:t>
      </w:r>
      <w:r w:rsidRPr="00130324">
        <w:tab/>
      </w:r>
      <w:proofErr w:type="gramStart"/>
      <w:r w:rsidR="00861819" w:rsidRPr="00130324">
        <w:t>in</w:t>
      </w:r>
      <w:proofErr w:type="gramEnd"/>
      <w:r w:rsidR="00861819" w:rsidRPr="00130324">
        <w:t xml:space="preserve"> relation to a human tissue prosthesis―nil; and</w:t>
      </w:r>
      <w:r w:rsidRPr="00130324">
        <w:t xml:space="preserve"> </w:t>
      </w:r>
    </w:p>
    <w:p w:rsidR="00554826" w:rsidRPr="00130324" w:rsidRDefault="00554826" w:rsidP="00554826">
      <w:pPr>
        <w:pStyle w:val="paragraph"/>
      </w:pPr>
      <w:r w:rsidRPr="00130324">
        <w:tab/>
        <w:t>(b)</w:t>
      </w:r>
      <w:r w:rsidRPr="00130324">
        <w:tab/>
      </w:r>
      <w:proofErr w:type="gramStart"/>
      <w:r w:rsidR="00BB1B71" w:rsidRPr="00130324">
        <w:t>in</w:t>
      </w:r>
      <w:proofErr w:type="gramEnd"/>
      <w:r w:rsidR="00BB1B71" w:rsidRPr="00130324">
        <w:t xml:space="preserve"> relation to any other prost</w:t>
      </w:r>
      <w:r w:rsidR="003B6F6D">
        <w:t xml:space="preserve">hesis, except where subsection (2) </w:t>
      </w:r>
      <w:r w:rsidR="00BB1B71" w:rsidRPr="00130324">
        <w:t>applies―$600.</w:t>
      </w:r>
    </w:p>
    <w:p w:rsidR="00554826" w:rsidRPr="00130324" w:rsidRDefault="00BB1B71" w:rsidP="00554826">
      <w:pPr>
        <w:pStyle w:val="subsection"/>
      </w:pPr>
      <w:r w:rsidRPr="00130324">
        <w:tab/>
        <w:t>(2)</w:t>
      </w:r>
      <w:r w:rsidRPr="00130324">
        <w:tab/>
        <w:t>If an app</w:t>
      </w:r>
      <w:r w:rsidR="009A118F">
        <w:t>lication under subsection 72-10</w:t>
      </w:r>
      <w:r w:rsidRPr="00130324">
        <w:t xml:space="preserve">(2) of the Private Health Insurance Act to list </w:t>
      </w:r>
      <w:proofErr w:type="gramStart"/>
      <w:r w:rsidRPr="00130324">
        <w:t>a prosthesis</w:t>
      </w:r>
      <w:proofErr w:type="gramEnd"/>
      <w:r w:rsidRPr="00130324">
        <w:t xml:space="preserve"> would result in, if granted:</w:t>
      </w:r>
    </w:p>
    <w:p w:rsidR="00554826" w:rsidRPr="00130324" w:rsidRDefault="00554826" w:rsidP="00554826">
      <w:pPr>
        <w:pStyle w:val="paragraph"/>
      </w:pPr>
      <w:r w:rsidRPr="00130324">
        <w:tab/>
        <w:t>(a)</w:t>
      </w:r>
      <w:r w:rsidRPr="00130324">
        <w:tab/>
      </w:r>
      <w:proofErr w:type="gramStart"/>
      <w:r w:rsidR="00E72D63" w:rsidRPr="00130324">
        <w:t>a</w:t>
      </w:r>
      <w:proofErr w:type="gramEnd"/>
      <w:r w:rsidR="00E72D63" w:rsidRPr="00130324">
        <w:t xml:space="preserve"> revocation and relisting; or</w:t>
      </w:r>
      <w:r w:rsidRPr="00130324">
        <w:t>:</w:t>
      </w:r>
    </w:p>
    <w:p w:rsidR="00E72D63" w:rsidRPr="00130324" w:rsidRDefault="00554826" w:rsidP="00E72D63">
      <w:pPr>
        <w:pStyle w:val="paragraph"/>
        <w:rPr>
          <w:b/>
          <w:color w:val="000000"/>
          <w:sz w:val="24"/>
          <w:szCs w:val="24"/>
          <w:lang w:eastAsia="en-US"/>
        </w:rPr>
      </w:pPr>
      <w:r w:rsidRPr="00130324">
        <w:tab/>
        <w:t>(b)</w:t>
      </w:r>
      <w:r w:rsidRPr="00130324">
        <w:tab/>
      </w:r>
      <w:proofErr w:type="gramStart"/>
      <w:r w:rsidR="00E72D63" w:rsidRPr="00130324">
        <w:t>a</w:t>
      </w:r>
      <w:proofErr w:type="gramEnd"/>
      <w:r w:rsidR="00E72D63" w:rsidRPr="00130324">
        <w:t xml:space="preserve"> duplicate listing,</w:t>
      </w:r>
      <w:r w:rsidR="00E72D63" w:rsidRPr="00130324">
        <w:rPr>
          <w:b/>
          <w:color w:val="000000"/>
          <w:sz w:val="24"/>
          <w:szCs w:val="24"/>
          <w:lang w:eastAsia="en-US"/>
        </w:rPr>
        <w:t xml:space="preserve"> </w:t>
      </w:r>
    </w:p>
    <w:p w:rsidR="00554826" w:rsidRPr="00130324" w:rsidRDefault="00E72D63" w:rsidP="00E72D63">
      <w:pPr>
        <w:pStyle w:val="paragraph"/>
        <w:ind w:left="1134" w:hanging="1134"/>
      </w:pPr>
      <w:r w:rsidRPr="00130324">
        <w:rPr>
          <w:b/>
          <w:color w:val="000000"/>
          <w:sz w:val="24"/>
          <w:szCs w:val="24"/>
          <w:lang w:eastAsia="en-US"/>
        </w:rPr>
        <w:tab/>
      </w:r>
      <w:r w:rsidRPr="00130324">
        <w:rPr>
          <w:b/>
          <w:color w:val="000000"/>
          <w:sz w:val="24"/>
          <w:szCs w:val="24"/>
          <w:lang w:eastAsia="en-US"/>
        </w:rPr>
        <w:tab/>
      </w:r>
      <w:proofErr w:type="gramStart"/>
      <w:r w:rsidRPr="00130324">
        <w:t>the</w:t>
      </w:r>
      <w:proofErr w:type="gramEnd"/>
      <w:r w:rsidRPr="00130324">
        <w:t xml:space="preserve"> application fee is, and is taken always to have been, nil.</w:t>
      </w:r>
    </w:p>
    <w:p w:rsidR="00B871C2" w:rsidRPr="00130324" w:rsidRDefault="00B871C2" w:rsidP="00B871C2">
      <w:pPr>
        <w:pStyle w:val="subsection"/>
      </w:pPr>
      <w:r w:rsidRPr="00130324">
        <w:tab/>
        <w:t>(3)</w:t>
      </w:r>
      <w:r w:rsidRPr="00130324">
        <w:tab/>
        <w:t>If the approved form for an application permits more than one application for listing of a kind of prosthesis to be made on the same form, the application for each kind of prosthesis is a separate application and each listing, if granted, is a separate listing.</w:t>
      </w:r>
    </w:p>
    <w:p w:rsidR="00B871C2" w:rsidRPr="00130324" w:rsidRDefault="00B871C2" w:rsidP="00B871C2">
      <w:pPr>
        <w:pStyle w:val="subsection"/>
      </w:pPr>
      <w:r w:rsidRPr="00130324">
        <w:tab/>
        <w:t>(4)</w:t>
      </w:r>
      <w:r w:rsidRPr="00130324">
        <w:tab/>
      </w:r>
      <w:r w:rsidR="00094EF1" w:rsidRPr="00130324">
        <w:t xml:space="preserve">An application will result in a </w:t>
      </w:r>
      <w:r w:rsidR="00094EF1" w:rsidRPr="00130324">
        <w:rPr>
          <w:b/>
          <w:i/>
        </w:rPr>
        <w:t>revocation and relisting</w:t>
      </w:r>
      <w:r w:rsidR="00094EF1" w:rsidRPr="00130324">
        <w:t xml:space="preserve"> only in the following circumstances:</w:t>
      </w:r>
    </w:p>
    <w:p w:rsidR="00B871C2" w:rsidRPr="00130324" w:rsidRDefault="00B871C2" w:rsidP="00B871C2">
      <w:pPr>
        <w:pStyle w:val="paragraph"/>
      </w:pPr>
      <w:r w:rsidRPr="00130324">
        <w:tab/>
        <w:t>(a)</w:t>
      </w:r>
      <w:r w:rsidRPr="00130324">
        <w:tab/>
      </w:r>
      <w:proofErr w:type="gramStart"/>
      <w:r w:rsidR="00094EF1" w:rsidRPr="00130324">
        <w:t>where</w:t>
      </w:r>
      <w:proofErr w:type="gramEnd"/>
      <w:r w:rsidR="00094EF1" w:rsidRPr="00130324">
        <w:t xml:space="preserve"> the application</w:t>
      </w:r>
      <w:r w:rsidRPr="00130324">
        <w:t>:</w:t>
      </w:r>
    </w:p>
    <w:p w:rsidR="00B871C2" w:rsidRPr="00130324" w:rsidRDefault="00B871C2" w:rsidP="00B871C2">
      <w:pPr>
        <w:pStyle w:val="paragraphsub"/>
      </w:pPr>
      <w:r w:rsidRPr="00130324">
        <w:tab/>
        <w:t>(</w:t>
      </w:r>
      <w:proofErr w:type="spellStart"/>
      <w:r w:rsidRPr="00130324">
        <w:t>i</w:t>
      </w:r>
      <w:proofErr w:type="spellEnd"/>
      <w:r w:rsidRPr="00130324">
        <w:t>)</w:t>
      </w:r>
      <w:r w:rsidRPr="00130324">
        <w:tab/>
      </w:r>
      <w:proofErr w:type="gramStart"/>
      <w:r w:rsidR="00EC00CA" w:rsidRPr="00130324">
        <w:t>if</w:t>
      </w:r>
      <w:proofErr w:type="gramEnd"/>
      <w:r w:rsidR="00EC00CA" w:rsidRPr="00130324">
        <w:t xml:space="preserve"> granted, would involve revocation of an existing listing of a prosthesis; and</w:t>
      </w:r>
    </w:p>
    <w:p w:rsidR="00B871C2" w:rsidRPr="00130324" w:rsidRDefault="00EC00CA" w:rsidP="00B871C2">
      <w:pPr>
        <w:pStyle w:val="paragraphsub"/>
      </w:pPr>
      <w:r w:rsidRPr="00130324">
        <w:tab/>
        <w:t>(ii)</w:t>
      </w:r>
      <w:r w:rsidRPr="00130324">
        <w:tab/>
      </w:r>
      <w:proofErr w:type="gramStart"/>
      <w:r w:rsidRPr="00130324">
        <w:t>is</w:t>
      </w:r>
      <w:proofErr w:type="gramEnd"/>
      <w:r w:rsidRPr="00130324">
        <w:t xml:space="preserve"> for the listing of:</w:t>
      </w:r>
    </w:p>
    <w:p w:rsidR="00EC00CA" w:rsidRPr="00130324" w:rsidRDefault="004825F9" w:rsidP="004825F9">
      <w:pPr>
        <w:pStyle w:val="paragraphsub"/>
        <w:numPr>
          <w:ilvl w:val="0"/>
          <w:numId w:val="14"/>
        </w:numPr>
      </w:pPr>
      <w:r w:rsidRPr="00130324">
        <w:t>exactly the same prosthesis for the new applicant; or</w:t>
      </w:r>
    </w:p>
    <w:p w:rsidR="004825F9" w:rsidRPr="00130324" w:rsidRDefault="004825F9" w:rsidP="004825F9">
      <w:pPr>
        <w:pStyle w:val="ListParagraph"/>
        <w:numPr>
          <w:ilvl w:val="0"/>
          <w:numId w:val="14"/>
        </w:numPr>
        <w:rPr>
          <w:rFonts w:eastAsia="Times New Roman" w:cs="Times New Roman"/>
          <w:lang w:eastAsia="en-AU"/>
        </w:rPr>
      </w:pPr>
      <w:r w:rsidRPr="00130324">
        <w:rPr>
          <w:rFonts w:eastAsia="Times New Roman" w:cs="Times New Roman"/>
          <w:lang w:eastAsia="en-AU"/>
        </w:rPr>
        <w:t>the same kind of prostheses which are different only in size or materials, or both, but have the same action, function and clinical outcomes;</w:t>
      </w:r>
    </w:p>
    <w:p w:rsidR="00B871C2" w:rsidRPr="00130324" w:rsidRDefault="00B871C2" w:rsidP="00B871C2">
      <w:pPr>
        <w:pStyle w:val="paragraph"/>
      </w:pPr>
      <w:r w:rsidRPr="00130324">
        <w:tab/>
        <w:t>(b)</w:t>
      </w:r>
      <w:r w:rsidRPr="00130324">
        <w:tab/>
      </w:r>
      <w:proofErr w:type="gramStart"/>
      <w:r w:rsidR="00D252C3" w:rsidRPr="00130324">
        <w:t>where</w:t>
      </w:r>
      <w:proofErr w:type="gramEnd"/>
      <w:r w:rsidR="00D252C3" w:rsidRPr="00130324">
        <w:t xml:space="preserve"> the application</w:t>
      </w:r>
      <w:r w:rsidRPr="00130324">
        <w:t>:</w:t>
      </w:r>
    </w:p>
    <w:p w:rsidR="00B871C2" w:rsidRPr="00130324" w:rsidRDefault="00B871C2" w:rsidP="00B871C2">
      <w:pPr>
        <w:pStyle w:val="paragraphsub"/>
      </w:pPr>
      <w:r w:rsidRPr="00130324">
        <w:tab/>
        <w:t>(</w:t>
      </w:r>
      <w:proofErr w:type="spellStart"/>
      <w:r w:rsidRPr="00130324">
        <w:t>i</w:t>
      </w:r>
      <w:proofErr w:type="spellEnd"/>
      <w:r w:rsidRPr="00130324">
        <w:t>)</w:t>
      </w:r>
      <w:r w:rsidRPr="00130324">
        <w:tab/>
      </w:r>
      <w:proofErr w:type="gramStart"/>
      <w:r w:rsidR="00D252C3" w:rsidRPr="00130324">
        <w:t>if</w:t>
      </w:r>
      <w:proofErr w:type="gramEnd"/>
      <w:r w:rsidR="00D252C3" w:rsidRPr="00130324">
        <w:t xml:space="preserve"> granted, would involve the revocation of the listing of a prosthesis which has component items but is listed as one prosthesis (</w:t>
      </w:r>
      <w:r w:rsidR="00D252C3" w:rsidRPr="00130324">
        <w:rPr>
          <w:b/>
          <w:i/>
        </w:rPr>
        <w:t>prosthesis system</w:t>
      </w:r>
      <w:r w:rsidR="00D252C3" w:rsidRPr="00130324">
        <w:t>); and</w:t>
      </w:r>
    </w:p>
    <w:p w:rsidR="00B871C2" w:rsidRPr="00130324" w:rsidRDefault="0003003B" w:rsidP="0003003B">
      <w:pPr>
        <w:pStyle w:val="paragraphsub"/>
        <w:numPr>
          <w:ilvl w:val="5"/>
          <w:numId w:val="15"/>
        </w:numPr>
      </w:pPr>
      <w:r w:rsidRPr="00130324">
        <w:t>is for the listing of a component of that prosthesis system as a separate listing;</w:t>
      </w:r>
    </w:p>
    <w:p w:rsidR="00094EF1" w:rsidRPr="00130324" w:rsidRDefault="00094EF1" w:rsidP="00094EF1">
      <w:pPr>
        <w:pStyle w:val="paragraph"/>
      </w:pPr>
      <w:r w:rsidRPr="00130324">
        <w:tab/>
        <w:t>(c)</w:t>
      </w:r>
      <w:r w:rsidRPr="00130324">
        <w:tab/>
      </w:r>
      <w:proofErr w:type="gramStart"/>
      <w:r w:rsidR="00130324" w:rsidRPr="00130324">
        <w:t>where</w:t>
      </w:r>
      <w:proofErr w:type="gramEnd"/>
      <w:r w:rsidR="00130324" w:rsidRPr="00130324">
        <w:t xml:space="preserve"> the application:</w:t>
      </w:r>
    </w:p>
    <w:p w:rsidR="00094EF1" w:rsidRPr="00130324" w:rsidRDefault="00094EF1" w:rsidP="00094EF1">
      <w:pPr>
        <w:pStyle w:val="paragraphsub"/>
      </w:pPr>
      <w:r w:rsidRPr="00130324">
        <w:tab/>
        <w:t>(</w:t>
      </w:r>
      <w:proofErr w:type="spellStart"/>
      <w:r w:rsidRPr="00130324">
        <w:t>i</w:t>
      </w:r>
      <w:proofErr w:type="spellEnd"/>
      <w:r w:rsidRPr="00130324">
        <w:t>)</w:t>
      </w:r>
      <w:r w:rsidRPr="00130324">
        <w:tab/>
      </w:r>
      <w:proofErr w:type="gramStart"/>
      <w:r w:rsidR="00130324" w:rsidRPr="00130324">
        <w:t>if</w:t>
      </w:r>
      <w:proofErr w:type="gramEnd"/>
      <w:r w:rsidR="00130324" w:rsidRPr="00130324">
        <w:t xml:space="preserve"> granted, would involve the revocation of the listing of two or more prostheses (</w:t>
      </w:r>
      <w:r w:rsidR="00130324" w:rsidRPr="00130324">
        <w:rPr>
          <w:b/>
          <w:i/>
        </w:rPr>
        <w:t>items</w:t>
      </w:r>
      <w:r w:rsidR="00130324" w:rsidRPr="00130324">
        <w:t>) all of which have the same form (but may be of different sizes, action, function and clinical outcomes, such as a range of screws of different sizes); and</w:t>
      </w:r>
    </w:p>
    <w:p w:rsidR="00094EF1" w:rsidRPr="00130324" w:rsidRDefault="00094EF1" w:rsidP="00094EF1">
      <w:pPr>
        <w:pStyle w:val="paragraphsub"/>
      </w:pPr>
      <w:r w:rsidRPr="00130324">
        <w:tab/>
        <w:t>(ii)</w:t>
      </w:r>
      <w:r w:rsidRPr="00130324">
        <w:tab/>
      </w:r>
      <w:proofErr w:type="gramStart"/>
      <w:r w:rsidR="00130324" w:rsidRPr="00130324">
        <w:t>is</w:t>
      </w:r>
      <w:proofErr w:type="gramEnd"/>
      <w:r w:rsidR="00130324" w:rsidRPr="00130324">
        <w:t xml:space="preserve"> for the listing of exactly the same items together as one kind of prosthesis;</w:t>
      </w:r>
    </w:p>
    <w:p w:rsidR="00094EF1" w:rsidRPr="00130324" w:rsidRDefault="00094EF1" w:rsidP="00094EF1">
      <w:pPr>
        <w:pStyle w:val="paragraph"/>
      </w:pPr>
      <w:r w:rsidRPr="00130324">
        <w:tab/>
        <w:t>(d)</w:t>
      </w:r>
      <w:r w:rsidRPr="00130324">
        <w:tab/>
      </w:r>
      <w:proofErr w:type="gramStart"/>
      <w:r w:rsidR="00130324" w:rsidRPr="00130324">
        <w:t>where</w:t>
      </w:r>
      <w:proofErr w:type="gramEnd"/>
      <w:r w:rsidR="00130324" w:rsidRPr="00130324">
        <w:t xml:space="preserve"> the application:</w:t>
      </w:r>
    </w:p>
    <w:p w:rsidR="00094EF1" w:rsidRPr="00130324" w:rsidRDefault="00094EF1" w:rsidP="00094EF1">
      <w:pPr>
        <w:pStyle w:val="paragraphsub"/>
      </w:pPr>
      <w:r w:rsidRPr="00130324">
        <w:lastRenderedPageBreak/>
        <w:tab/>
        <w:t>(</w:t>
      </w:r>
      <w:proofErr w:type="spellStart"/>
      <w:r w:rsidRPr="00130324">
        <w:t>i</w:t>
      </w:r>
      <w:proofErr w:type="spellEnd"/>
      <w:r w:rsidRPr="00130324">
        <w:t>)</w:t>
      </w:r>
      <w:r w:rsidRPr="00130324">
        <w:tab/>
      </w:r>
      <w:r w:rsidR="00130324" w:rsidRPr="00130324">
        <w:t>if granted, would involve the revocation of the listing of two or more prostheses which are components of a kind of prosthesis that is a system or set which can be used only as a system or set (</w:t>
      </w:r>
      <w:r w:rsidR="00130324" w:rsidRPr="00130324">
        <w:rPr>
          <w:b/>
          <w:i/>
        </w:rPr>
        <w:t>system</w:t>
      </w:r>
      <w:r w:rsidR="00130324" w:rsidRPr="00130324">
        <w:t>) and the system is not a knee or hip replacement prosthesis; and</w:t>
      </w:r>
    </w:p>
    <w:p w:rsidR="00094EF1" w:rsidRPr="00130324" w:rsidRDefault="00094EF1" w:rsidP="00094EF1">
      <w:pPr>
        <w:pStyle w:val="paragraphsub"/>
      </w:pPr>
      <w:r w:rsidRPr="00130324">
        <w:tab/>
        <w:t>(ii)</w:t>
      </w:r>
      <w:r w:rsidRPr="00130324">
        <w:tab/>
      </w:r>
      <w:proofErr w:type="gramStart"/>
      <w:r w:rsidR="00130324" w:rsidRPr="00130324">
        <w:t>is</w:t>
      </w:r>
      <w:proofErr w:type="gramEnd"/>
      <w:r w:rsidR="00130324" w:rsidRPr="00130324">
        <w:t xml:space="preserve"> for the listing of exactly the same system as one kind of prosthesis.</w:t>
      </w:r>
    </w:p>
    <w:p w:rsidR="00B871C2" w:rsidRPr="00130324" w:rsidRDefault="00B871C2" w:rsidP="00094EF1">
      <w:pPr>
        <w:pStyle w:val="subsection"/>
      </w:pPr>
      <w:r w:rsidRPr="00130324">
        <w:tab/>
        <w:t>(5</w:t>
      </w:r>
      <w:r w:rsidR="00094EF1" w:rsidRPr="00130324">
        <w:t>)</w:t>
      </w:r>
      <w:r w:rsidR="00094EF1" w:rsidRPr="00130324">
        <w:tab/>
        <w:t xml:space="preserve">An application will result in a </w:t>
      </w:r>
      <w:r w:rsidR="00094EF1" w:rsidRPr="00130324">
        <w:rPr>
          <w:b/>
          <w:i/>
        </w:rPr>
        <w:t>duplicate listing</w:t>
      </w:r>
      <w:r w:rsidR="00094EF1" w:rsidRPr="00130324">
        <w:t xml:space="preserve"> only where the application is for the listing of a kind of prosthesis by an applicant and exactly the same kind of prosthesis is already listed following an application by a different applicant.</w:t>
      </w:r>
    </w:p>
    <w:p w:rsidR="00B63A68" w:rsidRPr="00130324" w:rsidRDefault="00E62374" w:rsidP="00B63A68">
      <w:pPr>
        <w:pStyle w:val="ActHead5"/>
      </w:pPr>
      <w:proofErr w:type="gramStart"/>
      <w:r w:rsidRPr="00130324">
        <w:t>7</w:t>
      </w:r>
      <w:r w:rsidR="00B63A68" w:rsidRPr="00130324">
        <w:t xml:space="preserve">  </w:t>
      </w:r>
      <w:r w:rsidR="00094EF1" w:rsidRPr="00130324">
        <w:t>Initial</w:t>
      </w:r>
      <w:proofErr w:type="gramEnd"/>
      <w:r w:rsidR="00094EF1" w:rsidRPr="00130324">
        <w:t xml:space="preserve"> listing fee</w:t>
      </w:r>
    </w:p>
    <w:p w:rsidR="00B63A68" w:rsidRPr="00130324" w:rsidRDefault="001A55DC" w:rsidP="00B63A68">
      <w:pPr>
        <w:pStyle w:val="subsection"/>
      </w:pPr>
      <w:r w:rsidRPr="00130324">
        <w:tab/>
        <w:t>(1</w:t>
      </w:r>
      <w:r w:rsidR="00B63A68" w:rsidRPr="00130324">
        <w:t>)</w:t>
      </w:r>
      <w:r w:rsidR="00B63A68" w:rsidRPr="00130324">
        <w:tab/>
      </w:r>
      <w:r w:rsidR="005E1CB9">
        <w:t>For subsection 4</w:t>
      </w:r>
      <w:r w:rsidRPr="00130324">
        <w:t>(1) of the Act, the initial listing fee for t</w:t>
      </w:r>
      <w:r w:rsidR="005E1CB9">
        <w:t>he purposes of subsection 72-10</w:t>
      </w:r>
      <w:r w:rsidRPr="00130324">
        <w:t>(5) of the Private Health Insurance Act is:</w:t>
      </w:r>
    </w:p>
    <w:p w:rsidR="00B63A68" w:rsidRPr="00130324" w:rsidRDefault="00B63A68" w:rsidP="00B63A68">
      <w:pPr>
        <w:pStyle w:val="paragraph"/>
      </w:pPr>
      <w:r w:rsidRPr="00130324">
        <w:tab/>
        <w:t>(a)</w:t>
      </w:r>
      <w:r w:rsidRPr="00130324">
        <w:tab/>
      </w:r>
      <w:proofErr w:type="gramStart"/>
      <w:r w:rsidR="001A55DC" w:rsidRPr="00130324">
        <w:t>for</w:t>
      </w:r>
      <w:proofErr w:type="gramEnd"/>
      <w:r w:rsidR="001A55DC" w:rsidRPr="00130324">
        <w:t xml:space="preserve"> a human tissue prosthesis―nil; and</w:t>
      </w:r>
    </w:p>
    <w:p w:rsidR="00B63A68" w:rsidRPr="00130324" w:rsidRDefault="00B63A68" w:rsidP="00B63A68">
      <w:pPr>
        <w:pStyle w:val="paragraph"/>
      </w:pPr>
      <w:r w:rsidRPr="00130324">
        <w:tab/>
        <w:t>(b)</w:t>
      </w:r>
      <w:r w:rsidRPr="00130324">
        <w:tab/>
      </w:r>
      <w:proofErr w:type="gramStart"/>
      <w:r w:rsidR="001A55DC" w:rsidRPr="00130324">
        <w:t>for</w:t>
      </w:r>
      <w:proofErr w:type="gramEnd"/>
      <w:r w:rsidR="001A55DC" w:rsidRPr="00130324">
        <w:t xml:space="preserve"> any other prosthesis, except where </w:t>
      </w:r>
      <w:r w:rsidR="005E1CB9">
        <w:t>subsection (</w:t>
      </w:r>
      <w:r w:rsidR="001A55DC" w:rsidRPr="00130324">
        <w:t>2) applies―$200.</w:t>
      </w:r>
    </w:p>
    <w:p w:rsidR="00B63A68" w:rsidRPr="00130324" w:rsidRDefault="001A55DC" w:rsidP="00B63A68">
      <w:pPr>
        <w:pStyle w:val="subsection"/>
      </w:pPr>
      <w:r w:rsidRPr="00130324">
        <w:tab/>
        <w:t>(2</w:t>
      </w:r>
      <w:r w:rsidR="00B63A68" w:rsidRPr="00130324">
        <w:t>)</w:t>
      </w:r>
      <w:r w:rsidR="00B63A68" w:rsidRPr="00130324">
        <w:tab/>
      </w:r>
      <w:r w:rsidRPr="00130324">
        <w:t>If an app</w:t>
      </w:r>
      <w:r w:rsidR="005E1CB9">
        <w:t>lication under subsection 72-10</w:t>
      </w:r>
      <w:r w:rsidRPr="00130324">
        <w:t xml:space="preserve">(2) of the Private Health Insurance Act to list </w:t>
      </w:r>
      <w:proofErr w:type="gramStart"/>
      <w:r w:rsidRPr="00130324">
        <w:t>a prosthesis</w:t>
      </w:r>
      <w:proofErr w:type="gramEnd"/>
      <w:r w:rsidRPr="00130324">
        <w:t xml:space="preserve"> would result in, if granted</w:t>
      </w:r>
      <w:r w:rsidR="00B63A68" w:rsidRPr="00130324">
        <w:t>:</w:t>
      </w:r>
    </w:p>
    <w:p w:rsidR="00B63A68" w:rsidRPr="00130324" w:rsidRDefault="00B63A68" w:rsidP="00B63A68">
      <w:pPr>
        <w:pStyle w:val="paragraph"/>
      </w:pPr>
      <w:r w:rsidRPr="00130324">
        <w:tab/>
        <w:t>(a)</w:t>
      </w:r>
      <w:r w:rsidRPr="00130324">
        <w:tab/>
      </w:r>
      <w:proofErr w:type="gramStart"/>
      <w:r w:rsidR="001A55DC" w:rsidRPr="00130324">
        <w:t>a</w:t>
      </w:r>
      <w:proofErr w:type="gramEnd"/>
      <w:r w:rsidR="001A55DC" w:rsidRPr="00130324">
        <w:t xml:space="preserve"> revocation and relisting; or</w:t>
      </w:r>
      <w:r w:rsidRPr="00130324">
        <w:t>:</w:t>
      </w:r>
    </w:p>
    <w:p w:rsidR="001B2F94" w:rsidRPr="00130324" w:rsidRDefault="00B63A68" w:rsidP="00B63A68">
      <w:pPr>
        <w:pStyle w:val="paragraph"/>
      </w:pPr>
      <w:r w:rsidRPr="00130324">
        <w:tab/>
        <w:t>(b)</w:t>
      </w:r>
      <w:r w:rsidRPr="00130324">
        <w:tab/>
      </w:r>
      <w:proofErr w:type="gramStart"/>
      <w:r w:rsidR="001B2F94" w:rsidRPr="00130324">
        <w:t>a</w:t>
      </w:r>
      <w:proofErr w:type="gramEnd"/>
      <w:r w:rsidR="001B2F94" w:rsidRPr="00130324">
        <w:t xml:space="preserve"> duplicate listing, </w:t>
      </w:r>
    </w:p>
    <w:p w:rsidR="00B63A68" w:rsidRPr="00130324" w:rsidRDefault="001B2F94" w:rsidP="001B2F94">
      <w:pPr>
        <w:pStyle w:val="paragraph"/>
        <w:ind w:left="2778"/>
      </w:pPr>
      <w:proofErr w:type="gramStart"/>
      <w:r w:rsidRPr="00130324">
        <w:t>the</w:t>
      </w:r>
      <w:proofErr w:type="gramEnd"/>
      <w:r w:rsidRPr="00130324">
        <w:t xml:space="preserve"> initial listing fee is, and is taken always to have been, nil.</w:t>
      </w:r>
    </w:p>
    <w:p w:rsidR="00B63A68" w:rsidRPr="00130324" w:rsidRDefault="00E62374" w:rsidP="00B63A68">
      <w:pPr>
        <w:pStyle w:val="ActHead5"/>
      </w:pPr>
      <w:proofErr w:type="gramStart"/>
      <w:r w:rsidRPr="00130324">
        <w:t>8</w:t>
      </w:r>
      <w:r w:rsidR="00B63A68" w:rsidRPr="00130324">
        <w:t xml:space="preserve">  </w:t>
      </w:r>
      <w:r w:rsidRPr="00130324">
        <w:t>Ongoing</w:t>
      </w:r>
      <w:proofErr w:type="gramEnd"/>
      <w:r w:rsidRPr="00130324">
        <w:t xml:space="preserve"> listing fee</w:t>
      </w:r>
    </w:p>
    <w:p w:rsidR="00B63A68" w:rsidRPr="00130324" w:rsidRDefault="008B2734" w:rsidP="008B2734">
      <w:pPr>
        <w:pStyle w:val="subsection"/>
      </w:pPr>
      <w:r w:rsidRPr="00130324">
        <w:tab/>
        <w:t>(1</w:t>
      </w:r>
      <w:r w:rsidR="00B63A68" w:rsidRPr="00130324">
        <w:t>)</w:t>
      </w:r>
      <w:r w:rsidR="00B63A68" w:rsidRPr="00130324">
        <w:tab/>
      </w:r>
      <w:bookmarkStart w:id="8" w:name="_Ref201545240"/>
      <w:r w:rsidR="005E1CB9">
        <w:t>For subsection 4</w:t>
      </w:r>
      <w:r w:rsidRPr="00130324">
        <w:t>(3) of the Act, the ongoing listing fee for the purposes of section 72-15 of the Private Health Insurance Act is:</w:t>
      </w:r>
      <w:bookmarkEnd w:id="8"/>
      <w:r w:rsidRPr="00130324">
        <w:t xml:space="preserve"> </w:t>
      </w:r>
    </w:p>
    <w:p w:rsidR="00B63A68" w:rsidRPr="00130324" w:rsidRDefault="00B63A68" w:rsidP="00B63A68">
      <w:pPr>
        <w:pStyle w:val="paragraph"/>
      </w:pPr>
      <w:r w:rsidRPr="00130324">
        <w:tab/>
        <w:t>(a)</w:t>
      </w:r>
      <w:r w:rsidRPr="00130324">
        <w:tab/>
      </w:r>
      <w:proofErr w:type="gramStart"/>
      <w:r w:rsidR="008B2734" w:rsidRPr="00130324">
        <w:t>for</w:t>
      </w:r>
      <w:proofErr w:type="gramEnd"/>
      <w:r w:rsidR="008B2734" w:rsidRPr="00130324">
        <w:t xml:space="preserve"> a human tissue prosthesis―nil; and</w:t>
      </w:r>
    </w:p>
    <w:p w:rsidR="00B63A68" w:rsidRPr="00130324" w:rsidRDefault="00B63A68" w:rsidP="00B63A68">
      <w:pPr>
        <w:pStyle w:val="paragraph"/>
      </w:pPr>
      <w:r w:rsidRPr="00130324">
        <w:tab/>
        <w:t>(b)</w:t>
      </w:r>
      <w:r w:rsidRPr="00130324">
        <w:tab/>
      </w:r>
      <w:proofErr w:type="gramStart"/>
      <w:r w:rsidR="008B2734" w:rsidRPr="00130324">
        <w:t>for</w:t>
      </w:r>
      <w:proofErr w:type="gramEnd"/>
      <w:r w:rsidR="008B2734" w:rsidRPr="00130324">
        <w:t xml:space="preserve"> any other prosthesis, except where </w:t>
      </w:r>
      <w:r w:rsidR="007F0F11">
        <w:t>section</w:t>
      </w:r>
      <w:r w:rsidR="008B2734" w:rsidRPr="00130324">
        <w:t xml:space="preserve"> </w:t>
      </w:r>
      <w:r w:rsidR="007024C7">
        <w:t>9</w:t>
      </w:r>
      <w:r w:rsidR="008B2734" w:rsidRPr="00130324">
        <w:t xml:space="preserve"> applies―$200.</w:t>
      </w:r>
    </w:p>
    <w:p w:rsidR="00B63A68" w:rsidRPr="00130324" w:rsidRDefault="00E62374" w:rsidP="00B63A68">
      <w:pPr>
        <w:pStyle w:val="ActHead5"/>
      </w:pPr>
      <w:proofErr w:type="gramStart"/>
      <w:r w:rsidRPr="00130324">
        <w:t>9</w:t>
      </w:r>
      <w:r w:rsidR="00B63A68" w:rsidRPr="00130324">
        <w:t xml:space="preserve">  </w:t>
      </w:r>
      <w:r w:rsidRPr="00130324">
        <w:t>First</w:t>
      </w:r>
      <w:proofErr w:type="gramEnd"/>
      <w:r w:rsidRPr="00130324">
        <w:t xml:space="preserve"> ongoing listing fee following grant of application</w:t>
      </w:r>
    </w:p>
    <w:p w:rsidR="00361202" w:rsidRPr="00130324" w:rsidRDefault="00361202" w:rsidP="00361202">
      <w:pPr>
        <w:pStyle w:val="subsection"/>
      </w:pPr>
      <w:r w:rsidRPr="00130324">
        <w:tab/>
      </w:r>
      <w:r w:rsidRPr="00130324">
        <w:tab/>
        <w:t xml:space="preserve">Despite </w:t>
      </w:r>
      <w:r w:rsidR="007F0F11">
        <w:t>section</w:t>
      </w:r>
      <w:r w:rsidRPr="00130324">
        <w:t xml:space="preserve"> </w:t>
      </w:r>
      <w:r w:rsidR="007024C7">
        <w:t>8</w:t>
      </w:r>
      <w:r w:rsidRPr="00130324">
        <w:t xml:space="preserve">, </w:t>
      </w:r>
      <w:r w:rsidR="005E1CB9">
        <w:t>for subsection 4</w:t>
      </w:r>
      <w:r w:rsidRPr="00130324">
        <w:t>(3) of the Act, the ongoing listing fee imposed on the ongoing listing fee imposition day immediately following the granting of an application, other than an application for revocation and relisting or a duplicate listing, is nil.</w:t>
      </w:r>
    </w:p>
    <w:p w:rsidR="00B63A68" w:rsidRPr="00130324" w:rsidRDefault="00361202" w:rsidP="00361202">
      <w:pPr>
        <w:spacing w:before="122" w:line="240" w:lineRule="auto"/>
        <w:ind w:left="1985" w:hanging="851"/>
        <w:rPr>
          <w:rFonts w:eastAsia="Times New Roman" w:cs="Times New Roman"/>
          <w:iCs/>
          <w:snapToGrid w:val="0"/>
          <w:sz w:val="18"/>
        </w:rPr>
      </w:pPr>
      <w:r w:rsidRPr="000439FB">
        <w:rPr>
          <w:rFonts w:eastAsia="Times New Roman" w:cs="Times New Roman"/>
          <w:snapToGrid w:val="0"/>
          <w:sz w:val="18"/>
        </w:rPr>
        <w:t>Note:</w:t>
      </w:r>
      <w:r w:rsidRPr="000439FB">
        <w:rPr>
          <w:rFonts w:eastAsia="Times New Roman" w:cs="Times New Roman"/>
          <w:snapToGrid w:val="0"/>
          <w:sz w:val="18"/>
        </w:rPr>
        <w:tab/>
      </w:r>
      <w:r w:rsidRPr="00130324">
        <w:rPr>
          <w:rFonts w:eastAsia="Times New Roman" w:cs="Times New Roman"/>
          <w:iCs/>
          <w:snapToGrid w:val="0"/>
          <w:sz w:val="18"/>
        </w:rPr>
        <w:t>An application involving a revocation and relisting or a duplicate listing is free from an application fee and an initial listing fee, but not from the first ongoing listing fee following grant of the application.</w:t>
      </w:r>
    </w:p>
    <w:p w:rsidR="00B63A68" w:rsidRPr="00130324" w:rsidRDefault="00E62374" w:rsidP="00B63A68">
      <w:pPr>
        <w:pStyle w:val="ActHead5"/>
      </w:pPr>
      <w:proofErr w:type="gramStart"/>
      <w:r w:rsidRPr="00130324">
        <w:t>10</w:t>
      </w:r>
      <w:r w:rsidR="00B63A68" w:rsidRPr="00130324">
        <w:t xml:space="preserve">  </w:t>
      </w:r>
      <w:r w:rsidRPr="00130324">
        <w:t>Ongoing</w:t>
      </w:r>
      <w:proofErr w:type="gramEnd"/>
      <w:r w:rsidRPr="00130324">
        <w:t xml:space="preserve"> listing fee imposition day</w:t>
      </w:r>
    </w:p>
    <w:p w:rsidR="00B02F52" w:rsidRPr="00130324" w:rsidRDefault="00B63A68" w:rsidP="00B02F52">
      <w:pPr>
        <w:pStyle w:val="subsection"/>
      </w:pPr>
      <w:r w:rsidRPr="00130324">
        <w:tab/>
        <w:t>(1)</w:t>
      </w:r>
      <w:r w:rsidRPr="00130324">
        <w:tab/>
      </w:r>
      <w:r w:rsidR="005E1CB9">
        <w:t>For subsection 4</w:t>
      </w:r>
      <w:r w:rsidR="00B02F52" w:rsidRPr="00130324">
        <w:t>(4) of the Act, the following days of each year are specified as ongoing listing fee imposition days:</w:t>
      </w:r>
    </w:p>
    <w:p w:rsidR="00B63A68" w:rsidRPr="00130324" w:rsidRDefault="00B63A68" w:rsidP="00B63A68">
      <w:pPr>
        <w:pStyle w:val="paragraph"/>
      </w:pPr>
      <w:r w:rsidRPr="00130324">
        <w:tab/>
        <w:t>(a)</w:t>
      </w:r>
      <w:r w:rsidRPr="00130324">
        <w:tab/>
      </w:r>
      <w:r w:rsidR="00B02F52" w:rsidRPr="00130324">
        <w:t>15 March</w:t>
      </w:r>
      <w:r w:rsidRPr="00130324">
        <w:t>; and</w:t>
      </w:r>
    </w:p>
    <w:p w:rsidR="00B63A68" w:rsidRPr="00130324" w:rsidRDefault="00B63A68" w:rsidP="00B63A68">
      <w:pPr>
        <w:pStyle w:val="paragraph"/>
      </w:pPr>
      <w:r w:rsidRPr="00130324">
        <w:tab/>
        <w:t>(b)</w:t>
      </w:r>
      <w:r w:rsidRPr="00130324">
        <w:tab/>
      </w:r>
      <w:r w:rsidR="00B02F52" w:rsidRPr="00130324">
        <w:t>15 September</w:t>
      </w:r>
      <w:r w:rsidRPr="00130324">
        <w:t>.</w:t>
      </w:r>
    </w:p>
    <w:p w:rsidR="00B63A68" w:rsidRPr="002F323A" w:rsidRDefault="00B02F52" w:rsidP="002F323A">
      <w:pPr>
        <w:spacing w:before="122" w:line="240" w:lineRule="auto"/>
        <w:ind w:left="1985" w:hanging="851"/>
        <w:rPr>
          <w:rFonts w:eastAsia="Times New Roman" w:cs="Times New Roman"/>
          <w:iCs/>
          <w:snapToGrid w:val="0"/>
          <w:sz w:val="18"/>
        </w:rPr>
      </w:pPr>
      <w:r w:rsidRPr="000439FB">
        <w:rPr>
          <w:rFonts w:eastAsia="Times New Roman" w:cs="Times New Roman"/>
          <w:snapToGrid w:val="0"/>
          <w:sz w:val="18"/>
        </w:rPr>
        <w:t>Note:</w:t>
      </w:r>
      <w:r w:rsidRPr="000439FB">
        <w:rPr>
          <w:rFonts w:eastAsia="Times New Roman" w:cs="Times New Roman"/>
          <w:snapToGrid w:val="0"/>
          <w:sz w:val="18"/>
        </w:rPr>
        <w:tab/>
      </w:r>
      <w:r w:rsidR="002F323A" w:rsidRPr="00130324">
        <w:rPr>
          <w:rFonts w:eastAsia="Times New Roman" w:cs="Times New Roman"/>
          <w:iCs/>
          <w:snapToGrid w:val="0"/>
          <w:sz w:val="18"/>
        </w:rPr>
        <w:t>The ongoing listing fee must be paid within 28 days of each ongoing listing fee impo</w:t>
      </w:r>
      <w:r w:rsidR="005E1CB9">
        <w:rPr>
          <w:rFonts w:eastAsia="Times New Roman" w:cs="Times New Roman"/>
          <w:iCs/>
          <w:snapToGrid w:val="0"/>
          <w:sz w:val="18"/>
        </w:rPr>
        <w:t>sition day―see subsection 72-15</w:t>
      </w:r>
      <w:r w:rsidR="002F323A" w:rsidRPr="00130324">
        <w:rPr>
          <w:rFonts w:eastAsia="Times New Roman" w:cs="Times New Roman"/>
          <w:iCs/>
          <w:snapToGrid w:val="0"/>
          <w:sz w:val="18"/>
        </w:rPr>
        <w:t>(2) of the Private Health Insurance Act.</w:t>
      </w:r>
    </w:p>
    <w:p w:rsidR="00554826" w:rsidRDefault="00554826" w:rsidP="00554826">
      <w:pPr>
        <w:spacing w:line="240" w:lineRule="auto"/>
        <w:rPr>
          <w:rFonts w:eastAsia="Times New Roman" w:cs="Times New Roman"/>
          <w:lang w:eastAsia="en-AU"/>
        </w:rPr>
      </w:pPr>
      <w:r>
        <w:br w:type="page"/>
      </w:r>
    </w:p>
    <w:p w:rsidR="00D6537E" w:rsidRPr="004E1307" w:rsidRDefault="004E1307" w:rsidP="00D6537E">
      <w:pPr>
        <w:pStyle w:val="ActHead6"/>
      </w:pPr>
      <w:bookmarkStart w:id="9" w:name="_Toc454512518"/>
      <w:r>
        <w:lastRenderedPageBreak/>
        <w:t xml:space="preserve">Schedule </w:t>
      </w:r>
      <w:r w:rsidR="00D6537E" w:rsidRPr="004E1307">
        <w:t>1—Repeals</w:t>
      </w:r>
      <w:bookmarkEnd w:id="9"/>
    </w:p>
    <w:p w:rsidR="00D6537E" w:rsidRPr="00D6537E" w:rsidRDefault="00193FCE" w:rsidP="007B5144">
      <w:pPr>
        <w:pStyle w:val="ActHead9"/>
        <w:ind w:left="0" w:firstLine="0"/>
      </w:pPr>
      <w:bookmarkStart w:id="10" w:name="_Toc454512519"/>
      <w:r w:rsidRPr="00130324">
        <w:t xml:space="preserve">Private Health Insurance (Prostheses Application and Listing Fees) </w:t>
      </w:r>
      <w:r w:rsidR="004B5331">
        <w:t>Rules</w:t>
      </w:r>
      <w:r w:rsidRPr="00130324">
        <w:t xml:space="preserve"> 2008 </w:t>
      </w:r>
      <w:bookmarkEnd w:id="10"/>
    </w:p>
    <w:p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rsidR="004E1307" w:rsidRDefault="00D6537E" w:rsidP="00D6537E">
      <w:pPr>
        <w:pStyle w:val="Item"/>
      </w:pPr>
      <w:r>
        <w:t>Repeal the instrument</w:t>
      </w:r>
    </w:p>
    <w:p w:rsidR="00A75FE9" w:rsidRDefault="00A75FE9" w:rsidP="00E03DED">
      <w:pPr>
        <w:spacing w:line="240" w:lineRule="auto"/>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67" w:rsidRDefault="00324467" w:rsidP="00715914">
      <w:pPr>
        <w:spacing w:line="240" w:lineRule="auto"/>
      </w:pPr>
      <w:r>
        <w:separator/>
      </w:r>
    </w:p>
  </w:endnote>
  <w:endnote w:type="continuationSeparator" w:id="0">
    <w:p w:rsidR="00324467" w:rsidRDefault="003244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663A6">
            <w:rPr>
              <w:i/>
              <w:noProof/>
              <w:sz w:val="18"/>
            </w:rPr>
            <w:t>Private Health Insurance (Prostheses Application and Listing Fee) Rules 2018</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663A6">
            <w:rPr>
              <w:i/>
              <w:noProof/>
              <w:sz w:val="18"/>
            </w:rPr>
            <w:t>Private Health Insurance (Prostheses Application and Listing Fee) Rules 2018</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663A6">
            <w:rPr>
              <w:i/>
              <w:noProof/>
              <w:sz w:val="18"/>
            </w:rPr>
            <w:t>Private Health Insurance (Prostheses Application and Listing Fee) Rules 2018</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2F16">
            <w:rPr>
              <w:i/>
              <w:noProof/>
              <w:sz w:val="18"/>
            </w:rPr>
            <w:t>Private Health Insurance (Prostheses Application and Listing Fee) Rules 2018</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2F16">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2F16">
            <w:rPr>
              <w:i/>
              <w:noProof/>
              <w:sz w:val="18"/>
            </w:rPr>
            <w:t>4</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2F16">
            <w:rPr>
              <w:i/>
              <w:noProof/>
              <w:sz w:val="18"/>
            </w:rPr>
            <w:t>Private Health Insurance (Prostheses Application and Listing Fee) Rules 2018</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2F16">
            <w:rPr>
              <w:i/>
              <w:noProof/>
              <w:sz w:val="18"/>
            </w:rPr>
            <w:t>Private Health Insurance (Prostheses Application and Listing Fee) Rules 2018</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2F16">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67" w:rsidRDefault="00324467" w:rsidP="00715914">
      <w:pPr>
        <w:spacing w:line="240" w:lineRule="auto"/>
      </w:pPr>
      <w:r>
        <w:separator/>
      </w:r>
    </w:p>
  </w:footnote>
  <w:footnote w:type="continuationSeparator" w:id="0">
    <w:p w:rsidR="00324467" w:rsidRDefault="0032446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277094C"/>
    <w:multiLevelType w:val="hybridMultilevel"/>
    <w:tmpl w:val="022818F6"/>
    <w:lvl w:ilvl="0" w:tplc="2960A4C0">
      <w:start w:val="1"/>
      <w:numFmt w:val="upperLetter"/>
      <w:lvlText w:val="(%1)"/>
      <w:lvlJc w:val="left"/>
      <w:pPr>
        <w:ind w:left="2405" w:hanging="4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61622DE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67"/>
    <w:rsid w:val="00004174"/>
    <w:rsid w:val="00004470"/>
    <w:rsid w:val="000136AF"/>
    <w:rsid w:val="000258B1"/>
    <w:rsid w:val="0003003B"/>
    <w:rsid w:val="00040A89"/>
    <w:rsid w:val="000437C1"/>
    <w:rsid w:val="000439FB"/>
    <w:rsid w:val="0004455A"/>
    <w:rsid w:val="00053016"/>
    <w:rsid w:val="0005365D"/>
    <w:rsid w:val="000614BF"/>
    <w:rsid w:val="0006709C"/>
    <w:rsid w:val="00074376"/>
    <w:rsid w:val="00094EF1"/>
    <w:rsid w:val="000978F5"/>
    <w:rsid w:val="000B15CD"/>
    <w:rsid w:val="000B316B"/>
    <w:rsid w:val="000B35EB"/>
    <w:rsid w:val="000D05EF"/>
    <w:rsid w:val="000E2261"/>
    <w:rsid w:val="000E3C13"/>
    <w:rsid w:val="000E78B7"/>
    <w:rsid w:val="000F21C1"/>
    <w:rsid w:val="0010745C"/>
    <w:rsid w:val="00130324"/>
    <w:rsid w:val="00132CEB"/>
    <w:rsid w:val="001339B0"/>
    <w:rsid w:val="00142B62"/>
    <w:rsid w:val="001441B7"/>
    <w:rsid w:val="001516CB"/>
    <w:rsid w:val="00152336"/>
    <w:rsid w:val="00157B8B"/>
    <w:rsid w:val="00166C2F"/>
    <w:rsid w:val="001809D7"/>
    <w:rsid w:val="001939E1"/>
    <w:rsid w:val="00193FCE"/>
    <w:rsid w:val="00194C3E"/>
    <w:rsid w:val="00195382"/>
    <w:rsid w:val="001A55DC"/>
    <w:rsid w:val="001B2CB6"/>
    <w:rsid w:val="001B2F94"/>
    <w:rsid w:val="001C61C5"/>
    <w:rsid w:val="001C69C4"/>
    <w:rsid w:val="001D37EF"/>
    <w:rsid w:val="001E3590"/>
    <w:rsid w:val="001E7407"/>
    <w:rsid w:val="001F136A"/>
    <w:rsid w:val="001F5D5E"/>
    <w:rsid w:val="001F6219"/>
    <w:rsid w:val="001F6CD4"/>
    <w:rsid w:val="00206C4D"/>
    <w:rsid w:val="00215AF1"/>
    <w:rsid w:val="00215E1A"/>
    <w:rsid w:val="002321E8"/>
    <w:rsid w:val="00232984"/>
    <w:rsid w:val="0024010F"/>
    <w:rsid w:val="00240749"/>
    <w:rsid w:val="00243018"/>
    <w:rsid w:val="002518DC"/>
    <w:rsid w:val="00254660"/>
    <w:rsid w:val="002564A4"/>
    <w:rsid w:val="0026736C"/>
    <w:rsid w:val="00281308"/>
    <w:rsid w:val="00284719"/>
    <w:rsid w:val="00297ECB"/>
    <w:rsid w:val="002A2282"/>
    <w:rsid w:val="002A7BCF"/>
    <w:rsid w:val="002C3FD1"/>
    <w:rsid w:val="002D043A"/>
    <w:rsid w:val="002D266B"/>
    <w:rsid w:val="002D6224"/>
    <w:rsid w:val="002F323A"/>
    <w:rsid w:val="00304F8B"/>
    <w:rsid w:val="00324467"/>
    <w:rsid w:val="00335BC6"/>
    <w:rsid w:val="003415D3"/>
    <w:rsid w:val="00344338"/>
    <w:rsid w:val="00344701"/>
    <w:rsid w:val="00352B0F"/>
    <w:rsid w:val="00360459"/>
    <w:rsid w:val="00361202"/>
    <w:rsid w:val="00367807"/>
    <w:rsid w:val="0038049F"/>
    <w:rsid w:val="003944ED"/>
    <w:rsid w:val="003B6F6D"/>
    <w:rsid w:val="003C6231"/>
    <w:rsid w:val="003D0BFE"/>
    <w:rsid w:val="003D3D89"/>
    <w:rsid w:val="003D5700"/>
    <w:rsid w:val="003E341B"/>
    <w:rsid w:val="003E4D00"/>
    <w:rsid w:val="004116CD"/>
    <w:rsid w:val="00413938"/>
    <w:rsid w:val="00417EB9"/>
    <w:rsid w:val="00424A99"/>
    <w:rsid w:val="00424CA9"/>
    <w:rsid w:val="004276DF"/>
    <w:rsid w:val="00431E9B"/>
    <w:rsid w:val="004379E3"/>
    <w:rsid w:val="0044015E"/>
    <w:rsid w:val="0044291A"/>
    <w:rsid w:val="00463547"/>
    <w:rsid w:val="00467661"/>
    <w:rsid w:val="00472DBE"/>
    <w:rsid w:val="00474A19"/>
    <w:rsid w:val="00477830"/>
    <w:rsid w:val="004825F9"/>
    <w:rsid w:val="00487764"/>
    <w:rsid w:val="00496F97"/>
    <w:rsid w:val="004B1A27"/>
    <w:rsid w:val="004B5331"/>
    <w:rsid w:val="004B6C48"/>
    <w:rsid w:val="004C0E26"/>
    <w:rsid w:val="004C4E59"/>
    <w:rsid w:val="004C6809"/>
    <w:rsid w:val="004E063A"/>
    <w:rsid w:val="004E1307"/>
    <w:rsid w:val="004E7BEC"/>
    <w:rsid w:val="00505D3D"/>
    <w:rsid w:val="00506AF6"/>
    <w:rsid w:val="00507CA8"/>
    <w:rsid w:val="00516B8D"/>
    <w:rsid w:val="005303C8"/>
    <w:rsid w:val="00537FBC"/>
    <w:rsid w:val="00554826"/>
    <w:rsid w:val="00562877"/>
    <w:rsid w:val="00584811"/>
    <w:rsid w:val="00585784"/>
    <w:rsid w:val="00593AA6"/>
    <w:rsid w:val="00594161"/>
    <w:rsid w:val="00594749"/>
    <w:rsid w:val="005A65D5"/>
    <w:rsid w:val="005B4067"/>
    <w:rsid w:val="005C0F37"/>
    <w:rsid w:val="005C3F41"/>
    <w:rsid w:val="005D1D92"/>
    <w:rsid w:val="005D2D09"/>
    <w:rsid w:val="005E1CB9"/>
    <w:rsid w:val="00600219"/>
    <w:rsid w:val="00604F2A"/>
    <w:rsid w:val="00607D8A"/>
    <w:rsid w:val="00620076"/>
    <w:rsid w:val="00627E0A"/>
    <w:rsid w:val="0065488B"/>
    <w:rsid w:val="00670EA1"/>
    <w:rsid w:val="00677CC2"/>
    <w:rsid w:val="0068744B"/>
    <w:rsid w:val="006905DE"/>
    <w:rsid w:val="0069207B"/>
    <w:rsid w:val="006A154F"/>
    <w:rsid w:val="006A306B"/>
    <w:rsid w:val="006A437B"/>
    <w:rsid w:val="006B5789"/>
    <w:rsid w:val="006C30C5"/>
    <w:rsid w:val="006C7F8C"/>
    <w:rsid w:val="006E2E1C"/>
    <w:rsid w:val="006E6246"/>
    <w:rsid w:val="006E69C2"/>
    <w:rsid w:val="006E6DCC"/>
    <w:rsid w:val="006F318F"/>
    <w:rsid w:val="006F7423"/>
    <w:rsid w:val="0070017E"/>
    <w:rsid w:val="0070057D"/>
    <w:rsid w:val="00700B2C"/>
    <w:rsid w:val="007024C7"/>
    <w:rsid w:val="007050A2"/>
    <w:rsid w:val="00711D06"/>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B5144"/>
    <w:rsid w:val="007C2253"/>
    <w:rsid w:val="007D7911"/>
    <w:rsid w:val="007E163D"/>
    <w:rsid w:val="007E667A"/>
    <w:rsid w:val="007F0F11"/>
    <w:rsid w:val="007F28C9"/>
    <w:rsid w:val="007F51B2"/>
    <w:rsid w:val="00800CA9"/>
    <w:rsid w:val="008040DD"/>
    <w:rsid w:val="008117E9"/>
    <w:rsid w:val="00812F16"/>
    <w:rsid w:val="00824498"/>
    <w:rsid w:val="00826BD1"/>
    <w:rsid w:val="00854D0B"/>
    <w:rsid w:val="0085617A"/>
    <w:rsid w:val="00856A31"/>
    <w:rsid w:val="00860B4E"/>
    <w:rsid w:val="00861819"/>
    <w:rsid w:val="008663A6"/>
    <w:rsid w:val="00867B37"/>
    <w:rsid w:val="008754D0"/>
    <w:rsid w:val="00875D13"/>
    <w:rsid w:val="008855C9"/>
    <w:rsid w:val="00886456"/>
    <w:rsid w:val="00894093"/>
    <w:rsid w:val="00896176"/>
    <w:rsid w:val="008A46E1"/>
    <w:rsid w:val="008A4F43"/>
    <w:rsid w:val="008B2706"/>
    <w:rsid w:val="008B2734"/>
    <w:rsid w:val="008C2EAC"/>
    <w:rsid w:val="008D0EE0"/>
    <w:rsid w:val="008E0027"/>
    <w:rsid w:val="008E6067"/>
    <w:rsid w:val="008F54E7"/>
    <w:rsid w:val="00903422"/>
    <w:rsid w:val="00921B19"/>
    <w:rsid w:val="009254C3"/>
    <w:rsid w:val="00932377"/>
    <w:rsid w:val="009376D7"/>
    <w:rsid w:val="00941236"/>
    <w:rsid w:val="00943FD5"/>
    <w:rsid w:val="00947D5A"/>
    <w:rsid w:val="009532A5"/>
    <w:rsid w:val="009545BD"/>
    <w:rsid w:val="00964CF0"/>
    <w:rsid w:val="00977806"/>
    <w:rsid w:val="00982242"/>
    <w:rsid w:val="009868E9"/>
    <w:rsid w:val="009900A3"/>
    <w:rsid w:val="009A118F"/>
    <w:rsid w:val="009C3413"/>
    <w:rsid w:val="009D4134"/>
    <w:rsid w:val="00A0441E"/>
    <w:rsid w:val="00A12128"/>
    <w:rsid w:val="00A22C98"/>
    <w:rsid w:val="00A231E2"/>
    <w:rsid w:val="00A369E3"/>
    <w:rsid w:val="00A46842"/>
    <w:rsid w:val="00A57600"/>
    <w:rsid w:val="00A64912"/>
    <w:rsid w:val="00A66159"/>
    <w:rsid w:val="00A70A74"/>
    <w:rsid w:val="00A75FE9"/>
    <w:rsid w:val="00AB3AEF"/>
    <w:rsid w:val="00AD53CC"/>
    <w:rsid w:val="00AD5641"/>
    <w:rsid w:val="00AF06CF"/>
    <w:rsid w:val="00B02F52"/>
    <w:rsid w:val="00B07CDB"/>
    <w:rsid w:val="00B16A31"/>
    <w:rsid w:val="00B17DFD"/>
    <w:rsid w:val="00B25306"/>
    <w:rsid w:val="00B27831"/>
    <w:rsid w:val="00B308FE"/>
    <w:rsid w:val="00B33709"/>
    <w:rsid w:val="00B33B3C"/>
    <w:rsid w:val="00B36392"/>
    <w:rsid w:val="00B418CB"/>
    <w:rsid w:val="00B47444"/>
    <w:rsid w:val="00B50ADC"/>
    <w:rsid w:val="00B50BCC"/>
    <w:rsid w:val="00B566B1"/>
    <w:rsid w:val="00B63834"/>
    <w:rsid w:val="00B63A68"/>
    <w:rsid w:val="00B80199"/>
    <w:rsid w:val="00B83204"/>
    <w:rsid w:val="00B856E7"/>
    <w:rsid w:val="00B871C2"/>
    <w:rsid w:val="00BA220B"/>
    <w:rsid w:val="00BA3A57"/>
    <w:rsid w:val="00BB1533"/>
    <w:rsid w:val="00BB1B71"/>
    <w:rsid w:val="00BB4527"/>
    <w:rsid w:val="00BB4E1A"/>
    <w:rsid w:val="00BC015E"/>
    <w:rsid w:val="00BC76AC"/>
    <w:rsid w:val="00BD0ECB"/>
    <w:rsid w:val="00BE2155"/>
    <w:rsid w:val="00BE719A"/>
    <w:rsid w:val="00BE720A"/>
    <w:rsid w:val="00BF0D73"/>
    <w:rsid w:val="00BF2465"/>
    <w:rsid w:val="00C16619"/>
    <w:rsid w:val="00C25E7F"/>
    <w:rsid w:val="00C2746F"/>
    <w:rsid w:val="00C27C2A"/>
    <w:rsid w:val="00C323D6"/>
    <w:rsid w:val="00C324A0"/>
    <w:rsid w:val="00C33C46"/>
    <w:rsid w:val="00C42BF8"/>
    <w:rsid w:val="00C50043"/>
    <w:rsid w:val="00C7573B"/>
    <w:rsid w:val="00C8251D"/>
    <w:rsid w:val="00C97A54"/>
    <w:rsid w:val="00CA5B23"/>
    <w:rsid w:val="00CB24EE"/>
    <w:rsid w:val="00CB602E"/>
    <w:rsid w:val="00CB7E90"/>
    <w:rsid w:val="00CE051D"/>
    <w:rsid w:val="00CE1335"/>
    <w:rsid w:val="00CE493D"/>
    <w:rsid w:val="00CF07FA"/>
    <w:rsid w:val="00CF0BB2"/>
    <w:rsid w:val="00CF3EE8"/>
    <w:rsid w:val="00D13441"/>
    <w:rsid w:val="00D150E7"/>
    <w:rsid w:val="00D252C3"/>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3DED"/>
    <w:rsid w:val="00E05704"/>
    <w:rsid w:val="00E24749"/>
    <w:rsid w:val="00E338EF"/>
    <w:rsid w:val="00E544BB"/>
    <w:rsid w:val="00E62374"/>
    <w:rsid w:val="00E72D63"/>
    <w:rsid w:val="00E74DC7"/>
    <w:rsid w:val="00E8075A"/>
    <w:rsid w:val="00E940D8"/>
    <w:rsid w:val="00E94D5E"/>
    <w:rsid w:val="00EA56E6"/>
    <w:rsid w:val="00EA7100"/>
    <w:rsid w:val="00EA7F9F"/>
    <w:rsid w:val="00EB1274"/>
    <w:rsid w:val="00EC00CA"/>
    <w:rsid w:val="00ED2BB6"/>
    <w:rsid w:val="00ED34E1"/>
    <w:rsid w:val="00ED3B8D"/>
    <w:rsid w:val="00EE5E36"/>
    <w:rsid w:val="00EF2E3A"/>
    <w:rsid w:val="00F02C7C"/>
    <w:rsid w:val="00F072A7"/>
    <w:rsid w:val="00F078DC"/>
    <w:rsid w:val="00F23CF7"/>
    <w:rsid w:val="00F32BA8"/>
    <w:rsid w:val="00F32EE0"/>
    <w:rsid w:val="00F349F1"/>
    <w:rsid w:val="00F4350D"/>
    <w:rsid w:val="00F479C4"/>
    <w:rsid w:val="00F567F7"/>
    <w:rsid w:val="00F637CC"/>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1202"/>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4825F9"/>
    <w:pPr>
      <w:ind w:left="720"/>
      <w:contextualSpacing/>
    </w:pPr>
  </w:style>
  <w:style w:type="character" w:styleId="CommentReference">
    <w:name w:val="annotation reference"/>
    <w:basedOn w:val="DefaultParagraphFont"/>
    <w:uiPriority w:val="99"/>
    <w:semiHidden/>
    <w:unhideWhenUsed/>
    <w:rsid w:val="004B1A27"/>
    <w:rPr>
      <w:sz w:val="16"/>
      <w:szCs w:val="16"/>
    </w:rPr>
  </w:style>
  <w:style w:type="paragraph" w:styleId="CommentText">
    <w:name w:val="annotation text"/>
    <w:basedOn w:val="Normal"/>
    <w:link w:val="CommentTextChar"/>
    <w:uiPriority w:val="99"/>
    <w:semiHidden/>
    <w:unhideWhenUsed/>
    <w:rsid w:val="004B1A27"/>
    <w:pPr>
      <w:spacing w:line="240" w:lineRule="auto"/>
    </w:pPr>
    <w:rPr>
      <w:sz w:val="20"/>
    </w:rPr>
  </w:style>
  <w:style w:type="character" w:customStyle="1" w:styleId="CommentTextChar">
    <w:name w:val="Comment Text Char"/>
    <w:basedOn w:val="DefaultParagraphFont"/>
    <w:link w:val="CommentText"/>
    <w:uiPriority w:val="99"/>
    <w:semiHidden/>
    <w:rsid w:val="004B1A27"/>
  </w:style>
  <w:style w:type="paragraph" w:styleId="CommentSubject">
    <w:name w:val="annotation subject"/>
    <w:basedOn w:val="CommentText"/>
    <w:next w:val="CommentText"/>
    <w:link w:val="CommentSubjectChar"/>
    <w:uiPriority w:val="99"/>
    <w:semiHidden/>
    <w:unhideWhenUsed/>
    <w:rsid w:val="004B1A27"/>
    <w:rPr>
      <w:b/>
      <w:bCs/>
    </w:rPr>
  </w:style>
  <w:style w:type="character" w:customStyle="1" w:styleId="CommentSubjectChar">
    <w:name w:val="Comment Subject Char"/>
    <w:basedOn w:val="CommentTextChar"/>
    <w:link w:val="CommentSubject"/>
    <w:uiPriority w:val="99"/>
    <w:semiHidden/>
    <w:rsid w:val="004B1A27"/>
    <w:rPr>
      <w:b/>
      <w:bCs/>
    </w:rPr>
  </w:style>
  <w:style w:type="character" w:styleId="Hyperlink">
    <w:name w:val="Hyperlink"/>
    <w:basedOn w:val="DefaultParagraphFont"/>
    <w:uiPriority w:val="99"/>
    <w:unhideWhenUsed/>
    <w:rsid w:val="001F1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1202"/>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4825F9"/>
    <w:pPr>
      <w:ind w:left="720"/>
      <w:contextualSpacing/>
    </w:pPr>
  </w:style>
  <w:style w:type="character" w:styleId="CommentReference">
    <w:name w:val="annotation reference"/>
    <w:basedOn w:val="DefaultParagraphFont"/>
    <w:uiPriority w:val="99"/>
    <w:semiHidden/>
    <w:unhideWhenUsed/>
    <w:rsid w:val="004B1A27"/>
    <w:rPr>
      <w:sz w:val="16"/>
      <w:szCs w:val="16"/>
    </w:rPr>
  </w:style>
  <w:style w:type="paragraph" w:styleId="CommentText">
    <w:name w:val="annotation text"/>
    <w:basedOn w:val="Normal"/>
    <w:link w:val="CommentTextChar"/>
    <w:uiPriority w:val="99"/>
    <w:semiHidden/>
    <w:unhideWhenUsed/>
    <w:rsid w:val="004B1A27"/>
    <w:pPr>
      <w:spacing w:line="240" w:lineRule="auto"/>
    </w:pPr>
    <w:rPr>
      <w:sz w:val="20"/>
    </w:rPr>
  </w:style>
  <w:style w:type="character" w:customStyle="1" w:styleId="CommentTextChar">
    <w:name w:val="Comment Text Char"/>
    <w:basedOn w:val="DefaultParagraphFont"/>
    <w:link w:val="CommentText"/>
    <w:uiPriority w:val="99"/>
    <w:semiHidden/>
    <w:rsid w:val="004B1A27"/>
  </w:style>
  <w:style w:type="paragraph" w:styleId="CommentSubject">
    <w:name w:val="annotation subject"/>
    <w:basedOn w:val="CommentText"/>
    <w:next w:val="CommentText"/>
    <w:link w:val="CommentSubjectChar"/>
    <w:uiPriority w:val="99"/>
    <w:semiHidden/>
    <w:unhideWhenUsed/>
    <w:rsid w:val="004B1A27"/>
    <w:rPr>
      <w:b/>
      <w:bCs/>
    </w:rPr>
  </w:style>
  <w:style w:type="character" w:customStyle="1" w:styleId="CommentSubjectChar">
    <w:name w:val="Comment Subject Char"/>
    <w:basedOn w:val="CommentTextChar"/>
    <w:link w:val="CommentSubject"/>
    <w:uiPriority w:val="99"/>
    <w:semiHidden/>
    <w:rsid w:val="004B1A27"/>
    <w:rPr>
      <w:b/>
      <w:bCs/>
    </w:rPr>
  </w:style>
  <w:style w:type="character" w:styleId="Hyperlink">
    <w:name w:val="Hyperlink"/>
    <w:basedOn w:val="DefaultParagraphFont"/>
    <w:uiPriority w:val="99"/>
    <w:unhideWhenUsed/>
    <w:rsid w:val="001F1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804C-5F2D-4B7B-8B50-7DB9285F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QUACH, Michael</dc:creator>
  <cp:lastModifiedBy>Bedi, Pooja</cp:lastModifiedBy>
  <cp:revision>3</cp:revision>
  <cp:lastPrinted>2018-09-05T02:04:00Z</cp:lastPrinted>
  <dcterms:created xsi:type="dcterms:W3CDTF">2018-09-05T03:58:00Z</dcterms:created>
  <dcterms:modified xsi:type="dcterms:W3CDTF">2018-09-19T06:47:00Z</dcterms:modified>
</cp:coreProperties>
</file>