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32A86644" w14:textId="59B12C03" w:rsidR="00021BD3" w:rsidRDefault="00B2095E" w:rsidP="006D0FE2">
      <w:pPr>
        <w:jc w:val="center"/>
        <w:rPr>
          <w:i/>
          <w:szCs w:val="24"/>
        </w:rPr>
      </w:pPr>
      <w:r w:rsidRPr="00B2095E">
        <w:rPr>
          <w:i/>
          <w:szCs w:val="24"/>
        </w:rPr>
        <w:t>Health Insurance (Repeal and Consequential Amendments) Regulations 2018</w:t>
      </w:r>
    </w:p>
    <w:p w14:paraId="7CF24687" w14:textId="77777777" w:rsidR="00B2095E" w:rsidRPr="003D1C5D" w:rsidRDefault="00B2095E" w:rsidP="006D0FE2">
      <w:pPr>
        <w:jc w:val="center"/>
        <w:rPr>
          <w:szCs w:val="24"/>
        </w:rPr>
      </w:pPr>
    </w:p>
    <w:p w14:paraId="2F1A37C5" w14:textId="5A18BCBD"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06F9D042" w14:textId="77777777" w:rsidR="00A21A3E" w:rsidRPr="00021BD3" w:rsidRDefault="00A21A3E" w:rsidP="000201DC">
      <w:pPr>
        <w:rPr>
          <w:highlight w:val="yellow"/>
        </w:rPr>
      </w:pPr>
    </w:p>
    <w:p w14:paraId="5963A300" w14:textId="77777777" w:rsidR="00B2095E" w:rsidRPr="00F175B6" w:rsidRDefault="00D75A2A" w:rsidP="00D75A2A">
      <w:pPr>
        <w:autoSpaceDE w:val="0"/>
        <w:autoSpaceDN w:val="0"/>
        <w:adjustRightInd w:val="0"/>
        <w:rPr>
          <w:b/>
          <w:szCs w:val="24"/>
        </w:rPr>
      </w:pPr>
      <w:r w:rsidRPr="00F175B6">
        <w:rPr>
          <w:b/>
          <w:szCs w:val="24"/>
        </w:rPr>
        <w:t>Purpose</w:t>
      </w:r>
    </w:p>
    <w:p w14:paraId="338CDEBD" w14:textId="77777777" w:rsidR="002E4139" w:rsidRDefault="002E4139" w:rsidP="002E4139">
      <w:pPr>
        <w:rPr>
          <w:szCs w:val="24"/>
        </w:rPr>
      </w:pPr>
      <w:r>
        <w:rPr>
          <w:szCs w:val="24"/>
        </w:rPr>
        <w:t xml:space="preserve">From 1 October 2018 the </w:t>
      </w:r>
      <w:r w:rsidRPr="00F175B6">
        <w:rPr>
          <w:i/>
          <w:szCs w:val="24"/>
        </w:rPr>
        <w:t xml:space="preserve">Health Insurance Regulations </w:t>
      </w:r>
      <w:r w:rsidRPr="00F93DFD">
        <w:rPr>
          <w:i/>
          <w:szCs w:val="24"/>
        </w:rPr>
        <w:t>1975</w:t>
      </w:r>
      <w:r>
        <w:rPr>
          <w:i/>
          <w:szCs w:val="24"/>
        </w:rPr>
        <w:t xml:space="preserve"> </w:t>
      </w:r>
      <w:r w:rsidRPr="00F93DFD">
        <w:rPr>
          <w:szCs w:val="24"/>
        </w:rPr>
        <w:t>(the Previous Regulations)</w:t>
      </w:r>
      <w:r>
        <w:rPr>
          <w:i/>
          <w:szCs w:val="24"/>
        </w:rPr>
        <w:t xml:space="preserve"> </w:t>
      </w:r>
      <w:r>
        <w:rPr>
          <w:szCs w:val="24"/>
        </w:rPr>
        <w:t xml:space="preserve">will be repealed and replaced by the </w:t>
      </w:r>
      <w:r w:rsidRPr="00F175B6">
        <w:rPr>
          <w:i/>
          <w:szCs w:val="24"/>
        </w:rPr>
        <w:t xml:space="preserve">Health Insurance Regulations 2018 </w:t>
      </w:r>
      <w:r w:rsidRPr="00F175B6">
        <w:rPr>
          <w:szCs w:val="24"/>
        </w:rPr>
        <w:t xml:space="preserve">(the </w:t>
      </w:r>
      <w:r>
        <w:rPr>
          <w:szCs w:val="24"/>
        </w:rPr>
        <w:t>Principal</w:t>
      </w:r>
      <w:r w:rsidRPr="00F93DFD">
        <w:rPr>
          <w:szCs w:val="24"/>
        </w:rPr>
        <w:t xml:space="preserve"> Regulations</w:t>
      </w:r>
      <w:r w:rsidRPr="00F175B6">
        <w:rPr>
          <w:szCs w:val="24"/>
        </w:rPr>
        <w:t xml:space="preserve">). The </w:t>
      </w:r>
      <w:r>
        <w:rPr>
          <w:szCs w:val="24"/>
        </w:rPr>
        <w:t xml:space="preserve">Previous Regulations </w:t>
      </w:r>
      <w:r w:rsidRPr="00F175B6">
        <w:rPr>
          <w:szCs w:val="24"/>
        </w:rPr>
        <w:t xml:space="preserve">have been remade </w:t>
      </w:r>
      <w:r>
        <w:rPr>
          <w:szCs w:val="24"/>
        </w:rPr>
        <w:t xml:space="preserve">due to the </w:t>
      </w:r>
      <w:proofErr w:type="spellStart"/>
      <w:r>
        <w:rPr>
          <w:szCs w:val="24"/>
        </w:rPr>
        <w:t>sunsetting</w:t>
      </w:r>
      <w:proofErr w:type="spellEnd"/>
      <w:r>
        <w:rPr>
          <w:szCs w:val="24"/>
        </w:rPr>
        <w:t xml:space="preserve"> provisions in </w:t>
      </w:r>
      <w:r w:rsidRPr="00F175B6">
        <w:rPr>
          <w:szCs w:val="24"/>
        </w:rPr>
        <w:t xml:space="preserve">section 50 of the </w:t>
      </w:r>
      <w:r w:rsidRPr="00F175B6">
        <w:rPr>
          <w:i/>
          <w:szCs w:val="24"/>
        </w:rPr>
        <w:t>Legislation Act 2003</w:t>
      </w:r>
      <w:r>
        <w:rPr>
          <w:szCs w:val="24"/>
        </w:rPr>
        <w:t>.</w:t>
      </w:r>
    </w:p>
    <w:p w14:paraId="3C519A84" w14:textId="745FDE72" w:rsidR="002E4139" w:rsidRDefault="00144BB7" w:rsidP="00857381">
      <w:pPr>
        <w:tabs>
          <w:tab w:val="left" w:pos="1553"/>
        </w:tabs>
        <w:rPr>
          <w:szCs w:val="24"/>
        </w:rPr>
      </w:pPr>
      <w:r>
        <w:rPr>
          <w:szCs w:val="24"/>
        </w:rPr>
        <w:tab/>
      </w:r>
    </w:p>
    <w:p w14:paraId="534508D8" w14:textId="293C2DD7" w:rsidR="002E4139" w:rsidRPr="008B3BFD" w:rsidRDefault="002E4139" w:rsidP="00B2095E">
      <w:pPr>
        <w:rPr>
          <w:szCs w:val="24"/>
        </w:rPr>
      </w:pPr>
      <w:r>
        <w:rPr>
          <w:szCs w:val="24"/>
        </w:rPr>
        <w:t xml:space="preserve">A number of consequential amendments are required to other instruments to reflect changes in the </w:t>
      </w:r>
      <w:r w:rsidRPr="002E4139">
        <w:rPr>
          <w:szCs w:val="24"/>
        </w:rPr>
        <w:t>Principal Regulations</w:t>
      </w:r>
      <w:r>
        <w:rPr>
          <w:szCs w:val="24"/>
        </w:rPr>
        <w:t xml:space="preserve">. These amendments have been made through the </w:t>
      </w:r>
      <w:r w:rsidRPr="00F175B6">
        <w:rPr>
          <w:i/>
          <w:szCs w:val="24"/>
        </w:rPr>
        <w:t xml:space="preserve">Health Insurance (Repeal and Consequential Amendments) Regulations 2018 </w:t>
      </w:r>
      <w:r w:rsidRPr="00F175B6">
        <w:rPr>
          <w:szCs w:val="24"/>
        </w:rPr>
        <w:t xml:space="preserve">(the </w:t>
      </w:r>
      <w:r>
        <w:rPr>
          <w:szCs w:val="24"/>
        </w:rPr>
        <w:t xml:space="preserve">Consequential </w:t>
      </w:r>
      <w:r w:rsidRPr="00F175B6">
        <w:rPr>
          <w:szCs w:val="24"/>
        </w:rPr>
        <w:t>Regulations)</w:t>
      </w:r>
      <w:r>
        <w:rPr>
          <w:szCs w:val="24"/>
        </w:rPr>
        <w:t>,</w:t>
      </w:r>
      <w:r w:rsidRPr="00F175B6">
        <w:rPr>
          <w:szCs w:val="24"/>
        </w:rPr>
        <w:t xml:space="preserve"> </w:t>
      </w:r>
      <w:r>
        <w:rPr>
          <w:szCs w:val="24"/>
        </w:rPr>
        <w:t>and include:</w:t>
      </w:r>
    </w:p>
    <w:p w14:paraId="1878212B" w14:textId="3B810554" w:rsidR="002E4139" w:rsidRPr="00857381" w:rsidRDefault="002E4139" w:rsidP="002E4139">
      <w:pPr>
        <w:pStyle w:val="ListNumber"/>
        <w:numPr>
          <w:ilvl w:val="0"/>
          <w:numId w:val="22"/>
        </w:numPr>
        <w:spacing w:after="0" w:line="240" w:lineRule="auto"/>
        <w:rPr>
          <w:rFonts w:ascii="Times New Roman" w:hAnsi="Times New Roman"/>
          <w:sz w:val="24"/>
          <w:szCs w:val="24"/>
        </w:rPr>
      </w:pPr>
      <w:r>
        <w:rPr>
          <w:rFonts w:ascii="Times New Roman" w:hAnsi="Times New Roman"/>
          <w:sz w:val="24"/>
          <w:szCs w:val="24"/>
        </w:rPr>
        <w:t>consequential amendments to reflect the change in the name and the reordering of sections;</w:t>
      </w:r>
    </w:p>
    <w:p w14:paraId="4579FDDA" w14:textId="01C6559B" w:rsidR="002E4139" w:rsidRDefault="002E4139" w:rsidP="002E4139">
      <w:pPr>
        <w:pStyle w:val="ListNumber"/>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the repeal of instruments, where the purpose of that instrument has been incorporated into the </w:t>
      </w:r>
      <w:r w:rsidRPr="002E4139">
        <w:rPr>
          <w:rFonts w:ascii="Times New Roman" w:hAnsi="Times New Roman"/>
          <w:sz w:val="24"/>
          <w:szCs w:val="24"/>
        </w:rPr>
        <w:t>Principal Regulations</w:t>
      </w:r>
      <w:r>
        <w:rPr>
          <w:rFonts w:ascii="Times New Roman" w:hAnsi="Times New Roman"/>
          <w:sz w:val="24"/>
          <w:szCs w:val="24"/>
        </w:rPr>
        <w:t>; and</w:t>
      </w:r>
    </w:p>
    <w:p w14:paraId="62DBEBFE" w14:textId="2FEF0AFE" w:rsidR="002E4139" w:rsidRDefault="002E4139" w:rsidP="008B3BFD">
      <w:pPr>
        <w:pStyle w:val="ListNumber"/>
        <w:numPr>
          <w:ilvl w:val="0"/>
          <w:numId w:val="22"/>
        </w:num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w:t>
      </w:r>
      <w:r w:rsidR="00175D33">
        <w:rPr>
          <w:rFonts w:ascii="Times New Roman" w:hAnsi="Times New Roman"/>
          <w:sz w:val="24"/>
          <w:szCs w:val="24"/>
        </w:rPr>
        <w:t>removal</w:t>
      </w:r>
      <w:r>
        <w:rPr>
          <w:rFonts w:ascii="Times New Roman" w:hAnsi="Times New Roman"/>
          <w:sz w:val="24"/>
          <w:szCs w:val="24"/>
        </w:rPr>
        <w:t xml:space="preserve"> of clauses which are duplicated in the Principal Regulations.</w:t>
      </w:r>
    </w:p>
    <w:p w14:paraId="5BF7C1FF" w14:textId="318C1DD3" w:rsidR="00393A01" w:rsidRPr="00F175B6" w:rsidRDefault="00B2095E" w:rsidP="00794C65">
      <w:r w:rsidRPr="00F175B6">
        <w:t xml:space="preserve"> </w:t>
      </w:r>
      <w:r w:rsidR="00F87011" w:rsidRPr="00F175B6">
        <w:t xml:space="preserve"> </w:t>
      </w:r>
      <w:r w:rsidR="00C64F6E" w:rsidRPr="00F175B6">
        <w:t xml:space="preserve"> </w:t>
      </w:r>
      <w:r w:rsidR="00727CA5" w:rsidRPr="00F175B6">
        <w:t xml:space="preserve">  </w:t>
      </w:r>
    </w:p>
    <w:p w14:paraId="0150C8BA" w14:textId="46D02361" w:rsidR="006F1D53" w:rsidRPr="00F175B6" w:rsidRDefault="00D75A2A" w:rsidP="00D75A2A">
      <w:pPr>
        <w:autoSpaceDE w:val="0"/>
        <w:autoSpaceDN w:val="0"/>
        <w:adjustRightInd w:val="0"/>
        <w:rPr>
          <w:b/>
          <w:szCs w:val="24"/>
        </w:rPr>
      </w:pPr>
      <w:r w:rsidRPr="00F175B6">
        <w:rPr>
          <w:b/>
          <w:szCs w:val="24"/>
        </w:rPr>
        <w:t>Consultation</w:t>
      </w:r>
    </w:p>
    <w:p w14:paraId="3E999F4C" w14:textId="3FB668C3" w:rsidR="00C64F6E" w:rsidRPr="00F175B6" w:rsidRDefault="00794C65" w:rsidP="00C64F6E">
      <w:pPr>
        <w:rPr>
          <w:szCs w:val="24"/>
        </w:rPr>
      </w:pPr>
      <w:r w:rsidRPr="00F175B6">
        <w:rPr>
          <w:szCs w:val="24"/>
        </w:rPr>
        <w:t xml:space="preserve">No consultation was undertaken on the making of this instrument as the </w:t>
      </w:r>
      <w:proofErr w:type="gramStart"/>
      <w:r w:rsidRPr="00F175B6">
        <w:rPr>
          <w:szCs w:val="24"/>
        </w:rPr>
        <w:t>nature of these changes are</w:t>
      </w:r>
      <w:proofErr w:type="gramEnd"/>
      <w:r w:rsidRPr="00F175B6">
        <w:rPr>
          <w:szCs w:val="24"/>
        </w:rPr>
        <w:t xml:space="preserve"> consequential.</w:t>
      </w:r>
      <w:r w:rsidR="00C64F6E" w:rsidRPr="00F175B6">
        <w:rPr>
          <w:szCs w:val="24"/>
        </w:rPr>
        <w:t xml:space="preserve"> </w:t>
      </w:r>
    </w:p>
    <w:p w14:paraId="01E5D8C4" w14:textId="77777777" w:rsidR="00A708AB" w:rsidRPr="00F175B6" w:rsidRDefault="00A708AB" w:rsidP="00D21B64">
      <w:pPr>
        <w:rPr>
          <w:rFonts w:cs="Arial"/>
          <w:color w:val="000000" w:themeColor="text1"/>
          <w:szCs w:val="22"/>
        </w:rPr>
      </w:pPr>
    </w:p>
    <w:p w14:paraId="2F1A37F7" w14:textId="318A777D" w:rsidR="005F04DC" w:rsidRPr="00F175B6" w:rsidRDefault="005F04DC" w:rsidP="005F04DC">
      <w:pPr>
        <w:rPr>
          <w:szCs w:val="24"/>
        </w:rPr>
      </w:pPr>
      <w:r w:rsidRPr="00F175B6">
        <w:rPr>
          <w:szCs w:val="24"/>
        </w:rPr>
        <w:t xml:space="preserve">Details of the </w:t>
      </w:r>
      <w:r w:rsidR="002E4139" w:rsidRPr="002E4139">
        <w:rPr>
          <w:szCs w:val="24"/>
        </w:rPr>
        <w:t xml:space="preserve">Consequential </w:t>
      </w:r>
      <w:r w:rsidR="00D21B64" w:rsidRPr="00F175B6">
        <w:rPr>
          <w:szCs w:val="24"/>
        </w:rPr>
        <w:t>R</w:t>
      </w:r>
      <w:r w:rsidRPr="00F175B6">
        <w:rPr>
          <w:szCs w:val="24"/>
        </w:rPr>
        <w:t>egulation</w:t>
      </w:r>
      <w:r w:rsidR="0047307F" w:rsidRPr="00F175B6">
        <w:rPr>
          <w:szCs w:val="24"/>
        </w:rPr>
        <w:t>s</w:t>
      </w:r>
      <w:r w:rsidRPr="00F175B6">
        <w:rPr>
          <w:i/>
          <w:szCs w:val="24"/>
        </w:rPr>
        <w:t xml:space="preserve"> </w:t>
      </w:r>
      <w:r w:rsidRPr="00F175B6">
        <w:rPr>
          <w:szCs w:val="24"/>
        </w:rPr>
        <w:t xml:space="preserve">are set out in the </w:t>
      </w:r>
      <w:r w:rsidRPr="00F175B6">
        <w:rPr>
          <w:szCs w:val="24"/>
          <w:u w:val="single"/>
        </w:rPr>
        <w:t>Attachment</w:t>
      </w:r>
      <w:r w:rsidRPr="00F175B6">
        <w:rPr>
          <w:szCs w:val="24"/>
        </w:rPr>
        <w:t>.</w:t>
      </w:r>
    </w:p>
    <w:p w14:paraId="2F1A37F8" w14:textId="77777777" w:rsidR="005F04DC" w:rsidRPr="00F175B6" w:rsidRDefault="005F04DC" w:rsidP="005F04DC">
      <w:pPr>
        <w:rPr>
          <w:szCs w:val="24"/>
        </w:rPr>
      </w:pPr>
    </w:p>
    <w:p w14:paraId="2F1A37F9" w14:textId="67D58DCA" w:rsidR="005F04DC" w:rsidRPr="00F175B6" w:rsidRDefault="005F04DC" w:rsidP="005F04DC">
      <w:pPr>
        <w:rPr>
          <w:szCs w:val="24"/>
        </w:rPr>
      </w:pPr>
      <w:r w:rsidRPr="00F175B6">
        <w:rPr>
          <w:szCs w:val="24"/>
        </w:rPr>
        <w:t xml:space="preserve">The Act specifies no conditions which need to be met before the power to make the </w:t>
      </w:r>
      <w:r w:rsidR="002E4139" w:rsidRPr="002E4139">
        <w:rPr>
          <w:szCs w:val="24"/>
        </w:rPr>
        <w:t xml:space="preserve">Consequential </w:t>
      </w:r>
      <w:r w:rsidR="004322C0" w:rsidRPr="00F175B6">
        <w:rPr>
          <w:szCs w:val="24"/>
        </w:rPr>
        <w:t>R</w:t>
      </w:r>
      <w:r w:rsidRPr="00F175B6">
        <w:rPr>
          <w:szCs w:val="24"/>
        </w:rPr>
        <w:t>egulation</w:t>
      </w:r>
      <w:r w:rsidR="004B1943" w:rsidRPr="00F175B6">
        <w:rPr>
          <w:szCs w:val="24"/>
        </w:rPr>
        <w:t>s</w:t>
      </w:r>
      <w:r w:rsidRPr="00F175B6">
        <w:rPr>
          <w:szCs w:val="24"/>
        </w:rPr>
        <w:t xml:space="preserve"> may be exercised.  </w:t>
      </w:r>
    </w:p>
    <w:p w14:paraId="2F1A37FA" w14:textId="77777777" w:rsidR="005F04DC" w:rsidRPr="00F175B6" w:rsidRDefault="005F04DC" w:rsidP="005F04DC">
      <w:pPr>
        <w:rPr>
          <w:szCs w:val="24"/>
        </w:rPr>
      </w:pPr>
    </w:p>
    <w:p w14:paraId="2F1A37FB" w14:textId="59BAE2A9" w:rsidR="00242079" w:rsidRPr="00F175B6" w:rsidRDefault="00254E64" w:rsidP="00B3796F">
      <w:r w:rsidRPr="00F175B6">
        <w:t xml:space="preserve">The </w:t>
      </w:r>
      <w:r w:rsidR="002E4139" w:rsidRPr="002E4139">
        <w:t xml:space="preserve">Consequential </w:t>
      </w:r>
      <w:r w:rsidRPr="00F175B6">
        <w:t>Regulation</w:t>
      </w:r>
      <w:r w:rsidR="004B1943" w:rsidRPr="00F175B6">
        <w:t>s</w:t>
      </w:r>
      <w:r w:rsidRPr="00F175B6">
        <w:t xml:space="preserve"> </w:t>
      </w:r>
      <w:r w:rsidR="004B1943" w:rsidRPr="00F175B6">
        <w:t>are</w:t>
      </w:r>
      <w:r w:rsidRPr="00F175B6">
        <w:t xml:space="preserve"> a legislative inst</w:t>
      </w:r>
      <w:r w:rsidR="000962CE" w:rsidRPr="00F175B6">
        <w:t xml:space="preserve">rument for the purposes of the </w:t>
      </w:r>
      <w:r w:rsidRPr="00F175B6">
        <w:rPr>
          <w:i/>
          <w:iCs/>
        </w:rPr>
        <w:t>Legislation Act 2003</w:t>
      </w:r>
      <w:r w:rsidRPr="00F175B6">
        <w:t>.</w:t>
      </w:r>
    </w:p>
    <w:p w14:paraId="2F1A37FC" w14:textId="77777777" w:rsidR="00254E64" w:rsidRPr="00F175B6" w:rsidRDefault="00254E64" w:rsidP="00B3796F">
      <w:pPr>
        <w:rPr>
          <w:iCs/>
          <w:szCs w:val="24"/>
        </w:rPr>
      </w:pPr>
    </w:p>
    <w:p w14:paraId="2F1A37FE" w14:textId="075485CC" w:rsidR="00AB5F4D" w:rsidRPr="00F175B6" w:rsidRDefault="002B2E14" w:rsidP="0099448D">
      <w:pPr>
        <w:rPr>
          <w:szCs w:val="24"/>
          <w:u w:val="single"/>
        </w:rPr>
      </w:pPr>
      <w:r w:rsidRPr="00F175B6">
        <w:rPr>
          <w:szCs w:val="24"/>
        </w:rPr>
        <w:t>Th</w:t>
      </w:r>
      <w:r w:rsidR="008C4CAD" w:rsidRPr="00F175B6">
        <w:rPr>
          <w:szCs w:val="24"/>
        </w:rPr>
        <w:t xml:space="preserve">e </w:t>
      </w:r>
      <w:r w:rsidR="002E4139" w:rsidRPr="002E4139">
        <w:rPr>
          <w:szCs w:val="24"/>
        </w:rPr>
        <w:t xml:space="preserve">Consequential </w:t>
      </w:r>
      <w:r w:rsidR="008C4CAD" w:rsidRPr="00F175B6">
        <w:rPr>
          <w:szCs w:val="24"/>
        </w:rPr>
        <w:t xml:space="preserve">Regulations commence on 1 October </w:t>
      </w:r>
      <w:r w:rsidRPr="00F175B6">
        <w:rPr>
          <w:szCs w:val="24"/>
        </w:rPr>
        <w:t>2018.</w:t>
      </w:r>
      <w:r w:rsidR="00054C12" w:rsidRPr="00F175B6">
        <w:rPr>
          <w:szCs w:val="24"/>
        </w:rPr>
        <w:t xml:space="preserve"> </w:t>
      </w:r>
    </w:p>
    <w:p w14:paraId="2F1A37FF" w14:textId="77777777" w:rsidR="005F04DC" w:rsidRPr="00F175B6" w:rsidRDefault="005F04DC" w:rsidP="005F04DC">
      <w:pPr>
        <w:pStyle w:val="Subtitle"/>
        <w:rPr>
          <w:szCs w:val="24"/>
          <w:u w:val="none"/>
        </w:rPr>
      </w:pPr>
    </w:p>
    <w:p w14:paraId="2F1A3800" w14:textId="24B56ECB" w:rsidR="005F04DC" w:rsidRPr="008C4CAD" w:rsidRDefault="005F04DC" w:rsidP="005F04DC">
      <w:pPr>
        <w:tabs>
          <w:tab w:val="left" w:pos="4536"/>
          <w:tab w:val="left" w:pos="5670"/>
        </w:tabs>
        <w:ind w:left="284"/>
        <w:jc w:val="center"/>
        <w:rPr>
          <w:szCs w:val="24"/>
        </w:rPr>
      </w:pPr>
      <w:r w:rsidRPr="00F175B6">
        <w:rPr>
          <w:szCs w:val="24"/>
        </w:rPr>
        <w:tab/>
      </w:r>
      <w:r w:rsidRPr="00F175B6">
        <w:rPr>
          <w:szCs w:val="24"/>
          <w:u w:val="single"/>
        </w:rPr>
        <w:t>Authority</w:t>
      </w:r>
      <w:r w:rsidRPr="00F175B6">
        <w:rPr>
          <w:szCs w:val="24"/>
        </w:rPr>
        <w:t xml:space="preserve">:     </w:t>
      </w:r>
      <w:r w:rsidR="00C252E5" w:rsidRPr="00F175B6">
        <w:rPr>
          <w:szCs w:val="24"/>
        </w:rPr>
        <w:t xml:space="preserve">    </w:t>
      </w:r>
      <w:r w:rsidRPr="00F175B6">
        <w:rPr>
          <w:szCs w:val="24"/>
        </w:rPr>
        <w:t>Subsection 133(1) of the</w:t>
      </w:r>
      <w:r w:rsidRPr="008C4CAD">
        <w:rPr>
          <w:szCs w:val="24"/>
        </w:rPr>
        <w:t xml:space="preserve"> </w:t>
      </w:r>
    </w:p>
    <w:p w14:paraId="2F1A3802" w14:textId="2BA78061" w:rsidR="003216B7" w:rsidRPr="00794C65" w:rsidRDefault="005F04DC" w:rsidP="004C3E41">
      <w:pPr>
        <w:tabs>
          <w:tab w:val="left" w:pos="4536"/>
        </w:tabs>
        <w:ind w:left="284"/>
        <w:jc w:val="center"/>
        <w:sectPr w:rsidR="003216B7" w:rsidRPr="00794C65"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8C4CAD">
        <w:rPr>
          <w:i/>
          <w:szCs w:val="24"/>
        </w:rPr>
        <w:t xml:space="preserve">                                                                </w:t>
      </w:r>
      <w:r w:rsidR="00C252E5" w:rsidRPr="008C4CAD">
        <w:rPr>
          <w:i/>
          <w:szCs w:val="24"/>
        </w:rPr>
        <w:t xml:space="preserve">                            </w:t>
      </w:r>
      <w:r w:rsidR="00142C17" w:rsidRPr="008C4CAD">
        <w:rPr>
          <w:i/>
          <w:szCs w:val="24"/>
        </w:rPr>
        <w:t xml:space="preserve">       </w:t>
      </w:r>
      <w:r w:rsidRPr="008C4CAD">
        <w:rPr>
          <w:i/>
          <w:szCs w:val="24"/>
        </w:rPr>
        <w:t>Health Insurance Act 1973</w:t>
      </w:r>
      <w:r w:rsidR="004C3E41" w:rsidRPr="00794C65">
        <w:rPr>
          <w:szCs w:val="24"/>
        </w:rPr>
        <w:t xml:space="preserve"> </w:t>
      </w:r>
    </w:p>
    <w:p w14:paraId="2F1A3803" w14:textId="77777777" w:rsidR="005F04DC" w:rsidRPr="008C4CAD" w:rsidRDefault="005F04DC" w:rsidP="00BE6776">
      <w:pPr>
        <w:pStyle w:val="Subtitle"/>
      </w:pPr>
    </w:p>
    <w:p w14:paraId="07BA2606" w14:textId="77777777" w:rsidR="008D51AE" w:rsidRPr="008C4CAD" w:rsidRDefault="008D51AE" w:rsidP="008D51AE">
      <w:pPr>
        <w:ind w:left="284"/>
        <w:jc w:val="right"/>
        <w:rPr>
          <w:b/>
          <w:szCs w:val="24"/>
        </w:rPr>
      </w:pPr>
      <w:r w:rsidRPr="008C4CAD">
        <w:rPr>
          <w:b/>
          <w:szCs w:val="24"/>
        </w:rPr>
        <w:t xml:space="preserve">ATTACHMENT </w:t>
      </w:r>
    </w:p>
    <w:p w14:paraId="0B517765" w14:textId="77777777" w:rsidR="008D51AE" w:rsidRPr="008C4CAD" w:rsidRDefault="008D51AE" w:rsidP="008D51AE">
      <w:pPr>
        <w:ind w:left="284"/>
        <w:jc w:val="right"/>
        <w:rPr>
          <w:b/>
          <w:szCs w:val="24"/>
        </w:rPr>
      </w:pPr>
    </w:p>
    <w:p w14:paraId="4F5E0E8B" w14:textId="00029179" w:rsidR="008D51AE" w:rsidRPr="008C4CAD" w:rsidRDefault="00CF35C8" w:rsidP="008D51AE">
      <w:pPr>
        <w:rPr>
          <w:b/>
          <w:szCs w:val="24"/>
        </w:rPr>
      </w:pPr>
      <w:r w:rsidRPr="008C4CAD">
        <w:rPr>
          <w:b/>
          <w:szCs w:val="24"/>
        </w:rPr>
        <w:t>Details of the</w:t>
      </w:r>
      <w:r w:rsidR="008D51AE" w:rsidRPr="008C4CAD">
        <w:rPr>
          <w:b/>
          <w:szCs w:val="24"/>
        </w:rPr>
        <w:t xml:space="preserve"> </w:t>
      </w:r>
      <w:r w:rsidR="008C4CAD" w:rsidRPr="006B1A2D">
        <w:rPr>
          <w:b/>
          <w:i/>
          <w:szCs w:val="24"/>
        </w:rPr>
        <w:t>Health Insurance (Repeal and Consequential Amendments) Regulations 2018</w:t>
      </w:r>
    </w:p>
    <w:p w14:paraId="6660D4D1" w14:textId="77777777" w:rsidR="008D51AE" w:rsidRPr="00B2095E" w:rsidRDefault="008D51AE" w:rsidP="008D51AE">
      <w:pPr>
        <w:rPr>
          <w:highlight w:val="yellow"/>
        </w:rPr>
      </w:pPr>
    </w:p>
    <w:p w14:paraId="2BD14C77" w14:textId="77777777" w:rsidR="008D51AE" w:rsidRPr="008C4CAD" w:rsidRDefault="008D51AE" w:rsidP="008D51AE">
      <w:pPr>
        <w:pStyle w:val="Heading1"/>
        <w:tabs>
          <w:tab w:val="left" w:pos="284"/>
        </w:tabs>
        <w:jc w:val="left"/>
        <w:rPr>
          <w:b w:val="0"/>
          <w:szCs w:val="24"/>
        </w:rPr>
      </w:pPr>
      <w:r w:rsidRPr="008C4CAD">
        <w:rPr>
          <w:b w:val="0"/>
          <w:szCs w:val="24"/>
        </w:rPr>
        <w:t>Section 1 – Name</w:t>
      </w:r>
    </w:p>
    <w:p w14:paraId="176F3259" w14:textId="77777777" w:rsidR="008D51AE" w:rsidRPr="008C4CAD" w:rsidRDefault="008D51AE" w:rsidP="008D51AE">
      <w:pPr>
        <w:pStyle w:val="Heading1"/>
        <w:jc w:val="left"/>
        <w:rPr>
          <w:b w:val="0"/>
          <w:sz w:val="16"/>
          <w:szCs w:val="16"/>
          <w:u w:val="none"/>
        </w:rPr>
      </w:pPr>
    </w:p>
    <w:p w14:paraId="1FEB2DE4" w14:textId="07E8E27E" w:rsidR="008D51AE" w:rsidRPr="008C4CAD" w:rsidRDefault="008D51AE" w:rsidP="008D51AE">
      <w:pPr>
        <w:rPr>
          <w:b/>
          <w:i/>
          <w:szCs w:val="24"/>
        </w:rPr>
      </w:pPr>
      <w:r w:rsidRPr="008C4CAD">
        <w:rPr>
          <w:szCs w:val="24"/>
        </w:rPr>
        <w:t>This sectio</w:t>
      </w:r>
      <w:r w:rsidR="00CF35C8" w:rsidRPr="008C4CAD">
        <w:rPr>
          <w:szCs w:val="24"/>
        </w:rPr>
        <w:t xml:space="preserve">n provides for the </w:t>
      </w:r>
      <w:r w:rsidR="00242832" w:rsidRPr="00242832">
        <w:rPr>
          <w:szCs w:val="24"/>
        </w:rPr>
        <w:t xml:space="preserve">Consequential </w:t>
      </w:r>
      <w:r w:rsidRPr="008C4CAD">
        <w:rPr>
          <w:szCs w:val="24"/>
        </w:rPr>
        <w:t>Regulations to be referred to as the</w:t>
      </w:r>
      <w:r w:rsidRPr="008C4CAD">
        <w:rPr>
          <w:i/>
          <w:szCs w:val="24"/>
        </w:rPr>
        <w:t xml:space="preserve"> </w:t>
      </w:r>
      <w:r w:rsidR="008C4CAD" w:rsidRPr="008C4CAD">
        <w:rPr>
          <w:i/>
          <w:szCs w:val="24"/>
        </w:rPr>
        <w:t>Health Insurance (Repeal and Consequential Amendments) Regulations 2018</w:t>
      </w:r>
      <w:r w:rsidRPr="008C4CAD">
        <w:rPr>
          <w:i/>
          <w:szCs w:val="24"/>
        </w:rPr>
        <w:t>.</w:t>
      </w:r>
    </w:p>
    <w:p w14:paraId="1C4C4817" w14:textId="77777777" w:rsidR="008D51AE" w:rsidRPr="00B2095E" w:rsidRDefault="008D51AE" w:rsidP="008D51AE">
      <w:pPr>
        <w:rPr>
          <w:b/>
          <w:szCs w:val="24"/>
          <w:highlight w:val="yellow"/>
        </w:rPr>
      </w:pPr>
    </w:p>
    <w:p w14:paraId="3576600A" w14:textId="77777777" w:rsidR="008D51AE" w:rsidRPr="008C4CAD" w:rsidRDefault="008D51AE" w:rsidP="008D51AE">
      <w:pPr>
        <w:pStyle w:val="BodyText"/>
        <w:rPr>
          <w:b w:val="0"/>
          <w:szCs w:val="24"/>
          <w:u w:val="single"/>
        </w:rPr>
      </w:pPr>
      <w:r w:rsidRPr="008C4CAD">
        <w:rPr>
          <w:b w:val="0"/>
          <w:szCs w:val="24"/>
          <w:u w:val="single"/>
        </w:rPr>
        <w:t xml:space="preserve">Section 2 – Commencement </w:t>
      </w:r>
    </w:p>
    <w:p w14:paraId="194F36A1" w14:textId="77777777" w:rsidR="008D51AE" w:rsidRPr="008C4CAD" w:rsidRDefault="008D51AE" w:rsidP="008D51AE">
      <w:pPr>
        <w:pStyle w:val="BodyText"/>
        <w:rPr>
          <w:b w:val="0"/>
          <w:sz w:val="20"/>
        </w:rPr>
      </w:pPr>
    </w:p>
    <w:p w14:paraId="60B4ECB6" w14:textId="1254EED2" w:rsidR="00651925" w:rsidRPr="00B2095E" w:rsidRDefault="00CF35C8" w:rsidP="00651925">
      <w:pPr>
        <w:rPr>
          <w:szCs w:val="24"/>
          <w:highlight w:val="yellow"/>
        </w:rPr>
      </w:pPr>
      <w:r w:rsidRPr="008C4CAD">
        <w:rPr>
          <w:szCs w:val="24"/>
        </w:rPr>
        <w:t xml:space="preserve">This section </w:t>
      </w:r>
      <w:r w:rsidR="008D51AE" w:rsidRPr="008C4CAD">
        <w:rPr>
          <w:szCs w:val="24"/>
        </w:rPr>
        <w:t>provide</w:t>
      </w:r>
      <w:r w:rsidRPr="008C4CAD">
        <w:rPr>
          <w:szCs w:val="24"/>
        </w:rPr>
        <w:t>s</w:t>
      </w:r>
      <w:r w:rsidR="00E00D7F" w:rsidRPr="008C4CAD">
        <w:rPr>
          <w:szCs w:val="24"/>
        </w:rPr>
        <w:t xml:space="preserve"> that</w:t>
      </w:r>
      <w:r w:rsidR="008D51AE" w:rsidRPr="008C4CAD">
        <w:rPr>
          <w:szCs w:val="24"/>
        </w:rPr>
        <w:t xml:space="preserve"> </w:t>
      </w:r>
      <w:r w:rsidR="002B2E14" w:rsidRPr="008C4CAD">
        <w:rPr>
          <w:szCs w:val="24"/>
        </w:rPr>
        <w:t xml:space="preserve">the </w:t>
      </w:r>
      <w:r w:rsidR="00242832" w:rsidRPr="00242832">
        <w:rPr>
          <w:szCs w:val="24"/>
        </w:rPr>
        <w:t xml:space="preserve">Consequential </w:t>
      </w:r>
      <w:r w:rsidR="002B2E14" w:rsidRPr="008C4CAD">
        <w:rPr>
          <w:szCs w:val="24"/>
        </w:rPr>
        <w:t>Regulations commence</w:t>
      </w:r>
      <w:r w:rsidR="008C4CAD" w:rsidRPr="008C4CAD">
        <w:rPr>
          <w:szCs w:val="24"/>
        </w:rPr>
        <w:t xml:space="preserve"> on 1 October</w:t>
      </w:r>
      <w:r w:rsidR="00F708B1" w:rsidRPr="008C4CAD">
        <w:rPr>
          <w:szCs w:val="24"/>
        </w:rPr>
        <w:t xml:space="preserve"> 2018.</w:t>
      </w:r>
      <w:r w:rsidR="00F708B1" w:rsidRPr="00B2095E">
        <w:rPr>
          <w:szCs w:val="24"/>
          <w:highlight w:val="yellow"/>
        </w:rPr>
        <w:br/>
      </w:r>
    </w:p>
    <w:p w14:paraId="4706FB42" w14:textId="77777777" w:rsidR="008D51AE" w:rsidRPr="008C4CAD" w:rsidRDefault="008D51AE" w:rsidP="008D51AE">
      <w:pPr>
        <w:pStyle w:val="BodyText"/>
        <w:rPr>
          <w:b w:val="0"/>
          <w:szCs w:val="24"/>
          <w:u w:val="single"/>
        </w:rPr>
      </w:pPr>
      <w:r w:rsidRPr="008C4CAD">
        <w:rPr>
          <w:b w:val="0"/>
          <w:szCs w:val="24"/>
          <w:u w:val="single"/>
        </w:rPr>
        <w:t xml:space="preserve">Section 3 – Authority  </w:t>
      </w:r>
    </w:p>
    <w:p w14:paraId="71E1F175" w14:textId="77777777" w:rsidR="008D51AE" w:rsidRPr="008C4CAD" w:rsidRDefault="008D51AE" w:rsidP="008D51AE">
      <w:pPr>
        <w:pStyle w:val="BodyText"/>
        <w:rPr>
          <w:b w:val="0"/>
          <w:sz w:val="20"/>
        </w:rPr>
      </w:pPr>
    </w:p>
    <w:p w14:paraId="03F91795" w14:textId="7AF93A82" w:rsidR="008D51AE" w:rsidRPr="008C4CAD" w:rsidRDefault="008D51AE" w:rsidP="008D51AE">
      <w:pPr>
        <w:pStyle w:val="BodyText"/>
        <w:ind w:right="-483"/>
        <w:rPr>
          <w:b w:val="0"/>
          <w:szCs w:val="24"/>
        </w:rPr>
      </w:pPr>
      <w:r w:rsidRPr="008C4CAD">
        <w:rPr>
          <w:b w:val="0"/>
        </w:rPr>
        <w:t>This section</w:t>
      </w:r>
      <w:r w:rsidR="00CF35C8" w:rsidRPr="008C4CAD">
        <w:rPr>
          <w:b w:val="0"/>
        </w:rPr>
        <w:t xml:space="preserve"> provides that the </w:t>
      </w:r>
      <w:r w:rsidR="00242832" w:rsidRPr="00242832">
        <w:rPr>
          <w:b w:val="0"/>
        </w:rPr>
        <w:t xml:space="preserve">Consequential </w:t>
      </w:r>
      <w:r w:rsidRPr="008C4CAD">
        <w:rPr>
          <w:b w:val="0"/>
        </w:rPr>
        <w:t xml:space="preserve">Regulations are made under the </w:t>
      </w:r>
      <w:r w:rsidRPr="008C4CAD">
        <w:rPr>
          <w:b w:val="0"/>
          <w:i/>
        </w:rPr>
        <w:t>Health Insurance Act 1973</w:t>
      </w:r>
      <w:r w:rsidRPr="008C4CAD">
        <w:rPr>
          <w:b w:val="0"/>
          <w:szCs w:val="24"/>
        </w:rPr>
        <w:t>.</w:t>
      </w:r>
    </w:p>
    <w:p w14:paraId="060A6F32" w14:textId="77777777" w:rsidR="008D51AE" w:rsidRPr="00B2095E" w:rsidRDefault="008D51AE" w:rsidP="008D51AE">
      <w:pPr>
        <w:pStyle w:val="Header"/>
        <w:tabs>
          <w:tab w:val="clear" w:pos="4153"/>
          <w:tab w:val="clear" w:pos="8306"/>
          <w:tab w:val="num" w:pos="1080"/>
        </w:tabs>
        <w:rPr>
          <w:szCs w:val="24"/>
          <w:highlight w:val="yellow"/>
        </w:rPr>
      </w:pPr>
    </w:p>
    <w:p w14:paraId="59589041" w14:textId="77777777" w:rsidR="008D51AE" w:rsidRPr="008C4CAD" w:rsidRDefault="008D51AE" w:rsidP="008D51AE">
      <w:pPr>
        <w:pStyle w:val="Header"/>
        <w:tabs>
          <w:tab w:val="clear" w:pos="4153"/>
          <w:tab w:val="clear" w:pos="8306"/>
          <w:tab w:val="num" w:pos="1080"/>
        </w:tabs>
        <w:rPr>
          <w:szCs w:val="24"/>
          <w:u w:val="single"/>
        </w:rPr>
      </w:pPr>
      <w:r w:rsidRPr="008C4CAD">
        <w:rPr>
          <w:szCs w:val="24"/>
          <w:u w:val="single"/>
        </w:rPr>
        <w:t>Section 4 – Schedule(s)</w:t>
      </w:r>
    </w:p>
    <w:p w14:paraId="35A2E535" w14:textId="77777777" w:rsidR="008D51AE" w:rsidRPr="008C4CAD" w:rsidRDefault="008D51AE" w:rsidP="008D51AE">
      <w:pPr>
        <w:pStyle w:val="Header"/>
        <w:tabs>
          <w:tab w:val="clear" w:pos="4153"/>
          <w:tab w:val="clear" w:pos="8306"/>
          <w:tab w:val="num" w:pos="1080"/>
        </w:tabs>
        <w:rPr>
          <w:sz w:val="20"/>
          <w:u w:val="single"/>
        </w:rPr>
      </w:pPr>
    </w:p>
    <w:p w14:paraId="453FE2B1" w14:textId="6A39C334" w:rsidR="008D51AE" w:rsidRPr="008C4CAD" w:rsidRDefault="008D51AE" w:rsidP="008D51AE">
      <w:pPr>
        <w:pStyle w:val="BodyText"/>
        <w:ind w:right="-483"/>
        <w:rPr>
          <w:b w:val="0"/>
        </w:rPr>
      </w:pPr>
      <w:r w:rsidRPr="008C4CAD">
        <w:rPr>
          <w:b w:val="0"/>
        </w:rPr>
        <w:t xml:space="preserve">This </w:t>
      </w:r>
      <w:r w:rsidR="00CF35C8" w:rsidRPr="008C4CAD">
        <w:rPr>
          <w:b w:val="0"/>
        </w:rPr>
        <w:t xml:space="preserve">section </w:t>
      </w:r>
      <w:r w:rsidRPr="008C4CAD">
        <w:rPr>
          <w:b w:val="0"/>
        </w:rPr>
        <w:t>provide</w:t>
      </w:r>
      <w:r w:rsidR="00CF35C8" w:rsidRPr="008C4CAD">
        <w:rPr>
          <w:b w:val="0"/>
        </w:rPr>
        <w:t>s</w:t>
      </w:r>
      <w:r w:rsidRPr="008C4CA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B2095E" w:rsidRDefault="008D51AE" w:rsidP="008D51AE">
      <w:pPr>
        <w:pStyle w:val="Header"/>
        <w:tabs>
          <w:tab w:val="clear" w:pos="4153"/>
          <w:tab w:val="clear" w:pos="8306"/>
          <w:tab w:val="num" w:pos="1080"/>
        </w:tabs>
        <w:rPr>
          <w:szCs w:val="24"/>
          <w:highlight w:val="yellow"/>
        </w:rPr>
      </w:pPr>
    </w:p>
    <w:p w14:paraId="45BF4332" w14:textId="6E23EA12" w:rsidR="00BF7ADE" w:rsidRPr="008C4CAD" w:rsidRDefault="00651925" w:rsidP="00211327">
      <w:pPr>
        <w:rPr>
          <w:u w:val="single"/>
          <w:lang w:val="en-US" w:eastAsia="en-US"/>
        </w:rPr>
      </w:pPr>
      <w:r w:rsidRPr="008C4CAD">
        <w:rPr>
          <w:u w:val="single"/>
          <w:lang w:val="en-US" w:eastAsia="en-US"/>
        </w:rPr>
        <w:t xml:space="preserve">Schedule 1 – </w:t>
      </w:r>
      <w:r w:rsidR="0069130B" w:rsidRPr="008C4CAD">
        <w:rPr>
          <w:u w:val="single"/>
          <w:lang w:val="en-US" w:eastAsia="en-US"/>
        </w:rPr>
        <w:t>Amendments</w:t>
      </w:r>
    </w:p>
    <w:p w14:paraId="492344FA" w14:textId="77777777" w:rsidR="00211327" w:rsidRPr="008C4CAD" w:rsidRDefault="00211327" w:rsidP="00211327">
      <w:pPr>
        <w:rPr>
          <w:u w:val="single"/>
          <w:lang w:val="en-US" w:eastAsia="en-US"/>
        </w:rPr>
      </w:pPr>
    </w:p>
    <w:p w14:paraId="129395C5" w14:textId="3AF0F010" w:rsidR="00553C69" w:rsidRPr="008C4CAD" w:rsidRDefault="00553C69" w:rsidP="00553C69">
      <w:pPr>
        <w:rPr>
          <w:b/>
          <w:i/>
        </w:rPr>
      </w:pPr>
      <w:bookmarkStart w:id="0" w:name="_Toc489526352"/>
      <w:r w:rsidRPr="008C4CAD">
        <w:rPr>
          <w:b/>
          <w:i/>
        </w:rPr>
        <w:t>Health Insurance (Diagnostic Imaging Services Table) Regulations 201</w:t>
      </w:r>
      <w:bookmarkEnd w:id="0"/>
      <w:r w:rsidR="008C4CAD">
        <w:rPr>
          <w:b/>
          <w:i/>
        </w:rPr>
        <w:t>8</w:t>
      </w:r>
    </w:p>
    <w:p w14:paraId="42E56641" w14:textId="77777777" w:rsidR="00553C69" w:rsidRPr="00B2095E" w:rsidRDefault="00553C69" w:rsidP="00553C69">
      <w:pPr>
        <w:rPr>
          <w:b/>
          <w:highlight w:val="yellow"/>
        </w:rPr>
      </w:pPr>
    </w:p>
    <w:p w14:paraId="27D7C5E7" w14:textId="48C64346" w:rsidR="001E5140" w:rsidRDefault="008C4CAD" w:rsidP="008C4CAD">
      <w:pPr>
        <w:rPr>
          <w:b/>
        </w:rPr>
      </w:pPr>
      <w:r w:rsidRPr="008C4CAD">
        <w:rPr>
          <w:b/>
        </w:rPr>
        <w:t>Item</w:t>
      </w:r>
      <w:r>
        <w:rPr>
          <w:b/>
        </w:rPr>
        <w:t>s</w:t>
      </w:r>
      <w:r w:rsidR="001E5140" w:rsidRPr="008C4CAD">
        <w:rPr>
          <w:b/>
        </w:rPr>
        <w:t xml:space="preserve"> </w:t>
      </w:r>
      <w:r w:rsidR="008A3FE0" w:rsidRPr="008C4CAD">
        <w:rPr>
          <w:b/>
        </w:rPr>
        <w:t>1</w:t>
      </w:r>
      <w:r w:rsidR="001E5140" w:rsidRPr="008C4CAD">
        <w:rPr>
          <w:b/>
        </w:rPr>
        <w:t xml:space="preserve"> </w:t>
      </w:r>
      <w:r w:rsidR="00242832">
        <w:rPr>
          <w:b/>
        </w:rPr>
        <w:t>to 4</w:t>
      </w:r>
    </w:p>
    <w:p w14:paraId="48EDFD07" w14:textId="1784F427" w:rsidR="00242832" w:rsidRDefault="00242832" w:rsidP="008B3BFD">
      <w:r>
        <w:t xml:space="preserve">Items 1 to 4 of the </w:t>
      </w:r>
      <w:r w:rsidRPr="00242832">
        <w:t>Consequential Regulations</w:t>
      </w:r>
      <w:r>
        <w:t xml:space="preserve"> make consequential changes to clauses 1.2.9 and 1.2.10 of the diagnostic imaging services t</w:t>
      </w:r>
      <w:r w:rsidRPr="008C4CAD">
        <w:t>able</w:t>
      </w:r>
      <w:r>
        <w:t>. There is no change to the purpose of these clauses.</w:t>
      </w:r>
      <w:r>
        <w:br/>
      </w:r>
      <w:r>
        <w:br/>
        <w:t xml:space="preserve">Clauses 1.2.9 and 1.2.10 of the diagnostic imaging </w:t>
      </w:r>
      <w:r w:rsidR="00144BB7">
        <w:t xml:space="preserve">services table </w:t>
      </w:r>
      <w:r>
        <w:t xml:space="preserve">set the fee for bulk-billed diagnostic imaging services provided out-of-hospital. Section 28 of the Principal Regulations sets the benefit payable as 100% of the fee for these services. The purpose </w:t>
      </w:r>
      <w:proofErr w:type="gramStart"/>
      <w:r>
        <w:t>these clauses is</w:t>
      </w:r>
      <w:proofErr w:type="gramEnd"/>
      <w:r>
        <w:t xml:space="preserve"> to provide a bulk-billing incentive for diagnostic imaging services provided out-of-hospital.</w:t>
      </w:r>
    </w:p>
    <w:p w14:paraId="403B325C" w14:textId="77777777" w:rsidR="00995E68" w:rsidRDefault="00995E68" w:rsidP="00995E68">
      <w:bookmarkStart w:id="1" w:name="_Toc522546784"/>
    </w:p>
    <w:p w14:paraId="06B7F383" w14:textId="3A07C5B2" w:rsidR="00995E68" w:rsidRPr="00995E68" w:rsidRDefault="00995E68" w:rsidP="00995E68">
      <w:pPr>
        <w:rPr>
          <w:b/>
          <w:szCs w:val="24"/>
          <w:lang w:eastAsia="en-US"/>
        </w:rPr>
      </w:pPr>
      <w:r w:rsidRPr="00995E68">
        <w:rPr>
          <w:b/>
          <w:i/>
          <w:szCs w:val="24"/>
          <w:lang w:eastAsia="en-US"/>
        </w:rPr>
        <w:t>Health Insurance (General Medical Services Table) Regulations 2018</w:t>
      </w:r>
      <w:bookmarkEnd w:id="1"/>
    </w:p>
    <w:p w14:paraId="327250FF" w14:textId="57380213" w:rsidR="00A21A3E" w:rsidRPr="00995E68" w:rsidRDefault="00A21A3E" w:rsidP="00E96E36"/>
    <w:p w14:paraId="72C746B9" w14:textId="623695AC" w:rsidR="001E5140" w:rsidRPr="00770B96" w:rsidRDefault="001E5140" w:rsidP="001E5140">
      <w:pPr>
        <w:pStyle w:val="NoSpacing"/>
        <w:rPr>
          <w:b/>
        </w:rPr>
      </w:pPr>
      <w:r w:rsidRPr="00770B96">
        <w:rPr>
          <w:b/>
        </w:rPr>
        <w:t xml:space="preserve">Item </w:t>
      </w:r>
      <w:r w:rsidR="00770B96" w:rsidRPr="00770B96">
        <w:rPr>
          <w:b/>
        </w:rPr>
        <w:t>5</w:t>
      </w:r>
      <w:r w:rsidRPr="00770B96">
        <w:rPr>
          <w:b/>
        </w:rPr>
        <w:t xml:space="preserve"> - </w:t>
      </w:r>
      <w:r w:rsidR="00770B96" w:rsidRPr="00770B96">
        <w:rPr>
          <w:b/>
        </w:rPr>
        <w:t>Clause 1.1.2 of Schedule 1</w:t>
      </w:r>
    </w:p>
    <w:p w14:paraId="6936B786" w14:textId="5C5A8A07" w:rsidR="00AE0FEB" w:rsidRDefault="00AE0FEB" w:rsidP="00AE0FEB">
      <w:pPr>
        <w:pStyle w:val="Header"/>
        <w:tabs>
          <w:tab w:val="num" w:pos="1080"/>
        </w:tabs>
        <w:rPr>
          <w:lang w:val="en-US" w:eastAsia="en-US"/>
        </w:rPr>
      </w:pPr>
      <w:r w:rsidRPr="00153C22">
        <w:rPr>
          <w:lang w:eastAsia="en-US"/>
        </w:rPr>
        <w:t>Section 3 of the Act defines</w:t>
      </w:r>
      <w:r>
        <w:rPr>
          <w:lang w:eastAsia="en-US"/>
        </w:rPr>
        <w:t xml:space="preserve"> </w:t>
      </w:r>
      <w:r>
        <w:rPr>
          <w:lang w:val="en-US" w:eastAsia="en-US"/>
        </w:rPr>
        <w:t>‘general practitioner’ as:</w:t>
      </w:r>
    </w:p>
    <w:p w14:paraId="732B7368" w14:textId="77777777" w:rsidR="00AE0FEB" w:rsidRPr="00153C22" w:rsidRDefault="00AE0FEB" w:rsidP="00B24389">
      <w:pPr>
        <w:pStyle w:val="Header"/>
        <w:numPr>
          <w:ilvl w:val="0"/>
          <w:numId w:val="25"/>
        </w:numPr>
        <w:rPr>
          <w:lang w:eastAsia="en-US"/>
        </w:rPr>
      </w:pPr>
      <w:r>
        <w:rPr>
          <w:lang w:eastAsia="en-US"/>
        </w:rPr>
        <w:t xml:space="preserve">a medical practitioner </w:t>
      </w:r>
      <w:r>
        <w:rPr>
          <w:lang w:val="en-US" w:eastAsia="en-US"/>
        </w:rPr>
        <w:t>to whom there is a determination under section 3EA;</w:t>
      </w:r>
    </w:p>
    <w:p w14:paraId="64F753EA" w14:textId="77777777" w:rsidR="00AE0FEB" w:rsidRDefault="00AE0FEB" w:rsidP="00B24389">
      <w:pPr>
        <w:pStyle w:val="Header"/>
        <w:numPr>
          <w:ilvl w:val="0"/>
          <w:numId w:val="25"/>
        </w:numPr>
        <w:rPr>
          <w:lang w:eastAsia="en-US"/>
        </w:rPr>
      </w:pPr>
      <w:r>
        <w:rPr>
          <w:lang w:eastAsia="en-US"/>
        </w:rPr>
        <w:t>a medical practitioner who is vocationally registered under section 3F; or</w:t>
      </w:r>
    </w:p>
    <w:p w14:paraId="7F5B30DD" w14:textId="7029EE3D" w:rsidR="00AE0FEB" w:rsidRDefault="00AE0FEB" w:rsidP="00B24389">
      <w:pPr>
        <w:pStyle w:val="Header"/>
        <w:numPr>
          <w:ilvl w:val="0"/>
          <w:numId w:val="25"/>
        </w:numPr>
        <w:rPr>
          <w:lang w:eastAsia="en-US"/>
        </w:rPr>
      </w:pPr>
      <w:proofErr w:type="gramStart"/>
      <w:r>
        <w:rPr>
          <w:lang w:eastAsia="en-US"/>
        </w:rPr>
        <w:t>a</w:t>
      </w:r>
      <w:proofErr w:type="gramEnd"/>
      <w:r>
        <w:rPr>
          <w:lang w:eastAsia="en-US"/>
        </w:rPr>
        <w:t xml:space="preserve"> medical practitioner of a kind specified in the regulations</w:t>
      </w:r>
      <w:r w:rsidR="0096710D">
        <w:rPr>
          <w:lang w:eastAsia="en-US"/>
        </w:rPr>
        <w:t>.</w:t>
      </w:r>
    </w:p>
    <w:p w14:paraId="341FE61A" w14:textId="77777777" w:rsidR="00AE0FEB" w:rsidRDefault="00AE0FEB" w:rsidP="00770B96">
      <w:pPr>
        <w:pStyle w:val="NoSpacing"/>
      </w:pPr>
    </w:p>
    <w:p w14:paraId="3ED087F2" w14:textId="30226260" w:rsidR="00AE0FEB" w:rsidRDefault="00AE0FEB" w:rsidP="00770B96">
      <w:pPr>
        <w:pStyle w:val="NoSpacing"/>
      </w:pPr>
      <w:r>
        <w:t xml:space="preserve">Clause 1.1.2 of the general medical services table is made </w:t>
      </w:r>
      <w:r w:rsidRPr="00AE0FEB">
        <w:t>for the purpose of paragraph (c) of the meaning of ‘general practitioner’ in the Act.</w:t>
      </w:r>
      <w:r>
        <w:t xml:space="preserve"> Currently, paragraphs (a) to (c) of this clause duplicate types of medical practitioners who are general practitioners under the Act (Royal </w:t>
      </w:r>
      <w:r>
        <w:lastRenderedPageBreak/>
        <w:t>Australian College of General Practitioner</w:t>
      </w:r>
      <w:r w:rsidR="0096710D">
        <w:t xml:space="preserve"> f</w:t>
      </w:r>
      <w:r>
        <w:t xml:space="preserve">ellows) or the Principal Regulations (Australian College of Rural and Remote </w:t>
      </w:r>
      <w:r w:rsidR="0096710D">
        <w:t>f</w:t>
      </w:r>
      <w:r>
        <w:t>ellows).</w:t>
      </w:r>
      <w:r>
        <w:br/>
      </w:r>
      <w:r>
        <w:br/>
        <w:t xml:space="preserve">The </w:t>
      </w:r>
      <w:r w:rsidRPr="00242832">
        <w:t>Consequential Regulations</w:t>
      </w:r>
      <w:r>
        <w:t xml:space="preserve"> repeal and substitute clause 1.1.2 of the general medical services table to remove the duplication. </w:t>
      </w:r>
      <w:r w:rsidR="0096710D">
        <w:t>There is no change to the kind of medical practitioner who is a general practitioner under Medicare.</w:t>
      </w:r>
    </w:p>
    <w:p w14:paraId="7095A3A7" w14:textId="77777777" w:rsidR="00770B96" w:rsidRPr="00B2095E" w:rsidRDefault="00770B96" w:rsidP="00770B96">
      <w:pPr>
        <w:pStyle w:val="NoSpacing"/>
        <w:rPr>
          <w:highlight w:val="yellow"/>
        </w:rPr>
      </w:pPr>
    </w:p>
    <w:p w14:paraId="0A9089BE" w14:textId="628A8F83" w:rsidR="001309B4" w:rsidRPr="00FF7962" w:rsidRDefault="001309B4" w:rsidP="001309B4">
      <w:pPr>
        <w:pStyle w:val="NoSpacing"/>
        <w:rPr>
          <w:b/>
        </w:rPr>
      </w:pPr>
      <w:r w:rsidRPr="00FF7962">
        <w:rPr>
          <w:b/>
        </w:rPr>
        <w:t xml:space="preserve">Item </w:t>
      </w:r>
      <w:r w:rsidR="00D263CE" w:rsidRPr="00FF7962">
        <w:rPr>
          <w:b/>
        </w:rPr>
        <w:t>6</w:t>
      </w:r>
      <w:r w:rsidRPr="00FF7962">
        <w:rPr>
          <w:b/>
        </w:rPr>
        <w:t xml:space="preserve"> – </w:t>
      </w:r>
      <w:r w:rsidR="00D263CE" w:rsidRPr="00FF7962">
        <w:rPr>
          <w:b/>
        </w:rPr>
        <w:t>Subparagraph 1.1.5(2</w:t>
      </w:r>
      <w:proofErr w:type="gramStart"/>
      <w:r w:rsidR="00D263CE" w:rsidRPr="00FF7962">
        <w:rPr>
          <w:b/>
        </w:rPr>
        <w:t>)(</w:t>
      </w:r>
      <w:proofErr w:type="gramEnd"/>
      <w:r w:rsidR="00D263CE" w:rsidRPr="00FF7962">
        <w:rPr>
          <w:b/>
        </w:rPr>
        <w:t>b)(ii) of Schedule 1</w:t>
      </w:r>
    </w:p>
    <w:p w14:paraId="2EDDB5B4" w14:textId="69935237" w:rsidR="001309B4" w:rsidRPr="00B2095E" w:rsidRDefault="001309B4" w:rsidP="001E5140">
      <w:pPr>
        <w:pStyle w:val="NoSpacing"/>
        <w:rPr>
          <w:highlight w:val="yellow"/>
        </w:rPr>
      </w:pPr>
      <w:r w:rsidRPr="00FF7962">
        <w:t xml:space="preserve">This item </w:t>
      </w:r>
      <w:r w:rsidR="00523E50" w:rsidRPr="00FF7962">
        <w:t xml:space="preserve">makes a </w:t>
      </w:r>
      <w:r w:rsidR="0096710D">
        <w:t>consequential amendment</w:t>
      </w:r>
      <w:r w:rsidR="0096710D" w:rsidRPr="0096710D">
        <w:t xml:space="preserve"> to reflect the change in the name and the reordering of sections</w:t>
      </w:r>
      <w:r w:rsidR="0096710D">
        <w:t>.</w:t>
      </w:r>
    </w:p>
    <w:p w14:paraId="775468FF" w14:textId="77777777" w:rsidR="001E5140" w:rsidRPr="00B2095E" w:rsidRDefault="001E5140" w:rsidP="001E5140">
      <w:pPr>
        <w:pStyle w:val="NoSpacing"/>
        <w:rPr>
          <w:highlight w:val="yellow"/>
        </w:rPr>
      </w:pPr>
    </w:p>
    <w:p w14:paraId="374591AC" w14:textId="0CCD596A" w:rsidR="005701EC" w:rsidRPr="00AF0D8E" w:rsidRDefault="005701EC" w:rsidP="005701EC">
      <w:pPr>
        <w:pStyle w:val="NoSpacing"/>
        <w:rPr>
          <w:b/>
        </w:rPr>
      </w:pPr>
      <w:r w:rsidRPr="00AF0D8E">
        <w:rPr>
          <w:b/>
        </w:rPr>
        <w:t xml:space="preserve">Item </w:t>
      </w:r>
      <w:r w:rsidR="00AF0D8E">
        <w:rPr>
          <w:b/>
        </w:rPr>
        <w:t>7</w:t>
      </w:r>
      <w:r w:rsidRPr="00AF0D8E">
        <w:rPr>
          <w:b/>
        </w:rPr>
        <w:t xml:space="preserve"> - </w:t>
      </w:r>
      <w:r w:rsidR="00AF0D8E" w:rsidRPr="00AF0D8E">
        <w:rPr>
          <w:b/>
        </w:rPr>
        <w:t>At the end of subclause 1</w:t>
      </w:r>
      <w:bookmarkStart w:id="2" w:name="BK_S3P3L4C29"/>
      <w:bookmarkEnd w:id="2"/>
      <w:r w:rsidR="00AF0D8E" w:rsidRPr="00AF0D8E">
        <w:rPr>
          <w:b/>
        </w:rPr>
        <w:t>.1.5(2) of Schedule 1</w:t>
      </w:r>
    </w:p>
    <w:p w14:paraId="1FE293E8" w14:textId="7C5BCAC3" w:rsidR="005701EC" w:rsidRDefault="005701EC" w:rsidP="00AF0D8E">
      <w:pPr>
        <w:pStyle w:val="NoSpacing"/>
      </w:pPr>
      <w:r w:rsidRPr="00352E5D">
        <w:t xml:space="preserve">This item makes a minor amendment </w:t>
      </w:r>
      <w:r w:rsidR="00352E5D" w:rsidRPr="00352E5D">
        <w:t>by adding a note at the end of subclause 1.1.5(2).</w:t>
      </w:r>
      <w:r w:rsidR="00352E5D">
        <w:t xml:space="preserve"> The note is to point readers to where in the </w:t>
      </w:r>
      <w:r w:rsidR="0096710D">
        <w:t>Principal Regulations</w:t>
      </w:r>
      <w:r w:rsidR="00352E5D">
        <w:t xml:space="preserve"> information on </w:t>
      </w:r>
      <w:r w:rsidR="00352E5D" w:rsidRPr="003A70BB">
        <w:t xml:space="preserve">the manner in which patients are to be referred </w:t>
      </w:r>
      <w:r w:rsidR="00352E5D">
        <w:t>can be found.</w:t>
      </w:r>
    </w:p>
    <w:p w14:paraId="367B67B0" w14:textId="4C0B031B" w:rsidR="005701EC" w:rsidRPr="00352E5D" w:rsidRDefault="005701EC" w:rsidP="001E5140">
      <w:pPr>
        <w:pStyle w:val="NoSpacing"/>
      </w:pPr>
    </w:p>
    <w:p w14:paraId="68BBF0F1" w14:textId="77777777" w:rsidR="00352E5D" w:rsidRDefault="001E5140" w:rsidP="00523E50">
      <w:pPr>
        <w:pStyle w:val="NoSpacing"/>
        <w:rPr>
          <w:b/>
        </w:rPr>
      </w:pPr>
      <w:r w:rsidRPr="00352E5D">
        <w:rPr>
          <w:b/>
        </w:rPr>
        <w:t xml:space="preserve">Item </w:t>
      </w:r>
      <w:r w:rsidR="00352E5D" w:rsidRPr="00352E5D">
        <w:rPr>
          <w:b/>
        </w:rPr>
        <w:t>8</w:t>
      </w:r>
      <w:r w:rsidRPr="00352E5D">
        <w:rPr>
          <w:b/>
        </w:rPr>
        <w:t xml:space="preserve"> - </w:t>
      </w:r>
      <w:r w:rsidR="00352E5D" w:rsidRPr="00352E5D">
        <w:rPr>
          <w:b/>
        </w:rPr>
        <w:t>Subclauses 1.2.2(2) and (3) of Schedule 1</w:t>
      </w:r>
    </w:p>
    <w:p w14:paraId="017F6F5F" w14:textId="4A8DBD96" w:rsidR="00760120" w:rsidRDefault="00760120" w:rsidP="00760120">
      <w:pPr>
        <w:pStyle w:val="NoSpacing"/>
      </w:pPr>
      <w:r w:rsidRPr="00995E68">
        <w:t xml:space="preserve">This item repeals </w:t>
      </w:r>
      <w:r>
        <w:t>s</w:t>
      </w:r>
      <w:r w:rsidRPr="003A70BB">
        <w:t xml:space="preserve">ubclauses 1.2.2(2) and (3) </w:t>
      </w:r>
      <w:r w:rsidR="0096710D">
        <w:t xml:space="preserve">which duplicate </w:t>
      </w:r>
      <w:r w:rsidRPr="003A70BB">
        <w:t>the referral requirements</w:t>
      </w:r>
      <w:r>
        <w:t xml:space="preserve"> in the </w:t>
      </w:r>
      <w:r w:rsidR="0096710D">
        <w:t>Principal Regulations</w:t>
      </w:r>
      <w:r>
        <w:t xml:space="preserve">. </w:t>
      </w:r>
      <w:r w:rsidR="0096710D">
        <w:br/>
      </w:r>
      <w:r w:rsidR="0096710D">
        <w:br/>
      </w:r>
      <w:r>
        <w:t xml:space="preserve">The </w:t>
      </w:r>
      <w:r w:rsidR="000C6530">
        <w:t>substituted</w:t>
      </w:r>
      <w:r>
        <w:t xml:space="preserve"> </w:t>
      </w:r>
      <w:r w:rsidR="005D5B02">
        <w:t>text, which</w:t>
      </w:r>
      <w:r>
        <w:t xml:space="preserve"> is currently contained within 1.2.2(2</w:t>
      </w:r>
      <w:proofErr w:type="gramStart"/>
      <w:r>
        <w:t>)(</w:t>
      </w:r>
      <w:proofErr w:type="gramEnd"/>
      <w:r>
        <w:t>b)</w:t>
      </w:r>
      <w:r w:rsidR="0096710D">
        <w:t xml:space="preserve"> of the general medical services table,</w:t>
      </w:r>
      <w:r w:rsidR="005D5B02">
        <w:t xml:space="preserve"> has been </w:t>
      </w:r>
      <w:r w:rsidR="0096710D">
        <w:t>revised</w:t>
      </w:r>
      <w:r w:rsidR="00F93DFD">
        <w:t xml:space="preserve"> to </w:t>
      </w:r>
      <w:r w:rsidR="00D90AC2">
        <w:t xml:space="preserve">make it easier to read and to </w:t>
      </w:r>
      <w:r w:rsidR="00F93DFD">
        <w:t>reflect current drafting standards whilst maintaining the original overarching policy framework.</w:t>
      </w:r>
    </w:p>
    <w:p w14:paraId="53A1DD9B" w14:textId="4F344C95" w:rsidR="00E34D77" w:rsidRPr="00760120" w:rsidRDefault="00E34D77" w:rsidP="00E34D77">
      <w:pPr>
        <w:pStyle w:val="NoSpacing"/>
      </w:pPr>
    </w:p>
    <w:p w14:paraId="054A2465" w14:textId="716DE1B6" w:rsidR="00E34D77" w:rsidRPr="006172ED" w:rsidRDefault="002705B8" w:rsidP="00E34D77">
      <w:pPr>
        <w:pStyle w:val="NoSpacing"/>
        <w:rPr>
          <w:b/>
        </w:rPr>
      </w:pPr>
      <w:r>
        <w:rPr>
          <w:b/>
        </w:rPr>
        <w:t>Item 9</w:t>
      </w:r>
      <w:r w:rsidR="00E34D77" w:rsidRPr="006172ED">
        <w:rPr>
          <w:b/>
        </w:rPr>
        <w:t xml:space="preserve"> - </w:t>
      </w:r>
      <w:r w:rsidR="006172ED" w:rsidRPr="006172ED">
        <w:rPr>
          <w:b/>
        </w:rPr>
        <w:t>Clause 1.2.8 of Schedule 1</w:t>
      </w:r>
    </w:p>
    <w:p w14:paraId="41DDCDE3" w14:textId="73405132" w:rsidR="00FB2E40" w:rsidRDefault="00523E50" w:rsidP="00523E50">
      <w:pPr>
        <w:pStyle w:val="NoSpacing"/>
      </w:pPr>
      <w:r w:rsidRPr="006172ED">
        <w:t xml:space="preserve">This item </w:t>
      </w:r>
      <w:r w:rsidR="000C6530">
        <w:t>makes a consequential amendment by repealing and substituting</w:t>
      </w:r>
      <w:r w:rsidR="006172ED" w:rsidRPr="006172ED">
        <w:t xml:space="preserve"> clause</w:t>
      </w:r>
      <w:r w:rsidR="00650332">
        <w:t xml:space="preserve"> 1.2.8 to insert </w:t>
      </w:r>
      <w:r w:rsidR="00FB2E40">
        <w:t xml:space="preserve">a complete </w:t>
      </w:r>
      <w:r w:rsidR="00650332">
        <w:t xml:space="preserve">list of services that are ineligible for Medicare </w:t>
      </w:r>
      <w:r w:rsidR="00FB2E40">
        <w:t>benefits</w:t>
      </w:r>
      <w:r w:rsidR="00F93DFD">
        <w:t>. The</w:t>
      </w:r>
      <w:r w:rsidR="00FB2E40">
        <w:t xml:space="preserve"> list of</w:t>
      </w:r>
      <w:r w:rsidR="00F93DFD">
        <w:t xml:space="preserve"> services</w:t>
      </w:r>
      <w:r w:rsidR="00FB2E40">
        <w:t xml:space="preserve"> in the substituted clause </w:t>
      </w:r>
      <w:r w:rsidR="00857381">
        <w:t>is</w:t>
      </w:r>
      <w:r w:rsidR="00FB2E40">
        <w:t xml:space="preserve"> taken from:</w:t>
      </w:r>
    </w:p>
    <w:p w14:paraId="3CEE7B7C" w14:textId="2F45924B" w:rsidR="00FB2E40" w:rsidRDefault="00650332" w:rsidP="00857381">
      <w:pPr>
        <w:pStyle w:val="NoSpacing"/>
        <w:numPr>
          <w:ilvl w:val="0"/>
          <w:numId w:val="26"/>
        </w:numPr>
      </w:pPr>
      <w:r>
        <w:t xml:space="preserve">section 14 of the </w:t>
      </w:r>
      <w:r w:rsidR="00F93DFD" w:rsidRPr="00F93DFD">
        <w:t>Previous Regulations</w:t>
      </w:r>
      <w:r w:rsidR="00FB2E40">
        <w:t>; and</w:t>
      </w:r>
      <w:r>
        <w:t xml:space="preserve"> </w:t>
      </w:r>
    </w:p>
    <w:p w14:paraId="35AED112" w14:textId="45816F4D" w:rsidR="00523E50" w:rsidRDefault="00FB2E40" w:rsidP="00857381">
      <w:pPr>
        <w:pStyle w:val="NoSpacing"/>
        <w:numPr>
          <w:ilvl w:val="0"/>
          <w:numId w:val="26"/>
        </w:numPr>
      </w:pPr>
      <w:proofErr w:type="gramStart"/>
      <w:r>
        <w:t>clause</w:t>
      </w:r>
      <w:proofErr w:type="gramEnd"/>
      <w:r>
        <w:t xml:space="preserve"> 1.2.8 in the general medical services table.</w:t>
      </w:r>
    </w:p>
    <w:p w14:paraId="2312D8F4" w14:textId="52EEA6FC" w:rsidR="00B62FAD" w:rsidRDefault="00B62FAD" w:rsidP="00B62FAD">
      <w:pPr>
        <w:pStyle w:val="NoSpacing"/>
      </w:pPr>
    </w:p>
    <w:p w14:paraId="44FDAD50" w14:textId="7BBC8A82" w:rsidR="00B62FAD" w:rsidRDefault="00B62FAD" w:rsidP="00B62FAD">
      <w:pPr>
        <w:pStyle w:val="NoSpacing"/>
      </w:pPr>
      <w:r>
        <w:t>These services were previously identified as not being appropriate to be claimed through Medicare</w:t>
      </w:r>
      <w:r w:rsidR="00BC27A3">
        <w:t>. T</w:t>
      </w:r>
      <w:r>
        <w:t xml:space="preserve">his decision was taken through a consultative review </w:t>
      </w:r>
      <w:r w:rsidR="008A7FB6">
        <w:t>mechanism</w:t>
      </w:r>
      <w:r>
        <w:t>.</w:t>
      </w:r>
    </w:p>
    <w:p w14:paraId="4F3DD2EC" w14:textId="77777777" w:rsidR="00B20CB9" w:rsidRDefault="00B20CB9" w:rsidP="00E34D77">
      <w:pPr>
        <w:pStyle w:val="NoSpacing"/>
        <w:rPr>
          <w:b/>
          <w:highlight w:val="yellow"/>
        </w:rPr>
      </w:pPr>
    </w:p>
    <w:p w14:paraId="50E9A04F" w14:textId="01D6DC8D" w:rsidR="00FB2E40" w:rsidRDefault="00FB2E40" w:rsidP="00E34D77">
      <w:pPr>
        <w:pStyle w:val="NoSpacing"/>
        <w:rPr>
          <w:b/>
          <w:highlight w:val="yellow"/>
        </w:rPr>
      </w:pPr>
      <w:r>
        <w:t xml:space="preserve">It is appropriate to list these services in the general medical services table as they are likely to be claimed as part </w:t>
      </w:r>
      <w:r w:rsidR="00175D33">
        <w:t>of an</w:t>
      </w:r>
      <w:r>
        <w:t xml:space="preserve"> attendance or procedural item.</w:t>
      </w:r>
    </w:p>
    <w:p w14:paraId="785DF367" w14:textId="77777777" w:rsidR="00FB2E40" w:rsidRPr="00DA1A58" w:rsidRDefault="00FB2E40" w:rsidP="00E34D77">
      <w:pPr>
        <w:pStyle w:val="NoSpacing"/>
        <w:rPr>
          <w:b/>
          <w:highlight w:val="yellow"/>
        </w:rPr>
      </w:pPr>
    </w:p>
    <w:p w14:paraId="2BD5280D" w14:textId="70D03BFD" w:rsidR="00B20CB9" w:rsidRPr="00DA1A58" w:rsidRDefault="00DA1A58" w:rsidP="00B20CB9">
      <w:pPr>
        <w:pStyle w:val="NoSpacing"/>
        <w:rPr>
          <w:b/>
        </w:rPr>
      </w:pPr>
      <w:r w:rsidRPr="00DA1A58">
        <w:rPr>
          <w:b/>
        </w:rPr>
        <w:t>Item 10</w:t>
      </w:r>
      <w:r w:rsidR="00B20CB9" w:rsidRPr="00DA1A58">
        <w:rPr>
          <w:b/>
        </w:rPr>
        <w:t xml:space="preserve"> - </w:t>
      </w:r>
      <w:r w:rsidRPr="00DA1A58">
        <w:rPr>
          <w:b/>
        </w:rPr>
        <w:t xml:space="preserve">Clause 3.1 of Schedule 1 (definition of </w:t>
      </w:r>
      <w:r w:rsidRPr="00DA1A58">
        <w:rPr>
          <w:b/>
          <w:i/>
        </w:rPr>
        <w:t>ACRRM</w:t>
      </w:r>
      <w:r w:rsidRPr="00DA1A58">
        <w:rPr>
          <w:b/>
        </w:rPr>
        <w:t>)</w:t>
      </w:r>
    </w:p>
    <w:p w14:paraId="6F9E8CB4" w14:textId="4950303D" w:rsidR="00523E50" w:rsidRPr="00781037" w:rsidRDefault="00523E50" w:rsidP="00523E50">
      <w:pPr>
        <w:pStyle w:val="NoSpacing"/>
      </w:pPr>
      <w:r w:rsidRPr="00781037">
        <w:t>This item ma</w:t>
      </w:r>
      <w:r w:rsidR="00C63885" w:rsidRPr="00781037">
        <w:t xml:space="preserve">kes a minor editorial amendment by </w:t>
      </w:r>
      <w:r w:rsidR="00DA1A58" w:rsidRPr="00781037">
        <w:t xml:space="preserve">repealing the definition of </w:t>
      </w:r>
      <w:r w:rsidR="008B3BFD">
        <w:t>‘</w:t>
      </w:r>
      <w:r w:rsidR="00DA1A58" w:rsidRPr="00781037">
        <w:t>ACRRM</w:t>
      </w:r>
      <w:r w:rsidR="008B3BFD">
        <w:t>’</w:t>
      </w:r>
      <w:r w:rsidR="00DA1A58" w:rsidRPr="00781037">
        <w:t>. This definition is no</w:t>
      </w:r>
      <w:r w:rsidR="00874681">
        <w:t>t</w:t>
      </w:r>
      <w:r w:rsidR="00DA1A58" w:rsidRPr="00781037">
        <w:t xml:space="preserve"> required as there is no </w:t>
      </w:r>
      <w:r w:rsidR="00781037" w:rsidRPr="00781037">
        <w:t xml:space="preserve">longer any </w:t>
      </w:r>
      <w:r w:rsidR="00DA1A58" w:rsidRPr="00781037">
        <w:t>reference to ACRRM</w:t>
      </w:r>
      <w:r w:rsidR="00781037" w:rsidRPr="00781037">
        <w:t xml:space="preserve"> in the general medical services table.</w:t>
      </w:r>
    </w:p>
    <w:p w14:paraId="2E073067" w14:textId="77777777" w:rsidR="00E34D77" w:rsidRPr="00F36073" w:rsidRDefault="00E34D77" w:rsidP="00E34D77">
      <w:pPr>
        <w:pStyle w:val="NoSpacing"/>
      </w:pPr>
    </w:p>
    <w:p w14:paraId="7844156E" w14:textId="3C0F59C3" w:rsidR="001E5140" w:rsidRPr="00F36073" w:rsidRDefault="001E5140" w:rsidP="00F36073">
      <w:pPr>
        <w:pStyle w:val="ItemHead"/>
        <w:spacing w:before="0"/>
      </w:pPr>
      <w:r w:rsidRPr="00F36073">
        <w:rPr>
          <w:rFonts w:ascii="Times New Roman" w:hAnsi="Times New Roman"/>
          <w:kern w:val="0"/>
          <w:szCs w:val="24"/>
          <w:lang w:eastAsia="en-US"/>
        </w:rPr>
        <w:t xml:space="preserve">Item </w:t>
      </w:r>
      <w:r w:rsidR="00F36073" w:rsidRPr="00F36073">
        <w:rPr>
          <w:rFonts w:ascii="Times New Roman" w:hAnsi="Times New Roman"/>
          <w:kern w:val="0"/>
          <w:szCs w:val="24"/>
          <w:lang w:eastAsia="en-US"/>
        </w:rPr>
        <w:t>11</w:t>
      </w:r>
      <w:r w:rsidRPr="00F36073">
        <w:rPr>
          <w:rFonts w:ascii="Times New Roman" w:hAnsi="Times New Roman"/>
          <w:kern w:val="0"/>
          <w:szCs w:val="24"/>
          <w:lang w:eastAsia="en-US"/>
        </w:rPr>
        <w:t xml:space="preserve"> - </w:t>
      </w:r>
      <w:r w:rsidR="00F36073" w:rsidRPr="00F36073">
        <w:rPr>
          <w:rFonts w:ascii="Times New Roman" w:hAnsi="Times New Roman"/>
          <w:kern w:val="0"/>
          <w:szCs w:val="24"/>
          <w:lang w:eastAsia="en-US"/>
        </w:rPr>
        <w:t>Clause 3.1 of Schedule 1 (definition of general practitioner)</w:t>
      </w:r>
    </w:p>
    <w:p w14:paraId="7AA60BE0" w14:textId="08BE246A" w:rsidR="00F36073" w:rsidRDefault="00F36073" w:rsidP="00F36073">
      <w:pPr>
        <w:pStyle w:val="NoSpacing"/>
      </w:pPr>
      <w:r w:rsidRPr="00781037">
        <w:t>This item makes a minor editorial amendment by</w:t>
      </w:r>
      <w:r>
        <w:t xml:space="preserve"> omitting </w:t>
      </w:r>
      <w:r w:rsidRPr="006B4182">
        <w:t xml:space="preserve">“the meaning given”, </w:t>
      </w:r>
      <w:r>
        <w:t xml:space="preserve">and substituting with “a meaning affected” in the definition of </w:t>
      </w:r>
      <w:r w:rsidR="008B3BFD">
        <w:t>‘</w:t>
      </w:r>
      <w:r>
        <w:t>general practitioner</w:t>
      </w:r>
      <w:r w:rsidR="008B3BFD">
        <w:t>’</w:t>
      </w:r>
      <w:r>
        <w:t xml:space="preserve">. </w:t>
      </w:r>
      <w:r w:rsidR="008B3BFD">
        <w:t>This clarifies that the meaning of ‘general practitioner’ is in section 3 of the Act, and the purpose of clause 1.1.2 in the general medical services table is to affect that meaning by adding specified kinds of medical practitioners.</w:t>
      </w:r>
    </w:p>
    <w:p w14:paraId="4D1D1B94" w14:textId="42595865" w:rsidR="00933D07" w:rsidRPr="00B2095E" w:rsidRDefault="00933D07" w:rsidP="001E5140">
      <w:pPr>
        <w:pStyle w:val="NoSpacing"/>
        <w:rPr>
          <w:highlight w:val="yellow"/>
        </w:rPr>
      </w:pPr>
    </w:p>
    <w:p w14:paraId="5C2EB719" w14:textId="58FFF64A" w:rsidR="00933D07" w:rsidRPr="00F36073" w:rsidRDefault="00933D07" w:rsidP="00933D07">
      <w:pPr>
        <w:pStyle w:val="ItemHead"/>
        <w:spacing w:before="0"/>
        <w:rPr>
          <w:rFonts w:ascii="Times New Roman" w:hAnsi="Times New Roman"/>
          <w:kern w:val="0"/>
          <w:szCs w:val="24"/>
          <w:lang w:eastAsia="en-US"/>
        </w:rPr>
      </w:pPr>
      <w:r w:rsidRPr="00F36073">
        <w:rPr>
          <w:rFonts w:ascii="Times New Roman" w:hAnsi="Times New Roman"/>
          <w:kern w:val="0"/>
          <w:szCs w:val="24"/>
          <w:lang w:eastAsia="en-US"/>
        </w:rPr>
        <w:lastRenderedPageBreak/>
        <w:t xml:space="preserve">Item </w:t>
      </w:r>
      <w:r w:rsidR="00F36073" w:rsidRPr="00F36073">
        <w:rPr>
          <w:rFonts w:ascii="Times New Roman" w:hAnsi="Times New Roman"/>
          <w:kern w:val="0"/>
          <w:szCs w:val="24"/>
          <w:lang w:eastAsia="en-US"/>
        </w:rPr>
        <w:t>12</w:t>
      </w:r>
      <w:r w:rsidRPr="00F36073">
        <w:rPr>
          <w:rFonts w:ascii="Times New Roman" w:hAnsi="Times New Roman"/>
          <w:kern w:val="0"/>
          <w:szCs w:val="24"/>
          <w:lang w:eastAsia="en-US"/>
        </w:rPr>
        <w:t xml:space="preserve"> - </w:t>
      </w:r>
      <w:r w:rsidR="00F36073" w:rsidRPr="00F36073">
        <w:rPr>
          <w:rFonts w:ascii="Times New Roman" w:hAnsi="Times New Roman"/>
          <w:kern w:val="0"/>
          <w:szCs w:val="24"/>
          <w:lang w:eastAsia="en-US"/>
        </w:rPr>
        <w:t>Clause 3.1 of Schedule 1 (definition of referral)</w:t>
      </w:r>
    </w:p>
    <w:p w14:paraId="3CEBECA4" w14:textId="4961F075" w:rsidR="008B3BFD" w:rsidRDefault="008B3BFD" w:rsidP="00933D07">
      <w:pPr>
        <w:pStyle w:val="NoSpacing"/>
      </w:pPr>
      <w:r>
        <w:t>Th</w:t>
      </w:r>
      <w:r w:rsidR="00101D91">
        <w:t>i</w:t>
      </w:r>
      <w:r>
        <w:t>s item repeal</w:t>
      </w:r>
      <w:r w:rsidR="00101D91">
        <w:t>s</w:t>
      </w:r>
      <w:r>
        <w:t xml:space="preserve"> the definition of </w:t>
      </w:r>
      <w:r w:rsidR="00C91A61">
        <w:t>‘</w:t>
      </w:r>
      <w:r w:rsidR="00C91A61" w:rsidRPr="008B3BFD">
        <w:t>referral</w:t>
      </w:r>
      <w:r w:rsidR="00C91A61">
        <w:t xml:space="preserve">’. </w:t>
      </w:r>
      <w:r>
        <w:t>Th</w:t>
      </w:r>
      <w:r w:rsidR="00101D91">
        <w:t>is</w:t>
      </w:r>
      <w:r>
        <w:t xml:space="preserve"> definition </w:t>
      </w:r>
      <w:r w:rsidR="00101D91">
        <w:t>is</w:t>
      </w:r>
      <w:r>
        <w:t xml:space="preserve"> not required as </w:t>
      </w:r>
      <w:r w:rsidR="00101D91">
        <w:t>it</w:t>
      </w:r>
      <w:r>
        <w:t xml:space="preserve"> duplicate</w:t>
      </w:r>
      <w:r w:rsidR="00101D91">
        <w:t>s</w:t>
      </w:r>
      <w:r>
        <w:t xml:space="preserve"> terms in section 132A of the Act and the Principal </w:t>
      </w:r>
      <w:r w:rsidR="00175D33">
        <w:t>Regulations</w:t>
      </w:r>
      <w:r>
        <w:t xml:space="preserve">.  </w:t>
      </w:r>
    </w:p>
    <w:p w14:paraId="74F5C8BE" w14:textId="76ACD2E6" w:rsidR="001E5140" w:rsidRPr="00B2095E" w:rsidRDefault="001E5140" w:rsidP="001E5140">
      <w:pPr>
        <w:pStyle w:val="NoSpacing"/>
        <w:rPr>
          <w:highlight w:val="yellow"/>
        </w:rPr>
      </w:pPr>
      <w:bookmarkStart w:id="3" w:name="_GoBack"/>
      <w:bookmarkEnd w:id="3"/>
    </w:p>
    <w:p w14:paraId="16E5F2CD" w14:textId="10104FE9" w:rsidR="001E5140" w:rsidRPr="00D90AC2" w:rsidRDefault="001E5140" w:rsidP="001E5140">
      <w:pPr>
        <w:pStyle w:val="NoSpacing"/>
        <w:rPr>
          <w:b/>
          <w:highlight w:val="yellow"/>
        </w:rPr>
      </w:pPr>
      <w:r w:rsidRPr="00D90AC2">
        <w:rPr>
          <w:b/>
        </w:rPr>
        <w:t xml:space="preserve">Item </w:t>
      </w:r>
      <w:r w:rsidR="00D90AC2" w:rsidRPr="00D90AC2">
        <w:rPr>
          <w:b/>
        </w:rPr>
        <w:t>13</w:t>
      </w:r>
      <w:r w:rsidR="00737292" w:rsidRPr="00D90AC2">
        <w:rPr>
          <w:b/>
        </w:rPr>
        <w:t xml:space="preserve"> </w:t>
      </w:r>
      <w:r w:rsidRPr="00D90AC2">
        <w:rPr>
          <w:b/>
        </w:rPr>
        <w:t xml:space="preserve">- </w:t>
      </w:r>
      <w:r w:rsidR="00D90AC2" w:rsidRPr="00D90AC2">
        <w:rPr>
          <w:b/>
        </w:rPr>
        <w:t xml:space="preserve">Clause 3.1 of Schedule 1 (definition of </w:t>
      </w:r>
      <w:r w:rsidR="00D90AC2" w:rsidRPr="00D90AC2">
        <w:rPr>
          <w:b/>
          <w:i/>
        </w:rPr>
        <w:t>referring practitioner</w:t>
      </w:r>
      <w:r w:rsidR="00D90AC2" w:rsidRPr="00D90AC2">
        <w:rPr>
          <w:b/>
        </w:rPr>
        <w:t>)</w:t>
      </w:r>
    </w:p>
    <w:p w14:paraId="0A322BA6" w14:textId="77777777" w:rsidR="00101D91" w:rsidRDefault="001E5140" w:rsidP="00874681">
      <w:r w:rsidRPr="00D90AC2">
        <w:t xml:space="preserve">This item </w:t>
      </w:r>
      <w:r w:rsidR="00D90AC2" w:rsidRPr="00D90AC2">
        <w:t xml:space="preserve">repeals and </w:t>
      </w:r>
      <w:r w:rsidR="000C6530" w:rsidRPr="00D90AC2">
        <w:t>substitutes</w:t>
      </w:r>
      <w:r w:rsidR="00D90AC2" w:rsidRPr="00D90AC2">
        <w:t xml:space="preserve"> the definition of referring practitioner. This change is to simplify the definition and add a note that points </w:t>
      </w:r>
      <w:r w:rsidR="000C6530" w:rsidRPr="00D90AC2">
        <w:t>readers</w:t>
      </w:r>
      <w:r w:rsidR="00D90AC2" w:rsidRPr="00D90AC2">
        <w:t xml:space="preserve"> to where in the remade HIR information on the manner in which patients are to be referred can be found.</w:t>
      </w:r>
      <w:bookmarkStart w:id="4" w:name="_Toc522900589"/>
      <w:bookmarkStart w:id="5" w:name="_Toc522801957"/>
    </w:p>
    <w:p w14:paraId="2E5556D8" w14:textId="77777777" w:rsidR="00101D91" w:rsidRDefault="00101D91" w:rsidP="00874681"/>
    <w:p w14:paraId="25724C12" w14:textId="41C143DD" w:rsidR="00D90AC2" w:rsidRDefault="00D90AC2" w:rsidP="00874681">
      <w:r w:rsidRPr="00D90AC2">
        <w:rPr>
          <w:b/>
          <w:i/>
          <w:szCs w:val="24"/>
          <w:lang w:eastAsia="en-US"/>
        </w:rPr>
        <w:t>Health Insurance (Pathology Services Table) Regulations 2018</w:t>
      </w:r>
      <w:bookmarkEnd w:id="4"/>
      <w:bookmarkEnd w:id="5"/>
    </w:p>
    <w:p w14:paraId="77052FD5" w14:textId="77777777" w:rsidR="00D51DA1" w:rsidRPr="00B2095E" w:rsidRDefault="00D51DA1" w:rsidP="00D90AC2">
      <w:pPr>
        <w:pStyle w:val="NoSpacing"/>
        <w:rPr>
          <w:highlight w:val="yellow"/>
        </w:rPr>
      </w:pPr>
    </w:p>
    <w:p w14:paraId="4993173B" w14:textId="1411A409" w:rsidR="001E5140" w:rsidRDefault="001E5140" w:rsidP="001E5140">
      <w:pPr>
        <w:pStyle w:val="NoSpacing"/>
        <w:rPr>
          <w:b/>
        </w:rPr>
      </w:pPr>
      <w:r w:rsidRPr="00D90AC2">
        <w:rPr>
          <w:b/>
        </w:rPr>
        <w:t>Item</w:t>
      </w:r>
      <w:r w:rsidR="00D51DA1">
        <w:rPr>
          <w:b/>
        </w:rPr>
        <w:t>s</w:t>
      </w:r>
      <w:r w:rsidRPr="00D90AC2">
        <w:rPr>
          <w:b/>
        </w:rPr>
        <w:t xml:space="preserve"> </w:t>
      </w:r>
      <w:r w:rsidR="00D90AC2" w:rsidRPr="00D90AC2">
        <w:rPr>
          <w:b/>
        </w:rPr>
        <w:t>14</w:t>
      </w:r>
      <w:r w:rsidR="00D51DA1">
        <w:rPr>
          <w:b/>
        </w:rPr>
        <w:t xml:space="preserve">, 15 and </w:t>
      </w:r>
      <w:r w:rsidR="00274AF7">
        <w:rPr>
          <w:b/>
        </w:rPr>
        <w:t>16</w:t>
      </w:r>
      <w:r w:rsidRPr="00D90AC2">
        <w:rPr>
          <w:b/>
        </w:rPr>
        <w:t xml:space="preserve"> </w:t>
      </w:r>
    </w:p>
    <w:p w14:paraId="49F2A7F9" w14:textId="77777777" w:rsidR="00E00AD6" w:rsidRDefault="00E00AD6" w:rsidP="00E00AD6">
      <w:pPr>
        <w:pStyle w:val="Header"/>
        <w:tabs>
          <w:tab w:val="num" w:pos="1080"/>
        </w:tabs>
        <w:rPr>
          <w:lang w:val="en-US" w:eastAsia="en-US"/>
        </w:rPr>
      </w:pPr>
      <w:r w:rsidRPr="00153C22">
        <w:rPr>
          <w:lang w:eastAsia="en-US"/>
        </w:rPr>
        <w:t>Section 3 of the Act defines</w:t>
      </w:r>
      <w:r>
        <w:rPr>
          <w:lang w:eastAsia="en-US"/>
        </w:rPr>
        <w:t xml:space="preserve"> </w:t>
      </w:r>
      <w:r>
        <w:rPr>
          <w:lang w:val="en-US" w:eastAsia="en-US"/>
        </w:rPr>
        <w:t>‘general practitioner’ as:</w:t>
      </w:r>
    </w:p>
    <w:p w14:paraId="7D22CF86" w14:textId="77777777" w:rsidR="00E00AD6" w:rsidRPr="00153C22" w:rsidRDefault="00E00AD6" w:rsidP="00E00AD6">
      <w:pPr>
        <w:pStyle w:val="Header"/>
        <w:numPr>
          <w:ilvl w:val="0"/>
          <w:numId w:val="27"/>
        </w:numPr>
        <w:rPr>
          <w:lang w:eastAsia="en-US"/>
        </w:rPr>
      </w:pPr>
      <w:r>
        <w:rPr>
          <w:lang w:eastAsia="en-US"/>
        </w:rPr>
        <w:t xml:space="preserve">a medical practitioner </w:t>
      </w:r>
      <w:r>
        <w:rPr>
          <w:lang w:val="en-US" w:eastAsia="en-US"/>
        </w:rPr>
        <w:t>to whom there is a determination under section 3EA;</w:t>
      </w:r>
    </w:p>
    <w:p w14:paraId="3B80403D" w14:textId="77777777" w:rsidR="00E00AD6" w:rsidRDefault="00E00AD6" w:rsidP="00E00AD6">
      <w:pPr>
        <w:pStyle w:val="Header"/>
        <w:numPr>
          <w:ilvl w:val="0"/>
          <w:numId w:val="27"/>
        </w:numPr>
        <w:rPr>
          <w:lang w:eastAsia="en-US"/>
        </w:rPr>
      </w:pPr>
      <w:r>
        <w:rPr>
          <w:lang w:eastAsia="en-US"/>
        </w:rPr>
        <w:t>a medical practitioner who is vocationally registered under section 3F; or</w:t>
      </w:r>
    </w:p>
    <w:p w14:paraId="422D480A" w14:textId="77777777" w:rsidR="00E00AD6" w:rsidRDefault="00E00AD6" w:rsidP="00E00AD6">
      <w:pPr>
        <w:pStyle w:val="Header"/>
        <w:numPr>
          <w:ilvl w:val="0"/>
          <w:numId w:val="27"/>
        </w:numPr>
        <w:rPr>
          <w:lang w:eastAsia="en-US"/>
        </w:rPr>
      </w:pPr>
      <w:proofErr w:type="gramStart"/>
      <w:r>
        <w:rPr>
          <w:lang w:eastAsia="en-US"/>
        </w:rPr>
        <w:t>a</w:t>
      </w:r>
      <w:proofErr w:type="gramEnd"/>
      <w:r>
        <w:rPr>
          <w:lang w:eastAsia="en-US"/>
        </w:rPr>
        <w:t xml:space="preserve"> medical practitioner of a kind specified in the regulations.</w:t>
      </w:r>
    </w:p>
    <w:p w14:paraId="5C01BE69" w14:textId="77777777" w:rsidR="00E00AD6" w:rsidRPr="00D90AC2" w:rsidRDefault="00E00AD6" w:rsidP="001E5140">
      <w:pPr>
        <w:pStyle w:val="NoSpacing"/>
        <w:rPr>
          <w:b/>
        </w:rPr>
      </w:pPr>
    </w:p>
    <w:p w14:paraId="4B0BF72C" w14:textId="1F42E1B5" w:rsidR="00E00AD6" w:rsidRDefault="00E00AD6" w:rsidP="001E5140">
      <w:pPr>
        <w:pStyle w:val="NoSpacing"/>
      </w:pPr>
      <w:r>
        <w:t xml:space="preserve">Subclause 1.2.6(1) of the pathology services table is made </w:t>
      </w:r>
      <w:r w:rsidRPr="00AE0FEB">
        <w:t>for the purpose of paragraph (c) of the meaning of ‘general practitioner’ in the Act.</w:t>
      </w:r>
      <w:r>
        <w:t xml:space="preserve"> </w:t>
      </w:r>
      <w:r w:rsidR="00BD5E40">
        <w:t xml:space="preserve">The meaning of ‘general practitioner’ for the purpose of 1.2.6 of the pathology services table is: </w:t>
      </w:r>
    </w:p>
    <w:p w14:paraId="6FC4CEBB" w14:textId="77777777" w:rsidR="00BD5E40" w:rsidRPr="00175D33" w:rsidRDefault="00BD5E40" w:rsidP="00175D33">
      <w:pPr>
        <w:pStyle w:val="NoSpacing"/>
        <w:ind w:left="720"/>
      </w:pPr>
      <w:proofErr w:type="gramStart"/>
      <w:r w:rsidRPr="00175D33">
        <w:t>a</w:t>
      </w:r>
      <w:proofErr w:type="gramEnd"/>
      <w:r w:rsidRPr="00175D33">
        <w:t xml:space="preserve"> medical practitioner who:</w:t>
      </w:r>
    </w:p>
    <w:p w14:paraId="6C3BC821" w14:textId="77777777" w:rsidR="00BD5E40" w:rsidRPr="00175D33" w:rsidRDefault="00BD5E40" w:rsidP="00175D33">
      <w:pPr>
        <w:pStyle w:val="NoSpacing"/>
      </w:pPr>
      <w:r w:rsidRPr="00175D33">
        <w:rPr>
          <w:rFonts w:hint="eastAsia"/>
        </w:rPr>
        <w:t>                    </w:t>
      </w:r>
      <w:r w:rsidRPr="00175D33">
        <w:t xml:space="preserve"> (a)</w:t>
      </w:r>
      <w:r w:rsidRPr="00175D33">
        <w:rPr>
          <w:rFonts w:hint="eastAsia"/>
        </w:rPr>
        <w:t> </w:t>
      </w:r>
      <w:r w:rsidRPr="00175D33">
        <w:t xml:space="preserve"> </w:t>
      </w:r>
      <w:proofErr w:type="gramStart"/>
      <w:r w:rsidRPr="00175D33">
        <w:t>is</w:t>
      </w:r>
      <w:proofErr w:type="gramEnd"/>
      <w:r w:rsidRPr="00175D33">
        <w:t xml:space="preserve"> not a consultant physician in any specialty; and</w:t>
      </w:r>
    </w:p>
    <w:p w14:paraId="4C797EEB" w14:textId="752AE6CA" w:rsidR="00BD5E40" w:rsidRDefault="00BD5E40" w:rsidP="00BD5E40">
      <w:pPr>
        <w:pStyle w:val="NoSpacing"/>
      </w:pPr>
      <w:r w:rsidRPr="00175D33">
        <w:rPr>
          <w:rFonts w:hint="eastAsia"/>
        </w:rPr>
        <w:t>                    </w:t>
      </w:r>
      <w:r w:rsidRPr="00175D33">
        <w:t xml:space="preserve"> (b)</w:t>
      </w:r>
      <w:r w:rsidRPr="00175D33">
        <w:rPr>
          <w:rFonts w:hint="eastAsia"/>
        </w:rPr>
        <w:t> </w:t>
      </w:r>
      <w:r w:rsidRPr="00175D33">
        <w:t xml:space="preserve"> </w:t>
      </w:r>
      <w:proofErr w:type="gramStart"/>
      <w:r w:rsidRPr="00175D33">
        <w:t>is</w:t>
      </w:r>
      <w:proofErr w:type="gramEnd"/>
      <w:r w:rsidRPr="00175D33">
        <w:t xml:space="preserve"> not a specialist in any specialty.</w:t>
      </w:r>
    </w:p>
    <w:p w14:paraId="09E4BD56" w14:textId="274039BA" w:rsidR="00BD5E40" w:rsidRDefault="00BD5E40" w:rsidP="00BD5E40">
      <w:pPr>
        <w:pStyle w:val="NoSpacing"/>
      </w:pPr>
    </w:p>
    <w:p w14:paraId="65F351DC" w14:textId="2208A0D8" w:rsidR="00BD5E40" w:rsidRDefault="00BD5E40" w:rsidP="00BD5E40">
      <w:pPr>
        <w:pStyle w:val="NoSpacing"/>
      </w:pPr>
      <w:r>
        <w:t xml:space="preserve">Items 14 and 15 move the meaning </w:t>
      </w:r>
      <w:r w:rsidR="00274AF7">
        <w:t>of ‘general practitioner’ for the purpose of clause 1.2.6 from</w:t>
      </w:r>
      <w:r>
        <w:t xml:space="preserve"> </w:t>
      </w:r>
      <w:r w:rsidR="00274AF7">
        <w:t xml:space="preserve">subclause </w:t>
      </w:r>
      <w:r>
        <w:t xml:space="preserve">1.2.6(1) </w:t>
      </w:r>
      <w:r w:rsidR="00274AF7">
        <w:t xml:space="preserve">to </w:t>
      </w:r>
      <w:r>
        <w:t xml:space="preserve">subclause 1.2.6(2) by omitting ‘general practitioner’ and inserting </w:t>
      </w:r>
      <w:r w:rsidRPr="000B20B4">
        <w:t>“medical practitioner (other than a specialist or consultant physician)”</w:t>
      </w:r>
      <w:r w:rsidR="00274AF7">
        <w:t xml:space="preserve"> meaning subclause 1.2.6(1) is obsolete so it has been removed.</w:t>
      </w:r>
    </w:p>
    <w:p w14:paraId="400F4653" w14:textId="2509BF69" w:rsidR="0012464A" w:rsidRDefault="0012464A" w:rsidP="00BD5E40">
      <w:pPr>
        <w:pStyle w:val="NoSpacing"/>
      </w:pPr>
    </w:p>
    <w:p w14:paraId="79097C7A" w14:textId="77777777" w:rsidR="0012464A" w:rsidRDefault="0012464A" w:rsidP="0012464A">
      <w:pPr>
        <w:pStyle w:val="NoSpacing"/>
      </w:pPr>
      <w:r>
        <w:t>There is no change to the kind of medical practitioner who is a general practitioner under Medicare.</w:t>
      </w:r>
    </w:p>
    <w:p w14:paraId="63D9AEE0" w14:textId="7CB2E2A4" w:rsidR="00BD5E40" w:rsidRDefault="00BD5E40" w:rsidP="001E5140">
      <w:pPr>
        <w:pStyle w:val="NoSpacing"/>
      </w:pPr>
    </w:p>
    <w:p w14:paraId="11223416" w14:textId="1AAD5FE8" w:rsidR="00274AF7" w:rsidRPr="00141DCF" w:rsidRDefault="00274AF7" w:rsidP="00274AF7">
      <w:pPr>
        <w:pStyle w:val="Item"/>
        <w:spacing w:before="0"/>
        <w:ind w:left="0"/>
        <w:rPr>
          <w:sz w:val="24"/>
          <w:szCs w:val="24"/>
        </w:rPr>
      </w:pPr>
      <w:r w:rsidRPr="00141DCF">
        <w:rPr>
          <w:sz w:val="24"/>
          <w:szCs w:val="24"/>
        </w:rPr>
        <w:t xml:space="preserve">Item 16 </w:t>
      </w:r>
      <w:r w:rsidR="0012464A" w:rsidRPr="00141DCF">
        <w:rPr>
          <w:sz w:val="24"/>
          <w:szCs w:val="24"/>
        </w:rPr>
        <w:t xml:space="preserve">makes a consequential change by </w:t>
      </w:r>
      <w:r w:rsidRPr="00141DCF">
        <w:rPr>
          <w:sz w:val="24"/>
          <w:szCs w:val="24"/>
        </w:rPr>
        <w:t>amend</w:t>
      </w:r>
      <w:r w:rsidR="0012464A" w:rsidRPr="00141DCF">
        <w:rPr>
          <w:sz w:val="24"/>
          <w:szCs w:val="24"/>
        </w:rPr>
        <w:t>ing</w:t>
      </w:r>
      <w:r w:rsidRPr="00141DCF">
        <w:rPr>
          <w:sz w:val="24"/>
          <w:szCs w:val="24"/>
        </w:rPr>
        <w:t xml:space="preserve"> the item descriptor of item </w:t>
      </w:r>
      <w:r w:rsidRPr="008C46A5">
        <w:rPr>
          <w:sz w:val="24"/>
          <w:szCs w:val="24"/>
          <w:lang w:eastAsia="en-US"/>
        </w:rPr>
        <w:t>66836</w:t>
      </w:r>
      <w:r w:rsidR="0012464A" w:rsidRPr="008C46A5">
        <w:rPr>
          <w:sz w:val="24"/>
          <w:szCs w:val="24"/>
          <w:lang w:eastAsia="en-US"/>
        </w:rPr>
        <w:t xml:space="preserve"> </w:t>
      </w:r>
      <w:r w:rsidR="0012464A" w:rsidRPr="00141DCF">
        <w:rPr>
          <w:sz w:val="24"/>
          <w:szCs w:val="24"/>
        </w:rPr>
        <w:t xml:space="preserve">to omit ‘general practitioner’ and insert </w:t>
      </w:r>
      <w:r w:rsidR="0012464A" w:rsidRPr="008C46A5">
        <w:rPr>
          <w:sz w:val="24"/>
          <w:szCs w:val="24"/>
          <w:lang w:eastAsia="en-US"/>
        </w:rPr>
        <w:t>“medical practitioner (other than a specialist or consultant physician)” to align with the changes made in items 14 and 15.</w:t>
      </w:r>
    </w:p>
    <w:p w14:paraId="34410D6D" w14:textId="77777777" w:rsidR="00E43BAA" w:rsidRPr="00B2095E" w:rsidRDefault="00E43BAA" w:rsidP="001E5140">
      <w:pPr>
        <w:pStyle w:val="NoSpacing"/>
        <w:rPr>
          <w:highlight w:val="yellow"/>
        </w:rPr>
      </w:pPr>
    </w:p>
    <w:p w14:paraId="185BEB09" w14:textId="0B1D0B53" w:rsidR="001E5140" w:rsidRPr="00E43BAA" w:rsidRDefault="001E5140" w:rsidP="001E5140">
      <w:pPr>
        <w:pStyle w:val="NoSpacing"/>
        <w:rPr>
          <w:b/>
        </w:rPr>
      </w:pPr>
      <w:r w:rsidRPr="00E43BAA">
        <w:rPr>
          <w:b/>
        </w:rPr>
        <w:t xml:space="preserve">Item </w:t>
      </w:r>
      <w:r w:rsidR="00EA2BCB" w:rsidRPr="00E43BAA">
        <w:rPr>
          <w:b/>
        </w:rPr>
        <w:t>1</w:t>
      </w:r>
      <w:r w:rsidR="00D90AC2" w:rsidRPr="00E43BAA">
        <w:rPr>
          <w:b/>
        </w:rPr>
        <w:t>7</w:t>
      </w:r>
      <w:r w:rsidRPr="00E43BAA">
        <w:rPr>
          <w:b/>
        </w:rPr>
        <w:t xml:space="preserve"> - </w:t>
      </w:r>
      <w:r w:rsidR="00D90AC2" w:rsidRPr="00E43BAA">
        <w:rPr>
          <w:b/>
        </w:rPr>
        <w:t xml:space="preserve">Subclause 2.12.1(2) of Schedule 1 (paragraph (a) of the definition of </w:t>
      </w:r>
      <w:proofErr w:type="spellStart"/>
      <w:r w:rsidR="00D90AC2" w:rsidRPr="00E43BAA">
        <w:rPr>
          <w:b/>
          <w:i/>
        </w:rPr>
        <w:t>unreferred</w:t>
      </w:r>
      <w:proofErr w:type="spellEnd"/>
      <w:r w:rsidR="00D90AC2" w:rsidRPr="00E43BAA">
        <w:rPr>
          <w:b/>
          <w:i/>
        </w:rPr>
        <w:t xml:space="preserve"> service</w:t>
      </w:r>
      <w:r w:rsidR="00D90AC2" w:rsidRPr="00E43BAA">
        <w:rPr>
          <w:b/>
        </w:rPr>
        <w:t>)</w:t>
      </w:r>
    </w:p>
    <w:p w14:paraId="43ADF013" w14:textId="7241BB5A" w:rsidR="00BC5ADE" w:rsidRDefault="00E43BAA" w:rsidP="00BC5ADE">
      <w:pPr>
        <w:pStyle w:val="NoSpacing"/>
      </w:pPr>
      <w:r w:rsidRPr="000B20B4">
        <w:t>This item makes a minor editorial amendment</w:t>
      </w:r>
      <w:r>
        <w:t xml:space="preserve"> </w:t>
      </w:r>
      <w:r w:rsidR="00BC5ADE">
        <w:t>by r</w:t>
      </w:r>
      <w:r w:rsidR="00BC5ADE" w:rsidRPr="006B4182">
        <w:t>epeal</w:t>
      </w:r>
      <w:r w:rsidR="00BC5ADE">
        <w:t>ing</w:t>
      </w:r>
      <w:r w:rsidR="00BC5ADE" w:rsidRPr="006B4182">
        <w:t xml:space="preserve"> </w:t>
      </w:r>
      <w:r w:rsidR="00BC5ADE">
        <w:t xml:space="preserve">and substituting </w:t>
      </w:r>
      <w:r w:rsidR="00BC5ADE" w:rsidRPr="006B4182">
        <w:t>paragraph</w:t>
      </w:r>
      <w:r w:rsidR="00BC5ADE">
        <w:t xml:space="preserve"> (a) </w:t>
      </w:r>
      <w:r w:rsidR="00BC5ADE" w:rsidRPr="00BC5ADE">
        <w:t xml:space="preserve">of the definition of </w:t>
      </w:r>
      <w:proofErr w:type="spellStart"/>
      <w:r w:rsidR="00BC5ADE" w:rsidRPr="00BC5ADE">
        <w:rPr>
          <w:i/>
        </w:rPr>
        <w:t>unreferred</w:t>
      </w:r>
      <w:proofErr w:type="spellEnd"/>
      <w:r w:rsidR="00BC5ADE" w:rsidRPr="00BC5ADE">
        <w:rPr>
          <w:i/>
        </w:rPr>
        <w:t xml:space="preserve"> service</w:t>
      </w:r>
      <w:r w:rsidR="00BC5ADE">
        <w:t xml:space="preserve">. </w:t>
      </w:r>
      <w:r w:rsidR="00BC5ADE" w:rsidRPr="00D90AC2">
        <w:t xml:space="preserve">This change is to simplify the definition </w:t>
      </w:r>
      <w:r w:rsidR="00BC5ADE">
        <w:t>to make it easier for a reader to understand</w:t>
      </w:r>
      <w:r w:rsidR="00C15C59" w:rsidRPr="00C15C59">
        <w:t xml:space="preserve"> </w:t>
      </w:r>
      <w:r w:rsidR="00C15C59">
        <w:t>but maintains the current intent.</w:t>
      </w:r>
    </w:p>
    <w:p w14:paraId="6D5A59F2" w14:textId="1925E375" w:rsidR="00E43BAA" w:rsidRPr="00BC5ADE" w:rsidRDefault="00E43BAA" w:rsidP="001E5140">
      <w:pPr>
        <w:pStyle w:val="NoSpacing"/>
      </w:pPr>
    </w:p>
    <w:p w14:paraId="68119887" w14:textId="392BA787" w:rsidR="001E5140" w:rsidRPr="0017258F" w:rsidRDefault="001E5140" w:rsidP="001E5140">
      <w:pPr>
        <w:pStyle w:val="NoSpacing"/>
        <w:rPr>
          <w:b/>
        </w:rPr>
      </w:pPr>
      <w:r w:rsidRPr="0017258F">
        <w:rPr>
          <w:b/>
        </w:rPr>
        <w:t xml:space="preserve">Item </w:t>
      </w:r>
      <w:r w:rsidR="00D90AC2" w:rsidRPr="0017258F">
        <w:rPr>
          <w:b/>
        </w:rPr>
        <w:t>18</w:t>
      </w:r>
      <w:r w:rsidRPr="0017258F">
        <w:rPr>
          <w:b/>
        </w:rPr>
        <w:t xml:space="preserve"> - </w:t>
      </w:r>
      <w:r w:rsidR="00D90AC2" w:rsidRPr="0017258F">
        <w:rPr>
          <w:b/>
        </w:rPr>
        <w:t xml:space="preserve">Clause 5.1 of Schedule 1 (definition of </w:t>
      </w:r>
      <w:r w:rsidR="00D90AC2" w:rsidRPr="0017258F">
        <w:rPr>
          <w:b/>
          <w:i/>
        </w:rPr>
        <w:t>general practitioner</w:t>
      </w:r>
      <w:r w:rsidR="00D90AC2" w:rsidRPr="0017258F">
        <w:rPr>
          <w:b/>
        </w:rPr>
        <w:t>)</w:t>
      </w:r>
    </w:p>
    <w:p w14:paraId="3C22EDBC" w14:textId="193974F4" w:rsidR="00BC5ADE" w:rsidRPr="00F36073" w:rsidRDefault="00BC5ADE" w:rsidP="00BC5ADE">
      <w:pPr>
        <w:pStyle w:val="NoSpacing"/>
      </w:pPr>
      <w:bookmarkStart w:id="6" w:name="_Toc522900590"/>
      <w:bookmarkStart w:id="7" w:name="_Toc522801958"/>
      <w:r w:rsidRPr="00C37E5C">
        <w:t xml:space="preserve">This item </w:t>
      </w:r>
      <w:r w:rsidR="00C37E5C" w:rsidRPr="00C37E5C">
        <w:t>makes a minor editorial amendment by repealing</w:t>
      </w:r>
      <w:r w:rsidRPr="00C37E5C">
        <w:t xml:space="preserve"> the definition of </w:t>
      </w:r>
      <w:r w:rsidR="00C37E5C" w:rsidRPr="00C37E5C">
        <w:t xml:space="preserve">general practitioner in clause 5.1. This change has been made as the definition of general practitioner in contained in </w:t>
      </w:r>
      <w:r w:rsidR="000C6530" w:rsidRPr="00C37E5C">
        <w:t>subsection</w:t>
      </w:r>
      <w:r w:rsidR="00C37E5C" w:rsidRPr="00C37E5C">
        <w:t xml:space="preserve"> 3(1) of the</w:t>
      </w:r>
      <w:r w:rsidR="005939AF" w:rsidRPr="005939AF">
        <w:t xml:space="preserve"> Act</w:t>
      </w:r>
      <w:r w:rsidR="00BD5E40">
        <w:t xml:space="preserve"> and there is no longer a definition in clause 1.2.6 of the pathology service table.</w:t>
      </w:r>
    </w:p>
    <w:p w14:paraId="373F5713" w14:textId="77777777" w:rsidR="0017258F" w:rsidRDefault="0017258F" w:rsidP="0017258F">
      <w:pPr>
        <w:pStyle w:val="NoSpacing"/>
      </w:pPr>
    </w:p>
    <w:p w14:paraId="654DD11F" w14:textId="7ACA2020" w:rsidR="0017258F" w:rsidRPr="0017258F" w:rsidRDefault="0017258F" w:rsidP="0017258F">
      <w:pPr>
        <w:pStyle w:val="NoSpacing"/>
        <w:rPr>
          <w:b/>
          <w:i/>
          <w:highlight w:val="yellow"/>
        </w:rPr>
      </w:pPr>
      <w:r w:rsidRPr="0017258F">
        <w:rPr>
          <w:b/>
          <w:i/>
        </w:rPr>
        <w:t>Health Insurance (Professional Services Review) Regulations 1999</w:t>
      </w:r>
      <w:bookmarkEnd w:id="6"/>
      <w:bookmarkEnd w:id="7"/>
    </w:p>
    <w:p w14:paraId="0AC07101" w14:textId="77777777" w:rsidR="0017258F" w:rsidRPr="00B2095E" w:rsidRDefault="0017258F" w:rsidP="001E5140">
      <w:pPr>
        <w:pStyle w:val="NoSpacing"/>
        <w:rPr>
          <w:highlight w:val="yellow"/>
        </w:rPr>
      </w:pPr>
    </w:p>
    <w:p w14:paraId="3A444B3B" w14:textId="2F9587FB" w:rsidR="001E5140" w:rsidRPr="0017258F" w:rsidRDefault="001E5140" w:rsidP="001E5140">
      <w:pPr>
        <w:pStyle w:val="NoSpacing"/>
        <w:rPr>
          <w:b/>
        </w:rPr>
      </w:pPr>
      <w:r w:rsidRPr="0017258F">
        <w:rPr>
          <w:b/>
        </w:rPr>
        <w:lastRenderedPageBreak/>
        <w:t xml:space="preserve">Item </w:t>
      </w:r>
      <w:r w:rsidR="0017258F" w:rsidRPr="0017258F">
        <w:rPr>
          <w:b/>
        </w:rPr>
        <w:t>19</w:t>
      </w:r>
      <w:r w:rsidRPr="0017258F">
        <w:rPr>
          <w:b/>
        </w:rPr>
        <w:t xml:space="preserve"> - </w:t>
      </w:r>
      <w:r w:rsidR="0017258F" w:rsidRPr="0017258F">
        <w:rPr>
          <w:b/>
        </w:rPr>
        <w:t>After Part 3</w:t>
      </w:r>
    </w:p>
    <w:p w14:paraId="72058B66" w14:textId="51FE0F7A" w:rsidR="0012464A" w:rsidRPr="00175D33" w:rsidRDefault="001E5140" w:rsidP="00A76828">
      <w:pPr>
        <w:pStyle w:val="NoSpacing"/>
      </w:pPr>
      <w:r w:rsidRPr="008C46A5">
        <w:t xml:space="preserve">This item </w:t>
      </w:r>
      <w:r w:rsidR="00A76828" w:rsidRPr="008C46A5">
        <w:t xml:space="preserve">makes a consequential amendment to the </w:t>
      </w:r>
      <w:r w:rsidR="00A76828" w:rsidRPr="008C46A5">
        <w:rPr>
          <w:i/>
        </w:rPr>
        <w:t>Health Insurance (Professional Services Review) Regulations 1999</w:t>
      </w:r>
      <w:r w:rsidR="00A76828" w:rsidRPr="00C91A61">
        <w:rPr>
          <w:i/>
        </w:rPr>
        <w:t xml:space="preserve"> </w:t>
      </w:r>
      <w:r w:rsidR="00A76828" w:rsidRPr="00C91A61">
        <w:t>(PSR Regulations)</w:t>
      </w:r>
      <w:r w:rsidR="00B5459B" w:rsidRPr="00C91A61">
        <w:t xml:space="preserve"> by inserting the allowances for witnesses at Professional Services Review Committees</w:t>
      </w:r>
      <w:r w:rsidR="00A76828" w:rsidRPr="00175D33">
        <w:t xml:space="preserve">. </w:t>
      </w:r>
      <w:r w:rsidR="0012464A" w:rsidRPr="00175D33">
        <w:t>The provisions around allowances for witnesses at hearings before a Professional Services Review Committee were removed from:</w:t>
      </w:r>
    </w:p>
    <w:p w14:paraId="34577493" w14:textId="35ECE3B9" w:rsidR="0012464A" w:rsidRPr="00175D33" w:rsidRDefault="0012464A" w:rsidP="0012464A">
      <w:pPr>
        <w:pStyle w:val="NoSpacing"/>
        <w:numPr>
          <w:ilvl w:val="0"/>
          <w:numId w:val="26"/>
        </w:numPr>
      </w:pPr>
      <w:r w:rsidRPr="00175D33">
        <w:t xml:space="preserve">section 24 of the Previous Regulations; and </w:t>
      </w:r>
    </w:p>
    <w:p w14:paraId="1A1FFA14" w14:textId="329ABCFC" w:rsidR="0012464A" w:rsidRPr="00C91A61" w:rsidRDefault="00175D33" w:rsidP="0012464A">
      <w:pPr>
        <w:pStyle w:val="NoSpacing"/>
        <w:numPr>
          <w:ilvl w:val="0"/>
          <w:numId w:val="26"/>
        </w:numPr>
      </w:pPr>
      <w:r w:rsidRPr="00175D33">
        <w:t>Schedule</w:t>
      </w:r>
      <w:r w:rsidR="0012464A" w:rsidRPr="00175D33">
        <w:t xml:space="preserve"> 2 of the Previous Regulations.</w:t>
      </w:r>
    </w:p>
    <w:p w14:paraId="507E5871" w14:textId="1A13D652" w:rsidR="000D0827" w:rsidRPr="00C91A61" w:rsidRDefault="000D0827" w:rsidP="000D0827">
      <w:pPr>
        <w:pStyle w:val="NoSpacing"/>
      </w:pPr>
    </w:p>
    <w:p w14:paraId="0611D784" w14:textId="160D751A" w:rsidR="000D0827" w:rsidRPr="008C46A5" w:rsidRDefault="000D0827" w:rsidP="00141DCF">
      <w:pPr>
        <w:pStyle w:val="NoSpacing"/>
      </w:pPr>
      <w:r w:rsidRPr="00C91A61">
        <w:t>This change has been made because the provisions</w:t>
      </w:r>
      <w:r w:rsidRPr="00643E0C">
        <w:t xml:space="preserve"> around</w:t>
      </w:r>
      <w:r w:rsidR="00175D33" w:rsidRPr="00643E0C">
        <w:t xml:space="preserve"> witness fees more appropriately sit </w:t>
      </w:r>
      <w:r w:rsidR="00175D33" w:rsidRPr="00175D33">
        <w:t>within the PSR Regulations.</w:t>
      </w:r>
      <w:r w:rsidRPr="00175D33">
        <w:t xml:space="preserve"> </w:t>
      </w:r>
    </w:p>
    <w:p w14:paraId="4550A032" w14:textId="35FB3934" w:rsidR="000066D0" w:rsidRDefault="000066D0" w:rsidP="001E5140">
      <w:pPr>
        <w:pStyle w:val="NoSpacing"/>
        <w:rPr>
          <w:highlight w:val="yellow"/>
        </w:rPr>
      </w:pPr>
    </w:p>
    <w:p w14:paraId="4BDD0D1D" w14:textId="37835295" w:rsidR="0017258F" w:rsidRDefault="0017258F" w:rsidP="0017258F">
      <w:pPr>
        <w:rPr>
          <w:u w:val="single"/>
          <w:lang w:val="en-US" w:eastAsia="en-US"/>
        </w:rPr>
      </w:pPr>
      <w:r w:rsidRPr="008C4CAD">
        <w:rPr>
          <w:u w:val="single"/>
          <w:lang w:val="en-US" w:eastAsia="en-US"/>
        </w:rPr>
        <w:t>Sc</w:t>
      </w:r>
      <w:r>
        <w:rPr>
          <w:u w:val="single"/>
          <w:lang w:val="en-US" w:eastAsia="en-US"/>
        </w:rPr>
        <w:t>hedule 2</w:t>
      </w:r>
      <w:r w:rsidRPr="008C4CAD">
        <w:rPr>
          <w:u w:val="single"/>
          <w:lang w:val="en-US" w:eastAsia="en-US"/>
        </w:rPr>
        <w:t xml:space="preserve"> – </w:t>
      </w:r>
      <w:r>
        <w:rPr>
          <w:u w:val="single"/>
          <w:lang w:val="en-US" w:eastAsia="en-US"/>
        </w:rPr>
        <w:t>Repeals</w:t>
      </w:r>
    </w:p>
    <w:p w14:paraId="6548DE41" w14:textId="77777777" w:rsidR="0017258F" w:rsidRDefault="0017258F" w:rsidP="0017258F">
      <w:pPr>
        <w:rPr>
          <w:u w:val="single"/>
          <w:lang w:val="en-US" w:eastAsia="en-US"/>
        </w:rPr>
      </w:pPr>
    </w:p>
    <w:p w14:paraId="44CB7462" w14:textId="77777777" w:rsidR="0017258F" w:rsidRDefault="0017258F" w:rsidP="0017258F">
      <w:pPr>
        <w:pStyle w:val="NoSpacing"/>
        <w:rPr>
          <w:b/>
        </w:rPr>
      </w:pPr>
      <w:r w:rsidRPr="0017258F">
        <w:rPr>
          <w:b/>
        </w:rPr>
        <w:t>Item 1 - Repeals of instruments</w:t>
      </w:r>
    </w:p>
    <w:p w14:paraId="6AB968C7" w14:textId="7282E895" w:rsidR="0017258F" w:rsidRDefault="0017258F" w:rsidP="0017258F">
      <w:pPr>
        <w:pStyle w:val="NoSpacing"/>
      </w:pPr>
      <w:r w:rsidRPr="0017258F">
        <w:t xml:space="preserve">This item repeals the </w:t>
      </w:r>
      <w:r w:rsidRPr="0017258F">
        <w:rPr>
          <w:i/>
        </w:rPr>
        <w:t>Health Insurance (Pathology Services) Regulations 2018</w:t>
      </w:r>
      <w:r>
        <w:rPr>
          <w:i/>
        </w:rPr>
        <w:t xml:space="preserve"> </w:t>
      </w:r>
      <w:r w:rsidRPr="0017258F">
        <w:t xml:space="preserve">and </w:t>
      </w:r>
      <w:r w:rsidR="000C6530" w:rsidRPr="0017258F">
        <w:t>the</w:t>
      </w:r>
      <w:r w:rsidR="000C6530">
        <w:t xml:space="preserve"> </w:t>
      </w:r>
      <w:r w:rsidR="000C6530">
        <w:rPr>
          <w:i/>
        </w:rPr>
        <w:t>Health</w:t>
      </w:r>
      <w:r w:rsidRPr="0017258F">
        <w:rPr>
          <w:i/>
        </w:rPr>
        <w:t xml:space="preserve"> Insurance (Vocational Registration of General Practitioners) Regulations 1989</w:t>
      </w:r>
      <w:r>
        <w:rPr>
          <w:i/>
        </w:rPr>
        <w:t xml:space="preserve">. </w:t>
      </w:r>
      <w:r w:rsidRPr="0017258F">
        <w:t xml:space="preserve">These instruments have been incorporated into the </w:t>
      </w:r>
      <w:r w:rsidR="00FF5C6C">
        <w:t>Principal Regulations</w:t>
      </w:r>
      <w:r w:rsidRPr="0017258F">
        <w:t>.</w:t>
      </w:r>
    </w:p>
    <w:p w14:paraId="3284330E" w14:textId="77777777" w:rsidR="0017258F" w:rsidRDefault="0017258F" w:rsidP="0017258F">
      <w:pPr>
        <w:pStyle w:val="NoSpacing"/>
      </w:pPr>
    </w:p>
    <w:p w14:paraId="25F697DA" w14:textId="25044298" w:rsidR="0017258F" w:rsidRDefault="0017258F" w:rsidP="006868D9">
      <w:pPr>
        <w:pStyle w:val="NoSpacing"/>
        <w:rPr>
          <w:highlight w:val="yellow"/>
        </w:rPr>
      </w:pPr>
      <w:r>
        <w:t xml:space="preserve">This item also repeals the </w:t>
      </w:r>
      <w:r w:rsidRPr="0017258F">
        <w:rPr>
          <w:i/>
        </w:rPr>
        <w:t>Health Insurance Regulations 1975</w:t>
      </w:r>
      <w:r w:rsidR="00741A61">
        <w:rPr>
          <w:i/>
        </w:rPr>
        <w:t xml:space="preserve"> </w:t>
      </w:r>
      <w:r w:rsidR="00741A61">
        <w:t>which ha</w:t>
      </w:r>
      <w:r w:rsidR="00511BDD">
        <w:t>s</w:t>
      </w:r>
      <w:r w:rsidR="00741A61">
        <w:t xml:space="preserve"> been remade and </w:t>
      </w:r>
      <w:r w:rsidR="00511BDD">
        <w:t>is</w:t>
      </w:r>
      <w:r w:rsidR="00741A61">
        <w:t xml:space="preserve"> now referred to as the </w:t>
      </w:r>
      <w:r w:rsidR="00741A61" w:rsidRPr="00F175B6">
        <w:rPr>
          <w:i/>
        </w:rPr>
        <w:t>Health Insurance Regulations 2018</w:t>
      </w:r>
      <w:r w:rsidR="00741A61">
        <w:rPr>
          <w:i/>
        </w:rPr>
        <w:t>.</w:t>
      </w:r>
      <w:r w:rsidR="001339D0">
        <w:t xml:space="preserve"> </w:t>
      </w:r>
    </w:p>
    <w:p w14:paraId="226EFC0F" w14:textId="77777777" w:rsidR="00B24389" w:rsidRDefault="00B24389">
      <w:pPr>
        <w:spacing w:after="200" w:line="276" w:lineRule="auto"/>
        <w:rPr>
          <w:b/>
          <w:sz w:val="28"/>
          <w:szCs w:val="28"/>
        </w:rPr>
      </w:pPr>
      <w:r>
        <w:rPr>
          <w:b/>
          <w:sz w:val="28"/>
          <w:szCs w:val="28"/>
        </w:rPr>
        <w:br w:type="page"/>
      </w:r>
    </w:p>
    <w:p w14:paraId="2F1A388E" w14:textId="0EE280AC" w:rsidR="003E571F" w:rsidRPr="0017258F" w:rsidRDefault="003E571F" w:rsidP="003E571F">
      <w:pPr>
        <w:spacing w:before="360" w:after="120"/>
        <w:jc w:val="center"/>
        <w:rPr>
          <w:b/>
          <w:sz w:val="28"/>
          <w:szCs w:val="28"/>
        </w:rPr>
      </w:pPr>
      <w:r w:rsidRPr="0017258F">
        <w:rPr>
          <w:b/>
          <w:sz w:val="28"/>
          <w:szCs w:val="28"/>
        </w:rPr>
        <w:lastRenderedPageBreak/>
        <w:t>Statement of Compatibility with Human Rights</w:t>
      </w:r>
    </w:p>
    <w:p w14:paraId="2F1A3890" w14:textId="22CBD7F8" w:rsidR="003E571F" w:rsidRPr="0017258F" w:rsidRDefault="003E571F" w:rsidP="00B20A35">
      <w:pPr>
        <w:spacing w:before="120" w:after="120"/>
        <w:jc w:val="center"/>
        <w:rPr>
          <w:szCs w:val="24"/>
        </w:rPr>
      </w:pPr>
      <w:r w:rsidRPr="0017258F">
        <w:rPr>
          <w:i/>
          <w:szCs w:val="24"/>
        </w:rPr>
        <w:t>Prepared in accordance with Part 3 of the Human Rights (Parliamentary Scrutiny) Act 2011</w:t>
      </w:r>
    </w:p>
    <w:p w14:paraId="409ED0D9" w14:textId="77777777" w:rsidR="004246E4" w:rsidRPr="0017258F" w:rsidRDefault="004246E4" w:rsidP="004246E4">
      <w:pPr>
        <w:spacing w:before="120" w:after="120"/>
        <w:jc w:val="center"/>
        <w:rPr>
          <w:b/>
          <w:i/>
          <w:szCs w:val="24"/>
        </w:rPr>
      </w:pPr>
    </w:p>
    <w:p w14:paraId="2F1A3891" w14:textId="7C91C538" w:rsidR="003E571F" w:rsidRPr="0017258F" w:rsidRDefault="0017258F" w:rsidP="0017258F">
      <w:pPr>
        <w:jc w:val="center"/>
        <w:rPr>
          <w:i/>
          <w:szCs w:val="24"/>
        </w:rPr>
      </w:pPr>
      <w:r w:rsidRPr="0017258F">
        <w:rPr>
          <w:i/>
          <w:szCs w:val="24"/>
        </w:rPr>
        <w:t>Health Insurance (Repeal and Consequential Amendments) Regulations 2018</w:t>
      </w:r>
      <w:r w:rsidR="008F4C42" w:rsidRPr="0017258F">
        <w:rPr>
          <w:b/>
          <w:i/>
          <w:szCs w:val="24"/>
        </w:rPr>
        <w:br/>
      </w:r>
    </w:p>
    <w:p w14:paraId="2F1A3892" w14:textId="27EABBC0" w:rsidR="003E571F" w:rsidRPr="0017258F" w:rsidRDefault="003E571F" w:rsidP="003E571F">
      <w:pPr>
        <w:jc w:val="center"/>
        <w:rPr>
          <w:szCs w:val="24"/>
        </w:rPr>
      </w:pPr>
      <w:r w:rsidRPr="0017258F">
        <w:rPr>
          <w:szCs w:val="24"/>
        </w:rPr>
        <w:t xml:space="preserve">This </w:t>
      </w:r>
      <w:r w:rsidR="00651925" w:rsidRPr="0017258F">
        <w:rPr>
          <w:szCs w:val="24"/>
        </w:rPr>
        <w:t xml:space="preserve">Disallowable </w:t>
      </w:r>
      <w:r w:rsidRPr="0017258F">
        <w:rPr>
          <w:szCs w:val="24"/>
        </w:rPr>
        <w:t xml:space="preserve">Legislative Instrument is compatible with the human rights and freedoms recognised or declared in the international instruments listed in section 3 of the </w:t>
      </w:r>
      <w:r w:rsidRPr="0017258F">
        <w:rPr>
          <w:i/>
          <w:szCs w:val="24"/>
        </w:rPr>
        <w:t>Human Rights (Parliamentary Scrutiny) Act 2011</w:t>
      </w:r>
      <w:r w:rsidRPr="0017258F">
        <w:rPr>
          <w:szCs w:val="24"/>
        </w:rPr>
        <w:t>.</w:t>
      </w:r>
    </w:p>
    <w:p w14:paraId="2F1A3894" w14:textId="77777777" w:rsidR="003E571F" w:rsidRPr="00B2095E" w:rsidRDefault="003E571F" w:rsidP="003E571F">
      <w:pPr>
        <w:jc w:val="both"/>
        <w:rPr>
          <w:szCs w:val="24"/>
          <w:highlight w:val="yellow"/>
        </w:rPr>
      </w:pPr>
    </w:p>
    <w:p w14:paraId="2F1A3897" w14:textId="73317D34" w:rsidR="003E571F" w:rsidRPr="0017258F" w:rsidRDefault="003E571F" w:rsidP="002019AA">
      <w:pPr>
        <w:spacing w:before="120" w:after="120"/>
        <w:rPr>
          <w:b/>
          <w:szCs w:val="24"/>
        </w:rPr>
      </w:pPr>
      <w:r w:rsidRPr="0017258F">
        <w:rPr>
          <w:b/>
          <w:szCs w:val="24"/>
        </w:rPr>
        <w:t>Overvie</w:t>
      </w:r>
      <w:r w:rsidR="00BA3475" w:rsidRPr="0017258F">
        <w:rPr>
          <w:b/>
          <w:szCs w:val="24"/>
        </w:rPr>
        <w:t xml:space="preserve">w of the </w:t>
      </w:r>
      <w:r w:rsidR="00651925" w:rsidRPr="0017258F">
        <w:rPr>
          <w:b/>
          <w:szCs w:val="24"/>
        </w:rPr>
        <w:t xml:space="preserve">Disallowable </w:t>
      </w:r>
      <w:r w:rsidR="00BA3475" w:rsidRPr="0017258F">
        <w:rPr>
          <w:b/>
          <w:szCs w:val="24"/>
        </w:rPr>
        <w:t>Legislative Instrument</w:t>
      </w:r>
    </w:p>
    <w:p w14:paraId="4913C5C6" w14:textId="77777777" w:rsidR="00175D33" w:rsidRDefault="00175D33" w:rsidP="00175D33">
      <w:pPr>
        <w:rPr>
          <w:szCs w:val="24"/>
        </w:rPr>
      </w:pPr>
      <w:r>
        <w:rPr>
          <w:szCs w:val="24"/>
        </w:rPr>
        <w:t xml:space="preserve">From 1 October 2018 the </w:t>
      </w:r>
      <w:r w:rsidRPr="00F175B6">
        <w:rPr>
          <w:i/>
          <w:szCs w:val="24"/>
        </w:rPr>
        <w:t xml:space="preserve">Health Insurance Regulations </w:t>
      </w:r>
      <w:r w:rsidRPr="00F93DFD">
        <w:rPr>
          <w:i/>
          <w:szCs w:val="24"/>
        </w:rPr>
        <w:t>1975</w:t>
      </w:r>
      <w:r>
        <w:rPr>
          <w:i/>
          <w:szCs w:val="24"/>
        </w:rPr>
        <w:t xml:space="preserve"> </w:t>
      </w:r>
      <w:r w:rsidRPr="00F93DFD">
        <w:rPr>
          <w:szCs w:val="24"/>
        </w:rPr>
        <w:t>(the Previous Regulations)</w:t>
      </w:r>
      <w:r>
        <w:rPr>
          <w:i/>
          <w:szCs w:val="24"/>
        </w:rPr>
        <w:t xml:space="preserve"> </w:t>
      </w:r>
      <w:r>
        <w:rPr>
          <w:szCs w:val="24"/>
        </w:rPr>
        <w:t xml:space="preserve">will be repealed and replaced by the </w:t>
      </w:r>
      <w:r w:rsidRPr="00F175B6">
        <w:rPr>
          <w:i/>
          <w:szCs w:val="24"/>
        </w:rPr>
        <w:t xml:space="preserve">Health Insurance Regulations 2018 </w:t>
      </w:r>
      <w:r w:rsidRPr="00F175B6">
        <w:rPr>
          <w:szCs w:val="24"/>
        </w:rPr>
        <w:t xml:space="preserve">(the </w:t>
      </w:r>
      <w:r>
        <w:rPr>
          <w:szCs w:val="24"/>
        </w:rPr>
        <w:t>Principal</w:t>
      </w:r>
      <w:r w:rsidRPr="00F93DFD">
        <w:rPr>
          <w:szCs w:val="24"/>
        </w:rPr>
        <w:t xml:space="preserve"> Regulations</w:t>
      </w:r>
      <w:r w:rsidRPr="00F175B6">
        <w:rPr>
          <w:szCs w:val="24"/>
        </w:rPr>
        <w:t xml:space="preserve">). The </w:t>
      </w:r>
      <w:r>
        <w:rPr>
          <w:szCs w:val="24"/>
        </w:rPr>
        <w:t xml:space="preserve">Previous Regulations </w:t>
      </w:r>
      <w:r w:rsidRPr="00F175B6">
        <w:rPr>
          <w:szCs w:val="24"/>
        </w:rPr>
        <w:t xml:space="preserve">have been remade </w:t>
      </w:r>
      <w:r>
        <w:rPr>
          <w:szCs w:val="24"/>
        </w:rPr>
        <w:t xml:space="preserve">due to the </w:t>
      </w:r>
      <w:proofErr w:type="spellStart"/>
      <w:r>
        <w:rPr>
          <w:szCs w:val="24"/>
        </w:rPr>
        <w:t>sunsetting</w:t>
      </w:r>
      <w:proofErr w:type="spellEnd"/>
      <w:r>
        <w:rPr>
          <w:szCs w:val="24"/>
        </w:rPr>
        <w:t xml:space="preserve"> provisions in </w:t>
      </w:r>
      <w:r w:rsidRPr="00F175B6">
        <w:rPr>
          <w:szCs w:val="24"/>
        </w:rPr>
        <w:t xml:space="preserve">section 50 of the </w:t>
      </w:r>
      <w:r w:rsidRPr="00F175B6">
        <w:rPr>
          <w:i/>
          <w:szCs w:val="24"/>
        </w:rPr>
        <w:t>Legislation Act 2003</w:t>
      </w:r>
      <w:r>
        <w:rPr>
          <w:szCs w:val="24"/>
        </w:rPr>
        <w:t>.</w:t>
      </w:r>
    </w:p>
    <w:p w14:paraId="16970DA1" w14:textId="77777777" w:rsidR="00175D33" w:rsidRDefault="00175D33" w:rsidP="00175D33">
      <w:pPr>
        <w:tabs>
          <w:tab w:val="left" w:pos="1553"/>
        </w:tabs>
        <w:rPr>
          <w:szCs w:val="24"/>
        </w:rPr>
      </w:pPr>
      <w:r>
        <w:rPr>
          <w:szCs w:val="24"/>
        </w:rPr>
        <w:tab/>
      </w:r>
    </w:p>
    <w:p w14:paraId="3BF2A504" w14:textId="77777777" w:rsidR="00175D33" w:rsidRPr="008B3BFD" w:rsidRDefault="00175D33" w:rsidP="00175D33">
      <w:pPr>
        <w:rPr>
          <w:szCs w:val="24"/>
        </w:rPr>
      </w:pPr>
      <w:r>
        <w:rPr>
          <w:szCs w:val="24"/>
        </w:rPr>
        <w:t xml:space="preserve">A number of consequential amendments are required to other instruments to reflect changes in the </w:t>
      </w:r>
      <w:r w:rsidRPr="002E4139">
        <w:rPr>
          <w:szCs w:val="24"/>
        </w:rPr>
        <w:t>Principal Regulations</w:t>
      </w:r>
      <w:r>
        <w:rPr>
          <w:szCs w:val="24"/>
        </w:rPr>
        <w:t xml:space="preserve">. These amendments have been made through the </w:t>
      </w:r>
      <w:r w:rsidRPr="00F175B6">
        <w:rPr>
          <w:i/>
          <w:szCs w:val="24"/>
        </w:rPr>
        <w:t xml:space="preserve">Health Insurance (Repeal and Consequential Amendments) Regulations 2018 </w:t>
      </w:r>
      <w:r w:rsidRPr="00F175B6">
        <w:rPr>
          <w:szCs w:val="24"/>
        </w:rPr>
        <w:t xml:space="preserve">(the </w:t>
      </w:r>
      <w:r>
        <w:rPr>
          <w:szCs w:val="24"/>
        </w:rPr>
        <w:t xml:space="preserve">Consequential </w:t>
      </w:r>
      <w:r w:rsidRPr="00F175B6">
        <w:rPr>
          <w:szCs w:val="24"/>
        </w:rPr>
        <w:t>Regulations)</w:t>
      </w:r>
      <w:r>
        <w:rPr>
          <w:szCs w:val="24"/>
        </w:rPr>
        <w:t>,</w:t>
      </w:r>
      <w:r w:rsidRPr="00F175B6">
        <w:rPr>
          <w:szCs w:val="24"/>
        </w:rPr>
        <w:t xml:space="preserve"> </w:t>
      </w:r>
      <w:r>
        <w:rPr>
          <w:szCs w:val="24"/>
        </w:rPr>
        <w:t>and include:</w:t>
      </w:r>
    </w:p>
    <w:p w14:paraId="66B167E3" w14:textId="77777777" w:rsidR="00175D33" w:rsidRPr="00857381" w:rsidRDefault="00175D33" w:rsidP="00175D33">
      <w:pPr>
        <w:pStyle w:val="ListNumber"/>
        <w:numPr>
          <w:ilvl w:val="0"/>
          <w:numId w:val="22"/>
        </w:numPr>
        <w:spacing w:after="0" w:line="240" w:lineRule="auto"/>
        <w:rPr>
          <w:rFonts w:ascii="Times New Roman" w:hAnsi="Times New Roman"/>
          <w:sz w:val="24"/>
          <w:szCs w:val="24"/>
        </w:rPr>
      </w:pPr>
      <w:r>
        <w:rPr>
          <w:rFonts w:ascii="Times New Roman" w:hAnsi="Times New Roman"/>
          <w:sz w:val="24"/>
          <w:szCs w:val="24"/>
        </w:rPr>
        <w:t>consequential amendments to reflect the change in the name and the reordering of sections;</w:t>
      </w:r>
    </w:p>
    <w:p w14:paraId="3EEB5CB6" w14:textId="77777777" w:rsidR="00175D33" w:rsidRDefault="00175D33" w:rsidP="00175D33">
      <w:pPr>
        <w:pStyle w:val="ListNumber"/>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the repeal of instruments, where the purpose of that instrument has been incorporated into the </w:t>
      </w:r>
      <w:r w:rsidRPr="002E4139">
        <w:rPr>
          <w:rFonts w:ascii="Times New Roman" w:hAnsi="Times New Roman"/>
          <w:sz w:val="24"/>
          <w:szCs w:val="24"/>
        </w:rPr>
        <w:t>Principal Regulations</w:t>
      </w:r>
      <w:r>
        <w:rPr>
          <w:rFonts w:ascii="Times New Roman" w:hAnsi="Times New Roman"/>
          <w:sz w:val="24"/>
          <w:szCs w:val="24"/>
        </w:rPr>
        <w:t>; and</w:t>
      </w:r>
    </w:p>
    <w:p w14:paraId="66508583" w14:textId="77777777" w:rsidR="00175D33" w:rsidRDefault="00175D33" w:rsidP="00175D33">
      <w:pPr>
        <w:pStyle w:val="ListNumber"/>
        <w:numPr>
          <w:ilvl w:val="0"/>
          <w:numId w:val="22"/>
        </w:num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removal of clauses which are duplicated in the Principal Regulations.</w:t>
      </w:r>
    </w:p>
    <w:p w14:paraId="2F1A3898" w14:textId="72A83CB0" w:rsidR="003E571F" w:rsidRPr="0017258F" w:rsidRDefault="00175D33" w:rsidP="003E571F">
      <w:pPr>
        <w:spacing w:before="120" w:after="120"/>
        <w:rPr>
          <w:b/>
          <w:szCs w:val="24"/>
        </w:rPr>
      </w:pPr>
      <w:r w:rsidRPr="00F175B6" w:rsidDel="00175D33">
        <w:rPr>
          <w:szCs w:val="24"/>
        </w:rPr>
        <w:t xml:space="preserve"> </w:t>
      </w:r>
      <w:r w:rsidR="003E571F" w:rsidRPr="0017258F">
        <w:rPr>
          <w:b/>
          <w:szCs w:val="24"/>
        </w:rPr>
        <w:t>Human rights implications</w:t>
      </w:r>
    </w:p>
    <w:p w14:paraId="233FD912" w14:textId="7FB9EEC0" w:rsidR="00B24389" w:rsidRDefault="003E571F" w:rsidP="003E571F">
      <w:pPr>
        <w:spacing w:before="120" w:after="120"/>
        <w:rPr>
          <w:i/>
          <w:szCs w:val="24"/>
        </w:rPr>
      </w:pPr>
      <w:r w:rsidRPr="0017258F">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17258F" w:rsidRDefault="003E571F" w:rsidP="003E571F">
      <w:pPr>
        <w:spacing w:before="120" w:after="120"/>
        <w:rPr>
          <w:i/>
          <w:szCs w:val="24"/>
        </w:rPr>
      </w:pPr>
      <w:r w:rsidRPr="0017258F">
        <w:rPr>
          <w:i/>
          <w:szCs w:val="24"/>
        </w:rPr>
        <w:t>The Right to Health</w:t>
      </w:r>
    </w:p>
    <w:p w14:paraId="2F1A389B" w14:textId="74DE4592" w:rsidR="003E571F" w:rsidRPr="0017258F" w:rsidRDefault="003E571F" w:rsidP="003E571F">
      <w:pPr>
        <w:spacing w:before="120" w:after="120"/>
        <w:rPr>
          <w:szCs w:val="24"/>
        </w:rPr>
      </w:pPr>
      <w:r w:rsidRPr="0017258F">
        <w:rPr>
          <w:szCs w:val="24"/>
        </w:rPr>
        <w:t>The right to the enjoyment of the highest attainable standard of physical and mental health is contained in Article 12(1) of the ICESCR</w:t>
      </w:r>
      <w:r w:rsidR="00120125" w:rsidRPr="0017258F">
        <w:rPr>
          <w:szCs w:val="24"/>
        </w:rPr>
        <w:t xml:space="preserve">. </w:t>
      </w:r>
      <w:r w:rsidRPr="0017258F">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7AAB658C" w:rsidR="003E571F" w:rsidRPr="0017258F" w:rsidRDefault="003E571F" w:rsidP="003E571F">
      <w:pPr>
        <w:spacing w:before="120" w:after="120"/>
        <w:rPr>
          <w:szCs w:val="24"/>
        </w:rPr>
      </w:pPr>
      <w:r w:rsidRPr="0017258F">
        <w:rPr>
          <w:szCs w:val="24"/>
        </w:rPr>
        <w:t xml:space="preserve">The Committee reports that the </w:t>
      </w:r>
      <w:r w:rsidRPr="0017258F">
        <w:rPr>
          <w:i/>
          <w:szCs w:val="24"/>
        </w:rPr>
        <w:t>‘highest attainable standard of health’</w:t>
      </w:r>
      <w:r w:rsidRPr="0017258F">
        <w:rPr>
          <w:szCs w:val="24"/>
        </w:rPr>
        <w:t xml:space="preserve"> takes into account the country’s available resources</w:t>
      </w:r>
      <w:r w:rsidR="00120125" w:rsidRPr="0017258F">
        <w:rPr>
          <w:szCs w:val="24"/>
        </w:rPr>
        <w:t xml:space="preserve">. </w:t>
      </w:r>
      <w:r w:rsidRPr="0017258F">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17258F" w:rsidRDefault="003E571F" w:rsidP="003E571F">
      <w:pPr>
        <w:spacing w:before="120" w:after="120"/>
        <w:rPr>
          <w:i/>
          <w:szCs w:val="24"/>
        </w:rPr>
      </w:pPr>
      <w:r w:rsidRPr="0017258F">
        <w:rPr>
          <w:i/>
          <w:szCs w:val="24"/>
        </w:rPr>
        <w:t xml:space="preserve">The Right to Social Security </w:t>
      </w:r>
    </w:p>
    <w:p w14:paraId="2F1A389E" w14:textId="34F80EF0" w:rsidR="003E571F" w:rsidRPr="0017258F" w:rsidRDefault="003E571F" w:rsidP="003E571F">
      <w:pPr>
        <w:spacing w:before="120" w:after="120"/>
        <w:rPr>
          <w:szCs w:val="24"/>
        </w:rPr>
      </w:pPr>
      <w:r w:rsidRPr="0017258F">
        <w:rPr>
          <w:szCs w:val="24"/>
        </w:rPr>
        <w:t>The right to social security is contained in Article 9 of the ICESCR</w:t>
      </w:r>
      <w:r w:rsidR="00120125" w:rsidRPr="0017258F">
        <w:rPr>
          <w:szCs w:val="24"/>
        </w:rPr>
        <w:t xml:space="preserve">. </w:t>
      </w:r>
      <w:r w:rsidRPr="0017258F">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120125" w:rsidRPr="0017258F">
        <w:rPr>
          <w:szCs w:val="24"/>
        </w:rPr>
        <w:t xml:space="preserve">. </w:t>
      </w:r>
      <w:r w:rsidRPr="0017258F">
        <w:rPr>
          <w:szCs w:val="24"/>
        </w:rPr>
        <w:t>Countries are obliged to demonstrate that every effort has been made to use all resources that are at their disposal in an effort to satisfy, as a matter of priority, this minimum obligation.</w:t>
      </w:r>
    </w:p>
    <w:p w14:paraId="2F7B8854" w14:textId="37DBEC9D" w:rsidR="006868D9" w:rsidRDefault="003E571F" w:rsidP="003E571F">
      <w:pPr>
        <w:spacing w:before="120" w:after="120"/>
        <w:rPr>
          <w:szCs w:val="24"/>
          <w:u w:val="single"/>
        </w:rPr>
      </w:pPr>
      <w:r w:rsidRPr="0017258F">
        <w:rPr>
          <w:szCs w:val="24"/>
        </w:rPr>
        <w:lastRenderedPageBreak/>
        <w:t>The Committee reports that there is a strong presumption that retrogressive measures taken in relation to the right to social security are prohibited under ICESCR</w:t>
      </w:r>
      <w:r w:rsidR="00120125" w:rsidRPr="0017258F">
        <w:rPr>
          <w:szCs w:val="24"/>
        </w:rPr>
        <w:t xml:space="preserve">. </w:t>
      </w:r>
      <w:r w:rsidRPr="0017258F">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120125" w:rsidRPr="0017258F">
        <w:rPr>
          <w:szCs w:val="24"/>
        </w:rPr>
        <w:t xml:space="preserve">. </w:t>
      </w:r>
      <w:r w:rsidRPr="0017258F">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17258F" w:rsidRDefault="003E571F" w:rsidP="003E571F">
      <w:pPr>
        <w:spacing w:before="120" w:after="120"/>
        <w:rPr>
          <w:szCs w:val="24"/>
        </w:rPr>
      </w:pPr>
      <w:r w:rsidRPr="0017258F">
        <w:rPr>
          <w:szCs w:val="24"/>
          <w:u w:val="single"/>
        </w:rPr>
        <w:t xml:space="preserve">Analysis </w:t>
      </w:r>
    </w:p>
    <w:p w14:paraId="422BA7E2" w14:textId="60B874E8" w:rsidR="008040C8" w:rsidRPr="0017258F" w:rsidRDefault="000419E1" w:rsidP="0005445A">
      <w:pPr>
        <w:spacing w:before="120" w:after="120"/>
        <w:rPr>
          <w:szCs w:val="24"/>
        </w:rPr>
      </w:pPr>
      <w:r w:rsidRPr="0017258F">
        <w:rPr>
          <w:szCs w:val="24"/>
        </w:rPr>
        <w:t>The</w:t>
      </w:r>
      <w:r w:rsidR="003E571F" w:rsidRPr="0017258F">
        <w:rPr>
          <w:szCs w:val="24"/>
        </w:rPr>
        <w:t xml:space="preserve"> Regulation</w:t>
      </w:r>
      <w:r w:rsidRPr="0017258F">
        <w:rPr>
          <w:szCs w:val="24"/>
        </w:rPr>
        <w:t>s</w:t>
      </w:r>
      <w:r w:rsidR="003E571F" w:rsidRPr="0017258F">
        <w:rPr>
          <w:szCs w:val="24"/>
        </w:rPr>
        <w:t xml:space="preserve"> will maintain rights to health and social security by ensuring access to publicly subsidised health services which are clinically effective and cost-effective.</w:t>
      </w:r>
      <w:r w:rsidR="0026457B" w:rsidRPr="0017258F">
        <w:rPr>
          <w:szCs w:val="24"/>
        </w:rPr>
        <w:t xml:space="preserve"> </w:t>
      </w:r>
    </w:p>
    <w:p w14:paraId="2F1A38A3" w14:textId="3FA549CF" w:rsidR="003E571F" w:rsidRPr="0017258F" w:rsidRDefault="003E571F" w:rsidP="0005445A">
      <w:pPr>
        <w:spacing w:before="120" w:after="120"/>
        <w:rPr>
          <w:rFonts w:eastAsia="Calibri"/>
          <w:b/>
          <w:szCs w:val="24"/>
          <w:lang w:eastAsia="en-US"/>
        </w:rPr>
      </w:pPr>
      <w:r w:rsidRPr="0017258F">
        <w:rPr>
          <w:rFonts w:eastAsia="Calibri"/>
          <w:b/>
          <w:szCs w:val="24"/>
          <w:lang w:eastAsia="en-US"/>
        </w:rPr>
        <w:t xml:space="preserve">Conclusion </w:t>
      </w:r>
    </w:p>
    <w:p w14:paraId="2F1A38A5" w14:textId="73B4DFA9" w:rsidR="003E571F" w:rsidRPr="0017258F" w:rsidRDefault="00C15C59" w:rsidP="003E571F">
      <w:pPr>
        <w:rPr>
          <w:szCs w:val="24"/>
        </w:rPr>
      </w:pPr>
      <w:r>
        <w:rPr>
          <w:szCs w:val="24"/>
        </w:rPr>
        <w:t>The Regulations</w:t>
      </w:r>
      <w:r w:rsidR="00907A5E" w:rsidRPr="0017258F">
        <w:rPr>
          <w:szCs w:val="24"/>
        </w:rPr>
        <w:t xml:space="preserve"> </w:t>
      </w:r>
      <w:r>
        <w:rPr>
          <w:szCs w:val="24"/>
        </w:rPr>
        <w:t>are</w:t>
      </w:r>
      <w:r w:rsidR="00907A5E" w:rsidRPr="0017258F">
        <w:rPr>
          <w:szCs w:val="24"/>
        </w:rPr>
        <w:t xml:space="preserve"> compatible with human rights as it does not raise any human rights issues.</w:t>
      </w:r>
    </w:p>
    <w:p w14:paraId="258AB72B" w14:textId="77777777" w:rsidR="00907A5E" w:rsidRPr="00B2095E" w:rsidRDefault="00907A5E" w:rsidP="003E571F">
      <w:pPr>
        <w:rPr>
          <w:rFonts w:eastAsia="Calibri"/>
          <w:szCs w:val="24"/>
          <w:highlight w:val="yellow"/>
          <w:lang w:eastAsia="en-US"/>
        </w:rPr>
      </w:pPr>
    </w:p>
    <w:p w14:paraId="2F1A38A6" w14:textId="42A41D9E" w:rsidR="003E571F" w:rsidRPr="00F0707F" w:rsidRDefault="00C15C59" w:rsidP="003E571F">
      <w:pPr>
        <w:spacing w:before="120" w:after="120" w:line="276" w:lineRule="auto"/>
        <w:jc w:val="center"/>
        <w:rPr>
          <w:rFonts w:eastAsia="Calibri"/>
          <w:b/>
          <w:bCs/>
          <w:szCs w:val="24"/>
          <w:lang w:eastAsia="en-US"/>
        </w:rPr>
      </w:pPr>
      <w:r>
        <w:rPr>
          <w:rFonts w:eastAsia="Calibri"/>
          <w:b/>
          <w:bCs/>
          <w:szCs w:val="24"/>
          <w:lang w:eastAsia="en-US"/>
        </w:rPr>
        <w:t>Greg Hunt</w:t>
      </w:r>
    </w:p>
    <w:p w14:paraId="2F1A38A7" w14:textId="2D110EAA" w:rsidR="003E571F" w:rsidRPr="00F0707F" w:rsidRDefault="003E571F" w:rsidP="003E571F">
      <w:pPr>
        <w:spacing w:before="120" w:after="120" w:line="276" w:lineRule="auto"/>
        <w:jc w:val="center"/>
        <w:rPr>
          <w:rFonts w:eastAsia="Calibri"/>
          <w:b/>
          <w:bCs/>
          <w:szCs w:val="24"/>
          <w:lang w:eastAsia="en-US"/>
        </w:rPr>
      </w:pPr>
      <w:r w:rsidRPr="00F0707F">
        <w:rPr>
          <w:rFonts w:eastAsia="Calibri"/>
          <w:b/>
          <w:bCs/>
          <w:szCs w:val="24"/>
          <w:lang w:eastAsia="en-US"/>
        </w:rPr>
        <w:t xml:space="preserve">Minister for </w:t>
      </w:r>
      <w:r w:rsidR="00C15C59">
        <w:rPr>
          <w:rFonts w:eastAsia="Calibri"/>
          <w:b/>
          <w:bCs/>
          <w:szCs w:val="24"/>
          <w:lang w:eastAsia="en-US"/>
        </w:rPr>
        <w:t>Health</w:t>
      </w:r>
    </w:p>
    <w:p w14:paraId="2F1A38A8" w14:textId="377DF803"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847D7" w15:done="0"/>
  <w15:commentEx w15:paraId="080DCC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847D7" w16cid:durableId="1F2EC72C"/>
  <w16cid:commentId w16cid:paraId="080DCC91" w16cid:durableId="1F2ED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0A65F" w14:textId="77777777" w:rsidR="006E56E3" w:rsidRDefault="006E56E3">
      <w:r>
        <w:separator/>
      </w:r>
    </w:p>
  </w:endnote>
  <w:endnote w:type="continuationSeparator" w:id="0">
    <w:p w14:paraId="30C92B14" w14:textId="77777777" w:rsidR="006E56E3" w:rsidRDefault="006E56E3">
      <w:r>
        <w:continuationSeparator/>
      </w:r>
    </w:p>
  </w:endnote>
  <w:endnote w:type="continuationNotice" w:id="1">
    <w:p w14:paraId="2F61B083" w14:textId="77777777" w:rsidR="006E56E3" w:rsidRDefault="006E5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60281" w14:textId="77777777" w:rsidR="006E56E3" w:rsidRDefault="006E56E3">
      <w:r>
        <w:separator/>
      </w:r>
    </w:p>
  </w:footnote>
  <w:footnote w:type="continuationSeparator" w:id="0">
    <w:p w14:paraId="5B6010E1" w14:textId="77777777" w:rsidR="006E56E3" w:rsidRDefault="006E56E3">
      <w:r>
        <w:continuationSeparator/>
      </w:r>
    </w:p>
  </w:footnote>
  <w:footnote w:type="continuationNotice" w:id="1">
    <w:p w14:paraId="00BEA633" w14:textId="77777777" w:rsidR="006E56E3" w:rsidRDefault="006E5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F708B1" w:rsidRDefault="00F708B1">
        <w:pPr>
          <w:pStyle w:val="Header"/>
          <w:jc w:val="center"/>
        </w:pPr>
        <w:r>
          <w:fldChar w:fldCharType="begin"/>
        </w:r>
        <w:r>
          <w:instrText xml:space="preserve"> PAGE   \* MERGEFORMAT </w:instrText>
        </w:r>
        <w:r>
          <w:fldChar w:fldCharType="separate"/>
        </w:r>
        <w:r w:rsidR="00C31943">
          <w:rPr>
            <w:noProof/>
          </w:rPr>
          <w:t>4</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FB4D70"/>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A00D36"/>
    <w:multiLevelType w:val="hybridMultilevel"/>
    <w:tmpl w:val="7DC6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1264E7"/>
    <w:multiLevelType w:val="hybridMultilevel"/>
    <w:tmpl w:val="672A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4B5662D"/>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637AFD"/>
    <w:multiLevelType w:val="hybridMultilevel"/>
    <w:tmpl w:val="2FD0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DB2C82"/>
    <w:multiLevelType w:val="hybridMultilevel"/>
    <w:tmpl w:val="55F0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1"/>
  </w:num>
  <w:num w:numId="4">
    <w:abstractNumId w:val="15"/>
  </w:num>
  <w:num w:numId="5">
    <w:abstractNumId w:val="6"/>
  </w:num>
  <w:num w:numId="6">
    <w:abstractNumId w:val="20"/>
  </w:num>
  <w:num w:numId="7">
    <w:abstractNumId w:val="4"/>
  </w:num>
  <w:num w:numId="8">
    <w:abstractNumId w:val="18"/>
  </w:num>
  <w:num w:numId="9">
    <w:abstractNumId w:val="22"/>
  </w:num>
  <w:num w:numId="10">
    <w:abstractNumId w:val="24"/>
  </w:num>
  <w:num w:numId="11">
    <w:abstractNumId w:val="5"/>
  </w:num>
  <w:num w:numId="12">
    <w:abstractNumId w:val="23"/>
  </w:num>
  <w:num w:numId="13">
    <w:abstractNumId w:val="9"/>
  </w:num>
  <w:num w:numId="14">
    <w:abstractNumId w:val="8"/>
  </w:num>
  <w:num w:numId="15">
    <w:abstractNumId w:val="16"/>
  </w:num>
  <w:num w:numId="16">
    <w:abstractNumId w:val="19"/>
  </w:num>
  <w:num w:numId="17">
    <w:abstractNumId w:val="0"/>
  </w:num>
  <w:num w:numId="18">
    <w:abstractNumId w:val="26"/>
  </w:num>
  <w:num w:numId="19">
    <w:abstractNumId w:val="1"/>
  </w:num>
  <w:num w:numId="20">
    <w:abstractNumId w:val="7"/>
  </w:num>
  <w:num w:numId="21">
    <w:abstractNumId w:val="17"/>
  </w:num>
  <w:num w:numId="22">
    <w:abstractNumId w:val="13"/>
  </w:num>
  <w:num w:numId="23">
    <w:abstractNumId w:val="10"/>
  </w:num>
  <w:num w:numId="24">
    <w:abstractNumId w:val="25"/>
  </w:num>
  <w:num w:numId="25">
    <w:abstractNumId w:val="12"/>
  </w:num>
  <w:num w:numId="26">
    <w:abstractNumId w:val="14"/>
  </w:num>
  <w:num w:numId="2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n grech">
    <w15:presenceInfo w15:providerId="Windows Live" w15:userId="860c5167c0c76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3F16"/>
    <w:rsid w:val="00037A1D"/>
    <w:rsid w:val="000407C2"/>
    <w:rsid w:val="0004154D"/>
    <w:rsid w:val="000419E1"/>
    <w:rsid w:val="00041E67"/>
    <w:rsid w:val="0004236F"/>
    <w:rsid w:val="000433EE"/>
    <w:rsid w:val="00044A2A"/>
    <w:rsid w:val="00046206"/>
    <w:rsid w:val="000462E0"/>
    <w:rsid w:val="00047A15"/>
    <w:rsid w:val="000509BA"/>
    <w:rsid w:val="00051421"/>
    <w:rsid w:val="00052061"/>
    <w:rsid w:val="0005224B"/>
    <w:rsid w:val="00052794"/>
    <w:rsid w:val="000529AB"/>
    <w:rsid w:val="0005322F"/>
    <w:rsid w:val="0005445A"/>
    <w:rsid w:val="00054882"/>
    <w:rsid w:val="00054C12"/>
    <w:rsid w:val="0005533C"/>
    <w:rsid w:val="00056406"/>
    <w:rsid w:val="00060E00"/>
    <w:rsid w:val="00060EAF"/>
    <w:rsid w:val="000617C6"/>
    <w:rsid w:val="00062A7D"/>
    <w:rsid w:val="000631E4"/>
    <w:rsid w:val="000643E5"/>
    <w:rsid w:val="00064BA4"/>
    <w:rsid w:val="000665BC"/>
    <w:rsid w:val="000666F0"/>
    <w:rsid w:val="00070895"/>
    <w:rsid w:val="000710DD"/>
    <w:rsid w:val="000727E0"/>
    <w:rsid w:val="00073B43"/>
    <w:rsid w:val="0007640A"/>
    <w:rsid w:val="00077D68"/>
    <w:rsid w:val="00080E28"/>
    <w:rsid w:val="000858F8"/>
    <w:rsid w:val="000875AE"/>
    <w:rsid w:val="00090202"/>
    <w:rsid w:val="000902EB"/>
    <w:rsid w:val="00093E83"/>
    <w:rsid w:val="000945D2"/>
    <w:rsid w:val="000962CE"/>
    <w:rsid w:val="000969EF"/>
    <w:rsid w:val="000A11A7"/>
    <w:rsid w:val="000A1F07"/>
    <w:rsid w:val="000A31F2"/>
    <w:rsid w:val="000A45BE"/>
    <w:rsid w:val="000A4ADA"/>
    <w:rsid w:val="000A53FB"/>
    <w:rsid w:val="000B0ED6"/>
    <w:rsid w:val="000B1523"/>
    <w:rsid w:val="000B20B4"/>
    <w:rsid w:val="000B3452"/>
    <w:rsid w:val="000B450B"/>
    <w:rsid w:val="000B4F9C"/>
    <w:rsid w:val="000B50B8"/>
    <w:rsid w:val="000B53E7"/>
    <w:rsid w:val="000B6BB0"/>
    <w:rsid w:val="000B6E79"/>
    <w:rsid w:val="000B721F"/>
    <w:rsid w:val="000C0C37"/>
    <w:rsid w:val="000C3EDB"/>
    <w:rsid w:val="000C47AF"/>
    <w:rsid w:val="000C548C"/>
    <w:rsid w:val="000C587F"/>
    <w:rsid w:val="000C6530"/>
    <w:rsid w:val="000C6797"/>
    <w:rsid w:val="000C6FF8"/>
    <w:rsid w:val="000D0827"/>
    <w:rsid w:val="000D39A2"/>
    <w:rsid w:val="000D48B1"/>
    <w:rsid w:val="000D4BEF"/>
    <w:rsid w:val="000D6400"/>
    <w:rsid w:val="000D7803"/>
    <w:rsid w:val="000D7A7C"/>
    <w:rsid w:val="000D7AE8"/>
    <w:rsid w:val="000E1410"/>
    <w:rsid w:val="000E1ACD"/>
    <w:rsid w:val="000E2291"/>
    <w:rsid w:val="000E22EB"/>
    <w:rsid w:val="000E505E"/>
    <w:rsid w:val="000E62B2"/>
    <w:rsid w:val="000E6702"/>
    <w:rsid w:val="000F1714"/>
    <w:rsid w:val="000F249E"/>
    <w:rsid w:val="000F25DC"/>
    <w:rsid w:val="000F2CF6"/>
    <w:rsid w:val="000F3D69"/>
    <w:rsid w:val="000F5054"/>
    <w:rsid w:val="000F5E76"/>
    <w:rsid w:val="000F7206"/>
    <w:rsid w:val="000F734C"/>
    <w:rsid w:val="00100B79"/>
    <w:rsid w:val="00101D91"/>
    <w:rsid w:val="0010312E"/>
    <w:rsid w:val="00103F18"/>
    <w:rsid w:val="001073E2"/>
    <w:rsid w:val="00107404"/>
    <w:rsid w:val="00107FBC"/>
    <w:rsid w:val="001143C3"/>
    <w:rsid w:val="001179C5"/>
    <w:rsid w:val="00120125"/>
    <w:rsid w:val="001239BE"/>
    <w:rsid w:val="00124440"/>
    <w:rsid w:val="0012464A"/>
    <w:rsid w:val="00125DDD"/>
    <w:rsid w:val="001300C4"/>
    <w:rsid w:val="0013024A"/>
    <w:rsid w:val="00130653"/>
    <w:rsid w:val="001309B4"/>
    <w:rsid w:val="00132930"/>
    <w:rsid w:val="00132DD2"/>
    <w:rsid w:val="001339D0"/>
    <w:rsid w:val="001339D5"/>
    <w:rsid w:val="00134A81"/>
    <w:rsid w:val="00134B27"/>
    <w:rsid w:val="00137B72"/>
    <w:rsid w:val="00140901"/>
    <w:rsid w:val="00141DCF"/>
    <w:rsid w:val="00141E8C"/>
    <w:rsid w:val="00142619"/>
    <w:rsid w:val="00142C17"/>
    <w:rsid w:val="00143E0F"/>
    <w:rsid w:val="00144BB7"/>
    <w:rsid w:val="0014594B"/>
    <w:rsid w:val="00145F61"/>
    <w:rsid w:val="001471FB"/>
    <w:rsid w:val="0014793E"/>
    <w:rsid w:val="00151565"/>
    <w:rsid w:val="00151812"/>
    <w:rsid w:val="00154DC5"/>
    <w:rsid w:val="00154FC4"/>
    <w:rsid w:val="0015521F"/>
    <w:rsid w:val="001561B8"/>
    <w:rsid w:val="00156D7C"/>
    <w:rsid w:val="0015782F"/>
    <w:rsid w:val="00160A4E"/>
    <w:rsid w:val="00161152"/>
    <w:rsid w:val="001619C7"/>
    <w:rsid w:val="0016200A"/>
    <w:rsid w:val="001623E2"/>
    <w:rsid w:val="00162C3E"/>
    <w:rsid w:val="001641C0"/>
    <w:rsid w:val="001664F5"/>
    <w:rsid w:val="0016690A"/>
    <w:rsid w:val="00167999"/>
    <w:rsid w:val="00170785"/>
    <w:rsid w:val="00171693"/>
    <w:rsid w:val="0017187F"/>
    <w:rsid w:val="0017258F"/>
    <w:rsid w:val="001753EC"/>
    <w:rsid w:val="001755E9"/>
    <w:rsid w:val="001759C3"/>
    <w:rsid w:val="00175D33"/>
    <w:rsid w:val="001770D9"/>
    <w:rsid w:val="0018012F"/>
    <w:rsid w:val="00181BCF"/>
    <w:rsid w:val="00182B1A"/>
    <w:rsid w:val="00182CC0"/>
    <w:rsid w:val="0018451D"/>
    <w:rsid w:val="00184F74"/>
    <w:rsid w:val="00185238"/>
    <w:rsid w:val="001867EA"/>
    <w:rsid w:val="0018711C"/>
    <w:rsid w:val="00187C1B"/>
    <w:rsid w:val="00190B6A"/>
    <w:rsid w:val="0019289B"/>
    <w:rsid w:val="0019464A"/>
    <w:rsid w:val="0019475A"/>
    <w:rsid w:val="00195A6A"/>
    <w:rsid w:val="00197183"/>
    <w:rsid w:val="001978CE"/>
    <w:rsid w:val="00197F34"/>
    <w:rsid w:val="001A0CB8"/>
    <w:rsid w:val="001A300C"/>
    <w:rsid w:val="001A4BE2"/>
    <w:rsid w:val="001A56BD"/>
    <w:rsid w:val="001A61D8"/>
    <w:rsid w:val="001A7440"/>
    <w:rsid w:val="001B1FC7"/>
    <w:rsid w:val="001B5232"/>
    <w:rsid w:val="001B73BA"/>
    <w:rsid w:val="001C03B3"/>
    <w:rsid w:val="001C2338"/>
    <w:rsid w:val="001C3A1C"/>
    <w:rsid w:val="001C6713"/>
    <w:rsid w:val="001C7677"/>
    <w:rsid w:val="001C78CA"/>
    <w:rsid w:val="001C7E32"/>
    <w:rsid w:val="001D028D"/>
    <w:rsid w:val="001D1E6B"/>
    <w:rsid w:val="001D2199"/>
    <w:rsid w:val="001D32CB"/>
    <w:rsid w:val="001D5397"/>
    <w:rsid w:val="001D778A"/>
    <w:rsid w:val="001D7D62"/>
    <w:rsid w:val="001E1942"/>
    <w:rsid w:val="001E302E"/>
    <w:rsid w:val="001E3B02"/>
    <w:rsid w:val="001E4DAF"/>
    <w:rsid w:val="001E5140"/>
    <w:rsid w:val="001E5383"/>
    <w:rsid w:val="001E5BB1"/>
    <w:rsid w:val="001E5BD6"/>
    <w:rsid w:val="001E5DE7"/>
    <w:rsid w:val="001E6372"/>
    <w:rsid w:val="001E7292"/>
    <w:rsid w:val="001E7363"/>
    <w:rsid w:val="001E7C25"/>
    <w:rsid w:val="001F09E4"/>
    <w:rsid w:val="001F0ECC"/>
    <w:rsid w:val="001F1809"/>
    <w:rsid w:val="001F2244"/>
    <w:rsid w:val="001F3947"/>
    <w:rsid w:val="001F508A"/>
    <w:rsid w:val="001F5286"/>
    <w:rsid w:val="001F6C88"/>
    <w:rsid w:val="002019AA"/>
    <w:rsid w:val="00202B59"/>
    <w:rsid w:val="00203952"/>
    <w:rsid w:val="00203EFA"/>
    <w:rsid w:val="002041FD"/>
    <w:rsid w:val="00204255"/>
    <w:rsid w:val="0020694C"/>
    <w:rsid w:val="00210419"/>
    <w:rsid w:val="00210C1C"/>
    <w:rsid w:val="00211009"/>
    <w:rsid w:val="00211327"/>
    <w:rsid w:val="002122D4"/>
    <w:rsid w:val="00213177"/>
    <w:rsid w:val="00213E3C"/>
    <w:rsid w:val="00214C00"/>
    <w:rsid w:val="0021501B"/>
    <w:rsid w:val="00215451"/>
    <w:rsid w:val="00217EBF"/>
    <w:rsid w:val="00217F27"/>
    <w:rsid w:val="0022126E"/>
    <w:rsid w:val="00221C4B"/>
    <w:rsid w:val="00222524"/>
    <w:rsid w:val="00222AB8"/>
    <w:rsid w:val="00222BF3"/>
    <w:rsid w:val="00223F48"/>
    <w:rsid w:val="002246FB"/>
    <w:rsid w:val="00224F0A"/>
    <w:rsid w:val="00227B5D"/>
    <w:rsid w:val="002303FE"/>
    <w:rsid w:val="00230DF3"/>
    <w:rsid w:val="00232082"/>
    <w:rsid w:val="00232119"/>
    <w:rsid w:val="002326AF"/>
    <w:rsid w:val="00234312"/>
    <w:rsid w:val="00234BDC"/>
    <w:rsid w:val="002378E5"/>
    <w:rsid w:val="00241718"/>
    <w:rsid w:val="00241E0B"/>
    <w:rsid w:val="00242079"/>
    <w:rsid w:val="00242832"/>
    <w:rsid w:val="002444E8"/>
    <w:rsid w:val="0024463B"/>
    <w:rsid w:val="00245731"/>
    <w:rsid w:val="00245737"/>
    <w:rsid w:val="00246670"/>
    <w:rsid w:val="00250061"/>
    <w:rsid w:val="00250642"/>
    <w:rsid w:val="00251F50"/>
    <w:rsid w:val="0025279E"/>
    <w:rsid w:val="00253417"/>
    <w:rsid w:val="00253C7D"/>
    <w:rsid w:val="00253CE5"/>
    <w:rsid w:val="00253E30"/>
    <w:rsid w:val="00254E64"/>
    <w:rsid w:val="00256316"/>
    <w:rsid w:val="002626B1"/>
    <w:rsid w:val="00263279"/>
    <w:rsid w:val="0026348A"/>
    <w:rsid w:val="002643D8"/>
    <w:rsid w:val="002643FC"/>
    <w:rsid w:val="0026457B"/>
    <w:rsid w:val="00264650"/>
    <w:rsid w:val="00264940"/>
    <w:rsid w:val="00264972"/>
    <w:rsid w:val="0026727D"/>
    <w:rsid w:val="002705B8"/>
    <w:rsid w:val="002706E4"/>
    <w:rsid w:val="00271E50"/>
    <w:rsid w:val="002722C3"/>
    <w:rsid w:val="0027471B"/>
    <w:rsid w:val="00274AF7"/>
    <w:rsid w:val="0027552B"/>
    <w:rsid w:val="00275B7A"/>
    <w:rsid w:val="0027610D"/>
    <w:rsid w:val="00283919"/>
    <w:rsid w:val="00284013"/>
    <w:rsid w:val="00285548"/>
    <w:rsid w:val="00287B08"/>
    <w:rsid w:val="00292DB5"/>
    <w:rsid w:val="00293770"/>
    <w:rsid w:val="00294F22"/>
    <w:rsid w:val="002951EE"/>
    <w:rsid w:val="0029643F"/>
    <w:rsid w:val="002A122A"/>
    <w:rsid w:val="002A39F4"/>
    <w:rsid w:val="002A56D1"/>
    <w:rsid w:val="002A6B78"/>
    <w:rsid w:val="002A6CF1"/>
    <w:rsid w:val="002A7D20"/>
    <w:rsid w:val="002B2E14"/>
    <w:rsid w:val="002B2E78"/>
    <w:rsid w:val="002B3258"/>
    <w:rsid w:val="002B3DD6"/>
    <w:rsid w:val="002B4117"/>
    <w:rsid w:val="002B49DE"/>
    <w:rsid w:val="002B53D3"/>
    <w:rsid w:val="002B5A16"/>
    <w:rsid w:val="002B601E"/>
    <w:rsid w:val="002B6E0D"/>
    <w:rsid w:val="002B71C3"/>
    <w:rsid w:val="002C03AD"/>
    <w:rsid w:val="002C2167"/>
    <w:rsid w:val="002C5DCD"/>
    <w:rsid w:val="002C7373"/>
    <w:rsid w:val="002C7B11"/>
    <w:rsid w:val="002C7E64"/>
    <w:rsid w:val="002D05C2"/>
    <w:rsid w:val="002D2707"/>
    <w:rsid w:val="002D2A4E"/>
    <w:rsid w:val="002D31E9"/>
    <w:rsid w:val="002D3AD5"/>
    <w:rsid w:val="002D3C09"/>
    <w:rsid w:val="002D4D03"/>
    <w:rsid w:val="002D5C6E"/>
    <w:rsid w:val="002D6A3B"/>
    <w:rsid w:val="002D705A"/>
    <w:rsid w:val="002E17F1"/>
    <w:rsid w:val="002E1FF7"/>
    <w:rsid w:val="002E216E"/>
    <w:rsid w:val="002E3493"/>
    <w:rsid w:val="002E3A31"/>
    <w:rsid w:val="002E4139"/>
    <w:rsid w:val="002F0434"/>
    <w:rsid w:val="002F0882"/>
    <w:rsid w:val="002F126D"/>
    <w:rsid w:val="002F2D42"/>
    <w:rsid w:val="002F449C"/>
    <w:rsid w:val="002F5FB9"/>
    <w:rsid w:val="002F72F7"/>
    <w:rsid w:val="002F734F"/>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47DB3"/>
    <w:rsid w:val="003502D6"/>
    <w:rsid w:val="003503FC"/>
    <w:rsid w:val="00350431"/>
    <w:rsid w:val="0035214B"/>
    <w:rsid w:val="00352888"/>
    <w:rsid w:val="00352E5D"/>
    <w:rsid w:val="0035557B"/>
    <w:rsid w:val="003602D4"/>
    <w:rsid w:val="00361CFB"/>
    <w:rsid w:val="00362C29"/>
    <w:rsid w:val="0036495A"/>
    <w:rsid w:val="0036508D"/>
    <w:rsid w:val="00366128"/>
    <w:rsid w:val="003670CB"/>
    <w:rsid w:val="003676AF"/>
    <w:rsid w:val="00367F35"/>
    <w:rsid w:val="00370EDC"/>
    <w:rsid w:val="00372332"/>
    <w:rsid w:val="00372F2D"/>
    <w:rsid w:val="00374888"/>
    <w:rsid w:val="0037608A"/>
    <w:rsid w:val="00376E33"/>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40E"/>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D50EE"/>
    <w:rsid w:val="003E02A3"/>
    <w:rsid w:val="003E055D"/>
    <w:rsid w:val="003E0FB7"/>
    <w:rsid w:val="003E1249"/>
    <w:rsid w:val="003E1E0C"/>
    <w:rsid w:val="003E2754"/>
    <w:rsid w:val="003E2D04"/>
    <w:rsid w:val="003E319E"/>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07D14"/>
    <w:rsid w:val="0041237F"/>
    <w:rsid w:val="00414613"/>
    <w:rsid w:val="00414BF3"/>
    <w:rsid w:val="00415950"/>
    <w:rsid w:val="004170CD"/>
    <w:rsid w:val="0041722D"/>
    <w:rsid w:val="0041767B"/>
    <w:rsid w:val="0042068B"/>
    <w:rsid w:val="00421373"/>
    <w:rsid w:val="0042342E"/>
    <w:rsid w:val="00424197"/>
    <w:rsid w:val="004246E4"/>
    <w:rsid w:val="00424D85"/>
    <w:rsid w:val="00426C97"/>
    <w:rsid w:val="00430D4F"/>
    <w:rsid w:val="0043155B"/>
    <w:rsid w:val="004322C0"/>
    <w:rsid w:val="004322F3"/>
    <w:rsid w:val="00432662"/>
    <w:rsid w:val="00432728"/>
    <w:rsid w:val="004328D3"/>
    <w:rsid w:val="00432D4D"/>
    <w:rsid w:val="00434E7C"/>
    <w:rsid w:val="004361A7"/>
    <w:rsid w:val="004372AD"/>
    <w:rsid w:val="00440772"/>
    <w:rsid w:val="00442BD6"/>
    <w:rsid w:val="00442F9D"/>
    <w:rsid w:val="00445A6D"/>
    <w:rsid w:val="00446A6B"/>
    <w:rsid w:val="004474D1"/>
    <w:rsid w:val="00447AC8"/>
    <w:rsid w:val="004507D5"/>
    <w:rsid w:val="00451454"/>
    <w:rsid w:val="004523CA"/>
    <w:rsid w:val="004569EB"/>
    <w:rsid w:val="004578A0"/>
    <w:rsid w:val="004608D8"/>
    <w:rsid w:val="004612CE"/>
    <w:rsid w:val="00462EFB"/>
    <w:rsid w:val="00463D4E"/>
    <w:rsid w:val="004666BC"/>
    <w:rsid w:val="00466A5B"/>
    <w:rsid w:val="0047305F"/>
    <w:rsid w:val="0047307F"/>
    <w:rsid w:val="00473C22"/>
    <w:rsid w:val="00474440"/>
    <w:rsid w:val="0048082D"/>
    <w:rsid w:val="00480B3A"/>
    <w:rsid w:val="004813A1"/>
    <w:rsid w:val="004828A9"/>
    <w:rsid w:val="00483A0F"/>
    <w:rsid w:val="004849DE"/>
    <w:rsid w:val="00484E4F"/>
    <w:rsid w:val="00484E57"/>
    <w:rsid w:val="00486672"/>
    <w:rsid w:val="004867EB"/>
    <w:rsid w:val="004903AA"/>
    <w:rsid w:val="00491F38"/>
    <w:rsid w:val="0049220C"/>
    <w:rsid w:val="00492535"/>
    <w:rsid w:val="004929FE"/>
    <w:rsid w:val="00492DBE"/>
    <w:rsid w:val="00493CB3"/>
    <w:rsid w:val="00493F10"/>
    <w:rsid w:val="004A073C"/>
    <w:rsid w:val="004A0D19"/>
    <w:rsid w:val="004A19D4"/>
    <w:rsid w:val="004A2EB8"/>
    <w:rsid w:val="004A3088"/>
    <w:rsid w:val="004A56D3"/>
    <w:rsid w:val="004A6CE1"/>
    <w:rsid w:val="004A7738"/>
    <w:rsid w:val="004B0BBE"/>
    <w:rsid w:val="004B1943"/>
    <w:rsid w:val="004B5346"/>
    <w:rsid w:val="004B5829"/>
    <w:rsid w:val="004B7B56"/>
    <w:rsid w:val="004C0497"/>
    <w:rsid w:val="004C080E"/>
    <w:rsid w:val="004C27EB"/>
    <w:rsid w:val="004C2D07"/>
    <w:rsid w:val="004C3E41"/>
    <w:rsid w:val="004C405B"/>
    <w:rsid w:val="004C4EAF"/>
    <w:rsid w:val="004C68D1"/>
    <w:rsid w:val="004D0283"/>
    <w:rsid w:val="004D2166"/>
    <w:rsid w:val="004D3422"/>
    <w:rsid w:val="004D3590"/>
    <w:rsid w:val="004D5A5F"/>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1EE8"/>
    <w:rsid w:val="00502156"/>
    <w:rsid w:val="00502277"/>
    <w:rsid w:val="005024B5"/>
    <w:rsid w:val="00503DB3"/>
    <w:rsid w:val="0050424A"/>
    <w:rsid w:val="005073DD"/>
    <w:rsid w:val="00510BDC"/>
    <w:rsid w:val="00511BDD"/>
    <w:rsid w:val="005140F2"/>
    <w:rsid w:val="00515200"/>
    <w:rsid w:val="00516199"/>
    <w:rsid w:val="00516C40"/>
    <w:rsid w:val="00517800"/>
    <w:rsid w:val="00517E44"/>
    <w:rsid w:val="00520924"/>
    <w:rsid w:val="00520B9E"/>
    <w:rsid w:val="00520F75"/>
    <w:rsid w:val="0052154A"/>
    <w:rsid w:val="00521D97"/>
    <w:rsid w:val="00523E50"/>
    <w:rsid w:val="005250C5"/>
    <w:rsid w:val="00526255"/>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0F51"/>
    <w:rsid w:val="00543E72"/>
    <w:rsid w:val="00544A67"/>
    <w:rsid w:val="00545A7A"/>
    <w:rsid w:val="00546C75"/>
    <w:rsid w:val="00547CF0"/>
    <w:rsid w:val="00550ED7"/>
    <w:rsid w:val="00552105"/>
    <w:rsid w:val="0055212F"/>
    <w:rsid w:val="0055281E"/>
    <w:rsid w:val="005533E6"/>
    <w:rsid w:val="0055354D"/>
    <w:rsid w:val="00553C69"/>
    <w:rsid w:val="00554B81"/>
    <w:rsid w:val="005550E2"/>
    <w:rsid w:val="0055727E"/>
    <w:rsid w:val="00560031"/>
    <w:rsid w:val="005610B7"/>
    <w:rsid w:val="00561AE0"/>
    <w:rsid w:val="005626C5"/>
    <w:rsid w:val="00562E10"/>
    <w:rsid w:val="005641A7"/>
    <w:rsid w:val="005642D9"/>
    <w:rsid w:val="00567C6C"/>
    <w:rsid w:val="00567C9E"/>
    <w:rsid w:val="005701EC"/>
    <w:rsid w:val="00571001"/>
    <w:rsid w:val="005716F6"/>
    <w:rsid w:val="00571768"/>
    <w:rsid w:val="0057258C"/>
    <w:rsid w:val="00573651"/>
    <w:rsid w:val="00574894"/>
    <w:rsid w:val="00574DF3"/>
    <w:rsid w:val="005778E8"/>
    <w:rsid w:val="005800B2"/>
    <w:rsid w:val="005808DA"/>
    <w:rsid w:val="00581904"/>
    <w:rsid w:val="00585119"/>
    <w:rsid w:val="00585309"/>
    <w:rsid w:val="0058585A"/>
    <w:rsid w:val="005879F2"/>
    <w:rsid w:val="0059018E"/>
    <w:rsid w:val="00591AE8"/>
    <w:rsid w:val="00592DE0"/>
    <w:rsid w:val="005939AF"/>
    <w:rsid w:val="00593ED6"/>
    <w:rsid w:val="00594EB6"/>
    <w:rsid w:val="00595C48"/>
    <w:rsid w:val="005A106D"/>
    <w:rsid w:val="005A107D"/>
    <w:rsid w:val="005A279E"/>
    <w:rsid w:val="005A3D73"/>
    <w:rsid w:val="005A6DC1"/>
    <w:rsid w:val="005B06EA"/>
    <w:rsid w:val="005B0EA3"/>
    <w:rsid w:val="005B42DA"/>
    <w:rsid w:val="005B4473"/>
    <w:rsid w:val="005C255B"/>
    <w:rsid w:val="005C2EE8"/>
    <w:rsid w:val="005C36EE"/>
    <w:rsid w:val="005C5C22"/>
    <w:rsid w:val="005C6118"/>
    <w:rsid w:val="005C69E5"/>
    <w:rsid w:val="005D538F"/>
    <w:rsid w:val="005D5B02"/>
    <w:rsid w:val="005D5DD0"/>
    <w:rsid w:val="005D63D9"/>
    <w:rsid w:val="005D67A3"/>
    <w:rsid w:val="005D6D46"/>
    <w:rsid w:val="005E120A"/>
    <w:rsid w:val="005E1DFB"/>
    <w:rsid w:val="005E293A"/>
    <w:rsid w:val="005F04DC"/>
    <w:rsid w:val="005F4ED0"/>
    <w:rsid w:val="005F5FE5"/>
    <w:rsid w:val="005F6EED"/>
    <w:rsid w:val="00601165"/>
    <w:rsid w:val="00603960"/>
    <w:rsid w:val="00604960"/>
    <w:rsid w:val="00605967"/>
    <w:rsid w:val="00606321"/>
    <w:rsid w:val="006070EC"/>
    <w:rsid w:val="00611A4E"/>
    <w:rsid w:val="0061281D"/>
    <w:rsid w:val="00613350"/>
    <w:rsid w:val="00613412"/>
    <w:rsid w:val="0061342B"/>
    <w:rsid w:val="006172ED"/>
    <w:rsid w:val="00620DEF"/>
    <w:rsid w:val="00623004"/>
    <w:rsid w:val="006236A2"/>
    <w:rsid w:val="0062516A"/>
    <w:rsid w:val="00625964"/>
    <w:rsid w:val="006307DE"/>
    <w:rsid w:val="00634DFC"/>
    <w:rsid w:val="00635031"/>
    <w:rsid w:val="006407FA"/>
    <w:rsid w:val="00642BEB"/>
    <w:rsid w:val="00643E0C"/>
    <w:rsid w:val="00644388"/>
    <w:rsid w:val="00644B1D"/>
    <w:rsid w:val="00645664"/>
    <w:rsid w:val="006456DC"/>
    <w:rsid w:val="00647590"/>
    <w:rsid w:val="006501CE"/>
    <w:rsid w:val="00650332"/>
    <w:rsid w:val="0065103B"/>
    <w:rsid w:val="00651544"/>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70998"/>
    <w:rsid w:val="00672050"/>
    <w:rsid w:val="00672FD4"/>
    <w:rsid w:val="006744DF"/>
    <w:rsid w:val="00674832"/>
    <w:rsid w:val="00675EBF"/>
    <w:rsid w:val="0067610F"/>
    <w:rsid w:val="006763D1"/>
    <w:rsid w:val="006773A5"/>
    <w:rsid w:val="0068067A"/>
    <w:rsid w:val="00680CEB"/>
    <w:rsid w:val="006811D8"/>
    <w:rsid w:val="00681409"/>
    <w:rsid w:val="00681E09"/>
    <w:rsid w:val="006826B4"/>
    <w:rsid w:val="00682D47"/>
    <w:rsid w:val="00682E71"/>
    <w:rsid w:val="00682FBF"/>
    <w:rsid w:val="00683473"/>
    <w:rsid w:val="006868D9"/>
    <w:rsid w:val="006871CE"/>
    <w:rsid w:val="00690ED7"/>
    <w:rsid w:val="0069130B"/>
    <w:rsid w:val="006921F0"/>
    <w:rsid w:val="006941DA"/>
    <w:rsid w:val="00694C76"/>
    <w:rsid w:val="006956FC"/>
    <w:rsid w:val="00697857"/>
    <w:rsid w:val="006A1178"/>
    <w:rsid w:val="006A28FA"/>
    <w:rsid w:val="006A677C"/>
    <w:rsid w:val="006A7B6B"/>
    <w:rsid w:val="006B006D"/>
    <w:rsid w:val="006B0294"/>
    <w:rsid w:val="006B13BC"/>
    <w:rsid w:val="006B1A2D"/>
    <w:rsid w:val="006B2603"/>
    <w:rsid w:val="006B32FE"/>
    <w:rsid w:val="006B3BAE"/>
    <w:rsid w:val="006B520B"/>
    <w:rsid w:val="006B6B68"/>
    <w:rsid w:val="006B6FB5"/>
    <w:rsid w:val="006B7C88"/>
    <w:rsid w:val="006C16BC"/>
    <w:rsid w:val="006C1C4A"/>
    <w:rsid w:val="006C2B70"/>
    <w:rsid w:val="006C4B87"/>
    <w:rsid w:val="006C5806"/>
    <w:rsid w:val="006C6423"/>
    <w:rsid w:val="006C7320"/>
    <w:rsid w:val="006D0FE2"/>
    <w:rsid w:val="006D20A2"/>
    <w:rsid w:val="006D2B37"/>
    <w:rsid w:val="006D2B3E"/>
    <w:rsid w:val="006D2BC2"/>
    <w:rsid w:val="006D35CD"/>
    <w:rsid w:val="006D3614"/>
    <w:rsid w:val="006D3848"/>
    <w:rsid w:val="006D3A3D"/>
    <w:rsid w:val="006D54FB"/>
    <w:rsid w:val="006D5E61"/>
    <w:rsid w:val="006D6312"/>
    <w:rsid w:val="006D65D2"/>
    <w:rsid w:val="006E17F9"/>
    <w:rsid w:val="006E19A8"/>
    <w:rsid w:val="006E1A62"/>
    <w:rsid w:val="006E202B"/>
    <w:rsid w:val="006E3711"/>
    <w:rsid w:val="006E3D84"/>
    <w:rsid w:val="006E56E3"/>
    <w:rsid w:val="006E5C6B"/>
    <w:rsid w:val="006E6377"/>
    <w:rsid w:val="006E685F"/>
    <w:rsid w:val="006E7774"/>
    <w:rsid w:val="006E7ACC"/>
    <w:rsid w:val="006F0641"/>
    <w:rsid w:val="006F093C"/>
    <w:rsid w:val="006F1D53"/>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904"/>
    <w:rsid w:val="007258DD"/>
    <w:rsid w:val="007269EA"/>
    <w:rsid w:val="00726BC2"/>
    <w:rsid w:val="00726CFA"/>
    <w:rsid w:val="0072764E"/>
    <w:rsid w:val="00727B16"/>
    <w:rsid w:val="00727CA5"/>
    <w:rsid w:val="007304D5"/>
    <w:rsid w:val="00730965"/>
    <w:rsid w:val="00730C58"/>
    <w:rsid w:val="0073265F"/>
    <w:rsid w:val="00733C90"/>
    <w:rsid w:val="00734AC5"/>
    <w:rsid w:val="00735E30"/>
    <w:rsid w:val="007368DC"/>
    <w:rsid w:val="00737292"/>
    <w:rsid w:val="00740F9A"/>
    <w:rsid w:val="00741A4E"/>
    <w:rsid w:val="00741A61"/>
    <w:rsid w:val="00744908"/>
    <w:rsid w:val="00744C4B"/>
    <w:rsid w:val="007452E0"/>
    <w:rsid w:val="007505FB"/>
    <w:rsid w:val="00751062"/>
    <w:rsid w:val="00751329"/>
    <w:rsid w:val="00751C3E"/>
    <w:rsid w:val="0075371B"/>
    <w:rsid w:val="00753734"/>
    <w:rsid w:val="00757F04"/>
    <w:rsid w:val="00760120"/>
    <w:rsid w:val="00760B75"/>
    <w:rsid w:val="00760BED"/>
    <w:rsid w:val="00761318"/>
    <w:rsid w:val="00761950"/>
    <w:rsid w:val="00762AE1"/>
    <w:rsid w:val="0076544A"/>
    <w:rsid w:val="00765AE7"/>
    <w:rsid w:val="0076785F"/>
    <w:rsid w:val="00770254"/>
    <w:rsid w:val="00770B96"/>
    <w:rsid w:val="007758E3"/>
    <w:rsid w:val="00776C78"/>
    <w:rsid w:val="00777055"/>
    <w:rsid w:val="007805F5"/>
    <w:rsid w:val="00781037"/>
    <w:rsid w:val="007813BF"/>
    <w:rsid w:val="007817D9"/>
    <w:rsid w:val="00782369"/>
    <w:rsid w:val="00782FC2"/>
    <w:rsid w:val="00784EDA"/>
    <w:rsid w:val="007859F8"/>
    <w:rsid w:val="007865D9"/>
    <w:rsid w:val="007872C2"/>
    <w:rsid w:val="00790905"/>
    <w:rsid w:val="00791384"/>
    <w:rsid w:val="00792A72"/>
    <w:rsid w:val="007948B1"/>
    <w:rsid w:val="00794C65"/>
    <w:rsid w:val="00795F13"/>
    <w:rsid w:val="007A140D"/>
    <w:rsid w:val="007A22BC"/>
    <w:rsid w:val="007A2DE0"/>
    <w:rsid w:val="007A31EB"/>
    <w:rsid w:val="007A5B55"/>
    <w:rsid w:val="007A5F41"/>
    <w:rsid w:val="007A630B"/>
    <w:rsid w:val="007A711C"/>
    <w:rsid w:val="007B08D1"/>
    <w:rsid w:val="007B09BF"/>
    <w:rsid w:val="007B2073"/>
    <w:rsid w:val="007B491A"/>
    <w:rsid w:val="007B4BBB"/>
    <w:rsid w:val="007B4EAA"/>
    <w:rsid w:val="007B5184"/>
    <w:rsid w:val="007B55D0"/>
    <w:rsid w:val="007B6415"/>
    <w:rsid w:val="007B64D5"/>
    <w:rsid w:val="007B7143"/>
    <w:rsid w:val="007C1D78"/>
    <w:rsid w:val="007C20FA"/>
    <w:rsid w:val="007C27D3"/>
    <w:rsid w:val="007C2C95"/>
    <w:rsid w:val="007C51A0"/>
    <w:rsid w:val="007C6A22"/>
    <w:rsid w:val="007C79FB"/>
    <w:rsid w:val="007D0CE9"/>
    <w:rsid w:val="007D2AE1"/>
    <w:rsid w:val="007D3CA7"/>
    <w:rsid w:val="007D4A14"/>
    <w:rsid w:val="007D5A1D"/>
    <w:rsid w:val="007D75A4"/>
    <w:rsid w:val="007E3A06"/>
    <w:rsid w:val="007E5349"/>
    <w:rsid w:val="007E6EC6"/>
    <w:rsid w:val="007E7ABF"/>
    <w:rsid w:val="007F0907"/>
    <w:rsid w:val="007F1C81"/>
    <w:rsid w:val="007F27E5"/>
    <w:rsid w:val="007F3CFE"/>
    <w:rsid w:val="007F42C8"/>
    <w:rsid w:val="007F4B16"/>
    <w:rsid w:val="007F53BB"/>
    <w:rsid w:val="007F6380"/>
    <w:rsid w:val="007F6ABA"/>
    <w:rsid w:val="007F702D"/>
    <w:rsid w:val="007F762F"/>
    <w:rsid w:val="0080002B"/>
    <w:rsid w:val="008007A4"/>
    <w:rsid w:val="00800ABB"/>
    <w:rsid w:val="0080144C"/>
    <w:rsid w:val="00801A35"/>
    <w:rsid w:val="008034B0"/>
    <w:rsid w:val="00803E7E"/>
    <w:rsid w:val="00803ED7"/>
    <w:rsid w:val="008040C8"/>
    <w:rsid w:val="00804411"/>
    <w:rsid w:val="00804A98"/>
    <w:rsid w:val="008057B5"/>
    <w:rsid w:val="0080580D"/>
    <w:rsid w:val="00805C3A"/>
    <w:rsid w:val="008068BB"/>
    <w:rsid w:val="00807224"/>
    <w:rsid w:val="00810893"/>
    <w:rsid w:val="00810967"/>
    <w:rsid w:val="00814529"/>
    <w:rsid w:val="0081594B"/>
    <w:rsid w:val="00817529"/>
    <w:rsid w:val="008207F1"/>
    <w:rsid w:val="00822B28"/>
    <w:rsid w:val="00822F3D"/>
    <w:rsid w:val="00822F78"/>
    <w:rsid w:val="008230BA"/>
    <w:rsid w:val="00826C1C"/>
    <w:rsid w:val="00830223"/>
    <w:rsid w:val="00830F19"/>
    <w:rsid w:val="0083183D"/>
    <w:rsid w:val="00832250"/>
    <w:rsid w:val="00832B87"/>
    <w:rsid w:val="008334A6"/>
    <w:rsid w:val="00833FCC"/>
    <w:rsid w:val="00835359"/>
    <w:rsid w:val="008354BB"/>
    <w:rsid w:val="00836840"/>
    <w:rsid w:val="008425C9"/>
    <w:rsid w:val="00843633"/>
    <w:rsid w:val="00844451"/>
    <w:rsid w:val="00844766"/>
    <w:rsid w:val="00845708"/>
    <w:rsid w:val="00845759"/>
    <w:rsid w:val="00845F5C"/>
    <w:rsid w:val="00846877"/>
    <w:rsid w:val="008478EE"/>
    <w:rsid w:val="008504A0"/>
    <w:rsid w:val="00851993"/>
    <w:rsid w:val="00851D17"/>
    <w:rsid w:val="00853E5F"/>
    <w:rsid w:val="0085475F"/>
    <w:rsid w:val="0085586E"/>
    <w:rsid w:val="00855C39"/>
    <w:rsid w:val="00855E1E"/>
    <w:rsid w:val="00855EB8"/>
    <w:rsid w:val="00855FEB"/>
    <w:rsid w:val="00857381"/>
    <w:rsid w:val="00860758"/>
    <w:rsid w:val="008609B1"/>
    <w:rsid w:val="0086138E"/>
    <w:rsid w:val="008639BE"/>
    <w:rsid w:val="00864F3B"/>
    <w:rsid w:val="00865504"/>
    <w:rsid w:val="00870593"/>
    <w:rsid w:val="0087232D"/>
    <w:rsid w:val="00872B4F"/>
    <w:rsid w:val="00872BB1"/>
    <w:rsid w:val="00872C66"/>
    <w:rsid w:val="0087361D"/>
    <w:rsid w:val="00874681"/>
    <w:rsid w:val="008748DA"/>
    <w:rsid w:val="00875104"/>
    <w:rsid w:val="00881C80"/>
    <w:rsid w:val="00881D17"/>
    <w:rsid w:val="00881E0D"/>
    <w:rsid w:val="00882059"/>
    <w:rsid w:val="00883C9D"/>
    <w:rsid w:val="00884F9E"/>
    <w:rsid w:val="00885102"/>
    <w:rsid w:val="008867A6"/>
    <w:rsid w:val="008869AB"/>
    <w:rsid w:val="0089204B"/>
    <w:rsid w:val="00893F80"/>
    <w:rsid w:val="0089505C"/>
    <w:rsid w:val="0089513F"/>
    <w:rsid w:val="008968FE"/>
    <w:rsid w:val="00896A2F"/>
    <w:rsid w:val="008A0F5B"/>
    <w:rsid w:val="008A2862"/>
    <w:rsid w:val="008A3F9A"/>
    <w:rsid w:val="008A3FE0"/>
    <w:rsid w:val="008A4728"/>
    <w:rsid w:val="008A4B8F"/>
    <w:rsid w:val="008A516D"/>
    <w:rsid w:val="008A5C7E"/>
    <w:rsid w:val="008A65BE"/>
    <w:rsid w:val="008A7FB6"/>
    <w:rsid w:val="008B07C4"/>
    <w:rsid w:val="008B1D61"/>
    <w:rsid w:val="008B2EF2"/>
    <w:rsid w:val="008B3BFD"/>
    <w:rsid w:val="008B3FBA"/>
    <w:rsid w:val="008B444F"/>
    <w:rsid w:val="008B66AB"/>
    <w:rsid w:val="008B7E8B"/>
    <w:rsid w:val="008C0F1E"/>
    <w:rsid w:val="008C1945"/>
    <w:rsid w:val="008C20F7"/>
    <w:rsid w:val="008C3B01"/>
    <w:rsid w:val="008C46A5"/>
    <w:rsid w:val="008C4CAD"/>
    <w:rsid w:val="008C5225"/>
    <w:rsid w:val="008C5479"/>
    <w:rsid w:val="008D066C"/>
    <w:rsid w:val="008D0996"/>
    <w:rsid w:val="008D0EF6"/>
    <w:rsid w:val="008D1B01"/>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6786"/>
    <w:rsid w:val="008E77F1"/>
    <w:rsid w:val="008F1284"/>
    <w:rsid w:val="008F1AA9"/>
    <w:rsid w:val="008F4C42"/>
    <w:rsid w:val="008F5E2F"/>
    <w:rsid w:val="008F7C5B"/>
    <w:rsid w:val="00900387"/>
    <w:rsid w:val="009024CF"/>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1B6"/>
    <w:rsid w:val="00921E90"/>
    <w:rsid w:val="009225FE"/>
    <w:rsid w:val="009234DF"/>
    <w:rsid w:val="0092459C"/>
    <w:rsid w:val="009256FF"/>
    <w:rsid w:val="009263B9"/>
    <w:rsid w:val="0093049E"/>
    <w:rsid w:val="00931230"/>
    <w:rsid w:val="00932EC3"/>
    <w:rsid w:val="0093324E"/>
    <w:rsid w:val="00933D07"/>
    <w:rsid w:val="009340B7"/>
    <w:rsid w:val="009365C4"/>
    <w:rsid w:val="00937803"/>
    <w:rsid w:val="00940E98"/>
    <w:rsid w:val="009414C5"/>
    <w:rsid w:val="009427F2"/>
    <w:rsid w:val="00942F78"/>
    <w:rsid w:val="00943581"/>
    <w:rsid w:val="00944F64"/>
    <w:rsid w:val="00946CD3"/>
    <w:rsid w:val="00946E93"/>
    <w:rsid w:val="0095069D"/>
    <w:rsid w:val="0095152C"/>
    <w:rsid w:val="00951A5E"/>
    <w:rsid w:val="00953383"/>
    <w:rsid w:val="0095374A"/>
    <w:rsid w:val="00960963"/>
    <w:rsid w:val="00962FA0"/>
    <w:rsid w:val="00965025"/>
    <w:rsid w:val="0096710D"/>
    <w:rsid w:val="00967A61"/>
    <w:rsid w:val="00971B7B"/>
    <w:rsid w:val="00971D3B"/>
    <w:rsid w:val="00972D48"/>
    <w:rsid w:val="00974295"/>
    <w:rsid w:val="00977A95"/>
    <w:rsid w:val="00977D15"/>
    <w:rsid w:val="00977F07"/>
    <w:rsid w:val="00980086"/>
    <w:rsid w:val="0098055F"/>
    <w:rsid w:val="00980A68"/>
    <w:rsid w:val="00980C80"/>
    <w:rsid w:val="009810D1"/>
    <w:rsid w:val="00982CD7"/>
    <w:rsid w:val="00983395"/>
    <w:rsid w:val="0098390B"/>
    <w:rsid w:val="00983A9F"/>
    <w:rsid w:val="00983B0E"/>
    <w:rsid w:val="0098416A"/>
    <w:rsid w:val="009841E6"/>
    <w:rsid w:val="00984BB1"/>
    <w:rsid w:val="009868CD"/>
    <w:rsid w:val="00987EC8"/>
    <w:rsid w:val="00987F18"/>
    <w:rsid w:val="009902F7"/>
    <w:rsid w:val="00992EE1"/>
    <w:rsid w:val="00993F58"/>
    <w:rsid w:val="0099448D"/>
    <w:rsid w:val="00995A06"/>
    <w:rsid w:val="00995E68"/>
    <w:rsid w:val="00995EDE"/>
    <w:rsid w:val="009A0CC3"/>
    <w:rsid w:val="009A2211"/>
    <w:rsid w:val="009A222A"/>
    <w:rsid w:val="009A3DF9"/>
    <w:rsid w:val="009A3E54"/>
    <w:rsid w:val="009A4E80"/>
    <w:rsid w:val="009A63EF"/>
    <w:rsid w:val="009B1011"/>
    <w:rsid w:val="009B2E2A"/>
    <w:rsid w:val="009B3AEB"/>
    <w:rsid w:val="009B4A8D"/>
    <w:rsid w:val="009B4FD8"/>
    <w:rsid w:val="009B5934"/>
    <w:rsid w:val="009B5D05"/>
    <w:rsid w:val="009B5E99"/>
    <w:rsid w:val="009B60F9"/>
    <w:rsid w:val="009C3EB5"/>
    <w:rsid w:val="009C444B"/>
    <w:rsid w:val="009C4A47"/>
    <w:rsid w:val="009C562E"/>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2AEA"/>
    <w:rsid w:val="009E3183"/>
    <w:rsid w:val="009E3783"/>
    <w:rsid w:val="009E3A13"/>
    <w:rsid w:val="009E3AFB"/>
    <w:rsid w:val="009E3EA3"/>
    <w:rsid w:val="009E4090"/>
    <w:rsid w:val="009E4A3B"/>
    <w:rsid w:val="009E6F3C"/>
    <w:rsid w:val="009F0FD6"/>
    <w:rsid w:val="009F2C73"/>
    <w:rsid w:val="009F3038"/>
    <w:rsid w:val="009F4FFB"/>
    <w:rsid w:val="009F69D1"/>
    <w:rsid w:val="009F6A36"/>
    <w:rsid w:val="00A01BDF"/>
    <w:rsid w:val="00A045CA"/>
    <w:rsid w:val="00A04DC3"/>
    <w:rsid w:val="00A05093"/>
    <w:rsid w:val="00A05C84"/>
    <w:rsid w:val="00A05DAD"/>
    <w:rsid w:val="00A06799"/>
    <w:rsid w:val="00A11B8D"/>
    <w:rsid w:val="00A12117"/>
    <w:rsid w:val="00A1611B"/>
    <w:rsid w:val="00A17694"/>
    <w:rsid w:val="00A20907"/>
    <w:rsid w:val="00A21A3E"/>
    <w:rsid w:val="00A25052"/>
    <w:rsid w:val="00A25BE7"/>
    <w:rsid w:val="00A30430"/>
    <w:rsid w:val="00A31CD9"/>
    <w:rsid w:val="00A328CB"/>
    <w:rsid w:val="00A32C80"/>
    <w:rsid w:val="00A339F2"/>
    <w:rsid w:val="00A35865"/>
    <w:rsid w:val="00A4078B"/>
    <w:rsid w:val="00A418AF"/>
    <w:rsid w:val="00A41AD2"/>
    <w:rsid w:val="00A42DC1"/>
    <w:rsid w:val="00A43019"/>
    <w:rsid w:val="00A45D35"/>
    <w:rsid w:val="00A4629F"/>
    <w:rsid w:val="00A464B8"/>
    <w:rsid w:val="00A50BA1"/>
    <w:rsid w:val="00A573DC"/>
    <w:rsid w:val="00A57566"/>
    <w:rsid w:val="00A62428"/>
    <w:rsid w:val="00A62A3F"/>
    <w:rsid w:val="00A62B3A"/>
    <w:rsid w:val="00A63BCC"/>
    <w:rsid w:val="00A640D5"/>
    <w:rsid w:val="00A66BA8"/>
    <w:rsid w:val="00A708AB"/>
    <w:rsid w:val="00A7162D"/>
    <w:rsid w:val="00A7256D"/>
    <w:rsid w:val="00A73CF1"/>
    <w:rsid w:val="00A75C9A"/>
    <w:rsid w:val="00A75D52"/>
    <w:rsid w:val="00A76828"/>
    <w:rsid w:val="00A76A45"/>
    <w:rsid w:val="00A76C0B"/>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18C1"/>
    <w:rsid w:val="00AA2DE5"/>
    <w:rsid w:val="00AA4399"/>
    <w:rsid w:val="00AA4518"/>
    <w:rsid w:val="00AA633F"/>
    <w:rsid w:val="00AA71B0"/>
    <w:rsid w:val="00AA7409"/>
    <w:rsid w:val="00AB2E07"/>
    <w:rsid w:val="00AB35DC"/>
    <w:rsid w:val="00AB3A0D"/>
    <w:rsid w:val="00AB419D"/>
    <w:rsid w:val="00AB5F4D"/>
    <w:rsid w:val="00AB6A14"/>
    <w:rsid w:val="00AB6F76"/>
    <w:rsid w:val="00AB70BF"/>
    <w:rsid w:val="00AC046B"/>
    <w:rsid w:val="00AC0650"/>
    <w:rsid w:val="00AC1A43"/>
    <w:rsid w:val="00AC306A"/>
    <w:rsid w:val="00AC3FB0"/>
    <w:rsid w:val="00AC4EE3"/>
    <w:rsid w:val="00AC4FF2"/>
    <w:rsid w:val="00AC54F8"/>
    <w:rsid w:val="00AC5C2B"/>
    <w:rsid w:val="00AC681D"/>
    <w:rsid w:val="00AC6E0E"/>
    <w:rsid w:val="00AC754F"/>
    <w:rsid w:val="00AC7CF8"/>
    <w:rsid w:val="00AC7E21"/>
    <w:rsid w:val="00AD0317"/>
    <w:rsid w:val="00AD0F67"/>
    <w:rsid w:val="00AD21CF"/>
    <w:rsid w:val="00AD551F"/>
    <w:rsid w:val="00AD59A3"/>
    <w:rsid w:val="00AD5E9A"/>
    <w:rsid w:val="00AD7E8E"/>
    <w:rsid w:val="00AE0C19"/>
    <w:rsid w:val="00AE0E3B"/>
    <w:rsid w:val="00AE0F81"/>
    <w:rsid w:val="00AE0FEB"/>
    <w:rsid w:val="00AE3145"/>
    <w:rsid w:val="00AE323F"/>
    <w:rsid w:val="00AE44CF"/>
    <w:rsid w:val="00AE5E7E"/>
    <w:rsid w:val="00AE6696"/>
    <w:rsid w:val="00AE7CA6"/>
    <w:rsid w:val="00AF0D8E"/>
    <w:rsid w:val="00AF2D3D"/>
    <w:rsid w:val="00AF3563"/>
    <w:rsid w:val="00AF3995"/>
    <w:rsid w:val="00AF3BFC"/>
    <w:rsid w:val="00AF4BA0"/>
    <w:rsid w:val="00AF5F54"/>
    <w:rsid w:val="00AF7295"/>
    <w:rsid w:val="00B019A9"/>
    <w:rsid w:val="00B022D9"/>
    <w:rsid w:val="00B02C9A"/>
    <w:rsid w:val="00B03273"/>
    <w:rsid w:val="00B03459"/>
    <w:rsid w:val="00B0554D"/>
    <w:rsid w:val="00B05989"/>
    <w:rsid w:val="00B109D7"/>
    <w:rsid w:val="00B110B5"/>
    <w:rsid w:val="00B1452F"/>
    <w:rsid w:val="00B174E3"/>
    <w:rsid w:val="00B17632"/>
    <w:rsid w:val="00B2080D"/>
    <w:rsid w:val="00B2095E"/>
    <w:rsid w:val="00B20A35"/>
    <w:rsid w:val="00B20CB9"/>
    <w:rsid w:val="00B21C8C"/>
    <w:rsid w:val="00B21DD6"/>
    <w:rsid w:val="00B2254A"/>
    <w:rsid w:val="00B2270A"/>
    <w:rsid w:val="00B2390D"/>
    <w:rsid w:val="00B23CB5"/>
    <w:rsid w:val="00B23DEF"/>
    <w:rsid w:val="00B24389"/>
    <w:rsid w:val="00B24D79"/>
    <w:rsid w:val="00B30D58"/>
    <w:rsid w:val="00B316E7"/>
    <w:rsid w:val="00B3231A"/>
    <w:rsid w:val="00B34EF9"/>
    <w:rsid w:val="00B350FB"/>
    <w:rsid w:val="00B35A58"/>
    <w:rsid w:val="00B3796F"/>
    <w:rsid w:val="00B37F22"/>
    <w:rsid w:val="00B4130A"/>
    <w:rsid w:val="00B41621"/>
    <w:rsid w:val="00B41868"/>
    <w:rsid w:val="00B41AF5"/>
    <w:rsid w:val="00B41ECD"/>
    <w:rsid w:val="00B421FD"/>
    <w:rsid w:val="00B42CAF"/>
    <w:rsid w:val="00B504C4"/>
    <w:rsid w:val="00B517AB"/>
    <w:rsid w:val="00B5440D"/>
    <w:rsid w:val="00B5459B"/>
    <w:rsid w:val="00B552A4"/>
    <w:rsid w:val="00B56E4F"/>
    <w:rsid w:val="00B5700D"/>
    <w:rsid w:val="00B609B5"/>
    <w:rsid w:val="00B61223"/>
    <w:rsid w:val="00B62FAD"/>
    <w:rsid w:val="00B7133B"/>
    <w:rsid w:val="00B72340"/>
    <w:rsid w:val="00B748AE"/>
    <w:rsid w:val="00B74A87"/>
    <w:rsid w:val="00B75F6D"/>
    <w:rsid w:val="00B7681E"/>
    <w:rsid w:val="00B779BD"/>
    <w:rsid w:val="00B77E0D"/>
    <w:rsid w:val="00B80605"/>
    <w:rsid w:val="00B81D3E"/>
    <w:rsid w:val="00B827DD"/>
    <w:rsid w:val="00B83E0B"/>
    <w:rsid w:val="00B84958"/>
    <w:rsid w:val="00B86170"/>
    <w:rsid w:val="00B870E5"/>
    <w:rsid w:val="00B91160"/>
    <w:rsid w:val="00B91D4F"/>
    <w:rsid w:val="00B942C4"/>
    <w:rsid w:val="00B94CD8"/>
    <w:rsid w:val="00B952A0"/>
    <w:rsid w:val="00B96F16"/>
    <w:rsid w:val="00BA05BF"/>
    <w:rsid w:val="00BA0727"/>
    <w:rsid w:val="00BA1110"/>
    <w:rsid w:val="00BA2B9B"/>
    <w:rsid w:val="00BA3117"/>
    <w:rsid w:val="00BA3475"/>
    <w:rsid w:val="00BA5873"/>
    <w:rsid w:val="00BA58AC"/>
    <w:rsid w:val="00BA70A7"/>
    <w:rsid w:val="00BB1CDA"/>
    <w:rsid w:val="00BB1D4B"/>
    <w:rsid w:val="00BB20F9"/>
    <w:rsid w:val="00BB210B"/>
    <w:rsid w:val="00BB2CD8"/>
    <w:rsid w:val="00BB2D9E"/>
    <w:rsid w:val="00BB2EF0"/>
    <w:rsid w:val="00BB4E02"/>
    <w:rsid w:val="00BB6C4E"/>
    <w:rsid w:val="00BB7A44"/>
    <w:rsid w:val="00BC1506"/>
    <w:rsid w:val="00BC27A3"/>
    <w:rsid w:val="00BC31F8"/>
    <w:rsid w:val="00BC3837"/>
    <w:rsid w:val="00BC459E"/>
    <w:rsid w:val="00BC4A0F"/>
    <w:rsid w:val="00BC5ADE"/>
    <w:rsid w:val="00BC5DBA"/>
    <w:rsid w:val="00BC606F"/>
    <w:rsid w:val="00BC6AE1"/>
    <w:rsid w:val="00BD1949"/>
    <w:rsid w:val="00BD2D5B"/>
    <w:rsid w:val="00BD3BE8"/>
    <w:rsid w:val="00BD4D18"/>
    <w:rsid w:val="00BD5E40"/>
    <w:rsid w:val="00BD60A7"/>
    <w:rsid w:val="00BD718F"/>
    <w:rsid w:val="00BD7B14"/>
    <w:rsid w:val="00BD7DB8"/>
    <w:rsid w:val="00BE1298"/>
    <w:rsid w:val="00BE16E3"/>
    <w:rsid w:val="00BE2ECA"/>
    <w:rsid w:val="00BE2F3A"/>
    <w:rsid w:val="00BE32BD"/>
    <w:rsid w:val="00BE4C5A"/>
    <w:rsid w:val="00BE57AC"/>
    <w:rsid w:val="00BE5DA2"/>
    <w:rsid w:val="00BE6776"/>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62E9"/>
    <w:rsid w:val="00C071DB"/>
    <w:rsid w:val="00C073E4"/>
    <w:rsid w:val="00C07C34"/>
    <w:rsid w:val="00C10151"/>
    <w:rsid w:val="00C10A15"/>
    <w:rsid w:val="00C10E94"/>
    <w:rsid w:val="00C12AF8"/>
    <w:rsid w:val="00C12CFE"/>
    <w:rsid w:val="00C14CE2"/>
    <w:rsid w:val="00C154E6"/>
    <w:rsid w:val="00C15806"/>
    <w:rsid w:val="00C15C59"/>
    <w:rsid w:val="00C1621B"/>
    <w:rsid w:val="00C16774"/>
    <w:rsid w:val="00C228D5"/>
    <w:rsid w:val="00C23A7D"/>
    <w:rsid w:val="00C24DB8"/>
    <w:rsid w:val="00C252E5"/>
    <w:rsid w:val="00C26E75"/>
    <w:rsid w:val="00C27B54"/>
    <w:rsid w:val="00C30B8F"/>
    <w:rsid w:val="00C3115D"/>
    <w:rsid w:val="00C31943"/>
    <w:rsid w:val="00C33771"/>
    <w:rsid w:val="00C34230"/>
    <w:rsid w:val="00C35035"/>
    <w:rsid w:val="00C3661B"/>
    <w:rsid w:val="00C36F52"/>
    <w:rsid w:val="00C37E5C"/>
    <w:rsid w:val="00C42112"/>
    <w:rsid w:val="00C42CA1"/>
    <w:rsid w:val="00C44D37"/>
    <w:rsid w:val="00C45FF0"/>
    <w:rsid w:val="00C46A0C"/>
    <w:rsid w:val="00C473F7"/>
    <w:rsid w:val="00C50259"/>
    <w:rsid w:val="00C5100A"/>
    <w:rsid w:val="00C51151"/>
    <w:rsid w:val="00C52AB3"/>
    <w:rsid w:val="00C54B3A"/>
    <w:rsid w:val="00C55292"/>
    <w:rsid w:val="00C552AF"/>
    <w:rsid w:val="00C56251"/>
    <w:rsid w:val="00C6158C"/>
    <w:rsid w:val="00C62FDC"/>
    <w:rsid w:val="00C63885"/>
    <w:rsid w:val="00C64F6E"/>
    <w:rsid w:val="00C65B08"/>
    <w:rsid w:val="00C65E9D"/>
    <w:rsid w:val="00C662E2"/>
    <w:rsid w:val="00C66E8F"/>
    <w:rsid w:val="00C67026"/>
    <w:rsid w:val="00C6752B"/>
    <w:rsid w:val="00C70652"/>
    <w:rsid w:val="00C71190"/>
    <w:rsid w:val="00C71F8E"/>
    <w:rsid w:val="00C75863"/>
    <w:rsid w:val="00C75894"/>
    <w:rsid w:val="00C76097"/>
    <w:rsid w:val="00C762AC"/>
    <w:rsid w:val="00C77544"/>
    <w:rsid w:val="00C77A1F"/>
    <w:rsid w:val="00C81E45"/>
    <w:rsid w:val="00C82308"/>
    <w:rsid w:val="00C84803"/>
    <w:rsid w:val="00C85424"/>
    <w:rsid w:val="00C866C0"/>
    <w:rsid w:val="00C86725"/>
    <w:rsid w:val="00C86838"/>
    <w:rsid w:val="00C91A61"/>
    <w:rsid w:val="00C92F92"/>
    <w:rsid w:val="00C93A6D"/>
    <w:rsid w:val="00C93AE7"/>
    <w:rsid w:val="00CA0578"/>
    <w:rsid w:val="00CA24A5"/>
    <w:rsid w:val="00CA2F68"/>
    <w:rsid w:val="00CA44A0"/>
    <w:rsid w:val="00CA5274"/>
    <w:rsid w:val="00CA73CB"/>
    <w:rsid w:val="00CA77EA"/>
    <w:rsid w:val="00CB1272"/>
    <w:rsid w:val="00CB1530"/>
    <w:rsid w:val="00CB1B42"/>
    <w:rsid w:val="00CB2F88"/>
    <w:rsid w:val="00CB31B5"/>
    <w:rsid w:val="00CB4859"/>
    <w:rsid w:val="00CB62A3"/>
    <w:rsid w:val="00CB7C33"/>
    <w:rsid w:val="00CC1290"/>
    <w:rsid w:val="00CC12A0"/>
    <w:rsid w:val="00CC26A8"/>
    <w:rsid w:val="00CC2751"/>
    <w:rsid w:val="00CC2872"/>
    <w:rsid w:val="00CC29CF"/>
    <w:rsid w:val="00CC3C04"/>
    <w:rsid w:val="00CC7BCC"/>
    <w:rsid w:val="00CD1F04"/>
    <w:rsid w:val="00CD273E"/>
    <w:rsid w:val="00CD382A"/>
    <w:rsid w:val="00CD3901"/>
    <w:rsid w:val="00CD4231"/>
    <w:rsid w:val="00CD5231"/>
    <w:rsid w:val="00CD56CB"/>
    <w:rsid w:val="00CD5CFE"/>
    <w:rsid w:val="00CE0411"/>
    <w:rsid w:val="00CE31EE"/>
    <w:rsid w:val="00CE3A6F"/>
    <w:rsid w:val="00CE3CBD"/>
    <w:rsid w:val="00CE5444"/>
    <w:rsid w:val="00CE61EA"/>
    <w:rsid w:val="00CE6FD6"/>
    <w:rsid w:val="00CF35C8"/>
    <w:rsid w:val="00CF367B"/>
    <w:rsid w:val="00CF3A35"/>
    <w:rsid w:val="00CF44D8"/>
    <w:rsid w:val="00CF5D51"/>
    <w:rsid w:val="00CF6B2F"/>
    <w:rsid w:val="00CF6E4F"/>
    <w:rsid w:val="00CF71D1"/>
    <w:rsid w:val="00D01CF3"/>
    <w:rsid w:val="00D027AA"/>
    <w:rsid w:val="00D02A6A"/>
    <w:rsid w:val="00D05CAA"/>
    <w:rsid w:val="00D06FD9"/>
    <w:rsid w:val="00D07A31"/>
    <w:rsid w:val="00D07AB4"/>
    <w:rsid w:val="00D114E6"/>
    <w:rsid w:val="00D11F7E"/>
    <w:rsid w:val="00D13EDD"/>
    <w:rsid w:val="00D14B03"/>
    <w:rsid w:val="00D21B64"/>
    <w:rsid w:val="00D23B71"/>
    <w:rsid w:val="00D24973"/>
    <w:rsid w:val="00D263CE"/>
    <w:rsid w:val="00D30129"/>
    <w:rsid w:val="00D30ECB"/>
    <w:rsid w:val="00D30F4B"/>
    <w:rsid w:val="00D32748"/>
    <w:rsid w:val="00D34026"/>
    <w:rsid w:val="00D3439F"/>
    <w:rsid w:val="00D3452F"/>
    <w:rsid w:val="00D3667E"/>
    <w:rsid w:val="00D36DEF"/>
    <w:rsid w:val="00D41D2D"/>
    <w:rsid w:val="00D42DDA"/>
    <w:rsid w:val="00D42DF4"/>
    <w:rsid w:val="00D43B06"/>
    <w:rsid w:val="00D44316"/>
    <w:rsid w:val="00D44F36"/>
    <w:rsid w:val="00D45478"/>
    <w:rsid w:val="00D463CA"/>
    <w:rsid w:val="00D465C0"/>
    <w:rsid w:val="00D468D1"/>
    <w:rsid w:val="00D479CF"/>
    <w:rsid w:val="00D47ACA"/>
    <w:rsid w:val="00D47C1B"/>
    <w:rsid w:val="00D51757"/>
    <w:rsid w:val="00D517BA"/>
    <w:rsid w:val="00D51A0A"/>
    <w:rsid w:val="00D51DA1"/>
    <w:rsid w:val="00D52FDC"/>
    <w:rsid w:val="00D53296"/>
    <w:rsid w:val="00D53AC0"/>
    <w:rsid w:val="00D54532"/>
    <w:rsid w:val="00D547B7"/>
    <w:rsid w:val="00D548B2"/>
    <w:rsid w:val="00D54B6C"/>
    <w:rsid w:val="00D5617F"/>
    <w:rsid w:val="00D565F8"/>
    <w:rsid w:val="00D56ABB"/>
    <w:rsid w:val="00D571B1"/>
    <w:rsid w:val="00D60C77"/>
    <w:rsid w:val="00D644BD"/>
    <w:rsid w:val="00D65463"/>
    <w:rsid w:val="00D65D90"/>
    <w:rsid w:val="00D67489"/>
    <w:rsid w:val="00D6791A"/>
    <w:rsid w:val="00D71D2B"/>
    <w:rsid w:val="00D735DC"/>
    <w:rsid w:val="00D75A2A"/>
    <w:rsid w:val="00D80A2B"/>
    <w:rsid w:val="00D82D65"/>
    <w:rsid w:val="00D85008"/>
    <w:rsid w:val="00D8541B"/>
    <w:rsid w:val="00D85D05"/>
    <w:rsid w:val="00D86729"/>
    <w:rsid w:val="00D870FC"/>
    <w:rsid w:val="00D87180"/>
    <w:rsid w:val="00D87830"/>
    <w:rsid w:val="00D90AC2"/>
    <w:rsid w:val="00D91333"/>
    <w:rsid w:val="00D9515D"/>
    <w:rsid w:val="00D95578"/>
    <w:rsid w:val="00D95A6A"/>
    <w:rsid w:val="00D95DB9"/>
    <w:rsid w:val="00D961FA"/>
    <w:rsid w:val="00DA0D0D"/>
    <w:rsid w:val="00DA1A58"/>
    <w:rsid w:val="00DA3263"/>
    <w:rsid w:val="00DA3CC5"/>
    <w:rsid w:val="00DA5580"/>
    <w:rsid w:val="00DA7439"/>
    <w:rsid w:val="00DB0BEA"/>
    <w:rsid w:val="00DB0DA9"/>
    <w:rsid w:val="00DB1311"/>
    <w:rsid w:val="00DB1EEB"/>
    <w:rsid w:val="00DB6405"/>
    <w:rsid w:val="00DB6885"/>
    <w:rsid w:val="00DB7BC5"/>
    <w:rsid w:val="00DC0FCA"/>
    <w:rsid w:val="00DC2120"/>
    <w:rsid w:val="00DC3572"/>
    <w:rsid w:val="00DC3B1E"/>
    <w:rsid w:val="00DC4685"/>
    <w:rsid w:val="00DC48F8"/>
    <w:rsid w:val="00DC7C93"/>
    <w:rsid w:val="00DC7EC4"/>
    <w:rsid w:val="00DD0577"/>
    <w:rsid w:val="00DD07FC"/>
    <w:rsid w:val="00DD1523"/>
    <w:rsid w:val="00DD3239"/>
    <w:rsid w:val="00DD4705"/>
    <w:rsid w:val="00DD6DE2"/>
    <w:rsid w:val="00DD719F"/>
    <w:rsid w:val="00DE0877"/>
    <w:rsid w:val="00DE2F13"/>
    <w:rsid w:val="00DE3325"/>
    <w:rsid w:val="00DE4F89"/>
    <w:rsid w:val="00DE5432"/>
    <w:rsid w:val="00DF1CD8"/>
    <w:rsid w:val="00DF32F7"/>
    <w:rsid w:val="00DF377E"/>
    <w:rsid w:val="00DF49CB"/>
    <w:rsid w:val="00DF61FF"/>
    <w:rsid w:val="00E00AD6"/>
    <w:rsid w:val="00E00B37"/>
    <w:rsid w:val="00E00D7F"/>
    <w:rsid w:val="00E02D2F"/>
    <w:rsid w:val="00E02EFE"/>
    <w:rsid w:val="00E033EA"/>
    <w:rsid w:val="00E05D40"/>
    <w:rsid w:val="00E0604D"/>
    <w:rsid w:val="00E07C93"/>
    <w:rsid w:val="00E11FFA"/>
    <w:rsid w:val="00E12214"/>
    <w:rsid w:val="00E146C1"/>
    <w:rsid w:val="00E157B1"/>
    <w:rsid w:val="00E2038C"/>
    <w:rsid w:val="00E20C77"/>
    <w:rsid w:val="00E25672"/>
    <w:rsid w:val="00E26D43"/>
    <w:rsid w:val="00E27F72"/>
    <w:rsid w:val="00E311F5"/>
    <w:rsid w:val="00E3212C"/>
    <w:rsid w:val="00E3329E"/>
    <w:rsid w:val="00E33BBF"/>
    <w:rsid w:val="00E343BA"/>
    <w:rsid w:val="00E34D77"/>
    <w:rsid w:val="00E34E18"/>
    <w:rsid w:val="00E35B1E"/>
    <w:rsid w:val="00E35CA1"/>
    <w:rsid w:val="00E364D7"/>
    <w:rsid w:val="00E367F5"/>
    <w:rsid w:val="00E41533"/>
    <w:rsid w:val="00E41A21"/>
    <w:rsid w:val="00E41B52"/>
    <w:rsid w:val="00E42048"/>
    <w:rsid w:val="00E42407"/>
    <w:rsid w:val="00E43911"/>
    <w:rsid w:val="00E43BAA"/>
    <w:rsid w:val="00E43BC2"/>
    <w:rsid w:val="00E44BD5"/>
    <w:rsid w:val="00E463F7"/>
    <w:rsid w:val="00E5214A"/>
    <w:rsid w:val="00E53032"/>
    <w:rsid w:val="00E55582"/>
    <w:rsid w:val="00E55649"/>
    <w:rsid w:val="00E55780"/>
    <w:rsid w:val="00E55B99"/>
    <w:rsid w:val="00E564F9"/>
    <w:rsid w:val="00E568EB"/>
    <w:rsid w:val="00E56A50"/>
    <w:rsid w:val="00E60DEB"/>
    <w:rsid w:val="00E62DFB"/>
    <w:rsid w:val="00E6344F"/>
    <w:rsid w:val="00E64BF2"/>
    <w:rsid w:val="00E65AB2"/>
    <w:rsid w:val="00E65C8E"/>
    <w:rsid w:val="00E67964"/>
    <w:rsid w:val="00E72855"/>
    <w:rsid w:val="00E73093"/>
    <w:rsid w:val="00E73783"/>
    <w:rsid w:val="00E738F0"/>
    <w:rsid w:val="00E73D32"/>
    <w:rsid w:val="00E73F86"/>
    <w:rsid w:val="00E74689"/>
    <w:rsid w:val="00E747E6"/>
    <w:rsid w:val="00E74B3D"/>
    <w:rsid w:val="00E74C1D"/>
    <w:rsid w:val="00E80768"/>
    <w:rsid w:val="00E81B2F"/>
    <w:rsid w:val="00E81B99"/>
    <w:rsid w:val="00E81F42"/>
    <w:rsid w:val="00E85B0A"/>
    <w:rsid w:val="00E860E3"/>
    <w:rsid w:val="00E87A4C"/>
    <w:rsid w:val="00E908A8"/>
    <w:rsid w:val="00E919A6"/>
    <w:rsid w:val="00E91A4A"/>
    <w:rsid w:val="00E935A1"/>
    <w:rsid w:val="00E9623F"/>
    <w:rsid w:val="00E96E36"/>
    <w:rsid w:val="00EA04E0"/>
    <w:rsid w:val="00EA0792"/>
    <w:rsid w:val="00EA0857"/>
    <w:rsid w:val="00EA0C6F"/>
    <w:rsid w:val="00EA0D75"/>
    <w:rsid w:val="00EA2122"/>
    <w:rsid w:val="00EA2BCB"/>
    <w:rsid w:val="00EA5A32"/>
    <w:rsid w:val="00EA6A57"/>
    <w:rsid w:val="00EA6AF5"/>
    <w:rsid w:val="00EA6D09"/>
    <w:rsid w:val="00EA7BBB"/>
    <w:rsid w:val="00EA7BF4"/>
    <w:rsid w:val="00EB0905"/>
    <w:rsid w:val="00EB13E9"/>
    <w:rsid w:val="00EB2324"/>
    <w:rsid w:val="00EB28B3"/>
    <w:rsid w:val="00EB3F10"/>
    <w:rsid w:val="00EB60E9"/>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1747"/>
    <w:rsid w:val="00ED22E7"/>
    <w:rsid w:val="00ED2794"/>
    <w:rsid w:val="00ED3B76"/>
    <w:rsid w:val="00ED46E7"/>
    <w:rsid w:val="00ED6029"/>
    <w:rsid w:val="00ED6AF1"/>
    <w:rsid w:val="00ED7140"/>
    <w:rsid w:val="00ED7ADD"/>
    <w:rsid w:val="00EE19C9"/>
    <w:rsid w:val="00EE60C4"/>
    <w:rsid w:val="00EE631D"/>
    <w:rsid w:val="00EE6FE6"/>
    <w:rsid w:val="00EF0AFA"/>
    <w:rsid w:val="00EF10D1"/>
    <w:rsid w:val="00EF1A33"/>
    <w:rsid w:val="00EF26EA"/>
    <w:rsid w:val="00EF3241"/>
    <w:rsid w:val="00EF3260"/>
    <w:rsid w:val="00EF470E"/>
    <w:rsid w:val="00EF5FFA"/>
    <w:rsid w:val="00F001BC"/>
    <w:rsid w:val="00F012F4"/>
    <w:rsid w:val="00F03FDC"/>
    <w:rsid w:val="00F04CE5"/>
    <w:rsid w:val="00F0539F"/>
    <w:rsid w:val="00F06934"/>
    <w:rsid w:val="00F0707F"/>
    <w:rsid w:val="00F072E1"/>
    <w:rsid w:val="00F07FDA"/>
    <w:rsid w:val="00F11185"/>
    <w:rsid w:val="00F12E98"/>
    <w:rsid w:val="00F13155"/>
    <w:rsid w:val="00F15306"/>
    <w:rsid w:val="00F155EB"/>
    <w:rsid w:val="00F15F87"/>
    <w:rsid w:val="00F175B6"/>
    <w:rsid w:val="00F2022D"/>
    <w:rsid w:val="00F205BE"/>
    <w:rsid w:val="00F2078F"/>
    <w:rsid w:val="00F207AB"/>
    <w:rsid w:val="00F209C2"/>
    <w:rsid w:val="00F216F0"/>
    <w:rsid w:val="00F21724"/>
    <w:rsid w:val="00F21803"/>
    <w:rsid w:val="00F218D1"/>
    <w:rsid w:val="00F21A81"/>
    <w:rsid w:val="00F21CC1"/>
    <w:rsid w:val="00F21D1A"/>
    <w:rsid w:val="00F2252B"/>
    <w:rsid w:val="00F22BD1"/>
    <w:rsid w:val="00F23E18"/>
    <w:rsid w:val="00F2428F"/>
    <w:rsid w:val="00F25FDB"/>
    <w:rsid w:val="00F27444"/>
    <w:rsid w:val="00F27D63"/>
    <w:rsid w:val="00F30AB3"/>
    <w:rsid w:val="00F31169"/>
    <w:rsid w:val="00F327FC"/>
    <w:rsid w:val="00F32A56"/>
    <w:rsid w:val="00F332E3"/>
    <w:rsid w:val="00F340C1"/>
    <w:rsid w:val="00F34369"/>
    <w:rsid w:val="00F36073"/>
    <w:rsid w:val="00F36492"/>
    <w:rsid w:val="00F36C2D"/>
    <w:rsid w:val="00F413D8"/>
    <w:rsid w:val="00F42100"/>
    <w:rsid w:val="00F42A9B"/>
    <w:rsid w:val="00F4438A"/>
    <w:rsid w:val="00F454AF"/>
    <w:rsid w:val="00F464FE"/>
    <w:rsid w:val="00F47CEC"/>
    <w:rsid w:val="00F5047D"/>
    <w:rsid w:val="00F51440"/>
    <w:rsid w:val="00F51A4A"/>
    <w:rsid w:val="00F53A46"/>
    <w:rsid w:val="00F53BCD"/>
    <w:rsid w:val="00F55200"/>
    <w:rsid w:val="00F55C54"/>
    <w:rsid w:val="00F55DD4"/>
    <w:rsid w:val="00F56138"/>
    <w:rsid w:val="00F5798E"/>
    <w:rsid w:val="00F619F1"/>
    <w:rsid w:val="00F61C0E"/>
    <w:rsid w:val="00F6492B"/>
    <w:rsid w:val="00F6564F"/>
    <w:rsid w:val="00F6591A"/>
    <w:rsid w:val="00F708B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A4F"/>
    <w:rsid w:val="00F87011"/>
    <w:rsid w:val="00F8762B"/>
    <w:rsid w:val="00F91591"/>
    <w:rsid w:val="00F9264B"/>
    <w:rsid w:val="00F9361D"/>
    <w:rsid w:val="00F93ACB"/>
    <w:rsid w:val="00F93DFD"/>
    <w:rsid w:val="00F9515F"/>
    <w:rsid w:val="00F96545"/>
    <w:rsid w:val="00FA0A3D"/>
    <w:rsid w:val="00FA2F95"/>
    <w:rsid w:val="00FA4895"/>
    <w:rsid w:val="00FA49F4"/>
    <w:rsid w:val="00FA617C"/>
    <w:rsid w:val="00FB0C0E"/>
    <w:rsid w:val="00FB1780"/>
    <w:rsid w:val="00FB2E40"/>
    <w:rsid w:val="00FB35C6"/>
    <w:rsid w:val="00FB417E"/>
    <w:rsid w:val="00FB4B8F"/>
    <w:rsid w:val="00FB534F"/>
    <w:rsid w:val="00FB53B8"/>
    <w:rsid w:val="00FB5BFA"/>
    <w:rsid w:val="00FB6ADE"/>
    <w:rsid w:val="00FC3D3B"/>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A7D"/>
    <w:rsid w:val="00FD6FC9"/>
    <w:rsid w:val="00FD71AC"/>
    <w:rsid w:val="00FE0BE4"/>
    <w:rsid w:val="00FE1592"/>
    <w:rsid w:val="00FE54FA"/>
    <w:rsid w:val="00FF0E91"/>
    <w:rsid w:val="00FF13CA"/>
    <w:rsid w:val="00FF1CA4"/>
    <w:rsid w:val="00FF35E2"/>
    <w:rsid w:val="00FF37A4"/>
    <w:rsid w:val="00FF42D1"/>
    <w:rsid w:val="00FF5C6C"/>
    <w:rsid w:val="00FF5D71"/>
    <w:rsid w:val="00FF6F60"/>
    <w:rsid w:val="00FF7848"/>
    <w:rsid w:val="00FF7962"/>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styleId="ListNumber">
    <w:name w:val="List Number"/>
    <w:basedOn w:val="Normal"/>
    <w:uiPriority w:val="99"/>
    <w:qFormat/>
    <w:rsid w:val="002E4139"/>
    <w:pPr>
      <w:numPr>
        <w:numId w:val="2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E4139"/>
    <w:pPr>
      <w:numPr>
        <w:ilvl w:val="1"/>
        <w:numId w:val="2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E4139"/>
    <w:pPr>
      <w:numPr>
        <w:ilvl w:val="2"/>
        <w:numId w:val="2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E4139"/>
    <w:pPr>
      <w:numPr>
        <w:ilvl w:val="3"/>
        <w:numId w:val="2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E4139"/>
    <w:pPr>
      <w:numPr>
        <w:ilvl w:val="4"/>
        <w:numId w:val="21"/>
      </w:numPr>
      <w:spacing w:after="200" w:line="276" w:lineRule="auto"/>
    </w:pPr>
    <w:rPr>
      <w:rFonts w:ascii="Arial" w:eastAsia="Calibri" w:hAnsi="Arial"/>
      <w:sz w:val="22"/>
      <w:szCs w:val="22"/>
      <w:lang w:eastAsia="en-US"/>
    </w:rPr>
  </w:style>
  <w:style w:type="paragraph" w:customStyle="1" w:styleId="definition">
    <w:name w:val="definition"/>
    <w:basedOn w:val="Normal"/>
    <w:rsid w:val="00BD5E40"/>
    <w:pPr>
      <w:spacing w:before="100" w:beforeAutospacing="1" w:after="100" w:afterAutospacing="1"/>
    </w:pPr>
    <w:rPr>
      <w:szCs w:val="24"/>
      <w:lang w:val="en-US" w:eastAsia="en-US"/>
    </w:rPr>
  </w:style>
  <w:style w:type="paragraph" w:customStyle="1" w:styleId="paragraph">
    <w:name w:val="paragraph"/>
    <w:basedOn w:val="Normal"/>
    <w:rsid w:val="00BD5E40"/>
    <w:pPr>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styleId="ListNumber">
    <w:name w:val="List Number"/>
    <w:basedOn w:val="Normal"/>
    <w:uiPriority w:val="99"/>
    <w:qFormat/>
    <w:rsid w:val="002E4139"/>
    <w:pPr>
      <w:numPr>
        <w:numId w:val="2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E4139"/>
    <w:pPr>
      <w:numPr>
        <w:ilvl w:val="1"/>
        <w:numId w:val="2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E4139"/>
    <w:pPr>
      <w:numPr>
        <w:ilvl w:val="2"/>
        <w:numId w:val="2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E4139"/>
    <w:pPr>
      <w:numPr>
        <w:ilvl w:val="3"/>
        <w:numId w:val="2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E4139"/>
    <w:pPr>
      <w:numPr>
        <w:ilvl w:val="4"/>
        <w:numId w:val="21"/>
      </w:numPr>
      <w:spacing w:after="200" w:line="276" w:lineRule="auto"/>
    </w:pPr>
    <w:rPr>
      <w:rFonts w:ascii="Arial" w:eastAsia="Calibri" w:hAnsi="Arial"/>
      <w:sz w:val="22"/>
      <w:szCs w:val="22"/>
      <w:lang w:eastAsia="en-US"/>
    </w:rPr>
  </w:style>
  <w:style w:type="paragraph" w:customStyle="1" w:styleId="definition">
    <w:name w:val="definition"/>
    <w:basedOn w:val="Normal"/>
    <w:rsid w:val="00BD5E40"/>
    <w:pPr>
      <w:spacing w:before="100" w:beforeAutospacing="1" w:after="100" w:afterAutospacing="1"/>
    </w:pPr>
    <w:rPr>
      <w:szCs w:val="24"/>
      <w:lang w:val="en-US" w:eastAsia="en-US"/>
    </w:rPr>
  </w:style>
  <w:style w:type="paragraph" w:customStyle="1" w:styleId="paragraph">
    <w:name w:val="paragraph"/>
    <w:basedOn w:val="Normal"/>
    <w:rsid w:val="00BD5E40"/>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93938">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CE65-425F-4B12-92FB-6667EE9E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24F840C9-072A-4BBF-946C-0D1F6CF73621}">
  <ds:schemaRefs>
    <ds:schemaRef ds:uri="http://schemas.microsoft.com/office/infopath/2007/PartnerControls"/>
    <ds:schemaRef ds:uri="http://purl.org/dc/dcmitype/"/>
    <ds:schemaRef ds:uri="http://www.w3.org/XML/1998/namespace"/>
    <ds:schemaRef ds:uri="http://purl.org/dc/elements/1.1/"/>
    <ds:schemaRef ds:uri="8bd9498f-fa43-4ae2-8bb2-4c55a71680a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FDC2C56-F0CA-429D-BEF7-74103D79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4</cp:revision>
  <cp:lastPrinted>2018-08-28T05:52:00Z</cp:lastPrinted>
  <dcterms:created xsi:type="dcterms:W3CDTF">2018-08-29T05:54:00Z</dcterms:created>
  <dcterms:modified xsi:type="dcterms:W3CDTF">2018-09-20T04:10:00Z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