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0993C" w14:textId="1B4A526D" w:rsidR="001A5B94" w:rsidRDefault="001A5B94" w:rsidP="003B58B0">
      <w:pPr>
        <w:pStyle w:val="Heading"/>
        <w:spacing w:after="0"/>
        <w:jc w:val="center"/>
        <w:rPr>
          <w:rFonts w:ascii="Times New Roman" w:hAnsi="Times New Roman" w:cs="Times New Roman"/>
          <w:sz w:val="24"/>
          <w:szCs w:val="24"/>
        </w:rPr>
      </w:pPr>
      <w:bookmarkStart w:id="0" w:name="bkInstrumentTitle"/>
      <w:bookmarkStart w:id="1" w:name="_GoBack"/>
      <w:bookmarkEnd w:id="0"/>
      <w:bookmarkEnd w:id="1"/>
      <w:r w:rsidRPr="009057C8">
        <w:rPr>
          <w:rFonts w:ascii="Times New Roman" w:hAnsi="Times New Roman" w:cs="Times New Roman"/>
          <w:sz w:val="24"/>
          <w:szCs w:val="24"/>
        </w:rPr>
        <w:t>Banking, Insurance</w:t>
      </w:r>
      <w:r>
        <w:rPr>
          <w:rFonts w:ascii="Times New Roman" w:hAnsi="Times New Roman" w:cs="Times New Roman"/>
          <w:sz w:val="24"/>
          <w:szCs w:val="24"/>
        </w:rPr>
        <w:t xml:space="preserve">, </w:t>
      </w:r>
      <w:r w:rsidRPr="009057C8">
        <w:rPr>
          <w:rFonts w:ascii="Times New Roman" w:hAnsi="Times New Roman" w:cs="Times New Roman"/>
          <w:sz w:val="24"/>
          <w:szCs w:val="24"/>
        </w:rPr>
        <w:t xml:space="preserve">Life Insurance </w:t>
      </w:r>
      <w:r>
        <w:rPr>
          <w:rFonts w:ascii="Times New Roman" w:hAnsi="Times New Roman" w:cs="Times New Roman"/>
          <w:sz w:val="24"/>
          <w:szCs w:val="24"/>
        </w:rPr>
        <w:t xml:space="preserve">and Health Insurance </w:t>
      </w:r>
      <w:r w:rsidRPr="009057C8">
        <w:rPr>
          <w:rFonts w:ascii="Times New Roman" w:hAnsi="Times New Roman" w:cs="Times New Roman"/>
          <w:sz w:val="24"/>
          <w:szCs w:val="24"/>
        </w:rPr>
        <w:t>(prudential standard) determination</w:t>
      </w:r>
      <w:r w:rsidR="003B58B0">
        <w:rPr>
          <w:rFonts w:ascii="Times New Roman" w:hAnsi="Times New Roman" w:cs="Times New Roman"/>
          <w:sz w:val="24"/>
          <w:szCs w:val="24"/>
        </w:rPr>
        <w:t xml:space="preserve"> </w:t>
      </w:r>
      <w:r>
        <w:rPr>
          <w:rFonts w:ascii="Times New Roman" w:hAnsi="Times New Roman" w:cs="Times New Roman"/>
          <w:sz w:val="24"/>
          <w:szCs w:val="24"/>
        </w:rPr>
        <w:t xml:space="preserve">No. </w:t>
      </w:r>
      <w:r w:rsidR="00AF076D">
        <w:rPr>
          <w:rFonts w:ascii="Times New Roman" w:hAnsi="Times New Roman" w:cs="Times New Roman"/>
          <w:sz w:val="24"/>
          <w:szCs w:val="24"/>
        </w:rPr>
        <w:t xml:space="preserve">2 </w:t>
      </w:r>
      <w:r>
        <w:rPr>
          <w:rFonts w:ascii="Times New Roman" w:hAnsi="Times New Roman" w:cs="Times New Roman"/>
          <w:sz w:val="24"/>
          <w:szCs w:val="24"/>
        </w:rPr>
        <w:t xml:space="preserve">of </w:t>
      </w:r>
      <w:r w:rsidRPr="00EB5568">
        <w:rPr>
          <w:rFonts w:ascii="Times New Roman" w:hAnsi="Times New Roman" w:cs="Times New Roman"/>
          <w:sz w:val="24"/>
          <w:szCs w:val="24"/>
        </w:rPr>
        <w:t>2018</w:t>
      </w:r>
    </w:p>
    <w:p w14:paraId="6E69942B" w14:textId="652DA940" w:rsidR="0088546C" w:rsidRDefault="0088546C" w:rsidP="001A5B94">
      <w:pPr>
        <w:pStyle w:val="Heading"/>
        <w:spacing w:before="0" w:after="0"/>
        <w:jc w:val="center"/>
        <w:rPr>
          <w:rFonts w:ascii="Times New Roman" w:hAnsi="Times New Roman" w:cs="Times New Roman"/>
          <w:sz w:val="24"/>
          <w:szCs w:val="24"/>
        </w:rPr>
      </w:pPr>
    </w:p>
    <w:p w14:paraId="58D0993D" w14:textId="77777777" w:rsidR="001A5B94" w:rsidRPr="00D5144A" w:rsidRDefault="001A5B94" w:rsidP="00680011">
      <w:pPr>
        <w:pStyle w:val="Heading"/>
        <w:spacing w:before="0" w:after="0"/>
        <w:rPr>
          <w:sz w:val="24"/>
          <w:szCs w:val="24"/>
        </w:rPr>
      </w:pPr>
    </w:p>
    <w:p w14:paraId="58D0993E" w14:textId="77777777" w:rsidR="001A5B94" w:rsidRPr="009057C8" w:rsidRDefault="001A5B94" w:rsidP="001A5B94">
      <w:pPr>
        <w:pStyle w:val="Heading1"/>
        <w:jc w:val="center"/>
        <w:rPr>
          <w:rFonts w:ascii="Times New Roman" w:hAnsi="Times New Roman" w:cs="Times New Roman"/>
          <w:sz w:val="24"/>
          <w:u w:val="single"/>
        </w:rPr>
      </w:pPr>
      <w:r w:rsidRPr="009057C8">
        <w:rPr>
          <w:rFonts w:ascii="Times New Roman" w:hAnsi="Times New Roman" w:cs="Times New Roman"/>
          <w:sz w:val="24"/>
          <w:u w:val="single"/>
        </w:rPr>
        <w:t>EXPLANATORY STATEMENT</w:t>
      </w:r>
    </w:p>
    <w:p w14:paraId="58D0993F" w14:textId="10B43C24" w:rsidR="001A5B94" w:rsidRPr="009057C8" w:rsidRDefault="001A5B94" w:rsidP="001A5B94">
      <w:pPr>
        <w:pStyle w:val="Heading2"/>
        <w:jc w:val="center"/>
        <w:rPr>
          <w:rFonts w:ascii="Times New Roman" w:hAnsi="Times New Roman" w:cs="Times New Roman"/>
          <w:sz w:val="24"/>
          <w:szCs w:val="24"/>
        </w:rPr>
      </w:pPr>
      <w:r w:rsidRPr="009057C8">
        <w:rPr>
          <w:rFonts w:ascii="Times New Roman" w:hAnsi="Times New Roman" w:cs="Times New Roman"/>
          <w:sz w:val="24"/>
          <w:szCs w:val="24"/>
        </w:rPr>
        <w:t>Prepared by the Australian Prudential Regulation Authority</w:t>
      </w:r>
      <w:r w:rsidR="00E6633E">
        <w:rPr>
          <w:rFonts w:ascii="Times New Roman" w:hAnsi="Times New Roman" w:cs="Times New Roman"/>
          <w:sz w:val="24"/>
          <w:szCs w:val="24"/>
        </w:rPr>
        <w:t xml:space="preserve"> (APRA)</w:t>
      </w:r>
    </w:p>
    <w:p w14:paraId="58D09940" w14:textId="77777777" w:rsidR="001A5B94" w:rsidRPr="009057C8" w:rsidRDefault="001A5B94" w:rsidP="001A5B94">
      <w:pPr>
        <w:shd w:val="clear" w:color="auto" w:fill="FFFFFF" w:themeFill="background1"/>
        <w:spacing w:before="100" w:beforeAutospacing="1" w:after="100" w:afterAutospacing="1"/>
        <w:jc w:val="center"/>
        <w:rPr>
          <w:rFonts w:ascii="Times New Roman" w:hAnsi="Times New Roman"/>
          <w:szCs w:val="19"/>
          <w:lang w:val="en-US"/>
        </w:rPr>
      </w:pPr>
      <w:r w:rsidRPr="009057C8">
        <w:rPr>
          <w:rFonts w:ascii="Times New Roman" w:hAnsi="Times New Roman"/>
          <w:i/>
          <w:szCs w:val="19"/>
          <w:lang w:val="en-US"/>
        </w:rPr>
        <w:t xml:space="preserve">Banking Act 1959, </w:t>
      </w:r>
      <w:r w:rsidRPr="009057C8">
        <w:rPr>
          <w:rFonts w:ascii="Times New Roman" w:hAnsi="Times New Roman"/>
          <w:szCs w:val="19"/>
          <w:lang w:val="en-US"/>
        </w:rPr>
        <w:t>section 11AF</w:t>
      </w:r>
    </w:p>
    <w:p w14:paraId="58D09941" w14:textId="77777777" w:rsidR="001A5B94" w:rsidRPr="009057C8" w:rsidRDefault="001A5B94" w:rsidP="001A5B94">
      <w:pPr>
        <w:shd w:val="clear" w:color="auto" w:fill="FFFFFF" w:themeFill="background1"/>
        <w:jc w:val="center"/>
        <w:rPr>
          <w:rFonts w:ascii="Times New Roman" w:hAnsi="Times New Roman"/>
          <w:szCs w:val="19"/>
          <w:lang w:val="en-US"/>
        </w:rPr>
      </w:pPr>
      <w:r w:rsidRPr="009057C8">
        <w:rPr>
          <w:rFonts w:ascii="Times New Roman" w:hAnsi="Times New Roman"/>
          <w:i/>
          <w:iCs/>
          <w:color w:val="000000"/>
          <w:szCs w:val="19"/>
        </w:rPr>
        <w:t>Insurance Act 1973</w:t>
      </w:r>
      <w:r w:rsidRPr="009057C8">
        <w:rPr>
          <w:rFonts w:ascii="Times New Roman" w:hAnsi="Times New Roman"/>
          <w:color w:val="000000"/>
          <w:szCs w:val="19"/>
        </w:rPr>
        <w:t>, section 32</w:t>
      </w:r>
    </w:p>
    <w:p w14:paraId="58D09942" w14:textId="77777777" w:rsidR="001A5B94" w:rsidRPr="009057C8" w:rsidRDefault="001A5B94" w:rsidP="001A5B94">
      <w:pPr>
        <w:shd w:val="clear" w:color="auto" w:fill="FFFFFF" w:themeFill="background1"/>
        <w:jc w:val="center"/>
        <w:rPr>
          <w:rFonts w:ascii="Times New Roman" w:hAnsi="Times New Roman"/>
          <w:color w:val="000000"/>
          <w:szCs w:val="19"/>
        </w:rPr>
      </w:pPr>
      <w:r w:rsidRPr="009057C8">
        <w:rPr>
          <w:rFonts w:ascii="Times New Roman" w:hAnsi="Times New Roman"/>
          <w:i/>
          <w:iCs/>
          <w:color w:val="000000"/>
          <w:szCs w:val="19"/>
        </w:rPr>
        <w:t>Life Insurance Act 1995</w:t>
      </w:r>
      <w:r w:rsidRPr="009057C8">
        <w:rPr>
          <w:rFonts w:ascii="Times New Roman" w:hAnsi="Times New Roman"/>
          <w:color w:val="000000"/>
          <w:szCs w:val="19"/>
        </w:rPr>
        <w:t>, section 230A</w:t>
      </w:r>
    </w:p>
    <w:p w14:paraId="58D09943" w14:textId="77777777" w:rsidR="001A5B94" w:rsidRPr="00B8533C" w:rsidRDefault="001A5B94" w:rsidP="001A5B94">
      <w:pPr>
        <w:shd w:val="clear" w:color="auto" w:fill="FFFFFF" w:themeFill="background1"/>
        <w:jc w:val="center"/>
        <w:rPr>
          <w:rFonts w:cs="Arial"/>
          <w:szCs w:val="19"/>
          <w:lang w:val="en-US"/>
        </w:rPr>
      </w:pPr>
      <w:r w:rsidRPr="009057C8">
        <w:rPr>
          <w:rFonts w:ascii="Times New Roman" w:hAnsi="Times New Roman"/>
          <w:i/>
          <w:szCs w:val="19"/>
          <w:shd w:val="clear" w:color="auto" w:fill="FFFFFF" w:themeFill="background1"/>
          <w:lang w:val="en-US"/>
        </w:rPr>
        <w:t>Private Health Insurance (Prudential Supervision) Act 2015</w:t>
      </w:r>
      <w:r w:rsidRPr="009057C8">
        <w:rPr>
          <w:rFonts w:ascii="Times New Roman" w:hAnsi="Times New Roman"/>
          <w:szCs w:val="19"/>
          <w:shd w:val="clear" w:color="auto" w:fill="FFFFFF" w:themeFill="background1"/>
          <w:lang w:val="en-US"/>
        </w:rPr>
        <w:t>, section 92</w:t>
      </w:r>
    </w:p>
    <w:p w14:paraId="58D09944" w14:textId="77777777" w:rsidR="001A5B94" w:rsidRPr="009057C8" w:rsidRDefault="001A5B94" w:rsidP="001A5B94">
      <w:pPr>
        <w:shd w:val="clear" w:color="auto" w:fill="FFFFFF" w:themeFill="background1"/>
        <w:spacing w:before="100" w:beforeAutospacing="1" w:after="100" w:afterAutospacing="1"/>
        <w:jc w:val="left"/>
        <w:rPr>
          <w:rFonts w:ascii="Times New Roman" w:hAnsi="Times New Roman"/>
          <w:sz w:val="24"/>
          <w:lang w:val="en-US"/>
        </w:rPr>
      </w:pPr>
      <w:bookmarkStart w:id="2" w:name="bkAct"/>
      <w:bookmarkStart w:id="3" w:name="bkExplanatory"/>
      <w:bookmarkEnd w:id="2"/>
      <w:bookmarkEnd w:id="3"/>
      <w:r w:rsidRPr="009057C8">
        <w:rPr>
          <w:rFonts w:ascii="Times New Roman" w:hAnsi="Times New Roman"/>
          <w:sz w:val="24"/>
        </w:rPr>
        <w:t>APRA may, in writing, determine, vary or revoke a prudential standard that applies to an institution regulated by APRA under:</w:t>
      </w:r>
    </w:p>
    <w:p w14:paraId="58D09945" w14:textId="473D6C06" w:rsidR="001A5B94" w:rsidRPr="009057C8" w:rsidRDefault="001A5B94" w:rsidP="001A5B94">
      <w:pPr>
        <w:shd w:val="clear" w:color="auto" w:fill="FFFFFF" w:themeFill="background1"/>
        <w:spacing w:before="100" w:beforeAutospacing="1" w:after="100" w:afterAutospacing="1"/>
        <w:ind w:left="567" w:hanging="567"/>
        <w:jc w:val="left"/>
        <w:rPr>
          <w:rFonts w:ascii="Times New Roman" w:hAnsi="Times New Roman"/>
          <w:sz w:val="24"/>
          <w:lang w:val="en-US"/>
        </w:rPr>
      </w:pPr>
      <w:r w:rsidRPr="009057C8">
        <w:rPr>
          <w:rFonts w:ascii="Times New Roman" w:hAnsi="Times New Roman"/>
          <w:sz w:val="24"/>
        </w:rPr>
        <w:t>(1)</w:t>
      </w:r>
      <w:r w:rsidRPr="009057C8">
        <w:rPr>
          <w:rFonts w:ascii="Times New Roman" w:hAnsi="Times New Roman"/>
          <w:sz w:val="24"/>
        </w:rPr>
        <w:tab/>
        <w:t>subsection</w:t>
      </w:r>
      <w:r w:rsidR="00A41101">
        <w:rPr>
          <w:rFonts w:ascii="Times New Roman" w:hAnsi="Times New Roman"/>
          <w:sz w:val="24"/>
        </w:rPr>
        <w:t>s</w:t>
      </w:r>
      <w:r w:rsidRPr="009057C8">
        <w:rPr>
          <w:rFonts w:ascii="Times New Roman" w:hAnsi="Times New Roman"/>
          <w:sz w:val="24"/>
        </w:rPr>
        <w:t xml:space="preserve"> 11AF(1) </w:t>
      </w:r>
      <w:r w:rsidR="00A41101">
        <w:rPr>
          <w:rFonts w:ascii="Times New Roman" w:hAnsi="Times New Roman"/>
          <w:sz w:val="24"/>
        </w:rPr>
        <w:t xml:space="preserve">and (3) </w:t>
      </w:r>
      <w:r w:rsidRPr="009057C8">
        <w:rPr>
          <w:rFonts w:ascii="Times New Roman" w:hAnsi="Times New Roman"/>
          <w:sz w:val="24"/>
        </w:rPr>
        <w:t xml:space="preserve">of the </w:t>
      </w:r>
      <w:r w:rsidRPr="009057C8">
        <w:rPr>
          <w:rFonts w:ascii="Times New Roman" w:hAnsi="Times New Roman"/>
          <w:i/>
          <w:iCs/>
          <w:sz w:val="24"/>
        </w:rPr>
        <w:t>Banking Act 1959</w:t>
      </w:r>
      <w:r w:rsidRPr="009057C8">
        <w:rPr>
          <w:rFonts w:ascii="Times New Roman" w:hAnsi="Times New Roman"/>
          <w:sz w:val="24"/>
        </w:rPr>
        <w:t xml:space="preserve"> (Banking Act), in relation to authorised deposit-taking institutions (ADIs) and authorised non-operating holding companies (authorised banking NOHCs);</w:t>
      </w:r>
    </w:p>
    <w:p w14:paraId="58D09946" w14:textId="46663E87" w:rsidR="001A5B94" w:rsidRPr="009057C8" w:rsidRDefault="001A5B94" w:rsidP="001A5B94">
      <w:pPr>
        <w:shd w:val="clear" w:color="auto" w:fill="FFFFFF" w:themeFill="background1"/>
        <w:spacing w:before="100" w:beforeAutospacing="1" w:after="100" w:afterAutospacing="1"/>
        <w:ind w:left="567" w:hanging="567"/>
        <w:jc w:val="left"/>
        <w:rPr>
          <w:rFonts w:ascii="Times New Roman" w:hAnsi="Times New Roman"/>
          <w:sz w:val="24"/>
          <w:lang w:val="en-US"/>
        </w:rPr>
      </w:pPr>
      <w:r w:rsidRPr="009057C8">
        <w:rPr>
          <w:rFonts w:ascii="Times New Roman" w:hAnsi="Times New Roman"/>
          <w:sz w:val="24"/>
        </w:rPr>
        <w:t>(2)</w:t>
      </w:r>
      <w:r w:rsidRPr="009057C8">
        <w:rPr>
          <w:rFonts w:ascii="Times New Roman" w:hAnsi="Times New Roman"/>
          <w:sz w:val="24"/>
        </w:rPr>
        <w:tab/>
        <w:t>subsection</w:t>
      </w:r>
      <w:r w:rsidR="00A41101">
        <w:rPr>
          <w:rFonts w:ascii="Times New Roman" w:hAnsi="Times New Roman"/>
          <w:sz w:val="24"/>
        </w:rPr>
        <w:t>s</w:t>
      </w:r>
      <w:r w:rsidRPr="009057C8">
        <w:rPr>
          <w:rFonts w:ascii="Times New Roman" w:hAnsi="Times New Roman"/>
          <w:sz w:val="24"/>
        </w:rPr>
        <w:t xml:space="preserve"> 32(1) </w:t>
      </w:r>
      <w:r w:rsidR="00A41101">
        <w:rPr>
          <w:rFonts w:ascii="Times New Roman" w:hAnsi="Times New Roman"/>
          <w:sz w:val="24"/>
        </w:rPr>
        <w:t xml:space="preserve">and (4) </w:t>
      </w:r>
      <w:r w:rsidRPr="009057C8">
        <w:rPr>
          <w:rFonts w:ascii="Times New Roman" w:hAnsi="Times New Roman"/>
          <w:sz w:val="24"/>
        </w:rPr>
        <w:t xml:space="preserve">of the </w:t>
      </w:r>
      <w:r w:rsidRPr="009057C8">
        <w:rPr>
          <w:rFonts w:ascii="Times New Roman" w:hAnsi="Times New Roman"/>
          <w:i/>
          <w:iCs/>
          <w:sz w:val="24"/>
        </w:rPr>
        <w:t>Insurance Act 1973</w:t>
      </w:r>
      <w:r w:rsidRPr="009057C8">
        <w:rPr>
          <w:rFonts w:ascii="Times New Roman" w:hAnsi="Times New Roman"/>
          <w:sz w:val="24"/>
        </w:rPr>
        <w:t xml:space="preserve"> (Insurance Act), in relation to general insurers, authorised non-operating holding companies (authorised insurance NOHCs), and subsidiaries of general insurers and </w:t>
      </w:r>
      <w:r w:rsidR="00C665C2">
        <w:rPr>
          <w:rFonts w:ascii="Times New Roman" w:hAnsi="Times New Roman"/>
          <w:sz w:val="24"/>
        </w:rPr>
        <w:t>authorised insurance NOHCs;</w:t>
      </w:r>
    </w:p>
    <w:p w14:paraId="58D09947" w14:textId="107E9FE6" w:rsidR="001A5B94" w:rsidRPr="009057C8" w:rsidRDefault="001A5B94" w:rsidP="001A5B94">
      <w:pPr>
        <w:shd w:val="clear" w:color="auto" w:fill="FFFFFF" w:themeFill="background1"/>
        <w:spacing w:before="100" w:beforeAutospacing="1" w:after="100" w:afterAutospacing="1"/>
        <w:ind w:left="567" w:hanging="567"/>
        <w:jc w:val="left"/>
        <w:rPr>
          <w:rFonts w:ascii="Times New Roman" w:hAnsi="Times New Roman"/>
          <w:sz w:val="24"/>
        </w:rPr>
      </w:pPr>
      <w:r w:rsidRPr="009057C8">
        <w:rPr>
          <w:rFonts w:ascii="Times New Roman" w:hAnsi="Times New Roman"/>
          <w:sz w:val="24"/>
        </w:rPr>
        <w:t>(3)</w:t>
      </w:r>
      <w:r w:rsidRPr="009057C8">
        <w:rPr>
          <w:rFonts w:ascii="Times New Roman" w:hAnsi="Times New Roman"/>
          <w:sz w:val="24"/>
        </w:rPr>
        <w:tab/>
        <w:t>subsection</w:t>
      </w:r>
      <w:r w:rsidR="00A41101">
        <w:rPr>
          <w:rFonts w:ascii="Times New Roman" w:hAnsi="Times New Roman"/>
          <w:sz w:val="24"/>
        </w:rPr>
        <w:t>s</w:t>
      </w:r>
      <w:r w:rsidRPr="009057C8">
        <w:rPr>
          <w:rFonts w:ascii="Times New Roman" w:hAnsi="Times New Roman"/>
          <w:sz w:val="24"/>
        </w:rPr>
        <w:t xml:space="preserve"> 230A(1) </w:t>
      </w:r>
      <w:r w:rsidR="00A41101">
        <w:rPr>
          <w:rFonts w:ascii="Times New Roman" w:hAnsi="Times New Roman"/>
          <w:sz w:val="24"/>
        </w:rPr>
        <w:t xml:space="preserve">and (5) </w:t>
      </w:r>
      <w:r w:rsidRPr="009057C8">
        <w:rPr>
          <w:rFonts w:ascii="Times New Roman" w:hAnsi="Times New Roman"/>
          <w:sz w:val="24"/>
        </w:rPr>
        <w:t xml:space="preserve">of the </w:t>
      </w:r>
      <w:r w:rsidRPr="009057C8">
        <w:rPr>
          <w:rFonts w:ascii="Times New Roman" w:hAnsi="Times New Roman"/>
          <w:i/>
          <w:iCs/>
          <w:sz w:val="24"/>
        </w:rPr>
        <w:t>Life Insurance Act 1995</w:t>
      </w:r>
      <w:r w:rsidRPr="009057C8">
        <w:rPr>
          <w:rFonts w:ascii="Times New Roman" w:hAnsi="Times New Roman"/>
          <w:sz w:val="24"/>
        </w:rPr>
        <w:t xml:space="preserve"> (Life Insurance Act), in relation to life companies, friendly societies, registered non-operating holding companies (registered life NOHCs), and subsidiaries of life companies and registered life NOHCs; and</w:t>
      </w:r>
    </w:p>
    <w:p w14:paraId="58D09948" w14:textId="6ABFDD48" w:rsidR="001A5B94" w:rsidRPr="009057C8" w:rsidRDefault="001A5B94" w:rsidP="001A5B94">
      <w:pPr>
        <w:shd w:val="clear" w:color="auto" w:fill="FFFFFF" w:themeFill="background1"/>
        <w:spacing w:before="100" w:beforeAutospacing="1" w:after="100" w:afterAutospacing="1"/>
        <w:ind w:left="567" w:hanging="567"/>
        <w:jc w:val="left"/>
        <w:rPr>
          <w:rFonts w:ascii="Times New Roman" w:hAnsi="Times New Roman"/>
          <w:sz w:val="24"/>
          <w:lang w:val="en-US"/>
        </w:rPr>
      </w:pPr>
      <w:r w:rsidRPr="009057C8">
        <w:rPr>
          <w:rFonts w:ascii="Times New Roman" w:hAnsi="Times New Roman"/>
          <w:sz w:val="24"/>
          <w:shd w:val="clear" w:color="auto" w:fill="FFFFFF" w:themeFill="background1"/>
        </w:rPr>
        <w:t xml:space="preserve">(4) </w:t>
      </w:r>
      <w:r w:rsidRPr="009057C8">
        <w:rPr>
          <w:rFonts w:ascii="Times New Roman" w:hAnsi="Times New Roman"/>
          <w:sz w:val="24"/>
          <w:shd w:val="clear" w:color="auto" w:fill="FFFFFF" w:themeFill="background1"/>
        </w:rPr>
        <w:tab/>
        <w:t>s</w:t>
      </w:r>
      <w:r>
        <w:rPr>
          <w:rFonts w:ascii="Times New Roman" w:hAnsi="Times New Roman"/>
          <w:sz w:val="24"/>
          <w:shd w:val="clear" w:color="auto" w:fill="FFFFFF" w:themeFill="background1"/>
        </w:rPr>
        <w:t>ubs</w:t>
      </w:r>
      <w:r w:rsidRPr="009057C8">
        <w:rPr>
          <w:rFonts w:ascii="Times New Roman" w:hAnsi="Times New Roman"/>
          <w:sz w:val="24"/>
          <w:shd w:val="clear" w:color="auto" w:fill="FFFFFF" w:themeFill="background1"/>
        </w:rPr>
        <w:t>ection</w:t>
      </w:r>
      <w:r w:rsidR="00A41101">
        <w:rPr>
          <w:rFonts w:ascii="Times New Roman" w:hAnsi="Times New Roman"/>
          <w:sz w:val="24"/>
          <w:shd w:val="clear" w:color="auto" w:fill="FFFFFF" w:themeFill="background1"/>
        </w:rPr>
        <w:t>s</w:t>
      </w:r>
      <w:r w:rsidRPr="009057C8">
        <w:rPr>
          <w:rFonts w:ascii="Times New Roman" w:hAnsi="Times New Roman"/>
          <w:sz w:val="24"/>
          <w:shd w:val="clear" w:color="auto" w:fill="FFFFFF" w:themeFill="background1"/>
        </w:rPr>
        <w:t xml:space="preserve"> 92</w:t>
      </w:r>
      <w:r>
        <w:rPr>
          <w:rFonts w:ascii="Times New Roman" w:hAnsi="Times New Roman"/>
          <w:sz w:val="24"/>
          <w:shd w:val="clear" w:color="auto" w:fill="FFFFFF" w:themeFill="background1"/>
        </w:rPr>
        <w:t>(1)</w:t>
      </w:r>
      <w:r w:rsidRPr="009057C8">
        <w:rPr>
          <w:rFonts w:ascii="Times New Roman" w:hAnsi="Times New Roman"/>
          <w:sz w:val="24"/>
          <w:shd w:val="clear" w:color="auto" w:fill="FFFFFF" w:themeFill="background1"/>
        </w:rPr>
        <w:t xml:space="preserve"> </w:t>
      </w:r>
      <w:r w:rsidR="00A41101">
        <w:rPr>
          <w:rFonts w:ascii="Times New Roman" w:hAnsi="Times New Roman"/>
          <w:sz w:val="24"/>
          <w:shd w:val="clear" w:color="auto" w:fill="FFFFFF" w:themeFill="background1"/>
        </w:rPr>
        <w:t xml:space="preserve">and (5) </w:t>
      </w:r>
      <w:r w:rsidRPr="009057C8">
        <w:rPr>
          <w:rFonts w:ascii="Times New Roman" w:hAnsi="Times New Roman"/>
          <w:sz w:val="24"/>
          <w:shd w:val="clear" w:color="auto" w:fill="FFFFFF" w:themeFill="background1"/>
        </w:rPr>
        <w:t xml:space="preserve">of the </w:t>
      </w:r>
      <w:r w:rsidRPr="009057C8">
        <w:rPr>
          <w:rFonts w:ascii="Times New Roman" w:hAnsi="Times New Roman"/>
          <w:i/>
          <w:iCs/>
          <w:sz w:val="24"/>
          <w:shd w:val="clear" w:color="auto" w:fill="FFFFFF" w:themeFill="background1"/>
        </w:rPr>
        <w:t>Private Health Insurance (Prudential Supervision) Act 2015</w:t>
      </w:r>
      <w:r w:rsidRPr="009057C8">
        <w:rPr>
          <w:rFonts w:ascii="Times New Roman" w:hAnsi="Times New Roman"/>
          <w:sz w:val="24"/>
          <w:shd w:val="clear" w:color="auto" w:fill="FFFFFF" w:themeFill="background1"/>
        </w:rPr>
        <w:t xml:space="preserve"> (PHI</w:t>
      </w:r>
      <w:r w:rsidR="0034086C">
        <w:rPr>
          <w:rFonts w:ascii="Times New Roman" w:hAnsi="Times New Roman"/>
          <w:sz w:val="24"/>
          <w:shd w:val="clear" w:color="auto" w:fill="FFFFFF" w:themeFill="background1"/>
        </w:rPr>
        <w:t>PS</w:t>
      </w:r>
      <w:r w:rsidRPr="009057C8">
        <w:rPr>
          <w:rFonts w:ascii="Times New Roman" w:hAnsi="Times New Roman"/>
          <w:sz w:val="24"/>
          <w:shd w:val="clear" w:color="auto" w:fill="FFFFFF" w:themeFill="background1"/>
        </w:rPr>
        <w:t xml:space="preserve"> Act), in relation to registered private health insurers</w:t>
      </w:r>
      <w:r w:rsidRPr="009057C8">
        <w:rPr>
          <w:rFonts w:ascii="Times New Roman" w:hAnsi="Times New Roman"/>
          <w:sz w:val="24"/>
        </w:rPr>
        <w:t xml:space="preserve">. </w:t>
      </w:r>
    </w:p>
    <w:p w14:paraId="58D09949" w14:textId="5E2D5F2A" w:rsidR="001A5B94" w:rsidRPr="009057C8" w:rsidRDefault="00680011" w:rsidP="001A5B94">
      <w:pPr>
        <w:shd w:val="clear" w:color="auto" w:fill="FFFFFF" w:themeFill="background1"/>
        <w:spacing w:before="100" w:beforeAutospacing="1" w:after="100" w:afterAutospacing="1"/>
        <w:jc w:val="left"/>
        <w:rPr>
          <w:rFonts w:ascii="Times New Roman" w:hAnsi="Times New Roman"/>
          <w:sz w:val="24"/>
          <w:lang w:val="en-US"/>
        </w:rPr>
      </w:pPr>
      <w:r>
        <w:rPr>
          <w:rFonts w:ascii="Times New Roman" w:hAnsi="Times New Roman"/>
          <w:sz w:val="24"/>
        </w:rPr>
        <w:t xml:space="preserve">On 14 September </w:t>
      </w:r>
      <w:r w:rsidR="001A5B94" w:rsidRPr="0023776E">
        <w:rPr>
          <w:rFonts w:ascii="Times New Roman" w:hAnsi="Times New Roman"/>
          <w:sz w:val="24"/>
        </w:rPr>
        <w:t>201</w:t>
      </w:r>
      <w:r w:rsidR="001A5B94">
        <w:rPr>
          <w:rFonts w:ascii="Times New Roman" w:hAnsi="Times New Roman"/>
          <w:sz w:val="24"/>
        </w:rPr>
        <w:t>8</w:t>
      </w:r>
      <w:r w:rsidR="001A5B94" w:rsidRPr="0023776E">
        <w:rPr>
          <w:rFonts w:ascii="Times New Roman" w:hAnsi="Times New Roman"/>
          <w:sz w:val="24"/>
        </w:rPr>
        <w:t>,</w:t>
      </w:r>
      <w:r w:rsidR="001A5B94" w:rsidRPr="009057C8">
        <w:rPr>
          <w:rFonts w:ascii="Times New Roman" w:hAnsi="Times New Roman"/>
          <w:sz w:val="24"/>
        </w:rPr>
        <w:t xml:space="preserve"> APRA made the following</w:t>
      </w:r>
      <w:r w:rsidR="001A5B94" w:rsidRPr="009057C8">
        <w:rPr>
          <w:rFonts w:ascii="Times New Roman" w:hAnsi="Times New Roman"/>
          <w:sz w:val="24"/>
          <w:shd w:val="clear" w:color="auto" w:fill="FFFFFF" w:themeFill="background1"/>
        </w:rPr>
        <w:t xml:space="preserve"> determination</w:t>
      </w:r>
      <w:r w:rsidR="001A5B94" w:rsidRPr="009057C8">
        <w:rPr>
          <w:rFonts w:ascii="Times New Roman" w:hAnsi="Times New Roman"/>
          <w:sz w:val="24"/>
        </w:rPr>
        <w:t xml:space="preserve"> (the instrument):</w:t>
      </w:r>
    </w:p>
    <w:p w14:paraId="58D0994A" w14:textId="168BA651" w:rsidR="001A5B94" w:rsidRPr="00C665C2" w:rsidRDefault="001A5B94" w:rsidP="001A5B94">
      <w:pPr>
        <w:shd w:val="clear" w:color="auto" w:fill="FFFFFF" w:themeFill="background1"/>
        <w:spacing w:before="100" w:beforeAutospacing="1" w:after="100" w:afterAutospacing="1"/>
        <w:ind w:left="567"/>
        <w:jc w:val="left"/>
        <w:rPr>
          <w:rFonts w:ascii="Times New Roman" w:hAnsi="Times New Roman"/>
          <w:sz w:val="24"/>
        </w:rPr>
      </w:pPr>
      <w:r w:rsidRPr="009057C8">
        <w:rPr>
          <w:rFonts w:ascii="Times New Roman" w:hAnsi="Times New Roman"/>
          <w:sz w:val="24"/>
        </w:rPr>
        <w:t>Banking</w:t>
      </w:r>
      <w:r w:rsidRPr="00EB5568">
        <w:rPr>
          <w:rFonts w:ascii="Times New Roman" w:hAnsi="Times New Roman"/>
          <w:sz w:val="24"/>
          <w:lang w:val="en-US"/>
        </w:rPr>
        <w:t xml:space="preserve">, Insurance, Life Insurance and Health Insurance (prudential standard) determination No. </w:t>
      </w:r>
      <w:r w:rsidR="00A41101" w:rsidRPr="00EB5568">
        <w:rPr>
          <w:rFonts w:ascii="Times New Roman" w:hAnsi="Times New Roman"/>
          <w:sz w:val="24"/>
          <w:lang w:val="en-US"/>
        </w:rPr>
        <w:t xml:space="preserve">2 </w:t>
      </w:r>
      <w:r w:rsidRPr="00EB5568">
        <w:rPr>
          <w:rFonts w:ascii="Times New Roman" w:hAnsi="Times New Roman"/>
          <w:sz w:val="24"/>
          <w:lang w:val="en-US"/>
        </w:rPr>
        <w:t xml:space="preserve">of 2018, which </w:t>
      </w:r>
      <w:r w:rsidRPr="00EB5568">
        <w:rPr>
          <w:rFonts w:ascii="Times New Roman" w:hAnsi="Times New Roman"/>
          <w:sz w:val="24"/>
          <w:shd w:val="clear" w:color="auto" w:fill="FFFFFF" w:themeFill="background1"/>
        </w:rPr>
        <w:t>revokes</w:t>
      </w:r>
      <w:r w:rsidRPr="00EB5568">
        <w:rPr>
          <w:rFonts w:ascii="Times New Roman" w:hAnsi="Times New Roman"/>
          <w:sz w:val="24"/>
        </w:rPr>
        <w:t xml:space="preserve"> </w:t>
      </w:r>
      <w:r w:rsidRPr="00EB5568">
        <w:rPr>
          <w:rFonts w:ascii="Times New Roman" w:hAnsi="Times New Roman"/>
          <w:i/>
          <w:iCs/>
          <w:sz w:val="24"/>
        </w:rPr>
        <w:t>Prudential Standard</w:t>
      </w:r>
      <w:r w:rsidRPr="00EB5568">
        <w:rPr>
          <w:rFonts w:ascii="Times New Roman" w:hAnsi="Times New Roman"/>
          <w:sz w:val="24"/>
        </w:rPr>
        <w:t xml:space="preserve"> </w:t>
      </w:r>
      <w:r w:rsidRPr="00EB5568">
        <w:rPr>
          <w:rFonts w:ascii="Times New Roman" w:hAnsi="Times New Roman"/>
          <w:i/>
          <w:iCs/>
          <w:sz w:val="24"/>
          <w:lang w:val="en-US"/>
        </w:rPr>
        <w:t xml:space="preserve">CPS </w:t>
      </w:r>
      <w:r w:rsidR="001C2AF5" w:rsidRPr="00EB5568">
        <w:rPr>
          <w:rFonts w:ascii="Times New Roman" w:hAnsi="Times New Roman"/>
          <w:i/>
          <w:iCs/>
          <w:sz w:val="24"/>
          <w:lang w:val="en-US"/>
        </w:rPr>
        <w:t>52</w:t>
      </w:r>
      <w:r w:rsidRPr="00EB5568">
        <w:rPr>
          <w:rFonts w:ascii="Times New Roman" w:hAnsi="Times New Roman"/>
          <w:i/>
          <w:iCs/>
          <w:sz w:val="24"/>
          <w:lang w:val="en-US"/>
        </w:rPr>
        <w:t>0</w:t>
      </w:r>
      <w:r w:rsidR="001C2AF5" w:rsidRPr="00EB5568">
        <w:rPr>
          <w:rFonts w:ascii="Times New Roman" w:hAnsi="Times New Roman"/>
          <w:i/>
          <w:iCs/>
          <w:sz w:val="24"/>
          <w:lang w:val="en-US"/>
        </w:rPr>
        <w:t xml:space="preserve"> Fit and Proper</w:t>
      </w:r>
      <w:r w:rsidRPr="00EB5568">
        <w:rPr>
          <w:rFonts w:ascii="Times New Roman" w:hAnsi="Times New Roman"/>
          <w:i/>
          <w:iCs/>
          <w:sz w:val="24"/>
          <w:lang w:val="en-US"/>
        </w:rPr>
        <w:t xml:space="preserve"> </w:t>
      </w:r>
      <w:r w:rsidRPr="00EB5568">
        <w:rPr>
          <w:rFonts w:ascii="Times New Roman" w:hAnsi="Times New Roman"/>
          <w:sz w:val="24"/>
          <w:lang w:val="en-US"/>
        </w:rPr>
        <w:t xml:space="preserve">(CPS </w:t>
      </w:r>
      <w:r w:rsidR="001C2AF5" w:rsidRPr="00EB5568">
        <w:rPr>
          <w:rFonts w:ascii="Times New Roman" w:hAnsi="Times New Roman"/>
          <w:sz w:val="24"/>
          <w:lang w:val="en-US"/>
        </w:rPr>
        <w:t>52</w:t>
      </w:r>
      <w:r w:rsidRPr="00EB5568">
        <w:rPr>
          <w:rFonts w:ascii="Times New Roman" w:hAnsi="Times New Roman"/>
          <w:sz w:val="24"/>
          <w:lang w:val="en-US"/>
        </w:rPr>
        <w:t xml:space="preserve">0) </w:t>
      </w:r>
      <w:r w:rsidRPr="00EB5568">
        <w:rPr>
          <w:rFonts w:ascii="Times New Roman" w:hAnsi="Times New Roman"/>
          <w:sz w:val="24"/>
        </w:rPr>
        <w:t>made under Banking, Insurance and Life Insurance (prudential standards) determination No. 9 of 2016</w:t>
      </w:r>
      <w:r w:rsidR="00842838">
        <w:rPr>
          <w:rFonts w:ascii="Times New Roman" w:hAnsi="Times New Roman"/>
          <w:sz w:val="24"/>
        </w:rPr>
        <w:t>, and determines</w:t>
      </w:r>
      <w:r w:rsidR="00C665C2">
        <w:rPr>
          <w:rFonts w:ascii="Times New Roman" w:hAnsi="Times New Roman"/>
          <w:sz w:val="24"/>
        </w:rPr>
        <w:t xml:space="preserve"> </w:t>
      </w:r>
      <w:r w:rsidR="00FE412C" w:rsidRPr="00FE412C">
        <w:rPr>
          <w:rFonts w:ascii="Times New Roman" w:hAnsi="Times New Roman"/>
          <w:sz w:val="24"/>
        </w:rPr>
        <w:t>CPS 520</w:t>
      </w:r>
      <w:r w:rsidR="00FE412C">
        <w:rPr>
          <w:rFonts w:ascii="Times New Roman" w:hAnsi="Times New Roman"/>
          <w:i/>
          <w:sz w:val="24"/>
        </w:rPr>
        <w:t>.</w:t>
      </w:r>
    </w:p>
    <w:p w14:paraId="58D0994B" w14:textId="03B60CC0" w:rsidR="00C665C2" w:rsidRDefault="001A5B94" w:rsidP="001A5B94">
      <w:pPr>
        <w:shd w:val="clear" w:color="auto" w:fill="FFFFFF" w:themeFill="background1"/>
        <w:spacing w:before="100" w:beforeAutospacing="1" w:after="100" w:afterAutospacing="1"/>
        <w:jc w:val="left"/>
        <w:rPr>
          <w:rFonts w:ascii="Times New Roman" w:hAnsi="Times New Roman"/>
          <w:sz w:val="24"/>
        </w:rPr>
      </w:pPr>
      <w:r w:rsidRPr="009057C8">
        <w:rPr>
          <w:rFonts w:ascii="Times New Roman" w:hAnsi="Times New Roman"/>
          <w:sz w:val="24"/>
        </w:rPr>
        <w:t>The instrument commence</w:t>
      </w:r>
      <w:r>
        <w:rPr>
          <w:rFonts w:ascii="Times New Roman" w:hAnsi="Times New Roman"/>
          <w:sz w:val="24"/>
        </w:rPr>
        <w:t>s</w:t>
      </w:r>
      <w:r w:rsidRPr="009057C8">
        <w:rPr>
          <w:rFonts w:ascii="Times New Roman" w:hAnsi="Times New Roman"/>
          <w:sz w:val="24"/>
        </w:rPr>
        <w:t xml:space="preserve"> on 1 </w:t>
      </w:r>
      <w:r>
        <w:rPr>
          <w:rFonts w:ascii="Times New Roman" w:hAnsi="Times New Roman"/>
          <w:sz w:val="24"/>
        </w:rPr>
        <w:t>July</w:t>
      </w:r>
      <w:r w:rsidRPr="009057C8">
        <w:rPr>
          <w:rFonts w:ascii="Times New Roman" w:hAnsi="Times New Roman"/>
          <w:sz w:val="24"/>
        </w:rPr>
        <w:t xml:space="preserve"> 201</w:t>
      </w:r>
      <w:r>
        <w:rPr>
          <w:rFonts w:ascii="Times New Roman" w:hAnsi="Times New Roman"/>
          <w:sz w:val="24"/>
        </w:rPr>
        <w:t>9</w:t>
      </w:r>
      <w:r w:rsidRPr="009057C8">
        <w:rPr>
          <w:rFonts w:ascii="Times New Roman" w:hAnsi="Times New Roman"/>
          <w:sz w:val="24"/>
        </w:rPr>
        <w:t xml:space="preserve">.   </w:t>
      </w:r>
    </w:p>
    <w:p w14:paraId="7A13D3B9" w14:textId="77777777" w:rsidR="00C665C2" w:rsidRDefault="00C665C2">
      <w:pPr>
        <w:spacing w:after="120" w:line="288" w:lineRule="auto"/>
        <w:jc w:val="left"/>
        <w:rPr>
          <w:rFonts w:ascii="Times New Roman" w:hAnsi="Times New Roman"/>
          <w:sz w:val="24"/>
        </w:rPr>
      </w:pPr>
      <w:r>
        <w:rPr>
          <w:rFonts w:ascii="Times New Roman" w:hAnsi="Times New Roman"/>
          <w:sz w:val="24"/>
        </w:rPr>
        <w:br w:type="page"/>
      </w:r>
    </w:p>
    <w:p w14:paraId="58D0994C" w14:textId="77777777" w:rsidR="001A5B94" w:rsidRPr="009057C8" w:rsidRDefault="001A5B94" w:rsidP="001A5B94">
      <w:pPr>
        <w:pStyle w:val="BULLET1"/>
        <w:numPr>
          <w:ilvl w:val="0"/>
          <w:numId w:val="17"/>
        </w:numPr>
        <w:shd w:val="clear" w:color="auto" w:fill="FFFFFF" w:themeFill="background1"/>
        <w:rPr>
          <w:rFonts w:ascii="Times New Roman" w:hAnsi="Times New Roman" w:cs="Times New Roman"/>
          <w:b/>
          <w:sz w:val="24"/>
          <w:szCs w:val="24"/>
        </w:rPr>
      </w:pPr>
      <w:r w:rsidRPr="009057C8">
        <w:rPr>
          <w:rFonts w:ascii="Times New Roman" w:hAnsi="Times New Roman" w:cs="Times New Roman"/>
          <w:b/>
          <w:sz w:val="24"/>
          <w:szCs w:val="24"/>
        </w:rPr>
        <w:lastRenderedPageBreak/>
        <w:t>Background</w:t>
      </w:r>
    </w:p>
    <w:p w14:paraId="58D0994D" w14:textId="77777777" w:rsidR="001A5B94" w:rsidRDefault="001A5B94" w:rsidP="001A5B94">
      <w:pPr>
        <w:widowControl w:val="0"/>
        <w:rPr>
          <w:rFonts w:ascii="Times New Roman" w:hAnsi="Times New Roman"/>
          <w:sz w:val="24"/>
        </w:rPr>
      </w:pPr>
      <w:r w:rsidRPr="009057C8">
        <w:rPr>
          <w:rFonts w:ascii="Times New Roman" w:hAnsi="Times New Roman"/>
          <w:sz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p>
    <w:p w14:paraId="58D0994E" w14:textId="0C421D90" w:rsidR="001A5B94" w:rsidRDefault="001A5B94" w:rsidP="001A5B94">
      <w:pPr>
        <w:rPr>
          <w:rFonts w:ascii="Times New Roman" w:hAnsi="Times New Roman"/>
          <w:sz w:val="24"/>
        </w:rPr>
      </w:pPr>
      <w:r w:rsidRPr="009057C8">
        <w:rPr>
          <w:rFonts w:ascii="Times New Roman" w:hAnsi="Times New Roman"/>
          <w:sz w:val="24"/>
        </w:rPr>
        <w:t>APRA carries out this mandate through a multi-layered prudential framework that encompasses licensing and supervision of institutions. APRA is empowered under the Banking Act, the Insurance Act, the Life Insurance Act and the PHI</w:t>
      </w:r>
      <w:r w:rsidR="0034086C">
        <w:rPr>
          <w:rFonts w:ascii="Times New Roman" w:hAnsi="Times New Roman"/>
          <w:sz w:val="24"/>
        </w:rPr>
        <w:t>PS</w:t>
      </w:r>
      <w:r w:rsidRPr="009057C8">
        <w:rPr>
          <w:rFonts w:ascii="Times New Roman" w:hAnsi="Times New Roman"/>
          <w:sz w:val="24"/>
        </w:rPr>
        <w:t xml:space="preserve"> Act to issue legally binding prudential standards that set out specific prudential requirements with which APRA-regulated institutions in each industry must comply. These standards are supported by prudential practice guides which clarify APRA’s expectations with regard to prudential requirements.</w:t>
      </w:r>
    </w:p>
    <w:p w14:paraId="58D0994F" w14:textId="18009276" w:rsidR="001A5B94" w:rsidRPr="009057C8" w:rsidRDefault="001A5B94" w:rsidP="001A5B94">
      <w:pPr>
        <w:rPr>
          <w:rFonts w:ascii="Times New Roman" w:hAnsi="Times New Roman"/>
          <w:sz w:val="24"/>
        </w:rPr>
      </w:pPr>
      <w:r w:rsidRPr="007B0280">
        <w:rPr>
          <w:rFonts w:ascii="Times New Roman" w:hAnsi="Times New Roman"/>
          <w:sz w:val="24"/>
        </w:rPr>
        <w:t>In addition to improvements in financial</w:t>
      </w:r>
      <w:r w:rsidR="00FE412C">
        <w:rPr>
          <w:rFonts w:ascii="Times New Roman" w:hAnsi="Times New Roman"/>
          <w:sz w:val="24"/>
        </w:rPr>
        <w:t xml:space="preserve"> strength and asset quality, it i</w:t>
      </w:r>
      <w:r w:rsidRPr="007B0280">
        <w:rPr>
          <w:rFonts w:ascii="Times New Roman" w:hAnsi="Times New Roman"/>
          <w:sz w:val="24"/>
        </w:rPr>
        <w:t xml:space="preserve">s also critical to the long </w:t>
      </w:r>
      <w:r w:rsidR="00B32009">
        <w:rPr>
          <w:rFonts w:ascii="Times New Roman" w:hAnsi="Times New Roman"/>
          <w:sz w:val="24"/>
        </w:rPr>
        <w:t>term</w:t>
      </w:r>
      <w:r w:rsidRPr="007B0280">
        <w:rPr>
          <w:rFonts w:ascii="Times New Roman" w:hAnsi="Times New Roman"/>
          <w:sz w:val="24"/>
        </w:rPr>
        <w:t xml:space="preserve"> health of the financial system that the Australian community has a high degree of confidence that individual financial institutions are well governed and prudently managed</w:t>
      </w:r>
      <w:r>
        <w:rPr>
          <w:rFonts w:ascii="Times New Roman" w:hAnsi="Times New Roman"/>
          <w:sz w:val="24"/>
        </w:rPr>
        <w:t xml:space="preserve">. </w:t>
      </w:r>
      <w:r w:rsidRPr="00672E87">
        <w:rPr>
          <w:rFonts w:ascii="Times New Roman" w:hAnsi="Times New Roman"/>
          <w:sz w:val="24"/>
        </w:rPr>
        <w:t>Robust governance practices that support sound decision-making are essential to ensure regulated institutions remain resilient and able to adapt quickly to changes in the broader operating environment, while remaining prudentially sound.</w:t>
      </w:r>
    </w:p>
    <w:p w14:paraId="58D09950" w14:textId="4D6061E9" w:rsidR="001A5B94" w:rsidRDefault="001A5B94" w:rsidP="001A5B94">
      <w:pPr>
        <w:keepNext/>
        <w:shd w:val="clear" w:color="auto" w:fill="FFFFFF"/>
        <w:spacing w:before="100" w:beforeAutospacing="1" w:after="100" w:afterAutospacing="1"/>
        <w:jc w:val="left"/>
        <w:rPr>
          <w:rFonts w:ascii="Times New Roman" w:hAnsi="Times New Roman"/>
          <w:sz w:val="24"/>
        </w:rPr>
      </w:pPr>
      <w:r>
        <w:rPr>
          <w:rFonts w:ascii="Times New Roman" w:hAnsi="Times New Roman"/>
          <w:sz w:val="24"/>
        </w:rPr>
        <w:t>F</w:t>
      </w:r>
      <w:r w:rsidRPr="009057C8">
        <w:rPr>
          <w:rFonts w:ascii="Times New Roman" w:hAnsi="Times New Roman"/>
          <w:sz w:val="24"/>
        </w:rPr>
        <w:t xml:space="preserve">ollowing </w:t>
      </w:r>
      <w:r>
        <w:rPr>
          <w:rFonts w:ascii="Times New Roman" w:hAnsi="Times New Roman"/>
          <w:sz w:val="24"/>
        </w:rPr>
        <w:t>three</w:t>
      </w:r>
      <w:r w:rsidRPr="009057C8">
        <w:rPr>
          <w:rFonts w:ascii="Times New Roman" w:hAnsi="Times New Roman"/>
          <w:sz w:val="24"/>
        </w:rPr>
        <w:t xml:space="preserve"> years of review</w:t>
      </w:r>
      <w:r>
        <w:rPr>
          <w:rFonts w:ascii="Times New Roman" w:hAnsi="Times New Roman"/>
          <w:sz w:val="24"/>
        </w:rPr>
        <w:t xml:space="preserve"> and extensive </w:t>
      </w:r>
      <w:r w:rsidRPr="009057C8">
        <w:rPr>
          <w:rFonts w:ascii="Times New Roman" w:hAnsi="Times New Roman"/>
          <w:sz w:val="24"/>
        </w:rPr>
        <w:t xml:space="preserve">consultation with the private health insurance industry, </w:t>
      </w:r>
      <w:r>
        <w:rPr>
          <w:rFonts w:ascii="Times New Roman" w:hAnsi="Times New Roman"/>
          <w:sz w:val="24"/>
        </w:rPr>
        <w:t xml:space="preserve">this instrument </w:t>
      </w:r>
      <w:r w:rsidRPr="00B7650C">
        <w:rPr>
          <w:rFonts w:ascii="Times New Roman" w:hAnsi="Times New Roman"/>
          <w:sz w:val="24"/>
        </w:rPr>
        <w:t>extend</w:t>
      </w:r>
      <w:r>
        <w:rPr>
          <w:rFonts w:ascii="Times New Roman" w:hAnsi="Times New Roman"/>
          <w:sz w:val="24"/>
        </w:rPr>
        <w:t>s</w:t>
      </w:r>
      <w:r w:rsidRPr="009057C8">
        <w:rPr>
          <w:rFonts w:ascii="Times New Roman" w:hAnsi="Times New Roman"/>
          <w:sz w:val="24"/>
        </w:rPr>
        <w:t xml:space="preserve"> coverage of the </w:t>
      </w:r>
      <w:r w:rsidR="00FE412C">
        <w:rPr>
          <w:rFonts w:ascii="Times New Roman" w:hAnsi="Times New Roman"/>
          <w:sz w:val="24"/>
        </w:rPr>
        <w:t>cross-</w:t>
      </w:r>
      <w:r>
        <w:rPr>
          <w:rFonts w:ascii="Times New Roman" w:hAnsi="Times New Roman"/>
          <w:sz w:val="24"/>
        </w:rPr>
        <w:t xml:space="preserve">industry </w:t>
      </w:r>
      <w:r w:rsidR="00C612F6">
        <w:rPr>
          <w:rFonts w:ascii="Times New Roman" w:hAnsi="Times New Roman"/>
          <w:sz w:val="24"/>
        </w:rPr>
        <w:t xml:space="preserve">fit and proper </w:t>
      </w:r>
      <w:r w:rsidRPr="009057C8">
        <w:rPr>
          <w:rFonts w:ascii="Times New Roman" w:hAnsi="Times New Roman"/>
          <w:sz w:val="24"/>
        </w:rPr>
        <w:t>prudential standard to private health insurers. The instrument does not impose new prudential requirements on general insurers, life companies, ADIs or groups</w:t>
      </w:r>
      <w:r w:rsidR="0034086C">
        <w:rPr>
          <w:rFonts w:ascii="Times New Roman" w:hAnsi="Times New Roman"/>
          <w:sz w:val="24"/>
        </w:rPr>
        <w:t>.</w:t>
      </w:r>
    </w:p>
    <w:p w14:paraId="58D09951" w14:textId="77777777" w:rsidR="001A5B94" w:rsidRPr="003E556A" w:rsidRDefault="001A5B94" w:rsidP="003E556A">
      <w:pPr>
        <w:pStyle w:val="ListParagraph"/>
        <w:keepNext/>
        <w:numPr>
          <w:ilvl w:val="0"/>
          <w:numId w:val="17"/>
        </w:numPr>
        <w:shd w:val="clear" w:color="auto" w:fill="FFFFFF"/>
        <w:spacing w:before="100" w:beforeAutospacing="1" w:after="100" w:afterAutospacing="1"/>
        <w:jc w:val="left"/>
        <w:rPr>
          <w:rFonts w:ascii="Times New Roman" w:hAnsi="Times New Roman"/>
          <w:b/>
          <w:sz w:val="24"/>
        </w:rPr>
      </w:pPr>
      <w:r w:rsidRPr="003E556A">
        <w:rPr>
          <w:rFonts w:ascii="Times New Roman" w:hAnsi="Times New Roman"/>
          <w:b/>
          <w:sz w:val="24"/>
        </w:rPr>
        <w:t>Purpose of the instrument</w:t>
      </w:r>
    </w:p>
    <w:p w14:paraId="58D09952" w14:textId="44F2BC76" w:rsidR="00206A67" w:rsidRDefault="001A5B94" w:rsidP="001A5B94">
      <w:pPr>
        <w:rPr>
          <w:rFonts w:ascii="Times New Roman" w:hAnsi="Times New Roman"/>
          <w:iCs/>
          <w:sz w:val="24"/>
          <w:lang w:val="en-US"/>
        </w:rPr>
      </w:pPr>
      <w:bookmarkStart w:id="4" w:name="bkBackground"/>
      <w:bookmarkStart w:id="5" w:name="bkPurpose"/>
      <w:bookmarkEnd w:id="4"/>
      <w:bookmarkEnd w:id="5"/>
      <w:r w:rsidRPr="009057C8">
        <w:rPr>
          <w:rFonts w:ascii="Times New Roman" w:hAnsi="Times New Roman"/>
          <w:sz w:val="24"/>
        </w:rPr>
        <w:t>The purpose of the instrument is to</w:t>
      </w:r>
      <w:r>
        <w:rPr>
          <w:rFonts w:ascii="Times New Roman" w:hAnsi="Times New Roman"/>
          <w:sz w:val="24"/>
        </w:rPr>
        <w:t xml:space="preserve"> </w:t>
      </w:r>
      <w:r w:rsidR="00206A67">
        <w:rPr>
          <w:rFonts w:ascii="Times New Roman" w:hAnsi="Times New Roman"/>
          <w:sz w:val="24"/>
        </w:rPr>
        <w:t xml:space="preserve">extend the application of </w:t>
      </w:r>
      <w:r w:rsidR="00B32009" w:rsidRPr="00B32009">
        <w:rPr>
          <w:rFonts w:ascii="Times New Roman" w:hAnsi="Times New Roman"/>
          <w:iCs/>
          <w:sz w:val="24"/>
        </w:rPr>
        <w:t>CPS 520</w:t>
      </w:r>
      <w:r w:rsidR="00206A67">
        <w:rPr>
          <w:rFonts w:ascii="Times New Roman" w:hAnsi="Times New Roman"/>
          <w:i/>
          <w:iCs/>
          <w:sz w:val="24"/>
          <w:lang w:val="en-US"/>
        </w:rPr>
        <w:t xml:space="preserve"> </w:t>
      </w:r>
      <w:r w:rsidR="00206A67">
        <w:rPr>
          <w:rFonts w:ascii="Times New Roman" w:hAnsi="Times New Roman"/>
          <w:iCs/>
          <w:sz w:val="24"/>
          <w:lang w:val="en-US"/>
        </w:rPr>
        <w:t>to private health insurers.</w:t>
      </w:r>
    </w:p>
    <w:p w14:paraId="58D09953" w14:textId="791CA428" w:rsidR="00C20CCC" w:rsidRDefault="001A5B94" w:rsidP="001A5B94">
      <w:pPr>
        <w:rPr>
          <w:rFonts w:ascii="Times New Roman" w:hAnsi="Times New Roman"/>
          <w:sz w:val="24"/>
        </w:rPr>
      </w:pPr>
      <w:r w:rsidRPr="0015227C">
        <w:rPr>
          <w:rFonts w:ascii="Times New Roman" w:hAnsi="Times New Roman"/>
          <w:sz w:val="24"/>
        </w:rPr>
        <w:t xml:space="preserve">The </w:t>
      </w:r>
      <w:r w:rsidR="00B32009">
        <w:rPr>
          <w:rFonts w:ascii="Times New Roman" w:hAnsi="Times New Roman"/>
          <w:sz w:val="24"/>
        </w:rPr>
        <w:t>new cross-</w:t>
      </w:r>
      <w:r>
        <w:rPr>
          <w:rFonts w:ascii="Times New Roman" w:hAnsi="Times New Roman"/>
          <w:sz w:val="24"/>
        </w:rPr>
        <w:t xml:space="preserve">industry </w:t>
      </w:r>
      <w:r w:rsidRPr="0015227C">
        <w:rPr>
          <w:rFonts w:ascii="Times New Roman" w:hAnsi="Times New Roman"/>
          <w:sz w:val="24"/>
        </w:rPr>
        <w:t xml:space="preserve">prudential framework is expected to </w:t>
      </w:r>
      <w:r w:rsidR="00C20CCC">
        <w:rPr>
          <w:rFonts w:ascii="Times New Roman" w:hAnsi="Times New Roman"/>
          <w:sz w:val="24"/>
        </w:rPr>
        <w:t xml:space="preserve">strengthen existing practices for private health insurers by ensuring that responsible persons have the technical competence and integrity to perform their roles for the benefit and protection of the </w:t>
      </w:r>
      <w:r w:rsidR="00F65AE1">
        <w:rPr>
          <w:rFonts w:ascii="Times New Roman" w:hAnsi="Times New Roman"/>
          <w:sz w:val="24"/>
        </w:rPr>
        <w:t>institution</w:t>
      </w:r>
      <w:r w:rsidR="00C20CCC">
        <w:rPr>
          <w:rFonts w:ascii="Times New Roman" w:hAnsi="Times New Roman"/>
          <w:sz w:val="24"/>
        </w:rPr>
        <w:t xml:space="preserve"> and policy holders.</w:t>
      </w:r>
    </w:p>
    <w:p w14:paraId="58D09954" w14:textId="77777777" w:rsidR="001A5B94" w:rsidRPr="009057C8" w:rsidRDefault="001A5B94" w:rsidP="001A5B94">
      <w:pPr>
        <w:pStyle w:val="BULLET1"/>
        <w:keepNext/>
        <w:numPr>
          <w:ilvl w:val="0"/>
          <w:numId w:val="17"/>
        </w:numPr>
        <w:shd w:val="clear" w:color="auto" w:fill="FFFFFF" w:themeFill="background1"/>
        <w:rPr>
          <w:rFonts w:ascii="Times New Roman" w:hAnsi="Times New Roman" w:cs="Times New Roman"/>
          <w:b/>
          <w:sz w:val="24"/>
          <w:szCs w:val="24"/>
        </w:rPr>
      </w:pPr>
      <w:bookmarkStart w:id="6" w:name="bk3Operation"/>
      <w:r w:rsidRPr="009057C8">
        <w:rPr>
          <w:rFonts w:ascii="Times New Roman" w:hAnsi="Times New Roman" w:cs="Times New Roman"/>
          <w:b/>
          <w:sz w:val="24"/>
          <w:szCs w:val="24"/>
        </w:rPr>
        <w:t>Operation of the instrument</w:t>
      </w:r>
    </w:p>
    <w:bookmarkEnd w:id="6"/>
    <w:p w14:paraId="58D09955" w14:textId="77777777" w:rsidR="001A5B94" w:rsidRDefault="001A5B94" w:rsidP="001A5B94">
      <w:pPr>
        <w:shd w:val="clear" w:color="auto" w:fill="FFFFFF"/>
        <w:spacing w:before="100" w:beforeAutospacing="1" w:after="100" w:afterAutospacing="1"/>
        <w:jc w:val="left"/>
        <w:rPr>
          <w:rFonts w:ascii="Times New Roman" w:hAnsi="Times New Roman"/>
          <w:sz w:val="24"/>
        </w:rPr>
      </w:pPr>
      <w:r w:rsidRPr="009057C8">
        <w:rPr>
          <w:rFonts w:ascii="Times New Roman" w:hAnsi="Times New Roman"/>
          <w:sz w:val="24"/>
        </w:rPr>
        <w:t xml:space="preserve">Key aspects of </w:t>
      </w:r>
      <w:r w:rsidR="00C20CCC">
        <w:rPr>
          <w:rFonts w:ascii="Times New Roman" w:hAnsi="Times New Roman"/>
          <w:sz w:val="24"/>
        </w:rPr>
        <w:t>CPS 52</w:t>
      </w:r>
      <w:r>
        <w:rPr>
          <w:rFonts w:ascii="Times New Roman" w:hAnsi="Times New Roman"/>
          <w:sz w:val="24"/>
        </w:rPr>
        <w:t>0 which will now apply</w:t>
      </w:r>
      <w:r w:rsidRPr="009057C8">
        <w:rPr>
          <w:rFonts w:ascii="Times New Roman" w:hAnsi="Times New Roman"/>
          <w:sz w:val="24"/>
        </w:rPr>
        <w:t xml:space="preserve"> to private health insurers are:</w:t>
      </w:r>
    </w:p>
    <w:p w14:paraId="58D09956" w14:textId="77777777" w:rsidR="002E6F3C" w:rsidRDefault="002E6F3C" w:rsidP="001A5B94">
      <w:pPr>
        <w:shd w:val="clear" w:color="auto" w:fill="FFFFFF"/>
        <w:spacing w:before="100" w:beforeAutospacing="1" w:after="100" w:afterAutospacing="1"/>
        <w:jc w:val="left"/>
        <w:rPr>
          <w:rFonts w:ascii="Times New Roman" w:hAnsi="Times New Roman"/>
          <w:b/>
          <w:sz w:val="24"/>
        </w:rPr>
      </w:pPr>
      <w:r>
        <w:rPr>
          <w:rFonts w:ascii="Times New Roman" w:hAnsi="Times New Roman"/>
          <w:b/>
          <w:sz w:val="24"/>
        </w:rPr>
        <w:t>Fit and Proper Policy</w:t>
      </w:r>
    </w:p>
    <w:p w14:paraId="58D09957" w14:textId="563E1FF5" w:rsidR="002E6F3C" w:rsidRPr="000D7292" w:rsidRDefault="000D7292" w:rsidP="001A5B94">
      <w:pPr>
        <w:shd w:val="clear" w:color="auto" w:fill="FFFFFF"/>
        <w:spacing w:before="100" w:beforeAutospacing="1" w:after="100" w:afterAutospacing="1"/>
        <w:jc w:val="left"/>
        <w:rPr>
          <w:rFonts w:ascii="Times New Roman" w:hAnsi="Times New Roman"/>
          <w:sz w:val="24"/>
        </w:rPr>
      </w:pPr>
      <w:r w:rsidRPr="000D7292">
        <w:rPr>
          <w:rFonts w:ascii="Times New Roman" w:hAnsi="Times New Roman"/>
          <w:sz w:val="24"/>
        </w:rPr>
        <w:t xml:space="preserve">All </w:t>
      </w:r>
      <w:r w:rsidR="00B32009">
        <w:rPr>
          <w:rFonts w:ascii="Times New Roman" w:hAnsi="Times New Roman"/>
          <w:sz w:val="24"/>
        </w:rPr>
        <w:t>APRA-</w:t>
      </w:r>
      <w:r w:rsidRPr="000D7292">
        <w:rPr>
          <w:rFonts w:ascii="Times New Roman" w:hAnsi="Times New Roman"/>
          <w:sz w:val="24"/>
        </w:rPr>
        <w:t xml:space="preserve">regulated institutions are </w:t>
      </w:r>
      <w:r w:rsidR="002E6F3C" w:rsidRPr="000D7292">
        <w:rPr>
          <w:rFonts w:ascii="Times New Roman" w:hAnsi="Times New Roman"/>
          <w:sz w:val="24"/>
        </w:rPr>
        <w:t>required to maintain a Fit and Proper Policy that meets the requirements of this Prudential Standard.</w:t>
      </w:r>
      <w:r w:rsidR="00E973D9">
        <w:rPr>
          <w:rFonts w:ascii="Times New Roman" w:hAnsi="Times New Roman"/>
          <w:sz w:val="24"/>
        </w:rPr>
        <w:t xml:space="preserve"> </w:t>
      </w:r>
      <w:r w:rsidR="00E973D9" w:rsidRPr="00E973D9">
        <w:rPr>
          <w:rFonts w:ascii="Times New Roman" w:hAnsi="Times New Roman"/>
          <w:sz w:val="24"/>
        </w:rPr>
        <w:t>The policy forms a key part of the institution’s broader risk management framework.</w:t>
      </w:r>
    </w:p>
    <w:p w14:paraId="58D09958" w14:textId="77777777" w:rsidR="001A5B94" w:rsidRPr="00E973D9" w:rsidRDefault="00E973D9" w:rsidP="001A5B94">
      <w:pPr>
        <w:shd w:val="clear" w:color="auto" w:fill="FFFFFF"/>
        <w:spacing w:before="100" w:beforeAutospacing="1" w:after="100" w:afterAutospacing="1"/>
        <w:jc w:val="left"/>
        <w:rPr>
          <w:rFonts w:ascii="Times New Roman" w:hAnsi="Times New Roman"/>
          <w:b/>
          <w:sz w:val="24"/>
        </w:rPr>
      </w:pPr>
      <w:r w:rsidRPr="00E973D9">
        <w:rPr>
          <w:rFonts w:ascii="Times New Roman" w:hAnsi="Times New Roman"/>
          <w:b/>
          <w:sz w:val="24"/>
        </w:rPr>
        <w:t>Responsible persons</w:t>
      </w:r>
    </w:p>
    <w:p w14:paraId="58D09959" w14:textId="7EB1CA27" w:rsidR="00E973D9" w:rsidRDefault="00E973D9" w:rsidP="00F04E66">
      <w:pPr>
        <w:shd w:val="clear" w:color="auto" w:fill="FFFFFF"/>
        <w:spacing w:before="100" w:beforeAutospacing="1" w:after="100" w:afterAutospacing="1"/>
        <w:jc w:val="left"/>
        <w:rPr>
          <w:rFonts w:ascii="Times New Roman" w:hAnsi="Times New Roman"/>
          <w:sz w:val="24"/>
        </w:rPr>
      </w:pPr>
      <w:r>
        <w:rPr>
          <w:rFonts w:ascii="Times New Roman" w:hAnsi="Times New Roman"/>
          <w:sz w:val="24"/>
        </w:rPr>
        <w:t xml:space="preserve">Responsible </w:t>
      </w:r>
      <w:r w:rsidRPr="00E973D9">
        <w:rPr>
          <w:rFonts w:ascii="Times New Roman" w:hAnsi="Times New Roman"/>
          <w:sz w:val="24"/>
        </w:rPr>
        <w:t xml:space="preserve">persons of a regulated institution </w:t>
      </w:r>
      <w:r w:rsidR="00886CAA">
        <w:rPr>
          <w:rFonts w:ascii="Times New Roman" w:hAnsi="Times New Roman"/>
          <w:sz w:val="24"/>
        </w:rPr>
        <w:t xml:space="preserve">are </w:t>
      </w:r>
      <w:r w:rsidRPr="00E973D9">
        <w:rPr>
          <w:rFonts w:ascii="Times New Roman" w:hAnsi="Times New Roman"/>
          <w:sz w:val="24"/>
        </w:rPr>
        <w:t>those persons whose conduct has the potential to impact significantly on the financial soundness and stability of the institution. The standard includes directors, the Chief Executive Officer, senior managers, the Appointed Actuary and the Appointed Auditor</w:t>
      </w:r>
      <w:r>
        <w:rPr>
          <w:rFonts w:ascii="Times New Roman" w:hAnsi="Times New Roman"/>
          <w:sz w:val="24"/>
        </w:rPr>
        <w:t xml:space="preserve"> in this definition. </w:t>
      </w:r>
      <w:r w:rsidRPr="00E973D9">
        <w:rPr>
          <w:rFonts w:ascii="Times New Roman" w:hAnsi="Times New Roman"/>
          <w:sz w:val="24"/>
        </w:rPr>
        <w:t xml:space="preserve">A regulated institution can also include other members of staff or external providers under its fit and proper policy where the </w:t>
      </w:r>
      <w:r w:rsidRPr="00E973D9">
        <w:rPr>
          <w:rFonts w:ascii="Times New Roman" w:hAnsi="Times New Roman"/>
          <w:sz w:val="24"/>
        </w:rPr>
        <w:lastRenderedPageBreak/>
        <w:t>institution has identified that the person’s activities may materially affect, either directly or indirectly, the financial affairs of the institution.</w:t>
      </w:r>
    </w:p>
    <w:p w14:paraId="58D0995A" w14:textId="373697FA" w:rsidR="00E973D9" w:rsidRDefault="00E973D9" w:rsidP="00F04E66">
      <w:pPr>
        <w:shd w:val="clear" w:color="auto" w:fill="FFFFFF"/>
        <w:spacing w:before="100" w:beforeAutospacing="1" w:after="100" w:afterAutospacing="1"/>
        <w:jc w:val="left"/>
        <w:rPr>
          <w:rFonts w:ascii="Times New Roman" w:hAnsi="Times New Roman"/>
          <w:sz w:val="24"/>
        </w:rPr>
      </w:pPr>
      <w:r w:rsidRPr="00E973D9">
        <w:rPr>
          <w:rFonts w:ascii="Times New Roman" w:hAnsi="Times New Roman"/>
          <w:sz w:val="24"/>
        </w:rPr>
        <w:t>APRA may also determine if ot</w:t>
      </w:r>
      <w:r w:rsidR="00B32009">
        <w:rPr>
          <w:rFonts w:ascii="Times New Roman" w:hAnsi="Times New Roman"/>
          <w:sz w:val="24"/>
        </w:rPr>
        <w:t>her persons working for an APRA-</w:t>
      </w:r>
      <w:r w:rsidRPr="00E973D9">
        <w:rPr>
          <w:rFonts w:ascii="Times New Roman" w:hAnsi="Times New Roman"/>
          <w:sz w:val="24"/>
        </w:rPr>
        <w:t>regulated institution are responsible persons. APRA will ordinarily only make such a determination after discussion with the institution.</w:t>
      </w:r>
    </w:p>
    <w:p w14:paraId="58D0995B" w14:textId="77777777" w:rsidR="00D02C83" w:rsidRPr="00D02C83" w:rsidRDefault="00D02C83" w:rsidP="00F04E66">
      <w:pPr>
        <w:shd w:val="clear" w:color="auto" w:fill="FFFFFF"/>
        <w:spacing w:before="100" w:beforeAutospacing="1" w:after="100" w:afterAutospacing="1"/>
        <w:jc w:val="left"/>
        <w:rPr>
          <w:rFonts w:ascii="Times New Roman" w:hAnsi="Times New Roman"/>
          <w:b/>
          <w:sz w:val="24"/>
        </w:rPr>
      </w:pPr>
      <w:r w:rsidRPr="00D02C83">
        <w:rPr>
          <w:rFonts w:ascii="Times New Roman" w:hAnsi="Times New Roman"/>
          <w:b/>
          <w:sz w:val="24"/>
        </w:rPr>
        <w:t>Criteria to determine if a person is fit and proper</w:t>
      </w:r>
    </w:p>
    <w:p w14:paraId="58D0995C" w14:textId="0DC1D0CA" w:rsidR="00810781" w:rsidRPr="00870563" w:rsidRDefault="00B32009" w:rsidP="005C209B">
      <w:pPr>
        <w:shd w:val="clear" w:color="auto" w:fill="FFFFFF"/>
        <w:spacing w:before="100" w:beforeAutospacing="1" w:after="100" w:afterAutospacing="1"/>
        <w:jc w:val="left"/>
        <w:rPr>
          <w:rFonts w:ascii="DIN OT Light" w:hAnsi="DIN OT Light"/>
        </w:rPr>
      </w:pPr>
      <w:r>
        <w:rPr>
          <w:rFonts w:ascii="Times New Roman" w:hAnsi="Times New Roman"/>
          <w:sz w:val="24"/>
        </w:rPr>
        <w:t>All APRA-</w:t>
      </w:r>
      <w:r w:rsidR="00D02C83">
        <w:rPr>
          <w:rFonts w:ascii="Times New Roman" w:hAnsi="Times New Roman"/>
          <w:sz w:val="24"/>
        </w:rPr>
        <w:t>r</w:t>
      </w:r>
      <w:r w:rsidR="00D02C83" w:rsidRPr="000D7292">
        <w:rPr>
          <w:rFonts w:ascii="Times New Roman" w:hAnsi="Times New Roman"/>
          <w:sz w:val="24"/>
        </w:rPr>
        <w:t xml:space="preserve">egulated institutions </w:t>
      </w:r>
      <w:r w:rsidR="00D02C83">
        <w:rPr>
          <w:rFonts w:ascii="Times New Roman" w:hAnsi="Times New Roman"/>
          <w:sz w:val="24"/>
        </w:rPr>
        <w:t xml:space="preserve">must document the competencies required for each </w:t>
      </w:r>
      <w:r w:rsidR="00F65AE1">
        <w:rPr>
          <w:rFonts w:ascii="Times New Roman" w:hAnsi="Times New Roman"/>
          <w:sz w:val="24"/>
        </w:rPr>
        <w:t>responsible person</w:t>
      </w:r>
      <w:r w:rsidR="00D02C83">
        <w:rPr>
          <w:rFonts w:ascii="Times New Roman" w:hAnsi="Times New Roman"/>
          <w:sz w:val="24"/>
        </w:rPr>
        <w:t xml:space="preserve"> position depending on the </w:t>
      </w:r>
      <w:r w:rsidR="00F65AE1">
        <w:rPr>
          <w:rFonts w:ascii="Times New Roman" w:hAnsi="Times New Roman"/>
          <w:sz w:val="24"/>
        </w:rPr>
        <w:t>person’s</w:t>
      </w:r>
      <w:r w:rsidR="00D02C83">
        <w:rPr>
          <w:rFonts w:ascii="Times New Roman" w:hAnsi="Times New Roman"/>
          <w:sz w:val="24"/>
        </w:rPr>
        <w:t xml:space="preserve"> role and the risk assessment for that position.</w:t>
      </w:r>
      <w:r w:rsidR="00810781">
        <w:rPr>
          <w:rFonts w:ascii="Times New Roman" w:hAnsi="Times New Roman"/>
          <w:sz w:val="24"/>
        </w:rPr>
        <w:t xml:space="preserve"> The </w:t>
      </w:r>
      <w:r w:rsidR="008E5A2B">
        <w:rPr>
          <w:rFonts w:ascii="Times New Roman" w:hAnsi="Times New Roman"/>
          <w:sz w:val="24"/>
        </w:rPr>
        <w:t xml:space="preserve">standard sets out the base </w:t>
      </w:r>
      <w:r w:rsidR="00E63FFD">
        <w:rPr>
          <w:rFonts w:ascii="Times New Roman" w:hAnsi="Times New Roman"/>
          <w:sz w:val="24"/>
        </w:rPr>
        <w:t>criteria to ensure the fitness and propriety of a responsible person and additional criter</w:t>
      </w:r>
      <w:r w:rsidR="005C209B">
        <w:rPr>
          <w:rFonts w:ascii="Times New Roman" w:hAnsi="Times New Roman"/>
          <w:sz w:val="24"/>
        </w:rPr>
        <w:t>ia to be considered when consi</w:t>
      </w:r>
      <w:r w:rsidR="00E63FFD">
        <w:rPr>
          <w:rFonts w:ascii="Times New Roman" w:hAnsi="Times New Roman"/>
          <w:sz w:val="24"/>
        </w:rPr>
        <w:t xml:space="preserve">dering the appointment </w:t>
      </w:r>
      <w:r w:rsidR="005C209B">
        <w:rPr>
          <w:rFonts w:ascii="Times New Roman" w:hAnsi="Times New Roman"/>
          <w:sz w:val="24"/>
        </w:rPr>
        <w:t xml:space="preserve">of </w:t>
      </w:r>
      <w:r w:rsidR="005C209B" w:rsidRPr="005C209B">
        <w:rPr>
          <w:rFonts w:ascii="Times New Roman" w:hAnsi="Times New Roman"/>
          <w:sz w:val="24"/>
        </w:rPr>
        <w:t>the Appointed Auditor and the Appointed Actuary</w:t>
      </w:r>
      <w:r w:rsidR="005C209B">
        <w:rPr>
          <w:rFonts w:ascii="Times New Roman" w:hAnsi="Times New Roman"/>
          <w:sz w:val="24"/>
        </w:rPr>
        <w:t>.</w:t>
      </w:r>
      <w:r w:rsidR="005C209B" w:rsidRPr="005C209B">
        <w:rPr>
          <w:rFonts w:ascii="Times New Roman" w:hAnsi="Times New Roman"/>
          <w:sz w:val="24"/>
        </w:rPr>
        <w:t xml:space="preserve"> </w:t>
      </w:r>
    </w:p>
    <w:p w14:paraId="58D0995D" w14:textId="77777777" w:rsidR="00810781" w:rsidRPr="005C209B" w:rsidRDefault="005C209B" w:rsidP="00F04E66">
      <w:pPr>
        <w:shd w:val="clear" w:color="auto" w:fill="FFFFFF"/>
        <w:spacing w:before="100" w:beforeAutospacing="1" w:after="100" w:afterAutospacing="1"/>
        <w:jc w:val="left"/>
        <w:rPr>
          <w:rFonts w:ascii="Times New Roman" w:hAnsi="Times New Roman"/>
          <w:b/>
          <w:sz w:val="24"/>
        </w:rPr>
      </w:pPr>
      <w:r w:rsidRPr="005C209B">
        <w:rPr>
          <w:rFonts w:ascii="Times New Roman" w:hAnsi="Times New Roman"/>
          <w:b/>
          <w:sz w:val="24"/>
        </w:rPr>
        <w:t>Process for assessment of fitness and propriety</w:t>
      </w:r>
    </w:p>
    <w:p w14:paraId="58D0995E" w14:textId="0BC4517E" w:rsidR="001A5B94" w:rsidRDefault="00B32009" w:rsidP="00E07134">
      <w:pPr>
        <w:shd w:val="clear" w:color="auto" w:fill="FFFFFF"/>
        <w:spacing w:before="100" w:beforeAutospacing="1" w:after="100" w:afterAutospacing="1"/>
        <w:jc w:val="left"/>
        <w:rPr>
          <w:rFonts w:ascii="Times New Roman" w:hAnsi="Times New Roman"/>
          <w:sz w:val="24"/>
        </w:rPr>
      </w:pPr>
      <w:r>
        <w:rPr>
          <w:rFonts w:ascii="Times New Roman" w:hAnsi="Times New Roman"/>
          <w:sz w:val="24"/>
        </w:rPr>
        <w:t>The Fit and Proper P</w:t>
      </w:r>
      <w:r w:rsidR="002175B1">
        <w:rPr>
          <w:rFonts w:ascii="Times New Roman" w:hAnsi="Times New Roman"/>
          <w:sz w:val="24"/>
        </w:rPr>
        <w:t>olicy must iden</w:t>
      </w:r>
      <w:r w:rsidR="00F91899">
        <w:rPr>
          <w:rFonts w:ascii="Times New Roman" w:hAnsi="Times New Roman"/>
          <w:sz w:val="24"/>
        </w:rPr>
        <w:t xml:space="preserve">tify </w:t>
      </w:r>
      <w:r w:rsidR="00E07134">
        <w:rPr>
          <w:rFonts w:ascii="Times New Roman" w:hAnsi="Times New Roman"/>
          <w:sz w:val="24"/>
        </w:rPr>
        <w:t xml:space="preserve">the processes </w:t>
      </w:r>
      <w:r w:rsidR="00E07134" w:rsidRPr="00DD702D">
        <w:rPr>
          <w:rFonts w:ascii="Times New Roman" w:hAnsi="Times New Roman"/>
          <w:sz w:val="24"/>
        </w:rPr>
        <w:t>for assessing, appointing, re-appointing and removing</w:t>
      </w:r>
      <w:r w:rsidR="00E07134">
        <w:rPr>
          <w:rFonts w:ascii="Times New Roman" w:hAnsi="Times New Roman"/>
          <w:sz w:val="24"/>
        </w:rPr>
        <w:t xml:space="preserve"> responsible persons.</w:t>
      </w:r>
    </w:p>
    <w:p w14:paraId="58D0995F" w14:textId="77777777" w:rsidR="001A5B94" w:rsidRPr="00DD702D" w:rsidRDefault="00E07134" w:rsidP="001A5B94">
      <w:pPr>
        <w:shd w:val="clear" w:color="auto" w:fill="FFFFFF"/>
        <w:spacing w:before="100" w:beforeAutospacing="1" w:after="100" w:afterAutospacing="1"/>
        <w:jc w:val="left"/>
        <w:rPr>
          <w:rFonts w:ascii="Times New Roman" w:hAnsi="Times New Roman"/>
          <w:b/>
          <w:sz w:val="24"/>
        </w:rPr>
      </w:pPr>
      <w:r>
        <w:rPr>
          <w:rFonts w:ascii="Times New Roman" w:hAnsi="Times New Roman"/>
          <w:b/>
          <w:sz w:val="24"/>
        </w:rPr>
        <w:t>Whistleblowing</w:t>
      </w:r>
    </w:p>
    <w:p w14:paraId="58D09960" w14:textId="77777777" w:rsidR="00F65AE1" w:rsidRDefault="00E07134" w:rsidP="001A5B94">
      <w:pPr>
        <w:shd w:val="clear" w:color="auto" w:fill="FFFFFF"/>
        <w:spacing w:before="100" w:beforeAutospacing="1" w:after="100" w:afterAutospacing="1"/>
        <w:jc w:val="left"/>
        <w:rPr>
          <w:rFonts w:ascii="Times New Roman" w:hAnsi="Times New Roman"/>
          <w:sz w:val="24"/>
        </w:rPr>
      </w:pPr>
      <w:r>
        <w:rPr>
          <w:rFonts w:ascii="Times New Roman" w:hAnsi="Times New Roman"/>
          <w:sz w:val="24"/>
        </w:rPr>
        <w:t xml:space="preserve">The fit and proper policy must include adequate provisions to allow </w:t>
      </w:r>
      <w:r w:rsidRPr="00E07134">
        <w:rPr>
          <w:rFonts w:ascii="Times New Roman" w:hAnsi="Times New Roman"/>
          <w:sz w:val="24"/>
        </w:rPr>
        <w:t xml:space="preserve">whistleblowing </w:t>
      </w:r>
      <w:r>
        <w:rPr>
          <w:rFonts w:ascii="Times New Roman" w:hAnsi="Times New Roman"/>
          <w:sz w:val="24"/>
        </w:rPr>
        <w:t xml:space="preserve">if a person </w:t>
      </w:r>
      <w:r w:rsidR="00F65AE1">
        <w:rPr>
          <w:rFonts w:ascii="Times New Roman" w:hAnsi="Times New Roman"/>
          <w:sz w:val="24"/>
        </w:rPr>
        <w:t>has information that a responsible person does not meet the institution’s fit and proper criteria.</w:t>
      </w:r>
    </w:p>
    <w:p w14:paraId="02766547" w14:textId="47DA9239" w:rsidR="00A06093" w:rsidRPr="00A06093" w:rsidRDefault="00A06093" w:rsidP="001A5B94">
      <w:pPr>
        <w:shd w:val="clear" w:color="auto" w:fill="FFFFFF"/>
        <w:spacing w:before="100" w:beforeAutospacing="1" w:after="100" w:afterAutospacing="1"/>
        <w:jc w:val="left"/>
        <w:rPr>
          <w:rFonts w:ascii="Times New Roman" w:hAnsi="Times New Roman"/>
          <w:b/>
          <w:sz w:val="24"/>
        </w:rPr>
      </w:pPr>
      <w:r w:rsidRPr="00A06093">
        <w:rPr>
          <w:rFonts w:ascii="Times New Roman" w:hAnsi="Times New Roman"/>
          <w:b/>
          <w:sz w:val="24"/>
        </w:rPr>
        <w:t>Relevance to other APRA regulated industries</w:t>
      </w:r>
    </w:p>
    <w:p w14:paraId="58D09961" w14:textId="77777777" w:rsidR="001A5B94" w:rsidRDefault="001A5B94" w:rsidP="001A5B94">
      <w:pPr>
        <w:shd w:val="clear" w:color="auto" w:fill="FFFFFF"/>
        <w:spacing w:before="100" w:beforeAutospacing="1" w:after="100" w:afterAutospacing="1"/>
        <w:jc w:val="left"/>
        <w:rPr>
          <w:rFonts w:ascii="Times New Roman" w:hAnsi="Times New Roman"/>
          <w:sz w:val="24"/>
        </w:rPr>
      </w:pPr>
      <w:r w:rsidRPr="009057C8">
        <w:rPr>
          <w:rFonts w:ascii="Times New Roman" w:hAnsi="Times New Roman"/>
          <w:sz w:val="24"/>
        </w:rPr>
        <w:t>The instrument mak</w:t>
      </w:r>
      <w:r w:rsidR="00F65AE1">
        <w:rPr>
          <w:rFonts w:ascii="Times New Roman" w:hAnsi="Times New Roman"/>
          <w:sz w:val="24"/>
        </w:rPr>
        <w:t>es no material changes to CPS 52</w:t>
      </w:r>
      <w:r w:rsidRPr="009057C8">
        <w:rPr>
          <w:rFonts w:ascii="Times New Roman" w:hAnsi="Times New Roman"/>
          <w:sz w:val="24"/>
        </w:rPr>
        <w:t>0 for general ins</w:t>
      </w:r>
      <w:r>
        <w:rPr>
          <w:rFonts w:ascii="Times New Roman" w:hAnsi="Times New Roman"/>
          <w:sz w:val="24"/>
        </w:rPr>
        <w:t>urers, life companies and ADIs.</w:t>
      </w:r>
    </w:p>
    <w:p w14:paraId="58D09962" w14:textId="7A30B230" w:rsidR="001A5B94" w:rsidRPr="009057C8" w:rsidRDefault="001A5B94" w:rsidP="001A5B94">
      <w:pPr>
        <w:keepNext/>
        <w:shd w:val="clear" w:color="auto" w:fill="FFFFFF"/>
        <w:spacing w:before="100" w:beforeAutospacing="1" w:after="100" w:afterAutospacing="1"/>
        <w:jc w:val="left"/>
        <w:rPr>
          <w:rFonts w:ascii="Times New Roman" w:hAnsi="Times New Roman"/>
          <w:sz w:val="24"/>
        </w:rPr>
      </w:pPr>
      <w:r w:rsidRPr="009057C8">
        <w:rPr>
          <w:rFonts w:ascii="Times New Roman" w:hAnsi="Times New Roman"/>
          <w:iCs/>
          <w:sz w:val="24"/>
        </w:rPr>
        <w:t xml:space="preserve">In </w:t>
      </w:r>
      <w:r w:rsidR="00F65AE1">
        <w:rPr>
          <w:rFonts w:ascii="Times New Roman" w:hAnsi="Times New Roman"/>
          <w:iCs/>
          <w:sz w:val="24"/>
        </w:rPr>
        <w:t>CPS 52</w:t>
      </w:r>
      <w:r>
        <w:rPr>
          <w:rFonts w:ascii="Times New Roman" w:hAnsi="Times New Roman"/>
          <w:iCs/>
          <w:sz w:val="24"/>
        </w:rPr>
        <w:t>0</w:t>
      </w:r>
      <w:r w:rsidRPr="009057C8">
        <w:rPr>
          <w:rFonts w:ascii="Times New Roman" w:hAnsi="Times New Roman"/>
          <w:iCs/>
          <w:sz w:val="24"/>
        </w:rPr>
        <w:t>, unless the contrary intention appears, a reference to an Act, Regulations or Prudential Standard is a refere</w:t>
      </w:r>
      <w:r w:rsidR="00B32009">
        <w:rPr>
          <w:rFonts w:ascii="Times New Roman" w:hAnsi="Times New Roman"/>
          <w:iCs/>
          <w:sz w:val="24"/>
        </w:rPr>
        <w:t>nce to the Act, Regulations or prudential s</w:t>
      </w:r>
      <w:r w:rsidRPr="009057C8">
        <w:rPr>
          <w:rFonts w:ascii="Times New Roman" w:hAnsi="Times New Roman"/>
          <w:iCs/>
          <w:sz w:val="24"/>
        </w:rPr>
        <w:t>tandard as in force from time to time</w:t>
      </w:r>
      <w:r>
        <w:rPr>
          <w:rFonts w:ascii="Times New Roman" w:hAnsi="Times New Roman"/>
          <w:iCs/>
          <w:sz w:val="24"/>
        </w:rPr>
        <w:t>.</w:t>
      </w:r>
    </w:p>
    <w:p w14:paraId="58D09963" w14:textId="77777777" w:rsidR="001A5B94" w:rsidRPr="009057C8" w:rsidRDefault="001A5B94" w:rsidP="001A5B94">
      <w:pPr>
        <w:pStyle w:val="ListParagraph"/>
        <w:keepNext/>
        <w:numPr>
          <w:ilvl w:val="0"/>
          <w:numId w:val="17"/>
        </w:numPr>
        <w:shd w:val="clear" w:color="auto" w:fill="FFFFFF" w:themeFill="background1"/>
        <w:spacing w:before="100" w:beforeAutospacing="1"/>
        <w:jc w:val="left"/>
        <w:rPr>
          <w:rFonts w:ascii="Times New Roman" w:hAnsi="Times New Roman"/>
          <w:b/>
          <w:sz w:val="24"/>
        </w:rPr>
      </w:pPr>
      <w:bookmarkStart w:id="7" w:name="bkoperation"/>
      <w:bookmarkStart w:id="8" w:name="bkConsultationNo"/>
      <w:bookmarkEnd w:id="7"/>
      <w:bookmarkEnd w:id="8"/>
      <w:r w:rsidRPr="009057C8">
        <w:rPr>
          <w:rFonts w:ascii="Times New Roman" w:hAnsi="Times New Roman"/>
          <w:b/>
          <w:sz w:val="24"/>
        </w:rPr>
        <w:t>Consultation</w:t>
      </w:r>
    </w:p>
    <w:p w14:paraId="58D09964" w14:textId="193C0EF3" w:rsidR="001A5B94" w:rsidRPr="00B41B96" w:rsidRDefault="001A5B94" w:rsidP="001A5B94">
      <w:pPr>
        <w:keepNext/>
        <w:shd w:val="clear" w:color="auto" w:fill="FFFFFF"/>
        <w:spacing w:before="100" w:beforeAutospacing="1" w:after="100" w:afterAutospacing="1"/>
        <w:jc w:val="left"/>
        <w:rPr>
          <w:rFonts w:ascii="Times New Roman" w:hAnsi="Times New Roman"/>
          <w:sz w:val="24"/>
        </w:rPr>
      </w:pPr>
      <w:r w:rsidRPr="00B41B96">
        <w:rPr>
          <w:rFonts w:ascii="Times New Roman" w:hAnsi="Times New Roman"/>
          <w:sz w:val="24"/>
        </w:rPr>
        <w:t xml:space="preserve">In August </w:t>
      </w:r>
      <w:r>
        <w:rPr>
          <w:rFonts w:ascii="Times New Roman" w:hAnsi="Times New Roman"/>
          <w:sz w:val="24"/>
        </w:rPr>
        <w:t>2016, APRA released a three stage</w:t>
      </w:r>
      <w:r w:rsidRPr="00B41B96">
        <w:rPr>
          <w:rFonts w:ascii="Times New Roman" w:hAnsi="Times New Roman"/>
          <w:sz w:val="24"/>
        </w:rPr>
        <w:t xml:space="preserve"> Prudential Policy </w:t>
      </w:r>
      <w:r>
        <w:rPr>
          <w:rFonts w:ascii="Times New Roman" w:hAnsi="Times New Roman"/>
          <w:sz w:val="24"/>
        </w:rPr>
        <w:t>Roadmap</w:t>
      </w:r>
      <w:r w:rsidRPr="00B41B96">
        <w:rPr>
          <w:rFonts w:ascii="Times New Roman" w:hAnsi="Times New Roman"/>
          <w:sz w:val="24"/>
        </w:rPr>
        <w:t xml:space="preserve"> for the private health insurance industry. </w:t>
      </w:r>
      <w:r>
        <w:rPr>
          <w:rFonts w:ascii="Times New Roman" w:hAnsi="Times New Roman"/>
          <w:sz w:val="24"/>
        </w:rPr>
        <w:t xml:space="preserve">Stage two of the Roadmap contained a proposal </w:t>
      </w:r>
      <w:r w:rsidRPr="00B41B96">
        <w:rPr>
          <w:rFonts w:ascii="Times New Roman" w:hAnsi="Times New Roman"/>
          <w:sz w:val="24"/>
        </w:rPr>
        <w:t xml:space="preserve">for </w:t>
      </w:r>
      <w:r>
        <w:rPr>
          <w:rFonts w:ascii="Times New Roman" w:hAnsi="Times New Roman"/>
          <w:sz w:val="24"/>
        </w:rPr>
        <w:t xml:space="preserve">extending the application of </w:t>
      </w:r>
      <w:r w:rsidR="001144BA">
        <w:rPr>
          <w:rFonts w:ascii="Times New Roman" w:hAnsi="Times New Roman"/>
          <w:sz w:val="24"/>
        </w:rPr>
        <w:t>CPS 52</w:t>
      </w:r>
      <w:r w:rsidR="008B750E">
        <w:rPr>
          <w:rFonts w:ascii="Times New Roman" w:hAnsi="Times New Roman"/>
          <w:sz w:val="24"/>
        </w:rPr>
        <w:t>0</w:t>
      </w:r>
      <w:r w:rsidRPr="005C43CC">
        <w:rPr>
          <w:rFonts w:ascii="Times New Roman" w:hAnsi="Times New Roman"/>
          <w:sz w:val="24"/>
        </w:rPr>
        <w:t xml:space="preserve"> </w:t>
      </w:r>
      <w:r>
        <w:rPr>
          <w:rFonts w:ascii="Times New Roman" w:hAnsi="Times New Roman"/>
          <w:sz w:val="24"/>
        </w:rPr>
        <w:t xml:space="preserve">to include private health insurers. </w:t>
      </w:r>
    </w:p>
    <w:p w14:paraId="58D09965" w14:textId="2AC5DD72" w:rsidR="001A5B94" w:rsidRDefault="001A5B94" w:rsidP="001A5B94">
      <w:pPr>
        <w:keepNext/>
        <w:shd w:val="clear" w:color="auto" w:fill="FFFFFF"/>
        <w:spacing w:before="100" w:beforeAutospacing="1" w:after="100" w:afterAutospacing="1"/>
        <w:jc w:val="left"/>
        <w:rPr>
          <w:rFonts w:ascii="Times New Roman" w:hAnsi="Times New Roman"/>
          <w:sz w:val="24"/>
        </w:rPr>
      </w:pPr>
      <w:r w:rsidRPr="00B41B96">
        <w:rPr>
          <w:rFonts w:ascii="Times New Roman" w:hAnsi="Times New Roman"/>
          <w:sz w:val="24"/>
        </w:rPr>
        <w:t xml:space="preserve">In February 2018, APRA released for public consultation </w:t>
      </w:r>
      <w:r w:rsidRPr="00C26B60">
        <w:rPr>
          <w:rFonts w:ascii="Times New Roman" w:hAnsi="Times New Roman"/>
          <w:i/>
          <w:sz w:val="24"/>
        </w:rPr>
        <w:t>Discussion Paper: Governance, Fit</w:t>
      </w:r>
      <w:r w:rsidRPr="00C26B60">
        <w:rPr>
          <w:rFonts w:ascii="Times New Roman" w:hAnsi="Times New Roman"/>
          <w:sz w:val="24"/>
        </w:rPr>
        <w:t xml:space="preserve"> </w:t>
      </w:r>
      <w:r w:rsidRPr="00C26B60">
        <w:rPr>
          <w:rFonts w:ascii="Times New Roman" w:hAnsi="Times New Roman"/>
          <w:i/>
          <w:sz w:val="24"/>
        </w:rPr>
        <w:t>and Proper, Audit and Disclosure</w:t>
      </w:r>
      <w:r w:rsidRPr="00C26B60">
        <w:rPr>
          <w:rFonts w:ascii="Times New Roman" w:hAnsi="Times New Roman"/>
          <w:sz w:val="24"/>
        </w:rPr>
        <w:t xml:space="preserve"> </w:t>
      </w:r>
      <w:r>
        <w:rPr>
          <w:rFonts w:ascii="Times New Roman" w:hAnsi="Times New Roman"/>
          <w:i/>
          <w:sz w:val="24"/>
        </w:rPr>
        <w:t>Requirements</w:t>
      </w:r>
      <w:r>
        <w:rPr>
          <w:rFonts w:ascii="Times New Roman" w:hAnsi="Times New Roman"/>
          <w:sz w:val="24"/>
        </w:rPr>
        <w:t xml:space="preserve">. </w:t>
      </w:r>
      <w:r w:rsidRPr="00C26B60">
        <w:rPr>
          <w:rFonts w:ascii="Times New Roman" w:hAnsi="Times New Roman"/>
          <w:sz w:val="24"/>
        </w:rPr>
        <w:t xml:space="preserve"> </w:t>
      </w:r>
      <w:r>
        <w:rPr>
          <w:rFonts w:ascii="Times New Roman" w:hAnsi="Times New Roman"/>
          <w:sz w:val="24"/>
        </w:rPr>
        <w:t xml:space="preserve">This document outlined the proposed </w:t>
      </w:r>
      <w:r w:rsidR="001144BA">
        <w:rPr>
          <w:rFonts w:ascii="Times New Roman" w:hAnsi="Times New Roman"/>
          <w:sz w:val="24"/>
        </w:rPr>
        <w:t>requirements for PHIs</w:t>
      </w:r>
      <w:r>
        <w:rPr>
          <w:rFonts w:ascii="Times New Roman" w:hAnsi="Times New Roman"/>
          <w:sz w:val="24"/>
        </w:rPr>
        <w:t xml:space="preserve"> from </w:t>
      </w:r>
      <w:r w:rsidRPr="00E270B9">
        <w:rPr>
          <w:rFonts w:ascii="Times New Roman" w:hAnsi="Times New Roman"/>
          <w:sz w:val="24"/>
        </w:rPr>
        <w:t xml:space="preserve">the existing </w:t>
      </w:r>
      <w:r w:rsidR="008B750E">
        <w:rPr>
          <w:rFonts w:ascii="Times New Roman" w:hAnsi="Times New Roman"/>
          <w:sz w:val="24"/>
        </w:rPr>
        <w:t>cross-</w:t>
      </w:r>
      <w:r w:rsidR="001144BA">
        <w:rPr>
          <w:rFonts w:ascii="Times New Roman" w:hAnsi="Times New Roman"/>
          <w:sz w:val="24"/>
        </w:rPr>
        <w:t xml:space="preserve">industry </w:t>
      </w:r>
      <w:r w:rsidRPr="00FF3D25">
        <w:rPr>
          <w:rFonts w:ascii="Times New Roman" w:hAnsi="Times New Roman"/>
          <w:i/>
          <w:iCs/>
          <w:sz w:val="24"/>
        </w:rPr>
        <w:t>Prudential Standard</w:t>
      </w:r>
      <w:r w:rsidRPr="00FF3D25">
        <w:rPr>
          <w:rFonts w:ascii="Times New Roman" w:hAnsi="Times New Roman"/>
          <w:sz w:val="24"/>
        </w:rPr>
        <w:t xml:space="preserve"> </w:t>
      </w:r>
      <w:r w:rsidR="008B750E">
        <w:rPr>
          <w:rFonts w:ascii="Times New Roman" w:hAnsi="Times New Roman"/>
          <w:i/>
          <w:iCs/>
          <w:sz w:val="24"/>
          <w:lang w:val="en-US"/>
        </w:rPr>
        <w:t>C</w:t>
      </w:r>
      <w:r w:rsidR="001144BA">
        <w:rPr>
          <w:rFonts w:ascii="Times New Roman" w:hAnsi="Times New Roman"/>
          <w:i/>
          <w:iCs/>
          <w:sz w:val="24"/>
          <w:lang w:val="en-US"/>
        </w:rPr>
        <w:t>PS 52</w:t>
      </w:r>
      <w:r w:rsidRPr="00FF3D25">
        <w:rPr>
          <w:rFonts w:ascii="Times New Roman" w:hAnsi="Times New Roman"/>
          <w:i/>
          <w:iCs/>
          <w:sz w:val="24"/>
          <w:lang w:val="en-US"/>
        </w:rPr>
        <w:t xml:space="preserve">0 </w:t>
      </w:r>
      <w:r w:rsidR="001144BA">
        <w:rPr>
          <w:rFonts w:ascii="Times New Roman" w:hAnsi="Times New Roman"/>
          <w:i/>
          <w:iCs/>
          <w:sz w:val="24"/>
          <w:lang w:val="en-US"/>
        </w:rPr>
        <w:t>Fit and Proper</w:t>
      </w:r>
      <w:r>
        <w:rPr>
          <w:rFonts w:ascii="Times New Roman" w:hAnsi="Times New Roman"/>
          <w:i/>
          <w:iCs/>
          <w:sz w:val="24"/>
          <w:lang w:val="en-US"/>
        </w:rPr>
        <w:t xml:space="preserve"> </w:t>
      </w:r>
      <w:r>
        <w:rPr>
          <w:rFonts w:ascii="Times New Roman" w:hAnsi="Times New Roman"/>
          <w:sz w:val="24"/>
        </w:rPr>
        <w:t>and provided a twelve week consultation period.</w:t>
      </w:r>
    </w:p>
    <w:p w14:paraId="1E44FD8D" w14:textId="24C2670D" w:rsidR="006E0E31" w:rsidRDefault="006E0E31" w:rsidP="006E0E31">
      <w:pPr>
        <w:rPr>
          <w:rFonts w:ascii="Times New Roman" w:hAnsi="Times New Roman"/>
          <w:sz w:val="24"/>
        </w:rPr>
      </w:pPr>
      <w:r>
        <w:rPr>
          <w:rFonts w:ascii="Times New Roman" w:hAnsi="Times New Roman"/>
          <w:sz w:val="24"/>
        </w:rPr>
        <w:t>APRA presented the reforms via a wide range of industry forums</w:t>
      </w:r>
      <w:r w:rsidRPr="000B7746">
        <w:rPr>
          <w:rFonts w:ascii="Times New Roman" w:hAnsi="Times New Roman"/>
          <w:sz w:val="24"/>
        </w:rPr>
        <w:t xml:space="preserve"> and held </w:t>
      </w:r>
      <w:r>
        <w:rPr>
          <w:rFonts w:ascii="Times New Roman" w:hAnsi="Times New Roman"/>
          <w:sz w:val="24"/>
        </w:rPr>
        <w:t xml:space="preserve">round table </w:t>
      </w:r>
      <w:r w:rsidRPr="000B7746">
        <w:rPr>
          <w:rFonts w:ascii="Times New Roman" w:hAnsi="Times New Roman"/>
          <w:sz w:val="24"/>
        </w:rPr>
        <w:t xml:space="preserve">discussions with </w:t>
      </w:r>
      <w:r w:rsidR="00B54796">
        <w:rPr>
          <w:rFonts w:ascii="Times New Roman" w:hAnsi="Times New Roman"/>
          <w:sz w:val="24"/>
        </w:rPr>
        <w:t xml:space="preserve">private health insurers </w:t>
      </w:r>
      <w:r>
        <w:rPr>
          <w:rFonts w:ascii="Times New Roman" w:hAnsi="Times New Roman"/>
          <w:sz w:val="24"/>
        </w:rPr>
        <w:t>on the proposed requirements</w:t>
      </w:r>
      <w:r w:rsidRPr="000B7746">
        <w:rPr>
          <w:rFonts w:ascii="Times New Roman" w:hAnsi="Times New Roman"/>
          <w:sz w:val="24"/>
        </w:rPr>
        <w:t>.</w:t>
      </w:r>
      <w:r>
        <w:rPr>
          <w:rFonts w:ascii="Times New Roman" w:hAnsi="Times New Roman"/>
          <w:sz w:val="24"/>
        </w:rPr>
        <w:t xml:space="preserve"> Several </w:t>
      </w:r>
      <w:r w:rsidR="00600CEC">
        <w:rPr>
          <w:rFonts w:ascii="Times New Roman" w:hAnsi="Times New Roman"/>
          <w:sz w:val="24"/>
        </w:rPr>
        <w:t>insurers advised they already adhered to a fit and proper policy which was available on their websites.</w:t>
      </w:r>
      <w:r>
        <w:rPr>
          <w:rFonts w:ascii="Times New Roman" w:hAnsi="Times New Roman"/>
          <w:sz w:val="24"/>
        </w:rPr>
        <w:t xml:space="preserve"> </w:t>
      </w:r>
    </w:p>
    <w:p w14:paraId="4A00ECB0" w14:textId="60D2792E" w:rsidR="00600CEC" w:rsidRDefault="00600CEC" w:rsidP="006E0E31">
      <w:pPr>
        <w:rPr>
          <w:rFonts w:ascii="Times New Roman" w:hAnsi="Times New Roman"/>
          <w:sz w:val="24"/>
        </w:rPr>
      </w:pPr>
      <w:r>
        <w:rPr>
          <w:rFonts w:ascii="Times New Roman" w:hAnsi="Times New Roman"/>
          <w:sz w:val="24"/>
        </w:rPr>
        <w:lastRenderedPageBreak/>
        <w:t>All nine written submiss</w:t>
      </w:r>
      <w:r w:rsidR="0046388E">
        <w:rPr>
          <w:rFonts w:ascii="Times New Roman" w:hAnsi="Times New Roman"/>
          <w:sz w:val="24"/>
        </w:rPr>
        <w:t>i</w:t>
      </w:r>
      <w:r>
        <w:rPr>
          <w:rFonts w:ascii="Times New Roman" w:hAnsi="Times New Roman"/>
          <w:sz w:val="24"/>
        </w:rPr>
        <w:t xml:space="preserve">ons in response to the Discussion Paper were </w:t>
      </w:r>
      <w:r w:rsidR="005D670E">
        <w:rPr>
          <w:rFonts w:ascii="Times New Roman" w:hAnsi="Times New Roman"/>
          <w:sz w:val="24"/>
        </w:rPr>
        <w:t xml:space="preserve">strongly </w:t>
      </w:r>
      <w:r>
        <w:rPr>
          <w:rFonts w:ascii="Times New Roman" w:hAnsi="Times New Roman"/>
          <w:sz w:val="24"/>
        </w:rPr>
        <w:t xml:space="preserve">supportive of the standard, subject to </w:t>
      </w:r>
      <w:r w:rsidR="005D670E">
        <w:rPr>
          <w:rFonts w:ascii="Times New Roman" w:hAnsi="Times New Roman"/>
          <w:sz w:val="24"/>
        </w:rPr>
        <w:t>a minor clarification</w:t>
      </w:r>
      <w:r>
        <w:rPr>
          <w:rFonts w:ascii="Times New Roman" w:hAnsi="Times New Roman"/>
          <w:sz w:val="24"/>
        </w:rPr>
        <w:t xml:space="preserve"> as to the </w:t>
      </w:r>
      <w:r w:rsidR="003C642D">
        <w:rPr>
          <w:rFonts w:ascii="Times New Roman" w:hAnsi="Times New Roman"/>
          <w:sz w:val="24"/>
        </w:rPr>
        <w:t>requisite level of experience for PHI auditors.</w:t>
      </w:r>
      <w:r w:rsidR="00D03DBC">
        <w:rPr>
          <w:rFonts w:ascii="Times New Roman" w:hAnsi="Times New Roman"/>
          <w:sz w:val="24"/>
        </w:rPr>
        <w:t xml:space="preserve"> Th</w:t>
      </w:r>
      <w:r w:rsidR="005D670E">
        <w:rPr>
          <w:rFonts w:ascii="Times New Roman" w:hAnsi="Times New Roman"/>
          <w:sz w:val="24"/>
        </w:rPr>
        <w:t>is issue</w:t>
      </w:r>
      <w:r w:rsidR="00D03DBC">
        <w:rPr>
          <w:rFonts w:ascii="Times New Roman" w:hAnsi="Times New Roman"/>
          <w:sz w:val="24"/>
        </w:rPr>
        <w:t xml:space="preserve"> w</w:t>
      </w:r>
      <w:r w:rsidR="005D670E">
        <w:rPr>
          <w:rFonts w:ascii="Times New Roman" w:hAnsi="Times New Roman"/>
          <w:sz w:val="24"/>
        </w:rPr>
        <w:t>as</w:t>
      </w:r>
      <w:r w:rsidR="00D03DBC">
        <w:rPr>
          <w:rFonts w:ascii="Times New Roman" w:hAnsi="Times New Roman"/>
          <w:sz w:val="24"/>
        </w:rPr>
        <w:t xml:space="preserve"> addressed in a response letter to the industry.</w:t>
      </w:r>
    </w:p>
    <w:p w14:paraId="58D09970" w14:textId="77777777" w:rsidR="001A5B94" w:rsidRPr="00FF3D25" w:rsidRDefault="001A5B94" w:rsidP="001A5B94">
      <w:pPr>
        <w:pStyle w:val="BULLET1"/>
        <w:keepNext/>
        <w:numPr>
          <w:ilvl w:val="0"/>
          <w:numId w:val="17"/>
        </w:numPr>
        <w:rPr>
          <w:rFonts w:ascii="Times New Roman" w:hAnsi="Times New Roman" w:cs="Times New Roman"/>
          <w:b/>
          <w:sz w:val="24"/>
          <w:szCs w:val="24"/>
        </w:rPr>
      </w:pPr>
      <w:bookmarkStart w:id="9" w:name="bkRIS"/>
      <w:bookmarkStart w:id="10" w:name="bkConsultation"/>
      <w:bookmarkStart w:id="11" w:name="bkRISNO"/>
      <w:bookmarkEnd w:id="9"/>
      <w:bookmarkEnd w:id="10"/>
      <w:bookmarkEnd w:id="11"/>
      <w:r w:rsidRPr="00FF3D25">
        <w:rPr>
          <w:rFonts w:ascii="Times New Roman" w:hAnsi="Times New Roman" w:cs="Times New Roman"/>
          <w:b/>
          <w:sz w:val="24"/>
          <w:szCs w:val="24"/>
        </w:rPr>
        <w:t>Regulation Impact Statement</w:t>
      </w:r>
    </w:p>
    <w:p w14:paraId="58D09971" w14:textId="77777777" w:rsidR="001A5B94" w:rsidRPr="00FF3D25" w:rsidRDefault="001A5B94" w:rsidP="001A5B94">
      <w:pPr>
        <w:shd w:val="clear" w:color="auto" w:fill="FFFFFF"/>
        <w:spacing w:before="100" w:beforeAutospacing="1" w:after="100" w:afterAutospacing="1"/>
        <w:rPr>
          <w:rFonts w:ascii="Times New Roman" w:hAnsi="Times New Roman"/>
          <w:kern w:val="32"/>
          <w:sz w:val="24"/>
        </w:rPr>
      </w:pPr>
      <w:r w:rsidRPr="00FF3D25">
        <w:rPr>
          <w:rFonts w:ascii="Times New Roman" w:hAnsi="Times New Roman"/>
          <w:kern w:val="32"/>
          <w:sz w:val="24"/>
        </w:rPr>
        <w:t>The Office of Best Practice Regulation advised that a Regulation Impact Statement was not required for this determination.</w:t>
      </w:r>
    </w:p>
    <w:p w14:paraId="58D09972" w14:textId="77777777" w:rsidR="001A5B94" w:rsidRPr="00FD3E6E" w:rsidRDefault="001A5B94" w:rsidP="001A5B94">
      <w:pPr>
        <w:pStyle w:val="ListParagraph"/>
        <w:numPr>
          <w:ilvl w:val="0"/>
          <w:numId w:val="17"/>
        </w:numPr>
        <w:shd w:val="clear" w:color="auto" w:fill="FFFFFF"/>
        <w:spacing w:before="100" w:beforeAutospacing="1" w:after="100" w:afterAutospacing="1"/>
        <w:rPr>
          <w:rFonts w:ascii="Times New Roman" w:eastAsiaTheme="minorEastAsia" w:hAnsi="Times New Roman"/>
          <w:b/>
          <w:sz w:val="24"/>
        </w:rPr>
      </w:pPr>
      <w:r w:rsidRPr="00A66D9A">
        <w:rPr>
          <w:rFonts w:ascii="Times New Roman" w:eastAsiaTheme="minorEastAsia" w:hAnsi="Times New Roman"/>
          <w:b/>
          <w:sz w:val="24"/>
        </w:rPr>
        <w:t xml:space="preserve">Statement of compatibility prepared in accordance with Part 3 of the </w:t>
      </w:r>
      <w:r w:rsidRPr="00A66D9A">
        <w:rPr>
          <w:rFonts w:ascii="Times New Roman" w:eastAsiaTheme="minorEastAsia" w:hAnsi="Times New Roman"/>
          <w:b/>
          <w:i/>
          <w:sz w:val="24"/>
        </w:rPr>
        <w:t>Human Rights (Parliamentary Scrutiny) Act 2011</w:t>
      </w:r>
      <w:r w:rsidRPr="00FD3E6E">
        <w:rPr>
          <w:rFonts w:ascii="Times New Roman" w:eastAsiaTheme="minorEastAsia" w:hAnsi="Times New Roman"/>
          <w:b/>
          <w:sz w:val="24"/>
        </w:rPr>
        <w:t>.</w:t>
      </w:r>
    </w:p>
    <w:p w14:paraId="58D09973" w14:textId="77777777" w:rsidR="001A5B94" w:rsidRPr="00FF3D25" w:rsidRDefault="001A5B94" w:rsidP="001A5B94">
      <w:pPr>
        <w:shd w:val="clear" w:color="auto" w:fill="FFFFFF"/>
        <w:spacing w:before="100" w:beforeAutospacing="1" w:after="100" w:afterAutospacing="1"/>
        <w:rPr>
          <w:rFonts w:ascii="Times New Roman" w:hAnsi="Times New Roman"/>
          <w:kern w:val="32"/>
          <w:sz w:val="24"/>
        </w:rPr>
      </w:pPr>
      <w:r w:rsidRPr="00FF3D25">
        <w:rPr>
          <w:rFonts w:ascii="Times New Roman" w:hAnsi="Times New Roman"/>
          <w:kern w:val="32"/>
          <w:sz w:val="24"/>
        </w:rPr>
        <w:t xml:space="preserve">A Statement of compatibility prepared in accordance with Part 3 of the </w:t>
      </w:r>
      <w:r w:rsidRPr="00FF3D25">
        <w:rPr>
          <w:rFonts w:ascii="Times New Roman" w:hAnsi="Times New Roman"/>
          <w:i/>
          <w:kern w:val="32"/>
          <w:sz w:val="24"/>
        </w:rPr>
        <w:t>Human Rights (Parliamentary Scrutiny) Act 2011</w:t>
      </w:r>
      <w:r w:rsidRPr="00FF3D25">
        <w:rPr>
          <w:rFonts w:ascii="Times New Roman" w:hAnsi="Times New Roman"/>
          <w:kern w:val="32"/>
          <w:sz w:val="24"/>
        </w:rPr>
        <w:t xml:space="preserve"> is provided at Attachment A to this Explanatory Statement.</w:t>
      </w:r>
    </w:p>
    <w:p w14:paraId="58D09974" w14:textId="77777777" w:rsidR="001A5B94" w:rsidRPr="00F212E9" w:rsidRDefault="001A5B94" w:rsidP="001A5B94">
      <w:pPr>
        <w:shd w:val="clear" w:color="auto" w:fill="FFFFFF"/>
        <w:spacing w:before="100" w:beforeAutospacing="1" w:after="100" w:afterAutospacing="1"/>
        <w:jc w:val="left"/>
        <w:rPr>
          <w:rFonts w:ascii="Times New Roman" w:hAnsi="Times New Roman"/>
          <w:sz w:val="24"/>
          <w:lang w:val="en-US"/>
        </w:rPr>
      </w:pPr>
      <w:r w:rsidRPr="00FF3D25">
        <w:rPr>
          <w:rFonts w:ascii="Times New Roman" w:hAnsi="Times New Roman"/>
          <w:sz w:val="24"/>
          <w:lang w:val="en-US"/>
        </w:rPr>
        <w:br w:type="page"/>
      </w:r>
      <w:r w:rsidRPr="00F212E9">
        <w:rPr>
          <w:rFonts w:ascii="Times New Roman" w:hAnsi="Times New Roman"/>
          <w:sz w:val="24"/>
          <w:lang w:val="en-US"/>
        </w:rPr>
        <w:lastRenderedPageBreak/>
        <w:t> </w:t>
      </w:r>
    </w:p>
    <w:p w14:paraId="58D09975" w14:textId="77777777" w:rsidR="001A5B94" w:rsidRPr="00FF3D25" w:rsidRDefault="001A5B94" w:rsidP="001A5B94">
      <w:pPr>
        <w:shd w:val="clear" w:color="auto" w:fill="FFFFFF"/>
        <w:spacing w:before="100" w:beforeAutospacing="1"/>
        <w:jc w:val="center"/>
        <w:rPr>
          <w:rFonts w:ascii="Times New Roman" w:hAnsi="Times New Roman"/>
          <w:sz w:val="24"/>
          <w:lang w:val="en-US"/>
        </w:rPr>
      </w:pPr>
      <w:r w:rsidRPr="00FF3D25">
        <w:rPr>
          <w:rFonts w:ascii="Times New Roman" w:hAnsi="Times New Roman"/>
          <w:b/>
          <w:bCs/>
          <w:sz w:val="24"/>
        </w:rPr>
        <w:t>ATTACHMENT A</w:t>
      </w:r>
    </w:p>
    <w:p w14:paraId="58D09976" w14:textId="77777777" w:rsidR="001A5B94" w:rsidRPr="00FF3D25" w:rsidRDefault="001A5B94" w:rsidP="001A5B94">
      <w:pPr>
        <w:shd w:val="clear" w:color="auto" w:fill="FFFFFF"/>
        <w:spacing w:before="100" w:beforeAutospacing="1"/>
        <w:jc w:val="center"/>
        <w:rPr>
          <w:rFonts w:ascii="Times New Roman" w:hAnsi="Times New Roman"/>
          <w:sz w:val="24"/>
          <w:lang w:val="en-US"/>
        </w:rPr>
      </w:pPr>
      <w:r w:rsidRPr="00FF3D25">
        <w:rPr>
          <w:rFonts w:ascii="Times New Roman" w:hAnsi="Times New Roman"/>
          <w:b/>
          <w:bCs/>
          <w:sz w:val="24"/>
        </w:rPr>
        <w:t>Statement of Compatibility with Human Rights</w:t>
      </w:r>
    </w:p>
    <w:p w14:paraId="58D09977" w14:textId="77777777" w:rsidR="001A5B94" w:rsidRPr="00FF3D25" w:rsidRDefault="001A5B94" w:rsidP="001A5B94">
      <w:pPr>
        <w:shd w:val="clear" w:color="auto" w:fill="FFFFFF"/>
        <w:spacing w:before="100" w:beforeAutospacing="1"/>
        <w:jc w:val="left"/>
        <w:rPr>
          <w:rFonts w:ascii="Times New Roman" w:hAnsi="Times New Roman"/>
          <w:sz w:val="24"/>
          <w:lang w:val="en-US"/>
        </w:rPr>
      </w:pPr>
      <w:r w:rsidRPr="00FF3D25">
        <w:rPr>
          <w:rFonts w:ascii="Times New Roman" w:hAnsi="Times New Roman"/>
          <w:i/>
          <w:iCs/>
          <w:sz w:val="24"/>
        </w:rPr>
        <w:t>Prepared in accordance with Part 3 of the Human Rights (Parliamentary Scrutiny) Act 2011</w:t>
      </w:r>
    </w:p>
    <w:p w14:paraId="58D09979" w14:textId="02E6F175" w:rsidR="001A5B94" w:rsidRPr="00FF3D25" w:rsidRDefault="001A5B94" w:rsidP="001A5B94">
      <w:pPr>
        <w:shd w:val="clear" w:color="auto" w:fill="FFFFFF"/>
        <w:spacing w:after="0"/>
        <w:jc w:val="center"/>
        <w:rPr>
          <w:rFonts w:ascii="Times New Roman" w:hAnsi="Times New Roman"/>
          <w:b/>
          <w:iCs/>
          <w:sz w:val="24"/>
        </w:rPr>
      </w:pPr>
      <w:r w:rsidRPr="00FF3D25">
        <w:rPr>
          <w:rFonts w:ascii="Times New Roman" w:hAnsi="Times New Roman"/>
          <w:b/>
          <w:iCs/>
          <w:sz w:val="24"/>
        </w:rPr>
        <w:t>Banking, Insurance</w:t>
      </w:r>
      <w:r>
        <w:rPr>
          <w:rFonts w:ascii="Times New Roman" w:hAnsi="Times New Roman"/>
          <w:b/>
          <w:iCs/>
          <w:sz w:val="24"/>
        </w:rPr>
        <w:t>,</w:t>
      </w:r>
      <w:r w:rsidRPr="00FF3D25">
        <w:rPr>
          <w:rFonts w:ascii="Times New Roman" w:hAnsi="Times New Roman"/>
          <w:b/>
          <w:iCs/>
          <w:sz w:val="24"/>
        </w:rPr>
        <w:t xml:space="preserve"> Life Insurance </w:t>
      </w:r>
      <w:r>
        <w:rPr>
          <w:rFonts w:ascii="Times New Roman" w:hAnsi="Times New Roman"/>
          <w:b/>
          <w:iCs/>
          <w:sz w:val="24"/>
        </w:rPr>
        <w:t xml:space="preserve">and Health Insurance </w:t>
      </w:r>
      <w:r w:rsidRPr="00FF3D25">
        <w:rPr>
          <w:rFonts w:ascii="Times New Roman" w:hAnsi="Times New Roman"/>
          <w:b/>
          <w:iCs/>
          <w:sz w:val="24"/>
        </w:rPr>
        <w:t xml:space="preserve">(prudential standards) </w:t>
      </w:r>
      <w:r w:rsidR="00680011" w:rsidRPr="00FF3D25">
        <w:rPr>
          <w:rFonts w:ascii="Times New Roman" w:hAnsi="Times New Roman"/>
          <w:b/>
          <w:iCs/>
          <w:sz w:val="24"/>
        </w:rPr>
        <w:t>determination</w:t>
      </w:r>
      <w:r w:rsidR="00680011">
        <w:rPr>
          <w:rFonts w:ascii="Times New Roman" w:hAnsi="Times New Roman"/>
          <w:b/>
          <w:iCs/>
          <w:sz w:val="24"/>
        </w:rPr>
        <w:t xml:space="preserve"> No</w:t>
      </w:r>
      <w:r>
        <w:rPr>
          <w:rFonts w:ascii="Times New Roman" w:hAnsi="Times New Roman"/>
          <w:b/>
          <w:iCs/>
          <w:sz w:val="24"/>
        </w:rPr>
        <w:t xml:space="preserve">. </w:t>
      </w:r>
      <w:r w:rsidR="0046388E">
        <w:rPr>
          <w:rFonts w:ascii="Times New Roman" w:hAnsi="Times New Roman"/>
          <w:b/>
          <w:iCs/>
          <w:sz w:val="24"/>
        </w:rPr>
        <w:t xml:space="preserve">2 </w:t>
      </w:r>
      <w:r>
        <w:rPr>
          <w:rFonts w:ascii="Times New Roman" w:hAnsi="Times New Roman"/>
          <w:b/>
          <w:iCs/>
          <w:sz w:val="24"/>
        </w:rPr>
        <w:t>of 2018</w:t>
      </w:r>
    </w:p>
    <w:p w14:paraId="58D0997A" w14:textId="77777777" w:rsidR="001A5B94" w:rsidRPr="00FF3D25" w:rsidRDefault="001A5B94" w:rsidP="001A5B94">
      <w:pPr>
        <w:shd w:val="clear" w:color="auto" w:fill="FFFFFF"/>
        <w:spacing w:before="100" w:beforeAutospacing="1"/>
        <w:jc w:val="left"/>
        <w:rPr>
          <w:rFonts w:ascii="Times New Roman" w:hAnsi="Times New Roman"/>
          <w:sz w:val="24"/>
          <w:lang w:val="en-US"/>
        </w:rPr>
      </w:pPr>
      <w:r w:rsidRPr="00FF3D25">
        <w:rPr>
          <w:rFonts w:ascii="Times New Roman" w:hAnsi="Times New Roman"/>
          <w:sz w:val="24"/>
        </w:rPr>
        <w:t xml:space="preserve">This Legislative Instrument is compatible with the human rights and freedoms recognised or declared in the international instruments listed in section 3 of the </w:t>
      </w:r>
      <w:r w:rsidRPr="00FF3D25">
        <w:rPr>
          <w:rFonts w:ascii="Times New Roman" w:hAnsi="Times New Roman"/>
          <w:i/>
          <w:iCs/>
          <w:sz w:val="24"/>
        </w:rPr>
        <w:t>Human Rights (Parliamentary Scrutiny) Act 2011</w:t>
      </w:r>
      <w:r w:rsidRPr="00FF3D25">
        <w:rPr>
          <w:rFonts w:ascii="Times New Roman" w:hAnsi="Times New Roman"/>
          <w:sz w:val="24"/>
        </w:rPr>
        <w:t xml:space="preserve"> (</w:t>
      </w:r>
      <w:r w:rsidRPr="00FF3D25">
        <w:rPr>
          <w:rFonts w:ascii="Times New Roman" w:hAnsi="Times New Roman"/>
          <w:bCs/>
          <w:i/>
          <w:iCs/>
          <w:sz w:val="24"/>
        </w:rPr>
        <w:t>HRPS Act</w:t>
      </w:r>
      <w:r w:rsidRPr="00FF3D25">
        <w:rPr>
          <w:rFonts w:ascii="Times New Roman" w:hAnsi="Times New Roman"/>
          <w:sz w:val="24"/>
        </w:rPr>
        <w:t>).</w:t>
      </w:r>
    </w:p>
    <w:p w14:paraId="58D0997B" w14:textId="77777777" w:rsidR="001A5B94" w:rsidRPr="00FF3D25" w:rsidRDefault="001A5B94" w:rsidP="001A5B94">
      <w:pPr>
        <w:shd w:val="clear" w:color="auto" w:fill="FFFFFF"/>
        <w:spacing w:before="100" w:beforeAutospacing="1"/>
        <w:jc w:val="left"/>
        <w:rPr>
          <w:rFonts w:ascii="Times New Roman" w:hAnsi="Times New Roman"/>
          <w:sz w:val="24"/>
          <w:lang w:val="en-US"/>
        </w:rPr>
      </w:pPr>
      <w:r w:rsidRPr="00FF3D25">
        <w:rPr>
          <w:rFonts w:ascii="Times New Roman" w:hAnsi="Times New Roman"/>
          <w:b/>
          <w:bCs/>
          <w:sz w:val="24"/>
        </w:rPr>
        <w:t xml:space="preserve">Overview of the Legislative Instrument </w:t>
      </w:r>
    </w:p>
    <w:p w14:paraId="58D0997C" w14:textId="6C267D99" w:rsidR="001A5B94" w:rsidRPr="00FF3D25" w:rsidRDefault="001A5B94" w:rsidP="001A5B94">
      <w:pPr>
        <w:pStyle w:val="ListParagraph"/>
        <w:shd w:val="clear" w:color="auto" w:fill="FFFFFF"/>
        <w:spacing w:before="100" w:beforeAutospacing="1" w:after="100" w:afterAutospacing="1"/>
        <w:ind w:left="0"/>
        <w:jc w:val="left"/>
        <w:rPr>
          <w:rFonts w:ascii="Times New Roman" w:hAnsi="Times New Roman"/>
          <w:iCs/>
          <w:sz w:val="24"/>
        </w:rPr>
      </w:pPr>
      <w:r w:rsidRPr="00FF3D25">
        <w:rPr>
          <w:rFonts w:ascii="Times New Roman" w:hAnsi="Times New Roman"/>
          <w:sz w:val="24"/>
        </w:rPr>
        <w:t>Th</w:t>
      </w:r>
      <w:r w:rsidR="00B80B23">
        <w:rPr>
          <w:rFonts w:ascii="Times New Roman" w:hAnsi="Times New Roman"/>
          <w:sz w:val="24"/>
        </w:rPr>
        <w:t>is</w:t>
      </w:r>
      <w:r w:rsidRPr="00FF3D25">
        <w:rPr>
          <w:rFonts w:ascii="Times New Roman" w:hAnsi="Times New Roman"/>
          <w:sz w:val="24"/>
        </w:rPr>
        <w:t xml:space="preserve"> </w:t>
      </w:r>
      <w:r w:rsidR="00B80B23">
        <w:rPr>
          <w:rFonts w:ascii="Times New Roman" w:hAnsi="Times New Roman"/>
          <w:sz w:val="24"/>
        </w:rPr>
        <w:t>L</w:t>
      </w:r>
      <w:r w:rsidRPr="00FF3D25">
        <w:rPr>
          <w:rFonts w:ascii="Times New Roman" w:hAnsi="Times New Roman"/>
          <w:sz w:val="24"/>
        </w:rPr>
        <w:t xml:space="preserve">egislative </w:t>
      </w:r>
      <w:r w:rsidR="00B80B23">
        <w:rPr>
          <w:rFonts w:ascii="Times New Roman" w:hAnsi="Times New Roman"/>
          <w:sz w:val="24"/>
        </w:rPr>
        <w:t>I</w:t>
      </w:r>
      <w:r w:rsidRPr="00FF3D25">
        <w:rPr>
          <w:rFonts w:ascii="Times New Roman" w:hAnsi="Times New Roman"/>
          <w:sz w:val="24"/>
        </w:rPr>
        <w:t xml:space="preserve">nstrument revokes </w:t>
      </w:r>
      <w:r w:rsidRPr="00FF3D25">
        <w:rPr>
          <w:rFonts w:ascii="Times New Roman" w:hAnsi="Times New Roman"/>
          <w:i/>
          <w:iCs/>
          <w:sz w:val="24"/>
        </w:rPr>
        <w:t>Prudential Standard</w:t>
      </w:r>
      <w:r w:rsidRPr="00FF3D25">
        <w:rPr>
          <w:rFonts w:ascii="Times New Roman" w:hAnsi="Times New Roman"/>
          <w:i/>
          <w:sz w:val="24"/>
        </w:rPr>
        <w:t xml:space="preserve"> </w:t>
      </w:r>
      <w:r w:rsidRPr="00FF3D25">
        <w:rPr>
          <w:rFonts w:ascii="Times New Roman" w:hAnsi="Times New Roman"/>
          <w:i/>
          <w:iCs/>
          <w:sz w:val="24"/>
          <w:lang w:val="en-US"/>
        </w:rPr>
        <w:t xml:space="preserve">CPS </w:t>
      </w:r>
      <w:r w:rsidR="001C2AF5">
        <w:rPr>
          <w:rFonts w:ascii="Times New Roman" w:hAnsi="Times New Roman"/>
          <w:i/>
          <w:iCs/>
          <w:sz w:val="24"/>
          <w:lang w:val="en-US"/>
        </w:rPr>
        <w:t>52</w:t>
      </w:r>
      <w:r>
        <w:rPr>
          <w:rFonts w:ascii="Times New Roman" w:hAnsi="Times New Roman"/>
          <w:i/>
          <w:iCs/>
          <w:sz w:val="24"/>
          <w:lang w:val="en-US"/>
        </w:rPr>
        <w:t xml:space="preserve">0 </w:t>
      </w:r>
      <w:r w:rsidR="00662B99">
        <w:rPr>
          <w:rFonts w:ascii="Times New Roman" w:hAnsi="Times New Roman"/>
          <w:i/>
          <w:iCs/>
          <w:sz w:val="24"/>
          <w:lang w:val="en-US"/>
        </w:rPr>
        <w:t>Fit and Proper</w:t>
      </w:r>
      <w:r w:rsidR="001C2AF5">
        <w:rPr>
          <w:rFonts w:ascii="Times New Roman" w:hAnsi="Times New Roman"/>
          <w:iCs/>
          <w:sz w:val="24"/>
          <w:lang w:val="en-US"/>
        </w:rPr>
        <w:t xml:space="preserve"> (CPS 52</w:t>
      </w:r>
      <w:r w:rsidRPr="00FF3D25">
        <w:rPr>
          <w:rFonts w:ascii="Times New Roman" w:hAnsi="Times New Roman"/>
          <w:iCs/>
          <w:sz w:val="24"/>
          <w:lang w:val="en-US"/>
        </w:rPr>
        <w:t xml:space="preserve">0) </w:t>
      </w:r>
      <w:r w:rsidRPr="00193DF8">
        <w:rPr>
          <w:rFonts w:ascii="Times New Roman" w:hAnsi="Times New Roman"/>
          <w:iCs/>
          <w:sz w:val="24"/>
        </w:rPr>
        <w:t>made under Banking, Insurance and Life Insurance (prudenti</w:t>
      </w:r>
      <w:r w:rsidR="001C2AF5">
        <w:rPr>
          <w:rFonts w:ascii="Times New Roman" w:hAnsi="Times New Roman"/>
          <w:iCs/>
          <w:sz w:val="24"/>
        </w:rPr>
        <w:t>al standard) determination No.</w:t>
      </w:r>
      <w:r>
        <w:rPr>
          <w:rFonts w:ascii="Times New Roman" w:hAnsi="Times New Roman"/>
          <w:iCs/>
          <w:sz w:val="24"/>
        </w:rPr>
        <w:t xml:space="preserve"> 9 </w:t>
      </w:r>
      <w:r w:rsidRPr="00193DF8">
        <w:rPr>
          <w:rFonts w:ascii="Times New Roman" w:hAnsi="Times New Roman"/>
          <w:iCs/>
          <w:sz w:val="24"/>
        </w:rPr>
        <w:t>of</w:t>
      </w:r>
      <w:r w:rsidRPr="00193DF8" w:rsidDel="00193DF8">
        <w:rPr>
          <w:rFonts w:ascii="Times New Roman" w:hAnsi="Times New Roman"/>
          <w:iCs/>
          <w:sz w:val="24"/>
        </w:rPr>
        <w:t xml:space="preserve"> </w:t>
      </w:r>
      <w:r w:rsidRPr="00FF3D25">
        <w:rPr>
          <w:rFonts w:ascii="Times New Roman" w:hAnsi="Times New Roman"/>
          <w:iCs/>
          <w:sz w:val="24"/>
        </w:rPr>
        <w:t>2016 a</w:t>
      </w:r>
      <w:r w:rsidR="001C2AF5">
        <w:rPr>
          <w:rFonts w:ascii="Times New Roman" w:hAnsi="Times New Roman"/>
          <w:iCs/>
          <w:sz w:val="24"/>
        </w:rPr>
        <w:t xml:space="preserve">nd </w:t>
      </w:r>
      <w:r w:rsidR="00B80B23">
        <w:rPr>
          <w:rFonts w:ascii="Times New Roman" w:hAnsi="Times New Roman"/>
          <w:iCs/>
          <w:sz w:val="24"/>
        </w:rPr>
        <w:t>determines</w:t>
      </w:r>
      <w:r w:rsidR="001C2AF5">
        <w:rPr>
          <w:rFonts w:ascii="Times New Roman" w:hAnsi="Times New Roman"/>
          <w:iCs/>
          <w:sz w:val="24"/>
        </w:rPr>
        <w:t xml:space="preserve"> a new CPS 52</w:t>
      </w:r>
      <w:r w:rsidRPr="00FF3D25">
        <w:rPr>
          <w:rFonts w:ascii="Times New Roman" w:hAnsi="Times New Roman"/>
          <w:iCs/>
          <w:sz w:val="24"/>
        </w:rPr>
        <w:t>0. The instrume</w:t>
      </w:r>
      <w:r w:rsidR="001C2AF5">
        <w:rPr>
          <w:rFonts w:ascii="Times New Roman" w:hAnsi="Times New Roman"/>
          <w:iCs/>
          <w:sz w:val="24"/>
        </w:rPr>
        <w:t>nt extends the coverage of CPS 5</w:t>
      </w:r>
      <w:r w:rsidRPr="00FF3D25">
        <w:rPr>
          <w:rFonts w:ascii="Times New Roman" w:hAnsi="Times New Roman"/>
          <w:iCs/>
          <w:sz w:val="24"/>
        </w:rPr>
        <w:t xml:space="preserve">20 to private health insurers under the </w:t>
      </w:r>
      <w:r w:rsidRPr="00FF3D25">
        <w:rPr>
          <w:rFonts w:ascii="Times New Roman" w:hAnsi="Times New Roman"/>
          <w:i/>
          <w:iCs/>
          <w:sz w:val="24"/>
        </w:rPr>
        <w:t>Private Health Insurance (Prudential Supervision) Act 2015</w:t>
      </w:r>
      <w:r w:rsidRPr="00FF3D25">
        <w:rPr>
          <w:rFonts w:ascii="Times New Roman" w:hAnsi="Times New Roman"/>
          <w:iCs/>
          <w:sz w:val="24"/>
        </w:rPr>
        <w:t>.</w:t>
      </w:r>
    </w:p>
    <w:p w14:paraId="58D0997D" w14:textId="3DD22D72" w:rsidR="001A5B94" w:rsidRPr="009057C8" w:rsidRDefault="001A5B94" w:rsidP="001A5B94">
      <w:pPr>
        <w:rPr>
          <w:rFonts w:ascii="Times New Roman" w:hAnsi="Times New Roman"/>
          <w:sz w:val="24"/>
        </w:rPr>
      </w:pPr>
      <w:r w:rsidRPr="00FF3D25">
        <w:rPr>
          <w:rFonts w:ascii="Times New Roman" w:hAnsi="Times New Roman"/>
          <w:sz w:val="24"/>
        </w:rPr>
        <w:t xml:space="preserve">The instrument promotes sound </w:t>
      </w:r>
      <w:r>
        <w:rPr>
          <w:rFonts w:ascii="Times New Roman" w:hAnsi="Times New Roman"/>
          <w:sz w:val="24"/>
        </w:rPr>
        <w:t xml:space="preserve">governance </w:t>
      </w:r>
      <w:r w:rsidRPr="00FF3D25">
        <w:rPr>
          <w:rFonts w:ascii="Times New Roman" w:hAnsi="Times New Roman"/>
          <w:sz w:val="24"/>
        </w:rPr>
        <w:t>practices</w:t>
      </w:r>
      <w:r w:rsidRPr="00FF3D25">
        <w:rPr>
          <w:rFonts w:ascii="Times New Roman" w:hAnsi="Times New Roman"/>
          <w:color w:val="000000"/>
          <w:sz w:val="24"/>
        </w:rPr>
        <w:t xml:space="preserve">. </w:t>
      </w:r>
      <w:r w:rsidRPr="00FF3D25">
        <w:rPr>
          <w:rFonts w:ascii="Times New Roman" w:hAnsi="Times New Roman"/>
          <w:sz w:val="24"/>
        </w:rPr>
        <w:t>The prudenti</w:t>
      </w:r>
      <w:r w:rsidR="001C2AF5">
        <w:rPr>
          <w:rFonts w:ascii="Times New Roman" w:hAnsi="Times New Roman"/>
          <w:sz w:val="24"/>
        </w:rPr>
        <w:t>al framework contained in CPS 52</w:t>
      </w:r>
      <w:r w:rsidRPr="00FF3D25">
        <w:rPr>
          <w:rFonts w:ascii="Times New Roman" w:hAnsi="Times New Roman"/>
          <w:sz w:val="24"/>
        </w:rPr>
        <w:t xml:space="preserve">0 </w:t>
      </w:r>
      <w:r>
        <w:rPr>
          <w:rFonts w:ascii="Times New Roman" w:hAnsi="Times New Roman"/>
          <w:sz w:val="24"/>
        </w:rPr>
        <w:t xml:space="preserve">supports </w:t>
      </w:r>
      <w:r w:rsidRPr="00672E87">
        <w:rPr>
          <w:rFonts w:ascii="Times New Roman" w:hAnsi="Times New Roman"/>
          <w:sz w:val="24"/>
        </w:rPr>
        <w:t>sound decision-making to ensure regulated institutions remain resilient and able to adapt quickly to changes in the broader operating environment, while remaining prudentially sound.</w:t>
      </w:r>
    </w:p>
    <w:p w14:paraId="58D0997E" w14:textId="63E16F06" w:rsidR="001A5B94" w:rsidRDefault="001A5B94" w:rsidP="001A5B94">
      <w:pPr>
        <w:pStyle w:val="ListParagraph"/>
        <w:shd w:val="clear" w:color="auto" w:fill="FFFFFF"/>
        <w:spacing w:before="100" w:beforeAutospacing="1" w:after="100" w:afterAutospacing="1"/>
        <w:ind w:left="0"/>
        <w:jc w:val="left"/>
        <w:rPr>
          <w:rFonts w:ascii="Times New Roman" w:hAnsi="Times New Roman"/>
          <w:sz w:val="24"/>
        </w:rPr>
      </w:pPr>
      <w:r w:rsidRPr="00FF3D25">
        <w:rPr>
          <w:rFonts w:ascii="Times New Roman" w:hAnsi="Times New Roman"/>
          <w:sz w:val="24"/>
        </w:rPr>
        <w:t>The instrument does not impose new prudential requirements on existing APRA-regulated instit</w:t>
      </w:r>
      <w:r w:rsidR="00A06093">
        <w:rPr>
          <w:rFonts w:ascii="Times New Roman" w:hAnsi="Times New Roman"/>
          <w:sz w:val="24"/>
        </w:rPr>
        <w:t xml:space="preserve">utions </w:t>
      </w:r>
      <w:r w:rsidR="0046388E">
        <w:rPr>
          <w:rFonts w:ascii="Times New Roman" w:hAnsi="Times New Roman"/>
          <w:sz w:val="24"/>
        </w:rPr>
        <w:t xml:space="preserve">previously </w:t>
      </w:r>
      <w:r w:rsidR="00A06093">
        <w:rPr>
          <w:rFonts w:ascii="Times New Roman" w:hAnsi="Times New Roman"/>
          <w:sz w:val="24"/>
        </w:rPr>
        <w:t xml:space="preserve">covered by </w:t>
      </w:r>
      <w:r w:rsidR="00B80B23">
        <w:rPr>
          <w:rFonts w:ascii="Times New Roman" w:hAnsi="Times New Roman"/>
          <w:sz w:val="24"/>
        </w:rPr>
        <w:t xml:space="preserve">CPS 520 made under </w:t>
      </w:r>
      <w:r w:rsidR="00B80B23" w:rsidRPr="00193DF8">
        <w:rPr>
          <w:rFonts w:ascii="Times New Roman" w:hAnsi="Times New Roman"/>
          <w:iCs/>
          <w:sz w:val="24"/>
        </w:rPr>
        <w:t>Banking, Insurance and Life Insurance (prudenti</w:t>
      </w:r>
      <w:r w:rsidR="00B80B23">
        <w:rPr>
          <w:rFonts w:ascii="Times New Roman" w:hAnsi="Times New Roman"/>
          <w:iCs/>
          <w:sz w:val="24"/>
        </w:rPr>
        <w:t xml:space="preserve">al standard) determination No. 9 </w:t>
      </w:r>
      <w:r w:rsidR="00B80B23" w:rsidRPr="00193DF8">
        <w:rPr>
          <w:rFonts w:ascii="Times New Roman" w:hAnsi="Times New Roman"/>
          <w:iCs/>
          <w:sz w:val="24"/>
        </w:rPr>
        <w:t>of</w:t>
      </w:r>
      <w:r w:rsidR="00B80B23" w:rsidRPr="00193DF8" w:rsidDel="00193DF8">
        <w:rPr>
          <w:rFonts w:ascii="Times New Roman" w:hAnsi="Times New Roman"/>
          <w:iCs/>
          <w:sz w:val="24"/>
        </w:rPr>
        <w:t xml:space="preserve"> </w:t>
      </w:r>
      <w:r w:rsidR="00B80B23" w:rsidRPr="00FF3D25">
        <w:rPr>
          <w:rFonts w:ascii="Times New Roman" w:hAnsi="Times New Roman"/>
          <w:iCs/>
          <w:sz w:val="24"/>
        </w:rPr>
        <w:t>2016</w:t>
      </w:r>
      <w:r>
        <w:rPr>
          <w:rFonts w:ascii="Times New Roman" w:hAnsi="Times New Roman"/>
          <w:sz w:val="24"/>
        </w:rPr>
        <w:t>.</w:t>
      </w:r>
    </w:p>
    <w:p w14:paraId="58D0997F" w14:textId="77777777" w:rsidR="001A5B94" w:rsidRPr="00FF3D25" w:rsidRDefault="001A5B94" w:rsidP="001A5B94">
      <w:pPr>
        <w:shd w:val="clear" w:color="auto" w:fill="FFFFFF"/>
        <w:spacing w:before="100" w:beforeAutospacing="1"/>
        <w:jc w:val="left"/>
        <w:rPr>
          <w:rFonts w:ascii="Times New Roman" w:hAnsi="Times New Roman"/>
          <w:sz w:val="24"/>
          <w:lang w:val="en-US"/>
        </w:rPr>
      </w:pPr>
      <w:r w:rsidRPr="00FF3D25">
        <w:rPr>
          <w:rFonts w:ascii="Times New Roman" w:hAnsi="Times New Roman"/>
          <w:b/>
          <w:bCs/>
          <w:sz w:val="24"/>
        </w:rPr>
        <w:t>Human rights implications</w:t>
      </w:r>
    </w:p>
    <w:p w14:paraId="58D09980" w14:textId="77777777" w:rsidR="001A5B94" w:rsidRPr="00FF3D25" w:rsidRDefault="001A5B94" w:rsidP="001A5B94">
      <w:pPr>
        <w:shd w:val="clear" w:color="auto" w:fill="FFFFFF"/>
        <w:spacing w:before="100" w:beforeAutospacing="1"/>
        <w:jc w:val="left"/>
        <w:rPr>
          <w:rFonts w:ascii="Times New Roman" w:hAnsi="Times New Roman"/>
          <w:sz w:val="24"/>
          <w:lang w:val="en-US"/>
        </w:rPr>
      </w:pPr>
      <w:r w:rsidRPr="00FF3D25">
        <w:rPr>
          <w:rFonts w:ascii="Times New Roman" w:hAnsi="Times New Roman"/>
          <w:sz w:val="24"/>
        </w:rP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58D09981" w14:textId="77777777" w:rsidR="001A5B94" w:rsidRPr="00FF3D25" w:rsidRDefault="001A5B94" w:rsidP="001A5B94">
      <w:pPr>
        <w:shd w:val="clear" w:color="auto" w:fill="FFFFFF"/>
        <w:spacing w:before="100" w:beforeAutospacing="1"/>
        <w:jc w:val="left"/>
        <w:rPr>
          <w:rFonts w:ascii="Times New Roman" w:hAnsi="Times New Roman"/>
          <w:sz w:val="24"/>
          <w:lang w:val="en-US"/>
        </w:rPr>
      </w:pPr>
      <w:r w:rsidRPr="00FF3D25">
        <w:rPr>
          <w:rFonts w:ascii="Times New Roman" w:hAnsi="Times New Roman"/>
          <w:b/>
          <w:bCs/>
          <w:sz w:val="24"/>
        </w:rPr>
        <w:t>Conclusion</w:t>
      </w:r>
    </w:p>
    <w:p w14:paraId="58D09982" w14:textId="1765D035" w:rsidR="001A5B94" w:rsidRPr="00B531B4" w:rsidRDefault="00232532" w:rsidP="001A5B94">
      <w:pPr>
        <w:shd w:val="clear" w:color="auto" w:fill="FFFFFF"/>
        <w:spacing w:before="100" w:beforeAutospacing="1"/>
        <w:jc w:val="left"/>
      </w:pPr>
      <w:r w:rsidRPr="003E556A">
        <w:rPr>
          <w:rFonts w:ascii="Times New Roman" w:hAnsi="Times New Roman"/>
          <w:iCs/>
          <w:sz w:val="24"/>
        </w:rPr>
        <w:t>This Legislative Instrument</w:t>
      </w:r>
      <w:r w:rsidR="001A5B94">
        <w:rPr>
          <w:rFonts w:ascii="Times New Roman" w:hAnsi="Times New Roman"/>
          <w:i/>
          <w:iCs/>
          <w:sz w:val="24"/>
          <w:lang w:val="en-US"/>
        </w:rPr>
        <w:t xml:space="preserve"> </w:t>
      </w:r>
      <w:r w:rsidR="001A5B94" w:rsidRPr="00FF3D25">
        <w:rPr>
          <w:rFonts w:ascii="Times New Roman" w:hAnsi="Times New Roman"/>
          <w:sz w:val="24"/>
          <w:lang w:val="en-US"/>
        </w:rPr>
        <w:t xml:space="preserve">is </w:t>
      </w:r>
      <w:r w:rsidR="001A5B94" w:rsidRPr="00FF3D25">
        <w:rPr>
          <w:rFonts w:ascii="Times New Roman" w:hAnsi="Times New Roman"/>
          <w:sz w:val="24"/>
        </w:rPr>
        <w:t>compatible with human rights as it does not raise any human rights issues.</w:t>
      </w:r>
    </w:p>
    <w:p w14:paraId="58D09983" w14:textId="77777777" w:rsidR="00B531B4" w:rsidRPr="00B531B4" w:rsidRDefault="00B531B4" w:rsidP="00B531B4"/>
    <w:sectPr w:rsidR="00B531B4" w:rsidRPr="00B531B4" w:rsidSect="00C62913">
      <w:headerReference w:type="default" r:id="rId14"/>
      <w:head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09988" w14:textId="77777777" w:rsidR="00B9475E" w:rsidRDefault="00B9475E" w:rsidP="007A463E">
      <w:pPr>
        <w:spacing w:after="0"/>
      </w:pPr>
      <w:r>
        <w:separator/>
      </w:r>
    </w:p>
    <w:p w14:paraId="58D09989" w14:textId="77777777" w:rsidR="00B9475E" w:rsidRDefault="00B9475E"/>
  </w:endnote>
  <w:endnote w:type="continuationSeparator" w:id="0">
    <w:p w14:paraId="58D0998A" w14:textId="77777777" w:rsidR="00B9475E" w:rsidRDefault="00B9475E" w:rsidP="007A463E">
      <w:pPr>
        <w:spacing w:after="0"/>
      </w:pPr>
      <w:r>
        <w:continuationSeparator/>
      </w:r>
    </w:p>
    <w:p w14:paraId="58D0998B" w14:textId="77777777" w:rsidR="00B9475E" w:rsidRDefault="00B94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09984" w14:textId="77777777" w:rsidR="00B9475E" w:rsidRDefault="00B9475E" w:rsidP="007A463E">
      <w:pPr>
        <w:spacing w:after="0"/>
      </w:pPr>
      <w:r>
        <w:separator/>
      </w:r>
    </w:p>
    <w:p w14:paraId="58D09985" w14:textId="77777777" w:rsidR="00B9475E" w:rsidRDefault="00B9475E"/>
  </w:footnote>
  <w:footnote w:type="continuationSeparator" w:id="0">
    <w:p w14:paraId="58D09986" w14:textId="77777777" w:rsidR="00B9475E" w:rsidRDefault="00B9475E" w:rsidP="007A463E">
      <w:pPr>
        <w:spacing w:after="0"/>
      </w:pPr>
      <w:r>
        <w:continuationSeparator/>
      </w:r>
    </w:p>
    <w:p w14:paraId="58D09987" w14:textId="77777777" w:rsidR="00B9475E" w:rsidRDefault="00B947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998C" w14:textId="77777777" w:rsidR="00665727" w:rsidRPr="00665727" w:rsidRDefault="00665727"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998D" w14:textId="77777777"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6C12A2"/>
    <w:multiLevelType w:val="hybridMultilevel"/>
    <w:tmpl w:val="C3788E0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D63288"/>
    <w:multiLevelType w:val="hybridMultilevel"/>
    <w:tmpl w:val="7882931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505AF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DC482D"/>
    <w:multiLevelType w:val="hybridMultilevel"/>
    <w:tmpl w:val="7D2C70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710A4DD0"/>
    <w:multiLevelType w:val="hybridMultilevel"/>
    <w:tmpl w:val="A49C8A28"/>
    <w:lvl w:ilvl="0" w:tplc="68726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BB35E31"/>
    <w:multiLevelType w:val="hybridMultilevel"/>
    <w:tmpl w:val="FDD470F8"/>
    <w:lvl w:ilvl="0" w:tplc="9FE46678">
      <w:start w:val="1"/>
      <w:numFmt w:val="bullet"/>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abstractNumId w:val="9"/>
  </w:num>
  <w:num w:numId="2">
    <w:abstractNumId w:val="15"/>
  </w:num>
  <w:num w:numId="3">
    <w:abstractNumId w:val="11"/>
  </w:num>
  <w:num w:numId="4">
    <w:abstractNumId w:val="4"/>
  </w:num>
  <w:num w:numId="5">
    <w:abstractNumId w:val="3"/>
  </w:num>
  <w:num w:numId="6">
    <w:abstractNumId w:val="2"/>
  </w:num>
  <w:num w:numId="7">
    <w:abstractNumId w:val="1"/>
  </w:num>
  <w:num w:numId="8">
    <w:abstractNumId w:val="0"/>
  </w:num>
  <w:num w:numId="9">
    <w:abstractNumId w:val="8"/>
  </w:num>
  <w:num w:numId="10">
    <w:abstractNumId w:val="16"/>
  </w:num>
  <w:num w:numId="11">
    <w:abstractNumId w:val="7"/>
  </w:num>
  <w:num w:numId="12">
    <w:abstractNumId w:val="17"/>
  </w:num>
  <w:num w:numId="13">
    <w:abstractNumId w:val="10"/>
  </w:num>
  <w:num w:numId="14">
    <w:abstractNumId w:val="6"/>
  </w:num>
  <w:num w:numId="15">
    <w:abstractNumId w:val="5"/>
  </w:num>
  <w:num w:numId="16">
    <w:abstractNumId w:val="13"/>
  </w:num>
  <w:num w:numId="17">
    <w:abstractNumId w:val="12"/>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5E"/>
    <w:rsid w:val="00003065"/>
    <w:rsid w:val="00011B0A"/>
    <w:rsid w:val="000408CA"/>
    <w:rsid w:val="00053F0B"/>
    <w:rsid w:val="00063BDC"/>
    <w:rsid w:val="000A1A18"/>
    <w:rsid w:val="000C170D"/>
    <w:rsid w:val="000C6B7D"/>
    <w:rsid w:val="000D09FA"/>
    <w:rsid w:val="000D2D92"/>
    <w:rsid w:val="000D7292"/>
    <w:rsid w:val="000D7CA6"/>
    <w:rsid w:val="000E057F"/>
    <w:rsid w:val="000F0ECC"/>
    <w:rsid w:val="000F20CF"/>
    <w:rsid w:val="001022E7"/>
    <w:rsid w:val="0011439C"/>
    <w:rsid w:val="001144BA"/>
    <w:rsid w:val="00125CE3"/>
    <w:rsid w:val="001502F1"/>
    <w:rsid w:val="001749A4"/>
    <w:rsid w:val="0017548F"/>
    <w:rsid w:val="00181FBB"/>
    <w:rsid w:val="001A5B94"/>
    <w:rsid w:val="001B2D90"/>
    <w:rsid w:val="001C2AF5"/>
    <w:rsid w:val="001D3046"/>
    <w:rsid w:val="001D3B1C"/>
    <w:rsid w:val="001D505A"/>
    <w:rsid w:val="001D7D3C"/>
    <w:rsid w:val="001E00D2"/>
    <w:rsid w:val="00203ABB"/>
    <w:rsid w:val="00206A67"/>
    <w:rsid w:val="0021143E"/>
    <w:rsid w:val="002175B1"/>
    <w:rsid w:val="00232532"/>
    <w:rsid w:val="002403C8"/>
    <w:rsid w:val="00252FD4"/>
    <w:rsid w:val="00257E33"/>
    <w:rsid w:val="0026542C"/>
    <w:rsid w:val="00267EBC"/>
    <w:rsid w:val="002767C9"/>
    <w:rsid w:val="002B0A7E"/>
    <w:rsid w:val="002B0B89"/>
    <w:rsid w:val="002B6F5E"/>
    <w:rsid w:val="002D628D"/>
    <w:rsid w:val="002E6F3C"/>
    <w:rsid w:val="002F0157"/>
    <w:rsid w:val="002F5035"/>
    <w:rsid w:val="003128C4"/>
    <w:rsid w:val="00325932"/>
    <w:rsid w:val="00332DB9"/>
    <w:rsid w:val="00340359"/>
    <w:rsid w:val="0034086C"/>
    <w:rsid w:val="00353DE2"/>
    <w:rsid w:val="0036442A"/>
    <w:rsid w:val="00367A5D"/>
    <w:rsid w:val="003707EE"/>
    <w:rsid w:val="00373B0D"/>
    <w:rsid w:val="00387CA2"/>
    <w:rsid w:val="003A2FC2"/>
    <w:rsid w:val="003B58B0"/>
    <w:rsid w:val="003C219D"/>
    <w:rsid w:val="003C3CAB"/>
    <w:rsid w:val="003C642D"/>
    <w:rsid w:val="003C6CBE"/>
    <w:rsid w:val="003D6738"/>
    <w:rsid w:val="003E1500"/>
    <w:rsid w:val="003E556A"/>
    <w:rsid w:val="004118D9"/>
    <w:rsid w:val="00427B33"/>
    <w:rsid w:val="0043440F"/>
    <w:rsid w:val="00444BF0"/>
    <w:rsid w:val="0046388E"/>
    <w:rsid w:val="004B4492"/>
    <w:rsid w:val="004C2EC4"/>
    <w:rsid w:val="004D7117"/>
    <w:rsid w:val="004E13AF"/>
    <w:rsid w:val="004F27CF"/>
    <w:rsid w:val="005251B2"/>
    <w:rsid w:val="00540488"/>
    <w:rsid w:val="00547263"/>
    <w:rsid w:val="00552CA7"/>
    <w:rsid w:val="00584A8F"/>
    <w:rsid w:val="005C209B"/>
    <w:rsid w:val="005D670E"/>
    <w:rsid w:val="005E6AF8"/>
    <w:rsid w:val="005F35F4"/>
    <w:rsid w:val="005F4764"/>
    <w:rsid w:val="00600CEC"/>
    <w:rsid w:val="00606F5A"/>
    <w:rsid w:val="0060742D"/>
    <w:rsid w:val="006128BA"/>
    <w:rsid w:val="00615AEF"/>
    <w:rsid w:val="006352A2"/>
    <w:rsid w:val="00646C7A"/>
    <w:rsid w:val="006571E9"/>
    <w:rsid w:val="00662B99"/>
    <w:rsid w:val="00665727"/>
    <w:rsid w:val="00677A36"/>
    <w:rsid w:val="00680011"/>
    <w:rsid w:val="00686723"/>
    <w:rsid w:val="0068743E"/>
    <w:rsid w:val="006A152E"/>
    <w:rsid w:val="006A5169"/>
    <w:rsid w:val="006B2F1B"/>
    <w:rsid w:val="006B712D"/>
    <w:rsid w:val="006C1429"/>
    <w:rsid w:val="006E0E31"/>
    <w:rsid w:val="006E4003"/>
    <w:rsid w:val="006F6CD8"/>
    <w:rsid w:val="007236E2"/>
    <w:rsid w:val="007403DD"/>
    <w:rsid w:val="0074761E"/>
    <w:rsid w:val="00781FF4"/>
    <w:rsid w:val="00786B63"/>
    <w:rsid w:val="007A463E"/>
    <w:rsid w:val="007E6359"/>
    <w:rsid w:val="00801533"/>
    <w:rsid w:val="00810781"/>
    <w:rsid w:val="00814611"/>
    <w:rsid w:val="00816255"/>
    <w:rsid w:val="008204C0"/>
    <w:rsid w:val="00842838"/>
    <w:rsid w:val="00857706"/>
    <w:rsid w:val="00870FFC"/>
    <w:rsid w:val="00872E1D"/>
    <w:rsid w:val="0088546C"/>
    <w:rsid w:val="00886CAA"/>
    <w:rsid w:val="008A210F"/>
    <w:rsid w:val="008B5DBD"/>
    <w:rsid w:val="008B750E"/>
    <w:rsid w:val="008C277B"/>
    <w:rsid w:val="008C693E"/>
    <w:rsid w:val="008C7E1A"/>
    <w:rsid w:val="008E5A2B"/>
    <w:rsid w:val="00907579"/>
    <w:rsid w:val="00910073"/>
    <w:rsid w:val="00921341"/>
    <w:rsid w:val="00922ADE"/>
    <w:rsid w:val="0092635A"/>
    <w:rsid w:val="00970A4C"/>
    <w:rsid w:val="009758A3"/>
    <w:rsid w:val="0098213D"/>
    <w:rsid w:val="00983285"/>
    <w:rsid w:val="009B1386"/>
    <w:rsid w:val="009D2A4D"/>
    <w:rsid w:val="009F1036"/>
    <w:rsid w:val="009F210E"/>
    <w:rsid w:val="009F3135"/>
    <w:rsid w:val="00A00652"/>
    <w:rsid w:val="00A06093"/>
    <w:rsid w:val="00A06EE8"/>
    <w:rsid w:val="00A17687"/>
    <w:rsid w:val="00A30827"/>
    <w:rsid w:val="00A37017"/>
    <w:rsid w:val="00A41101"/>
    <w:rsid w:val="00A75971"/>
    <w:rsid w:val="00AF076D"/>
    <w:rsid w:val="00B04050"/>
    <w:rsid w:val="00B0602C"/>
    <w:rsid w:val="00B12E7E"/>
    <w:rsid w:val="00B20CD1"/>
    <w:rsid w:val="00B21A37"/>
    <w:rsid w:val="00B32009"/>
    <w:rsid w:val="00B531B4"/>
    <w:rsid w:val="00B54796"/>
    <w:rsid w:val="00B80B23"/>
    <w:rsid w:val="00B86EF7"/>
    <w:rsid w:val="00B9475E"/>
    <w:rsid w:val="00B95BAF"/>
    <w:rsid w:val="00BB3C38"/>
    <w:rsid w:val="00BB5900"/>
    <w:rsid w:val="00BC657F"/>
    <w:rsid w:val="00BE67EF"/>
    <w:rsid w:val="00C20CCC"/>
    <w:rsid w:val="00C273CD"/>
    <w:rsid w:val="00C333E7"/>
    <w:rsid w:val="00C5285C"/>
    <w:rsid w:val="00C572AB"/>
    <w:rsid w:val="00C612F6"/>
    <w:rsid w:val="00C614C0"/>
    <w:rsid w:val="00C62913"/>
    <w:rsid w:val="00C665C2"/>
    <w:rsid w:val="00C7343C"/>
    <w:rsid w:val="00C97F58"/>
    <w:rsid w:val="00CB7367"/>
    <w:rsid w:val="00CC05EA"/>
    <w:rsid w:val="00CC10DA"/>
    <w:rsid w:val="00CC201A"/>
    <w:rsid w:val="00CD6D38"/>
    <w:rsid w:val="00CF1FC4"/>
    <w:rsid w:val="00D02242"/>
    <w:rsid w:val="00D02C83"/>
    <w:rsid w:val="00D03DBC"/>
    <w:rsid w:val="00D079B4"/>
    <w:rsid w:val="00D14049"/>
    <w:rsid w:val="00D21F7F"/>
    <w:rsid w:val="00D4607C"/>
    <w:rsid w:val="00D95999"/>
    <w:rsid w:val="00DC7EF3"/>
    <w:rsid w:val="00DC7F18"/>
    <w:rsid w:val="00DE0A59"/>
    <w:rsid w:val="00E07134"/>
    <w:rsid w:val="00E1225E"/>
    <w:rsid w:val="00E1430F"/>
    <w:rsid w:val="00E32CE9"/>
    <w:rsid w:val="00E36C9E"/>
    <w:rsid w:val="00E448C7"/>
    <w:rsid w:val="00E55A7E"/>
    <w:rsid w:val="00E63012"/>
    <w:rsid w:val="00E63FFD"/>
    <w:rsid w:val="00E6633E"/>
    <w:rsid w:val="00E83D82"/>
    <w:rsid w:val="00E9573E"/>
    <w:rsid w:val="00E96618"/>
    <w:rsid w:val="00E973D9"/>
    <w:rsid w:val="00EB5568"/>
    <w:rsid w:val="00ED0D55"/>
    <w:rsid w:val="00ED3926"/>
    <w:rsid w:val="00ED48F3"/>
    <w:rsid w:val="00EF496F"/>
    <w:rsid w:val="00EF5EE9"/>
    <w:rsid w:val="00F04E66"/>
    <w:rsid w:val="00F12FD3"/>
    <w:rsid w:val="00F34F34"/>
    <w:rsid w:val="00F6460D"/>
    <w:rsid w:val="00F65AE1"/>
    <w:rsid w:val="00F73504"/>
    <w:rsid w:val="00F77F5D"/>
    <w:rsid w:val="00F865EB"/>
    <w:rsid w:val="00F91899"/>
    <w:rsid w:val="00FA261A"/>
    <w:rsid w:val="00FA2F99"/>
    <w:rsid w:val="00FC6850"/>
    <w:rsid w:val="00FE412C"/>
    <w:rsid w:val="00FE5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8D0993B"/>
  <w15:chartTrackingRefBased/>
  <w15:docId w15:val="{5B05CB26-8CAE-4FB7-8365-B6C74C1D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94"/>
    <w:pPr>
      <w:spacing w:after="240" w:line="240" w:lineRule="auto"/>
      <w:jc w:val="both"/>
    </w:pPr>
    <w:rPr>
      <w:rFonts w:ascii="Arial" w:hAnsi="Arial"/>
      <w:szCs w:val="24"/>
      <w:lang w:eastAsia="en-AU"/>
    </w:rPr>
  </w:style>
  <w:style w:type="paragraph" w:styleId="Heading1">
    <w:name w:val="heading 1"/>
    <w:basedOn w:val="Normal"/>
    <w:next w:val="Normal"/>
    <w:link w:val="Heading1Char"/>
    <w:qFormat/>
    <w:rsid w:val="00C333E7"/>
    <w:pPr>
      <w:spacing w:after="360"/>
      <w:outlineLvl w:val="0"/>
    </w:pPr>
    <w:rPr>
      <w:rFonts w:cs="Arial"/>
      <w:b/>
      <w:sz w:val="32"/>
    </w:rPr>
  </w:style>
  <w:style w:type="paragraph" w:styleId="Heading2">
    <w:name w:val="heading 2"/>
    <w:basedOn w:val="Normal"/>
    <w:next w:val="Normal"/>
    <w:link w:val="Heading2Char"/>
    <w:qFormat/>
    <w:rsid w:val="004118D9"/>
    <w:pPr>
      <w:keepNext/>
      <w:outlineLvl w:val="1"/>
    </w:pPr>
    <w:rPr>
      <w:rFonts w:cs="Arial"/>
      <w:b/>
      <w:bCs/>
      <w:iCs/>
      <w:sz w:val="28"/>
      <w:szCs w:val="28"/>
    </w:rPr>
  </w:style>
  <w:style w:type="paragraph" w:styleId="Heading3">
    <w:name w:val="heading 3"/>
    <w:basedOn w:val="Normal"/>
    <w:next w:val="Normal"/>
    <w:link w:val="Heading3Char"/>
    <w:qFormat/>
    <w:rsid w:val="00CB7367"/>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rsid w:val="00C333E7"/>
    <w:rPr>
      <w:rFonts w:ascii="Arial" w:hAnsi="Arial" w:cs="Arial"/>
      <w:b/>
      <w:sz w:val="32"/>
      <w:szCs w:val="24"/>
      <w:lang w:eastAsia="en-AU"/>
    </w:rPr>
  </w:style>
  <w:style w:type="character" w:customStyle="1" w:styleId="Heading2Char">
    <w:name w:val="Heading 2 Char"/>
    <w:basedOn w:val="DefaultParagraphFont"/>
    <w:link w:val="Heading2"/>
    <w:rsid w:val="004118D9"/>
    <w:rPr>
      <w:rFonts w:ascii="Arial" w:hAnsi="Arial" w:cs="Arial"/>
      <w:b/>
      <w:bCs/>
      <w:iCs/>
      <w:sz w:val="28"/>
      <w:szCs w:val="28"/>
      <w:lang w:eastAsia="en-AU"/>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spacing w:after="0"/>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iPriority w:val="99"/>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rsid w:val="005F4764"/>
    <w:rPr>
      <w:rFonts w:ascii="Arial" w:hAnsi="Arial"/>
      <w:b/>
      <w:bCs/>
      <w:sz w:val="22"/>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widowControl w:val="0"/>
      <w:spacing w:before="60" w:after="60"/>
    </w:pPr>
    <w:rPr>
      <w:rFonts w:cstheme="minorBidi"/>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pPr>
      <w:spacing w:after="0"/>
    </w:pPr>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pPr>
      <w:spacing w:after="0"/>
    </w:pPr>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szCs w:val="22"/>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szCs w:val="22"/>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5F4764"/>
    <w:pPr>
      <w:spacing w:after="0"/>
    </w:pPr>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spacing w:after="0"/>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pPr>
      <w:spacing w:after="0"/>
    </w:pPr>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link w:val="BULLET1Char0"/>
    <w:qFormat/>
    <w:rsid w:val="0036442A"/>
    <w:pPr>
      <w:numPr>
        <w:numId w:val="13"/>
      </w:numPr>
      <w:ind w:left="425" w:hanging="425"/>
    </w:pPr>
    <w:rPr>
      <w:rFonts w:eastAsiaTheme="minorEastAsia" w:cstheme="minorBidi"/>
      <w:szCs w:val="22"/>
    </w:rPr>
  </w:style>
  <w:style w:type="character" w:customStyle="1" w:styleId="BULLET1Char0">
    <w:name w:val="BULLET 1 Char"/>
    <w:basedOn w:val="DefaultParagraphFont"/>
    <w:link w:val="BULLET1"/>
    <w:rsid w:val="0036442A"/>
    <w:rPr>
      <w:rFonts w:ascii="Arial" w:eastAsiaTheme="minorEastAsia" w:hAnsi="Arial" w:cstheme="minorBidi"/>
      <w:lang w:eastAsia="en-AU"/>
    </w:rPr>
  </w:style>
  <w:style w:type="paragraph" w:customStyle="1" w:styleId="BULLET2">
    <w:name w:val="BULLET 2"/>
    <w:basedOn w:val="BULLET1"/>
    <w:link w:val="BULLET2Char0"/>
    <w:qFormat/>
    <w:rsid w:val="00FE57E9"/>
    <w:pPr>
      <w:numPr>
        <w:numId w:val="14"/>
      </w:numPr>
      <w:ind w:left="850" w:hanging="425"/>
    </w:pPr>
  </w:style>
  <w:style w:type="character" w:customStyle="1" w:styleId="BULLET2Char0">
    <w:name w:val="BULLET 2 Char"/>
    <w:basedOn w:val="DefaultParagraphFont"/>
    <w:link w:val="BULLET2"/>
    <w:rsid w:val="00FE57E9"/>
    <w:rPr>
      <w:rFonts w:ascii="Arial" w:eastAsiaTheme="minorEastAsia" w:hAnsi="Arial" w:cstheme="minorBidi"/>
      <w:lang w:eastAsia="en-AU"/>
    </w:rPr>
  </w:style>
  <w:style w:type="paragraph" w:customStyle="1" w:styleId="BULLET3">
    <w:name w:val="BULLET 3"/>
    <w:basedOn w:val="BULLET1"/>
    <w:link w:val="BULLET3Char0"/>
    <w:qFormat/>
    <w:rsid w:val="00B95BAF"/>
    <w:pPr>
      <w:numPr>
        <w:numId w:val="15"/>
      </w:numPr>
      <w:ind w:left="1276" w:hanging="425"/>
    </w:pPr>
  </w:style>
  <w:style w:type="character" w:customStyle="1" w:styleId="BULLET3Char0">
    <w:name w:val="BULLET 3 Char"/>
    <w:basedOn w:val="BULLET1Char0"/>
    <w:link w:val="BULLET3"/>
    <w:rsid w:val="00B95BAF"/>
    <w:rPr>
      <w:rFonts w:ascii="Arial" w:eastAsiaTheme="minorEastAsia" w:hAnsi="Arial" w:cstheme="minorBidi"/>
      <w:lang w:eastAsia="en-AU"/>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lang w:val="en-US"/>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szCs w:val="22"/>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semiHidden/>
    <w:unhideWhenUsed/>
    <w:rsid w:val="0036442A"/>
    <w:rPr>
      <w:sz w:val="20"/>
      <w:szCs w:val="20"/>
    </w:rPr>
  </w:style>
  <w:style w:type="character" w:customStyle="1" w:styleId="CommentTextChar">
    <w:name w:val="Comment Text Char"/>
    <w:basedOn w:val="DefaultParagraphFont"/>
    <w:link w:val="CommentText"/>
    <w:uiPriority w:val="99"/>
    <w:semiHidden/>
    <w:rsid w:val="0036442A"/>
    <w:rPr>
      <w:rFonts w:ascii="Arial" w:hAnsi="Arial"/>
      <w:sz w:val="20"/>
      <w:szCs w:val="20"/>
      <w:lang w:eastAsia="en-AU"/>
    </w:rPr>
  </w:style>
  <w:style w:type="paragraph" w:customStyle="1" w:styleId="Heading">
    <w:name w:val="Heading"/>
    <w:basedOn w:val="Normal"/>
    <w:rsid w:val="001A5B94"/>
    <w:pPr>
      <w:keepNext/>
      <w:spacing w:before="240" w:after="60"/>
      <w:outlineLvl w:val="0"/>
    </w:pPr>
    <w:rPr>
      <w:rFonts w:cs="Arial"/>
      <w:b/>
      <w:kern w:val="32"/>
      <w:sz w:val="26"/>
      <w:szCs w:val="32"/>
    </w:rPr>
  </w:style>
  <w:style w:type="character" w:customStyle="1" w:styleId="ListParagraphChar">
    <w:name w:val="List Paragraph Char"/>
    <w:basedOn w:val="DefaultParagraphFont"/>
    <w:link w:val="ListParagraph"/>
    <w:uiPriority w:val="34"/>
    <w:rsid w:val="001A5B94"/>
    <w:rPr>
      <w:rFonts w:ascii="Arial" w:hAnsi="Arial"/>
      <w:szCs w:val="24"/>
      <w:lang w:eastAsia="en-AU"/>
    </w:rPr>
  </w:style>
  <w:style w:type="character" w:customStyle="1" w:styleId="APRANORMALChar">
    <w:name w:val="APRA NORMAL Char"/>
    <w:basedOn w:val="DefaultParagraphFont"/>
    <w:link w:val="APRANORMAL"/>
    <w:locked/>
    <w:rsid w:val="001A5B94"/>
    <w:rPr>
      <w:rFonts w:ascii="DIN OT Light" w:hAnsi="DIN OT Light"/>
      <w:lang w:val="en-GB"/>
    </w:rPr>
  </w:style>
  <w:style w:type="paragraph" w:customStyle="1" w:styleId="APRANORMAL">
    <w:name w:val="APRA NORMAL"/>
    <w:basedOn w:val="Normal"/>
    <w:link w:val="APRANORMALChar"/>
    <w:qFormat/>
    <w:rsid w:val="001A5B94"/>
    <w:pPr>
      <w:jc w:val="left"/>
    </w:pPr>
    <w:rPr>
      <w:rFonts w:ascii="DIN OT Light" w:hAnsi="DIN OT Light"/>
      <w:szCs w:val="22"/>
      <w:lang w:val="en-GB" w:eastAsia="en-US"/>
    </w:rPr>
  </w:style>
  <w:style w:type="paragraph" w:styleId="CommentSubject">
    <w:name w:val="annotation subject"/>
    <w:basedOn w:val="CommentText"/>
    <w:next w:val="CommentText"/>
    <w:link w:val="CommentSubjectChar"/>
    <w:uiPriority w:val="99"/>
    <w:semiHidden/>
    <w:unhideWhenUsed/>
    <w:rsid w:val="0088546C"/>
    <w:rPr>
      <w:b/>
      <w:bCs/>
    </w:rPr>
  </w:style>
  <w:style w:type="character" w:customStyle="1" w:styleId="CommentSubjectChar">
    <w:name w:val="Comment Subject Char"/>
    <w:basedOn w:val="CommentTextChar"/>
    <w:link w:val="CommentSubject"/>
    <w:uiPriority w:val="99"/>
    <w:semiHidden/>
    <w:rsid w:val="0088546C"/>
    <w:rPr>
      <w:rFonts w:ascii="Arial" w:hAnsi="Arial"/>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0026">
      <w:bodyDiv w:val="1"/>
      <w:marLeft w:val="0"/>
      <w:marRight w:val="0"/>
      <w:marTop w:val="0"/>
      <w:marBottom w:val="0"/>
      <w:divBdr>
        <w:top w:val="none" w:sz="0" w:space="0" w:color="auto"/>
        <w:left w:val="none" w:sz="0" w:space="0" w:color="auto"/>
        <w:bottom w:val="none" w:sz="0" w:space="0" w:color="auto"/>
        <w:right w:val="none" w:sz="0" w:space="0" w:color="auto"/>
      </w:divBdr>
    </w:div>
    <w:div w:id="1774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standard implementation</TermName>
          <TermId xmlns="http://schemas.microsoft.com/office/infopath/2007/PartnerControls">88b001fd-622d-45b4-9784-bf6a334327eb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Private Health Insurance (Prudential Supervision) Act 2015</TermName>
          <TermId xmlns="http://schemas.microsoft.com/office/infopath/2007/PartnerControls">01905406-79f0-428d-bcfd-886429f0c7a1</TermId>
        </TermInfo>
      </Terms>
    </b37d8d7e823543f58f89056343a9035c>
    <d9a849fd1b8e46ada0321eb0681a10ee xmlns="814d62cb-2db6-4c25-ab62-b9075facbc11">
      <Terms xmlns="http://schemas.microsoft.com/office/infopath/2007/PartnerControls"/>
    </d9a849fd1b8e46ada0321eb0681a10ee>
    <APRAOwner xmlns="814d62cb-2db6-4c25-ab62-b9075facbc11">
      <UserInfo>
        <DisplayName>Bowden, Fiona</DisplayName>
        <AccountId>52</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To be processed</TermName>
          <TermId xmlns="http://schemas.microsoft.com/office/infopath/2007/PartnerControls">c0c6f97a-a3b3-435c-af41-5a1e9d58212b</TermId>
        </TermInfo>
      </Terms>
    </j163382b748246d3b6e7caae71dbeeb0>
    <TaxCatchAll xmlns="814d62cb-2db6-4c25-ab62-b9075facbc11">
      <Value>33</Value>
      <Value>15</Value>
      <Value>14</Value>
      <Value>106</Value>
      <Value>240</Value>
      <Value>154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APRADescription xmlns="814d62cb-2db6-4c25-ab62-b9075facbc11">CPS 520 extends Fit and Proper the cross industry fit and proper requirements to PHIs</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CPS 520 Fit and Proper</TermName>
          <TermId xmlns="http://schemas.microsoft.com/office/infopath/2007/PartnerControls">f168cde2-a145-485b-9e4c-b896e96c4d40</TermId>
        </TermInfo>
      </Terms>
    </aa36a5a650d54f768f171f4d17b8b238>
    <_dlc_DocId xmlns="814d62cb-2db6-4c25-ab62-b9075facbc11">WP5AJ56JFQTV-44125397-922</_dlc_DocId>
    <_dlc_DocIdUrl xmlns="814d62cb-2db6-4c25-ab62-b9075facbc11">
      <Url>https://im/teams/POLICYINS/_layouts/15/DocIdRedir.aspx?ID=WP5AJ56JFQTV-44125397-922</Url>
      <Description>WP5AJ56JFQTV-44125397-922</Description>
    </_dlc_DocIdUrl>
    <APRAMeetingDate xmlns="814d62cb-2db6-4c25-ab62-b9075facbc11" xsi:nil="true"/>
    <APRAMeetingNumber xmlns="814d62cb-2db6-4c25-ab62-b9075facb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5DC771C71BB4845AB93BC02659C2DB8" ma:contentTypeVersion="41" ma:contentTypeDescription="Create a new document." ma:contentTypeScope="" ma:versionID="064e89384cd1d4ca266e9aa652837c9d">
  <xsd:schema xmlns:xsd="http://www.w3.org/2001/XMLSchema" xmlns:xs="http://www.w3.org/2001/XMLSchema" xmlns:p="http://schemas.microsoft.com/office/2006/metadata/properties" xmlns:ns1="814d62cb-2db6-4c25-ab62-b9075facbc11" targetNamespace="http://schemas.microsoft.com/office/2006/metadata/properties" ma:root="true" ma:fieldsID="5c92866c16cc27dd85bdef4b81c4811d"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cabba438-e540-45b7-b5ef-c7b650713dff}" ma:internalName="TaxCatchAll" ma:showField="CatchAllData"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cabba438-e540-45b7-b5ef-c7b650713dff}" ma:internalName="TaxCatchAllLabel" ma:readOnly="true" ma:showField="CatchAllDataLabel"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default="" ma:fieldId="{3724204a-6447-41eb-9f77-7fcb03fe8840}" ma:taxonomyMulti="true" ma:sspId="8aef97a4-ded2-4e4a-9fbc-e666dae3ecd2" ma:termSetId="bc69aadb-e477-43ee-ac85-2690ed5e70c7"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65E4-C341-4218-93F1-A803338500E7}">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3.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4.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5.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6.xml><?xml version="1.0" encoding="utf-8"?>
<ds:datastoreItem xmlns:ds="http://schemas.openxmlformats.org/officeDocument/2006/customXml" ds:itemID="{AFF8433A-F643-4F21-B8C0-8ECAB1BB8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B2DC14-7B6A-4E9C-9D94-2F53B231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8228</Characters>
  <Application>Microsoft Office Word</Application>
  <DocSecurity>0</DocSecurity>
  <Lines>144</Lines>
  <Paragraphs>61</Paragraphs>
  <ScaleCrop>false</ScaleCrop>
  <HeadingPairs>
    <vt:vector size="2" baseType="variant">
      <vt:variant>
        <vt:lpstr>Title</vt:lpstr>
      </vt:variant>
      <vt:variant>
        <vt:i4>1</vt:i4>
      </vt:variant>
    </vt:vector>
  </HeadingPairs>
  <TitlesOfParts>
    <vt:vector size="1" baseType="lpstr">
      <vt:lpstr>CPS 520 Explanatory Staement including PHIs</vt:lpstr>
    </vt:vector>
  </TitlesOfParts>
  <Company>APRA</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520 Explanatory Staement including PHIs</dc:title>
  <dc:subject/>
  <dc:creator>Bowden, Fiona</dc:creator>
  <cp:keywords>[SEC=UNCLASSIFIED]</cp:keywords>
  <dc:description/>
  <cp:lastModifiedBy>Chen, Alice</cp:lastModifiedBy>
  <cp:revision>2</cp:revision>
  <cp:lastPrinted>2018-09-25T02:33:00Z</cp:lastPrinted>
  <dcterms:created xsi:type="dcterms:W3CDTF">2018-09-28T06:28:00Z</dcterms:created>
  <dcterms:modified xsi:type="dcterms:W3CDTF">2018-09-28T06:28:00Z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A1D55FE21516A40B041E98377D2D0DCD58D5850A</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2F97B0585302C8DC019D496074D655CE77939A1A</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0124377EC03E4C36B55271A7E25FAFA2</vt:lpwstr>
  </property>
  <property fmtid="{D5CDD505-2E9C-101B-9397-08002B2CF9AE}" pid="16" name="PM_OriginationTimeStamp">
    <vt:lpwstr>2018-03-02T00:20:00Z</vt:lpwstr>
  </property>
  <property fmtid="{D5CDD505-2E9C-101B-9397-08002B2CF9AE}" pid="17" name="PM_Hash_Version">
    <vt:lpwstr>2016.1</vt:lpwstr>
  </property>
  <property fmtid="{D5CDD505-2E9C-101B-9397-08002B2CF9AE}" pid="18" name="PM_Hash_Salt_Prev">
    <vt:lpwstr>2D6E4D145D01BB0DD073D6DCDCA1B366</vt:lpwstr>
  </property>
  <property fmtid="{D5CDD505-2E9C-101B-9397-08002B2CF9AE}" pid="19" name="PM_Hash_Salt">
    <vt:lpwstr>CF0BF8BA804D750DA9067C2F0A900E03</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ContentTypeId">
    <vt:lpwstr>0x0101008CA7A4F8331B45C7B0D3158B4994D0CA0200E5DC771C71BB4845AB93BC02659C2DB8</vt:lpwstr>
  </property>
  <property fmtid="{D5CDD505-2E9C-101B-9397-08002B2CF9AE}" pid="23" name="APRAExternalOrganisation">
    <vt:lpwstr/>
  </property>
  <property fmtid="{D5CDD505-2E9C-101B-9397-08002B2CF9AE}" pid="24" name="APRAIRTR">
    <vt:lpwstr/>
  </property>
  <property fmtid="{D5CDD505-2E9C-101B-9397-08002B2CF9AE}" pid="25" name="APRAPeriod">
    <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PRSG">
    <vt:lpwstr>106;#CPS 520 Fit and Proper|f168cde2-a145-485b-9e4c-b896e96c4d40</vt:lpwstr>
  </property>
  <property fmtid="{D5CDD505-2E9C-101B-9397-08002B2CF9AE}" pid="30" name="APRAStatus">
    <vt:lpwstr>240;#To be processed|c0c6f97a-a3b3-435c-af41-5a1e9d58212b</vt:lpwstr>
  </property>
  <property fmtid="{D5CDD505-2E9C-101B-9397-08002B2CF9AE}" pid="31" name="APRADocumentType">
    <vt:lpwstr>33;#Explanatory statement|b22f2e2f-3f73-411b-9a7c-34264d26fa25</vt:lpwstr>
  </property>
  <property fmtid="{D5CDD505-2E9C-101B-9397-08002B2CF9AE}" pid="32" name="APRAActivity">
    <vt:lpwstr>154;#Prudential standard implementation|88b001fd-622d-45b4-9784-bf6a334327eb</vt:lpwstr>
  </property>
  <property fmtid="{D5CDD505-2E9C-101B-9397-08002B2CF9AE}" pid="33" name="APRAEntityAdviceSupport">
    <vt:lpwstr/>
  </property>
  <property fmtid="{D5CDD505-2E9C-101B-9397-08002B2CF9AE}" pid="34" name="APRALegislation">
    <vt:lpwstr>15;#Private Health Insurance (Prudential Supervision) Act 2015|01905406-79f0-428d-bcfd-886429f0c7a1</vt:lpwstr>
  </property>
  <property fmtid="{D5CDD505-2E9C-101B-9397-08002B2CF9AE}" pid="35" name="APRAYear">
    <vt:lpwstr/>
  </property>
  <property fmtid="{D5CDD505-2E9C-101B-9397-08002B2CF9AE}" pid="36" name="APRAIndustry">
    <vt:lpwstr>14;#PHI|10657f9d-7e9a-e511-8d41-005056b54f10</vt:lpwstr>
  </property>
  <property fmtid="{D5CDD505-2E9C-101B-9397-08002B2CF9AE}" pid="37" name="_dlc_DocIdItemGuid">
    <vt:lpwstr>e9ba7c36-56f0-4103-addb-8b8b2f03829c</vt:lpwstr>
  </property>
  <property fmtid="{D5CDD505-2E9C-101B-9397-08002B2CF9AE}" pid="38" name="RecordPoint_WorkflowType">
    <vt:lpwstr>ActiveSubmitStub</vt:lpwstr>
  </property>
  <property fmtid="{D5CDD505-2E9C-101B-9397-08002B2CF9AE}" pid="39" name="RecordPoint_ActiveItemWebId">
    <vt:lpwstr>{b7c132af-ef8f-43c8-b784-c343c8358833}</vt:lpwstr>
  </property>
  <property fmtid="{D5CDD505-2E9C-101B-9397-08002B2CF9AE}" pid="40" name="RecordPoint_ActiveItemSiteId">
    <vt:lpwstr>{0108aca2-193a-480a-9365-26eca985c6f0}</vt:lpwstr>
  </property>
  <property fmtid="{D5CDD505-2E9C-101B-9397-08002B2CF9AE}" pid="41" name="RecordPoint_ActiveItemListId">
    <vt:lpwstr>{8524f2be-f3e8-4e4e-b114-b0bf6497a529}</vt:lpwstr>
  </property>
  <property fmtid="{D5CDD505-2E9C-101B-9397-08002B2CF9AE}" pid="42" name="RecordPoint_ActiveItemUniqueId">
    <vt:lpwstr>{e9ba7c36-56f0-4103-addb-8b8b2f03829c}</vt:lpwstr>
  </property>
  <property fmtid="{D5CDD505-2E9C-101B-9397-08002B2CF9AE}" pid="43" name="IsLocked">
    <vt:lpwstr>Yes</vt:lpwstr>
  </property>
  <property fmtid="{D5CDD505-2E9C-101B-9397-08002B2CF9AE}" pid="44" name="RecordPoint_RecordNumberSubmitted">
    <vt:lpwstr>R0000462980</vt:lpwstr>
  </property>
  <property fmtid="{D5CDD505-2E9C-101B-9397-08002B2CF9AE}" pid="45" name="RecordPoint_SubmissionCompleted">
    <vt:lpwstr>2018-09-25T15:14:38.7458791+10:00</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ies>
</file>