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602F9" w14:textId="77777777" w:rsidR="006735E7" w:rsidRPr="00635844" w:rsidRDefault="006735E7" w:rsidP="006735E7">
      <w:pPr>
        <w:shd w:val="clear" w:color="auto" w:fill="FFFFFF"/>
        <w:spacing w:before="100" w:beforeAutospacing="1" w:after="100" w:afterAutospacing="1"/>
        <w:jc w:val="center"/>
        <w:rPr>
          <w:szCs w:val="22"/>
          <w:lang w:val="en-US"/>
        </w:rPr>
      </w:pPr>
      <w:bookmarkStart w:id="0" w:name="_GoBack"/>
      <w:bookmarkEnd w:id="0"/>
      <w:r w:rsidRPr="00635844">
        <w:rPr>
          <w:b/>
          <w:bCs/>
          <w:szCs w:val="22"/>
        </w:rPr>
        <w:t>EXPLANATORY STATEMENT for</w:t>
      </w:r>
    </w:p>
    <w:p w14:paraId="0E6D02A5" w14:textId="47D92242" w:rsidR="006735E7" w:rsidRPr="00635844" w:rsidRDefault="006735E7" w:rsidP="006735E7">
      <w:pPr>
        <w:shd w:val="clear" w:color="auto" w:fill="FFFFFF"/>
        <w:spacing w:before="100" w:beforeAutospacing="1" w:after="100" w:afterAutospacing="1"/>
        <w:jc w:val="center"/>
        <w:rPr>
          <w:szCs w:val="22"/>
          <w:lang w:val="en-US"/>
        </w:rPr>
      </w:pPr>
      <w:r w:rsidRPr="00635844">
        <w:rPr>
          <w:b/>
          <w:bCs/>
          <w:szCs w:val="22"/>
        </w:rPr>
        <w:t>ASIC Credit (Amendment) Instrument 2018/</w:t>
      </w:r>
      <w:r w:rsidR="00A807FD" w:rsidRPr="00635844">
        <w:rPr>
          <w:b/>
          <w:bCs/>
          <w:szCs w:val="22"/>
        </w:rPr>
        <w:t>706</w:t>
      </w:r>
    </w:p>
    <w:p w14:paraId="070B34E8" w14:textId="77777777" w:rsidR="006735E7" w:rsidRPr="00635844" w:rsidRDefault="006735E7" w:rsidP="006735E7">
      <w:pPr>
        <w:shd w:val="clear" w:color="auto" w:fill="FFFFFF"/>
        <w:spacing w:before="100" w:beforeAutospacing="1" w:after="100" w:afterAutospacing="1"/>
        <w:rPr>
          <w:szCs w:val="22"/>
          <w:lang w:val="en-US"/>
        </w:rPr>
      </w:pPr>
      <w:r w:rsidRPr="00635844">
        <w:rPr>
          <w:b/>
          <w:bCs/>
          <w:szCs w:val="22"/>
        </w:rPr>
        <w:t> </w:t>
      </w:r>
    </w:p>
    <w:p w14:paraId="53F96E43" w14:textId="77777777" w:rsidR="006735E7" w:rsidRPr="00635844" w:rsidRDefault="006735E7" w:rsidP="006735E7">
      <w:pPr>
        <w:shd w:val="clear" w:color="auto" w:fill="FFFFFF"/>
        <w:spacing w:before="100" w:beforeAutospacing="1" w:after="100" w:afterAutospacing="1"/>
        <w:jc w:val="center"/>
        <w:rPr>
          <w:szCs w:val="22"/>
          <w:lang w:val="en-US"/>
        </w:rPr>
      </w:pPr>
      <w:r w:rsidRPr="00635844">
        <w:rPr>
          <w:szCs w:val="22"/>
        </w:rPr>
        <w:t>Prepared by the Australian Securities and Investments Commission</w:t>
      </w:r>
    </w:p>
    <w:p w14:paraId="2307F335" w14:textId="77777777" w:rsidR="006735E7" w:rsidRPr="00635844" w:rsidRDefault="006735E7" w:rsidP="006735E7">
      <w:pPr>
        <w:shd w:val="clear" w:color="auto" w:fill="FFFFFF"/>
        <w:spacing w:before="100" w:beforeAutospacing="1" w:after="100" w:afterAutospacing="1"/>
        <w:jc w:val="center"/>
        <w:rPr>
          <w:i/>
          <w:iCs/>
          <w:szCs w:val="22"/>
        </w:rPr>
      </w:pPr>
      <w:r w:rsidRPr="00635844">
        <w:rPr>
          <w:i/>
          <w:iCs/>
          <w:szCs w:val="22"/>
        </w:rPr>
        <w:t>National Consumer Credit Protection Act 2009</w:t>
      </w:r>
    </w:p>
    <w:p w14:paraId="0309FD31" w14:textId="77777777" w:rsidR="006735E7" w:rsidRPr="00635844" w:rsidRDefault="006735E7" w:rsidP="006735E7">
      <w:pPr>
        <w:shd w:val="clear" w:color="auto" w:fill="FFFFFF"/>
        <w:spacing w:before="100" w:beforeAutospacing="1" w:after="100" w:afterAutospacing="1"/>
        <w:jc w:val="center"/>
        <w:rPr>
          <w:szCs w:val="22"/>
          <w:lang w:val="en-US"/>
        </w:rPr>
      </w:pPr>
      <w:r w:rsidRPr="00635844">
        <w:rPr>
          <w:i/>
          <w:iCs/>
          <w:szCs w:val="22"/>
        </w:rPr>
        <w:t> </w:t>
      </w:r>
    </w:p>
    <w:p w14:paraId="3142F879" w14:textId="3C64503E" w:rsidR="006735E7" w:rsidRPr="00635844" w:rsidRDefault="006735E7" w:rsidP="006735E7">
      <w:pPr>
        <w:shd w:val="clear" w:color="auto" w:fill="FFFFFF"/>
        <w:spacing w:before="100" w:beforeAutospacing="1" w:after="100" w:afterAutospacing="1" w:line="276" w:lineRule="auto"/>
        <w:rPr>
          <w:szCs w:val="22"/>
          <w:lang w:val="en-US"/>
        </w:rPr>
      </w:pPr>
      <w:r w:rsidRPr="00635844">
        <w:rPr>
          <w:szCs w:val="22"/>
        </w:rPr>
        <w:t>The Australian Securities and Investments Commission (ASIC) makes</w:t>
      </w:r>
      <w:r w:rsidRPr="00635844">
        <w:rPr>
          <w:i/>
          <w:iCs/>
          <w:szCs w:val="22"/>
        </w:rPr>
        <w:t xml:space="preserve"> ASIC Credit (Amendment) Instrument 2018/</w:t>
      </w:r>
      <w:r w:rsidR="00A807FD" w:rsidRPr="00635844">
        <w:rPr>
          <w:i/>
          <w:iCs/>
          <w:szCs w:val="22"/>
        </w:rPr>
        <w:t xml:space="preserve">706 </w:t>
      </w:r>
      <w:r w:rsidRPr="00635844">
        <w:rPr>
          <w:szCs w:val="22"/>
        </w:rPr>
        <w:t xml:space="preserve">under paragraph 109(3)(d) of the </w:t>
      </w:r>
      <w:r w:rsidRPr="00635844">
        <w:rPr>
          <w:i/>
          <w:szCs w:val="22"/>
        </w:rPr>
        <w:t>National Consumer Credit Protection Act 2009</w:t>
      </w:r>
      <w:r w:rsidRPr="00635844">
        <w:rPr>
          <w:szCs w:val="22"/>
        </w:rPr>
        <w:t xml:space="preserve"> (the </w:t>
      </w:r>
      <w:r w:rsidRPr="00635844">
        <w:rPr>
          <w:b/>
          <w:szCs w:val="22"/>
        </w:rPr>
        <w:t>National Credit Act</w:t>
      </w:r>
      <w:r w:rsidRPr="00635844">
        <w:rPr>
          <w:szCs w:val="22"/>
        </w:rPr>
        <w:t>).  Paragraph 109(3)(d) provides that ASIC may declare the provisions to which Part 2-6 of the National Credit Act applies (including Chapter 2 of the National Credit Act and definitions in the National Credit Act as they apply to references in that Chapter) apply in relation to a class of persons or credit activities as if the provisions were omitted, modified or varied as specified in the declaration.</w:t>
      </w:r>
    </w:p>
    <w:p w14:paraId="71431239" w14:textId="073D36A0" w:rsidR="006735E7" w:rsidRPr="00635844" w:rsidRDefault="006735E7" w:rsidP="006735E7">
      <w:pPr>
        <w:shd w:val="clear" w:color="auto" w:fill="FFFFFF"/>
        <w:spacing w:before="100" w:beforeAutospacing="1" w:after="100" w:afterAutospacing="1" w:line="276" w:lineRule="auto"/>
        <w:rPr>
          <w:szCs w:val="22"/>
          <w:lang w:val="en-US"/>
        </w:rPr>
      </w:pPr>
      <w:r w:rsidRPr="00635844">
        <w:rPr>
          <w:szCs w:val="22"/>
        </w:rPr>
        <w:t xml:space="preserve">This legislative instrument amends the </w:t>
      </w:r>
      <w:r w:rsidRPr="00635844">
        <w:rPr>
          <w:i/>
          <w:iCs/>
          <w:szCs w:val="22"/>
        </w:rPr>
        <w:t>ASIC Credit (Flexible Credit Cost Arrangements) Instrument 2017/780</w:t>
      </w:r>
      <w:r w:rsidRPr="00635844">
        <w:rPr>
          <w:szCs w:val="22"/>
        </w:rPr>
        <w:t xml:space="preserve"> (the </w:t>
      </w:r>
      <w:r w:rsidRPr="00D115A4">
        <w:rPr>
          <w:b/>
          <w:szCs w:val="22"/>
        </w:rPr>
        <w:t>primary instrument</w:t>
      </w:r>
      <w:r w:rsidRPr="00635844">
        <w:rPr>
          <w:szCs w:val="22"/>
        </w:rPr>
        <w:t xml:space="preserve">). Under subsection 33(3) of the </w:t>
      </w:r>
      <w:r w:rsidRPr="00635844">
        <w:rPr>
          <w:i/>
          <w:iCs/>
          <w:szCs w:val="22"/>
        </w:rPr>
        <w:t>Acts Interpretations Act 1901</w:t>
      </w:r>
      <w:r w:rsidRPr="00635844">
        <w:rPr>
          <w:szCs w:val="22"/>
        </w:rPr>
        <w: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351F0480" w14:textId="77777777" w:rsidR="006735E7" w:rsidRPr="00635844" w:rsidRDefault="006735E7" w:rsidP="006735E7">
      <w:pPr>
        <w:shd w:val="clear" w:color="auto" w:fill="FFFFFF"/>
        <w:spacing w:before="100" w:beforeAutospacing="1" w:after="100" w:afterAutospacing="1" w:line="276" w:lineRule="auto"/>
        <w:rPr>
          <w:szCs w:val="22"/>
          <w:lang w:val="en-US"/>
        </w:rPr>
      </w:pPr>
      <w:r w:rsidRPr="00635844">
        <w:rPr>
          <w:b/>
          <w:bCs/>
          <w:szCs w:val="22"/>
        </w:rPr>
        <w:t>1.         Background</w:t>
      </w:r>
    </w:p>
    <w:p w14:paraId="01FC7CA5" w14:textId="106ADA70" w:rsidR="00CE1C05" w:rsidRPr="00635844" w:rsidRDefault="00CE1C05" w:rsidP="00DA0923">
      <w:pPr>
        <w:shd w:val="clear" w:color="auto" w:fill="FFFFFF"/>
        <w:spacing w:after="120" w:line="276" w:lineRule="auto"/>
        <w:rPr>
          <w:szCs w:val="22"/>
        </w:rPr>
      </w:pPr>
      <w:r w:rsidRPr="00635844">
        <w:rPr>
          <w:szCs w:val="22"/>
        </w:rPr>
        <w:t xml:space="preserve">'Flex commission arrangements' are arrangements whereby an intermediary (generally a car dealer) who sells a loan to a consumer earns a larger commission from the credit provider the higher the contract annual percentage rate is above a benchmark or base interest rate. </w:t>
      </w:r>
      <w:r w:rsidR="006735E7" w:rsidRPr="00635844">
        <w:rPr>
          <w:szCs w:val="22"/>
        </w:rPr>
        <w:t xml:space="preserve">Following analysis on the effect of </w:t>
      </w:r>
      <w:r w:rsidRPr="00635844">
        <w:rPr>
          <w:szCs w:val="22"/>
        </w:rPr>
        <w:t>these arrangements in the car finance market, ASIC made findings that these pricing arrangements are a remuneration structure that:</w:t>
      </w:r>
    </w:p>
    <w:p w14:paraId="4E4666C2" w14:textId="51D18361" w:rsidR="00CE1C05" w:rsidRPr="00D115A4" w:rsidRDefault="00CE1C05" w:rsidP="00DA0923">
      <w:pPr>
        <w:pStyle w:val="ListParagraph"/>
        <w:numPr>
          <w:ilvl w:val="0"/>
          <w:numId w:val="22"/>
        </w:numPr>
        <w:shd w:val="clear" w:color="auto" w:fill="FFFFFF"/>
        <w:spacing w:after="120" w:line="276" w:lineRule="auto"/>
        <w:contextualSpacing w:val="0"/>
        <w:rPr>
          <w:szCs w:val="22"/>
        </w:rPr>
      </w:pPr>
      <w:r w:rsidRPr="00D115A4">
        <w:rPr>
          <w:szCs w:val="22"/>
        </w:rPr>
        <w:t>means the interest rate charged to the consumer is not related to their credit rating or the risk of default, but to their financial sophistication, degree of financial literacy and capacity to negotiate to protect their interests;</w:t>
      </w:r>
    </w:p>
    <w:p w14:paraId="37E2B761" w14:textId="77777777" w:rsidR="00D115A4" w:rsidRDefault="00CE1C05" w:rsidP="00DA0923">
      <w:pPr>
        <w:pStyle w:val="ListParagraph"/>
        <w:numPr>
          <w:ilvl w:val="0"/>
          <w:numId w:val="22"/>
        </w:numPr>
        <w:shd w:val="clear" w:color="auto" w:fill="FFFFFF"/>
        <w:spacing w:after="120" w:line="276" w:lineRule="auto"/>
        <w:contextualSpacing w:val="0"/>
        <w:rPr>
          <w:szCs w:val="22"/>
        </w:rPr>
      </w:pPr>
      <w:r w:rsidRPr="00D115A4">
        <w:rPr>
          <w:szCs w:val="22"/>
        </w:rPr>
        <w:t>provides an incentive for sales intermediaries to increase the price of a credit contract in a way that does not relate to the credit risk of the particular consumer;</w:t>
      </w:r>
    </w:p>
    <w:p w14:paraId="19DBFB50" w14:textId="77777777" w:rsidR="00D115A4" w:rsidRDefault="00CE1C05" w:rsidP="00DA0923">
      <w:pPr>
        <w:pStyle w:val="ListParagraph"/>
        <w:numPr>
          <w:ilvl w:val="0"/>
          <w:numId w:val="22"/>
        </w:numPr>
        <w:shd w:val="clear" w:color="auto" w:fill="FFFFFF"/>
        <w:spacing w:after="120" w:line="276" w:lineRule="auto"/>
        <w:contextualSpacing w:val="0"/>
        <w:rPr>
          <w:szCs w:val="22"/>
        </w:rPr>
      </w:pPr>
      <w:r w:rsidRPr="00D115A4">
        <w:rPr>
          <w:szCs w:val="22"/>
        </w:rPr>
        <w:t>operates in a way that is not transparent for consumers or understood by them at the point of sale; and</w:t>
      </w:r>
    </w:p>
    <w:p w14:paraId="51D2A893" w14:textId="60C2524B" w:rsidR="006735E7" w:rsidRPr="00D115A4" w:rsidRDefault="00CE1C05" w:rsidP="00CE1C05">
      <w:pPr>
        <w:pStyle w:val="ListParagraph"/>
        <w:numPr>
          <w:ilvl w:val="0"/>
          <w:numId w:val="22"/>
        </w:numPr>
        <w:shd w:val="clear" w:color="auto" w:fill="FFFFFF"/>
        <w:spacing w:before="100" w:beforeAutospacing="1" w:after="100" w:afterAutospacing="1" w:line="276" w:lineRule="auto"/>
        <w:rPr>
          <w:szCs w:val="22"/>
        </w:rPr>
      </w:pPr>
      <w:r w:rsidRPr="00D115A4">
        <w:rPr>
          <w:szCs w:val="22"/>
        </w:rPr>
        <w:t>can operate unfairly in any individual transaction.</w:t>
      </w:r>
    </w:p>
    <w:p w14:paraId="1999DD7B" w14:textId="77777777" w:rsidR="006735E7" w:rsidRPr="00635844" w:rsidRDefault="006735E7" w:rsidP="00DA0923">
      <w:pPr>
        <w:shd w:val="clear" w:color="auto" w:fill="FFFFFF"/>
        <w:spacing w:after="120" w:line="276" w:lineRule="auto"/>
        <w:rPr>
          <w:szCs w:val="22"/>
        </w:rPr>
      </w:pPr>
      <w:r w:rsidRPr="00635844">
        <w:rPr>
          <w:szCs w:val="22"/>
        </w:rPr>
        <w:t>On 5 September 2017, ASIC made the primary instrument to:</w:t>
      </w:r>
    </w:p>
    <w:p w14:paraId="097BF876" w14:textId="0FFCA47F" w:rsidR="00D115A4" w:rsidRDefault="00D115A4" w:rsidP="00DA0923">
      <w:pPr>
        <w:pStyle w:val="ListParagraph"/>
        <w:numPr>
          <w:ilvl w:val="0"/>
          <w:numId w:val="23"/>
        </w:numPr>
        <w:shd w:val="clear" w:color="auto" w:fill="FFFFFF"/>
        <w:spacing w:after="120" w:line="276" w:lineRule="auto"/>
        <w:contextualSpacing w:val="0"/>
        <w:rPr>
          <w:szCs w:val="22"/>
        </w:rPr>
      </w:pPr>
      <w:r>
        <w:rPr>
          <w:szCs w:val="22"/>
        </w:rPr>
        <w:t>p</w:t>
      </w:r>
      <w:r w:rsidR="006735E7" w:rsidRPr="00D115A4">
        <w:rPr>
          <w:szCs w:val="22"/>
        </w:rPr>
        <w:t>rohibit the payment of flex-commissions (that is, arrangements with adverse consequences to the consumer where the higher the cost of credit the greater the commissions earnt)</w:t>
      </w:r>
      <w:r>
        <w:rPr>
          <w:szCs w:val="22"/>
        </w:rPr>
        <w:t>;</w:t>
      </w:r>
    </w:p>
    <w:p w14:paraId="42C20796" w14:textId="24C59ACD" w:rsidR="00D115A4" w:rsidRDefault="00D115A4" w:rsidP="00DA0923">
      <w:pPr>
        <w:pStyle w:val="ListParagraph"/>
        <w:numPr>
          <w:ilvl w:val="0"/>
          <w:numId w:val="23"/>
        </w:numPr>
        <w:shd w:val="clear" w:color="auto" w:fill="FFFFFF"/>
        <w:spacing w:after="120" w:line="276" w:lineRule="auto"/>
        <w:contextualSpacing w:val="0"/>
        <w:rPr>
          <w:szCs w:val="22"/>
        </w:rPr>
      </w:pPr>
      <w:r>
        <w:rPr>
          <w:szCs w:val="22"/>
        </w:rPr>
        <w:t>p</w:t>
      </w:r>
      <w:r w:rsidR="006735E7" w:rsidRPr="00D115A4">
        <w:rPr>
          <w:szCs w:val="22"/>
        </w:rPr>
        <w:t>rovide for a limited exception to the prohibition that allows lower commissions to be paid where the price of credit reduces so that the outcome provides a benefit to the consumer</w:t>
      </w:r>
      <w:r>
        <w:rPr>
          <w:szCs w:val="22"/>
        </w:rPr>
        <w:t>;</w:t>
      </w:r>
      <w:r w:rsidR="00FB1570">
        <w:rPr>
          <w:szCs w:val="22"/>
        </w:rPr>
        <w:t xml:space="preserve"> and</w:t>
      </w:r>
    </w:p>
    <w:p w14:paraId="34B409FA" w14:textId="2CCB10B6" w:rsidR="006735E7" w:rsidRPr="00D115A4" w:rsidRDefault="00D115A4" w:rsidP="006735E7">
      <w:pPr>
        <w:pStyle w:val="ListParagraph"/>
        <w:numPr>
          <w:ilvl w:val="0"/>
          <w:numId w:val="23"/>
        </w:numPr>
        <w:shd w:val="clear" w:color="auto" w:fill="FFFFFF"/>
        <w:spacing w:before="100" w:beforeAutospacing="1" w:after="100" w:afterAutospacing="1" w:line="276" w:lineRule="auto"/>
        <w:rPr>
          <w:szCs w:val="22"/>
        </w:rPr>
      </w:pPr>
      <w:r>
        <w:rPr>
          <w:szCs w:val="22"/>
        </w:rPr>
        <w:lastRenderedPageBreak/>
        <w:t>a</w:t>
      </w:r>
      <w:r w:rsidR="006735E7" w:rsidRPr="00D115A4">
        <w:rPr>
          <w:szCs w:val="22"/>
        </w:rPr>
        <w:t>ddress the risk of avoidance by casting the prohibition in broad terms (including addressing conduct in relation to consumer leases and some fees and charges).</w:t>
      </w:r>
    </w:p>
    <w:p w14:paraId="79EF9761" w14:textId="5D3E3662" w:rsidR="00CE1C05" w:rsidRPr="00635844" w:rsidRDefault="00CE1C05" w:rsidP="006735E7">
      <w:pPr>
        <w:shd w:val="clear" w:color="auto" w:fill="FFFFFF"/>
        <w:spacing w:before="100" w:beforeAutospacing="1" w:after="100" w:afterAutospacing="1" w:line="276" w:lineRule="auto"/>
        <w:rPr>
          <w:szCs w:val="22"/>
        </w:rPr>
      </w:pPr>
      <w:r w:rsidRPr="00635844">
        <w:rPr>
          <w:szCs w:val="22"/>
        </w:rPr>
        <w:t xml:space="preserve">The </w:t>
      </w:r>
      <w:r w:rsidR="00AA2FB7" w:rsidRPr="00635844">
        <w:rPr>
          <w:szCs w:val="22"/>
        </w:rPr>
        <w:t xml:space="preserve">primary </w:t>
      </w:r>
      <w:r w:rsidRPr="00635844">
        <w:rPr>
          <w:szCs w:val="22"/>
        </w:rPr>
        <w:t xml:space="preserve">instrument commences on 1 November 2018. </w:t>
      </w:r>
    </w:p>
    <w:p w14:paraId="778F6317" w14:textId="1FD617F5" w:rsidR="006735E7" w:rsidRPr="00635844" w:rsidRDefault="00CE1C05" w:rsidP="006735E7">
      <w:pPr>
        <w:shd w:val="clear" w:color="auto" w:fill="FFFFFF"/>
        <w:spacing w:before="100" w:beforeAutospacing="1" w:after="100" w:afterAutospacing="1" w:line="276" w:lineRule="auto"/>
        <w:rPr>
          <w:szCs w:val="22"/>
        </w:rPr>
      </w:pPr>
      <w:r w:rsidRPr="00635844">
        <w:rPr>
          <w:szCs w:val="22"/>
        </w:rPr>
        <w:t>ASIC consulted on the draft terms of the primary instrument before it was executed and registered</w:t>
      </w:r>
      <w:r w:rsidR="006735E7" w:rsidRPr="00635844">
        <w:rPr>
          <w:szCs w:val="22"/>
        </w:rPr>
        <w:t>.</w:t>
      </w:r>
      <w:r w:rsidRPr="00635844">
        <w:rPr>
          <w:szCs w:val="22"/>
        </w:rPr>
        <w:t xml:space="preserve"> However, following registration of the instrument,  industry stakeholders raise</w:t>
      </w:r>
      <w:r w:rsidR="00FB1570">
        <w:rPr>
          <w:szCs w:val="22"/>
        </w:rPr>
        <w:t>d</w:t>
      </w:r>
      <w:r w:rsidRPr="00635844">
        <w:rPr>
          <w:szCs w:val="22"/>
        </w:rPr>
        <w:t xml:space="preserve"> three issues that require minor changes to the terms of the instrument. These </w:t>
      </w:r>
      <w:r w:rsidR="00A77243" w:rsidRPr="00635844">
        <w:rPr>
          <w:szCs w:val="22"/>
        </w:rPr>
        <w:t>issues are</w:t>
      </w:r>
      <w:r w:rsidR="001D6720">
        <w:rPr>
          <w:szCs w:val="22"/>
        </w:rPr>
        <w:t xml:space="preserve"> explained below.</w:t>
      </w:r>
    </w:p>
    <w:p w14:paraId="52D95720" w14:textId="77777777" w:rsidR="00A77243" w:rsidRPr="00635844" w:rsidRDefault="00A77243" w:rsidP="006735E7">
      <w:pPr>
        <w:shd w:val="clear" w:color="auto" w:fill="FFFFFF"/>
        <w:spacing w:before="100" w:beforeAutospacing="1" w:after="100" w:afterAutospacing="1" w:line="276" w:lineRule="auto"/>
        <w:rPr>
          <w:i/>
          <w:szCs w:val="22"/>
        </w:rPr>
      </w:pPr>
      <w:r w:rsidRPr="00635844">
        <w:rPr>
          <w:i/>
          <w:szCs w:val="22"/>
        </w:rPr>
        <w:t>Definition of ‘home loan’</w:t>
      </w:r>
    </w:p>
    <w:p w14:paraId="76F04482" w14:textId="0AADBCAB" w:rsidR="00A77243" w:rsidRPr="00635844" w:rsidRDefault="00A77243" w:rsidP="00A77243">
      <w:pPr>
        <w:shd w:val="clear" w:color="auto" w:fill="FFFFFF"/>
        <w:spacing w:before="100" w:beforeAutospacing="1" w:after="100" w:afterAutospacing="1" w:line="276" w:lineRule="auto"/>
        <w:rPr>
          <w:szCs w:val="22"/>
        </w:rPr>
      </w:pPr>
      <w:r w:rsidRPr="00635844">
        <w:rPr>
          <w:szCs w:val="22"/>
        </w:rPr>
        <w:t xml:space="preserve">When ASIC made the primary instrument, it exempted home loans from the operation of the prohibition as the operation of commissions in this </w:t>
      </w:r>
      <w:r w:rsidR="00FB1570">
        <w:rPr>
          <w:szCs w:val="22"/>
        </w:rPr>
        <w:t xml:space="preserve">market </w:t>
      </w:r>
      <w:r w:rsidRPr="00635844">
        <w:rPr>
          <w:szCs w:val="22"/>
        </w:rPr>
        <w:t>has not been identified as having the same adverse impacts on consumers.</w:t>
      </w:r>
    </w:p>
    <w:p w14:paraId="7A811FEA" w14:textId="51AF2378" w:rsidR="00A77243" w:rsidRPr="00635844" w:rsidRDefault="00A77243" w:rsidP="00A77243">
      <w:pPr>
        <w:shd w:val="clear" w:color="auto" w:fill="FFFFFF"/>
        <w:spacing w:before="100" w:beforeAutospacing="1" w:after="100" w:afterAutospacing="1" w:line="276" w:lineRule="auto"/>
        <w:rPr>
          <w:szCs w:val="22"/>
        </w:rPr>
      </w:pPr>
      <w:r w:rsidRPr="00635844">
        <w:rPr>
          <w:szCs w:val="22"/>
        </w:rPr>
        <w:t xml:space="preserve">The definition of </w:t>
      </w:r>
      <w:r w:rsidRPr="00635844">
        <w:rPr>
          <w:b/>
          <w:i/>
          <w:szCs w:val="22"/>
        </w:rPr>
        <w:t>home loan</w:t>
      </w:r>
      <w:r w:rsidRPr="00635844">
        <w:rPr>
          <w:szCs w:val="22"/>
        </w:rPr>
        <w:t xml:space="preserve"> in </w:t>
      </w:r>
      <w:r w:rsidR="001D6720">
        <w:rPr>
          <w:szCs w:val="22"/>
        </w:rPr>
        <w:t>s</w:t>
      </w:r>
      <w:r w:rsidRPr="00635844">
        <w:rPr>
          <w:szCs w:val="22"/>
        </w:rPr>
        <w:t xml:space="preserve">ection 4 of the </w:t>
      </w:r>
      <w:r w:rsidR="001D6720">
        <w:rPr>
          <w:szCs w:val="22"/>
        </w:rPr>
        <w:t>primary i</w:t>
      </w:r>
      <w:r w:rsidRPr="00635844">
        <w:rPr>
          <w:szCs w:val="22"/>
        </w:rPr>
        <w:t>nstrument reflects a definition currently used in the legislation. However, some stakeholders have raised a concern that this definition is narrower than the range of residential property related loans that are regulated under the National Credit Act (as provided by section 5 of the National Credit Code). Stakeholders were concerned that the carve out would not cover loans where the credit provided is:</w:t>
      </w:r>
    </w:p>
    <w:p w14:paraId="46B25B67" w14:textId="77777777" w:rsidR="00A77243" w:rsidRPr="00635844" w:rsidRDefault="00A77243" w:rsidP="0057719D">
      <w:pPr>
        <w:pStyle w:val="ListParagraph"/>
        <w:numPr>
          <w:ilvl w:val="0"/>
          <w:numId w:val="24"/>
        </w:numPr>
        <w:shd w:val="clear" w:color="auto" w:fill="FFFFFF"/>
        <w:spacing w:before="100" w:beforeAutospacing="1" w:after="100" w:afterAutospacing="1" w:line="276" w:lineRule="auto"/>
        <w:rPr>
          <w:szCs w:val="22"/>
        </w:rPr>
      </w:pPr>
      <w:r w:rsidRPr="00635844">
        <w:rPr>
          <w:szCs w:val="22"/>
        </w:rPr>
        <w:t>predominantly used to purchase residential property, but some funds are used for other purposes;</w:t>
      </w:r>
    </w:p>
    <w:p w14:paraId="436960F3" w14:textId="77777777" w:rsidR="00A77243" w:rsidRPr="00635844" w:rsidRDefault="00A77243" w:rsidP="0057719D">
      <w:pPr>
        <w:pStyle w:val="ListParagraph"/>
        <w:numPr>
          <w:ilvl w:val="0"/>
          <w:numId w:val="24"/>
        </w:numPr>
        <w:shd w:val="clear" w:color="auto" w:fill="FFFFFF"/>
        <w:spacing w:before="100" w:beforeAutospacing="1" w:after="100" w:afterAutospacing="1" w:line="276" w:lineRule="auto"/>
        <w:rPr>
          <w:szCs w:val="22"/>
        </w:rPr>
      </w:pPr>
      <w:r w:rsidRPr="00635844">
        <w:rPr>
          <w:szCs w:val="22"/>
        </w:rPr>
        <w:t>predominantly used to refinance loans wholly or predominantly used to purchase residential property, but some funds are used for other purposes;</w:t>
      </w:r>
    </w:p>
    <w:p w14:paraId="3CB91EA6" w14:textId="77777777" w:rsidR="00A77243" w:rsidRPr="00635844" w:rsidRDefault="00A77243" w:rsidP="0057719D">
      <w:pPr>
        <w:pStyle w:val="ListParagraph"/>
        <w:numPr>
          <w:ilvl w:val="0"/>
          <w:numId w:val="24"/>
        </w:numPr>
        <w:shd w:val="clear" w:color="auto" w:fill="FFFFFF"/>
        <w:spacing w:before="100" w:beforeAutospacing="1" w:after="100" w:afterAutospacing="1" w:line="276" w:lineRule="auto"/>
        <w:rPr>
          <w:szCs w:val="22"/>
        </w:rPr>
      </w:pPr>
      <w:r w:rsidRPr="00635844">
        <w:rPr>
          <w:szCs w:val="22"/>
        </w:rPr>
        <w:t>used to renovate or improve residential property; or</w:t>
      </w:r>
    </w:p>
    <w:p w14:paraId="24D98E03" w14:textId="77777777" w:rsidR="00A77243" w:rsidRPr="00635844" w:rsidRDefault="00A77243" w:rsidP="0057719D">
      <w:pPr>
        <w:pStyle w:val="ListParagraph"/>
        <w:numPr>
          <w:ilvl w:val="0"/>
          <w:numId w:val="24"/>
        </w:numPr>
        <w:shd w:val="clear" w:color="auto" w:fill="FFFFFF"/>
        <w:spacing w:before="100" w:beforeAutospacing="1" w:after="100" w:afterAutospacing="1" w:line="276" w:lineRule="auto"/>
        <w:rPr>
          <w:szCs w:val="22"/>
        </w:rPr>
      </w:pPr>
      <w:r w:rsidRPr="00635844">
        <w:rPr>
          <w:szCs w:val="22"/>
        </w:rPr>
        <w:t>used to refinance loans made to renovate or improve residential property.</w:t>
      </w:r>
    </w:p>
    <w:p w14:paraId="4929DC69" w14:textId="499BBCFF" w:rsidR="00A77243" w:rsidRPr="00635844" w:rsidRDefault="00B92ECA" w:rsidP="00A77243">
      <w:pPr>
        <w:shd w:val="clear" w:color="auto" w:fill="FFFFFF"/>
        <w:spacing w:before="100" w:beforeAutospacing="1" w:after="100" w:afterAutospacing="1" w:line="276" w:lineRule="auto"/>
        <w:rPr>
          <w:i/>
          <w:szCs w:val="22"/>
        </w:rPr>
      </w:pPr>
      <w:r w:rsidRPr="00635844">
        <w:rPr>
          <w:i/>
          <w:szCs w:val="22"/>
        </w:rPr>
        <w:t>Exclusion of certain agreements from the prohibition</w:t>
      </w:r>
    </w:p>
    <w:p w14:paraId="65F98162" w14:textId="5D0A7F3E" w:rsidR="00A77243" w:rsidRPr="00635844" w:rsidRDefault="00A77243" w:rsidP="00A77243">
      <w:pPr>
        <w:shd w:val="clear" w:color="auto" w:fill="FFFFFF"/>
        <w:spacing w:before="100" w:beforeAutospacing="1" w:after="100" w:afterAutospacing="1" w:line="276" w:lineRule="auto"/>
        <w:rPr>
          <w:szCs w:val="22"/>
        </w:rPr>
      </w:pPr>
      <w:r w:rsidRPr="00635844">
        <w:rPr>
          <w:szCs w:val="22"/>
        </w:rPr>
        <w:t xml:space="preserve">The primary instrument operates to exclude from the prohibition a 'servicing agreement', and remuneration paid under such an agreement, between a licensee and an exempt special purpose funding entity. This carve out is achieved by excluding such agreements from the definition of a </w:t>
      </w:r>
      <w:r w:rsidRPr="0057719D">
        <w:rPr>
          <w:b/>
          <w:i/>
          <w:szCs w:val="22"/>
        </w:rPr>
        <w:t>flexible credit cost arrangement</w:t>
      </w:r>
      <w:r w:rsidRPr="00635844">
        <w:rPr>
          <w:szCs w:val="22"/>
        </w:rPr>
        <w:t>.</w:t>
      </w:r>
      <w:r w:rsidR="00652383">
        <w:rPr>
          <w:szCs w:val="22"/>
        </w:rPr>
        <w:t xml:space="preserve"> </w:t>
      </w:r>
    </w:p>
    <w:p w14:paraId="2FE57341" w14:textId="4917111D" w:rsidR="00A77243" w:rsidRPr="00635844" w:rsidRDefault="00A77243" w:rsidP="00A77243">
      <w:pPr>
        <w:shd w:val="clear" w:color="auto" w:fill="FFFFFF"/>
        <w:spacing w:before="100" w:beforeAutospacing="1" w:after="100" w:afterAutospacing="1" w:line="276" w:lineRule="auto"/>
        <w:rPr>
          <w:szCs w:val="22"/>
        </w:rPr>
      </w:pPr>
      <w:r w:rsidRPr="00635844">
        <w:rPr>
          <w:szCs w:val="22"/>
        </w:rPr>
        <w:t>Under servicing agreements, the licensee performs obligations or exercises rights of a credit provider on behalf of the exempt entity. A licensee acting under a servicing agreement will often have day to day control over the entry into contracts by the exempt entity.</w:t>
      </w:r>
      <w:r w:rsidR="00652383" w:rsidRPr="00652383">
        <w:rPr>
          <w:szCs w:val="22"/>
        </w:rPr>
        <w:t xml:space="preserve"> </w:t>
      </w:r>
      <w:r w:rsidR="00652383">
        <w:rPr>
          <w:szCs w:val="22"/>
        </w:rPr>
        <w:t>It is expected that licensees acting on behalf of an exempt special purpose funding entity will be involved in day-to-day management that includes determining or influencing the terms of the contract entered by the exempt entity.</w:t>
      </w:r>
    </w:p>
    <w:p w14:paraId="1083589C" w14:textId="19C3CB0C" w:rsidR="00A77243" w:rsidRPr="00635844" w:rsidRDefault="00A77243" w:rsidP="00A77243">
      <w:pPr>
        <w:shd w:val="clear" w:color="auto" w:fill="FFFFFF"/>
        <w:spacing w:before="100" w:beforeAutospacing="1" w:after="100" w:afterAutospacing="1" w:line="276" w:lineRule="auto"/>
        <w:rPr>
          <w:szCs w:val="22"/>
        </w:rPr>
      </w:pPr>
      <w:r w:rsidRPr="00635844">
        <w:rPr>
          <w:szCs w:val="22"/>
        </w:rPr>
        <w:t>Some stakeholders have raised a concern that similar arrangements with licensees are commonly used by special purpose funding entities that hold a licence (rather than acting as exempt entities)</w:t>
      </w:r>
      <w:r w:rsidR="00797052">
        <w:rPr>
          <w:szCs w:val="22"/>
        </w:rPr>
        <w:t>, and that this situation should also not be covered by the prohibition</w:t>
      </w:r>
      <w:r w:rsidRPr="00635844">
        <w:rPr>
          <w:szCs w:val="22"/>
        </w:rPr>
        <w:t>.</w:t>
      </w:r>
    </w:p>
    <w:p w14:paraId="19EB23E7" w14:textId="77777777" w:rsidR="00A77243" w:rsidRPr="00635844" w:rsidRDefault="00A77243" w:rsidP="00A77243">
      <w:pPr>
        <w:shd w:val="clear" w:color="auto" w:fill="FFFFFF"/>
        <w:spacing w:before="100" w:beforeAutospacing="1" w:after="100" w:afterAutospacing="1" w:line="276" w:lineRule="auto"/>
        <w:rPr>
          <w:i/>
          <w:szCs w:val="22"/>
        </w:rPr>
      </w:pPr>
      <w:r w:rsidRPr="00635844">
        <w:rPr>
          <w:i/>
          <w:szCs w:val="22"/>
        </w:rPr>
        <w:t>Application to ‘in-flight’ offers</w:t>
      </w:r>
    </w:p>
    <w:p w14:paraId="6CCD167A" w14:textId="44AB5F2B" w:rsidR="00CE1C05" w:rsidRPr="00635844" w:rsidRDefault="00A77243" w:rsidP="006735E7">
      <w:pPr>
        <w:shd w:val="clear" w:color="auto" w:fill="FFFFFF"/>
        <w:spacing w:before="100" w:beforeAutospacing="1" w:after="100" w:afterAutospacing="1" w:line="276" w:lineRule="auto"/>
        <w:rPr>
          <w:szCs w:val="22"/>
        </w:rPr>
      </w:pPr>
      <w:r w:rsidRPr="00635844">
        <w:rPr>
          <w:szCs w:val="22"/>
        </w:rPr>
        <w:t xml:space="preserve">The prohibition contained in the </w:t>
      </w:r>
      <w:r w:rsidR="000F7181" w:rsidRPr="00635844">
        <w:rPr>
          <w:szCs w:val="22"/>
        </w:rPr>
        <w:t xml:space="preserve">primary </w:t>
      </w:r>
      <w:r w:rsidRPr="00635844">
        <w:rPr>
          <w:szCs w:val="22"/>
        </w:rPr>
        <w:t>instrument applies to a credit activity that is engaged in, or a credit contract or a consumer lease that is entered into, from commencement of the instrument on 1 November 2018.   One stakeholder indicated that it anticipates that</w:t>
      </w:r>
      <w:r w:rsidR="00F91179" w:rsidRPr="00635844">
        <w:rPr>
          <w:szCs w:val="22"/>
        </w:rPr>
        <w:t xml:space="preserve"> as at 1 November 2018 </w:t>
      </w:r>
      <w:r w:rsidRPr="00635844">
        <w:rPr>
          <w:szCs w:val="22"/>
        </w:rPr>
        <w:t>it may have some offers</w:t>
      </w:r>
      <w:r w:rsidR="00F91179" w:rsidRPr="00635844">
        <w:rPr>
          <w:szCs w:val="22"/>
        </w:rPr>
        <w:t xml:space="preserve"> (in-flight offers)</w:t>
      </w:r>
      <w:r w:rsidRPr="00635844">
        <w:rPr>
          <w:szCs w:val="22"/>
        </w:rPr>
        <w:t xml:space="preserve"> that have been </w:t>
      </w:r>
      <w:r w:rsidR="00F91179" w:rsidRPr="00635844">
        <w:rPr>
          <w:szCs w:val="22"/>
        </w:rPr>
        <w:t xml:space="preserve">given to consumers </w:t>
      </w:r>
      <w:r w:rsidRPr="00635844">
        <w:rPr>
          <w:szCs w:val="22"/>
        </w:rPr>
        <w:t xml:space="preserve">prior to </w:t>
      </w:r>
      <w:r w:rsidR="00F91179" w:rsidRPr="00635844">
        <w:rPr>
          <w:szCs w:val="22"/>
        </w:rPr>
        <w:t xml:space="preserve">that date and that are capable </w:t>
      </w:r>
      <w:r w:rsidR="00F91179" w:rsidRPr="00635844">
        <w:rPr>
          <w:szCs w:val="22"/>
        </w:rPr>
        <w:lastRenderedPageBreak/>
        <w:t xml:space="preserve">of acceptance by the consumer after that date. </w:t>
      </w:r>
      <w:r w:rsidR="00797052">
        <w:rPr>
          <w:szCs w:val="22"/>
        </w:rPr>
        <w:t xml:space="preserve">Credit activities may be engaged in in relation to the finalisation of contracts resulting from those in-flight offers after 1 November 2018. </w:t>
      </w:r>
      <w:r w:rsidR="00F91179" w:rsidRPr="00635844">
        <w:rPr>
          <w:szCs w:val="22"/>
        </w:rPr>
        <w:t xml:space="preserve">The stakeholder requested a change to the transition arrangement for the primary instrument to allow for entry into a credit contract or consumer lease pursuant to the acceptance by a consumer, on or after 1 November 2018, of an in-flight offer. </w:t>
      </w:r>
    </w:p>
    <w:p w14:paraId="12E4440E" w14:textId="77777777" w:rsidR="006735E7" w:rsidRPr="00635844" w:rsidRDefault="006735E7" w:rsidP="006735E7">
      <w:pPr>
        <w:shd w:val="clear" w:color="auto" w:fill="FFFFFF"/>
        <w:spacing w:after="0" w:line="276" w:lineRule="auto"/>
        <w:rPr>
          <w:szCs w:val="22"/>
          <w:lang w:val="en-US"/>
        </w:rPr>
      </w:pPr>
      <w:r w:rsidRPr="00635844">
        <w:rPr>
          <w:szCs w:val="22"/>
        </w:rPr>
        <w:t> </w:t>
      </w:r>
    </w:p>
    <w:p w14:paraId="5A1378C5" w14:textId="77777777" w:rsidR="006735E7" w:rsidRPr="00635844" w:rsidRDefault="006735E7" w:rsidP="006735E7">
      <w:pPr>
        <w:shd w:val="clear" w:color="auto" w:fill="FFFFFF"/>
        <w:spacing w:before="100" w:beforeAutospacing="1" w:after="100" w:afterAutospacing="1" w:line="276" w:lineRule="auto"/>
        <w:rPr>
          <w:szCs w:val="22"/>
          <w:lang w:val="en-US"/>
        </w:rPr>
      </w:pPr>
      <w:r w:rsidRPr="00635844">
        <w:rPr>
          <w:b/>
          <w:bCs/>
          <w:szCs w:val="22"/>
        </w:rPr>
        <w:t>2.         Purpose of this instrument</w:t>
      </w:r>
    </w:p>
    <w:p w14:paraId="380CF36F" w14:textId="7D6ECE3B" w:rsidR="006735E7" w:rsidRPr="00635844" w:rsidRDefault="006735E7" w:rsidP="006735E7">
      <w:pPr>
        <w:shd w:val="clear" w:color="auto" w:fill="FFFFFF"/>
        <w:spacing w:before="100" w:beforeAutospacing="1" w:after="100" w:afterAutospacing="1" w:line="276" w:lineRule="auto"/>
        <w:rPr>
          <w:szCs w:val="22"/>
          <w:lang w:val="en-US"/>
        </w:rPr>
      </w:pPr>
      <w:r w:rsidRPr="00635844">
        <w:rPr>
          <w:i/>
          <w:iCs/>
          <w:szCs w:val="22"/>
        </w:rPr>
        <w:t xml:space="preserve">ASIC </w:t>
      </w:r>
      <w:r w:rsidR="00F91179" w:rsidRPr="00635844">
        <w:rPr>
          <w:i/>
          <w:iCs/>
          <w:szCs w:val="22"/>
        </w:rPr>
        <w:t xml:space="preserve">Credit </w:t>
      </w:r>
      <w:r w:rsidRPr="00635844">
        <w:rPr>
          <w:i/>
          <w:iCs/>
          <w:szCs w:val="22"/>
        </w:rPr>
        <w:t>(Amendment) Instrument 2018/</w:t>
      </w:r>
      <w:r w:rsidR="00A807FD" w:rsidRPr="00635844">
        <w:rPr>
          <w:i/>
          <w:iCs/>
          <w:szCs w:val="22"/>
        </w:rPr>
        <w:t xml:space="preserve">706 </w:t>
      </w:r>
      <w:r w:rsidRPr="00635844">
        <w:rPr>
          <w:szCs w:val="22"/>
        </w:rPr>
        <w:t>is intended to</w:t>
      </w:r>
      <w:r w:rsidR="00F91179" w:rsidRPr="00635844">
        <w:rPr>
          <w:szCs w:val="22"/>
        </w:rPr>
        <w:t xml:space="preserve"> address the above issues raised by stakeholders</w:t>
      </w:r>
      <w:r w:rsidRPr="00635844">
        <w:rPr>
          <w:szCs w:val="22"/>
        </w:rPr>
        <w:t>.</w:t>
      </w:r>
    </w:p>
    <w:p w14:paraId="63E3C94E" w14:textId="77777777" w:rsidR="006735E7" w:rsidRPr="00635844" w:rsidRDefault="006735E7" w:rsidP="006735E7">
      <w:pPr>
        <w:shd w:val="clear" w:color="auto" w:fill="FFFFFF"/>
        <w:spacing w:before="100" w:beforeAutospacing="1" w:after="100" w:afterAutospacing="1" w:line="276" w:lineRule="auto"/>
        <w:rPr>
          <w:szCs w:val="22"/>
          <w:lang w:val="en-US"/>
        </w:rPr>
      </w:pPr>
      <w:r w:rsidRPr="00635844">
        <w:rPr>
          <w:szCs w:val="22"/>
        </w:rPr>
        <w:t> </w:t>
      </w:r>
      <w:r w:rsidRPr="00635844">
        <w:rPr>
          <w:b/>
          <w:bCs/>
          <w:szCs w:val="22"/>
        </w:rPr>
        <w:t>3.        Operation of the instrument</w:t>
      </w:r>
    </w:p>
    <w:p w14:paraId="34AEA953" w14:textId="1EEAB6EE" w:rsidR="004B4342" w:rsidRDefault="006735E7" w:rsidP="006735E7">
      <w:pPr>
        <w:shd w:val="clear" w:color="auto" w:fill="FFFFFF"/>
        <w:spacing w:before="100" w:beforeAutospacing="1" w:after="100" w:afterAutospacing="1" w:line="276" w:lineRule="auto"/>
        <w:rPr>
          <w:szCs w:val="22"/>
        </w:rPr>
      </w:pPr>
      <w:r w:rsidRPr="00635844">
        <w:rPr>
          <w:szCs w:val="22"/>
        </w:rPr>
        <w:t>The instrument</w:t>
      </w:r>
      <w:r w:rsidR="004B4342" w:rsidRPr="00635844">
        <w:rPr>
          <w:szCs w:val="22"/>
        </w:rPr>
        <w:t xml:space="preserve"> makes the following amendments</w:t>
      </w:r>
      <w:r w:rsidR="008B5A33">
        <w:rPr>
          <w:szCs w:val="22"/>
        </w:rPr>
        <w:t>.</w:t>
      </w:r>
    </w:p>
    <w:p w14:paraId="1E78D002" w14:textId="77777777" w:rsidR="008B5A33" w:rsidRPr="00635844" w:rsidRDefault="008B5A33" w:rsidP="008B5A33">
      <w:pPr>
        <w:shd w:val="clear" w:color="auto" w:fill="FFFFFF"/>
        <w:spacing w:before="100" w:beforeAutospacing="1" w:after="100" w:afterAutospacing="1" w:line="276" w:lineRule="auto"/>
        <w:rPr>
          <w:i/>
          <w:szCs w:val="22"/>
        </w:rPr>
      </w:pPr>
      <w:r w:rsidRPr="00635844">
        <w:rPr>
          <w:i/>
          <w:szCs w:val="22"/>
        </w:rPr>
        <w:t>Definition of ‘home loan’</w:t>
      </w:r>
    </w:p>
    <w:p w14:paraId="2BA2B5E3" w14:textId="11770F31" w:rsidR="004B4342" w:rsidRPr="008B5A33" w:rsidRDefault="008B5A33" w:rsidP="008B5A33">
      <w:pPr>
        <w:shd w:val="clear" w:color="auto" w:fill="FFFFFF"/>
        <w:spacing w:before="100" w:beforeAutospacing="1" w:after="100" w:afterAutospacing="1" w:line="276" w:lineRule="auto"/>
        <w:rPr>
          <w:szCs w:val="22"/>
          <w:lang w:val="en-US"/>
        </w:rPr>
      </w:pPr>
      <w:r>
        <w:rPr>
          <w:szCs w:val="22"/>
        </w:rPr>
        <w:t>The instrument amends</w:t>
      </w:r>
      <w:r w:rsidR="004B4342" w:rsidRPr="008B5A33">
        <w:rPr>
          <w:szCs w:val="22"/>
        </w:rPr>
        <w:t xml:space="preserve"> the </w:t>
      </w:r>
      <w:r w:rsidR="00B92ECA" w:rsidRPr="008B5A33">
        <w:rPr>
          <w:szCs w:val="22"/>
        </w:rPr>
        <w:t xml:space="preserve">notional </w:t>
      </w:r>
      <w:r w:rsidR="004B4342" w:rsidRPr="008B5A33">
        <w:rPr>
          <w:szCs w:val="22"/>
        </w:rPr>
        <w:t xml:space="preserve">definition of </w:t>
      </w:r>
      <w:r w:rsidR="004B4342" w:rsidRPr="008B5A33">
        <w:rPr>
          <w:b/>
          <w:i/>
          <w:szCs w:val="22"/>
        </w:rPr>
        <w:t>home loan</w:t>
      </w:r>
      <w:r w:rsidR="004B4342" w:rsidRPr="008B5A33">
        <w:rPr>
          <w:szCs w:val="22"/>
        </w:rPr>
        <w:t xml:space="preserve"> in paragraph 5(a) of the primary instrument to be consistent with the broader range of purposes relating to residential property that </w:t>
      </w:r>
      <w:r w:rsidR="00FB1570">
        <w:rPr>
          <w:szCs w:val="22"/>
        </w:rPr>
        <w:t xml:space="preserve">result in a contract being </w:t>
      </w:r>
      <w:r w:rsidR="004B4342" w:rsidRPr="008B5A33">
        <w:rPr>
          <w:szCs w:val="22"/>
        </w:rPr>
        <w:t xml:space="preserve">regulated </w:t>
      </w:r>
      <w:r w:rsidR="00FB1570">
        <w:rPr>
          <w:szCs w:val="22"/>
        </w:rPr>
        <w:t>by the National C</w:t>
      </w:r>
      <w:r w:rsidR="004B4342" w:rsidRPr="008B5A33">
        <w:rPr>
          <w:szCs w:val="22"/>
        </w:rPr>
        <w:t>redit</w:t>
      </w:r>
      <w:r w:rsidR="00FB1570">
        <w:rPr>
          <w:szCs w:val="22"/>
        </w:rPr>
        <w:t xml:space="preserve"> Act</w:t>
      </w:r>
      <w:r w:rsidR="004B4342" w:rsidRPr="008B5A33">
        <w:rPr>
          <w:szCs w:val="22"/>
        </w:rPr>
        <w:t>. The amended definition will have the effect of excluding from the prohibition:</w:t>
      </w:r>
    </w:p>
    <w:p w14:paraId="1C288C0D" w14:textId="25B3CBC8" w:rsidR="004B4342" w:rsidRPr="00635844" w:rsidRDefault="004B4342" w:rsidP="008B5A33">
      <w:pPr>
        <w:shd w:val="clear" w:color="auto" w:fill="FFFFFF"/>
        <w:spacing w:before="100" w:beforeAutospacing="1" w:after="100" w:afterAutospacing="1" w:line="276" w:lineRule="auto"/>
        <w:ind w:left="425"/>
        <w:rPr>
          <w:szCs w:val="22"/>
          <w:lang w:val="en-US"/>
        </w:rPr>
      </w:pPr>
      <w:r w:rsidRPr="00635844">
        <w:rPr>
          <w:szCs w:val="22"/>
          <w:lang w:val="en-US"/>
        </w:rPr>
        <w:t>“a credit contract under which a licensee or an exempt special purpose funding entity provides credit</w:t>
      </w:r>
      <w:r w:rsidR="00B92ECA" w:rsidRPr="00635844">
        <w:rPr>
          <w:szCs w:val="22"/>
          <w:lang w:val="en-US"/>
        </w:rPr>
        <w:t xml:space="preserve"> wholly or predominantly</w:t>
      </w:r>
      <w:r w:rsidRPr="00635844">
        <w:rPr>
          <w:szCs w:val="22"/>
          <w:lang w:val="en-US"/>
        </w:rPr>
        <w:t>:</w:t>
      </w:r>
    </w:p>
    <w:p w14:paraId="5A91863E" w14:textId="7213D3D0" w:rsidR="004B4342" w:rsidRPr="00635844" w:rsidRDefault="004B4342" w:rsidP="008B5A33">
      <w:pPr>
        <w:shd w:val="clear" w:color="auto" w:fill="FFFFFF"/>
        <w:spacing w:before="100" w:beforeAutospacing="1" w:after="100" w:afterAutospacing="1" w:line="276" w:lineRule="auto"/>
        <w:ind w:left="425"/>
        <w:rPr>
          <w:szCs w:val="22"/>
          <w:lang w:val="en-US"/>
        </w:rPr>
      </w:pPr>
      <w:r w:rsidRPr="00635844">
        <w:rPr>
          <w:szCs w:val="22"/>
          <w:lang w:val="en-US"/>
        </w:rPr>
        <w:t>(a)    to purchase, renovate or improve residential property; or</w:t>
      </w:r>
    </w:p>
    <w:p w14:paraId="1BD7E938" w14:textId="1F8E73F0" w:rsidR="004B4342" w:rsidRDefault="004B4342" w:rsidP="008B5A33">
      <w:pPr>
        <w:shd w:val="clear" w:color="auto" w:fill="FFFFFF"/>
        <w:spacing w:before="100" w:beforeAutospacing="1" w:after="100" w:afterAutospacing="1" w:line="276" w:lineRule="auto"/>
        <w:ind w:left="425"/>
        <w:rPr>
          <w:szCs w:val="22"/>
          <w:lang w:val="en-US"/>
        </w:rPr>
      </w:pPr>
      <w:r w:rsidRPr="00635844">
        <w:rPr>
          <w:szCs w:val="22"/>
          <w:lang w:val="en-US"/>
        </w:rPr>
        <w:t xml:space="preserve">(b)     to refinance credit that has been provided wholly or predominantly to purchase, renovate or improve residential property”. </w:t>
      </w:r>
    </w:p>
    <w:p w14:paraId="661579C8" w14:textId="05A03F2F" w:rsidR="008B5A33" w:rsidRPr="008B5A33" w:rsidRDefault="008B5A33" w:rsidP="008B5A33">
      <w:pPr>
        <w:shd w:val="clear" w:color="auto" w:fill="FFFFFF"/>
        <w:spacing w:before="100" w:beforeAutospacing="1" w:after="100" w:afterAutospacing="1" w:line="276" w:lineRule="auto"/>
        <w:rPr>
          <w:i/>
          <w:szCs w:val="22"/>
          <w:lang w:val="en-US"/>
        </w:rPr>
      </w:pPr>
      <w:r>
        <w:rPr>
          <w:i/>
          <w:szCs w:val="22"/>
          <w:lang w:val="en-US"/>
        </w:rPr>
        <w:t>Exclusion of management agreements</w:t>
      </w:r>
    </w:p>
    <w:p w14:paraId="126F0D3A" w14:textId="0403632C" w:rsidR="00B92ECA" w:rsidRPr="008B5A33" w:rsidRDefault="008B5A33" w:rsidP="008B5A33">
      <w:pPr>
        <w:shd w:val="clear" w:color="auto" w:fill="FFFFFF"/>
        <w:spacing w:before="100" w:beforeAutospacing="1" w:after="120" w:line="276" w:lineRule="auto"/>
        <w:rPr>
          <w:szCs w:val="22"/>
          <w:lang w:val="en-US"/>
        </w:rPr>
      </w:pPr>
      <w:r>
        <w:rPr>
          <w:szCs w:val="22"/>
        </w:rPr>
        <w:t>The instrument:</w:t>
      </w:r>
    </w:p>
    <w:p w14:paraId="57E0C69C" w14:textId="55F429D8" w:rsidR="00B92ECA" w:rsidRPr="00635844" w:rsidRDefault="008B5A33" w:rsidP="008B5A33">
      <w:pPr>
        <w:pStyle w:val="ListParagraph"/>
        <w:numPr>
          <w:ilvl w:val="0"/>
          <w:numId w:val="26"/>
        </w:numPr>
        <w:shd w:val="clear" w:color="auto" w:fill="FFFFFF"/>
        <w:spacing w:before="100" w:beforeAutospacing="1" w:after="120" w:line="276" w:lineRule="auto"/>
        <w:contextualSpacing w:val="0"/>
        <w:rPr>
          <w:szCs w:val="22"/>
          <w:lang w:val="en-US"/>
        </w:rPr>
      </w:pPr>
      <w:r>
        <w:rPr>
          <w:szCs w:val="22"/>
        </w:rPr>
        <w:t xml:space="preserve">amends </w:t>
      </w:r>
      <w:r w:rsidR="004B4342" w:rsidRPr="00635844">
        <w:rPr>
          <w:szCs w:val="22"/>
        </w:rPr>
        <w:t xml:space="preserve">the </w:t>
      </w:r>
      <w:r w:rsidR="00B92ECA" w:rsidRPr="00635844">
        <w:rPr>
          <w:szCs w:val="22"/>
        </w:rPr>
        <w:t xml:space="preserve">notional </w:t>
      </w:r>
      <w:r w:rsidR="004B4342" w:rsidRPr="00635844">
        <w:rPr>
          <w:szCs w:val="22"/>
        </w:rPr>
        <w:t xml:space="preserve">definition of </w:t>
      </w:r>
      <w:r w:rsidR="004B4342" w:rsidRPr="00635844">
        <w:rPr>
          <w:b/>
          <w:i/>
          <w:szCs w:val="22"/>
        </w:rPr>
        <w:t xml:space="preserve">flexible credit cost arrangement </w:t>
      </w:r>
      <w:r w:rsidR="004B4342" w:rsidRPr="00635844">
        <w:rPr>
          <w:szCs w:val="22"/>
        </w:rPr>
        <w:t>in paragraph 5(a) of the primary instrument to exclude a</w:t>
      </w:r>
      <w:r w:rsidR="00B92ECA" w:rsidRPr="00635844">
        <w:rPr>
          <w:szCs w:val="22"/>
        </w:rPr>
        <w:t xml:space="preserve"> ‘management agreement’; and</w:t>
      </w:r>
    </w:p>
    <w:p w14:paraId="0265799F" w14:textId="11003AD2" w:rsidR="00B92ECA" w:rsidRPr="00635844" w:rsidRDefault="008B5A33" w:rsidP="008B5A33">
      <w:pPr>
        <w:pStyle w:val="ListParagraph"/>
        <w:numPr>
          <w:ilvl w:val="0"/>
          <w:numId w:val="26"/>
        </w:numPr>
        <w:shd w:val="clear" w:color="auto" w:fill="FFFFFF"/>
        <w:spacing w:before="100" w:beforeAutospacing="1" w:after="100" w:afterAutospacing="1" w:line="276" w:lineRule="auto"/>
        <w:rPr>
          <w:szCs w:val="22"/>
          <w:lang w:val="en-US"/>
        </w:rPr>
      </w:pPr>
      <w:r>
        <w:rPr>
          <w:szCs w:val="22"/>
        </w:rPr>
        <w:t>inserts</w:t>
      </w:r>
      <w:r w:rsidR="00B92ECA" w:rsidRPr="00635844">
        <w:rPr>
          <w:szCs w:val="22"/>
        </w:rPr>
        <w:t xml:space="preserve"> a notional definition of </w:t>
      </w:r>
      <w:r w:rsidR="00B92ECA" w:rsidRPr="00635844">
        <w:rPr>
          <w:b/>
          <w:i/>
          <w:szCs w:val="22"/>
        </w:rPr>
        <w:t>management agreement</w:t>
      </w:r>
      <w:r w:rsidR="00B92ECA" w:rsidRPr="00635844">
        <w:rPr>
          <w:szCs w:val="22"/>
        </w:rPr>
        <w:t xml:space="preserve"> in paragraph 5(a) of the primary instrument to cover </w:t>
      </w:r>
      <w:r w:rsidR="004B4342" w:rsidRPr="00635844">
        <w:rPr>
          <w:szCs w:val="22"/>
        </w:rPr>
        <w:t>written agreement</w:t>
      </w:r>
      <w:r w:rsidR="00B92ECA" w:rsidRPr="00635844">
        <w:rPr>
          <w:szCs w:val="22"/>
        </w:rPr>
        <w:t>s</w:t>
      </w:r>
      <w:r w:rsidR="004B4342" w:rsidRPr="00635844">
        <w:rPr>
          <w:szCs w:val="22"/>
        </w:rPr>
        <w:t xml:space="preserve"> referred to in regulation 26 of the </w:t>
      </w:r>
      <w:r w:rsidR="004B4342" w:rsidRPr="008B5A33">
        <w:rPr>
          <w:i/>
          <w:szCs w:val="22"/>
        </w:rPr>
        <w:t>National Consumer Credit Protection Regulation 2010</w:t>
      </w:r>
      <w:r w:rsidR="004B4342" w:rsidRPr="00635844">
        <w:rPr>
          <w:szCs w:val="22"/>
        </w:rPr>
        <w:t xml:space="preserve">.  </w:t>
      </w:r>
    </w:p>
    <w:p w14:paraId="2EDE898C" w14:textId="37028D50" w:rsidR="004B4342" w:rsidRPr="00635844" w:rsidRDefault="00B92ECA" w:rsidP="008B5A33">
      <w:pPr>
        <w:shd w:val="clear" w:color="auto" w:fill="FFFFFF"/>
        <w:spacing w:before="100" w:beforeAutospacing="1" w:after="100" w:afterAutospacing="1" w:line="276" w:lineRule="auto"/>
        <w:rPr>
          <w:szCs w:val="22"/>
          <w:lang w:val="en-US"/>
        </w:rPr>
      </w:pPr>
      <w:r w:rsidRPr="00635844">
        <w:rPr>
          <w:szCs w:val="22"/>
        </w:rPr>
        <w:t xml:space="preserve">These amendments </w:t>
      </w:r>
      <w:r w:rsidR="004B4342" w:rsidRPr="00635844">
        <w:rPr>
          <w:szCs w:val="22"/>
        </w:rPr>
        <w:t>have the effect of excluding from the prohibition benefits that are paid to a person  acting in the capacity of a mortgage manager as defined</w:t>
      </w:r>
      <w:r w:rsidRPr="00635844">
        <w:rPr>
          <w:szCs w:val="22"/>
        </w:rPr>
        <w:t xml:space="preserve"> in regulation 26</w:t>
      </w:r>
      <w:r w:rsidR="006735E7" w:rsidRPr="00635844">
        <w:rPr>
          <w:szCs w:val="22"/>
        </w:rPr>
        <w:t xml:space="preserve">. </w:t>
      </w:r>
      <w:r w:rsidR="004B4342" w:rsidRPr="00635844">
        <w:rPr>
          <w:szCs w:val="22"/>
          <w:lang w:val="en-US"/>
        </w:rPr>
        <w:t>Regulation 26 define</w:t>
      </w:r>
      <w:r w:rsidRPr="00635844">
        <w:rPr>
          <w:szCs w:val="22"/>
          <w:lang w:val="en-US"/>
        </w:rPr>
        <w:t>s</w:t>
      </w:r>
      <w:r w:rsidR="004B4342" w:rsidRPr="00635844">
        <w:rPr>
          <w:szCs w:val="22"/>
          <w:lang w:val="en-US"/>
        </w:rPr>
        <w:t xml:space="preserve"> a </w:t>
      </w:r>
      <w:r w:rsidR="004B4342" w:rsidRPr="00635844">
        <w:rPr>
          <w:b/>
          <w:i/>
          <w:szCs w:val="22"/>
          <w:lang w:val="en-US"/>
        </w:rPr>
        <w:t>mortgage manager</w:t>
      </w:r>
      <w:r w:rsidR="004B4342" w:rsidRPr="00635844">
        <w:rPr>
          <w:szCs w:val="22"/>
          <w:lang w:val="en-US"/>
        </w:rPr>
        <w:t xml:space="preserve"> as:</w:t>
      </w:r>
    </w:p>
    <w:p w14:paraId="2A4F8D43" w14:textId="77777777" w:rsidR="00186C73" w:rsidRPr="00635844" w:rsidRDefault="004B4342" w:rsidP="008B5A33">
      <w:pPr>
        <w:shd w:val="clear" w:color="auto" w:fill="FFFFFF"/>
        <w:spacing w:before="100" w:beforeAutospacing="1" w:after="100" w:afterAutospacing="1" w:line="276" w:lineRule="auto"/>
        <w:ind w:left="425"/>
        <w:rPr>
          <w:szCs w:val="22"/>
          <w:lang w:val="en-US"/>
        </w:rPr>
      </w:pPr>
      <w:r w:rsidRPr="00635844">
        <w:rPr>
          <w:szCs w:val="22"/>
          <w:lang w:val="en-US"/>
        </w:rPr>
        <w:t>“</w:t>
      </w:r>
      <w:r w:rsidR="00186C73" w:rsidRPr="00635844">
        <w:rPr>
          <w:szCs w:val="22"/>
          <w:lang w:val="en-US"/>
        </w:rPr>
        <w:t>a licensee who has a written agreement with:</w:t>
      </w:r>
    </w:p>
    <w:p w14:paraId="48EB0F2B" w14:textId="77777777" w:rsidR="00186C73" w:rsidRPr="00635844" w:rsidRDefault="005E600F" w:rsidP="008B5A33">
      <w:pPr>
        <w:shd w:val="clear" w:color="auto" w:fill="FFFFFF"/>
        <w:spacing w:before="100" w:beforeAutospacing="1" w:after="100" w:afterAutospacing="1" w:line="276" w:lineRule="auto"/>
        <w:ind w:left="425"/>
        <w:rPr>
          <w:szCs w:val="22"/>
          <w:lang w:val="en-US"/>
        </w:rPr>
      </w:pPr>
      <w:r w:rsidRPr="00635844">
        <w:rPr>
          <w:szCs w:val="22"/>
          <w:lang w:val="en-US"/>
        </w:rPr>
        <w:t>(</w:t>
      </w:r>
      <w:r w:rsidR="00186C73" w:rsidRPr="00635844">
        <w:rPr>
          <w:szCs w:val="22"/>
          <w:lang w:val="en-US"/>
        </w:rPr>
        <w:t>a)  a credit provider or lessor; or</w:t>
      </w:r>
    </w:p>
    <w:p w14:paraId="7CB1B790" w14:textId="77777777" w:rsidR="00186C73" w:rsidRPr="00635844" w:rsidRDefault="00186C73" w:rsidP="008B5A33">
      <w:pPr>
        <w:shd w:val="clear" w:color="auto" w:fill="FFFFFF"/>
        <w:spacing w:before="100" w:beforeAutospacing="1" w:after="100" w:afterAutospacing="1" w:line="276" w:lineRule="auto"/>
        <w:ind w:left="425"/>
        <w:rPr>
          <w:szCs w:val="22"/>
          <w:lang w:val="en-US"/>
        </w:rPr>
      </w:pPr>
      <w:r w:rsidRPr="00635844">
        <w:rPr>
          <w:szCs w:val="22"/>
          <w:lang w:val="en-US"/>
        </w:rPr>
        <w:t>(b)  a third party who is authorised to act for a credit provider or lessor (under a written agreement with the credit provider or lessor); and</w:t>
      </w:r>
    </w:p>
    <w:p w14:paraId="48DC1270" w14:textId="77777777" w:rsidR="00186C73" w:rsidRPr="00635844" w:rsidRDefault="00186C73" w:rsidP="008B5A33">
      <w:pPr>
        <w:shd w:val="clear" w:color="auto" w:fill="FFFFFF"/>
        <w:spacing w:before="100" w:beforeAutospacing="1" w:after="100" w:afterAutospacing="1" w:line="276" w:lineRule="auto"/>
        <w:ind w:left="425"/>
        <w:rPr>
          <w:szCs w:val="22"/>
          <w:lang w:val="en-US"/>
        </w:rPr>
      </w:pPr>
      <w:r w:rsidRPr="00635844">
        <w:rPr>
          <w:szCs w:val="22"/>
          <w:lang w:val="en-US"/>
        </w:rPr>
        <w:lastRenderedPageBreak/>
        <w:t>under the terms of which:</w:t>
      </w:r>
    </w:p>
    <w:p w14:paraId="3DBC27BB" w14:textId="77777777" w:rsidR="00186C73" w:rsidRPr="00635844" w:rsidRDefault="00186C73" w:rsidP="008B5A33">
      <w:pPr>
        <w:shd w:val="clear" w:color="auto" w:fill="FFFFFF"/>
        <w:spacing w:before="100" w:beforeAutospacing="1" w:after="100" w:afterAutospacing="1" w:line="276" w:lineRule="auto"/>
        <w:ind w:left="425"/>
        <w:rPr>
          <w:szCs w:val="22"/>
          <w:lang w:val="en-US"/>
        </w:rPr>
      </w:pPr>
      <w:r w:rsidRPr="00635844">
        <w:rPr>
          <w:szCs w:val="22"/>
          <w:lang w:val="en-US"/>
        </w:rPr>
        <w:t>(c)  the licensee is required to manage the relationship with the consumer on a day</w:t>
      </w:r>
      <w:r w:rsidRPr="00635844">
        <w:rPr>
          <w:rFonts w:ascii="MS Mincho" w:eastAsia="MS Mincho" w:hAnsi="MS Mincho" w:cs="MS Mincho" w:hint="eastAsia"/>
          <w:szCs w:val="22"/>
          <w:lang w:val="en-US"/>
        </w:rPr>
        <w:t>‑</w:t>
      </w:r>
      <w:r w:rsidRPr="00635844">
        <w:rPr>
          <w:szCs w:val="22"/>
          <w:lang w:val="en-US"/>
        </w:rPr>
        <w:t>to</w:t>
      </w:r>
      <w:r w:rsidRPr="00635844">
        <w:rPr>
          <w:rFonts w:ascii="MS Mincho" w:eastAsia="MS Mincho" w:hAnsi="MS Mincho" w:cs="MS Mincho" w:hint="eastAsia"/>
          <w:szCs w:val="22"/>
          <w:lang w:val="en-US"/>
        </w:rPr>
        <w:t>‑</w:t>
      </w:r>
      <w:r w:rsidRPr="00635844">
        <w:rPr>
          <w:szCs w:val="22"/>
          <w:lang w:val="en-US"/>
        </w:rPr>
        <w:t>day basis for the credit provider or lessor in accordance with the credit provider’s, lessor’s or third party’s policies and procedures; and</w:t>
      </w:r>
    </w:p>
    <w:p w14:paraId="764D10FD" w14:textId="1ECF2B38" w:rsidR="004B4342" w:rsidRDefault="00186C73" w:rsidP="008B5A33">
      <w:pPr>
        <w:shd w:val="clear" w:color="auto" w:fill="FFFFFF"/>
        <w:spacing w:before="100" w:beforeAutospacing="1" w:after="100" w:afterAutospacing="1" w:line="276" w:lineRule="auto"/>
        <w:ind w:left="425"/>
        <w:rPr>
          <w:szCs w:val="22"/>
          <w:lang w:val="en-US"/>
        </w:rPr>
      </w:pPr>
      <w:r w:rsidRPr="00635844">
        <w:rPr>
          <w:szCs w:val="22"/>
          <w:lang w:val="en-US"/>
        </w:rPr>
        <w:t>(d)  the credit contracts, consumer leases and associated documentation used by the licensee are branded or co</w:t>
      </w:r>
      <w:r w:rsidRPr="00635844">
        <w:rPr>
          <w:rFonts w:ascii="MS Mincho" w:eastAsia="MS Mincho" w:hAnsi="MS Mincho" w:cs="MS Mincho" w:hint="eastAsia"/>
          <w:szCs w:val="22"/>
          <w:lang w:val="en-US"/>
        </w:rPr>
        <w:t>‑</w:t>
      </w:r>
      <w:r w:rsidRPr="00635844">
        <w:rPr>
          <w:szCs w:val="22"/>
          <w:lang w:val="en-US"/>
        </w:rPr>
        <w:t>branded with the name of the licensee</w:t>
      </w:r>
      <w:r w:rsidR="005E600F" w:rsidRPr="00635844">
        <w:rPr>
          <w:szCs w:val="22"/>
          <w:lang w:val="en-US"/>
        </w:rPr>
        <w:t>”</w:t>
      </w:r>
      <w:r w:rsidRPr="00635844">
        <w:rPr>
          <w:szCs w:val="22"/>
          <w:lang w:val="en-US"/>
        </w:rPr>
        <w:t>.</w:t>
      </w:r>
    </w:p>
    <w:p w14:paraId="50496658" w14:textId="77777777" w:rsidR="00FA6A84" w:rsidRPr="00635844" w:rsidRDefault="00FA6A84" w:rsidP="00FA6A84">
      <w:pPr>
        <w:shd w:val="clear" w:color="auto" w:fill="FFFFFF"/>
        <w:spacing w:before="100" w:beforeAutospacing="1" w:after="100" w:afterAutospacing="1" w:line="276" w:lineRule="auto"/>
        <w:rPr>
          <w:i/>
          <w:szCs w:val="22"/>
        </w:rPr>
      </w:pPr>
      <w:r w:rsidRPr="00635844">
        <w:rPr>
          <w:i/>
          <w:szCs w:val="22"/>
        </w:rPr>
        <w:t>Application to ‘in-flight’ offers</w:t>
      </w:r>
    </w:p>
    <w:p w14:paraId="6CC901EB" w14:textId="77F408B5" w:rsidR="00B92ECA" w:rsidRPr="00FA6A84" w:rsidRDefault="00FA6A84" w:rsidP="00FA6A84">
      <w:pPr>
        <w:shd w:val="clear" w:color="auto" w:fill="FFFFFF"/>
        <w:spacing w:before="100" w:beforeAutospacing="1" w:after="100" w:afterAutospacing="1" w:line="276" w:lineRule="auto"/>
        <w:rPr>
          <w:szCs w:val="22"/>
          <w:lang w:val="en-US"/>
        </w:rPr>
      </w:pPr>
      <w:r>
        <w:rPr>
          <w:szCs w:val="22"/>
          <w:lang w:val="en-US"/>
        </w:rPr>
        <w:t xml:space="preserve">The instrument amends </w:t>
      </w:r>
      <w:r w:rsidR="004B4342" w:rsidRPr="00FA6A84">
        <w:rPr>
          <w:szCs w:val="22"/>
          <w:lang w:val="en-US"/>
        </w:rPr>
        <w:t xml:space="preserve">the application provision in section 6 of the primary instrument to provide </w:t>
      </w:r>
      <w:r w:rsidR="00FB1570">
        <w:rPr>
          <w:szCs w:val="22"/>
          <w:lang w:val="en-US"/>
        </w:rPr>
        <w:t>(in addition to the existing limitation</w:t>
      </w:r>
      <w:r w:rsidR="004F0944">
        <w:rPr>
          <w:szCs w:val="22"/>
          <w:lang w:val="en-US"/>
        </w:rPr>
        <w:t>s</w:t>
      </w:r>
      <w:r w:rsidR="00FB1570">
        <w:rPr>
          <w:szCs w:val="22"/>
          <w:lang w:val="en-US"/>
        </w:rPr>
        <w:t>)</w:t>
      </w:r>
      <w:r w:rsidR="004B4342" w:rsidRPr="00FA6A84">
        <w:rPr>
          <w:szCs w:val="22"/>
          <w:lang w:val="en-US"/>
        </w:rPr>
        <w:t xml:space="preserve"> that the primary instrument does not apply in relation to </w:t>
      </w:r>
      <w:r w:rsidR="0090140F" w:rsidRPr="00FA6A84">
        <w:rPr>
          <w:szCs w:val="22"/>
          <w:lang w:val="en-US"/>
        </w:rPr>
        <w:t>a credit contract or consumer lease that was entered into</w:t>
      </w:r>
      <w:r w:rsidR="00B92ECA" w:rsidRPr="00FA6A84">
        <w:rPr>
          <w:szCs w:val="22"/>
          <w:lang w:val="en-US"/>
        </w:rPr>
        <w:t>:</w:t>
      </w:r>
    </w:p>
    <w:p w14:paraId="3BC77E4C" w14:textId="77777777" w:rsidR="00B92ECA" w:rsidRPr="00635844" w:rsidRDefault="0090140F" w:rsidP="00B10553">
      <w:pPr>
        <w:pStyle w:val="ListParagraph"/>
        <w:numPr>
          <w:ilvl w:val="0"/>
          <w:numId w:val="27"/>
        </w:numPr>
        <w:shd w:val="clear" w:color="auto" w:fill="FFFFFF"/>
        <w:spacing w:before="100" w:beforeAutospacing="1" w:after="120" w:line="276" w:lineRule="auto"/>
        <w:ind w:left="714" w:hanging="357"/>
        <w:contextualSpacing w:val="0"/>
        <w:rPr>
          <w:szCs w:val="22"/>
          <w:lang w:val="en-US"/>
        </w:rPr>
      </w:pPr>
      <w:r w:rsidRPr="00635844">
        <w:rPr>
          <w:szCs w:val="22"/>
          <w:lang w:val="en-US"/>
        </w:rPr>
        <w:t>before the instrument commences</w:t>
      </w:r>
      <w:r w:rsidR="00B92ECA" w:rsidRPr="00635844">
        <w:rPr>
          <w:szCs w:val="22"/>
          <w:lang w:val="en-US"/>
        </w:rPr>
        <w:t>; or</w:t>
      </w:r>
    </w:p>
    <w:p w14:paraId="0591B4DF" w14:textId="227DD1E0" w:rsidR="004B4342" w:rsidRPr="00635844" w:rsidRDefault="00B92ECA" w:rsidP="00B10553">
      <w:pPr>
        <w:pStyle w:val="ListParagraph"/>
        <w:numPr>
          <w:ilvl w:val="0"/>
          <w:numId w:val="27"/>
        </w:numPr>
        <w:shd w:val="clear" w:color="auto" w:fill="FFFFFF"/>
        <w:spacing w:before="100" w:beforeAutospacing="1" w:after="100" w:afterAutospacing="1" w:line="276" w:lineRule="auto"/>
        <w:rPr>
          <w:szCs w:val="22"/>
          <w:lang w:val="en-US"/>
        </w:rPr>
      </w:pPr>
      <w:r w:rsidRPr="00635844">
        <w:rPr>
          <w:szCs w:val="22"/>
          <w:lang w:val="en-US"/>
        </w:rPr>
        <w:t>before 1 Februar</w:t>
      </w:r>
      <w:r w:rsidR="0003082E" w:rsidRPr="00635844">
        <w:rPr>
          <w:szCs w:val="22"/>
          <w:lang w:val="en-US"/>
        </w:rPr>
        <w:t xml:space="preserve">y 2019 as a result of </w:t>
      </w:r>
      <w:r w:rsidR="001E049C" w:rsidRPr="00635844">
        <w:rPr>
          <w:szCs w:val="22"/>
          <w:lang w:val="en-US"/>
        </w:rPr>
        <w:t xml:space="preserve">either </w:t>
      </w:r>
      <w:r w:rsidRPr="00635844">
        <w:rPr>
          <w:szCs w:val="22"/>
          <w:lang w:val="en-US"/>
        </w:rPr>
        <w:t xml:space="preserve">an offer </w:t>
      </w:r>
      <w:r w:rsidR="0003082E" w:rsidRPr="00635844">
        <w:rPr>
          <w:szCs w:val="22"/>
          <w:lang w:val="en-US"/>
        </w:rPr>
        <w:t xml:space="preserve">that was made by the credit provider or lessor before </w:t>
      </w:r>
      <w:r w:rsidR="00965C36" w:rsidRPr="00635844">
        <w:rPr>
          <w:szCs w:val="22"/>
          <w:lang w:val="en-US"/>
        </w:rPr>
        <w:t>the instrument commences</w:t>
      </w:r>
      <w:r w:rsidR="0072695D">
        <w:rPr>
          <w:szCs w:val="22"/>
          <w:lang w:val="en-US"/>
        </w:rPr>
        <w:t xml:space="preserve">, </w:t>
      </w:r>
      <w:r w:rsidR="001E049C" w:rsidRPr="00635844">
        <w:rPr>
          <w:szCs w:val="22"/>
          <w:lang w:val="en-US"/>
        </w:rPr>
        <w:t xml:space="preserve">or </w:t>
      </w:r>
      <w:r w:rsidR="00965C36" w:rsidRPr="00635844">
        <w:rPr>
          <w:szCs w:val="22"/>
          <w:lang w:val="en-US"/>
        </w:rPr>
        <w:t xml:space="preserve">an </w:t>
      </w:r>
      <w:r w:rsidR="001E049C" w:rsidRPr="00635844">
        <w:rPr>
          <w:szCs w:val="22"/>
          <w:lang w:val="en-US"/>
        </w:rPr>
        <w:t xml:space="preserve">acceptance </w:t>
      </w:r>
      <w:r w:rsidR="0072695D">
        <w:rPr>
          <w:szCs w:val="22"/>
          <w:lang w:val="en-US"/>
        </w:rPr>
        <w:t xml:space="preserve">before 1 February 2019 </w:t>
      </w:r>
      <w:r w:rsidR="001E049C" w:rsidRPr="00635844">
        <w:rPr>
          <w:szCs w:val="22"/>
          <w:lang w:val="en-US"/>
        </w:rPr>
        <w:t xml:space="preserve">by the credit provider or lessor of an offer made by the consumer before </w:t>
      </w:r>
      <w:r w:rsidR="00965C36" w:rsidRPr="00635844">
        <w:rPr>
          <w:szCs w:val="22"/>
          <w:lang w:val="en-US"/>
        </w:rPr>
        <w:t>the instrument commences</w:t>
      </w:r>
      <w:r w:rsidR="0090140F" w:rsidRPr="00635844">
        <w:rPr>
          <w:szCs w:val="22"/>
          <w:lang w:val="en-US"/>
        </w:rPr>
        <w:t xml:space="preserve">. </w:t>
      </w:r>
    </w:p>
    <w:p w14:paraId="6752DF9A" w14:textId="3A23DEE4" w:rsidR="001E049C" w:rsidRPr="00B10553" w:rsidRDefault="00FB1570" w:rsidP="00B10553">
      <w:pPr>
        <w:shd w:val="clear" w:color="auto" w:fill="FFFFFF"/>
        <w:spacing w:before="100" w:beforeAutospacing="1" w:after="100" w:afterAutospacing="1" w:line="276" w:lineRule="auto"/>
        <w:rPr>
          <w:szCs w:val="22"/>
          <w:lang w:val="en-US"/>
        </w:rPr>
      </w:pPr>
      <w:r>
        <w:rPr>
          <w:szCs w:val="22"/>
          <w:lang w:val="en-US"/>
        </w:rPr>
        <w:t xml:space="preserve">Given the </w:t>
      </w:r>
      <w:r w:rsidR="001E049C" w:rsidRPr="00B10553">
        <w:rPr>
          <w:szCs w:val="22"/>
          <w:lang w:val="en-US"/>
        </w:rPr>
        <w:t>different offer and acceptance models that may be used for entering credit contracts and consumer leases</w:t>
      </w:r>
      <w:r w:rsidR="00CC481D">
        <w:rPr>
          <w:szCs w:val="22"/>
          <w:lang w:val="en-US"/>
        </w:rPr>
        <w:t xml:space="preserve">, the additional transition provision </w:t>
      </w:r>
      <w:r>
        <w:rPr>
          <w:szCs w:val="22"/>
          <w:lang w:val="en-US"/>
        </w:rPr>
        <w:t>minimises disruption to stakeholders</w:t>
      </w:r>
      <w:r w:rsidR="001E049C" w:rsidRPr="00B10553">
        <w:rPr>
          <w:szCs w:val="22"/>
          <w:lang w:val="en-US"/>
        </w:rPr>
        <w:t xml:space="preserve">. </w:t>
      </w:r>
    </w:p>
    <w:p w14:paraId="110C022C" w14:textId="77777777" w:rsidR="006735E7" w:rsidRPr="00635844" w:rsidRDefault="006735E7" w:rsidP="006735E7">
      <w:pPr>
        <w:shd w:val="clear" w:color="auto" w:fill="FFFFFF"/>
        <w:spacing w:before="100" w:beforeAutospacing="1" w:after="100" w:afterAutospacing="1" w:line="276" w:lineRule="auto"/>
        <w:rPr>
          <w:szCs w:val="22"/>
          <w:lang w:val="en-US"/>
        </w:rPr>
      </w:pPr>
      <w:r w:rsidRPr="00635844">
        <w:rPr>
          <w:b/>
          <w:bCs/>
          <w:szCs w:val="22"/>
        </w:rPr>
        <w:t>4.         Consultation</w:t>
      </w:r>
    </w:p>
    <w:p w14:paraId="14BC01DE" w14:textId="0D7E2152" w:rsidR="006735E7" w:rsidRPr="00635844" w:rsidRDefault="0090140F" w:rsidP="006735E7">
      <w:pPr>
        <w:shd w:val="clear" w:color="auto" w:fill="FFFFFF"/>
        <w:spacing w:before="100" w:beforeAutospacing="1" w:after="100" w:afterAutospacing="1" w:line="276" w:lineRule="auto"/>
        <w:rPr>
          <w:szCs w:val="22"/>
          <w:lang w:val="en-US"/>
        </w:rPr>
      </w:pPr>
      <w:r w:rsidRPr="00635844">
        <w:rPr>
          <w:szCs w:val="22"/>
        </w:rPr>
        <w:t xml:space="preserve">ASIC provided </w:t>
      </w:r>
      <w:r w:rsidR="0003082E" w:rsidRPr="00635844">
        <w:rPr>
          <w:szCs w:val="22"/>
        </w:rPr>
        <w:t xml:space="preserve">initial drafts of the </w:t>
      </w:r>
      <w:r w:rsidRPr="00635844">
        <w:rPr>
          <w:szCs w:val="22"/>
        </w:rPr>
        <w:t xml:space="preserve">proposed amendments to the stakeholders who </w:t>
      </w:r>
      <w:r w:rsidR="000D613B" w:rsidRPr="00635844">
        <w:rPr>
          <w:szCs w:val="22"/>
        </w:rPr>
        <w:t>raised the issues noted above</w:t>
      </w:r>
      <w:r w:rsidR="00AA7197" w:rsidRPr="00635844">
        <w:rPr>
          <w:szCs w:val="22"/>
        </w:rPr>
        <w:t xml:space="preserve">, who confirmed that the amendments would address those issues. ASIC also provided the draft proposed amendments to a broader group of stakeholders who </w:t>
      </w:r>
      <w:r w:rsidRPr="00635844">
        <w:rPr>
          <w:szCs w:val="22"/>
        </w:rPr>
        <w:t>had engaged in the consultation for, and provided comments on drafts of, the p</w:t>
      </w:r>
      <w:r w:rsidR="00C24ED3" w:rsidRPr="00635844">
        <w:rPr>
          <w:szCs w:val="22"/>
        </w:rPr>
        <w:t>rimary instrument. We received responses</w:t>
      </w:r>
      <w:r w:rsidRPr="00635844">
        <w:rPr>
          <w:szCs w:val="22"/>
        </w:rPr>
        <w:t xml:space="preserve"> from lenders, industry representative bodies and consumer representative bodies. All stakeholders who responded were supportive of the draft amendments.  </w:t>
      </w:r>
      <w:r w:rsidR="00756A32">
        <w:rPr>
          <w:szCs w:val="22"/>
        </w:rPr>
        <w:t xml:space="preserve">Some stakeholders suggested technical changes to the draft wording, which have been incorporated. </w:t>
      </w:r>
      <w:r w:rsidR="0003082E" w:rsidRPr="00635844">
        <w:rPr>
          <w:szCs w:val="22"/>
        </w:rPr>
        <w:t xml:space="preserve">Though there have been some changes to the final wording of the amendments in this instrument, the amendments have the same </w:t>
      </w:r>
      <w:r w:rsidR="001C7D9B">
        <w:rPr>
          <w:szCs w:val="22"/>
        </w:rPr>
        <w:t xml:space="preserve">substantive </w:t>
      </w:r>
      <w:r w:rsidR="0003082E" w:rsidRPr="00635844">
        <w:rPr>
          <w:szCs w:val="22"/>
        </w:rPr>
        <w:t>effect as the drafts provided for consultation.</w:t>
      </w:r>
    </w:p>
    <w:p w14:paraId="0BA057C0" w14:textId="77777777" w:rsidR="0090140F" w:rsidRPr="00635844" w:rsidRDefault="006735E7" w:rsidP="006735E7">
      <w:pPr>
        <w:shd w:val="clear" w:color="auto" w:fill="FFFFFF"/>
        <w:spacing w:before="100" w:beforeAutospacing="1" w:after="100" w:afterAutospacing="1"/>
        <w:rPr>
          <w:szCs w:val="22"/>
        </w:rPr>
      </w:pPr>
      <w:r w:rsidRPr="00635844">
        <w:rPr>
          <w:szCs w:val="22"/>
        </w:rPr>
        <w:t> </w:t>
      </w:r>
    </w:p>
    <w:p w14:paraId="215319C6" w14:textId="77777777" w:rsidR="0090140F" w:rsidRPr="00635844" w:rsidRDefault="0090140F">
      <w:pPr>
        <w:spacing w:after="0"/>
        <w:rPr>
          <w:szCs w:val="22"/>
        </w:rPr>
      </w:pPr>
      <w:r w:rsidRPr="00635844">
        <w:rPr>
          <w:szCs w:val="22"/>
        </w:rPr>
        <w:br w:type="page"/>
      </w:r>
    </w:p>
    <w:p w14:paraId="0C107D2D" w14:textId="77777777" w:rsidR="006735E7" w:rsidRPr="006735E7" w:rsidRDefault="006735E7" w:rsidP="006735E7">
      <w:pPr>
        <w:shd w:val="clear" w:color="auto" w:fill="FFFFFF"/>
        <w:spacing w:before="100" w:beforeAutospacing="1" w:after="100" w:afterAutospacing="1"/>
        <w:rPr>
          <w:rFonts w:ascii="Helvetica Neue" w:hAnsi="Helvetica Neue"/>
          <w:sz w:val="19"/>
          <w:szCs w:val="19"/>
          <w:lang w:val="en-US"/>
        </w:rPr>
      </w:pPr>
    </w:p>
    <w:p w14:paraId="6F9EDC52" w14:textId="77777777" w:rsidR="006735E7" w:rsidRPr="006735E7" w:rsidRDefault="006735E7" w:rsidP="006735E7">
      <w:pPr>
        <w:shd w:val="clear" w:color="auto" w:fill="FFFFFF"/>
        <w:spacing w:before="100" w:beforeAutospacing="1" w:after="100" w:afterAutospacing="1"/>
        <w:rPr>
          <w:rFonts w:ascii="Helvetica Neue" w:hAnsi="Helvetica Neue"/>
          <w:sz w:val="19"/>
          <w:szCs w:val="19"/>
          <w:lang w:val="en-US"/>
        </w:rPr>
      </w:pPr>
      <w:r w:rsidRPr="006735E7">
        <w:rPr>
          <w:rFonts w:ascii="Helvetica Neue" w:hAnsi="Helvetica Neue"/>
          <w:b/>
          <w:bCs/>
          <w:sz w:val="19"/>
          <w:szCs w:val="19"/>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6"/>
      </w:tblGrid>
      <w:tr w:rsidR="006735E7" w:rsidRPr="006735E7" w14:paraId="624FA2D4" w14:textId="77777777" w:rsidTr="006735E7">
        <w:tc>
          <w:tcPr>
            <w:tcW w:w="9016" w:type="dxa"/>
            <w:tcBorders>
              <w:top w:val="double" w:sz="12" w:space="0" w:color="auto"/>
              <w:left w:val="double" w:sz="12" w:space="0" w:color="auto"/>
              <w:bottom w:val="double" w:sz="12" w:space="0" w:color="auto"/>
              <w:right w:val="double" w:sz="12" w:space="0" w:color="auto"/>
            </w:tcBorders>
            <w:tcMar>
              <w:top w:w="0" w:type="dxa"/>
              <w:left w:w="108" w:type="dxa"/>
              <w:bottom w:w="0" w:type="dxa"/>
              <w:right w:w="108" w:type="dxa"/>
            </w:tcMar>
            <w:hideMark/>
          </w:tcPr>
          <w:p w14:paraId="3C771FBD" w14:textId="77777777" w:rsidR="006735E7" w:rsidRPr="006735E7" w:rsidRDefault="006735E7" w:rsidP="006735E7">
            <w:pPr>
              <w:spacing w:before="100" w:beforeAutospacing="1" w:after="0"/>
              <w:rPr>
                <w:rFonts w:ascii="Helvetica Neue" w:hAnsi="Helvetica Neue"/>
                <w:sz w:val="19"/>
                <w:szCs w:val="19"/>
              </w:rPr>
            </w:pPr>
            <w:r w:rsidRPr="006735E7">
              <w:rPr>
                <w:rFonts w:ascii="Helvetica Neue" w:hAnsi="Helvetica Neue"/>
                <w:b/>
                <w:bCs/>
                <w:sz w:val="19"/>
                <w:szCs w:val="19"/>
              </w:rPr>
              <w:t> </w:t>
            </w:r>
          </w:p>
          <w:p w14:paraId="21215D85" w14:textId="4FEEC864" w:rsidR="006735E7" w:rsidRPr="00E906A5" w:rsidRDefault="006735E7" w:rsidP="00E906A5">
            <w:pPr>
              <w:spacing w:before="100" w:beforeAutospacing="1" w:after="0"/>
              <w:jc w:val="center"/>
              <w:rPr>
                <w:rFonts w:ascii="Helvetica Neue" w:hAnsi="Helvetica Neue"/>
                <w:szCs w:val="22"/>
              </w:rPr>
            </w:pPr>
            <w:r w:rsidRPr="00E906A5">
              <w:rPr>
                <w:b/>
                <w:bCs/>
                <w:szCs w:val="22"/>
              </w:rPr>
              <w:t>Statement of Compatibility with Human Rights</w:t>
            </w:r>
          </w:p>
          <w:p w14:paraId="180D8120" w14:textId="77777777" w:rsidR="006735E7" w:rsidRPr="00E906A5" w:rsidRDefault="006735E7" w:rsidP="006735E7">
            <w:pPr>
              <w:spacing w:before="120" w:after="120"/>
              <w:jc w:val="center"/>
              <w:rPr>
                <w:rFonts w:ascii="Helvetica Neue" w:hAnsi="Helvetica Neue"/>
                <w:szCs w:val="22"/>
              </w:rPr>
            </w:pPr>
            <w:r w:rsidRPr="00E906A5">
              <w:rPr>
                <w:i/>
                <w:iCs/>
                <w:szCs w:val="22"/>
              </w:rPr>
              <w:t>Prepared in accordance with Part 3 of the Human Rights (Parliamentary Scrutiny) Act 2011</w:t>
            </w:r>
          </w:p>
          <w:p w14:paraId="22A188AE" w14:textId="384A8E6A" w:rsidR="006735E7" w:rsidRPr="00E906A5" w:rsidRDefault="006735E7" w:rsidP="006735E7">
            <w:pPr>
              <w:spacing w:before="120" w:after="120"/>
              <w:jc w:val="center"/>
              <w:rPr>
                <w:rFonts w:ascii="Helvetica Neue" w:hAnsi="Helvetica Neue"/>
                <w:szCs w:val="22"/>
              </w:rPr>
            </w:pPr>
            <w:r w:rsidRPr="00E906A5">
              <w:rPr>
                <w:b/>
                <w:bCs/>
                <w:szCs w:val="22"/>
              </w:rPr>
              <w:t>ASIC C</w:t>
            </w:r>
            <w:r w:rsidR="0090140F" w:rsidRPr="00E906A5">
              <w:rPr>
                <w:b/>
                <w:bCs/>
                <w:szCs w:val="22"/>
              </w:rPr>
              <w:t>redit</w:t>
            </w:r>
            <w:r w:rsidRPr="00E906A5">
              <w:rPr>
                <w:b/>
                <w:bCs/>
                <w:szCs w:val="22"/>
              </w:rPr>
              <w:t xml:space="preserve"> (Amendment) Instrument 2018/</w:t>
            </w:r>
            <w:r w:rsidR="00A807FD" w:rsidRPr="00E906A5">
              <w:rPr>
                <w:b/>
                <w:bCs/>
                <w:szCs w:val="22"/>
              </w:rPr>
              <w:t>706</w:t>
            </w:r>
          </w:p>
          <w:p w14:paraId="2A0545FE" w14:textId="1F96D4D0" w:rsidR="006735E7" w:rsidRPr="00E906A5" w:rsidRDefault="006735E7" w:rsidP="006735E7">
            <w:pPr>
              <w:spacing w:before="120" w:after="120"/>
              <w:jc w:val="center"/>
              <w:rPr>
                <w:rFonts w:ascii="Helvetica Neue" w:hAnsi="Helvetica Neue"/>
                <w:szCs w:val="22"/>
              </w:rPr>
            </w:pPr>
            <w:r w:rsidRPr="00E906A5">
              <w:rPr>
                <w:i/>
                <w:iCs/>
                <w:szCs w:val="22"/>
              </w:rPr>
              <w:t xml:space="preserve">ASIC </w:t>
            </w:r>
            <w:r w:rsidR="0090140F" w:rsidRPr="00E906A5">
              <w:rPr>
                <w:i/>
                <w:iCs/>
                <w:szCs w:val="22"/>
              </w:rPr>
              <w:t xml:space="preserve">Credit </w:t>
            </w:r>
            <w:r w:rsidRPr="00E906A5">
              <w:rPr>
                <w:i/>
                <w:iCs/>
                <w:szCs w:val="22"/>
              </w:rPr>
              <w:t>(Amendment) Instrument 2018/</w:t>
            </w:r>
            <w:r w:rsidR="00A807FD" w:rsidRPr="00E906A5">
              <w:rPr>
                <w:i/>
                <w:iCs/>
                <w:szCs w:val="22"/>
              </w:rPr>
              <w:t xml:space="preserve">706 </w:t>
            </w:r>
            <w:r w:rsidRPr="00E906A5">
              <w:rPr>
                <w:szCs w:val="22"/>
              </w:rPr>
              <w:t xml:space="preserve">is compatible with the human rights and freedoms recognised or declared in the international instruments listed in section 3 of the </w:t>
            </w:r>
            <w:r w:rsidRPr="00E906A5">
              <w:rPr>
                <w:i/>
                <w:iCs/>
                <w:szCs w:val="22"/>
              </w:rPr>
              <w:t>Human Rights (Parliamentary Scrutiny) Act 2011</w:t>
            </w:r>
            <w:r w:rsidRPr="00E906A5">
              <w:rPr>
                <w:szCs w:val="22"/>
              </w:rPr>
              <w:t>.</w:t>
            </w:r>
          </w:p>
          <w:p w14:paraId="71861418" w14:textId="4CB22872" w:rsidR="006735E7" w:rsidRPr="00E906A5" w:rsidRDefault="006735E7" w:rsidP="00E906A5">
            <w:pPr>
              <w:spacing w:before="120" w:after="120"/>
              <w:rPr>
                <w:rFonts w:ascii="Helvetica Neue" w:hAnsi="Helvetica Neue"/>
                <w:szCs w:val="22"/>
              </w:rPr>
            </w:pPr>
            <w:r w:rsidRPr="00E906A5">
              <w:rPr>
                <w:b/>
                <w:bCs/>
                <w:szCs w:val="22"/>
              </w:rPr>
              <w:t>Overview</w:t>
            </w:r>
          </w:p>
          <w:p w14:paraId="3FBDE025" w14:textId="6C3D4D17" w:rsidR="0090140F" w:rsidRPr="00E906A5" w:rsidRDefault="0090140F" w:rsidP="00E906A5">
            <w:pPr>
              <w:spacing w:after="120"/>
              <w:rPr>
                <w:i/>
                <w:iCs/>
                <w:szCs w:val="22"/>
              </w:rPr>
            </w:pPr>
            <w:r w:rsidRPr="00E906A5">
              <w:rPr>
                <w:i/>
                <w:iCs/>
                <w:szCs w:val="22"/>
              </w:rPr>
              <w:t>ASIC Credit (Amendment) Instrument 2018/</w:t>
            </w:r>
            <w:r w:rsidR="00A807FD" w:rsidRPr="00E906A5">
              <w:rPr>
                <w:i/>
                <w:iCs/>
                <w:szCs w:val="22"/>
              </w:rPr>
              <w:t>706</w:t>
            </w:r>
            <w:r w:rsidRPr="00E906A5">
              <w:rPr>
                <w:i/>
                <w:iCs/>
                <w:szCs w:val="22"/>
              </w:rPr>
              <w:t xml:space="preserve"> </w:t>
            </w:r>
            <w:r w:rsidR="00186C73" w:rsidRPr="00E906A5">
              <w:rPr>
                <w:szCs w:val="22"/>
              </w:rPr>
              <w:t xml:space="preserve">amends </w:t>
            </w:r>
            <w:r w:rsidR="00186C73" w:rsidRPr="00E906A5">
              <w:rPr>
                <w:i/>
                <w:iCs/>
                <w:szCs w:val="22"/>
              </w:rPr>
              <w:t>ASIC Credit (Flexible Credit Cost Arrangements) Instrument 2017/780 to:</w:t>
            </w:r>
          </w:p>
          <w:p w14:paraId="724CB5FE" w14:textId="77777777" w:rsidR="00186C73" w:rsidRPr="00E906A5" w:rsidRDefault="00186C73" w:rsidP="00E906A5">
            <w:pPr>
              <w:pStyle w:val="ListParagraph"/>
              <w:numPr>
                <w:ilvl w:val="0"/>
                <w:numId w:val="21"/>
              </w:numPr>
              <w:spacing w:after="120"/>
              <w:contextualSpacing w:val="0"/>
              <w:rPr>
                <w:i/>
                <w:iCs/>
                <w:szCs w:val="22"/>
              </w:rPr>
            </w:pPr>
            <w:r w:rsidRPr="00E906A5">
              <w:rPr>
                <w:szCs w:val="22"/>
              </w:rPr>
              <w:t xml:space="preserve">ensure that the definition of </w:t>
            </w:r>
            <w:r w:rsidRPr="00E906A5">
              <w:rPr>
                <w:b/>
                <w:i/>
                <w:szCs w:val="22"/>
              </w:rPr>
              <w:t xml:space="preserve">home loan </w:t>
            </w:r>
            <w:r w:rsidRPr="00E906A5">
              <w:rPr>
                <w:szCs w:val="22"/>
              </w:rPr>
              <w:t>used in the primary instrument is consistent with the broader range of purposes relating to residential property that are treated as regulated credit contracts, and is effective to exclude these credit contracts from the prohibition contained in the primary instrument;</w:t>
            </w:r>
          </w:p>
          <w:p w14:paraId="03EEC737" w14:textId="0807A9F8" w:rsidR="00186C73" w:rsidRPr="00E906A5" w:rsidRDefault="00186C73" w:rsidP="00E906A5">
            <w:pPr>
              <w:pStyle w:val="ListParagraph"/>
              <w:numPr>
                <w:ilvl w:val="0"/>
                <w:numId w:val="21"/>
              </w:numPr>
              <w:spacing w:after="120"/>
              <w:contextualSpacing w:val="0"/>
              <w:rPr>
                <w:iCs/>
                <w:szCs w:val="22"/>
              </w:rPr>
            </w:pPr>
            <w:r w:rsidRPr="00E906A5">
              <w:rPr>
                <w:iCs/>
                <w:szCs w:val="22"/>
              </w:rPr>
              <w:t xml:space="preserve">ensure that the definition of </w:t>
            </w:r>
            <w:r w:rsidRPr="00E906A5">
              <w:rPr>
                <w:b/>
                <w:i/>
                <w:iCs/>
                <w:szCs w:val="22"/>
              </w:rPr>
              <w:t>flexible credit cost arrangement</w:t>
            </w:r>
            <w:r w:rsidRPr="00E906A5">
              <w:rPr>
                <w:iCs/>
                <w:szCs w:val="22"/>
              </w:rPr>
              <w:t xml:space="preserve"> used in the primary instrument excludes a </w:t>
            </w:r>
            <w:r w:rsidR="00995BF0" w:rsidRPr="00E906A5">
              <w:rPr>
                <w:iCs/>
                <w:szCs w:val="22"/>
              </w:rPr>
              <w:t xml:space="preserve">management agreement, which is defined to cover </w:t>
            </w:r>
            <w:r w:rsidRPr="00E906A5">
              <w:rPr>
                <w:iCs/>
                <w:szCs w:val="22"/>
              </w:rPr>
              <w:t>written agreement</w:t>
            </w:r>
            <w:r w:rsidR="00995BF0" w:rsidRPr="00E906A5">
              <w:rPr>
                <w:iCs/>
                <w:szCs w:val="22"/>
              </w:rPr>
              <w:t>s</w:t>
            </w:r>
            <w:r w:rsidRPr="00E906A5">
              <w:rPr>
                <w:iCs/>
                <w:szCs w:val="22"/>
              </w:rPr>
              <w:t xml:space="preserve"> referred to in regulation 26 of the </w:t>
            </w:r>
            <w:r w:rsidRPr="00B1000D">
              <w:rPr>
                <w:i/>
                <w:iCs/>
                <w:szCs w:val="22"/>
              </w:rPr>
              <w:t>National Consumer Credit Protection Regulation 2010</w:t>
            </w:r>
            <w:r w:rsidRPr="00E906A5">
              <w:rPr>
                <w:iCs/>
                <w:szCs w:val="22"/>
              </w:rPr>
              <w:t>; and</w:t>
            </w:r>
          </w:p>
          <w:p w14:paraId="7A5D38DB" w14:textId="124152B2" w:rsidR="00186C73" w:rsidRPr="00E906A5" w:rsidRDefault="00186C73" w:rsidP="00186C73">
            <w:pPr>
              <w:pStyle w:val="ListParagraph"/>
              <w:numPr>
                <w:ilvl w:val="0"/>
                <w:numId w:val="21"/>
              </w:numPr>
              <w:spacing w:before="199" w:after="100" w:afterAutospacing="1"/>
              <w:rPr>
                <w:iCs/>
                <w:szCs w:val="22"/>
              </w:rPr>
            </w:pPr>
            <w:r w:rsidRPr="00E906A5">
              <w:rPr>
                <w:iCs/>
                <w:szCs w:val="22"/>
              </w:rPr>
              <w:t xml:space="preserve">ensure that the </w:t>
            </w:r>
            <w:r w:rsidRPr="00E906A5">
              <w:rPr>
                <w:szCs w:val="22"/>
                <w:lang w:val="en-US"/>
              </w:rPr>
              <w:t xml:space="preserve">application provision will have the effect that the primary instrument does not apply to a credit contract or consumer lease that was entered into on or after 1 November 2018 </w:t>
            </w:r>
            <w:r w:rsidR="00995BF0" w:rsidRPr="00E906A5">
              <w:rPr>
                <w:szCs w:val="22"/>
                <w:lang w:val="en-US"/>
              </w:rPr>
              <w:t>(but before 1 February 2019)</w:t>
            </w:r>
            <w:r w:rsidR="001E049C" w:rsidRPr="00E906A5">
              <w:rPr>
                <w:szCs w:val="22"/>
                <w:lang w:val="en-US"/>
              </w:rPr>
              <w:t xml:space="preserve"> as a result of either an offer that was made by the credit provider or lessor before 1 November 2018 or acceptance by the credit provider or lessor of an offer made by the consumer before 1 November 2018</w:t>
            </w:r>
            <w:r w:rsidRPr="00E906A5">
              <w:rPr>
                <w:iCs/>
                <w:szCs w:val="22"/>
              </w:rPr>
              <w:t xml:space="preserve">.  </w:t>
            </w:r>
          </w:p>
          <w:p w14:paraId="75C28B22" w14:textId="77777777" w:rsidR="006735E7" w:rsidRPr="00E906A5" w:rsidRDefault="006735E7" w:rsidP="006735E7">
            <w:pPr>
              <w:spacing w:before="120" w:after="120"/>
              <w:rPr>
                <w:rFonts w:ascii="Helvetica Neue" w:hAnsi="Helvetica Neue"/>
                <w:szCs w:val="22"/>
              </w:rPr>
            </w:pPr>
            <w:r w:rsidRPr="00E906A5">
              <w:rPr>
                <w:b/>
                <w:bCs/>
                <w:szCs w:val="22"/>
              </w:rPr>
              <w:t>Human rights implications</w:t>
            </w:r>
          </w:p>
          <w:p w14:paraId="436087E5" w14:textId="77777777" w:rsidR="006735E7" w:rsidRPr="00E906A5" w:rsidRDefault="006735E7" w:rsidP="006735E7">
            <w:pPr>
              <w:spacing w:before="120" w:after="120"/>
              <w:rPr>
                <w:rFonts w:ascii="Helvetica Neue" w:hAnsi="Helvetica Neue"/>
                <w:szCs w:val="22"/>
              </w:rPr>
            </w:pPr>
            <w:r w:rsidRPr="00E906A5">
              <w:rPr>
                <w:szCs w:val="22"/>
              </w:rPr>
              <w:t>This legislative instrument does not engage any of the applicable rights or freedoms.</w:t>
            </w:r>
          </w:p>
          <w:p w14:paraId="5E0AADF5" w14:textId="42685D5A" w:rsidR="006735E7" w:rsidRPr="00E906A5" w:rsidRDefault="006735E7" w:rsidP="006735E7">
            <w:pPr>
              <w:spacing w:before="120" w:after="120"/>
              <w:rPr>
                <w:rFonts w:ascii="Helvetica Neue" w:hAnsi="Helvetica Neue"/>
                <w:szCs w:val="22"/>
              </w:rPr>
            </w:pPr>
            <w:r w:rsidRPr="00E906A5">
              <w:rPr>
                <w:b/>
                <w:bCs/>
                <w:szCs w:val="22"/>
              </w:rPr>
              <w:t>Conclusion</w:t>
            </w:r>
          </w:p>
          <w:p w14:paraId="5AC07AC7" w14:textId="77777777" w:rsidR="006735E7" w:rsidRPr="00E906A5" w:rsidRDefault="006735E7" w:rsidP="006735E7">
            <w:pPr>
              <w:spacing w:before="120" w:after="120"/>
              <w:rPr>
                <w:rFonts w:ascii="Helvetica Neue" w:hAnsi="Helvetica Neue"/>
                <w:szCs w:val="22"/>
              </w:rPr>
            </w:pPr>
            <w:r w:rsidRPr="00E906A5">
              <w:rPr>
                <w:szCs w:val="22"/>
              </w:rPr>
              <w:t>This legislative instrument is compatible with human rights as it does not raise any human rights issues.</w:t>
            </w:r>
          </w:p>
          <w:p w14:paraId="2532F7EA" w14:textId="77777777" w:rsidR="006735E7" w:rsidRPr="00E906A5" w:rsidRDefault="006735E7" w:rsidP="006735E7">
            <w:pPr>
              <w:spacing w:before="120" w:after="120"/>
              <w:jc w:val="center"/>
              <w:rPr>
                <w:rFonts w:ascii="Helvetica Neue" w:hAnsi="Helvetica Neue"/>
                <w:szCs w:val="22"/>
              </w:rPr>
            </w:pPr>
            <w:r w:rsidRPr="00E906A5">
              <w:rPr>
                <w:szCs w:val="22"/>
              </w:rPr>
              <w:t> </w:t>
            </w:r>
          </w:p>
          <w:p w14:paraId="2F5D9AC2" w14:textId="77777777" w:rsidR="006735E7" w:rsidRPr="00E906A5" w:rsidRDefault="006735E7" w:rsidP="006735E7">
            <w:pPr>
              <w:spacing w:before="120" w:after="120"/>
              <w:jc w:val="center"/>
              <w:rPr>
                <w:rFonts w:ascii="Helvetica Neue" w:hAnsi="Helvetica Neue"/>
                <w:szCs w:val="22"/>
              </w:rPr>
            </w:pPr>
            <w:r w:rsidRPr="00E906A5">
              <w:rPr>
                <w:b/>
                <w:bCs/>
                <w:szCs w:val="22"/>
              </w:rPr>
              <w:t>Australian Securities and Investments Commission</w:t>
            </w:r>
          </w:p>
          <w:p w14:paraId="3506DAA5" w14:textId="77777777" w:rsidR="006735E7" w:rsidRPr="006735E7" w:rsidRDefault="006735E7" w:rsidP="006735E7">
            <w:pPr>
              <w:spacing w:before="100" w:beforeAutospacing="1" w:after="0"/>
              <w:rPr>
                <w:rFonts w:ascii="Helvetica Neue" w:hAnsi="Helvetica Neue"/>
                <w:sz w:val="19"/>
                <w:szCs w:val="19"/>
              </w:rPr>
            </w:pPr>
            <w:r w:rsidRPr="006735E7">
              <w:rPr>
                <w:rFonts w:ascii="Helvetica Neue" w:hAnsi="Helvetica Neue"/>
                <w:b/>
                <w:bCs/>
                <w:sz w:val="19"/>
                <w:szCs w:val="19"/>
              </w:rPr>
              <w:t> </w:t>
            </w:r>
          </w:p>
          <w:p w14:paraId="62FEC16F" w14:textId="77777777" w:rsidR="006735E7" w:rsidRPr="006735E7" w:rsidRDefault="006735E7" w:rsidP="006735E7">
            <w:pPr>
              <w:spacing w:before="100" w:beforeAutospacing="1" w:after="0"/>
              <w:rPr>
                <w:rFonts w:ascii="Helvetica Neue" w:hAnsi="Helvetica Neue"/>
                <w:sz w:val="19"/>
                <w:szCs w:val="19"/>
              </w:rPr>
            </w:pPr>
            <w:r w:rsidRPr="006735E7">
              <w:rPr>
                <w:rFonts w:ascii="Helvetica Neue" w:hAnsi="Helvetica Neue"/>
                <w:b/>
                <w:bCs/>
                <w:sz w:val="19"/>
                <w:szCs w:val="19"/>
              </w:rPr>
              <w:t> </w:t>
            </w:r>
          </w:p>
        </w:tc>
      </w:tr>
    </w:tbl>
    <w:p w14:paraId="50767394" w14:textId="4B020725" w:rsidR="005C7184" w:rsidRPr="00995BF0" w:rsidRDefault="006735E7" w:rsidP="00995BF0">
      <w:pPr>
        <w:shd w:val="clear" w:color="auto" w:fill="FFFFFF"/>
        <w:spacing w:before="100" w:beforeAutospacing="1" w:after="100" w:afterAutospacing="1"/>
        <w:rPr>
          <w:rFonts w:ascii="Helvetica Neue" w:hAnsi="Helvetica Neue"/>
          <w:sz w:val="19"/>
          <w:szCs w:val="19"/>
          <w:lang w:val="en-US"/>
        </w:rPr>
      </w:pPr>
      <w:r w:rsidRPr="006735E7">
        <w:rPr>
          <w:rFonts w:ascii="Helvetica Neue" w:hAnsi="Helvetica Neue"/>
          <w:b/>
          <w:bCs/>
          <w:sz w:val="19"/>
          <w:szCs w:val="19"/>
        </w:rPr>
        <w:t> </w:t>
      </w:r>
    </w:p>
    <w:sectPr w:rsidR="005C7184" w:rsidRPr="00995BF0" w:rsidSect="00761CC1">
      <w:headerReference w:type="even" r:id="rId11"/>
      <w:headerReference w:type="default" r:id="rId12"/>
      <w:footerReference w:type="even" r:id="rId13"/>
      <w:footerReference w:type="default" r:id="rId14"/>
      <w:pgSz w:w="11906" w:h="16838" w:code="9"/>
      <w:pgMar w:top="1644" w:right="1418" w:bottom="1418" w:left="141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EAE85" w14:textId="77777777" w:rsidR="00872ED3" w:rsidRDefault="00872ED3">
      <w:r>
        <w:separator/>
      </w:r>
    </w:p>
  </w:endnote>
  <w:endnote w:type="continuationSeparator" w:id="0">
    <w:p w14:paraId="31DC5668" w14:textId="77777777" w:rsidR="00872ED3" w:rsidRDefault="00872ED3">
      <w:r>
        <w:continuationSeparator/>
      </w:r>
    </w:p>
  </w:endnote>
  <w:endnote w:type="continuationNotice" w:id="1">
    <w:p w14:paraId="54666426" w14:textId="77777777" w:rsidR="00EC578C" w:rsidRDefault="00EC57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3031F" w14:textId="77777777" w:rsidR="00872ED3" w:rsidRDefault="00872E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4D7B7296" w14:textId="77777777" w:rsidR="00872ED3" w:rsidRDefault="00872ED3">
    <w:pPr>
      <w:pStyle w:val="Footer"/>
      <w:ind w:right="360"/>
    </w:pPr>
  </w:p>
  <w:p w14:paraId="13E7B26C" w14:textId="77777777" w:rsidR="00872ED3" w:rsidRDefault="00872ED3"/>
  <w:p w14:paraId="3AB4891D" w14:textId="77777777" w:rsidR="00872ED3" w:rsidRDefault="00872ED3"/>
  <w:p w14:paraId="3AFCF9FF" w14:textId="77777777" w:rsidR="00872ED3" w:rsidRDefault="00872ED3"/>
  <w:p w14:paraId="160F8B06" w14:textId="77777777" w:rsidR="00872ED3" w:rsidRDefault="00872ED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00792" w14:textId="37BC6286" w:rsidR="00872ED3" w:rsidRDefault="00450F40">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8240" behindDoc="0" locked="1" layoutInCell="1" allowOverlap="1" wp14:anchorId="76DBEA4B" wp14:editId="141D0102">
              <wp:simplePos x="0" y="0"/>
              <wp:positionH relativeFrom="rightMargin">
                <wp:posOffset>-648335</wp:posOffset>
              </wp:positionH>
              <wp:positionV relativeFrom="paragraph">
                <wp:posOffset>36195</wp:posOffset>
              </wp:positionV>
              <wp:extent cx="657860" cy="15875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B50F90" w14:textId="70F1D534" w:rsidR="00872ED3" w:rsidRPr="008F541E" w:rsidRDefault="00872ED3"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Pr>
                              <w:rStyle w:val="PageNumber"/>
                              <w:rFonts w:ascii="Arial" w:hAnsi="Arial" w:cs="Arial"/>
                              <w:noProof/>
                              <w:color w:val="117DC7"/>
                              <w:sz w:val="16"/>
                              <w:szCs w:val="16"/>
                            </w:rPr>
                            <w:t>5</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DBEA4B" id="_x0000_t202" coordsize="21600,21600" o:spt="202" path="m,l,21600r21600,l21600,xe">
              <v:stroke joinstyle="miter"/>
              <v:path gradientshapeok="t" o:connecttype="rect"/>
            </v:shapetype>
            <v:shape id="Text Box 12" o:spid="_x0000_s1026" type="#_x0000_t202" style="position:absolute;margin-left:-51.05pt;margin-top:2.85pt;width:51.8pt;height:12.5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" stroked="f">
              <v:textbox inset="0,0,0,0">
                <w:txbxContent>
                  <w:p w14:paraId="4DB50F90" w14:textId="70F1D534" w:rsidR="00872ED3" w:rsidRPr="008F541E" w:rsidRDefault="00872ED3"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Pr>
                        <w:rStyle w:val="PageNumber"/>
                        <w:rFonts w:ascii="Arial" w:hAnsi="Arial" w:cs="Arial"/>
                        <w:noProof/>
                        <w:color w:val="117DC7"/>
                        <w:sz w:val="16"/>
                        <w:szCs w:val="16"/>
                      </w:rPr>
                      <w:t>5</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sidR="00872ED3">
      <w:rPr>
        <w:color w:val="117DC7"/>
      </w:rPr>
      <w:t xml:space="preserve">© Australian Securities and Investments Commission </w:t>
    </w:r>
    <w:r>
      <w:fldChar w:fldCharType="begin"/>
    </w:r>
    <w:r>
      <w:instrText xml:space="preserve"> DOCPROPERTY  "Issue date"  \* MERGEFORMAT </w:instrText>
    </w:r>
    <w:r>
      <w:fldChar w:fldCharType="separate"/>
    </w:r>
    <w:r w:rsidR="00872ED3" w:rsidRPr="006735E7">
      <w:rPr>
        <w:color w:val="117DC7"/>
      </w:rPr>
      <w:t>Issue date</w:t>
    </w:r>
    <w:r>
      <w:rPr>
        <w:color w:val="117DC7"/>
      </w:rPr>
      <w:fldChar w:fldCharType="end"/>
    </w:r>
    <w:r w:rsidR="00872ED3">
      <w:rPr>
        <w:color w:val="117DC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35F0B" w14:textId="77777777" w:rsidR="00872ED3" w:rsidRDefault="00872ED3">
      <w:r>
        <w:separator/>
      </w:r>
    </w:p>
  </w:footnote>
  <w:footnote w:type="continuationSeparator" w:id="0">
    <w:p w14:paraId="62B21192" w14:textId="77777777" w:rsidR="00872ED3" w:rsidRDefault="00872ED3">
      <w:r>
        <w:continuationSeparator/>
      </w:r>
    </w:p>
  </w:footnote>
  <w:footnote w:type="continuationNotice" w:id="1">
    <w:p w14:paraId="4628E595" w14:textId="77777777" w:rsidR="00EC578C" w:rsidRDefault="00EC578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DDE18" w14:textId="77777777" w:rsidR="00872ED3" w:rsidRDefault="00872ED3"/>
  <w:p w14:paraId="015E1365" w14:textId="77777777" w:rsidR="00872ED3" w:rsidRDefault="00872E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5A9E9" w14:textId="1C762AD8" w:rsidR="00872ED3" w:rsidRDefault="00872ED3">
    <w:pPr>
      <w:pStyle w:val="Footer"/>
      <w:pBdr>
        <w:bottom w:val="single" w:sz="4" w:space="1" w:color="117DC7"/>
      </w:pBdr>
      <w:jc w:val="right"/>
      <w:rPr>
        <w:color w:val="117DC7"/>
      </w:rPr>
    </w:pPr>
    <w:r>
      <w:tab/>
    </w:r>
    <w:r w:rsidR="00450F40">
      <w:fldChar w:fldCharType="begin"/>
    </w:r>
    <w:r w:rsidR="00450F40">
      <w:instrText xml:space="preserve"> DOCPROPERTY  "Document type"  \* MERGEFORMAT </w:instrText>
    </w:r>
    <w:r w:rsidR="00450F40">
      <w:fldChar w:fldCharType="separate"/>
    </w:r>
    <w:r>
      <w:rPr>
        <w:caps/>
        <w:color w:val="117DC7"/>
      </w:rPr>
      <w:t>Explanatory Statement:</w:t>
    </w:r>
    <w:r w:rsidR="00450F40">
      <w:rPr>
        <w:caps/>
        <w:color w:val="117DC7"/>
      </w:rPr>
      <w:fldChar w:fldCharType="end"/>
    </w:r>
    <w:r>
      <w:rPr>
        <w:caps/>
        <w:color w:val="117DC7"/>
      </w:rPr>
      <w:t xml:space="preserve"> ASIC Credit (amendment) instrument 2018/706</w:t>
    </w:r>
    <w:r>
      <w:rPr>
        <w:color w:val="117DC7"/>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55FA"/>
    <w:multiLevelType w:val="hybridMultilevel"/>
    <w:tmpl w:val="3484FE04"/>
    <w:lvl w:ilvl="0" w:tplc="E8AE0708">
      <w:start w:val="1"/>
      <w:numFmt w:val="lowerLetter"/>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977967"/>
    <w:multiLevelType w:val="hybridMultilevel"/>
    <w:tmpl w:val="B6103334"/>
    <w:lvl w:ilvl="0" w:tplc="D9E487E0">
      <w:start w:val="1"/>
      <w:numFmt w:val="lowerLetter"/>
      <w:lvlText w:val="(%1)"/>
      <w:lvlJc w:val="left"/>
      <w:pPr>
        <w:ind w:left="720" w:hanging="360"/>
      </w:pPr>
      <w:rPr>
        <w:rFonts w:hint="default"/>
        <w:i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350AAF"/>
    <w:multiLevelType w:val="multilevel"/>
    <w:tmpl w:val="34E6B782"/>
    <w:lvl w:ilvl="0">
      <w:start w:val="1"/>
      <w:numFmt w:val="decimal"/>
      <w:lvlText w:val="%1"/>
      <w:lvlJc w:val="left"/>
      <w:pPr>
        <w:tabs>
          <w:tab w:val="num" w:pos="425"/>
        </w:tabs>
        <w:ind w:left="425" w:hanging="425"/>
      </w:pPr>
      <w:rPr>
        <w:rFonts w:hint="default"/>
        <w:sz w:val="22"/>
      </w:rPr>
    </w:lvl>
    <w:lvl w:ilvl="1">
      <w:start w:val="1"/>
      <w:numFmt w:val="decimal"/>
      <w:lvlText w:val="%1.%2"/>
      <w:lvlJc w:val="left"/>
      <w:pPr>
        <w:tabs>
          <w:tab w:val="num" w:pos="851"/>
        </w:tabs>
        <w:ind w:left="851" w:hanging="851"/>
      </w:pPr>
      <w:rPr>
        <w:rFonts w:hint="default"/>
      </w:rPr>
    </w:lvl>
    <w:lvl w:ilvl="2">
      <w:start w:val="1"/>
      <w:numFmt w:val="decimal"/>
      <w:lvlText w:val="%1.%3.%2"/>
      <w:lvlJc w:val="left"/>
      <w:pPr>
        <w:tabs>
          <w:tab w:val="num" w:pos="993"/>
        </w:tabs>
        <w:ind w:left="993" w:hanging="1418"/>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5" w15:restartNumberingAfterBreak="0">
    <w:nsid w:val="09594A7A"/>
    <w:multiLevelType w:val="hybridMultilevel"/>
    <w:tmpl w:val="F54C2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516DA6"/>
    <w:multiLevelType w:val="hybridMultilevel"/>
    <w:tmpl w:val="AE92CD46"/>
    <w:lvl w:ilvl="0" w:tplc="EE086A66">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0C6808"/>
    <w:multiLevelType w:val="multilevel"/>
    <w:tmpl w:val="37C61B0E"/>
    <w:lvl w:ilvl="0">
      <w:start w:val="1"/>
      <w:numFmt w:val="decimal"/>
      <w:pStyle w:val="BodyText"/>
      <w:lvlText w:val="RG 000.%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15:restartNumberingAfterBreak="0">
    <w:nsid w:val="225961BE"/>
    <w:multiLevelType w:val="hybridMultilevel"/>
    <w:tmpl w:val="E34A4480"/>
    <w:lvl w:ilvl="0" w:tplc="EE086A66">
      <w:start w:val="1"/>
      <w:numFmt w:val="lowerLetter"/>
      <w:lvlText w:val="(%1)"/>
      <w:lvlJc w:val="left"/>
      <w:pPr>
        <w:ind w:left="720" w:hanging="360"/>
      </w:pPr>
      <w:rPr>
        <w:rFonts w:hint="default"/>
      </w:rPr>
    </w:lvl>
    <w:lvl w:ilvl="1" w:tplc="EE086A66">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D62565"/>
    <w:multiLevelType w:val="multilevel"/>
    <w:tmpl w:val="D43CAEE8"/>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0" w15:restartNumberingAfterBreak="0">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1" w15:restartNumberingAfterBreak="0">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E1573F"/>
    <w:multiLevelType w:val="hybridMultilevel"/>
    <w:tmpl w:val="8BB4D8D4"/>
    <w:lvl w:ilvl="0" w:tplc="EE086A66">
      <w:start w:val="1"/>
      <w:numFmt w:val="lowerLetter"/>
      <w:lvlText w:val="(%1)"/>
      <w:lvlJc w:val="left"/>
      <w:pPr>
        <w:ind w:left="720" w:hanging="360"/>
      </w:pPr>
      <w:rPr>
        <w:rFonts w:hint="default"/>
      </w:rPr>
    </w:lvl>
    <w:lvl w:ilvl="1" w:tplc="EE086A66">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041993"/>
    <w:multiLevelType w:val="multilevel"/>
    <w:tmpl w:val="4680F51A"/>
    <w:name w:val="ASIC para nos"/>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14" w15:restartNumberingAfterBreak="0">
    <w:nsid w:val="477C2063"/>
    <w:multiLevelType w:val="hybridMultilevel"/>
    <w:tmpl w:val="42422A88"/>
    <w:lvl w:ilvl="0" w:tplc="0AC0A408">
      <w:numFmt w:val="bullet"/>
      <w:lvlText w:val=""/>
      <w:lvlJc w:val="left"/>
      <w:pPr>
        <w:ind w:left="720" w:hanging="360"/>
      </w:pPr>
      <w:rPr>
        <w:rFonts w:ascii="Helvetica Neue" w:eastAsia="Times New Roman" w:hAnsi="Helvetica Neue"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876951"/>
    <w:multiLevelType w:val="hybridMultilevel"/>
    <w:tmpl w:val="446C6742"/>
    <w:lvl w:ilvl="0" w:tplc="EE086A66">
      <w:start w:val="1"/>
      <w:numFmt w:val="lowerLetter"/>
      <w:lvlText w:val="(%1)"/>
      <w:lvlJc w:val="left"/>
      <w:pPr>
        <w:ind w:left="720" w:hanging="360"/>
      </w:pPr>
      <w:rPr>
        <w:rFonts w:hint="default"/>
      </w:rPr>
    </w:lvl>
    <w:lvl w:ilvl="1" w:tplc="9280E388">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C14F7E"/>
    <w:multiLevelType w:val="hybridMultilevel"/>
    <w:tmpl w:val="B904640E"/>
    <w:lvl w:ilvl="0" w:tplc="DB5E2A70">
      <w:start w:val="1"/>
      <w:numFmt w:val="bullet"/>
      <w:pStyle w:val="ListBullet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756F33"/>
    <w:multiLevelType w:val="hybridMultilevel"/>
    <w:tmpl w:val="76EE0A6E"/>
    <w:lvl w:ilvl="0" w:tplc="C700BE30">
      <w:start w:val="1"/>
      <w:numFmt w:val="bullet"/>
      <w:pStyle w:val="KPbullet"/>
      <w:lvlText w:val=""/>
      <w:lvlJc w:val="left"/>
      <w:pPr>
        <w:tabs>
          <w:tab w:val="num" w:pos="2807"/>
        </w:tabs>
        <w:ind w:left="2807" w:hanging="426"/>
      </w:pPr>
      <w:rPr>
        <w:rFonts w:ascii="Symbol" w:hAnsi="Symbol" w:hint="default"/>
        <w:b w:val="0"/>
        <w:i w:val="0"/>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E365C4"/>
    <w:multiLevelType w:val="hybridMultilevel"/>
    <w:tmpl w:val="413E4FAA"/>
    <w:lvl w:ilvl="0" w:tplc="8E62C916">
      <w:start w:val="1"/>
      <w:numFmt w:val="bullet"/>
      <w:pStyle w:val="ListBullet"/>
      <w:lvlText w:val=""/>
      <w:lvlJc w:val="left"/>
      <w:pPr>
        <w:tabs>
          <w:tab w:val="num" w:pos="1418"/>
        </w:tabs>
        <w:ind w:left="1418" w:firstLine="85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21" w15:restartNumberingAfterBreak="0">
    <w:nsid w:val="6DA92B4D"/>
    <w:multiLevelType w:val="hybridMultilevel"/>
    <w:tmpl w:val="5530A29C"/>
    <w:lvl w:ilvl="0" w:tplc="B4942414">
      <w:start w:val="1"/>
      <w:numFmt w:val="lowerLetter"/>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A04370D"/>
    <w:multiLevelType w:val="hybridMultilevel"/>
    <w:tmpl w:val="94749C48"/>
    <w:lvl w:ilvl="0" w:tplc="21A06F82">
      <w:start w:val="1"/>
      <w:numFmt w:val="bullet"/>
      <w:lvlText w:val=""/>
      <w:lvlJc w:val="left"/>
      <w:pPr>
        <w:tabs>
          <w:tab w:val="num" w:pos="3119"/>
        </w:tabs>
        <w:ind w:left="3119"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20"/>
  </w:num>
  <w:num w:numId="4">
    <w:abstractNumId w:val="19"/>
  </w:num>
  <w:num w:numId="5">
    <w:abstractNumId w:val="3"/>
  </w:num>
  <w:num w:numId="6">
    <w:abstractNumId w:val="18"/>
  </w:num>
  <w:num w:numId="7">
    <w:abstractNumId w:val="10"/>
  </w:num>
  <w:num w:numId="8">
    <w:abstractNumId w:val="7"/>
  </w:num>
  <w:num w:numId="9">
    <w:abstractNumId w:val="22"/>
  </w:num>
  <w:num w:numId="10">
    <w:abstractNumId w:val="16"/>
  </w:num>
  <w:num w:numId="11">
    <w:abstractNumId w:val="17"/>
  </w:num>
  <w:num w:numId="12">
    <w:abstractNumId w:val="2"/>
  </w:num>
  <w:num w:numId="13">
    <w:abstractNumId w:val="7"/>
  </w:num>
  <w:num w:numId="14">
    <w:abstractNumId w:val="7"/>
  </w:num>
  <w:num w:numId="15">
    <w:abstractNumId w:val="7"/>
  </w:num>
  <w:num w:numId="16">
    <w:abstractNumId w:val="7"/>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5"/>
  </w:num>
  <w:num w:numId="20">
    <w:abstractNumId w:val="14"/>
  </w:num>
  <w:num w:numId="21">
    <w:abstractNumId w:val="1"/>
  </w:num>
  <w:num w:numId="22">
    <w:abstractNumId w:val="21"/>
  </w:num>
  <w:num w:numId="23">
    <w:abstractNumId w:val="0"/>
  </w:num>
  <w:num w:numId="24">
    <w:abstractNumId w:val="6"/>
  </w:num>
  <w:num w:numId="25">
    <w:abstractNumId w:val="15"/>
  </w:num>
  <w:num w:numId="26">
    <w:abstractNumId w:val="12"/>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425"/>
  <w:displayHorizontalDrawingGridEvery w:val="0"/>
  <w:displayVerticalDrawingGridEvery w:val="0"/>
  <w:doNotUseMarginsForDrawingGridOrigin/>
  <w:noPunctuationKerning/>
  <w:characterSpacingControl w:val="doNotCompress"/>
  <w:hdrShapeDefaults>
    <o:shapedefaults v:ext="edit" spidmax="2062">
      <o:colormru v:ext="edit" colors="#00a8d0,#008eb0,#1492e8,#1287d6,#117dc7,#c2e3fa"/>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5E7"/>
    <w:rsid w:val="0003082E"/>
    <w:rsid w:val="000424F1"/>
    <w:rsid w:val="000431FD"/>
    <w:rsid w:val="00051547"/>
    <w:rsid w:val="000530A4"/>
    <w:rsid w:val="0006104A"/>
    <w:rsid w:val="00084B74"/>
    <w:rsid w:val="00097838"/>
    <w:rsid w:val="000A61D7"/>
    <w:rsid w:val="000A7E01"/>
    <w:rsid w:val="000B34D3"/>
    <w:rsid w:val="000C08CC"/>
    <w:rsid w:val="000C7915"/>
    <w:rsid w:val="000D50AE"/>
    <w:rsid w:val="000D59A9"/>
    <w:rsid w:val="000D613B"/>
    <w:rsid w:val="000F7181"/>
    <w:rsid w:val="0010355D"/>
    <w:rsid w:val="00103669"/>
    <w:rsid w:val="001058D4"/>
    <w:rsid w:val="00124735"/>
    <w:rsid w:val="00133C4D"/>
    <w:rsid w:val="00146F85"/>
    <w:rsid w:val="00151205"/>
    <w:rsid w:val="00153E5E"/>
    <w:rsid w:val="0017583A"/>
    <w:rsid w:val="00186C73"/>
    <w:rsid w:val="001A0B04"/>
    <w:rsid w:val="001C7D9B"/>
    <w:rsid w:val="001D6720"/>
    <w:rsid w:val="001D6DAA"/>
    <w:rsid w:val="001D7A07"/>
    <w:rsid w:val="001E049C"/>
    <w:rsid w:val="00215E73"/>
    <w:rsid w:val="00216A91"/>
    <w:rsid w:val="002233EF"/>
    <w:rsid w:val="0024211A"/>
    <w:rsid w:val="00242309"/>
    <w:rsid w:val="00242316"/>
    <w:rsid w:val="00251775"/>
    <w:rsid w:val="002579A0"/>
    <w:rsid w:val="00271408"/>
    <w:rsid w:val="002725EA"/>
    <w:rsid w:val="00273BFA"/>
    <w:rsid w:val="00276DE6"/>
    <w:rsid w:val="002774A0"/>
    <w:rsid w:val="002835F3"/>
    <w:rsid w:val="002A39B7"/>
    <w:rsid w:val="002A5860"/>
    <w:rsid w:val="002A7218"/>
    <w:rsid w:val="002B0B28"/>
    <w:rsid w:val="002B74F1"/>
    <w:rsid w:val="002C7910"/>
    <w:rsid w:val="002D3F93"/>
    <w:rsid w:val="002E0589"/>
    <w:rsid w:val="002E2E55"/>
    <w:rsid w:val="002E4D55"/>
    <w:rsid w:val="003024F0"/>
    <w:rsid w:val="00323D5C"/>
    <w:rsid w:val="00350198"/>
    <w:rsid w:val="003523D4"/>
    <w:rsid w:val="00357D65"/>
    <w:rsid w:val="0036578A"/>
    <w:rsid w:val="003746C7"/>
    <w:rsid w:val="003808E3"/>
    <w:rsid w:val="003A6974"/>
    <w:rsid w:val="003B2FE8"/>
    <w:rsid w:val="003B7ED4"/>
    <w:rsid w:val="003C1F84"/>
    <w:rsid w:val="003C3719"/>
    <w:rsid w:val="003C5111"/>
    <w:rsid w:val="003C7C4E"/>
    <w:rsid w:val="003D3198"/>
    <w:rsid w:val="003D4BEA"/>
    <w:rsid w:val="003E133F"/>
    <w:rsid w:val="003E549E"/>
    <w:rsid w:val="003F35C5"/>
    <w:rsid w:val="004019CD"/>
    <w:rsid w:val="00411185"/>
    <w:rsid w:val="0041210E"/>
    <w:rsid w:val="00417B10"/>
    <w:rsid w:val="00434072"/>
    <w:rsid w:val="00437EBF"/>
    <w:rsid w:val="00450F40"/>
    <w:rsid w:val="0046797C"/>
    <w:rsid w:val="00467B47"/>
    <w:rsid w:val="00475801"/>
    <w:rsid w:val="00481861"/>
    <w:rsid w:val="00487A8B"/>
    <w:rsid w:val="004A0FD0"/>
    <w:rsid w:val="004A50B4"/>
    <w:rsid w:val="004B4342"/>
    <w:rsid w:val="004C72A9"/>
    <w:rsid w:val="004D364C"/>
    <w:rsid w:val="004E61FB"/>
    <w:rsid w:val="004F0944"/>
    <w:rsid w:val="004F1976"/>
    <w:rsid w:val="004F6680"/>
    <w:rsid w:val="004F7B80"/>
    <w:rsid w:val="00506331"/>
    <w:rsid w:val="0052280B"/>
    <w:rsid w:val="00524EDC"/>
    <w:rsid w:val="00526795"/>
    <w:rsid w:val="00526D2A"/>
    <w:rsid w:val="0054184C"/>
    <w:rsid w:val="00543DCE"/>
    <w:rsid w:val="005501A3"/>
    <w:rsid w:val="00557728"/>
    <w:rsid w:val="00565D26"/>
    <w:rsid w:val="00570F0F"/>
    <w:rsid w:val="00575B21"/>
    <w:rsid w:val="00576C1B"/>
    <w:rsid w:val="0057719D"/>
    <w:rsid w:val="00582851"/>
    <w:rsid w:val="0059746D"/>
    <w:rsid w:val="00597F97"/>
    <w:rsid w:val="005A457D"/>
    <w:rsid w:val="005B2925"/>
    <w:rsid w:val="005B6717"/>
    <w:rsid w:val="005C23A2"/>
    <w:rsid w:val="005C2F1F"/>
    <w:rsid w:val="005C7184"/>
    <w:rsid w:val="005E45D1"/>
    <w:rsid w:val="005E600F"/>
    <w:rsid w:val="005E7C34"/>
    <w:rsid w:val="005F633B"/>
    <w:rsid w:val="00604049"/>
    <w:rsid w:val="006133DD"/>
    <w:rsid w:val="00616CAF"/>
    <w:rsid w:val="00626F3F"/>
    <w:rsid w:val="00631BF3"/>
    <w:rsid w:val="00635844"/>
    <w:rsid w:val="00652383"/>
    <w:rsid w:val="006717AC"/>
    <w:rsid w:val="006735E7"/>
    <w:rsid w:val="00690F97"/>
    <w:rsid w:val="006A5422"/>
    <w:rsid w:val="006B6436"/>
    <w:rsid w:val="006C3DF2"/>
    <w:rsid w:val="006C4413"/>
    <w:rsid w:val="006C7760"/>
    <w:rsid w:val="006D5384"/>
    <w:rsid w:val="00700EE4"/>
    <w:rsid w:val="00701F18"/>
    <w:rsid w:val="0070206C"/>
    <w:rsid w:val="00715C95"/>
    <w:rsid w:val="00722DC0"/>
    <w:rsid w:val="007232E7"/>
    <w:rsid w:val="0072344E"/>
    <w:rsid w:val="00725E22"/>
    <w:rsid w:val="0072695D"/>
    <w:rsid w:val="00733285"/>
    <w:rsid w:val="00756A32"/>
    <w:rsid w:val="00761CC1"/>
    <w:rsid w:val="00770327"/>
    <w:rsid w:val="007767B5"/>
    <w:rsid w:val="0077724D"/>
    <w:rsid w:val="00782CA2"/>
    <w:rsid w:val="00797052"/>
    <w:rsid w:val="007A2413"/>
    <w:rsid w:val="007C0664"/>
    <w:rsid w:val="007C4C84"/>
    <w:rsid w:val="00802A01"/>
    <w:rsid w:val="00816003"/>
    <w:rsid w:val="00834D1F"/>
    <w:rsid w:val="00836D50"/>
    <w:rsid w:val="00843E0E"/>
    <w:rsid w:val="00844FE2"/>
    <w:rsid w:val="00864843"/>
    <w:rsid w:val="00872ED3"/>
    <w:rsid w:val="0089474E"/>
    <w:rsid w:val="008A20B7"/>
    <w:rsid w:val="008B5A33"/>
    <w:rsid w:val="008C2057"/>
    <w:rsid w:val="008C5E07"/>
    <w:rsid w:val="008D4AB0"/>
    <w:rsid w:val="008D4E74"/>
    <w:rsid w:val="008E32A5"/>
    <w:rsid w:val="008E34F3"/>
    <w:rsid w:val="008E40A6"/>
    <w:rsid w:val="008E5957"/>
    <w:rsid w:val="008E6A6D"/>
    <w:rsid w:val="008F77BF"/>
    <w:rsid w:val="0090140F"/>
    <w:rsid w:val="00902869"/>
    <w:rsid w:val="00926EB2"/>
    <w:rsid w:val="009365BA"/>
    <w:rsid w:val="009378FB"/>
    <w:rsid w:val="009522C3"/>
    <w:rsid w:val="00953913"/>
    <w:rsid w:val="0095678A"/>
    <w:rsid w:val="00960960"/>
    <w:rsid w:val="00965C36"/>
    <w:rsid w:val="00970F22"/>
    <w:rsid w:val="009731B9"/>
    <w:rsid w:val="00992AB4"/>
    <w:rsid w:val="009935C1"/>
    <w:rsid w:val="00995BF0"/>
    <w:rsid w:val="009A2562"/>
    <w:rsid w:val="009A6F0A"/>
    <w:rsid w:val="009A7EBB"/>
    <w:rsid w:val="009B36F7"/>
    <w:rsid w:val="009C4101"/>
    <w:rsid w:val="009C4D1E"/>
    <w:rsid w:val="009C761E"/>
    <w:rsid w:val="009E142C"/>
    <w:rsid w:val="009E2EC8"/>
    <w:rsid w:val="009E5FEF"/>
    <w:rsid w:val="009F4DE3"/>
    <w:rsid w:val="009F648F"/>
    <w:rsid w:val="00A01985"/>
    <w:rsid w:val="00A14F64"/>
    <w:rsid w:val="00A26A90"/>
    <w:rsid w:val="00A26D09"/>
    <w:rsid w:val="00A43B7F"/>
    <w:rsid w:val="00A46AFC"/>
    <w:rsid w:val="00A513D2"/>
    <w:rsid w:val="00A5796F"/>
    <w:rsid w:val="00A678D5"/>
    <w:rsid w:val="00A7336D"/>
    <w:rsid w:val="00A77243"/>
    <w:rsid w:val="00A807FD"/>
    <w:rsid w:val="00AA2FB7"/>
    <w:rsid w:val="00AA59EE"/>
    <w:rsid w:val="00AA7197"/>
    <w:rsid w:val="00AA7EDA"/>
    <w:rsid w:val="00AB299B"/>
    <w:rsid w:val="00AC5563"/>
    <w:rsid w:val="00AD0413"/>
    <w:rsid w:val="00AD22BA"/>
    <w:rsid w:val="00AE5E30"/>
    <w:rsid w:val="00AF0EC7"/>
    <w:rsid w:val="00AF4B53"/>
    <w:rsid w:val="00AF505D"/>
    <w:rsid w:val="00B004C4"/>
    <w:rsid w:val="00B02FE2"/>
    <w:rsid w:val="00B05272"/>
    <w:rsid w:val="00B1000D"/>
    <w:rsid w:val="00B10553"/>
    <w:rsid w:val="00B10EFE"/>
    <w:rsid w:val="00B34E2E"/>
    <w:rsid w:val="00B36F17"/>
    <w:rsid w:val="00B57D4D"/>
    <w:rsid w:val="00B657D8"/>
    <w:rsid w:val="00B71444"/>
    <w:rsid w:val="00B752DC"/>
    <w:rsid w:val="00B918F5"/>
    <w:rsid w:val="00B92ECA"/>
    <w:rsid w:val="00BA1272"/>
    <w:rsid w:val="00BB1523"/>
    <w:rsid w:val="00BC048C"/>
    <w:rsid w:val="00BC0860"/>
    <w:rsid w:val="00BC7D41"/>
    <w:rsid w:val="00BE4B92"/>
    <w:rsid w:val="00BF189F"/>
    <w:rsid w:val="00C0036C"/>
    <w:rsid w:val="00C24ED3"/>
    <w:rsid w:val="00C42A28"/>
    <w:rsid w:val="00C95D32"/>
    <w:rsid w:val="00C96E23"/>
    <w:rsid w:val="00CB2163"/>
    <w:rsid w:val="00CB2CF2"/>
    <w:rsid w:val="00CC3D78"/>
    <w:rsid w:val="00CC3E64"/>
    <w:rsid w:val="00CC481D"/>
    <w:rsid w:val="00CD1040"/>
    <w:rsid w:val="00CE0AEB"/>
    <w:rsid w:val="00CE1C05"/>
    <w:rsid w:val="00CE1F98"/>
    <w:rsid w:val="00CE21E2"/>
    <w:rsid w:val="00CE5319"/>
    <w:rsid w:val="00CF0697"/>
    <w:rsid w:val="00CF0872"/>
    <w:rsid w:val="00D0026A"/>
    <w:rsid w:val="00D07949"/>
    <w:rsid w:val="00D115A4"/>
    <w:rsid w:val="00D11FE0"/>
    <w:rsid w:val="00D31E41"/>
    <w:rsid w:val="00D34D7F"/>
    <w:rsid w:val="00D360C6"/>
    <w:rsid w:val="00D52325"/>
    <w:rsid w:val="00D61E19"/>
    <w:rsid w:val="00D63B2F"/>
    <w:rsid w:val="00D650BF"/>
    <w:rsid w:val="00D6681C"/>
    <w:rsid w:val="00D71C24"/>
    <w:rsid w:val="00D7774E"/>
    <w:rsid w:val="00D84FDC"/>
    <w:rsid w:val="00D97C35"/>
    <w:rsid w:val="00DA0923"/>
    <w:rsid w:val="00DA7707"/>
    <w:rsid w:val="00DC2226"/>
    <w:rsid w:val="00DC729B"/>
    <w:rsid w:val="00E00074"/>
    <w:rsid w:val="00E0011A"/>
    <w:rsid w:val="00E23E48"/>
    <w:rsid w:val="00E27418"/>
    <w:rsid w:val="00E35847"/>
    <w:rsid w:val="00E47003"/>
    <w:rsid w:val="00E507D2"/>
    <w:rsid w:val="00E55211"/>
    <w:rsid w:val="00E61A83"/>
    <w:rsid w:val="00E70851"/>
    <w:rsid w:val="00E73543"/>
    <w:rsid w:val="00E73750"/>
    <w:rsid w:val="00E73FB3"/>
    <w:rsid w:val="00E8562C"/>
    <w:rsid w:val="00E869B5"/>
    <w:rsid w:val="00E906A5"/>
    <w:rsid w:val="00E93DB8"/>
    <w:rsid w:val="00EA1932"/>
    <w:rsid w:val="00EC15F1"/>
    <w:rsid w:val="00EC2D17"/>
    <w:rsid w:val="00EC2EA9"/>
    <w:rsid w:val="00EC578C"/>
    <w:rsid w:val="00ED7C21"/>
    <w:rsid w:val="00EE6C83"/>
    <w:rsid w:val="00EF6BF9"/>
    <w:rsid w:val="00F05A2D"/>
    <w:rsid w:val="00F20B86"/>
    <w:rsid w:val="00F21D20"/>
    <w:rsid w:val="00F31CA4"/>
    <w:rsid w:val="00F33137"/>
    <w:rsid w:val="00F3483A"/>
    <w:rsid w:val="00F4020A"/>
    <w:rsid w:val="00F42879"/>
    <w:rsid w:val="00F56ECF"/>
    <w:rsid w:val="00F67AC8"/>
    <w:rsid w:val="00F72118"/>
    <w:rsid w:val="00F91179"/>
    <w:rsid w:val="00F947DD"/>
    <w:rsid w:val="00FA2CCF"/>
    <w:rsid w:val="00FA6A84"/>
    <w:rsid w:val="00FB1570"/>
    <w:rsid w:val="00FB3018"/>
    <w:rsid w:val="00FD60DD"/>
    <w:rsid w:val="00FE1947"/>
    <w:rsid w:val="00FE1A3E"/>
    <w:rsid w:val="00FF4A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0a8d0,#008eb0,#1492e8,#1287d6,#117dc7,#c2e3fa"/>
    </o:shapedefaults>
    <o:shapelayout v:ext="edit">
      <o:idmap v:ext="edit" data="1"/>
    </o:shapelayout>
  </w:shapeDefaults>
  <w:decimalSymbol w:val="."/>
  <w:listSeparator w:val=","/>
  <w14:docId w14:val="3CBF9492"/>
  <w15:docId w15:val="{2A1D07B8-C0F5-442D-ACE7-AA9B1808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7F97"/>
    <w:pPr>
      <w:spacing w:after="240"/>
    </w:pPr>
    <w:rPr>
      <w:sz w:val="22"/>
    </w:rPr>
  </w:style>
  <w:style w:type="paragraph" w:styleId="Heading1">
    <w:name w:val="heading 1"/>
    <w:basedOn w:val="Normal"/>
    <w:next w:val="BodyText"/>
    <w:qFormat/>
    <w:rsid w:val="00B36F17"/>
    <w:pPr>
      <w:keepNext/>
      <w:pageBreakBefore/>
      <w:numPr>
        <w:numId w:val="7"/>
      </w:numPr>
      <w:spacing w:after="400" w:line="280" w:lineRule="atLeast"/>
      <w:outlineLvl w:val="0"/>
    </w:pPr>
    <w:rPr>
      <w:rFonts w:ascii="Arial" w:hAnsi="Arial" w:cs="Arial"/>
      <w:b/>
      <w:kern w:val="28"/>
      <w:sz w:val="36"/>
      <w:szCs w:val="36"/>
    </w:rPr>
  </w:style>
  <w:style w:type="paragraph" w:styleId="Heading2">
    <w:name w:val="heading 2"/>
    <w:basedOn w:val="Normal"/>
    <w:next w:val="BodyText"/>
    <w:qFormat/>
    <w:rsid w:val="00B36F17"/>
    <w:pPr>
      <w:keepNext/>
      <w:spacing w:before="720" w:after="0" w:line="280" w:lineRule="atLeast"/>
      <w:outlineLvl w:val="1"/>
    </w:pPr>
    <w:rPr>
      <w:rFonts w:ascii="Arial" w:hAnsi="Arial" w:cs="Arial"/>
      <w:b/>
      <w:sz w:val="28"/>
      <w:szCs w:val="28"/>
    </w:rPr>
  </w:style>
  <w:style w:type="paragraph" w:styleId="Heading3">
    <w:name w:val="heading 3"/>
    <w:basedOn w:val="Normal"/>
    <w:next w:val="BodyText"/>
    <w:qFormat/>
    <w:rsid w:val="00B36F17"/>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qFormat/>
    <w:rsid w:val="00B36F17"/>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B36F17"/>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E70851"/>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E70851"/>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9378FB"/>
    <w:pPr>
      <w:numPr>
        <w:numId w:val="16"/>
      </w:numPr>
      <w:spacing w:before="200" w:after="0" w:line="300" w:lineRule="atLeast"/>
    </w:pPr>
    <w:rPr>
      <w:szCs w:val="22"/>
    </w:rPr>
  </w:style>
  <w:style w:type="paragraph" w:customStyle="1" w:styleId="sourcenotefullwidth">
    <w:name w:val="source note full width"/>
    <w:rsid w:val="00C42A28"/>
    <w:pPr>
      <w:spacing w:before="120"/>
    </w:pPr>
    <w:rPr>
      <w:rFonts w:ascii="Arial" w:hAnsi="Arial"/>
      <w:sz w:val="16"/>
      <w:szCs w:val="22"/>
    </w:rPr>
  </w:style>
  <w:style w:type="paragraph" w:styleId="Footer">
    <w:name w:val="footer"/>
    <w:basedOn w:val="Normal"/>
    <w:semiHidden/>
    <w:rsid w:val="00B36F17"/>
    <w:pPr>
      <w:tabs>
        <w:tab w:val="right" w:pos="9070"/>
      </w:tabs>
      <w:spacing w:after="0"/>
    </w:pPr>
    <w:rPr>
      <w:rFonts w:ascii="Arial" w:hAnsi="Arial"/>
      <w:sz w:val="16"/>
      <w:szCs w:val="16"/>
    </w:rPr>
  </w:style>
  <w:style w:type="character" w:styleId="PageNumber">
    <w:name w:val="page number"/>
    <w:basedOn w:val="DefaultParagraphFont"/>
    <w:rsid w:val="00B36F17"/>
    <w:rPr>
      <w:b/>
      <w:sz w:val="20"/>
    </w:rPr>
  </w:style>
  <w:style w:type="paragraph" w:styleId="Header">
    <w:name w:val="header"/>
    <w:basedOn w:val="Normal"/>
    <w:semiHidden/>
    <w:rsid w:val="00B36F17"/>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rsid w:val="00B36F17"/>
    <w:pPr>
      <w:numPr>
        <w:numId w:val="4"/>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B36F17"/>
    <w:pPr>
      <w:numPr>
        <w:ilvl w:val="1"/>
      </w:numPr>
    </w:pPr>
  </w:style>
  <w:style w:type="paragraph" w:customStyle="1" w:styleId="ListNumber1">
    <w:name w:val="List Number1"/>
    <w:basedOn w:val="Normal"/>
    <w:rsid w:val="00B36F17"/>
    <w:pPr>
      <w:numPr>
        <w:numId w:val="1"/>
      </w:numPr>
      <w:spacing w:before="100" w:after="0" w:line="300" w:lineRule="atLeast"/>
    </w:pPr>
    <w:rPr>
      <w:szCs w:val="24"/>
    </w:rPr>
  </w:style>
  <w:style w:type="paragraph" w:customStyle="1" w:styleId="figuretitleindented">
    <w:name w:val="figure title indented"/>
    <w:basedOn w:val="figuretitlefullwidth"/>
    <w:rsid w:val="00B36F17"/>
    <w:pPr>
      <w:ind w:left="3260"/>
    </w:pPr>
  </w:style>
  <w:style w:type="paragraph" w:customStyle="1" w:styleId="figuretitlefullwidth">
    <w:name w:val="figure title full width"/>
    <w:basedOn w:val="tabletitlefullwidth"/>
    <w:next w:val="figuretext"/>
    <w:rsid w:val="00B36F17"/>
    <w:rPr>
      <w:szCs w:val="22"/>
    </w:rPr>
  </w:style>
  <w:style w:type="paragraph" w:customStyle="1" w:styleId="tabletitlefullwidth">
    <w:name w:val="table title full width"/>
    <w:basedOn w:val="Normal"/>
    <w:rsid w:val="00B36F17"/>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B36F17"/>
    <w:pPr>
      <w:widowControl w:val="0"/>
      <w:spacing w:after="0" w:line="240" w:lineRule="atLeast"/>
    </w:pPr>
    <w:rPr>
      <w:rFonts w:ascii="Arial" w:hAnsi="Arial" w:cs="Arial"/>
      <w:sz w:val="18"/>
      <w:szCs w:val="18"/>
    </w:rPr>
  </w:style>
  <w:style w:type="paragraph" w:customStyle="1" w:styleId="tbltext">
    <w:name w:val="tbl text"/>
    <w:basedOn w:val="Bodytextplain"/>
    <w:rsid w:val="00B36F17"/>
    <w:pPr>
      <w:widowControl w:val="0"/>
      <w:spacing w:before="120" w:line="240" w:lineRule="atLeast"/>
      <w:ind w:left="0"/>
    </w:pPr>
    <w:rPr>
      <w:rFonts w:ascii="Arial" w:hAnsi="Arial" w:cs="Arial"/>
      <w:sz w:val="18"/>
      <w:szCs w:val="18"/>
    </w:rPr>
  </w:style>
  <w:style w:type="paragraph" w:customStyle="1" w:styleId="Bodytextplain">
    <w:name w:val="Body text plain"/>
    <w:basedOn w:val="BodyText"/>
    <w:rsid w:val="00B36F17"/>
    <w:pPr>
      <w:numPr>
        <w:numId w:val="0"/>
      </w:numPr>
      <w:ind w:left="2268"/>
    </w:pPr>
  </w:style>
  <w:style w:type="paragraph" w:customStyle="1" w:styleId="tablehead">
    <w:name w:val="table head"/>
    <w:basedOn w:val="Normal"/>
    <w:rsid w:val="00B36F17"/>
    <w:pPr>
      <w:keepNext/>
      <w:spacing w:before="120" w:after="0" w:line="240" w:lineRule="atLeast"/>
    </w:pPr>
    <w:rPr>
      <w:rFonts w:ascii="Arial" w:hAnsi="Arial" w:cs="Arial"/>
      <w:b/>
      <w:sz w:val="18"/>
      <w:szCs w:val="18"/>
    </w:rPr>
  </w:style>
  <w:style w:type="paragraph" w:styleId="ListBullet2">
    <w:name w:val="List Bullet 2"/>
    <w:basedOn w:val="Normal"/>
    <w:rsid w:val="008D4E74"/>
    <w:pPr>
      <w:numPr>
        <w:numId w:val="11"/>
      </w:numPr>
      <w:tabs>
        <w:tab w:val="clear" w:pos="851"/>
        <w:tab w:val="left" w:pos="3119"/>
      </w:tabs>
      <w:spacing w:before="100" w:after="0" w:line="300" w:lineRule="atLeast"/>
      <w:ind w:left="3118" w:hanging="425"/>
    </w:pPr>
  </w:style>
  <w:style w:type="character" w:styleId="Hyperlink">
    <w:name w:val="Hyperlink"/>
    <w:basedOn w:val="DefaultParagraphFont"/>
    <w:semiHidden/>
    <w:rsid w:val="00B36F17"/>
    <w:rPr>
      <w:color w:val="0000FF"/>
      <w:u w:val="single"/>
    </w:rPr>
  </w:style>
  <w:style w:type="paragraph" w:customStyle="1" w:styleId="tablebullet">
    <w:name w:val="table bullet"/>
    <w:basedOn w:val="Normal"/>
    <w:rsid w:val="00B36F17"/>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semiHidden/>
    <w:rsid w:val="00B36F17"/>
    <w:pPr>
      <w:spacing w:after="0"/>
    </w:pPr>
    <w:rPr>
      <w:sz w:val="18"/>
    </w:rPr>
  </w:style>
  <w:style w:type="character" w:styleId="FootnoteReference">
    <w:name w:val="footnote reference"/>
    <w:basedOn w:val="DefaultParagraphFont"/>
    <w:semiHidden/>
    <w:rsid w:val="00B36F17"/>
    <w:rPr>
      <w:vertAlign w:val="superscript"/>
    </w:rPr>
  </w:style>
  <w:style w:type="paragraph" w:styleId="TOC1">
    <w:name w:val="toc 1"/>
    <w:basedOn w:val="Normal"/>
    <w:next w:val="Normal"/>
    <w:autoRedefine/>
    <w:semiHidden/>
    <w:rsid w:val="00B36F17"/>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semiHidden/>
    <w:rsid w:val="00B36F17"/>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semiHidden/>
    <w:rsid w:val="00B36F17"/>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B36F17"/>
    <w:pPr>
      <w:tabs>
        <w:tab w:val="right" w:leader="dot" w:pos="8364"/>
      </w:tabs>
      <w:spacing w:after="0"/>
      <w:ind w:left="1134" w:right="565"/>
    </w:pPr>
    <w:rPr>
      <w:rFonts w:ascii="Arial" w:hAnsi="Arial" w:cs="Arial"/>
      <w:noProof/>
      <w:sz w:val="18"/>
      <w:szCs w:val="18"/>
      <w:lang w:val="en-ZW"/>
    </w:rPr>
  </w:style>
  <w:style w:type="paragraph" w:customStyle="1" w:styleId="tabletitleindented">
    <w:name w:val="table title indented"/>
    <w:basedOn w:val="tabletitlefullwidth"/>
    <w:rsid w:val="00B36F17"/>
    <w:pPr>
      <w:ind w:left="3260"/>
    </w:pPr>
  </w:style>
  <w:style w:type="paragraph" w:styleId="Caption">
    <w:name w:val="caption"/>
    <w:basedOn w:val="Normal"/>
    <w:next w:val="Normal"/>
    <w:qFormat/>
    <w:rsid w:val="00B36F17"/>
    <w:pPr>
      <w:spacing w:before="120" w:after="120"/>
    </w:pPr>
    <w:rPr>
      <w:b/>
      <w:bCs/>
      <w:sz w:val="20"/>
    </w:rPr>
  </w:style>
  <w:style w:type="paragraph" w:customStyle="1" w:styleId="tabledash">
    <w:name w:val="table dash"/>
    <w:basedOn w:val="tablebullet"/>
    <w:rsid w:val="00B36F17"/>
    <w:pPr>
      <w:numPr>
        <w:numId w:val="5"/>
      </w:numPr>
    </w:pPr>
  </w:style>
  <w:style w:type="paragraph" w:customStyle="1" w:styleId="Tablebody">
    <w:name w:val="Table body"/>
    <w:basedOn w:val="Normal"/>
    <w:semiHidden/>
    <w:rsid w:val="00B36F17"/>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B36F17"/>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B36F17"/>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B36F17"/>
    <w:rPr>
      <w:b w:val="0"/>
    </w:rPr>
  </w:style>
  <w:style w:type="paragraph" w:customStyle="1" w:styleId="KPbullet">
    <w:name w:val="KP bullet"/>
    <w:basedOn w:val="KPtext"/>
    <w:rsid w:val="00B36F17"/>
    <w:pPr>
      <w:numPr>
        <w:numId w:val="6"/>
      </w:numPr>
      <w:tabs>
        <w:tab w:val="clear" w:pos="2807"/>
        <w:tab w:val="left" w:pos="2665"/>
      </w:tabs>
      <w:spacing w:before="100"/>
      <w:ind w:left="2665" w:hanging="284"/>
    </w:pPr>
  </w:style>
  <w:style w:type="paragraph" w:customStyle="1" w:styleId="Note">
    <w:name w:val="Note"/>
    <w:basedOn w:val="BodyText"/>
    <w:next w:val="BodyText"/>
    <w:rsid w:val="00B36F17"/>
    <w:pPr>
      <w:numPr>
        <w:numId w:val="0"/>
      </w:numPr>
      <w:spacing w:line="240" w:lineRule="atLeast"/>
      <w:ind w:left="2693"/>
    </w:pPr>
    <w:rPr>
      <w:sz w:val="18"/>
    </w:rPr>
  </w:style>
  <w:style w:type="paragraph" w:customStyle="1" w:styleId="subparaa">
    <w:name w:val="sub para (a)"/>
    <w:basedOn w:val="BodyText"/>
    <w:rsid w:val="00B36F17"/>
    <w:pPr>
      <w:numPr>
        <w:ilvl w:val="1"/>
      </w:numPr>
      <w:spacing w:before="100"/>
    </w:pPr>
  </w:style>
  <w:style w:type="paragraph" w:customStyle="1" w:styleId="Feedbackhead">
    <w:name w:val="Feedback head"/>
    <w:basedOn w:val="KPhead"/>
    <w:next w:val="Feedbackquestion"/>
    <w:rsid w:val="00B36F17"/>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B36F17"/>
    <w:pPr>
      <w:keepNext w:val="0"/>
      <w:keepLines/>
      <w:numPr>
        <w:ilvl w:val="4"/>
        <w:numId w:val="7"/>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B36F17"/>
    <w:pPr>
      <w:numPr>
        <w:ilvl w:val="5"/>
      </w:numPr>
    </w:pPr>
  </w:style>
  <w:style w:type="paragraph" w:customStyle="1" w:styleId="subsubparai">
    <w:name w:val="sub sub para (i)"/>
    <w:basedOn w:val="subparaa"/>
    <w:rsid w:val="00B36F17"/>
    <w:pPr>
      <w:numPr>
        <w:ilvl w:val="2"/>
      </w:numPr>
    </w:pPr>
  </w:style>
  <w:style w:type="paragraph" w:customStyle="1" w:styleId="DescriptorRG">
    <w:name w:val="Descriptor RG"/>
    <w:basedOn w:val="Normal"/>
    <w:next w:val="Normal"/>
    <w:rsid w:val="00B36F17"/>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DescriptorCP">
    <w:name w:val="Descriptor CP"/>
    <w:basedOn w:val="DescriptorRG"/>
    <w:next w:val="Normal"/>
    <w:rsid w:val="00B36F17"/>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B36F17"/>
    <w:pPr>
      <w:spacing w:line="260" w:lineRule="atLeast"/>
    </w:pPr>
    <w:rPr>
      <w:rFonts w:ascii="Arial" w:hAnsi="Arial" w:cs="Arial"/>
      <w:sz w:val="20"/>
      <w:szCs w:val="20"/>
    </w:rPr>
  </w:style>
  <w:style w:type="paragraph" w:customStyle="1" w:styleId="Frontbullet">
    <w:name w:val="Front bullet"/>
    <w:basedOn w:val="Fronttext"/>
    <w:rsid w:val="00B36F17"/>
    <w:pPr>
      <w:numPr>
        <w:ilvl w:val="5"/>
        <w:numId w:val="10"/>
      </w:numPr>
      <w:spacing w:before="120"/>
    </w:pPr>
  </w:style>
  <w:style w:type="paragraph" w:customStyle="1" w:styleId="Frontheading">
    <w:name w:val="Front heading"/>
    <w:basedOn w:val="Heading3"/>
    <w:next w:val="Fronttext"/>
    <w:rsid w:val="00B36F17"/>
  </w:style>
  <w:style w:type="paragraph" w:customStyle="1" w:styleId="Blockquote">
    <w:name w:val="Block quote"/>
    <w:basedOn w:val="Bodytextplain"/>
    <w:rsid w:val="00B36F17"/>
    <w:pPr>
      <w:spacing w:before="100" w:line="240" w:lineRule="auto"/>
      <w:ind w:left="2693"/>
    </w:pPr>
    <w:rPr>
      <w:sz w:val="21"/>
      <w:szCs w:val="21"/>
    </w:rPr>
  </w:style>
  <w:style w:type="paragraph" w:customStyle="1" w:styleId="Proposalhead">
    <w:name w:val="Proposal head"/>
    <w:basedOn w:val="Bodytextplain"/>
    <w:next w:val="Proposaltext"/>
    <w:rsid w:val="00B36F17"/>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AD22BA"/>
    <w:pPr>
      <w:numPr>
        <w:ilvl w:val="1"/>
        <w:numId w:val="7"/>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B36F17"/>
    <w:pPr>
      <w:numPr>
        <w:ilvl w:val="2"/>
      </w:numPr>
      <w:spacing w:before="100"/>
    </w:pPr>
  </w:style>
  <w:style w:type="paragraph" w:customStyle="1" w:styleId="Proposalsubsubpara">
    <w:name w:val="Proposal sub sub para"/>
    <w:basedOn w:val="Proposaltext"/>
    <w:rsid w:val="00B36F17"/>
    <w:pPr>
      <w:numPr>
        <w:ilvl w:val="3"/>
      </w:numPr>
      <w:spacing w:before="100"/>
    </w:pPr>
  </w:style>
  <w:style w:type="paragraph" w:customStyle="1" w:styleId="Proposalnote">
    <w:name w:val="Proposal note"/>
    <w:basedOn w:val="Note"/>
    <w:rsid w:val="00B36F17"/>
    <w:pPr>
      <w:spacing w:before="100"/>
      <w:ind w:left="3119"/>
    </w:pPr>
    <w:rPr>
      <w:rFonts w:ascii="Arial" w:hAnsi="Arial" w:cs="Arial"/>
      <w:sz w:val="16"/>
      <w:szCs w:val="16"/>
    </w:rPr>
  </w:style>
  <w:style w:type="character" w:styleId="CommentReference">
    <w:name w:val="annotation reference"/>
    <w:basedOn w:val="DefaultParagraphFont"/>
    <w:semiHidden/>
    <w:rsid w:val="00B36F17"/>
    <w:rPr>
      <w:sz w:val="16"/>
      <w:szCs w:val="16"/>
    </w:rPr>
  </w:style>
  <w:style w:type="paragraph" w:styleId="CommentText">
    <w:name w:val="annotation text"/>
    <w:basedOn w:val="Normal"/>
    <w:link w:val="CommentTextChar"/>
    <w:semiHidden/>
    <w:rsid w:val="00B36F17"/>
    <w:rPr>
      <w:sz w:val="20"/>
    </w:rPr>
  </w:style>
  <w:style w:type="paragraph" w:styleId="BalloonText">
    <w:name w:val="Balloon Text"/>
    <w:basedOn w:val="Normal"/>
    <w:semiHidden/>
    <w:rsid w:val="00B36F17"/>
    <w:rPr>
      <w:rFonts w:ascii="Tahoma" w:hAnsi="Tahoma" w:cs="Tahoma"/>
      <w:sz w:val="16"/>
      <w:szCs w:val="16"/>
    </w:rPr>
  </w:style>
  <w:style w:type="paragraph" w:customStyle="1" w:styleId="boxbullet">
    <w:name w:val="box bullet"/>
    <w:basedOn w:val="Frontbullet"/>
    <w:semiHidden/>
    <w:rsid w:val="004E61FB"/>
    <w:pPr>
      <w:numPr>
        <w:ilvl w:val="0"/>
        <w:numId w:val="12"/>
      </w:numPr>
      <w:spacing w:before="60"/>
    </w:pPr>
  </w:style>
  <w:style w:type="paragraph" w:customStyle="1" w:styleId="boxtext">
    <w:name w:val="box text"/>
    <w:basedOn w:val="Fronttext"/>
    <w:semiHidden/>
    <w:rsid w:val="00B36F17"/>
    <w:pPr>
      <w:spacing w:before="120"/>
      <w:ind w:left="0"/>
    </w:pPr>
  </w:style>
  <w:style w:type="paragraph" w:customStyle="1" w:styleId="sub3paraA">
    <w:name w:val="sub3para (A)"/>
    <w:basedOn w:val="subsubparai"/>
    <w:qFormat/>
    <w:rsid w:val="009F4DE3"/>
    <w:pPr>
      <w:numPr>
        <w:ilvl w:val="3"/>
      </w:numPr>
    </w:pPr>
  </w:style>
  <w:style w:type="paragraph" w:customStyle="1" w:styleId="sub4paraI">
    <w:name w:val="sub4para (I)"/>
    <w:basedOn w:val="subsubparai"/>
    <w:qFormat/>
    <w:rsid w:val="009F4DE3"/>
    <w:pPr>
      <w:numPr>
        <w:ilvl w:val="4"/>
      </w:numPr>
    </w:pPr>
  </w:style>
  <w:style w:type="paragraph" w:customStyle="1" w:styleId="Feedbacksubsubquestion">
    <w:name w:val="Feedback subsubquestion"/>
    <w:basedOn w:val="Feedbacksubquestion"/>
    <w:qFormat/>
    <w:rsid w:val="00BC048C"/>
    <w:pPr>
      <w:numPr>
        <w:ilvl w:val="6"/>
      </w:numPr>
    </w:pPr>
  </w:style>
  <w:style w:type="paragraph" w:customStyle="1" w:styleId="sourcenoteindented">
    <w:name w:val="source note indented"/>
    <w:basedOn w:val="sourcenotefullwidth"/>
    <w:qFormat/>
    <w:rsid w:val="00C42A28"/>
    <w:pPr>
      <w:ind w:left="2268"/>
    </w:pPr>
  </w:style>
  <w:style w:type="paragraph" w:customStyle="1" w:styleId="tblnote">
    <w:name w:val="tbl note"/>
    <w:basedOn w:val="sourcenotefullwidth"/>
    <w:next w:val="tbltext"/>
    <w:qFormat/>
    <w:rsid w:val="002725EA"/>
    <w:pPr>
      <w:ind w:left="425"/>
    </w:pPr>
  </w:style>
  <w:style w:type="paragraph" w:customStyle="1" w:styleId="tblProposalsubpara">
    <w:name w:val="tbl Proposal sub para"/>
    <w:basedOn w:val="tbltext"/>
    <w:qFormat/>
    <w:rsid w:val="00CC3E64"/>
    <w:pPr>
      <w:ind w:left="885" w:hanging="425"/>
    </w:pPr>
  </w:style>
  <w:style w:type="paragraph" w:customStyle="1" w:styleId="tblProposalsubsubpara">
    <w:name w:val="tbl Proposal sub sub para"/>
    <w:basedOn w:val="tbltext"/>
    <w:qFormat/>
    <w:rsid w:val="00CC3E64"/>
    <w:pPr>
      <w:ind w:left="1310" w:hanging="425"/>
    </w:pPr>
  </w:style>
  <w:style w:type="paragraph" w:customStyle="1" w:styleId="tblProposaltext">
    <w:name w:val="tbl Proposal text"/>
    <w:basedOn w:val="tbltext"/>
    <w:qFormat/>
    <w:rsid w:val="00CC3E64"/>
    <w:pPr>
      <w:ind w:left="425" w:hanging="425"/>
    </w:pPr>
  </w:style>
  <w:style w:type="paragraph" w:customStyle="1" w:styleId="tblProposaltextnonumber">
    <w:name w:val="tbl Proposal text no number"/>
    <w:basedOn w:val="tbltext"/>
    <w:qFormat/>
    <w:rsid w:val="00CC3E64"/>
    <w:pPr>
      <w:ind w:left="425"/>
    </w:pPr>
  </w:style>
  <w:style w:type="paragraph" w:customStyle="1" w:styleId="tblFeedbackquestion">
    <w:name w:val="tbl Feedback question"/>
    <w:basedOn w:val="Proposaltext"/>
    <w:qFormat/>
    <w:rsid w:val="004F6680"/>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5E45D1"/>
    <w:rPr>
      <w:sz w:val="16"/>
      <w:szCs w:val="16"/>
    </w:rPr>
  </w:style>
  <w:style w:type="paragraph" w:customStyle="1" w:styleId="tblFeedbacksubquestion">
    <w:name w:val="tbl Feedback subquestion"/>
    <w:basedOn w:val="tblProposalsubpara"/>
    <w:rsid w:val="004F6680"/>
    <w:pPr>
      <w:ind w:left="964" w:hanging="340"/>
    </w:pPr>
  </w:style>
  <w:style w:type="paragraph" w:customStyle="1" w:styleId="tblFeedbacksubsubquestion">
    <w:name w:val="tbl Feedback subsubquestion"/>
    <w:basedOn w:val="tblProposalsubsubpara"/>
    <w:qFormat/>
    <w:rsid w:val="004F6680"/>
    <w:pPr>
      <w:ind w:left="1304" w:hanging="340"/>
    </w:pPr>
  </w:style>
  <w:style w:type="paragraph" w:customStyle="1" w:styleId="rpg-bodytextnumbered">
    <w:name w:val="rpg-bodytextnumbered"/>
    <w:basedOn w:val="Normal"/>
    <w:rsid w:val="006735E7"/>
    <w:pPr>
      <w:spacing w:before="100" w:beforeAutospacing="1" w:after="100" w:afterAutospacing="1"/>
    </w:pPr>
    <w:rPr>
      <w:sz w:val="24"/>
      <w:szCs w:val="24"/>
    </w:rPr>
  </w:style>
  <w:style w:type="character" w:customStyle="1" w:styleId="BodyTextChar">
    <w:name w:val="Body Text Char"/>
    <w:basedOn w:val="DefaultParagraphFont"/>
    <w:link w:val="BodyText"/>
    <w:uiPriority w:val="99"/>
    <w:semiHidden/>
    <w:rsid w:val="006735E7"/>
    <w:rPr>
      <w:sz w:val="22"/>
      <w:szCs w:val="22"/>
    </w:rPr>
  </w:style>
  <w:style w:type="paragraph" w:styleId="ListParagraph">
    <w:name w:val="List Paragraph"/>
    <w:basedOn w:val="Normal"/>
    <w:uiPriority w:val="34"/>
    <w:qFormat/>
    <w:rsid w:val="00A77243"/>
    <w:pPr>
      <w:ind w:left="720"/>
      <w:contextualSpacing/>
    </w:pPr>
  </w:style>
  <w:style w:type="paragraph" w:styleId="CommentSubject">
    <w:name w:val="annotation subject"/>
    <w:basedOn w:val="CommentText"/>
    <w:next w:val="CommentText"/>
    <w:link w:val="CommentSubjectChar"/>
    <w:uiPriority w:val="99"/>
    <w:semiHidden/>
    <w:unhideWhenUsed/>
    <w:rsid w:val="005501A3"/>
    <w:rPr>
      <w:b/>
      <w:bCs/>
    </w:rPr>
  </w:style>
  <w:style w:type="character" w:customStyle="1" w:styleId="CommentTextChar">
    <w:name w:val="Comment Text Char"/>
    <w:basedOn w:val="DefaultParagraphFont"/>
    <w:link w:val="CommentText"/>
    <w:semiHidden/>
    <w:rsid w:val="005501A3"/>
  </w:style>
  <w:style w:type="character" w:customStyle="1" w:styleId="CommentSubjectChar">
    <w:name w:val="Comment Subject Char"/>
    <w:basedOn w:val="CommentTextChar"/>
    <w:link w:val="CommentSubject"/>
    <w:uiPriority w:val="99"/>
    <w:semiHidden/>
    <w:rsid w:val="005501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852252">
      <w:bodyDiv w:val="1"/>
      <w:marLeft w:val="0"/>
      <w:marRight w:val="0"/>
      <w:marTop w:val="0"/>
      <w:marBottom w:val="0"/>
      <w:divBdr>
        <w:top w:val="none" w:sz="0" w:space="0" w:color="auto"/>
        <w:left w:val="none" w:sz="0" w:space="0" w:color="auto"/>
        <w:bottom w:val="none" w:sz="0" w:space="0" w:color="auto"/>
        <w:right w:val="none" w:sz="0" w:space="0" w:color="auto"/>
      </w:divBdr>
    </w:div>
    <w:div w:id="421756746">
      <w:bodyDiv w:val="1"/>
      <w:marLeft w:val="0"/>
      <w:marRight w:val="0"/>
      <w:marTop w:val="0"/>
      <w:marBottom w:val="0"/>
      <w:divBdr>
        <w:top w:val="none" w:sz="0" w:space="0" w:color="auto"/>
        <w:left w:val="none" w:sz="0" w:space="0" w:color="auto"/>
        <w:bottom w:val="none" w:sz="0" w:space="0" w:color="auto"/>
        <w:right w:val="none" w:sz="0" w:space="0" w:color="auto"/>
      </w:divBdr>
    </w:div>
    <w:div w:id="1712460770">
      <w:bodyDiv w:val="1"/>
      <w:marLeft w:val="0"/>
      <w:marRight w:val="0"/>
      <w:marTop w:val="0"/>
      <w:marBottom w:val="0"/>
      <w:divBdr>
        <w:top w:val="none" w:sz="0" w:space="0" w:color="auto"/>
        <w:left w:val="none" w:sz="0" w:space="0" w:color="auto"/>
        <w:bottom w:val="none" w:sz="0" w:space="0" w:color="auto"/>
        <w:right w:val="none" w:sz="0" w:space="0" w:color="auto"/>
      </w:divBdr>
      <w:divsChild>
        <w:div w:id="895043268">
          <w:marLeft w:val="0"/>
          <w:marRight w:val="0"/>
          <w:marTop w:val="0"/>
          <w:marBottom w:val="0"/>
          <w:divBdr>
            <w:top w:val="none" w:sz="0" w:space="0" w:color="auto"/>
            <w:left w:val="none" w:sz="0" w:space="0" w:color="auto"/>
            <w:bottom w:val="none" w:sz="0" w:space="0" w:color="auto"/>
            <w:right w:val="none" w:sz="0" w:space="0" w:color="auto"/>
          </w:divBdr>
          <w:divsChild>
            <w:div w:id="845753255">
              <w:marLeft w:val="0"/>
              <w:marRight w:val="0"/>
              <w:marTop w:val="0"/>
              <w:marBottom w:val="0"/>
              <w:divBdr>
                <w:top w:val="none" w:sz="0" w:space="0" w:color="auto"/>
                <w:left w:val="none" w:sz="0" w:space="0" w:color="auto"/>
                <w:bottom w:val="none" w:sz="0" w:space="0" w:color="auto"/>
                <w:right w:val="none" w:sz="0" w:space="0" w:color="auto"/>
              </w:divBdr>
              <w:divsChild>
                <w:div w:id="126432795">
                  <w:marLeft w:val="0"/>
                  <w:marRight w:val="0"/>
                  <w:marTop w:val="0"/>
                  <w:marBottom w:val="0"/>
                  <w:divBdr>
                    <w:top w:val="none" w:sz="0" w:space="0" w:color="auto"/>
                    <w:left w:val="none" w:sz="0" w:space="0" w:color="auto"/>
                    <w:bottom w:val="none" w:sz="0" w:space="0" w:color="auto"/>
                    <w:right w:val="none" w:sz="0" w:space="0" w:color="auto"/>
                  </w:divBdr>
                  <w:divsChild>
                    <w:div w:id="916093871">
                      <w:marLeft w:val="0"/>
                      <w:marRight w:val="0"/>
                      <w:marTop w:val="0"/>
                      <w:marBottom w:val="0"/>
                      <w:divBdr>
                        <w:top w:val="none" w:sz="0" w:space="0" w:color="auto"/>
                        <w:left w:val="none" w:sz="0" w:space="0" w:color="auto"/>
                        <w:bottom w:val="none" w:sz="0" w:space="0" w:color="auto"/>
                        <w:right w:val="none" w:sz="0" w:space="0" w:color="auto"/>
                      </w:divBdr>
                      <w:divsChild>
                        <w:div w:id="1260597189">
                          <w:marLeft w:val="0"/>
                          <w:marRight w:val="0"/>
                          <w:marTop w:val="0"/>
                          <w:marBottom w:val="0"/>
                          <w:divBdr>
                            <w:top w:val="none" w:sz="0" w:space="0" w:color="auto"/>
                            <w:left w:val="none" w:sz="0" w:space="0" w:color="auto"/>
                            <w:bottom w:val="none" w:sz="0" w:space="0" w:color="auto"/>
                            <w:right w:val="none" w:sz="0" w:space="0" w:color="auto"/>
                          </w:divBdr>
                          <w:divsChild>
                            <w:div w:id="1794396408">
                              <w:marLeft w:val="0"/>
                              <w:marRight w:val="0"/>
                              <w:marTop w:val="0"/>
                              <w:marBottom w:val="0"/>
                              <w:divBdr>
                                <w:top w:val="none" w:sz="0" w:space="0" w:color="auto"/>
                                <w:left w:val="none" w:sz="0" w:space="0" w:color="auto"/>
                                <w:bottom w:val="none" w:sz="0" w:space="0" w:color="auto"/>
                                <w:right w:val="none" w:sz="0" w:space="0" w:color="auto"/>
                              </w:divBdr>
                              <w:divsChild>
                                <w:div w:id="1330601613">
                                  <w:marLeft w:val="0"/>
                                  <w:marRight w:val="0"/>
                                  <w:marTop w:val="0"/>
                                  <w:marBottom w:val="0"/>
                                  <w:divBdr>
                                    <w:top w:val="none" w:sz="0" w:space="0" w:color="auto"/>
                                    <w:left w:val="none" w:sz="0" w:space="0" w:color="auto"/>
                                    <w:bottom w:val="none" w:sz="0" w:space="0" w:color="auto"/>
                                    <w:right w:val="none" w:sz="0" w:space="0" w:color="auto"/>
                                  </w:divBdr>
                                  <w:divsChild>
                                    <w:div w:id="970591458">
                                      <w:marLeft w:val="0"/>
                                      <w:marRight w:val="0"/>
                                      <w:marTop w:val="0"/>
                                      <w:marBottom w:val="0"/>
                                      <w:divBdr>
                                        <w:top w:val="none" w:sz="0" w:space="0" w:color="auto"/>
                                        <w:left w:val="none" w:sz="0" w:space="0" w:color="auto"/>
                                        <w:bottom w:val="none" w:sz="0" w:space="0" w:color="auto"/>
                                        <w:right w:val="none" w:sz="0" w:space="0" w:color="auto"/>
                                      </w:divBdr>
                                      <w:divsChild>
                                        <w:div w:id="522551233">
                                          <w:marLeft w:val="0"/>
                                          <w:marRight w:val="0"/>
                                          <w:marTop w:val="0"/>
                                          <w:marBottom w:val="0"/>
                                          <w:divBdr>
                                            <w:top w:val="none" w:sz="0" w:space="0" w:color="auto"/>
                                            <w:left w:val="none" w:sz="0" w:space="0" w:color="auto"/>
                                            <w:bottom w:val="none" w:sz="0" w:space="0" w:color="auto"/>
                                            <w:right w:val="none" w:sz="0" w:space="0" w:color="auto"/>
                                          </w:divBdr>
                                          <w:divsChild>
                                            <w:div w:id="295916694">
                                              <w:marLeft w:val="0"/>
                                              <w:marRight w:val="0"/>
                                              <w:marTop w:val="0"/>
                                              <w:marBottom w:val="0"/>
                                              <w:divBdr>
                                                <w:top w:val="none" w:sz="0" w:space="0" w:color="auto"/>
                                                <w:left w:val="none" w:sz="0" w:space="0" w:color="auto"/>
                                                <w:bottom w:val="none" w:sz="0" w:space="0" w:color="auto"/>
                                                <w:right w:val="none" w:sz="0" w:space="0" w:color="auto"/>
                                              </w:divBdr>
                                              <w:divsChild>
                                                <w:div w:id="571353471">
                                                  <w:marLeft w:val="0"/>
                                                  <w:marRight w:val="0"/>
                                                  <w:marTop w:val="0"/>
                                                  <w:marBottom w:val="0"/>
                                                  <w:divBdr>
                                                    <w:top w:val="none" w:sz="0" w:space="0" w:color="auto"/>
                                                    <w:left w:val="none" w:sz="0" w:space="0" w:color="auto"/>
                                                    <w:bottom w:val="none" w:sz="0" w:space="0" w:color="auto"/>
                                                    <w:right w:val="none" w:sz="0" w:space="0" w:color="auto"/>
                                                  </w:divBdr>
                                                  <w:divsChild>
                                                    <w:div w:id="1173258160">
                                                      <w:marLeft w:val="0"/>
                                                      <w:marRight w:val="0"/>
                                                      <w:marTop w:val="0"/>
                                                      <w:marBottom w:val="0"/>
                                                      <w:divBdr>
                                                        <w:top w:val="none" w:sz="0" w:space="0" w:color="auto"/>
                                                        <w:left w:val="none" w:sz="0" w:space="0" w:color="auto"/>
                                                        <w:bottom w:val="none" w:sz="0" w:space="0" w:color="auto"/>
                                                        <w:right w:val="none" w:sz="0" w:space="0" w:color="auto"/>
                                                      </w:divBdr>
                                                      <w:divsChild>
                                                        <w:div w:id="164314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772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a1.asic.gov.au\ds\appHome\Office%202016\ASIC%20Templates\RegDocs\ASIC%20Reg%20Doc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C74CEC425EF9BB4A8F2366F638F698C7" ma:contentTypeVersion="23" ma:contentTypeDescription="" ma:contentTypeScope="" ma:versionID="4b7df7c050f20cd4e5a3378a5793e0b3">
  <xsd:schema xmlns:xsd="http://www.w3.org/2001/XMLSchema" xmlns:xs="http://www.w3.org/2001/XMLSchema" xmlns:p="http://schemas.microsoft.com/office/2006/metadata/properties" xmlns:ns2="da7a9ac0-bc47-4684-84e6-3a8e9ac80c12" xmlns:ns3="e5394ee9-d54e-4365-a66c-cb7b518cf0c0" xmlns:ns4="17f478ab-373e-4295-9ff0-9b833ad01319" targetNamespace="http://schemas.microsoft.com/office/2006/metadata/properties" ma:root="true" ma:fieldsID="7da8b038adf0fc30d6e08c8d9db5ea5e" ns2:_="" ns3:_="" ns4:_="">
    <xsd:import namespace="da7a9ac0-bc47-4684-84e6-3a8e9ac80c12"/>
    <xsd:import namespace="e5394ee9-d54e-4365-a66c-cb7b518cf0c0"/>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f2498d72dff642e385e426f6fcf88a22" minOccurs="0"/>
                <xsd:element ref="ns2:NotesLinks" minOccurs="0"/>
                <xsd:element ref="ns4:Reviewers" minOccurs="0"/>
                <xsd:element ref="ns4: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ma:readOnly="false">
      <xsd:simpleType>
        <xsd:restriction base="dms:Text">
          <xsd:maxLength value="255"/>
        </xsd:restriction>
      </xsd:simpleType>
    </xsd:element>
    <xsd:element name="ObjectiveID" ma:index="3" nillable="true" ma:displayName="Objective ID" ma:hidden="true" ma:internalName="ObjectiveID" ma:readOnly="false">
      <xsd:simpleType>
        <xsd:restriction base="dms:Text">
          <xsd:maxLength value="255"/>
        </xsd:restriction>
      </xsd:simpleType>
    </xsd:element>
    <xsd:element name="SenateOrder12" ma:index="4" nillable="true" ma:displayName="Senate Order #12" ma:default="0" ma:hidden="true" ma:internalName="SenateOrder12" ma:readOnly="false">
      <xsd:simpleType>
        <xsd:restriction base="dms:Boolean"/>
      </xsd:simpleType>
    </xsd:element>
    <xsd:element name="SignificantFlag" ma:index="5" nillable="true" ma:displayName="Significant Flag" ma:default="0" ma:hidden="true" ma:internalName="SignificantFlag" ma:readOnly="false">
      <xsd:simpleType>
        <xsd:restriction base="dms:Boolean"/>
      </xsd:simpleType>
    </xsd:element>
    <xsd:element name="SignificantReason" ma:index="6" nillable="true" ma:displayName="Significant Reason" ma:hidden="true" ma:internalName="SignificantReason" ma:readOnly="false">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8"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394ee9-d54e-4365-a66c-cb7b518cf0c0"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920f16be-53a8-4344-b0f7-a763802d2d1f}" ma:internalName="TaxCatchAll" ma:showField="CatchAllData" ma:web="e5394ee9-d54e-4365-a66c-cb7b518cf0c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920f16be-53a8-4344-b0f7-a763802d2d1f}" ma:internalName="TaxCatchAllLabel" ma:readOnly="true" ma:showField="CatchAllDataLabel" ma:web="e5394ee9-d54e-4365-a66c-cb7b518cf0c0">
      <xsd:complexType>
        <xsd:complexContent>
          <xsd:extension base="dms:MultiChoiceLookup">
            <xsd:sequence>
              <xsd:element name="Value" type="dms:Lookup" maxOccurs="unbounded" minOccurs="0" nillable="true"/>
            </xsd:sequence>
          </xsd:extension>
        </xsd:complexContent>
      </xsd:complexType>
    </xsd:element>
    <xsd:element name="f2498d72dff642e385e426f6fcf88a22" ma:index="17" ma:taxonomy="true" ma:internalName="f2498d72dff642e385e426f6fcf88a22" ma:taxonomyFieldName="SecurityClassification" ma:displayName="Security Classification" ma:readOnly="false" ma:default="6;#Protected|0fdd1a11-afcd-482b-8e90-e57051455132" ma:fieldId="{f2498d72-dff6-42e3-85e4-26f6fcf88a22}"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9"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0"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cordNumber xmlns="da7a9ac0-bc47-4684-84e6-3a8e9ac80c12">R20180000684701</RecordNumber>
    <ObjectiveID xmlns="da7a9ac0-bc47-4684-84e6-3a8e9ac80c12"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TaxCatchAll xmlns="e5394ee9-d54e-4365-a66c-cb7b518cf0c0">
      <Value>6</Value>
    </TaxCatchAll>
    <f2498d72dff642e385e426f6fcf88a22 xmlns="e5394ee9-d54e-4365-a66c-cb7b518cf0c0">
      <Terms xmlns="http://schemas.microsoft.com/office/infopath/2007/PartnerControls">
        <TermInfo xmlns="http://schemas.microsoft.com/office/infopath/2007/PartnerControls">
          <TermName xmlns="http://schemas.microsoft.com/office/infopath/2007/PartnerControls">Protected</TermName>
          <TermId xmlns="http://schemas.microsoft.com/office/infopath/2007/PartnerControls">0fdd1a11-afcd-482b-8e90-e57051455132</TermId>
        </TermInfo>
      </Terms>
    </f2498d72dff642e385e426f6fcf88a2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D2113-C0D5-4A4A-B573-A32EA3CD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5394ee9-d54e-4365-a66c-cb7b518cf0c0"/>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F9DCB8-95B9-4292-A51A-679BFD17A67D}">
  <ds:schemaRefs>
    <ds:schemaRef ds:uri="da7a9ac0-bc47-4684-84e6-3a8e9ac80c12"/>
    <ds:schemaRef ds:uri="http://purl.org/dc/dcmitype/"/>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17f478ab-373e-4295-9ff0-9b833ad01319"/>
    <ds:schemaRef ds:uri="e5394ee9-d54e-4365-a66c-cb7b518cf0c0"/>
  </ds:schemaRefs>
</ds:datastoreItem>
</file>

<file path=customXml/itemProps3.xml><?xml version="1.0" encoding="utf-8"?>
<ds:datastoreItem xmlns:ds="http://schemas.openxmlformats.org/officeDocument/2006/customXml" ds:itemID="{4E5B4E87-0FA7-4889-A75C-DB251135C857}">
  <ds:schemaRefs>
    <ds:schemaRef ds:uri="http://schemas.microsoft.com/sharepoint/v3/contenttype/forms"/>
  </ds:schemaRefs>
</ds:datastoreItem>
</file>

<file path=customXml/itemProps4.xml><?xml version="1.0" encoding="utf-8"?>
<ds:datastoreItem xmlns:ds="http://schemas.openxmlformats.org/officeDocument/2006/customXml" ds:itemID="{C77ABD15-962B-401B-96FB-A74286FDE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ASIC Reg Docs Template.dotm</Template>
  <TotalTime>1</TotalTime>
  <Pages>5</Pages>
  <Words>1789</Words>
  <Characters>10199</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ASIC Reg Docs Template Ver 3.3</dc:subject>
  <dc:creator>fleur.grey</dc:creator>
  <cp:keywords/>
  <dc:description/>
  <cp:lastModifiedBy>Ruki Weerasinghe</cp:lastModifiedBy>
  <cp:revision>2</cp:revision>
  <cp:lastPrinted>2006-12-06T03:25:00Z</cp:lastPrinted>
  <dcterms:created xsi:type="dcterms:W3CDTF">2018-09-30T21:50:00Z</dcterms:created>
  <dcterms:modified xsi:type="dcterms:W3CDTF">2018-09-30T21:50:00Z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Document type</vt:lpwstr>
  </property>
  <property fmtid="{D5CDD505-2E9C-101B-9397-08002B2CF9AE}" pid="3" name="Document title">
    <vt:lpwstr>Document title</vt:lpwstr>
  </property>
  <property fmtid="{D5CDD505-2E9C-101B-9397-08002B2CF9AE}" pid="4" name="Document num">
    <vt:lpwstr>000</vt:lpwstr>
  </property>
  <property fmtid="{D5CDD505-2E9C-101B-9397-08002B2CF9AE}" pid="5" name="Issue date">
    <vt:lpwstr>Issue date</vt:lpwstr>
  </property>
  <property fmtid="{D5CDD505-2E9C-101B-9397-08002B2CF9AE}" pid="6" name="ContentTypeId">
    <vt:lpwstr>0x010100B5F685A1365F544391EF8C813B164F3A00C74CEC425EF9BB4A8F2366F638F698C7</vt:lpwstr>
  </property>
  <property fmtid="{D5CDD505-2E9C-101B-9397-08002B2CF9AE}" pid="7" name="SecurityClassification">
    <vt:lpwstr>6;#Protected|0fdd1a11-afcd-482b-8e90-e57051455132</vt:lpwstr>
  </property>
  <property fmtid="{D5CDD505-2E9C-101B-9397-08002B2CF9AE}" pid="8" name="RecordPoint_WorkflowType">
    <vt:lpwstr>ActiveSubmitStub</vt:lpwstr>
  </property>
  <property fmtid="{D5CDD505-2E9C-101B-9397-08002B2CF9AE}" pid="9" name="RecordPoint_ActiveItemUniqueId">
    <vt:lpwstr>{9e14abc7-bae9-4d4a-b8c7-0e2632311dae}</vt:lpwstr>
  </property>
  <property fmtid="{D5CDD505-2E9C-101B-9397-08002B2CF9AE}" pid="10" name="RecordPoint_ActiveItemWebId">
    <vt:lpwstr>{e5394ee9-d54e-4365-a66c-cb7b518cf0c0}</vt:lpwstr>
  </property>
  <property fmtid="{D5CDD505-2E9C-101B-9397-08002B2CF9AE}" pid="11" name="RecordPoint_ActiveItemSiteId">
    <vt:lpwstr>{75365e5e-d13a-42ce-8fad-d2a6c6130666}</vt:lpwstr>
  </property>
  <property fmtid="{D5CDD505-2E9C-101B-9397-08002B2CF9AE}" pid="12" name="RecordPoint_ActiveItemListId">
    <vt:lpwstr>{ed737b17-c687-4f9d-9425-81159981246f}</vt:lpwstr>
  </property>
  <property fmtid="{D5CDD505-2E9C-101B-9397-08002B2CF9AE}" pid="13" name="RecordPoint_RecordNumberSubmitted">
    <vt:lpwstr/>
  </property>
  <property fmtid="{D5CDD505-2E9C-101B-9397-08002B2CF9AE}" pid="14" name="RecordPoint_SubmissionCompleted">
    <vt:lpwstr/>
  </property>
  <property fmtid="{D5CDD505-2E9C-101B-9397-08002B2CF9AE}" pid="15" name="RecordPoint_SubmissionDate">
    <vt:lpwstr/>
  </property>
  <property fmtid="{D5CDD505-2E9C-101B-9397-08002B2CF9AE}" pid="16" name="RecordPoint_ActiveItemMoved">
    <vt:lpwstr/>
  </property>
  <property fmtid="{D5CDD505-2E9C-101B-9397-08002B2CF9AE}" pid="17" name="RecordPoint_RecordFormat">
    <vt:lpwstr/>
  </property>
</Properties>
</file>