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F9696E" w:rsidTr="00A22E0D">
        <w:tc>
          <w:tcPr>
            <w:tcW w:w="4661" w:type="dxa"/>
          </w:tcPr>
          <w:p w:rsidR="00672FD6" w:rsidRPr="00822733" w:rsidRDefault="00291416" w:rsidP="004B2078">
            <w:pPr>
              <w:rPr>
                <w:b/>
                <w:sz w:val="32"/>
                <w:szCs w:val="32"/>
              </w:rPr>
            </w:pPr>
            <w:r>
              <w:rPr>
                <w:b/>
                <w:sz w:val="32"/>
                <w:szCs w:val="32"/>
              </w:rPr>
              <w:t>A</w:t>
            </w:r>
            <w:bookmarkStart w:id="0" w:name="_Ref522531206"/>
            <w:bookmarkEnd w:id="0"/>
            <w:r>
              <w:rPr>
                <w:b/>
                <w:sz w:val="32"/>
                <w:szCs w:val="32"/>
              </w:rPr>
              <w:t>ASB </w:t>
            </w:r>
            <w:r w:rsidR="004B2078">
              <w:rPr>
                <w:b/>
                <w:sz w:val="32"/>
                <w:szCs w:val="32"/>
              </w:rPr>
              <w:t>Standard</w:t>
            </w:r>
          </w:p>
        </w:tc>
        <w:tc>
          <w:tcPr>
            <w:tcW w:w="4661" w:type="dxa"/>
          </w:tcPr>
          <w:p w:rsidR="00090A6F" w:rsidRPr="00F9696E" w:rsidRDefault="003C15D3" w:rsidP="00015E93">
            <w:pPr>
              <w:pStyle w:val="CoverNumber"/>
            </w:pPr>
            <w:r>
              <w:t>AASB 2018-4</w:t>
            </w:r>
            <w:r w:rsidR="002A2156" w:rsidRPr="004D1FAE">
              <w:br/>
            </w:r>
            <w:r>
              <w:rPr>
                <w:b w:val="0"/>
                <w:caps w:val="0"/>
                <w:sz w:val="24"/>
              </w:rPr>
              <w:t>September</w:t>
            </w:r>
            <w:r w:rsidR="004B2078" w:rsidRPr="004D1FAE">
              <w:rPr>
                <w:b w:val="0"/>
                <w:caps w:val="0"/>
                <w:sz w:val="24"/>
              </w:rPr>
              <w:t xml:space="preserve"> 2018</w:t>
            </w:r>
          </w:p>
        </w:tc>
      </w:tr>
    </w:tbl>
    <w:bookmarkStart w:id="1" w:name="DocTitle"/>
    <w:p w:rsidR="008561BE" w:rsidRPr="00F9696E" w:rsidRDefault="00321C1D" w:rsidP="00AA4693">
      <w:pPr>
        <w:pStyle w:val="CoverTitle"/>
        <w:jc w:val="left"/>
        <w:outlineLvl w:val="0"/>
      </w:pPr>
      <w:sdt>
        <w:sdtPr>
          <w:id w:val="1499539523"/>
          <w:lock w:val="contentLocked"/>
          <w:placeholder>
            <w:docPart w:val="DefaultPlaceholder_1081868574"/>
          </w:placeholder>
          <w:group/>
        </w:sdtPr>
        <w:sdtEndPr/>
        <w:sdtContent>
          <w:r w:rsidR="00797EB5" w:rsidRPr="00F9696E">
            <w:t xml:space="preserve">Amendments to </w:t>
          </w:r>
          <w:r w:rsidR="00577C3F" w:rsidRPr="00F9696E">
            <w:t>Australian Accounting Standards –</w:t>
          </w:r>
        </w:sdtContent>
      </w:sdt>
      <w:r w:rsidR="00797EB5" w:rsidRPr="00F9696E">
        <w:t xml:space="preserve"> </w:t>
      </w:r>
      <w:bookmarkEnd w:id="1"/>
      <w:r w:rsidR="00100557">
        <w:t>Australian Implementation Guidance for Not-for-Profit Public Sector Licensors</w:t>
      </w:r>
    </w:p>
    <w:p w:rsidR="000B4A93" w:rsidRPr="00A72276" w:rsidRDefault="004B2078" w:rsidP="00C5022C">
      <w:pPr>
        <w:pStyle w:val="CoverSubtitle"/>
      </w:pPr>
      <w:r w:rsidRPr="00A72276">
        <w:t>[AASB 15</w:t>
      </w:r>
      <w:r w:rsidR="00A72276" w:rsidRPr="00A72276">
        <w:t xml:space="preserve"> &amp; AASB 16</w:t>
      </w:r>
      <w:r w:rsidRPr="00A72276">
        <w:t>]</w:t>
      </w:r>
    </w:p>
    <w:p w:rsidR="00090A6F" w:rsidRPr="003E1C62" w:rsidRDefault="008B643A" w:rsidP="003E1C62">
      <w:pPr>
        <w:jc w:val="left"/>
        <w:rPr>
          <w:b/>
          <w:sz w:val="28"/>
          <w:szCs w:val="28"/>
        </w:rPr>
      </w:pPr>
      <w:r w:rsidRPr="003E1C62">
        <w:rPr>
          <w:b/>
          <w:noProof/>
          <w:sz w:val="28"/>
          <w:szCs w:val="28"/>
          <w:lang w:eastAsia="en-AU"/>
        </w:rPr>
        <w:drawing>
          <wp:anchor distT="0" distB="0" distL="114300" distR="114300" simplePos="0" relativeHeight="251654144" behindDoc="0" locked="1" layoutInCell="1" allowOverlap="1" wp14:anchorId="1B7777F6" wp14:editId="5141E205">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D2E" w:rsidRPr="00F9696E" w:rsidRDefault="002C0D2E" w:rsidP="003E1C62">
      <w:pPr>
        <w:sectPr w:rsidR="002C0D2E" w:rsidRPr="00F9696E" w:rsidSect="00D74C6A">
          <w:headerReference w:type="default" r:id="rId15"/>
          <w:pgSz w:w="11907" w:h="16840" w:code="9"/>
          <w:pgMar w:top="1418" w:right="1418" w:bottom="1418" w:left="1418" w:header="709" w:footer="709" w:gutter="0"/>
          <w:paperSrc w:first="7" w:other="7"/>
          <w:cols w:space="720"/>
        </w:sectPr>
      </w:pPr>
    </w:p>
    <w:p w:rsidR="002A2156" w:rsidRPr="002A2156" w:rsidRDefault="002A2156" w:rsidP="002A2156">
      <w:pPr>
        <w:pStyle w:val="Heading1"/>
        <w:rPr>
          <w:sz w:val="19"/>
          <w:szCs w:val="19"/>
        </w:rPr>
      </w:pPr>
      <w:bookmarkStart w:id="2" w:name="CopyrightText"/>
      <w:r w:rsidRPr="0000292B">
        <w:lastRenderedPageBreak/>
        <w:t xml:space="preserve">Obtaining a </w:t>
      </w:r>
      <w:r>
        <w:t>c</w:t>
      </w:r>
      <w:r w:rsidRPr="0000292B">
        <w:t xml:space="preserve">opy of this </w:t>
      </w:r>
      <w:r>
        <w:t>Accounting Standard</w:t>
      </w:r>
    </w:p>
    <w:p w:rsidR="002A2156" w:rsidRPr="0000292B" w:rsidRDefault="002A2156" w:rsidP="008F43CA">
      <w:pPr>
        <w:spacing w:after="120"/>
      </w:pPr>
      <w:r w:rsidRPr="0000292B">
        <w:t xml:space="preserve">This </w:t>
      </w:r>
      <w:r>
        <w:t>Standard</w:t>
      </w:r>
      <w:r w:rsidRPr="0000292B">
        <w:t xml:space="preserve"> is available o</w:t>
      </w:r>
      <w:r>
        <w:t>n the AASB website: www.aasb.gov</w:t>
      </w:r>
      <w:r w:rsidRPr="0000292B">
        <w:t>.au.</w:t>
      </w:r>
    </w:p>
    <w:p w:rsidR="008F43CA" w:rsidRDefault="002A2156" w:rsidP="008F43CA">
      <w:pPr>
        <w:pStyle w:val="CoverSubtitle"/>
        <w:rPr>
          <w:b w:val="0"/>
          <w:sz w:val="19"/>
          <w:szCs w:val="20"/>
        </w:rPr>
      </w:pPr>
      <w:r w:rsidRPr="008F43CA">
        <w:rPr>
          <w:b w:val="0"/>
          <w:sz w:val="19"/>
          <w:szCs w:val="20"/>
        </w:rPr>
        <w:t>Australian Accounting Standards Board</w:t>
      </w:r>
    </w:p>
    <w:p w:rsidR="002A2156" w:rsidRPr="008F43CA" w:rsidRDefault="002A2156" w:rsidP="008F43CA">
      <w:r>
        <w:t>PO Box 204</w:t>
      </w:r>
    </w:p>
    <w:p w:rsidR="002A2156" w:rsidRPr="0000292B" w:rsidRDefault="002A2156" w:rsidP="002A2156">
      <w:r>
        <w:t>Collins Street West</w:t>
      </w:r>
    </w:p>
    <w:p w:rsidR="002A2156" w:rsidRPr="0000292B" w:rsidRDefault="002A2156" w:rsidP="002A2156">
      <w:r>
        <w:t>Victoria   8007</w:t>
      </w:r>
    </w:p>
    <w:p w:rsidR="002A2156" w:rsidRDefault="002A2156" w:rsidP="002A2156">
      <w:pPr>
        <w:pStyle w:val="CoverContact"/>
        <w:spacing w:after="200"/>
      </w:pPr>
      <w:r w:rsidRPr="0000292B">
        <w:t>AUSTRALIA</w:t>
      </w:r>
    </w:p>
    <w:p w:rsidR="002A2156" w:rsidRPr="008F43CA" w:rsidRDefault="002A2156" w:rsidP="008F43CA">
      <w:pPr>
        <w:pStyle w:val="CoverContact"/>
      </w:pPr>
      <w:r w:rsidRPr="008F43CA">
        <w:t>Phone:</w:t>
      </w:r>
      <w:r w:rsidRPr="008F43CA">
        <w:tab/>
        <w:t>(03) 9617 7600</w:t>
      </w:r>
    </w:p>
    <w:p w:rsidR="002A2156" w:rsidRDefault="002A2156" w:rsidP="002A2156">
      <w:pPr>
        <w:pStyle w:val="CoverContact"/>
      </w:pPr>
      <w:r>
        <w:t>E-mail:</w:t>
      </w:r>
      <w:r>
        <w:tab/>
        <w:t>standard@aasb.gov</w:t>
      </w:r>
      <w:r w:rsidRPr="00C5022C">
        <w:t>.au</w:t>
      </w:r>
    </w:p>
    <w:p w:rsidR="002A2156" w:rsidRPr="00E96D45" w:rsidRDefault="002A2156" w:rsidP="002A2156">
      <w:pPr>
        <w:pStyle w:val="CoverContact"/>
        <w:spacing w:after="240"/>
      </w:pPr>
      <w:r>
        <w:t>Website:</w:t>
      </w:r>
      <w:r>
        <w:tab/>
        <w:t>www.aasb.gov.au</w:t>
      </w:r>
    </w:p>
    <w:p w:rsidR="002A2156" w:rsidRPr="0000292B" w:rsidRDefault="002A2156" w:rsidP="002A2156">
      <w:pPr>
        <w:pStyle w:val="Heading1"/>
      </w:pPr>
      <w:r w:rsidRPr="0000292B">
        <w:t>Other enquiries</w:t>
      </w:r>
    </w:p>
    <w:p w:rsidR="002A2156" w:rsidRPr="0000292B" w:rsidRDefault="002A2156" w:rsidP="002A2156">
      <w:pPr>
        <w:pStyle w:val="CoverContact"/>
      </w:pPr>
      <w:r w:rsidRPr="0000292B">
        <w:t>Phone:</w:t>
      </w:r>
      <w:r w:rsidRPr="0000292B">
        <w:tab/>
        <w:t xml:space="preserve">(03) </w:t>
      </w:r>
      <w:r w:rsidRPr="00B82F15">
        <w:t>9617</w:t>
      </w:r>
      <w:r w:rsidRPr="0000292B">
        <w:t xml:space="preserve"> 7600</w:t>
      </w:r>
    </w:p>
    <w:p w:rsidR="002A2156" w:rsidRPr="0000292B" w:rsidRDefault="002A2156" w:rsidP="002A2156">
      <w:pPr>
        <w:pStyle w:val="CoverContact"/>
      </w:pPr>
      <w:r>
        <w:t>E-mail:</w:t>
      </w:r>
      <w:r>
        <w:tab/>
        <w:t>standard@aasb.gov</w:t>
      </w:r>
      <w:r w:rsidRPr="0000292B">
        <w:t>.au</w:t>
      </w:r>
    </w:p>
    <w:bookmarkEnd w:id="2"/>
    <w:p w:rsidR="006C154B" w:rsidRDefault="006C154B" w:rsidP="008F43CA">
      <w:pPr>
        <w:pStyle w:val="Default"/>
        <w:spacing w:before="6960"/>
        <w:jc w:val="both"/>
        <w:rPr>
          <w:sz w:val="19"/>
          <w:szCs w:val="19"/>
        </w:rPr>
      </w:pPr>
      <w:r w:rsidRPr="00766E15">
        <w:rPr>
          <w:sz w:val="19"/>
          <w:szCs w:val="19"/>
        </w:rPr>
        <w:t xml:space="preserve">COPYRIGHT </w:t>
      </w:r>
    </w:p>
    <w:p w:rsidR="00E8407B" w:rsidRPr="00766E15" w:rsidRDefault="00E8407B" w:rsidP="00E8407B">
      <w:pPr>
        <w:pStyle w:val="Default"/>
        <w:jc w:val="both"/>
        <w:rPr>
          <w:sz w:val="19"/>
          <w:szCs w:val="19"/>
        </w:rPr>
      </w:pPr>
    </w:p>
    <w:p w:rsidR="006C154B" w:rsidRPr="00766E15" w:rsidRDefault="006C154B" w:rsidP="00E8407B">
      <w:pPr>
        <w:pStyle w:val="Default"/>
        <w:jc w:val="both"/>
        <w:rPr>
          <w:sz w:val="20"/>
          <w:szCs w:val="20"/>
        </w:rPr>
      </w:pPr>
      <w:r w:rsidRPr="00766E15">
        <w:rPr>
          <w:sz w:val="20"/>
          <w:szCs w:val="20"/>
        </w:rPr>
        <w:t>© Commonwealth of Australia 201</w:t>
      </w:r>
      <w:r w:rsidR="00086CDE">
        <w:rPr>
          <w:sz w:val="20"/>
          <w:szCs w:val="20"/>
        </w:rPr>
        <w:t>8</w:t>
      </w:r>
      <w:r w:rsidRPr="00766E15">
        <w:rPr>
          <w:sz w:val="20"/>
          <w:szCs w:val="20"/>
        </w:rPr>
        <w:t xml:space="preserve"> </w:t>
      </w:r>
    </w:p>
    <w:p w:rsidR="00687ABD" w:rsidRPr="00766E15" w:rsidRDefault="00687ABD" w:rsidP="00E8407B">
      <w:pPr>
        <w:pStyle w:val="Default"/>
        <w:jc w:val="both"/>
        <w:rPr>
          <w:sz w:val="19"/>
          <w:szCs w:val="19"/>
        </w:rPr>
      </w:pPr>
    </w:p>
    <w:p w:rsidR="00687ABD" w:rsidRPr="00766E15" w:rsidRDefault="006C154B" w:rsidP="00E8407B">
      <w:pPr>
        <w:pStyle w:val="Default"/>
        <w:jc w:val="both"/>
        <w:rPr>
          <w:sz w:val="19"/>
          <w:szCs w:val="19"/>
        </w:rPr>
      </w:pPr>
      <w:r w:rsidRPr="00766E15">
        <w:rPr>
          <w:sz w:val="19"/>
          <w:szCs w:val="19"/>
        </w:rPr>
        <w:t xml:space="preserve">This work is copyright. </w:t>
      </w:r>
      <w:r w:rsidR="00687ABD" w:rsidRPr="00766E15">
        <w:rPr>
          <w:sz w:val="19"/>
          <w:szCs w:val="19"/>
        </w:rPr>
        <w:t xml:space="preserve">Apart from any use as permitted under the </w:t>
      </w:r>
      <w:r w:rsidR="00687ABD" w:rsidRPr="00B17E1D">
        <w:rPr>
          <w:i/>
          <w:sz w:val="19"/>
          <w:szCs w:val="19"/>
        </w:rPr>
        <w:t>Copyright Act 1968</w:t>
      </w:r>
      <w:r w:rsidR="00687ABD" w:rsidRPr="00766E15">
        <w:rPr>
          <w:sz w:val="19"/>
          <w:szCs w:val="19"/>
        </w:rPr>
        <w:t>, no part may be reproduced by any process without prior written permission. Requests and enquiries concerning reproduction and rights should be addressed to The National Director, Australian Accounting Standards Board, PO Box 204</w:t>
      </w:r>
      <w:r w:rsidR="00B17E1D">
        <w:rPr>
          <w:sz w:val="19"/>
          <w:szCs w:val="19"/>
        </w:rPr>
        <w:t xml:space="preserve">, </w:t>
      </w:r>
      <w:proofErr w:type="gramStart"/>
      <w:r w:rsidR="00B17E1D">
        <w:rPr>
          <w:sz w:val="19"/>
          <w:szCs w:val="19"/>
        </w:rPr>
        <w:t>Collins</w:t>
      </w:r>
      <w:proofErr w:type="gramEnd"/>
      <w:r w:rsidR="00B17E1D">
        <w:rPr>
          <w:sz w:val="19"/>
          <w:szCs w:val="19"/>
        </w:rPr>
        <w:t xml:space="preserve"> Street West, Victoria </w:t>
      </w:r>
      <w:r w:rsidR="00687ABD" w:rsidRPr="00766E15">
        <w:rPr>
          <w:sz w:val="19"/>
          <w:szCs w:val="19"/>
        </w:rPr>
        <w:t xml:space="preserve">8007. </w:t>
      </w:r>
    </w:p>
    <w:p w:rsidR="00687ABD" w:rsidRPr="00766E15" w:rsidRDefault="00687ABD" w:rsidP="00687ABD">
      <w:pPr>
        <w:pStyle w:val="Default"/>
        <w:rPr>
          <w:sz w:val="19"/>
          <w:szCs w:val="19"/>
        </w:rPr>
      </w:pPr>
    </w:p>
    <w:p w:rsidR="006C154B" w:rsidRPr="00766E15" w:rsidRDefault="006C154B" w:rsidP="00687ABD">
      <w:pPr>
        <w:pStyle w:val="Default"/>
        <w:rPr>
          <w:sz w:val="19"/>
          <w:szCs w:val="19"/>
        </w:rPr>
        <w:sectPr w:rsidR="006C154B" w:rsidRPr="00766E15" w:rsidSect="00D74C6A">
          <w:footerReference w:type="default" r:id="rId16"/>
          <w:pgSz w:w="11907" w:h="16840" w:code="9"/>
          <w:pgMar w:top="1418" w:right="1418" w:bottom="1418" w:left="1418" w:header="709" w:footer="709" w:gutter="0"/>
          <w:paperSrc w:first="7" w:other="7"/>
          <w:cols w:space="720"/>
        </w:sectPr>
      </w:pPr>
      <w:r w:rsidRPr="00766E15">
        <w:rPr>
          <w:sz w:val="19"/>
          <w:szCs w:val="19"/>
        </w:rPr>
        <w:t>ISSN 103</w:t>
      </w:r>
      <w:r w:rsidR="00B17E1D">
        <w:rPr>
          <w:sz w:val="19"/>
          <w:szCs w:val="19"/>
        </w:rPr>
        <w:t>6</w:t>
      </w:r>
      <w:r w:rsidRPr="00766E15">
        <w:rPr>
          <w:sz w:val="19"/>
          <w:szCs w:val="19"/>
        </w:rPr>
        <w:t>-</w:t>
      </w:r>
      <w:r w:rsidR="00B17E1D">
        <w:rPr>
          <w:sz w:val="19"/>
          <w:szCs w:val="19"/>
        </w:rPr>
        <w:t>4803</w:t>
      </w:r>
    </w:p>
    <w:p w:rsidR="00090A6F" w:rsidRPr="00766E15" w:rsidRDefault="005655CE" w:rsidP="00011EC4">
      <w:pPr>
        <w:pStyle w:val="ConvSectionTitle"/>
      </w:pPr>
      <w:r w:rsidRPr="00766E15">
        <w:lastRenderedPageBreak/>
        <w:t>Contents</w:t>
      </w:r>
    </w:p>
    <w:p w:rsidR="00090A6F" w:rsidRPr="004D1FAE" w:rsidRDefault="00091F8B" w:rsidP="00012BBC">
      <w:pPr>
        <w:pStyle w:val="ContentsCapsPlain"/>
        <w:spacing w:before="400"/>
      </w:pPr>
      <w:r w:rsidRPr="004D1FAE">
        <w:t>PREFACE</w:t>
      </w:r>
    </w:p>
    <w:p w:rsidR="003730F5" w:rsidRPr="004D1FAE" w:rsidRDefault="003730F5" w:rsidP="003730F5">
      <w:pPr>
        <w:pStyle w:val="ContentsCapsBold"/>
        <w:rPr>
          <w:iCs/>
        </w:rPr>
      </w:pPr>
      <w:r w:rsidRPr="004D1FAE">
        <w:rPr>
          <w:iCs/>
        </w:rPr>
        <w:t>ACCOUNTING STANDARD</w:t>
      </w:r>
    </w:p>
    <w:p w:rsidR="00090A6F" w:rsidRPr="004D1FAE" w:rsidRDefault="003C15D3" w:rsidP="003730F5">
      <w:pPr>
        <w:pStyle w:val="ContentsCapsBold"/>
        <w:rPr>
          <w:i/>
          <w:iCs/>
        </w:rPr>
      </w:pPr>
      <w:r>
        <w:t>AASB 2018-4</w:t>
      </w:r>
      <w:r w:rsidR="00B766A3" w:rsidRPr="004D1FAE">
        <w:rPr>
          <w:iCs/>
        </w:rPr>
        <w:t xml:space="preserve"> </w:t>
      </w:r>
      <w:r w:rsidR="00E67E17" w:rsidRPr="004D1FAE">
        <w:rPr>
          <w:i/>
          <w:iCs/>
        </w:rPr>
        <w:t xml:space="preserve">AMENDMENTS TO AUSTRALIAN ACCOUNTING STANDARDS – </w:t>
      </w:r>
      <w:r w:rsidR="003730F5" w:rsidRPr="004D1FAE">
        <w:rPr>
          <w:i/>
          <w:iCs/>
        </w:rPr>
        <w:t>AUSTRALIAN IMPLEMENTATION GUIDANCE FOR NOT-FOR-PROFIT PUBLIC SECTOR LICENSORS</w:t>
      </w:r>
    </w:p>
    <w:p w:rsidR="002B7803" w:rsidRPr="004D1FAE" w:rsidRDefault="002B7803" w:rsidP="002B7803"/>
    <w:p w:rsidR="00090A6F" w:rsidRPr="004D1FAE" w:rsidRDefault="004143FE">
      <w:pPr>
        <w:pStyle w:val="ContentsParaHead"/>
      </w:pPr>
      <w:proofErr w:type="gramStart"/>
      <w:r w:rsidRPr="004D1FAE">
        <w:t>from</w:t>
      </w:r>
      <w:proofErr w:type="gramEnd"/>
      <w:r w:rsidRPr="004D1FAE">
        <w:t xml:space="preserve"> paragraph</w:t>
      </w:r>
    </w:p>
    <w:p w:rsidR="00090A6F" w:rsidRPr="004D1FAE" w:rsidRDefault="00091F8B" w:rsidP="00015E93">
      <w:pPr>
        <w:pStyle w:val="ContentsLevel1"/>
        <w:ind w:right="-1"/>
        <w:jc w:val="both"/>
        <w:rPr>
          <w:b/>
        </w:rPr>
      </w:pPr>
      <w:bookmarkStart w:id="3" w:name="TOCRange"/>
      <w:r w:rsidRPr="004D1FAE">
        <w:rPr>
          <w:b/>
        </w:rPr>
        <w:t>OBJECTIVE</w:t>
      </w:r>
      <w:r w:rsidRPr="004D1FAE">
        <w:rPr>
          <w:b/>
        </w:rPr>
        <w:tab/>
      </w:r>
      <w:r w:rsidR="00185255" w:rsidRPr="004D1FAE">
        <w:rPr>
          <w:b/>
        </w:rPr>
        <w:t>1</w:t>
      </w:r>
    </w:p>
    <w:p w:rsidR="00090A6F" w:rsidRPr="004D1FAE" w:rsidRDefault="00091F8B" w:rsidP="00015E93">
      <w:pPr>
        <w:pStyle w:val="ContentsLevel1"/>
        <w:ind w:right="-1"/>
        <w:jc w:val="both"/>
        <w:rPr>
          <w:b/>
        </w:rPr>
      </w:pPr>
      <w:r w:rsidRPr="004D1FAE">
        <w:rPr>
          <w:b/>
        </w:rPr>
        <w:t>APPLICATION</w:t>
      </w:r>
      <w:r w:rsidRPr="004D1FAE">
        <w:rPr>
          <w:b/>
        </w:rPr>
        <w:tab/>
      </w:r>
      <w:r w:rsidR="00185255" w:rsidRPr="004D1FAE">
        <w:rPr>
          <w:b/>
        </w:rPr>
        <w:t>2</w:t>
      </w:r>
    </w:p>
    <w:p w:rsidR="00B22B93" w:rsidRPr="004D1FAE" w:rsidRDefault="00091F8B" w:rsidP="00015E93">
      <w:pPr>
        <w:pStyle w:val="ContentsLevel1"/>
        <w:ind w:right="-1"/>
        <w:jc w:val="both"/>
        <w:rPr>
          <w:b/>
        </w:rPr>
      </w:pPr>
      <w:r w:rsidRPr="004D1FAE">
        <w:rPr>
          <w:b/>
        </w:rPr>
        <w:t xml:space="preserve">AMENDMENTS TO </w:t>
      </w:r>
      <w:r w:rsidR="00291416" w:rsidRPr="004D1FAE">
        <w:rPr>
          <w:b/>
        </w:rPr>
        <w:t>AASB </w:t>
      </w:r>
      <w:r w:rsidRPr="004D1FAE">
        <w:rPr>
          <w:b/>
        </w:rPr>
        <w:t>15</w:t>
      </w:r>
      <w:r w:rsidR="001A5218" w:rsidRPr="004D1FAE">
        <w:rPr>
          <w:b/>
        </w:rPr>
        <w:tab/>
      </w:r>
      <w:r w:rsidR="00185255" w:rsidRPr="004D1FAE">
        <w:rPr>
          <w:b/>
        </w:rPr>
        <w:t>4</w:t>
      </w:r>
    </w:p>
    <w:p w:rsidR="009B6BBD" w:rsidRPr="004D1FAE" w:rsidRDefault="009B6BBD" w:rsidP="00015E93">
      <w:pPr>
        <w:pStyle w:val="ContentsLevel1"/>
        <w:ind w:right="-1"/>
        <w:jc w:val="both"/>
        <w:rPr>
          <w:b/>
        </w:rPr>
      </w:pPr>
      <w:r w:rsidRPr="004D1FAE">
        <w:rPr>
          <w:b/>
        </w:rPr>
        <w:t xml:space="preserve">AMENDMENTS TO </w:t>
      </w:r>
      <w:r w:rsidR="00291416" w:rsidRPr="004D1FAE">
        <w:rPr>
          <w:b/>
        </w:rPr>
        <w:t>AASB </w:t>
      </w:r>
      <w:r w:rsidRPr="004D1FAE">
        <w:rPr>
          <w:b/>
        </w:rPr>
        <w:t>16</w:t>
      </w:r>
      <w:r w:rsidRPr="004D1FAE">
        <w:rPr>
          <w:b/>
        </w:rPr>
        <w:tab/>
      </w:r>
      <w:r w:rsidR="00DE5A94" w:rsidRPr="004D1FAE">
        <w:rPr>
          <w:b/>
        </w:rPr>
        <w:t>8</w:t>
      </w:r>
    </w:p>
    <w:p w:rsidR="00090A6F" w:rsidRPr="004D1FAE" w:rsidRDefault="00E71850" w:rsidP="00015E93">
      <w:pPr>
        <w:pStyle w:val="ContentsLevel1"/>
        <w:ind w:right="-1"/>
        <w:jc w:val="both"/>
        <w:rPr>
          <w:b/>
        </w:rPr>
      </w:pPr>
      <w:r w:rsidRPr="004D1FAE">
        <w:rPr>
          <w:b/>
        </w:rPr>
        <w:t>COMMENCEMENT OF THE LEGISLATIVE INSTRUMENT</w:t>
      </w:r>
      <w:r w:rsidRPr="004D1FAE">
        <w:rPr>
          <w:b/>
        </w:rPr>
        <w:tab/>
      </w:r>
      <w:bookmarkStart w:id="4" w:name="ContentsMarker"/>
      <w:bookmarkEnd w:id="4"/>
      <w:r w:rsidR="00DE5A94" w:rsidRPr="004D1FAE">
        <w:rPr>
          <w:b/>
        </w:rPr>
        <w:t>9</w:t>
      </w:r>
    </w:p>
    <w:p w:rsidR="000C3C09" w:rsidRPr="004D1FAE" w:rsidRDefault="000C3C09" w:rsidP="003730F5">
      <w:pPr>
        <w:pStyle w:val="ContentsLevel1"/>
        <w:jc w:val="both"/>
        <w:rPr>
          <w:b/>
        </w:rPr>
      </w:pPr>
    </w:p>
    <w:bookmarkEnd w:id="3"/>
    <w:p w:rsidR="008306DC" w:rsidRPr="004D1FAE" w:rsidRDefault="008306DC" w:rsidP="003730F5">
      <w:pPr>
        <w:pStyle w:val="ContentsLevel1"/>
        <w:jc w:val="both"/>
        <w:rPr>
          <w:b/>
        </w:rPr>
      </w:pPr>
      <w:r w:rsidRPr="004D1FAE">
        <w:rPr>
          <w:b/>
        </w:rPr>
        <w:t>BASIS FOR CONCLUSIONS</w:t>
      </w:r>
      <w:r w:rsidR="000C3C09" w:rsidRPr="004D1FAE">
        <w:rPr>
          <w:b/>
        </w:rPr>
        <w:tab/>
      </w:r>
    </w:p>
    <w:p w:rsidR="00A84268" w:rsidRPr="0000292B" w:rsidRDefault="00A84268" w:rsidP="00AF45B0">
      <w:pPr>
        <w:pStyle w:val="ContentsBox"/>
        <w:spacing w:before="480"/>
      </w:pPr>
      <w:r w:rsidRPr="004D1FAE">
        <w:t xml:space="preserve">Australian Accounting Standard </w:t>
      </w:r>
      <w:r w:rsidR="003C15D3">
        <w:t>AASB 2018-4</w:t>
      </w:r>
      <w:r w:rsidR="00173210" w:rsidRPr="004D1FAE">
        <w:t xml:space="preserve"> </w:t>
      </w:r>
      <w:r w:rsidR="00173210" w:rsidRPr="004D1FAE">
        <w:rPr>
          <w:i/>
        </w:rPr>
        <w:t xml:space="preserve">Amendments to Australian Accounting Standards </w:t>
      </w:r>
      <w:r w:rsidR="004436B8" w:rsidRPr="004D1FAE">
        <w:t>–</w:t>
      </w:r>
      <w:r w:rsidR="00173210" w:rsidRPr="004D1FAE">
        <w:rPr>
          <w:i/>
        </w:rPr>
        <w:t xml:space="preserve"> Australian Implementation Guidance for Not-for-Profit Public Sector Licensors</w:t>
      </w:r>
      <w:r w:rsidRPr="004D1FAE">
        <w:t xml:space="preserve"> is set out in paragraphs 1 – </w:t>
      </w:r>
      <w:r w:rsidR="00426B94" w:rsidRPr="004D1FAE">
        <w:t>9</w:t>
      </w:r>
      <w:r w:rsidRPr="004D1FAE">
        <w:t>.  All the</w:t>
      </w:r>
      <w:r w:rsidRPr="00173210">
        <w:t xml:space="preserve"> paragraphs have equal authority.</w:t>
      </w:r>
    </w:p>
    <w:p w:rsidR="00A84268" w:rsidRPr="0000292B" w:rsidRDefault="00A84268" w:rsidP="00A84268">
      <w:pPr>
        <w:pStyle w:val="ContentsBox"/>
        <w:pBdr>
          <w:top w:val="none" w:sz="0" w:space="0" w:color="auto"/>
          <w:left w:val="none" w:sz="0" w:space="0" w:color="auto"/>
          <w:bottom w:val="none" w:sz="0" w:space="0" w:color="auto"/>
          <w:right w:val="none" w:sz="0" w:space="0" w:color="auto"/>
        </w:pBdr>
      </w:pPr>
    </w:p>
    <w:p w:rsidR="00090A6F" w:rsidRPr="008E4E60" w:rsidRDefault="00090A6F" w:rsidP="004F5441">
      <w:pPr>
        <w:sectPr w:rsidR="00090A6F" w:rsidRPr="008E4E60" w:rsidSect="00D74C6A">
          <w:footerReference w:type="default" r:id="rId17"/>
          <w:pgSz w:w="11907" w:h="16840" w:code="9"/>
          <w:pgMar w:top="1418" w:right="1418" w:bottom="1418" w:left="1418" w:header="709" w:footer="709" w:gutter="0"/>
          <w:paperSrc w:first="7" w:other="7"/>
          <w:cols w:space="720"/>
        </w:sectPr>
      </w:pPr>
    </w:p>
    <w:p w:rsidR="00090A6F" w:rsidRPr="00291416" w:rsidRDefault="001B3593" w:rsidP="00011EC4">
      <w:pPr>
        <w:pStyle w:val="ConvSectionTitle"/>
        <w:rPr>
          <w:i/>
          <w:iCs/>
        </w:rPr>
      </w:pPr>
      <w:r>
        <w:t>Preface</w:t>
      </w:r>
    </w:p>
    <w:p w:rsidR="002750A1" w:rsidRPr="000275FA" w:rsidRDefault="005D0061" w:rsidP="005D0061">
      <w:pPr>
        <w:pStyle w:val="IASBSectionTitle1NonInd"/>
        <w:outlineLvl w:val="1"/>
      </w:pPr>
      <w:bookmarkStart w:id="5" w:name="ArisingNo"/>
      <w:bookmarkEnd w:id="5"/>
      <w:r>
        <w:t>Standards amended by 2018-4</w:t>
      </w:r>
    </w:p>
    <w:p w:rsidR="004F6399" w:rsidRPr="00BA4572" w:rsidRDefault="001B3593" w:rsidP="00291416">
      <w:pPr>
        <w:pStyle w:val="Default"/>
        <w:spacing w:after="100"/>
        <w:jc w:val="both"/>
        <w:rPr>
          <w:color w:val="auto"/>
          <w:sz w:val="19"/>
          <w:lang w:eastAsia="en-US"/>
        </w:rPr>
      </w:pPr>
      <w:r w:rsidRPr="004D1FAE">
        <w:rPr>
          <w:sz w:val="19"/>
        </w:rPr>
        <w:t xml:space="preserve">This Standard makes amendments to AASB 15 </w:t>
      </w:r>
      <w:r w:rsidRPr="004D1FAE">
        <w:rPr>
          <w:i/>
          <w:sz w:val="19"/>
        </w:rPr>
        <w:t>Revenue from Contracts with Customers</w:t>
      </w:r>
      <w:r w:rsidR="005D0061">
        <w:rPr>
          <w:sz w:val="19"/>
        </w:rPr>
        <w:t xml:space="preserve"> (December 2014) and AASB </w:t>
      </w:r>
      <w:r w:rsidRPr="004D1FAE">
        <w:rPr>
          <w:sz w:val="19"/>
        </w:rPr>
        <w:t>16</w:t>
      </w:r>
      <w:r w:rsidR="00994A75" w:rsidRPr="004D1FAE">
        <w:rPr>
          <w:sz w:val="19"/>
        </w:rPr>
        <w:t> </w:t>
      </w:r>
      <w:r w:rsidRPr="004D1FAE">
        <w:rPr>
          <w:i/>
          <w:sz w:val="19"/>
        </w:rPr>
        <w:t>Leases</w:t>
      </w:r>
      <w:r w:rsidRPr="004D1FAE">
        <w:rPr>
          <w:sz w:val="19"/>
        </w:rPr>
        <w:t xml:space="preserve"> (February</w:t>
      </w:r>
      <w:r>
        <w:rPr>
          <w:sz w:val="19"/>
        </w:rPr>
        <w:t xml:space="preserve"> 2016)</w:t>
      </w:r>
      <w:r w:rsidR="00994A75">
        <w:rPr>
          <w:sz w:val="19"/>
        </w:rPr>
        <w:t>.</w:t>
      </w:r>
      <w:r w:rsidRPr="001B3593">
        <w:rPr>
          <w:sz w:val="19"/>
        </w:rPr>
        <w:t xml:space="preserve"> </w:t>
      </w:r>
    </w:p>
    <w:p w:rsidR="00DD0736" w:rsidRPr="000275FA" w:rsidRDefault="00DD0736" w:rsidP="003C38F1">
      <w:pPr>
        <w:pStyle w:val="IASBSectionTitle1NonInd"/>
        <w:spacing w:before="240"/>
      </w:pPr>
      <w:r w:rsidRPr="000275FA">
        <w:t xml:space="preserve">Main features </w:t>
      </w:r>
      <w:r w:rsidR="00994A75">
        <w:t xml:space="preserve">of </w:t>
      </w:r>
      <w:r w:rsidR="002A2156">
        <w:t>this Standard</w:t>
      </w:r>
    </w:p>
    <w:p w:rsidR="00DD0736" w:rsidRPr="00766E15" w:rsidRDefault="00DD0736" w:rsidP="0006519C">
      <w:pPr>
        <w:pStyle w:val="IASBSectionTitle2Ind"/>
      </w:pPr>
      <w:r w:rsidRPr="00766E15">
        <w:t>Main requirements</w:t>
      </w:r>
    </w:p>
    <w:p w:rsidR="009C3E60" w:rsidRDefault="000C3C09" w:rsidP="009C3E60">
      <w:pPr>
        <w:pStyle w:val="IASBNormal"/>
      </w:pPr>
      <w:r w:rsidRPr="00766E15">
        <w:t xml:space="preserve">This </w:t>
      </w:r>
      <w:r w:rsidR="00994A75">
        <w:t xml:space="preserve">Standard </w:t>
      </w:r>
      <w:r w:rsidR="00426B94">
        <w:t xml:space="preserve">primarily </w:t>
      </w:r>
      <w:r w:rsidR="00994A75">
        <w:t>amends</w:t>
      </w:r>
      <w:r w:rsidRPr="00766E15">
        <w:t xml:space="preserve"> </w:t>
      </w:r>
      <w:r w:rsidR="00291416">
        <w:t>AASB </w:t>
      </w:r>
      <w:r w:rsidRPr="00766E15">
        <w:t xml:space="preserve">15 to add requirements and authoritative implementation guidance for application by not-for-profit public sector </w:t>
      </w:r>
      <w:r w:rsidR="0075216A">
        <w:t>licensor</w:t>
      </w:r>
      <w:r w:rsidR="0075216A" w:rsidRPr="00766E15">
        <w:t xml:space="preserve">s </w:t>
      </w:r>
      <w:r w:rsidR="009C3E60" w:rsidRPr="00766E15">
        <w:t xml:space="preserve">to transactions involving </w:t>
      </w:r>
      <w:r w:rsidR="00ED5174" w:rsidRPr="00766E15">
        <w:t>the issue of</w:t>
      </w:r>
      <w:r w:rsidR="009C3E60" w:rsidRPr="00766E15">
        <w:t xml:space="preserve"> licence</w:t>
      </w:r>
      <w:r w:rsidR="00ED5174" w:rsidRPr="00766E15">
        <w:t>s</w:t>
      </w:r>
      <w:r w:rsidR="009C3E60" w:rsidRPr="00766E15">
        <w:t>.</w:t>
      </w:r>
    </w:p>
    <w:p w:rsidR="00290804" w:rsidRPr="00766E15" w:rsidRDefault="00290804" w:rsidP="00290804">
      <w:pPr>
        <w:pStyle w:val="NumPlain1"/>
        <w:numPr>
          <w:ilvl w:val="0"/>
          <w:numId w:val="0"/>
        </w:numPr>
        <w:spacing w:before="0"/>
      </w:pPr>
      <w:r w:rsidRPr="00766E15">
        <w:t xml:space="preserve">The </w:t>
      </w:r>
      <w:r>
        <w:t xml:space="preserve">amendments to </w:t>
      </w:r>
      <w:r w:rsidR="00291416">
        <w:t>AASB </w:t>
      </w:r>
      <w:r w:rsidRPr="00766E15">
        <w:t xml:space="preserve">15 </w:t>
      </w:r>
      <w:r>
        <w:t>include</w:t>
      </w:r>
      <w:r w:rsidRPr="00766E15">
        <w:t>:</w:t>
      </w:r>
    </w:p>
    <w:p w:rsidR="00994A75" w:rsidRDefault="00BC297A" w:rsidP="001C7D79">
      <w:pPr>
        <w:pStyle w:val="NumPlain2"/>
        <w:numPr>
          <w:ilvl w:val="0"/>
          <w:numId w:val="29"/>
        </w:numPr>
        <w:spacing w:before="0"/>
      </w:pPr>
      <w:r w:rsidRPr="00766E15">
        <w:t>expand</w:t>
      </w:r>
      <w:r>
        <w:t xml:space="preserve">ing the scope </w:t>
      </w:r>
      <w:r w:rsidR="00994A75">
        <w:t>of</w:t>
      </w:r>
      <w:r>
        <w:t xml:space="preserve"> AASB</w:t>
      </w:r>
      <w:r w:rsidR="00FF00C8">
        <w:t xml:space="preserve"> </w:t>
      </w:r>
      <w:r>
        <w:t>15</w:t>
      </w:r>
      <w:r w:rsidRPr="00766E15">
        <w:t xml:space="preserve"> to include non-contractual licences; </w:t>
      </w:r>
    </w:p>
    <w:p w:rsidR="00994A75" w:rsidRDefault="000463C5" w:rsidP="001C7D79">
      <w:pPr>
        <w:pStyle w:val="NumPlain2"/>
        <w:numPr>
          <w:ilvl w:val="0"/>
          <w:numId w:val="29"/>
        </w:numPr>
        <w:spacing w:before="0"/>
      </w:pPr>
      <w:r>
        <w:t xml:space="preserve">guidance </w:t>
      </w:r>
      <w:r w:rsidR="00BC297A">
        <w:t>distinguishing a licence from a tax;</w:t>
      </w:r>
    </w:p>
    <w:p w:rsidR="00994A75" w:rsidRDefault="000463C5" w:rsidP="001C7D79">
      <w:pPr>
        <w:pStyle w:val="NumPlain2"/>
        <w:numPr>
          <w:ilvl w:val="0"/>
          <w:numId w:val="29"/>
        </w:numPr>
        <w:spacing w:before="0"/>
      </w:pPr>
      <w:r>
        <w:t xml:space="preserve">guidance </w:t>
      </w:r>
      <w:r w:rsidR="00BC297A">
        <w:t>clarify</w:t>
      </w:r>
      <w:r w:rsidR="00C13F64">
        <w:t>ing</w:t>
      </w:r>
      <w:r w:rsidR="00BC297A">
        <w:t xml:space="preserve"> the types of licences issued by not-for-profit public sector licensors;</w:t>
      </w:r>
    </w:p>
    <w:p w:rsidR="00994A75" w:rsidRDefault="009E36E2" w:rsidP="001C7D79">
      <w:pPr>
        <w:pStyle w:val="NumPlain2"/>
        <w:numPr>
          <w:ilvl w:val="0"/>
          <w:numId w:val="29"/>
        </w:numPr>
        <w:spacing w:before="0"/>
      </w:pPr>
      <w:r>
        <w:t xml:space="preserve">guidance </w:t>
      </w:r>
      <w:r w:rsidR="00994A75" w:rsidRPr="00766E15">
        <w:t>clarify</w:t>
      </w:r>
      <w:r w:rsidR="00994A75">
        <w:t>ing</w:t>
      </w:r>
      <w:r w:rsidR="00994A75" w:rsidRPr="00766E15">
        <w:t xml:space="preserve"> the application of </w:t>
      </w:r>
      <w:r w:rsidR="00994A75">
        <w:t xml:space="preserve">the </w:t>
      </w:r>
      <w:r w:rsidR="00994A75" w:rsidRPr="00766E15">
        <w:t xml:space="preserve">principles </w:t>
      </w:r>
      <w:r w:rsidR="00994A75">
        <w:t xml:space="preserve">in AASB 15 </w:t>
      </w:r>
      <w:r w:rsidR="00994A75" w:rsidRPr="00766E15">
        <w:t xml:space="preserve">to licences that are not within the scope of other </w:t>
      </w:r>
      <w:r w:rsidR="00994A75">
        <w:t>Australian Accounting Standards; and</w:t>
      </w:r>
    </w:p>
    <w:p w:rsidR="008E4E60" w:rsidRDefault="00994A75" w:rsidP="001C7D79">
      <w:pPr>
        <w:pStyle w:val="NumPlain2"/>
        <w:numPr>
          <w:ilvl w:val="0"/>
          <w:numId w:val="29"/>
        </w:numPr>
        <w:spacing w:before="0"/>
      </w:pPr>
      <w:proofErr w:type="gramStart"/>
      <w:r>
        <w:t>providing</w:t>
      </w:r>
      <w:proofErr w:type="gramEnd"/>
      <w:r>
        <w:t xml:space="preserve"> recognition exemptions for short-term licences and licences issued for a low transaction price.</w:t>
      </w:r>
    </w:p>
    <w:p w:rsidR="00994A75" w:rsidRPr="00766E15" w:rsidRDefault="008E4E60" w:rsidP="004F5441">
      <w:pPr>
        <w:pStyle w:val="NumPlain2"/>
        <w:numPr>
          <w:ilvl w:val="0"/>
          <w:numId w:val="0"/>
        </w:numPr>
        <w:spacing w:before="0"/>
      </w:pPr>
      <w:r>
        <w:t xml:space="preserve">The amendments to AASB 16 clarify that licences that are in substance leases or contain leases, except licences of intellectual property, fall within the scope of AASB 16. </w:t>
      </w:r>
    </w:p>
    <w:p w:rsidR="0069165E" w:rsidRPr="00766E15" w:rsidRDefault="0069165E" w:rsidP="0006519C">
      <w:pPr>
        <w:pStyle w:val="IASBSectionTitle2Ind"/>
      </w:pPr>
      <w:r w:rsidRPr="00766E15">
        <w:t>Application date</w:t>
      </w:r>
    </w:p>
    <w:p w:rsidR="00F237E9" w:rsidRPr="00766E15" w:rsidRDefault="00994A75" w:rsidP="001B3593">
      <w:pPr>
        <w:pStyle w:val="IASBNormal"/>
      </w:pPr>
      <w:r>
        <w:t>This Standard applies</w:t>
      </w:r>
      <w:r w:rsidR="001A058E" w:rsidRPr="00766E15">
        <w:t xml:space="preserve"> to annual periods beginning on or after</w:t>
      </w:r>
      <w:r w:rsidR="006D041B">
        <w:t xml:space="preserve"> </w:t>
      </w:r>
      <w:r w:rsidR="001A058E" w:rsidRPr="00766E15">
        <w:t>1 January 2019</w:t>
      </w:r>
      <w:r w:rsidR="000D1149">
        <w:t>.</w:t>
      </w:r>
      <w:r w:rsidR="001A058E" w:rsidRPr="00766E15">
        <w:t xml:space="preserve"> </w:t>
      </w:r>
      <w:r w:rsidR="000D1149">
        <w:t>E</w:t>
      </w:r>
      <w:r w:rsidR="001A058E" w:rsidRPr="00766E15">
        <w:t>arl</w:t>
      </w:r>
      <w:r w:rsidR="000D1149">
        <w:t>ier</w:t>
      </w:r>
      <w:r w:rsidR="001A058E" w:rsidRPr="00766E15">
        <w:t xml:space="preserve"> </w:t>
      </w:r>
      <w:r w:rsidR="000D1149">
        <w:t xml:space="preserve">application is </w:t>
      </w:r>
      <w:r w:rsidR="001A058E" w:rsidRPr="00766E15">
        <w:t xml:space="preserve">permitted. </w:t>
      </w:r>
    </w:p>
    <w:p w:rsidR="006345E2" w:rsidRDefault="006345E2">
      <w:pPr>
        <w:jc w:val="left"/>
      </w:pPr>
      <w:r>
        <w:br w:type="page"/>
      </w:r>
    </w:p>
    <w:p w:rsidR="006345E2" w:rsidRPr="00766E15" w:rsidRDefault="006345E2" w:rsidP="00906F8D">
      <w:pPr>
        <w:jc w:val="left"/>
        <w:sectPr w:rsidR="006345E2" w:rsidRPr="00766E15" w:rsidSect="00D74C6A">
          <w:footerReference w:type="default" r:id="rId18"/>
          <w:headerReference w:type="first" r:id="rId19"/>
          <w:footerReference w:type="first" r:id="rId20"/>
          <w:pgSz w:w="11907" w:h="16840" w:code="9"/>
          <w:pgMar w:top="1418" w:right="1418" w:bottom="1418" w:left="1418" w:header="709" w:footer="709" w:gutter="0"/>
          <w:paperSrc w:first="7" w:other="7"/>
          <w:cols w:space="720"/>
          <w:docGrid w:linePitch="65"/>
        </w:sectPr>
      </w:pPr>
    </w:p>
    <w:p w:rsidR="00994A75" w:rsidRPr="004D1FAE" w:rsidRDefault="00994A75" w:rsidP="00994A75">
      <w:pPr>
        <w:pStyle w:val="ConvSectionTitle"/>
        <w:spacing w:after="0"/>
      </w:pPr>
      <w:bookmarkStart w:id="6" w:name="TOCStart"/>
      <w:bookmarkEnd w:id="6"/>
      <w:r w:rsidRPr="004D1FAE">
        <w:t xml:space="preserve">Accounting Standard </w:t>
      </w:r>
      <w:r w:rsidR="003C15D3">
        <w:t>AASB 2018-4</w:t>
      </w:r>
    </w:p>
    <w:p w:rsidR="001B3593" w:rsidRPr="004D1FAE" w:rsidRDefault="001B3593" w:rsidP="00270378">
      <w:pPr>
        <w:pStyle w:val="BodyText"/>
        <w:rPr>
          <w:lang w:eastAsia="en-AU"/>
        </w:rPr>
      </w:pPr>
      <w:r w:rsidRPr="004D1FAE">
        <w:rPr>
          <w:lang w:eastAsia="en-AU"/>
        </w:rPr>
        <w:t xml:space="preserve">The Australian Accounting Standards Board makes Accounting Standard </w:t>
      </w:r>
      <w:r w:rsidR="003C15D3">
        <w:rPr>
          <w:lang w:eastAsia="en-AU"/>
        </w:rPr>
        <w:t>AASB 2018-4</w:t>
      </w:r>
      <w:r w:rsidRPr="004D1FAE">
        <w:rPr>
          <w:lang w:eastAsia="en-AU"/>
        </w:rPr>
        <w:t xml:space="preserve"> </w:t>
      </w:r>
      <w:r w:rsidRPr="004D1FAE">
        <w:rPr>
          <w:i/>
          <w:lang w:eastAsia="en-AU"/>
        </w:rPr>
        <w:t>Amendments to Australian Accounting Standards – Australian Implementation Guidance for Not-for-Profit Public Sector Licensors</w:t>
      </w:r>
      <w:r w:rsidRPr="004D1FAE">
        <w:rPr>
          <w:lang w:eastAsia="en-AU"/>
        </w:rPr>
        <w:t xml:space="preserve"> under section</w:t>
      </w:r>
      <w:r w:rsidR="00994A75" w:rsidRPr="004D1FAE">
        <w:rPr>
          <w:lang w:eastAsia="en-AU"/>
        </w:rPr>
        <w:t> </w:t>
      </w:r>
      <w:r w:rsidRPr="004D1FAE">
        <w:rPr>
          <w:lang w:eastAsia="en-AU"/>
        </w:rPr>
        <w:t xml:space="preserve">334 of the </w:t>
      </w:r>
      <w:r w:rsidRPr="004D1FAE">
        <w:rPr>
          <w:i/>
          <w:lang w:eastAsia="en-AU"/>
        </w:rPr>
        <w:t>Corporations Act 2001</w:t>
      </w:r>
      <w:r w:rsidRPr="004D1FAE">
        <w:rPr>
          <w:lang w:eastAsia="en-AU"/>
        </w:rPr>
        <w:t>.</w:t>
      </w:r>
    </w:p>
    <w:p w:rsidR="001B3593" w:rsidRPr="004D1FAE" w:rsidRDefault="001B3593" w:rsidP="003C15D3">
      <w:pPr>
        <w:pStyle w:val="BodyText"/>
        <w:spacing w:before="240" w:after="0"/>
        <w:jc w:val="right"/>
        <w:rPr>
          <w:lang w:eastAsia="en-AU"/>
        </w:rPr>
      </w:pPr>
      <w:r w:rsidRPr="004D1FAE">
        <w:rPr>
          <w:lang w:eastAsia="en-AU"/>
        </w:rPr>
        <w:t>Kris Peach</w:t>
      </w:r>
    </w:p>
    <w:p w:rsidR="001B3593" w:rsidRPr="004D1FAE" w:rsidRDefault="003C15D3" w:rsidP="003C15D3">
      <w:pPr>
        <w:pStyle w:val="BodyText"/>
        <w:tabs>
          <w:tab w:val="left" w:pos="7938"/>
          <w:tab w:val="left" w:pos="7995"/>
        </w:tabs>
        <w:rPr>
          <w:lang w:eastAsia="en-AU"/>
        </w:rPr>
      </w:pPr>
      <w:r w:rsidRPr="004D1FAE">
        <w:rPr>
          <w:lang w:eastAsia="en-AU"/>
        </w:rPr>
        <w:t xml:space="preserve">Dated </w:t>
      </w:r>
      <w:r>
        <w:rPr>
          <w:lang w:eastAsia="en-AU"/>
        </w:rPr>
        <w:t>4 September 2018</w:t>
      </w:r>
      <w:r>
        <w:rPr>
          <w:lang w:eastAsia="en-AU"/>
        </w:rPr>
        <w:tab/>
      </w:r>
      <w:r w:rsidR="001B3593" w:rsidRPr="004D1FAE">
        <w:rPr>
          <w:lang w:eastAsia="en-AU"/>
        </w:rPr>
        <w:t>Chair – AASB</w:t>
      </w:r>
    </w:p>
    <w:p w:rsidR="00994A75" w:rsidRPr="00766E15" w:rsidRDefault="00994A75" w:rsidP="005D0061">
      <w:pPr>
        <w:pStyle w:val="ConvSectionTitle"/>
        <w:spacing w:after="0"/>
        <w:outlineLvl w:val="1"/>
      </w:pPr>
      <w:r w:rsidRPr="00766E15">
        <w:t xml:space="preserve">Accounting Standard </w:t>
      </w:r>
      <w:r w:rsidR="003C15D3">
        <w:t>AASB 2018-4</w:t>
      </w:r>
    </w:p>
    <w:p w:rsidR="00270378" w:rsidRDefault="00994A75" w:rsidP="005D0061">
      <w:pPr>
        <w:pStyle w:val="ConvSectionTitle"/>
        <w:spacing w:before="0" w:after="0"/>
        <w:outlineLvl w:val="1"/>
        <w:rPr>
          <w:i/>
        </w:rPr>
      </w:pPr>
      <w:r w:rsidRPr="00B61A91">
        <w:rPr>
          <w:i/>
        </w:rPr>
        <w:t>Amendments to Australian Accounting Standards – Australian Implementation Guidance for Not-for</w:t>
      </w:r>
      <w:r w:rsidR="00270378">
        <w:rPr>
          <w:i/>
        </w:rPr>
        <w:t>-Profit Public Sector Licensors</w:t>
      </w:r>
    </w:p>
    <w:p w:rsidR="00BA5A1C" w:rsidRPr="00270378" w:rsidRDefault="00BA5A1C" w:rsidP="005D0061">
      <w:pPr>
        <w:pStyle w:val="IASBSectionTitle1NonInd"/>
        <w:outlineLvl w:val="2"/>
      </w:pPr>
      <w:r w:rsidRPr="00766E15">
        <w:t>Objective</w:t>
      </w:r>
    </w:p>
    <w:p w:rsidR="0060019B" w:rsidRPr="00766E15" w:rsidRDefault="00ED5174" w:rsidP="00B61A91">
      <w:pPr>
        <w:pStyle w:val="NumPlain1"/>
        <w:numPr>
          <w:ilvl w:val="0"/>
          <w:numId w:val="22"/>
        </w:numPr>
        <w:tabs>
          <w:tab w:val="clear" w:pos="510"/>
          <w:tab w:val="num" w:pos="851"/>
        </w:tabs>
        <w:spacing w:before="0"/>
      </w:pPr>
      <w:r w:rsidRPr="00766E15">
        <w:t>Th</w:t>
      </w:r>
      <w:r w:rsidR="00290804">
        <w:t>is Standard amends</w:t>
      </w:r>
      <w:r w:rsidR="0060019B" w:rsidRPr="00766E15">
        <w:t>:</w:t>
      </w:r>
    </w:p>
    <w:p w:rsidR="00676485" w:rsidRPr="00766E15" w:rsidRDefault="00291416" w:rsidP="00B61A91">
      <w:pPr>
        <w:pStyle w:val="NumPlain2"/>
        <w:numPr>
          <w:ilvl w:val="1"/>
          <w:numId w:val="22"/>
        </w:numPr>
        <w:tabs>
          <w:tab w:val="clear" w:pos="1021"/>
          <w:tab w:val="num" w:pos="1560"/>
        </w:tabs>
        <w:spacing w:before="0"/>
        <w:ind w:left="1564" w:hanging="782"/>
      </w:pPr>
      <w:r>
        <w:t>AASB </w:t>
      </w:r>
      <w:r w:rsidR="00290804" w:rsidRPr="00766E15">
        <w:t xml:space="preserve">15 </w:t>
      </w:r>
      <w:r w:rsidR="00290804" w:rsidRPr="00766E15">
        <w:rPr>
          <w:i/>
        </w:rPr>
        <w:t>Revenue from Contracts with Customers</w:t>
      </w:r>
      <w:r w:rsidR="00290804">
        <w:rPr>
          <w:i/>
        </w:rPr>
        <w:t xml:space="preserve"> </w:t>
      </w:r>
      <w:r w:rsidR="00290804" w:rsidRPr="00290804">
        <w:t>(December 2014)</w:t>
      </w:r>
      <w:r w:rsidR="00676485" w:rsidRPr="00290804">
        <w:t>;</w:t>
      </w:r>
      <w:r w:rsidR="00676485" w:rsidRPr="00766E15">
        <w:t xml:space="preserve"> </w:t>
      </w:r>
      <w:r w:rsidR="00290804">
        <w:t>and</w:t>
      </w:r>
    </w:p>
    <w:p w:rsidR="007D0706" w:rsidRDefault="00291416" w:rsidP="00B61A91">
      <w:pPr>
        <w:pStyle w:val="NumPlain2"/>
        <w:numPr>
          <w:ilvl w:val="1"/>
          <w:numId w:val="22"/>
        </w:numPr>
        <w:tabs>
          <w:tab w:val="clear" w:pos="1021"/>
          <w:tab w:val="num" w:pos="1560"/>
        </w:tabs>
        <w:spacing w:before="0"/>
        <w:ind w:left="1564" w:hanging="782"/>
      </w:pPr>
      <w:r>
        <w:t>AASB </w:t>
      </w:r>
      <w:r w:rsidR="00290804">
        <w:t xml:space="preserve">16 </w:t>
      </w:r>
      <w:r w:rsidR="00290804" w:rsidRPr="00291416">
        <w:rPr>
          <w:i/>
        </w:rPr>
        <w:t>Leases</w:t>
      </w:r>
      <w:r w:rsidR="00290804">
        <w:t xml:space="preserve"> (February 2016);</w:t>
      </w:r>
    </w:p>
    <w:p w:rsidR="0009048B" w:rsidRPr="00766E15" w:rsidRDefault="00290804" w:rsidP="00290804">
      <w:pPr>
        <w:pStyle w:val="NumPlain2"/>
        <w:numPr>
          <w:ilvl w:val="0"/>
          <w:numId w:val="0"/>
        </w:numPr>
        <w:spacing w:before="0"/>
        <w:ind w:left="782"/>
      </w:pPr>
      <w:proofErr w:type="gramStart"/>
      <w:r>
        <w:t>to</w:t>
      </w:r>
      <w:proofErr w:type="gramEnd"/>
      <w:r>
        <w:t xml:space="preserve"> add requirements and authoritative implementation guidance for application by not-for-profit public sector licensors</w:t>
      </w:r>
      <w:r w:rsidR="00035279">
        <w:t>.</w:t>
      </w:r>
    </w:p>
    <w:p w:rsidR="00BA5A1C" w:rsidRPr="00766E15" w:rsidRDefault="00BA5A1C" w:rsidP="005D0061">
      <w:pPr>
        <w:pStyle w:val="IASBSectionTitle1NonInd"/>
        <w:outlineLvl w:val="2"/>
      </w:pPr>
      <w:r w:rsidRPr="00766E15">
        <w:t>Application</w:t>
      </w:r>
    </w:p>
    <w:p w:rsidR="00BA5A1C" w:rsidRPr="00766E15" w:rsidRDefault="00605C46" w:rsidP="001116A1">
      <w:pPr>
        <w:pStyle w:val="NumPlain1"/>
        <w:tabs>
          <w:tab w:val="clear" w:pos="510"/>
          <w:tab w:val="num" w:pos="851"/>
        </w:tabs>
        <w:spacing w:before="0"/>
      </w:pPr>
      <w:r w:rsidRPr="00766E15">
        <w:t xml:space="preserve">The amendments </w:t>
      </w:r>
      <w:r w:rsidR="007417C4">
        <w:t>set out in this Standard</w:t>
      </w:r>
      <w:r w:rsidR="00BA5A1C" w:rsidRPr="00766E15">
        <w:t xml:space="preserve"> apply to </w:t>
      </w:r>
      <w:r w:rsidR="00CD0260">
        <w:t>entities</w:t>
      </w:r>
      <w:r w:rsidR="00BA5A1C" w:rsidRPr="00766E15">
        <w:t xml:space="preserve"> and financial statements in accordance with the application</w:t>
      </w:r>
      <w:r w:rsidR="00010915" w:rsidRPr="00766E15">
        <w:t xml:space="preserve"> of</w:t>
      </w:r>
      <w:r w:rsidR="00BA5A1C" w:rsidRPr="00766E15">
        <w:t xml:space="preserve"> </w:t>
      </w:r>
      <w:r w:rsidR="00291416">
        <w:t>AASB </w:t>
      </w:r>
      <w:r w:rsidR="00BA5A1C" w:rsidRPr="00766E15">
        <w:t>15</w:t>
      </w:r>
      <w:r w:rsidR="007417C4">
        <w:t xml:space="preserve"> and </w:t>
      </w:r>
      <w:r w:rsidR="00291416">
        <w:t>AASB </w:t>
      </w:r>
      <w:r w:rsidR="007417C4">
        <w:t>16</w:t>
      </w:r>
      <w:r w:rsidR="00BA5A1C" w:rsidRPr="00766E15">
        <w:t xml:space="preserve"> as set out in </w:t>
      </w:r>
      <w:r w:rsidR="00291416">
        <w:t>AASB </w:t>
      </w:r>
      <w:r w:rsidR="00BA5A1C" w:rsidRPr="00766E15">
        <w:t xml:space="preserve">1057 </w:t>
      </w:r>
      <w:r w:rsidR="00BA5A1C" w:rsidRPr="00766E15">
        <w:rPr>
          <w:i/>
        </w:rPr>
        <w:t>Application of Australian Accounting Standards</w:t>
      </w:r>
      <w:r w:rsidR="00BA5A1C" w:rsidRPr="00766E15">
        <w:t xml:space="preserve"> (as amended)</w:t>
      </w:r>
      <w:r w:rsidR="00BA5A1C" w:rsidRPr="00766E15">
        <w:rPr>
          <w:i/>
        </w:rPr>
        <w:t>.</w:t>
      </w:r>
    </w:p>
    <w:p w:rsidR="00BA5A1C" w:rsidRPr="00766E15" w:rsidRDefault="00605C46" w:rsidP="001116A1">
      <w:pPr>
        <w:pStyle w:val="NumPlain1"/>
        <w:tabs>
          <w:tab w:val="clear" w:pos="510"/>
          <w:tab w:val="num" w:pos="851"/>
        </w:tabs>
        <w:spacing w:before="0"/>
      </w:pPr>
      <w:r w:rsidRPr="00766E15">
        <w:t xml:space="preserve">This </w:t>
      </w:r>
      <w:r w:rsidR="00BA5A1C" w:rsidRPr="00766E15">
        <w:t xml:space="preserve">Standard applies to annual periods </w:t>
      </w:r>
      <w:r w:rsidR="00E369EE" w:rsidRPr="00766E15">
        <w:t xml:space="preserve">beginning </w:t>
      </w:r>
      <w:r w:rsidR="00BA5A1C" w:rsidRPr="00766E15">
        <w:t xml:space="preserve">on or after </w:t>
      </w:r>
      <w:r w:rsidR="00E369EE" w:rsidRPr="00766E15">
        <w:t>1 January 2019</w:t>
      </w:r>
      <w:r w:rsidR="00BA5A1C" w:rsidRPr="00766E15">
        <w:t xml:space="preserve">.  </w:t>
      </w:r>
      <w:bookmarkStart w:id="7" w:name="EarlyYesPara"/>
      <w:r w:rsidR="00BA5A1C" w:rsidRPr="00766E15">
        <w:t xml:space="preserve">This Standard may be applied to annual periods </w:t>
      </w:r>
      <w:bookmarkStart w:id="8" w:name="EarlyText"/>
      <w:r w:rsidR="00BA5A1C" w:rsidRPr="00766E15">
        <w:t>beginning</w:t>
      </w:r>
      <w:bookmarkEnd w:id="8"/>
      <w:r w:rsidR="00BA5A1C" w:rsidRPr="00766E15">
        <w:t xml:space="preserve"> before </w:t>
      </w:r>
      <w:r w:rsidR="00E369EE" w:rsidRPr="00766E15">
        <w:t>1 January 2019,</w:t>
      </w:r>
      <w:r w:rsidR="00BA5A1C" w:rsidRPr="00766E15">
        <w:t xml:space="preserve"> provided that </w:t>
      </w:r>
      <w:r w:rsidR="00291416">
        <w:t>AASB </w:t>
      </w:r>
      <w:r w:rsidRPr="00766E15">
        <w:t>15</w:t>
      </w:r>
      <w:r w:rsidR="007504A7" w:rsidRPr="00766E15">
        <w:t xml:space="preserve"> </w:t>
      </w:r>
      <w:r w:rsidR="00186977">
        <w:t xml:space="preserve">and AASB 16 are </w:t>
      </w:r>
      <w:r w:rsidR="00BA5A1C" w:rsidRPr="00766E15">
        <w:t xml:space="preserve">also applied to the same period.  </w:t>
      </w:r>
      <w:r w:rsidR="007417C4">
        <w:t>When</w:t>
      </w:r>
      <w:r w:rsidR="007417C4" w:rsidRPr="00766E15">
        <w:t xml:space="preserve"> </w:t>
      </w:r>
      <w:r w:rsidRPr="00766E15">
        <w:t xml:space="preserve">an </w:t>
      </w:r>
      <w:r w:rsidR="00BA5A1C" w:rsidRPr="00766E15">
        <w:t>entity applies this Standard to such an annual period, it shall disclose that fact.</w:t>
      </w:r>
    </w:p>
    <w:bookmarkEnd w:id="7"/>
    <w:p w:rsidR="00BA5A1C" w:rsidRPr="00766E15" w:rsidRDefault="00BA5A1C" w:rsidP="005D0061">
      <w:pPr>
        <w:pStyle w:val="IASBSectionTitle1NonInd"/>
        <w:outlineLvl w:val="2"/>
      </w:pPr>
      <w:r w:rsidRPr="00766E15">
        <w:t xml:space="preserve">Amendments to </w:t>
      </w:r>
      <w:bookmarkStart w:id="9" w:name="StndNo2"/>
      <w:r w:rsidR="00291416">
        <w:t>AASB </w:t>
      </w:r>
      <w:r w:rsidRPr="00766E15">
        <w:t>15</w:t>
      </w:r>
      <w:bookmarkEnd w:id="9"/>
    </w:p>
    <w:p w:rsidR="00C56D12" w:rsidRPr="00766E15" w:rsidRDefault="00C56D12" w:rsidP="00ED4554">
      <w:pPr>
        <w:pStyle w:val="NumPlain1"/>
        <w:tabs>
          <w:tab w:val="clear" w:pos="510"/>
          <w:tab w:val="num" w:pos="851"/>
        </w:tabs>
        <w:spacing w:before="0"/>
      </w:pPr>
      <w:bookmarkStart w:id="10" w:name="_Ref498669960"/>
      <w:r w:rsidRPr="00766E15">
        <w:t>Paragraph</w:t>
      </w:r>
      <w:r w:rsidR="007417C4">
        <w:t>s</w:t>
      </w:r>
      <w:r w:rsidRPr="00766E15">
        <w:t xml:space="preserve"> Aus5.2</w:t>
      </w:r>
      <w:r w:rsidR="007417C4">
        <w:t>, Aus8.1</w:t>
      </w:r>
      <w:r w:rsidR="00124FCF">
        <w:t>–</w:t>
      </w:r>
      <w:r w:rsidR="007417C4">
        <w:t>Aus8.</w:t>
      </w:r>
      <w:r w:rsidR="00637549">
        <w:t>5</w:t>
      </w:r>
      <w:r w:rsidR="007417C4">
        <w:t>,</w:t>
      </w:r>
      <w:r w:rsidR="00EC0906">
        <w:t xml:space="preserve"> Aus26.1</w:t>
      </w:r>
      <w:r w:rsidR="007417C4">
        <w:t xml:space="preserve"> and a heading before paragraph Aus8.1, are</w:t>
      </w:r>
      <w:r w:rsidRPr="00766E15">
        <w:t xml:space="preserve"> added:</w:t>
      </w:r>
      <w:bookmarkEnd w:id="10"/>
    </w:p>
    <w:p w:rsidR="000A751E" w:rsidRDefault="003D314F" w:rsidP="00826673">
      <w:pPr>
        <w:pStyle w:val="SubNumPlain1"/>
        <w:spacing w:before="0"/>
        <w:ind w:left="1564" w:hanging="782"/>
      </w:pPr>
      <w:r>
        <w:t>Aus5.2</w:t>
      </w:r>
      <w:r>
        <w:tab/>
      </w:r>
      <w:r w:rsidR="00271EC0" w:rsidRPr="00766E15">
        <w:t xml:space="preserve">Notwithstanding paragraph 5, in respect of not-for-profit </w:t>
      </w:r>
      <w:r w:rsidR="000A751E">
        <w:t xml:space="preserve">public </w:t>
      </w:r>
      <w:r w:rsidR="002D0179" w:rsidRPr="00766E15">
        <w:t xml:space="preserve">sector </w:t>
      </w:r>
      <w:r w:rsidR="00A82DD0">
        <w:t>licensors</w:t>
      </w:r>
      <w:r w:rsidR="00271EC0" w:rsidRPr="00766E15">
        <w:t xml:space="preserve">, this Standard </w:t>
      </w:r>
      <w:r w:rsidR="00826673">
        <w:t xml:space="preserve">also </w:t>
      </w:r>
      <w:r w:rsidR="007417C4">
        <w:t xml:space="preserve">applies to </w:t>
      </w:r>
      <w:r w:rsidR="00D138D0" w:rsidRPr="00766E15">
        <w:t>licences</w:t>
      </w:r>
      <w:r w:rsidR="00063A97" w:rsidRPr="00766E15">
        <w:t xml:space="preserve"> </w:t>
      </w:r>
      <w:r w:rsidR="008A5306" w:rsidRPr="00766E15">
        <w:t>issued</w:t>
      </w:r>
      <w:r w:rsidR="001F30CA">
        <w:t>,</w:t>
      </w:r>
      <w:r w:rsidR="00486CA7">
        <w:t xml:space="preserve"> other than </w:t>
      </w:r>
      <w:r w:rsidR="006F5735">
        <w:t xml:space="preserve">licences </w:t>
      </w:r>
      <w:r w:rsidR="007417C4">
        <w:t>subject to</w:t>
      </w:r>
      <w:r w:rsidR="009A3B5D">
        <w:t xml:space="preserve"> </w:t>
      </w:r>
      <w:r w:rsidR="00291416">
        <w:t>AASB </w:t>
      </w:r>
      <w:r w:rsidR="00486CA7">
        <w:t xml:space="preserve">16 </w:t>
      </w:r>
      <w:r w:rsidR="00486CA7" w:rsidRPr="00486CA7">
        <w:rPr>
          <w:i/>
        </w:rPr>
        <w:t>Leases</w:t>
      </w:r>
      <w:r w:rsidR="00826673">
        <w:t>,</w:t>
      </w:r>
      <w:r w:rsidR="00095128">
        <w:t xml:space="preserve"> or transactions subject to AASB 1059</w:t>
      </w:r>
      <w:r w:rsidR="00826673">
        <w:t xml:space="preserve"> </w:t>
      </w:r>
      <w:r w:rsidR="00095128">
        <w:rPr>
          <w:i/>
        </w:rPr>
        <w:t>Service Concession Arrangements</w:t>
      </w:r>
      <w:r w:rsidR="00095128" w:rsidRPr="00803366">
        <w:rPr>
          <w:i/>
        </w:rPr>
        <w:t>: Grantors</w:t>
      </w:r>
      <w:r w:rsidR="00095128">
        <w:t xml:space="preserve">, </w:t>
      </w:r>
      <w:r w:rsidR="005C2B27" w:rsidRPr="00095128">
        <w:t>irrespective</w:t>
      </w:r>
      <w:r w:rsidR="005C2B27">
        <w:t xml:space="preserve"> of whether</w:t>
      </w:r>
      <w:r w:rsidR="00826673">
        <w:t xml:space="preserve"> the licences are contracts with customers</w:t>
      </w:r>
      <w:r w:rsidR="00486CA7">
        <w:t>.</w:t>
      </w:r>
      <w:r w:rsidR="00826673">
        <w:t xml:space="preserve"> </w:t>
      </w:r>
      <w:r w:rsidR="00486CA7">
        <w:t xml:space="preserve"> </w:t>
      </w:r>
      <w:r w:rsidR="0045345F">
        <w:t>L</w:t>
      </w:r>
      <w:r w:rsidR="0045345F" w:rsidRPr="00766E15">
        <w:t>icences includ</w:t>
      </w:r>
      <w:r w:rsidR="0045345F">
        <w:t xml:space="preserve">e </w:t>
      </w:r>
      <w:r w:rsidR="0045345F" w:rsidRPr="00766E15">
        <w:t>those arising from statut</w:t>
      </w:r>
      <w:r w:rsidR="000258F0">
        <w:t>ory</w:t>
      </w:r>
      <w:r w:rsidR="0045345F" w:rsidRPr="00766E15">
        <w:t xml:space="preserve"> </w:t>
      </w:r>
      <w:r w:rsidR="0045345F" w:rsidRPr="00A84755">
        <w:t xml:space="preserve">requirements.  Guidance on </w:t>
      </w:r>
      <w:r w:rsidR="001358F7">
        <w:t xml:space="preserve">applying this Standard to licences is set out in Appendix G, including the distinction </w:t>
      </w:r>
      <w:r w:rsidR="0045345F" w:rsidRPr="00A84755">
        <w:t>between a licence and a tax</w:t>
      </w:r>
      <w:r w:rsidR="00BC7BD8">
        <w:t>.</w:t>
      </w:r>
      <w:r w:rsidR="0045345F" w:rsidRPr="00A84755">
        <w:t xml:space="preserve"> </w:t>
      </w:r>
    </w:p>
    <w:p w:rsidR="007417C4" w:rsidRPr="007417C4" w:rsidRDefault="007417C4" w:rsidP="00ED4554">
      <w:pPr>
        <w:pStyle w:val="NumPlain1"/>
        <w:numPr>
          <w:ilvl w:val="0"/>
          <w:numId w:val="0"/>
        </w:numPr>
        <w:spacing w:before="0"/>
        <w:ind w:left="1564" w:hanging="782"/>
        <w:rPr>
          <w:b/>
        </w:rPr>
      </w:pPr>
      <w:r w:rsidRPr="00BA4572">
        <w:rPr>
          <w:b/>
        </w:rPr>
        <w:t xml:space="preserve">Recognition </w:t>
      </w:r>
      <w:r w:rsidR="00FD73D4" w:rsidRPr="00BA4572">
        <w:rPr>
          <w:b/>
        </w:rPr>
        <w:t>e</w:t>
      </w:r>
      <w:r w:rsidRPr="00BA4572">
        <w:rPr>
          <w:b/>
        </w:rPr>
        <w:t>xemptions</w:t>
      </w:r>
      <w:r w:rsidR="00645CB8" w:rsidRPr="00BA4572">
        <w:rPr>
          <w:b/>
        </w:rPr>
        <w:t xml:space="preserve"> (paragraphs </w:t>
      </w:r>
      <w:r w:rsidR="00645CB8" w:rsidRPr="00BA4572">
        <w:rPr>
          <w:b/>
        </w:rPr>
        <w:fldChar w:fldCharType="begin"/>
      </w:r>
      <w:r w:rsidR="00645CB8" w:rsidRPr="00BA4572">
        <w:rPr>
          <w:b/>
        </w:rPr>
        <w:instrText xml:space="preserve"> REF _Ref498595439 \r \h </w:instrText>
      </w:r>
      <w:r w:rsidR="00BA4572">
        <w:rPr>
          <w:b/>
        </w:rPr>
        <w:instrText xml:space="preserve"> \* MERGEFORMAT </w:instrText>
      </w:r>
      <w:r w:rsidR="00645CB8" w:rsidRPr="00BA4572">
        <w:rPr>
          <w:b/>
        </w:rPr>
      </w:r>
      <w:r w:rsidR="00645CB8" w:rsidRPr="00BA4572">
        <w:rPr>
          <w:b/>
        </w:rPr>
        <w:fldChar w:fldCharType="separate"/>
      </w:r>
      <w:r w:rsidR="00882B86">
        <w:rPr>
          <w:b/>
        </w:rPr>
        <w:t>G22</w:t>
      </w:r>
      <w:r w:rsidR="00645CB8" w:rsidRPr="00BA4572">
        <w:rPr>
          <w:b/>
        </w:rPr>
        <w:fldChar w:fldCharType="end"/>
      </w:r>
      <w:r w:rsidR="00124FCF">
        <w:t>–</w:t>
      </w:r>
      <w:r w:rsidR="004B3255" w:rsidRPr="004B3255">
        <w:rPr>
          <w:b/>
        </w:rPr>
        <w:fldChar w:fldCharType="begin"/>
      </w:r>
      <w:r w:rsidR="004B3255" w:rsidRPr="004B3255">
        <w:rPr>
          <w:b/>
        </w:rPr>
        <w:instrText xml:space="preserve"> REF _Ref524005931 \r \h  \* MERGEFORMAT </w:instrText>
      </w:r>
      <w:r w:rsidR="004B3255" w:rsidRPr="004B3255">
        <w:rPr>
          <w:b/>
        </w:rPr>
      </w:r>
      <w:r w:rsidR="004B3255" w:rsidRPr="004B3255">
        <w:rPr>
          <w:b/>
        </w:rPr>
        <w:fldChar w:fldCharType="separate"/>
      </w:r>
      <w:r w:rsidR="00882B86">
        <w:rPr>
          <w:b/>
        </w:rPr>
        <w:t>G27</w:t>
      </w:r>
      <w:r w:rsidR="004B3255" w:rsidRPr="004B3255">
        <w:rPr>
          <w:b/>
        </w:rPr>
        <w:fldChar w:fldCharType="end"/>
      </w:r>
      <w:r w:rsidR="00645CB8" w:rsidRPr="00BA4572">
        <w:rPr>
          <w:b/>
        </w:rPr>
        <w:t>)</w:t>
      </w:r>
    </w:p>
    <w:p w:rsidR="007440B4" w:rsidRDefault="003C6910" w:rsidP="00ED4554">
      <w:pPr>
        <w:pStyle w:val="NumPlain1"/>
        <w:numPr>
          <w:ilvl w:val="0"/>
          <w:numId w:val="0"/>
        </w:numPr>
        <w:spacing w:before="0"/>
        <w:ind w:left="1564" w:hanging="782"/>
      </w:pPr>
      <w:r w:rsidRPr="008A2C13">
        <w:t>Aus8.1</w:t>
      </w:r>
      <w:r w:rsidRPr="008A2C13">
        <w:tab/>
      </w:r>
      <w:r w:rsidR="002F4435">
        <w:t>Except as specified in</w:t>
      </w:r>
      <w:r w:rsidR="000E2F99">
        <w:t xml:space="preserve"> paragraph</w:t>
      </w:r>
      <w:r w:rsidR="001C29AF">
        <w:t xml:space="preserve"> </w:t>
      </w:r>
      <w:r w:rsidR="008320FE">
        <w:t>Aus8.</w:t>
      </w:r>
      <w:r w:rsidR="00250328">
        <w:t>2</w:t>
      </w:r>
      <w:r w:rsidR="008320FE">
        <w:t>, a</w:t>
      </w:r>
      <w:r w:rsidRPr="008A2C13">
        <w:t xml:space="preserve"> not-for-profit public sector licensor </w:t>
      </w:r>
      <w:r w:rsidR="00ED1EFE" w:rsidRPr="008A2C13">
        <w:t xml:space="preserve">may elect not to apply the requirements in paragraphs </w:t>
      </w:r>
      <w:r w:rsidRPr="008A2C13">
        <w:t>9</w:t>
      </w:r>
      <w:r w:rsidR="00124FCF">
        <w:t>–</w:t>
      </w:r>
      <w:r w:rsidR="007440B4" w:rsidRPr="00A84755">
        <w:t>90</w:t>
      </w:r>
      <w:r w:rsidR="00ED1EFE" w:rsidRPr="008A2C13">
        <w:t xml:space="preserve"> </w:t>
      </w:r>
      <w:r w:rsidR="007440B4">
        <w:t xml:space="preserve">(and accompanying Application </w:t>
      </w:r>
      <w:r w:rsidR="005C6773">
        <w:t>G</w:t>
      </w:r>
      <w:r w:rsidR="007440B4">
        <w:t xml:space="preserve">uidance) </w:t>
      </w:r>
      <w:r w:rsidR="00ED1EFE" w:rsidRPr="008A2C13">
        <w:t>to:</w:t>
      </w:r>
    </w:p>
    <w:p w:rsidR="007440B4" w:rsidRDefault="007440B4" w:rsidP="00ED4554">
      <w:pPr>
        <w:pStyle w:val="NumPlain1"/>
        <w:numPr>
          <w:ilvl w:val="0"/>
          <w:numId w:val="0"/>
        </w:numPr>
        <w:spacing w:before="0"/>
        <w:ind w:left="1564" w:hanging="782"/>
      </w:pPr>
      <w:r>
        <w:tab/>
      </w:r>
      <w:r w:rsidR="003D314F">
        <w:t>(a)</w:t>
      </w:r>
      <w:r w:rsidR="003D314F">
        <w:tab/>
      </w:r>
      <w:proofErr w:type="gramStart"/>
      <w:r w:rsidR="00ED1EFE" w:rsidRPr="007D0199">
        <w:rPr>
          <w:i/>
        </w:rPr>
        <w:t>short-term</w:t>
      </w:r>
      <w:proofErr w:type="gramEnd"/>
      <w:r w:rsidR="00ED1EFE" w:rsidRPr="007D0199">
        <w:rPr>
          <w:i/>
        </w:rPr>
        <w:t xml:space="preserve"> </w:t>
      </w:r>
      <w:r w:rsidRPr="007D0199">
        <w:rPr>
          <w:i/>
        </w:rPr>
        <w:t>licences</w:t>
      </w:r>
      <w:r w:rsidR="00ED1EFE" w:rsidRPr="008A2C13">
        <w:t>; and</w:t>
      </w:r>
    </w:p>
    <w:p w:rsidR="001E6123" w:rsidRDefault="00ED1EFE" w:rsidP="00ED4554">
      <w:pPr>
        <w:pStyle w:val="NumPlain1"/>
        <w:numPr>
          <w:ilvl w:val="0"/>
          <w:numId w:val="0"/>
        </w:numPr>
        <w:spacing w:before="0"/>
        <w:ind w:left="1564" w:hanging="782"/>
      </w:pPr>
      <w:r w:rsidRPr="008A2C13">
        <w:tab/>
        <w:t xml:space="preserve">(b) </w:t>
      </w:r>
      <w:r w:rsidR="003D314F">
        <w:tab/>
      </w:r>
      <w:proofErr w:type="gramStart"/>
      <w:r w:rsidRPr="008A2C13">
        <w:t>l</w:t>
      </w:r>
      <w:r w:rsidR="007440B4">
        <w:t>icences</w:t>
      </w:r>
      <w:proofErr w:type="gramEnd"/>
      <w:r w:rsidR="007440B4">
        <w:t xml:space="preserve"> </w:t>
      </w:r>
      <w:r w:rsidRPr="008A2C13">
        <w:t xml:space="preserve">for which the </w:t>
      </w:r>
      <w:r w:rsidR="007440B4">
        <w:t>transaction price</w:t>
      </w:r>
      <w:r w:rsidR="001E6123">
        <w:t xml:space="preserve"> is of low</w:t>
      </w:r>
      <w:r w:rsidR="00994A75">
        <w:t xml:space="preserve"> </w:t>
      </w:r>
      <w:r w:rsidR="001E6123">
        <w:t>value</w:t>
      </w:r>
      <w:r w:rsidR="00FD73D4">
        <w:t>.</w:t>
      </w:r>
      <w:r w:rsidR="001E6123">
        <w:t xml:space="preserve">  </w:t>
      </w:r>
    </w:p>
    <w:p w:rsidR="001D0137" w:rsidRDefault="001D0137" w:rsidP="001D0137">
      <w:pPr>
        <w:pStyle w:val="NumPlain1"/>
        <w:numPr>
          <w:ilvl w:val="0"/>
          <w:numId w:val="0"/>
        </w:numPr>
        <w:spacing w:before="0"/>
        <w:ind w:left="1564" w:hanging="782"/>
      </w:pPr>
      <w:r>
        <w:t>Aus8.2</w:t>
      </w:r>
      <w:r>
        <w:tab/>
        <w:t xml:space="preserve">The option allowed in paragraph Aus8.1 is not available to licences </w:t>
      </w:r>
      <w:r w:rsidR="0035663F">
        <w:t xml:space="preserve">that have </w:t>
      </w:r>
      <w:r>
        <w:t>variable consideration</w:t>
      </w:r>
      <w:r w:rsidR="0035663F">
        <w:t xml:space="preserve"> in their terms and conditions</w:t>
      </w:r>
      <w:r w:rsidR="00124FCF">
        <w:t xml:space="preserve"> (see paragraphs 50–</w:t>
      </w:r>
      <w:r w:rsidR="002F6D53">
        <w:t>59 for identifying and accounting for variable consideration)</w:t>
      </w:r>
      <w:r>
        <w:t>.</w:t>
      </w:r>
    </w:p>
    <w:p w:rsidR="00DC2D3F" w:rsidRPr="004D1FAE" w:rsidRDefault="001E6123" w:rsidP="00ED4554">
      <w:pPr>
        <w:pStyle w:val="NumPlain1"/>
        <w:numPr>
          <w:ilvl w:val="0"/>
          <w:numId w:val="0"/>
        </w:numPr>
        <w:spacing w:before="0"/>
        <w:ind w:left="1564" w:hanging="782"/>
      </w:pPr>
      <w:r>
        <w:t>Aus8.</w:t>
      </w:r>
      <w:r w:rsidR="001D0137">
        <w:t>3</w:t>
      </w:r>
      <w:r>
        <w:tab/>
      </w:r>
      <w:r w:rsidR="00ED1EFE" w:rsidRPr="008A2C13">
        <w:t xml:space="preserve">If </w:t>
      </w:r>
      <w:r w:rsidR="0026028D">
        <w:t xml:space="preserve">in accordance with paragraph Aus8.1 </w:t>
      </w:r>
      <w:r w:rsidR="00ED1EFE" w:rsidRPr="008A2C13">
        <w:t>a</w:t>
      </w:r>
      <w:r>
        <w:t xml:space="preserve"> not-for-profit</w:t>
      </w:r>
      <w:r w:rsidR="00DC2D3F">
        <w:t xml:space="preserve"> public sector</w:t>
      </w:r>
      <w:r>
        <w:t xml:space="preserve"> </w:t>
      </w:r>
      <w:r w:rsidR="00ED1EFE" w:rsidRPr="008A2C13">
        <w:t>l</w:t>
      </w:r>
      <w:r>
        <w:t>icensor</w:t>
      </w:r>
      <w:r w:rsidR="00ED1EFE" w:rsidRPr="008A2C13">
        <w:t xml:space="preserve"> elects not to apply the requirements in paragraphs </w:t>
      </w:r>
      <w:r w:rsidR="00124FCF">
        <w:t>9–</w:t>
      </w:r>
      <w:r>
        <w:t>90</w:t>
      </w:r>
      <w:r w:rsidR="00ED1EFE" w:rsidRPr="008A2C13">
        <w:t xml:space="preserve"> </w:t>
      </w:r>
      <w:r w:rsidR="00E80EA5">
        <w:t xml:space="preserve">(and accompanying Application </w:t>
      </w:r>
      <w:r w:rsidR="00694427">
        <w:t>G</w:t>
      </w:r>
      <w:r w:rsidR="00E80EA5">
        <w:t>uidance)</w:t>
      </w:r>
      <w:r w:rsidR="002E3406">
        <w:t xml:space="preserve"> </w:t>
      </w:r>
      <w:r w:rsidR="00ED1EFE" w:rsidRPr="008A2C13">
        <w:t>to either short-term l</w:t>
      </w:r>
      <w:r>
        <w:t>icences</w:t>
      </w:r>
      <w:r w:rsidR="00ED1EFE" w:rsidRPr="008A2C13">
        <w:t xml:space="preserve"> or l</w:t>
      </w:r>
      <w:r>
        <w:t xml:space="preserve">icences </w:t>
      </w:r>
      <w:r w:rsidR="00ED1EFE" w:rsidRPr="008A2C13">
        <w:t xml:space="preserve">for which the </w:t>
      </w:r>
      <w:r>
        <w:t>transaction price is of low value, the licensor</w:t>
      </w:r>
      <w:r w:rsidR="00ED1EFE" w:rsidRPr="008A2C13">
        <w:t xml:space="preserve"> shall recognise the </w:t>
      </w:r>
      <w:r w:rsidR="00DC2D3F" w:rsidRPr="004D1FAE">
        <w:t xml:space="preserve">revenue associated with those licences </w:t>
      </w:r>
      <w:r w:rsidR="00ED1EFE" w:rsidRPr="004D1FAE">
        <w:t>either</w:t>
      </w:r>
      <w:r w:rsidR="00DC2D3F" w:rsidRPr="004D1FAE">
        <w:t xml:space="preserve"> </w:t>
      </w:r>
      <w:r w:rsidR="00694427" w:rsidRPr="004D1FAE">
        <w:t xml:space="preserve">at the </w:t>
      </w:r>
      <w:r w:rsidR="00A1077E" w:rsidRPr="004D1FAE">
        <w:t>point in time the licence</w:t>
      </w:r>
      <w:r w:rsidR="00694427" w:rsidRPr="004D1FAE">
        <w:t xml:space="preserve"> </w:t>
      </w:r>
      <w:r w:rsidR="00A1077E" w:rsidRPr="004D1FAE">
        <w:t>is</w:t>
      </w:r>
      <w:r w:rsidR="00694427" w:rsidRPr="004D1FAE">
        <w:t xml:space="preserve"> issued</w:t>
      </w:r>
      <w:r w:rsidR="000E2F99" w:rsidRPr="004D1FAE">
        <w:t>,</w:t>
      </w:r>
      <w:r w:rsidR="00DC2D3F" w:rsidRPr="004D1FAE">
        <w:t xml:space="preserve"> or on</w:t>
      </w:r>
      <w:r w:rsidR="00ED1EFE" w:rsidRPr="004D1FAE">
        <w:t xml:space="preserve"> a straight-line basis over the </w:t>
      </w:r>
      <w:r w:rsidR="00DC2D3F" w:rsidRPr="004D1FAE">
        <w:t xml:space="preserve">licence </w:t>
      </w:r>
      <w:r w:rsidR="001D0137" w:rsidRPr="004D1FAE">
        <w:t xml:space="preserve">term </w:t>
      </w:r>
      <w:r w:rsidR="00ED1EFE" w:rsidRPr="004D1FAE">
        <w:t xml:space="preserve">or another systematic basis. </w:t>
      </w:r>
    </w:p>
    <w:p w:rsidR="00DC2D3F" w:rsidRPr="004D1FAE" w:rsidRDefault="006E3CA3" w:rsidP="00ED4554">
      <w:pPr>
        <w:pStyle w:val="NumPlain1"/>
        <w:numPr>
          <w:ilvl w:val="0"/>
          <w:numId w:val="0"/>
        </w:numPr>
        <w:spacing w:before="0"/>
        <w:ind w:left="1564" w:hanging="782"/>
      </w:pPr>
      <w:r w:rsidRPr="004D1FAE">
        <w:t>Aus8.4</w:t>
      </w:r>
      <w:r w:rsidR="00DC2D3F" w:rsidRPr="004D1FAE">
        <w:tab/>
        <w:t xml:space="preserve">If </w:t>
      </w:r>
      <w:r w:rsidR="00C43D4A" w:rsidRPr="004D1FAE">
        <w:t>in accordance with paragraph Aus8.1</w:t>
      </w:r>
      <w:r w:rsidR="00E82413" w:rsidRPr="004D1FAE">
        <w:t xml:space="preserve"> a not-for-profit </w:t>
      </w:r>
      <w:r w:rsidR="009922F8" w:rsidRPr="004D1FAE">
        <w:t xml:space="preserve">public sector </w:t>
      </w:r>
      <w:r w:rsidR="00E82413" w:rsidRPr="004D1FAE">
        <w:t xml:space="preserve">licensor elects not to apply </w:t>
      </w:r>
      <w:r w:rsidR="0031033C">
        <w:t>the requirements in paragraphs 9–</w:t>
      </w:r>
      <w:r w:rsidR="00E82413" w:rsidRPr="004D1FAE">
        <w:t xml:space="preserve">90 (and accompanying Application Guidance) </w:t>
      </w:r>
      <w:r w:rsidR="00A82BB6" w:rsidRPr="004D1FAE">
        <w:t>to</w:t>
      </w:r>
      <w:r w:rsidR="00853B92" w:rsidRPr="004D1FAE">
        <w:t xml:space="preserve"> </w:t>
      </w:r>
      <w:r w:rsidR="00ED1EFE" w:rsidRPr="004D1FAE">
        <w:t xml:space="preserve">short-term </w:t>
      </w:r>
      <w:r w:rsidR="00FD73D4" w:rsidRPr="004D1FAE">
        <w:t>licence</w:t>
      </w:r>
      <w:r w:rsidR="0044321C" w:rsidRPr="004D1FAE">
        <w:t>s</w:t>
      </w:r>
      <w:r w:rsidR="00ED1EFE" w:rsidRPr="004D1FAE">
        <w:t xml:space="preserve">, </w:t>
      </w:r>
      <w:r w:rsidR="00581EB2" w:rsidRPr="004D1FAE">
        <w:t>a</w:t>
      </w:r>
      <w:r w:rsidR="00ED1EFE" w:rsidRPr="004D1FAE">
        <w:t xml:space="preserve"> l</w:t>
      </w:r>
      <w:r w:rsidR="00DC2D3F" w:rsidRPr="004D1FAE">
        <w:t>icence</w:t>
      </w:r>
      <w:r w:rsidR="00ED1EFE" w:rsidRPr="004D1FAE">
        <w:t xml:space="preserve"> </w:t>
      </w:r>
      <w:r w:rsidR="00F3586A" w:rsidRPr="004D1FAE">
        <w:t xml:space="preserve">shall </w:t>
      </w:r>
      <w:r w:rsidR="00ED1EFE" w:rsidRPr="004D1FAE">
        <w:t xml:space="preserve">be </w:t>
      </w:r>
      <w:r w:rsidR="003E1AE7" w:rsidRPr="004D1FAE">
        <w:t xml:space="preserve">treated as if it is </w:t>
      </w:r>
      <w:r w:rsidR="00ED1EFE" w:rsidRPr="004D1FAE">
        <w:t>a new l</w:t>
      </w:r>
      <w:r w:rsidR="00DC2D3F" w:rsidRPr="004D1FAE">
        <w:t>icence</w:t>
      </w:r>
      <w:r w:rsidR="00ED1EFE" w:rsidRPr="004D1FAE">
        <w:t xml:space="preserve"> for the purposes </w:t>
      </w:r>
      <w:r w:rsidR="00994A75" w:rsidRPr="004D1FAE">
        <w:t>of AASB 15</w:t>
      </w:r>
      <w:r w:rsidR="00ED1EFE" w:rsidRPr="004D1FAE">
        <w:t xml:space="preserve"> if</w:t>
      </w:r>
      <w:r w:rsidR="00FB4255" w:rsidRPr="004D1FAE">
        <w:t xml:space="preserve"> there is</w:t>
      </w:r>
      <w:r w:rsidR="00ED1EFE" w:rsidRPr="004D1FAE">
        <w:t xml:space="preserve">: </w:t>
      </w:r>
    </w:p>
    <w:p w:rsidR="003D314F" w:rsidRPr="004D1FAE" w:rsidRDefault="00DC2D3F" w:rsidP="00ED4554">
      <w:pPr>
        <w:pStyle w:val="NumPlain1"/>
        <w:numPr>
          <w:ilvl w:val="0"/>
          <w:numId w:val="0"/>
        </w:numPr>
        <w:spacing w:before="0"/>
        <w:ind w:left="1564" w:hanging="782"/>
      </w:pPr>
      <w:r w:rsidRPr="004D1FAE">
        <w:tab/>
      </w:r>
      <w:r w:rsidR="003D314F" w:rsidRPr="004D1FAE">
        <w:t>(a)</w:t>
      </w:r>
      <w:r w:rsidR="003D314F" w:rsidRPr="004D1FAE">
        <w:tab/>
      </w:r>
      <w:proofErr w:type="gramStart"/>
      <w:r w:rsidR="003D314F" w:rsidRPr="004D1FAE">
        <w:t>a</w:t>
      </w:r>
      <w:proofErr w:type="gramEnd"/>
      <w:r w:rsidR="00ED1EFE" w:rsidRPr="004D1FAE">
        <w:t xml:space="preserve"> modification</w:t>
      </w:r>
      <w:r w:rsidR="003D314F" w:rsidRPr="004D1FAE">
        <w:t xml:space="preserve"> to the </w:t>
      </w:r>
      <w:r w:rsidR="00FD73D4" w:rsidRPr="004D1FAE">
        <w:t>scope of, or the consideration for</w:t>
      </w:r>
      <w:r w:rsidR="00994A75" w:rsidRPr="004D1FAE">
        <w:t>,</w:t>
      </w:r>
      <w:r w:rsidR="00FD73D4" w:rsidRPr="004D1FAE">
        <w:t xml:space="preserve"> </w:t>
      </w:r>
      <w:r w:rsidR="00693884" w:rsidRPr="004D1FAE">
        <w:t>the</w:t>
      </w:r>
      <w:r w:rsidR="00FD73D4" w:rsidRPr="004D1FAE">
        <w:t xml:space="preserve"> licence</w:t>
      </w:r>
      <w:r w:rsidR="00ED1EFE" w:rsidRPr="004D1FAE">
        <w:t xml:space="preserve">; or </w:t>
      </w:r>
    </w:p>
    <w:p w:rsidR="003D314F" w:rsidRPr="004D1FAE" w:rsidRDefault="003D314F" w:rsidP="00ED4554">
      <w:pPr>
        <w:pStyle w:val="NumPlain1"/>
        <w:numPr>
          <w:ilvl w:val="0"/>
          <w:numId w:val="0"/>
        </w:numPr>
        <w:spacing w:before="0"/>
        <w:ind w:left="1564" w:hanging="782"/>
      </w:pPr>
      <w:r w:rsidRPr="004D1FAE">
        <w:tab/>
      </w:r>
      <w:r w:rsidR="00ED1EFE" w:rsidRPr="004D1FAE">
        <w:t xml:space="preserve">(b) </w:t>
      </w:r>
      <w:r w:rsidRPr="004D1FAE">
        <w:tab/>
      </w:r>
      <w:proofErr w:type="gramStart"/>
      <w:r w:rsidR="00ED1EFE" w:rsidRPr="004D1FAE">
        <w:t>any</w:t>
      </w:r>
      <w:proofErr w:type="gramEnd"/>
      <w:r w:rsidR="00ED1EFE" w:rsidRPr="004D1FAE">
        <w:t xml:space="preserve"> change in the</w:t>
      </w:r>
      <w:r w:rsidRPr="004D1FAE">
        <w:t xml:space="preserve"> </w:t>
      </w:r>
      <w:r w:rsidR="00FD73D4" w:rsidRPr="004D1FAE">
        <w:t xml:space="preserve">term </w:t>
      </w:r>
      <w:r w:rsidRPr="004D1FAE">
        <w:t>of the licence.</w:t>
      </w:r>
    </w:p>
    <w:p w:rsidR="006E3CA3" w:rsidRPr="004D1FAE" w:rsidRDefault="003D314F" w:rsidP="006E3CA3">
      <w:pPr>
        <w:pStyle w:val="NumPlain1"/>
        <w:numPr>
          <w:ilvl w:val="0"/>
          <w:numId w:val="0"/>
        </w:numPr>
        <w:spacing w:before="0"/>
        <w:ind w:left="1564" w:hanging="782"/>
      </w:pPr>
      <w:r w:rsidRPr="004D1FAE">
        <w:t>Aus8.</w:t>
      </w:r>
      <w:r w:rsidR="006E3CA3" w:rsidRPr="004D1FAE">
        <w:t>5</w:t>
      </w:r>
      <w:r w:rsidRPr="004D1FAE">
        <w:tab/>
      </w:r>
      <w:r w:rsidR="00ED1EFE" w:rsidRPr="004D1FAE">
        <w:t>The election for short-term l</w:t>
      </w:r>
      <w:r w:rsidR="005704A4" w:rsidRPr="004D1FAE">
        <w:t>icences</w:t>
      </w:r>
      <w:r w:rsidR="00ED1EFE" w:rsidRPr="004D1FAE">
        <w:t xml:space="preserve"> </w:t>
      </w:r>
      <w:r w:rsidR="000119F7" w:rsidRPr="004D1FAE">
        <w:t xml:space="preserve">under paragraph Aus8.1 </w:t>
      </w:r>
      <w:r w:rsidR="00ED1EFE" w:rsidRPr="004D1FAE">
        <w:t xml:space="preserve">shall be made by class </w:t>
      </w:r>
      <w:r w:rsidR="005704A4" w:rsidRPr="004D1FAE">
        <w:t>of licence</w:t>
      </w:r>
      <w:r w:rsidR="00ED1EFE" w:rsidRPr="004D1FAE">
        <w:t xml:space="preserve">. A class of </w:t>
      </w:r>
      <w:r w:rsidR="005704A4" w:rsidRPr="004D1FAE">
        <w:t>licences</w:t>
      </w:r>
      <w:r w:rsidR="00ED1EFE" w:rsidRPr="004D1FAE">
        <w:t xml:space="preserve"> is a grouping of </w:t>
      </w:r>
      <w:r w:rsidR="005704A4" w:rsidRPr="004D1FAE">
        <w:t>licences</w:t>
      </w:r>
      <w:r w:rsidR="00ED1EFE" w:rsidRPr="004D1FAE">
        <w:t xml:space="preserve"> of a similar nature and</w:t>
      </w:r>
      <w:r w:rsidR="00920837" w:rsidRPr="004D1FAE">
        <w:t xml:space="preserve"> similar rights and obligations</w:t>
      </w:r>
      <w:r w:rsidR="006C2861" w:rsidRPr="004D1FAE">
        <w:t xml:space="preserve"> </w:t>
      </w:r>
      <w:r w:rsidR="00920837" w:rsidRPr="004D1FAE">
        <w:t xml:space="preserve">attached to </w:t>
      </w:r>
      <w:r w:rsidR="006C2861" w:rsidRPr="004D1FAE">
        <w:t xml:space="preserve">the </w:t>
      </w:r>
      <w:r w:rsidR="005D5F21" w:rsidRPr="004D1FAE">
        <w:t>licence</w:t>
      </w:r>
      <w:r w:rsidR="00ED1EFE" w:rsidRPr="004D1FAE">
        <w:t xml:space="preserve">. </w:t>
      </w:r>
      <w:r w:rsidR="00EC0906" w:rsidRPr="004D1FAE">
        <w:t xml:space="preserve"> </w:t>
      </w:r>
      <w:r w:rsidR="00ED1EFE" w:rsidRPr="004D1FAE">
        <w:t xml:space="preserve">The election for </w:t>
      </w:r>
      <w:r w:rsidR="005704A4" w:rsidRPr="004D1FAE">
        <w:t>licences</w:t>
      </w:r>
      <w:r w:rsidR="00ED1EFE" w:rsidRPr="004D1FAE">
        <w:t xml:space="preserve"> for which the </w:t>
      </w:r>
      <w:r w:rsidR="005704A4" w:rsidRPr="004D1FAE">
        <w:t>transaction price</w:t>
      </w:r>
      <w:r w:rsidR="00ED1EFE" w:rsidRPr="004D1FAE">
        <w:t xml:space="preserve"> is of low value can be made on a l</w:t>
      </w:r>
      <w:r w:rsidR="005704A4" w:rsidRPr="004D1FAE">
        <w:t>icence</w:t>
      </w:r>
      <w:r w:rsidR="00ED1EFE" w:rsidRPr="004D1FAE">
        <w:t>-by-l</w:t>
      </w:r>
      <w:r w:rsidR="005704A4" w:rsidRPr="004D1FAE">
        <w:t xml:space="preserve">icence </w:t>
      </w:r>
      <w:r w:rsidR="00ED1EFE" w:rsidRPr="004D1FAE">
        <w:t>basis.</w:t>
      </w:r>
    </w:p>
    <w:p w:rsidR="00717391" w:rsidRPr="004D1FAE" w:rsidRDefault="00717391" w:rsidP="006E3CA3">
      <w:pPr>
        <w:pStyle w:val="NumPlain1"/>
        <w:numPr>
          <w:ilvl w:val="0"/>
          <w:numId w:val="0"/>
        </w:numPr>
        <w:spacing w:before="0"/>
        <w:ind w:left="1564" w:hanging="782"/>
      </w:pPr>
      <w:r w:rsidRPr="004D1FAE">
        <w:t>Aus26.1</w:t>
      </w:r>
      <w:r w:rsidR="00637549" w:rsidRPr="004D1FAE">
        <w:tab/>
        <w:t>Notwithstanding paragraph 26(</w:t>
      </w:r>
      <w:proofErr w:type="spellStart"/>
      <w:r w:rsidR="00637549" w:rsidRPr="004D1FAE">
        <w:t>i</w:t>
      </w:r>
      <w:proofErr w:type="spellEnd"/>
      <w:r w:rsidR="00637549" w:rsidRPr="004D1FAE">
        <w:t xml:space="preserve">), a not-for-profit public sector </w:t>
      </w:r>
      <w:r w:rsidR="00130A31" w:rsidRPr="004D1FAE">
        <w:t>licensor s</w:t>
      </w:r>
      <w:r w:rsidR="00897F31" w:rsidRPr="004D1FAE">
        <w:t>hall refer to Appendix G</w:t>
      </w:r>
      <w:r w:rsidR="00130A31" w:rsidRPr="004D1FAE">
        <w:t xml:space="preserve"> for guidance on accounting for revenue from licences issued</w:t>
      </w:r>
      <w:r w:rsidR="00897F31" w:rsidRPr="004D1FAE">
        <w:t>.</w:t>
      </w:r>
    </w:p>
    <w:p w:rsidR="003B31CC" w:rsidRPr="004D1FAE" w:rsidRDefault="003B31CC" w:rsidP="00CE5295">
      <w:pPr>
        <w:pStyle w:val="NumPlain1"/>
        <w:tabs>
          <w:tab w:val="clear" w:pos="510"/>
          <w:tab w:val="num" w:pos="851"/>
        </w:tabs>
        <w:jc w:val="left"/>
      </w:pPr>
      <w:r w:rsidRPr="004D1FAE">
        <w:t>Appendix A</w:t>
      </w:r>
      <w:r w:rsidR="00920837" w:rsidRPr="004D1FAE">
        <w:t>.1</w:t>
      </w:r>
      <w:r w:rsidR="00CE5295" w:rsidRPr="004D1FAE">
        <w:t xml:space="preserve"> </w:t>
      </w:r>
      <w:r w:rsidR="00CE5295" w:rsidRPr="004D1FAE">
        <w:rPr>
          <w:i/>
        </w:rPr>
        <w:t>Australian Defined Terms</w:t>
      </w:r>
      <w:r w:rsidRPr="004D1FAE">
        <w:t xml:space="preserve"> is </w:t>
      </w:r>
      <w:r w:rsidR="00920837" w:rsidRPr="004D1FAE">
        <w:t xml:space="preserve">added as set out on page </w:t>
      </w:r>
      <w:r w:rsidR="00015E93" w:rsidRPr="004D1FAE">
        <w:t>7</w:t>
      </w:r>
      <w:r w:rsidR="00920837" w:rsidRPr="004D1FAE">
        <w:t xml:space="preserve"> of this Standard.</w:t>
      </w:r>
    </w:p>
    <w:p w:rsidR="000A751E" w:rsidRPr="004D1FAE" w:rsidRDefault="000A751E" w:rsidP="000A751E">
      <w:pPr>
        <w:pStyle w:val="NumPlain1"/>
        <w:tabs>
          <w:tab w:val="clear" w:pos="510"/>
          <w:tab w:val="num" w:pos="851"/>
        </w:tabs>
        <w:jc w:val="left"/>
      </w:pPr>
      <w:r w:rsidRPr="004D1FAE">
        <w:t xml:space="preserve">Appendix G </w:t>
      </w:r>
      <w:r w:rsidRPr="004D1FAE">
        <w:rPr>
          <w:i/>
        </w:rPr>
        <w:t>Australian implementation guidance for not-for-profit public sector licensors</w:t>
      </w:r>
      <w:r w:rsidRPr="004D1FAE">
        <w:t xml:space="preserve"> is added as set out on pages </w:t>
      </w:r>
      <w:r w:rsidR="00DE5A94" w:rsidRPr="004D1FAE">
        <w:t>8</w:t>
      </w:r>
      <w:r w:rsidR="0031033C">
        <w:t>–</w:t>
      </w:r>
      <w:r w:rsidR="00DE5A94" w:rsidRPr="004D1FAE">
        <w:t>12</w:t>
      </w:r>
      <w:r w:rsidR="00C640B3" w:rsidRPr="004D1FAE">
        <w:t xml:space="preserve"> of this Standard</w:t>
      </w:r>
      <w:r w:rsidRPr="004D1FAE">
        <w:t>.</w:t>
      </w:r>
    </w:p>
    <w:p w:rsidR="00D138D0" w:rsidRPr="004D1FAE" w:rsidRDefault="00B46833" w:rsidP="001116A1">
      <w:pPr>
        <w:pStyle w:val="NumPlain1"/>
        <w:tabs>
          <w:tab w:val="clear" w:pos="510"/>
          <w:tab w:val="num" w:pos="851"/>
        </w:tabs>
        <w:spacing w:before="0"/>
      </w:pPr>
      <w:r w:rsidRPr="004D1FAE">
        <w:rPr>
          <w:i/>
        </w:rPr>
        <w:t xml:space="preserve">Australian illustrative examples for not-for-profit </w:t>
      </w:r>
      <w:r w:rsidR="00E72593" w:rsidRPr="004D1FAE">
        <w:rPr>
          <w:i/>
        </w:rPr>
        <w:t xml:space="preserve">public sector </w:t>
      </w:r>
      <w:r w:rsidRPr="004D1FAE">
        <w:rPr>
          <w:i/>
        </w:rPr>
        <w:t xml:space="preserve">licensors </w:t>
      </w:r>
      <w:r w:rsidRPr="004D1FAE">
        <w:t xml:space="preserve">is attached to accompany </w:t>
      </w:r>
      <w:r w:rsidR="00291416" w:rsidRPr="004D1FAE">
        <w:t>AASB </w:t>
      </w:r>
      <w:r w:rsidRPr="004D1FAE">
        <w:t xml:space="preserve">15 as set out on pages </w:t>
      </w:r>
      <w:r w:rsidR="00DE5A94" w:rsidRPr="004D1FAE">
        <w:t>13</w:t>
      </w:r>
      <w:r w:rsidR="0031033C">
        <w:t>–</w:t>
      </w:r>
      <w:r w:rsidR="003C15D3">
        <w:t>15</w:t>
      </w:r>
      <w:r w:rsidR="003C15D3" w:rsidRPr="004D1FAE">
        <w:t xml:space="preserve"> </w:t>
      </w:r>
      <w:r w:rsidR="00C640B3" w:rsidRPr="004D1FAE">
        <w:t>of this Standard</w:t>
      </w:r>
      <w:r w:rsidRPr="004D1FAE">
        <w:t xml:space="preserve">. </w:t>
      </w:r>
    </w:p>
    <w:p w:rsidR="00486CA7" w:rsidRPr="004D1FAE" w:rsidRDefault="00486CA7" w:rsidP="005D0061">
      <w:pPr>
        <w:pStyle w:val="IASBSectionTitle1NonInd"/>
        <w:outlineLvl w:val="2"/>
      </w:pPr>
      <w:r w:rsidRPr="004D1FAE">
        <w:t xml:space="preserve">Amendments to </w:t>
      </w:r>
      <w:r w:rsidR="00291416" w:rsidRPr="004D1FAE">
        <w:t>AASB </w:t>
      </w:r>
      <w:r w:rsidRPr="004D1FAE">
        <w:t>16</w:t>
      </w:r>
    </w:p>
    <w:p w:rsidR="00486CA7" w:rsidRPr="004D1FAE" w:rsidRDefault="00486CA7" w:rsidP="00486CA7">
      <w:pPr>
        <w:pStyle w:val="NumPlain1"/>
        <w:tabs>
          <w:tab w:val="clear" w:pos="510"/>
          <w:tab w:val="num" w:pos="851"/>
        </w:tabs>
        <w:spacing w:before="0"/>
      </w:pPr>
      <w:r w:rsidRPr="004D1FAE">
        <w:t>Paragraph Aus</w:t>
      </w:r>
      <w:r w:rsidR="001F30CA" w:rsidRPr="004D1FAE">
        <w:t>3</w:t>
      </w:r>
      <w:r w:rsidRPr="004D1FAE">
        <w:t>.</w:t>
      </w:r>
      <w:r w:rsidR="001F30CA" w:rsidRPr="004D1FAE">
        <w:t>1</w:t>
      </w:r>
      <w:r w:rsidRPr="004D1FAE">
        <w:t xml:space="preserve"> is added:</w:t>
      </w:r>
    </w:p>
    <w:p w:rsidR="00ED4554" w:rsidRPr="004D1FAE" w:rsidRDefault="00486CA7" w:rsidP="00486CA7">
      <w:pPr>
        <w:pStyle w:val="SubNumPlain1"/>
        <w:ind w:left="1564" w:hanging="782"/>
      </w:pPr>
      <w:r w:rsidRPr="004D1FAE">
        <w:t>Aus</w:t>
      </w:r>
      <w:r w:rsidR="00ED4554" w:rsidRPr="004D1FAE">
        <w:t>3</w:t>
      </w:r>
      <w:r w:rsidRPr="004D1FAE">
        <w:t>.</w:t>
      </w:r>
      <w:r w:rsidR="00ED4554" w:rsidRPr="004D1FAE">
        <w:t>1</w:t>
      </w:r>
      <w:r w:rsidRPr="004D1FAE">
        <w:tab/>
        <w:t xml:space="preserve">Notwithstanding paragraph </w:t>
      </w:r>
      <w:r w:rsidR="001F30CA" w:rsidRPr="004D1FAE">
        <w:t>3</w:t>
      </w:r>
      <w:r w:rsidRPr="004D1FAE">
        <w:t xml:space="preserve">, in respect of not-for-profit public sector </w:t>
      </w:r>
      <w:r w:rsidR="00A82DD0" w:rsidRPr="004D1FAE">
        <w:t>licensors</w:t>
      </w:r>
      <w:r w:rsidRPr="004D1FAE">
        <w:t xml:space="preserve">, this Standard </w:t>
      </w:r>
      <w:r w:rsidR="00FD73D4" w:rsidRPr="004D1FAE">
        <w:t xml:space="preserve">also </w:t>
      </w:r>
      <w:r w:rsidR="00ED4554" w:rsidRPr="004D1FAE">
        <w:t xml:space="preserve">applies to licences </w:t>
      </w:r>
      <w:r w:rsidR="00405A5B" w:rsidRPr="004D1FAE">
        <w:t>that are in substance leases or contain leases</w:t>
      </w:r>
      <w:r w:rsidR="00ED4554" w:rsidRPr="004D1FAE">
        <w:t xml:space="preserve">, excluding licences of intellectual property. </w:t>
      </w:r>
      <w:r w:rsidR="00291416" w:rsidRPr="004D1FAE">
        <w:t>AASB </w:t>
      </w:r>
      <w:r w:rsidR="00ED4554" w:rsidRPr="004D1FAE">
        <w:t>15 applies to licences of intellectual property</w:t>
      </w:r>
      <w:r w:rsidR="009D4E4C" w:rsidRPr="004D1FAE">
        <w:t xml:space="preserve">. </w:t>
      </w:r>
      <w:r w:rsidR="00EC0906" w:rsidRPr="004D1FAE">
        <w:t xml:space="preserve"> </w:t>
      </w:r>
      <w:r w:rsidR="009D4E4C" w:rsidRPr="004D1FAE">
        <w:t>AASB 15</w:t>
      </w:r>
      <w:r w:rsidR="00F1719A" w:rsidRPr="004D1FAE">
        <w:t xml:space="preserve"> also applies to</w:t>
      </w:r>
      <w:r w:rsidR="00ED4554" w:rsidRPr="004D1FAE">
        <w:t xml:space="preserve"> </w:t>
      </w:r>
      <w:r w:rsidR="00E17C2D" w:rsidRPr="004D1FAE">
        <w:t xml:space="preserve">licences of </w:t>
      </w:r>
      <w:r w:rsidR="00405A5B" w:rsidRPr="004D1FAE">
        <w:t>non-intellectual property that</w:t>
      </w:r>
      <w:r w:rsidR="007E7325" w:rsidRPr="004D1FAE">
        <w:t>, in substance,</w:t>
      </w:r>
      <w:r w:rsidR="00405A5B" w:rsidRPr="004D1FAE">
        <w:t xml:space="preserve"> are not leases or </w:t>
      </w:r>
      <w:r w:rsidR="00475510" w:rsidRPr="004D1FAE">
        <w:t xml:space="preserve">do not </w:t>
      </w:r>
      <w:r w:rsidR="00405A5B" w:rsidRPr="004D1FAE">
        <w:t>contain leases</w:t>
      </w:r>
      <w:r w:rsidR="00ED4554" w:rsidRPr="004D1FAE">
        <w:t>.</w:t>
      </w:r>
    </w:p>
    <w:p w:rsidR="00BA5A1C" w:rsidRPr="004D1FAE" w:rsidRDefault="00BA5A1C" w:rsidP="005D0061">
      <w:pPr>
        <w:pStyle w:val="IASBSectionTitle1NonInd"/>
        <w:outlineLvl w:val="2"/>
      </w:pPr>
      <w:r w:rsidRPr="004D1FAE">
        <w:t>Commencement of the legislative instrument</w:t>
      </w:r>
    </w:p>
    <w:p w:rsidR="00BA5A1C" w:rsidRPr="00766E15" w:rsidRDefault="00BA5A1C" w:rsidP="00124FCF">
      <w:pPr>
        <w:pStyle w:val="NumPlain1"/>
        <w:tabs>
          <w:tab w:val="clear" w:pos="510"/>
          <w:tab w:val="num" w:pos="851"/>
        </w:tabs>
        <w:spacing w:before="0"/>
        <w:sectPr w:rsidR="00BA5A1C" w:rsidRPr="00766E15" w:rsidSect="00DE3C1B">
          <w:footerReference w:type="default" r:id="rId21"/>
          <w:type w:val="continuous"/>
          <w:pgSz w:w="11907" w:h="16840" w:code="9"/>
          <w:pgMar w:top="1418" w:right="1418" w:bottom="1418" w:left="1418" w:header="709" w:footer="709" w:gutter="0"/>
          <w:paperSrc w:first="7" w:other="7"/>
          <w:cols w:space="720"/>
          <w:docGrid w:linePitch="65"/>
        </w:sectPr>
      </w:pPr>
      <w:r w:rsidRPr="004D1FAE">
        <w:t xml:space="preserve">For legal purposes, this legislative instrument commences on </w:t>
      </w:r>
      <w:r w:rsidR="00035279" w:rsidRPr="004D1FAE">
        <w:t>31 December 2018.</w:t>
      </w:r>
      <w:r w:rsidR="00124FCF">
        <w:t xml:space="preserve"> </w:t>
      </w:r>
    </w:p>
    <w:p w:rsidR="00920837" w:rsidRDefault="00920837" w:rsidP="005D0061">
      <w:pPr>
        <w:pStyle w:val="ConvSectionTitle"/>
        <w:outlineLvl w:val="1"/>
      </w:pPr>
      <w:bookmarkStart w:id="11" w:name="_Toc161671471"/>
      <w:r w:rsidRPr="00011EC4">
        <w:t xml:space="preserve">Appendix </w:t>
      </w:r>
      <w:r w:rsidR="00CE5295">
        <w:t>A.1</w:t>
      </w:r>
      <w:r w:rsidRPr="00011EC4">
        <w:t xml:space="preserve"> [FOR </w:t>
      </w:r>
      <w:r>
        <w:t>AASB </w:t>
      </w:r>
      <w:r w:rsidRPr="00011EC4">
        <w:t>15</w:t>
      </w:r>
      <w:proofErr w:type="gramStart"/>
      <w:r w:rsidRPr="00011EC4">
        <w:t>]</w:t>
      </w:r>
      <w:proofErr w:type="gramEnd"/>
      <w:r w:rsidRPr="00011EC4">
        <w:br/>
      </w:r>
      <w:r w:rsidR="00CE5295">
        <w:t>Australian Defined Terms</w:t>
      </w:r>
    </w:p>
    <w:p w:rsidR="00CE5295" w:rsidRDefault="00CE5295" w:rsidP="00CE5295">
      <w:pPr>
        <w:pStyle w:val="AppendixNote"/>
      </w:pPr>
      <w:r w:rsidRPr="00766E15">
        <w:t xml:space="preserve">This appendix is an integral part of </w:t>
      </w:r>
      <w:r>
        <w:t>AASB </w:t>
      </w:r>
      <w:r w:rsidRPr="00766E15">
        <w:t xml:space="preserve">15.  The appendix applies only to not-for-profit public sector </w:t>
      </w:r>
      <w:r>
        <w:t>licensors</w:t>
      </w:r>
      <w:r w:rsidRPr="00766E15">
        <w:t>.</w:t>
      </w:r>
    </w:p>
    <w:p w:rsidR="00CE5295" w:rsidRPr="00CE5295" w:rsidRDefault="00CE5295" w:rsidP="005D0061">
      <w:pPr>
        <w:pStyle w:val="ConvSectionTitle"/>
        <w:outlineLvl w:val="9"/>
        <w:rPr>
          <w:rFonts w:ascii="Times New Roman" w:hAnsi="Times New Roman" w:cs="Times New Roman"/>
          <w:b w:val="0"/>
          <w:sz w:val="19"/>
        </w:rPr>
      </w:pPr>
      <w:proofErr w:type="gramStart"/>
      <w:r w:rsidRPr="00CE5295">
        <w:rPr>
          <w:rFonts w:ascii="Times New Roman" w:hAnsi="Times New Roman" w:cs="Times New Roman"/>
          <w:sz w:val="19"/>
        </w:rPr>
        <w:t>short-term</w:t>
      </w:r>
      <w:proofErr w:type="gramEnd"/>
      <w:r w:rsidRPr="00CE5295">
        <w:rPr>
          <w:rFonts w:ascii="Times New Roman" w:hAnsi="Times New Roman" w:cs="Times New Roman"/>
          <w:sz w:val="19"/>
        </w:rPr>
        <w:t xml:space="preserve"> licence</w:t>
      </w:r>
      <w:r>
        <w:t xml:space="preserve"> </w:t>
      </w:r>
      <w:r>
        <w:tab/>
      </w:r>
      <w:r>
        <w:tab/>
      </w:r>
      <w:r w:rsidRPr="00CE5295">
        <w:rPr>
          <w:rFonts w:ascii="Times New Roman" w:hAnsi="Times New Roman" w:cs="Times New Roman"/>
          <w:b w:val="0"/>
          <w:sz w:val="19"/>
        </w:rPr>
        <w:t>A licence that has a term of 12 months or less.</w:t>
      </w:r>
    </w:p>
    <w:p w:rsidR="00920837" w:rsidRDefault="00920837">
      <w:pPr>
        <w:jc w:val="left"/>
        <w:rPr>
          <w:rFonts w:ascii="Arial" w:hAnsi="Arial" w:cs="Arial"/>
          <w:b/>
          <w:sz w:val="26"/>
        </w:rPr>
      </w:pPr>
      <w:r>
        <w:br w:type="page"/>
      </w:r>
    </w:p>
    <w:p w:rsidR="00BA5A1C" w:rsidRPr="00011EC4" w:rsidRDefault="00BA5A1C" w:rsidP="005D0061">
      <w:pPr>
        <w:pStyle w:val="ConvSectionTitle"/>
        <w:outlineLvl w:val="1"/>
      </w:pPr>
      <w:r w:rsidRPr="00011EC4">
        <w:t xml:space="preserve">Appendix </w:t>
      </w:r>
      <w:r w:rsidR="00063C04" w:rsidRPr="00011EC4">
        <w:t>G</w:t>
      </w:r>
      <w:r w:rsidR="00941CDB" w:rsidRPr="00011EC4">
        <w:t xml:space="preserve"> [FOR </w:t>
      </w:r>
      <w:r w:rsidR="00291416">
        <w:t>AASB </w:t>
      </w:r>
      <w:r w:rsidR="00941CDB" w:rsidRPr="00011EC4">
        <w:t>15</w:t>
      </w:r>
      <w:proofErr w:type="gramStart"/>
      <w:r w:rsidR="00941CDB" w:rsidRPr="00011EC4">
        <w:t>]</w:t>
      </w:r>
      <w:proofErr w:type="gramEnd"/>
      <w:r w:rsidRPr="00011EC4">
        <w:br/>
        <w:t xml:space="preserve">Australian implementation guidance for not-for-profit </w:t>
      </w:r>
      <w:r w:rsidR="00941CDB" w:rsidRPr="00011EC4">
        <w:t xml:space="preserve">public sector </w:t>
      </w:r>
      <w:r w:rsidR="00063C04" w:rsidRPr="00011EC4">
        <w:t>licensors</w:t>
      </w:r>
    </w:p>
    <w:bookmarkEnd w:id="11"/>
    <w:p w:rsidR="00BA5A1C" w:rsidRDefault="00BA5A1C" w:rsidP="00BA5A1C">
      <w:pPr>
        <w:pStyle w:val="AppendixNote"/>
      </w:pPr>
      <w:r w:rsidRPr="00766E15">
        <w:t xml:space="preserve">This appendix is an integral part of </w:t>
      </w:r>
      <w:r w:rsidR="00291416">
        <w:t>AASB </w:t>
      </w:r>
      <w:r w:rsidRPr="00766E15">
        <w:t xml:space="preserve">15 and has the same authority as other parts of the Standard.  The appendix applies only to not-for-profit </w:t>
      </w:r>
      <w:r w:rsidR="00941CDB" w:rsidRPr="00766E15">
        <w:t xml:space="preserve">public sector </w:t>
      </w:r>
      <w:r w:rsidR="00A82DD0">
        <w:t>licensors</w:t>
      </w:r>
      <w:r w:rsidRPr="00766E15">
        <w:t>.</w:t>
      </w:r>
    </w:p>
    <w:p w:rsidR="00393890" w:rsidRPr="0002029D" w:rsidRDefault="00C65AB9" w:rsidP="005D0061">
      <w:pPr>
        <w:pStyle w:val="IASBSectionTitle1NonInd"/>
        <w:outlineLvl w:val="2"/>
      </w:pPr>
      <w:r w:rsidRPr="0002029D">
        <w:t xml:space="preserve">Overview </w:t>
      </w:r>
      <w:r w:rsidR="00C70495" w:rsidRPr="0002029D">
        <w:t>–</w:t>
      </w:r>
      <w:r w:rsidRPr="0002029D">
        <w:t xml:space="preserve"> </w:t>
      </w:r>
      <w:r w:rsidR="00393890" w:rsidRPr="0002029D">
        <w:t>Accounting framework for licences issued by not-for-profit public sector licensors</w:t>
      </w:r>
    </w:p>
    <w:p w:rsidR="00393890" w:rsidRPr="008E4E60" w:rsidRDefault="00124FCF" w:rsidP="008E4E60">
      <w:pPr>
        <w:pStyle w:val="NumBPlain1"/>
        <w:numPr>
          <w:ilvl w:val="0"/>
          <w:numId w:val="10"/>
        </w:numPr>
      </w:pPr>
      <w:r w:rsidRPr="00614CB4">
        <w:rPr>
          <w:noProof/>
          <w:lang w:eastAsia="en-AU"/>
        </w:rPr>
        <mc:AlternateContent>
          <mc:Choice Requires="wpg">
            <w:drawing>
              <wp:anchor distT="0" distB="0" distL="114300" distR="114300" simplePos="0" relativeHeight="251659264" behindDoc="0" locked="0" layoutInCell="1" allowOverlap="1" wp14:anchorId="3327BB8B" wp14:editId="1652982B">
                <wp:simplePos x="0" y="0"/>
                <wp:positionH relativeFrom="column">
                  <wp:posOffset>-1933</wp:posOffset>
                </wp:positionH>
                <wp:positionV relativeFrom="paragraph">
                  <wp:posOffset>562776</wp:posOffset>
                </wp:positionV>
                <wp:extent cx="5753100" cy="6475095"/>
                <wp:effectExtent l="0" t="0" r="19050" b="20955"/>
                <wp:wrapNone/>
                <wp:docPr id="222" name="Group 189" descr="applying the framework for NFP public sector licensors" title="Flow chart"/>
                <wp:cNvGraphicFramePr/>
                <a:graphic xmlns:a="http://schemas.openxmlformats.org/drawingml/2006/main">
                  <a:graphicData uri="http://schemas.microsoft.com/office/word/2010/wordprocessingGroup">
                    <wpg:wgp>
                      <wpg:cNvGrpSpPr/>
                      <wpg:grpSpPr>
                        <a:xfrm>
                          <a:off x="0" y="0"/>
                          <a:ext cx="5753100" cy="6475095"/>
                          <a:chOff x="0" y="0"/>
                          <a:chExt cx="5753101" cy="6475454"/>
                        </a:xfrm>
                      </wpg:grpSpPr>
                      <wps:wsp>
                        <wps:cNvPr id="223" name="Straight Arrow Connector 223"/>
                        <wps:cNvCnPr>
                          <a:stCxn id="225" idx="2"/>
                          <a:endCxn id="228" idx="0"/>
                        </wps:cNvCnPr>
                        <wps:spPr>
                          <a:xfrm>
                            <a:off x="1712653" y="2811376"/>
                            <a:ext cx="25" cy="307464"/>
                          </a:xfrm>
                          <a:prstGeom prst="straightConnector1">
                            <a:avLst/>
                          </a:prstGeom>
                          <a:noFill/>
                          <a:ln w="6350" cap="flat" cmpd="sng" algn="ctr">
                            <a:solidFill>
                              <a:sysClr val="windowText" lastClr="000000"/>
                            </a:solidFill>
                            <a:prstDash val="solid"/>
                            <a:miter lim="800000"/>
                            <a:tailEnd type="arrow"/>
                          </a:ln>
                          <a:effectLst/>
                        </wps:spPr>
                        <wps:bodyPr/>
                      </wps:wsp>
                      <wps:wsp>
                        <wps:cNvPr id="224" name="TextBox 10" descr="Table" title="Table"/>
                        <wps:cNvSpPr txBox="1"/>
                        <wps:spPr>
                          <a:xfrm>
                            <a:off x="2" y="0"/>
                            <a:ext cx="3423054" cy="1066620"/>
                          </a:xfrm>
                          <a:prstGeom prst="rect">
                            <a:avLst/>
                          </a:prstGeom>
                          <a:noFill/>
                          <a:ln>
                            <a:solidFill>
                              <a:sysClr val="windowText" lastClr="000000"/>
                            </a:solidFill>
                          </a:ln>
                        </wps:spPr>
                        <wps:txbx>
                          <w:txbxContent>
                            <w:p w:rsidR="0004186A" w:rsidRPr="00124FCF" w:rsidRDefault="0004186A" w:rsidP="00614CB4">
                              <w:pPr>
                                <w:pStyle w:val="NormalWeb"/>
                                <w:spacing w:after="0"/>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G3</w:t>
                              </w:r>
                              <w:r w:rsidRPr="00124FCF">
                                <w:rPr>
                                  <w:rFonts w:cstheme="minorBidi"/>
                                  <w:color w:val="000000"/>
                                  <w:kern w:val="24"/>
                                  <w:sz w:val="19"/>
                                  <w:szCs w:val="19"/>
                                </w:rPr>
                                <w:t>–</w:t>
                              </w:r>
                              <w:r>
                                <w:rPr>
                                  <w:rFonts w:cstheme="minorBidi"/>
                                  <w:color w:val="000000"/>
                                  <w:kern w:val="24"/>
                                  <w:sz w:val="19"/>
                                  <w:szCs w:val="19"/>
                                </w:rPr>
                                <w:t>G7)</w:t>
                              </w:r>
                            </w:p>
                            <w:p w:rsidR="0004186A" w:rsidRPr="00124FCF" w:rsidRDefault="0004186A" w:rsidP="00614CB4">
                              <w:pPr>
                                <w:pStyle w:val="NormalWeb"/>
                                <w:spacing w:after="0"/>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wps:txbx>
                        <wps:bodyPr wrap="square" rtlCol="0">
                          <a:noAutofit/>
                        </wps:bodyPr>
                      </wps:wsp>
                      <wps:wsp>
                        <wps:cNvPr id="225" name="TextBox 40" descr="Table" title="Table"/>
                        <wps:cNvSpPr txBox="1"/>
                        <wps:spPr>
                          <a:xfrm>
                            <a:off x="0" y="1985210"/>
                            <a:ext cx="3425306" cy="826166"/>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rPr>
                                <w:t xml:space="preserve">Is it an IP licence? </w:t>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G12</w:t>
                              </w:r>
                              <w:r w:rsidRPr="0031033C">
                                <w:rPr>
                                  <w:rFonts w:cstheme="minorBidi"/>
                                  <w:color w:val="000000"/>
                                  <w:kern w:val="24"/>
                                  <w:sz w:val="19"/>
                                  <w:szCs w:val="19"/>
                                </w:rPr>
                                <w:t>–</w:t>
                              </w:r>
                              <w:r>
                                <w:rPr>
                                  <w:rFonts w:cstheme="minorBidi"/>
                                  <w:color w:val="000000"/>
                                  <w:kern w:val="24"/>
                                  <w:sz w:val="19"/>
                                  <w:szCs w:val="19"/>
                                </w:rPr>
                                <w:t>G14)</w:t>
                              </w:r>
                            </w:p>
                            <w:p w:rsidR="0004186A" w:rsidRDefault="0004186A" w:rsidP="00614CB4">
                              <w:pPr>
                                <w:pStyle w:val="NormalWeb"/>
                                <w:spacing w:after="0"/>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rsidR="0004186A" w:rsidRDefault="0004186A" w:rsidP="00614CB4">
                              <w:pPr>
                                <w:pStyle w:val="NormalWeb"/>
                                <w:spacing w:after="0"/>
                                <w:jc w:val="center"/>
                              </w:pPr>
                              <w:r>
                                <w:rPr>
                                  <w:rFonts w:cstheme="minorBidi"/>
                                  <w:color w:val="000000" w:themeColor="text1"/>
                                  <w:kern w:val="24"/>
                                </w:rPr>
                                <w:t> </w:t>
                              </w:r>
                            </w:p>
                          </w:txbxContent>
                        </wps:txbx>
                        <wps:bodyPr wrap="square" rtlCol="0">
                          <a:noAutofit/>
                        </wps:bodyPr>
                      </wps:wsp>
                      <wps:wsp>
                        <wps:cNvPr id="226" name="TextBox 14" descr="Table" title="Table"/>
                        <wps:cNvSpPr txBox="1"/>
                        <wps:spPr>
                          <a:xfrm>
                            <a:off x="6726" y="1346507"/>
                            <a:ext cx="3411855" cy="411041"/>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G22</w:t>
                              </w:r>
                              <w:r w:rsidRPr="00124FCF">
                                <w:rPr>
                                  <w:rFonts w:cstheme="minorBidi"/>
                                  <w:color w:val="000000"/>
                                  <w:kern w:val="24"/>
                                  <w:sz w:val="19"/>
                                  <w:szCs w:val="19"/>
                                </w:rPr>
                                <w:t>–</w:t>
                              </w:r>
                              <w:r>
                                <w:rPr>
                                  <w:rFonts w:cstheme="minorBidi"/>
                                  <w:color w:val="000000"/>
                                  <w:kern w:val="24"/>
                                  <w:sz w:val="19"/>
                                  <w:szCs w:val="19"/>
                                </w:rPr>
                                <w:t>G27)</w:t>
                              </w:r>
                            </w:p>
                            <w:p w:rsidR="0004186A" w:rsidRDefault="0004186A" w:rsidP="00614CB4">
                              <w:pPr>
                                <w:pStyle w:val="NormalWeb"/>
                                <w:spacing w:after="0"/>
                                <w:jc w:val="center"/>
                              </w:pPr>
                              <w:r>
                                <w:rPr>
                                  <w:rFonts w:cstheme="minorBidi"/>
                                  <w:color w:val="000000" w:themeColor="text1"/>
                                  <w:kern w:val="24"/>
                                </w:rPr>
                                <w:t> </w:t>
                              </w:r>
                            </w:p>
                          </w:txbxContent>
                        </wps:txbx>
                        <wps:bodyPr wrap="square" rtlCol="0">
                          <a:noAutofit/>
                        </wps:bodyPr>
                      </wps:wsp>
                      <wps:wsp>
                        <wps:cNvPr id="227" name="TextBox 29" descr="Table" title="Table"/>
                        <wps:cNvSpPr txBox="1"/>
                        <wps:spPr>
                          <a:xfrm>
                            <a:off x="6724" y="4335150"/>
                            <a:ext cx="3411856" cy="522880"/>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wps:txbx>
                        <wps:bodyPr wrap="square" rtlCol="0">
                          <a:noAutofit/>
                        </wps:bodyPr>
                      </wps:wsp>
                      <wps:wsp>
                        <wps:cNvPr id="228" name="TextBox 30" descr="Table" title="Table"/>
                        <wps:cNvSpPr txBox="1"/>
                        <wps:spPr>
                          <a:xfrm>
                            <a:off x="6774" y="3118840"/>
                            <a:ext cx="3411807" cy="229870"/>
                          </a:xfrm>
                          <a:prstGeom prst="rect">
                            <a:avLst/>
                          </a:prstGeom>
                          <a:solidFill>
                            <a:sysClr val="window" lastClr="FFFFFF">
                              <a:lumMod val="95000"/>
                            </a:sysClr>
                          </a:solid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u w:val="single"/>
                                </w:rPr>
                                <w:t>It is a non-IP licence</w:t>
                              </w:r>
                            </w:p>
                          </w:txbxContent>
                        </wps:txbx>
                        <wps:bodyPr wrap="square" rtlCol="0">
                          <a:noAutofit/>
                        </wps:bodyPr>
                      </wps:wsp>
                      <wps:wsp>
                        <wps:cNvPr id="229" name="TextBox 37" descr="Table" title="Table"/>
                        <wps:cNvSpPr txBox="1"/>
                        <wps:spPr>
                          <a:xfrm>
                            <a:off x="6724" y="5949417"/>
                            <a:ext cx="3411856" cy="526037"/>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wps:txbx>
                        <wps:bodyPr wrap="square" rtlCol="0">
                          <a:noAutofit/>
                        </wps:bodyPr>
                      </wps:wsp>
                      <wps:wsp>
                        <wps:cNvPr id="230" name="TextBox 11" descr="Table" title="Table"/>
                        <wps:cNvSpPr txBox="1"/>
                        <wps:spPr>
                          <a:xfrm>
                            <a:off x="3861624" y="278300"/>
                            <a:ext cx="1835785" cy="507365"/>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treatment</w:t>
                              </w:r>
                            </w:p>
                          </w:txbxContent>
                        </wps:txbx>
                        <wps:bodyPr wrap="square" rtlCol="0">
                          <a:spAutoFit/>
                        </wps:bodyPr>
                      </wps:wsp>
                      <wps:wsp>
                        <wps:cNvPr id="231" name="TextBox 24" descr="Table" title="Table"/>
                        <wps:cNvSpPr txBox="1"/>
                        <wps:spPr>
                          <a:xfrm>
                            <a:off x="3833169" y="2134920"/>
                            <a:ext cx="1835785" cy="522211"/>
                          </a:xfrm>
                          <a:prstGeom prst="rect">
                            <a:avLst/>
                          </a:prstGeom>
                          <a:solidFill>
                            <a:sysClr val="window" lastClr="FFFFFF">
                              <a:lumMod val="95000"/>
                            </a:sysClr>
                          </a:solidFill>
                          <a:ln>
                            <a:solidFill>
                              <a:sysClr val="windowText" lastClr="000000"/>
                            </a:solidFill>
                          </a:ln>
                        </wps:spPr>
                        <wps:txbx>
                          <w:txbxContent>
                            <w:p w:rsidR="0004186A" w:rsidRPr="00124FCF" w:rsidRDefault="0004186A" w:rsidP="00614CB4">
                              <w:pPr>
                                <w:pStyle w:val="NormalWeb"/>
                                <w:spacing w:after="0"/>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for accounting treatment</w:t>
                              </w:r>
                            </w:p>
                            <w:p w:rsidR="0004186A" w:rsidRDefault="0004186A" w:rsidP="00614CB4">
                              <w:pPr>
                                <w:pStyle w:val="NormalWeb"/>
                                <w:spacing w:after="0"/>
                                <w:jc w:val="both"/>
                              </w:pPr>
                              <w:r>
                                <w:rPr>
                                  <w:rFonts w:cstheme="minorBidi"/>
                                  <w:color w:val="000000" w:themeColor="text1"/>
                                  <w:kern w:val="24"/>
                                  <w:sz w:val="19"/>
                                  <w:szCs w:val="19"/>
                                </w:rPr>
                                <w:t> </w:t>
                              </w:r>
                            </w:p>
                          </w:txbxContent>
                        </wps:txbx>
                        <wps:bodyPr wrap="square" rtlCol="0">
                          <a:noAutofit/>
                        </wps:bodyPr>
                      </wps:wsp>
                      <wps:wsp>
                        <wps:cNvPr id="232" name="TextBox 26" descr="Table" title="Table"/>
                        <wps:cNvSpPr txBox="1"/>
                        <wps:spPr>
                          <a:xfrm>
                            <a:off x="3916430" y="3647150"/>
                            <a:ext cx="1835785" cy="370889"/>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for accounting treatment</w:t>
                              </w:r>
                            </w:p>
                          </w:txbxContent>
                        </wps:txbx>
                        <wps:bodyPr wrap="square" rtlCol="0">
                          <a:noAutofit/>
                        </wps:bodyPr>
                      </wps:wsp>
                      <wps:wsp>
                        <wps:cNvPr id="233" name="TextBox 34" descr="Table" title="Table"/>
                        <wps:cNvSpPr txBox="1"/>
                        <wps:spPr>
                          <a:xfrm>
                            <a:off x="3916430" y="5159872"/>
                            <a:ext cx="1835785" cy="507365"/>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wps:txbx>
                        <wps:bodyPr wrap="square" rtlCol="0">
                          <a:spAutoFit/>
                        </wps:bodyPr>
                      </wps:wsp>
                      <wps:wsp>
                        <wps:cNvPr id="234" name="TextBox 43" descr="Table" title="Table"/>
                        <wps:cNvSpPr txBox="1"/>
                        <wps:spPr>
                          <a:xfrm>
                            <a:off x="3850976" y="1284587"/>
                            <a:ext cx="1835785" cy="533362"/>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wps:txbx>
                        <wps:bodyPr wrap="square" rtlCol="0">
                          <a:noAutofit/>
                        </wps:bodyPr>
                      </wps:wsp>
                      <wps:wsp>
                        <wps:cNvPr id="235" name="Straight Arrow Connector 235" descr="Table" title="Table"/>
                        <wps:cNvCnPr>
                          <a:stCxn id="226" idx="2"/>
                          <a:endCxn id="225" idx="0"/>
                        </wps:cNvCnPr>
                        <wps:spPr>
                          <a:xfrm>
                            <a:off x="1712653" y="1757548"/>
                            <a:ext cx="0" cy="227662"/>
                          </a:xfrm>
                          <a:prstGeom prst="straightConnector1">
                            <a:avLst/>
                          </a:prstGeom>
                          <a:noFill/>
                          <a:ln w="6350" cap="flat" cmpd="sng" algn="ctr">
                            <a:solidFill>
                              <a:sysClr val="windowText" lastClr="000000"/>
                            </a:solidFill>
                            <a:prstDash val="solid"/>
                            <a:miter lim="800000"/>
                            <a:tailEnd type="arrow"/>
                          </a:ln>
                          <a:effectLst/>
                        </wps:spPr>
                        <wps:bodyPr/>
                      </wps:wsp>
                      <wps:wsp>
                        <wps:cNvPr id="236" name="Straight Arrow Connector 236"/>
                        <wps:cNvCnPr>
                          <a:stCxn id="228" idx="2"/>
                          <a:endCxn id="249" idx="0"/>
                        </wps:cNvCnPr>
                        <wps:spPr>
                          <a:xfrm flipH="1">
                            <a:off x="1712653" y="3348710"/>
                            <a:ext cx="25" cy="291525"/>
                          </a:xfrm>
                          <a:prstGeom prst="straightConnector1">
                            <a:avLst/>
                          </a:prstGeom>
                          <a:noFill/>
                          <a:ln w="6350" cap="flat" cmpd="sng" algn="ctr">
                            <a:solidFill>
                              <a:sysClr val="windowText" lastClr="000000"/>
                            </a:solidFill>
                            <a:prstDash val="solid"/>
                            <a:miter lim="800000"/>
                            <a:tailEnd type="arrow"/>
                          </a:ln>
                          <a:effectLst/>
                        </wps:spPr>
                        <wps:bodyPr/>
                      </wps:wsp>
                      <wps:wsp>
                        <wps:cNvPr id="237" name="Straight Arrow Connector 237" descr="Table" title="Table"/>
                        <wps:cNvCnPr>
                          <a:stCxn id="226" idx="3"/>
                          <a:endCxn id="234" idx="1"/>
                        </wps:cNvCnPr>
                        <wps:spPr>
                          <a:xfrm flipV="1">
                            <a:off x="3418581" y="1551268"/>
                            <a:ext cx="432395" cy="759"/>
                          </a:xfrm>
                          <a:prstGeom prst="straightConnector1">
                            <a:avLst/>
                          </a:prstGeom>
                          <a:noFill/>
                          <a:ln w="6350" cap="flat" cmpd="sng" algn="ctr">
                            <a:solidFill>
                              <a:sysClr val="windowText" lastClr="000000"/>
                            </a:solidFill>
                            <a:prstDash val="solid"/>
                            <a:miter lim="800000"/>
                            <a:tailEnd type="arrow"/>
                          </a:ln>
                          <a:effectLst/>
                        </wps:spPr>
                        <wps:bodyPr/>
                      </wps:wsp>
                      <wps:wsp>
                        <wps:cNvPr id="238" name="Straight Arrow Connector 238"/>
                        <wps:cNvCnPr>
                          <a:stCxn id="225" idx="3"/>
                          <a:endCxn id="231" idx="1"/>
                        </wps:cNvCnPr>
                        <wps:spPr>
                          <a:xfrm flipV="1">
                            <a:off x="3425306" y="2396026"/>
                            <a:ext cx="407863" cy="2267"/>
                          </a:xfrm>
                          <a:prstGeom prst="straightConnector1">
                            <a:avLst/>
                          </a:prstGeom>
                          <a:noFill/>
                          <a:ln w="6350" cap="flat" cmpd="sng" algn="ctr">
                            <a:solidFill>
                              <a:sysClr val="windowText" lastClr="000000"/>
                            </a:solidFill>
                            <a:prstDash val="solid"/>
                            <a:miter lim="800000"/>
                            <a:tailEnd type="arrow"/>
                          </a:ln>
                          <a:effectLst/>
                        </wps:spPr>
                        <wps:bodyPr/>
                      </wps:wsp>
                      <wps:wsp>
                        <wps:cNvPr id="239" name="Straight Arrow Connector 239"/>
                        <wps:cNvCnPr>
                          <a:stCxn id="250" idx="3"/>
                          <a:endCxn id="233" idx="1"/>
                        </wps:cNvCnPr>
                        <wps:spPr>
                          <a:xfrm flipV="1">
                            <a:off x="3425306" y="5413555"/>
                            <a:ext cx="491124" cy="3083"/>
                          </a:xfrm>
                          <a:prstGeom prst="straightConnector1">
                            <a:avLst/>
                          </a:prstGeom>
                          <a:noFill/>
                          <a:ln w="6350" cap="flat" cmpd="sng" algn="ctr">
                            <a:solidFill>
                              <a:sysClr val="windowText" lastClr="000000"/>
                            </a:solidFill>
                            <a:prstDash val="solid"/>
                            <a:miter lim="800000"/>
                            <a:tailEnd type="arrow"/>
                          </a:ln>
                          <a:effectLst/>
                        </wps:spPr>
                        <wps:bodyPr/>
                      </wps:wsp>
                      <wps:wsp>
                        <wps:cNvPr id="240" name="Straight Arrow Connector 240" descr="Table" title="Table"/>
                        <wps:cNvCnPr>
                          <a:stCxn id="224" idx="3"/>
                          <a:endCxn id="230" idx="1"/>
                        </wps:cNvCnPr>
                        <wps:spPr>
                          <a:xfrm flipV="1">
                            <a:off x="3423056" y="531983"/>
                            <a:ext cx="438568" cy="1327"/>
                          </a:xfrm>
                          <a:prstGeom prst="straightConnector1">
                            <a:avLst/>
                          </a:prstGeom>
                          <a:noFill/>
                          <a:ln w="6350" cap="flat" cmpd="sng" algn="ctr">
                            <a:solidFill>
                              <a:sysClr val="windowText" lastClr="000000"/>
                            </a:solidFill>
                            <a:prstDash val="solid"/>
                            <a:miter lim="800000"/>
                            <a:tailEnd type="arrow"/>
                          </a:ln>
                          <a:effectLst/>
                        </wps:spPr>
                        <wps:bodyPr/>
                      </wps:wsp>
                      <wps:wsp>
                        <wps:cNvPr id="241" name="TextBox 56" descr="Table" title="Table"/>
                        <wps:cNvSpPr txBox="1"/>
                        <wps:spPr>
                          <a:xfrm>
                            <a:off x="3409386" y="270233"/>
                            <a:ext cx="438785" cy="229870"/>
                          </a:xfrm>
                          <a:prstGeom prst="rect">
                            <a:avLst/>
                          </a:prstGeom>
                          <a:noFill/>
                          <a:ln>
                            <a:noFill/>
                          </a:ln>
                        </wps:spPr>
                        <wps:txbx>
                          <w:txbxContent>
                            <w:p w:rsidR="0004186A" w:rsidRDefault="0004186A" w:rsidP="00614CB4">
                              <w:pPr>
                                <w:pStyle w:val="NormalWeb"/>
                                <w:spacing w:after="0"/>
                                <w:jc w:val="center"/>
                              </w:pPr>
                              <w:r>
                                <w:rPr>
                                  <w:rFonts w:cstheme="minorBidi"/>
                                  <w:b/>
                                  <w:bCs/>
                                  <w:color w:val="000000"/>
                                  <w:kern w:val="24"/>
                                  <w:sz w:val="19"/>
                                  <w:szCs w:val="19"/>
                                  <w:u w:val="single"/>
                                </w:rPr>
                                <w:t>TAX</w:t>
                              </w:r>
                            </w:p>
                          </w:txbxContent>
                        </wps:txbx>
                        <wps:bodyPr wrap="square" rtlCol="0">
                          <a:spAutoFit/>
                        </wps:bodyPr>
                      </wps:wsp>
                      <wps:wsp>
                        <wps:cNvPr id="242" name="TextBox 15" descr="Table" title="Table"/>
                        <wps:cNvSpPr txBox="1"/>
                        <wps:spPr>
                          <a:xfrm>
                            <a:off x="1801508" y="1073698"/>
                            <a:ext cx="788035" cy="229870"/>
                          </a:xfrm>
                          <a:prstGeom prst="rect">
                            <a:avLst/>
                          </a:prstGeom>
                          <a:noFill/>
                          <a:ln>
                            <a:noFill/>
                          </a:ln>
                        </wps:spPr>
                        <wps:txbx>
                          <w:txbxContent>
                            <w:p w:rsidR="0004186A" w:rsidRDefault="0004186A" w:rsidP="00614CB4">
                              <w:pPr>
                                <w:pStyle w:val="NormalWeb"/>
                                <w:spacing w:after="0"/>
                                <w:jc w:val="center"/>
                              </w:pPr>
                              <w:r>
                                <w:rPr>
                                  <w:rFonts w:cstheme="minorBidi"/>
                                  <w:b/>
                                  <w:bCs/>
                                  <w:color w:val="000000"/>
                                  <w:kern w:val="24"/>
                                  <w:sz w:val="19"/>
                                  <w:szCs w:val="19"/>
                                  <w:u w:val="single"/>
                                </w:rPr>
                                <w:t>LICENCE</w:t>
                              </w:r>
                            </w:p>
                          </w:txbxContent>
                        </wps:txbx>
                        <wps:bodyPr wrap="square" rtlCol="0">
                          <a:spAutoFit/>
                        </wps:bodyPr>
                      </wps:wsp>
                      <wps:wsp>
                        <wps:cNvPr id="243" name="TextBox 46" descr="Table" title="Table"/>
                        <wps:cNvSpPr txBox="1"/>
                        <wps:spPr>
                          <a:xfrm>
                            <a:off x="1760759" y="2846317"/>
                            <a:ext cx="390525"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No</w:t>
                              </w:r>
                            </w:p>
                          </w:txbxContent>
                        </wps:txbx>
                        <wps:bodyPr wrap="square" rtlCol="0">
                          <a:spAutoFit/>
                        </wps:bodyPr>
                      </wps:wsp>
                      <wps:wsp>
                        <wps:cNvPr id="244" name="TextBox 46" descr="Table" title="Table"/>
                        <wps:cNvSpPr txBox="1"/>
                        <wps:spPr>
                          <a:xfrm>
                            <a:off x="1716658" y="4071157"/>
                            <a:ext cx="390525"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No</w:t>
                              </w:r>
                            </w:p>
                          </w:txbxContent>
                        </wps:txbx>
                        <wps:bodyPr wrap="square" rtlCol="0">
                          <a:noAutofit/>
                        </wps:bodyPr>
                      </wps:wsp>
                      <wps:wsp>
                        <wps:cNvPr id="245" name="TextBox 44"/>
                        <wps:cNvSpPr txBox="1"/>
                        <wps:spPr>
                          <a:xfrm>
                            <a:off x="3441209" y="1259037"/>
                            <a:ext cx="375920"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Yes</w:t>
                              </w:r>
                            </w:p>
                          </w:txbxContent>
                        </wps:txbx>
                        <wps:bodyPr wrap="square" rtlCol="0">
                          <a:spAutoFit/>
                        </wps:bodyPr>
                      </wps:wsp>
                      <wps:wsp>
                        <wps:cNvPr id="246" name="TextBox 44" descr="Table" title="Table"/>
                        <wps:cNvSpPr txBox="1"/>
                        <wps:spPr>
                          <a:xfrm>
                            <a:off x="3470369" y="3598308"/>
                            <a:ext cx="375920"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Yes</w:t>
                              </w:r>
                            </w:p>
                          </w:txbxContent>
                        </wps:txbx>
                        <wps:bodyPr wrap="square" rtlCol="0">
                          <a:spAutoFit/>
                        </wps:bodyPr>
                      </wps:wsp>
                      <wps:wsp>
                        <wps:cNvPr id="247" name="TextBox 44" descr="Table" title="Table"/>
                        <wps:cNvSpPr txBox="1"/>
                        <wps:spPr>
                          <a:xfrm>
                            <a:off x="3457249" y="4309229"/>
                            <a:ext cx="375920"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No</w:t>
                              </w:r>
                            </w:p>
                          </w:txbxContent>
                        </wps:txbx>
                        <wps:bodyPr wrap="square" rtlCol="0">
                          <a:spAutoFit/>
                        </wps:bodyPr>
                      </wps:wsp>
                      <wps:wsp>
                        <wps:cNvPr id="248" name="Text Box 7"/>
                        <wps:cNvSpPr txBox="1"/>
                        <wps:spPr>
                          <a:xfrm>
                            <a:off x="1391480" y="5455369"/>
                            <a:ext cx="564542" cy="413467"/>
                          </a:xfrm>
                          <a:prstGeom prst="rect">
                            <a:avLst/>
                          </a:prstGeom>
                          <a:solidFill>
                            <a:sysClr val="window" lastClr="FFFFFF"/>
                          </a:solidFill>
                          <a:ln w="6350">
                            <a:noFill/>
                          </a:ln>
                          <a:effectLst/>
                        </wps:spPr>
                        <wps:txbx>
                          <w:txbxContent>
                            <w:p w:rsidR="0004186A" w:rsidRDefault="0004186A" w:rsidP="00614CB4">
                              <w:pPr>
                                <w:pStyle w:val="NormalWeb"/>
                                <w:spacing w:after="0"/>
                                <w:jc w:val="both"/>
                              </w:pPr>
                              <w:r>
                                <w:rPr>
                                  <w:rFonts w:cstheme="minorBidi"/>
                                  <w:color w:val="000000" w:themeColor="dark1"/>
                                  <w:kern w:val="24"/>
                                  <w:sz w:val="19"/>
                                  <w:szCs w:val="19"/>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9" name="TextBox 23" descr="Table" title="Table"/>
                        <wps:cNvSpPr txBox="1"/>
                        <wps:spPr>
                          <a:xfrm>
                            <a:off x="6725" y="3640033"/>
                            <a:ext cx="3411856" cy="368955"/>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AASB 16 paragraphs 9 and B9</w:t>
                              </w:r>
                              <w:r w:rsidRPr="00124FCF">
                                <w:rPr>
                                  <w:rFonts w:cstheme="minorBidi"/>
                                  <w:color w:val="000000"/>
                                  <w:kern w:val="24"/>
                                  <w:sz w:val="19"/>
                                  <w:szCs w:val="19"/>
                                </w:rPr>
                                <w:t>–</w:t>
                              </w:r>
                              <w:r>
                                <w:rPr>
                                  <w:rFonts w:cstheme="minorBidi"/>
                                  <w:color w:val="000000"/>
                                  <w:kern w:val="24"/>
                                  <w:sz w:val="19"/>
                                  <w:szCs w:val="19"/>
                                </w:rPr>
                                <w:t>B33)</w:t>
                              </w:r>
                            </w:p>
                          </w:txbxContent>
                        </wps:txbx>
                        <wps:bodyPr wrap="square" rtlCol="0">
                          <a:spAutoFit/>
                        </wps:bodyPr>
                      </wps:wsp>
                      <wps:wsp>
                        <wps:cNvPr id="250" name="TextBox 37" descr="Table" title="Table"/>
                        <wps:cNvSpPr txBox="1"/>
                        <wps:spPr>
                          <a:xfrm>
                            <a:off x="886" y="5145175"/>
                            <a:ext cx="3424420" cy="542925"/>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G20</w:t>
                              </w:r>
                              <w:r w:rsidRPr="00124FCF">
                                <w:rPr>
                                  <w:rFonts w:cstheme="minorBidi"/>
                                  <w:color w:val="000000"/>
                                  <w:kern w:val="24"/>
                                  <w:sz w:val="19"/>
                                  <w:szCs w:val="19"/>
                                </w:rPr>
                                <w:t>–</w:t>
                              </w:r>
                              <w:r>
                                <w:rPr>
                                  <w:rFonts w:cstheme="minorBidi"/>
                                  <w:color w:val="000000"/>
                                  <w:kern w:val="24"/>
                                  <w:sz w:val="19"/>
                                  <w:szCs w:val="19"/>
                                </w:rPr>
                                <w:t>G21)</w:t>
                              </w:r>
                            </w:p>
                            <w:p w:rsidR="0004186A" w:rsidRDefault="0004186A" w:rsidP="00614CB4">
                              <w:pPr>
                                <w:pStyle w:val="NormalWeb"/>
                                <w:spacing w:after="0"/>
                                <w:jc w:val="center"/>
                              </w:pPr>
                              <w:r>
                                <w:rPr>
                                  <w:rFonts w:cstheme="minorBidi"/>
                                  <w:color w:val="000000" w:themeColor="text1"/>
                                  <w:kern w:val="24"/>
                                  <w:sz w:val="19"/>
                                  <w:szCs w:val="19"/>
                                </w:rPr>
                                <w:t> </w:t>
                              </w:r>
                            </w:p>
                          </w:txbxContent>
                        </wps:txbx>
                        <wps:bodyPr wrap="square" rtlCol="0">
                          <a:noAutofit/>
                        </wps:bodyPr>
                      </wps:wsp>
                      <wps:wsp>
                        <wps:cNvPr id="251" name="Straight Arrow Connector 251" descr="Table" title="Table"/>
                        <wps:cNvCnPr>
                          <a:stCxn id="224" idx="2"/>
                          <a:endCxn id="226" idx="0"/>
                        </wps:cNvCnPr>
                        <wps:spPr>
                          <a:xfrm>
                            <a:off x="1711529" y="1066620"/>
                            <a:ext cx="1124" cy="279887"/>
                          </a:xfrm>
                          <a:prstGeom prst="straightConnector1">
                            <a:avLst/>
                          </a:prstGeom>
                          <a:noFill/>
                          <a:ln w="6350" cap="flat" cmpd="sng" algn="ctr">
                            <a:solidFill>
                              <a:sysClr val="windowText" lastClr="000000"/>
                            </a:solidFill>
                            <a:prstDash val="solid"/>
                            <a:miter lim="800000"/>
                            <a:tailEnd type="arrow"/>
                          </a:ln>
                          <a:effectLst/>
                        </wps:spPr>
                        <wps:bodyPr/>
                      </wps:wsp>
                      <wps:wsp>
                        <wps:cNvPr id="252" name="TextBox 46" descr="Table" title="Table"/>
                        <wps:cNvSpPr txBox="1"/>
                        <wps:spPr>
                          <a:xfrm>
                            <a:off x="1761645" y="1767472"/>
                            <a:ext cx="390525"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No</w:t>
                              </w:r>
                            </w:p>
                          </w:txbxContent>
                        </wps:txbx>
                        <wps:bodyPr wrap="square" rtlCol="0">
                          <a:spAutoFit/>
                        </wps:bodyPr>
                      </wps:wsp>
                      <wps:wsp>
                        <wps:cNvPr id="253" name="Straight Arrow Connector 253"/>
                        <wps:cNvCnPr>
                          <a:stCxn id="249" idx="3"/>
                          <a:endCxn id="232" idx="1"/>
                        </wps:cNvCnPr>
                        <wps:spPr>
                          <a:xfrm flipV="1">
                            <a:off x="3418580" y="3832595"/>
                            <a:ext cx="497850" cy="1"/>
                          </a:xfrm>
                          <a:prstGeom prst="straightConnector1">
                            <a:avLst/>
                          </a:prstGeom>
                          <a:noFill/>
                          <a:ln w="6350" cap="flat" cmpd="sng" algn="ctr">
                            <a:solidFill>
                              <a:sysClr val="windowText" lastClr="000000"/>
                            </a:solidFill>
                            <a:prstDash val="solid"/>
                            <a:miter lim="800000"/>
                            <a:tailEnd type="arrow"/>
                          </a:ln>
                          <a:effectLst/>
                        </wps:spPr>
                        <wps:bodyPr/>
                      </wps:wsp>
                      <wps:wsp>
                        <wps:cNvPr id="254" name="TextBox 34" descr="Table" title="Table"/>
                        <wps:cNvSpPr txBox="1"/>
                        <wps:spPr>
                          <a:xfrm>
                            <a:off x="3917316" y="4342907"/>
                            <a:ext cx="1835785" cy="507365"/>
                          </a:xfrm>
                          <a:prstGeom prst="rect">
                            <a:avLst/>
                          </a:prstGeom>
                          <a:noFill/>
                          <a:ln>
                            <a:solidFill>
                              <a:sysClr val="windowText" lastClr="000000"/>
                            </a:solidFill>
                          </a:ln>
                        </wps:spPr>
                        <wps:txbx>
                          <w:txbxContent>
                            <w:p w:rsidR="0004186A" w:rsidRDefault="0004186A" w:rsidP="00614CB4">
                              <w:pPr>
                                <w:pStyle w:val="NormalWeb"/>
                                <w:spacing w:after="0"/>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wps:txbx>
                        <wps:bodyPr wrap="square" rtlCol="0">
                          <a:spAutoFit/>
                        </wps:bodyPr>
                      </wps:wsp>
                      <wps:wsp>
                        <wps:cNvPr id="255" name="Straight Arrow Connector 255"/>
                        <wps:cNvCnPr>
                          <a:stCxn id="227" idx="3"/>
                          <a:endCxn id="254" idx="1"/>
                        </wps:cNvCnPr>
                        <wps:spPr>
                          <a:xfrm>
                            <a:off x="3418580" y="4596590"/>
                            <a:ext cx="498736" cy="0"/>
                          </a:xfrm>
                          <a:prstGeom prst="straightConnector1">
                            <a:avLst/>
                          </a:prstGeom>
                          <a:noFill/>
                          <a:ln w="6350" cap="flat" cmpd="sng" algn="ctr">
                            <a:solidFill>
                              <a:sysClr val="windowText" lastClr="000000"/>
                            </a:solidFill>
                            <a:prstDash val="solid"/>
                            <a:miter lim="800000"/>
                            <a:tailEnd type="arrow"/>
                          </a:ln>
                          <a:effectLst/>
                        </wps:spPr>
                        <wps:bodyPr/>
                      </wps:wsp>
                      <wps:wsp>
                        <wps:cNvPr id="256" name="TextBox 44" descr="Table" title="Table"/>
                        <wps:cNvSpPr txBox="1"/>
                        <wps:spPr>
                          <a:xfrm>
                            <a:off x="3471255" y="5147545"/>
                            <a:ext cx="375920"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Yes</w:t>
                              </w:r>
                            </w:p>
                          </w:txbxContent>
                        </wps:txbx>
                        <wps:bodyPr wrap="square" rtlCol="0">
                          <a:spAutoFit/>
                        </wps:bodyPr>
                      </wps:wsp>
                      <wps:wsp>
                        <wps:cNvPr id="257" name="TextBox 44" descr="Table" title="Table"/>
                        <wps:cNvSpPr txBox="1"/>
                        <wps:spPr>
                          <a:xfrm>
                            <a:off x="1732149" y="4880350"/>
                            <a:ext cx="375920"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Yes</w:t>
                              </w:r>
                            </w:p>
                          </w:txbxContent>
                        </wps:txbx>
                        <wps:bodyPr wrap="square" rtlCol="0">
                          <a:spAutoFit/>
                        </wps:bodyPr>
                      </wps:wsp>
                      <wps:wsp>
                        <wps:cNvPr id="258" name="TextBox 46" descr="Table" title="Table"/>
                        <wps:cNvSpPr txBox="1"/>
                        <wps:spPr>
                          <a:xfrm>
                            <a:off x="1759352" y="5705087"/>
                            <a:ext cx="390525" cy="229870"/>
                          </a:xfrm>
                          <a:prstGeom prst="rect">
                            <a:avLst/>
                          </a:prstGeom>
                          <a:noFill/>
                          <a:ln>
                            <a:noFill/>
                          </a:ln>
                        </wps:spPr>
                        <wps:txbx>
                          <w:txbxContent>
                            <w:p w:rsidR="0004186A" w:rsidRDefault="0004186A" w:rsidP="00614CB4">
                              <w:pPr>
                                <w:pStyle w:val="NormalWeb"/>
                                <w:spacing w:after="0"/>
                                <w:jc w:val="center"/>
                              </w:pPr>
                              <w:r>
                                <w:rPr>
                                  <w:rFonts w:cstheme="minorBidi"/>
                                  <w:color w:val="000000"/>
                                  <w:kern w:val="24"/>
                                  <w:sz w:val="19"/>
                                  <w:szCs w:val="19"/>
                                </w:rPr>
                                <w:t>No</w:t>
                              </w:r>
                            </w:p>
                          </w:txbxContent>
                        </wps:txbx>
                        <wps:bodyPr wrap="square" rtlCol="0">
                          <a:noAutofit/>
                        </wps:bodyPr>
                      </wps:wsp>
                      <wps:wsp>
                        <wps:cNvPr id="259" name="Straight Arrow Connector 259"/>
                        <wps:cNvCnPr>
                          <a:stCxn id="249" idx="2"/>
                          <a:endCxn id="227" idx="0"/>
                        </wps:cNvCnPr>
                        <wps:spPr>
                          <a:xfrm flipH="1">
                            <a:off x="1712652" y="4024956"/>
                            <a:ext cx="1" cy="310194"/>
                          </a:xfrm>
                          <a:prstGeom prst="straightConnector1">
                            <a:avLst/>
                          </a:prstGeom>
                          <a:noFill/>
                          <a:ln w="6350" cap="flat" cmpd="sng" algn="ctr">
                            <a:solidFill>
                              <a:sysClr val="windowText" lastClr="000000"/>
                            </a:solidFill>
                            <a:prstDash val="solid"/>
                            <a:miter lim="800000"/>
                            <a:tailEnd type="arrow"/>
                          </a:ln>
                          <a:effectLst/>
                        </wps:spPr>
                        <wps:bodyPr/>
                      </wps:wsp>
                      <wps:wsp>
                        <wps:cNvPr id="260" name="Straight Arrow Connector 260"/>
                        <wps:cNvCnPr>
                          <a:stCxn id="227" idx="2"/>
                          <a:endCxn id="250" idx="0"/>
                        </wps:cNvCnPr>
                        <wps:spPr>
                          <a:xfrm>
                            <a:off x="1712652" y="4858030"/>
                            <a:ext cx="444" cy="287145"/>
                          </a:xfrm>
                          <a:prstGeom prst="straightConnector1">
                            <a:avLst/>
                          </a:prstGeom>
                          <a:noFill/>
                          <a:ln w="6350" cap="flat" cmpd="sng" algn="ctr">
                            <a:solidFill>
                              <a:sysClr val="windowText" lastClr="000000"/>
                            </a:solidFill>
                            <a:prstDash val="solid"/>
                            <a:miter lim="800000"/>
                            <a:tailEnd type="arrow"/>
                          </a:ln>
                          <a:effectLst/>
                        </wps:spPr>
                        <wps:bodyPr/>
                      </wps:wsp>
                      <wps:wsp>
                        <wps:cNvPr id="261" name="Straight Arrow Connector 261"/>
                        <wps:cNvCnPr>
                          <a:stCxn id="250" idx="2"/>
                          <a:endCxn id="229" idx="0"/>
                        </wps:cNvCnPr>
                        <wps:spPr>
                          <a:xfrm flipH="1">
                            <a:off x="1712652" y="5688100"/>
                            <a:ext cx="444" cy="261317"/>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w:pict>
              <v:group w14:anchorId="3327BB8B" id="Group 189" o:spid="_x0000_s1026" alt="Title: Flow chart - Description: applying the framework for NFP public sector licensors" style="position:absolute;left:0;text-align:left;margin-left:-.15pt;margin-top:44.3pt;width:453pt;height:509.85pt;z-index:251659264;mso-width-relative:margin" coordsize="57531,6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s1QoAACJXAAAOAAAAZHJzL2Uyb0RvYy54bWzsXGuTm8oR/Z6q/AeK7/EyzPBSeX3LWd91&#10;UuU4W2Un9zMroUcFAQHW0t5fn9MzMBLoxXqlvZCSP6yREK/uM6d7Tvfw/pf1MjZ+RHmxSJNbk72z&#10;TCNKxulkkcxuzX99v/+LbxpFGSaTME6T6NZ8jgrzlw9//tP7VTaK7HSexpMoN3CSpBitsltzXpbZ&#10;6OamGM+jZVi8S7Mowc5pmi/DEh/z2c0kD1c4+zK+sS3LvVml+STL03FUFPj2k9ppfpDnn06jcfnP&#10;6bSISiO+NXFvpfyby7+P9Pfmw/twNMvDbL4YV7cR/sRdLMNFgovqU30Ky9B4yhc7p1ouxnlapNPy&#10;3Thd3qTT6WIcyWfA0zCr9TSf8/Qpk88yG61mmTYTTNuy00+fdvz1x0NuLCa3pm3bppGESzhJXtdg&#10;fmAak6gYw1xhlsXPsK9RziNjmuNXsPt/DPjF+Hr/YGRPjzHsV8Dc+AabUVKkeQF7L8oYJ7yP05Ux&#10;nod5SQZfZbMRrvs5z75lD3n1xUx9Ihuup/mS/od1jLV01bN2VbQujTG+dDyHMwseHWOfKzzHChzl&#10;zPEcHt85bjz/tXEk2xwpHEFH3tQXvqH707ezygDMYmP74nW2/zYPs0i6tCAbaNvz2vbfyjxczOal&#10;8THPYbS7NEmUVW2bK+PJA++Sh5xsVJR366Tyn2NiA7axlSGiZLLZh2Eo90nE4wm3TkIfCjhij+mZ&#10;x2zXwb3ByLbPGPfc6tyVMW1ckzzALU+4TTOGoywvys9RujRo49YsqifTj8Rgh3AU/vhSlMr+9QH0&#10;dZLeL+IY34ejODFWcDJ3yN0hSGIahyU2lxlgWyQz0wjjGdhnXObyjEUaLyZ0NB1cPBd3cW78CEEA&#10;4I1JuvoODJlGHMJ0MTGB/FchoHEo3c6nsJirg+Uu9fTLRQnSihfLW9PXR4ejMlzEvyYTo3zOgPmQ&#10;/FedNk7oViLJR9XTbqxOW4/p5FkOBeka4I1GyZsAT9TAI7P8NV0bDFauRv338DGO9CBWn+Rwleih&#10;wWuUaxwD4qcH3TxSPZT0GAa17I5hLmxuYfBJBDHLdV1bwXNzeI2ICkI5hkJn0EjvnwUKoAbyoPSN&#10;Gin0qOX6cV09tXKfsUIcASL/+xTmMFtexnepDDt0J0n68alMpwsJ9Y3Lq7O+pccxZBXN1x4Xl/A4&#10;zgmPs8B3bCBKjuOau+F3h1uu8rtvu8yVrKIJeIc5eud2Sbga84PyPsze9D7DADz7eHc9GxciAHDh&#10;OpbXBgBjvlOFDsGYJaQthwYAGWc3Q3kgw99rA8DepHnnI3wAALgCAATnDkPkbjEAAaBiAMe2fX9o&#10;xC8ZQCdkg2IApIJNBuCX4H/X8xQAOFztI8TsAgC0IEO/bQe+90oANBK33ZxvK9+7l/9kFhE/Lf+R&#10;TlR6FzjI5OgmwULqeLW5nUCoNO7EpTqml4dzCgktmUsPjlvAJC1owcWXCC4KWk4gAsH2BhfNLa7F&#10;5Q+GFlzkbHZoACAmaQKAYaJ9dgBwHzljFV9sz+dq4GKCVc1Kmc8dz6/yC2Qf3JXWHBoEZFbcEQJF&#10;RtOL+z9+esHh8CYEyFEXgADnzAXfIMWwkWQGaup4CAMQt4BExe61vPTCueUJ2h9chJGs2BFdvZm8&#10;cq1R1pNXmmecH10BcwWRGdDFoS7uJLANhuGe5UMrfRW6GnLXWygXMsvw6aYHhwGtldYY4BdhmC0M&#10;YAaDFLXWVf+/oowEbkcM9CfKwOPNKCOAivPzgI+6AjRvqWTYvnD8VrLZ4AGHc+5KkAwt01AKXUcQ&#10;9CcYaCXzcNGE4zedYLGvoALHHyyo4LyvLKgwD0UsISl4k7Yg5lA9xbY9qOHHQ8q1ntLDegoHZhQx&#10;HcGkTuxRAdyHu7pYVwecrUKeQMrbFXfGNF5kf6PiDCUUVTV1u6THufC9tjpfl/TsgDnYPprVXCHY&#10;RwhqhfcIBLvqMvvgWdOilD9BXVvwpExMwlNNtiiiaIzTh+06s4Tnv1vw5ALCsI85JEiQOQ7Kzy2C&#10;FNzmKPVLlvScE1n3FZ99xKcWoI/gU89MNHwgy+7pddiHQaDnlRis6pMUiHngWphjggY3QVpYnu8i&#10;31SR2j2hL15B2EcQaqn6CAj11Gg/CKkfRQJtHwgBj7OB0BGMO6iXNkEYMEbSmmq/8eU9HJ53XEHY&#10;QxBS48WpZLFzc8a+SF1H430ArcH785GaunfU3Bi9eIFC4BZJclR4QfWET8btK0kOrzkMbRktlYX8&#10;3Wk6/ZLmMC6sACUdpeV7ls1ruFZCm+C+ruaco1a8o7XqL8CfBxq9QOaAsRwrHWWS3mhlYkczZ11F&#10;kZd4kfkWZHIMeBrvVHMLWpm7hy4PkmNU1vT6kr/2mnLaVsvoKTfKefXg3Lgje4tLDEbmuRbNq8iN&#10;UDxdvlNfDyzSBXrgRkkTg3PjrnJ9GTeiq9JRoxHTFcaclnLNe+PGQba6CIyAVgFCPwdmCy8hTi4E&#10;sy014pjtBFXDyiaT4hiPKG/3YMS9pCmlP/EP42vHVZfIYjwLQU8SJ0e5kCMWNiZs/XGj1p879C32&#10;x41a1qzLvgJUeoFk1EHrqnIjWgACJJx9daNk9MHFP63+kRsNWnGin+OFxMl4wAQ6hylVcYTj0Ohr&#10;jDjHxdouZL+UcUJCEaeUulPrDF7cAoS7QS7aOGxrMZNaFlItc6pyVrD+YaGCVpyoiYiWR6sRnKdY&#10;YAVLFNn4foFlS1+wuukhzLGUEV9ieSb2ztP8d7PVox7/PcF6NliRVIZSfhCAPz7k23set/ckT8s7&#10;WtaCuSGuJjfp93qxC5YHpsvfsCrzI10Vu8JkjGvfmmW9eVfSsiuTVg+Oo48f5TZWQ2Zh+SX5lo3p&#10;1GQa6s/6vv4tzLNq9U8JwHxN6xV0OyvH1G+VUXuy1oZ4pBl6sIjv/JyFZnukIwA5epUsqz19Rkll&#10;02zPXT9QSiIA95OdcDsTrwbAd5uvaaBvtccdWnB3atam1dghRS3SiJsIQDvy+RHgV/KJw4SDvoIm&#10;DWK9lRA0qIkHQYjBqbLuKR78YwCAJwCfdox3vWlScbSGdrjQQL/plMgc03j3NAtQb6QsQqiFDWQ6&#10;XcmgD9vVWOLNTYsASv/VhGSzLHMzIdkUHmwv8FVP1GE6uZYeDkd0RWWUJpA/3nAVqLMjCl5KTUIn&#10;rQpOUJY80W6i7I0MYQ9S26W1+Sq8HGEXrZPpwd+opeuWolp23+7nAExeWcakfg7EHspOfA55oxWc&#10;RABtv4pNqhR1MC+5EkkfiWRHz7xUN7aHBR8SRwIJTdBeU9zsxB3smh+8hKV7ktMbbYbWcp+kIS0e&#10;7qchVIgV1eyhIXpJRFca2kpkVDOZIh/hBC601WZmLFCFoo5NSozrxZ8HJkVX8ukj+byZtAthXmUx&#10;mGGha7sVxHoj7W7eETSoSfLbSLvM4zarpV1ZjG7RQX/cqGtJg3JjQ9olZfdCcwon4DR/ITXDs9Bz&#10;0NfSptJZBqdYaNHyyJxCi3H7g7meU+xTJepA30GVOLKEQQFAWCjWoCsJSdOWPqEiOl4QxwI5kq7i&#10;xKBeSuYiZTuVTuI3VaK8H4E6ndyDQN242wGBW+mkWjpT4Y5mtVgh3MCdoIqkbG/CshqVI1yRNyzk&#10;dVBrXa0U7UeeRtce5JGq2lWRPcl9aK/16R2YBzDosqp364rBM2EQIq18Eaus6lYvjaU3vW5/llLu&#10;5tW2H/4HAAD//wMAUEsDBBQABgAIAAAAIQCBtwi94AAAAAkBAAAPAAAAZHJzL2Rvd25yZXYueG1s&#10;TI9BS8NAEIXvgv9hGcFbuxtDaxqzKaWopyLYCtLbNJkmodndkN0m6b93POlxeB/vfZOtJ9OKgXrf&#10;OKshmisQZAtXNrbS8HV4myUgfEBbYussabiRh3V+f5dhWrrRftKwD5XgEutT1FCH0KVS+qImg37u&#10;OrKcnV1vMPDZV7LsceRy08onpZbSYGN5ocaOtjUVl/3VaHgfcdzE0euwu5y3t+Nh8fG9i0jrx4dp&#10;8wIi0BT+YPjVZ3XI2enkrrb0otUwixnUkCRLEByv1OIZxIm5SCUxyDyT/z/IfwAAAP//AwBQSwEC&#10;LQAUAAYACAAAACEAtoM4kv4AAADhAQAAEwAAAAAAAAAAAAAAAAAAAAAAW0NvbnRlbnRfVHlwZXNd&#10;LnhtbFBLAQItABQABgAIAAAAIQA4/SH/1gAAAJQBAAALAAAAAAAAAAAAAAAAAC8BAABfcmVscy8u&#10;cmVsc1BLAQItABQABgAIAAAAIQBDEjks1QoAACJXAAAOAAAAAAAAAAAAAAAAAC4CAABkcnMvZTJv&#10;RG9jLnhtbFBLAQItABQABgAIAAAAIQCBtwi94AAAAAkBAAAPAAAAAAAAAAAAAAAAAC8NAABkcnMv&#10;ZG93bnJldi54bWxQSwUGAAAAAAQABADzAAAAPA4AAAAA&#10;">
                <v:shapetype id="_x0000_t32" coordsize="21600,21600" o:spt="32" o:oned="t" path="m,l21600,21600e" filled="f">
                  <v:path arrowok="t" fillok="f" o:connecttype="none"/>
                  <o:lock v:ext="edit" shapetype="t"/>
                </v:shapetype>
                <v:shape id="Straight Arrow Connector 223" o:spid="_x0000_s1027" type="#_x0000_t32" style="position:absolute;left:17126;top:28113;width:0;height:3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mSMQAAADcAAAADwAAAGRycy9kb3ducmV2LnhtbESPT4vCMBTE74LfITxhb5q2gpWuURZF&#10;dJE9+Ic9P5pnW7Z5KUnU+u03C8Ieh5n5DbNY9aYVd3K+sawgnSQgiEurG64UXM7b8RyED8gaW8uk&#10;4EkeVsvhYIGFtg8+0v0UKhEh7AtUUIfQFVL6siaDfmI74uhdrTMYonSV1A4fEW5amSXJTBpsOC7U&#10;2NG6pvLndDMKrvmnf+72qXSbdpak/JUf/Heu1Nuo/3gHEagP/+FXe68VZNkU/s7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SZIxAAAANwAAAAPAAAAAAAAAAAA&#10;AAAAAKECAABkcnMvZG93bnJldi54bWxQSwUGAAAAAAQABAD5AAAAkgMAAAAA&#10;" strokecolor="windowText" strokeweight=".5pt">
                  <v:stroke endarrow="open" joinstyle="miter"/>
                </v:shape>
                <v:shapetype id="_x0000_t202" coordsize="21600,21600" o:spt="202" path="m,l,21600r21600,l21600,xe">
                  <v:stroke joinstyle="miter"/>
                  <v:path gradientshapeok="t" o:connecttype="rect"/>
                </v:shapetype>
                <v:shape id="TextBox 10" o:spid="_x0000_s1028" type="#_x0000_t202" alt="Table" style="position:absolute;width:34230;height:10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1i8MA&#10;AADcAAAADwAAAGRycy9kb3ducmV2LnhtbESPQWvCQBSE7wX/w/KE3urGtBSJrhICQnspNBXPj+wz&#10;iWbfLrtbTf59tyB4HGbmG2azG80gruRDb1nBcpGBIG6s7rlVcPjZv6xAhIiscbBMCiYKsNvOnjZY&#10;aHvjb7rWsRUJwqFABV2MrpAyNB0ZDAvriJN3st5gTNK3Unu8JbgZZJ5l79Jgz2mhQ0dVR82l/jUK&#10;Xgd/bj8duuNULkNVhumrwlqp5/lYrkFEGuMjfG9/aAV5/gb/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Z1i8MAAADcAAAADwAAAAAAAAAAAAAAAACYAgAAZHJzL2Rv&#10;d25yZXYueG1sUEsFBgAAAAAEAAQA9QAAAIgDAAAAAA==&#10;" filled="f" strokecolor="windowText">
                  <v:textbox>
                    <w:txbxContent>
                      <w:p w:rsidR="0004186A" w:rsidRPr="00124FCF" w:rsidRDefault="0004186A" w:rsidP="00614CB4">
                        <w:pPr>
                          <w:pStyle w:val="NormalWeb"/>
                          <w:spacing w:after="0"/>
                          <w:jc w:val="center"/>
                          <w:rPr>
                            <w:rFonts w:cstheme="minorBidi"/>
                            <w:color w:val="000000"/>
                            <w:kern w:val="24"/>
                            <w:sz w:val="19"/>
                            <w:szCs w:val="19"/>
                          </w:rPr>
                        </w:pPr>
                        <w:r>
                          <w:rPr>
                            <w:rFonts w:cstheme="minorBidi"/>
                            <w:b/>
                            <w:bCs/>
                            <w:color w:val="000000"/>
                            <w:kern w:val="24"/>
                            <w:sz w:val="19"/>
                            <w:szCs w:val="19"/>
                          </w:rPr>
                          <w:t xml:space="preserve">Is it a Licence or a Tax? </w:t>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G3</w:t>
                        </w:r>
                        <w:r w:rsidRPr="00124FCF">
                          <w:rPr>
                            <w:rFonts w:cstheme="minorBidi"/>
                            <w:color w:val="000000"/>
                            <w:kern w:val="24"/>
                            <w:sz w:val="19"/>
                            <w:szCs w:val="19"/>
                          </w:rPr>
                          <w:t>–</w:t>
                        </w:r>
                        <w:r>
                          <w:rPr>
                            <w:rFonts w:cstheme="minorBidi"/>
                            <w:color w:val="000000"/>
                            <w:kern w:val="24"/>
                            <w:sz w:val="19"/>
                            <w:szCs w:val="19"/>
                          </w:rPr>
                          <w:t>G7)</w:t>
                        </w:r>
                      </w:p>
                      <w:p w:rsidR="0004186A" w:rsidRPr="00124FCF" w:rsidRDefault="0004186A" w:rsidP="00614CB4">
                        <w:pPr>
                          <w:pStyle w:val="NormalWeb"/>
                          <w:spacing w:after="0"/>
                          <w:jc w:val="center"/>
                          <w:rPr>
                            <w:rFonts w:cstheme="minorBidi"/>
                            <w:color w:val="000000"/>
                            <w:kern w:val="24"/>
                            <w:sz w:val="19"/>
                            <w:szCs w:val="19"/>
                          </w:rPr>
                        </w:pPr>
                        <w:r>
                          <w:rPr>
                            <w:rFonts w:cstheme="minorBidi"/>
                            <w:color w:val="000000"/>
                            <w:kern w:val="24"/>
                            <w:sz w:val="19"/>
                            <w:szCs w:val="19"/>
                          </w:rPr>
                          <w:t>Features of a licence to consider (not all must be satisfied): It is discretionary; it has a non-financial primary purpose; it creates rights for the licensee and may contain obligations for the licensor; it gives the licensee specific permission to perform an activity that would be otherwise unlawful. An entity shall consider paragraphs G4</w:t>
                        </w:r>
                        <w:r w:rsidRPr="00124FCF">
                          <w:rPr>
                            <w:rFonts w:cstheme="minorBidi"/>
                            <w:color w:val="000000"/>
                            <w:kern w:val="24"/>
                            <w:sz w:val="19"/>
                            <w:szCs w:val="19"/>
                          </w:rPr>
                          <w:t>–</w:t>
                        </w:r>
                        <w:r>
                          <w:rPr>
                            <w:rFonts w:cstheme="minorBidi"/>
                            <w:color w:val="000000"/>
                            <w:kern w:val="24"/>
                            <w:sz w:val="19"/>
                            <w:szCs w:val="19"/>
                          </w:rPr>
                          <w:t>G7 if an arrangement comprises both a licence and a tax.</w:t>
                        </w:r>
                      </w:p>
                    </w:txbxContent>
                  </v:textbox>
                </v:shape>
                <v:shape id="TextBox 40" o:spid="_x0000_s1029" type="#_x0000_t202" alt="Table" style="position:absolute;top:19852;width:34253;height:8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QEMMA&#10;AADcAAAADwAAAGRycy9kb3ducmV2LnhtbESPQWvCQBSE7wX/w/KE3urGlBaJrhICQnspNBXPj+wz&#10;iWbfLrtbTf59tyB4HGbmG2azG80gruRDb1nBcpGBIG6s7rlVcPjZv6xAhIiscbBMCiYKsNvOnjZY&#10;aHvjb7rWsRUJwqFABV2MrpAyNB0ZDAvriJN3st5gTNK3Unu8JbgZZJ5l79Jgz2mhQ0dVR82l/jUK&#10;Xgd/bj8duuNULkNVhumrwlqp5/lYrkFEGuMjfG9/aAV5/gb/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rQEMMAAADcAAAADwAAAAAAAAAAAAAAAACYAgAAZHJzL2Rv&#10;d25yZXYueG1sUEsFBgAAAAAEAAQA9QAAAIgDAAAAAA==&#10;" filled="f" strokecolor="windowText">
                  <v:textbox>
                    <w:txbxContent>
                      <w:p w:rsidR="0004186A" w:rsidRDefault="0004186A" w:rsidP="00614CB4">
                        <w:pPr>
                          <w:pStyle w:val="NormalWeb"/>
                          <w:spacing w:after="0"/>
                          <w:jc w:val="center"/>
                        </w:pPr>
                        <w:r>
                          <w:rPr>
                            <w:rFonts w:cstheme="minorBidi"/>
                            <w:b/>
                            <w:bCs/>
                            <w:color w:val="000000"/>
                            <w:kern w:val="24"/>
                            <w:sz w:val="19"/>
                            <w:szCs w:val="19"/>
                          </w:rPr>
                          <w:t xml:space="preserve">Is it an IP licence? </w:t>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G12</w:t>
                        </w:r>
                        <w:r w:rsidRPr="0031033C">
                          <w:rPr>
                            <w:rFonts w:cstheme="minorBidi"/>
                            <w:color w:val="000000"/>
                            <w:kern w:val="24"/>
                            <w:sz w:val="19"/>
                            <w:szCs w:val="19"/>
                          </w:rPr>
                          <w:t>–</w:t>
                        </w:r>
                        <w:r>
                          <w:rPr>
                            <w:rFonts w:cstheme="minorBidi"/>
                            <w:color w:val="000000"/>
                            <w:kern w:val="24"/>
                            <w:sz w:val="19"/>
                            <w:szCs w:val="19"/>
                          </w:rPr>
                          <w:t>G14)</w:t>
                        </w:r>
                      </w:p>
                      <w:p w:rsidR="0004186A" w:rsidRDefault="0004186A" w:rsidP="00614CB4">
                        <w:pPr>
                          <w:pStyle w:val="NormalWeb"/>
                          <w:spacing w:after="0"/>
                          <w:jc w:val="center"/>
                        </w:pPr>
                        <w:r>
                          <w:rPr>
                            <w:rFonts w:cstheme="minorBidi"/>
                            <w:color w:val="000000"/>
                            <w:kern w:val="24"/>
                            <w:sz w:val="19"/>
                            <w:szCs w:val="19"/>
                          </w:rPr>
                          <w:t>Paragraph B52 outlines the following examples of IP licences: software and technology; motion pictures, music and other forms of media and entertainment; franchises; and patents, trademarks and copyrights.  IP may also arise from research.</w:t>
                        </w:r>
                      </w:p>
                      <w:p w:rsidR="0004186A" w:rsidRDefault="0004186A" w:rsidP="00614CB4">
                        <w:pPr>
                          <w:pStyle w:val="NormalWeb"/>
                          <w:spacing w:after="0"/>
                          <w:jc w:val="center"/>
                        </w:pPr>
                        <w:r>
                          <w:rPr>
                            <w:rFonts w:cstheme="minorBidi"/>
                            <w:color w:val="000000" w:themeColor="text1"/>
                            <w:kern w:val="24"/>
                          </w:rPr>
                          <w:t> </w:t>
                        </w:r>
                      </w:p>
                    </w:txbxContent>
                  </v:textbox>
                </v:shape>
                <v:shape id="TextBox 14" o:spid="_x0000_s1030" type="#_x0000_t202" alt="Table" style="position:absolute;left:67;top:13465;width:34118;height:4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OZ8IA&#10;AADcAAAADwAAAGRycy9kb3ducmV2LnhtbESPQWvCQBSE7wX/w/IK3nRjBJHoKiEgtJdCo3h+ZF+T&#10;tNm3y+5Wk3/fFYQeh5n5htkfRzOIG/nQW1awWmYgiBure24VXM6nxRZEiMgaB8ukYKIAx8PsZY+F&#10;tnf+pFsdW5EgHApU0MXoCilD05HBsLSOOHlf1huMSfpWao/3BDeDzLNsIw32nBY6dFR11PzUv0bB&#10;evDf7btDd53KVajKMH1UWCs1fx3LHYhIY/wPP9tvWkGeb+BxJh0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E5nwgAAANwAAAAPAAAAAAAAAAAAAAAAAJgCAABkcnMvZG93&#10;bnJldi54bWxQSwUGAAAAAAQABAD1AAAAhwMAAAAA&#10;" filled="f" strokecolor="windowText">
                  <v:textbox>
                    <w:txbxContent>
                      <w:p w:rsidR="0004186A" w:rsidRDefault="0004186A" w:rsidP="00614CB4">
                        <w:pPr>
                          <w:pStyle w:val="NormalWeb"/>
                          <w:spacing w:after="0"/>
                          <w:jc w:val="center"/>
                        </w:pPr>
                        <w:r>
                          <w:rPr>
                            <w:rFonts w:cstheme="minorBidi"/>
                            <w:b/>
                            <w:bCs/>
                            <w:color w:val="000000"/>
                            <w:kern w:val="24"/>
                            <w:sz w:val="19"/>
                            <w:szCs w:val="19"/>
                          </w:rPr>
                          <w:t>Is it a low-value or short-term licence with no variable consideration?</w:t>
                        </w:r>
                        <w:r>
                          <w:rPr>
                            <w:rFonts w:cstheme="minorBidi"/>
                            <w:color w:val="000000"/>
                            <w:kern w:val="24"/>
                            <w:sz w:val="19"/>
                            <w:szCs w:val="19"/>
                          </w:rPr>
                          <w:t xml:space="preserve"> (</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G22</w:t>
                        </w:r>
                        <w:r w:rsidRPr="00124FCF">
                          <w:rPr>
                            <w:rFonts w:cstheme="minorBidi"/>
                            <w:color w:val="000000"/>
                            <w:kern w:val="24"/>
                            <w:sz w:val="19"/>
                            <w:szCs w:val="19"/>
                          </w:rPr>
                          <w:t>–</w:t>
                        </w:r>
                        <w:r>
                          <w:rPr>
                            <w:rFonts w:cstheme="minorBidi"/>
                            <w:color w:val="000000"/>
                            <w:kern w:val="24"/>
                            <w:sz w:val="19"/>
                            <w:szCs w:val="19"/>
                          </w:rPr>
                          <w:t>G27)</w:t>
                        </w:r>
                      </w:p>
                      <w:p w:rsidR="0004186A" w:rsidRDefault="0004186A" w:rsidP="00614CB4">
                        <w:pPr>
                          <w:pStyle w:val="NormalWeb"/>
                          <w:spacing w:after="0"/>
                          <w:jc w:val="center"/>
                        </w:pPr>
                        <w:r>
                          <w:rPr>
                            <w:rFonts w:cstheme="minorBidi"/>
                            <w:color w:val="000000" w:themeColor="text1"/>
                            <w:kern w:val="24"/>
                          </w:rPr>
                          <w:t> </w:t>
                        </w:r>
                      </w:p>
                    </w:txbxContent>
                  </v:textbox>
                </v:shape>
                <v:shape id="TextBox 29" o:spid="_x0000_s1031" type="#_x0000_t202" alt="Table" style="position:absolute;left:67;top:43351;width:34118;height:5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r/MMA&#10;AADcAAAADwAAAGRycy9kb3ducmV2LnhtbESPQWvCQBSE7wX/w/KE3urGFFqJrhICQnspNBXPj+wz&#10;iWbfLrtbTf59tyB4HGbmG2azG80gruRDb1nBcpGBIG6s7rlVcPjZv6xAhIiscbBMCiYKsNvOnjZY&#10;aHvjb7rWsRUJwqFABV2MrpAyNB0ZDAvriJN3st5gTNK3Unu8JbgZZJ5lb9Jgz2mhQ0dVR82l/jUK&#10;Xgd/bj8duuNULkNVhumrwlqp5/lYrkFEGuMjfG9/aAV5/g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Tr/MMAAADcAAAADwAAAAAAAAAAAAAAAACYAgAAZHJzL2Rv&#10;d25yZXYueG1sUEsFBgAAAAAEAAQA9QAAAIgDAAAAAA==&#10;" filled="f" strokecolor="windowText">
                  <v:textbox>
                    <w:txbxContent>
                      <w:p w:rsidR="0004186A" w:rsidRDefault="0004186A" w:rsidP="00614CB4">
                        <w:pPr>
                          <w:pStyle w:val="NormalWeb"/>
                          <w:spacing w:after="0"/>
                          <w:jc w:val="center"/>
                        </w:pPr>
                        <w:r>
                          <w:rPr>
                            <w:rFonts w:cstheme="minorBidi"/>
                            <w:b/>
                            <w:bCs/>
                            <w:color w:val="000000"/>
                            <w:kern w:val="24"/>
                            <w:sz w:val="19"/>
                            <w:szCs w:val="19"/>
                          </w:rPr>
                          <w:t xml:space="preserve">In addition to issuing the non-IP licence, are there promise(s) to transfer other goods or services to the licensee? </w:t>
                        </w:r>
                        <w:r>
                          <w:rPr>
                            <w:rFonts w:cstheme="minorBidi"/>
                            <w:b/>
                            <w:bCs/>
                            <w:color w:val="000000"/>
                            <w:kern w:val="24"/>
                            <w:sz w:val="19"/>
                            <w:szCs w:val="19"/>
                          </w:rPr>
                          <w:br/>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G16</w:t>
                        </w:r>
                        <w:r w:rsidRPr="00124FCF">
                          <w:rPr>
                            <w:rFonts w:cstheme="minorBidi"/>
                            <w:color w:val="000000"/>
                            <w:kern w:val="24"/>
                            <w:sz w:val="19"/>
                            <w:szCs w:val="19"/>
                          </w:rPr>
                          <w:t>–</w:t>
                        </w:r>
                        <w:r>
                          <w:rPr>
                            <w:rFonts w:cstheme="minorBidi"/>
                            <w:color w:val="000000"/>
                            <w:kern w:val="24"/>
                            <w:sz w:val="19"/>
                            <w:szCs w:val="19"/>
                          </w:rPr>
                          <w:t>G19)</w:t>
                        </w:r>
                        <w:r>
                          <w:rPr>
                            <w:rFonts w:cstheme="minorBidi"/>
                            <w:color w:val="000000" w:themeColor="text1"/>
                            <w:kern w:val="24"/>
                          </w:rPr>
                          <w:t xml:space="preserve"> </w:t>
                        </w:r>
                      </w:p>
                    </w:txbxContent>
                  </v:textbox>
                </v:shape>
                <v:shape id="TextBox 30" o:spid="_x0000_s1032" type="#_x0000_t202" alt="Table" style="position:absolute;left:67;top:31188;width:34118;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Hwb8A&#10;AADcAAAADwAAAGRycy9kb3ducmV2LnhtbERPTYvCMBC9C/sfwix409QeRKpp2S0IHt0qeB2Tsa02&#10;k9JE7e6v3xwEj4/3vSlG24kHDb51rGAxT0AQa2darhUcD9vZCoQPyAY7x6TglzwU+cdkg5lxT/6h&#10;RxVqEUPYZ6igCaHPpPS6IYt+7nriyF3cYDFEONTSDPiM4baTaZIspcWWY0ODPZUN6Vt1twrq01mm&#10;V3MKh3KxL793f3rrK63U9HP8WoMINIa3+OXeGQVpGtfGM/EI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REfBvwAAANwAAAAPAAAAAAAAAAAAAAAAAJgCAABkcnMvZG93bnJl&#10;di54bWxQSwUGAAAAAAQABAD1AAAAhAMAAAAA&#10;" fillcolor="#f2f2f2" strokecolor="windowText">
                  <v:textbox>
                    <w:txbxContent>
                      <w:p w:rsidR="0004186A" w:rsidRDefault="0004186A" w:rsidP="00614CB4">
                        <w:pPr>
                          <w:pStyle w:val="NormalWeb"/>
                          <w:spacing w:after="0"/>
                          <w:jc w:val="center"/>
                        </w:pPr>
                        <w:r>
                          <w:rPr>
                            <w:rFonts w:cstheme="minorBidi"/>
                            <w:b/>
                            <w:bCs/>
                            <w:color w:val="000000"/>
                            <w:kern w:val="24"/>
                            <w:sz w:val="19"/>
                            <w:szCs w:val="19"/>
                            <w:u w:val="single"/>
                          </w:rPr>
                          <w:t>It is a non-IP licence</w:t>
                        </w:r>
                      </w:p>
                    </w:txbxContent>
                  </v:textbox>
                </v:shape>
                <v:shape id="TextBox 37" o:spid="_x0000_s1033" type="#_x0000_t202" alt="Table" style="position:absolute;left:67;top:59494;width:34118;height:5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aFcMA&#10;AADcAAAADwAAAGRycy9kb3ducmV2LnhtbESPQWvCQBSE7wX/w/KE3urGFEqNrhICQnspNBXPj+wz&#10;iWbfLrtbTf59tyB4HGbmG2azG80gruRDb1nBcpGBIG6s7rlVcPjZv7yDCBFZ42CZFEwUYLedPW2w&#10;0PbG33StYysShEOBCroYXSFlaDoyGBbWESfvZL3BmKRvpfZ4S3AzyDzL3qTBntNCh46qjppL/WsU&#10;vA7+3H46dMepXIaqDNNXhbVSz/OxXIOINMZH+N7+0AryfAX/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faFcMAAADcAAAADwAAAAAAAAAAAAAAAACYAgAAZHJzL2Rv&#10;d25yZXYueG1sUEsFBgAAAAAEAAQA9QAAAIgDAAAAAA==&#10;" filled="f" strokecolor="windowText">
                  <v:textbox>
                    <w:txbxContent>
                      <w:p w:rsidR="0004186A" w:rsidRDefault="0004186A" w:rsidP="00614CB4">
                        <w:pPr>
                          <w:pStyle w:val="NormalWeb"/>
                          <w:spacing w:after="0"/>
                          <w:jc w:val="center"/>
                        </w:pPr>
                        <w:r>
                          <w:rPr>
                            <w:rFonts w:cstheme="minorBidi"/>
                            <w:color w:val="000000"/>
                            <w:kern w:val="24"/>
                            <w:sz w:val="19"/>
                            <w:szCs w:val="19"/>
                          </w:rPr>
                          <w:t xml:space="preserve">Combine the non-IP licence with other goods and services in the arrangement until a bundle of goods or services is identified that is distinct and account for it in accordance with </w:t>
                        </w:r>
                        <w:r>
                          <w:rPr>
                            <w:rFonts w:cstheme="minorBidi"/>
                            <w:b/>
                            <w:bCs/>
                            <w:color w:val="000000"/>
                            <w:kern w:val="24"/>
                            <w:sz w:val="19"/>
                            <w:szCs w:val="19"/>
                          </w:rPr>
                          <w:t>AASB 15</w:t>
                        </w:r>
                      </w:p>
                    </w:txbxContent>
                  </v:textbox>
                </v:shape>
                <v:shape id="TextBox 11" o:spid="_x0000_s1034" type="#_x0000_t202" alt="Table" style="position:absolute;left:38616;top:2783;width:1835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kJb8A&#10;AADcAAAADwAAAGRycy9kb3ducmV2LnhtbERPy2oCMRTdF/oP4Ra6qxkflXY0ighCxVW13V8m15lo&#10;cjMkGR3/3iwEl4fzni97Z8WFQjSeFQwHBQjiymvDtYK/w+bjC0RMyBqtZ1JwowjLxevLHEvtr/xL&#10;l32qRQ7hWKKCJqW2lDJWDTmMA98SZ+7og8OUYailDnjN4c7KUVFMpUPDuaHBltYNVed95xR8GzNE&#10;a4tT2PGk8910+99uP5V6f+tXMxCJ+vQUP9w/WsFonOfnM/kI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QlvwAAANwAAAAPAAAAAAAAAAAAAAAAAJgCAABkcnMvZG93bnJl&#10;di54bWxQSwUGAAAAAAQABAD1AAAAhAMAAAAA&#10;" filled="f" strokecolor="windowText">
                  <v:textbox style="mso-fit-shape-to-text:t">
                    <w:txbxContent>
                      <w:p w:rsidR="0004186A" w:rsidRDefault="0004186A" w:rsidP="00614CB4">
                        <w:pPr>
                          <w:pStyle w:val="NormalWeb"/>
                          <w:spacing w:after="0"/>
                          <w:jc w:val="center"/>
                        </w:pPr>
                        <w:r>
                          <w:rPr>
                            <w:rFonts w:cstheme="minorBidi"/>
                            <w:color w:val="000000"/>
                            <w:kern w:val="24"/>
                            <w:sz w:val="19"/>
                            <w:szCs w:val="19"/>
                          </w:rPr>
                          <w:t xml:space="preserve">Refer to </w:t>
                        </w:r>
                        <w:r>
                          <w:rPr>
                            <w:rFonts w:cstheme="minorBidi"/>
                            <w:b/>
                            <w:bCs/>
                            <w:color w:val="000000"/>
                            <w:kern w:val="24"/>
                            <w:sz w:val="19"/>
                            <w:szCs w:val="19"/>
                          </w:rPr>
                          <w:t xml:space="preserve">AASB 1058 </w:t>
                        </w:r>
                        <w:r>
                          <w:rPr>
                            <w:rFonts w:cstheme="minorBidi"/>
                            <w:b/>
                            <w:bCs/>
                            <w:i/>
                            <w:iCs/>
                            <w:color w:val="000000"/>
                            <w:kern w:val="24"/>
                            <w:sz w:val="19"/>
                            <w:szCs w:val="19"/>
                          </w:rPr>
                          <w:t>Income of Not-for-Profit Entities</w:t>
                        </w:r>
                        <w:r>
                          <w:rPr>
                            <w:rFonts w:cstheme="minorBidi"/>
                            <w:color w:val="000000"/>
                            <w:kern w:val="24"/>
                            <w:sz w:val="19"/>
                            <w:szCs w:val="19"/>
                          </w:rPr>
                          <w:t xml:space="preserve"> for accounting treatment</w:t>
                        </w:r>
                      </w:p>
                    </w:txbxContent>
                  </v:textbox>
                </v:shape>
                <v:shape id="TextBox 24" o:spid="_x0000_s1035" type="#_x0000_t202" alt="Table" style="position:absolute;left:38331;top:21349;width:18358;height:5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4gcMA&#10;AADcAAAADwAAAGRycy9kb3ducmV2LnhtbESPQWvCQBSE7wX/w/IEb3WTCFKiq7QBwaONBa/P3WeS&#10;Nvs2ZFeN/vquIHgcZuYbZrkebCsu1PvGsYJ0moAg1s40XCn42W/eP0D4gGywdUwKbuRhvRq9LTE3&#10;7srfdClDJSKEfY4K6hC6XEqva7Lop64jjt7J9RZDlH0lTY/XCLetzJJkLi02HBdq7KioSf+VZ6ug&#10;Ohxl9msOYV+ku+Jre9cbX2qlJuPhcwEi0BBe4Wd7axRksxQ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d4gcMAAADcAAAADwAAAAAAAAAAAAAAAACYAgAAZHJzL2Rv&#10;d25yZXYueG1sUEsFBgAAAAAEAAQA9QAAAIgDAAAAAA==&#10;" fillcolor="#f2f2f2" strokecolor="windowText">
                  <v:textbox>
                    <w:txbxContent>
                      <w:p w:rsidR="0004186A" w:rsidRPr="00124FCF" w:rsidRDefault="0004186A" w:rsidP="00614CB4">
                        <w:pPr>
                          <w:pStyle w:val="NormalWeb"/>
                          <w:spacing w:after="0"/>
                          <w:jc w:val="center"/>
                          <w:rPr>
                            <w:rFonts w:cstheme="minorBidi"/>
                            <w:color w:val="000000"/>
                            <w:kern w:val="24"/>
                            <w:sz w:val="19"/>
                            <w:szCs w:val="19"/>
                          </w:rPr>
                        </w:pPr>
                        <w:r>
                          <w:rPr>
                            <w:rFonts w:cstheme="minorBidi"/>
                            <w:color w:val="000000"/>
                            <w:kern w:val="24"/>
                            <w:sz w:val="19"/>
                            <w:szCs w:val="19"/>
                          </w:rPr>
                          <w:t xml:space="preserve">Refer to </w:t>
                        </w:r>
                        <w:r w:rsidRPr="00124FCF">
                          <w:rPr>
                            <w:rFonts w:cstheme="minorBidi"/>
                            <w:b/>
                            <w:color w:val="000000"/>
                            <w:kern w:val="24"/>
                            <w:sz w:val="19"/>
                            <w:szCs w:val="19"/>
                          </w:rPr>
                          <w:t>AASB 15 paragraphs B52–B63B</w:t>
                        </w:r>
                        <w:r w:rsidRPr="00124FCF">
                          <w:rPr>
                            <w:rFonts w:cstheme="minorBidi"/>
                            <w:color w:val="000000"/>
                            <w:kern w:val="24"/>
                            <w:sz w:val="19"/>
                            <w:szCs w:val="19"/>
                          </w:rPr>
                          <w:t xml:space="preserve"> </w:t>
                        </w:r>
                        <w:r>
                          <w:rPr>
                            <w:rFonts w:cstheme="minorBidi"/>
                            <w:color w:val="000000"/>
                            <w:kern w:val="24"/>
                            <w:sz w:val="19"/>
                            <w:szCs w:val="19"/>
                          </w:rPr>
                          <w:t>for accounting treatment</w:t>
                        </w:r>
                      </w:p>
                      <w:p w:rsidR="0004186A" w:rsidRDefault="0004186A" w:rsidP="00614CB4">
                        <w:pPr>
                          <w:pStyle w:val="NormalWeb"/>
                          <w:spacing w:after="0"/>
                          <w:jc w:val="both"/>
                        </w:pPr>
                        <w:r>
                          <w:rPr>
                            <w:rFonts w:cstheme="minorBidi"/>
                            <w:color w:val="000000" w:themeColor="text1"/>
                            <w:kern w:val="24"/>
                            <w:sz w:val="19"/>
                            <w:szCs w:val="19"/>
                          </w:rPr>
                          <w:t> </w:t>
                        </w:r>
                      </w:p>
                    </w:txbxContent>
                  </v:textbox>
                </v:shape>
                <v:shape id="TextBox 26" o:spid="_x0000_s1036" type="#_x0000_t202" alt="Table" style="position:absolute;left:39164;top:36471;width:18358;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eucIA&#10;AADcAAAADwAAAGRycy9kb3ducmV2LnhtbESPQWvCQBSE7wX/w/IK3nRjhCKpq4SAUC+CUXp+ZF+T&#10;tNm3y+5Wk3/vCoUeh5n5htnuRzOIG/nQW1awWmYgiBure24VXC+HxQZEiMgaB8ukYKIA+93sZYuF&#10;tnc+062OrUgQDgUq6GJ0hZSh6chgWFpHnLwv6w3GJH0rtcd7gptB5ln2Jg32nBY6dFR11PzUv0bB&#10;evDf7dGh+5zKVajKMJ0qrJWav47lO4hIY/wP/7U/tIJ8ncPzTDo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t65wgAAANwAAAAPAAAAAAAAAAAAAAAAAJgCAABkcnMvZG93&#10;bnJldi54bWxQSwUGAAAAAAQABAD1AAAAhwMAAAAA&#10;" filled="f" strokecolor="windowText">
                  <v:textbox>
                    <w:txbxContent>
                      <w:p w:rsidR="0004186A" w:rsidRDefault="0004186A" w:rsidP="00614CB4">
                        <w:pPr>
                          <w:pStyle w:val="NormalWeb"/>
                          <w:spacing w:after="0"/>
                          <w:jc w:val="center"/>
                        </w:pPr>
                        <w:r>
                          <w:rPr>
                            <w:rFonts w:cstheme="minorBidi"/>
                            <w:color w:val="000000"/>
                            <w:kern w:val="24"/>
                            <w:sz w:val="19"/>
                            <w:szCs w:val="19"/>
                          </w:rPr>
                          <w:t xml:space="preserve">Refer to </w:t>
                        </w:r>
                        <w:r>
                          <w:rPr>
                            <w:rFonts w:cstheme="minorBidi"/>
                            <w:b/>
                            <w:bCs/>
                            <w:color w:val="000000"/>
                            <w:kern w:val="24"/>
                            <w:sz w:val="19"/>
                            <w:szCs w:val="19"/>
                          </w:rPr>
                          <w:t xml:space="preserve">AASB 16 </w:t>
                        </w:r>
                        <w:r>
                          <w:rPr>
                            <w:rFonts w:cstheme="minorBidi"/>
                            <w:b/>
                            <w:bCs/>
                            <w:i/>
                            <w:iCs/>
                            <w:color w:val="000000"/>
                            <w:kern w:val="24"/>
                            <w:sz w:val="19"/>
                            <w:szCs w:val="19"/>
                          </w:rPr>
                          <w:t xml:space="preserve">Leases </w:t>
                        </w:r>
                        <w:r>
                          <w:rPr>
                            <w:rFonts w:cstheme="minorBidi"/>
                            <w:color w:val="000000"/>
                            <w:kern w:val="24"/>
                            <w:sz w:val="19"/>
                            <w:szCs w:val="19"/>
                          </w:rPr>
                          <w:t>for accounting treatment</w:t>
                        </w:r>
                      </w:p>
                    </w:txbxContent>
                  </v:textbox>
                </v:shape>
                <v:shape id="TextBox 34" o:spid="_x0000_s1037" type="#_x0000_t202" alt="Table" style="position:absolute;left:39164;top:51598;width:18358;height: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6UsMA&#10;AADcAAAADwAAAGRycy9kb3ducmV2LnhtbESPT2sCMRTE7wW/Q3iCt5pVW2m3RhFBUHqqf+6Pzetu&#10;NHlZkqyu374pFHocZuY3zGLVOytuFKLxrGAyLkAQV14brhWcjtvnNxAxIWu0nknBgyKsloOnBZba&#10;3/mLbodUiwzhWKKCJqW2lDJWDTmMY98SZ+/bB4cpy1BLHfCe4c7KaVHMpUPDeaHBljYNVddD5xS8&#10;GzNBa4tL+OSXznfz/bndvyo1GvbrDxCJ+vQf/mvvtILpbAa/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6UsMAAADcAAAADwAAAAAAAAAAAAAAAACYAgAAZHJzL2Rv&#10;d25yZXYueG1sUEsFBgAAAAAEAAQA9QAAAIgDAAAAAA==&#10;" filled="f" strokecolor="windowText">
                  <v:textbox style="mso-fit-shape-to-text:t">
                    <w:txbxContent>
                      <w:p w:rsidR="0004186A" w:rsidRDefault="0004186A" w:rsidP="00614CB4">
                        <w:pPr>
                          <w:pStyle w:val="NormalWeb"/>
                          <w:spacing w:after="0"/>
                          <w:jc w:val="center"/>
                        </w:pPr>
                        <w:r>
                          <w:rPr>
                            <w:rFonts w:cstheme="minorBidi"/>
                            <w:color w:val="000000"/>
                            <w:kern w:val="24"/>
                            <w:sz w:val="19"/>
                            <w:szCs w:val="19"/>
                          </w:rPr>
                          <w:t xml:space="preserve">Account for each distinct performance obligation separately in accordance with </w:t>
                        </w:r>
                        <w:r>
                          <w:rPr>
                            <w:rFonts w:cstheme="minorBidi"/>
                            <w:b/>
                            <w:bCs/>
                            <w:color w:val="000000"/>
                            <w:kern w:val="24"/>
                            <w:sz w:val="19"/>
                            <w:szCs w:val="19"/>
                          </w:rPr>
                          <w:t>AASB 15</w:t>
                        </w:r>
                      </w:p>
                    </w:txbxContent>
                  </v:textbox>
                </v:shape>
                <v:shape id="TextBox 43" o:spid="_x0000_s1038" type="#_x0000_t202" alt="Table" style="position:absolute;left:38509;top:12845;width:1835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VsIA&#10;AADcAAAADwAAAGRycy9kb3ducmV2LnhtbESPQWvCQBSE7wX/w/KE3upGLSLRVUKg0F4KjeL5kX0m&#10;0ezbZXeryb/vFgSPw8x8w2z3g+nFjXzoLCuYzzIQxLXVHTcKjoePtzWIEJE19pZJwUgB9rvJyxZz&#10;be/8Q7cqNiJBOOSooI3R5VKGuiWDYWYdcfLO1huMSfpGao/3BDe9XGTZShrsOC206Khsqb5Wv0bB&#10;sveX5suhO43FPJRFGL9LrJR6nQ7FBkSkIT7Dj/anVrBYvsP/mXQ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NWwgAAANwAAAAPAAAAAAAAAAAAAAAAAJgCAABkcnMvZG93&#10;bnJldi54bWxQSwUGAAAAAAQABAD1AAAAhwMAAAAA&#10;" filled="f" strokecolor="windowText">
                  <v:textbox>
                    <w:txbxContent>
                      <w:p w:rsidR="0004186A" w:rsidRDefault="0004186A" w:rsidP="00614CB4">
                        <w:pPr>
                          <w:pStyle w:val="NormalWeb"/>
                          <w:spacing w:after="0"/>
                          <w:jc w:val="center"/>
                        </w:pPr>
                        <w:r>
                          <w:rPr>
                            <w:rFonts w:cstheme="minorBidi"/>
                            <w:color w:val="000000"/>
                            <w:kern w:val="24"/>
                            <w:sz w:val="19"/>
                            <w:szCs w:val="19"/>
                          </w:rPr>
                          <w:t xml:space="preserve">Licensor can elect to adopt the practical expedients in </w:t>
                        </w:r>
                        <w:r>
                          <w:rPr>
                            <w:rFonts w:cstheme="minorBidi"/>
                            <w:b/>
                            <w:bCs/>
                            <w:color w:val="000000"/>
                            <w:kern w:val="24"/>
                            <w:sz w:val="19"/>
                            <w:szCs w:val="19"/>
                          </w:rPr>
                          <w:t>AASB 15 paragraphs Aus8.1</w:t>
                        </w:r>
                        <w:r>
                          <w:t>–</w:t>
                        </w:r>
                        <w:r>
                          <w:rPr>
                            <w:rFonts w:cstheme="minorBidi"/>
                            <w:b/>
                            <w:bCs/>
                            <w:color w:val="000000"/>
                            <w:kern w:val="24"/>
                            <w:sz w:val="19"/>
                            <w:szCs w:val="19"/>
                          </w:rPr>
                          <w:t>Aus8.5</w:t>
                        </w:r>
                      </w:p>
                    </w:txbxContent>
                  </v:textbox>
                </v:shape>
                <v:shape id="Straight Arrow Connector 235" o:spid="_x0000_s1039" type="#_x0000_t32" alt="Table" style="position:absolute;left:17126;top:17575;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NesUAAADcAAAADwAAAGRycy9kb3ducmV2LnhtbESPT2vCQBTE74V+h+UVetNNLDUS3UhR&#10;ShXx0FQ8P7Ivf2j2bdjdavz2bqHQ4zAzv2FW69H04kLOd5YVpNMEBHFldceNgtPX+2QBwgdkjb1l&#10;UnAjD+vi8WGFubZX/qRLGRoRIexzVNCGMORS+qolg35qB+Lo1dYZDFG6RmqH1wg3vZwlyVwa7Dgu&#10;tDjQpqXqu/wxCups728fu1S6bT9PUj5mB3/OlHp+Gt+WIAKN4T/8195pBbOXV/g9E4+AL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mNesUAAADcAAAADwAAAAAAAAAA&#10;AAAAAAChAgAAZHJzL2Rvd25yZXYueG1sUEsFBgAAAAAEAAQA+QAAAJMDAAAAAA==&#10;" strokecolor="windowText" strokeweight=".5pt">
                  <v:stroke endarrow="open" joinstyle="miter"/>
                </v:shape>
                <v:shape id="Straight Arrow Connector 236" o:spid="_x0000_s1040" type="#_x0000_t32" style="position:absolute;left:17126;top:33487;width:0;height:2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5IcQAAADcAAAADwAAAGRycy9kb3ducmV2LnhtbESPX2vCMBTF3wf7DuEO9jbTOXBSjTKk&#10;Y3vpYNUX3y7NtS02NyVJNfPTm4Hg4+H8+XGW62h6cSLnO8sKXicZCOLa6o4bBbvt58schA/IGnvL&#10;pOCPPKxXjw9LzLU98y+dqtCINMI+RwVtCEMupa9bMugndiBO3sE6gyFJ10jt8JzGTS+nWTaTBjtO&#10;hBYH2rRUH6vRJK7duEsdx6Iqxp/3KIuy/NqXSj0/xY8FiEAx3MO39rdWMH2bwf+ZdAT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TkhxAAAANwAAAAPAAAAAAAAAAAA&#10;AAAAAKECAABkcnMvZG93bnJldi54bWxQSwUGAAAAAAQABAD5AAAAkgMAAAAA&#10;" strokecolor="windowText" strokeweight=".5pt">
                  <v:stroke endarrow="open" joinstyle="miter"/>
                </v:shape>
                <v:shape id="Straight Arrow Connector 237" o:spid="_x0000_s1041" type="#_x0000_t32" alt="Table" style="position:absolute;left:34185;top:15512;width:4324;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cusQAAADcAAAADwAAAGRycy9kb3ducmV2LnhtbESPX2vCMBTF34V9h3AHe9N0DqZUowzp&#10;2F4qrPri26W5tsXmpiSpZvv0y0DY4+H8+XHW22h6cSXnO8sKnmcZCOLa6o4bBcfD+3QJwgdkjb1l&#10;UvBNHrabh8kac21v/EXXKjQijbDPUUEbwpBL6euWDPqZHYiTd7bOYEjSNVI7vKVx08t5lr1Kgx0n&#10;QosD7VqqL9VoEtfu3E8dx6Iqxv0iyqIsP06lUk+P8W0FIlAM/+F7+1MrmL8s4O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Zy6xAAAANwAAAAPAAAAAAAAAAAA&#10;AAAAAKECAABkcnMvZG93bnJldi54bWxQSwUGAAAAAAQABAD5AAAAkgMAAAAA&#10;" strokecolor="windowText" strokeweight=".5pt">
                  <v:stroke endarrow="open" joinstyle="miter"/>
                </v:shape>
                <v:shape id="Straight Arrow Connector 238" o:spid="_x0000_s1042" type="#_x0000_t32" style="position:absolute;left:34253;top:23960;width:4078;height: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IyMIAAADcAAAADwAAAGRycy9kb3ducmV2LnhtbERPTUvDQBC9C/0PyxS82Y0VtMRui5SI&#10;XiKY9uJtyI5JMDsbdjft6q93DoLHx/ve7rMb1ZlCHDwbuF0VoIhbbwfuDJyOzzcbUDEhWxw9k4Fv&#10;irDfLa62WFp/4Xc6N6lTEsKxRAN9SlOpdWx7chhXfiIW7tMHh0lg6LQNeJFwN+p1UdxrhwNLQ48T&#10;HXpqv5rZSa8/hJ82z1VTzW8PWVd1/fJRG3O9zE+PoBLl9C/+c79aA+s7WStn5Aj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YIyMIAAADcAAAADwAAAAAAAAAAAAAA&#10;AAChAgAAZHJzL2Rvd25yZXYueG1sUEsFBgAAAAAEAAQA+QAAAJADAAAAAA==&#10;" strokecolor="windowText" strokeweight=".5pt">
                  <v:stroke endarrow="open" joinstyle="miter"/>
                </v:shape>
                <v:shape id="Straight Arrow Connector 239" o:spid="_x0000_s1043" type="#_x0000_t32" style="position:absolute;left:34253;top:54135;width:4911;height: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tU8UAAADcAAAADwAAAGRycy9kb3ducmV2LnhtbESPX2vCMBTF3wf7DuEO9jbTOdhmNcqQ&#10;ju2lgp0vvl2aa1tsbkqSarZPbwRhj4fz58dZrKLpxYmc7ywreJ5kIIhrqztuFOx+Pp/eQfiArLG3&#10;TAp+ycNqeX+3wFzbM2/pVIVGpBH2OSpoQxhyKX3dkkE/sQNx8g7WGQxJukZqh+c0bno5zbJXabDj&#10;RGhxoHVL9bEaTeLatfur41hUxbh5i7Ioy699qdTjQ/yYgwgUw3/41v7WCqYvM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qtU8UAAADcAAAADwAAAAAAAAAA&#10;AAAAAAChAgAAZHJzL2Rvd25yZXYueG1sUEsFBgAAAAAEAAQA+QAAAJMDAAAAAA==&#10;" strokecolor="windowText" strokeweight=".5pt">
                  <v:stroke endarrow="open" joinstyle="miter"/>
                </v:shape>
                <v:shape id="Straight Arrow Connector 240" o:spid="_x0000_s1044" type="#_x0000_t32" alt="Table" style="position:absolute;left:34230;top:5319;width:4386;height: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Z3s8IAAADcAAAADwAAAGRycy9kb3ducmV2LnhtbERPTUvDQBC9C/0PyxS82Y1FtMRui5SI&#10;XiKY9uJtyI5JMDsbdjft6q93DoLHx/ve7rMb1ZlCHDwbuF0VoIhbbwfuDJyOzzcbUDEhWxw9k4Fv&#10;irDfLa62WFp/4Xc6N6lTEsKxRAN9SlOpdWx7chhXfiIW7tMHh0lg6LQNeJFwN+p1UdxrhwNLQ48T&#10;HXpqv5rZSa8/hJ82z1VTzW8PWVd1/fJRG3O9zE+PoBLl9C/+c79aA+s7mS9n5Aj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Z3s8IAAADcAAAADwAAAAAAAAAAAAAA&#10;AAChAgAAZHJzL2Rvd25yZXYueG1sUEsFBgAAAAAEAAQA+QAAAJADAAAAAA==&#10;" strokecolor="windowText" strokeweight=".5pt">
                  <v:stroke endarrow="open" joinstyle="miter"/>
                </v:shape>
                <v:shape id="TextBox 56" o:spid="_x0000_s1045" type="#_x0000_t202" alt="Table" style="position:absolute;left:34093;top:2702;width:4388;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filled="f" stroked="f">
                  <v:textbox style="mso-fit-shape-to-text:t">
                    <w:txbxContent>
                      <w:p w:rsidR="0004186A" w:rsidRDefault="0004186A" w:rsidP="00614CB4">
                        <w:pPr>
                          <w:pStyle w:val="NormalWeb"/>
                          <w:spacing w:after="0"/>
                          <w:jc w:val="center"/>
                        </w:pPr>
                        <w:r>
                          <w:rPr>
                            <w:rFonts w:cstheme="minorBidi"/>
                            <w:b/>
                            <w:bCs/>
                            <w:color w:val="000000"/>
                            <w:kern w:val="24"/>
                            <w:sz w:val="19"/>
                            <w:szCs w:val="19"/>
                            <w:u w:val="single"/>
                          </w:rPr>
                          <w:t>TAX</w:t>
                        </w:r>
                      </w:p>
                    </w:txbxContent>
                  </v:textbox>
                </v:shape>
                <v:shape id="TextBox 15" o:spid="_x0000_s1046" type="#_x0000_t202" alt="Table" style="position:absolute;left:18015;top:10736;width:788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RqcIA&#10;AADcAAAADwAAAGRycy9kb3ducmV2LnhtbESPQWvCQBSE74X+h+UJ3urGY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VGpwgAAANwAAAAPAAAAAAAAAAAAAAAAAJgCAABkcnMvZG93&#10;bnJldi54bWxQSwUGAAAAAAQABAD1AAAAhwMAAAAA&#10;" filled="f" stroked="f">
                  <v:textbox style="mso-fit-shape-to-text:t">
                    <w:txbxContent>
                      <w:p w:rsidR="0004186A" w:rsidRDefault="0004186A" w:rsidP="00614CB4">
                        <w:pPr>
                          <w:pStyle w:val="NormalWeb"/>
                          <w:spacing w:after="0"/>
                          <w:jc w:val="center"/>
                        </w:pPr>
                        <w:r>
                          <w:rPr>
                            <w:rFonts w:cstheme="minorBidi"/>
                            <w:b/>
                            <w:bCs/>
                            <w:color w:val="000000"/>
                            <w:kern w:val="24"/>
                            <w:sz w:val="19"/>
                            <w:szCs w:val="19"/>
                            <w:u w:val="single"/>
                          </w:rPr>
                          <w:t>LICENCE</w:t>
                        </w:r>
                      </w:p>
                    </w:txbxContent>
                  </v:textbox>
                </v:shape>
                <v:shape id="TextBox 46" o:spid="_x0000_s1047" type="#_x0000_t202" alt="Table" style="position:absolute;left:17607;top:28463;width:390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0MsMA&#10;AADcAAAADwAAAGRycy9kb3ducmV2LnhtbESPQWvCQBSE7wX/w/IEb3WjtkWiq4hV8NBLbbw/ss9s&#10;MPs2ZF9N/PfdQqHHYWa+YdbbwTfqTl2sAxuYTTNQxGWwNVcGiq/j8xJUFGSLTWAy8KAI283oaY25&#10;DT1/0v0slUoQjjkacCJtrnUsHXmM09ASJ+8aOo+SZFdp22Gf4L7R8yx70x5rTgsOW9o7Km/nb29A&#10;xO5mj+Lg4+kyfLz3LitfsTBmMh52K1BCg/yH/9ona2D+s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n0MsMAAADcAAAADwAAAAAAAAAAAAAAAACYAgAAZHJzL2Rv&#10;d25yZXYueG1sUEsFBgAAAAAEAAQA9QAAAIgDA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No</w:t>
                        </w:r>
                      </w:p>
                    </w:txbxContent>
                  </v:textbox>
                </v:shape>
                <v:shape id="TextBox 46" o:spid="_x0000_s1048" type="#_x0000_t202" alt="Table" style="position:absolute;left:17166;top:40711;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04186A" w:rsidRDefault="0004186A" w:rsidP="00614CB4">
                        <w:pPr>
                          <w:pStyle w:val="NormalWeb"/>
                          <w:spacing w:after="0"/>
                          <w:jc w:val="center"/>
                        </w:pPr>
                        <w:r>
                          <w:rPr>
                            <w:rFonts w:cstheme="minorBidi"/>
                            <w:color w:val="000000"/>
                            <w:kern w:val="24"/>
                            <w:sz w:val="19"/>
                            <w:szCs w:val="19"/>
                          </w:rPr>
                          <w:t>No</w:t>
                        </w:r>
                      </w:p>
                    </w:txbxContent>
                  </v:textbox>
                </v:shape>
                <v:shape id="_x0000_s1049" type="#_x0000_t202" style="position:absolute;left:34412;top:12590;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Yes</w:t>
                        </w:r>
                      </w:p>
                    </w:txbxContent>
                  </v:textbox>
                </v:shape>
                <v:shape id="_x0000_s1050" type="#_x0000_t202" alt="Table" style="position:absolute;left:34703;top:35983;width:375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Yes</w:t>
                        </w:r>
                      </w:p>
                    </w:txbxContent>
                  </v:textbox>
                </v:shape>
                <v:shape id="_x0000_s1051" type="#_x0000_t202" alt="Table" style="position:absolute;left:34572;top:43092;width:375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No</w:t>
                        </w:r>
                      </w:p>
                    </w:txbxContent>
                  </v:textbox>
                </v:shape>
                <v:shape id="Text Box 7" o:spid="_x0000_s1052" type="#_x0000_t202" style="position:absolute;left:13914;top:54553;width:5646;height:4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UKcMA&#10;AADcAAAADwAAAGRycy9kb3ducmV2LnhtbERPXWvCMBR9H+w/hDvwbaYTGVKNIrIxhRW1Cr5emmtb&#10;bW5KktnOX28eBns8nO/ZojeNuJHztWUFb8MEBHFhdc2lguPh83UCwgdkjY1lUvBLHhbz56cZptp2&#10;vKdbHkoRQ9inqKAKoU2l9EVFBv3QtsSRO1tnMEToSqkddjHcNHKUJO/SYM2xocKWVhUV1/zHKDh1&#10;+ZfbbjaXXbvO7tt7nn3TR6bU4KVfTkEE6sO/+M+91gpG4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UKcMAAADcAAAADwAAAAAAAAAAAAAAAACYAgAAZHJzL2Rv&#10;d25yZXYueG1sUEsFBgAAAAAEAAQA9QAAAIgDAAAAAA==&#10;" fillcolor="window" stroked="f" strokeweight=".5pt">
                  <v:textbox>
                    <w:txbxContent>
                      <w:p w:rsidR="0004186A" w:rsidRDefault="0004186A" w:rsidP="00614CB4">
                        <w:pPr>
                          <w:pStyle w:val="NormalWeb"/>
                          <w:spacing w:after="0"/>
                          <w:jc w:val="both"/>
                        </w:pPr>
                        <w:r>
                          <w:rPr>
                            <w:rFonts w:cstheme="minorBidi"/>
                            <w:color w:val="000000" w:themeColor="dark1"/>
                            <w:kern w:val="24"/>
                            <w:sz w:val="19"/>
                            <w:szCs w:val="19"/>
                          </w:rPr>
                          <w:t> </w:t>
                        </w:r>
                      </w:p>
                    </w:txbxContent>
                  </v:textbox>
                </v:shape>
                <v:shape id="TextBox 23" o:spid="_x0000_s1053" type="#_x0000_t202" alt="Table" style="position:absolute;left:67;top:36400;width:34118;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xcIA&#10;AADcAAAADwAAAGRycy9kb3ducmV2LnhtbESPT2sCMRTE7wW/Q3iCt5pVrOjWKFIoKD35p/fH5nU3&#10;NXlZkqyu394UCh6HmfkNs9r0zoorhWg8K5iMCxDEldeGawXn0+frAkRMyBqtZ1Jwpwib9eBlhaX2&#10;Nz7Q9ZhqkSEcS1TQpNSWUsaqIYdx7Fvi7P344DBlGWqpA94y3Fk5LYq5dGg4LzTY0kdD1eXYOQVL&#10;YyZobfEbvnjW+W6+/273b0qNhv32HUSiPj3D/+2dVjCdLeHvTD4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f7FwgAAANwAAAAPAAAAAAAAAAAAAAAAAJgCAABkcnMvZG93&#10;bnJldi54bWxQSwUGAAAAAAQABAD1AAAAhwMAAAAA&#10;" filled="f" strokecolor="windowText">
                  <v:textbox style="mso-fit-shape-to-text:t">
                    <w:txbxContent>
                      <w:p w:rsidR="0004186A" w:rsidRDefault="0004186A" w:rsidP="00614CB4">
                        <w:pPr>
                          <w:pStyle w:val="NormalWeb"/>
                          <w:spacing w:after="0"/>
                          <w:jc w:val="center"/>
                        </w:pPr>
                        <w:r>
                          <w:rPr>
                            <w:rFonts w:cstheme="minorBidi"/>
                            <w:b/>
                            <w:bCs/>
                            <w:color w:val="000000"/>
                            <w:kern w:val="24"/>
                            <w:sz w:val="19"/>
                            <w:szCs w:val="19"/>
                          </w:rPr>
                          <w:t xml:space="preserve">Is the non-IP licence a lease or does it contain a lease? </w:t>
                        </w:r>
                        <w:r>
                          <w:rPr>
                            <w:rFonts w:cstheme="minorBidi"/>
                            <w:b/>
                            <w:bCs/>
                            <w:color w:val="000000"/>
                            <w:kern w:val="24"/>
                            <w:sz w:val="19"/>
                            <w:szCs w:val="19"/>
                          </w:rPr>
                          <w:br/>
                        </w:r>
                        <w:r>
                          <w:rPr>
                            <w:rFonts w:cstheme="minorBidi"/>
                            <w:color w:val="000000"/>
                            <w:kern w:val="24"/>
                            <w:sz w:val="19"/>
                            <w:szCs w:val="19"/>
                          </w:rP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AASB 16 paragraphs 9 and B9</w:t>
                        </w:r>
                        <w:r w:rsidRPr="00124FCF">
                          <w:rPr>
                            <w:rFonts w:cstheme="minorBidi"/>
                            <w:color w:val="000000"/>
                            <w:kern w:val="24"/>
                            <w:sz w:val="19"/>
                            <w:szCs w:val="19"/>
                          </w:rPr>
                          <w:t>–</w:t>
                        </w:r>
                        <w:r>
                          <w:rPr>
                            <w:rFonts w:cstheme="minorBidi"/>
                            <w:color w:val="000000"/>
                            <w:kern w:val="24"/>
                            <w:sz w:val="19"/>
                            <w:szCs w:val="19"/>
                          </w:rPr>
                          <w:t>B33)</w:t>
                        </w:r>
                      </w:p>
                    </w:txbxContent>
                  </v:textbox>
                </v:shape>
                <v:shape id="TextBox 37" o:spid="_x0000_s1054" type="#_x0000_t202" alt="Table" style="position:absolute;left:8;top:51451;width:34245;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9b8A&#10;AADcAAAADwAAAGRycy9kb3ducmV2LnhtbERPz2vCMBS+D/wfwhN2m6mODalGKQVBL8I68fxonm21&#10;eQlJ1Pa/N4fBjh/f7/V2ML14kA+dZQXzWQaCuLa640bB6Xf3sQQRIrLG3jIpGCnAdjN5W2Ou7ZN/&#10;6FHFRqQQDjkqaGN0uZShbslgmFlHnLiL9QZjgr6R2uMzhZteLrLsWxrsODW06Khsqb5Vd6Pgs/fX&#10;5uDQncdiHsoijMcSK6Xep0OxAhFpiP/iP/deK1h8pfnpTDo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wD1vwAAANwAAAAPAAAAAAAAAAAAAAAAAJgCAABkcnMvZG93bnJl&#10;di54bWxQSwUGAAAAAAQABAD1AAAAhAMAAAAA&#10;" filled="f" strokecolor="windowText">
                  <v:textbox>
                    <w:txbxContent>
                      <w:p w:rsidR="0004186A" w:rsidRDefault="0004186A" w:rsidP="00614CB4">
                        <w:pPr>
                          <w:pStyle w:val="NormalWeb"/>
                          <w:spacing w:after="0"/>
                          <w:jc w:val="center"/>
                        </w:pPr>
                        <w:r>
                          <w:rPr>
                            <w:rFonts w:cstheme="minorBidi"/>
                            <w:b/>
                            <w:bCs/>
                            <w:color w:val="000000"/>
                            <w:kern w:val="24"/>
                            <w:sz w:val="19"/>
                            <w:szCs w:val="19"/>
                          </w:rPr>
                          <w:t>Is the promise to issue the non-IP licence distinct from the other goods or services in the contract?</w:t>
                        </w:r>
                        <w:r>
                          <w:rPr>
                            <w:rFonts w:cstheme="minorBidi"/>
                            <w:color w:val="000000"/>
                            <w:kern w:val="24"/>
                            <w:sz w:val="19"/>
                            <w:szCs w:val="19"/>
                          </w:rPr>
                          <w:t xml:space="preserve"> </w:t>
                        </w:r>
                        <w:r>
                          <w:rPr>
                            <w:rFonts w:cstheme="minorBidi"/>
                            <w:color w:val="000000"/>
                            <w:kern w:val="24"/>
                            <w:sz w:val="19"/>
                            <w:szCs w:val="19"/>
                          </w:rPr>
                          <w:br/>
                          <w:t>(</w:t>
                        </w:r>
                        <w:proofErr w:type="gramStart"/>
                        <w:r>
                          <w:rPr>
                            <w:rFonts w:cstheme="minorBidi"/>
                            <w:color w:val="000000"/>
                            <w:kern w:val="24"/>
                            <w:sz w:val="19"/>
                            <w:szCs w:val="19"/>
                          </w:rPr>
                          <w:t>refer</w:t>
                        </w:r>
                        <w:proofErr w:type="gramEnd"/>
                        <w:r>
                          <w:rPr>
                            <w:rFonts w:cstheme="minorBidi"/>
                            <w:color w:val="000000"/>
                            <w:kern w:val="24"/>
                            <w:sz w:val="19"/>
                            <w:szCs w:val="19"/>
                          </w:rPr>
                          <w:t xml:space="preserve"> to paragraphs G20</w:t>
                        </w:r>
                        <w:r w:rsidRPr="00124FCF">
                          <w:rPr>
                            <w:rFonts w:cstheme="minorBidi"/>
                            <w:color w:val="000000"/>
                            <w:kern w:val="24"/>
                            <w:sz w:val="19"/>
                            <w:szCs w:val="19"/>
                          </w:rPr>
                          <w:t>–</w:t>
                        </w:r>
                        <w:r>
                          <w:rPr>
                            <w:rFonts w:cstheme="minorBidi"/>
                            <w:color w:val="000000"/>
                            <w:kern w:val="24"/>
                            <w:sz w:val="19"/>
                            <w:szCs w:val="19"/>
                          </w:rPr>
                          <w:t>G21)</w:t>
                        </w:r>
                      </w:p>
                      <w:p w:rsidR="0004186A" w:rsidRDefault="0004186A" w:rsidP="00614CB4">
                        <w:pPr>
                          <w:pStyle w:val="NormalWeb"/>
                          <w:spacing w:after="0"/>
                          <w:jc w:val="center"/>
                        </w:pPr>
                        <w:r>
                          <w:rPr>
                            <w:rFonts w:cstheme="minorBidi"/>
                            <w:color w:val="000000" w:themeColor="text1"/>
                            <w:kern w:val="24"/>
                            <w:sz w:val="19"/>
                            <w:szCs w:val="19"/>
                          </w:rPr>
                          <w:t> </w:t>
                        </w:r>
                      </w:p>
                    </w:txbxContent>
                  </v:textbox>
                </v:shape>
                <v:shape id="Straight Arrow Connector 251" o:spid="_x0000_s1055" type="#_x0000_t32" alt="Table" style="position:absolute;left:17115;top:10666;width:11;height:2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u2cMAAADcAAAADwAAAGRycy9kb3ducmV2LnhtbESPQYvCMBSE78L+h/AWvGlaQSvVKMsu&#10;oiIedBfPj+bZlm1eShK1/nsjCB6HmfmGmS8704grOV9bVpAOExDEhdU1lwr+fleDKQgfkDU2lknB&#10;nTwsFx+9Oeba3vhA12MoRYSwz1FBFUKbS+mLigz6oW2Jo3e2zmCI0pVSO7xFuGnkKEkm0mDNcaHC&#10;lr4rKv6PF6PgnG39fb1JpftpJknK+2znT5lS/c/uawYiUBfe4Vd7oxWMxik8z8Qj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btnDAAAA3AAAAA8AAAAAAAAAAAAA&#10;AAAAoQIAAGRycy9kb3ducmV2LnhtbFBLBQYAAAAABAAEAPkAAACRAwAAAAA=&#10;" strokecolor="windowText" strokeweight=".5pt">
                  <v:stroke endarrow="open" joinstyle="miter"/>
                </v:shape>
                <v:shape id="TextBox 46" o:spid="_x0000_s1056" type="#_x0000_t202" alt="Table" style="position:absolute;left:17616;top:17674;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HdMIA&#10;AADcAAAADwAAAGRycy9kb3ducmV2LnhtbESPwWrDMBBE74H+g9hCb4kcQ0JxI5uQtpBDL0md+2Jt&#10;LRNrZaxt7Px9VSj0OMzMG2ZXzb5XNxpjF9jAepWBIm6C7bg1UH++L59BRUG22AcmA3eKUJUPix0W&#10;Nkx8ottZWpUgHAs04ESGQuvYOPIYV2EgTt5XGD1KkmOr7YhTgvte51m21R47TgsOBzo4aq7nb29A&#10;xO7X9/rNx+Nl/nidXNZssDbm6XHev4ASmuU//Nc+WgP5JoffM+kI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Md0wgAAANwAAAAPAAAAAAAAAAAAAAAAAJgCAABkcnMvZG93&#10;bnJldi54bWxQSwUGAAAAAAQABAD1AAAAhwM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No</w:t>
                        </w:r>
                      </w:p>
                    </w:txbxContent>
                  </v:textbox>
                </v:shape>
                <v:shape id="Straight Arrow Connector 253" o:spid="_x0000_s1057" type="#_x0000_t32" style="position:absolute;left:34185;top:38325;width:497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1/GcUAAADcAAAADwAAAGRycy9kb3ducmV2LnhtbESPX2vCMBTF3wf7DuEO9jbTObZJNcqQ&#10;ju2lgp0vvl2aa1tsbkqSarZPbwRhj4fz58dZrKLpxYmc7ywreJ5kIIhrqztuFOx+Pp9mIHxA1thb&#10;JgW/5GG1vL9bYK7tmbd0qkIj0gj7HBW0IQy5lL5uyaCf2IE4eQfrDIYkXSO1w3MaN72cZtmbNNhx&#10;IrQ40Lql+liNJnHt2v3VcSyqYty8R1mU5de+VOrxIX7MQQSK4T98a39rBdPXF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1/GcUAAADcAAAADwAAAAAAAAAA&#10;AAAAAAChAgAAZHJzL2Rvd25yZXYueG1sUEsFBgAAAAAEAAQA+QAAAJMDAAAAAA==&#10;" strokecolor="windowText" strokeweight=".5pt">
                  <v:stroke endarrow="open" joinstyle="miter"/>
                </v:shape>
                <v:shape id="TextBox 34" o:spid="_x0000_s1058" type="#_x0000_t202" alt="Table" style="position:absolute;left:39173;top:43429;width:18358;height:5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HhsIA&#10;AADcAAAADwAAAGRycy9kb3ducmV2LnhtbESPQWsCMRSE74L/ITzBm2YVlXZrlFIoVDyp7f2xed1N&#10;m7wsSVbXf28EweMwM98w623vrDhTiMazgtm0AEFceW24VvB9+py8gIgJWaP1TAquFGG7GQ7WWGp/&#10;4QOdj6kWGcKxRAVNSm0pZawachinviXO3q8PDlOWoZY64CXDnZXzolhJh4bzQoMtfTRU/R87p+DV&#10;mBlaW/yFPS863612P+1uqdR41L+/gUjUp2f40f7SCubLBdzP5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ceGwgAAANwAAAAPAAAAAAAAAAAAAAAAAJgCAABkcnMvZG93&#10;bnJldi54bWxQSwUGAAAAAAQABAD1AAAAhwMAAAAA&#10;" filled="f" strokecolor="windowText">
                  <v:textbox style="mso-fit-shape-to-text:t">
                    <w:txbxContent>
                      <w:p w:rsidR="0004186A" w:rsidRDefault="0004186A" w:rsidP="00614CB4">
                        <w:pPr>
                          <w:pStyle w:val="NormalWeb"/>
                          <w:spacing w:after="0"/>
                          <w:jc w:val="center"/>
                        </w:pPr>
                        <w:r>
                          <w:rPr>
                            <w:rFonts w:cstheme="minorBidi"/>
                            <w:color w:val="000000"/>
                            <w:kern w:val="24"/>
                            <w:sz w:val="19"/>
                            <w:szCs w:val="19"/>
                          </w:rPr>
                          <w:t xml:space="preserve">Account for revenue from issuing of the non-IP licence in accordance with </w:t>
                        </w:r>
                        <w:r>
                          <w:rPr>
                            <w:rFonts w:cstheme="minorBidi"/>
                            <w:b/>
                            <w:bCs/>
                            <w:color w:val="000000"/>
                            <w:kern w:val="24"/>
                            <w:sz w:val="19"/>
                            <w:szCs w:val="19"/>
                          </w:rPr>
                          <w:t xml:space="preserve">AASB 15 </w:t>
                        </w:r>
                      </w:p>
                    </w:txbxContent>
                  </v:textbox>
                </v:shape>
                <v:shape id="Straight Arrow Connector 255" o:spid="_x0000_s1059" type="#_x0000_t32" style="position:absolute;left:34185;top:45965;width:4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o2sMAAADcAAAADwAAAGRycy9kb3ducmV2LnhtbESPQYvCMBSE74L/IbwFb5pW0C7VKIvL&#10;oiIedJc9P5pnW2xeShK1/nsjCB6HmfmGmS8704grOV9bVpCOEhDEhdU1lwr+fn+GnyB8QNbYWCYF&#10;d/KwXPR7c8y1vfGBrsdQighhn6OCKoQ2l9IXFRn0I9sSR+9kncEQpSuldniLcNPIcZJMpcGa40KF&#10;La0qKs7Hi1Fwyrb+vt6k0n030yTlfbbz/5lSg4/uawYiUBfe4Vd7oxWMJxN4no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maNrDAAAA3AAAAA8AAAAAAAAAAAAA&#10;AAAAoQIAAGRycy9kb3ducmV2LnhtbFBLBQYAAAAABAAEAPkAAACRAwAAAAA=&#10;" strokecolor="windowText" strokeweight=".5pt">
                  <v:stroke endarrow="open" joinstyle="miter"/>
                </v:shape>
                <v:shape id="_x0000_s1060" type="#_x0000_t202" alt="Table" style="position:absolute;left:34712;top:51475;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Bd8IA&#10;AADcAAAADwAAAGRycy9kb3ducmV2LnhtbESPQWvCQBSE7wX/w/IEb3WjoEjqKqIVPHippvdH9pkN&#10;Zt+G7KuJ/94tFHocZuYbZr0dfKMe1MU6sIHZNANFXAZbc2WguB7fV6CiIFtsApOBJ0XYbkZva8xt&#10;6PmLHhepVIJwzNGAE2lzrWPpyGOchpY4ebfQeZQku0rbDvsE942eZ9lSe6w5LThsae+ovF9+vAER&#10;u5s9i08fT9/D+dC7rFxgYcxkPOw+QAkN8h/+a5+sgfliC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8F3wgAAANwAAAAPAAAAAAAAAAAAAAAAAJgCAABkcnMvZG93&#10;bnJldi54bWxQSwUGAAAAAAQABAD1AAAAhwM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Yes</w:t>
                        </w:r>
                      </w:p>
                    </w:txbxContent>
                  </v:textbox>
                </v:shape>
                <v:shape id="_x0000_s1061" type="#_x0000_t202" alt="Table" style="position:absolute;left:17321;top:48803;width:3759;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tk7MMA&#10;AADcAAAADwAAAGRycy9kb3ducmV2LnhtbESPT2vCQBTE7wW/w/IEb3WjYFuiq4h/wEMvtfH+yL5m&#10;Q7NvQ/Zp4rd3hUKPw8z8hlltBt+oG3WxDmxgNs1AEZfB1lwZKL6Prx+goiBbbAKTgTtF2KxHLyvM&#10;bej5i25nqVSCcMzRgBNpc61j6chjnIaWOHk/ofMoSXaVth32Ce4bPc+yN+2x5rTgsKWdo/L3fPUG&#10;ROx2di8OPp4uw+e+d1m5wMKYyXjYLkEJDfIf/mufrIH54h2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tk7MMAAADcAAAADwAAAAAAAAAAAAAAAACYAgAAZHJzL2Rv&#10;d25yZXYueG1sUEsFBgAAAAAEAAQA9QAAAIgDAAAAAA==&#10;" filled="f" stroked="f">
                  <v:textbox style="mso-fit-shape-to-text:t">
                    <w:txbxContent>
                      <w:p w:rsidR="0004186A" w:rsidRDefault="0004186A" w:rsidP="00614CB4">
                        <w:pPr>
                          <w:pStyle w:val="NormalWeb"/>
                          <w:spacing w:after="0"/>
                          <w:jc w:val="center"/>
                        </w:pPr>
                        <w:r>
                          <w:rPr>
                            <w:rFonts w:cstheme="minorBidi"/>
                            <w:color w:val="000000"/>
                            <w:kern w:val="24"/>
                            <w:sz w:val="19"/>
                            <w:szCs w:val="19"/>
                          </w:rPr>
                          <w:t>Yes</w:t>
                        </w:r>
                      </w:p>
                    </w:txbxContent>
                  </v:textbox>
                </v:shape>
                <v:shape id="TextBox 46" o:spid="_x0000_s1062" type="#_x0000_t202" alt="Table" style="position:absolute;left:17593;top:57050;width:390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04186A" w:rsidRDefault="0004186A" w:rsidP="00614CB4">
                        <w:pPr>
                          <w:pStyle w:val="NormalWeb"/>
                          <w:spacing w:after="0"/>
                          <w:jc w:val="center"/>
                        </w:pPr>
                        <w:r>
                          <w:rPr>
                            <w:rFonts w:cstheme="minorBidi"/>
                            <w:color w:val="000000"/>
                            <w:kern w:val="24"/>
                            <w:sz w:val="19"/>
                            <w:szCs w:val="19"/>
                          </w:rPr>
                          <w:t>No</w:t>
                        </w:r>
                      </w:p>
                    </w:txbxContent>
                  </v:textbox>
                </v:shape>
                <v:shape id="Straight Arrow Connector 259" o:spid="_x0000_s1063" type="#_x0000_t32" style="position:absolute;left:17126;top:40249;width:0;height:3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I88UAAADcAAAADwAAAGRycy9kb3ducmV2LnhtbESPS2vCQBSF94X+h+EWuquTCn0YHaVI&#10;SruJYOrG3SVzTYKZO2FmotP+ekcQujycx8dZrKLpxYmc7ywreJ5kIIhrqztuFOx+Pp/eQfiArLG3&#10;TAp+ycNqeX+3wFzbM2/pVIVGpBH2OSpoQxhyKX3dkkE/sQNx8g7WGQxJukZqh+c0bno5zbJXabDj&#10;RGhxoHVL9bEaTeLatfur41hUxbh5i7Ioy699qdTjQ/yYgwgUw3/41v7WCqYvM7ieSUd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VI88UAAADcAAAADwAAAAAAAAAA&#10;AAAAAAChAgAAZHJzL2Rvd25yZXYueG1sUEsFBgAAAAAEAAQA+QAAAJMDAAAAAA==&#10;" strokecolor="windowText" strokeweight=".5pt">
                  <v:stroke endarrow="open" joinstyle="miter"/>
                </v:shape>
                <v:shape id="Straight Arrow Connector 260" o:spid="_x0000_s1064" type="#_x0000_t32" style="position:absolute;left:17126;top:48580;width:4;height:2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B/8AAAADcAAAADwAAAGRycy9kb3ducmV2LnhtbERPy4rCMBTdD/gP4QruxrQu2qEaRZRB&#10;RVz4wPWlubbF5qYkGa1/bxbCLA/nPVv0phUPcr6xrCAdJyCIS6sbrhRczr/fPyB8QNbYWiYFL/Kw&#10;mA++Zlho++QjPU6hEjGEfYEK6hC6Qkpf1mTQj21HHLmbdQZDhK6S2uEzhptWTpIkkwYbjg01drSq&#10;qbyf/oyCW77zr802lW7dZknKh3zvr7lSo2G/nIII1Id/8ce91QomWZwfz8Qj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9Af/AAAAA3AAAAA8AAAAAAAAAAAAAAAAA&#10;oQIAAGRycy9kb3ducmV2LnhtbFBLBQYAAAAABAAEAPkAAACOAwAAAAA=&#10;" strokecolor="windowText" strokeweight=".5pt">
                  <v:stroke endarrow="open" joinstyle="miter"/>
                </v:shape>
                <v:shape id="Straight Arrow Connector 261" o:spid="_x0000_s1065" type="#_x0000_t32" style="position:absolute;left:17126;top:56881;width:4;height:2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SMQAAADcAAAADwAAAGRycy9kb3ducmV2LnhtbESPzWrDMBCE74W+g9hCb7WcHNLiRAkh&#10;uLQXB+r00ttibWwTa2UkOVHy9FGh0OMwPx+z2kQziDM531tWMMtyEMSN1T23Cr4P7y9vIHxA1jhY&#10;JgVX8rBZPz6ssND2wl90rkMr0gj7AhV0IYyFlL7pyKDP7EicvKN1BkOSrpXa4SWNm0HO83whDfac&#10;CB2OtOuoOdWTSVy7c7cmTmVdTvvXKMuq+viplHp+itsliEAx/If/2p9awXwxg9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5IxAAAANwAAAAPAAAAAAAAAAAA&#10;AAAAAKECAABkcnMvZG93bnJldi54bWxQSwUGAAAAAAQABAD5AAAAkgMAAAAA&#10;" strokecolor="windowText" strokeweight=".5pt">
                  <v:stroke endarrow="open" joinstyle="miter"/>
                </v:shape>
              </v:group>
            </w:pict>
          </mc:Fallback>
        </mc:AlternateContent>
      </w:r>
      <w:r w:rsidR="00393890" w:rsidRPr="0002029D">
        <w:t xml:space="preserve">The diagram below summarises the accounting requirements under AASB 15 </w:t>
      </w:r>
      <w:r w:rsidR="008C1DAF">
        <w:t xml:space="preserve">applicable to </w:t>
      </w:r>
      <w:r w:rsidR="00393890" w:rsidRPr="0002029D">
        <w:t xml:space="preserve">not-for-profit public sector licensors when determining how to account for revenue from licences. </w:t>
      </w:r>
      <w:r w:rsidR="00EC0906">
        <w:t xml:space="preserve"> </w:t>
      </w:r>
      <w:r w:rsidR="00393890" w:rsidRPr="0002029D">
        <w:t>The diagram should be read in conjunction with the guidance set out in paragraphs</w:t>
      </w:r>
      <w:r w:rsidR="00426B94">
        <w:t xml:space="preserve"> </w:t>
      </w:r>
      <w:r w:rsidR="00426B94">
        <w:fldChar w:fldCharType="begin"/>
      </w:r>
      <w:r w:rsidR="00426B94">
        <w:instrText xml:space="preserve"> REF _Ref457292059 \r \h </w:instrText>
      </w:r>
      <w:r w:rsidR="00426B94">
        <w:fldChar w:fldCharType="separate"/>
      </w:r>
      <w:r w:rsidR="00882B86">
        <w:t>G2</w:t>
      </w:r>
      <w:r w:rsidR="00426B94">
        <w:fldChar w:fldCharType="end"/>
      </w:r>
      <w:r>
        <w:t>–</w:t>
      </w:r>
      <w:r w:rsidR="005D0061">
        <w:t>G27</w:t>
      </w:r>
      <w:r w:rsidR="00393890" w:rsidRPr="0002029D">
        <w:t xml:space="preserve">, and as referenced in the diagram. </w:t>
      </w:r>
    </w:p>
    <w:p w:rsidR="00614CB4" w:rsidRDefault="00614CB4" w:rsidP="00393890"/>
    <w:p w:rsidR="00614CB4" w:rsidRDefault="00321C1D">
      <w:pPr>
        <w:jc w:val="left"/>
      </w:pPr>
      <w:r>
        <w:rPr>
          <w:noProof/>
          <w:lang w:eastAsia="en-AU"/>
        </w:rPr>
        <mc:AlternateContent>
          <mc:Choice Requires="wps">
            <w:drawing>
              <wp:anchor distT="0" distB="0" distL="114300" distR="114300" simplePos="0" relativeHeight="251664384" behindDoc="0" locked="0" layoutInCell="1" allowOverlap="1" wp14:anchorId="6A352D1A" wp14:editId="1510313D">
                <wp:simplePos x="0" y="0"/>
                <wp:positionH relativeFrom="column">
                  <wp:posOffset>3441056</wp:posOffset>
                </wp:positionH>
                <wp:positionV relativeFrom="paragraph">
                  <wp:posOffset>1953824</wp:posOffset>
                </wp:positionV>
                <wp:extent cx="377434" cy="262393"/>
                <wp:effectExtent l="0" t="0" r="3810" b="4445"/>
                <wp:wrapNone/>
                <wp:docPr id="8" name="Text Box 8"/>
                <wp:cNvGraphicFramePr/>
                <a:graphic xmlns:a="http://schemas.openxmlformats.org/drawingml/2006/main">
                  <a:graphicData uri="http://schemas.microsoft.com/office/word/2010/wordprocessingShape">
                    <wps:wsp>
                      <wps:cNvSpPr txBox="1"/>
                      <wps:spPr>
                        <a:xfrm>
                          <a:off x="0" y="0"/>
                          <a:ext cx="377434"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1C1D" w:rsidRDefault="00321C1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52D1A" id="Text Box 8" o:spid="_x0000_s1066" type="#_x0000_t202" style="position:absolute;margin-left:270.95pt;margin-top:153.85pt;width:29.7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sjQIAAJEFAAAOAAAAZHJzL2Uyb0RvYy54bWysVEtv2zAMvg/YfxB0X5xXkzaoU2QtOgwI&#10;2mLt0LMiS40wSdQkJXb260fJzmNdLx12sSnxIymSH3l51RhNtsIHBbakg16fEmE5VMq+lPT70+2n&#10;c0pCZLZiGqwo6U4EejX/+OGydjMxhDXoSniCTmyY1a6k6xjdrCgCXwvDQg+csKiU4A2LePQvReVZ&#10;jd6NLob9/qSowVfOAxch4O1Nq6Tz7F9KweO9lEFEokuKb4v56/N3lb7F/JLNXjxza8W7Z7B/eIVh&#10;ymLQg6sbFhnZePWXK6O4hwAy9jiYAqRUXOQcMJtB/1U2j2vmRM4FixPcoUzh/7nld9sHT1RVUmyU&#10;ZQZb9CSaSD5DQ85TdWoXZgh6dAiLDV5jl/f3AS9T0o30Jv0xHYJ6rPPuUNvkjOPlaDodj8aUcFQN&#10;J8PRxSh5KY7Gzof4RYAhSSipx9blirLtMsQWuoekWAG0qm6V1vmQ6CKutSdbho3WMT8Rnf+B0pbU&#10;JZ2MzvrZsYVk3nrWNrkRmTBduJR4m2CW4k6LhNH2m5BYsJznG7EZ58Ie4md0QkkM9R7DDn981XuM&#10;2zzQIkcGGw/GRlnwOfs8YceSVT/2JZMtHntzkncSY7NqMlOGB2KsoNohLzy0cxUcv1XYvSUL8YF5&#10;HCSkAi6HeI8fqQGrD51EyRr8r7fuEx75jVpKahzMkoafG+YFJfqrReZfDMbjNMn5MD6bDvHgTzWr&#10;U43dmGtASgxwDTmexYSPei9KD+YZd8giRUUVsxxjlzTuxevYrgvcQVwsFhmEs+tYXNpHx5PrVObE&#10;zafmmXnXETgi8+9gP8Js9orHLTZZWlhsIkiVSZ4K3Va1awDOfR6TbkelxXJ6zqjjJp3/BgAA//8D&#10;AFBLAwQUAAYACAAAACEAjqGGS+MAAAALAQAADwAAAGRycy9kb3ducmV2LnhtbEyPwU7DMAyG70i8&#10;Q+RJXBBLSrd1K00nhIBJ3FiBiVvWZG1F41RN1pa3x5zgaPvT7+/PtpNt2WB63ziUEM0FMIOl0w1W&#10;Et6Kp5s1MB8UatU6NBK+jYdtfnmRqVS7EV/NsA8VoxD0qZJQh9ClnPuyNlb5uesM0u3keqsCjX3F&#10;da9GCrctvxVixa1qkD7UqjMPtSm/9mcr4fO6Orz46fl9jJdx97gbiuRDF1Jezab7O2DBTOEPhl99&#10;UoecnI7ujNqzVsJyEW0IlRCLJAFGxEpEMbAjbRYbATzP+P8O+Q8AAAD//wMAUEsBAi0AFAAGAAgA&#10;AAAhALaDOJL+AAAA4QEAABMAAAAAAAAAAAAAAAAAAAAAAFtDb250ZW50X1R5cGVzXS54bWxQSwEC&#10;LQAUAAYACAAAACEAOP0h/9YAAACUAQAACwAAAAAAAAAAAAAAAAAvAQAAX3JlbHMvLnJlbHNQSwEC&#10;LQAUAAYACAAAACEAz4BBbI0CAACRBQAADgAAAAAAAAAAAAAAAAAuAgAAZHJzL2Uyb0RvYy54bWxQ&#10;SwECLQAUAAYACAAAACEAjqGGS+MAAAALAQAADwAAAAAAAAAAAAAAAADnBAAAZHJzL2Rvd25yZXYu&#10;eG1sUEsFBgAAAAAEAAQA8wAAAPcFAAAAAA==&#10;" fillcolor="white [3201]" stroked="f" strokeweight=".5pt">
                <v:textbox>
                  <w:txbxContent>
                    <w:p w:rsidR="00321C1D" w:rsidRDefault="00321C1D">
                      <w:r>
                        <w:t>Yes</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4DBAF059" wp14:editId="17A36B0A">
                <wp:simplePos x="0" y="0"/>
                <wp:positionH relativeFrom="column">
                  <wp:posOffset>4323195</wp:posOffset>
                </wp:positionH>
                <wp:positionV relativeFrom="paragraph">
                  <wp:posOffset>4479956</wp:posOffset>
                </wp:positionV>
                <wp:extent cx="375920" cy="229857"/>
                <wp:effectExtent l="0" t="0" r="0" b="0"/>
                <wp:wrapNone/>
                <wp:docPr id="6" name="TextBox 44"/>
                <wp:cNvGraphicFramePr/>
                <a:graphic xmlns:a="http://schemas.openxmlformats.org/drawingml/2006/main">
                  <a:graphicData uri="http://schemas.microsoft.com/office/word/2010/wordprocessingShape">
                    <wps:wsp>
                      <wps:cNvSpPr txBox="1"/>
                      <wps:spPr>
                        <a:xfrm>
                          <a:off x="0" y="0"/>
                          <a:ext cx="375920" cy="229857"/>
                        </a:xfrm>
                        <a:prstGeom prst="rect">
                          <a:avLst/>
                        </a:prstGeom>
                        <a:noFill/>
                        <a:ln>
                          <a:noFill/>
                        </a:ln>
                      </wps:spPr>
                      <wps:txbx>
                        <w:txbxContent>
                          <w:p w:rsidR="00321C1D" w:rsidRDefault="00321C1D" w:rsidP="00321C1D">
                            <w:pPr>
                              <w:pStyle w:val="NormalWeb"/>
                              <w:spacing w:after="0"/>
                              <w:jc w:val="center"/>
                            </w:pPr>
                            <w:r>
                              <w:rPr>
                                <w:rFonts w:cstheme="minorBidi"/>
                                <w:color w:val="000000"/>
                                <w:kern w:val="24"/>
                                <w:sz w:val="19"/>
                                <w:szCs w:val="19"/>
                              </w:rPr>
                              <w:t>Yes</w:t>
                            </w:r>
                          </w:p>
                        </w:txbxContent>
                      </wps:txbx>
                      <wps:bodyPr wrap="square" rtlCol="0">
                        <a:spAutoFit/>
                      </wps:bodyPr>
                    </wps:wsp>
                  </a:graphicData>
                </a:graphic>
              </wp:anchor>
            </w:drawing>
          </mc:Choice>
          <mc:Fallback>
            <w:pict>
              <v:shape w14:anchorId="4DBAF059" id="TextBox 44" o:spid="_x0000_s1067" type="#_x0000_t202" style="position:absolute;margin-left:340.4pt;margin-top:352.75pt;width:29.6pt;height:1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ukoAEAAC0DAAAOAAAAZHJzL2Uyb0RvYy54bWysUl1vGyEQfK/U/4B4r3GuiZOcfI7aRulL&#10;1UZK8gMwBz4kYCmLfed/3wV/pG3eqr5wx+wyzOywvJu8Yzud0ELo+MVszpkOCnobNh1/eX74cMMZ&#10;Zhl66SDoju818rvV+3fLMba6gQFcrxMjkoDtGDs+5BxbIVAN2kucQdSBigaSl5m2aSP6JEdi9040&#10;8/lCjJD6mEBpRELvD0W+qvzGaJV/GIM6M9dx0pbrmuq6LqtYLWW7STIOVh1lyH9Q4aUNdOmZ6l5m&#10;ybbJvqHyViVAMHmmwAswxipdPZCbi/lfbp4GGXX1QsPBeB4T/j9a9X33mJjtO77gLEhPET3rKX+G&#10;iV1elumMEVtqeorUlifCKeUTjgQW05NJvnzJDqM6zXl/ni2RMUXgx+ur24YqikpNc3tzdV1YxOvh&#10;mDB/1eBZ+el4oujqROXuG+ZD66ml3BXgwTpX43PhD4A4CyKK8oPC8pen9VR9NouT/DX0e3I1Uvod&#10;x59bmTRnKbsvUB9LIcX4aZvppiqg0BzOHNkpk2rh+H5K6L/va9frK1/9AgAA//8DAFBLAwQUAAYA&#10;CAAAACEAQaNwQN4AAAALAQAADwAAAGRycy9kb3ducmV2LnhtbEyPzU7DMBCE70i8g7VI3KgdRJoq&#10;xKkqfiQOXCjhvo1NHBHbUbxt0rdne4LbrGY0+021XfwgTnZKfQwaspUCYUMbTR86Dc3n690GRCIM&#10;BocYrIazTbCtr68qLE2cw4c97akTXBJSiRoc0VhKmVpnPaZVHG1g7ztOHonPqZNmwpnL/SDvlVpL&#10;j33gDw5H++Rs+7M/eg1EZpedmxef3r6W9+fZqTbHRuvbm2X3CILsQn9huOAzOtTMdIjHYJIYNKw3&#10;itFJQ6HyHAQnigfF6w4XkRUg60r+31D/AgAA//8DAFBLAQItABQABgAIAAAAIQC2gziS/gAAAOEB&#10;AAATAAAAAAAAAAAAAAAAAAAAAABbQ29udGVudF9UeXBlc10ueG1sUEsBAi0AFAAGAAgAAAAhADj9&#10;If/WAAAAlAEAAAsAAAAAAAAAAAAAAAAALwEAAF9yZWxzLy5yZWxzUEsBAi0AFAAGAAgAAAAhANqv&#10;y6SgAQAALQMAAA4AAAAAAAAAAAAAAAAALgIAAGRycy9lMm9Eb2MueG1sUEsBAi0AFAAGAAgAAAAh&#10;AEGjcEDeAAAACwEAAA8AAAAAAAAAAAAAAAAA+gMAAGRycy9kb3ducmV2LnhtbFBLBQYAAAAABAAE&#10;APMAAAAFBQAAAAA=&#10;" filled="f" stroked="f">
                <v:textbox style="mso-fit-shape-to-text:t">
                  <w:txbxContent>
                    <w:p w:rsidR="00321C1D" w:rsidRDefault="00321C1D" w:rsidP="00321C1D">
                      <w:pPr>
                        <w:pStyle w:val="NormalWeb"/>
                        <w:spacing w:after="0"/>
                        <w:jc w:val="center"/>
                      </w:pPr>
                      <w:r>
                        <w:rPr>
                          <w:rFonts w:cstheme="minorBidi"/>
                          <w:color w:val="000000"/>
                          <w:kern w:val="24"/>
                          <w:sz w:val="19"/>
                          <w:szCs w:val="19"/>
                        </w:rPr>
                        <w:t>Yes</w:t>
                      </w:r>
                    </w:p>
                  </w:txbxContent>
                </v:textbox>
              </v:shape>
            </w:pict>
          </mc:Fallback>
        </mc:AlternateContent>
      </w:r>
      <w:r w:rsidR="00614CB4">
        <w:br w:type="page"/>
      </w:r>
      <w:bookmarkStart w:id="12" w:name="_GoBack"/>
      <w:bookmarkEnd w:id="12"/>
      <w:r>
        <w:rPr>
          <w:noProof/>
          <w:lang w:eastAsia="en-AU"/>
        </w:rPr>
        <mc:AlternateContent>
          <mc:Choice Requires="wps">
            <w:drawing>
              <wp:anchor distT="0" distB="0" distL="114300" distR="114300" simplePos="0" relativeHeight="251663360" behindDoc="0" locked="0" layoutInCell="1" allowOverlap="1" wp14:anchorId="6827459A" wp14:editId="45A60EAB">
                <wp:simplePos x="0" y="0"/>
                <wp:positionH relativeFrom="column">
                  <wp:posOffset>6986941</wp:posOffset>
                </wp:positionH>
                <wp:positionV relativeFrom="paragraph">
                  <wp:posOffset>4550642</wp:posOffset>
                </wp:positionV>
                <wp:extent cx="375884" cy="229857"/>
                <wp:effectExtent l="0" t="0" r="0" b="0"/>
                <wp:wrapNone/>
                <wp:docPr id="7" name="TextBox 44"/>
                <wp:cNvGraphicFramePr/>
                <a:graphic xmlns:a="http://schemas.openxmlformats.org/drawingml/2006/main">
                  <a:graphicData uri="http://schemas.microsoft.com/office/word/2010/wordprocessingShape">
                    <wps:wsp>
                      <wps:cNvSpPr txBox="1"/>
                      <wps:spPr>
                        <a:xfrm>
                          <a:off x="0" y="0"/>
                          <a:ext cx="375884" cy="229857"/>
                        </a:xfrm>
                        <a:prstGeom prst="rect">
                          <a:avLst/>
                        </a:prstGeom>
                        <a:noFill/>
                        <a:ln>
                          <a:noFill/>
                        </a:ln>
                      </wps:spPr>
                      <wps:txbx>
                        <w:txbxContent>
                          <w:p w:rsidR="00321C1D" w:rsidRDefault="00321C1D" w:rsidP="00321C1D">
                            <w:pPr>
                              <w:pStyle w:val="NormalWeb"/>
                              <w:spacing w:after="0"/>
                              <w:jc w:val="center"/>
                            </w:pPr>
                            <w:r>
                              <w:rPr>
                                <w:rFonts w:cstheme="minorBidi"/>
                                <w:color w:val="000000"/>
                                <w:kern w:val="24"/>
                                <w:sz w:val="19"/>
                                <w:szCs w:val="19"/>
                              </w:rPr>
                              <w:t>Yes</w:t>
                            </w:r>
                          </w:p>
                        </w:txbxContent>
                      </wps:txbx>
                      <wps:bodyPr wrap="square" rtlCol="0">
                        <a:spAutoFit/>
                      </wps:bodyPr>
                    </wps:wsp>
                  </a:graphicData>
                </a:graphic>
              </wp:anchor>
            </w:drawing>
          </mc:Choice>
          <mc:Fallback>
            <w:pict>
              <v:shape w14:anchorId="6827459A" id="_x0000_s1068" type="#_x0000_t202" style="position:absolute;margin-left:550.15pt;margin-top:358.3pt;width:29.6pt;height:1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eGnwEAAC0DAAAOAAAAZHJzL2Uyb0RvYy54bWysUsuOGyEQvEfKPyDuMd6JN3ZGHq+SrDaX&#10;KFlpNx+AGfAgAU1o7Bn/fRrstfO4RbnwqG6qu7pY303esYNOaCF0/GY250wHBb0Nu45/f354s+IM&#10;swy9dBB0x48a+d3m9av1GFvdwACu14kRScB2jB0fco6tEKgG7SXOIOpAQQPJy0zXtBN9kiOxeyea&#10;+fydGCH1MYHSiITen4J8U/mN0Sp/MwZ1Zq7j1Fuua6rrtqxis5btLsk4WHVuQ/5DF17aQEUvVPcy&#10;S7ZP9i8qb1UCBJNnCrwAY6zSVQOpuZn/oeZpkFFXLTQcjJcx4f+jVV8Pj4nZvuNLzoL0ZNGznvJH&#10;mNhiUaYzRmwp6SlSWp4IJ5dfcCSwiJ5M8mUnOYziNOfjZbZExhSBb5e3q9WCM0Whpnm/ul0WFnF9&#10;HBPmzxo8K4eOJ7KuTlQevmA+pb6klFoBHqxz1T4XfgOIsyCidH7qsJzytJ2qzqYWLtAW+iOpGsn9&#10;juOPvUyas5TdJ6ifpZBi/LDPVKk2cH1zZidPqoTz/ymm/3qvWddfvvkJAAD//wMAUEsDBBQABgAI&#10;AAAAIQBtFIty4AAAAA0BAAAPAAAAZHJzL2Rvd25yZXYueG1sTI/LTsMwEEX3SPyDNUjsqO2ihJLG&#10;qSoeEgs2LWE/jd04Ih5Hsdukf4+7guWdObpzptzMrmdnM4bOkwK5EMAMNV531Cqov94fVsBCRNLY&#10;ezIKLibAprq9KbHQfqKdOe9jy1IJhQIV2BiHgvPQWOMwLPxgKO2OfnQYUxxbrkecUrnr+VKInDvs&#10;KF2wOJgXa5qf/ckpiFFv5aV+c+Hje/58naxoMqyVur+bt2tg0czxD4arflKHKjkd/Il0YH3KUojH&#10;xCp4knkO7IrI7DkDdkijbLkCXpX8/xfVLwAAAP//AwBQSwECLQAUAAYACAAAACEAtoM4kv4AAADh&#10;AQAAEwAAAAAAAAAAAAAAAAAAAAAAW0NvbnRlbnRfVHlwZXNdLnhtbFBLAQItABQABgAIAAAAIQA4&#10;/SH/1gAAAJQBAAALAAAAAAAAAAAAAAAAAC8BAABfcmVscy8ucmVsc1BLAQItABQABgAIAAAAIQDI&#10;jneGnwEAAC0DAAAOAAAAAAAAAAAAAAAAAC4CAABkcnMvZTJvRG9jLnhtbFBLAQItABQABgAIAAAA&#10;IQBtFIty4AAAAA0BAAAPAAAAAAAAAAAAAAAAAPkDAABkcnMvZG93bnJldi54bWxQSwUGAAAAAAQA&#10;BADzAAAABgUAAAAA&#10;" filled="f" stroked="f">
                <v:textbox style="mso-fit-shape-to-text:t">
                  <w:txbxContent>
                    <w:p w:rsidR="00321C1D" w:rsidRDefault="00321C1D" w:rsidP="00321C1D">
                      <w:pPr>
                        <w:pStyle w:val="NormalWeb"/>
                        <w:spacing w:after="0"/>
                        <w:jc w:val="center"/>
                      </w:pPr>
                      <w:r>
                        <w:rPr>
                          <w:rFonts w:cstheme="minorBidi"/>
                          <w:color w:val="000000"/>
                          <w:kern w:val="24"/>
                          <w:sz w:val="19"/>
                          <w:szCs w:val="19"/>
                        </w:rPr>
                        <w:t>Yes</w:t>
                      </w:r>
                    </w:p>
                  </w:txbxContent>
                </v:textbox>
              </v:shape>
            </w:pict>
          </mc:Fallback>
        </mc:AlternateContent>
      </w:r>
    </w:p>
    <w:p w:rsidR="00BA5A1C" w:rsidRPr="000275FA" w:rsidRDefault="00BA5A1C" w:rsidP="005D0061">
      <w:pPr>
        <w:pStyle w:val="IASBSectionTitle1NonInd"/>
        <w:outlineLvl w:val="2"/>
      </w:pPr>
      <w:r w:rsidRPr="000275FA">
        <w:t>Introduction</w:t>
      </w:r>
    </w:p>
    <w:p w:rsidR="00393890" w:rsidRPr="00766E15" w:rsidRDefault="00291416" w:rsidP="00393890">
      <w:pPr>
        <w:pStyle w:val="NumBPlain1"/>
        <w:numPr>
          <w:ilvl w:val="0"/>
          <w:numId w:val="10"/>
        </w:numPr>
        <w:spacing w:after="100"/>
      </w:pPr>
      <w:bookmarkStart w:id="13" w:name="_Ref457292059"/>
      <w:r>
        <w:t>AASB </w:t>
      </w:r>
      <w:r w:rsidR="00BA5A1C" w:rsidRPr="00766E15">
        <w:t xml:space="preserve">15 </w:t>
      </w:r>
      <w:r w:rsidR="00BA5A1C" w:rsidRPr="00766E15">
        <w:rPr>
          <w:i/>
        </w:rPr>
        <w:t xml:space="preserve">Revenue from Contracts with Customers </w:t>
      </w:r>
      <w:r w:rsidR="00BA5A1C" w:rsidRPr="00766E15">
        <w:t xml:space="preserve">incorporates International Financial Reporting Standard IFRS 15 </w:t>
      </w:r>
      <w:r w:rsidR="00BA5A1C" w:rsidRPr="00766E15">
        <w:rPr>
          <w:i/>
        </w:rPr>
        <w:t>Revenue from Contracts with Customers</w:t>
      </w:r>
      <w:r w:rsidR="00BA5A1C" w:rsidRPr="00766E15">
        <w:t xml:space="preserve">, issued by the International Accounting Standards Board.  Consequently, the text of </w:t>
      </w:r>
      <w:r>
        <w:t>AASB </w:t>
      </w:r>
      <w:r w:rsidR="00BA5A1C" w:rsidRPr="00766E15">
        <w:t xml:space="preserve">15 is generally expressed from the perspective of for-profit entities in the private sector.  </w:t>
      </w:r>
      <w:r>
        <w:t>AASB </w:t>
      </w:r>
      <w:r w:rsidR="002E4267" w:rsidRPr="00766E15">
        <w:t xml:space="preserve">15 </w:t>
      </w:r>
      <w:r w:rsidR="00063C04" w:rsidRPr="00766E15">
        <w:t>provides explicit Application G</w:t>
      </w:r>
      <w:r w:rsidR="002A54C4" w:rsidRPr="00766E15">
        <w:t>uidance fo</w:t>
      </w:r>
      <w:r w:rsidR="00063C04" w:rsidRPr="00766E15">
        <w:t>r intellectual p</w:t>
      </w:r>
      <w:r w:rsidR="002A54C4" w:rsidRPr="00766E15">
        <w:t xml:space="preserve">roperty (IP) licences. It does not provide </w:t>
      </w:r>
      <w:r w:rsidR="00637B8A">
        <w:t xml:space="preserve">explicit </w:t>
      </w:r>
      <w:r w:rsidR="002A54C4" w:rsidRPr="00766E15">
        <w:t xml:space="preserve">guidance for non-IP licences. </w:t>
      </w:r>
      <w:r w:rsidR="002E4267" w:rsidRPr="00766E15">
        <w:t xml:space="preserve"> </w:t>
      </w:r>
      <w:r w:rsidR="00BA5A1C" w:rsidRPr="00766E15">
        <w:t xml:space="preserve">The </w:t>
      </w:r>
      <w:r>
        <w:t>AASB </w:t>
      </w:r>
      <w:r w:rsidR="00BA5A1C" w:rsidRPr="00766E15">
        <w:t xml:space="preserve">has prepared this </w:t>
      </w:r>
      <w:r w:rsidR="00C50690">
        <w:t>Ap</w:t>
      </w:r>
      <w:r w:rsidR="00C50690" w:rsidRPr="00766E15">
        <w:t xml:space="preserve">pendix </w:t>
      </w:r>
      <w:r w:rsidR="00BA5A1C" w:rsidRPr="00766E15">
        <w:t>to explain and illustrate the principles in the Standard from the perspective of not-for-profit public sector</w:t>
      </w:r>
      <w:r w:rsidR="002E4267" w:rsidRPr="00766E15">
        <w:t xml:space="preserve"> </w:t>
      </w:r>
      <w:r w:rsidR="00A82DD0">
        <w:t>licensors</w:t>
      </w:r>
      <w:r w:rsidR="002A54C4" w:rsidRPr="00766E15">
        <w:t xml:space="preserve"> with respect to non-IP licences.</w:t>
      </w:r>
      <w:r w:rsidR="00EC0906">
        <w:t xml:space="preserve"> </w:t>
      </w:r>
      <w:r w:rsidR="002A54C4" w:rsidRPr="00766E15">
        <w:t xml:space="preserve"> T</w:t>
      </w:r>
      <w:r w:rsidR="00BA5A1C" w:rsidRPr="00766E15">
        <w:t xml:space="preserve">he </w:t>
      </w:r>
      <w:r w:rsidR="002243B0">
        <w:t>A</w:t>
      </w:r>
      <w:r w:rsidR="00BA5A1C" w:rsidRPr="00766E15">
        <w:t xml:space="preserve">ppendix does not apply to for-profit entities </w:t>
      </w:r>
      <w:r w:rsidR="00A35EA6">
        <w:t xml:space="preserve">or not-for-profit private sector entities, </w:t>
      </w:r>
      <w:r w:rsidR="00BA5A1C" w:rsidRPr="00766E15">
        <w:t xml:space="preserve">or affect their application of </w:t>
      </w:r>
      <w:r>
        <w:t>AASB </w:t>
      </w:r>
      <w:r w:rsidR="00BA5A1C" w:rsidRPr="00766E15">
        <w:t>15.</w:t>
      </w:r>
      <w:bookmarkEnd w:id="13"/>
    </w:p>
    <w:p w:rsidR="0062141A" w:rsidRPr="00766E15" w:rsidRDefault="009F0B7B" w:rsidP="005D0061">
      <w:pPr>
        <w:pStyle w:val="IASBSectionTitle1NonInd"/>
        <w:outlineLvl w:val="2"/>
      </w:pPr>
      <w:r w:rsidRPr="00766E15">
        <w:t>Distinguishing a licence from a tax</w:t>
      </w:r>
      <w:r w:rsidR="00450B46" w:rsidRPr="00766E15">
        <w:t xml:space="preserve"> </w:t>
      </w:r>
    </w:p>
    <w:p w:rsidR="00E66D3F" w:rsidRDefault="00E66D3F" w:rsidP="0061088A">
      <w:pPr>
        <w:pStyle w:val="NumBPlain1"/>
        <w:numPr>
          <w:ilvl w:val="0"/>
          <w:numId w:val="10"/>
        </w:numPr>
        <w:spacing w:after="100"/>
      </w:pPr>
      <w:bookmarkStart w:id="14" w:name="_Ref492046257"/>
      <w:r w:rsidRPr="00766E15">
        <w:t>In determining whether a tra</w:t>
      </w:r>
      <w:r w:rsidR="00D20BE7" w:rsidRPr="00766E15">
        <w:t>nsaction is a licence subject to</w:t>
      </w:r>
      <w:r w:rsidRPr="00766E15">
        <w:t xml:space="preserve"> this Standard</w:t>
      </w:r>
      <w:r w:rsidR="009F0B7B" w:rsidRPr="00766E15">
        <w:t xml:space="preserve">, </w:t>
      </w:r>
      <w:r w:rsidR="00DF3F8D" w:rsidRPr="00766E15">
        <w:t>as distinct from a tax</w:t>
      </w:r>
      <w:r w:rsidR="00390622">
        <w:t xml:space="preserve"> subject to AASB 1058 </w:t>
      </w:r>
      <w:r w:rsidR="00390622">
        <w:rPr>
          <w:i/>
        </w:rPr>
        <w:t>Income of Not-for-Profit Entities</w:t>
      </w:r>
      <w:r w:rsidR="00DF3F8D" w:rsidRPr="00766E15">
        <w:rPr>
          <w:rStyle w:val="FootnoteReference"/>
        </w:rPr>
        <w:footnoteReference w:id="2"/>
      </w:r>
      <w:r w:rsidRPr="00766E15">
        <w:t>, the following features are</w:t>
      </w:r>
      <w:r w:rsidR="00D20BE7" w:rsidRPr="00766E15">
        <w:t xml:space="preserve"> </w:t>
      </w:r>
      <w:r w:rsidR="00CA0059">
        <w:t>pertinent</w:t>
      </w:r>
      <w:r w:rsidR="00D20BE7" w:rsidRPr="00766E15">
        <w:t xml:space="preserve">. </w:t>
      </w:r>
      <w:r w:rsidR="00EC0906">
        <w:t xml:space="preserve"> </w:t>
      </w:r>
      <w:r w:rsidR="00D20BE7" w:rsidRPr="00766E15">
        <w:t xml:space="preserve">These features are not </w:t>
      </w:r>
      <w:r w:rsidRPr="00766E15">
        <w:t xml:space="preserve">an exhaustive list and not all features need to be present for an </w:t>
      </w:r>
      <w:r w:rsidR="00D20BE7" w:rsidRPr="00766E15">
        <w:t>arrangement to be</w:t>
      </w:r>
      <w:r w:rsidRPr="00766E15">
        <w:t xml:space="preserve"> a licence:</w:t>
      </w:r>
      <w:bookmarkEnd w:id="14"/>
    </w:p>
    <w:tbl>
      <w:tblPr>
        <w:tblStyle w:val="TableGrid"/>
        <w:tblW w:w="4488" w:type="pct"/>
        <w:tblInd w:w="846" w:type="dxa"/>
        <w:tblLook w:val="04A0" w:firstRow="1" w:lastRow="0" w:firstColumn="1" w:lastColumn="0" w:noHBand="0" w:noVBand="1"/>
        <w:tblCaption w:val="Characteristics of licences"/>
        <w:tblDescription w:val="tables outlining characteristics of licences"/>
      </w:tblPr>
      <w:tblGrid>
        <w:gridCol w:w="3850"/>
        <w:gridCol w:w="2072"/>
        <w:gridCol w:w="2211"/>
      </w:tblGrid>
      <w:tr w:rsidR="00E66D3F" w:rsidRPr="00766E15" w:rsidTr="00614CB4">
        <w:trPr>
          <w:tblHeader/>
        </w:trPr>
        <w:tc>
          <w:tcPr>
            <w:tcW w:w="2367" w:type="pct"/>
            <w:shd w:val="clear" w:color="auto" w:fill="BFBFBF" w:themeFill="background1" w:themeFillShade="BF"/>
          </w:tcPr>
          <w:p w:rsidR="00E66D3F" w:rsidRPr="00766E15" w:rsidRDefault="00E66D3F" w:rsidP="008E7FD9">
            <w:pPr>
              <w:pStyle w:val="NumPlain1"/>
              <w:numPr>
                <w:ilvl w:val="0"/>
                <w:numId w:val="0"/>
              </w:numPr>
              <w:tabs>
                <w:tab w:val="left" w:pos="720"/>
                <w:tab w:val="center" w:pos="2308"/>
              </w:tabs>
              <w:rPr>
                <w:b/>
                <w:szCs w:val="19"/>
              </w:rPr>
            </w:pPr>
            <w:r w:rsidRPr="00766E15">
              <w:rPr>
                <w:b/>
                <w:szCs w:val="19"/>
              </w:rPr>
              <w:t>Feature</w:t>
            </w:r>
            <w:r w:rsidRPr="00766E15">
              <w:rPr>
                <w:b/>
                <w:szCs w:val="19"/>
              </w:rPr>
              <w:tab/>
            </w:r>
          </w:p>
        </w:tc>
        <w:tc>
          <w:tcPr>
            <w:tcW w:w="1274" w:type="pct"/>
            <w:shd w:val="clear" w:color="auto" w:fill="BFBFBF" w:themeFill="background1" w:themeFillShade="BF"/>
          </w:tcPr>
          <w:p w:rsidR="00E66D3F" w:rsidRPr="00766E15" w:rsidRDefault="00E66D3F" w:rsidP="008E7FD9">
            <w:pPr>
              <w:pStyle w:val="NumPlain1"/>
              <w:numPr>
                <w:ilvl w:val="0"/>
                <w:numId w:val="0"/>
              </w:numPr>
              <w:tabs>
                <w:tab w:val="left" w:pos="720"/>
              </w:tabs>
              <w:rPr>
                <w:b/>
                <w:szCs w:val="19"/>
              </w:rPr>
            </w:pPr>
            <w:r w:rsidRPr="00766E15">
              <w:rPr>
                <w:b/>
                <w:szCs w:val="19"/>
              </w:rPr>
              <w:t>Licence</w:t>
            </w:r>
          </w:p>
        </w:tc>
        <w:tc>
          <w:tcPr>
            <w:tcW w:w="1359" w:type="pct"/>
            <w:shd w:val="clear" w:color="auto" w:fill="BFBFBF" w:themeFill="background1" w:themeFillShade="BF"/>
          </w:tcPr>
          <w:p w:rsidR="00E66D3F" w:rsidRPr="00766E15" w:rsidRDefault="00E66D3F" w:rsidP="008E7FD9">
            <w:pPr>
              <w:pStyle w:val="NumPlain1"/>
              <w:numPr>
                <w:ilvl w:val="0"/>
                <w:numId w:val="0"/>
              </w:numPr>
              <w:tabs>
                <w:tab w:val="left" w:pos="720"/>
              </w:tabs>
              <w:rPr>
                <w:b/>
                <w:szCs w:val="19"/>
              </w:rPr>
            </w:pPr>
            <w:r w:rsidRPr="00766E15">
              <w:rPr>
                <w:b/>
                <w:szCs w:val="19"/>
              </w:rPr>
              <w:t>Tax</w:t>
            </w:r>
          </w:p>
        </w:tc>
      </w:tr>
      <w:tr w:rsidR="00E66D3F" w:rsidRPr="00766E15" w:rsidTr="00614CB4">
        <w:tc>
          <w:tcPr>
            <w:tcW w:w="2367" w:type="pct"/>
          </w:tcPr>
          <w:p w:rsidR="00E66D3F" w:rsidRPr="00766E15" w:rsidRDefault="00E66D3F" w:rsidP="00F64342">
            <w:pPr>
              <w:pStyle w:val="TableRow"/>
              <w:numPr>
                <w:ilvl w:val="0"/>
                <w:numId w:val="23"/>
              </w:numPr>
              <w:ind w:left="357" w:hanging="357"/>
              <w:rPr>
                <w:sz w:val="19"/>
                <w:szCs w:val="19"/>
              </w:rPr>
            </w:pPr>
            <w:r w:rsidRPr="00766E15">
              <w:rPr>
                <w:sz w:val="19"/>
                <w:szCs w:val="19"/>
              </w:rPr>
              <w:t>Is the arrangement discretionary rather than compulsory</w:t>
            </w:r>
            <w:r w:rsidR="000741CF">
              <w:rPr>
                <w:sz w:val="19"/>
                <w:szCs w:val="19"/>
              </w:rPr>
              <w:t xml:space="preserve"> for the payer</w:t>
            </w:r>
            <w:r w:rsidRPr="00766E15">
              <w:rPr>
                <w:sz w:val="19"/>
                <w:szCs w:val="19"/>
              </w:rPr>
              <w:t>?</w:t>
            </w:r>
          </w:p>
        </w:tc>
        <w:tc>
          <w:tcPr>
            <w:tcW w:w="1274" w:type="pct"/>
          </w:tcPr>
          <w:p w:rsidR="00E66D3F" w:rsidRPr="00766E15" w:rsidRDefault="00E66D3F" w:rsidP="00F64342">
            <w:pPr>
              <w:pStyle w:val="TableRow"/>
              <w:rPr>
                <w:sz w:val="19"/>
                <w:szCs w:val="19"/>
              </w:rPr>
            </w:pPr>
            <w:r w:rsidRPr="00766E15">
              <w:rPr>
                <w:sz w:val="19"/>
                <w:szCs w:val="19"/>
              </w:rPr>
              <w:t>Discretionary</w:t>
            </w:r>
            <w:r w:rsidR="009043C2">
              <w:rPr>
                <w:sz w:val="19"/>
                <w:szCs w:val="19"/>
              </w:rPr>
              <w:br/>
              <w:t>(</w:t>
            </w:r>
            <w:proofErr w:type="spellStart"/>
            <w:r w:rsidR="009043C2">
              <w:rPr>
                <w:sz w:val="19"/>
                <w:szCs w:val="19"/>
              </w:rPr>
              <w:t>eg</w:t>
            </w:r>
            <w:proofErr w:type="spellEnd"/>
            <w:r w:rsidR="009043C2">
              <w:rPr>
                <w:sz w:val="19"/>
                <w:szCs w:val="19"/>
              </w:rPr>
              <w:t xml:space="preserve"> </w:t>
            </w:r>
            <w:r w:rsidR="00D405CA">
              <w:rPr>
                <w:sz w:val="19"/>
                <w:szCs w:val="19"/>
              </w:rPr>
              <w:t>payer</w:t>
            </w:r>
            <w:r w:rsidR="00F64342">
              <w:rPr>
                <w:sz w:val="19"/>
                <w:szCs w:val="19"/>
              </w:rPr>
              <w:t xml:space="preserve"> – the licensee – </w:t>
            </w:r>
            <w:r w:rsidR="009043C2">
              <w:rPr>
                <w:sz w:val="19"/>
                <w:szCs w:val="19"/>
              </w:rPr>
              <w:t xml:space="preserve">has </w:t>
            </w:r>
            <w:r w:rsidR="009043C2" w:rsidRPr="009043C2">
              <w:rPr>
                <w:sz w:val="19"/>
                <w:szCs w:val="19"/>
              </w:rPr>
              <w:t xml:space="preserve">discretion over whether to perform an activity that requires </w:t>
            </w:r>
            <w:r w:rsidR="00AD5CAB">
              <w:rPr>
                <w:sz w:val="19"/>
                <w:szCs w:val="19"/>
              </w:rPr>
              <w:t xml:space="preserve">permission and it is not compulsory if </w:t>
            </w:r>
            <w:r w:rsidR="00A32297">
              <w:rPr>
                <w:sz w:val="19"/>
                <w:szCs w:val="19"/>
              </w:rPr>
              <w:t>payment not made</w:t>
            </w:r>
            <w:r w:rsidR="00AD5CAB">
              <w:rPr>
                <w:sz w:val="19"/>
                <w:szCs w:val="19"/>
              </w:rPr>
              <w:t xml:space="preserve"> to retrospectively obtain the right</w:t>
            </w:r>
            <w:r w:rsidR="00A32297">
              <w:rPr>
                <w:sz w:val="19"/>
                <w:szCs w:val="19"/>
              </w:rPr>
              <w:t>, but subject to fines or other penalties</w:t>
            </w:r>
            <w:r w:rsidR="009043C2" w:rsidRPr="009043C2">
              <w:rPr>
                <w:sz w:val="19"/>
                <w:szCs w:val="19"/>
              </w:rPr>
              <w:t>)</w:t>
            </w:r>
          </w:p>
        </w:tc>
        <w:tc>
          <w:tcPr>
            <w:tcW w:w="1359" w:type="pct"/>
          </w:tcPr>
          <w:p w:rsidR="00E66D3F" w:rsidRPr="00766E15" w:rsidRDefault="00E66D3F" w:rsidP="002C0F67">
            <w:pPr>
              <w:pStyle w:val="TableRow"/>
              <w:rPr>
                <w:sz w:val="19"/>
                <w:szCs w:val="19"/>
              </w:rPr>
            </w:pPr>
            <w:r w:rsidRPr="00766E15">
              <w:rPr>
                <w:sz w:val="19"/>
                <w:szCs w:val="19"/>
              </w:rPr>
              <w:t>Compulsory</w:t>
            </w:r>
            <w:r w:rsidR="009043C2">
              <w:rPr>
                <w:sz w:val="19"/>
                <w:szCs w:val="19"/>
              </w:rPr>
              <w:br/>
              <w:t>(</w:t>
            </w:r>
            <w:proofErr w:type="spellStart"/>
            <w:r w:rsidR="009043C2">
              <w:rPr>
                <w:sz w:val="19"/>
                <w:szCs w:val="19"/>
              </w:rPr>
              <w:t>eg</w:t>
            </w:r>
            <w:proofErr w:type="spellEnd"/>
            <w:r w:rsidR="009043C2">
              <w:rPr>
                <w:sz w:val="19"/>
                <w:szCs w:val="19"/>
              </w:rPr>
              <w:t xml:space="preserve"> </w:t>
            </w:r>
            <w:r w:rsidR="002C0F67">
              <w:rPr>
                <w:sz w:val="19"/>
                <w:szCs w:val="19"/>
              </w:rPr>
              <w:t>non-discretionary payments for</w:t>
            </w:r>
            <w:r w:rsidR="009043C2" w:rsidRPr="009043C2">
              <w:rPr>
                <w:sz w:val="19"/>
                <w:szCs w:val="19"/>
              </w:rPr>
              <w:t xml:space="preserve"> activities that are necessary for the entity to </w:t>
            </w:r>
            <w:r w:rsidR="002C0F67">
              <w:rPr>
                <w:sz w:val="19"/>
                <w:szCs w:val="19"/>
              </w:rPr>
              <w:t>operate</w:t>
            </w:r>
            <w:r w:rsidR="009043C2" w:rsidRPr="009043C2">
              <w:rPr>
                <w:sz w:val="19"/>
                <w:szCs w:val="19"/>
              </w:rPr>
              <w:t>, for example earning revenue</w:t>
            </w:r>
            <w:r w:rsidR="00426B94">
              <w:rPr>
                <w:sz w:val="19"/>
                <w:szCs w:val="19"/>
              </w:rPr>
              <w:t>,</w:t>
            </w:r>
            <w:r w:rsidR="00AD5CAB">
              <w:rPr>
                <w:sz w:val="19"/>
                <w:szCs w:val="19"/>
              </w:rPr>
              <w:t xml:space="preserve"> and </w:t>
            </w:r>
            <w:r w:rsidR="00A32297">
              <w:rPr>
                <w:sz w:val="19"/>
                <w:szCs w:val="19"/>
              </w:rPr>
              <w:t>it is compulsory</w:t>
            </w:r>
            <w:r w:rsidR="00AD5CAB">
              <w:rPr>
                <w:sz w:val="19"/>
                <w:szCs w:val="19"/>
              </w:rPr>
              <w:t xml:space="preserve"> to pay </w:t>
            </w:r>
            <w:r w:rsidR="00A32297">
              <w:rPr>
                <w:sz w:val="19"/>
                <w:szCs w:val="19"/>
              </w:rPr>
              <w:t xml:space="preserve">the </w:t>
            </w:r>
            <w:r w:rsidR="00AD5CAB">
              <w:rPr>
                <w:sz w:val="19"/>
                <w:szCs w:val="19"/>
              </w:rPr>
              <w:t>base amount in addition to penalty fees and interest</w:t>
            </w:r>
            <w:r w:rsidR="009043C2">
              <w:rPr>
                <w:sz w:val="19"/>
                <w:szCs w:val="19"/>
              </w:rPr>
              <w:t>)</w:t>
            </w:r>
          </w:p>
        </w:tc>
      </w:tr>
      <w:tr w:rsidR="00E66D3F" w:rsidRPr="00766E15" w:rsidTr="00614CB4">
        <w:tc>
          <w:tcPr>
            <w:tcW w:w="2367" w:type="pct"/>
          </w:tcPr>
          <w:p w:rsidR="00E66D3F" w:rsidRPr="00766E15" w:rsidRDefault="00E66D3F" w:rsidP="00B61A91">
            <w:pPr>
              <w:pStyle w:val="TableRow"/>
              <w:numPr>
                <w:ilvl w:val="0"/>
                <w:numId w:val="23"/>
              </w:numPr>
              <w:ind w:left="357" w:hanging="357"/>
              <w:rPr>
                <w:sz w:val="19"/>
                <w:szCs w:val="19"/>
              </w:rPr>
            </w:pPr>
            <w:r w:rsidRPr="00766E15">
              <w:rPr>
                <w:sz w:val="19"/>
                <w:szCs w:val="19"/>
              </w:rPr>
              <w:t>What is the primary purpose?</w:t>
            </w:r>
          </w:p>
        </w:tc>
        <w:tc>
          <w:tcPr>
            <w:tcW w:w="1274" w:type="pct"/>
          </w:tcPr>
          <w:p w:rsidR="00E66D3F" w:rsidRPr="00766E15" w:rsidRDefault="00E66D3F" w:rsidP="008E7FD9">
            <w:pPr>
              <w:pStyle w:val="TableRow"/>
              <w:rPr>
                <w:sz w:val="19"/>
                <w:szCs w:val="19"/>
              </w:rPr>
            </w:pPr>
            <w:r w:rsidRPr="00766E15">
              <w:rPr>
                <w:sz w:val="19"/>
                <w:szCs w:val="19"/>
              </w:rPr>
              <w:t>Non-financial purpose (</w:t>
            </w:r>
            <w:proofErr w:type="spellStart"/>
            <w:r w:rsidR="00456DFF">
              <w:rPr>
                <w:sz w:val="19"/>
                <w:szCs w:val="19"/>
              </w:rPr>
              <w:t>eg</w:t>
            </w:r>
            <w:proofErr w:type="spellEnd"/>
            <w:r w:rsidRPr="00766E15">
              <w:rPr>
                <w:sz w:val="19"/>
                <w:szCs w:val="19"/>
              </w:rPr>
              <w:t xml:space="preserve"> equitable allocation of a public resource)</w:t>
            </w:r>
          </w:p>
        </w:tc>
        <w:tc>
          <w:tcPr>
            <w:tcW w:w="1359" w:type="pct"/>
          </w:tcPr>
          <w:p w:rsidR="00E66D3F" w:rsidRPr="00766E15" w:rsidRDefault="00E66D3F" w:rsidP="008E7FD9">
            <w:pPr>
              <w:pStyle w:val="TableRow"/>
              <w:rPr>
                <w:sz w:val="19"/>
                <w:szCs w:val="19"/>
              </w:rPr>
            </w:pPr>
            <w:r w:rsidRPr="00766E15">
              <w:rPr>
                <w:sz w:val="19"/>
                <w:szCs w:val="19"/>
              </w:rPr>
              <w:t>Generating income for the public sector entity</w:t>
            </w:r>
            <w:r w:rsidR="00224F12">
              <w:rPr>
                <w:sz w:val="19"/>
                <w:szCs w:val="19"/>
              </w:rPr>
              <w:t xml:space="preserve"> (</w:t>
            </w:r>
            <w:proofErr w:type="spellStart"/>
            <w:r w:rsidR="00224F12">
              <w:rPr>
                <w:sz w:val="19"/>
                <w:szCs w:val="19"/>
              </w:rPr>
              <w:t>eg</w:t>
            </w:r>
            <w:proofErr w:type="spellEnd"/>
            <w:r w:rsidR="00224F12">
              <w:rPr>
                <w:sz w:val="19"/>
                <w:szCs w:val="19"/>
              </w:rPr>
              <w:t xml:space="preserve"> very high </w:t>
            </w:r>
            <w:r w:rsidR="00A32297">
              <w:rPr>
                <w:sz w:val="19"/>
                <w:szCs w:val="19"/>
              </w:rPr>
              <w:t>proceeds in relation</w:t>
            </w:r>
            <w:r w:rsidR="00224F12">
              <w:rPr>
                <w:sz w:val="19"/>
                <w:szCs w:val="19"/>
              </w:rPr>
              <w:t xml:space="preserve"> to the costs </w:t>
            </w:r>
            <w:r w:rsidR="00A32297">
              <w:rPr>
                <w:sz w:val="19"/>
                <w:szCs w:val="19"/>
              </w:rPr>
              <w:t xml:space="preserve">incurred </w:t>
            </w:r>
            <w:r w:rsidR="00224F12">
              <w:rPr>
                <w:sz w:val="19"/>
                <w:szCs w:val="19"/>
              </w:rPr>
              <w:t>might be indicative of a tax element)</w:t>
            </w:r>
          </w:p>
        </w:tc>
      </w:tr>
      <w:tr w:rsidR="00E66D3F" w:rsidRPr="00766E15" w:rsidTr="00614CB4">
        <w:tc>
          <w:tcPr>
            <w:tcW w:w="2367" w:type="pct"/>
          </w:tcPr>
          <w:p w:rsidR="00E66D3F" w:rsidRPr="00766E15" w:rsidRDefault="00E66D3F" w:rsidP="00B61A91">
            <w:pPr>
              <w:pStyle w:val="TableRow"/>
              <w:numPr>
                <w:ilvl w:val="0"/>
                <w:numId w:val="23"/>
              </w:numPr>
              <w:ind w:left="357" w:hanging="357"/>
              <w:rPr>
                <w:sz w:val="19"/>
                <w:szCs w:val="19"/>
              </w:rPr>
            </w:pPr>
            <w:r w:rsidRPr="00766E15">
              <w:rPr>
                <w:sz w:val="19"/>
                <w:szCs w:val="19"/>
              </w:rPr>
              <w:t xml:space="preserve">Does the arrangement create direct rights to use or access an asset for </w:t>
            </w:r>
            <w:r w:rsidR="000741CF">
              <w:rPr>
                <w:sz w:val="19"/>
                <w:szCs w:val="19"/>
              </w:rPr>
              <w:t>the</w:t>
            </w:r>
            <w:r w:rsidRPr="00766E15">
              <w:rPr>
                <w:sz w:val="19"/>
                <w:szCs w:val="19"/>
              </w:rPr>
              <w:t xml:space="preserve"> payer, or perform an activity, and, depending on the type of arrangement, </w:t>
            </w:r>
            <w:r w:rsidR="00E94B36" w:rsidRPr="00766E15">
              <w:rPr>
                <w:sz w:val="19"/>
                <w:szCs w:val="19"/>
              </w:rPr>
              <w:t xml:space="preserve">direct </w:t>
            </w:r>
            <w:r w:rsidRPr="00766E15">
              <w:rPr>
                <w:sz w:val="19"/>
                <w:szCs w:val="19"/>
              </w:rPr>
              <w:t xml:space="preserve">obligations of </w:t>
            </w:r>
            <w:r w:rsidR="000741CF">
              <w:rPr>
                <w:sz w:val="19"/>
                <w:szCs w:val="19"/>
              </w:rPr>
              <w:t>the</w:t>
            </w:r>
            <w:r w:rsidRPr="00766E15">
              <w:rPr>
                <w:sz w:val="19"/>
                <w:szCs w:val="19"/>
              </w:rPr>
              <w:t xml:space="preserve"> payee?</w:t>
            </w:r>
          </w:p>
        </w:tc>
        <w:tc>
          <w:tcPr>
            <w:tcW w:w="1274" w:type="pct"/>
          </w:tcPr>
          <w:p w:rsidR="00E66D3F" w:rsidRPr="00766E15" w:rsidRDefault="00E66D3F" w:rsidP="00F64342">
            <w:pPr>
              <w:pStyle w:val="TableRow"/>
              <w:rPr>
                <w:sz w:val="19"/>
                <w:szCs w:val="19"/>
              </w:rPr>
            </w:pPr>
            <w:r w:rsidRPr="00766E15">
              <w:rPr>
                <w:sz w:val="19"/>
                <w:szCs w:val="19"/>
              </w:rPr>
              <w:t xml:space="preserve">Creates </w:t>
            </w:r>
            <w:r w:rsidR="00191D16" w:rsidRPr="00766E15">
              <w:rPr>
                <w:sz w:val="19"/>
                <w:szCs w:val="19"/>
              </w:rPr>
              <w:t xml:space="preserve">direct </w:t>
            </w:r>
            <w:r w:rsidRPr="00766E15">
              <w:rPr>
                <w:sz w:val="19"/>
                <w:szCs w:val="19"/>
              </w:rPr>
              <w:t xml:space="preserve">rights </w:t>
            </w:r>
            <w:r w:rsidR="00390622">
              <w:rPr>
                <w:sz w:val="19"/>
                <w:szCs w:val="19"/>
              </w:rPr>
              <w:t>for</w:t>
            </w:r>
            <w:r w:rsidR="00390622" w:rsidRPr="00766E15">
              <w:rPr>
                <w:sz w:val="19"/>
                <w:szCs w:val="19"/>
              </w:rPr>
              <w:t xml:space="preserve"> </w:t>
            </w:r>
            <w:r w:rsidR="006C6129">
              <w:rPr>
                <w:sz w:val="19"/>
                <w:szCs w:val="19"/>
              </w:rPr>
              <w:t>the</w:t>
            </w:r>
            <w:r w:rsidRPr="00766E15">
              <w:rPr>
                <w:sz w:val="19"/>
                <w:szCs w:val="19"/>
              </w:rPr>
              <w:t xml:space="preserve"> </w:t>
            </w:r>
            <w:r w:rsidR="00C50690">
              <w:rPr>
                <w:sz w:val="19"/>
                <w:szCs w:val="19"/>
              </w:rPr>
              <w:t>payer</w:t>
            </w:r>
            <w:r w:rsidR="00F64342">
              <w:rPr>
                <w:sz w:val="19"/>
                <w:szCs w:val="19"/>
              </w:rPr>
              <w:t xml:space="preserve"> (licensee)</w:t>
            </w:r>
            <w:r w:rsidRPr="00766E15">
              <w:rPr>
                <w:sz w:val="19"/>
                <w:szCs w:val="19"/>
              </w:rPr>
              <w:t xml:space="preserve">, and could create </w:t>
            </w:r>
            <w:r w:rsidR="00191D16" w:rsidRPr="00766E15">
              <w:rPr>
                <w:sz w:val="19"/>
                <w:szCs w:val="19"/>
              </w:rPr>
              <w:t xml:space="preserve">direct </w:t>
            </w:r>
            <w:r w:rsidRPr="00766E15">
              <w:rPr>
                <w:sz w:val="19"/>
                <w:szCs w:val="19"/>
              </w:rPr>
              <w:t xml:space="preserve">obligations for </w:t>
            </w:r>
            <w:r w:rsidR="006C6129">
              <w:rPr>
                <w:sz w:val="19"/>
                <w:szCs w:val="19"/>
              </w:rPr>
              <w:t>the</w:t>
            </w:r>
            <w:r w:rsidRPr="00766E15">
              <w:rPr>
                <w:sz w:val="19"/>
                <w:szCs w:val="19"/>
              </w:rPr>
              <w:t xml:space="preserve"> </w:t>
            </w:r>
            <w:r w:rsidR="00C50690">
              <w:rPr>
                <w:sz w:val="19"/>
                <w:szCs w:val="19"/>
              </w:rPr>
              <w:t>payee</w:t>
            </w:r>
            <w:r w:rsidR="00F64342">
              <w:rPr>
                <w:sz w:val="19"/>
                <w:szCs w:val="19"/>
              </w:rPr>
              <w:t xml:space="preserve"> (licensor)</w:t>
            </w:r>
          </w:p>
        </w:tc>
        <w:tc>
          <w:tcPr>
            <w:tcW w:w="1359" w:type="pct"/>
          </w:tcPr>
          <w:p w:rsidR="00E66D3F" w:rsidRPr="00766E15" w:rsidRDefault="00E66D3F" w:rsidP="008E7FD9">
            <w:pPr>
              <w:pStyle w:val="TableRow"/>
              <w:rPr>
                <w:sz w:val="19"/>
                <w:szCs w:val="19"/>
              </w:rPr>
            </w:pPr>
            <w:r w:rsidRPr="00766E15">
              <w:rPr>
                <w:sz w:val="19"/>
                <w:szCs w:val="19"/>
              </w:rPr>
              <w:t xml:space="preserve">No specific rights for </w:t>
            </w:r>
            <w:r w:rsidR="006C6129">
              <w:rPr>
                <w:sz w:val="19"/>
                <w:szCs w:val="19"/>
              </w:rPr>
              <w:t>the</w:t>
            </w:r>
            <w:r w:rsidRPr="00766E15">
              <w:rPr>
                <w:sz w:val="19"/>
                <w:szCs w:val="19"/>
              </w:rPr>
              <w:t xml:space="preserve"> payer or obligations for </w:t>
            </w:r>
            <w:r w:rsidR="005E5426">
              <w:rPr>
                <w:sz w:val="19"/>
                <w:szCs w:val="19"/>
              </w:rPr>
              <w:t xml:space="preserve">the </w:t>
            </w:r>
            <w:r w:rsidR="00FB0135">
              <w:rPr>
                <w:sz w:val="19"/>
                <w:szCs w:val="19"/>
              </w:rPr>
              <w:t>payee</w:t>
            </w:r>
          </w:p>
        </w:tc>
      </w:tr>
      <w:tr w:rsidR="00E66D3F" w:rsidRPr="00766E15" w:rsidTr="00614CB4">
        <w:tc>
          <w:tcPr>
            <w:tcW w:w="2367" w:type="pct"/>
          </w:tcPr>
          <w:p w:rsidR="00E66D3F" w:rsidRPr="00766E15" w:rsidRDefault="00E66D3F" w:rsidP="00C045AF">
            <w:pPr>
              <w:pStyle w:val="TableRow"/>
              <w:numPr>
                <w:ilvl w:val="0"/>
                <w:numId w:val="23"/>
              </w:numPr>
              <w:ind w:left="357" w:hanging="357"/>
              <w:rPr>
                <w:sz w:val="19"/>
                <w:szCs w:val="19"/>
              </w:rPr>
            </w:pPr>
            <w:r w:rsidRPr="00766E15">
              <w:rPr>
                <w:sz w:val="19"/>
                <w:szCs w:val="19"/>
              </w:rPr>
              <w:t xml:space="preserve">Does the arrangement give the payer specific permission that must be obtained prior to performing an activity or using or accessing a </w:t>
            </w:r>
            <w:r w:rsidR="00C045AF">
              <w:rPr>
                <w:sz w:val="19"/>
                <w:szCs w:val="19"/>
              </w:rPr>
              <w:t>resource</w:t>
            </w:r>
            <w:r w:rsidR="00C045AF" w:rsidRPr="00766E15">
              <w:rPr>
                <w:sz w:val="19"/>
                <w:szCs w:val="19"/>
              </w:rPr>
              <w:t xml:space="preserve"> </w:t>
            </w:r>
            <w:r w:rsidRPr="00766E15">
              <w:rPr>
                <w:sz w:val="19"/>
                <w:szCs w:val="19"/>
              </w:rPr>
              <w:t>of the payee that would otherwise be unlawful?</w:t>
            </w:r>
          </w:p>
        </w:tc>
        <w:tc>
          <w:tcPr>
            <w:tcW w:w="1274" w:type="pct"/>
          </w:tcPr>
          <w:p w:rsidR="00E66D3F" w:rsidRPr="00766E15" w:rsidRDefault="00E66D3F" w:rsidP="008E7FD9">
            <w:pPr>
              <w:pStyle w:val="TableRow"/>
              <w:rPr>
                <w:sz w:val="19"/>
                <w:szCs w:val="19"/>
              </w:rPr>
            </w:pPr>
            <w:r w:rsidRPr="00766E15">
              <w:rPr>
                <w:sz w:val="19"/>
                <w:szCs w:val="19"/>
              </w:rPr>
              <w:t>Yes</w:t>
            </w:r>
          </w:p>
        </w:tc>
        <w:tc>
          <w:tcPr>
            <w:tcW w:w="1359" w:type="pct"/>
          </w:tcPr>
          <w:p w:rsidR="00E66D3F" w:rsidRPr="00766E15" w:rsidRDefault="00E66D3F" w:rsidP="008E7FD9">
            <w:pPr>
              <w:pStyle w:val="TableRow"/>
              <w:rPr>
                <w:sz w:val="19"/>
                <w:szCs w:val="19"/>
              </w:rPr>
            </w:pPr>
            <w:r w:rsidRPr="00766E15">
              <w:rPr>
                <w:sz w:val="19"/>
                <w:szCs w:val="19"/>
              </w:rPr>
              <w:t>No</w:t>
            </w:r>
          </w:p>
        </w:tc>
      </w:tr>
      <w:tr w:rsidR="00E66D3F" w:rsidRPr="00766E15" w:rsidTr="00614CB4">
        <w:tc>
          <w:tcPr>
            <w:tcW w:w="2367" w:type="pct"/>
          </w:tcPr>
          <w:p w:rsidR="00E66D3F" w:rsidRPr="00766E15" w:rsidRDefault="00E66D3F" w:rsidP="00B61A91">
            <w:pPr>
              <w:pStyle w:val="TableRow"/>
              <w:numPr>
                <w:ilvl w:val="0"/>
                <w:numId w:val="23"/>
              </w:numPr>
              <w:ind w:left="357" w:hanging="357"/>
              <w:rPr>
                <w:sz w:val="19"/>
                <w:szCs w:val="19"/>
              </w:rPr>
            </w:pPr>
            <w:r w:rsidRPr="00766E15">
              <w:rPr>
                <w:sz w:val="19"/>
                <w:szCs w:val="19"/>
              </w:rPr>
              <w:t xml:space="preserve">Does the arrangement transfer control of </w:t>
            </w:r>
            <w:r w:rsidR="00DB6BC1">
              <w:rPr>
                <w:sz w:val="19"/>
                <w:szCs w:val="19"/>
              </w:rPr>
              <w:t>the</w:t>
            </w:r>
            <w:r w:rsidRPr="00766E15">
              <w:rPr>
                <w:sz w:val="19"/>
                <w:szCs w:val="19"/>
              </w:rPr>
              <w:t xml:space="preserve"> payee’s underlying asset?</w:t>
            </w:r>
          </w:p>
        </w:tc>
        <w:tc>
          <w:tcPr>
            <w:tcW w:w="1274" w:type="pct"/>
          </w:tcPr>
          <w:p w:rsidR="00E66D3F" w:rsidRPr="00766E15" w:rsidRDefault="00E66D3F" w:rsidP="008E7FD9">
            <w:pPr>
              <w:pStyle w:val="TableRow"/>
              <w:rPr>
                <w:sz w:val="19"/>
                <w:szCs w:val="19"/>
              </w:rPr>
            </w:pPr>
            <w:r w:rsidRPr="00766E15">
              <w:rPr>
                <w:sz w:val="19"/>
                <w:szCs w:val="19"/>
              </w:rPr>
              <w:t>No</w:t>
            </w:r>
          </w:p>
        </w:tc>
        <w:tc>
          <w:tcPr>
            <w:tcW w:w="1359" w:type="pct"/>
          </w:tcPr>
          <w:p w:rsidR="00E66D3F" w:rsidRPr="00766E15" w:rsidRDefault="00E66D3F" w:rsidP="008E7FD9">
            <w:pPr>
              <w:pStyle w:val="TableRow"/>
              <w:rPr>
                <w:sz w:val="19"/>
                <w:szCs w:val="19"/>
              </w:rPr>
            </w:pPr>
            <w:r w:rsidRPr="00766E15">
              <w:rPr>
                <w:sz w:val="19"/>
                <w:szCs w:val="19"/>
              </w:rPr>
              <w:t>Not relevant</w:t>
            </w:r>
          </w:p>
        </w:tc>
      </w:tr>
    </w:tbl>
    <w:p w:rsidR="00E66D3F" w:rsidRPr="00766E15" w:rsidRDefault="00E66D3F" w:rsidP="00E66D3F"/>
    <w:p w:rsidR="007E195B" w:rsidRDefault="007E195B" w:rsidP="00390622">
      <w:pPr>
        <w:pStyle w:val="NumBPlain1"/>
        <w:numPr>
          <w:ilvl w:val="0"/>
          <w:numId w:val="10"/>
        </w:numPr>
        <w:spacing w:after="100"/>
      </w:pPr>
      <w:bookmarkStart w:id="15" w:name="_Ref501009291"/>
      <w:r w:rsidRPr="00766E15">
        <w:t xml:space="preserve">A </w:t>
      </w:r>
      <w:r>
        <w:t xml:space="preserve">not-for-profit </w:t>
      </w:r>
      <w:r w:rsidRPr="00766E15">
        <w:t xml:space="preserve">public sector </w:t>
      </w:r>
      <w:r>
        <w:t xml:space="preserve">entity may enter into an arrangement </w:t>
      </w:r>
      <w:r w:rsidRPr="00766E15">
        <w:t xml:space="preserve">with a dual purpose of </w:t>
      </w:r>
      <w:r w:rsidR="00675DA9">
        <w:t>issuing</w:t>
      </w:r>
      <w:r>
        <w:t xml:space="preserve"> a licence</w:t>
      </w:r>
      <w:r w:rsidRPr="00766E15">
        <w:t xml:space="preserve"> and</w:t>
      </w:r>
      <w:r>
        <w:t xml:space="preserve"> </w:t>
      </w:r>
      <w:r w:rsidRPr="00766E15">
        <w:t>imposing a tax.</w:t>
      </w:r>
      <w:r w:rsidR="00EC0906">
        <w:t xml:space="preserve"> </w:t>
      </w:r>
      <w:r w:rsidRPr="00766E15">
        <w:t xml:space="preserve"> Consistent with </w:t>
      </w:r>
      <w:r w:rsidR="00390622">
        <w:t>p</w:t>
      </w:r>
      <w:r w:rsidRPr="00766E15">
        <w:t>aragraph F28</w:t>
      </w:r>
      <w:r>
        <w:t xml:space="preserve"> </w:t>
      </w:r>
      <w:r w:rsidR="00994A75">
        <w:t>of AASB 15</w:t>
      </w:r>
      <w:r>
        <w:t>,</w:t>
      </w:r>
      <w:r w:rsidRPr="00766E15">
        <w:t xml:space="preserve"> </w:t>
      </w:r>
      <w:r>
        <w:t xml:space="preserve">the rebuttable presumption is for the not-for-profit </w:t>
      </w:r>
      <w:r w:rsidRPr="00766E15">
        <w:t xml:space="preserve">public sector </w:t>
      </w:r>
      <w:r w:rsidR="00426B94">
        <w:t xml:space="preserve">licensor </w:t>
      </w:r>
      <w:r>
        <w:t xml:space="preserve">to </w:t>
      </w:r>
      <w:r w:rsidRPr="00766E15">
        <w:t xml:space="preserve">allocate the transaction price </w:t>
      </w:r>
      <w:r>
        <w:t xml:space="preserve">wholly to the promise to </w:t>
      </w:r>
      <w:r w:rsidR="00A41D1D">
        <w:t>issue</w:t>
      </w:r>
      <w:r>
        <w:t xml:space="preserve"> a licence.</w:t>
      </w:r>
      <w:bookmarkEnd w:id="15"/>
    </w:p>
    <w:p w:rsidR="00FE51A2" w:rsidRDefault="007E195B" w:rsidP="00390622">
      <w:pPr>
        <w:pStyle w:val="NumBPlain1"/>
        <w:numPr>
          <w:ilvl w:val="0"/>
          <w:numId w:val="10"/>
        </w:numPr>
        <w:spacing w:after="100"/>
      </w:pPr>
      <w:bookmarkStart w:id="16" w:name="_Ref522194088"/>
      <w:r>
        <w:t>The presumption is rebutted</w:t>
      </w:r>
      <w:r w:rsidR="00FE51A2">
        <w:t xml:space="preserve"> if one of the following criteria </w:t>
      </w:r>
      <w:r w:rsidR="00426B94">
        <w:t xml:space="preserve">are </w:t>
      </w:r>
      <w:r w:rsidR="00FE51A2">
        <w:t>satisfied:</w:t>
      </w:r>
      <w:bookmarkEnd w:id="16"/>
      <w:r>
        <w:t xml:space="preserve"> </w:t>
      </w:r>
    </w:p>
    <w:p w:rsidR="00FE51A2" w:rsidRDefault="007E195B" w:rsidP="00F24740">
      <w:pPr>
        <w:pStyle w:val="NumBC2"/>
        <w:numPr>
          <w:ilvl w:val="1"/>
          <w:numId w:val="19"/>
        </w:numPr>
        <w:ind w:left="1564" w:hanging="782"/>
      </w:pPr>
      <w:r>
        <w:t xml:space="preserve">the transaction price is partially refundable in the event the entity does not </w:t>
      </w:r>
      <w:r w:rsidR="000B28DB">
        <w:t xml:space="preserve">issue </w:t>
      </w:r>
      <w:r>
        <w:t>the licence</w:t>
      </w:r>
      <w:r w:rsidR="00FE51A2">
        <w:t>; or</w:t>
      </w:r>
    </w:p>
    <w:p w:rsidR="007E195B" w:rsidRDefault="00FE51A2" w:rsidP="00AC38E2">
      <w:pPr>
        <w:pStyle w:val="NumBC2"/>
        <w:numPr>
          <w:ilvl w:val="1"/>
          <w:numId w:val="19"/>
        </w:numPr>
        <w:ind w:left="1564" w:hanging="782"/>
      </w:pPr>
      <w:proofErr w:type="gramStart"/>
      <w:r>
        <w:t>a</w:t>
      </w:r>
      <w:proofErr w:type="gramEnd"/>
      <w:r>
        <w:t xml:space="preserve"> similar </w:t>
      </w:r>
      <w:r w:rsidR="00A60896">
        <w:t xml:space="preserve">activity </w:t>
      </w:r>
      <w:r w:rsidR="00656804">
        <w:t xml:space="preserve">effected </w:t>
      </w:r>
      <w:r>
        <w:t xml:space="preserve">through a different </w:t>
      </w:r>
      <w:r w:rsidR="002C0F67">
        <w:t xml:space="preserve">transaction or organisational </w:t>
      </w:r>
      <w:r>
        <w:t xml:space="preserve">structure is </w:t>
      </w:r>
      <w:r w:rsidR="00A60896">
        <w:t xml:space="preserve">subject to </w:t>
      </w:r>
      <w:r>
        <w:t>a tax, providing evidence of the composite nature of the arrangement or there is other evidence supporting that there is a tax not specific to</w:t>
      </w:r>
      <w:r w:rsidR="00B275FF">
        <w:t xml:space="preserve"> the</w:t>
      </w:r>
      <w:r>
        <w:t xml:space="preserve"> licencing arrangement.</w:t>
      </w:r>
    </w:p>
    <w:p w:rsidR="007E195B" w:rsidRDefault="007E195B" w:rsidP="00390622">
      <w:pPr>
        <w:pStyle w:val="NumBPlain1"/>
        <w:numPr>
          <w:ilvl w:val="0"/>
          <w:numId w:val="10"/>
        </w:numPr>
        <w:spacing w:after="100"/>
      </w:pPr>
      <w:bookmarkStart w:id="17" w:name="_Ref501525488"/>
      <w:r>
        <w:t xml:space="preserve">Where the presumption is rebutted the entity shall disaggregate the transaction price and account for the component that relates to the licence in accordance with </w:t>
      </w:r>
      <w:r w:rsidR="00F57375">
        <w:t>AASB 15</w:t>
      </w:r>
      <w:r>
        <w:t>.</w:t>
      </w:r>
      <w:r w:rsidR="00EC0906">
        <w:t xml:space="preserve"> </w:t>
      </w:r>
      <w:r>
        <w:t xml:space="preserve"> The remainder of the transaction price </w:t>
      </w:r>
      <w:r w:rsidR="00000261">
        <w:t>that is dete</w:t>
      </w:r>
      <w:r w:rsidR="00D21328">
        <w:t xml:space="preserve">rmined to be a tax </w:t>
      </w:r>
      <w:r>
        <w:t xml:space="preserve">shall be accounted for in accordance with </w:t>
      </w:r>
      <w:r w:rsidR="00291416">
        <w:t>AASB </w:t>
      </w:r>
      <w:r>
        <w:t>1058.</w:t>
      </w:r>
      <w:r w:rsidR="00EC0906">
        <w:t xml:space="preserve"> </w:t>
      </w:r>
      <w:r>
        <w:t xml:space="preserve"> Whether the element not related to the licence is material, and therefore needs to be accounted for separately, shall be assessed in relation to the individual arrangement, without reassessment at an aggregate or portfolio level.</w:t>
      </w:r>
      <w:bookmarkEnd w:id="17"/>
      <w:r>
        <w:t xml:space="preserve"> </w:t>
      </w:r>
    </w:p>
    <w:p w:rsidR="003F1E1C" w:rsidRDefault="001F64E4" w:rsidP="00577B7E">
      <w:pPr>
        <w:pStyle w:val="NumBPlain1"/>
        <w:numPr>
          <w:ilvl w:val="0"/>
          <w:numId w:val="10"/>
        </w:numPr>
        <w:spacing w:after="100"/>
      </w:pPr>
      <w:bookmarkStart w:id="18" w:name="_Ref522541387"/>
      <w:r>
        <w:t>For</w:t>
      </w:r>
      <w:r w:rsidRPr="00134843">
        <w:t xml:space="preserve"> </w:t>
      </w:r>
      <w:r w:rsidR="003F1E1C" w:rsidRPr="00134843">
        <w:t>example</w:t>
      </w:r>
      <w:r>
        <w:t>, a casino licence permits gaming activities</w:t>
      </w:r>
      <w:r w:rsidR="00590CBB">
        <w:t xml:space="preserve"> to be conducted</w:t>
      </w:r>
      <w:r>
        <w:t xml:space="preserve">.  Similar </w:t>
      </w:r>
      <w:r w:rsidR="003F1E1C" w:rsidRPr="00134843">
        <w:t xml:space="preserve">gaming activities </w:t>
      </w:r>
      <w:r>
        <w:t xml:space="preserve">are also </w:t>
      </w:r>
      <w:r w:rsidR="003F1E1C" w:rsidRPr="00134843">
        <w:t xml:space="preserve">conducted </w:t>
      </w:r>
      <w:r>
        <w:t xml:space="preserve">online </w:t>
      </w:r>
      <w:r w:rsidR="003F1E1C" w:rsidRPr="00134843">
        <w:t xml:space="preserve">by third parties </w:t>
      </w:r>
      <w:r w:rsidR="002F6904">
        <w:t xml:space="preserve">who are not subject to a </w:t>
      </w:r>
      <w:r w:rsidR="007009FE">
        <w:t>casino</w:t>
      </w:r>
      <w:r w:rsidR="00CD4576">
        <w:t xml:space="preserve"> or any other kind of </w:t>
      </w:r>
      <w:r w:rsidR="002F6904">
        <w:t>licence</w:t>
      </w:r>
      <w:r>
        <w:t xml:space="preserve"> and</w:t>
      </w:r>
      <w:r w:rsidR="002F6904">
        <w:t xml:space="preserve"> </w:t>
      </w:r>
      <w:r w:rsidR="003F1E1C" w:rsidRPr="00134843">
        <w:t>are taxed at a rate of 10</w:t>
      </w:r>
      <w:r w:rsidR="00EC6290">
        <w:t xml:space="preserve"> per cent</w:t>
      </w:r>
      <w:r w:rsidR="00590CBB">
        <w:t xml:space="preserve"> of proceeds received</w:t>
      </w:r>
      <w:r>
        <w:t>.</w:t>
      </w:r>
      <w:r w:rsidR="003F1E1C" w:rsidRPr="00134843">
        <w:t xml:space="preserve"> </w:t>
      </w:r>
      <w:r w:rsidR="00EC0906">
        <w:t xml:space="preserve"> </w:t>
      </w:r>
      <w:r w:rsidR="00F20DEF">
        <w:t>T</w:t>
      </w:r>
      <w:r w:rsidR="003F1E1C" w:rsidRPr="00134843">
        <w:t>his provides evidence that the casino arrangement contains both a licence and a tax</w:t>
      </w:r>
      <w:r>
        <w:t xml:space="preserve"> and th</w:t>
      </w:r>
      <w:r w:rsidR="00590CBB">
        <w:t>at the presumption in G4 should be rebutted</w:t>
      </w:r>
      <w:r w:rsidR="003F1E1C" w:rsidRPr="00134843">
        <w:t>.</w:t>
      </w:r>
      <w:r w:rsidR="00EC0906">
        <w:t xml:space="preserve"> </w:t>
      </w:r>
      <w:r w:rsidR="003F1E1C" w:rsidRPr="00134843">
        <w:t xml:space="preserve"> The tax rate charged to the third party provides evidence of the amount that should be disaggregated as the tax component.</w:t>
      </w:r>
      <w:bookmarkEnd w:id="18"/>
    </w:p>
    <w:p w:rsidR="00E7241B" w:rsidRPr="00766E15" w:rsidRDefault="00AB37C6" w:rsidP="005D0061">
      <w:pPr>
        <w:pStyle w:val="IASBSectionTitle1NonInd"/>
        <w:jc w:val="both"/>
        <w:outlineLvl w:val="2"/>
      </w:pPr>
      <w:r>
        <w:t>Non-contractual licences arising from statutory requirements</w:t>
      </w:r>
    </w:p>
    <w:p w:rsidR="008F2D9E" w:rsidRDefault="008F2D9E" w:rsidP="00390622">
      <w:pPr>
        <w:pStyle w:val="NumBPlain1"/>
        <w:numPr>
          <w:ilvl w:val="0"/>
          <w:numId w:val="10"/>
        </w:numPr>
        <w:spacing w:after="100"/>
      </w:pPr>
      <w:r>
        <w:t xml:space="preserve">The scope of </w:t>
      </w:r>
      <w:r w:rsidR="00291416">
        <w:t>AASB </w:t>
      </w:r>
      <w:r>
        <w:t>15</w:t>
      </w:r>
      <w:r w:rsidR="0029435C">
        <w:t xml:space="preserve"> is underpinned by </w:t>
      </w:r>
      <w:r w:rsidR="000252CA">
        <w:t xml:space="preserve">the </w:t>
      </w:r>
      <w:r>
        <w:t>definition of a contract</w:t>
      </w:r>
      <w:r w:rsidR="0029435C">
        <w:t xml:space="preserve"> in Appendix A</w:t>
      </w:r>
      <w:r>
        <w:t>, which is an agreement between two or more parties that creates enforceable rights and obligations.</w:t>
      </w:r>
      <w:r w:rsidR="00EC0906">
        <w:t xml:space="preserve"> </w:t>
      </w:r>
      <w:r>
        <w:t xml:space="preserve"> </w:t>
      </w:r>
      <w:r w:rsidR="00AE7491">
        <w:t>When determining whether</w:t>
      </w:r>
      <w:r w:rsidR="008B1841">
        <w:t xml:space="preserve"> a licence is</w:t>
      </w:r>
      <w:r w:rsidR="00AE7491">
        <w:t xml:space="preserve"> a contract with a customer</w:t>
      </w:r>
      <w:r w:rsidR="008B1841">
        <w:t xml:space="preserve"> a</w:t>
      </w:r>
      <w:r>
        <w:t xml:space="preserve"> not-for-profit public sector entity </w:t>
      </w:r>
      <w:r w:rsidR="00195CF1">
        <w:t xml:space="preserve">shall </w:t>
      </w:r>
      <w:r w:rsidR="00124FCF">
        <w:t>consider paragraphs F5–</w:t>
      </w:r>
      <w:r>
        <w:t xml:space="preserve">F19 </w:t>
      </w:r>
      <w:r w:rsidR="00994A75">
        <w:t>of AASB 15</w:t>
      </w:r>
      <w:r w:rsidR="00426B94">
        <w:t>, also</w:t>
      </w:r>
      <w:r>
        <w:t xml:space="preserve"> </w:t>
      </w:r>
      <w:r w:rsidR="00D57404">
        <w:t>having</w:t>
      </w:r>
      <w:r>
        <w:t xml:space="preserve"> regard to paragraphs</w:t>
      </w:r>
      <w:r w:rsidR="003E2938">
        <w:t xml:space="preserve"> </w:t>
      </w:r>
      <w:r w:rsidR="007A6F8A">
        <w:fldChar w:fldCharType="begin"/>
      </w:r>
      <w:r w:rsidR="007A6F8A">
        <w:instrText xml:space="preserve"> REF _Ref497207480 \r \h </w:instrText>
      </w:r>
      <w:r w:rsidR="007A6F8A">
        <w:fldChar w:fldCharType="separate"/>
      </w:r>
      <w:r w:rsidR="00882B86">
        <w:t>G9</w:t>
      </w:r>
      <w:r w:rsidR="007A6F8A">
        <w:fldChar w:fldCharType="end"/>
      </w:r>
      <w:r w:rsidR="00D57404">
        <w:t xml:space="preserve"> and </w:t>
      </w:r>
      <w:r w:rsidR="007A6F8A">
        <w:fldChar w:fldCharType="begin"/>
      </w:r>
      <w:r w:rsidR="007A6F8A">
        <w:instrText xml:space="preserve"> REF _Ref497207484 \r \h </w:instrText>
      </w:r>
      <w:r w:rsidR="007A6F8A">
        <w:fldChar w:fldCharType="separate"/>
      </w:r>
      <w:r w:rsidR="00882B86">
        <w:t>G10</w:t>
      </w:r>
      <w:r w:rsidR="007A6F8A">
        <w:fldChar w:fldCharType="end"/>
      </w:r>
      <w:r>
        <w:t>.</w:t>
      </w:r>
    </w:p>
    <w:p w:rsidR="008F2D9E" w:rsidRDefault="008F2D9E" w:rsidP="00390622">
      <w:pPr>
        <w:pStyle w:val="NumBPlain1"/>
        <w:numPr>
          <w:ilvl w:val="0"/>
          <w:numId w:val="10"/>
        </w:numPr>
        <w:spacing w:after="100"/>
      </w:pPr>
      <w:bookmarkStart w:id="19" w:name="_Ref497207480"/>
      <w:r>
        <w:t xml:space="preserve">Enforceable rights and obligations </w:t>
      </w:r>
      <w:r w:rsidR="00A160D1">
        <w:t xml:space="preserve">between parties </w:t>
      </w:r>
      <w:r>
        <w:t xml:space="preserve">may arise from statutory requirements </w:t>
      </w:r>
      <w:r w:rsidR="00A160D1">
        <w:t xml:space="preserve">even though </w:t>
      </w:r>
      <w:r>
        <w:t xml:space="preserve">no contractual relationship </w:t>
      </w:r>
      <w:r w:rsidR="00225DE4">
        <w:t>exists</w:t>
      </w:r>
      <w:r>
        <w:t xml:space="preserve">.  For example, a not-for-profit public sector entity </w:t>
      </w:r>
      <w:r w:rsidR="00A160D1">
        <w:t xml:space="preserve">may </w:t>
      </w:r>
      <w:r>
        <w:t xml:space="preserve">enter into an agreement </w:t>
      </w:r>
      <w:r w:rsidR="00A160D1">
        <w:t xml:space="preserve">with </w:t>
      </w:r>
      <w:r w:rsidR="005B285A">
        <w:t>another entity</w:t>
      </w:r>
      <w:r w:rsidR="00A160D1">
        <w:t xml:space="preserve"> </w:t>
      </w:r>
      <w:r>
        <w:t xml:space="preserve">without </w:t>
      </w:r>
      <w:r w:rsidR="00A160D1">
        <w:t xml:space="preserve">satisfying </w:t>
      </w:r>
      <w:r>
        <w:t>the</w:t>
      </w:r>
      <w:r w:rsidR="00A160D1">
        <w:t xml:space="preserve"> formative elements required to establish a contract (such as the reciprocal</w:t>
      </w:r>
      <w:r>
        <w:t xml:space="preserve"> intention to create legal relations</w:t>
      </w:r>
      <w:r w:rsidR="00A160D1">
        <w:t>).</w:t>
      </w:r>
      <w:r w:rsidR="00EC0906">
        <w:t xml:space="preserve"> </w:t>
      </w:r>
      <w:r>
        <w:t xml:space="preserve"> </w:t>
      </w:r>
      <w:r w:rsidR="00A160D1">
        <w:t xml:space="preserve">Similarly, </w:t>
      </w:r>
      <w:r>
        <w:t xml:space="preserve">where an involuntary payment is made </w:t>
      </w:r>
      <w:r w:rsidR="00A160D1">
        <w:t xml:space="preserve">to </w:t>
      </w:r>
      <w:r>
        <w:t xml:space="preserve">obtain a licence, the arrangement may not be considered a contract under Australian law, despite being economically similar to </w:t>
      </w:r>
      <w:r w:rsidR="00A160D1">
        <w:t>a contractual relationship.</w:t>
      </w:r>
      <w:bookmarkEnd w:id="19"/>
    </w:p>
    <w:p w:rsidR="008F2D9E" w:rsidRDefault="00A160D1" w:rsidP="00390622">
      <w:pPr>
        <w:pStyle w:val="NumBPlain1"/>
        <w:numPr>
          <w:ilvl w:val="0"/>
          <w:numId w:val="10"/>
        </w:numPr>
        <w:spacing w:after="100"/>
      </w:pPr>
      <w:bookmarkStart w:id="20" w:name="_Ref497207484"/>
      <w:r>
        <w:t xml:space="preserve">Determining </w:t>
      </w:r>
      <w:r w:rsidR="008F2D9E">
        <w:t xml:space="preserve">whether a licence issued by a not-for-profit public sector </w:t>
      </w:r>
      <w:r w:rsidR="00F35900">
        <w:t>licensor</w:t>
      </w:r>
      <w:r w:rsidR="008F2D9E">
        <w:t xml:space="preserve"> is created by contract or by statute alone may require significant analysis as </w:t>
      </w:r>
      <w:r w:rsidR="00994A75">
        <w:t>to whether there is sufficient ‘voluntariness’ and ‘reciprocity’</w:t>
      </w:r>
      <w:r w:rsidR="008F2D9E">
        <w:t xml:space="preserve"> to evidence an intention to create a contract, particularly where a voluntary decision to undertake an activity results in an involuntary fee.  However, the requirements </w:t>
      </w:r>
      <w:r w:rsidR="00994A75">
        <w:t>of AASB 15</w:t>
      </w:r>
      <w:r w:rsidR="008F2D9E">
        <w:t xml:space="preserve"> focus on whether enforceable rights and obligations are present, and as noted in paragraph F13, the enforceability of agreements does not depend on their form.  Accordingly, a licence issued by </w:t>
      </w:r>
      <w:r w:rsidR="00BF02FD">
        <w:t xml:space="preserve">a </w:t>
      </w:r>
      <w:r w:rsidR="008F2D9E">
        <w:t xml:space="preserve">not-for-profit public sector </w:t>
      </w:r>
      <w:r w:rsidR="00A82DD0">
        <w:t>licensor</w:t>
      </w:r>
      <w:r w:rsidR="008F2D9E">
        <w:t xml:space="preserve">, with enforceable rights and obligations, would </w:t>
      </w:r>
      <w:r w:rsidR="000B1EDD">
        <w:t xml:space="preserve">be </w:t>
      </w:r>
      <w:r w:rsidR="000252CA">
        <w:t>with</w:t>
      </w:r>
      <w:r w:rsidR="000B1EDD">
        <w:t xml:space="preserve">in </w:t>
      </w:r>
      <w:r w:rsidR="000252CA">
        <w:t xml:space="preserve">the </w:t>
      </w:r>
      <w:r w:rsidR="000B1EDD">
        <w:t>scope of</w:t>
      </w:r>
      <w:r w:rsidR="008F2D9E">
        <w:t xml:space="preserve"> </w:t>
      </w:r>
      <w:r w:rsidR="00291416">
        <w:t>AASB </w:t>
      </w:r>
      <w:r w:rsidR="008F2D9E">
        <w:t>15 (subject to the other requirements of the Standard) regardless of whether it is considered</w:t>
      </w:r>
      <w:r w:rsidR="000252CA">
        <w:t xml:space="preserve"> under Australian law</w:t>
      </w:r>
      <w:r w:rsidR="008F2D9E">
        <w:t xml:space="preserve"> to have been created by contract or by statute.</w:t>
      </w:r>
      <w:bookmarkEnd w:id="20"/>
    </w:p>
    <w:p w:rsidR="008F2D9E" w:rsidRDefault="008F2D9E" w:rsidP="005D0061">
      <w:pPr>
        <w:pStyle w:val="IASBSectionTitle1NonInd"/>
        <w:jc w:val="both"/>
        <w:outlineLvl w:val="2"/>
      </w:pPr>
      <w:r>
        <w:t xml:space="preserve">Types of licences issued by not-for-profit public sector </w:t>
      </w:r>
      <w:r w:rsidR="00A82DD0">
        <w:t>licensors</w:t>
      </w:r>
    </w:p>
    <w:p w:rsidR="008F2D9E" w:rsidRDefault="008F2D9E" w:rsidP="00390622">
      <w:pPr>
        <w:pStyle w:val="NumBPlain1"/>
        <w:numPr>
          <w:ilvl w:val="0"/>
          <w:numId w:val="10"/>
        </w:numPr>
        <w:spacing w:after="100"/>
      </w:pPr>
      <w:r>
        <w:t>Paragraphs B52</w:t>
      </w:r>
      <w:r w:rsidR="00124FCF">
        <w:t>–</w:t>
      </w:r>
      <w:r w:rsidR="000252CA">
        <w:t>B63B</w:t>
      </w:r>
      <w:r>
        <w:t xml:space="preserve"> </w:t>
      </w:r>
      <w:r w:rsidR="00CC498E">
        <w:t>describe</w:t>
      </w:r>
      <w:r>
        <w:t xml:space="preserve"> the application of </w:t>
      </w:r>
      <w:r w:rsidR="00291416">
        <w:t>AASB </w:t>
      </w:r>
      <w:r w:rsidR="00F462CD">
        <w:t>15</w:t>
      </w:r>
      <w:r>
        <w:t xml:space="preserve"> </w:t>
      </w:r>
      <w:r w:rsidR="000252CA">
        <w:t xml:space="preserve">to </w:t>
      </w:r>
      <w:r>
        <w:t>licences</w:t>
      </w:r>
      <w:r w:rsidR="000252CA">
        <w:t xml:space="preserve"> of intellectual property (IP)</w:t>
      </w:r>
      <w:r>
        <w:t xml:space="preserve">.  </w:t>
      </w:r>
      <w:r w:rsidR="00E039F0">
        <w:t xml:space="preserve">Licences issued by </w:t>
      </w:r>
      <w:r>
        <w:t xml:space="preserve">not-for-profit public sector </w:t>
      </w:r>
      <w:r w:rsidR="00A82DD0">
        <w:t>licensors</w:t>
      </w:r>
      <w:r>
        <w:t xml:space="preserve"> </w:t>
      </w:r>
      <w:r w:rsidR="00E039F0">
        <w:t xml:space="preserve">extend beyond IP licences to include </w:t>
      </w:r>
      <w:r>
        <w:t>licen</w:t>
      </w:r>
      <w:r w:rsidR="000252CA">
        <w:t>s</w:t>
      </w:r>
      <w:r>
        <w:t>ing arrangements</w:t>
      </w:r>
      <w:r w:rsidDel="008D3D2E">
        <w:t xml:space="preserve"> </w:t>
      </w:r>
      <w:r>
        <w:t xml:space="preserve">in which the licence </w:t>
      </w:r>
      <w:r w:rsidR="00E039F0">
        <w:t xml:space="preserve">does not relate to </w:t>
      </w:r>
      <w:r w:rsidR="00F462CD">
        <w:t>IP (</w:t>
      </w:r>
      <w:proofErr w:type="spellStart"/>
      <w:r w:rsidR="00E039F0">
        <w:t>i</w:t>
      </w:r>
      <w:r w:rsidR="008D02A7">
        <w:t>e</w:t>
      </w:r>
      <w:proofErr w:type="spellEnd"/>
      <w:r w:rsidR="00E039F0">
        <w:t xml:space="preserve"> </w:t>
      </w:r>
      <w:r w:rsidR="00F462CD">
        <w:t>non</w:t>
      </w:r>
      <w:r w:rsidR="00F462CD">
        <w:noBreakHyphen/>
      </w:r>
      <w:r>
        <w:t>IP</w:t>
      </w:r>
      <w:r w:rsidR="00E039F0">
        <w:t xml:space="preserve"> licences</w:t>
      </w:r>
      <w:r>
        <w:t>).</w:t>
      </w:r>
      <w:r w:rsidR="00CC498E">
        <w:t xml:space="preserve">  </w:t>
      </w:r>
    </w:p>
    <w:p w:rsidR="008F2D9E" w:rsidRDefault="008F2D9E" w:rsidP="005D0061">
      <w:pPr>
        <w:pStyle w:val="IASBSectionTitle2Ind"/>
        <w:jc w:val="both"/>
        <w:outlineLvl w:val="3"/>
      </w:pPr>
      <w:r>
        <w:t xml:space="preserve">IP </w:t>
      </w:r>
      <w:r w:rsidR="00CC498E">
        <w:t>licences</w:t>
      </w:r>
    </w:p>
    <w:p w:rsidR="00CC498E" w:rsidRDefault="00CC498E" w:rsidP="00390622">
      <w:pPr>
        <w:pStyle w:val="NumBPlain1"/>
        <w:numPr>
          <w:ilvl w:val="0"/>
          <w:numId w:val="10"/>
        </w:numPr>
        <w:spacing w:after="100"/>
      </w:pPr>
      <w:bookmarkStart w:id="21" w:name="_Ref522541664"/>
      <w:r>
        <w:t xml:space="preserve">Not-for-profit public sector </w:t>
      </w:r>
      <w:r w:rsidR="00A82DD0">
        <w:t>licensors</w:t>
      </w:r>
      <w:r>
        <w:t xml:space="preserve"> shall apply the </w:t>
      </w:r>
      <w:r w:rsidR="00007A64">
        <w:t>A</w:t>
      </w:r>
      <w:r>
        <w:t xml:space="preserve">pplication </w:t>
      </w:r>
      <w:r w:rsidR="00007A64">
        <w:t>G</w:t>
      </w:r>
      <w:r>
        <w:t>uidance in paragraphs B52</w:t>
      </w:r>
      <w:r w:rsidR="00124FCF">
        <w:t>–</w:t>
      </w:r>
      <w:r>
        <w:t>B</w:t>
      </w:r>
      <w:r w:rsidR="007744CF">
        <w:t>63</w:t>
      </w:r>
      <w:r>
        <w:t>B to account for the revenue from licences of IP</w:t>
      </w:r>
      <w:r w:rsidR="00E93842">
        <w:t>, unless the licensor decides to apply the recognition exemptions set out in paragraphs Aus8.1</w:t>
      </w:r>
      <w:r w:rsidR="00124FCF">
        <w:t>–</w:t>
      </w:r>
      <w:r w:rsidR="00E93842">
        <w:t>Aus8.5</w:t>
      </w:r>
      <w:r>
        <w:t>.</w:t>
      </w:r>
      <w:bookmarkEnd w:id="21"/>
    </w:p>
    <w:p w:rsidR="004D4859" w:rsidRDefault="00291416" w:rsidP="00390622">
      <w:pPr>
        <w:pStyle w:val="NumBPlain1"/>
        <w:numPr>
          <w:ilvl w:val="0"/>
          <w:numId w:val="10"/>
        </w:numPr>
        <w:spacing w:after="100"/>
      </w:pPr>
      <w:bookmarkStart w:id="22" w:name="_Ref501001306"/>
      <w:r>
        <w:t>AASB </w:t>
      </w:r>
      <w:r w:rsidR="00D549CC">
        <w:t xml:space="preserve">15 does not define IP, and consequently judgement is required in determining whether a licence </w:t>
      </w:r>
      <w:r w:rsidR="00F462CD">
        <w:t xml:space="preserve">is </w:t>
      </w:r>
      <w:r w:rsidR="000252CA">
        <w:t xml:space="preserve">a licence of </w:t>
      </w:r>
      <w:r w:rsidR="00D549CC">
        <w:t xml:space="preserve">IP or </w:t>
      </w:r>
      <w:r w:rsidR="00932E7F">
        <w:t>not</w:t>
      </w:r>
      <w:r w:rsidR="00D549CC">
        <w:t xml:space="preserve">.  Paragraph B52 </w:t>
      </w:r>
      <w:r w:rsidR="009477C8">
        <w:t>notes</w:t>
      </w:r>
      <w:r w:rsidR="00D549CC">
        <w:t xml:space="preserve"> that IP may include, but is not limited to, any of the following:</w:t>
      </w:r>
      <w:bookmarkEnd w:id="22"/>
    </w:p>
    <w:p w:rsidR="00D549CC" w:rsidRDefault="00D549CC" w:rsidP="00390622">
      <w:pPr>
        <w:pStyle w:val="NumBPlain1"/>
        <w:numPr>
          <w:ilvl w:val="1"/>
          <w:numId w:val="10"/>
        </w:numPr>
        <w:spacing w:after="100"/>
      </w:pPr>
      <w:r>
        <w:t>software and technology;</w:t>
      </w:r>
    </w:p>
    <w:p w:rsidR="00D549CC" w:rsidRDefault="00D549CC" w:rsidP="00390622">
      <w:pPr>
        <w:pStyle w:val="NumBPlain1"/>
        <w:numPr>
          <w:ilvl w:val="1"/>
          <w:numId w:val="10"/>
        </w:numPr>
        <w:spacing w:after="100"/>
      </w:pPr>
      <w:r>
        <w:t>motion pictures, music and other forms of media and entertainment;</w:t>
      </w:r>
    </w:p>
    <w:p w:rsidR="00D549CC" w:rsidRDefault="00D549CC" w:rsidP="00390622">
      <w:pPr>
        <w:pStyle w:val="NumBPlain1"/>
        <w:numPr>
          <w:ilvl w:val="1"/>
          <w:numId w:val="10"/>
        </w:numPr>
        <w:spacing w:after="100"/>
      </w:pPr>
      <w:r>
        <w:t>franchises; and</w:t>
      </w:r>
    </w:p>
    <w:p w:rsidR="00D549CC" w:rsidRDefault="00D549CC" w:rsidP="00390622">
      <w:pPr>
        <w:pStyle w:val="NumBPlain1"/>
        <w:numPr>
          <w:ilvl w:val="1"/>
          <w:numId w:val="10"/>
        </w:numPr>
        <w:spacing w:after="100"/>
      </w:pPr>
      <w:proofErr w:type="gramStart"/>
      <w:r>
        <w:t>patents</w:t>
      </w:r>
      <w:proofErr w:type="gramEnd"/>
      <w:r>
        <w:t>, trademarks and copyrights.</w:t>
      </w:r>
    </w:p>
    <w:p w:rsidR="008A0BAC" w:rsidRDefault="008A0BAC" w:rsidP="00F41347">
      <w:pPr>
        <w:pStyle w:val="NumBPlain1"/>
        <w:numPr>
          <w:ilvl w:val="0"/>
          <w:numId w:val="10"/>
        </w:numPr>
        <w:spacing w:after="100"/>
      </w:pPr>
      <w:bookmarkStart w:id="23" w:name="_Ref523220123"/>
      <w:r>
        <w:t>IP may also arise from research</w:t>
      </w:r>
      <w:r w:rsidR="00F41347">
        <w:t xml:space="preserve"> activities</w:t>
      </w:r>
      <w:r>
        <w:t>.</w:t>
      </w:r>
      <w:r w:rsidR="00F41347">
        <w:t xml:space="preserve"> Example 3 in paragraph IE3 provides an example of accounting for </w:t>
      </w:r>
      <w:r w:rsidR="00426B94">
        <w:t xml:space="preserve">such </w:t>
      </w:r>
      <w:r w:rsidR="00F41347">
        <w:t>a licence.</w:t>
      </w:r>
      <w:bookmarkEnd w:id="23"/>
    </w:p>
    <w:p w:rsidR="00CC498E" w:rsidRDefault="00CC498E" w:rsidP="005D0061">
      <w:pPr>
        <w:pStyle w:val="IASBSectionTitle2Ind"/>
        <w:jc w:val="both"/>
        <w:outlineLvl w:val="3"/>
      </w:pPr>
      <w:r>
        <w:t>Non-IP licences</w:t>
      </w:r>
    </w:p>
    <w:p w:rsidR="00D477C9" w:rsidRDefault="00D477C9" w:rsidP="00390622">
      <w:pPr>
        <w:pStyle w:val="NumBPlain1"/>
        <w:numPr>
          <w:ilvl w:val="0"/>
          <w:numId w:val="10"/>
        </w:numPr>
        <w:spacing w:after="100"/>
      </w:pPr>
      <w:r>
        <w:t xml:space="preserve">Where a not-for-profit public sector </w:t>
      </w:r>
      <w:r w:rsidR="008D02A7">
        <w:t>licensor</w:t>
      </w:r>
      <w:r>
        <w:t xml:space="preserve"> determines that a licence is </w:t>
      </w:r>
      <w:r w:rsidR="000252CA">
        <w:t xml:space="preserve">a </w:t>
      </w:r>
      <w:r>
        <w:t>non-IP</w:t>
      </w:r>
      <w:r w:rsidR="000252CA">
        <w:t xml:space="preserve"> licence</w:t>
      </w:r>
      <w:r>
        <w:t xml:space="preserve">, </w:t>
      </w:r>
      <w:r w:rsidR="00140B38">
        <w:t xml:space="preserve">the </w:t>
      </w:r>
      <w:r w:rsidR="008D02A7">
        <w:t>licensor</w:t>
      </w:r>
      <w:r>
        <w:t xml:space="preserve"> </w:t>
      </w:r>
      <w:r w:rsidR="00677457">
        <w:t xml:space="preserve">shall </w:t>
      </w:r>
      <w:r w:rsidR="007E4145">
        <w:t>consider</w:t>
      </w:r>
      <w:r w:rsidR="008D02A7">
        <w:t xml:space="preserve"> whether the </w:t>
      </w:r>
      <w:r w:rsidR="000252CA">
        <w:t>licen</w:t>
      </w:r>
      <w:r w:rsidR="007744CF">
        <w:t>ce</w:t>
      </w:r>
      <w:r w:rsidR="000252CA">
        <w:t xml:space="preserve"> </w:t>
      </w:r>
      <w:r w:rsidR="008D02A7">
        <w:t>is</w:t>
      </w:r>
      <w:r w:rsidR="007A4EB9">
        <w:t xml:space="preserve"> for</w:t>
      </w:r>
      <w:r w:rsidR="007E4145">
        <w:t>:</w:t>
      </w:r>
    </w:p>
    <w:p w:rsidR="007E4145" w:rsidRDefault="007744CF" w:rsidP="00F24740">
      <w:pPr>
        <w:pStyle w:val="NumBPlain1"/>
        <w:numPr>
          <w:ilvl w:val="1"/>
          <w:numId w:val="10"/>
        </w:numPr>
        <w:spacing w:after="100"/>
        <w:ind w:left="1560" w:hanging="709"/>
      </w:pPr>
      <w:r>
        <w:t xml:space="preserve">rights over the licensor’s </w:t>
      </w:r>
      <w:r w:rsidR="00D477C9">
        <w:t>identifi</w:t>
      </w:r>
      <w:r>
        <w:t>ed</w:t>
      </w:r>
      <w:r w:rsidR="007A4EB9">
        <w:t xml:space="preserve"> asset</w:t>
      </w:r>
      <w:r>
        <w:t>(s)</w:t>
      </w:r>
      <w:r w:rsidR="00E039F0">
        <w:t xml:space="preserve">, in which case </w:t>
      </w:r>
      <w:r w:rsidR="008D02A7">
        <w:t xml:space="preserve">the arrangement </w:t>
      </w:r>
      <w:r w:rsidR="005E489D" w:rsidRPr="004F2717">
        <w:t>might</w:t>
      </w:r>
      <w:r w:rsidR="005E489D">
        <w:t xml:space="preserve"> </w:t>
      </w:r>
      <w:r w:rsidR="008D02A7">
        <w:t xml:space="preserve">be </w:t>
      </w:r>
      <w:r w:rsidR="0098572C">
        <w:t>a lease</w:t>
      </w:r>
      <w:r w:rsidR="00140B38">
        <w:t xml:space="preserve"> </w:t>
      </w:r>
      <w:r w:rsidR="0098572C">
        <w:t>(</w:t>
      </w:r>
      <w:r w:rsidR="00140B38">
        <w:t>or contain a lease</w:t>
      </w:r>
      <w:r w:rsidR="0098572C">
        <w:t>)</w:t>
      </w:r>
      <w:r w:rsidR="00140B38">
        <w:t xml:space="preserve">, </w:t>
      </w:r>
      <w:r w:rsidR="00140B38" w:rsidRPr="004F2717">
        <w:t>and fall</w:t>
      </w:r>
      <w:r w:rsidR="007E4145">
        <w:t xml:space="preserve"> within the scope of </w:t>
      </w:r>
      <w:r w:rsidR="00291416">
        <w:t>AASB </w:t>
      </w:r>
      <w:r w:rsidR="007E4145">
        <w:t>16;</w:t>
      </w:r>
    </w:p>
    <w:p w:rsidR="007A4EB9" w:rsidRDefault="007744CF" w:rsidP="00F24740">
      <w:pPr>
        <w:pStyle w:val="NumBPlain1"/>
        <w:numPr>
          <w:ilvl w:val="1"/>
          <w:numId w:val="10"/>
        </w:numPr>
        <w:spacing w:after="100"/>
        <w:ind w:left="1560" w:hanging="709"/>
      </w:pPr>
      <w:r>
        <w:t xml:space="preserve">rights over </w:t>
      </w:r>
      <w:r w:rsidR="0066103A">
        <w:t xml:space="preserve">the licensor’s </w:t>
      </w:r>
      <w:r w:rsidR="007E4145">
        <w:t>no</w:t>
      </w:r>
      <w:r w:rsidR="007A4EB9">
        <w:t>n-</w:t>
      </w:r>
      <w:r w:rsidR="007E4145">
        <w:t>identifi</w:t>
      </w:r>
      <w:r>
        <w:t>ed</w:t>
      </w:r>
      <w:r w:rsidR="007A4EB9">
        <w:t xml:space="preserve"> asset</w:t>
      </w:r>
      <w:r w:rsidR="0066103A">
        <w:t>(s)</w:t>
      </w:r>
      <w:r w:rsidR="00140B38">
        <w:t>,</w:t>
      </w:r>
      <w:r w:rsidR="007A4EB9">
        <w:t xml:space="preserve"> in which </w:t>
      </w:r>
      <w:r>
        <w:t xml:space="preserve">case </w:t>
      </w:r>
      <w:r w:rsidR="007A4EB9">
        <w:t xml:space="preserve">the licence </w:t>
      </w:r>
      <w:r w:rsidR="0032368A">
        <w:t>might</w:t>
      </w:r>
      <w:r w:rsidR="007A4EB9">
        <w:t>:</w:t>
      </w:r>
    </w:p>
    <w:p w:rsidR="007A7524" w:rsidRDefault="008D02A7" w:rsidP="00F24740">
      <w:pPr>
        <w:pStyle w:val="NumBC3"/>
        <w:numPr>
          <w:ilvl w:val="2"/>
          <w:numId w:val="10"/>
        </w:numPr>
        <w:ind w:left="2410" w:hanging="850"/>
      </w:pPr>
      <w:r>
        <w:t xml:space="preserve">not </w:t>
      </w:r>
      <w:r w:rsidR="0066103A">
        <w:t xml:space="preserve">be </w:t>
      </w:r>
      <w:r w:rsidR="00140B38">
        <w:t>distinct from other promised goods or services</w:t>
      </w:r>
      <w:r>
        <w:t xml:space="preserve"> in the arrangement</w:t>
      </w:r>
      <w:r w:rsidR="00140B38">
        <w:t xml:space="preserve">, and </w:t>
      </w:r>
      <w:r w:rsidR="00C30493">
        <w:t xml:space="preserve">shall </w:t>
      </w:r>
      <w:r w:rsidR="00140B38">
        <w:t xml:space="preserve">therefore be </w:t>
      </w:r>
      <w:r w:rsidR="00C30493">
        <w:t>combined with the other goods or services and accounted for as a bundle of goods or services</w:t>
      </w:r>
      <w:r w:rsidR="007A4EB9">
        <w:t xml:space="preserve"> (see paragraphs</w:t>
      </w:r>
      <w:r w:rsidR="00CC498E">
        <w:t> </w:t>
      </w:r>
      <w:r w:rsidR="00C30493">
        <w:fldChar w:fldCharType="begin"/>
      </w:r>
      <w:r w:rsidR="00C30493">
        <w:instrText xml:space="preserve"> REF _Ref522531762 \r \h </w:instrText>
      </w:r>
      <w:r w:rsidR="00C30493">
        <w:fldChar w:fldCharType="separate"/>
      </w:r>
      <w:r w:rsidR="00882B86">
        <w:t>G20</w:t>
      </w:r>
      <w:r w:rsidR="00C30493">
        <w:fldChar w:fldCharType="end"/>
      </w:r>
      <w:r w:rsidR="0001043A">
        <w:t xml:space="preserve"> and </w:t>
      </w:r>
      <w:r w:rsidR="00C30493">
        <w:fldChar w:fldCharType="begin"/>
      </w:r>
      <w:r w:rsidR="00C30493">
        <w:instrText xml:space="preserve"> REF _Ref522531764 \r \h </w:instrText>
      </w:r>
      <w:r w:rsidR="00C30493">
        <w:fldChar w:fldCharType="separate"/>
      </w:r>
      <w:r w:rsidR="00882B86">
        <w:t>G21</w:t>
      </w:r>
      <w:r w:rsidR="00C30493">
        <w:fldChar w:fldCharType="end"/>
      </w:r>
      <w:r w:rsidR="007A4EB9" w:rsidRPr="004C2CCB">
        <w:t>);</w:t>
      </w:r>
      <w:r w:rsidR="007A4EB9">
        <w:t xml:space="preserve"> or</w:t>
      </w:r>
    </w:p>
    <w:p w:rsidR="007A7524" w:rsidRDefault="0066103A" w:rsidP="00F24740">
      <w:pPr>
        <w:pStyle w:val="NumBC3"/>
        <w:numPr>
          <w:ilvl w:val="2"/>
          <w:numId w:val="10"/>
        </w:numPr>
        <w:ind w:left="2410" w:hanging="850"/>
      </w:pPr>
      <w:proofErr w:type="gramStart"/>
      <w:r>
        <w:t>be</w:t>
      </w:r>
      <w:proofErr w:type="gramEnd"/>
      <w:r>
        <w:t xml:space="preserve"> </w:t>
      </w:r>
      <w:r w:rsidR="007A4EB9">
        <w:t xml:space="preserve">distinct from other promised goods or services, and </w:t>
      </w:r>
      <w:r w:rsidR="00BB15C0">
        <w:t>shall</w:t>
      </w:r>
      <w:r w:rsidR="007A4EB9">
        <w:t xml:space="preserve"> therefore be accounted for </w:t>
      </w:r>
      <w:r>
        <w:t xml:space="preserve">as a separate performance obligation </w:t>
      </w:r>
      <w:r w:rsidR="00E23632">
        <w:t xml:space="preserve">in accordance with the principles of </w:t>
      </w:r>
      <w:r w:rsidR="00291416">
        <w:t>AASB </w:t>
      </w:r>
      <w:r w:rsidR="007A4EB9">
        <w:t>15</w:t>
      </w:r>
      <w:r w:rsidR="00E23632">
        <w:t xml:space="preserve"> (see paragraphs G1</w:t>
      </w:r>
      <w:r w:rsidR="00426B94">
        <w:t>6</w:t>
      </w:r>
      <w:r w:rsidR="00124FCF">
        <w:t>–</w:t>
      </w:r>
      <w:r w:rsidR="00E23632">
        <w:t>G2</w:t>
      </w:r>
      <w:r w:rsidR="00426B94">
        <w:t>1</w:t>
      </w:r>
      <w:r w:rsidR="00E23632">
        <w:t xml:space="preserve"> for guidance on applying certain aspects of the principles)</w:t>
      </w:r>
      <w:r w:rsidR="00E675D8">
        <w:t xml:space="preserve">. The </w:t>
      </w:r>
      <w:r w:rsidR="00677457">
        <w:t>Application</w:t>
      </w:r>
      <w:r w:rsidR="00E675D8">
        <w:t xml:space="preserve"> </w:t>
      </w:r>
      <w:r w:rsidR="00677457">
        <w:t>G</w:t>
      </w:r>
      <w:r w:rsidR="00E675D8">
        <w:t>uidance for licences of IP in paragraphs B52</w:t>
      </w:r>
      <w:r w:rsidR="00124FCF">
        <w:t>–</w:t>
      </w:r>
      <w:r w:rsidR="00E675D8">
        <w:t xml:space="preserve">B63B shall not be applied </w:t>
      </w:r>
      <w:r w:rsidR="007712C8">
        <w:t>to</w:t>
      </w:r>
      <w:r w:rsidR="00E675D8">
        <w:t xml:space="preserve"> this type of licence</w:t>
      </w:r>
      <w:r w:rsidR="007A7524">
        <w:t>; or</w:t>
      </w:r>
    </w:p>
    <w:p w:rsidR="007A4EB9" w:rsidRDefault="00CC498E" w:rsidP="00F24740">
      <w:pPr>
        <w:pStyle w:val="NumBPlain1"/>
        <w:numPr>
          <w:ilvl w:val="1"/>
          <w:numId w:val="10"/>
        </w:numPr>
        <w:spacing w:after="100"/>
        <w:ind w:left="1560" w:hanging="709"/>
      </w:pPr>
      <w:r>
        <w:t xml:space="preserve">the right to perform an activity, which would not involve an asset or assets of the </w:t>
      </w:r>
      <w:r w:rsidR="0066103A">
        <w:t>licensor</w:t>
      </w:r>
      <w:r w:rsidR="00DF79EA">
        <w:t xml:space="preserve">, and if distinct from other goods or services, shall </w:t>
      </w:r>
      <w:r w:rsidR="0066103A">
        <w:t xml:space="preserve">be accounted for as a separate performance obligation </w:t>
      </w:r>
      <w:r w:rsidR="00E23632">
        <w:t xml:space="preserve">in accordance with the principles of </w:t>
      </w:r>
      <w:r w:rsidR="00291416">
        <w:t>AASB </w:t>
      </w:r>
      <w:r w:rsidR="0066103A">
        <w:t>15</w:t>
      </w:r>
      <w:r w:rsidR="00E23632">
        <w:t xml:space="preserve"> (see paragraphs G1</w:t>
      </w:r>
      <w:r w:rsidR="00426B94">
        <w:t>6</w:t>
      </w:r>
      <w:r w:rsidR="00124FCF">
        <w:t>–</w:t>
      </w:r>
      <w:r w:rsidR="00E23632">
        <w:t>G2</w:t>
      </w:r>
      <w:r w:rsidR="00426B94">
        <w:t>1</w:t>
      </w:r>
      <w:r w:rsidR="00E23632">
        <w:t xml:space="preserve"> for guidance on applying certain aspects of the principles)</w:t>
      </w:r>
      <w:r>
        <w:t>.</w:t>
      </w:r>
      <w:r w:rsidR="00E675D8" w:rsidRPr="00E675D8">
        <w:t xml:space="preserve"> </w:t>
      </w:r>
      <w:r w:rsidR="00EC0906">
        <w:t xml:space="preserve"> </w:t>
      </w:r>
      <w:r w:rsidR="00E675D8">
        <w:t xml:space="preserve">The </w:t>
      </w:r>
      <w:r w:rsidR="00677457">
        <w:t>Application</w:t>
      </w:r>
      <w:r w:rsidR="00E675D8">
        <w:t xml:space="preserve"> </w:t>
      </w:r>
      <w:r w:rsidR="00677457">
        <w:t>G</w:t>
      </w:r>
      <w:r w:rsidR="00E675D8">
        <w:t>uidance for licences of IP in paragraphs B52</w:t>
      </w:r>
      <w:r w:rsidR="00124FCF">
        <w:t>–</w:t>
      </w:r>
      <w:r w:rsidR="00E675D8">
        <w:t xml:space="preserve">B63B shall not be applied </w:t>
      </w:r>
      <w:r w:rsidR="00426B94">
        <w:t xml:space="preserve">to </w:t>
      </w:r>
      <w:r w:rsidR="00E675D8">
        <w:t xml:space="preserve">this type of licence. </w:t>
      </w:r>
    </w:p>
    <w:p w:rsidR="0058643E" w:rsidRDefault="0058643E" w:rsidP="005D0061">
      <w:pPr>
        <w:pStyle w:val="IASBSectionTitle1NonInd"/>
        <w:outlineLvl w:val="2"/>
      </w:pPr>
      <w:r>
        <w:t xml:space="preserve">Identifying performance obligations </w:t>
      </w:r>
    </w:p>
    <w:p w:rsidR="00577B7E" w:rsidRDefault="00577B7E" w:rsidP="00577B7E">
      <w:pPr>
        <w:pStyle w:val="NumBPlain1"/>
        <w:numPr>
          <w:ilvl w:val="0"/>
          <w:numId w:val="10"/>
        </w:numPr>
        <w:spacing w:after="100"/>
      </w:pPr>
      <w:bookmarkStart w:id="24" w:name="_Ref522542169"/>
      <w:r>
        <w:t xml:space="preserve">Where a licensor issues a non-IP licence that transfers to the licensee either rights over the licensor’s non-identified assets or a right to the licensee to perform an activity (that does not involve an asset or assets of the licensor, for example the right to operate a casino), the </w:t>
      </w:r>
      <w:r w:rsidRPr="004C2CCB">
        <w:t xml:space="preserve">licensor shall assess goods or services promised in the arrangement and shall identify each </w:t>
      </w:r>
      <w:r w:rsidR="00AD719C">
        <w:t xml:space="preserve">distinct </w:t>
      </w:r>
      <w:r w:rsidRPr="004C2CCB">
        <w:t>performance obligation promised to the licensee in accordance with paragraphs 22</w:t>
      </w:r>
      <w:r w:rsidR="00124FCF">
        <w:t>–</w:t>
      </w:r>
      <w:r w:rsidRPr="004C2CCB">
        <w:t>30</w:t>
      </w:r>
      <w:r>
        <w:t xml:space="preserve"> of AASB 15.</w:t>
      </w:r>
      <w:bookmarkEnd w:id="24"/>
      <w:r>
        <w:t xml:space="preserve"> </w:t>
      </w:r>
    </w:p>
    <w:p w:rsidR="00DB106E" w:rsidRDefault="00DB106E" w:rsidP="005D0061">
      <w:pPr>
        <w:pStyle w:val="IASBSectionTitle2Ind"/>
        <w:jc w:val="both"/>
        <w:outlineLvl w:val="2"/>
      </w:pPr>
      <w:r>
        <w:t>Identifying the customer</w:t>
      </w:r>
    </w:p>
    <w:p w:rsidR="00DB106E" w:rsidRPr="00DB106E" w:rsidRDefault="00DB106E" w:rsidP="00DB106E">
      <w:pPr>
        <w:pStyle w:val="NumBPlain1"/>
        <w:numPr>
          <w:ilvl w:val="0"/>
          <w:numId w:val="10"/>
        </w:numPr>
        <w:spacing w:after="100"/>
      </w:pPr>
      <w:bookmarkStart w:id="25" w:name="_Ref522533563"/>
      <w:r w:rsidRPr="00DB106E">
        <w:t>Appendix A defines a customer for the purpose of this Standard.</w:t>
      </w:r>
      <w:r w:rsidR="00EC0906">
        <w:t xml:space="preserve"> </w:t>
      </w:r>
      <w:r w:rsidRPr="00DB106E">
        <w:t xml:space="preserve"> In the context of non-IP licences, the customer is the licensee who contracted with the licensor to be </w:t>
      </w:r>
      <w:r w:rsidR="003B7CF4">
        <w:t>issued</w:t>
      </w:r>
      <w:r w:rsidRPr="00DB106E">
        <w:t xml:space="preserve"> the rights associated with the licence.</w:t>
      </w:r>
      <w:bookmarkEnd w:id="25"/>
      <w:r w:rsidRPr="00DB106E">
        <w:t xml:space="preserve"> </w:t>
      </w:r>
    </w:p>
    <w:p w:rsidR="00DB106E" w:rsidRPr="00DB106E" w:rsidRDefault="00DB106E" w:rsidP="005D0061">
      <w:pPr>
        <w:pStyle w:val="IASBSectionTitle2Ind"/>
        <w:jc w:val="both"/>
        <w:outlineLvl w:val="2"/>
      </w:pPr>
      <w:r w:rsidRPr="00DB106E">
        <w:t>Identifying the goods or services</w:t>
      </w:r>
    </w:p>
    <w:p w:rsidR="00DB106E" w:rsidRPr="00DB106E" w:rsidRDefault="00DB106E" w:rsidP="00DB106E">
      <w:pPr>
        <w:pStyle w:val="NumBPlain1"/>
        <w:numPr>
          <w:ilvl w:val="0"/>
          <w:numId w:val="10"/>
        </w:numPr>
        <w:spacing w:after="100"/>
      </w:pPr>
      <w:r w:rsidRPr="00DB106E">
        <w:t xml:space="preserve">The good or service being transferred in a non-IP licence by a licensor would most commonly be either </w:t>
      </w:r>
      <w:r w:rsidR="00C8010D">
        <w:t xml:space="preserve">issuing </w:t>
      </w:r>
      <w:r w:rsidRPr="00DB106E">
        <w:t xml:space="preserve">rights over the licensor’s non-identified assets or </w:t>
      </w:r>
      <w:r w:rsidR="005F72F0">
        <w:t xml:space="preserve">issuing </w:t>
      </w:r>
      <w:r w:rsidRPr="00DB106E">
        <w:t>right</w:t>
      </w:r>
      <w:r w:rsidR="002D23C7">
        <w:t>s</w:t>
      </w:r>
      <w:r w:rsidRPr="00DB106E">
        <w:t xml:space="preserve"> to the licensee to perform an activity</w:t>
      </w:r>
      <w:r w:rsidR="008A0BAC">
        <w:t xml:space="preserve"> (</w:t>
      </w:r>
      <w:proofErr w:type="spellStart"/>
      <w:r w:rsidR="008A0BAC">
        <w:t>ie</w:t>
      </w:r>
      <w:proofErr w:type="spellEnd"/>
      <w:r w:rsidR="008A0BAC">
        <w:t xml:space="preserve"> issuing the licence itself is the sole good or service)</w:t>
      </w:r>
      <w:r w:rsidRPr="00DB106E">
        <w:t>.</w:t>
      </w:r>
      <w:r w:rsidR="00EC0906">
        <w:t xml:space="preserve"> </w:t>
      </w:r>
      <w:r w:rsidRPr="00DB106E">
        <w:t xml:space="preserve"> However, an entity shall also assess the arrangement to identify any other goods or services promised to the licensee.</w:t>
      </w:r>
    </w:p>
    <w:p w:rsidR="009B2184" w:rsidRDefault="00DB106E" w:rsidP="00C910DA">
      <w:pPr>
        <w:pStyle w:val="NumBPlain1"/>
        <w:numPr>
          <w:ilvl w:val="0"/>
          <w:numId w:val="10"/>
        </w:numPr>
        <w:spacing w:after="100"/>
      </w:pPr>
      <w:r w:rsidRPr="00DB106E">
        <w:t xml:space="preserve">In accordance with paragraph 25, performance obligations do not include activities that </w:t>
      </w:r>
      <w:r w:rsidR="00D701CA">
        <w:t xml:space="preserve">a </w:t>
      </w:r>
      <w:r w:rsidRPr="00DB106E">
        <w:t xml:space="preserve">licensor must undertake to fulfil a contract unless those activities transfer a good or service additional to the licence </w:t>
      </w:r>
      <w:r w:rsidR="00374A57">
        <w:t>issued</w:t>
      </w:r>
      <w:r w:rsidR="006500A8">
        <w:t xml:space="preserve"> to the</w:t>
      </w:r>
      <w:r w:rsidRPr="00DB106E">
        <w:t xml:space="preserve"> licensee.</w:t>
      </w:r>
      <w:r w:rsidR="0029466C">
        <w:t xml:space="preserve"> </w:t>
      </w:r>
      <w:r w:rsidRPr="00DB106E">
        <w:t>For example</w:t>
      </w:r>
      <w:r w:rsidR="00130A31">
        <w:t>:</w:t>
      </w:r>
      <w:r w:rsidRPr="00DB106E">
        <w:t xml:space="preserve"> </w:t>
      </w:r>
    </w:p>
    <w:p w:rsidR="00130A31" w:rsidRDefault="00130A31" w:rsidP="00130A31">
      <w:pPr>
        <w:pStyle w:val="NumBPlain1"/>
        <w:numPr>
          <w:ilvl w:val="1"/>
          <w:numId w:val="10"/>
        </w:numPr>
        <w:spacing w:after="100"/>
        <w:ind w:left="1560" w:hanging="709"/>
      </w:pPr>
      <w:bookmarkStart w:id="26" w:name="_Ref522542216"/>
      <w:proofErr w:type="gramStart"/>
      <w:r>
        <w:t>a</w:t>
      </w:r>
      <w:proofErr w:type="gramEnd"/>
      <w:r>
        <w:t xml:space="preserve"> promise to the licensee that the right is restricted to the licensee</w:t>
      </w:r>
      <w:r w:rsidR="006F7468">
        <w:t xml:space="preserve"> is not a performance obligation</w:t>
      </w:r>
      <w:r w:rsidR="008A0BAC">
        <w:t xml:space="preserve">. </w:t>
      </w:r>
      <w:r w:rsidR="00D405CA">
        <w:t>A</w:t>
      </w:r>
      <w:r w:rsidR="008A0BAC">
        <w:t xml:space="preserve"> promise</w:t>
      </w:r>
      <w:r w:rsidR="006F7468">
        <w:t xml:space="preserve"> in the licence terms</w:t>
      </w:r>
      <w:r w:rsidR="008A0BAC">
        <w:t xml:space="preserve"> that the</w:t>
      </w:r>
      <w:r w:rsidR="006F7468">
        <w:t xml:space="preserve"> </w:t>
      </w:r>
      <w:r>
        <w:t xml:space="preserve">licensor will not </w:t>
      </w:r>
      <w:r w:rsidR="000B28DB">
        <w:t xml:space="preserve">issue </w:t>
      </w:r>
      <w:r>
        <w:t>a similar right to another party (</w:t>
      </w:r>
      <w:proofErr w:type="spellStart"/>
      <w:r>
        <w:t>ie</w:t>
      </w:r>
      <w:proofErr w:type="spellEnd"/>
      <w:r>
        <w:t xml:space="preserve"> exclusivity to the licensee) is </w:t>
      </w:r>
      <w:r w:rsidRPr="00DB106E">
        <w:t>considered</w:t>
      </w:r>
      <w:r>
        <w:t xml:space="preserve"> an</w:t>
      </w:r>
      <w:r w:rsidRPr="00DB106E">
        <w:t xml:space="preserve"> </w:t>
      </w:r>
      <w:r>
        <w:t>attribute</w:t>
      </w:r>
      <w:r w:rsidRPr="00DB106E">
        <w:t xml:space="preserve"> of the </w:t>
      </w:r>
      <w:r>
        <w:t>arrangement</w:t>
      </w:r>
      <w:r w:rsidRPr="00DB106E">
        <w:t xml:space="preserve"> </w:t>
      </w:r>
      <w:r>
        <w:t>and does not transfer a good or service additional to the licence</w:t>
      </w:r>
      <w:r w:rsidRPr="00DB106E">
        <w:t>.</w:t>
      </w:r>
      <w:r>
        <w:t xml:space="preserve"> </w:t>
      </w:r>
      <w:r w:rsidR="001B2940" w:rsidRPr="001B2940">
        <w:t xml:space="preserve"> </w:t>
      </w:r>
      <w:r w:rsidR="001B2940">
        <w:t xml:space="preserve">Although the licensor maintaining exclusivity maintains the value of the licence, and has a greater value than a non-exclusive licence, it does not </w:t>
      </w:r>
      <w:r w:rsidR="00640ECA">
        <w:t>transfer</w:t>
      </w:r>
      <w:r w:rsidR="001B2940">
        <w:t xml:space="preserve"> an additional good or service.  </w:t>
      </w:r>
      <w:r w:rsidR="008A0BAC">
        <w:t>The licensor refraining from</w:t>
      </w:r>
      <w:r>
        <w:t xml:space="preserve"> issu</w:t>
      </w:r>
      <w:r w:rsidR="008A0BAC">
        <w:t>ing</w:t>
      </w:r>
      <w:r>
        <w:t xml:space="preserve"> another licence</w:t>
      </w:r>
      <w:r w:rsidR="008A0BAC">
        <w:t xml:space="preserve"> to a new licensee </w:t>
      </w:r>
      <w:r w:rsidR="00803AC0">
        <w:t>only confirms the licence meets the attributes promised at inception of the licence</w:t>
      </w:r>
      <w:r w:rsidR="001B2940">
        <w:t xml:space="preserve">. </w:t>
      </w:r>
      <w:r w:rsidR="00803AC0">
        <w:t>Similarly, i</w:t>
      </w:r>
      <w:r>
        <w:t>f a licensor carr</w:t>
      </w:r>
      <w:r w:rsidR="006F7468">
        <w:t>ies</w:t>
      </w:r>
      <w:r>
        <w:t xml:space="preserve"> out activities to ensure that no other party engages in the activities that the licensee has an exclusive right to, this does not provide a service to the licensee, but instead is an activity that confirms the licence meets the attributes promised at inception of the licence;</w:t>
      </w:r>
    </w:p>
    <w:p w:rsidR="00FA60BC" w:rsidRPr="00DB106E" w:rsidRDefault="00FA60BC" w:rsidP="00130A31">
      <w:pPr>
        <w:pStyle w:val="NumBPlain1"/>
        <w:numPr>
          <w:ilvl w:val="1"/>
          <w:numId w:val="10"/>
        </w:numPr>
        <w:spacing w:after="100"/>
        <w:ind w:left="1560" w:hanging="709"/>
      </w:pPr>
      <w:r w:rsidRPr="00DB106E">
        <w:t xml:space="preserve">activities that a licensor is required to undertake in the context of a non-IP licence to benefit the general public </w:t>
      </w:r>
      <w:r w:rsidR="006F7468">
        <w:t xml:space="preserve">or to confirm the terms of the licence are being met </w:t>
      </w:r>
      <w:r>
        <w:t xml:space="preserve">(for example ‘policing’ activities to ensure licensee is not carrying out illegal activities or customers of the licensee are of a legally allowable age) </w:t>
      </w:r>
      <w:r w:rsidR="006F7468">
        <w:t xml:space="preserve">are not performance obligations.  Such activities </w:t>
      </w:r>
      <w:r w:rsidRPr="00DB106E">
        <w:t>d</w:t>
      </w:r>
      <w:r>
        <w:t>o</w:t>
      </w:r>
      <w:r w:rsidRPr="00DB106E">
        <w:t xml:space="preserve"> not transfer </w:t>
      </w:r>
      <w:r w:rsidR="006F7468">
        <w:t>additional</w:t>
      </w:r>
      <w:r w:rsidR="006F7468" w:rsidRPr="00DB106E">
        <w:t xml:space="preserve"> </w:t>
      </w:r>
      <w:r w:rsidRPr="00DB106E">
        <w:t>good</w:t>
      </w:r>
      <w:r w:rsidR="006F7468">
        <w:t>s</w:t>
      </w:r>
      <w:r w:rsidRPr="00DB106E">
        <w:t xml:space="preserve"> or service</w:t>
      </w:r>
      <w:r w:rsidR="006F7468">
        <w:t>s</w:t>
      </w:r>
      <w:r w:rsidRPr="00DB106E">
        <w:t xml:space="preserve"> to the licensee</w:t>
      </w:r>
      <w:r>
        <w:t xml:space="preserve"> (even though the licensee could benefit from those activities)</w:t>
      </w:r>
      <w:r w:rsidR="00130A31">
        <w:t>;</w:t>
      </w:r>
      <w:r w:rsidR="00F60864">
        <w:t xml:space="preserve"> </w:t>
      </w:r>
      <w:r w:rsidR="00130A31">
        <w:t>and</w:t>
      </w:r>
    </w:p>
    <w:p w:rsidR="00EC635D" w:rsidRDefault="009E6558" w:rsidP="00DE5A94">
      <w:pPr>
        <w:pStyle w:val="NumBPlain1"/>
        <w:numPr>
          <w:ilvl w:val="1"/>
          <w:numId w:val="10"/>
        </w:numPr>
        <w:spacing w:after="100"/>
        <w:ind w:left="1560" w:hanging="709"/>
      </w:pPr>
      <w:proofErr w:type="gramStart"/>
      <w:r>
        <w:t>a</w:t>
      </w:r>
      <w:r w:rsidR="00DB106E" w:rsidRPr="00DB106E">
        <w:t>ctivities</w:t>
      </w:r>
      <w:proofErr w:type="gramEnd"/>
      <w:r w:rsidR="00DB106E" w:rsidRPr="00DB106E">
        <w:t xml:space="preserve"> </w:t>
      </w:r>
      <w:r w:rsidR="006F7468">
        <w:t xml:space="preserve">that a </w:t>
      </w:r>
      <w:r>
        <w:t xml:space="preserve">licensor </w:t>
      </w:r>
      <w:r w:rsidR="006F7468">
        <w:t xml:space="preserve">performs </w:t>
      </w:r>
      <w:r w:rsidR="00DB106E" w:rsidRPr="00DB106E">
        <w:t xml:space="preserve">to check that </w:t>
      </w:r>
      <w:r w:rsidR="00C334F1">
        <w:t xml:space="preserve">a </w:t>
      </w:r>
      <w:r>
        <w:t xml:space="preserve">licensee continues </w:t>
      </w:r>
      <w:r w:rsidR="006F7468">
        <w:t xml:space="preserve">to meet </w:t>
      </w:r>
      <w:r>
        <w:t xml:space="preserve">the </w:t>
      </w:r>
      <w:r w:rsidR="00DB106E" w:rsidRPr="00DB106E">
        <w:t xml:space="preserve">eligibility </w:t>
      </w:r>
      <w:r>
        <w:t xml:space="preserve">requirements of the </w:t>
      </w:r>
      <w:r w:rsidR="00DE173E">
        <w:t xml:space="preserve">arrangement </w:t>
      </w:r>
      <w:r w:rsidR="006F7468">
        <w:t xml:space="preserve">are </w:t>
      </w:r>
      <w:r w:rsidR="00EC0906">
        <w:t>not performance</w:t>
      </w:r>
      <w:r>
        <w:t xml:space="preserve"> obligation</w:t>
      </w:r>
      <w:r w:rsidR="00803366">
        <w:t>s</w:t>
      </w:r>
      <w:r>
        <w:t>.</w:t>
      </w:r>
      <w:r w:rsidR="00EC0906">
        <w:t xml:space="preserve"> </w:t>
      </w:r>
      <w:r>
        <w:t xml:space="preserve"> </w:t>
      </w:r>
      <w:r w:rsidR="00DB106E" w:rsidRPr="00DB106E">
        <w:t xml:space="preserve">The licensee controls whether they meet the eligibility </w:t>
      </w:r>
      <w:r>
        <w:t xml:space="preserve">requirements of the </w:t>
      </w:r>
      <w:r w:rsidR="00DE173E">
        <w:t>arrangement</w:t>
      </w:r>
      <w:r w:rsidR="006C633F">
        <w:t xml:space="preserve">. </w:t>
      </w:r>
      <w:r w:rsidR="00DB106E" w:rsidRPr="00DB106E">
        <w:t xml:space="preserve">Activities </w:t>
      </w:r>
      <w:r w:rsidR="0029466C">
        <w:t xml:space="preserve">performed by the licensor to </w:t>
      </w:r>
      <w:r w:rsidR="00DB106E" w:rsidRPr="00DB106E">
        <w:t xml:space="preserve">uphold the integrity of the licence merely confirm </w:t>
      </w:r>
      <w:r w:rsidR="0029466C">
        <w:t xml:space="preserve">that </w:t>
      </w:r>
      <w:r w:rsidR="00DB106E" w:rsidRPr="00DB106E">
        <w:t xml:space="preserve">the </w:t>
      </w:r>
      <w:r w:rsidR="00DE173E">
        <w:t>arrangement</w:t>
      </w:r>
      <w:r w:rsidR="00DE173E" w:rsidRPr="00DB106E">
        <w:t xml:space="preserve"> </w:t>
      </w:r>
      <w:r w:rsidR="0029466C">
        <w:t>is not</w:t>
      </w:r>
      <w:r w:rsidR="00DB106E" w:rsidRPr="00DB106E">
        <w:t xml:space="preserve"> breached, and do not </w:t>
      </w:r>
      <w:r w:rsidR="0029466C">
        <w:t>transfer</w:t>
      </w:r>
      <w:r w:rsidR="00DB106E" w:rsidRPr="00DB106E">
        <w:t xml:space="preserve"> </w:t>
      </w:r>
      <w:r w:rsidR="0029466C">
        <w:t>goods or services to</w:t>
      </w:r>
      <w:r w:rsidR="00DB106E" w:rsidRPr="00DB106E">
        <w:t xml:space="preserve"> the licensee.</w:t>
      </w:r>
      <w:bookmarkEnd w:id="26"/>
    </w:p>
    <w:p w:rsidR="0058643E" w:rsidRPr="00F24740" w:rsidRDefault="0058643E" w:rsidP="005D0061">
      <w:pPr>
        <w:pStyle w:val="IASBSectionTitle2Ind"/>
        <w:jc w:val="both"/>
        <w:outlineLvl w:val="2"/>
        <w:rPr>
          <w:b w:val="0"/>
        </w:rPr>
      </w:pPr>
      <w:r w:rsidRPr="0058643E">
        <w:t>Licences distinct from other goods and services</w:t>
      </w:r>
    </w:p>
    <w:p w:rsidR="0058643E" w:rsidRDefault="0058643E" w:rsidP="0058643E">
      <w:pPr>
        <w:pStyle w:val="NumBPlain1"/>
        <w:numPr>
          <w:ilvl w:val="0"/>
          <w:numId w:val="10"/>
        </w:numPr>
        <w:spacing w:after="100"/>
      </w:pPr>
      <w:bookmarkStart w:id="27" w:name="_Ref522531762"/>
      <w:r>
        <w:t>If the promise to issue a non-IP licence is not distinct from other promised goods or services in the arrangement i</w:t>
      </w:r>
      <w:r w:rsidR="00124FCF">
        <w:t>n accordance with paragraphs 26–</w:t>
      </w:r>
      <w:r>
        <w:t xml:space="preserve">30, the licensor shall </w:t>
      </w:r>
      <w:r w:rsidR="00F60864">
        <w:t xml:space="preserve">combine </w:t>
      </w:r>
      <w:r>
        <w:t xml:space="preserve">the promise to issue that licence </w:t>
      </w:r>
      <w:r w:rsidR="00F60864">
        <w:t>with the other goods or services and account for the bundle of</w:t>
      </w:r>
      <w:r>
        <w:t xml:space="preserve"> goods or services together as a single performance obligation.</w:t>
      </w:r>
      <w:bookmarkEnd w:id="27"/>
    </w:p>
    <w:p w:rsidR="0058643E" w:rsidRDefault="0058643E" w:rsidP="0058643E">
      <w:pPr>
        <w:pStyle w:val="NumBPlain1"/>
        <w:numPr>
          <w:ilvl w:val="0"/>
          <w:numId w:val="10"/>
        </w:numPr>
        <w:spacing w:after="100"/>
      </w:pPr>
      <w:bookmarkStart w:id="28" w:name="_Ref522531764"/>
      <w:r>
        <w:t xml:space="preserve">When determining whether the </w:t>
      </w:r>
      <w:r w:rsidR="00A22E99">
        <w:t xml:space="preserve">non-IP </w:t>
      </w:r>
      <w:r>
        <w:t>licence is distinct from other goods or services (in accordance with paragraphs</w:t>
      </w:r>
      <w:r w:rsidR="00A94D56">
        <w:t> </w:t>
      </w:r>
      <w:r>
        <w:t>26</w:t>
      </w:r>
      <w:r w:rsidR="00124FCF">
        <w:t>–</w:t>
      </w:r>
      <w:r>
        <w:t xml:space="preserve">30), a licensor </w:t>
      </w:r>
      <w:r w:rsidR="003C23DC">
        <w:t>shall</w:t>
      </w:r>
      <w:r>
        <w:t xml:space="preserve"> consider the benefits or desired outputs for which the licence was issued.  For example, in the case of a commercial fishing licence where a</w:t>
      </w:r>
      <w:r w:rsidR="003C23DC">
        <w:t xml:space="preserve"> </w:t>
      </w:r>
      <w:r>
        <w:t xml:space="preserve">quota of fish is specified in the </w:t>
      </w:r>
      <w:r w:rsidR="00C30493">
        <w:t>agreement</w:t>
      </w:r>
      <w:r>
        <w:t>, the purpose of obtaining the licence is to obtain goods (</w:t>
      </w:r>
      <w:proofErr w:type="spellStart"/>
      <w:r>
        <w:t>ie</w:t>
      </w:r>
      <w:proofErr w:type="spellEnd"/>
      <w:r>
        <w:t xml:space="preserve"> the fish), and the licence is not separately identifiable from the fish, given:</w:t>
      </w:r>
      <w:bookmarkEnd w:id="28"/>
      <w:r>
        <w:t xml:space="preserve"> </w:t>
      </w:r>
    </w:p>
    <w:p w:rsidR="0058643E" w:rsidRDefault="0058643E" w:rsidP="0058643E">
      <w:pPr>
        <w:pStyle w:val="NumCPlain2"/>
      </w:pPr>
      <w:r>
        <w:t>the licensor is using the licence as an input to deliver the fish</w:t>
      </w:r>
      <w:r w:rsidR="00A6746D">
        <w:t xml:space="preserve"> to the licensee</w:t>
      </w:r>
      <w:r>
        <w:t>, which is the output to the licensee; and</w:t>
      </w:r>
    </w:p>
    <w:p w:rsidR="0058643E" w:rsidRDefault="0058643E" w:rsidP="0058643E">
      <w:pPr>
        <w:pStyle w:val="NumCPlain2"/>
      </w:pPr>
      <w:proofErr w:type="gramStart"/>
      <w:r>
        <w:t>the</w:t>
      </w:r>
      <w:proofErr w:type="gramEnd"/>
      <w:r>
        <w:t xml:space="preserve"> licence and the promise to deliver the fish are highly interrelated – the licensor would not be able to fulfil its promise of </w:t>
      </w:r>
      <w:r w:rsidR="00757C85">
        <w:t>delivering</w:t>
      </w:r>
      <w:r>
        <w:t xml:space="preserve"> the fish</w:t>
      </w:r>
      <w:r w:rsidR="00A60896">
        <w:t xml:space="preserve"> independently of issuing the licence</w:t>
      </w:r>
      <w:r>
        <w:t xml:space="preserve"> without undermining its policies and customary business practices (</w:t>
      </w:r>
      <w:proofErr w:type="spellStart"/>
      <w:r>
        <w:t>ie</w:t>
      </w:r>
      <w:proofErr w:type="spellEnd"/>
      <w:r>
        <w:t xml:space="preserve"> the fish can only be </w:t>
      </w:r>
      <w:r w:rsidR="00FB3943">
        <w:t>delivered</w:t>
      </w:r>
      <w:r>
        <w:t xml:space="preserve"> when a fishing licence has been </w:t>
      </w:r>
      <w:r w:rsidR="000B28DB">
        <w:t>issued</w:t>
      </w:r>
      <w:r>
        <w:t>).</w:t>
      </w:r>
    </w:p>
    <w:p w:rsidR="0058643E" w:rsidRDefault="0058643E" w:rsidP="0058643E">
      <w:pPr>
        <w:pStyle w:val="NumBPlain1"/>
        <w:spacing w:after="100"/>
        <w:ind w:left="782"/>
      </w:pPr>
      <w:r>
        <w:t>In these circumstances, the licence is not separately identifiable from other promises in the arrangement, in accordance with paragraphs 29(a) and (c) of AASB 15.</w:t>
      </w:r>
    </w:p>
    <w:p w:rsidR="0045345F" w:rsidRDefault="0045345F" w:rsidP="005D0061">
      <w:pPr>
        <w:pStyle w:val="IASBSectionTitle1NonInd"/>
        <w:outlineLvl w:val="2"/>
      </w:pPr>
      <w:r>
        <w:t>Recognition exemption: low-value licences (</w:t>
      </w:r>
      <w:r w:rsidR="00F820F7">
        <w:t xml:space="preserve">paragraphs </w:t>
      </w:r>
      <w:r>
        <w:t>Aus8.1</w:t>
      </w:r>
      <w:r w:rsidR="00124FCF">
        <w:t>–</w:t>
      </w:r>
      <w:r>
        <w:t>Aus8.</w:t>
      </w:r>
      <w:r w:rsidR="006E3CA3">
        <w:t>3</w:t>
      </w:r>
      <w:r>
        <w:t>)</w:t>
      </w:r>
    </w:p>
    <w:p w:rsidR="006E3CA3" w:rsidRDefault="00D51E52" w:rsidP="0045345F">
      <w:pPr>
        <w:pStyle w:val="NumBPlain1"/>
        <w:numPr>
          <w:ilvl w:val="0"/>
          <w:numId w:val="10"/>
        </w:numPr>
        <w:spacing w:after="100"/>
      </w:pPr>
      <w:bookmarkStart w:id="29" w:name="_Ref498595439"/>
      <w:r>
        <w:t>This Standard permits a</w:t>
      </w:r>
      <w:r w:rsidR="00F820F7">
        <w:t xml:space="preserve"> not-for-profit public sector</w:t>
      </w:r>
      <w:r>
        <w:t xml:space="preserve"> licensor to apply paragraph Aus8.</w:t>
      </w:r>
      <w:r w:rsidR="00B42563">
        <w:t>3</w:t>
      </w:r>
      <w:r>
        <w:t xml:space="preserve"> </w:t>
      </w:r>
      <w:r w:rsidR="00F820F7">
        <w:t>in accounting</w:t>
      </w:r>
      <w:r>
        <w:t xml:space="preserve"> for low-</w:t>
      </w:r>
      <w:r w:rsidR="00F60F1C">
        <w:t xml:space="preserve">value </w:t>
      </w:r>
      <w:r>
        <w:t>licences.</w:t>
      </w:r>
      <w:r w:rsidR="00EC0906">
        <w:t xml:space="preserve"> </w:t>
      </w:r>
      <w:r>
        <w:t xml:space="preserve"> A licensor shall assess the </w:t>
      </w:r>
      <w:r w:rsidR="00F820F7">
        <w:t>transaction price</w:t>
      </w:r>
      <w:r>
        <w:t xml:space="preserve"> of a licence</w:t>
      </w:r>
      <w:r w:rsidR="00F820F7">
        <w:t xml:space="preserve"> on an absolute basis</w:t>
      </w:r>
      <w:r>
        <w:t xml:space="preserve"> when the licence is issue</w:t>
      </w:r>
      <w:r w:rsidR="00301A78">
        <w:t>d</w:t>
      </w:r>
      <w:r>
        <w:t>.</w:t>
      </w:r>
      <w:bookmarkEnd w:id="29"/>
      <w:r>
        <w:t xml:space="preserve"> </w:t>
      </w:r>
    </w:p>
    <w:p w:rsidR="00D51E52" w:rsidRDefault="005C1CD6" w:rsidP="0045345F">
      <w:pPr>
        <w:pStyle w:val="NumBPlain1"/>
        <w:numPr>
          <w:ilvl w:val="0"/>
          <w:numId w:val="10"/>
        </w:numPr>
        <w:spacing w:after="100"/>
      </w:pPr>
      <w:r>
        <w:t xml:space="preserve">Notwithstanding paragraph </w:t>
      </w:r>
      <w:r w:rsidR="00AC38E2">
        <w:fldChar w:fldCharType="begin"/>
      </w:r>
      <w:r w:rsidR="00AC38E2">
        <w:instrText xml:space="preserve"> REF _Ref498595439 \r \h </w:instrText>
      </w:r>
      <w:r w:rsidR="00AC38E2">
        <w:fldChar w:fldCharType="separate"/>
      </w:r>
      <w:r w:rsidR="00882B86">
        <w:t>G22</w:t>
      </w:r>
      <w:r w:rsidR="00AC38E2">
        <w:fldChar w:fldCharType="end"/>
      </w:r>
      <w:r w:rsidR="00612BA8">
        <w:t>,</w:t>
      </w:r>
      <w:r>
        <w:t xml:space="preserve"> </w:t>
      </w:r>
      <w:r w:rsidR="00F91426">
        <w:t>the option allowed in</w:t>
      </w:r>
      <w:r>
        <w:t xml:space="preserve"> </w:t>
      </w:r>
      <w:r w:rsidR="006E3CA3">
        <w:t>paragraph Aus8.</w:t>
      </w:r>
      <w:r w:rsidR="00B16C0B">
        <w:t>1</w:t>
      </w:r>
      <w:r w:rsidR="00193A4E">
        <w:t xml:space="preserve"> </w:t>
      </w:r>
      <w:r w:rsidR="00F91426">
        <w:t xml:space="preserve">is not available to </w:t>
      </w:r>
      <w:r w:rsidR="00B42563">
        <w:t>licences</w:t>
      </w:r>
      <w:r w:rsidR="00F91426">
        <w:t xml:space="preserve"> </w:t>
      </w:r>
      <w:r w:rsidR="00B16C0B">
        <w:t xml:space="preserve">including </w:t>
      </w:r>
      <w:r w:rsidR="00F91426">
        <w:t>variable consideration.</w:t>
      </w:r>
    </w:p>
    <w:p w:rsidR="00D51E52" w:rsidRDefault="00D51E52" w:rsidP="0045345F">
      <w:pPr>
        <w:pStyle w:val="NumBPlain1"/>
        <w:numPr>
          <w:ilvl w:val="0"/>
          <w:numId w:val="10"/>
        </w:numPr>
        <w:spacing w:after="100"/>
      </w:pPr>
      <w:r>
        <w:t>Low-value licences qualify for</w:t>
      </w:r>
      <w:r w:rsidR="00F820F7">
        <w:t xml:space="preserve"> the </w:t>
      </w:r>
      <w:r>
        <w:t>accounting treatment in paragraph Aus8.</w:t>
      </w:r>
      <w:r w:rsidR="00193A4E">
        <w:t>3</w:t>
      </w:r>
      <w:r>
        <w:t xml:space="preserve"> regardless of whether those licences are material </w:t>
      </w:r>
      <w:r w:rsidR="00DE5F88">
        <w:t xml:space="preserve">in aggregate </w:t>
      </w:r>
      <w:r>
        <w:t xml:space="preserve">to the licensor. The assessment is not affected by the size, nature or circumstances of the licensor. Accordingly, different licensors </w:t>
      </w:r>
      <w:r w:rsidR="00461694">
        <w:t>would be</w:t>
      </w:r>
      <w:r>
        <w:t xml:space="preserve"> expected to reach the same conclusions about whether a particular licence </w:t>
      </w:r>
      <w:r w:rsidR="00F820F7">
        <w:t>has a low-value transaction price.</w:t>
      </w:r>
    </w:p>
    <w:p w:rsidR="00106E32" w:rsidRDefault="00106E32" w:rsidP="0045345F">
      <w:pPr>
        <w:pStyle w:val="NumBPlain1"/>
        <w:numPr>
          <w:ilvl w:val="0"/>
          <w:numId w:val="10"/>
        </w:numPr>
        <w:spacing w:after="100"/>
      </w:pPr>
      <w:bookmarkStart w:id="30" w:name="_Ref498595444"/>
      <w:r>
        <w:t>A licence does not qualify as a low-value licence if the nature of the licence is such that the licence is not typically of low value. For example, casino licences would not qualify as low-value licences because casino licences would typically not be of low value</w:t>
      </w:r>
      <w:r w:rsidR="006E0533">
        <w:t>.</w:t>
      </w:r>
    </w:p>
    <w:p w:rsidR="007D59A9" w:rsidRPr="0044333E" w:rsidRDefault="00D51E52" w:rsidP="00C04AD5">
      <w:pPr>
        <w:pStyle w:val="NumBPlain1"/>
        <w:numPr>
          <w:ilvl w:val="0"/>
          <w:numId w:val="10"/>
        </w:numPr>
        <w:spacing w:after="100"/>
      </w:pPr>
      <w:bookmarkStart w:id="31" w:name="_Ref501525536"/>
      <w:r>
        <w:t>Examples of low-value licences include</w:t>
      </w:r>
      <w:r w:rsidR="00F820F7">
        <w:t xml:space="preserve"> d</w:t>
      </w:r>
      <w:r>
        <w:t xml:space="preserve">river licences, marriage </w:t>
      </w:r>
      <w:r w:rsidR="00933E75">
        <w:t>licences</w:t>
      </w:r>
      <w:r>
        <w:t xml:space="preserve"> and </w:t>
      </w:r>
      <w:r w:rsidR="00645CB8">
        <w:t>working with children permits.</w:t>
      </w:r>
      <w:bookmarkEnd w:id="30"/>
      <w:bookmarkEnd w:id="31"/>
    </w:p>
    <w:p w:rsidR="00D405CA" w:rsidRDefault="00D405CA" w:rsidP="005D0061">
      <w:pPr>
        <w:pStyle w:val="IASBSectionTitle1NonInd"/>
        <w:outlineLvl w:val="2"/>
      </w:pPr>
      <w:r>
        <w:t>Recognition exempti</w:t>
      </w:r>
      <w:r w:rsidR="00124FCF">
        <w:t>on: short-term licences (Aus8.1–</w:t>
      </w:r>
      <w:r>
        <w:t>Aus8.5)</w:t>
      </w:r>
    </w:p>
    <w:p w:rsidR="00D405CA" w:rsidRDefault="00642E9E" w:rsidP="00D405CA">
      <w:pPr>
        <w:pStyle w:val="NumBPlain1"/>
        <w:numPr>
          <w:ilvl w:val="0"/>
          <w:numId w:val="10"/>
        </w:numPr>
        <w:spacing w:after="100"/>
      </w:pPr>
      <w:bookmarkStart w:id="32" w:name="_Ref524005931"/>
      <w:r>
        <w:t xml:space="preserve">The Standard permits a not-for-profit public sector licensor to apply paragraph Aus8.3 in accounting for short-term licences. </w:t>
      </w:r>
      <w:r w:rsidR="00F64342">
        <w:t xml:space="preserve"> </w:t>
      </w:r>
      <w:r>
        <w:t>In determining the licence term, the licensor shall disregard an</w:t>
      </w:r>
      <w:r w:rsidR="003153CA">
        <w:t>y</w:t>
      </w:r>
      <w:r>
        <w:t xml:space="preserve"> option to </w:t>
      </w:r>
      <w:r w:rsidR="003153CA">
        <w:t>extend</w:t>
      </w:r>
      <w:r>
        <w:t xml:space="preserve"> </w:t>
      </w:r>
      <w:r w:rsidR="003153CA">
        <w:t>the</w:t>
      </w:r>
      <w:r>
        <w:t xml:space="preserve"> licence, regardless of whether the licensee is reasonably certain to exercise that option.</w:t>
      </w:r>
      <w:bookmarkEnd w:id="32"/>
      <w:r>
        <w:t xml:space="preserve"> </w:t>
      </w:r>
    </w:p>
    <w:p w:rsidR="00D405CA" w:rsidRPr="00766E15" w:rsidRDefault="00D405CA" w:rsidP="00D405CA">
      <w:pPr>
        <w:pStyle w:val="IASBSectionTitle1NonInd"/>
        <w:sectPr w:rsidR="00D405CA" w:rsidRPr="00766E15" w:rsidSect="00C4750B">
          <w:footerReference w:type="default" r:id="rId22"/>
          <w:pgSz w:w="11907" w:h="16840" w:code="9"/>
          <w:pgMar w:top="1418" w:right="1418" w:bottom="1134" w:left="1418" w:header="709" w:footer="709" w:gutter="0"/>
          <w:paperSrc w:first="7" w:other="7"/>
          <w:cols w:space="720"/>
        </w:sectPr>
      </w:pPr>
    </w:p>
    <w:p w:rsidR="00BA5A1C" w:rsidRPr="00766E15" w:rsidRDefault="00BA5A1C" w:rsidP="005D0061">
      <w:pPr>
        <w:pStyle w:val="ConvSectionTitle"/>
        <w:outlineLvl w:val="1"/>
      </w:pPr>
      <w:r w:rsidRPr="00766E15">
        <w:t>Australian illustrative examples for not-for-profit</w:t>
      </w:r>
      <w:r w:rsidR="00E72593">
        <w:t xml:space="preserve"> public sector</w:t>
      </w:r>
      <w:r w:rsidRPr="00766E15">
        <w:t xml:space="preserve"> </w:t>
      </w:r>
      <w:r w:rsidR="00D20BE7" w:rsidRPr="00766E15">
        <w:t>licensors</w:t>
      </w:r>
      <w:r w:rsidR="00450B46" w:rsidRPr="00766E15">
        <w:t xml:space="preserve"> </w:t>
      </w:r>
    </w:p>
    <w:p w:rsidR="00D45469" w:rsidRPr="00766E15" w:rsidRDefault="00D45469" w:rsidP="00390622">
      <w:pPr>
        <w:spacing w:after="240"/>
        <w:rPr>
          <w:i/>
          <w:iCs/>
          <w:sz w:val="20"/>
        </w:rPr>
      </w:pPr>
      <w:r w:rsidRPr="00766E15">
        <w:rPr>
          <w:i/>
          <w:iCs/>
          <w:sz w:val="20"/>
        </w:rPr>
        <w:t xml:space="preserve">These illustrative examples accompany, but are not part of, </w:t>
      </w:r>
      <w:r w:rsidR="00291416">
        <w:rPr>
          <w:i/>
          <w:iCs/>
          <w:sz w:val="20"/>
        </w:rPr>
        <w:t>AASB </w:t>
      </w:r>
      <w:r w:rsidRPr="00766E15">
        <w:rPr>
          <w:i/>
          <w:iCs/>
          <w:sz w:val="20"/>
        </w:rPr>
        <w:t xml:space="preserve">15. They illustrate aspects of the Australian guidance for not-for-profit public sector </w:t>
      </w:r>
      <w:r w:rsidR="00A82DD0">
        <w:rPr>
          <w:i/>
          <w:iCs/>
          <w:sz w:val="20"/>
        </w:rPr>
        <w:t>licensors</w:t>
      </w:r>
      <w:r w:rsidRPr="00766E15">
        <w:rPr>
          <w:i/>
          <w:iCs/>
          <w:sz w:val="20"/>
        </w:rPr>
        <w:t xml:space="preserve"> in </w:t>
      </w:r>
      <w:r w:rsidR="00291416">
        <w:rPr>
          <w:i/>
          <w:iCs/>
          <w:sz w:val="20"/>
        </w:rPr>
        <w:t>AASB </w:t>
      </w:r>
      <w:r w:rsidRPr="00766E15">
        <w:rPr>
          <w:i/>
          <w:iCs/>
          <w:sz w:val="20"/>
        </w:rPr>
        <w:t>15, but are not intended to provide interpretative guidance.</w:t>
      </w:r>
    </w:p>
    <w:p w:rsidR="00D45469" w:rsidRDefault="00C259C1" w:rsidP="00390622">
      <w:pPr>
        <w:spacing w:after="240"/>
        <w:rPr>
          <w:i/>
          <w:iCs/>
          <w:sz w:val="20"/>
        </w:rPr>
      </w:pPr>
      <w:r>
        <w:rPr>
          <w:i/>
          <w:iCs/>
          <w:sz w:val="20"/>
        </w:rPr>
        <w:t xml:space="preserve">These </w:t>
      </w:r>
      <w:r w:rsidR="00D45469" w:rsidRPr="00766E15">
        <w:rPr>
          <w:i/>
          <w:iCs/>
          <w:sz w:val="20"/>
        </w:rPr>
        <w:t xml:space="preserve">examples illustrating aspects of the Australian guidance for not-for-profit </w:t>
      </w:r>
      <w:r>
        <w:rPr>
          <w:i/>
          <w:iCs/>
          <w:sz w:val="20"/>
        </w:rPr>
        <w:t xml:space="preserve">public sector </w:t>
      </w:r>
      <w:r w:rsidR="00A82DD0">
        <w:rPr>
          <w:i/>
          <w:iCs/>
          <w:sz w:val="20"/>
        </w:rPr>
        <w:t>licensors</w:t>
      </w:r>
      <w:r w:rsidR="00D45469" w:rsidRPr="00766E15">
        <w:rPr>
          <w:i/>
          <w:iCs/>
          <w:sz w:val="20"/>
        </w:rPr>
        <w:t xml:space="preserve"> in </w:t>
      </w:r>
      <w:r w:rsidR="00291416">
        <w:rPr>
          <w:i/>
          <w:iCs/>
          <w:sz w:val="20"/>
        </w:rPr>
        <w:t>AASB </w:t>
      </w:r>
      <w:r w:rsidR="00D45469" w:rsidRPr="00766E15">
        <w:rPr>
          <w:i/>
          <w:iCs/>
          <w:sz w:val="20"/>
        </w:rPr>
        <w:t xml:space="preserve">15 complement, and have the same status, as the Illustrative Examples accompanying IFRS 15 </w:t>
      </w:r>
      <w:r w:rsidR="00D45469" w:rsidRPr="009E1363">
        <w:rPr>
          <w:iCs/>
          <w:sz w:val="20"/>
        </w:rPr>
        <w:t>Revenue from Contracts with Customers</w:t>
      </w:r>
      <w:r w:rsidR="00D45469" w:rsidRPr="00766E15">
        <w:rPr>
          <w:i/>
          <w:iCs/>
          <w:sz w:val="20"/>
        </w:rPr>
        <w:t xml:space="preserve">, which are available on the </w:t>
      </w:r>
      <w:r w:rsidR="00291416">
        <w:rPr>
          <w:i/>
          <w:iCs/>
          <w:sz w:val="20"/>
        </w:rPr>
        <w:t>AASB </w:t>
      </w:r>
      <w:r w:rsidR="00D45469" w:rsidRPr="00766E15">
        <w:rPr>
          <w:i/>
          <w:iCs/>
          <w:sz w:val="20"/>
        </w:rPr>
        <w:t>website</w:t>
      </w:r>
      <w:r w:rsidR="009E1363">
        <w:rPr>
          <w:i/>
          <w:iCs/>
          <w:sz w:val="20"/>
        </w:rPr>
        <w:t xml:space="preserve"> to </w:t>
      </w:r>
      <w:r w:rsidR="00D45469" w:rsidRPr="00766E15">
        <w:rPr>
          <w:i/>
          <w:iCs/>
          <w:sz w:val="20"/>
        </w:rPr>
        <w:t>website users in Australia</w:t>
      </w:r>
      <w:r w:rsidR="009E1363">
        <w:rPr>
          <w:i/>
          <w:iCs/>
          <w:sz w:val="20"/>
        </w:rPr>
        <w:t>.</w:t>
      </w:r>
    </w:p>
    <w:p w:rsidR="009E1363" w:rsidRPr="00766E15" w:rsidRDefault="00950360" w:rsidP="00390622">
      <w:pPr>
        <w:spacing w:after="240"/>
        <w:rPr>
          <w:i/>
          <w:iCs/>
          <w:sz w:val="20"/>
        </w:rPr>
      </w:pPr>
      <w:r w:rsidRPr="00950360">
        <w:rPr>
          <w:i/>
          <w:iCs/>
          <w:sz w:val="20"/>
        </w:rPr>
        <w:t xml:space="preserve">These examples </w:t>
      </w:r>
      <w:r w:rsidR="00F820F7">
        <w:rPr>
          <w:i/>
          <w:iCs/>
          <w:sz w:val="20"/>
        </w:rPr>
        <w:t>are additional to</w:t>
      </w:r>
      <w:r w:rsidRPr="00950360">
        <w:rPr>
          <w:i/>
          <w:iCs/>
          <w:sz w:val="20"/>
        </w:rPr>
        <w:t xml:space="preserve"> the illustrative examples accompanying AASB 15 </w:t>
      </w:r>
      <w:r w:rsidR="00F820F7">
        <w:rPr>
          <w:i/>
          <w:iCs/>
          <w:sz w:val="20"/>
        </w:rPr>
        <w:t>that</w:t>
      </w:r>
      <w:r w:rsidRPr="00950360">
        <w:rPr>
          <w:i/>
          <w:iCs/>
          <w:sz w:val="20"/>
        </w:rPr>
        <w:t xml:space="preserve"> were added as part of AASB 2016-8 </w:t>
      </w:r>
      <w:r w:rsidRPr="00F820F7">
        <w:rPr>
          <w:iCs/>
          <w:sz w:val="20"/>
        </w:rPr>
        <w:t>Amendments to Australian Accounting Standards – Australian Implementation Guidance for Not-for</w:t>
      </w:r>
      <w:r w:rsidR="00F820F7">
        <w:rPr>
          <w:iCs/>
          <w:sz w:val="20"/>
        </w:rPr>
        <w:t>-</w:t>
      </w:r>
      <w:r w:rsidR="00F820F7" w:rsidRPr="00F820F7">
        <w:rPr>
          <w:iCs/>
          <w:sz w:val="20"/>
        </w:rPr>
        <w:t>P</w:t>
      </w:r>
      <w:r w:rsidRPr="00F820F7">
        <w:rPr>
          <w:iCs/>
          <w:sz w:val="20"/>
        </w:rPr>
        <w:t>rofit Entities</w:t>
      </w:r>
      <w:r w:rsidRPr="00950360">
        <w:rPr>
          <w:i/>
          <w:iCs/>
          <w:sz w:val="20"/>
        </w:rPr>
        <w:t>. Therefore the numbering of these paragraphs start</w:t>
      </w:r>
      <w:r w:rsidR="00F820F7">
        <w:rPr>
          <w:i/>
          <w:iCs/>
          <w:sz w:val="20"/>
        </w:rPr>
        <w:t>s</w:t>
      </w:r>
      <w:r w:rsidRPr="00950360">
        <w:rPr>
          <w:i/>
          <w:iCs/>
          <w:sz w:val="20"/>
        </w:rPr>
        <w:t xml:space="preserve"> at IE5 and the numbering of the examples starts at Example 8. </w:t>
      </w:r>
    </w:p>
    <w:p w:rsidR="002E5588" w:rsidRDefault="00BA5A1C" w:rsidP="00456DFF">
      <w:pPr>
        <w:pStyle w:val="NumIEPlain1"/>
      </w:pPr>
      <w:bookmarkStart w:id="33" w:name="_Ref461528189"/>
      <w:r w:rsidRPr="00766E15">
        <w:t xml:space="preserve">The following examples portray hypothetical situations.  They are intended to illustrate how a not-for-profit </w:t>
      </w:r>
      <w:r w:rsidR="00B85F2E" w:rsidRPr="00766E15">
        <w:t xml:space="preserve">public sector licensor </w:t>
      </w:r>
      <w:r w:rsidRPr="00766E15">
        <w:t xml:space="preserve">might apply some of the requirements of </w:t>
      </w:r>
      <w:r w:rsidR="00291416">
        <w:t>AASB </w:t>
      </w:r>
      <w:r w:rsidRPr="00766E15">
        <w:t xml:space="preserve">15 </w:t>
      </w:r>
      <w:r w:rsidRPr="00766E15">
        <w:rPr>
          <w:i/>
        </w:rPr>
        <w:t xml:space="preserve">Revenue from Contracts with Customers </w:t>
      </w:r>
      <w:r w:rsidRPr="00766E15">
        <w:t xml:space="preserve">to </w:t>
      </w:r>
      <w:r w:rsidR="000009B2">
        <w:t>non-IP</w:t>
      </w:r>
      <w:r w:rsidRPr="00766E15">
        <w:t xml:space="preserve"> </w:t>
      </w:r>
      <w:r w:rsidR="00B85F2E" w:rsidRPr="00766E15">
        <w:t>licences</w:t>
      </w:r>
      <w:r w:rsidR="000009B2">
        <w:t xml:space="preserve"> that they issue</w:t>
      </w:r>
      <w:r w:rsidRPr="00766E15">
        <w:t xml:space="preserve">, on the basis of the limited facts presented.  Although some aspects of the examples might be present in actual fact patterns, all relevant facts and circumstances of a particular fact pattern would need to be evaluated when applying </w:t>
      </w:r>
      <w:r w:rsidR="00291416">
        <w:t>AASB </w:t>
      </w:r>
      <w:r w:rsidRPr="00766E15">
        <w:t xml:space="preserve">15.  </w:t>
      </w:r>
      <w:r w:rsidR="00B87D54" w:rsidRPr="00766E15">
        <w:t xml:space="preserve">The evaluations in each example are not intended to represent the only manner in which </w:t>
      </w:r>
      <w:r w:rsidR="00291416">
        <w:t>AASB </w:t>
      </w:r>
      <w:r w:rsidR="00B87D54" w:rsidRPr="00766E15">
        <w:t>15 could be applied.</w:t>
      </w:r>
      <w:bookmarkEnd w:id="33"/>
    </w:p>
    <w:p w:rsidR="00B73BFC" w:rsidRPr="00F00E2C" w:rsidRDefault="00B73BFC" w:rsidP="005D0061">
      <w:pPr>
        <w:pStyle w:val="IASBSectionTitle1NonInd"/>
        <w:outlineLvl w:val="2"/>
      </w:pPr>
      <w:r w:rsidRPr="00F00E2C">
        <w:t>Satisfaction of perform</w:t>
      </w:r>
      <w:r w:rsidR="00BC24B5">
        <w:t>ance obligations (paragraphs 31–</w:t>
      </w:r>
      <w:r w:rsidRPr="00F00E2C">
        <w:t xml:space="preserve">38) </w:t>
      </w:r>
    </w:p>
    <w:p w:rsidR="00F00E2C" w:rsidRPr="00A17A54" w:rsidRDefault="00B73BFC" w:rsidP="00390622">
      <w:pPr>
        <w:pStyle w:val="NumIEPlain1"/>
      </w:pPr>
      <w:r w:rsidRPr="00A17A54">
        <w:t xml:space="preserve">Example </w:t>
      </w:r>
      <w:r w:rsidR="009E1363">
        <w:t>8</w:t>
      </w:r>
      <w:r w:rsidR="009E1363" w:rsidRPr="00A17A54">
        <w:t xml:space="preserve"> </w:t>
      </w:r>
      <w:r w:rsidRPr="00A17A54">
        <w:t>illustrate</w:t>
      </w:r>
      <w:r w:rsidR="005D0061">
        <w:t>s</w:t>
      </w:r>
      <w:r w:rsidRPr="00A17A54">
        <w:t xml:space="preserve"> </w:t>
      </w:r>
      <w:r w:rsidR="00D5717E" w:rsidRPr="00A17A54">
        <w:t>a not-for-profit</w:t>
      </w:r>
      <w:r w:rsidR="00FF00C8">
        <w:t xml:space="preserve"> public sector</w:t>
      </w:r>
      <w:r w:rsidR="00D5717E" w:rsidRPr="00A17A54">
        <w:t xml:space="preserve"> licensor </w:t>
      </w:r>
      <w:r w:rsidR="009E1363">
        <w:t>recognising</w:t>
      </w:r>
      <w:r w:rsidR="00D5717E" w:rsidRPr="00A17A54">
        <w:t xml:space="preserve"> revenue when (or as) the licensor satisfies the performance obligation of transferring the promised licence to the licensee. A licence is transferred when (or as) the licensee obtains control of that licence.</w:t>
      </w:r>
      <w:r w:rsidR="00A17A54" w:rsidRPr="00A17A54">
        <w:t xml:space="preserve"> To determine</w:t>
      </w:r>
      <w:r w:rsidR="009E1363">
        <w:t xml:space="preserve"> when</w:t>
      </w:r>
      <w:r w:rsidR="00A17A54" w:rsidRPr="00A17A54">
        <w:t xml:space="preserve"> a licensee obtains control of the promised rights associated with the licence and the licensor satisfies its performance obligation, the licensor shall consider the requirements for control in </w:t>
      </w:r>
      <w:r w:rsidR="00291416">
        <w:t>AASB </w:t>
      </w:r>
      <w:r w:rsidR="00A17A54" w:rsidRPr="00A17A54">
        <w:t>15 paragraphs 31</w:t>
      </w:r>
      <w:r w:rsidR="00BC24B5">
        <w:t>–</w:t>
      </w:r>
      <w:r w:rsidR="00A17A54" w:rsidRPr="00A17A54">
        <w:t>34</w:t>
      </w:r>
      <w:r w:rsidR="009E1363">
        <w:t xml:space="preserve"> regarding control by the licensee (the customer)</w:t>
      </w:r>
      <w:r w:rsidR="00A17A54" w:rsidRPr="00A17A54">
        <w:t>.</w:t>
      </w:r>
    </w:p>
    <w:p w:rsidR="00E750CA" w:rsidRDefault="00A17A54" w:rsidP="00CC6A31">
      <w:pPr>
        <w:pStyle w:val="NumIEPlain1"/>
        <w:spacing w:after="240"/>
      </w:pPr>
      <w:r w:rsidRPr="00A17A54">
        <w:t>T</w:t>
      </w:r>
      <w:r w:rsidR="00D5717E" w:rsidRPr="00A17A54">
        <w:t xml:space="preserve">he licensor shall determine at the inception of </w:t>
      </w:r>
      <w:r w:rsidRPr="00A17A54">
        <w:t xml:space="preserve">each licensing </w:t>
      </w:r>
      <w:r w:rsidR="00D5717E" w:rsidRPr="00A17A54">
        <w:t>arra</w:t>
      </w:r>
      <w:r w:rsidRPr="00A17A54">
        <w:t>ngement</w:t>
      </w:r>
      <w:r w:rsidR="00D5717E" w:rsidRPr="00A17A54">
        <w:t xml:space="preserve"> whether </w:t>
      </w:r>
      <w:r w:rsidR="00947D35">
        <w:t>the</w:t>
      </w:r>
      <w:r w:rsidR="00D5717E" w:rsidRPr="00A17A54">
        <w:t xml:space="preserve"> performance obligation from issuing the licence</w:t>
      </w:r>
      <w:r w:rsidR="00A60896">
        <w:t xml:space="preserve"> is recognised</w:t>
      </w:r>
      <w:r w:rsidR="00D5717E" w:rsidRPr="00A17A54">
        <w:t xml:space="preserve"> over time (in accordance with </w:t>
      </w:r>
      <w:r w:rsidR="009E1363">
        <w:t xml:space="preserve">AASB 15 </w:t>
      </w:r>
      <w:r w:rsidR="00D5717E" w:rsidRPr="00A17A54">
        <w:t>paragraphs 35</w:t>
      </w:r>
      <w:r w:rsidR="00BC24B5">
        <w:t>–</w:t>
      </w:r>
      <w:r w:rsidR="00D5717E" w:rsidRPr="00A17A54">
        <w:t xml:space="preserve">37) or at a point in time (in accordance with </w:t>
      </w:r>
      <w:r w:rsidR="009E1363">
        <w:t xml:space="preserve">AASB 15 </w:t>
      </w:r>
      <w:r w:rsidR="00D5717E" w:rsidRPr="00A17A54">
        <w:t>paragraph</w:t>
      </w:r>
      <w:r w:rsidRPr="00A17A54">
        <w:t xml:space="preserve"> 38).</w:t>
      </w:r>
      <w:r w:rsidR="00E750CA" w:rsidRPr="00A17A54">
        <w:t xml:space="preserve"> </w:t>
      </w:r>
    </w:p>
    <w:p w:rsidR="00041B60" w:rsidRPr="0096244B" w:rsidRDefault="0081213A" w:rsidP="00041B60">
      <w:pPr>
        <w:pStyle w:val="IEHeading"/>
        <w:pBdr>
          <w:bottom w:val="none" w:sz="0" w:space="0" w:color="auto"/>
        </w:pBdr>
        <w:jc w:val="left"/>
      </w:pPr>
      <w:r>
        <w:rPr>
          <w:bCs/>
          <w:szCs w:val="19"/>
        </w:rPr>
        <w:t>Example 8—</w:t>
      </w:r>
      <w:r w:rsidR="003153CA">
        <w:rPr>
          <w:bCs/>
          <w:szCs w:val="19"/>
        </w:rPr>
        <w:t xml:space="preserve">Performance obligations, non-IP licence </w:t>
      </w:r>
    </w:p>
    <w:p w:rsidR="0081213A" w:rsidRPr="0081213A" w:rsidRDefault="0081213A" w:rsidP="00041B60">
      <w:pPr>
        <w:pStyle w:val="IEText"/>
        <w:pBdr>
          <w:bottom w:val="none" w:sz="0" w:space="0" w:color="auto"/>
        </w:pBdr>
        <w:rPr>
          <w:b/>
        </w:rPr>
      </w:pPr>
      <w:r w:rsidRPr="0081213A">
        <w:rPr>
          <w:b/>
        </w:rPr>
        <w:t>Example 8A</w:t>
      </w:r>
      <w:r>
        <w:rPr>
          <w:b/>
        </w:rPr>
        <w:t xml:space="preserve"> –</w:t>
      </w:r>
      <w:r w:rsidR="000009B2">
        <w:rPr>
          <w:b/>
        </w:rPr>
        <w:t xml:space="preserve"> E</w:t>
      </w:r>
      <w:r>
        <w:rPr>
          <w:b/>
        </w:rPr>
        <w:t>xclusivity rights</w:t>
      </w:r>
    </w:p>
    <w:p w:rsidR="00041B60" w:rsidRDefault="00041B60" w:rsidP="00041B60">
      <w:pPr>
        <w:pStyle w:val="IEText"/>
        <w:pBdr>
          <w:bottom w:val="none" w:sz="0" w:space="0" w:color="auto"/>
        </w:pBdr>
      </w:pPr>
      <w:r w:rsidRPr="00041B60">
        <w:t xml:space="preserve">Public Sector Authority </w:t>
      </w:r>
      <w:proofErr w:type="gramStart"/>
      <w:r w:rsidRPr="00041B60">
        <w:t>A</w:t>
      </w:r>
      <w:proofErr w:type="gramEnd"/>
      <w:r w:rsidRPr="00041B60">
        <w:t xml:space="preserve"> (Licensor) </w:t>
      </w:r>
      <w:r w:rsidR="007A6F8A">
        <w:t>issued</w:t>
      </w:r>
      <w:r w:rsidR="007A6F8A" w:rsidRPr="00041B60">
        <w:t xml:space="preserve"> </w:t>
      </w:r>
      <w:r w:rsidRPr="00041B60">
        <w:t xml:space="preserve">Casino Operator B (Licensee) a licence to operate a casino in geographical location C for $100 million. </w:t>
      </w:r>
    </w:p>
    <w:p w:rsidR="00F36186" w:rsidRDefault="00F36186" w:rsidP="00041B60">
      <w:pPr>
        <w:pStyle w:val="IEText"/>
        <w:pBdr>
          <w:bottom w:val="none" w:sz="0" w:space="0" w:color="auto"/>
        </w:pBdr>
      </w:pPr>
    </w:p>
    <w:p w:rsidR="00041B60" w:rsidRPr="00041B60" w:rsidRDefault="00041B60" w:rsidP="00041B60">
      <w:pPr>
        <w:pStyle w:val="IEText"/>
        <w:pBdr>
          <w:bottom w:val="none" w:sz="0" w:space="0" w:color="auto"/>
        </w:pBdr>
      </w:pPr>
      <w:r w:rsidRPr="00041B60">
        <w:t xml:space="preserve">The terms of the </w:t>
      </w:r>
      <w:r w:rsidR="007A6F8A">
        <w:t>arrangement</w:t>
      </w:r>
      <w:r w:rsidR="007A6F8A" w:rsidRPr="00041B60">
        <w:t xml:space="preserve"> </w:t>
      </w:r>
      <w:r w:rsidRPr="00041B60">
        <w:t>are:</w:t>
      </w:r>
    </w:p>
    <w:p w:rsidR="00041B60" w:rsidRPr="00041B60" w:rsidRDefault="00041B60" w:rsidP="00B61A91">
      <w:pPr>
        <w:pStyle w:val="IEText"/>
        <w:numPr>
          <w:ilvl w:val="0"/>
          <w:numId w:val="24"/>
        </w:numPr>
        <w:pBdr>
          <w:bottom w:val="none" w:sz="0" w:space="0" w:color="auto"/>
        </w:pBdr>
      </w:pPr>
      <w:r w:rsidRPr="00041B60">
        <w:t>a period of ten years;</w:t>
      </w:r>
    </w:p>
    <w:p w:rsidR="00041B60" w:rsidRPr="00041B60" w:rsidRDefault="00041B60" w:rsidP="00B61A91">
      <w:pPr>
        <w:pStyle w:val="IEText"/>
        <w:numPr>
          <w:ilvl w:val="0"/>
          <w:numId w:val="24"/>
        </w:numPr>
        <w:pBdr>
          <w:bottom w:val="none" w:sz="0" w:space="0" w:color="auto"/>
        </w:pBdr>
      </w:pPr>
      <w:r w:rsidRPr="00041B60">
        <w:t xml:space="preserve">payment for the arrangement is </w:t>
      </w:r>
      <w:r w:rsidR="00AC18B3">
        <w:t xml:space="preserve">not refundable and is </w:t>
      </w:r>
      <w:r w:rsidRPr="00041B60">
        <w:t xml:space="preserve">due </w:t>
      </w:r>
      <w:r w:rsidR="00AC18B3">
        <w:t>when the licence is issued</w:t>
      </w:r>
      <w:r w:rsidR="00FF00C8">
        <w:t>;</w:t>
      </w:r>
    </w:p>
    <w:p w:rsidR="00041B60" w:rsidRPr="00041B60" w:rsidRDefault="00041B60" w:rsidP="00B61A91">
      <w:pPr>
        <w:pStyle w:val="IEText"/>
        <w:numPr>
          <w:ilvl w:val="0"/>
          <w:numId w:val="24"/>
        </w:numPr>
        <w:pBdr>
          <w:bottom w:val="none" w:sz="0" w:space="0" w:color="auto"/>
        </w:pBdr>
      </w:pPr>
      <w:proofErr w:type="gramStart"/>
      <w:r w:rsidRPr="00041B60">
        <w:t>the</w:t>
      </w:r>
      <w:proofErr w:type="gramEnd"/>
      <w:r w:rsidRPr="00041B60">
        <w:t xml:space="preserve"> arrangement contains an exclusivity clause, whereby no other casinos may operate within geographical location C during the licence period. Licensor is responsible for protecting the exclusivity of the arrangement and will be responsible for the payment of damages to Licensee if exclusivity is breached; </w:t>
      </w:r>
    </w:p>
    <w:p w:rsidR="00041B60" w:rsidRPr="00041B60" w:rsidRDefault="00041B60" w:rsidP="00B61A91">
      <w:pPr>
        <w:pStyle w:val="IEText"/>
        <w:numPr>
          <w:ilvl w:val="0"/>
          <w:numId w:val="24"/>
        </w:numPr>
        <w:pBdr>
          <w:bottom w:val="none" w:sz="0" w:space="0" w:color="auto"/>
        </w:pBdr>
      </w:pPr>
      <w:r w:rsidRPr="00041B60">
        <w:t xml:space="preserve">as part of the arrangement, Licensor is responsible for performing a number of regulatory oversight and monitoring activities </w:t>
      </w:r>
      <w:r w:rsidR="00D37CC3">
        <w:t xml:space="preserve">prior to issuing the licence and ongoing throughout the licensing period </w:t>
      </w:r>
      <w:r w:rsidRPr="00041B60">
        <w:t>to ensure Licensee and operation of the casino remain free from criminal influence or exploitation, and gaming in the casino is conducted honestly</w:t>
      </w:r>
      <w:r w:rsidR="001A102F">
        <w:t>; and</w:t>
      </w:r>
    </w:p>
    <w:p w:rsidR="00EF48FC" w:rsidRDefault="001A102F" w:rsidP="00EF48FC">
      <w:pPr>
        <w:pStyle w:val="IEText"/>
        <w:numPr>
          <w:ilvl w:val="0"/>
          <w:numId w:val="24"/>
        </w:numPr>
        <w:pBdr>
          <w:bottom w:val="none" w:sz="0" w:space="0" w:color="auto"/>
        </w:pBdr>
      </w:pPr>
      <w:proofErr w:type="gramStart"/>
      <w:r>
        <w:t>t</w:t>
      </w:r>
      <w:r w:rsidR="00EF48FC">
        <w:t>he</w:t>
      </w:r>
      <w:proofErr w:type="gramEnd"/>
      <w:r w:rsidR="00EF48FC">
        <w:t xml:space="preserve"> cost for </w:t>
      </w:r>
      <w:r w:rsidR="007A6F8A">
        <w:t>issuing</w:t>
      </w:r>
      <w:r w:rsidR="007A6F8A" w:rsidRPr="00EF48FC">
        <w:t xml:space="preserve"> </w:t>
      </w:r>
      <w:r w:rsidR="00EF48FC">
        <w:t xml:space="preserve">the casino </w:t>
      </w:r>
      <w:r w:rsidR="00EF48FC" w:rsidRPr="00EF48FC">
        <w:t>licence (including surveying the proposed gamin</w:t>
      </w:r>
      <w:r w:rsidR="00EF48FC">
        <w:t>g premises</w:t>
      </w:r>
      <w:r w:rsidR="00D37CC3">
        <w:t xml:space="preserve"> and the upfront and ongoing regulatory activities</w:t>
      </w:r>
      <w:r w:rsidR="00EF48FC">
        <w:t>) is expected to be $100</w:t>
      </w:r>
      <w:r w:rsidR="00EF48FC" w:rsidRPr="00EF48FC">
        <w:t>,000.</w:t>
      </w:r>
    </w:p>
    <w:p w:rsidR="00F36186" w:rsidRPr="00F36186" w:rsidRDefault="00F36186" w:rsidP="00CB6311">
      <w:pPr>
        <w:pStyle w:val="IEText"/>
        <w:pBdr>
          <w:bottom w:val="none" w:sz="0" w:space="0" w:color="auto"/>
        </w:pBdr>
        <w:rPr>
          <w:b/>
        </w:rPr>
      </w:pPr>
    </w:p>
    <w:p w:rsidR="008B4583" w:rsidRPr="0081213A" w:rsidRDefault="00947D35" w:rsidP="006D041B">
      <w:pPr>
        <w:pStyle w:val="IEText"/>
        <w:pBdr>
          <w:top w:val="none" w:sz="0" w:space="0" w:color="auto"/>
          <w:bottom w:val="none" w:sz="0" w:space="0" w:color="auto"/>
        </w:pBdr>
        <w:rPr>
          <w:i/>
        </w:rPr>
      </w:pPr>
      <w:r w:rsidRPr="0081213A">
        <w:rPr>
          <w:i/>
        </w:rPr>
        <w:t>A</w:t>
      </w:r>
      <w:r w:rsidR="004D331F" w:rsidRPr="0081213A">
        <w:rPr>
          <w:i/>
        </w:rPr>
        <w:t>pplying the accounting framework for licences issued by not-for-profit public sector licensors</w:t>
      </w:r>
    </w:p>
    <w:p w:rsidR="00DC3A03" w:rsidRDefault="00DC3A03" w:rsidP="006D041B">
      <w:pPr>
        <w:pStyle w:val="IEText"/>
        <w:pBdr>
          <w:top w:val="none" w:sz="0" w:space="0" w:color="auto"/>
          <w:bottom w:val="none" w:sz="0" w:space="0" w:color="auto"/>
        </w:pBdr>
        <w:rPr>
          <w:b/>
        </w:rPr>
      </w:pPr>
    </w:p>
    <w:p w:rsidR="00253B37" w:rsidRPr="0081213A" w:rsidRDefault="00253B37" w:rsidP="006A76B8">
      <w:pPr>
        <w:pStyle w:val="IEText"/>
        <w:pBdr>
          <w:top w:val="none" w:sz="0" w:space="0" w:color="auto"/>
          <w:bottom w:val="none" w:sz="0" w:space="0" w:color="auto"/>
        </w:pBdr>
        <w:rPr>
          <w:u w:val="single"/>
        </w:rPr>
      </w:pPr>
      <w:r w:rsidRPr="0081213A">
        <w:rPr>
          <w:u w:val="single"/>
        </w:rPr>
        <w:t>Is the arrangement a licence or a tax?</w:t>
      </w:r>
    </w:p>
    <w:p w:rsidR="00484887" w:rsidRDefault="00041B60" w:rsidP="006A76B8">
      <w:pPr>
        <w:pStyle w:val="IEText"/>
        <w:pBdr>
          <w:top w:val="none" w:sz="0" w:space="0" w:color="auto"/>
          <w:bottom w:val="none" w:sz="0" w:space="0" w:color="auto"/>
        </w:pBdr>
      </w:pPr>
      <w:r w:rsidRPr="00041B60">
        <w:t xml:space="preserve">Licensor </w:t>
      </w:r>
      <w:r w:rsidR="00224F12">
        <w:t xml:space="preserve">applies paragraph G3 and </w:t>
      </w:r>
      <w:r w:rsidRPr="00041B60">
        <w:t>concludes its arrangement with Licensee</w:t>
      </w:r>
      <w:r w:rsidR="0081608B">
        <w:t xml:space="preserve"> is not a </w:t>
      </w:r>
      <w:r w:rsidR="00DF5BF6">
        <w:t>tax</w:t>
      </w:r>
      <w:r w:rsidR="00F3738A">
        <w:t>,</w:t>
      </w:r>
      <w:r w:rsidR="0081608B" w:rsidRPr="00177DB5">
        <w:t xml:space="preserve"> </w:t>
      </w:r>
      <w:r w:rsidRPr="00177DB5">
        <w:t>on</w:t>
      </w:r>
      <w:r w:rsidRPr="00041B60">
        <w:t xml:space="preserve"> the basis</w:t>
      </w:r>
      <w:r w:rsidR="006A76B8">
        <w:t xml:space="preserve"> that</w:t>
      </w:r>
      <w:r w:rsidR="00224F12">
        <w:t xml:space="preserve"> the majority of the indicators support a licence classification</w:t>
      </w:r>
      <w:r w:rsidR="00484887">
        <w:t>:</w:t>
      </w:r>
    </w:p>
    <w:p w:rsidR="00484887" w:rsidRDefault="00253B37" w:rsidP="001C7D79">
      <w:pPr>
        <w:pStyle w:val="IEText"/>
        <w:numPr>
          <w:ilvl w:val="0"/>
          <w:numId w:val="31"/>
        </w:numPr>
        <w:pBdr>
          <w:top w:val="none" w:sz="0" w:space="0" w:color="auto"/>
          <w:bottom w:val="none" w:sz="0" w:space="0" w:color="auto"/>
        </w:pBdr>
      </w:pPr>
      <w:r>
        <w:t xml:space="preserve">it </w:t>
      </w:r>
      <w:r w:rsidR="0081608B">
        <w:t xml:space="preserve">is a discretionary arrangement entered into by </w:t>
      </w:r>
      <w:r w:rsidR="00736297">
        <w:t xml:space="preserve">each of the </w:t>
      </w:r>
      <w:r w:rsidR="0081608B">
        <w:t>parties</w:t>
      </w:r>
      <w:r w:rsidR="000B20AA">
        <w:t>;</w:t>
      </w:r>
      <w:r w:rsidR="0081608B">
        <w:t xml:space="preserve"> </w:t>
      </w:r>
    </w:p>
    <w:p w:rsidR="00484887" w:rsidRDefault="00484887" w:rsidP="001C7D79">
      <w:pPr>
        <w:pStyle w:val="IEText"/>
        <w:numPr>
          <w:ilvl w:val="0"/>
          <w:numId w:val="31"/>
        </w:numPr>
        <w:pBdr>
          <w:top w:val="none" w:sz="0" w:space="0" w:color="auto"/>
          <w:bottom w:val="none" w:sz="0" w:space="0" w:color="auto"/>
        </w:pBdr>
      </w:pPr>
      <w:proofErr w:type="gramStart"/>
      <w:r>
        <w:t>its</w:t>
      </w:r>
      <w:proofErr w:type="gramEnd"/>
      <w:r>
        <w:t xml:space="preserve"> primary purpose is not generating income for the public sector, but ensuring that the </w:t>
      </w:r>
      <w:r w:rsidR="00224F12">
        <w:t xml:space="preserve">participation of the </w:t>
      </w:r>
      <w:r>
        <w:t>general public in gaming activities</w:t>
      </w:r>
      <w:r w:rsidR="00224F12">
        <w:t xml:space="preserve"> is controlled, provided in a safe environment and protected from criminal influence and exploitation.  The low costs of $100,000 in comparison to the licence payment of $10</w:t>
      </w:r>
      <w:r w:rsidR="00271BD7">
        <w:t>0</w:t>
      </w:r>
      <w:r w:rsidR="00224F12">
        <w:t xml:space="preserve"> million may be indicative of a tax element (see below)</w:t>
      </w:r>
      <w:r w:rsidR="00F60864">
        <w:t>;</w:t>
      </w:r>
    </w:p>
    <w:p w:rsidR="00484887" w:rsidRDefault="00484887" w:rsidP="001C7D79">
      <w:pPr>
        <w:pStyle w:val="IEText"/>
        <w:numPr>
          <w:ilvl w:val="0"/>
          <w:numId w:val="31"/>
        </w:numPr>
        <w:pBdr>
          <w:top w:val="none" w:sz="0" w:space="0" w:color="auto"/>
          <w:bottom w:val="none" w:sz="0" w:space="0" w:color="auto"/>
        </w:pBdr>
      </w:pPr>
      <w:r>
        <w:t xml:space="preserve">it </w:t>
      </w:r>
      <w:r w:rsidR="00041B60" w:rsidRPr="00041B60">
        <w:t>contains a</w:t>
      </w:r>
      <w:r w:rsidR="00224F12">
        <w:t xml:space="preserve">n obligation for </w:t>
      </w:r>
      <w:r w:rsidR="000B20AA">
        <w:t>L</w:t>
      </w:r>
      <w:r w:rsidR="00224F12">
        <w:t xml:space="preserve">icensor </w:t>
      </w:r>
      <w:r w:rsidR="00041B60" w:rsidRPr="00041B60">
        <w:t>to issue a casino licence</w:t>
      </w:r>
      <w:r w:rsidR="00FD5DDD">
        <w:t>,</w:t>
      </w:r>
      <w:r w:rsidR="00041B60" w:rsidRPr="00041B60">
        <w:t xml:space="preserve"> and creates enforceable rights </w:t>
      </w:r>
      <w:r w:rsidR="00224F12">
        <w:t xml:space="preserve">for </w:t>
      </w:r>
      <w:r w:rsidR="000B20AA">
        <w:t>L</w:t>
      </w:r>
      <w:r w:rsidR="00224F12">
        <w:t>icensee to conduct gaming activities</w:t>
      </w:r>
      <w:r w:rsidR="00F60864">
        <w:t>;</w:t>
      </w:r>
      <w:r w:rsidR="00CB6311">
        <w:t xml:space="preserve"> </w:t>
      </w:r>
    </w:p>
    <w:p w:rsidR="00484887" w:rsidRDefault="00484887" w:rsidP="001C7D79">
      <w:pPr>
        <w:pStyle w:val="IEText"/>
        <w:numPr>
          <w:ilvl w:val="0"/>
          <w:numId w:val="31"/>
        </w:numPr>
        <w:pBdr>
          <w:top w:val="none" w:sz="0" w:space="0" w:color="auto"/>
          <w:bottom w:val="none" w:sz="0" w:space="0" w:color="auto"/>
        </w:pBdr>
      </w:pPr>
      <w:r>
        <w:t xml:space="preserve">it gives </w:t>
      </w:r>
      <w:r w:rsidR="000B20AA">
        <w:t>L</w:t>
      </w:r>
      <w:r>
        <w:t>icensee specific permission to provide gaming activities which would otherwise be unlawful</w:t>
      </w:r>
      <w:r w:rsidR="00F60864">
        <w:t>;</w:t>
      </w:r>
    </w:p>
    <w:p w:rsidR="00484887" w:rsidRDefault="00484887" w:rsidP="001C7D79">
      <w:pPr>
        <w:pStyle w:val="IEText"/>
        <w:numPr>
          <w:ilvl w:val="0"/>
          <w:numId w:val="31"/>
        </w:numPr>
        <w:pBdr>
          <w:top w:val="none" w:sz="0" w:space="0" w:color="auto"/>
          <w:bottom w:val="none" w:sz="0" w:space="0" w:color="auto"/>
        </w:pBdr>
      </w:pPr>
      <w:proofErr w:type="gramStart"/>
      <w:r>
        <w:t>there</w:t>
      </w:r>
      <w:proofErr w:type="gramEnd"/>
      <w:r>
        <w:t xml:space="preserve"> is no underlying asset of </w:t>
      </w:r>
      <w:r w:rsidR="000B20AA">
        <w:t xml:space="preserve">Licensor </w:t>
      </w:r>
      <w:r>
        <w:t xml:space="preserve">that is transferred to </w:t>
      </w:r>
      <w:r w:rsidR="000B20AA">
        <w:t>Licensee</w:t>
      </w:r>
      <w:r>
        <w:t>.</w:t>
      </w:r>
    </w:p>
    <w:p w:rsidR="0081608B" w:rsidRDefault="00224F12" w:rsidP="006A76B8">
      <w:pPr>
        <w:pStyle w:val="IEText"/>
        <w:pBdr>
          <w:top w:val="none" w:sz="0" w:space="0" w:color="auto"/>
          <w:bottom w:val="none" w:sz="0" w:space="0" w:color="auto"/>
        </w:pBdr>
      </w:pPr>
      <w:r>
        <w:t>Licensor applies paragraphs G4</w:t>
      </w:r>
      <w:r w:rsidR="00BC24B5">
        <w:t>–</w:t>
      </w:r>
      <w:r w:rsidR="00A15B71">
        <w:t>G</w:t>
      </w:r>
      <w:r w:rsidR="00222029">
        <w:t xml:space="preserve">6 and concludes there is no tax element that needs to be separated. </w:t>
      </w:r>
      <w:r w:rsidR="00786CDA" w:rsidRPr="00177DB5">
        <w:t>Although</w:t>
      </w:r>
      <w:r w:rsidR="00DF5BF6" w:rsidRPr="00177DB5">
        <w:t xml:space="preserve"> the arrangement has </w:t>
      </w:r>
      <w:r w:rsidR="009E7CD2" w:rsidRPr="00177DB5">
        <w:t>a</w:t>
      </w:r>
      <w:r w:rsidR="007358CF" w:rsidRPr="00177DB5">
        <w:t xml:space="preserve"> </w:t>
      </w:r>
      <w:r w:rsidR="009E7CD2" w:rsidRPr="00177DB5">
        <w:t>low cost in relation to the consideration received, which might be indicative of a tax element</w:t>
      </w:r>
      <w:r w:rsidR="00DF5BF6" w:rsidRPr="00177DB5">
        <w:t xml:space="preserve">, </w:t>
      </w:r>
      <w:r w:rsidR="009D0820" w:rsidRPr="00177DB5">
        <w:t xml:space="preserve">the transaction </w:t>
      </w:r>
      <w:r w:rsidR="006E5312" w:rsidRPr="00177DB5">
        <w:t>price</w:t>
      </w:r>
      <w:r w:rsidR="00BA73EC">
        <w:t xml:space="preserve"> </w:t>
      </w:r>
      <w:r w:rsidR="006E5312" w:rsidRPr="00177DB5">
        <w:t xml:space="preserve">is </w:t>
      </w:r>
      <w:r w:rsidR="00222029">
        <w:t xml:space="preserve">not </w:t>
      </w:r>
      <w:r w:rsidR="006E5312" w:rsidRPr="00177DB5">
        <w:t>refundable</w:t>
      </w:r>
      <w:r w:rsidR="00790E82">
        <w:t>,</w:t>
      </w:r>
      <w:r w:rsidR="006E5312" w:rsidRPr="00177DB5">
        <w:t xml:space="preserve"> </w:t>
      </w:r>
      <w:r w:rsidR="00484887">
        <w:t xml:space="preserve">and </w:t>
      </w:r>
      <w:r w:rsidR="00222029">
        <w:t xml:space="preserve">there is no other evidence indicating similar activities operating through different structures (such as online gaming) are subject to a tax.  Accordingly, </w:t>
      </w:r>
      <w:r w:rsidR="006E5312" w:rsidRPr="00177DB5">
        <w:t>th</w:t>
      </w:r>
      <w:r w:rsidR="007358CF" w:rsidRPr="00177DB5">
        <w:t xml:space="preserve">e </w:t>
      </w:r>
      <w:r w:rsidR="004732BB">
        <w:t xml:space="preserve">criteria necessary to rebut the </w:t>
      </w:r>
      <w:r w:rsidR="00DF5BF6" w:rsidRPr="00177DB5">
        <w:t xml:space="preserve">presumption </w:t>
      </w:r>
      <w:r w:rsidR="000B20AA">
        <w:t xml:space="preserve">for Licensor to allocate </w:t>
      </w:r>
      <w:r w:rsidR="00222029">
        <w:t>the transaction price of $10</w:t>
      </w:r>
      <w:r w:rsidR="00271BD7">
        <w:t>0</w:t>
      </w:r>
      <w:r w:rsidR="00222029">
        <w:t xml:space="preserve"> million wholly to the licence</w:t>
      </w:r>
      <w:r w:rsidR="00DF5BF6" w:rsidRPr="00177DB5">
        <w:t xml:space="preserve"> </w:t>
      </w:r>
      <w:r w:rsidR="00EF5AA4">
        <w:t xml:space="preserve">are </w:t>
      </w:r>
      <w:r w:rsidR="00DF5BF6" w:rsidRPr="00177DB5">
        <w:t xml:space="preserve">not </w:t>
      </w:r>
      <w:r w:rsidR="00EF5AA4">
        <w:t>satisfied</w:t>
      </w:r>
      <w:r w:rsidR="00786CDA" w:rsidRPr="00177DB5">
        <w:t>.</w:t>
      </w:r>
      <w:r w:rsidR="00786CDA">
        <w:t xml:space="preserve"> </w:t>
      </w:r>
    </w:p>
    <w:p w:rsidR="00DC3A03" w:rsidRDefault="00DC3A03" w:rsidP="006A76B8">
      <w:pPr>
        <w:pStyle w:val="IEText"/>
        <w:pBdr>
          <w:top w:val="none" w:sz="0" w:space="0" w:color="auto"/>
          <w:bottom w:val="none" w:sz="0" w:space="0" w:color="auto"/>
        </w:pBdr>
        <w:rPr>
          <w:b/>
        </w:rPr>
      </w:pPr>
    </w:p>
    <w:p w:rsidR="00253B37" w:rsidRPr="0081213A" w:rsidRDefault="00253B37" w:rsidP="006A76B8">
      <w:pPr>
        <w:pStyle w:val="IEText"/>
        <w:pBdr>
          <w:top w:val="none" w:sz="0" w:space="0" w:color="auto"/>
          <w:bottom w:val="none" w:sz="0" w:space="0" w:color="auto"/>
        </w:pBdr>
        <w:rPr>
          <w:u w:val="single"/>
        </w:rPr>
      </w:pPr>
      <w:r w:rsidRPr="0081213A">
        <w:rPr>
          <w:u w:val="single"/>
        </w:rPr>
        <w:t>Is it a low-value or short-term licence?</w:t>
      </w:r>
    </w:p>
    <w:p w:rsidR="00253B37" w:rsidRDefault="00222029" w:rsidP="006A76B8">
      <w:pPr>
        <w:pStyle w:val="IEText"/>
        <w:pBdr>
          <w:top w:val="none" w:sz="0" w:space="0" w:color="auto"/>
          <w:bottom w:val="none" w:sz="0" w:space="0" w:color="auto"/>
        </w:pBdr>
      </w:pPr>
      <w:r>
        <w:t>Applying paragraph</w:t>
      </w:r>
      <w:r w:rsidR="0031033C">
        <w:t>s</w:t>
      </w:r>
      <w:r>
        <w:t xml:space="preserve"> Aus8.1</w:t>
      </w:r>
      <w:r w:rsidR="00F31DBD">
        <w:t xml:space="preserve"> and G2</w:t>
      </w:r>
      <w:r w:rsidR="00F60864">
        <w:t>2</w:t>
      </w:r>
      <w:r w:rsidR="00BC24B5">
        <w:t>–</w:t>
      </w:r>
      <w:r w:rsidR="00F31DBD">
        <w:t>G2</w:t>
      </w:r>
      <w:r w:rsidR="005D0061">
        <w:t>7</w:t>
      </w:r>
      <w:r>
        <w:t xml:space="preserve">, </w:t>
      </w:r>
      <w:r w:rsidR="00EF0761">
        <w:t>Licensor concludes that its arrangement with Licensee is not a low-value or short-term licence</w:t>
      </w:r>
      <w:r w:rsidR="005277CD">
        <w:t xml:space="preserve"> because</w:t>
      </w:r>
      <w:r w:rsidR="00253B37">
        <w:t xml:space="preserve"> the transaction price of the licence is $100 million and the term of the licence is 10 years</w:t>
      </w:r>
      <w:r w:rsidR="005277CD">
        <w:t>.</w:t>
      </w:r>
    </w:p>
    <w:p w:rsidR="00DC3A03" w:rsidRPr="0081213A" w:rsidRDefault="00DC3A03" w:rsidP="006A76B8">
      <w:pPr>
        <w:pStyle w:val="IEText"/>
        <w:pBdr>
          <w:top w:val="none" w:sz="0" w:space="0" w:color="auto"/>
          <w:bottom w:val="none" w:sz="0" w:space="0" w:color="auto"/>
        </w:pBdr>
        <w:rPr>
          <w:u w:val="single"/>
        </w:rPr>
      </w:pPr>
    </w:p>
    <w:p w:rsidR="00253B37" w:rsidRPr="0081213A" w:rsidRDefault="00253B37" w:rsidP="006A76B8">
      <w:pPr>
        <w:pStyle w:val="IEText"/>
        <w:pBdr>
          <w:top w:val="none" w:sz="0" w:space="0" w:color="auto"/>
          <w:bottom w:val="none" w:sz="0" w:space="0" w:color="auto"/>
        </w:pBdr>
        <w:rPr>
          <w:u w:val="single"/>
        </w:rPr>
      </w:pPr>
      <w:r w:rsidRPr="0081213A">
        <w:rPr>
          <w:u w:val="single"/>
        </w:rPr>
        <w:t>Is it an intellectual property (IP) licence?</w:t>
      </w:r>
    </w:p>
    <w:p w:rsidR="007338C2" w:rsidRDefault="00222029" w:rsidP="006A76B8">
      <w:pPr>
        <w:pStyle w:val="IEText"/>
        <w:pBdr>
          <w:top w:val="none" w:sz="0" w:space="0" w:color="auto"/>
          <w:bottom w:val="none" w:sz="0" w:space="0" w:color="auto"/>
        </w:pBdr>
      </w:pPr>
      <w:r>
        <w:t xml:space="preserve">Applying paragraph G13, </w:t>
      </w:r>
      <w:r w:rsidR="00253B37" w:rsidRPr="00041B60">
        <w:t xml:space="preserve">Licensor concludes its arrangement with Licensee is </w:t>
      </w:r>
      <w:r w:rsidR="00253B37">
        <w:t xml:space="preserve">a </w:t>
      </w:r>
      <w:r w:rsidR="009E6B60">
        <w:t>non-</w:t>
      </w:r>
      <w:r w:rsidR="008B4583">
        <w:t>I</w:t>
      </w:r>
      <w:r w:rsidR="00253B37">
        <w:t xml:space="preserve">P licence as </w:t>
      </w:r>
      <w:r w:rsidR="00CB6311">
        <w:t>the arrangement</w:t>
      </w:r>
      <w:r w:rsidR="00AC18B3">
        <w:t xml:space="preserve"> does not involve rights over </w:t>
      </w:r>
      <w:r w:rsidR="008B57BA">
        <w:t>IP</w:t>
      </w:r>
      <w:r w:rsidR="0023375B">
        <w:t xml:space="preserve"> </w:t>
      </w:r>
      <w:r w:rsidR="004A5A5D">
        <w:t xml:space="preserve">of </w:t>
      </w:r>
      <w:r w:rsidR="00F60864">
        <w:t>L</w:t>
      </w:r>
      <w:r w:rsidR="004A5A5D">
        <w:t>icensor</w:t>
      </w:r>
      <w:r w:rsidR="00253B37">
        <w:t>.</w:t>
      </w:r>
    </w:p>
    <w:p w:rsidR="00DC3A03" w:rsidRDefault="00DC3A03" w:rsidP="006A76B8">
      <w:pPr>
        <w:pStyle w:val="IEText"/>
        <w:pBdr>
          <w:top w:val="none" w:sz="0" w:space="0" w:color="auto"/>
          <w:bottom w:val="none" w:sz="0" w:space="0" w:color="auto"/>
        </w:pBdr>
        <w:rPr>
          <w:b/>
          <w:u w:val="single"/>
        </w:rPr>
      </w:pPr>
    </w:p>
    <w:p w:rsidR="001739B4" w:rsidRPr="0081213A" w:rsidRDefault="007338C2" w:rsidP="006A76B8">
      <w:pPr>
        <w:pStyle w:val="IEText"/>
        <w:pBdr>
          <w:top w:val="none" w:sz="0" w:space="0" w:color="auto"/>
          <w:bottom w:val="none" w:sz="0" w:space="0" w:color="auto"/>
        </w:pBdr>
        <w:rPr>
          <w:u w:val="single"/>
        </w:rPr>
      </w:pPr>
      <w:r w:rsidRPr="0081213A">
        <w:rPr>
          <w:u w:val="single"/>
        </w:rPr>
        <w:t xml:space="preserve">Is the non-IP licence a lease or </w:t>
      </w:r>
      <w:r w:rsidR="003F3214" w:rsidRPr="0081213A">
        <w:rPr>
          <w:u w:val="single"/>
        </w:rPr>
        <w:t xml:space="preserve">does it </w:t>
      </w:r>
      <w:r w:rsidRPr="0081213A">
        <w:rPr>
          <w:u w:val="single"/>
        </w:rPr>
        <w:t>contain a lease?</w:t>
      </w:r>
    </w:p>
    <w:p w:rsidR="003F3214" w:rsidRDefault="00222029" w:rsidP="007338C2">
      <w:pPr>
        <w:pStyle w:val="IEText"/>
        <w:pBdr>
          <w:top w:val="none" w:sz="0" w:space="0" w:color="auto"/>
          <w:bottom w:val="none" w:sz="0" w:space="0" w:color="auto"/>
        </w:pBdr>
      </w:pPr>
      <w:r>
        <w:t>Applying paragraph</w:t>
      </w:r>
      <w:r w:rsidR="0031033C">
        <w:t>s</w:t>
      </w:r>
      <w:r>
        <w:t xml:space="preserve"> Aus5.2</w:t>
      </w:r>
      <w:r w:rsidR="00F31DBD">
        <w:t xml:space="preserve"> and</w:t>
      </w:r>
      <w:r>
        <w:t xml:space="preserve"> </w:t>
      </w:r>
      <w:proofErr w:type="gramStart"/>
      <w:r w:rsidR="00F31DBD">
        <w:t>G14(</w:t>
      </w:r>
      <w:proofErr w:type="gramEnd"/>
      <w:r w:rsidR="00F31DBD">
        <w:t xml:space="preserve">a), </w:t>
      </w:r>
      <w:r w:rsidR="007338C2" w:rsidRPr="00041B60">
        <w:t>Licensor concludes its arrangement wi</w:t>
      </w:r>
      <w:r w:rsidR="007338C2" w:rsidRPr="00D32132">
        <w:t xml:space="preserve">th Licensee </w:t>
      </w:r>
      <w:r w:rsidR="0081608B" w:rsidRPr="00D32132">
        <w:t>give</w:t>
      </w:r>
      <w:r w:rsidR="00EE708F" w:rsidRPr="00D32132">
        <w:t>s</w:t>
      </w:r>
      <w:r w:rsidR="0081608B" w:rsidRPr="00D32132">
        <w:t xml:space="preserve"> </w:t>
      </w:r>
      <w:r w:rsidR="00D32132">
        <w:t>L</w:t>
      </w:r>
      <w:r w:rsidR="0081608B" w:rsidRPr="00D32132">
        <w:t>icensee</w:t>
      </w:r>
      <w:r w:rsidR="0081608B">
        <w:t xml:space="preserve"> a right to perform an activity (</w:t>
      </w:r>
      <w:proofErr w:type="spellStart"/>
      <w:r w:rsidR="001E2531">
        <w:t>ie</w:t>
      </w:r>
      <w:proofErr w:type="spellEnd"/>
      <w:r w:rsidR="0081608B">
        <w:t xml:space="preserve"> operate a casino) rather than </w:t>
      </w:r>
      <w:r w:rsidR="0081608B" w:rsidRPr="00D32132">
        <w:t>convey</w:t>
      </w:r>
      <w:r w:rsidR="00473BCF">
        <w:t>ing</w:t>
      </w:r>
      <w:r w:rsidR="0081608B" w:rsidRPr="00D32132">
        <w:t xml:space="preserve"> a </w:t>
      </w:r>
      <w:r w:rsidR="001739B4" w:rsidRPr="00D32132">
        <w:t>right</w:t>
      </w:r>
      <w:r w:rsidR="0081608B" w:rsidRPr="00D32132">
        <w:t xml:space="preserve"> </w:t>
      </w:r>
      <w:r w:rsidR="004A5A5D" w:rsidRPr="00D32132">
        <w:t>over</w:t>
      </w:r>
      <w:r w:rsidR="00A02CA5" w:rsidRPr="00D32132">
        <w:t xml:space="preserve"> an</w:t>
      </w:r>
      <w:r w:rsidR="001739B4" w:rsidRPr="00D32132">
        <w:t xml:space="preserve"> </w:t>
      </w:r>
      <w:r w:rsidR="0081608B" w:rsidRPr="00D32132">
        <w:t xml:space="preserve">identified </w:t>
      </w:r>
      <w:r w:rsidR="00AC18B3" w:rsidRPr="00D32132">
        <w:t>asset</w:t>
      </w:r>
      <w:r w:rsidR="00F135B0" w:rsidRPr="00D32132">
        <w:t xml:space="preserve"> of the Licensor. </w:t>
      </w:r>
      <w:r w:rsidR="003F3214" w:rsidRPr="00D32132">
        <w:t>Therefore the arrangement is not a lease and does not contain a lease.</w:t>
      </w:r>
    </w:p>
    <w:p w:rsidR="00DC3A03" w:rsidRDefault="00DC3A03" w:rsidP="007338C2">
      <w:pPr>
        <w:pStyle w:val="IEText"/>
        <w:pBdr>
          <w:top w:val="none" w:sz="0" w:space="0" w:color="auto"/>
          <w:bottom w:val="none" w:sz="0" w:space="0" w:color="auto"/>
        </w:pBdr>
        <w:rPr>
          <w:b/>
        </w:rPr>
      </w:pPr>
    </w:p>
    <w:p w:rsidR="00041B60" w:rsidRPr="0081213A" w:rsidRDefault="003F3214" w:rsidP="007338C2">
      <w:pPr>
        <w:pStyle w:val="IEText"/>
        <w:pBdr>
          <w:top w:val="none" w:sz="0" w:space="0" w:color="auto"/>
          <w:bottom w:val="none" w:sz="0" w:space="0" w:color="auto"/>
        </w:pBdr>
        <w:rPr>
          <w:u w:val="single"/>
        </w:rPr>
      </w:pPr>
      <w:r w:rsidRPr="0081213A">
        <w:rPr>
          <w:u w:val="single"/>
        </w:rPr>
        <w:t>I</w:t>
      </w:r>
      <w:r w:rsidR="008F74B2" w:rsidRPr="0081213A">
        <w:rPr>
          <w:u w:val="single"/>
        </w:rPr>
        <w:t xml:space="preserve">dentifying the </w:t>
      </w:r>
      <w:r w:rsidR="00EC635D" w:rsidRPr="0081213A">
        <w:rPr>
          <w:u w:val="single"/>
        </w:rPr>
        <w:t xml:space="preserve">performance obligation </w:t>
      </w:r>
    </w:p>
    <w:p w:rsidR="008F74B2" w:rsidRPr="007A3190" w:rsidRDefault="008F74B2" w:rsidP="008F74B2">
      <w:pPr>
        <w:pStyle w:val="IEText"/>
        <w:pBdr>
          <w:top w:val="none" w:sz="0" w:space="0" w:color="auto"/>
          <w:bottom w:val="none" w:sz="0" w:space="0" w:color="auto"/>
        </w:pBdr>
        <w:rPr>
          <w:i/>
        </w:rPr>
      </w:pPr>
      <w:r w:rsidRPr="007A3190">
        <w:rPr>
          <w:i/>
        </w:rPr>
        <w:t>Who is the customer?</w:t>
      </w:r>
    </w:p>
    <w:p w:rsidR="00253B37" w:rsidRDefault="00222029" w:rsidP="00187A0D">
      <w:pPr>
        <w:pStyle w:val="IEText"/>
        <w:pBdr>
          <w:top w:val="none" w:sz="0" w:space="0" w:color="auto"/>
          <w:bottom w:val="none" w:sz="0" w:space="0" w:color="auto"/>
        </w:pBdr>
      </w:pPr>
      <w:r>
        <w:t>Applying paragraph G16</w:t>
      </w:r>
      <w:r w:rsidR="00F31DBD">
        <w:t>,</w:t>
      </w:r>
      <w:r>
        <w:t xml:space="preserve"> </w:t>
      </w:r>
      <w:r w:rsidR="004A5A5D">
        <w:t>Licens</w:t>
      </w:r>
      <w:r w:rsidR="00EC5CDD">
        <w:t>ee (Casino Operator B</w:t>
      </w:r>
      <w:r w:rsidR="001739B4">
        <w:t>)</w:t>
      </w:r>
      <w:r w:rsidR="00EC5CDD">
        <w:t xml:space="preserve"> is </w:t>
      </w:r>
      <w:r>
        <w:t xml:space="preserve">identified as </w:t>
      </w:r>
      <w:r w:rsidR="00EC5CDD">
        <w:t>the customer</w:t>
      </w:r>
      <w:r>
        <w:t xml:space="preserve">. </w:t>
      </w:r>
      <w:r w:rsidR="00EC5CDD">
        <w:t xml:space="preserve"> Licensee has </w:t>
      </w:r>
      <w:r w:rsidR="00985F14">
        <w:t xml:space="preserve">entered into an arrangement </w:t>
      </w:r>
      <w:r w:rsidR="00EC5CDD">
        <w:t>with Licensor to obtain goods or services that are an output of Licensor’s ordinary activities in exchange for consideration</w:t>
      </w:r>
      <w:r w:rsidR="00632991">
        <w:t>.</w:t>
      </w:r>
      <w:r w:rsidR="00041B60">
        <w:br/>
      </w:r>
    </w:p>
    <w:p w:rsidR="00BC2F71" w:rsidRPr="007A3190" w:rsidRDefault="00BC2F71" w:rsidP="00BC2F71">
      <w:pPr>
        <w:pStyle w:val="IEText"/>
        <w:pBdr>
          <w:top w:val="none" w:sz="0" w:space="0" w:color="auto"/>
          <w:bottom w:val="none" w:sz="0" w:space="0" w:color="auto"/>
        </w:pBdr>
        <w:rPr>
          <w:i/>
        </w:rPr>
      </w:pPr>
      <w:r w:rsidRPr="007A3190">
        <w:rPr>
          <w:i/>
        </w:rPr>
        <w:t xml:space="preserve">What are the goods and services promised in the </w:t>
      </w:r>
      <w:r w:rsidR="00985F14">
        <w:rPr>
          <w:i/>
        </w:rPr>
        <w:t>arrangement</w:t>
      </w:r>
      <w:r w:rsidRPr="007A3190">
        <w:rPr>
          <w:i/>
        </w:rPr>
        <w:t>?</w:t>
      </w:r>
    </w:p>
    <w:p w:rsidR="00BC2F71" w:rsidRDefault="00020578" w:rsidP="00BC2F71">
      <w:pPr>
        <w:pStyle w:val="IEText"/>
        <w:pBdr>
          <w:top w:val="none" w:sz="0" w:space="0" w:color="auto"/>
          <w:bottom w:val="none" w:sz="0" w:space="0" w:color="auto"/>
        </w:pBdr>
      </w:pPr>
      <w:r>
        <w:t>Applying</w:t>
      </w:r>
      <w:r w:rsidR="001B2940">
        <w:t xml:space="preserve"> </w:t>
      </w:r>
      <w:r w:rsidR="00A351AA">
        <w:t>paragraphs</w:t>
      </w:r>
      <w:r>
        <w:t xml:space="preserve"> G1</w:t>
      </w:r>
      <w:r w:rsidR="00F60864">
        <w:t>8</w:t>
      </w:r>
      <w:r w:rsidR="00BC24B5">
        <w:t>–</w:t>
      </w:r>
      <w:r w:rsidR="000B20AA">
        <w:t>G</w:t>
      </w:r>
      <w:r>
        <w:t>2</w:t>
      </w:r>
      <w:r w:rsidR="00F60864">
        <w:t>1</w:t>
      </w:r>
      <w:r>
        <w:t xml:space="preserve">, </w:t>
      </w:r>
      <w:r w:rsidR="00BC2F71">
        <w:t xml:space="preserve">Licensor </w:t>
      </w:r>
      <w:r>
        <w:t xml:space="preserve">concludes the only goods and services transferred to </w:t>
      </w:r>
      <w:r w:rsidR="00F31DBD">
        <w:t>L</w:t>
      </w:r>
      <w:r>
        <w:t xml:space="preserve">icensee </w:t>
      </w:r>
      <w:r w:rsidR="000B20AA">
        <w:t xml:space="preserve">(the </w:t>
      </w:r>
      <w:r>
        <w:t>customer</w:t>
      </w:r>
      <w:r w:rsidR="000B20AA">
        <w:t>)</w:t>
      </w:r>
      <w:r>
        <w:t xml:space="preserve"> is </w:t>
      </w:r>
      <w:r w:rsidR="00BC2F71">
        <w:t>the licence</w:t>
      </w:r>
      <w:r>
        <w:t xml:space="preserve"> itself</w:t>
      </w:r>
      <w:r w:rsidR="00BC2F71">
        <w:t>, being the ‘</w:t>
      </w:r>
      <w:r w:rsidR="00BC2F71" w:rsidRPr="007B1D0E">
        <w:t>right to perform</w:t>
      </w:r>
      <w:r w:rsidR="00BC2F71">
        <w:t>’ gambling activities</w:t>
      </w:r>
      <w:r w:rsidR="000B20AA">
        <w:t>.</w:t>
      </w:r>
      <w:r w:rsidR="00BC2F71">
        <w:t xml:space="preserve"> </w:t>
      </w:r>
    </w:p>
    <w:p w:rsidR="00BC2F71" w:rsidRDefault="00BC2F71" w:rsidP="00BC2F71">
      <w:pPr>
        <w:pStyle w:val="IEText"/>
        <w:pBdr>
          <w:top w:val="none" w:sz="0" w:space="0" w:color="auto"/>
          <w:bottom w:val="none" w:sz="0" w:space="0" w:color="auto"/>
        </w:pBdr>
      </w:pPr>
      <w:r>
        <w:t xml:space="preserve">Licensor observes that the </w:t>
      </w:r>
      <w:r w:rsidR="00020578">
        <w:t xml:space="preserve">following promises/activities are not performance obligations as they </w:t>
      </w:r>
      <w:r>
        <w:t xml:space="preserve">do not transfer </w:t>
      </w:r>
      <w:r w:rsidR="00020578">
        <w:t xml:space="preserve">additional </w:t>
      </w:r>
      <w:r>
        <w:t>good</w:t>
      </w:r>
      <w:r w:rsidR="00020578">
        <w:t>s</w:t>
      </w:r>
      <w:r>
        <w:t xml:space="preserve"> or service</w:t>
      </w:r>
      <w:r w:rsidR="00020578">
        <w:t>s</w:t>
      </w:r>
      <w:r>
        <w:t xml:space="preserve"> to Licensee</w:t>
      </w:r>
      <w:r w:rsidR="00020578">
        <w:t xml:space="preserve">, beyond the licence itself, </w:t>
      </w:r>
      <w:r w:rsidR="00F31DBD">
        <w:t>but instead</w:t>
      </w:r>
      <w:r w:rsidR="00020578">
        <w:t xml:space="preserve"> either confirm the attributes promised at inception of the licence or </w:t>
      </w:r>
      <w:r w:rsidR="00F31DBD">
        <w:t xml:space="preserve">confirm </w:t>
      </w:r>
      <w:r w:rsidR="00020578">
        <w:t>that the terms of the licence have been met</w:t>
      </w:r>
      <w:r>
        <w:t>:</w:t>
      </w:r>
    </w:p>
    <w:p w:rsidR="00BC2F71" w:rsidRDefault="00020578" w:rsidP="001C7D79">
      <w:pPr>
        <w:pStyle w:val="IEText"/>
        <w:numPr>
          <w:ilvl w:val="0"/>
          <w:numId w:val="31"/>
        </w:numPr>
        <w:pBdr>
          <w:top w:val="none" w:sz="0" w:space="0" w:color="auto"/>
          <w:bottom w:val="none" w:sz="0" w:space="0" w:color="auto"/>
        </w:pBdr>
      </w:pPr>
      <w:r>
        <w:t>refraining from issuing new casino licences</w:t>
      </w:r>
      <w:r w:rsidR="00271BD7">
        <w:t xml:space="preserve"> in geographical location C</w:t>
      </w:r>
      <w:r>
        <w:t xml:space="preserve"> as </w:t>
      </w:r>
      <w:r w:rsidR="00BC2F71">
        <w:t>the licence is exclusive</w:t>
      </w:r>
      <w:r w:rsidR="001B2940">
        <w:t xml:space="preserve"> (</w:t>
      </w:r>
      <w:proofErr w:type="spellStart"/>
      <w:r w:rsidR="001B2940">
        <w:t>ie</w:t>
      </w:r>
      <w:proofErr w:type="spellEnd"/>
      <w:r w:rsidR="001B2940">
        <w:t xml:space="preserve"> an exclusive licence is </w:t>
      </w:r>
      <w:r w:rsidR="000B28DB">
        <w:t>issued</w:t>
      </w:r>
      <w:r w:rsidR="001B2940">
        <w:t xml:space="preserve"> and </w:t>
      </w:r>
      <w:r w:rsidR="004B7325">
        <w:t>continues</w:t>
      </w:r>
      <w:r w:rsidR="001B2940">
        <w:t xml:space="preserve"> throughout the licence period</w:t>
      </w:r>
      <w:r w:rsidR="004B7325">
        <w:t>)</w:t>
      </w:r>
      <w:r w:rsidR="00BC2F71">
        <w:t>; and</w:t>
      </w:r>
    </w:p>
    <w:p w:rsidR="00BC2F71" w:rsidRDefault="004B7325" w:rsidP="001C7D79">
      <w:pPr>
        <w:pStyle w:val="IEText"/>
        <w:numPr>
          <w:ilvl w:val="0"/>
          <w:numId w:val="31"/>
        </w:numPr>
        <w:pBdr>
          <w:top w:val="none" w:sz="0" w:space="0" w:color="auto"/>
          <w:bottom w:val="none" w:sz="0" w:space="0" w:color="auto"/>
        </w:pBdr>
      </w:pPr>
      <w:proofErr w:type="gramStart"/>
      <w:r>
        <w:t>performing</w:t>
      </w:r>
      <w:proofErr w:type="gramEnd"/>
      <w:r>
        <w:t xml:space="preserve"> regulatory activities to monitor</w:t>
      </w:r>
      <w:r w:rsidR="00020578">
        <w:t xml:space="preserve"> that </w:t>
      </w:r>
      <w:r w:rsidR="00BC2F71">
        <w:t xml:space="preserve">Licensee </w:t>
      </w:r>
      <w:r w:rsidR="00271BD7">
        <w:t xml:space="preserve">continues to </w:t>
      </w:r>
      <w:r w:rsidR="00BC2F71">
        <w:t>meet</w:t>
      </w:r>
      <w:r w:rsidR="00271BD7">
        <w:t xml:space="preserve"> the</w:t>
      </w:r>
      <w:r w:rsidR="00BC2F71">
        <w:t xml:space="preserve"> eligibility criteria (including that the gaming offered is honest and free from criminal influence)</w:t>
      </w:r>
      <w:r w:rsidR="00020578">
        <w:t xml:space="preserve"> during the period of the licence</w:t>
      </w:r>
      <w:r w:rsidR="007B5663">
        <w:t>.</w:t>
      </w:r>
      <w:r w:rsidR="00BC2F71">
        <w:t xml:space="preserve"> </w:t>
      </w:r>
      <w:r w:rsidR="00271BD7">
        <w:t xml:space="preserve">The Licensee must meet the eligibility criteria to be </w:t>
      </w:r>
      <w:r w:rsidR="000B28DB">
        <w:t>issued</w:t>
      </w:r>
      <w:r w:rsidR="00271BD7">
        <w:t xml:space="preserve"> the licence and controls whether the criteria continue to be met</w:t>
      </w:r>
      <w:r>
        <w:t>, so no additional goods or services are provided by the licensor</w:t>
      </w:r>
      <w:r w:rsidR="00271BD7">
        <w:t xml:space="preserve">. </w:t>
      </w:r>
    </w:p>
    <w:p w:rsidR="00BC2F71" w:rsidRDefault="00BC2F71" w:rsidP="006A0D9D">
      <w:pPr>
        <w:pStyle w:val="IEText"/>
        <w:pBdr>
          <w:top w:val="none" w:sz="0" w:space="0" w:color="auto"/>
          <w:bottom w:val="none" w:sz="0" w:space="0" w:color="auto"/>
        </w:pBdr>
      </w:pPr>
      <w:r w:rsidRPr="00AE7DB9">
        <w:t xml:space="preserve">Licensor does not identify any </w:t>
      </w:r>
      <w:r w:rsidR="00E05D3C">
        <w:t xml:space="preserve">remaining promises to transfer a </w:t>
      </w:r>
      <w:r w:rsidRPr="00AE7DB9">
        <w:t xml:space="preserve">good or service to </w:t>
      </w:r>
      <w:r>
        <w:t xml:space="preserve">Licensee </w:t>
      </w:r>
      <w:r w:rsidRPr="00AE7DB9">
        <w:t xml:space="preserve">in the </w:t>
      </w:r>
      <w:r w:rsidR="00985F14">
        <w:t>arrangement</w:t>
      </w:r>
      <w:r w:rsidR="004B7325">
        <w:t xml:space="preserve"> that are distinct from the licence</w:t>
      </w:r>
      <w:r w:rsidRPr="00AE7DB9">
        <w:t>.</w:t>
      </w:r>
    </w:p>
    <w:p w:rsidR="004B7325" w:rsidRPr="00AE7DB9" w:rsidRDefault="004B7325" w:rsidP="006A0D9D">
      <w:pPr>
        <w:pStyle w:val="IEText"/>
        <w:pBdr>
          <w:top w:val="none" w:sz="0" w:space="0" w:color="auto"/>
          <w:bottom w:val="none" w:sz="0" w:space="0" w:color="auto"/>
        </w:pBdr>
      </w:pPr>
      <w:r>
        <w:t xml:space="preserve">Licensor concludes there is a single </w:t>
      </w:r>
      <w:r w:rsidR="0045779C">
        <w:t xml:space="preserve">distinct </w:t>
      </w:r>
      <w:r>
        <w:t>performance obligation to issue the licence.</w:t>
      </w:r>
    </w:p>
    <w:p w:rsidR="0081213A" w:rsidRDefault="0081213A" w:rsidP="0081213A">
      <w:pPr>
        <w:pStyle w:val="IEText"/>
        <w:pBdr>
          <w:top w:val="none" w:sz="0" w:space="0" w:color="auto"/>
          <w:bottom w:val="none" w:sz="0" w:space="0" w:color="auto"/>
        </w:pBdr>
        <w:tabs>
          <w:tab w:val="left" w:pos="2410"/>
          <w:tab w:val="left" w:pos="7797"/>
        </w:tabs>
      </w:pPr>
    </w:p>
    <w:p w:rsidR="00AE3C30" w:rsidRPr="0081213A" w:rsidRDefault="00AE3C30" w:rsidP="0081213A">
      <w:pPr>
        <w:pStyle w:val="IEText"/>
        <w:pBdr>
          <w:top w:val="none" w:sz="0" w:space="0" w:color="auto"/>
          <w:bottom w:val="none" w:sz="0" w:space="0" w:color="auto"/>
        </w:pBdr>
        <w:tabs>
          <w:tab w:val="left" w:pos="2410"/>
          <w:tab w:val="left" w:pos="7797"/>
        </w:tabs>
        <w:rPr>
          <w:b/>
        </w:rPr>
      </w:pPr>
      <w:r w:rsidRPr="0081213A">
        <w:rPr>
          <w:b/>
        </w:rPr>
        <w:t>Example 8B –</w:t>
      </w:r>
      <w:r w:rsidR="000009B2">
        <w:rPr>
          <w:b/>
        </w:rPr>
        <w:t xml:space="preserve"> D</w:t>
      </w:r>
      <w:r w:rsidR="000009B2" w:rsidRPr="0081213A">
        <w:rPr>
          <w:b/>
        </w:rPr>
        <w:t xml:space="preserve">istinct </w:t>
      </w:r>
      <w:r w:rsidRPr="0081213A">
        <w:rPr>
          <w:b/>
        </w:rPr>
        <w:t>goods or services</w:t>
      </w:r>
    </w:p>
    <w:p w:rsidR="00AE3C30" w:rsidRPr="000E2641" w:rsidRDefault="00AE3C30" w:rsidP="0081213A">
      <w:pPr>
        <w:pStyle w:val="IEText"/>
        <w:pBdr>
          <w:top w:val="none" w:sz="0" w:space="0" w:color="auto"/>
          <w:bottom w:val="none" w:sz="0" w:space="0" w:color="auto"/>
        </w:pBdr>
      </w:pPr>
      <w:r>
        <w:t xml:space="preserve">In </w:t>
      </w:r>
      <w:r w:rsidRPr="0042703C">
        <w:t>this</w:t>
      </w:r>
      <w:r>
        <w:t xml:space="preserve"> example, the facts of Example 8A apply, except that, i</w:t>
      </w:r>
      <w:r w:rsidRPr="0042703C">
        <w:t>n addition to</w:t>
      </w:r>
      <w:r>
        <w:t xml:space="preserve"> issuing the licence, Licensor will perform maintenance of Licensee’s gaming machines throughout the licence</w:t>
      </w:r>
      <w:r w:rsidR="00A351AA">
        <w:t xml:space="preserve"> term</w:t>
      </w:r>
      <w:r>
        <w:t xml:space="preserve"> to ensure that the gaming machines are in working order, have not been tampered with and are not in need of repair. If such services were not provided by Licensor, it is expected that Licensee would engage a third party to carry out the maintenance services to provide assurance to Licensee’s patrons that the machines are functioning as they should be. In addition:</w:t>
      </w:r>
      <w:r w:rsidRPr="00041B60">
        <w:t xml:space="preserve"> </w:t>
      </w:r>
    </w:p>
    <w:p w:rsidR="00AE3C30" w:rsidRDefault="00AE3C30" w:rsidP="00AE3C30">
      <w:pPr>
        <w:pStyle w:val="IEText"/>
        <w:numPr>
          <w:ilvl w:val="0"/>
          <w:numId w:val="24"/>
        </w:numPr>
        <w:pBdr>
          <w:top w:val="none" w:sz="0" w:space="0" w:color="auto"/>
          <w:bottom w:val="none" w:sz="0" w:space="0" w:color="auto"/>
        </w:pBdr>
      </w:pPr>
      <w:r>
        <w:t>Licensor observes that, based on market conditions, a customer in the market for such maintenance services would be willing to pay $5 million; and</w:t>
      </w:r>
    </w:p>
    <w:p w:rsidR="00AE3C30" w:rsidRDefault="00AE3C30" w:rsidP="00AE3C30">
      <w:pPr>
        <w:pStyle w:val="IEText"/>
        <w:numPr>
          <w:ilvl w:val="0"/>
          <w:numId w:val="24"/>
        </w:numPr>
        <w:pBdr>
          <w:top w:val="none" w:sz="0" w:space="0" w:color="auto"/>
          <w:bottom w:val="none" w:sz="0" w:space="0" w:color="auto"/>
        </w:pBdr>
      </w:pPr>
      <w:proofErr w:type="gramStart"/>
      <w:r w:rsidRPr="0042703C">
        <w:t>the</w:t>
      </w:r>
      <w:proofErr w:type="gramEnd"/>
      <w:r w:rsidRPr="0042703C">
        <w:t xml:space="preserve"> upfront payment of $100 million </w:t>
      </w:r>
      <w:r>
        <w:t>includes the maintenance services</w:t>
      </w:r>
      <w:r w:rsidRPr="0042703C">
        <w:t>.</w:t>
      </w:r>
    </w:p>
    <w:p w:rsidR="0081213A" w:rsidRPr="0042703C" w:rsidRDefault="0081213A" w:rsidP="0081213A">
      <w:pPr>
        <w:pStyle w:val="IEText"/>
        <w:pBdr>
          <w:top w:val="none" w:sz="0" w:space="0" w:color="auto"/>
          <w:bottom w:val="none" w:sz="0" w:space="0" w:color="auto"/>
        </w:pBdr>
      </w:pPr>
    </w:p>
    <w:p w:rsidR="00AE3C30" w:rsidRDefault="00AE3C30" w:rsidP="00AE3C30">
      <w:pPr>
        <w:pStyle w:val="IEText"/>
        <w:pBdr>
          <w:top w:val="none" w:sz="0" w:space="0" w:color="auto"/>
          <w:bottom w:val="none" w:sz="0" w:space="0" w:color="auto"/>
        </w:pBdr>
        <w:rPr>
          <w:u w:val="single"/>
        </w:rPr>
      </w:pPr>
      <w:r>
        <w:rPr>
          <w:u w:val="single"/>
        </w:rPr>
        <w:t>Applying the accounting framework for licences issued by not-for-profit public sector licensors</w:t>
      </w:r>
      <w:r w:rsidDel="004D331F">
        <w:rPr>
          <w:u w:val="single"/>
        </w:rPr>
        <w:t xml:space="preserve"> </w:t>
      </w:r>
    </w:p>
    <w:p w:rsidR="00AE3C30" w:rsidRDefault="00AE3C30" w:rsidP="00AE3C30">
      <w:pPr>
        <w:pStyle w:val="IEText"/>
        <w:pBdr>
          <w:top w:val="none" w:sz="0" w:space="0" w:color="auto"/>
          <w:bottom w:val="none" w:sz="0" w:space="0" w:color="auto"/>
        </w:pBdr>
      </w:pPr>
      <w:r>
        <w:t xml:space="preserve">Licensor concludes on the </w:t>
      </w:r>
      <w:r w:rsidRPr="00AE3C30">
        <w:t>same basis as Example 8A that its arrangement to issue a non-IP licence to Licensee is not a tax, is no</w:t>
      </w:r>
      <w:r>
        <w:t xml:space="preserve">t </w:t>
      </w:r>
      <w:r w:rsidR="00A351AA">
        <w:t xml:space="preserve">a </w:t>
      </w:r>
      <w:r>
        <w:t>low-value or short-term licence, is not an IP licence and is not a lease or does not contain a lease.</w:t>
      </w:r>
    </w:p>
    <w:p w:rsidR="0081213A" w:rsidRDefault="0081213A" w:rsidP="00AE3C30">
      <w:pPr>
        <w:pStyle w:val="IEText"/>
        <w:pBdr>
          <w:top w:val="none" w:sz="0" w:space="0" w:color="auto"/>
          <w:bottom w:val="none" w:sz="0" w:space="0" w:color="auto"/>
        </w:pBdr>
      </w:pPr>
    </w:p>
    <w:p w:rsidR="00AE3C30" w:rsidRPr="0081213A" w:rsidRDefault="00AE3C30" w:rsidP="00AE3C30">
      <w:pPr>
        <w:pStyle w:val="IEText"/>
        <w:pBdr>
          <w:top w:val="none" w:sz="0" w:space="0" w:color="auto"/>
          <w:bottom w:val="none" w:sz="0" w:space="0" w:color="auto"/>
        </w:pBdr>
        <w:rPr>
          <w:u w:val="single"/>
        </w:rPr>
      </w:pPr>
      <w:r w:rsidRPr="0081213A">
        <w:rPr>
          <w:u w:val="single"/>
        </w:rPr>
        <w:t>Identifying the performance obligation</w:t>
      </w:r>
    </w:p>
    <w:p w:rsidR="00AD719C" w:rsidRDefault="00D405CA" w:rsidP="00AE3C30">
      <w:pPr>
        <w:pStyle w:val="IEText"/>
        <w:pBdr>
          <w:top w:val="none" w:sz="0" w:space="0" w:color="auto"/>
          <w:bottom w:val="none" w:sz="0" w:space="0" w:color="auto"/>
        </w:pBdr>
      </w:pPr>
      <w:r>
        <w:t xml:space="preserve">Licensor </w:t>
      </w:r>
      <w:r w:rsidR="00AD719C">
        <w:t xml:space="preserve">concludes on the same basis as Example 8A that Licensee is the customer, and identifies the issue of the licence (the right to perform) as a performance obligation. </w:t>
      </w:r>
    </w:p>
    <w:p w:rsidR="0081213A" w:rsidRPr="00AD719C" w:rsidRDefault="0081213A" w:rsidP="00AE3C30">
      <w:pPr>
        <w:pStyle w:val="IEText"/>
        <w:pBdr>
          <w:top w:val="none" w:sz="0" w:space="0" w:color="auto"/>
          <w:bottom w:val="none" w:sz="0" w:space="0" w:color="auto"/>
        </w:pBdr>
      </w:pPr>
    </w:p>
    <w:p w:rsidR="00020C4E" w:rsidRDefault="00AD719C" w:rsidP="00020C4E">
      <w:pPr>
        <w:pStyle w:val="IEText"/>
        <w:pBdr>
          <w:top w:val="none" w:sz="0" w:space="0" w:color="auto"/>
          <w:bottom w:val="none" w:sz="0" w:space="0" w:color="auto"/>
        </w:pBdr>
      </w:pPr>
      <w:r>
        <w:t xml:space="preserve">Applying paragraphs </w:t>
      </w:r>
      <w:r w:rsidR="00020C4E">
        <w:t xml:space="preserve">22 and </w:t>
      </w:r>
      <w:r>
        <w:t>G15</w:t>
      </w:r>
      <w:r w:rsidR="00BC24B5">
        <w:t>–</w:t>
      </w:r>
      <w:r>
        <w:t xml:space="preserve">G20, </w:t>
      </w:r>
      <w:r w:rsidR="00D405CA">
        <w:t xml:space="preserve">Licensor </w:t>
      </w:r>
      <w:r w:rsidR="00020C4E">
        <w:t>concludes there are two distinct performance obligations to:</w:t>
      </w:r>
    </w:p>
    <w:p w:rsidR="00020C4E" w:rsidRDefault="00020C4E" w:rsidP="00020C4E">
      <w:pPr>
        <w:pStyle w:val="IEText"/>
        <w:numPr>
          <w:ilvl w:val="0"/>
          <w:numId w:val="24"/>
        </w:numPr>
        <w:pBdr>
          <w:top w:val="none" w:sz="0" w:space="0" w:color="auto"/>
          <w:bottom w:val="none" w:sz="0" w:space="0" w:color="auto"/>
        </w:pBdr>
      </w:pPr>
      <w:r>
        <w:t>issue the licence; and</w:t>
      </w:r>
    </w:p>
    <w:p w:rsidR="00020C4E" w:rsidRPr="0045779C" w:rsidRDefault="00020C4E" w:rsidP="00020C4E">
      <w:pPr>
        <w:pStyle w:val="IEText"/>
        <w:numPr>
          <w:ilvl w:val="0"/>
          <w:numId w:val="24"/>
        </w:numPr>
        <w:pBdr>
          <w:top w:val="none" w:sz="0" w:space="0" w:color="auto"/>
          <w:bottom w:val="none" w:sz="0" w:space="0" w:color="auto"/>
        </w:pBdr>
      </w:pPr>
      <w:proofErr w:type="gramStart"/>
      <w:r>
        <w:t>provide</w:t>
      </w:r>
      <w:proofErr w:type="gramEnd"/>
      <w:r>
        <w:t xml:space="preserve"> a series of maintenance services.</w:t>
      </w:r>
    </w:p>
    <w:p w:rsidR="00AE3C30" w:rsidRDefault="00020C4E" w:rsidP="00AE3C30">
      <w:pPr>
        <w:pStyle w:val="IEText"/>
        <w:pBdr>
          <w:top w:val="none" w:sz="0" w:space="0" w:color="auto"/>
          <w:bottom w:val="none" w:sz="0" w:space="0" w:color="auto"/>
        </w:pBdr>
      </w:pPr>
      <w:r>
        <w:t>T</w:t>
      </w:r>
      <w:r w:rsidR="00AE3C30">
        <w:t xml:space="preserve">he promise to perform maintenance services on the gaming machines </w:t>
      </w:r>
      <w:r w:rsidR="0045779C">
        <w:t>transfers a series of services that are substantially the same and have the same pattern of transfer to Licensee</w:t>
      </w:r>
      <w:r>
        <w:t xml:space="preserve"> and </w:t>
      </w:r>
      <w:r w:rsidR="00F60864">
        <w:t xml:space="preserve">in </w:t>
      </w:r>
      <w:r w:rsidR="0045779C">
        <w:t>accordance with paragraph</w:t>
      </w:r>
      <w:r w:rsidR="00F60864">
        <w:t> </w:t>
      </w:r>
      <w:r w:rsidR="0045779C">
        <w:t xml:space="preserve">27 </w:t>
      </w:r>
      <w:r>
        <w:t>this</w:t>
      </w:r>
      <w:r w:rsidR="0045779C">
        <w:t xml:space="preserve"> service is </w:t>
      </w:r>
      <w:r w:rsidR="00AE3C30">
        <w:t>distinct from granting the licence to operate a casino, as:</w:t>
      </w:r>
    </w:p>
    <w:p w:rsidR="00AE3C30" w:rsidRDefault="00AE3C30" w:rsidP="00597148">
      <w:pPr>
        <w:pStyle w:val="NumIEPlain2"/>
        <w:pBdr>
          <w:left w:val="single" w:sz="4" w:space="6" w:color="auto"/>
          <w:right w:val="single" w:sz="4" w:space="4" w:color="auto"/>
        </w:pBdr>
        <w:ind w:left="1244" w:hanging="425"/>
      </w:pPr>
      <w:r>
        <w:t>Licensee can benefit from the service either on its own or together with other resources that are readily available to Licensee</w:t>
      </w:r>
      <w:r w:rsidR="00A15B71">
        <w:t xml:space="preserve"> (paragraph 28) – </w:t>
      </w:r>
      <w:r>
        <w:t xml:space="preserve">if </w:t>
      </w:r>
      <w:r w:rsidR="00B676C6">
        <w:t xml:space="preserve">Licensor </w:t>
      </w:r>
      <w:r>
        <w:t xml:space="preserve">were not providing this service to Licensee, </w:t>
      </w:r>
      <w:r w:rsidR="00B676C6">
        <w:t>Licensee</w:t>
      </w:r>
      <w:r>
        <w:t xml:space="preserve"> would be reasonably expected to obtain such services from a third party</w:t>
      </w:r>
      <w:r w:rsidR="00B676C6">
        <w:t xml:space="preserve"> to ensure machines are operating at capacity to generate maximum revenue</w:t>
      </w:r>
      <w:r>
        <w:t>; and</w:t>
      </w:r>
    </w:p>
    <w:p w:rsidR="00597148" w:rsidRDefault="00AE3C30" w:rsidP="00597148">
      <w:pPr>
        <w:pStyle w:val="NumIEPlain2"/>
        <w:pBdr>
          <w:left w:val="single" w:sz="4" w:space="6" w:color="auto"/>
          <w:right w:val="single" w:sz="4" w:space="4" w:color="auto"/>
        </w:pBdr>
        <w:ind w:left="1244" w:hanging="425"/>
      </w:pPr>
      <w:r>
        <w:t>Licensor’s</w:t>
      </w:r>
      <w:r w:rsidRPr="002C671A">
        <w:t xml:space="preserve"> </w:t>
      </w:r>
      <w:r>
        <w:t>promise to transfer the good or service to Licensee is separately identifiable from other promises in the arrangement</w:t>
      </w:r>
      <w:r w:rsidR="00A15B71">
        <w:t xml:space="preserve"> (paragraph 29)</w:t>
      </w:r>
      <w:r w:rsidR="00597148">
        <w:t xml:space="preserve"> as:</w:t>
      </w:r>
      <w:r w:rsidR="006930E6">
        <w:t xml:space="preserve"> </w:t>
      </w:r>
    </w:p>
    <w:p w:rsidR="00597148" w:rsidRDefault="00597148" w:rsidP="00597148">
      <w:pPr>
        <w:pStyle w:val="NumIEPlain3"/>
        <w:pBdr>
          <w:left w:val="single" w:sz="4" w:space="29" w:color="auto"/>
          <w:right w:val="single" w:sz="4" w:space="4" w:color="auto"/>
        </w:pBdr>
        <w:tabs>
          <w:tab w:val="clear" w:pos="1565"/>
          <w:tab w:val="num" w:pos="1843"/>
        </w:tabs>
        <w:ind w:left="1706" w:hanging="425"/>
      </w:pPr>
      <w:r>
        <w:t xml:space="preserve">the maintenance services </w:t>
      </w:r>
      <w:r w:rsidR="006930E6">
        <w:t xml:space="preserve">are not integral to </w:t>
      </w:r>
      <w:r w:rsidR="00BD1E1D">
        <w:t>the issue of the casino licence</w:t>
      </w:r>
      <w:r>
        <w:t>;</w:t>
      </w:r>
    </w:p>
    <w:p w:rsidR="00597148" w:rsidRDefault="00597148" w:rsidP="00597148">
      <w:pPr>
        <w:pStyle w:val="NumIEPlain3"/>
        <w:pBdr>
          <w:left w:val="single" w:sz="4" w:space="29" w:color="auto"/>
          <w:right w:val="single" w:sz="4" w:space="4" w:color="auto"/>
        </w:pBdr>
        <w:tabs>
          <w:tab w:val="clear" w:pos="1565"/>
          <w:tab w:val="num" w:pos="1843"/>
        </w:tabs>
        <w:ind w:left="1706" w:hanging="425"/>
      </w:pPr>
      <w:r>
        <w:t xml:space="preserve">the maintenance services </w:t>
      </w:r>
      <w:r w:rsidR="00BD1E1D">
        <w:t>do not modify the rights provided by the licence</w:t>
      </w:r>
      <w:r>
        <w:t>;</w:t>
      </w:r>
      <w:r w:rsidR="00BD1E1D">
        <w:t xml:space="preserve"> and</w:t>
      </w:r>
      <w:r w:rsidR="006930E6">
        <w:t xml:space="preserve"> </w:t>
      </w:r>
    </w:p>
    <w:p w:rsidR="00AE3C30" w:rsidRDefault="00AE3C30" w:rsidP="00597148">
      <w:pPr>
        <w:pStyle w:val="NumIEPlain3"/>
        <w:pBdr>
          <w:left w:val="single" w:sz="4" w:space="29" w:color="auto"/>
          <w:right w:val="single" w:sz="4" w:space="4" w:color="auto"/>
        </w:pBdr>
        <w:tabs>
          <w:tab w:val="clear" w:pos="1565"/>
          <w:tab w:val="num" w:pos="1843"/>
        </w:tabs>
        <w:ind w:left="1706" w:hanging="425"/>
      </w:pPr>
      <w:proofErr w:type="gramStart"/>
      <w:r>
        <w:t>the</w:t>
      </w:r>
      <w:proofErr w:type="gramEnd"/>
      <w:r>
        <w:t xml:space="preserve"> nature of Licensor’s promise is to transfer the maintenance services separately to the </w:t>
      </w:r>
      <w:r w:rsidR="00BD1E1D">
        <w:t xml:space="preserve">issue </w:t>
      </w:r>
      <w:r>
        <w:t xml:space="preserve">of the casino licence. </w:t>
      </w:r>
    </w:p>
    <w:p w:rsidR="00B676C6" w:rsidRDefault="00AE3C30" w:rsidP="00642E9E">
      <w:pPr>
        <w:pStyle w:val="IEText"/>
        <w:pBdr>
          <w:top w:val="none" w:sz="0" w:space="0" w:color="auto"/>
          <w:bottom w:val="single" w:sz="4" w:space="1" w:color="auto"/>
        </w:pBdr>
      </w:pPr>
      <w:r w:rsidRPr="00AE7DB9">
        <w:t xml:space="preserve">Licensor does not identify any </w:t>
      </w:r>
      <w:r>
        <w:t xml:space="preserve">remaining promises to transfer a </w:t>
      </w:r>
      <w:r w:rsidRPr="00AE7DB9">
        <w:t xml:space="preserve">good or service to </w:t>
      </w:r>
      <w:r>
        <w:t xml:space="preserve">Licensee </w:t>
      </w:r>
      <w:r w:rsidRPr="00AE7DB9">
        <w:t xml:space="preserve">in the </w:t>
      </w:r>
      <w:r>
        <w:t>arrangement</w:t>
      </w:r>
      <w:r w:rsidR="00B676C6">
        <w:t xml:space="preserve"> that are distinct from the licence and the maintenance services</w:t>
      </w:r>
      <w:r w:rsidR="00B676C6" w:rsidRPr="00AE7DB9">
        <w:t>.</w:t>
      </w:r>
    </w:p>
    <w:p w:rsidR="00642E9E" w:rsidRDefault="00642E9E" w:rsidP="00642E9E">
      <w:pPr>
        <w:pStyle w:val="IEText"/>
        <w:pBdr>
          <w:top w:val="none" w:sz="0" w:space="0" w:color="auto"/>
          <w:bottom w:val="single" w:sz="4" w:space="1" w:color="auto"/>
        </w:pBdr>
      </w:pPr>
    </w:p>
    <w:p w:rsidR="00405175" w:rsidRPr="00766E15" w:rsidRDefault="00405175" w:rsidP="00B73BFC">
      <w:pPr>
        <w:pStyle w:val="NumIEPlain1"/>
        <w:numPr>
          <w:ilvl w:val="0"/>
          <w:numId w:val="0"/>
        </w:numPr>
        <w:ind w:left="782" w:hanging="782"/>
        <w:sectPr w:rsidR="00405175" w:rsidRPr="00766E15" w:rsidSect="00801CE1">
          <w:footerReference w:type="default" r:id="rId23"/>
          <w:pgSz w:w="11907" w:h="16840" w:code="9"/>
          <w:pgMar w:top="1418" w:right="1418" w:bottom="1418" w:left="1418" w:header="709" w:footer="709" w:gutter="0"/>
          <w:paperSrc w:first="7" w:other="7"/>
          <w:cols w:space="720"/>
        </w:sectPr>
      </w:pPr>
    </w:p>
    <w:p w:rsidR="00DA41B8" w:rsidRPr="00766E15" w:rsidRDefault="00DA41B8" w:rsidP="005D0061">
      <w:pPr>
        <w:pStyle w:val="ConvSectionTitle"/>
        <w:jc w:val="both"/>
        <w:outlineLvl w:val="1"/>
      </w:pPr>
      <w:r w:rsidRPr="00766E15">
        <w:t>Basis for Conclusions</w:t>
      </w:r>
      <w:r w:rsidR="00B87D54" w:rsidRPr="00766E15">
        <w:t xml:space="preserve"> </w:t>
      </w:r>
    </w:p>
    <w:p w:rsidR="00DA41B8" w:rsidRPr="00766E15" w:rsidRDefault="00DA41B8" w:rsidP="00390622">
      <w:pPr>
        <w:pStyle w:val="AppendixNote"/>
        <w:spacing w:after="100"/>
      </w:pPr>
      <w:r w:rsidRPr="00766E15">
        <w:t xml:space="preserve">This Basis for Conclusions accompanies, but is not part of, </w:t>
      </w:r>
      <w:r w:rsidR="003C15D3">
        <w:t>AASB 2018-4</w:t>
      </w:r>
      <w:r w:rsidR="00456DFF">
        <w:rPr>
          <w:iCs w:val="0"/>
        </w:rPr>
        <w:t xml:space="preserve"> </w:t>
      </w:r>
      <w:r w:rsidR="00456DFF" w:rsidRPr="00F820F7">
        <w:rPr>
          <w:i w:val="0"/>
          <w:iCs w:val="0"/>
        </w:rPr>
        <w:t>Amendments to Australian Accounting Standards – Australian Implementation Guidance for Not-for-Profit Public Sector Licensors</w:t>
      </w:r>
      <w:r w:rsidRPr="00766E15">
        <w:t>.</w:t>
      </w:r>
    </w:p>
    <w:p w:rsidR="00FE5D30" w:rsidRPr="00766E15" w:rsidRDefault="00FE5D30" w:rsidP="005D0061">
      <w:pPr>
        <w:pStyle w:val="IASBSectionTitle1NonInd"/>
        <w:jc w:val="both"/>
        <w:outlineLvl w:val="2"/>
      </w:pPr>
      <w:r w:rsidRPr="00766E15">
        <w:t>Introduction</w:t>
      </w:r>
    </w:p>
    <w:p w:rsidR="00DA41B8" w:rsidRPr="00766E15" w:rsidRDefault="00DA41B8" w:rsidP="001C7D79">
      <w:pPr>
        <w:pStyle w:val="NumBC1"/>
        <w:numPr>
          <w:ilvl w:val="0"/>
          <w:numId w:val="32"/>
        </w:numPr>
        <w:spacing w:before="0"/>
      </w:pPr>
      <w:r w:rsidRPr="00766E15">
        <w:t xml:space="preserve">This Basis for Conclusions summarises the Australian Accounting Standards Board’s considerations in reaching the conclusions </w:t>
      </w:r>
      <w:r w:rsidR="00456DFF">
        <w:t>i</w:t>
      </w:r>
      <w:r w:rsidR="00656065" w:rsidRPr="00766E15">
        <w:t xml:space="preserve">n this </w:t>
      </w:r>
      <w:r w:rsidR="008C4380">
        <w:t>Standard</w:t>
      </w:r>
      <w:r w:rsidRPr="00766E15">
        <w:t xml:space="preserve">.  It sets out the reasons why the Board developed the </w:t>
      </w:r>
      <w:r w:rsidR="008C4380">
        <w:t>Standard</w:t>
      </w:r>
      <w:r w:rsidRPr="00766E15">
        <w:t xml:space="preserve">, the approach taken to developing the </w:t>
      </w:r>
      <w:r w:rsidR="008C4380">
        <w:t>Standard</w:t>
      </w:r>
      <w:r w:rsidRPr="00766E15">
        <w:t xml:space="preserve"> and the key decisions made.  In making decisions, individual Board members gave greater weight to some factors than to others. </w:t>
      </w:r>
    </w:p>
    <w:p w:rsidR="00B7661E" w:rsidRPr="00766E15" w:rsidRDefault="00B7661E" w:rsidP="005D0061">
      <w:pPr>
        <w:pStyle w:val="IASBSectionTitle1NonInd"/>
        <w:jc w:val="both"/>
        <w:outlineLvl w:val="2"/>
        <w:rPr>
          <w:iCs/>
        </w:rPr>
      </w:pPr>
      <w:r w:rsidRPr="00766E15">
        <w:t xml:space="preserve">Reasons for </w:t>
      </w:r>
      <w:r w:rsidR="002C5488">
        <w:t>issuing this Standard</w:t>
      </w:r>
    </w:p>
    <w:p w:rsidR="00B7536C" w:rsidRPr="00766E15" w:rsidRDefault="00173CDC" w:rsidP="001C7D79">
      <w:pPr>
        <w:pStyle w:val="NumBC1"/>
        <w:numPr>
          <w:ilvl w:val="0"/>
          <w:numId w:val="32"/>
        </w:numPr>
        <w:spacing w:before="0"/>
      </w:pPr>
      <w:r>
        <w:t>C</w:t>
      </w:r>
      <w:r w:rsidR="00B7536C" w:rsidRPr="00766E15">
        <w:t>onstituent</w:t>
      </w:r>
      <w:r w:rsidR="00DA5785">
        <w:t>s’</w:t>
      </w:r>
      <w:r w:rsidR="00B7536C" w:rsidRPr="00766E15">
        <w:t xml:space="preserve"> feedback</w:t>
      </w:r>
      <w:r>
        <w:t xml:space="preserve"> received during the AASB’s Service Concession Arrangements</w:t>
      </w:r>
      <w:r w:rsidR="00D0191F">
        <w:t>: Grantors</w:t>
      </w:r>
      <w:r>
        <w:t xml:space="preserve"> project</w:t>
      </w:r>
      <w:r w:rsidR="00B7536C" w:rsidRPr="00766E15">
        <w:t xml:space="preserve"> </w:t>
      </w:r>
      <w:r>
        <w:t>(which addressed some public sector licences)</w:t>
      </w:r>
      <w:r w:rsidR="00B7536C" w:rsidRPr="00766E15">
        <w:t xml:space="preserve"> </w:t>
      </w:r>
      <w:r>
        <w:t>identified</w:t>
      </w:r>
      <w:r w:rsidRPr="00766E15">
        <w:t xml:space="preserve"> </w:t>
      </w:r>
      <w:r w:rsidR="00B7536C" w:rsidRPr="00766E15">
        <w:t xml:space="preserve">there </w:t>
      </w:r>
      <w:r>
        <w:t>was</w:t>
      </w:r>
      <w:r w:rsidRPr="00766E15">
        <w:t xml:space="preserve"> </w:t>
      </w:r>
      <w:r w:rsidR="00B7536C" w:rsidRPr="00766E15">
        <w:t>a risk that revenue from licences issued by not-for-profit</w:t>
      </w:r>
      <w:r w:rsidR="00D0191F">
        <w:t xml:space="preserve"> (NFP)</w:t>
      </w:r>
      <w:r w:rsidR="00B7536C" w:rsidRPr="00766E15">
        <w:t xml:space="preserve"> public sector </w:t>
      </w:r>
      <w:r w:rsidR="00A82DD0">
        <w:t>licensors</w:t>
      </w:r>
      <w:r w:rsidR="00B7536C" w:rsidRPr="00766E15">
        <w:t xml:space="preserve"> </w:t>
      </w:r>
      <w:r>
        <w:t>could</w:t>
      </w:r>
      <w:r w:rsidRPr="00766E15">
        <w:t xml:space="preserve"> </w:t>
      </w:r>
      <w:r w:rsidR="00B7536C" w:rsidRPr="00766E15">
        <w:t xml:space="preserve">be </w:t>
      </w:r>
      <w:r w:rsidR="003F5F79">
        <w:t xml:space="preserve">materially </w:t>
      </w:r>
      <w:r w:rsidR="00B7536C" w:rsidRPr="00766E15">
        <w:t>understated (revenue is deferred when it should be recognised immediately) or overstated (revenue is recognised immediately when it should be recognised over time)</w:t>
      </w:r>
      <w:r>
        <w:t xml:space="preserve"> in the absence of guidance on how AASB </w:t>
      </w:r>
      <w:r w:rsidRPr="00766E15">
        <w:t xml:space="preserve">15 </w:t>
      </w:r>
      <w:r w:rsidRPr="006F1514">
        <w:rPr>
          <w:i/>
        </w:rPr>
        <w:t>Revenue from Contracts with Customers</w:t>
      </w:r>
      <w:r>
        <w:t xml:space="preserve"> applies.</w:t>
      </w:r>
    </w:p>
    <w:p w:rsidR="00B7661E" w:rsidRPr="00766E15" w:rsidRDefault="00291416" w:rsidP="001C7D79">
      <w:pPr>
        <w:pStyle w:val="NumBC1"/>
        <w:numPr>
          <w:ilvl w:val="0"/>
          <w:numId w:val="32"/>
        </w:numPr>
        <w:spacing w:before="0"/>
      </w:pPr>
      <w:r>
        <w:t>AASB </w:t>
      </w:r>
      <w:r w:rsidR="00B7661E" w:rsidRPr="00766E15">
        <w:t>15 provides specific guidance on accounting for revenue arising from the issuance of intellectual property (IP) licence</w:t>
      </w:r>
      <w:r w:rsidR="00F40D56">
        <w:t>s</w:t>
      </w:r>
      <w:r w:rsidR="00B7661E" w:rsidRPr="00766E15">
        <w:t xml:space="preserve">. However, as </w:t>
      </w:r>
      <w:r>
        <w:t>AASB </w:t>
      </w:r>
      <w:r w:rsidR="00B7661E" w:rsidRPr="00766E15">
        <w:t xml:space="preserve">15 is generally expressed from the perspective of for-profit entities in the private sector, the </w:t>
      </w:r>
      <w:r w:rsidR="003D4816">
        <w:t>Board </w:t>
      </w:r>
      <w:r w:rsidR="00B7661E" w:rsidRPr="00766E15">
        <w:t xml:space="preserve">received feedback that it is unclear whether the guidance in </w:t>
      </w:r>
      <w:r>
        <w:t>AASB </w:t>
      </w:r>
      <w:r w:rsidR="00B7661E" w:rsidRPr="00766E15">
        <w:t xml:space="preserve">15 could be applied to account for revenue from licences issued by not-for-profit public sector </w:t>
      </w:r>
      <w:r w:rsidR="00A82DD0">
        <w:t>licensors</w:t>
      </w:r>
      <w:r w:rsidR="00B7661E" w:rsidRPr="00766E15">
        <w:t xml:space="preserve">, particularly in the case of non-IP licences and </w:t>
      </w:r>
      <w:r w:rsidR="00571C8A" w:rsidRPr="00766E15">
        <w:t xml:space="preserve">non-contractual </w:t>
      </w:r>
      <w:r w:rsidR="00B7661E" w:rsidRPr="00766E15">
        <w:t>licences arising from statut</w:t>
      </w:r>
      <w:r w:rsidR="00696456">
        <w:t>ory</w:t>
      </w:r>
      <w:r w:rsidR="00B7661E" w:rsidRPr="00766E15">
        <w:t xml:space="preserve"> requirements.</w:t>
      </w:r>
    </w:p>
    <w:p w:rsidR="00B7661E" w:rsidRPr="00766E15" w:rsidRDefault="00D0191F" w:rsidP="001C7D79">
      <w:pPr>
        <w:pStyle w:val="NumBC1"/>
        <w:numPr>
          <w:ilvl w:val="0"/>
          <w:numId w:val="32"/>
        </w:numPr>
        <w:spacing w:before="0"/>
      </w:pPr>
      <w:bookmarkStart w:id="34" w:name="_Ref523830232"/>
      <w:r>
        <w:t>When</w:t>
      </w:r>
      <w:r w:rsidR="00173CDC">
        <w:t xml:space="preserve"> commencing this project</w:t>
      </w:r>
      <w:r>
        <w:t xml:space="preserve"> the Board</w:t>
      </w:r>
      <w:r w:rsidR="00B7661E" w:rsidRPr="00766E15">
        <w:t xml:space="preserve"> noted diversity in practice in relation to the accounting for revenue from licences, in particular non-IP licences (</w:t>
      </w:r>
      <w:proofErr w:type="spellStart"/>
      <w:r w:rsidR="00456DFF">
        <w:t>eg</w:t>
      </w:r>
      <w:proofErr w:type="spellEnd"/>
      <w:r w:rsidR="00B7661E" w:rsidRPr="00766E15">
        <w:t xml:space="preserve"> casino and gaming licences).  </w:t>
      </w:r>
      <w:r w:rsidR="00173CDC">
        <w:t>Later i</w:t>
      </w:r>
      <w:r w:rsidR="00443453">
        <w:t xml:space="preserve">nvestigation indicated that whilst the qualitative number of </w:t>
      </w:r>
      <w:r w:rsidR="00173CDC">
        <w:t xml:space="preserve">licence transactions is </w:t>
      </w:r>
      <w:r w:rsidR="00443453">
        <w:t xml:space="preserve">significant, the quantitative impact is </w:t>
      </w:r>
      <w:r w:rsidR="00173CDC">
        <w:t>unlikely to be significant to the public sector.</w:t>
      </w:r>
      <w:bookmarkEnd w:id="34"/>
    </w:p>
    <w:p w:rsidR="00B7661E" w:rsidRPr="00766E15" w:rsidRDefault="00B7661E" w:rsidP="001C7D79">
      <w:pPr>
        <w:pStyle w:val="NumBC1"/>
        <w:numPr>
          <w:ilvl w:val="0"/>
          <w:numId w:val="32"/>
        </w:numPr>
        <w:spacing w:before="0"/>
      </w:pPr>
      <w:r w:rsidRPr="00766E15">
        <w:t>The Board ha</w:t>
      </w:r>
      <w:r w:rsidR="00A42844">
        <w:t>d</w:t>
      </w:r>
      <w:r w:rsidRPr="00766E15">
        <w:t xml:space="preserve"> previously considered the accounting for revenue from licences </w:t>
      </w:r>
      <w:r w:rsidR="001A1066">
        <w:t>issued</w:t>
      </w:r>
      <w:r w:rsidRPr="00766E15">
        <w:t xml:space="preserve"> by not-for-profit public sector </w:t>
      </w:r>
      <w:r w:rsidR="00A82DD0">
        <w:t>licensors</w:t>
      </w:r>
      <w:r w:rsidRPr="00766E15">
        <w:t xml:space="preserve"> as part of its projects relating to:</w:t>
      </w:r>
    </w:p>
    <w:p w:rsidR="00B7661E" w:rsidRPr="00766E15" w:rsidRDefault="00D0191F" w:rsidP="001C7D79">
      <w:pPr>
        <w:pStyle w:val="NumBC1"/>
        <w:numPr>
          <w:ilvl w:val="1"/>
          <w:numId w:val="32"/>
        </w:numPr>
        <w:spacing w:before="0"/>
      </w:pPr>
      <w:r>
        <w:t xml:space="preserve">AASB 1059 </w:t>
      </w:r>
      <w:r w:rsidR="00B7661E" w:rsidRPr="00D0191F">
        <w:rPr>
          <w:i/>
        </w:rPr>
        <w:t>Service Concession Arrangements: Grantors</w:t>
      </w:r>
      <w:r w:rsidR="00027735">
        <w:t xml:space="preserve"> (see paragraphs </w:t>
      </w:r>
      <w:r w:rsidR="00027735">
        <w:fldChar w:fldCharType="begin"/>
      </w:r>
      <w:r w:rsidR="00027735">
        <w:instrText xml:space="preserve"> REF _Ref522627535 \r \h </w:instrText>
      </w:r>
      <w:r w:rsidR="00027735">
        <w:fldChar w:fldCharType="separate"/>
      </w:r>
      <w:r w:rsidR="00882B86">
        <w:t>BC38</w:t>
      </w:r>
      <w:r w:rsidR="00027735">
        <w:fldChar w:fldCharType="end"/>
      </w:r>
      <w:r w:rsidR="00BC24B5">
        <w:t>–</w:t>
      </w:r>
      <w:r w:rsidR="00027735">
        <w:fldChar w:fldCharType="begin"/>
      </w:r>
      <w:r w:rsidR="00027735">
        <w:instrText xml:space="preserve"> REF _Ref522627543 \r \h </w:instrText>
      </w:r>
      <w:r w:rsidR="00027735">
        <w:fldChar w:fldCharType="separate"/>
      </w:r>
      <w:r w:rsidR="00882B86">
        <w:t>BC39</w:t>
      </w:r>
      <w:r w:rsidR="00027735">
        <w:fldChar w:fldCharType="end"/>
      </w:r>
      <w:r w:rsidR="009D66AA">
        <w:t>)</w:t>
      </w:r>
      <w:r w:rsidR="00B7661E" w:rsidRPr="00766E15">
        <w:t>; and</w:t>
      </w:r>
    </w:p>
    <w:p w:rsidR="00B7661E" w:rsidRPr="00766E15" w:rsidRDefault="00D0191F" w:rsidP="001C7D79">
      <w:pPr>
        <w:pStyle w:val="NumBC1"/>
        <w:numPr>
          <w:ilvl w:val="1"/>
          <w:numId w:val="32"/>
        </w:numPr>
        <w:spacing w:before="0"/>
      </w:pPr>
      <w:r>
        <w:t xml:space="preserve">AASB 1058 </w:t>
      </w:r>
      <w:r w:rsidR="00B7661E" w:rsidRPr="00D0191F">
        <w:rPr>
          <w:i/>
        </w:rPr>
        <w:t>Income of Not-for-Profit Entities</w:t>
      </w:r>
      <w:r w:rsidR="009D66AA">
        <w:t xml:space="preserve"> (see paragraph </w:t>
      </w:r>
      <w:r w:rsidR="009D66AA">
        <w:fldChar w:fldCharType="begin"/>
      </w:r>
      <w:r w:rsidR="009D66AA">
        <w:instrText xml:space="preserve"> REF _Ref522627578 \r \h </w:instrText>
      </w:r>
      <w:r w:rsidR="009D66AA">
        <w:fldChar w:fldCharType="separate"/>
      </w:r>
      <w:r w:rsidR="00882B86">
        <w:t>BC40</w:t>
      </w:r>
      <w:r w:rsidR="009D66AA">
        <w:fldChar w:fldCharType="end"/>
      </w:r>
      <w:r w:rsidR="009D66AA">
        <w:t>)</w:t>
      </w:r>
      <w:r w:rsidR="00B7661E" w:rsidRPr="00766E15">
        <w:t>.</w:t>
      </w:r>
    </w:p>
    <w:p w:rsidR="00B7661E" w:rsidRPr="00766E15" w:rsidRDefault="00027735" w:rsidP="001C7D79">
      <w:pPr>
        <w:pStyle w:val="NumBC1"/>
        <w:numPr>
          <w:ilvl w:val="0"/>
          <w:numId w:val="32"/>
        </w:numPr>
        <w:spacing w:before="0"/>
      </w:pPr>
      <w:r>
        <w:t>I</w:t>
      </w:r>
      <w:r w:rsidR="00B7661E" w:rsidRPr="00766E15">
        <w:t xml:space="preserve">n both instances, the Board </w:t>
      </w:r>
      <w:r w:rsidR="00571C8A" w:rsidRPr="00766E15">
        <w:t xml:space="preserve">deferred </w:t>
      </w:r>
      <w:r w:rsidR="00B7661E" w:rsidRPr="00766E15">
        <w:t xml:space="preserve">its deliberations </w:t>
      </w:r>
      <w:r w:rsidR="00571C8A" w:rsidRPr="00766E15">
        <w:t xml:space="preserve">pending </w:t>
      </w:r>
      <w:r w:rsidR="00B7661E" w:rsidRPr="00766E15">
        <w:t xml:space="preserve">a specific project to research the extent to which these types of licences exist, as well as the current and potential accounting treatment. </w:t>
      </w:r>
    </w:p>
    <w:p w:rsidR="00B7661E" w:rsidRPr="00766E15" w:rsidRDefault="00B7661E" w:rsidP="001C7D79">
      <w:pPr>
        <w:pStyle w:val="NumBC1"/>
        <w:numPr>
          <w:ilvl w:val="0"/>
          <w:numId w:val="32"/>
        </w:numPr>
        <w:spacing w:before="0"/>
      </w:pPr>
      <w:r w:rsidRPr="00766E15">
        <w:t xml:space="preserve">Consequently, the Board decided to add to its 2017-2019 Work Program a project to clarify the accounting for revenue from licences </w:t>
      </w:r>
      <w:r w:rsidR="0095006A">
        <w:t xml:space="preserve">issued </w:t>
      </w:r>
      <w:r w:rsidRPr="00766E15">
        <w:t xml:space="preserve">by not-for-profit public sector </w:t>
      </w:r>
      <w:r w:rsidR="00A82DD0">
        <w:t>licensors</w:t>
      </w:r>
      <w:r w:rsidRPr="00766E15">
        <w:t>. The Board decided the project should address:</w:t>
      </w:r>
    </w:p>
    <w:p w:rsidR="00B7661E" w:rsidRPr="00766E15" w:rsidRDefault="00B7661E" w:rsidP="001C7D79">
      <w:pPr>
        <w:pStyle w:val="NumBC1"/>
        <w:numPr>
          <w:ilvl w:val="1"/>
          <w:numId w:val="32"/>
        </w:numPr>
        <w:spacing w:before="0"/>
      </w:pPr>
      <w:r w:rsidRPr="00766E15">
        <w:t xml:space="preserve">the nature of the right created by </w:t>
      </w:r>
      <w:r w:rsidR="00DF4A99">
        <w:t>a</w:t>
      </w:r>
      <w:r w:rsidRPr="00766E15">
        <w:t xml:space="preserve"> licence – whether the licence confers the right to use or access </w:t>
      </w:r>
      <w:r w:rsidR="00D769A1">
        <w:t>a licensor’s</w:t>
      </w:r>
      <w:r w:rsidRPr="00766E15">
        <w:t xml:space="preserve"> asset, or confers a right to perform an activity</w:t>
      </w:r>
      <w:r w:rsidR="003220F2" w:rsidRPr="00766E15">
        <w:t xml:space="preserve"> where there is no licensor asset involved</w:t>
      </w:r>
      <w:r w:rsidRPr="00766E15">
        <w:t>, and whether different accounting treatments for revenue from such licences are appropriate;</w:t>
      </w:r>
    </w:p>
    <w:p w:rsidR="00B7661E" w:rsidRPr="00766E15" w:rsidRDefault="00B7661E" w:rsidP="001C7D79">
      <w:pPr>
        <w:pStyle w:val="NumBC1"/>
        <w:numPr>
          <w:ilvl w:val="1"/>
          <w:numId w:val="32"/>
        </w:numPr>
        <w:spacing w:before="0"/>
      </w:pPr>
      <w:r w:rsidRPr="00766E15">
        <w:t xml:space="preserve">whether the scope of </w:t>
      </w:r>
      <w:r w:rsidR="00291416">
        <w:t>AASB </w:t>
      </w:r>
      <w:r w:rsidRPr="00766E15">
        <w:t xml:space="preserve">15 should be expanded to encompass </w:t>
      </w:r>
      <w:r w:rsidR="009743B6" w:rsidRPr="00766E15">
        <w:t xml:space="preserve">non-contractual </w:t>
      </w:r>
      <w:r w:rsidRPr="00766E15">
        <w:t xml:space="preserve">licences issued under statute and/or </w:t>
      </w:r>
      <w:r w:rsidR="00B95CE6">
        <w:t xml:space="preserve">non-IP </w:t>
      </w:r>
      <w:r w:rsidRPr="00766E15">
        <w:t>licen</w:t>
      </w:r>
      <w:r w:rsidR="00D0191F">
        <w:t>c</w:t>
      </w:r>
      <w:r w:rsidRPr="00766E15">
        <w:t>es; and</w:t>
      </w:r>
    </w:p>
    <w:p w:rsidR="00B7661E" w:rsidRDefault="00B7661E" w:rsidP="001C7D79">
      <w:pPr>
        <w:pStyle w:val="NumBC1"/>
        <w:numPr>
          <w:ilvl w:val="1"/>
          <w:numId w:val="32"/>
        </w:numPr>
        <w:spacing w:before="0"/>
      </w:pPr>
      <w:proofErr w:type="gramStart"/>
      <w:r w:rsidRPr="00766E15">
        <w:t>whether</w:t>
      </w:r>
      <w:proofErr w:type="gramEnd"/>
      <w:r w:rsidRPr="00766E15">
        <w:t xml:space="preserve"> the guidance in </w:t>
      </w:r>
      <w:r w:rsidR="00291416">
        <w:t>AASB </w:t>
      </w:r>
      <w:r w:rsidRPr="00766E15">
        <w:t xml:space="preserve">15 </w:t>
      </w:r>
      <w:r w:rsidR="009743B6" w:rsidRPr="00766E15">
        <w:t xml:space="preserve">specifically </w:t>
      </w:r>
      <w:r w:rsidRPr="00766E15">
        <w:t xml:space="preserve">for IP licences is appropriate for all licences issued </w:t>
      </w:r>
      <w:r w:rsidR="003F344D">
        <w:t xml:space="preserve">by not-for-profit </w:t>
      </w:r>
      <w:r w:rsidRPr="00766E15">
        <w:t>public sector</w:t>
      </w:r>
      <w:r w:rsidR="003F344D">
        <w:t xml:space="preserve"> entities</w:t>
      </w:r>
      <w:r w:rsidRPr="00766E15">
        <w:t>.</w:t>
      </w:r>
    </w:p>
    <w:p w:rsidR="006A2CF9" w:rsidRDefault="006A2CF9" w:rsidP="006A23B1">
      <w:pPr>
        <w:pStyle w:val="IASBSectionTitle1NonInd"/>
        <w:outlineLvl w:val="2"/>
      </w:pPr>
      <w:r>
        <w:t>Issu</w:t>
      </w:r>
      <w:r w:rsidR="00C839C0">
        <w:t>e of</w:t>
      </w:r>
      <w:r>
        <w:t xml:space="preserve"> </w:t>
      </w:r>
      <w:r w:rsidR="002B0889">
        <w:t>ED 283</w:t>
      </w:r>
      <w:r w:rsidR="007A0A92">
        <w:t xml:space="preserve"> </w:t>
      </w:r>
      <w:r w:rsidR="007A0A92" w:rsidRPr="007A0A92">
        <w:rPr>
          <w:i/>
        </w:rPr>
        <w:t>Amendments to Australian Accounting Standards – Australian Implementation Guidance for Not-for-Profit Public Sector Licensors</w:t>
      </w:r>
    </w:p>
    <w:p w:rsidR="006A2CF9" w:rsidRDefault="00C839C0" w:rsidP="001C7D79">
      <w:pPr>
        <w:pStyle w:val="NumBC1"/>
        <w:numPr>
          <w:ilvl w:val="0"/>
          <w:numId w:val="32"/>
        </w:numPr>
        <w:spacing w:before="0"/>
      </w:pPr>
      <w:r>
        <w:t>The Board’s proposals w</w:t>
      </w:r>
      <w:r w:rsidR="00142C08">
        <w:t xml:space="preserve">ere exposed for public comment in December 2017 as part of </w:t>
      </w:r>
      <w:r w:rsidR="002B0889">
        <w:t>ED 283</w:t>
      </w:r>
      <w:r w:rsidR="00142C08">
        <w:t xml:space="preserve"> </w:t>
      </w:r>
      <w:r w:rsidR="00142C08" w:rsidRPr="00276398">
        <w:rPr>
          <w:i/>
        </w:rPr>
        <w:t>Amendments to Australian Accounting Standards – Australian Implementation Guidance for Not-for-Profit Public Sector Licensors</w:t>
      </w:r>
      <w:r w:rsidR="00142C08" w:rsidRPr="00C910DA">
        <w:t>.</w:t>
      </w:r>
      <w:r w:rsidR="00142C08">
        <w:t xml:space="preserve"> In developing the proposals, the Board considered past research </w:t>
      </w:r>
      <w:r w:rsidR="00206787">
        <w:t xml:space="preserve">undertaken </w:t>
      </w:r>
      <w:r w:rsidR="00142C08">
        <w:t xml:space="preserve">as part of </w:t>
      </w:r>
      <w:r w:rsidR="00206787">
        <w:t>its</w:t>
      </w:r>
      <w:r w:rsidR="00142C08">
        <w:t xml:space="preserve"> </w:t>
      </w:r>
      <w:r w:rsidR="00D0191F">
        <w:t>AASB 1058 and AASB 1059 projects</w:t>
      </w:r>
      <w:r w:rsidR="00142C08">
        <w:t xml:space="preserve">, as well as a number of public </w:t>
      </w:r>
      <w:r w:rsidR="005B0603">
        <w:t xml:space="preserve">AASB meeting </w:t>
      </w:r>
      <w:r w:rsidR="00142C08">
        <w:t xml:space="preserve">Agenda Papers that considered the application of existing accounting Standards </w:t>
      </w:r>
      <w:r w:rsidR="00D0191F">
        <w:t xml:space="preserve">(see paragraphs </w:t>
      </w:r>
      <w:r w:rsidR="00D0191F">
        <w:fldChar w:fldCharType="begin"/>
      </w:r>
      <w:r w:rsidR="00D0191F">
        <w:instrText xml:space="preserve"> REF _Ref493519053 \r \h </w:instrText>
      </w:r>
      <w:r w:rsidR="00D0191F">
        <w:fldChar w:fldCharType="separate"/>
      </w:r>
      <w:r w:rsidR="00882B86">
        <w:t>BC31</w:t>
      </w:r>
      <w:r w:rsidR="00D0191F">
        <w:fldChar w:fldCharType="end"/>
      </w:r>
      <w:r w:rsidR="00BC24B5">
        <w:t>–</w:t>
      </w:r>
      <w:r w:rsidR="00D0191F">
        <w:fldChar w:fldCharType="begin"/>
      </w:r>
      <w:r w:rsidR="00D0191F">
        <w:instrText xml:space="preserve"> REF _Ref523157281 \r \h </w:instrText>
      </w:r>
      <w:r w:rsidR="00D0191F">
        <w:fldChar w:fldCharType="separate"/>
      </w:r>
      <w:r w:rsidR="00882B86">
        <w:t>BC52</w:t>
      </w:r>
      <w:r w:rsidR="00D0191F">
        <w:fldChar w:fldCharType="end"/>
      </w:r>
      <w:r w:rsidR="00D0191F">
        <w:t>)</w:t>
      </w:r>
      <w:r w:rsidR="00142C08">
        <w:t>. ED</w:t>
      </w:r>
      <w:r w:rsidR="007A0A92">
        <w:t> </w:t>
      </w:r>
      <w:r w:rsidR="00142C08">
        <w:t xml:space="preserve">283 proposed guidance </w:t>
      </w:r>
      <w:r w:rsidR="006613AD">
        <w:t xml:space="preserve">that would </w:t>
      </w:r>
      <w:r w:rsidR="00142C08">
        <w:t xml:space="preserve">clarify the application of AASB 15 to licences that did not fall within the scope of any other Australian Accounting Standard. </w:t>
      </w:r>
    </w:p>
    <w:p w:rsidR="00142C08" w:rsidRDefault="00142C08" w:rsidP="001C7D79">
      <w:pPr>
        <w:pStyle w:val="NumBC1"/>
        <w:numPr>
          <w:ilvl w:val="0"/>
          <w:numId w:val="32"/>
        </w:numPr>
        <w:spacing w:before="0"/>
      </w:pPr>
      <w:r>
        <w:t xml:space="preserve">Between </w:t>
      </w:r>
      <w:r w:rsidR="007A0A92">
        <w:t xml:space="preserve">issuing ED </w:t>
      </w:r>
      <w:r w:rsidR="00D0191F">
        <w:t xml:space="preserve">283 </w:t>
      </w:r>
      <w:r w:rsidR="007A0A92">
        <w:t>and finalising the Standard,</w:t>
      </w:r>
      <w:r>
        <w:t xml:space="preserve"> the Board held targeted outreach with key stakeholders in the NFP public sector, including state and national treasuries, audit offices</w:t>
      </w:r>
      <w:r w:rsidR="00172A98">
        <w:t>, accounting firms</w:t>
      </w:r>
      <w:r w:rsidR="00D0191F">
        <w:t xml:space="preserve">, </w:t>
      </w:r>
      <w:r w:rsidR="00172A98">
        <w:t>the Australian Bureau of Statistics</w:t>
      </w:r>
      <w:r w:rsidR="007A0A92">
        <w:t xml:space="preserve"> (ABS), credit rating agencies, </w:t>
      </w:r>
      <w:r w:rsidR="00D0191F">
        <w:t xml:space="preserve">and </w:t>
      </w:r>
      <w:r w:rsidR="007A0A92">
        <w:t>representatives of the Australasian Council of Public Accounts Committees (users of NFP public sector financial statements)</w:t>
      </w:r>
      <w:r>
        <w:t xml:space="preserve">. The ED proposals were also presented at various forums, workshops and discussion groups. </w:t>
      </w:r>
    </w:p>
    <w:p w:rsidR="00172A98" w:rsidRDefault="00172A98" w:rsidP="001C7D79">
      <w:pPr>
        <w:pStyle w:val="NumBC1"/>
        <w:numPr>
          <w:ilvl w:val="0"/>
          <w:numId w:val="32"/>
        </w:numPr>
        <w:spacing w:before="0"/>
      </w:pPr>
      <w:bookmarkStart w:id="35" w:name="_Ref522545105"/>
      <w:r>
        <w:t xml:space="preserve">The Board received feedback on its proposals through receipt of 8 formal comment letters on </w:t>
      </w:r>
      <w:r w:rsidR="002B0889">
        <w:t>ED 283</w:t>
      </w:r>
      <w:r>
        <w:t xml:space="preserve">. The Board also obtained feedback via means such as email, meetings with constituents and feedback from external presentations. The responses to </w:t>
      </w:r>
      <w:r w:rsidR="002B0889">
        <w:t>ED 283</w:t>
      </w:r>
      <w:r>
        <w:t xml:space="preserve"> </w:t>
      </w:r>
      <w:r w:rsidR="00F11B4E">
        <w:t>indicated that</w:t>
      </w:r>
      <w:r>
        <w:t>:</w:t>
      </w:r>
      <w:bookmarkEnd w:id="35"/>
    </w:p>
    <w:p w:rsidR="006A2CF9" w:rsidRDefault="00A36D1E" w:rsidP="001C7D79">
      <w:pPr>
        <w:pStyle w:val="NumBC1"/>
        <w:numPr>
          <w:ilvl w:val="1"/>
          <w:numId w:val="32"/>
        </w:numPr>
        <w:spacing w:before="0"/>
      </w:pPr>
      <w:proofErr w:type="gramStart"/>
      <w:r w:rsidRPr="00A36D1E">
        <w:t>the</w:t>
      </w:r>
      <w:proofErr w:type="gramEnd"/>
      <w:r w:rsidRPr="00A36D1E">
        <w:t xml:space="preserve"> majority of respondents agree</w:t>
      </w:r>
      <w:r>
        <w:t>d</w:t>
      </w:r>
      <w:r w:rsidRPr="00A36D1E">
        <w:t xml:space="preserve"> revenue from </w:t>
      </w:r>
      <w:r w:rsidR="00685351">
        <w:t xml:space="preserve">non-IP </w:t>
      </w:r>
      <w:r w:rsidRPr="00A36D1E">
        <w:t>licences should be accounted for in accordance with the general principles of AASB 15</w:t>
      </w:r>
      <w:r>
        <w:t xml:space="preserve"> (but not the </w:t>
      </w:r>
      <w:r w:rsidR="00C62695">
        <w:t xml:space="preserve">specific </w:t>
      </w:r>
      <w:r>
        <w:t>guidance provided for IP licences)</w:t>
      </w:r>
      <w:r w:rsidRPr="00A36D1E">
        <w:t xml:space="preserve">. However, despite support in principle, numerous respondents raised concern with the outcome of </w:t>
      </w:r>
      <w:r w:rsidR="00670031">
        <w:t>applying the principles in</w:t>
      </w:r>
      <w:r w:rsidRPr="00A36D1E">
        <w:t xml:space="preserve"> AASB 15, in particular for high-value long-term licences such as casino licences</w:t>
      </w:r>
      <w:r w:rsidR="00915E26">
        <w:t xml:space="preserve"> (discussed further in</w:t>
      </w:r>
      <w:r w:rsidR="00D0191F">
        <w:t xml:space="preserve"> </w:t>
      </w:r>
      <w:r w:rsidR="00D0191F">
        <w:fldChar w:fldCharType="begin"/>
      </w:r>
      <w:r w:rsidR="00D0191F">
        <w:instrText xml:space="preserve"> REF _Ref522692060 \r \h </w:instrText>
      </w:r>
      <w:r w:rsidR="00D0191F">
        <w:fldChar w:fldCharType="separate"/>
      </w:r>
      <w:r w:rsidR="00882B86">
        <w:t>BC84</w:t>
      </w:r>
      <w:r w:rsidR="00D0191F">
        <w:fldChar w:fldCharType="end"/>
      </w:r>
      <w:r w:rsidR="00915E26">
        <w:t>)</w:t>
      </w:r>
      <w:r w:rsidR="005148EC">
        <w:t>;</w:t>
      </w:r>
    </w:p>
    <w:p w:rsidR="00A36D1E" w:rsidRDefault="00A36D1E" w:rsidP="001C7D79">
      <w:pPr>
        <w:pStyle w:val="NumBC1"/>
        <w:numPr>
          <w:ilvl w:val="1"/>
          <w:numId w:val="32"/>
        </w:numPr>
        <w:spacing w:before="0"/>
      </w:pPr>
      <w:r w:rsidRPr="00A36D1E">
        <w:t>some respondents</w:t>
      </w:r>
      <w:r w:rsidR="007064F5">
        <w:t xml:space="preserve"> </w:t>
      </w:r>
      <w:r w:rsidR="00733A62">
        <w:t>sought</w:t>
      </w:r>
      <w:r w:rsidR="007064F5">
        <w:t xml:space="preserve"> clarification</w:t>
      </w:r>
      <w:r w:rsidR="000E1DAC">
        <w:t xml:space="preserve"> of the distinction between</w:t>
      </w:r>
      <w:r w:rsidR="007064F5">
        <w:t xml:space="preserve"> licences </w:t>
      </w:r>
      <w:r w:rsidR="000E1DAC">
        <w:t>and</w:t>
      </w:r>
      <w:r w:rsidR="007064F5">
        <w:t xml:space="preserve"> taxes, and</w:t>
      </w:r>
      <w:r w:rsidRPr="00A36D1E">
        <w:t xml:space="preserve"> recommend</w:t>
      </w:r>
      <w:r w:rsidR="007064F5">
        <w:t>ed</w:t>
      </w:r>
      <w:r w:rsidRPr="00A36D1E">
        <w:t xml:space="preserve"> aligning the distinction between a licence and tax more closely with the definitions of the</w:t>
      </w:r>
      <w:r w:rsidR="00944264">
        <w:t xml:space="preserve"> </w:t>
      </w:r>
      <w:r w:rsidR="00C0058F">
        <w:t>ABS</w:t>
      </w:r>
      <w:r w:rsidR="00944264">
        <w:t>’s</w:t>
      </w:r>
      <w:r w:rsidR="00C0058F">
        <w:t xml:space="preserve"> </w:t>
      </w:r>
      <w:r w:rsidRPr="00A36D1E">
        <w:t xml:space="preserve">Government Finance Statistics </w:t>
      </w:r>
      <w:r w:rsidR="00EB0750">
        <w:t xml:space="preserve">(GFS) </w:t>
      </w:r>
      <w:r w:rsidRPr="00A36D1E">
        <w:t>Manual to allow for the harmonisation of the two frameworks</w:t>
      </w:r>
      <w:r>
        <w:t>; and</w:t>
      </w:r>
    </w:p>
    <w:p w:rsidR="00A36D1E" w:rsidRDefault="00A36D1E" w:rsidP="001C7D79">
      <w:pPr>
        <w:pStyle w:val="NumBC1"/>
        <w:numPr>
          <w:ilvl w:val="1"/>
          <w:numId w:val="32"/>
        </w:numPr>
        <w:spacing w:before="0"/>
      </w:pPr>
      <w:proofErr w:type="gramStart"/>
      <w:r w:rsidRPr="00A36D1E">
        <w:t>some</w:t>
      </w:r>
      <w:proofErr w:type="gramEnd"/>
      <w:r w:rsidRPr="00A36D1E">
        <w:t xml:space="preserve"> respondents raised concerns with the proposal to allocate the transaction wholly to </w:t>
      </w:r>
      <w:r w:rsidR="00EB0750">
        <w:t>a</w:t>
      </w:r>
      <w:r w:rsidRPr="00A36D1E">
        <w:t xml:space="preserve"> promise to </w:t>
      </w:r>
      <w:r w:rsidR="0029666D">
        <w:t>issue a</w:t>
      </w:r>
      <w:r w:rsidRPr="00A36D1E">
        <w:t xml:space="preserve"> licence where the arrangement has a dual purpose of </w:t>
      </w:r>
      <w:r w:rsidR="0029666D">
        <w:t>issuing</w:t>
      </w:r>
      <w:r>
        <w:t xml:space="preserve"> a licence and imposing a tax. </w:t>
      </w:r>
      <w:r w:rsidRPr="00A36D1E">
        <w:t xml:space="preserve">The respondents </w:t>
      </w:r>
      <w:r>
        <w:t>were</w:t>
      </w:r>
      <w:r w:rsidRPr="00A36D1E">
        <w:t xml:space="preserve"> especially concerned with the practical consequences when having to account for </w:t>
      </w:r>
      <w:r w:rsidR="007A7028">
        <w:t>any</w:t>
      </w:r>
      <w:r w:rsidRPr="00A36D1E">
        <w:t xml:space="preserve"> variable consideration, noting that it is possible for an arrangement to demonstrate both elements of licensing and taxation</w:t>
      </w:r>
      <w:r w:rsidR="007064F5">
        <w:t>.</w:t>
      </w:r>
    </w:p>
    <w:p w:rsidR="007064F5" w:rsidRDefault="007064F5" w:rsidP="001C7D79">
      <w:pPr>
        <w:pStyle w:val="NumBC1"/>
        <w:numPr>
          <w:ilvl w:val="0"/>
          <w:numId w:val="32"/>
        </w:numPr>
        <w:spacing w:before="0"/>
      </w:pPr>
      <w:r>
        <w:t>The Board considered the</w:t>
      </w:r>
      <w:r w:rsidR="001D7FD3">
        <w:t>se</w:t>
      </w:r>
      <w:r>
        <w:t xml:space="preserve"> issues as well as a range of other issues identified by constituents in developing this Standard following the </w:t>
      </w:r>
      <w:r w:rsidR="002B0889">
        <w:t>ED 283</w:t>
      </w:r>
      <w:r>
        <w:t xml:space="preserve"> exposure process. </w:t>
      </w:r>
    </w:p>
    <w:p w:rsidR="00AE3C30" w:rsidRDefault="00AE3C30" w:rsidP="001C7D79">
      <w:pPr>
        <w:pStyle w:val="NumBC1"/>
        <w:numPr>
          <w:ilvl w:val="0"/>
          <w:numId w:val="32"/>
        </w:numPr>
        <w:spacing w:before="0"/>
      </w:pPr>
      <w:r>
        <w:t xml:space="preserve">In May, June and August 2018, the Board considered issues papers and draft wording for paragraphs of the Standard which were published as Board agenda papers for the public. This gave constituents the opportunity to follow the debate and to provide comments on the issues and drafting contemporaneously. </w:t>
      </w:r>
    </w:p>
    <w:p w:rsidR="00AE3C30" w:rsidRDefault="00AE3C30" w:rsidP="001C7D79">
      <w:pPr>
        <w:pStyle w:val="NumBC1"/>
        <w:numPr>
          <w:ilvl w:val="0"/>
          <w:numId w:val="32"/>
        </w:numPr>
        <w:spacing w:before="0"/>
      </w:pPr>
      <w:r>
        <w:t>In August 2018 the Board decided to finalise its decisions to address issues raised by constituent in the form of a Pre-Ballot Draft of the Standard. The Board felt it unnecessary to issue a fatal-flaw version of the Standard in light of the Board deciding not to make any major changes to the proposals in ED 283. Instead, the Board decided that the final Standard would provide clarifi</w:t>
      </w:r>
      <w:r w:rsidR="00120737">
        <w:t xml:space="preserve">cation </w:t>
      </w:r>
      <w:r>
        <w:t xml:space="preserve">and additional guidance and examples to assist NFP public sector licensors distinguish licences from taxes (and other arrangements within the scope of other Standards), and how the principles of AASB 15 </w:t>
      </w:r>
      <w:r w:rsidR="00120737">
        <w:t xml:space="preserve">would apply </w:t>
      </w:r>
      <w:r>
        <w:t>to non-IP licences.</w:t>
      </w:r>
    </w:p>
    <w:p w:rsidR="00CE1E51" w:rsidRPr="00766E15" w:rsidRDefault="00CE1E51" w:rsidP="005D0061">
      <w:pPr>
        <w:pStyle w:val="IASBSectionTitle1NonInd"/>
        <w:jc w:val="both"/>
        <w:outlineLvl w:val="2"/>
      </w:pPr>
      <w:r w:rsidRPr="00766E15">
        <w:t>Scope</w:t>
      </w:r>
    </w:p>
    <w:p w:rsidR="00DC3577" w:rsidRDefault="00CE1E51" w:rsidP="001C7D79">
      <w:pPr>
        <w:pStyle w:val="NumBC1"/>
        <w:numPr>
          <w:ilvl w:val="0"/>
          <w:numId w:val="32"/>
        </w:numPr>
        <w:spacing w:before="0"/>
      </w:pPr>
      <w:r w:rsidRPr="00766E15">
        <w:t xml:space="preserve">The Board </w:t>
      </w:r>
      <w:r w:rsidR="00B12395">
        <w:t>decided</w:t>
      </w:r>
      <w:r w:rsidRPr="00766E15">
        <w:t xml:space="preserve"> the scope of the amendments to </w:t>
      </w:r>
      <w:r w:rsidR="00291416">
        <w:t>AASB </w:t>
      </w:r>
      <w:r w:rsidRPr="00766E15">
        <w:t xml:space="preserve">15 </w:t>
      </w:r>
      <w:r w:rsidR="002C70EF">
        <w:t xml:space="preserve">effected through this Standard </w:t>
      </w:r>
      <w:r w:rsidRPr="00766E15">
        <w:t xml:space="preserve">should be restricted to </w:t>
      </w:r>
      <w:r w:rsidR="00540E91">
        <w:t>NFP</w:t>
      </w:r>
      <w:r w:rsidRPr="00766E15">
        <w:t xml:space="preserve"> public sector </w:t>
      </w:r>
      <w:r w:rsidR="00A82DD0">
        <w:t>licensors</w:t>
      </w:r>
      <w:r w:rsidRPr="00766E15">
        <w:t xml:space="preserve">.  </w:t>
      </w:r>
      <w:r w:rsidR="00DC3577">
        <w:t>T</w:t>
      </w:r>
      <w:r w:rsidRPr="00766E15">
        <w:t xml:space="preserve">he Board </w:t>
      </w:r>
      <w:r w:rsidR="00DC3577">
        <w:t xml:space="preserve"> identified a small number of non-IP </w:t>
      </w:r>
      <w:r w:rsidRPr="00766E15">
        <w:t>licences issued by for-profit public sector entities</w:t>
      </w:r>
      <w:r w:rsidR="00DC3577">
        <w:t>, however</w:t>
      </w:r>
      <w:r w:rsidR="00F81B84">
        <w:t xml:space="preserve"> </w:t>
      </w:r>
      <w:r w:rsidR="003A69B4">
        <w:t>consistent with</w:t>
      </w:r>
      <w:r w:rsidR="00F81B84">
        <w:t xml:space="preserve"> </w:t>
      </w:r>
      <w:r w:rsidR="00F81B84" w:rsidRPr="003D4816">
        <w:rPr>
          <w:i/>
        </w:rPr>
        <w:t>The AASB’s For-</w:t>
      </w:r>
      <w:r w:rsidR="00CA599F" w:rsidRPr="003D4816">
        <w:rPr>
          <w:i/>
        </w:rPr>
        <w:t>Profit Entity Standard-Setting Framework</w:t>
      </w:r>
      <w:r w:rsidR="00DC3577">
        <w:t xml:space="preserve"> the Board decided not to expand the scope of the guidance as:</w:t>
      </w:r>
    </w:p>
    <w:p w:rsidR="00C60F0B" w:rsidRDefault="00DC3577" w:rsidP="001C7D79">
      <w:pPr>
        <w:pStyle w:val="NumBC1"/>
        <w:numPr>
          <w:ilvl w:val="1"/>
          <w:numId w:val="32"/>
        </w:numPr>
        <w:spacing w:before="0"/>
      </w:pPr>
      <w:r>
        <w:t xml:space="preserve">the </w:t>
      </w:r>
      <w:r w:rsidR="00C60F0B">
        <w:t>prevalence and magnitude</w:t>
      </w:r>
      <w:r w:rsidR="00CA599F">
        <w:t xml:space="preserve"> of the transactions in the for-profit public sector </w:t>
      </w:r>
      <w:r w:rsidR="00F751F8">
        <w:t>are</w:t>
      </w:r>
      <w:r w:rsidR="00C60F0B">
        <w:t xml:space="preserve"> not such that users would be likely to make inappropriate decisions based on the financial statements</w:t>
      </w:r>
      <w:r w:rsidR="00F548BB">
        <w:t xml:space="preserve"> prepared without regard to the guidance in this Standard</w:t>
      </w:r>
      <w:r w:rsidR="00C60F0B">
        <w:t>; and</w:t>
      </w:r>
    </w:p>
    <w:p w:rsidR="00CE1E51" w:rsidRPr="00766E15" w:rsidRDefault="00854D72" w:rsidP="001C7D79">
      <w:pPr>
        <w:pStyle w:val="NumBC1"/>
        <w:numPr>
          <w:ilvl w:val="1"/>
          <w:numId w:val="32"/>
        </w:numPr>
        <w:spacing w:before="0"/>
      </w:pPr>
      <w:proofErr w:type="gramStart"/>
      <w:r>
        <w:t>in</w:t>
      </w:r>
      <w:proofErr w:type="gramEnd"/>
      <w:r>
        <w:t xml:space="preserve"> light of </w:t>
      </w:r>
      <w:r w:rsidR="00C60F0B">
        <w:t xml:space="preserve">the </w:t>
      </w:r>
      <w:r>
        <w:t xml:space="preserve">above, </w:t>
      </w:r>
      <w:r w:rsidR="003A69B4">
        <w:t xml:space="preserve">the </w:t>
      </w:r>
      <w:r w:rsidR="00C60F0B">
        <w:t xml:space="preserve">Board preferred to not </w:t>
      </w:r>
      <w:r w:rsidR="00E523BA">
        <w:t xml:space="preserve">risk </w:t>
      </w:r>
      <w:r w:rsidR="00C60F0B">
        <w:t>preclud</w:t>
      </w:r>
      <w:r w:rsidR="00E523BA">
        <w:t>ing</w:t>
      </w:r>
      <w:r w:rsidR="00C60F0B">
        <w:t xml:space="preserve"> for-profit public sector entities from being able to claim IFRS compliance.</w:t>
      </w:r>
      <w:r w:rsidR="00CE1E51" w:rsidRPr="00766E15">
        <w:t xml:space="preserve"> </w:t>
      </w:r>
    </w:p>
    <w:p w:rsidR="00CE1E51" w:rsidRPr="00766E15" w:rsidRDefault="00CE1E51" w:rsidP="001C7D79">
      <w:pPr>
        <w:pStyle w:val="NumBC1"/>
        <w:numPr>
          <w:ilvl w:val="0"/>
          <w:numId w:val="32"/>
        </w:numPr>
        <w:spacing w:before="0"/>
      </w:pPr>
      <w:r w:rsidRPr="00766E15">
        <w:t xml:space="preserve">The Board noted that its decision regarding </w:t>
      </w:r>
      <w:r w:rsidR="00AE5AFF">
        <w:t>to apply</w:t>
      </w:r>
      <w:r w:rsidRPr="00766E15">
        <w:t xml:space="preserve"> </w:t>
      </w:r>
      <w:r w:rsidR="00291416" w:rsidRPr="00AE3C30">
        <w:t>AASB </w:t>
      </w:r>
      <w:r w:rsidR="00456DFF" w:rsidRPr="00AE3C30">
        <w:t xml:space="preserve">1059 </w:t>
      </w:r>
      <w:r w:rsidR="00243E6C">
        <w:t>to</w:t>
      </w:r>
      <w:r w:rsidR="00243E6C" w:rsidRPr="00766E15">
        <w:t xml:space="preserve"> </w:t>
      </w:r>
      <w:r w:rsidRPr="00766E15">
        <w:t>all public sector entities</w:t>
      </w:r>
      <w:r w:rsidR="00D16196">
        <w:t xml:space="preserve"> including for-profit </w:t>
      </w:r>
      <w:r w:rsidR="00463652">
        <w:t>entities</w:t>
      </w:r>
      <w:r w:rsidRPr="00766E15">
        <w:t xml:space="preserve"> </w:t>
      </w:r>
      <w:r w:rsidR="00243E6C" w:rsidRPr="00766E15">
        <w:t>w</w:t>
      </w:r>
      <w:r w:rsidR="00243E6C">
        <w:t>as</w:t>
      </w:r>
      <w:r w:rsidR="00243E6C" w:rsidRPr="00766E15">
        <w:t xml:space="preserve"> </w:t>
      </w:r>
      <w:r w:rsidRPr="00766E15">
        <w:t xml:space="preserve">the result of </w:t>
      </w:r>
      <w:r w:rsidR="00243E6C">
        <w:t xml:space="preserve">a </w:t>
      </w:r>
      <w:r w:rsidRPr="00766E15">
        <w:t xml:space="preserve">decision made specifically in </w:t>
      </w:r>
      <w:r w:rsidR="00463652">
        <w:t>the context of</w:t>
      </w:r>
      <w:r w:rsidRPr="00766E15">
        <w:t xml:space="preserve"> that project.</w:t>
      </w:r>
    </w:p>
    <w:p w:rsidR="00B7661E" w:rsidRPr="00766E15" w:rsidRDefault="00B7661E" w:rsidP="005D0061">
      <w:pPr>
        <w:pStyle w:val="IASBSectionTitle1NonInd"/>
        <w:jc w:val="both"/>
        <w:outlineLvl w:val="2"/>
      </w:pPr>
      <w:r w:rsidRPr="00766E15">
        <w:t>Features of licences</w:t>
      </w:r>
    </w:p>
    <w:p w:rsidR="00B7661E" w:rsidRPr="00CF25BE" w:rsidRDefault="006F65FA" w:rsidP="001C7D79">
      <w:pPr>
        <w:pStyle w:val="NumBC1"/>
        <w:numPr>
          <w:ilvl w:val="0"/>
          <w:numId w:val="32"/>
        </w:numPr>
        <w:spacing w:before="0"/>
      </w:pPr>
      <w:r>
        <w:rPr>
          <w:szCs w:val="19"/>
        </w:rPr>
        <w:t xml:space="preserve">The </w:t>
      </w:r>
      <w:r w:rsidR="00BC68FF">
        <w:rPr>
          <w:szCs w:val="19"/>
        </w:rPr>
        <w:t>Board</w:t>
      </w:r>
      <w:r>
        <w:rPr>
          <w:szCs w:val="19"/>
        </w:rPr>
        <w:t xml:space="preserve"> noted that </w:t>
      </w:r>
      <w:r w:rsidR="00291416">
        <w:rPr>
          <w:szCs w:val="19"/>
        </w:rPr>
        <w:t>AASB </w:t>
      </w:r>
      <w:r w:rsidR="00B7661E" w:rsidRPr="00766E15">
        <w:rPr>
          <w:szCs w:val="19"/>
        </w:rPr>
        <w:t xml:space="preserve">15 provides some examples of IP licences but none of the </w:t>
      </w:r>
      <w:r w:rsidR="003D4816">
        <w:rPr>
          <w:szCs w:val="19"/>
        </w:rPr>
        <w:t>Australian Accounting Standards</w:t>
      </w:r>
      <w:r w:rsidR="00B7661E" w:rsidRPr="00766E15">
        <w:rPr>
          <w:szCs w:val="19"/>
        </w:rPr>
        <w:t xml:space="preserve"> (including </w:t>
      </w:r>
      <w:r w:rsidR="00291416">
        <w:rPr>
          <w:szCs w:val="19"/>
        </w:rPr>
        <w:t>AASB </w:t>
      </w:r>
      <w:r w:rsidR="00B7661E" w:rsidRPr="00766E15">
        <w:rPr>
          <w:szCs w:val="19"/>
        </w:rPr>
        <w:t xml:space="preserve">15) describe what a licence is. The Board considered that it would be helpful for </w:t>
      </w:r>
      <w:r w:rsidR="00A82DD0">
        <w:rPr>
          <w:szCs w:val="19"/>
        </w:rPr>
        <w:t>licensors</w:t>
      </w:r>
      <w:r w:rsidR="00B7661E" w:rsidRPr="00766E15">
        <w:rPr>
          <w:szCs w:val="19"/>
        </w:rPr>
        <w:t xml:space="preserve"> in the </w:t>
      </w:r>
      <w:r w:rsidR="00540E91">
        <w:rPr>
          <w:szCs w:val="19"/>
        </w:rPr>
        <w:t>NFP</w:t>
      </w:r>
      <w:r w:rsidR="00B7661E" w:rsidRPr="00766E15">
        <w:rPr>
          <w:szCs w:val="19"/>
        </w:rPr>
        <w:t xml:space="preserve"> public sector </w:t>
      </w:r>
      <w:r w:rsidR="009743B6" w:rsidRPr="00766E15">
        <w:rPr>
          <w:szCs w:val="19"/>
        </w:rPr>
        <w:t xml:space="preserve">for the Board </w:t>
      </w:r>
      <w:r w:rsidR="00B7661E" w:rsidRPr="00766E15">
        <w:rPr>
          <w:szCs w:val="19"/>
        </w:rPr>
        <w:t xml:space="preserve">to provide guidance in the Standard on identifying the features of a licence. This would help distinguish revenue </w:t>
      </w:r>
      <w:r w:rsidR="009743B6" w:rsidRPr="00766E15">
        <w:rPr>
          <w:szCs w:val="19"/>
        </w:rPr>
        <w:t xml:space="preserve">arising </w:t>
      </w:r>
      <w:r w:rsidR="00B7661E" w:rsidRPr="00766E15">
        <w:rPr>
          <w:szCs w:val="19"/>
        </w:rPr>
        <w:t>from licences, accounted for in accordance with this Standard</w:t>
      </w:r>
      <w:r w:rsidR="009743B6" w:rsidRPr="00766E15">
        <w:rPr>
          <w:szCs w:val="19"/>
        </w:rPr>
        <w:t>,</w:t>
      </w:r>
      <w:r w:rsidR="00B7661E" w:rsidRPr="00766E15">
        <w:rPr>
          <w:szCs w:val="19"/>
        </w:rPr>
        <w:t xml:space="preserve"> and revenue </w:t>
      </w:r>
      <w:r w:rsidR="009743B6" w:rsidRPr="00766E15">
        <w:rPr>
          <w:szCs w:val="19"/>
        </w:rPr>
        <w:t xml:space="preserve">arising </w:t>
      </w:r>
      <w:r w:rsidR="00B7661E" w:rsidRPr="00766E15">
        <w:rPr>
          <w:szCs w:val="19"/>
        </w:rPr>
        <w:t xml:space="preserve">from taxes, accounted for in accordance with </w:t>
      </w:r>
      <w:r w:rsidR="00291416">
        <w:rPr>
          <w:szCs w:val="19"/>
        </w:rPr>
        <w:t>AASB </w:t>
      </w:r>
      <w:r w:rsidR="00B7661E" w:rsidRPr="00766E15">
        <w:rPr>
          <w:szCs w:val="19"/>
        </w:rPr>
        <w:t>1058.</w:t>
      </w:r>
    </w:p>
    <w:p w:rsidR="00B7661E" w:rsidRPr="00766E15" w:rsidRDefault="00B7661E" w:rsidP="001C7D79">
      <w:pPr>
        <w:pStyle w:val="NumBC1"/>
        <w:numPr>
          <w:ilvl w:val="0"/>
          <w:numId w:val="32"/>
        </w:numPr>
        <w:spacing w:before="0"/>
      </w:pPr>
      <w:r w:rsidRPr="00766E15">
        <w:rPr>
          <w:szCs w:val="19"/>
        </w:rPr>
        <w:t xml:space="preserve">In identifying the features of a licence, </w:t>
      </w:r>
      <w:r w:rsidRPr="00766E15">
        <w:t>the Board considered:</w:t>
      </w:r>
    </w:p>
    <w:p w:rsidR="00B7661E" w:rsidRPr="00766E15" w:rsidRDefault="00D549CC" w:rsidP="001C7D79">
      <w:pPr>
        <w:pStyle w:val="NumBC1"/>
        <w:numPr>
          <w:ilvl w:val="1"/>
          <w:numId w:val="32"/>
        </w:numPr>
        <w:spacing w:before="0"/>
      </w:pPr>
      <w:r>
        <w:t>t</w:t>
      </w:r>
      <w:r w:rsidR="00B7661E" w:rsidRPr="00766E15">
        <w:t xml:space="preserve">he extent to which current Australian Accounting Standards define or infer features of licences, in particular </w:t>
      </w:r>
      <w:r w:rsidR="00291416">
        <w:t>AASB </w:t>
      </w:r>
      <w:r w:rsidR="00B7661E" w:rsidRPr="00766E15">
        <w:t>1058;</w:t>
      </w:r>
    </w:p>
    <w:p w:rsidR="00B7661E" w:rsidRPr="00766E15" w:rsidRDefault="00D549CC" w:rsidP="001C7D79">
      <w:pPr>
        <w:pStyle w:val="NumBC1"/>
        <w:numPr>
          <w:ilvl w:val="1"/>
          <w:numId w:val="32"/>
        </w:numPr>
        <w:spacing w:before="0"/>
      </w:pPr>
      <w:r>
        <w:t>t</w:t>
      </w:r>
      <w:r w:rsidR="00B7661E" w:rsidRPr="00766E15">
        <w:t xml:space="preserve">he </w:t>
      </w:r>
      <w:r w:rsidR="00E460D9">
        <w:t xml:space="preserve">features of a licence considered by </w:t>
      </w:r>
      <w:r w:rsidR="00B7661E" w:rsidRPr="00766E15">
        <w:t>the International Public Sector Accounting Standards Board (IPSASB) in its projects; and</w:t>
      </w:r>
    </w:p>
    <w:p w:rsidR="00CF25BE" w:rsidRPr="00766E15" w:rsidRDefault="00D549CC" w:rsidP="001C7D79">
      <w:pPr>
        <w:pStyle w:val="NumBC1"/>
        <w:numPr>
          <w:ilvl w:val="1"/>
          <w:numId w:val="32"/>
        </w:numPr>
        <w:spacing w:before="0"/>
      </w:pPr>
      <w:proofErr w:type="gramStart"/>
      <w:r>
        <w:t>o</w:t>
      </w:r>
      <w:r w:rsidR="00B7661E" w:rsidRPr="00766E15">
        <w:t>ther</w:t>
      </w:r>
      <w:proofErr w:type="gramEnd"/>
      <w:r w:rsidR="00B7661E" w:rsidRPr="00766E15">
        <w:t xml:space="preserve"> resources, including the ABS</w:t>
      </w:r>
      <w:r w:rsidR="00E460D9">
        <w:t xml:space="preserve"> </w:t>
      </w:r>
      <w:r w:rsidR="00B7661E" w:rsidRPr="00766E15">
        <w:t xml:space="preserve">GFS Manual, commonly accepted definitions, law and other common features of licences issued by </w:t>
      </w:r>
      <w:r w:rsidR="00540E91">
        <w:t>NFP</w:t>
      </w:r>
      <w:r w:rsidR="00B7661E" w:rsidRPr="00766E15">
        <w:t xml:space="preserve"> public sector </w:t>
      </w:r>
      <w:r w:rsidR="00A82DD0">
        <w:t>licensors</w:t>
      </w:r>
      <w:r w:rsidR="00B7661E" w:rsidRPr="00766E15">
        <w:t>.</w:t>
      </w:r>
    </w:p>
    <w:p w:rsidR="00B7661E" w:rsidRPr="00B136C6" w:rsidRDefault="00291416" w:rsidP="006A23B1">
      <w:pPr>
        <w:pStyle w:val="IASBSectionTitle2Ind"/>
        <w:outlineLvl w:val="3"/>
      </w:pPr>
      <w:r>
        <w:t>AASB </w:t>
      </w:r>
      <w:r w:rsidR="00B7661E" w:rsidRPr="00766E15">
        <w:t>1058</w:t>
      </w:r>
      <w:r w:rsidR="000A5D11">
        <w:t xml:space="preserve"> </w:t>
      </w:r>
      <w:r w:rsidR="000A5D11" w:rsidRPr="000A5D11">
        <w:rPr>
          <w:i/>
        </w:rPr>
        <w:t xml:space="preserve">Income of </w:t>
      </w:r>
      <w:r w:rsidR="00540E91">
        <w:rPr>
          <w:i/>
        </w:rPr>
        <w:t>N</w:t>
      </w:r>
      <w:r w:rsidR="00685351">
        <w:rPr>
          <w:i/>
        </w:rPr>
        <w:t>ot-</w:t>
      </w:r>
      <w:r w:rsidR="00540E91">
        <w:rPr>
          <w:i/>
        </w:rPr>
        <w:t>F</w:t>
      </w:r>
      <w:r w:rsidR="00685351">
        <w:rPr>
          <w:i/>
        </w:rPr>
        <w:t>or-</w:t>
      </w:r>
      <w:r w:rsidR="00540E91">
        <w:rPr>
          <w:i/>
        </w:rPr>
        <w:t>P</w:t>
      </w:r>
      <w:r w:rsidR="00685351">
        <w:rPr>
          <w:i/>
        </w:rPr>
        <w:t>rofit</w:t>
      </w:r>
      <w:r w:rsidR="000A5D11" w:rsidRPr="000A5D11">
        <w:rPr>
          <w:i/>
        </w:rPr>
        <w:t xml:space="preserve"> Entities</w:t>
      </w:r>
      <w:r w:rsidR="00B136C6">
        <w:t xml:space="preserve">: </w:t>
      </w:r>
      <w:r w:rsidR="00FF74BB">
        <w:t>distinguishing a licence from a tax</w:t>
      </w:r>
    </w:p>
    <w:p w:rsidR="00B7661E" w:rsidRPr="00766E15" w:rsidRDefault="00B7661E" w:rsidP="001C7D79">
      <w:pPr>
        <w:pStyle w:val="NumBC1"/>
        <w:numPr>
          <w:ilvl w:val="0"/>
          <w:numId w:val="32"/>
        </w:numPr>
        <w:spacing w:before="0"/>
      </w:pPr>
      <w:bookmarkStart w:id="36" w:name="_Ref493058327"/>
      <w:r w:rsidRPr="00766E15">
        <w:t xml:space="preserve">The Board noted that </w:t>
      </w:r>
      <w:r w:rsidR="00291416">
        <w:t>AASB </w:t>
      </w:r>
      <w:r w:rsidRPr="00766E15">
        <w:t xml:space="preserve">1058 defines and prescribes the accounting for taxes. Although </w:t>
      </w:r>
      <w:r w:rsidR="00291416">
        <w:t>AASB </w:t>
      </w:r>
      <w:r w:rsidRPr="00766E15">
        <w:t>1058 uses the term ‘licence’, it is not defined</w:t>
      </w:r>
      <w:r w:rsidR="0062289B">
        <w:t xml:space="preserve">, </w:t>
      </w:r>
      <w:r w:rsidR="00A90EB7">
        <w:t>but</w:t>
      </w:r>
      <w:r w:rsidR="00D02781">
        <w:t xml:space="preserve"> </w:t>
      </w:r>
      <w:r w:rsidR="0062289B">
        <w:t>the inference is that</w:t>
      </w:r>
      <w:r w:rsidR="00EF6375">
        <w:t xml:space="preserve"> </w:t>
      </w:r>
      <w:r w:rsidRPr="00766E15">
        <w:t xml:space="preserve">licences and taxes </w:t>
      </w:r>
      <w:r w:rsidR="00EF6375">
        <w:t>are different in nature</w:t>
      </w:r>
      <w:r w:rsidR="00A90EB7">
        <w:t>.</w:t>
      </w:r>
      <w:r w:rsidRPr="00766E15">
        <w:t xml:space="preserve"> </w:t>
      </w:r>
      <w:r w:rsidR="00706328">
        <w:t xml:space="preserve">Therefore, </w:t>
      </w:r>
      <w:r w:rsidRPr="00766E15">
        <w:t xml:space="preserve">the distinction between licences and taxes </w:t>
      </w:r>
      <w:r w:rsidR="00706328">
        <w:t>sh</w:t>
      </w:r>
      <w:r w:rsidRPr="00766E15">
        <w:t xml:space="preserve">ould, as a starting point, be drawn from the </w:t>
      </w:r>
      <w:r w:rsidR="00291416">
        <w:t>AASB </w:t>
      </w:r>
      <w:r w:rsidRPr="00766E15">
        <w:t xml:space="preserve">1058 definition of ‘taxes’, </w:t>
      </w:r>
      <w:r w:rsidR="009743B6" w:rsidRPr="00766E15">
        <w:t>which is</w:t>
      </w:r>
      <w:r w:rsidRPr="00766E15">
        <w:t>:</w:t>
      </w:r>
      <w:bookmarkEnd w:id="36"/>
    </w:p>
    <w:p w:rsidR="00B7661E" w:rsidRPr="00FC54B8" w:rsidRDefault="003F1AD0" w:rsidP="00AE3C30">
      <w:pPr>
        <w:pStyle w:val="NumBC1"/>
        <w:spacing w:before="0"/>
        <w:ind w:left="1564"/>
      </w:pPr>
      <w:r w:rsidRPr="00766E15">
        <w:rPr>
          <w:i/>
        </w:rPr>
        <w:tab/>
      </w:r>
      <w:r w:rsidR="00B7661E" w:rsidRPr="00FC54B8">
        <w:t>Economic benefits compulsorily paid or payable to public sector entities in accordance with laws and/or regulations to provide income to the government. Taxes exclude fines.</w:t>
      </w:r>
      <w:r w:rsidR="00FC54B8" w:rsidRPr="00FC54B8" w:rsidDel="00FC54B8">
        <w:t xml:space="preserve"> </w:t>
      </w:r>
    </w:p>
    <w:p w:rsidR="00B7661E" w:rsidRPr="00766E15" w:rsidRDefault="006525E8" w:rsidP="001C7D79">
      <w:pPr>
        <w:pStyle w:val="NumBC1"/>
        <w:numPr>
          <w:ilvl w:val="0"/>
          <w:numId w:val="32"/>
        </w:numPr>
        <w:spacing w:before="0"/>
      </w:pPr>
      <w:r>
        <w:t>T</w:t>
      </w:r>
      <w:r w:rsidR="00B7661E" w:rsidRPr="00766E15">
        <w:t>he Board noted th</w:t>
      </w:r>
      <w:r>
        <w:t>is</w:t>
      </w:r>
      <w:r w:rsidR="00B7661E" w:rsidRPr="00766E15">
        <w:t xml:space="preserve"> definition of ‘taxes’ </w:t>
      </w:r>
      <w:r w:rsidR="00F5172F">
        <w:t>identifies</w:t>
      </w:r>
      <w:r w:rsidR="00B7661E" w:rsidRPr="00766E15">
        <w:t xml:space="preserve"> two points of distinction, being:</w:t>
      </w:r>
    </w:p>
    <w:p w:rsidR="00B7661E" w:rsidRPr="00766E15" w:rsidRDefault="00D549CC" w:rsidP="001C7D79">
      <w:pPr>
        <w:pStyle w:val="NumBC1"/>
        <w:numPr>
          <w:ilvl w:val="1"/>
          <w:numId w:val="32"/>
        </w:numPr>
        <w:spacing w:before="0"/>
      </w:pPr>
      <w:r>
        <w:t>t</w:t>
      </w:r>
      <w:r w:rsidR="00B7661E" w:rsidRPr="00766E15">
        <w:t>he notion of compulsion; and</w:t>
      </w:r>
    </w:p>
    <w:p w:rsidR="00B7661E" w:rsidRPr="00766E15" w:rsidRDefault="00D549CC" w:rsidP="001C7D79">
      <w:pPr>
        <w:pStyle w:val="NumBC1"/>
        <w:numPr>
          <w:ilvl w:val="1"/>
          <w:numId w:val="32"/>
        </w:numPr>
        <w:spacing w:before="0"/>
      </w:pPr>
      <w:proofErr w:type="gramStart"/>
      <w:r>
        <w:rPr>
          <w:szCs w:val="19"/>
        </w:rPr>
        <w:t>t</w:t>
      </w:r>
      <w:r w:rsidR="00B7661E" w:rsidRPr="00766E15">
        <w:rPr>
          <w:szCs w:val="19"/>
        </w:rPr>
        <w:t>he</w:t>
      </w:r>
      <w:proofErr w:type="gramEnd"/>
      <w:r w:rsidR="00B7661E" w:rsidRPr="00766E15">
        <w:t xml:space="preserve"> purpose of the payment.</w:t>
      </w:r>
    </w:p>
    <w:p w:rsidR="00B7661E" w:rsidRPr="00766E15" w:rsidRDefault="00B7661E" w:rsidP="001C7D79">
      <w:pPr>
        <w:pStyle w:val="NumBC1"/>
        <w:numPr>
          <w:ilvl w:val="0"/>
          <w:numId w:val="32"/>
        </w:numPr>
        <w:spacing w:before="0"/>
        <w:rPr>
          <w:szCs w:val="19"/>
        </w:rPr>
      </w:pPr>
      <w:r w:rsidRPr="00766E15">
        <w:rPr>
          <w:szCs w:val="19"/>
        </w:rPr>
        <w:t xml:space="preserve">In </w:t>
      </w:r>
      <w:r w:rsidR="009743B6" w:rsidRPr="00766E15">
        <w:rPr>
          <w:szCs w:val="19"/>
        </w:rPr>
        <w:t>relation to</w:t>
      </w:r>
      <w:r w:rsidRPr="00766E15">
        <w:rPr>
          <w:szCs w:val="19"/>
        </w:rPr>
        <w:t xml:space="preserve"> compulsion, the Board observed that</w:t>
      </w:r>
      <w:r w:rsidR="00B424A0">
        <w:rPr>
          <w:szCs w:val="19"/>
        </w:rPr>
        <w:t>, in contrast to a tax,</w:t>
      </w:r>
      <w:r w:rsidRPr="00766E15">
        <w:rPr>
          <w:szCs w:val="19"/>
        </w:rPr>
        <w:t xml:space="preserve"> although a licence fee may be compulsorily payable upon issue, a prospective licensee has discretion </w:t>
      </w:r>
      <w:r w:rsidR="006B2123">
        <w:rPr>
          <w:szCs w:val="19"/>
        </w:rPr>
        <w:t>over</w:t>
      </w:r>
      <w:r w:rsidR="006B2123" w:rsidRPr="00766E15">
        <w:rPr>
          <w:szCs w:val="19"/>
        </w:rPr>
        <w:t xml:space="preserve"> </w:t>
      </w:r>
      <w:r w:rsidRPr="00766E15">
        <w:rPr>
          <w:szCs w:val="19"/>
        </w:rPr>
        <w:t xml:space="preserve">whether to seek a licence. </w:t>
      </w:r>
      <w:r w:rsidR="00CD32D7">
        <w:rPr>
          <w:szCs w:val="19"/>
        </w:rPr>
        <w:t>For example</w:t>
      </w:r>
      <w:r w:rsidR="00DB1D55">
        <w:rPr>
          <w:szCs w:val="19"/>
        </w:rPr>
        <w:t xml:space="preserve">, </w:t>
      </w:r>
      <w:r w:rsidR="006043B1">
        <w:rPr>
          <w:szCs w:val="19"/>
        </w:rPr>
        <w:t xml:space="preserve">an </w:t>
      </w:r>
      <w:r w:rsidR="002003EC">
        <w:rPr>
          <w:szCs w:val="19"/>
        </w:rPr>
        <w:t>entity would</w:t>
      </w:r>
      <w:r w:rsidR="00DB1D55">
        <w:rPr>
          <w:szCs w:val="19"/>
        </w:rPr>
        <w:t xml:space="preserve"> generally have discretion </w:t>
      </w:r>
      <w:r w:rsidR="006B2123">
        <w:rPr>
          <w:szCs w:val="19"/>
        </w:rPr>
        <w:t xml:space="preserve">over </w:t>
      </w:r>
      <w:r w:rsidR="00DB1D55">
        <w:rPr>
          <w:szCs w:val="19"/>
        </w:rPr>
        <w:t xml:space="preserve">whether </w:t>
      </w:r>
      <w:r w:rsidR="006043B1">
        <w:rPr>
          <w:szCs w:val="19"/>
        </w:rPr>
        <w:t xml:space="preserve">to </w:t>
      </w:r>
      <w:r w:rsidR="002003EC">
        <w:rPr>
          <w:szCs w:val="19"/>
        </w:rPr>
        <w:t xml:space="preserve">perform </w:t>
      </w:r>
      <w:r w:rsidR="00DB1D55">
        <w:rPr>
          <w:szCs w:val="19"/>
        </w:rPr>
        <w:t xml:space="preserve">an activity </w:t>
      </w:r>
      <w:r w:rsidR="006043B1">
        <w:rPr>
          <w:szCs w:val="19"/>
        </w:rPr>
        <w:t>that requires a licence</w:t>
      </w:r>
      <w:r w:rsidR="00DB1D55">
        <w:rPr>
          <w:szCs w:val="19"/>
        </w:rPr>
        <w:t xml:space="preserve">, whereas a tax would arise </w:t>
      </w:r>
      <w:r w:rsidR="006043B1">
        <w:rPr>
          <w:szCs w:val="19"/>
        </w:rPr>
        <w:t xml:space="preserve">generally from activities that are necessary for the entity to </w:t>
      </w:r>
      <w:r w:rsidR="00A32297">
        <w:rPr>
          <w:szCs w:val="19"/>
        </w:rPr>
        <w:t>operate</w:t>
      </w:r>
      <w:r w:rsidR="00FF00C8">
        <w:rPr>
          <w:szCs w:val="19"/>
        </w:rPr>
        <w:t>, for example earning revenue</w:t>
      </w:r>
      <w:r w:rsidR="00DB1D55">
        <w:rPr>
          <w:szCs w:val="19"/>
        </w:rPr>
        <w:t>.</w:t>
      </w:r>
      <w:r w:rsidR="00AE2670">
        <w:rPr>
          <w:szCs w:val="19"/>
        </w:rPr>
        <w:t xml:space="preserve"> </w:t>
      </w:r>
      <w:r w:rsidRPr="00766E15">
        <w:rPr>
          <w:szCs w:val="19"/>
        </w:rPr>
        <w:t xml:space="preserve">The Board </w:t>
      </w:r>
      <w:r w:rsidR="00CD32D7">
        <w:rPr>
          <w:szCs w:val="19"/>
        </w:rPr>
        <w:t xml:space="preserve">also </w:t>
      </w:r>
      <w:r w:rsidR="006B2123" w:rsidRPr="00766E15">
        <w:rPr>
          <w:szCs w:val="19"/>
        </w:rPr>
        <w:t xml:space="preserve">observed </w:t>
      </w:r>
      <w:r w:rsidR="006B2123">
        <w:rPr>
          <w:szCs w:val="19"/>
        </w:rPr>
        <w:t>that</w:t>
      </w:r>
      <w:r w:rsidR="00CD32D7">
        <w:rPr>
          <w:szCs w:val="19"/>
        </w:rPr>
        <w:t xml:space="preserve"> </w:t>
      </w:r>
      <w:r w:rsidRPr="00766E15">
        <w:rPr>
          <w:szCs w:val="19"/>
        </w:rPr>
        <w:t xml:space="preserve">the notion of compulsion </w:t>
      </w:r>
      <w:r w:rsidR="00AE2670">
        <w:rPr>
          <w:szCs w:val="19"/>
        </w:rPr>
        <w:t>could</w:t>
      </w:r>
      <w:r w:rsidR="00AE2670" w:rsidRPr="00766E15">
        <w:rPr>
          <w:szCs w:val="19"/>
        </w:rPr>
        <w:t xml:space="preserve"> </w:t>
      </w:r>
      <w:r w:rsidRPr="00766E15">
        <w:rPr>
          <w:szCs w:val="19"/>
        </w:rPr>
        <w:t xml:space="preserve">be </w:t>
      </w:r>
      <w:r w:rsidR="00DB1D55">
        <w:rPr>
          <w:szCs w:val="19"/>
        </w:rPr>
        <w:t>supported by the</w:t>
      </w:r>
      <w:r w:rsidRPr="00766E15">
        <w:rPr>
          <w:szCs w:val="19"/>
        </w:rPr>
        <w:t xml:space="preserve"> consequences of evading a licence fee or tax</w:t>
      </w:r>
      <w:r w:rsidR="00CE1E51" w:rsidRPr="00766E15">
        <w:rPr>
          <w:szCs w:val="19"/>
        </w:rPr>
        <w:t>.</w:t>
      </w:r>
      <w:r w:rsidRPr="00766E15">
        <w:rPr>
          <w:szCs w:val="19"/>
        </w:rPr>
        <w:t xml:space="preserve"> For example, if an entity </w:t>
      </w:r>
      <w:r w:rsidR="00DC37A2">
        <w:rPr>
          <w:szCs w:val="19"/>
        </w:rPr>
        <w:t>were</w:t>
      </w:r>
      <w:r w:rsidR="007A68C7" w:rsidRPr="00766E15">
        <w:rPr>
          <w:szCs w:val="19"/>
        </w:rPr>
        <w:t xml:space="preserve"> found </w:t>
      </w:r>
      <w:r w:rsidRPr="00766E15">
        <w:rPr>
          <w:szCs w:val="19"/>
        </w:rPr>
        <w:t xml:space="preserve">to </w:t>
      </w:r>
      <w:r w:rsidR="007A68C7" w:rsidRPr="00766E15">
        <w:rPr>
          <w:szCs w:val="19"/>
        </w:rPr>
        <w:t xml:space="preserve">have </w:t>
      </w:r>
      <w:r w:rsidRPr="00766E15">
        <w:rPr>
          <w:szCs w:val="19"/>
        </w:rPr>
        <w:t>evade</w:t>
      </w:r>
      <w:r w:rsidR="007A68C7" w:rsidRPr="00766E15">
        <w:rPr>
          <w:szCs w:val="19"/>
        </w:rPr>
        <w:t>d</w:t>
      </w:r>
      <w:r w:rsidRPr="00766E15">
        <w:rPr>
          <w:szCs w:val="19"/>
        </w:rPr>
        <w:t xml:space="preserve"> a licence fee, it would not be compulsory for the entity to retrospectively obtain the licence. Any </w:t>
      </w:r>
      <w:r w:rsidR="00604F11">
        <w:rPr>
          <w:szCs w:val="19"/>
        </w:rPr>
        <w:t>consequence</w:t>
      </w:r>
      <w:r w:rsidRPr="00766E15">
        <w:rPr>
          <w:szCs w:val="19"/>
        </w:rPr>
        <w:t xml:space="preserve"> for undertaking unlicensed activities would be in the nature of a </w:t>
      </w:r>
      <w:r w:rsidR="000A4331">
        <w:rPr>
          <w:szCs w:val="19"/>
        </w:rPr>
        <w:t xml:space="preserve">fine or other </w:t>
      </w:r>
      <w:r w:rsidRPr="00766E15">
        <w:rPr>
          <w:szCs w:val="19"/>
        </w:rPr>
        <w:t>penalty</w:t>
      </w:r>
      <w:r w:rsidR="001A7915">
        <w:rPr>
          <w:szCs w:val="19"/>
        </w:rPr>
        <w:t xml:space="preserve"> (</w:t>
      </w:r>
      <w:proofErr w:type="spellStart"/>
      <w:r w:rsidR="001A7915">
        <w:rPr>
          <w:szCs w:val="19"/>
        </w:rPr>
        <w:t>ie</w:t>
      </w:r>
      <w:proofErr w:type="spellEnd"/>
      <w:r w:rsidR="001A7915">
        <w:rPr>
          <w:szCs w:val="19"/>
        </w:rPr>
        <w:t xml:space="preserve"> the entity would not be compelled to ob</w:t>
      </w:r>
      <w:r w:rsidR="00204ED7">
        <w:rPr>
          <w:szCs w:val="19"/>
        </w:rPr>
        <w:t>t</w:t>
      </w:r>
      <w:r w:rsidR="001A7915">
        <w:rPr>
          <w:szCs w:val="19"/>
        </w:rPr>
        <w:t>ain a licence)</w:t>
      </w:r>
      <w:r w:rsidR="00DE699F">
        <w:rPr>
          <w:szCs w:val="19"/>
        </w:rPr>
        <w:t xml:space="preserve">. </w:t>
      </w:r>
      <w:r w:rsidRPr="00766E15">
        <w:rPr>
          <w:szCs w:val="19"/>
        </w:rPr>
        <w:t xml:space="preserve"> In contrast, an entity </w:t>
      </w:r>
      <w:r w:rsidR="00F60A2D" w:rsidRPr="00766E15">
        <w:rPr>
          <w:szCs w:val="19"/>
        </w:rPr>
        <w:t xml:space="preserve">found to have </w:t>
      </w:r>
      <w:r w:rsidRPr="00766E15">
        <w:rPr>
          <w:szCs w:val="19"/>
        </w:rPr>
        <w:t>evad</w:t>
      </w:r>
      <w:r w:rsidR="00F60A2D" w:rsidRPr="00766E15">
        <w:rPr>
          <w:szCs w:val="19"/>
        </w:rPr>
        <w:t>ed</w:t>
      </w:r>
      <w:r w:rsidRPr="00766E15">
        <w:rPr>
          <w:szCs w:val="19"/>
        </w:rPr>
        <w:t xml:space="preserve"> a tax would be compelled to pay the tax in addition to any</w:t>
      </w:r>
      <w:r w:rsidR="00F05326">
        <w:rPr>
          <w:szCs w:val="19"/>
        </w:rPr>
        <w:t xml:space="preserve"> fine or other</w:t>
      </w:r>
      <w:r w:rsidRPr="00766E15">
        <w:rPr>
          <w:szCs w:val="19"/>
        </w:rPr>
        <w:t xml:space="preserve"> penalty.</w:t>
      </w:r>
      <w:r w:rsidR="00DE699F">
        <w:rPr>
          <w:szCs w:val="19"/>
        </w:rPr>
        <w:t xml:space="preserve"> </w:t>
      </w:r>
      <w:r w:rsidRPr="00766E15">
        <w:rPr>
          <w:szCs w:val="19"/>
        </w:rPr>
        <w:t>The Board decided that</w:t>
      </w:r>
      <w:r w:rsidR="00AE5AFF">
        <w:rPr>
          <w:szCs w:val="19"/>
        </w:rPr>
        <w:t xml:space="preserve">, </w:t>
      </w:r>
      <w:r w:rsidRPr="00766E15">
        <w:rPr>
          <w:szCs w:val="19"/>
        </w:rPr>
        <w:t xml:space="preserve">in distinguishing a licence from a tax, </w:t>
      </w:r>
      <w:r w:rsidR="00B43EEB" w:rsidRPr="00766E15">
        <w:rPr>
          <w:szCs w:val="19"/>
        </w:rPr>
        <w:t xml:space="preserve">the </w:t>
      </w:r>
      <w:r w:rsidRPr="00766E15">
        <w:rPr>
          <w:szCs w:val="19"/>
        </w:rPr>
        <w:t xml:space="preserve">notion of compulsion by reference to </w:t>
      </w:r>
      <w:r w:rsidR="001A7915">
        <w:rPr>
          <w:szCs w:val="19"/>
        </w:rPr>
        <w:t>whether</w:t>
      </w:r>
      <w:r w:rsidRPr="00766E15">
        <w:rPr>
          <w:szCs w:val="19"/>
        </w:rPr>
        <w:t xml:space="preserve"> </w:t>
      </w:r>
      <w:r w:rsidR="001A7915">
        <w:rPr>
          <w:szCs w:val="19"/>
        </w:rPr>
        <w:t xml:space="preserve">an entity would </w:t>
      </w:r>
      <w:r w:rsidR="002003EC">
        <w:rPr>
          <w:szCs w:val="19"/>
        </w:rPr>
        <w:t xml:space="preserve">have discretion </w:t>
      </w:r>
      <w:r w:rsidR="006B2123">
        <w:rPr>
          <w:szCs w:val="19"/>
        </w:rPr>
        <w:t xml:space="preserve">over </w:t>
      </w:r>
      <w:r w:rsidR="002003EC">
        <w:rPr>
          <w:szCs w:val="19"/>
        </w:rPr>
        <w:t>whether</w:t>
      </w:r>
      <w:r w:rsidR="001A7915">
        <w:rPr>
          <w:szCs w:val="19"/>
        </w:rPr>
        <w:t xml:space="preserve"> to obtain a licence </w:t>
      </w:r>
      <w:r w:rsidR="002003EC">
        <w:rPr>
          <w:szCs w:val="19"/>
        </w:rPr>
        <w:t xml:space="preserve">or not </w:t>
      </w:r>
      <w:r w:rsidRPr="00766E15">
        <w:rPr>
          <w:szCs w:val="19"/>
        </w:rPr>
        <w:t xml:space="preserve">would be useful as </w:t>
      </w:r>
      <w:r w:rsidR="002003EC">
        <w:rPr>
          <w:szCs w:val="19"/>
        </w:rPr>
        <w:t xml:space="preserve">a </w:t>
      </w:r>
      <w:r w:rsidR="00A32297" w:rsidRPr="00766E15">
        <w:t>primary or singular point of distinction between a licence and tax</w:t>
      </w:r>
      <w:r w:rsidRPr="00766E15">
        <w:rPr>
          <w:szCs w:val="19"/>
        </w:rPr>
        <w:t>.</w:t>
      </w:r>
      <w:r w:rsidR="00AE2670">
        <w:rPr>
          <w:szCs w:val="19"/>
        </w:rPr>
        <w:t xml:space="preserve"> </w:t>
      </w:r>
    </w:p>
    <w:p w:rsidR="00B7661E" w:rsidRPr="00766E15" w:rsidRDefault="009743B6" w:rsidP="001C7D79">
      <w:pPr>
        <w:pStyle w:val="NumBC1"/>
        <w:numPr>
          <w:ilvl w:val="0"/>
          <w:numId w:val="32"/>
        </w:numPr>
        <w:spacing w:before="0"/>
      </w:pPr>
      <w:bookmarkStart w:id="37" w:name="_Ref493058344"/>
      <w:r w:rsidRPr="00766E15">
        <w:t xml:space="preserve">In relation to the purpose of the payment, </w:t>
      </w:r>
      <w:r w:rsidR="00FF74BB">
        <w:t xml:space="preserve">the definition of tax in </w:t>
      </w:r>
      <w:r w:rsidR="00291416">
        <w:t>AASB </w:t>
      </w:r>
      <w:r w:rsidR="00B7661E" w:rsidRPr="00766E15">
        <w:t>1058 states that “taxes are established to provide income to the government”</w:t>
      </w:r>
      <w:r w:rsidR="00AE5AFF">
        <w:t>.</w:t>
      </w:r>
      <w:r w:rsidR="00B7661E" w:rsidRPr="00766E15">
        <w:t xml:space="preserve"> The Board considered whether licences could be differentiated such that the primary purpose of the arrangement would be non-financial, </w:t>
      </w:r>
      <w:r w:rsidR="00AA6C42">
        <w:t xml:space="preserve">for example </w:t>
      </w:r>
      <w:r w:rsidR="00B7661E" w:rsidRPr="00766E15">
        <w:t>to regulate social behaviour, or to allocate a public resource equitably. In considering the usefulness of this discriminator, the Board acknowledged some licence arrangements could arguably have multiple purposes (</w:t>
      </w:r>
      <w:proofErr w:type="spellStart"/>
      <w:r w:rsidR="00FC54B8">
        <w:t>ie</w:t>
      </w:r>
      <w:proofErr w:type="spellEnd"/>
      <w:r w:rsidR="00B7661E" w:rsidRPr="00766E15">
        <w:t xml:space="preserve"> both financial and non-financial), or could have a primarily financial purpose on an ongoing basis. </w:t>
      </w:r>
      <w:r w:rsidR="00A32297">
        <w:t xml:space="preserve">The Board noted that the relativity of the proceeds received and the costs incurred might be indicative that a tax component exists. </w:t>
      </w:r>
      <w:r w:rsidR="00B7661E" w:rsidRPr="00766E15">
        <w:t>Consequently, the usefulness of the purpose of establishment as a distinguishing feature between a licence and tax could be of limited use if considered as a primary distinguishing feature or in isolation.</w:t>
      </w:r>
      <w:r w:rsidR="00DE699F">
        <w:t xml:space="preserve">  </w:t>
      </w:r>
      <w:r w:rsidR="00B7661E" w:rsidRPr="00766E15">
        <w:t>Accordingly, the Board decided that although the purpose could be a useful feature to consider dependent on the specific facts and circumstances of a</w:t>
      </w:r>
      <w:r w:rsidR="008A36F6">
        <w:t>n</w:t>
      </w:r>
      <w:r w:rsidR="00B7661E" w:rsidRPr="00766E15">
        <w:t xml:space="preserve"> arrangement in conjunction with the other features, it should not be used as a primary or singular point of distinction between a licence and tax.</w:t>
      </w:r>
      <w:bookmarkEnd w:id="37"/>
    </w:p>
    <w:p w:rsidR="00B7661E" w:rsidRPr="00766E15" w:rsidRDefault="00B7661E" w:rsidP="005D0061">
      <w:pPr>
        <w:pStyle w:val="IASBSectionTitle2Ind"/>
        <w:jc w:val="both"/>
        <w:outlineLvl w:val="3"/>
        <w:rPr>
          <w:bCs/>
          <w:i/>
        </w:rPr>
      </w:pPr>
      <w:r w:rsidRPr="00766E15">
        <w:t>Other Australian Accounting Standards</w:t>
      </w:r>
    </w:p>
    <w:p w:rsidR="00B7661E" w:rsidRPr="00766E15" w:rsidRDefault="00B7661E" w:rsidP="001C7D79">
      <w:pPr>
        <w:pStyle w:val="NumBC1"/>
        <w:numPr>
          <w:ilvl w:val="0"/>
          <w:numId w:val="32"/>
        </w:numPr>
        <w:spacing w:before="0"/>
      </w:pPr>
      <w:r w:rsidRPr="00766E15">
        <w:t>The Board considered, but did not identify any features of licences implicit in the following Australian Accounting Standards:</w:t>
      </w:r>
    </w:p>
    <w:p w:rsidR="00B7661E" w:rsidRPr="00766E15" w:rsidRDefault="00291416" w:rsidP="001C7D79">
      <w:pPr>
        <w:pStyle w:val="NumBC1"/>
        <w:numPr>
          <w:ilvl w:val="1"/>
          <w:numId w:val="32"/>
        </w:numPr>
        <w:spacing w:before="0"/>
      </w:pPr>
      <w:r>
        <w:t>AASB </w:t>
      </w:r>
      <w:r w:rsidR="00B7661E" w:rsidRPr="00766E15">
        <w:t>15;</w:t>
      </w:r>
    </w:p>
    <w:p w:rsidR="00B7661E" w:rsidRPr="00766E15" w:rsidRDefault="00291416" w:rsidP="001C7D79">
      <w:pPr>
        <w:pStyle w:val="NumBC1"/>
        <w:numPr>
          <w:ilvl w:val="1"/>
          <w:numId w:val="32"/>
        </w:numPr>
        <w:spacing w:before="0"/>
      </w:pPr>
      <w:r>
        <w:t>AASB </w:t>
      </w:r>
      <w:r w:rsidR="00B7661E" w:rsidRPr="00766E15">
        <w:t>16;</w:t>
      </w:r>
    </w:p>
    <w:p w:rsidR="00B7661E" w:rsidRPr="00766E15" w:rsidRDefault="00291416" w:rsidP="001C7D79">
      <w:pPr>
        <w:pStyle w:val="NumBC1"/>
        <w:numPr>
          <w:ilvl w:val="1"/>
          <w:numId w:val="32"/>
        </w:numPr>
        <w:spacing w:before="0"/>
      </w:pPr>
      <w:r>
        <w:t>AASB </w:t>
      </w:r>
      <w:r w:rsidR="00B7661E" w:rsidRPr="00766E15">
        <w:t xml:space="preserve">138 </w:t>
      </w:r>
      <w:r w:rsidR="00B7661E" w:rsidRPr="00446EBF">
        <w:rPr>
          <w:i/>
        </w:rPr>
        <w:t>Intangible Assets</w:t>
      </w:r>
      <w:r w:rsidR="00B7661E" w:rsidRPr="00766E15">
        <w:t>; and</w:t>
      </w:r>
    </w:p>
    <w:p w:rsidR="00B7661E" w:rsidRPr="00766E15" w:rsidRDefault="00291416" w:rsidP="001C7D79">
      <w:pPr>
        <w:pStyle w:val="NumBC1"/>
        <w:numPr>
          <w:ilvl w:val="1"/>
          <w:numId w:val="32"/>
        </w:numPr>
        <w:spacing w:before="0"/>
      </w:pPr>
      <w:r>
        <w:t>AASB </w:t>
      </w:r>
      <w:r w:rsidR="00B7661E" w:rsidRPr="00766E15">
        <w:t>1059.</w:t>
      </w:r>
    </w:p>
    <w:p w:rsidR="00B7661E" w:rsidRPr="00766E15" w:rsidRDefault="00B7661E" w:rsidP="005D0061">
      <w:pPr>
        <w:pStyle w:val="IASBSectionTitle2Ind"/>
        <w:jc w:val="both"/>
        <w:outlineLvl w:val="3"/>
        <w:rPr>
          <w:bCs/>
          <w:i/>
        </w:rPr>
      </w:pPr>
      <w:r w:rsidRPr="00766E15">
        <w:t>The IPSASB</w:t>
      </w:r>
    </w:p>
    <w:p w:rsidR="00B7661E" w:rsidRDefault="00B7661E" w:rsidP="001C7D79">
      <w:pPr>
        <w:pStyle w:val="NumBC1"/>
        <w:numPr>
          <w:ilvl w:val="0"/>
          <w:numId w:val="32"/>
        </w:numPr>
        <w:spacing w:before="0"/>
      </w:pPr>
      <w:r w:rsidRPr="00766E15">
        <w:t>In identifying other features distinguishing licences from taxes, the Board considered the IPSASB</w:t>
      </w:r>
      <w:r w:rsidR="005446F8">
        <w:t>’</w:t>
      </w:r>
      <w:r w:rsidR="00250A54" w:rsidRPr="00766E15">
        <w:t xml:space="preserve">s </w:t>
      </w:r>
      <w:r w:rsidRPr="00766E15">
        <w:t>project work regarding the accounting for revenue transactions. The Board noted the IPSASB</w:t>
      </w:r>
      <w:r w:rsidR="00EA4BA2">
        <w:t>, at the time this Standard was issued,</w:t>
      </w:r>
      <w:r w:rsidRPr="00766E15">
        <w:t xml:space="preserve"> had not specifically considered the accounting for revenue from licences issued by </w:t>
      </w:r>
      <w:r w:rsidR="00540E91">
        <w:t>NFP</w:t>
      </w:r>
      <w:r w:rsidR="00250A54" w:rsidRPr="00766E15">
        <w:t xml:space="preserve"> </w:t>
      </w:r>
      <w:r w:rsidRPr="00766E15">
        <w:t>public sector entities, nor defined the term ‘licence’ in any IPSAS.</w:t>
      </w:r>
    </w:p>
    <w:p w:rsidR="003D4816" w:rsidRPr="003D4816" w:rsidRDefault="003D4816" w:rsidP="005D0061">
      <w:pPr>
        <w:pStyle w:val="IASBSectionTitle2Ind"/>
        <w:jc w:val="both"/>
        <w:outlineLvl w:val="3"/>
        <w:rPr>
          <w:bCs/>
          <w:i/>
        </w:rPr>
      </w:pPr>
      <w:r>
        <w:t>ABS GFS Manual</w:t>
      </w:r>
    </w:p>
    <w:p w:rsidR="00B7661E" w:rsidRDefault="004C1CC3" w:rsidP="001C7D79">
      <w:pPr>
        <w:pStyle w:val="NumBC1"/>
        <w:numPr>
          <w:ilvl w:val="0"/>
          <w:numId w:val="32"/>
        </w:numPr>
        <w:spacing w:before="0"/>
      </w:pPr>
      <w:bookmarkStart w:id="38" w:name="_Ref522289557"/>
      <w:r>
        <w:t xml:space="preserve">In developing </w:t>
      </w:r>
      <w:r w:rsidR="002B0889">
        <w:t>ED 283</w:t>
      </w:r>
      <w:r>
        <w:t>, t</w:t>
      </w:r>
      <w:r w:rsidR="00B7661E" w:rsidRPr="00766E15">
        <w:t xml:space="preserve">he Board also considered the approach adopted in the ABS GFS Manual in respect of distinguishing licences from other arrangements. The Board noted the ABS GFS Manual defines the term ‘licence’ widely and infers that although a variety of arrangements could be </w:t>
      </w:r>
      <w:r w:rsidR="00055A85">
        <w:t xml:space="preserve">referred to as </w:t>
      </w:r>
      <w:r w:rsidR="00B7661E" w:rsidRPr="00766E15">
        <w:t>licences, revenue from these arrangements could be taxes or administration fees depend</w:t>
      </w:r>
      <w:r w:rsidR="00D16823">
        <w:t>ing</w:t>
      </w:r>
      <w:r w:rsidR="00B7661E" w:rsidRPr="00766E15">
        <w:t xml:space="preserve"> on the level of work involved for the issuing public sector entity. Additionally, the Board noted the ABS GFS Manual does not identify the purpose of establishment </w:t>
      </w:r>
      <w:r w:rsidR="00D16823">
        <w:t xml:space="preserve">of an arrangement </w:t>
      </w:r>
      <w:r w:rsidR="00B7661E" w:rsidRPr="00766E15">
        <w:t xml:space="preserve">as a basis for distinguishing a licence from a tax, and adopts the licensor’s perspective in ascertaining the economic substance of the transaction. This approach is therefore inconsistent with the points of distinction implied by </w:t>
      </w:r>
      <w:r w:rsidR="00250A54" w:rsidRPr="00766E15">
        <w:t xml:space="preserve">the definition of a tax in </w:t>
      </w:r>
      <w:r w:rsidR="00291416">
        <w:t>AASB </w:t>
      </w:r>
      <w:r w:rsidR="00B7661E" w:rsidRPr="00766E15">
        <w:t xml:space="preserve">1058. Accordingly, the Board decided the approach adopted by the ABS GFS Manual would not be useful </w:t>
      </w:r>
      <w:r w:rsidR="00A32297">
        <w:t>as a</w:t>
      </w:r>
      <w:r w:rsidR="00A32297" w:rsidRPr="00766E15">
        <w:t xml:space="preserve"> primary or singular point of distinction between a licence and tax</w:t>
      </w:r>
      <w:r w:rsidR="00A32297">
        <w:t>, but may provide assistance when considering the purpose of the payment.</w:t>
      </w:r>
      <w:bookmarkEnd w:id="38"/>
    </w:p>
    <w:p w:rsidR="004C1CC3" w:rsidRDefault="00E724E1" w:rsidP="001C7D79">
      <w:pPr>
        <w:pStyle w:val="NumBC1"/>
        <w:numPr>
          <w:ilvl w:val="0"/>
          <w:numId w:val="32"/>
        </w:numPr>
        <w:spacing w:before="0"/>
      </w:pPr>
      <w:bookmarkStart w:id="39" w:name="_Ref522289560"/>
      <w:r>
        <w:t xml:space="preserve">Despite this, </w:t>
      </w:r>
      <w:r w:rsidR="00446EBF">
        <w:t xml:space="preserve">some </w:t>
      </w:r>
      <w:r>
        <w:t>r</w:t>
      </w:r>
      <w:r w:rsidR="004C1CC3">
        <w:t xml:space="preserve">espondents to </w:t>
      </w:r>
      <w:r w:rsidR="002B0889">
        <w:t>ED 283</w:t>
      </w:r>
      <w:r w:rsidR="004C1CC3">
        <w:t xml:space="preserve"> (including the ABS) preferred that the Board a</w:t>
      </w:r>
      <w:r>
        <w:t xml:space="preserve">lign with the ABS’s definition of a licence for distinguishing licences from taxes. </w:t>
      </w:r>
      <w:r w:rsidR="00F42E93">
        <w:t>However</w:t>
      </w:r>
      <w:r>
        <w:t xml:space="preserve">, the Board reaffirmed its decision to not use </w:t>
      </w:r>
      <w:bookmarkStart w:id="40" w:name="_Ref522208557"/>
      <w:r w:rsidR="007C3F27">
        <w:t xml:space="preserve">proportionality of level of work to transaction price </w:t>
      </w:r>
      <w:r>
        <w:t xml:space="preserve">as a </w:t>
      </w:r>
      <w:r w:rsidR="00A32297">
        <w:t xml:space="preserve">primary </w:t>
      </w:r>
      <w:r>
        <w:t>distinguishing feature as:</w:t>
      </w:r>
      <w:bookmarkEnd w:id="39"/>
      <w:bookmarkEnd w:id="40"/>
    </w:p>
    <w:p w:rsidR="0097189B" w:rsidRDefault="00E724E1" w:rsidP="001C7D79">
      <w:pPr>
        <w:pStyle w:val="NumBC1"/>
        <w:numPr>
          <w:ilvl w:val="1"/>
          <w:numId w:val="32"/>
        </w:numPr>
        <w:spacing w:before="0"/>
      </w:pPr>
      <w:r>
        <w:t xml:space="preserve">the Board observed that determining whether the revenue </w:t>
      </w:r>
      <w:r w:rsidR="00F8462B">
        <w:t>recognised</w:t>
      </w:r>
      <w:r>
        <w:t xml:space="preserve"> is proportionate to the cost of a licensor’s obligations is a difficult and subjective assessment that</w:t>
      </w:r>
      <w:r w:rsidR="00376908">
        <w:t>, based on feedback from preparers,</w:t>
      </w:r>
      <w:r w:rsidR="00D8004B">
        <w:t xml:space="preserve"> might not be </w:t>
      </w:r>
      <w:r>
        <w:t xml:space="preserve"> applied consistently </w:t>
      </w:r>
      <w:r w:rsidR="00D8004B">
        <w:t>in the preparation of general purpose financial statements</w:t>
      </w:r>
      <w:r>
        <w:t xml:space="preserve">; </w:t>
      </w:r>
    </w:p>
    <w:p w:rsidR="00C910DA" w:rsidRDefault="00852F45" w:rsidP="001C7D79">
      <w:pPr>
        <w:pStyle w:val="NumBC1"/>
        <w:numPr>
          <w:ilvl w:val="1"/>
          <w:numId w:val="32"/>
        </w:numPr>
        <w:spacing w:before="0"/>
      </w:pPr>
      <w:proofErr w:type="gramStart"/>
      <w:r>
        <w:t>adopting</w:t>
      </w:r>
      <w:proofErr w:type="gramEnd"/>
      <w:r w:rsidR="007176AE">
        <w:t xml:space="preserve"> the ABS GFS Manual approach</w:t>
      </w:r>
      <w:r>
        <w:t xml:space="preserve"> </w:t>
      </w:r>
      <w:r w:rsidR="007176AE">
        <w:t xml:space="preserve">could </w:t>
      </w:r>
      <w:r>
        <w:t>result in the majority of the arrangements in question being classified as a tax and accounted for in accordance with AASB 1058.</w:t>
      </w:r>
      <w:r w:rsidR="00FA134F">
        <w:t xml:space="preserve"> AASB 1058 paragraph B28 specifically precludes taxes from giving rise to a contract liability or revenue recognised in accordance with AASB 15, as they do not promise to provide a good or service in an agreement that creates enforceable obligations. </w:t>
      </w:r>
      <w:r>
        <w:t xml:space="preserve">However, the Board </w:t>
      </w:r>
      <w:r w:rsidR="00FC286F">
        <w:t>noted</w:t>
      </w:r>
      <w:r w:rsidR="00376908">
        <w:t xml:space="preserve"> </w:t>
      </w:r>
      <w:r>
        <w:t>that a proportion of the arrangements</w:t>
      </w:r>
      <w:r w:rsidR="0097189B">
        <w:t xml:space="preserve"> </w:t>
      </w:r>
      <w:r w:rsidR="00446EBF">
        <w:t>that would be classified as a licence under the</w:t>
      </w:r>
      <w:r w:rsidR="007112DC">
        <w:t xml:space="preserve"> </w:t>
      </w:r>
      <w:r w:rsidR="00446EBF">
        <w:t xml:space="preserve">guidance </w:t>
      </w:r>
      <w:r w:rsidR="001A045A">
        <w:t>in this Standard are</w:t>
      </w:r>
      <w:r>
        <w:t xml:space="preserve"> different </w:t>
      </w:r>
      <w:r w:rsidR="0097189B">
        <w:t>in substan</w:t>
      </w:r>
      <w:r w:rsidR="00FA134F">
        <w:t>ce to taxes</w:t>
      </w:r>
      <w:r w:rsidR="0097189B">
        <w:t xml:space="preserve"> as</w:t>
      </w:r>
      <w:r w:rsidR="00FA134F">
        <w:t>:</w:t>
      </w:r>
    </w:p>
    <w:p w:rsidR="00C910DA" w:rsidRDefault="0097189B" w:rsidP="001C7D79">
      <w:pPr>
        <w:pStyle w:val="NumBC1"/>
        <w:numPr>
          <w:ilvl w:val="2"/>
          <w:numId w:val="32"/>
        </w:numPr>
        <w:spacing w:before="0"/>
      </w:pPr>
      <w:r>
        <w:t xml:space="preserve">they </w:t>
      </w:r>
      <w:r w:rsidR="00FA134F">
        <w:t xml:space="preserve">do </w:t>
      </w:r>
      <w:r>
        <w:t xml:space="preserve">create direct rights for the licensee </w:t>
      </w:r>
      <w:r w:rsidR="00F50BD0">
        <w:t xml:space="preserve">(most commonly a right to perform) </w:t>
      </w:r>
      <w:r>
        <w:t xml:space="preserve">and obligations for the licensor </w:t>
      </w:r>
      <w:r w:rsidR="00FA134F">
        <w:t>to provide a good or service</w:t>
      </w:r>
      <w:r w:rsidR="00D162A1">
        <w:t xml:space="preserve"> (also</w:t>
      </w:r>
      <w:r w:rsidR="006868DA">
        <w:t>, most commonly, a right to perform)</w:t>
      </w:r>
      <w:r w:rsidR="00FA134F">
        <w:t>; and</w:t>
      </w:r>
    </w:p>
    <w:p w:rsidR="00FA134F" w:rsidRPr="00766E15" w:rsidRDefault="0040294C" w:rsidP="001C7D79">
      <w:pPr>
        <w:pStyle w:val="NumBC1"/>
        <w:numPr>
          <w:ilvl w:val="2"/>
          <w:numId w:val="32"/>
        </w:numPr>
        <w:spacing w:before="0"/>
      </w:pPr>
      <w:r>
        <w:t xml:space="preserve">the discretionary nature of </w:t>
      </w:r>
      <w:r w:rsidR="00C910DA">
        <w:t>l</w:t>
      </w:r>
      <w:r w:rsidR="00FA134F">
        <w:t xml:space="preserve">icences indicates that the </w:t>
      </w:r>
      <w:r w:rsidR="005E774D">
        <w:t xml:space="preserve">economic </w:t>
      </w:r>
      <w:r w:rsidR="00FA134F">
        <w:t>purpose</w:t>
      </w:r>
      <w:r w:rsidR="005E774D">
        <w:t xml:space="preserve"> of the transaction is</w:t>
      </w:r>
      <w:r w:rsidR="00FA134F">
        <w:t xml:space="preserve"> </w:t>
      </w:r>
      <w:r w:rsidR="005E774D">
        <w:t xml:space="preserve">to obtain the goods and services (most commonly a right to perform) from the licensor, and therefore </w:t>
      </w:r>
      <w:r w:rsidR="003E7C08">
        <w:t xml:space="preserve">it would be counter intuitive to the </w:t>
      </w:r>
      <w:r w:rsidR="003D4816">
        <w:t xml:space="preserve">Board’s </w:t>
      </w:r>
      <w:r w:rsidR="003E7C08">
        <w:t xml:space="preserve">policy of transaction neutrality to preclude </w:t>
      </w:r>
      <w:r>
        <w:t xml:space="preserve">a NFP public sector </w:t>
      </w:r>
      <w:r w:rsidR="005E774D">
        <w:t xml:space="preserve">licensor from accounting for its revenue </w:t>
      </w:r>
      <w:r w:rsidR="00376908">
        <w:t xml:space="preserve">when (or </w:t>
      </w:r>
      <w:r w:rsidR="005E774D">
        <w:t>as</w:t>
      </w:r>
      <w:r w:rsidR="00376908">
        <w:t>)</w:t>
      </w:r>
      <w:r w:rsidR="005E774D">
        <w:t xml:space="preserve"> it transfers control of the good or service</w:t>
      </w:r>
      <w:r>
        <w:t>, consistent with for-profit entities providing goods or services</w:t>
      </w:r>
      <w:r w:rsidR="005E774D">
        <w:t>.</w:t>
      </w:r>
    </w:p>
    <w:p w:rsidR="00C71B3D" w:rsidRPr="00766E15" w:rsidRDefault="00C71B3D" w:rsidP="005D0061">
      <w:pPr>
        <w:pStyle w:val="IASBSectionTitle2Ind"/>
        <w:jc w:val="both"/>
        <w:outlineLvl w:val="3"/>
        <w:rPr>
          <w:bCs/>
          <w:i/>
        </w:rPr>
      </w:pPr>
      <w:r w:rsidRPr="00766E15">
        <w:t>Other resources</w:t>
      </w:r>
    </w:p>
    <w:p w:rsidR="00B7661E" w:rsidRPr="00766E15" w:rsidRDefault="00B7661E" w:rsidP="001C7D79">
      <w:pPr>
        <w:pStyle w:val="NumBC1"/>
        <w:numPr>
          <w:ilvl w:val="0"/>
          <w:numId w:val="32"/>
        </w:numPr>
        <w:spacing w:before="0"/>
      </w:pPr>
      <w:r w:rsidRPr="00766E15">
        <w:t>The Board noted, based on common law and other commonly accepted definitions of the term ‘licence’, the following features are also useful in distinguishing licence</w:t>
      </w:r>
      <w:r w:rsidR="008A2E1A">
        <w:t>s</w:t>
      </w:r>
      <w:r w:rsidRPr="00766E15">
        <w:t xml:space="preserve"> from taxes:</w:t>
      </w:r>
    </w:p>
    <w:p w:rsidR="00B7661E" w:rsidRPr="00766E15" w:rsidRDefault="00B7661E" w:rsidP="001C7D79">
      <w:pPr>
        <w:pStyle w:val="NumBC1"/>
        <w:numPr>
          <w:ilvl w:val="1"/>
          <w:numId w:val="32"/>
        </w:numPr>
        <w:spacing w:before="0"/>
      </w:pPr>
      <w:proofErr w:type="gramStart"/>
      <w:r w:rsidRPr="00766E15">
        <w:t>whether</w:t>
      </w:r>
      <w:proofErr w:type="gramEnd"/>
      <w:r w:rsidRPr="00766E15">
        <w:t xml:space="preserve"> the arrangement creates direct rights of a payer to use (not within the scope of </w:t>
      </w:r>
      <w:r w:rsidR="00291416">
        <w:t>AASB </w:t>
      </w:r>
      <w:r w:rsidRPr="00766E15">
        <w:t xml:space="preserve">16) or access the payee’s asset, or perform an activity, and, depending on the type of arrangement, </w:t>
      </w:r>
      <w:r w:rsidR="00250A54" w:rsidRPr="00766E15">
        <w:t xml:space="preserve">direct </w:t>
      </w:r>
      <w:r w:rsidRPr="00766E15">
        <w:t xml:space="preserve">obligations of a payee. The Board noted that licences would generally confer direct rights to a licensee, and could, in some instances, create </w:t>
      </w:r>
      <w:r w:rsidR="00250A54" w:rsidRPr="00766E15">
        <w:t xml:space="preserve">direct </w:t>
      </w:r>
      <w:r w:rsidRPr="00766E15">
        <w:t>obligations for a licensor. The Board considered whether a tax could confer rights</w:t>
      </w:r>
      <w:r w:rsidR="00250A54" w:rsidRPr="00766E15">
        <w:t xml:space="preserve"> (and create obligations)</w:t>
      </w:r>
      <w:r w:rsidRPr="00766E15">
        <w:t xml:space="preserve">, but concluded that the nexus between any right </w:t>
      </w:r>
      <w:r w:rsidR="00250A54" w:rsidRPr="00766E15">
        <w:t xml:space="preserve">or obligation </w:t>
      </w:r>
      <w:r w:rsidRPr="00766E15">
        <w:t xml:space="preserve">as a result of a tax and the </w:t>
      </w:r>
      <w:r w:rsidR="00250A54" w:rsidRPr="00766E15">
        <w:t>tax</w:t>
      </w:r>
      <w:r w:rsidRPr="00766E15">
        <w:t xml:space="preserve"> itself would not be sufficiently direct;</w:t>
      </w:r>
    </w:p>
    <w:p w:rsidR="00B7661E" w:rsidRPr="00766E15" w:rsidRDefault="00B7661E" w:rsidP="001C7D79">
      <w:pPr>
        <w:pStyle w:val="NumBC1"/>
        <w:numPr>
          <w:ilvl w:val="1"/>
          <w:numId w:val="32"/>
        </w:numPr>
        <w:spacing w:before="0"/>
      </w:pPr>
      <w:r w:rsidRPr="00766E15">
        <w:t xml:space="preserve">based on common law principles, the Board observed that licence arrangements confer a specific permission to perform an activity or </w:t>
      </w:r>
      <w:r w:rsidR="00BD22E2">
        <w:t xml:space="preserve">to </w:t>
      </w:r>
      <w:r w:rsidRPr="00766E15">
        <w:t>use or access an asset that would otherwise be unlawful; and</w:t>
      </w:r>
    </w:p>
    <w:p w:rsidR="00B7661E" w:rsidRPr="00766E15" w:rsidRDefault="00B7661E" w:rsidP="001C7D79">
      <w:pPr>
        <w:pStyle w:val="NumBC1"/>
        <w:numPr>
          <w:ilvl w:val="1"/>
          <w:numId w:val="32"/>
        </w:numPr>
        <w:spacing w:before="0"/>
      </w:pPr>
      <w:proofErr w:type="gramStart"/>
      <w:r w:rsidRPr="00766E15">
        <w:t>also</w:t>
      </w:r>
      <w:proofErr w:type="gramEnd"/>
      <w:r w:rsidRPr="00766E15">
        <w:t xml:space="preserve"> based on common law principles, the Board observed that licence</w:t>
      </w:r>
      <w:r w:rsidR="00BD22E2">
        <w:t>s</w:t>
      </w:r>
      <w:r w:rsidRPr="00766E15">
        <w:t xml:space="preserve"> do not transfer control of a payee’s underlying asset. The transfer of </w:t>
      </w:r>
      <w:r w:rsidR="00CE1E51" w:rsidRPr="00766E15">
        <w:t xml:space="preserve">control of </w:t>
      </w:r>
      <w:r w:rsidRPr="00766E15">
        <w:t>assets would fall within the scope of other Australian Accounting Standards</w:t>
      </w:r>
      <w:r w:rsidR="00250A54" w:rsidRPr="00766E15">
        <w:t xml:space="preserve"> (</w:t>
      </w:r>
      <w:proofErr w:type="spellStart"/>
      <w:r w:rsidR="00250A54" w:rsidRPr="00766E15">
        <w:t>eg</w:t>
      </w:r>
      <w:proofErr w:type="spellEnd"/>
      <w:r w:rsidR="00250A54" w:rsidRPr="00766E15">
        <w:t xml:space="preserve"> </w:t>
      </w:r>
      <w:r w:rsidR="00291416">
        <w:t>AASB </w:t>
      </w:r>
      <w:r w:rsidR="00250A54" w:rsidRPr="00766E15">
        <w:t xml:space="preserve">116 </w:t>
      </w:r>
      <w:r w:rsidR="00250A54" w:rsidRPr="00446EBF">
        <w:rPr>
          <w:i/>
        </w:rPr>
        <w:t>Property, Plant and Equipment</w:t>
      </w:r>
      <w:r w:rsidR="00250A54" w:rsidRPr="00AE3C30">
        <w:t xml:space="preserve"> </w:t>
      </w:r>
      <w:r w:rsidR="00250A54" w:rsidRPr="00766E15">
        <w:t xml:space="preserve">and </w:t>
      </w:r>
      <w:r w:rsidR="00291416">
        <w:t>AASB </w:t>
      </w:r>
      <w:r w:rsidR="00250A54" w:rsidRPr="00766E15">
        <w:t>138)</w:t>
      </w:r>
      <w:r w:rsidRPr="00766E15">
        <w:t xml:space="preserve">, and therefore would not be within the scope of </w:t>
      </w:r>
      <w:r w:rsidR="00291416">
        <w:t>AASB </w:t>
      </w:r>
      <w:r w:rsidR="00250A54" w:rsidRPr="00766E15">
        <w:t>15</w:t>
      </w:r>
      <w:r w:rsidRPr="00766E15">
        <w:t>.</w:t>
      </w:r>
    </w:p>
    <w:p w:rsidR="00B7661E" w:rsidRPr="00766E15" w:rsidRDefault="00B7661E" w:rsidP="001C7D79">
      <w:pPr>
        <w:pStyle w:val="NumBC1"/>
        <w:numPr>
          <w:ilvl w:val="0"/>
          <w:numId w:val="32"/>
        </w:numPr>
        <w:spacing w:before="0"/>
      </w:pPr>
      <w:bookmarkStart w:id="41" w:name="_Ref522642909"/>
      <w:r w:rsidRPr="00766E15">
        <w:t xml:space="preserve">The Board considered the following common characteristics of licence arrangements irrelevant in distinguishing between licences and taxes, but </w:t>
      </w:r>
      <w:r w:rsidR="00F54E65">
        <w:t xml:space="preserve">noted they </w:t>
      </w:r>
      <w:r w:rsidRPr="00766E15">
        <w:t>could be useful in determining the accounting treatment of revenue from licences:</w:t>
      </w:r>
      <w:bookmarkEnd w:id="41"/>
    </w:p>
    <w:p w:rsidR="00B7661E" w:rsidRPr="00766E15" w:rsidRDefault="00B7661E" w:rsidP="001C7D79">
      <w:pPr>
        <w:pStyle w:val="NumBC1"/>
        <w:numPr>
          <w:ilvl w:val="1"/>
          <w:numId w:val="32"/>
        </w:numPr>
        <w:spacing w:before="0"/>
      </w:pPr>
      <w:r w:rsidRPr="00766E15">
        <w:t>the existence of an underlying asset;</w:t>
      </w:r>
    </w:p>
    <w:p w:rsidR="00B7661E" w:rsidRPr="00766E15" w:rsidRDefault="00B7661E" w:rsidP="001C7D79">
      <w:pPr>
        <w:pStyle w:val="NumBC1"/>
        <w:numPr>
          <w:ilvl w:val="1"/>
          <w:numId w:val="32"/>
        </w:numPr>
        <w:spacing w:before="0"/>
      </w:pPr>
      <w:proofErr w:type="spellStart"/>
      <w:r w:rsidRPr="00766E15">
        <w:t>refundability</w:t>
      </w:r>
      <w:proofErr w:type="spellEnd"/>
      <w:r w:rsidRPr="00766E15">
        <w:t>;</w:t>
      </w:r>
    </w:p>
    <w:p w:rsidR="00B7661E" w:rsidRPr="00766E15" w:rsidRDefault="00B7661E" w:rsidP="001C7D79">
      <w:pPr>
        <w:pStyle w:val="NumBC1"/>
        <w:numPr>
          <w:ilvl w:val="1"/>
          <w:numId w:val="32"/>
        </w:numPr>
        <w:spacing w:before="0"/>
      </w:pPr>
      <w:r w:rsidRPr="00766E15">
        <w:t>transferability; and</w:t>
      </w:r>
    </w:p>
    <w:p w:rsidR="00CF25BE" w:rsidRPr="00766E15" w:rsidRDefault="00B424C8" w:rsidP="001C7D79">
      <w:pPr>
        <w:pStyle w:val="NumBC1"/>
        <w:numPr>
          <w:ilvl w:val="1"/>
          <w:numId w:val="32"/>
        </w:numPr>
        <w:spacing w:before="0"/>
      </w:pPr>
      <w:proofErr w:type="gramStart"/>
      <w:r w:rsidRPr="00766E15">
        <w:t>the</w:t>
      </w:r>
      <w:proofErr w:type="gramEnd"/>
      <w:r w:rsidRPr="00766E15">
        <w:t xml:space="preserve"> </w:t>
      </w:r>
      <w:r>
        <w:t>term</w:t>
      </w:r>
      <w:r w:rsidRPr="00766E15">
        <w:t xml:space="preserve"> of the arrangement.</w:t>
      </w:r>
    </w:p>
    <w:p w:rsidR="00CF25BE" w:rsidRDefault="00CF25BE" w:rsidP="005D0061">
      <w:pPr>
        <w:pStyle w:val="IASBSectionTitle2Ind"/>
        <w:jc w:val="both"/>
        <w:outlineLvl w:val="3"/>
      </w:pPr>
      <w:r>
        <w:t>Terminology</w:t>
      </w:r>
    </w:p>
    <w:p w:rsidR="00CF25BE" w:rsidRDefault="00494875" w:rsidP="001C7D79">
      <w:pPr>
        <w:pStyle w:val="NumBC1"/>
        <w:numPr>
          <w:ilvl w:val="0"/>
          <w:numId w:val="32"/>
        </w:numPr>
        <w:spacing w:before="0"/>
      </w:pPr>
      <w:r>
        <w:t>In considering</w:t>
      </w:r>
      <w:r w:rsidR="0018175B">
        <w:t xml:space="preserve"> </w:t>
      </w:r>
      <w:r w:rsidR="00CF25BE">
        <w:t>the features that would be helpful in distinguishing a licence f</w:t>
      </w:r>
      <w:r w:rsidR="00B424C8">
        <w:t>rom a tax, the Board noted the substance of some arrangement</w:t>
      </w:r>
      <w:r w:rsidR="0018175B">
        <w:t xml:space="preserve">s might be contradictory to </w:t>
      </w:r>
      <w:r w:rsidR="003674E7">
        <w:t>the term used to describe them</w:t>
      </w:r>
      <w:r w:rsidR="00B424C8">
        <w:t xml:space="preserve">. For example, an arrangement that is </w:t>
      </w:r>
      <w:r w:rsidR="00446B6E">
        <w:t>referred to as</w:t>
      </w:r>
      <w:r w:rsidR="00B424C8">
        <w:t xml:space="preserve"> a ‘tax’ </w:t>
      </w:r>
      <w:r w:rsidR="0018175B">
        <w:t xml:space="preserve">might </w:t>
      </w:r>
      <w:r w:rsidR="00A36CB6">
        <w:t xml:space="preserve">in fact </w:t>
      </w:r>
      <w:r w:rsidR="0018175B">
        <w:t xml:space="preserve">be a licence in substance, </w:t>
      </w:r>
      <w:r w:rsidR="00B424C8">
        <w:t>based on the Board’s guidance. Alternatively, an arrangement might</w:t>
      </w:r>
      <w:r w:rsidR="003C1526">
        <w:t xml:space="preserve"> not</w:t>
      </w:r>
      <w:r w:rsidR="00B424C8">
        <w:t xml:space="preserve"> be </w:t>
      </w:r>
      <w:r w:rsidR="003C1526">
        <w:t xml:space="preserve">referred to as </w:t>
      </w:r>
      <w:r w:rsidR="00B424C8">
        <w:t>either a licence or a tax, but instead</w:t>
      </w:r>
      <w:r w:rsidR="00A36CB6">
        <w:t>, for example,</w:t>
      </w:r>
      <w:r w:rsidR="00B424C8">
        <w:t xml:space="preserve"> </w:t>
      </w:r>
      <w:r w:rsidR="003C1526">
        <w:t xml:space="preserve">as </w:t>
      </w:r>
      <w:r w:rsidR="00B424C8">
        <w:t xml:space="preserve">a ‘permit’. The Board </w:t>
      </w:r>
      <w:r w:rsidR="002735CE">
        <w:t xml:space="preserve">noted </w:t>
      </w:r>
      <w:r w:rsidR="00B424C8">
        <w:t xml:space="preserve">that, notwithstanding the </w:t>
      </w:r>
      <w:r w:rsidR="003C1526">
        <w:t xml:space="preserve">term used </w:t>
      </w:r>
      <w:r w:rsidR="00B424C8">
        <w:t xml:space="preserve">to </w:t>
      </w:r>
      <w:r w:rsidR="003C1526">
        <w:t xml:space="preserve">describe </w:t>
      </w:r>
      <w:r w:rsidR="00B424C8">
        <w:t xml:space="preserve">an arrangement, a licensor should consider its substance in accordance with the guidance provided in this Standard and account for that arrangement </w:t>
      </w:r>
      <w:r w:rsidR="003C1526">
        <w:t>accordingly</w:t>
      </w:r>
      <w:r w:rsidR="00B424C8">
        <w:t xml:space="preserve">. </w:t>
      </w:r>
    </w:p>
    <w:p w:rsidR="00B7661E" w:rsidRPr="00766E15" w:rsidRDefault="00B7661E" w:rsidP="005D0061">
      <w:pPr>
        <w:pStyle w:val="IASBSectionTitle1NonInd"/>
        <w:jc w:val="both"/>
        <w:outlineLvl w:val="2"/>
        <w:rPr>
          <w:iCs/>
        </w:rPr>
      </w:pPr>
      <w:r w:rsidRPr="00766E15">
        <w:t>Application of Australian Accounting Standards</w:t>
      </w:r>
    </w:p>
    <w:p w:rsidR="00B7661E" w:rsidRPr="00766E15" w:rsidRDefault="00B7661E" w:rsidP="001C7D79">
      <w:pPr>
        <w:pStyle w:val="NumBC1"/>
        <w:numPr>
          <w:ilvl w:val="0"/>
          <w:numId w:val="32"/>
        </w:numPr>
        <w:spacing w:before="0"/>
      </w:pPr>
      <w:r w:rsidRPr="00766E15">
        <w:t>The Board considered the applicability of the existing suite of Australian Accounting Standards to</w:t>
      </w:r>
      <w:r w:rsidR="00F05BA8" w:rsidRPr="00766E15">
        <w:t xml:space="preserve"> </w:t>
      </w:r>
      <w:r w:rsidRPr="00766E15">
        <w:t>licence</w:t>
      </w:r>
      <w:r w:rsidR="002A0A9D">
        <w:t>s</w:t>
      </w:r>
      <w:r w:rsidRPr="00766E15">
        <w:t>. The Board also considered the suitability of the</w:t>
      </w:r>
      <w:r w:rsidR="00B424C8">
        <w:t xml:space="preserve"> scoping</w:t>
      </w:r>
      <w:r w:rsidRPr="00766E15">
        <w:t xml:space="preserve"> principles </w:t>
      </w:r>
      <w:r w:rsidR="00250A54" w:rsidRPr="00766E15">
        <w:t>in</w:t>
      </w:r>
      <w:r w:rsidRPr="00766E15">
        <w:t xml:space="preserve"> </w:t>
      </w:r>
      <w:r w:rsidR="00291416">
        <w:t>AASB </w:t>
      </w:r>
      <w:r w:rsidRPr="00766E15">
        <w:t>15 in the context of whether its application could be extrapolated to appropriately reflect the economic substance of transactions in accounting for revenue from licences issued under statute. The Board identified the following Australian Accounting Standards as possibly applicable:</w:t>
      </w:r>
    </w:p>
    <w:p w:rsidR="00B7661E" w:rsidRPr="00766E15" w:rsidRDefault="00291416" w:rsidP="001C7D79">
      <w:pPr>
        <w:pStyle w:val="NumBC1"/>
        <w:numPr>
          <w:ilvl w:val="1"/>
          <w:numId w:val="32"/>
        </w:numPr>
        <w:spacing w:before="0"/>
      </w:pPr>
      <w:bookmarkStart w:id="42" w:name="_Ref497043961"/>
      <w:r>
        <w:t>AASB </w:t>
      </w:r>
      <w:r w:rsidR="00B7661E" w:rsidRPr="00766E15">
        <w:t>16;</w:t>
      </w:r>
      <w:bookmarkEnd w:id="42"/>
    </w:p>
    <w:p w:rsidR="00B7661E" w:rsidRPr="00766E15" w:rsidRDefault="00291416" w:rsidP="001C7D79">
      <w:pPr>
        <w:pStyle w:val="NumBC1"/>
        <w:numPr>
          <w:ilvl w:val="1"/>
          <w:numId w:val="32"/>
        </w:numPr>
        <w:spacing w:before="0"/>
      </w:pPr>
      <w:r>
        <w:t>AASB </w:t>
      </w:r>
      <w:r w:rsidR="00B7661E" w:rsidRPr="00766E15">
        <w:t>1058; and</w:t>
      </w:r>
    </w:p>
    <w:p w:rsidR="00B7661E" w:rsidRPr="00766E15" w:rsidRDefault="00291416" w:rsidP="001C7D79">
      <w:pPr>
        <w:pStyle w:val="NumBC1"/>
        <w:numPr>
          <w:ilvl w:val="1"/>
          <w:numId w:val="32"/>
        </w:numPr>
        <w:spacing w:before="0"/>
      </w:pPr>
      <w:r>
        <w:t>AASB </w:t>
      </w:r>
      <w:r w:rsidR="00B7661E" w:rsidRPr="00766E15">
        <w:t>1059.</w:t>
      </w:r>
    </w:p>
    <w:p w:rsidR="00B7661E" w:rsidRPr="00766E15" w:rsidRDefault="00B7661E" w:rsidP="001C7D79">
      <w:pPr>
        <w:pStyle w:val="NumBC1"/>
        <w:numPr>
          <w:ilvl w:val="0"/>
          <w:numId w:val="32"/>
        </w:numPr>
        <w:spacing w:before="0"/>
      </w:pPr>
      <w:r w:rsidRPr="00766E15">
        <w:t>The Board’s views with respect to the application of the</w:t>
      </w:r>
      <w:r w:rsidR="00931953">
        <w:t>se</w:t>
      </w:r>
      <w:r w:rsidRPr="00766E15">
        <w:t xml:space="preserve"> Australian Accounting Standards are set out </w:t>
      </w:r>
      <w:r w:rsidR="00931953">
        <w:t xml:space="preserve">in paragraphs </w:t>
      </w:r>
      <w:r w:rsidR="00376908">
        <w:fldChar w:fldCharType="begin"/>
      </w:r>
      <w:r w:rsidR="00376908">
        <w:instrText xml:space="preserve"> REF _Ref493519053 \r \h </w:instrText>
      </w:r>
      <w:r w:rsidR="00376908">
        <w:fldChar w:fldCharType="separate"/>
      </w:r>
      <w:r w:rsidR="00882B86">
        <w:t>BC31</w:t>
      </w:r>
      <w:r w:rsidR="00376908">
        <w:fldChar w:fldCharType="end"/>
      </w:r>
      <w:r w:rsidR="00BC24B5">
        <w:t>–</w:t>
      </w:r>
      <w:r w:rsidR="002735CE">
        <w:fldChar w:fldCharType="begin"/>
      </w:r>
      <w:r w:rsidR="002735CE">
        <w:instrText xml:space="preserve"> REF _Ref523157281 \r \h </w:instrText>
      </w:r>
      <w:r w:rsidR="002735CE">
        <w:fldChar w:fldCharType="separate"/>
      </w:r>
      <w:r w:rsidR="00882B86">
        <w:t>BC52</w:t>
      </w:r>
      <w:r w:rsidR="002735CE">
        <w:fldChar w:fldCharType="end"/>
      </w:r>
      <w:r w:rsidR="002735CE">
        <w:t>.</w:t>
      </w:r>
    </w:p>
    <w:p w:rsidR="00B7661E" w:rsidRPr="000A5D11" w:rsidRDefault="00291416" w:rsidP="005D0061">
      <w:pPr>
        <w:pStyle w:val="IASBSectionTitle2Ind"/>
        <w:outlineLvl w:val="3"/>
      </w:pPr>
      <w:r>
        <w:t>AASB </w:t>
      </w:r>
      <w:r w:rsidR="00B7661E" w:rsidRPr="00766E15">
        <w:t xml:space="preserve">16 </w:t>
      </w:r>
      <w:r w:rsidR="00B7661E" w:rsidRPr="000A5D11">
        <w:rPr>
          <w:i/>
        </w:rPr>
        <w:t>Leases</w:t>
      </w:r>
    </w:p>
    <w:p w:rsidR="00B7661E" w:rsidRPr="00766E15" w:rsidRDefault="00B7661E" w:rsidP="001C7D79">
      <w:pPr>
        <w:pStyle w:val="NumBC1"/>
        <w:numPr>
          <w:ilvl w:val="0"/>
          <w:numId w:val="32"/>
        </w:numPr>
        <w:spacing w:before="0"/>
      </w:pPr>
      <w:bookmarkStart w:id="43" w:name="_Ref493519053"/>
      <w:r w:rsidRPr="00766E15">
        <w:t xml:space="preserve">The Board noted that </w:t>
      </w:r>
      <w:r w:rsidR="00291416">
        <w:t>AASB </w:t>
      </w:r>
      <w:r w:rsidRPr="00766E15">
        <w:t>16</w:t>
      </w:r>
      <w:r w:rsidRPr="00AE3C30">
        <w:t xml:space="preserve"> </w:t>
      </w:r>
      <w:r w:rsidR="00F12DA4" w:rsidRPr="00766E15">
        <w:t xml:space="preserve">would </w:t>
      </w:r>
      <w:r w:rsidRPr="00766E15">
        <w:t>only appl</w:t>
      </w:r>
      <w:r w:rsidR="00F12DA4" w:rsidRPr="00766E15">
        <w:t>y</w:t>
      </w:r>
      <w:r w:rsidRPr="00766E15">
        <w:t xml:space="preserve"> to licences outside the scope of </w:t>
      </w:r>
      <w:r w:rsidR="00291416">
        <w:t>AASB </w:t>
      </w:r>
      <w:r w:rsidRPr="00766E15">
        <w:t>15 that satisfy the definition of a lease.</w:t>
      </w:r>
      <w:bookmarkEnd w:id="43"/>
    </w:p>
    <w:p w:rsidR="00B7661E" w:rsidRPr="00766E15" w:rsidRDefault="00B7661E" w:rsidP="001C7D79">
      <w:pPr>
        <w:pStyle w:val="NumBC1"/>
        <w:numPr>
          <w:ilvl w:val="0"/>
          <w:numId w:val="32"/>
        </w:numPr>
        <w:spacing w:before="0"/>
      </w:pPr>
      <w:r w:rsidRPr="00766E15">
        <w:t xml:space="preserve">In considering whether a licence could satisfy the definition of a lease, and therefore be accounted for in accordance with </w:t>
      </w:r>
      <w:r w:rsidR="00291416">
        <w:t>AASB </w:t>
      </w:r>
      <w:r w:rsidRPr="00766E15">
        <w:t xml:space="preserve">16, the Board noted the licence would need to </w:t>
      </w:r>
      <w:r w:rsidR="005708D3">
        <w:t>be</w:t>
      </w:r>
      <w:r w:rsidRPr="00766E15">
        <w:t xml:space="preserve"> a contract </w:t>
      </w:r>
      <w:r w:rsidR="00F12DA4" w:rsidRPr="00766E15">
        <w:t xml:space="preserve">(see the discussion in paragraphs </w:t>
      </w:r>
      <w:r w:rsidR="00F12DA4" w:rsidRPr="00766E15">
        <w:fldChar w:fldCharType="begin"/>
      </w:r>
      <w:r w:rsidR="00F12DA4" w:rsidRPr="00766E15">
        <w:instrText xml:space="preserve"> REF _Ref493610003 \r \h </w:instrText>
      </w:r>
      <w:r w:rsidR="00766E15">
        <w:instrText xml:space="preserve"> \* MERGEFORMAT </w:instrText>
      </w:r>
      <w:r w:rsidR="00F12DA4" w:rsidRPr="00766E15">
        <w:fldChar w:fldCharType="separate"/>
      </w:r>
      <w:r w:rsidR="00882B86">
        <w:t>BC43</w:t>
      </w:r>
      <w:r w:rsidR="00F12DA4" w:rsidRPr="00766E15">
        <w:fldChar w:fldCharType="end"/>
      </w:r>
      <w:r w:rsidR="00F12DA4" w:rsidRPr="00766E15">
        <w:t xml:space="preserve"> for </w:t>
      </w:r>
      <w:r w:rsidR="005708D3">
        <w:t>the Board’s deliberations on</w:t>
      </w:r>
      <w:r w:rsidR="00F12DA4" w:rsidRPr="00766E15">
        <w:t xml:space="preserve"> whether </w:t>
      </w:r>
      <w:r w:rsidR="00D22BEA" w:rsidRPr="00766E15">
        <w:t xml:space="preserve">all </w:t>
      </w:r>
      <w:r w:rsidR="00F12DA4" w:rsidRPr="00766E15">
        <w:t xml:space="preserve">licences are contracts) </w:t>
      </w:r>
      <w:r w:rsidRPr="00766E15">
        <w:t xml:space="preserve">conveying a ‘right to use’ an asset for a period of time in exchange for consideration. The asset would also need to be an identified asset with no substantive right of substitution. </w:t>
      </w:r>
    </w:p>
    <w:p w:rsidR="00B7661E" w:rsidRPr="00766E15" w:rsidRDefault="00B7661E" w:rsidP="001C7D79">
      <w:pPr>
        <w:pStyle w:val="NumBC1"/>
        <w:numPr>
          <w:ilvl w:val="0"/>
          <w:numId w:val="32"/>
        </w:numPr>
        <w:spacing w:before="0"/>
      </w:pPr>
      <w:r w:rsidRPr="00766E15">
        <w:t xml:space="preserve">The Board considered the meaning of ‘right to use’ in the context of the </w:t>
      </w:r>
      <w:r w:rsidR="00007A64">
        <w:t>Application Guidance</w:t>
      </w:r>
      <w:r w:rsidRPr="00766E15">
        <w:t xml:space="preserve"> in </w:t>
      </w:r>
      <w:r w:rsidR="00291416">
        <w:t>AASB </w:t>
      </w:r>
      <w:r w:rsidRPr="00766E15">
        <w:t xml:space="preserve">16, which requires the contract to convey the right to control the use of the identified asset for a period of time. In doing so, </w:t>
      </w:r>
      <w:r w:rsidR="00A11F66">
        <w:t>an</w:t>
      </w:r>
      <w:r w:rsidRPr="00766E15">
        <w:t xml:space="preserve"> entity is required to assess whether </w:t>
      </w:r>
      <w:r w:rsidR="00A11F66">
        <w:t>a</w:t>
      </w:r>
      <w:r w:rsidRPr="00766E15">
        <w:t xml:space="preserve"> customer has:</w:t>
      </w:r>
    </w:p>
    <w:p w:rsidR="00B7661E" w:rsidRPr="00766E15" w:rsidRDefault="00B7661E" w:rsidP="001C7D79">
      <w:pPr>
        <w:pStyle w:val="NumBC1"/>
        <w:numPr>
          <w:ilvl w:val="1"/>
          <w:numId w:val="32"/>
        </w:numPr>
        <w:spacing w:before="0"/>
      </w:pPr>
      <w:r w:rsidRPr="00766E15">
        <w:t>the right to obtain substantially all of the economic benefits from the use of the identified asset, such that the customer has rights to direct how and for what purpose the asset is used; and</w:t>
      </w:r>
    </w:p>
    <w:p w:rsidR="00B7661E" w:rsidRPr="00766E15" w:rsidRDefault="00B7661E" w:rsidP="001C7D79">
      <w:pPr>
        <w:pStyle w:val="NumBC1"/>
        <w:numPr>
          <w:ilvl w:val="1"/>
          <w:numId w:val="32"/>
        </w:numPr>
        <w:spacing w:before="0"/>
      </w:pPr>
      <w:proofErr w:type="gramStart"/>
      <w:r w:rsidRPr="00766E15">
        <w:t>the</w:t>
      </w:r>
      <w:proofErr w:type="gramEnd"/>
      <w:r w:rsidRPr="00766E15">
        <w:t xml:space="preserve"> right to direct the use of the identified asset, such that relevant decisions about how and for what purpose the asset </w:t>
      </w:r>
      <w:r w:rsidR="00F12DA4" w:rsidRPr="00766E15">
        <w:t>is</w:t>
      </w:r>
      <w:r w:rsidRPr="00766E15">
        <w:t xml:space="preserve"> used are predetermined. The customer must also have the right to operate the asset without the supplier having rights to change operating instructions, or the customer designed the asset in a way that predetermines how and for what purpose the asset will be used.</w:t>
      </w:r>
    </w:p>
    <w:p w:rsidR="00B7661E" w:rsidRPr="00766E15" w:rsidRDefault="00B7661E" w:rsidP="001C7D79">
      <w:pPr>
        <w:pStyle w:val="NumBC1"/>
        <w:numPr>
          <w:ilvl w:val="0"/>
          <w:numId w:val="32"/>
        </w:numPr>
        <w:spacing w:before="0"/>
      </w:pPr>
      <w:r w:rsidRPr="00766E15">
        <w:t xml:space="preserve">Accordingly, the Board </w:t>
      </w:r>
      <w:r w:rsidR="00C57818">
        <w:t>observed</w:t>
      </w:r>
      <w:r w:rsidRPr="00766E15">
        <w:t xml:space="preserve"> that </w:t>
      </w:r>
      <w:r w:rsidR="00291416">
        <w:t>AASB </w:t>
      </w:r>
      <w:r w:rsidRPr="00766E15">
        <w:t xml:space="preserve">16 could only apply to ‘right to use’ identified assets under contractual licences outside the scope of </w:t>
      </w:r>
      <w:r w:rsidR="00291416">
        <w:t>AASB </w:t>
      </w:r>
      <w:r w:rsidRPr="00766E15">
        <w:t xml:space="preserve">15, but that the term ‘right to use’ in the context of </w:t>
      </w:r>
      <w:r w:rsidR="00291416">
        <w:t>AASB </w:t>
      </w:r>
      <w:r w:rsidRPr="00766E15">
        <w:t xml:space="preserve">16, as outlined in the </w:t>
      </w:r>
      <w:r w:rsidR="00007A64">
        <w:t>Application Guidance</w:t>
      </w:r>
      <w:r w:rsidR="00D427C3">
        <w:t xml:space="preserve"> of that Standard</w:t>
      </w:r>
      <w:r w:rsidRPr="00766E15">
        <w:t xml:space="preserve">, is </w:t>
      </w:r>
      <w:r w:rsidR="00D765CC">
        <w:t>used in a different context</w:t>
      </w:r>
      <w:r w:rsidRPr="00766E15">
        <w:t xml:space="preserve"> to the term ‘right to use’ </w:t>
      </w:r>
      <w:r w:rsidR="00D765CC">
        <w:t>when</w:t>
      </w:r>
      <w:r w:rsidRPr="00766E15">
        <w:t xml:space="preserve"> accounting for revenue from the issue of </w:t>
      </w:r>
      <w:r w:rsidR="00F32FCA">
        <w:t>IP</w:t>
      </w:r>
      <w:r w:rsidRPr="00766E15">
        <w:t xml:space="preserve"> licences addressed in </w:t>
      </w:r>
      <w:r w:rsidR="00291416">
        <w:t>AASB </w:t>
      </w:r>
      <w:r w:rsidRPr="00766E15">
        <w:t>15</w:t>
      </w:r>
      <w:r w:rsidR="00F32FCA">
        <w:t>.</w:t>
      </w:r>
      <w:r w:rsidR="00F32FCA" w:rsidRPr="00766E15" w:rsidDel="00F32FCA">
        <w:t xml:space="preserve"> </w:t>
      </w:r>
    </w:p>
    <w:p w:rsidR="00B7661E" w:rsidRPr="00766E15" w:rsidRDefault="00B7661E" w:rsidP="001C7D79">
      <w:pPr>
        <w:pStyle w:val="NumBC1"/>
        <w:numPr>
          <w:ilvl w:val="0"/>
          <w:numId w:val="32"/>
        </w:numPr>
        <w:spacing w:before="0"/>
      </w:pPr>
      <w:r w:rsidRPr="00766E15">
        <w:t xml:space="preserve">In this regard, the Board noted that </w:t>
      </w:r>
      <w:r w:rsidR="00CF722B">
        <w:t xml:space="preserve">it would expect </w:t>
      </w:r>
      <w:r w:rsidRPr="00766E15">
        <w:t>most non-</w:t>
      </w:r>
      <w:r w:rsidR="00F32FCA">
        <w:t>IP</w:t>
      </w:r>
      <w:r w:rsidRPr="00766E15">
        <w:t xml:space="preserve"> licences issued by </w:t>
      </w:r>
      <w:r w:rsidR="00540E91">
        <w:t>NFP</w:t>
      </w:r>
      <w:r w:rsidRPr="00766E15">
        <w:t xml:space="preserve"> public sector </w:t>
      </w:r>
      <w:r w:rsidR="00A82DD0">
        <w:t>licensors</w:t>
      </w:r>
      <w:r w:rsidRPr="00766E15">
        <w:t xml:space="preserve"> would not constitute ‘right to use’ identified asset type licences, and therefore would not fall within the scope of </w:t>
      </w:r>
      <w:r w:rsidR="00291416">
        <w:t>AASB </w:t>
      </w:r>
      <w:r w:rsidRPr="00766E15">
        <w:t>16 because:</w:t>
      </w:r>
    </w:p>
    <w:p w:rsidR="00B7661E" w:rsidRPr="00766E15" w:rsidRDefault="00B7661E" w:rsidP="001C7D79">
      <w:pPr>
        <w:pStyle w:val="NumBC1"/>
        <w:numPr>
          <w:ilvl w:val="1"/>
          <w:numId w:val="32"/>
        </w:numPr>
        <w:spacing w:before="0"/>
      </w:pPr>
      <w:r w:rsidRPr="00766E15">
        <w:t xml:space="preserve">in most cases there would not be an </w:t>
      </w:r>
      <w:r w:rsidR="008E27C3" w:rsidRPr="00766E15">
        <w:t xml:space="preserve">underlying licensor’s </w:t>
      </w:r>
      <w:r w:rsidRPr="00766E15">
        <w:t>asset involved in the arrangement (</w:t>
      </w:r>
      <w:r w:rsidR="008E27C3" w:rsidRPr="00766E15">
        <w:t xml:space="preserve">for </w:t>
      </w:r>
      <w:r w:rsidRPr="00766E15">
        <w:t>example ‘right to perform’ type licences</w:t>
      </w:r>
      <w:r w:rsidR="008E27C3" w:rsidRPr="00766E15">
        <w:t>)</w:t>
      </w:r>
      <w:r w:rsidRPr="00766E15">
        <w:t>; or</w:t>
      </w:r>
    </w:p>
    <w:p w:rsidR="00B7661E" w:rsidRPr="00766E15" w:rsidRDefault="00B7661E" w:rsidP="001C7D79">
      <w:pPr>
        <w:pStyle w:val="NumBC1"/>
        <w:numPr>
          <w:ilvl w:val="1"/>
          <w:numId w:val="32"/>
        </w:numPr>
        <w:spacing w:before="0"/>
      </w:pPr>
      <w:proofErr w:type="gramStart"/>
      <w:r w:rsidRPr="00766E15">
        <w:t>where</w:t>
      </w:r>
      <w:proofErr w:type="gramEnd"/>
      <w:r w:rsidRPr="00766E15">
        <w:t xml:space="preserve"> a licensor’s asset is involved, it would be in the nature of ‘a capacity portion of an asset that is not physically distinct’ </w:t>
      </w:r>
      <w:r w:rsidR="00BC489A">
        <w:t xml:space="preserve">(a phrase used in AASB 16) </w:t>
      </w:r>
      <w:r w:rsidR="00382EA1">
        <w:t>and</w:t>
      </w:r>
      <w:r w:rsidR="00382EA1" w:rsidRPr="00766E15">
        <w:t xml:space="preserve"> </w:t>
      </w:r>
      <w:r w:rsidRPr="00766E15">
        <w:t>not an identified asset.</w:t>
      </w:r>
    </w:p>
    <w:p w:rsidR="00B7661E" w:rsidRPr="00766E15" w:rsidRDefault="00B7661E" w:rsidP="001C7D79">
      <w:pPr>
        <w:pStyle w:val="NumBC1"/>
        <w:numPr>
          <w:ilvl w:val="0"/>
          <w:numId w:val="32"/>
        </w:numPr>
        <w:spacing w:before="0"/>
      </w:pPr>
      <w:bookmarkStart w:id="44" w:name="_Ref493519097"/>
      <w:r w:rsidRPr="00766E15">
        <w:t xml:space="preserve">In this regard, the Board </w:t>
      </w:r>
      <w:r w:rsidR="00382EA1">
        <w:t>noted</w:t>
      </w:r>
      <w:r w:rsidR="00382EA1" w:rsidRPr="00766E15">
        <w:t xml:space="preserve"> </w:t>
      </w:r>
      <w:r w:rsidRPr="00766E15">
        <w:t xml:space="preserve">that although a licence could satisfy the definition of a lease and therefore fall within the scope of </w:t>
      </w:r>
      <w:r w:rsidR="00291416">
        <w:t>AASB </w:t>
      </w:r>
      <w:r w:rsidRPr="00766E15">
        <w:t>16,</w:t>
      </w:r>
      <w:r w:rsidR="00FA73A6">
        <w:t xml:space="preserve"> after consultation with constituents it could</w:t>
      </w:r>
      <w:r w:rsidRPr="00766E15">
        <w:t xml:space="preserve"> only </w:t>
      </w:r>
      <w:r w:rsidR="00D6186D">
        <w:t xml:space="preserve">identify a </w:t>
      </w:r>
      <w:r w:rsidRPr="00766E15">
        <w:t xml:space="preserve">limited </w:t>
      </w:r>
      <w:r w:rsidR="00D6186D">
        <w:t xml:space="preserve">number of </w:t>
      </w:r>
      <w:r w:rsidRPr="00766E15">
        <w:t>examples (</w:t>
      </w:r>
      <w:proofErr w:type="spellStart"/>
      <w:r w:rsidR="00456DFF">
        <w:t>eg</w:t>
      </w:r>
      <w:proofErr w:type="spellEnd"/>
      <w:r w:rsidRPr="00766E15">
        <w:t xml:space="preserve"> spectrum licences).</w:t>
      </w:r>
      <w:bookmarkEnd w:id="44"/>
    </w:p>
    <w:p w:rsidR="00382EA1" w:rsidRPr="00766E15" w:rsidRDefault="00382EA1" w:rsidP="001C7D79">
      <w:pPr>
        <w:pStyle w:val="NumBC1"/>
        <w:numPr>
          <w:ilvl w:val="0"/>
          <w:numId w:val="32"/>
        </w:numPr>
        <w:spacing w:before="0"/>
      </w:pPr>
      <w:r>
        <w:t>The Board decided to amend the scope paragraph of AASB 16 to ensure the interaction of AASB 15 and 16 is clear.</w:t>
      </w:r>
    </w:p>
    <w:p w:rsidR="00B7661E" w:rsidRPr="00766E15" w:rsidRDefault="00291416" w:rsidP="005D0061">
      <w:pPr>
        <w:pStyle w:val="IASBSectionTitle2Ind"/>
        <w:outlineLvl w:val="3"/>
        <w:rPr>
          <w:bCs/>
          <w:iCs/>
        </w:rPr>
      </w:pPr>
      <w:r>
        <w:t>AASB </w:t>
      </w:r>
      <w:r w:rsidR="00B7661E" w:rsidRPr="00766E15">
        <w:t xml:space="preserve">1059 </w:t>
      </w:r>
      <w:r w:rsidR="00B7661E" w:rsidRPr="00FC54B8">
        <w:rPr>
          <w:i/>
        </w:rPr>
        <w:t>Service Concession Arrangements: Grantors</w:t>
      </w:r>
    </w:p>
    <w:p w:rsidR="00B7661E" w:rsidRPr="00766E15" w:rsidRDefault="00291416" w:rsidP="001C7D79">
      <w:pPr>
        <w:pStyle w:val="NumBC1"/>
        <w:numPr>
          <w:ilvl w:val="0"/>
          <w:numId w:val="32"/>
        </w:numPr>
        <w:spacing w:before="0"/>
      </w:pPr>
      <w:bookmarkStart w:id="45" w:name="_Ref522627535"/>
      <w:r>
        <w:t>AASB </w:t>
      </w:r>
      <w:r w:rsidR="00B7661E" w:rsidRPr="00766E15">
        <w:t>1059 applies to service concession arrangements, and does not intend service concession arrangements be referred to as licences, on the basis that</w:t>
      </w:r>
      <w:r w:rsidR="00DB1A51">
        <w:t>, in relation to a service concession arrangement</w:t>
      </w:r>
      <w:r w:rsidR="00B7661E" w:rsidRPr="00766E15">
        <w:t xml:space="preserve"> “…the substance of the transaction appears more akin to financing the construction of the service concession asset, rather than a contract with a customer” (</w:t>
      </w:r>
      <w:r w:rsidR="008E27C3" w:rsidRPr="00766E15">
        <w:t xml:space="preserve">paragraph BC77 of </w:t>
      </w:r>
      <w:r>
        <w:t>AASB </w:t>
      </w:r>
      <w:r w:rsidR="00B7661E" w:rsidRPr="00766E15">
        <w:t>1059)</w:t>
      </w:r>
      <w:r w:rsidR="006A2CF9">
        <w:t>.</w:t>
      </w:r>
      <w:bookmarkEnd w:id="45"/>
    </w:p>
    <w:p w:rsidR="00B7661E" w:rsidRPr="00766E15" w:rsidRDefault="00B7661E" w:rsidP="001C7D79">
      <w:pPr>
        <w:pStyle w:val="NumBC1"/>
        <w:numPr>
          <w:ilvl w:val="0"/>
          <w:numId w:val="32"/>
        </w:numPr>
        <w:spacing w:before="0"/>
      </w:pPr>
      <w:bookmarkStart w:id="46" w:name="_Ref522627543"/>
      <w:r w:rsidRPr="00766E15">
        <w:t xml:space="preserve">Given the approach in </w:t>
      </w:r>
      <w:r w:rsidR="00291416">
        <w:t>AASB </w:t>
      </w:r>
      <w:r w:rsidRPr="00766E15">
        <w:t>1059, the Board concluded that it would not be necessary to address any licences that meet the definition of service concession arrangements</w:t>
      </w:r>
      <w:r w:rsidR="000E3F10">
        <w:t xml:space="preserve"> in</w:t>
      </w:r>
      <w:r w:rsidR="008E27C3" w:rsidRPr="00766E15">
        <w:t xml:space="preserve"> this </w:t>
      </w:r>
      <w:r w:rsidR="00345A9C">
        <w:t>Standard</w:t>
      </w:r>
      <w:r w:rsidRPr="00766E15">
        <w:t xml:space="preserve"> as they are adequately dealt with in </w:t>
      </w:r>
      <w:r w:rsidR="00291416">
        <w:t>AASB </w:t>
      </w:r>
      <w:r w:rsidRPr="00766E15">
        <w:t xml:space="preserve">1059. The Board also concluded that, in the context of clarifying the accounting for revenue from licences issued by </w:t>
      </w:r>
      <w:r w:rsidR="00540E91">
        <w:t>NFP</w:t>
      </w:r>
      <w:r w:rsidRPr="00766E15">
        <w:t xml:space="preserve"> public sector </w:t>
      </w:r>
      <w:r w:rsidR="00A82DD0">
        <w:t>licensors</w:t>
      </w:r>
      <w:r w:rsidRPr="00766E15">
        <w:t xml:space="preserve">, </w:t>
      </w:r>
      <w:r w:rsidR="00291416">
        <w:t>AASB </w:t>
      </w:r>
      <w:r w:rsidRPr="00766E15">
        <w:t>1059 should not be applied by analogy to licence arrangements that are not service concession arrangements.</w:t>
      </w:r>
      <w:bookmarkEnd w:id="46"/>
    </w:p>
    <w:p w:rsidR="00B7661E" w:rsidRPr="00766E15" w:rsidRDefault="00291416" w:rsidP="005D0061">
      <w:pPr>
        <w:pStyle w:val="IASBSectionTitle2Ind"/>
        <w:outlineLvl w:val="3"/>
        <w:rPr>
          <w:bCs/>
          <w:iCs/>
        </w:rPr>
      </w:pPr>
      <w:r>
        <w:t>AASB </w:t>
      </w:r>
      <w:r w:rsidR="00B7661E" w:rsidRPr="00766E15">
        <w:t xml:space="preserve">1058 </w:t>
      </w:r>
      <w:r w:rsidR="00B7661E" w:rsidRPr="00FC54B8">
        <w:rPr>
          <w:i/>
        </w:rPr>
        <w:t xml:space="preserve">Income of </w:t>
      </w:r>
      <w:r w:rsidR="00B424C8">
        <w:rPr>
          <w:i/>
        </w:rPr>
        <w:t>Not-for-Profit</w:t>
      </w:r>
      <w:r w:rsidR="00B424C8" w:rsidRPr="00FC54B8">
        <w:rPr>
          <w:i/>
        </w:rPr>
        <w:t xml:space="preserve"> </w:t>
      </w:r>
      <w:r w:rsidR="00B7661E" w:rsidRPr="00FC54B8">
        <w:rPr>
          <w:i/>
        </w:rPr>
        <w:t>Entities</w:t>
      </w:r>
    </w:p>
    <w:p w:rsidR="00B7661E" w:rsidRPr="00766E15" w:rsidRDefault="00B7661E" w:rsidP="001C7D79">
      <w:pPr>
        <w:pStyle w:val="NumBC1"/>
        <w:numPr>
          <w:ilvl w:val="0"/>
          <w:numId w:val="32"/>
        </w:numPr>
        <w:spacing w:before="0"/>
      </w:pPr>
      <w:bookmarkStart w:id="47" w:name="_Ref522627578"/>
      <w:r w:rsidRPr="00766E15">
        <w:t xml:space="preserve">The Board concluded that </w:t>
      </w:r>
      <w:r w:rsidR="00291416">
        <w:t>AASB </w:t>
      </w:r>
      <w:r w:rsidRPr="00766E15">
        <w:t>1058 should not apply to accounting for revenue from licence</w:t>
      </w:r>
      <w:r w:rsidR="00D01909">
        <w:t>s</w:t>
      </w:r>
      <w:r w:rsidRPr="00766E15">
        <w:t xml:space="preserve"> within the scope of this</w:t>
      </w:r>
      <w:r w:rsidR="00D01909">
        <w:t xml:space="preserve"> Standard</w:t>
      </w:r>
      <w:r w:rsidRPr="00766E15">
        <w:t xml:space="preserve"> as it is a ‘residual’ income recognition standard and </w:t>
      </w:r>
      <w:r w:rsidR="00291416">
        <w:t>AASB </w:t>
      </w:r>
      <w:r w:rsidRPr="00766E15">
        <w:t xml:space="preserve">15 </w:t>
      </w:r>
      <w:r w:rsidR="00462084">
        <w:t xml:space="preserve">is </w:t>
      </w:r>
      <w:r w:rsidRPr="00766E15">
        <w:t>more suitable as it is a ‘primary’ revenue recognition standard.</w:t>
      </w:r>
      <w:bookmarkEnd w:id="47"/>
    </w:p>
    <w:p w:rsidR="00B7661E" w:rsidRPr="00766E15" w:rsidRDefault="00E93897" w:rsidP="005D0061">
      <w:pPr>
        <w:pStyle w:val="IASBSectionTitle2Ind"/>
        <w:outlineLvl w:val="3"/>
        <w:rPr>
          <w:bCs/>
          <w:iCs/>
        </w:rPr>
      </w:pPr>
      <w:r>
        <w:t>AASB</w:t>
      </w:r>
      <w:r w:rsidR="00AA6C42">
        <w:t xml:space="preserve"> </w:t>
      </w:r>
      <w:r w:rsidR="00B7661E" w:rsidRPr="00766E15">
        <w:t xml:space="preserve">15 </w:t>
      </w:r>
      <w:r w:rsidR="00B7661E" w:rsidRPr="00FC54B8">
        <w:rPr>
          <w:i/>
        </w:rPr>
        <w:t>Revenue from Contracts with Customers</w:t>
      </w:r>
    </w:p>
    <w:p w:rsidR="00B7661E" w:rsidRPr="00766E15" w:rsidRDefault="00291416" w:rsidP="001C7D79">
      <w:pPr>
        <w:pStyle w:val="NumBC1"/>
        <w:numPr>
          <w:ilvl w:val="0"/>
          <w:numId w:val="32"/>
        </w:numPr>
        <w:spacing w:before="0"/>
      </w:pPr>
      <w:r>
        <w:t>AASB </w:t>
      </w:r>
      <w:r w:rsidR="00B7661E" w:rsidRPr="00766E15">
        <w:t xml:space="preserve">15 applies to the accounting for revenue from contracts with customers, where the customer is a party that has contracted with an entity to obtain goods or services that are an output of the entity’s ordinary activities in exchange for consideration. </w:t>
      </w:r>
      <w:r w:rsidR="008E27C3" w:rsidRPr="00766E15">
        <w:t>Paragraph 26(</w:t>
      </w:r>
      <w:proofErr w:type="spellStart"/>
      <w:r w:rsidR="008E27C3" w:rsidRPr="00766E15">
        <w:t>i</w:t>
      </w:r>
      <w:proofErr w:type="spellEnd"/>
      <w:r w:rsidR="008E27C3" w:rsidRPr="00766E15">
        <w:t xml:space="preserve">) of </w:t>
      </w:r>
      <w:r>
        <w:t>AASB </w:t>
      </w:r>
      <w:r w:rsidR="00B7661E" w:rsidRPr="00766E15">
        <w:t xml:space="preserve">15 explicitly identifies licences as a possible good or service. </w:t>
      </w:r>
      <w:r w:rsidR="009875AA">
        <w:t>The Board notes that a</w:t>
      </w:r>
      <w:r w:rsidR="008E27C3" w:rsidRPr="00766E15">
        <w:t>lthough p</w:t>
      </w:r>
      <w:r w:rsidR="00B7661E" w:rsidRPr="00766E15">
        <w:t xml:space="preserve">aragraph B52 </w:t>
      </w:r>
      <w:r w:rsidR="008E27C3" w:rsidRPr="00766E15">
        <w:t xml:space="preserve">states that a </w:t>
      </w:r>
      <w:r w:rsidR="00B7661E" w:rsidRPr="00766E15">
        <w:t xml:space="preserve">licence </w:t>
      </w:r>
      <w:r w:rsidR="008E27C3" w:rsidRPr="00766E15">
        <w:t xml:space="preserve">establishes a customer’s rights to the </w:t>
      </w:r>
      <w:r w:rsidR="00F32FCA">
        <w:t>IP</w:t>
      </w:r>
      <w:r w:rsidR="008E27C3" w:rsidRPr="00766E15">
        <w:t xml:space="preserve"> of an entity, and paragraphs B52 and B62 are written in the context of </w:t>
      </w:r>
      <w:r w:rsidR="00F32FCA">
        <w:t>IP</w:t>
      </w:r>
      <w:r w:rsidR="008E27C3" w:rsidRPr="00766E15">
        <w:t xml:space="preserve"> licences, paragraph 26(</w:t>
      </w:r>
      <w:proofErr w:type="spellStart"/>
      <w:r w:rsidR="008E27C3" w:rsidRPr="00766E15">
        <w:t>i</w:t>
      </w:r>
      <w:proofErr w:type="spellEnd"/>
      <w:r w:rsidR="008E27C3" w:rsidRPr="00766E15">
        <w:t xml:space="preserve">)’s reference to ‘licences’ is not limited to </w:t>
      </w:r>
      <w:r w:rsidR="00F32FCA">
        <w:t>IP</w:t>
      </w:r>
      <w:r w:rsidR="008E27C3" w:rsidRPr="00766E15">
        <w:t xml:space="preserve"> licences</w:t>
      </w:r>
      <w:r w:rsidR="00B7661E" w:rsidRPr="00766E15">
        <w:t>.</w:t>
      </w:r>
    </w:p>
    <w:p w:rsidR="00B7661E" w:rsidRPr="00766E15" w:rsidRDefault="00B7661E" w:rsidP="001C7D79">
      <w:pPr>
        <w:pStyle w:val="NumBC1"/>
        <w:numPr>
          <w:ilvl w:val="0"/>
          <w:numId w:val="32"/>
        </w:numPr>
        <w:spacing w:before="0"/>
      </w:pPr>
      <w:r w:rsidRPr="00766E15">
        <w:t>The Board observed that in assessing whether non-</w:t>
      </w:r>
      <w:r w:rsidR="00F32FCA">
        <w:t>IP</w:t>
      </w:r>
      <w:r w:rsidRPr="00766E15">
        <w:t xml:space="preserve"> licences could fall within the scope of </w:t>
      </w:r>
      <w:r w:rsidR="00291416">
        <w:t>AASB </w:t>
      </w:r>
      <w:r w:rsidRPr="00766E15">
        <w:t>15, non-</w:t>
      </w:r>
      <w:r w:rsidR="00F32FCA">
        <w:t>IP</w:t>
      </w:r>
      <w:r w:rsidRPr="00766E15">
        <w:t xml:space="preserve"> licence arrangements would need to:</w:t>
      </w:r>
    </w:p>
    <w:p w:rsidR="00B7661E" w:rsidRPr="00766E15" w:rsidRDefault="00B7661E" w:rsidP="001C7D79">
      <w:pPr>
        <w:pStyle w:val="NumBC1"/>
        <w:numPr>
          <w:ilvl w:val="1"/>
          <w:numId w:val="32"/>
        </w:numPr>
        <w:spacing w:before="0"/>
      </w:pPr>
      <w:r w:rsidRPr="00766E15">
        <w:t>constitute a contract with a customer;</w:t>
      </w:r>
    </w:p>
    <w:p w:rsidR="00B7661E" w:rsidRPr="00766E15" w:rsidRDefault="00B7661E" w:rsidP="001C7D79">
      <w:pPr>
        <w:pStyle w:val="NumBC1"/>
        <w:numPr>
          <w:ilvl w:val="1"/>
          <w:numId w:val="32"/>
        </w:numPr>
        <w:spacing w:before="0"/>
      </w:pPr>
      <w:r w:rsidRPr="00766E15">
        <w:t xml:space="preserve">constitute goods or services; and </w:t>
      </w:r>
    </w:p>
    <w:p w:rsidR="00B7661E" w:rsidRPr="00766E15" w:rsidRDefault="00B7661E" w:rsidP="001C7D79">
      <w:pPr>
        <w:pStyle w:val="NumBC1"/>
        <w:numPr>
          <w:ilvl w:val="1"/>
          <w:numId w:val="32"/>
        </w:numPr>
        <w:spacing w:before="0"/>
      </w:pPr>
      <w:proofErr w:type="gramStart"/>
      <w:r w:rsidRPr="00766E15">
        <w:t>be</w:t>
      </w:r>
      <w:proofErr w:type="gramEnd"/>
      <w:r w:rsidRPr="00766E15">
        <w:t xml:space="preserve"> an output of the licensor’s ordinary activities.</w:t>
      </w:r>
    </w:p>
    <w:p w:rsidR="00B7661E" w:rsidRPr="00766E15" w:rsidRDefault="00B7661E" w:rsidP="005D0061">
      <w:pPr>
        <w:pStyle w:val="IASBSectionTitle2Ind"/>
        <w:jc w:val="both"/>
        <w:outlineLvl w:val="3"/>
        <w:rPr>
          <w:bCs/>
          <w:i/>
        </w:rPr>
      </w:pPr>
      <w:r w:rsidRPr="00766E15">
        <w:t xml:space="preserve">The scope of ‘contract’ </w:t>
      </w:r>
    </w:p>
    <w:p w:rsidR="00B7661E" w:rsidRPr="00766E15" w:rsidRDefault="00B7661E" w:rsidP="001C7D79">
      <w:pPr>
        <w:pStyle w:val="NumBC1"/>
        <w:numPr>
          <w:ilvl w:val="0"/>
          <w:numId w:val="32"/>
        </w:numPr>
        <w:spacing w:before="0"/>
      </w:pPr>
      <w:bookmarkStart w:id="48" w:name="_Ref493610003"/>
      <w:r w:rsidRPr="00766E15">
        <w:t xml:space="preserve">The Board noted that </w:t>
      </w:r>
      <w:r w:rsidR="00291416">
        <w:t>AASB </w:t>
      </w:r>
      <w:r w:rsidRPr="00766E15">
        <w:t xml:space="preserve">15 applies only to licences resulting from a contract creating enforceable rights and obligations.  The Board noted </w:t>
      </w:r>
      <w:r w:rsidR="00EE5583">
        <w:t xml:space="preserve">however </w:t>
      </w:r>
      <w:r w:rsidRPr="00766E15">
        <w:t xml:space="preserve">that the </w:t>
      </w:r>
      <w:r w:rsidR="006B2123" w:rsidRPr="00CE68E2">
        <w:rPr>
          <w:i/>
        </w:rPr>
        <w:t>Framework for the Preparation and Presentation of Financial Statements</w:t>
      </w:r>
      <w:r w:rsidR="006B2123" w:rsidRPr="00AE3C30">
        <w:t xml:space="preserve"> </w:t>
      </w:r>
      <w:r w:rsidR="006B2123">
        <w:t xml:space="preserve">(the </w:t>
      </w:r>
      <w:r w:rsidRPr="00766E15">
        <w:t>Conceptual Framework</w:t>
      </w:r>
      <w:r w:rsidR="006B2123">
        <w:t>)</w:t>
      </w:r>
      <w:r w:rsidRPr="00766E15">
        <w:t xml:space="preserve"> does not distinguish between rights and obligations created by contract and those created by statute.</w:t>
      </w:r>
      <w:bookmarkEnd w:id="48"/>
    </w:p>
    <w:p w:rsidR="00A160D1" w:rsidRDefault="00A160D1" w:rsidP="001C7D79">
      <w:pPr>
        <w:pStyle w:val="NumBC1"/>
        <w:numPr>
          <w:ilvl w:val="0"/>
          <w:numId w:val="32"/>
        </w:numPr>
        <w:spacing w:before="0"/>
      </w:pPr>
      <w:r>
        <w:t xml:space="preserve">A key legal feature in distinguishing between rights and obligations created by contract versus those created under a statute is the assessment of whether the parties entered into the arrangement voluntarily. </w:t>
      </w:r>
      <w:r w:rsidR="00797A6A">
        <w:t>A</w:t>
      </w:r>
      <w:r>
        <w:t>rrangements imposed by statute (for example, taxation) are not contractual given that mutual voluntariness is lacking.  However not all relationships prescribed by statute are this conclusive.  The Board noted that for significant licences there is likely to be a specific contract put in place between the payer and payee that may operate in parallel with rights and obligations imposed by statute (</w:t>
      </w:r>
      <w:proofErr w:type="spellStart"/>
      <w:r>
        <w:t>eg</w:t>
      </w:r>
      <w:proofErr w:type="spellEnd"/>
      <w:r>
        <w:t xml:space="preserve"> gaming licences), however for other licences it is less clear whether they are contractual or statutory in nature.</w:t>
      </w:r>
    </w:p>
    <w:p w:rsidR="00A160D1" w:rsidRDefault="00A160D1" w:rsidP="001C7D79">
      <w:pPr>
        <w:pStyle w:val="NumBC1"/>
        <w:numPr>
          <w:ilvl w:val="0"/>
          <w:numId w:val="32"/>
        </w:numPr>
        <w:spacing w:before="0"/>
      </w:pPr>
      <w:r>
        <w:t xml:space="preserve">The Board noted that regardless of whether </w:t>
      </w:r>
      <w:r w:rsidR="008F6037">
        <w:t>an</w:t>
      </w:r>
      <w:r>
        <w:t xml:space="preserve"> arrangement or relationship in question arises from a contractual or statutory basis, that arrangement only needs to create enforceable rights and obligations between the relevant parties for it to be </w:t>
      </w:r>
      <w:r w:rsidR="009A671B">
        <w:t xml:space="preserve">appropriately </w:t>
      </w:r>
      <w:r>
        <w:t xml:space="preserve">considered within AASB 15.  Provided that a </w:t>
      </w:r>
      <w:r w:rsidR="00540E91">
        <w:t>NFP</w:t>
      </w:r>
      <w:r>
        <w:t xml:space="preserve"> public sector licence is sufficiently enforceable, it </w:t>
      </w:r>
      <w:r w:rsidR="006B2123">
        <w:t>should</w:t>
      </w:r>
      <w:r>
        <w:t xml:space="preserve"> be within the scope of AASB 15. This is in line with the Board’s previous decisions in </w:t>
      </w:r>
      <w:r w:rsidR="00382EA1">
        <w:t>A</w:t>
      </w:r>
      <w:r>
        <w:t>ppendix F to AASB 15</w:t>
      </w:r>
      <w:r w:rsidR="00700D24">
        <w:t>,</w:t>
      </w:r>
      <w:r>
        <w:t xml:space="preserve"> which states in paragraph F13 that the enforceability of agreements does not depend solely on their form.</w:t>
      </w:r>
    </w:p>
    <w:p w:rsidR="00B7661E" w:rsidRPr="00766E15" w:rsidRDefault="00B7661E" w:rsidP="001C7D79">
      <w:pPr>
        <w:pStyle w:val="NumBC1"/>
        <w:numPr>
          <w:ilvl w:val="0"/>
          <w:numId w:val="32"/>
        </w:numPr>
        <w:spacing w:before="0"/>
      </w:pPr>
      <w:r w:rsidRPr="00766E15">
        <w:t xml:space="preserve">The Board </w:t>
      </w:r>
      <w:r w:rsidR="00BC297A">
        <w:t xml:space="preserve">also </w:t>
      </w:r>
      <w:r w:rsidRPr="00766E15">
        <w:t xml:space="preserve">noted that judgement may be needed to determine whether a licence is contractual or statutory in nature and that if the substance is the same, then similar accounting outcomes would be most consistent with the Conceptual Framework.  </w:t>
      </w:r>
      <w:r w:rsidR="00BC297A">
        <w:t xml:space="preserve">This is also consistent to </w:t>
      </w:r>
      <w:r w:rsidR="00BC297A" w:rsidRPr="00766E15">
        <w:t xml:space="preserve">the approach in </w:t>
      </w:r>
      <w:r w:rsidR="00797A6A">
        <w:t>A</w:t>
      </w:r>
      <w:r w:rsidR="00BC297A" w:rsidRPr="00766E15">
        <w:t>ppendix</w:t>
      </w:r>
      <w:r w:rsidR="00797A6A">
        <w:t> </w:t>
      </w:r>
      <w:r w:rsidR="00BC297A" w:rsidRPr="00766E15">
        <w:t xml:space="preserve">C of </w:t>
      </w:r>
      <w:r w:rsidR="00BC297A">
        <w:t>AASB 9</w:t>
      </w:r>
      <w:r w:rsidR="00BC297A" w:rsidRPr="00766E15">
        <w:t xml:space="preserve"> </w:t>
      </w:r>
      <w:r w:rsidR="008E1F6F">
        <w:rPr>
          <w:i/>
        </w:rPr>
        <w:t xml:space="preserve">Financial Instruments </w:t>
      </w:r>
      <w:r w:rsidR="00BC297A" w:rsidRPr="00766E15">
        <w:t xml:space="preserve">where the scope of </w:t>
      </w:r>
      <w:r w:rsidR="00BC297A">
        <w:t>AASB </w:t>
      </w:r>
      <w:r w:rsidR="00BC297A" w:rsidRPr="00766E15">
        <w:t>9</w:t>
      </w:r>
      <w:r w:rsidR="008E1F6F">
        <w:t xml:space="preserve"> is</w:t>
      </w:r>
      <w:r w:rsidR="00BC297A" w:rsidRPr="00766E15">
        <w:t xml:space="preserve"> extended to apply to statutory receivables of public sector entities on initial recognition.</w:t>
      </w:r>
    </w:p>
    <w:p w:rsidR="00B7661E" w:rsidRPr="00766E15" w:rsidRDefault="00B7661E" w:rsidP="005D0061">
      <w:pPr>
        <w:pStyle w:val="IASBSectionTitle2Ind"/>
        <w:jc w:val="both"/>
        <w:outlineLvl w:val="3"/>
        <w:rPr>
          <w:bCs/>
          <w:i/>
        </w:rPr>
      </w:pPr>
      <w:r w:rsidRPr="00766E15">
        <w:t xml:space="preserve">The scope of ‘goods and services’ </w:t>
      </w:r>
    </w:p>
    <w:p w:rsidR="00B7661E" w:rsidRPr="00766E15" w:rsidRDefault="00B7661E" w:rsidP="001C7D79">
      <w:pPr>
        <w:pStyle w:val="NumBC1"/>
        <w:numPr>
          <w:ilvl w:val="0"/>
          <w:numId w:val="32"/>
        </w:numPr>
        <w:spacing w:before="0"/>
      </w:pPr>
      <w:bookmarkStart w:id="49" w:name="_Ref522693060"/>
      <w:r w:rsidRPr="00766E15">
        <w:t xml:space="preserve">The Board considered the question of whether </w:t>
      </w:r>
      <w:r w:rsidR="00F11A27">
        <w:t xml:space="preserve">a </w:t>
      </w:r>
      <w:r w:rsidRPr="00766E15">
        <w:t xml:space="preserve">licence (representing a right to use, right to access or right to perform an activity) could be a good or service. In doing so, the Board noted that </w:t>
      </w:r>
      <w:r w:rsidR="00362C96" w:rsidRPr="00766E15">
        <w:t>paragraph 26(</w:t>
      </w:r>
      <w:proofErr w:type="spellStart"/>
      <w:r w:rsidR="00362C96" w:rsidRPr="00766E15">
        <w:t>i</w:t>
      </w:r>
      <w:proofErr w:type="spellEnd"/>
      <w:r w:rsidR="00362C96" w:rsidRPr="00766E15">
        <w:t xml:space="preserve">) of </w:t>
      </w:r>
      <w:r w:rsidR="00291416">
        <w:t>AASB </w:t>
      </w:r>
      <w:r w:rsidRPr="00766E15">
        <w:t xml:space="preserve">15 includes, within the ambit of goods and services, the granting of licences. This position is further evidenced by the specific guidance in Appendix B of </w:t>
      </w:r>
      <w:r w:rsidR="00291416">
        <w:t>AASB </w:t>
      </w:r>
      <w:r w:rsidRPr="00766E15">
        <w:t xml:space="preserve">15 that applies to the accounting for revenue from </w:t>
      </w:r>
      <w:r w:rsidR="00F32FCA">
        <w:t>IP</w:t>
      </w:r>
      <w:r w:rsidRPr="00766E15">
        <w:t xml:space="preserve"> licences in </w:t>
      </w:r>
      <w:r w:rsidR="00291416">
        <w:t>AASB </w:t>
      </w:r>
      <w:r w:rsidRPr="00766E15">
        <w:t xml:space="preserve">15. Therefore, the Board observed that the inclusion of </w:t>
      </w:r>
      <w:r w:rsidR="00F32FCA">
        <w:t xml:space="preserve">IP </w:t>
      </w:r>
      <w:r w:rsidRPr="00766E15">
        <w:t xml:space="preserve">licences in the scope of </w:t>
      </w:r>
      <w:r w:rsidR="00291416">
        <w:t>AASB </w:t>
      </w:r>
      <w:r w:rsidRPr="00766E15">
        <w:t>15 could suggest non-</w:t>
      </w:r>
      <w:r w:rsidR="00F32FCA">
        <w:t>IP</w:t>
      </w:r>
      <w:r w:rsidRPr="00766E15">
        <w:t xml:space="preserve"> licences conferring rights to use or access a licensor’s asset (and that is not a lease) would also fall within the scope of </w:t>
      </w:r>
      <w:r w:rsidR="00291416">
        <w:t>AASB </w:t>
      </w:r>
      <w:r w:rsidRPr="00766E15">
        <w:t xml:space="preserve">15 (subject to the satisfaction of the other criteria applicable to assessing whether an arrangement is within the scope of </w:t>
      </w:r>
      <w:r w:rsidR="00291416">
        <w:t>AASB </w:t>
      </w:r>
      <w:r w:rsidRPr="00766E15">
        <w:t>15).</w:t>
      </w:r>
      <w:bookmarkEnd w:id="49"/>
    </w:p>
    <w:p w:rsidR="00B7661E" w:rsidRPr="00766E15" w:rsidRDefault="00B7661E" w:rsidP="001C7D79">
      <w:pPr>
        <w:pStyle w:val="NumBC1"/>
        <w:numPr>
          <w:ilvl w:val="0"/>
          <w:numId w:val="32"/>
        </w:numPr>
        <w:spacing w:before="0"/>
      </w:pPr>
      <w:r w:rsidRPr="00766E15">
        <w:t xml:space="preserve">The Board also considered, in relation to a licence granting a right to perform an activity, whether the absence of a right to an asset of the licensor could preclude the right to perform an activity from constituting goods or services. In its deliberations, the Board noted </w:t>
      </w:r>
      <w:r w:rsidR="006B5A5D">
        <w:t xml:space="preserve">that </w:t>
      </w:r>
      <w:r w:rsidRPr="00766E15">
        <w:t xml:space="preserve">the legal meaning of ‘goods and services’, both under statute and general legal definitions, </w:t>
      </w:r>
      <w:r w:rsidR="00D40FBF">
        <w:t>does</w:t>
      </w:r>
      <w:r w:rsidRPr="00766E15">
        <w:t xml:space="preserve"> not exclude the </w:t>
      </w:r>
      <w:r w:rsidR="00797A6A">
        <w:t>issuing</w:t>
      </w:r>
      <w:r w:rsidR="00797A6A" w:rsidRPr="00766E15">
        <w:t xml:space="preserve"> </w:t>
      </w:r>
      <w:r w:rsidRPr="00766E15">
        <w:t xml:space="preserve">of rights, whether related to an asset or otherwise, from constituting goods or services. </w:t>
      </w:r>
    </w:p>
    <w:p w:rsidR="00B7661E" w:rsidRPr="00766E15" w:rsidRDefault="00B7661E" w:rsidP="001C7D79">
      <w:pPr>
        <w:pStyle w:val="NumBC1"/>
        <w:numPr>
          <w:ilvl w:val="0"/>
          <w:numId w:val="32"/>
        </w:numPr>
        <w:spacing w:before="0"/>
      </w:pPr>
      <w:r w:rsidRPr="00766E15">
        <w:t xml:space="preserve">The Board also acknowledged the Canadian Public Sector Accounting Standards Board’s view that </w:t>
      </w:r>
      <w:r w:rsidR="00362C96" w:rsidRPr="00766E15">
        <w:t>issuing</w:t>
      </w:r>
      <w:r w:rsidRPr="00766E15">
        <w:t xml:space="preserve"> of licences and permits would constitute goods or services, as proposed in Exposure Draft</w:t>
      </w:r>
      <w:r w:rsidRPr="00AE3C30">
        <w:t xml:space="preserve"> Revenue, Proposed Section 2400 </w:t>
      </w:r>
      <w:r w:rsidRPr="00766E15">
        <w:t>in May 2017, as they could constitute exchange transactions.</w:t>
      </w:r>
    </w:p>
    <w:p w:rsidR="00B7661E" w:rsidRPr="00766E15" w:rsidRDefault="00B7661E" w:rsidP="001C7D79">
      <w:pPr>
        <w:pStyle w:val="NumBC1"/>
        <w:numPr>
          <w:ilvl w:val="0"/>
          <w:numId w:val="32"/>
        </w:numPr>
        <w:spacing w:before="0"/>
      </w:pPr>
      <w:bookmarkStart w:id="50" w:name="_Ref522693062"/>
      <w:r w:rsidRPr="00766E15">
        <w:t xml:space="preserve">In light of these considerations, the Board concluded that the </w:t>
      </w:r>
      <w:r w:rsidR="00362C96" w:rsidRPr="00766E15">
        <w:t>issue</w:t>
      </w:r>
      <w:r w:rsidRPr="00766E15">
        <w:t xml:space="preserve"> of a non-</w:t>
      </w:r>
      <w:r w:rsidR="00F32FCA">
        <w:t xml:space="preserve">IP </w:t>
      </w:r>
      <w:r w:rsidRPr="00766E15">
        <w:t xml:space="preserve">licence </w:t>
      </w:r>
      <w:r w:rsidR="00F446B0">
        <w:t xml:space="preserve">(which is not a lease or which does not contain a lease) </w:t>
      </w:r>
      <w:r w:rsidRPr="00766E15">
        <w:t xml:space="preserve">representing a right to access or use a licensor’s asset, or perform an activity, would constitute goods or services for the purposes of </w:t>
      </w:r>
      <w:r w:rsidR="00291416">
        <w:t>AASB </w:t>
      </w:r>
      <w:r w:rsidRPr="00766E15">
        <w:t>15.</w:t>
      </w:r>
      <w:bookmarkEnd w:id="50"/>
    </w:p>
    <w:p w:rsidR="00B7661E" w:rsidRPr="00766E15" w:rsidRDefault="00B7661E" w:rsidP="005D0061">
      <w:pPr>
        <w:pStyle w:val="IASBSectionTitle2Ind"/>
        <w:jc w:val="both"/>
        <w:outlineLvl w:val="3"/>
        <w:rPr>
          <w:bCs/>
          <w:i/>
        </w:rPr>
      </w:pPr>
      <w:r w:rsidRPr="00766E15">
        <w:t xml:space="preserve">The scope of ‘ordinary activities’ </w:t>
      </w:r>
    </w:p>
    <w:p w:rsidR="00B7661E" w:rsidRPr="00766E15" w:rsidRDefault="00B7661E" w:rsidP="001C7D79">
      <w:pPr>
        <w:pStyle w:val="NumBC1"/>
        <w:numPr>
          <w:ilvl w:val="0"/>
          <w:numId w:val="32"/>
        </w:numPr>
        <w:spacing w:before="0"/>
      </w:pPr>
      <w:r w:rsidRPr="00766E15">
        <w:t xml:space="preserve">The Board considered whether the </w:t>
      </w:r>
      <w:r w:rsidR="00362C96" w:rsidRPr="00766E15">
        <w:t>issue</w:t>
      </w:r>
      <w:r w:rsidRPr="00766E15">
        <w:t xml:space="preserve"> of a licence would be an output of the public sector entity’s ordinary activities. As </w:t>
      </w:r>
      <w:r w:rsidR="00291416">
        <w:t>AASB </w:t>
      </w:r>
      <w:r w:rsidRPr="00766E15">
        <w:t xml:space="preserve">15 does not define the meaning of the term ‘ordinary activities’, the Board noted </w:t>
      </w:r>
      <w:r w:rsidR="00160E0B">
        <w:t>the term is</w:t>
      </w:r>
      <w:r w:rsidRPr="00766E15">
        <w:t xml:space="preserve"> deriv</w:t>
      </w:r>
      <w:r w:rsidR="00160E0B">
        <w:t>ed</w:t>
      </w:r>
      <w:r w:rsidRPr="00766E15">
        <w:t xml:space="preserve"> from the definition </w:t>
      </w:r>
      <w:r w:rsidR="00BD2220">
        <w:t xml:space="preserve">of revenue </w:t>
      </w:r>
      <w:r w:rsidRPr="00766E15">
        <w:t xml:space="preserve">in the Conceptual Framework, particularly as distinct from other activities an entity may engage in. </w:t>
      </w:r>
      <w:r w:rsidR="009100E6">
        <w:t>T</w:t>
      </w:r>
      <w:r w:rsidRPr="00766E15">
        <w:t xml:space="preserve">he Board regarded the </w:t>
      </w:r>
      <w:r w:rsidR="00493D71">
        <w:t xml:space="preserve">activity of </w:t>
      </w:r>
      <w:r w:rsidRPr="00766E15">
        <w:t>issu</w:t>
      </w:r>
      <w:r w:rsidR="00493D71">
        <w:t>ing</w:t>
      </w:r>
      <w:r w:rsidRPr="00766E15">
        <w:t xml:space="preserve"> licences </w:t>
      </w:r>
      <w:r w:rsidR="00493D71">
        <w:t xml:space="preserve">as being </w:t>
      </w:r>
      <w:r w:rsidRPr="00766E15">
        <w:t xml:space="preserve">within the ambit of ordinary activities carried out by a </w:t>
      </w:r>
      <w:r w:rsidR="00540E91">
        <w:t>NFP</w:t>
      </w:r>
      <w:r w:rsidRPr="00766E15">
        <w:t xml:space="preserve"> public sector entity</w:t>
      </w:r>
      <w:r w:rsidR="00BF158C">
        <w:t xml:space="preserve"> that is an issuing authority</w:t>
      </w:r>
      <w:r w:rsidRPr="00766E15">
        <w:t xml:space="preserve"> </w:t>
      </w:r>
      <w:r w:rsidR="000165D6">
        <w:t xml:space="preserve">because </w:t>
      </w:r>
      <w:r w:rsidR="0017104D">
        <w:t>issuing licences is</w:t>
      </w:r>
      <w:r w:rsidR="000165D6">
        <w:t xml:space="preserve"> </w:t>
      </w:r>
      <w:r w:rsidRPr="00766E15">
        <w:t>a key responsibility of issuing authorit</w:t>
      </w:r>
      <w:r w:rsidR="0017104D">
        <w:t>ies</w:t>
      </w:r>
      <w:r w:rsidRPr="00766E15">
        <w:t xml:space="preserve">. Accordingly, the Board concluded that the issue of licences would be within the ordinary activities of a </w:t>
      </w:r>
      <w:r w:rsidR="00540E91">
        <w:t>NFP</w:t>
      </w:r>
      <w:r w:rsidRPr="00766E15">
        <w:t xml:space="preserve"> public sector entity</w:t>
      </w:r>
      <w:r w:rsidR="008A5554">
        <w:t xml:space="preserve"> that issues such licences</w:t>
      </w:r>
      <w:r w:rsidRPr="00766E15">
        <w:t>.</w:t>
      </w:r>
    </w:p>
    <w:p w:rsidR="00B7661E" w:rsidRPr="00766E15" w:rsidRDefault="00B7661E" w:rsidP="005D0061">
      <w:pPr>
        <w:pStyle w:val="IASBSectionTitle2Ind"/>
        <w:jc w:val="both"/>
        <w:outlineLvl w:val="3"/>
        <w:rPr>
          <w:bCs/>
          <w:i/>
        </w:rPr>
      </w:pPr>
      <w:r w:rsidRPr="00766E15">
        <w:t xml:space="preserve">The Board’s conclusion on </w:t>
      </w:r>
      <w:r w:rsidR="00291416">
        <w:t>AASB </w:t>
      </w:r>
      <w:r w:rsidRPr="00766E15">
        <w:t>15</w:t>
      </w:r>
    </w:p>
    <w:p w:rsidR="00B7661E" w:rsidRPr="00766E15" w:rsidRDefault="00B7661E" w:rsidP="001C7D79">
      <w:pPr>
        <w:pStyle w:val="NumBC1"/>
        <w:numPr>
          <w:ilvl w:val="0"/>
          <w:numId w:val="32"/>
        </w:numPr>
        <w:spacing w:before="0"/>
      </w:pPr>
      <w:bookmarkStart w:id="51" w:name="_Ref523157281"/>
      <w:r w:rsidRPr="00766E15">
        <w:t xml:space="preserve">For the reasons outlined above, the Board </w:t>
      </w:r>
      <w:r w:rsidR="005B155C" w:rsidRPr="00766E15">
        <w:t xml:space="preserve">considered </w:t>
      </w:r>
      <w:r w:rsidRPr="00766E15">
        <w:t xml:space="preserve">that all licences outside the scope of </w:t>
      </w:r>
      <w:r w:rsidR="00291416">
        <w:t>AASB </w:t>
      </w:r>
      <w:r w:rsidRPr="00766E15">
        <w:t xml:space="preserve">16 and </w:t>
      </w:r>
      <w:r w:rsidR="00291416">
        <w:t>AASB </w:t>
      </w:r>
      <w:r w:rsidRPr="00766E15">
        <w:t>1059</w:t>
      </w:r>
      <w:r w:rsidR="008323E9" w:rsidRPr="00766E15">
        <w:t xml:space="preserve"> </w:t>
      </w:r>
      <w:r w:rsidRPr="00766E15">
        <w:t xml:space="preserve">should fall within the scope of </w:t>
      </w:r>
      <w:r w:rsidR="00291416">
        <w:t>AASB </w:t>
      </w:r>
      <w:r w:rsidRPr="00766E15">
        <w:t>15</w:t>
      </w:r>
      <w:r w:rsidR="005B155C" w:rsidRPr="00766E15">
        <w:t>, whether contractual or statutory in nature</w:t>
      </w:r>
      <w:r w:rsidRPr="00766E15">
        <w:t xml:space="preserve">. Despite this decision, </w:t>
      </w:r>
      <w:r w:rsidR="00806224">
        <w:t xml:space="preserve">for the removal of doubt, </w:t>
      </w:r>
      <w:r w:rsidR="00806224" w:rsidRPr="00766E15">
        <w:t xml:space="preserve">the Board decided that </w:t>
      </w:r>
      <w:r w:rsidR="00806224">
        <w:t>AASB </w:t>
      </w:r>
      <w:r w:rsidR="00806224" w:rsidRPr="00766E15">
        <w:t xml:space="preserve">15 should be amended to specifically include revenue from licences issued by </w:t>
      </w:r>
      <w:r w:rsidR="00806224">
        <w:t>NFP</w:t>
      </w:r>
      <w:r w:rsidR="00806224" w:rsidRPr="00766E15">
        <w:t xml:space="preserve"> public sector </w:t>
      </w:r>
      <w:r w:rsidR="00806224">
        <w:t>licensors</w:t>
      </w:r>
      <w:r w:rsidR="00806224" w:rsidRPr="00766E15">
        <w:t xml:space="preserve"> within its scope (</w:t>
      </w:r>
      <w:proofErr w:type="spellStart"/>
      <w:r w:rsidR="00806224">
        <w:t>ie</w:t>
      </w:r>
      <w:proofErr w:type="spellEnd"/>
      <w:r w:rsidR="00806224">
        <w:t xml:space="preserve"> </w:t>
      </w:r>
      <w:r w:rsidR="00806224" w:rsidRPr="00766E15">
        <w:t xml:space="preserve">other than those within the scope of </w:t>
      </w:r>
      <w:r w:rsidR="00806224">
        <w:t>AASB </w:t>
      </w:r>
      <w:r w:rsidR="00806224" w:rsidRPr="00766E15">
        <w:t xml:space="preserve">16 and </w:t>
      </w:r>
      <w:r w:rsidR="00806224">
        <w:t>AASB </w:t>
      </w:r>
      <w:r w:rsidR="00806224" w:rsidRPr="00766E15">
        <w:t xml:space="preserve">1059) without </w:t>
      </w:r>
      <w:r w:rsidR="00806224">
        <w:t xml:space="preserve">stating </w:t>
      </w:r>
      <w:r w:rsidR="00806224" w:rsidRPr="00766E15">
        <w:t>whether such licences would otherwise meet the scope requirement</w:t>
      </w:r>
      <w:r w:rsidR="00623FD9">
        <w:t>s</w:t>
      </w:r>
      <w:r w:rsidR="00806224" w:rsidRPr="00766E15">
        <w:t xml:space="preserve"> of </w:t>
      </w:r>
      <w:r w:rsidR="00806224">
        <w:t>AASB </w:t>
      </w:r>
      <w:r w:rsidR="00806224" w:rsidRPr="00766E15">
        <w:t>15.</w:t>
      </w:r>
      <w:r w:rsidR="00806224">
        <w:t xml:space="preserve"> In making this decision, t</w:t>
      </w:r>
      <w:r w:rsidRPr="00766E15">
        <w:t>he Board acknowledged the following possible alternate views</w:t>
      </w:r>
      <w:r w:rsidR="005B155C" w:rsidRPr="00766E15">
        <w:t xml:space="preserve"> that would mean </w:t>
      </w:r>
      <w:r w:rsidR="00291416">
        <w:t>AASB </w:t>
      </w:r>
      <w:r w:rsidR="005B155C" w:rsidRPr="00766E15">
        <w:t>15 would not apply</w:t>
      </w:r>
      <w:r w:rsidRPr="00766E15">
        <w:t>:</w:t>
      </w:r>
      <w:bookmarkEnd w:id="51"/>
    </w:p>
    <w:p w:rsidR="00B7661E" w:rsidRPr="00766E15" w:rsidRDefault="00B7661E" w:rsidP="001C7D79">
      <w:pPr>
        <w:pStyle w:val="NumBC1"/>
        <w:numPr>
          <w:ilvl w:val="1"/>
          <w:numId w:val="32"/>
        </w:numPr>
        <w:spacing w:before="0"/>
      </w:pPr>
      <w:r w:rsidRPr="00766E15">
        <w:t>it is conceivable that some licences are not outputs of ordinary activities</w:t>
      </w:r>
      <w:r w:rsidR="00AA6EEF">
        <w:t>; and</w:t>
      </w:r>
    </w:p>
    <w:p w:rsidR="00B7661E" w:rsidRPr="00766E15" w:rsidRDefault="00B7661E" w:rsidP="001C7D79">
      <w:pPr>
        <w:pStyle w:val="NumBC1"/>
        <w:numPr>
          <w:ilvl w:val="1"/>
          <w:numId w:val="32"/>
        </w:numPr>
        <w:spacing w:before="0"/>
      </w:pPr>
      <w:r w:rsidRPr="00766E15">
        <w:t xml:space="preserve">future licencing arrangements </w:t>
      </w:r>
      <w:r w:rsidR="00560B4A">
        <w:t xml:space="preserve">might be developed </w:t>
      </w:r>
      <w:r w:rsidR="00C1176A" w:rsidRPr="00766E15">
        <w:t>that</w:t>
      </w:r>
      <w:r w:rsidRPr="00766E15">
        <w:t xml:space="preserve"> </w:t>
      </w:r>
      <w:r w:rsidR="00560B4A">
        <w:t>do</w:t>
      </w:r>
      <w:r w:rsidRPr="00766E15">
        <w:t xml:space="preserve"> not have the character of a ‘contract’, ‘goods or services’ or ‘ordinary activities’ in accordance with the Board’s current views. </w:t>
      </w:r>
    </w:p>
    <w:p w:rsidR="00B7661E" w:rsidRPr="00766E15" w:rsidRDefault="00B7661E" w:rsidP="005D0061">
      <w:pPr>
        <w:pStyle w:val="IASBSectionTitle1NonInd"/>
        <w:jc w:val="both"/>
        <w:outlineLvl w:val="2"/>
        <w:rPr>
          <w:bCs/>
          <w:i/>
          <w:iCs/>
        </w:rPr>
      </w:pPr>
      <w:r w:rsidRPr="00766E15">
        <w:t xml:space="preserve">Allocating </w:t>
      </w:r>
      <w:r w:rsidR="00101786">
        <w:t>a</w:t>
      </w:r>
      <w:r w:rsidR="0009395A" w:rsidRPr="00766E15">
        <w:t xml:space="preserve"> transaction </w:t>
      </w:r>
      <w:r w:rsidR="00CE026D">
        <w:t xml:space="preserve">between </w:t>
      </w:r>
      <w:r w:rsidR="0009395A" w:rsidRPr="00766E15">
        <w:t>licences</w:t>
      </w:r>
      <w:r w:rsidR="00CE026D">
        <w:t xml:space="preserve"> </w:t>
      </w:r>
      <w:r w:rsidR="00101786">
        <w:t xml:space="preserve">and </w:t>
      </w:r>
      <w:r w:rsidR="00CE026D">
        <w:t>taxes</w:t>
      </w:r>
    </w:p>
    <w:p w:rsidR="00015147" w:rsidRPr="00766E15" w:rsidRDefault="00E10D0B" w:rsidP="001C7D79">
      <w:pPr>
        <w:pStyle w:val="NumBC1"/>
        <w:numPr>
          <w:ilvl w:val="0"/>
          <w:numId w:val="32"/>
        </w:numPr>
        <w:spacing w:before="0"/>
      </w:pPr>
      <w:bookmarkStart w:id="52" w:name="_Ref493607679"/>
      <w:r>
        <w:t xml:space="preserve"> In ED 283 t</w:t>
      </w:r>
      <w:r w:rsidR="00015147" w:rsidRPr="00766E15">
        <w:t xml:space="preserve">he Board </w:t>
      </w:r>
      <w:r w:rsidR="0086775C" w:rsidRPr="00766E15">
        <w:t>noted</w:t>
      </w:r>
      <w:r w:rsidR="00015147" w:rsidRPr="00766E15">
        <w:t xml:space="preserve"> that </w:t>
      </w:r>
      <w:r w:rsidR="00101786">
        <w:t>a licensor</w:t>
      </w:r>
      <w:r w:rsidR="00015147" w:rsidRPr="00766E15">
        <w:t xml:space="preserve"> could enter into </w:t>
      </w:r>
      <w:r w:rsidR="00C1176A" w:rsidRPr="00766E15">
        <w:t xml:space="preserve">a single </w:t>
      </w:r>
      <w:r w:rsidR="00015147" w:rsidRPr="00766E15">
        <w:t>transaction compris</w:t>
      </w:r>
      <w:r w:rsidR="004F4818" w:rsidRPr="00766E15">
        <w:t>ing</w:t>
      </w:r>
      <w:r w:rsidR="00015147" w:rsidRPr="00766E15">
        <w:t xml:space="preserve"> of </w:t>
      </w:r>
      <w:r w:rsidR="00C1176A" w:rsidRPr="00766E15">
        <w:t xml:space="preserve">a </w:t>
      </w:r>
      <w:r w:rsidR="00015147" w:rsidRPr="00766E15">
        <w:t>licence and other economically different elements</w:t>
      </w:r>
      <w:r w:rsidR="00C1176A" w:rsidRPr="00766E15">
        <w:t xml:space="preserve"> that are not contractually promised goods or services (such as a tax)</w:t>
      </w:r>
      <w:r w:rsidR="00015147" w:rsidRPr="00766E15">
        <w:t xml:space="preserve">. In allocating the transaction price between </w:t>
      </w:r>
      <w:r w:rsidR="00DC4792">
        <w:t>a</w:t>
      </w:r>
      <w:r w:rsidR="00015147" w:rsidRPr="00766E15">
        <w:t xml:space="preserve"> licence and other components of </w:t>
      </w:r>
      <w:r w:rsidR="00DC4792">
        <w:t>the</w:t>
      </w:r>
      <w:r w:rsidR="00015147" w:rsidRPr="00766E15">
        <w:t xml:space="preserve"> transaction, the Board considered whether the implementation guidance relating to the allocation of the transaction price to performance obligations set out in </w:t>
      </w:r>
      <w:r w:rsidR="0034317E" w:rsidRPr="00766E15">
        <w:t xml:space="preserve">Appendix F of </w:t>
      </w:r>
      <w:r w:rsidR="00291416">
        <w:t>AASB </w:t>
      </w:r>
      <w:r w:rsidR="0034317E" w:rsidRPr="00766E15">
        <w:t>15</w:t>
      </w:r>
      <w:r w:rsidR="00015147" w:rsidRPr="00766E15">
        <w:t xml:space="preserve"> </w:t>
      </w:r>
      <w:r w:rsidR="00C1176A" w:rsidRPr="00766E15">
        <w:t xml:space="preserve">[which arose from </w:t>
      </w:r>
      <w:r w:rsidR="00291416">
        <w:t>AASB </w:t>
      </w:r>
      <w:r w:rsidR="00C1176A" w:rsidRPr="00766E15">
        <w:t>2016-8] should be applied</w:t>
      </w:r>
      <w:r w:rsidR="00015147" w:rsidRPr="00766E15">
        <w:t>.</w:t>
      </w:r>
      <w:bookmarkEnd w:id="52"/>
    </w:p>
    <w:p w:rsidR="00015147" w:rsidRPr="00766E15" w:rsidRDefault="00F820F7" w:rsidP="001C7D79">
      <w:pPr>
        <w:pStyle w:val="NumBC1"/>
        <w:numPr>
          <w:ilvl w:val="0"/>
          <w:numId w:val="32"/>
        </w:numPr>
        <w:spacing w:before="0"/>
      </w:pPr>
      <w:r>
        <w:t>Paragraphs F28</w:t>
      </w:r>
      <w:r w:rsidR="00BC24B5">
        <w:t>–</w:t>
      </w:r>
      <w:r w:rsidR="00015147" w:rsidRPr="00766E15">
        <w:t>F32 of</w:t>
      </w:r>
      <w:r w:rsidR="004114C5" w:rsidRPr="00766E15">
        <w:t xml:space="preserve"> Appendix F of </w:t>
      </w:r>
      <w:r w:rsidR="00291416">
        <w:t>AASB </w:t>
      </w:r>
      <w:r w:rsidR="004114C5" w:rsidRPr="00766E15">
        <w:t xml:space="preserve">15 </w:t>
      </w:r>
      <w:r w:rsidR="00015147" w:rsidRPr="00766E15">
        <w:t xml:space="preserve">set out implementation guidance for </w:t>
      </w:r>
      <w:r w:rsidR="00540E91">
        <w:t>NFP</w:t>
      </w:r>
      <w:r w:rsidR="00015147" w:rsidRPr="00766E15">
        <w:t xml:space="preserve"> entities in allocating </w:t>
      </w:r>
      <w:r w:rsidR="00FB4E82">
        <w:t>a</w:t>
      </w:r>
      <w:r w:rsidR="00015147" w:rsidRPr="00766E15">
        <w:t xml:space="preserve"> transaction price where </w:t>
      </w:r>
      <w:r w:rsidR="00540E91">
        <w:t>NFP</w:t>
      </w:r>
      <w:r w:rsidR="00015147" w:rsidRPr="00766E15">
        <w:t xml:space="preserve"> entities enter into transactions with a dual purpose of:</w:t>
      </w:r>
    </w:p>
    <w:p w:rsidR="00015147" w:rsidRPr="00766E15" w:rsidRDefault="00015147" w:rsidP="001C7D79">
      <w:pPr>
        <w:pStyle w:val="NumBC1"/>
        <w:numPr>
          <w:ilvl w:val="1"/>
          <w:numId w:val="32"/>
        </w:numPr>
        <w:spacing w:before="0"/>
      </w:pPr>
      <w:r w:rsidRPr="00766E15">
        <w:t>obtaining goods or services</w:t>
      </w:r>
      <w:r w:rsidR="00C1176A" w:rsidRPr="00766E15">
        <w:t xml:space="preserve">, which, in the context of this </w:t>
      </w:r>
      <w:r w:rsidR="0098482F">
        <w:t>Standard</w:t>
      </w:r>
      <w:r w:rsidR="00C1176A" w:rsidRPr="00766E15">
        <w:t>, could be</w:t>
      </w:r>
      <w:r w:rsidR="006D4A57" w:rsidRPr="00766E15">
        <w:t xml:space="preserve"> a licence element </w:t>
      </w:r>
      <w:r w:rsidRPr="00766E15">
        <w:t xml:space="preserve">(accounted for under </w:t>
      </w:r>
      <w:r w:rsidR="00291416">
        <w:t>AASB </w:t>
      </w:r>
      <w:r w:rsidRPr="00766E15">
        <w:t>15); and</w:t>
      </w:r>
    </w:p>
    <w:p w:rsidR="00015147" w:rsidRPr="00766E15" w:rsidRDefault="00015147" w:rsidP="001C7D79">
      <w:pPr>
        <w:pStyle w:val="NumBC1"/>
        <w:numPr>
          <w:ilvl w:val="1"/>
          <w:numId w:val="32"/>
        </w:numPr>
        <w:spacing w:before="0"/>
      </w:pPr>
      <w:proofErr w:type="gramStart"/>
      <w:r w:rsidRPr="00766E15">
        <w:t>to</w:t>
      </w:r>
      <w:proofErr w:type="gramEnd"/>
      <w:r w:rsidRPr="00766E15">
        <w:t xml:space="preserve"> help the </w:t>
      </w:r>
      <w:r w:rsidR="00540E91">
        <w:t>NFP</w:t>
      </w:r>
      <w:r w:rsidRPr="00766E15">
        <w:t xml:space="preserve"> entity achieve its objectives</w:t>
      </w:r>
      <w:r w:rsidR="006D4A57" w:rsidRPr="00766E15">
        <w:t xml:space="preserve">, </w:t>
      </w:r>
      <w:r w:rsidR="00C1176A" w:rsidRPr="00766E15">
        <w:t xml:space="preserve">which, again in the context of this </w:t>
      </w:r>
      <w:r w:rsidR="0098482F">
        <w:t>Standard</w:t>
      </w:r>
      <w:r w:rsidR="00C1176A" w:rsidRPr="00766E15">
        <w:t xml:space="preserve">, could be </w:t>
      </w:r>
      <w:r w:rsidR="006D4A57" w:rsidRPr="00766E15">
        <w:t>a tax element</w:t>
      </w:r>
      <w:r w:rsidRPr="00766E15">
        <w:t xml:space="preserve"> (accounted for under </w:t>
      </w:r>
      <w:r w:rsidR="00291416">
        <w:t>AASB </w:t>
      </w:r>
      <w:r w:rsidRPr="00766E15">
        <w:t xml:space="preserve">1058). </w:t>
      </w:r>
    </w:p>
    <w:p w:rsidR="00015147" w:rsidRPr="00766E15" w:rsidRDefault="00C1176A" w:rsidP="001C7D79">
      <w:pPr>
        <w:pStyle w:val="NumBC1"/>
        <w:numPr>
          <w:ilvl w:val="0"/>
          <w:numId w:val="32"/>
        </w:numPr>
        <w:spacing w:before="0"/>
      </w:pPr>
      <w:r w:rsidRPr="00766E15">
        <w:t xml:space="preserve">Appendix F of </w:t>
      </w:r>
      <w:r w:rsidR="00291416">
        <w:t>AASB </w:t>
      </w:r>
      <w:r w:rsidR="004114C5" w:rsidRPr="00766E15">
        <w:t>15</w:t>
      </w:r>
      <w:r w:rsidR="00015147" w:rsidRPr="00766E15">
        <w:t xml:space="preserve"> </w:t>
      </w:r>
      <w:r w:rsidR="00472073">
        <w:t xml:space="preserve">requires </w:t>
      </w:r>
      <w:r w:rsidR="00015147" w:rsidRPr="00766E15">
        <w:t>the allocation be based on a rebuttable presumption that the transaction price is treated as wholly related to the transfer of promised goods or service</w:t>
      </w:r>
      <w:r w:rsidR="006D4A57" w:rsidRPr="00766E15">
        <w:t xml:space="preserve"> (</w:t>
      </w:r>
      <w:r w:rsidRPr="00766E15">
        <w:t xml:space="preserve">in the context of this </w:t>
      </w:r>
      <w:r w:rsidR="00A831E3">
        <w:t>Standard</w:t>
      </w:r>
      <w:r w:rsidRPr="00766E15">
        <w:t xml:space="preserve">, </w:t>
      </w:r>
      <w:r w:rsidR="006D4A57" w:rsidRPr="00766E15">
        <w:t>the licence)</w:t>
      </w:r>
      <w:r w:rsidR="00015147" w:rsidRPr="00766E15">
        <w:t xml:space="preserve">, where the rebuttal is premised on </w:t>
      </w:r>
      <w:r w:rsidR="00745307" w:rsidRPr="00766E15">
        <w:t xml:space="preserve">the </w:t>
      </w:r>
      <w:r w:rsidR="00797A6A">
        <w:t>arrangement</w:t>
      </w:r>
      <w:r w:rsidR="00797A6A" w:rsidRPr="00766E15">
        <w:t xml:space="preserve"> </w:t>
      </w:r>
      <w:r w:rsidR="00015147" w:rsidRPr="00766E15">
        <w:t>being partially refundable in the event the entity does not deliver the promised goods or services</w:t>
      </w:r>
      <w:r w:rsidR="006D4A57" w:rsidRPr="00766E15">
        <w:t xml:space="preserve"> (</w:t>
      </w:r>
      <w:r w:rsidR="00797A6A">
        <w:t>most commonly, a right to perform</w:t>
      </w:r>
      <w:r w:rsidR="006D4A57" w:rsidRPr="00766E15">
        <w:t>)</w:t>
      </w:r>
      <w:r w:rsidR="00015147" w:rsidRPr="00766E15">
        <w:t>.</w:t>
      </w:r>
    </w:p>
    <w:p w:rsidR="00195449" w:rsidRPr="00766E15" w:rsidRDefault="00C1176A" w:rsidP="001C7D79">
      <w:pPr>
        <w:pStyle w:val="NumBC1"/>
        <w:numPr>
          <w:ilvl w:val="0"/>
          <w:numId w:val="32"/>
        </w:numPr>
        <w:spacing w:before="0"/>
      </w:pPr>
      <w:bookmarkStart w:id="53" w:name="_Ref493055839"/>
      <w:r w:rsidRPr="00766E15">
        <w:t xml:space="preserve">The Board noted the </w:t>
      </w:r>
      <w:r w:rsidR="00195449" w:rsidRPr="00766E15">
        <w:t>views</w:t>
      </w:r>
      <w:r w:rsidR="00BE2254" w:rsidRPr="00766E15">
        <w:t xml:space="preserve"> that</w:t>
      </w:r>
      <w:r w:rsidR="00195449" w:rsidRPr="00766E15">
        <w:t>:</w:t>
      </w:r>
    </w:p>
    <w:p w:rsidR="00195449" w:rsidRPr="00766E15" w:rsidRDefault="00BE2254" w:rsidP="001C7D79">
      <w:pPr>
        <w:pStyle w:val="NumBC1"/>
        <w:numPr>
          <w:ilvl w:val="1"/>
          <w:numId w:val="32"/>
        </w:numPr>
        <w:spacing w:before="0"/>
      </w:pPr>
      <w:r w:rsidRPr="00766E15">
        <w:t>if</w:t>
      </w:r>
      <w:r w:rsidR="00015147" w:rsidRPr="00766E15">
        <w:t xml:space="preserve"> the price of a licence far exceed</w:t>
      </w:r>
      <w:r w:rsidR="00C1176A" w:rsidRPr="00766E15">
        <w:t>s</w:t>
      </w:r>
      <w:r w:rsidR="00015147" w:rsidRPr="00766E15">
        <w:t xml:space="preserve"> the </w:t>
      </w:r>
      <w:r w:rsidR="00C63013">
        <w:t xml:space="preserve">cost of the </w:t>
      </w:r>
      <w:r w:rsidR="00015147" w:rsidRPr="00766E15">
        <w:t>level of work required to satisfy the performance obligation</w:t>
      </w:r>
      <w:r w:rsidRPr="00766E15">
        <w:t>,</w:t>
      </w:r>
      <w:r w:rsidR="00770537" w:rsidRPr="00766E15">
        <w:t xml:space="preserve"> consistent with GFS accounting for licences</w:t>
      </w:r>
      <w:r w:rsidR="00E50069">
        <w:t xml:space="preserve"> (see paragraph </w:t>
      </w:r>
      <w:r w:rsidR="00797A6A">
        <w:fldChar w:fldCharType="begin"/>
      </w:r>
      <w:r w:rsidR="00797A6A">
        <w:instrText xml:space="preserve"> REF _Ref522289557 \r \h </w:instrText>
      </w:r>
      <w:r w:rsidR="00797A6A">
        <w:fldChar w:fldCharType="separate"/>
      </w:r>
      <w:r w:rsidR="00882B86">
        <w:t>BC24</w:t>
      </w:r>
      <w:r w:rsidR="00797A6A">
        <w:fldChar w:fldCharType="end"/>
      </w:r>
      <w:r w:rsidR="00E50069">
        <w:t xml:space="preserve"> above)</w:t>
      </w:r>
      <w:r w:rsidR="00A614AB" w:rsidRPr="00766E15">
        <w:t>,</w:t>
      </w:r>
      <w:r w:rsidR="00770537" w:rsidRPr="00766E15">
        <w:t xml:space="preserve"> the ‘excess’ over a reasonable price for the performance obligation may be a tax</w:t>
      </w:r>
      <w:r w:rsidR="00674349">
        <w:t xml:space="preserve"> in certain circumstances</w:t>
      </w:r>
      <w:r w:rsidR="00195449" w:rsidRPr="00766E15">
        <w:t>; and</w:t>
      </w:r>
    </w:p>
    <w:p w:rsidR="00015147" w:rsidRPr="00766E15" w:rsidRDefault="00015147" w:rsidP="001C7D79">
      <w:pPr>
        <w:pStyle w:val="NumBC1"/>
        <w:numPr>
          <w:ilvl w:val="1"/>
          <w:numId w:val="32"/>
        </w:numPr>
        <w:spacing w:before="0"/>
      </w:pPr>
      <w:proofErr w:type="gramStart"/>
      <w:r w:rsidRPr="00766E15">
        <w:t>if</w:t>
      </w:r>
      <w:proofErr w:type="gramEnd"/>
      <w:r w:rsidRPr="00766E15">
        <w:t xml:space="preserve"> an arrangement contain</w:t>
      </w:r>
      <w:r w:rsidR="00195449" w:rsidRPr="00766E15">
        <w:t>s</w:t>
      </w:r>
      <w:r w:rsidRPr="00766E15">
        <w:t xml:space="preserve"> variable consideration (</w:t>
      </w:r>
      <w:proofErr w:type="spellStart"/>
      <w:r w:rsidRPr="00766E15">
        <w:t>eg</w:t>
      </w:r>
      <w:proofErr w:type="spellEnd"/>
      <w:r w:rsidRPr="00766E15">
        <w:t xml:space="preserve"> a sales-based or usage-based royalty to provide the licensor with additional revenue where the licensee makes a </w:t>
      </w:r>
      <w:r w:rsidR="00195449" w:rsidRPr="00766E15">
        <w:t>‘</w:t>
      </w:r>
      <w:r w:rsidRPr="00766E15">
        <w:t>super-profit</w:t>
      </w:r>
      <w:r w:rsidR="00195449" w:rsidRPr="00766E15">
        <w:t>’</w:t>
      </w:r>
      <w:r w:rsidR="00DF0ECA" w:rsidRPr="00766E15">
        <w:t>)</w:t>
      </w:r>
      <w:r w:rsidRPr="00766E15">
        <w:t>, this component of the transaction price may be considered to be a tax</w:t>
      </w:r>
      <w:r w:rsidR="00195449" w:rsidRPr="00766E15">
        <w:t xml:space="preserve"> in certain circumstances</w:t>
      </w:r>
      <w:r w:rsidRPr="00766E15">
        <w:t>.</w:t>
      </w:r>
      <w:bookmarkEnd w:id="53"/>
      <w:r w:rsidRPr="00766E15">
        <w:t xml:space="preserve"> </w:t>
      </w:r>
    </w:p>
    <w:p w:rsidR="00623FD9" w:rsidRDefault="00311921" w:rsidP="001C7D79">
      <w:pPr>
        <w:pStyle w:val="NumBC1"/>
        <w:numPr>
          <w:ilvl w:val="0"/>
          <w:numId w:val="32"/>
        </w:numPr>
        <w:spacing w:before="0"/>
      </w:pPr>
      <w:bookmarkStart w:id="54" w:name="_Ref493607692"/>
      <w:r w:rsidRPr="00766E15">
        <w:t xml:space="preserve">The Board considered whether the GFS </w:t>
      </w:r>
      <w:r w:rsidR="00195449" w:rsidRPr="00766E15">
        <w:t xml:space="preserve">approach of </w:t>
      </w:r>
      <w:r w:rsidRPr="00766E15">
        <w:t xml:space="preserve">accounting allocation between licence and tax revenue should be </w:t>
      </w:r>
      <w:r w:rsidR="004C7704">
        <w:t>adopted</w:t>
      </w:r>
      <w:r w:rsidR="00806224">
        <w:t xml:space="preserve"> (as previously discussed in paragraph </w:t>
      </w:r>
      <w:r w:rsidR="00806224">
        <w:fldChar w:fldCharType="begin"/>
      </w:r>
      <w:r w:rsidR="00806224">
        <w:instrText xml:space="preserve"> REF _Ref522208557 \r \h </w:instrText>
      </w:r>
      <w:r w:rsidR="00806224">
        <w:fldChar w:fldCharType="separate"/>
      </w:r>
      <w:r w:rsidR="00882B86">
        <w:t>BC25</w:t>
      </w:r>
      <w:r w:rsidR="00806224">
        <w:fldChar w:fldCharType="end"/>
      </w:r>
      <w:r w:rsidR="00806224">
        <w:t>)</w:t>
      </w:r>
      <w:r w:rsidRPr="00766E15">
        <w:t xml:space="preserve">, and </w:t>
      </w:r>
      <w:r w:rsidR="00B45613" w:rsidRPr="00766E15">
        <w:t xml:space="preserve">concluded </w:t>
      </w:r>
      <w:r w:rsidRPr="00766E15">
        <w:t xml:space="preserve">that the guidance in </w:t>
      </w:r>
      <w:r w:rsidR="00BC24B5">
        <w:t>paragraphs F28–</w:t>
      </w:r>
      <w:r w:rsidR="00195449" w:rsidRPr="00766E15">
        <w:t xml:space="preserve">F32 of Appendix F of </w:t>
      </w:r>
      <w:r w:rsidR="00291416">
        <w:t>AASB </w:t>
      </w:r>
      <w:r w:rsidRPr="00766E15">
        <w:t>15 is more appropriate</w:t>
      </w:r>
      <w:r w:rsidR="00797A6A">
        <w:t xml:space="preserve"> </w:t>
      </w:r>
      <w:r w:rsidRPr="00766E15">
        <w:t>.  The Board decided that distinguishing between a tax element</w:t>
      </w:r>
      <w:r w:rsidR="00307CBF" w:rsidRPr="00766E15">
        <w:t>,</w:t>
      </w:r>
      <w:r w:rsidRPr="00766E15">
        <w:t xml:space="preserve"> based on excess over a ‘reasonable price’ for the licence operating costs</w:t>
      </w:r>
      <w:r w:rsidR="00307CBF" w:rsidRPr="00766E15">
        <w:t>,</w:t>
      </w:r>
      <w:r w:rsidRPr="00766E15">
        <w:t xml:space="preserve"> would be </w:t>
      </w:r>
      <w:r w:rsidR="00195449" w:rsidRPr="00766E15">
        <w:t xml:space="preserve">too </w:t>
      </w:r>
      <w:r w:rsidRPr="00766E15">
        <w:t>subjective</w:t>
      </w:r>
      <w:r w:rsidR="009F68F2">
        <w:t xml:space="preserve"> (consistent with the Board’s decision to not use the GFS definition of a licence</w:t>
      </w:r>
      <w:r w:rsidR="00D16B01">
        <w:t xml:space="preserve"> also noted in paragraph </w:t>
      </w:r>
      <w:r w:rsidR="00D16B01">
        <w:fldChar w:fldCharType="begin"/>
      </w:r>
      <w:r w:rsidR="00D16B01">
        <w:instrText xml:space="preserve"> REF _Ref522208557 \r \h </w:instrText>
      </w:r>
      <w:r w:rsidR="00D16B01">
        <w:fldChar w:fldCharType="separate"/>
      </w:r>
      <w:r w:rsidR="00882B86">
        <w:t>BC25</w:t>
      </w:r>
      <w:r w:rsidR="00D16B01">
        <w:fldChar w:fldCharType="end"/>
      </w:r>
      <w:r w:rsidR="00254076">
        <w:t>)</w:t>
      </w:r>
      <w:r w:rsidR="00D16B01">
        <w:t>.</w:t>
      </w:r>
    </w:p>
    <w:p w:rsidR="00195449" w:rsidRPr="00766E15" w:rsidRDefault="00311921" w:rsidP="001C7D79">
      <w:pPr>
        <w:pStyle w:val="NumBC1"/>
        <w:numPr>
          <w:ilvl w:val="0"/>
          <w:numId w:val="32"/>
        </w:numPr>
        <w:spacing w:before="0"/>
      </w:pPr>
      <w:r w:rsidRPr="00766E15">
        <w:t xml:space="preserve"> Accordingly</w:t>
      </w:r>
      <w:r w:rsidR="009F68F2">
        <w:t xml:space="preserve">, the Board </w:t>
      </w:r>
      <w:r w:rsidR="00794A31">
        <w:t>decided</w:t>
      </w:r>
      <w:r w:rsidR="009F68F2">
        <w:t xml:space="preserve"> that </w:t>
      </w:r>
      <w:r w:rsidR="00A644B2">
        <w:t xml:space="preserve">a </w:t>
      </w:r>
      <w:r w:rsidRPr="00766E15">
        <w:t xml:space="preserve">transaction price should only be allocated between </w:t>
      </w:r>
      <w:r w:rsidR="00A644B2">
        <w:t xml:space="preserve">a </w:t>
      </w:r>
      <w:r w:rsidRPr="00766E15">
        <w:t xml:space="preserve">licence and </w:t>
      </w:r>
      <w:r w:rsidR="00A644B2">
        <w:t xml:space="preserve">a </w:t>
      </w:r>
      <w:r w:rsidRPr="00766E15">
        <w:t xml:space="preserve">tax when the rebuttable presumption </w:t>
      </w:r>
      <w:r w:rsidR="00195449" w:rsidRPr="00766E15">
        <w:t xml:space="preserve">in </w:t>
      </w:r>
      <w:r w:rsidR="00363F94">
        <w:t xml:space="preserve">paragraph </w:t>
      </w:r>
      <w:r w:rsidR="00D16B01">
        <w:t>F29</w:t>
      </w:r>
      <w:r w:rsidR="00363F94">
        <w:t xml:space="preserve"> of </w:t>
      </w:r>
      <w:r w:rsidR="00195449" w:rsidRPr="00766E15">
        <w:t xml:space="preserve">Appendix F </w:t>
      </w:r>
      <w:r w:rsidRPr="00766E15">
        <w:t xml:space="preserve">is met, and the licence fee is partially refundable in the event that the licence conditions are not satisfied, indicative that there is an element that is a tax component as it is not refundable. </w:t>
      </w:r>
      <w:r w:rsidR="00015147" w:rsidRPr="00766E15">
        <w:t>In that instance the licensor should apply th</w:t>
      </w:r>
      <w:r w:rsidR="00BC24B5">
        <w:t>e guidance in paragraphs F28–</w:t>
      </w:r>
      <w:r w:rsidR="00015147" w:rsidRPr="00766E15">
        <w:t xml:space="preserve">F32 to disaggregate the transaction price and account for the component that relates to the transfer of </w:t>
      </w:r>
      <w:r w:rsidR="000758A2">
        <w:t xml:space="preserve">a </w:t>
      </w:r>
      <w:r w:rsidR="00015147" w:rsidRPr="00766E15">
        <w:t xml:space="preserve">licence in accordance with </w:t>
      </w:r>
      <w:r w:rsidR="00291416">
        <w:t>AASB </w:t>
      </w:r>
      <w:r w:rsidR="00015147" w:rsidRPr="00766E15">
        <w:t xml:space="preserve">15 (and any additional guidance contained in this </w:t>
      </w:r>
      <w:r w:rsidR="00077050">
        <w:t>Standard</w:t>
      </w:r>
      <w:r w:rsidR="00015147" w:rsidRPr="00766E15">
        <w:t xml:space="preserve">). The remainder of the transaction price, being the non-refundable component, </w:t>
      </w:r>
      <w:r w:rsidR="00195449" w:rsidRPr="00766E15">
        <w:t xml:space="preserve">is </w:t>
      </w:r>
      <w:r w:rsidR="00015147" w:rsidRPr="00766E15">
        <w:t xml:space="preserve">accounted for in accordance with </w:t>
      </w:r>
      <w:r w:rsidR="00291416">
        <w:t>AASB </w:t>
      </w:r>
      <w:r w:rsidR="00015147" w:rsidRPr="00766E15">
        <w:t>1058.</w:t>
      </w:r>
      <w:bookmarkEnd w:id="54"/>
      <w:r w:rsidR="00195449" w:rsidRPr="00766E15">
        <w:t xml:space="preserve"> </w:t>
      </w:r>
    </w:p>
    <w:p w:rsidR="00314A1E" w:rsidRDefault="00195449" w:rsidP="001C7D79">
      <w:pPr>
        <w:pStyle w:val="NumBC1"/>
        <w:numPr>
          <w:ilvl w:val="0"/>
          <w:numId w:val="32"/>
        </w:numPr>
        <w:spacing w:before="0"/>
      </w:pPr>
      <w:bookmarkStart w:id="55" w:name="_Ref493861134"/>
      <w:r w:rsidRPr="00766E15">
        <w:t xml:space="preserve">The Board </w:t>
      </w:r>
      <w:r w:rsidR="00E10D0B">
        <w:t xml:space="preserve">considered whether variable consideration should be considered as a circumstance rebutting the presumption that the transaction price should not be allocated.  </w:t>
      </w:r>
      <w:r w:rsidRPr="00766E15">
        <w:t xml:space="preserve">The Board noted that </w:t>
      </w:r>
      <w:r w:rsidR="00291416">
        <w:t>AASB </w:t>
      </w:r>
      <w:r w:rsidRPr="00766E15">
        <w:t>15 provides specific guidance for variable consideration</w:t>
      </w:r>
      <w:r w:rsidR="00806224">
        <w:t xml:space="preserve"> </w:t>
      </w:r>
      <w:r w:rsidRPr="00766E15">
        <w:t xml:space="preserve">for IP licences and accordingly considered there to be no difference in economic substance between a public sector entity </w:t>
      </w:r>
      <w:proofErr w:type="gramStart"/>
      <w:r w:rsidRPr="00766E15">
        <w:t>or</w:t>
      </w:r>
      <w:proofErr w:type="gramEnd"/>
      <w:r w:rsidRPr="00766E15">
        <w:t xml:space="preserve"> private sector entity undertaking such </w:t>
      </w:r>
      <w:r w:rsidR="00136E2B" w:rsidRPr="00766E15">
        <w:t xml:space="preserve">arrangement as part of </w:t>
      </w:r>
      <w:r w:rsidR="001A5344">
        <w:t>a</w:t>
      </w:r>
      <w:r w:rsidR="00136E2B" w:rsidRPr="00766E15">
        <w:t xml:space="preserve"> </w:t>
      </w:r>
      <w:r w:rsidRPr="00766E15">
        <w:t>licence</w:t>
      </w:r>
      <w:r w:rsidR="00136E2B" w:rsidRPr="00766E15">
        <w:t xml:space="preserve"> </w:t>
      </w:r>
      <w:r w:rsidR="001A5344">
        <w:t>arrangement</w:t>
      </w:r>
      <w:r w:rsidRPr="00766E15">
        <w:t xml:space="preserve"> that would warrant </w:t>
      </w:r>
      <w:r w:rsidR="00136E2B" w:rsidRPr="00766E15">
        <w:t xml:space="preserve">a </w:t>
      </w:r>
      <w:r w:rsidRPr="00766E15">
        <w:t>different accounting treatment. Therefore, a licence fee that includes</w:t>
      </w:r>
      <w:r w:rsidR="00806224">
        <w:t xml:space="preserve"> variable consideration</w:t>
      </w:r>
      <w:r w:rsidR="00DF0ECA" w:rsidRPr="00766E15">
        <w:t xml:space="preserve"> is part of revenue earned from issuing the licence and not a tax.</w:t>
      </w:r>
      <w:bookmarkEnd w:id="55"/>
    </w:p>
    <w:p w:rsidR="00314A1E" w:rsidRDefault="009F68F2" w:rsidP="001C7D79">
      <w:pPr>
        <w:pStyle w:val="NumBC1"/>
        <w:numPr>
          <w:ilvl w:val="0"/>
          <w:numId w:val="32"/>
        </w:numPr>
        <w:spacing w:before="0"/>
      </w:pPr>
      <w:r>
        <w:t xml:space="preserve">Respondents to </w:t>
      </w:r>
      <w:r w:rsidR="002B0889">
        <w:t>ED 283</w:t>
      </w:r>
      <w:r>
        <w:t xml:space="preserve"> agreed with the Board’s proposal to utilise the rebuttable presumption in Appendix F of AASB 15, however some raised concern</w:t>
      </w:r>
      <w:r w:rsidR="00E10D0B">
        <w:t>s</w:t>
      </w:r>
      <w:r>
        <w:t xml:space="preserve"> that the proposals did not always allow for the allocation between a licence and a tax where </w:t>
      </w:r>
      <w:r w:rsidR="005E43F6">
        <w:t>there is</w:t>
      </w:r>
      <w:r w:rsidR="00071730">
        <w:t xml:space="preserve"> </w:t>
      </w:r>
      <w:r w:rsidR="005E43F6">
        <w:t>variable consideration</w:t>
      </w:r>
      <w:r>
        <w:t xml:space="preserve">. The Board was made aware of two scenarios where respondents believed that the variable component was not a sales-based or usage-based royalty, but instead a tax </w:t>
      </w:r>
      <w:r w:rsidR="00F55F87">
        <w:t>that</w:t>
      </w:r>
      <w:r>
        <w:t xml:space="preserve"> should be eligible for disaggregation:</w:t>
      </w:r>
    </w:p>
    <w:p w:rsidR="009F68F2" w:rsidRDefault="00314A1E" w:rsidP="001C7D79">
      <w:pPr>
        <w:pStyle w:val="NumBC1"/>
        <w:numPr>
          <w:ilvl w:val="1"/>
          <w:numId w:val="32"/>
        </w:numPr>
        <w:spacing w:before="0"/>
      </w:pPr>
      <w:bookmarkStart w:id="56" w:name="_Ref522209897"/>
      <w:proofErr w:type="gramStart"/>
      <w:r>
        <w:t>the</w:t>
      </w:r>
      <w:proofErr w:type="gramEnd"/>
      <w:r>
        <w:t xml:space="preserve"> </w:t>
      </w:r>
      <w:r w:rsidR="009F68F2" w:rsidRPr="009F68F2">
        <w:t>variable amount is levied on the licensee under a separate agreement that is signed concurrently with the lic</w:t>
      </w:r>
      <w:r>
        <w:t xml:space="preserve">encing agreement and hence is labelled as a separate </w:t>
      </w:r>
      <w:r w:rsidR="009F68F2" w:rsidRPr="009F68F2">
        <w:t>tax, rather than variable consideration for the licencing arrangement.</w:t>
      </w:r>
      <w:r>
        <w:t xml:space="preserve"> </w:t>
      </w:r>
      <w:r w:rsidRPr="00314A1E">
        <w:t>In the example provided, the rate at which the licensee is ‘taxed’ is agreed between the licensor and licensee and is negotiated on a licence-by-licence basis, rather than being imposed as a state-wide or national taxation regime (</w:t>
      </w:r>
      <w:proofErr w:type="spellStart"/>
      <w:r w:rsidRPr="00314A1E">
        <w:t>ie</w:t>
      </w:r>
      <w:proofErr w:type="spellEnd"/>
      <w:r w:rsidRPr="00314A1E">
        <w:t xml:space="preserve"> it is an individually negotiated rate rather than a single rate applied to all parties entering into such arrangements within a certain jurisdiction)</w:t>
      </w:r>
      <w:r>
        <w:t>; and</w:t>
      </w:r>
      <w:bookmarkEnd w:id="56"/>
    </w:p>
    <w:p w:rsidR="00314A1E" w:rsidRDefault="00314A1E" w:rsidP="001C7D79">
      <w:pPr>
        <w:pStyle w:val="NumBC1"/>
        <w:numPr>
          <w:ilvl w:val="1"/>
          <w:numId w:val="32"/>
        </w:numPr>
        <w:spacing w:before="0"/>
      </w:pPr>
      <w:bookmarkStart w:id="57" w:name="_Ref522210133"/>
      <w:r>
        <w:t xml:space="preserve">the variable fee </w:t>
      </w:r>
      <w:r w:rsidR="00AA30AE">
        <w:t xml:space="preserve">for the licence </w:t>
      </w:r>
      <w:r w:rsidR="007146AE">
        <w:t xml:space="preserve">is </w:t>
      </w:r>
      <w:r>
        <w:t>a generic tax charged to any entity undertaking similar activities, regardless of whether that entity holds a licence or not. In the example given, the licensee was required to pay a specified fee (</w:t>
      </w:r>
      <w:proofErr w:type="spellStart"/>
      <w:r>
        <w:t>eg</w:t>
      </w:r>
      <w:proofErr w:type="spellEnd"/>
      <w:r>
        <w:t xml:space="preserve"> 10</w:t>
      </w:r>
      <w:r w:rsidR="00674447">
        <w:t xml:space="preserve"> per cent</w:t>
      </w:r>
      <w:r>
        <w:t>) on the proceeds from its betting activities that it was licensed to conduct in its gaming venue. However, this same 10</w:t>
      </w:r>
      <w:r w:rsidR="00674447">
        <w:t xml:space="preserve"> per cent</w:t>
      </w:r>
      <w:r>
        <w:t xml:space="preserve"> fee was also payable as a tax for entities that undertook equivalent betting activities for which it was unnecessary for the entity to be licensed (for example, an online betting agency that does not require a licence to open a gaming venue).</w:t>
      </w:r>
      <w:bookmarkEnd w:id="57"/>
    </w:p>
    <w:p w:rsidR="00314A1E" w:rsidRDefault="00314A1E" w:rsidP="001C7D79">
      <w:pPr>
        <w:pStyle w:val="NumBC1"/>
        <w:numPr>
          <w:ilvl w:val="0"/>
          <w:numId w:val="32"/>
        </w:numPr>
        <w:spacing w:before="0"/>
      </w:pPr>
      <w:r>
        <w:t xml:space="preserve">In the scenario noted in paragraph </w:t>
      </w:r>
      <w:r>
        <w:fldChar w:fldCharType="begin"/>
      </w:r>
      <w:r>
        <w:instrText xml:space="preserve"> REF _Ref522209897 \r \h </w:instrText>
      </w:r>
      <w:r>
        <w:fldChar w:fldCharType="separate"/>
      </w:r>
      <w:r w:rsidR="00882B86">
        <w:t>BC60(a)</w:t>
      </w:r>
      <w:r>
        <w:fldChar w:fldCharType="end"/>
      </w:r>
      <w:r>
        <w:t xml:space="preserve">, the Board </w:t>
      </w:r>
      <w:r w:rsidR="00DA0C79">
        <w:t>noted that in accordance</w:t>
      </w:r>
      <w:r w:rsidR="00DA0C79" w:rsidRPr="00DA0C79">
        <w:t xml:space="preserve"> with the requi</w:t>
      </w:r>
      <w:r w:rsidR="00DA0C79">
        <w:t xml:space="preserve">rements in </w:t>
      </w:r>
      <w:r w:rsidR="00E54E95">
        <w:t xml:space="preserve">paragraph 17 of </w:t>
      </w:r>
      <w:r w:rsidR="00DA0C79">
        <w:t>AASB 15,</w:t>
      </w:r>
      <w:r w:rsidR="00DA0C79" w:rsidRPr="00DA0C79">
        <w:t xml:space="preserve"> although there may be two agreements entered into by the licensor with the licensee (one for the licence and another labelled as ‘tax’), these agreements should be combined and considered as on</w:t>
      </w:r>
      <w:r w:rsidR="00DA0C79">
        <w:t>e ‘contract’ or arrangement (</w:t>
      </w:r>
      <w:proofErr w:type="spellStart"/>
      <w:r w:rsidR="00DA0C79">
        <w:t>ie</w:t>
      </w:r>
      <w:proofErr w:type="spellEnd"/>
      <w:r w:rsidR="00DA0C79" w:rsidRPr="00DA0C79">
        <w:t xml:space="preserve"> licencing arrangement) if they are entered into at or near the same time with the same customer and negotiated as a package with a single commercial </w:t>
      </w:r>
      <w:r w:rsidR="00D831B9">
        <w:t xml:space="preserve">(or regulatory) </w:t>
      </w:r>
      <w:r w:rsidR="00DA0C79" w:rsidRPr="00DA0C79">
        <w:t>objective.</w:t>
      </w:r>
    </w:p>
    <w:p w:rsidR="00DA0C79" w:rsidRPr="00766E15" w:rsidRDefault="00DA0C79" w:rsidP="001C7D79">
      <w:pPr>
        <w:pStyle w:val="ListParagraph"/>
        <w:numPr>
          <w:ilvl w:val="0"/>
          <w:numId w:val="32"/>
        </w:numPr>
        <w:pBdr>
          <w:left w:val="none" w:sz="0" w:space="0" w:color="auto"/>
          <w:right w:val="none" w:sz="0" w:space="0" w:color="auto"/>
        </w:pBdr>
      </w:pPr>
      <w:r>
        <w:t xml:space="preserve">However, in the scenario noted in paragraph </w:t>
      </w:r>
      <w:r>
        <w:fldChar w:fldCharType="begin"/>
      </w:r>
      <w:r>
        <w:instrText xml:space="preserve"> REF _Ref522210133 \r \h </w:instrText>
      </w:r>
      <w:r>
        <w:fldChar w:fldCharType="separate"/>
      </w:r>
      <w:proofErr w:type="gramStart"/>
      <w:r w:rsidR="00882B86">
        <w:t>BC60(</w:t>
      </w:r>
      <w:proofErr w:type="gramEnd"/>
      <w:r w:rsidR="00882B86">
        <w:t>b)</w:t>
      </w:r>
      <w:r>
        <w:fldChar w:fldCharType="end"/>
      </w:r>
      <w:r>
        <w:t>, the Board observed there was a</w:t>
      </w:r>
      <w:r w:rsidR="00446EBF">
        <w:t>n</w:t>
      </w:r>
      <w:r>
        <w:t xml:space="preserve"> identifiable element that </w:t>
      </w:r>
      <w:r w:rsidR="00E56777">
        <w:t>is</w:t>
      </w:r>
      <w:r>
        <w:t xml:space="preserve"> a tax </w:t>
      </w:r>
      <w:r w:rsidR="005D75C9">
        <w:t>that can</w:t>
      </w:r>
      <w:r>
        <w:t xml:space="preserve"> be </w:t>
      </w:r>
      <w:r w:rsidR="00AC4BE6">
        <w:t>readily</w:t>
      </w:r>
      <w:r>
        <w:t xml:space="preserve"> separated. Noting that the rebuttable presumption </w:t>
      </w:r>
      <w:r w:rsidR="00E56777">
        <w:t>is</w:t>
      </w:r>
      <w:r>
        <w:t xml:space="preserve"> intended to make the accounting simpler for preparers (reducing the burden of determining how to split the elements of the transaction), </w:t>
      </w:r>
      <w:r w:rsidR="00682D6A">
        <w:t>the Board decided</w:t>
      </w:r>
      <w:r>
        <w:t xml:space="preserve"> that where </w:t>
      </w:r>
      <w:r w:rsidR="00AC4BE6">
        <w:t xml:space="preserve">there is a readily </w:t>
      </w:r>
      <w:r>
        <w:t xml:space="preserve">identifiable generic tax element, </w:t>
      </w:r>
      <w:r w:rsidR="00A4291A">
        <w:t>it would not be onerous for an entity to disaggregate it</w:t>
      </w:r>
      <w:r>
        <w:t xml:space="preserve">. </w:t>
      </w:r>
      <w:r w:rsidR="00A536C9">
        <w:t>To give effect to this decision</w:t>
      </w:r>
      <w:r>
        <w:t xml:space="preserve">, the Board added </w:t>
      </w:r>
      <w:r w:rsidR="005E43F6">
        <w:t xml:space="preserve">an additional circumstance rebutting the presumption that the transaction price should not be allocated </w:t>
      </w:r>
      <w:r w:rsidR="00673D65">
        <w:t xml:space="preserve">in paragraph </w:t>
      </w:r>
      <w:proofErr w:type="gramStart"/>
      <w:r w:rsidR="00673D65">
        <w:t>G</w:t>
      </w:r>
      <w:r w:rsidR="004E0A0E">
        <w:t>5(</w:t>
      </w:r>
      <w:proofErr w:type="gramEnd"/>
      <w:r w:rsidR="004E0A0E">
        <w:t>b)</w:t>
      </w:r>
      <w:r w:rsidR="005E43F6">
        <w:t xml:space="preserve"> when there is other evidence supporting similar transactions effected through different structures are taxed</w:t>
      </w:r>
      <w:r>
        <w:t>.</w:t>
      </w:r>
    </w:p>
    <w:p w:rsidR="009B3EB0" w:rsidRPr="00766E15" w:rsidRDefault="009B3EB0" w:rsidP="005D0061">
      <w:pPr>
        <w:pStyle w:val="IASBSectionTitle1NonInd"/>
        <w:outlineLvl w:val="2"/>
      </w:pPr>
      <w:r w:rsidRPr="00766E15">
        <w:t>A</w:t>
      </w:r>
      <w:r w:rsidR="0060671B">
        <w:t xml:space="preserve">ccounting for revenue from licences </w:t>
      </w:r>
      <w:r w:rsidR="00EB35FD">
        <w:t>in accordance with</w:t>
      </w:r>
      <w:r w:rsidR="00323B7E">
        <w:t xml:space="preserve"> AASB 15 </w:t>
      </w:r>
      <w:r w:rsidR="0060671B">
        <w:t>– a</w:t>
      </w:r>
      <w:r w:rsidRPr="00766E15">
        <w:t>lternative</w:t>
      </w:r>
      <w:r w:rsidR="008508EE">
        <w:t>s</w:t>
      </w:r>
      <w:r w:rsidRPr="00766E15">
        <w:t xml:space="preserve"> </w:t>
      </w:r>
      <w:r w:rsidR="0060671B">
        <w:t xml:space="preserve">considered </w:t>
      </w:r>
    </w:p>
    <w:p w:rsidR="00E526CF" w:rsidRDefault="00A700D1" w:rsidP="001C7D79">
      <w:pPr>
        <w:pStyle w:val="NumBC1"/>
        <w:numPr>
          <w:ilvl w:val="0"/>
          <w:numId w:val="32"/>
        </w:numPr>
        <w:spacing w:before="0"/>
      </w:pPr>
      <w:r>
        <w:t xml:space="preserve">The above </w:t>
      </w:r>
      <w:r w:rsidR="00381915">
        <w:t xml:space="preserve">has outlined the </w:t>
      </w:r>
      <w:r w:rsidR="002C6527">
        <w:t xml:space="preserve">bases for </w:t>
      </w:r>
      <w:r w:rsidR="004E02BD">
        <w:t xml:space="preserve">the </w:t>
      </w:r>
      <w:r w:rsidR="00381915">
        <w:t>Board’s</w:t>
      </w:r>
      <w:r w:rsidR="00C20227">
        <w:t xml:space="preserve"> decision</w:t>
      </w:r>
      <w:r w:rsidR="002C6527">
        <w:t>s</w:t>
      </w:r>
      <w:r w:rsidR="00E835DB">
        <w:t xml:space="preserve"> about the types of arrangements entered into by NFP public sector entities</w:t>
      </w:r>
      <w:r w:rsidR="00C20227">
        <w:t xml:space="preserve"> that </w:t>
      </w:r>
      <w:r w:rsidR="001E4C6A">
        <w:t>c</w:t>
      </w:r>
      <w:r w:rsidR="0051592E">
        <w:t xml:space="preserve">ould be subject to </w:t>
      </w:r>
      <w:r w:rsidR="00C20227">
        <w:t>the principles in AASB 15</w:t>
      </w:r>
      <w:r w:rsidR="0051592E">
        <w:t xml:space="preserve">. </w:t>
      </w:r>
      <w:r w:rsidR="00A61970">
        <w:t>The following outlines the</w:t>
      </w:r>
      <w:r w:rsidR="00D114C7">
        <w:t xml:space="preserve"> bases for the</w:t>
      </w:r>
      <w:r w:rsidR="00A61970">
        <w:t xml:space="preserve"> Board’s decision</w:t>
      </w:r>
      <w:r w:rsidR="00D114C7">
        <w:t>s</w:t>
      </w:r>
      <w:r w:rsidR="00A61970">
        <w:t xml:space="preserve"> about how to give effect </w:t>
      </w:r>
      <w:r w:rsidR="001E4C6A">
        <w:t xml:space="preserve">to </w:t>
      </w:r>
      <w:r w:rsidR="00D114C7">
        <w:t>those</w:t>
      </w:r>
      <w:r w:rsidR="001E4C6A">
        <w:t xml:space="preserve"> decision</w:t>
      </w:r>
      <w:r w:rsidR="00D114C7">
        <w:t>s</w:t>
      </w:r>
      <w:r w:rsidR="00F2388D">
        <w:t xml:space="preserve">. </w:t>
      </w:r>
    </w:p>
    <w:p w:rsidR="007D2444" w:rsidRDefault="00567A4F" w:rsidP="005D0061">
      <w:pPr>
        <w:pStyle w:val="IASBSectionTitle2Ind"/>
        <w:jc w:val="both"/>
        <w:outlineLvl w:val="3"/>
      </w:pPr>
      <w:bookmarkStart w:id="58" w:name="_Ref497043404"/>
      <w:r w:rsidRPr="00567A4F">
        <w:t>What are the types of public sector licences?</w:t>
      </w:r>
    </w:p>
    <w:p w:rsidR="00567A4F" w:rsidRDefault="00567A4F" w:rsidP="001C7D79">
      <w:pPr>
        <w:pStyle w:val="NumBC1"/>
        <w:numPr>
          <w:ilvl w:val="0"/>
          <w:numId w:val="32"/>
        </w:numPr>
        <w:spacing w:before="0"/>
      </w:pPr>
      <w:bookmarkStart w:id="59" w:name="_Ref497047447"/>
      <w:r>
        <w:t xml:space="preserve">In order for the Board to decide on the </w:t>
      </w:r>
      <w:r w:rsidR="009B76F5">
        <w:t xml:space="preserve">best </w:t>
      </w:r>
      <w:r>
        <w:t xml:space="preserve">option for </w:t>
      </w:r>
      <w:r w:rsidR="00B1472E">
        <w:t xml:space="preserve">accounting for </w:t>
      </w:r>
      <w:r>
        <w:t xml:space="preserve">revenue from licences issued by </w:t>
      </w:r>
      <w:r w:rsidR="00540E91">
        <w:t>NFP</w:t>
      </w:r>
      <w:r>
        <w:t xml:space="preserve"> public sector </w:t>
      </w:r>
      <w:r w:rsidR="00A82DD0">
        <w:t>licensors</w:t>
      </w:r>
      <w:r>
        <w:t xml:space="preserve">, the Board </w:t>
      </w:r>
      <w:r w:rsidR="00434107">
        <w:t>noted the t</w:t>
      </w:r>
      <w:r>
        <w:t>hree possible types of public sector entity licences:</w:t>
      </w:r>
      <w:bookmarkEnd w:id="59"/>
    </w:p>
    <w:p w:rsidR="00567A4F" w:rsidRDefault="00567A4F" w:rsidP="001C7D79">
      <w:pPr>
        <w:pStyle w:val="NumBC1"/>
        <w:numPr>
          <w:ilvl w:val="1"/>
          <w:numId w:val="32"/>
        </w:numPr>
        <w:spacing w:before="0"/>
      </w:pPr>
      <w:r w:rsidRPr="00434107">
        <w:t>IP licences</w:t>
      </w:r>
      <w:r w:rsidR="00113754">
        <w:t xml:space="preserve"> (which would be either a right to use or a right to access intellectual property)</w:t>
      </w:r>
      <w:r>
        <w:t>;</w:t>
      </w:r>
    </w:p>
    <w:p w:rsidR="00567A4F" w:rsidRPr="00812FE8" w:rsidRDefault="00567A4F" w:rsidP="001C7D79">
      <w:pPr>
        <w:pStyle w:val="NumBC1"/>
        <w:numPr>
          <w:ilvl w:val="1"/>
          <w:numId w:val="32"/>
        </w:numPr>
        <w:spacing w:before="0"/>
      </w:pPr>
      <w:r w:rsidRPr="00812FE8">
        <w:t xml:space="preserve">Non-IP licences involving </w:t>
      </w:r>
      <w:r w:rsidR="00113754">
        <w:t xml:space="preserve">rights over </w:t>
      </w:r>
      <w:r w:rsidRPr="00812FE8">
        <w:t>an asset or assets of the licensor; and</w:t>
      </w:r>
    </w:p>
    <w:p w:rsidR="00567A4F" w:rsidRDefault="00567A4F" w:rsidP="001C7D79">
      <w:pPr>
        <w:pStyle w:val="NumBC1"/>
        <w:numPr>
          <w:ilvl w:val="1"/>
          <w:numId w:val="32"/>
        </w:numPr>
        <w:spacing w:before="0"/>
      </w:pPr>
      <w:r w:rsidRPr="0077696C">
        <w:t>Non-IP licences involving the right to perform an activity</w:t>
      </w:r>
      <w:r>
        <w:t>.</w:t>
      </w:r>
    </w:p>
    <w:p w:rsidR="00415FE0" w:rsidRDefault="00415FE0" w:rsidP="005D0061">
      <w:pPr>
        <w:pStyle w:val="IASBSectionTitle2Ind"/>
        <w:jc w:val="both"/>
        <w:outlineLvl w:val="3"/>
      </w:pPr>
      <w:r>
        <w:t xml:space="preserve">Applying specific guidance for IP licences in AASB 15 to various examples of licences </w:t>
      </w:r>
    </w:p>
    <w:p w:rsidR="00415FE0" w:rsidRDefault="001421ED" w:rsidP="001C7D79">
      <w:pPr>
        <w:pStyle w:val="NumBC1"/>
        <w:numPr>
          <w:ilvl w:val="0"/>
          <w:numId w:val="32"/>
        </w:numPr>
        <w:spacing w:before="0"/>
      </w:pPr>
      <w:r>
        <w:t>In ED 283 t</w:t>
      </w:r>
      <w:r w:rsidR="00415FE0">
        <w:t xml:space="preserve">he Board </w:t>
      </w:r>
      <w:r w:rsidR="003F1625">
        <w:t>considered</w:t>
      </w:r>
      <w:r w:rsidR="00415FE0">
        <w:t xml:space="preserve"> whether the specific guidance for private sector IP licences in</w:t>
      </w:r>
      <w:r w:rsidR="00415FE0" w:rsidRPr="007157F6">
        <w:t xml:space="preserve"> paragraphs </w:t>
      </w:r>
      <w:r w:rsidR="00415FE0">
        <w:t>B52</w:t>
      </w:r>
      <w:r w:rsidR="00BC24B5">
        <w:t>–</w:t>
      </w:r>
      <w:r w:rsidR="00415FE0">
        <w:t>B63B</w:t>
      </w:r>
      <w:r w:rsidR="00415FE0" w:rsidRPr="007157F6">
        <w:t xml:space="preserve"> of </w:t>
      </w:r>
      <w:r w:rsidR="00415FE0">
        <w:t>AASB </w:t>
      </w:r>
      <w:r w:rsidR="00415FE0" w:rsidRPr="007157F6">
        <w:t xml:space="preserve">15 </w:t>
      </w:r>
      <w:r w:rsidR="0068370F">
        <w:t>c</w:t>
      </w:r>
      <w:r w:rsidR="00415FE0">
        <w:t>ould be easily</w:t>
      </w:r>
      <w:r w:rsidR="00415FE0" w:rsidRPr="007157F6">
        <w:t xml:space="preserve"> </w:t>
      </w:r>
      <w:r w:rsidR="00415FE0">
        <w:t xml:space="preserve">applied by analogy </w:t>
      </w:r>
      <w:r w:rsidR="00415FE0" w:rsidRPr="007157F6">
        <w:t xml:space="preserve">to examples of non-IP licences </w:t>
      </w:r>
      <w:r w:rsidR="00415FE0">
        <w:t>(</w:t>
      </w:r>
      <w:r w:rsidR="00415FE0" w:rsidRPr="007157F6">
        <w:t xml:space="preserve">that </w:t>
      </w:r>
      <w:r w:rsidR="00415FE0">
        <w:t xml:space="preserve">both </w:t>
      </w:r>
      <w:r w:rsidR="00415FE0" w:rsidRPr="007157F6">
        <w:t>involve a licensor</w:t>
      </w:r>
      <w:r w:rsidR="00415FE0">
        <w:t>’</w:t>
      </w:r>
      <w:r w:rsidR="00415FE0" w:rsidRPr="007157F6">
        <w:t>s assets</w:t>
      </w:r>
      <w:r w:rsidR="00415FE0">
        <w:t xml:space="preserve"> and that involve a right to perform an activity). </w:t>
      </w:r>
      <w:r w:rsidR="004932CC">
        <w:t>The Board noted that application of those paragraphs to IP licences appears relatively straight-forward</w:t>
      </w:r>
      <w:r w:rsidR="00BC1390">
        <w:t xml:space="preserve"> </w:t>
      </w:r>
      <w:r w:rsidR="00BC1390" w:rsidRPr="00C36C50">
        <w:t xml:space="preserve">because IP licences issued by </w:t>
      </w:r>
      <w:r w:rsidR="00BC1390">
        <w:t>NFP</w:t>
      </w:r>
      <w:r w:rsidR="00BC1390" w:rsidRPr="00C36C50">
        <w:t xml:space="preserve"> public sector </w:t>
      </w:r>
      <w:r w:rsidR="00BC1390">
        <w:t>licensors</w:t>
      </w:r>
      <w:r w:rsidR="00BC1390" w:rsidRPr="00C36C50">
        <w:t xml:space="preserve"> appear to align with those </w:t>
      </w:r>
      <w:r w:rsidR="00BC1390">
        <w:t xml:space="preserve">IP licences </w:t>
      </w:r>
      <w:r w:rsidR="00BC1390" w:rsidRPr="00C36C50">
        <w:t>issued by for-profit entities</w:t>
      </w:r>
      <w:r w:rsidR="00BC1390">
        <w:t xml:space="preserve">. However, in relation to non-IP licences, </w:t>
      </w:r>
      <w:r w:rsidR="00EB35FD">
        <w:t>the Board observed</w:t>
      </w:r>
      <w:r>
        <w:t xml:space="preserve"> </w:t>
      </w:r>
      <w:bookmarkStart w:id="60" w:name="_Ref522657454"/>
      <w:r w:rsidR="00415FE0" w:rsidRPr="00C36C50">
        <w:t xml:space="preserve">application of many of the requirements was more challenging. </w:t>
      </w:r>
      <w:r w:rsidR="00415FE0">
        <w:t>Challenges were</w:t>
      </w:r>
      <w:r w:rsidR="00415FE0" w:rsidRPr="00C36C50">
        <w:t xml:space="preserve"> particularly notable where the licence did</w:t>
      </w:r>
      <w:r w:rsidR="00415FE0">
        <w:t xml:space="preserve"> not</w:t>
      </w:r>
      <w:r w:rsidR="00415FE0" w:rsidRPr="00C36C50">
        <w:t xml:space="preserve"> involve an asset of the licensor.</w:t>
      </w:r>
      <w:r w:rsidR="00415FE0">
        <w:t xml:space="preserve"> In particular:</w:t>
      </w:r>
      <w:bookmarkEnd w:id="60"/>
    </w:p>
    <w:p w:rsidR="00415FE0" w:rsidRDefault="00415FE0" w:rsidP="001C7D79">
      <w:pPr>
        <w:pStyle w:val="NumBC1"/>
        <w:numPr>
          <w:ilvl w:val="1"/>
          <w:numId w:val="32"/>
        </w:numPr>
        <w:spacing w:before="0"/>
      </w:pPr>
      <w:r>
        <w:t>many of the requirements (</w:t>
      </w:r>
      <w:proofErr w:type="spellStart"/>
      <w:r>
        <w:t>eg</w:t>
      </w:r>
      <w:proofErr w:type="spellEnd"/>
      <w:r>
        <w:t xml:space="preserve"> AASB 15 paragraphs B58</w:t>
      </w:r>
      <w:r w:rsidR="00BC24B5">
        <w:t>–</w:t>
      </w:r>
      <w:r>
        <w:t>B59A, which are used to determine whether an IP licence transfers over time) require an assessment of whether the licensor’s activities significantly affect the IP (</w:t>
      </w:r>
      <w:proofErr w:type="spellStart"/>
      <w:r>
        <w:t>ie</w:t>
      </w:r>
      <w:proofErr w:type="spellEnd"/>
      <w:r>
        <w:t xml:space="preserve"> the underlying asset); and</w:t>
      </w:r>
    </w:p>
    <w:p w:rsidR="00415FE0" w:rsidRPr="00C36C50" w:rsidRDefault="00415FE0" w:rsidP="001C7D79">
      <w:pPr>
        <w:pStyle w:val="NumBC1"/>
        <w:numPr>
          <w:ilvl w:val="1"/>
          <w:numId w:val="32"/>
        </w:numPr>
        <w:spacing w:before="0"/>
      </w:pPr>
      <w:proofErr w:type="gramStart"/>
      <w:r>
        <w:t>in</w:t>
      </w:r>
      <w:proofErr w:type="gramEnd"/>
      <w:r>
        <w:t xml:space="preserve"> the case of some NFP public sector non-IP licences, the licensor may conduct a number of actions throughout the licence period, such as monitoring licensees and their activities under their licences. However, the actions are performed more generally in the public interest. It is not clear whether these activities are undertaken to significantly affect the licensee’s rights granted by the licence. The specific guidance in Appendix B of AASB 15 for IP licences does not explicitly address this matter as it is not written from a NFP public sector perspective. </w:t>
      </w:r>
    </w:p>
    <w:p w:rsidR="00567A4F" w:rsidRPr="000A7E2B" w:rsidRDefault="00EB35FD" w:rsidP="001C7D79">
      <w:pPr>
        <w:pStyle w:val="NumBC1"/>
        <w:numPr>
          <w:ilvl w:val="0"/>
          <w:numId w:val="32"/>
        </w:numPr>
        <w:spacing w:before="0"/>
      </w:pPr>
      <w:bookmarkStart w:id="61" w:name="_Ref497047510"/>
      <w:r>
        <w:t xml:space="preserve">Despite the guidance for IP licences appearing easier to apply to licences involving assets of the licensor that </w:t>
      </w:r>
      <w:r w:rsidR="00977DC2">
        <w:t>are</w:t>
      </w:r>
      <w:r>
        <w:t xml:space="preserve"> not leases</w:t>
      </w:r>
      <w:r w:rsidR="00567A4F" w:rsidRPr="000A7E2B">
        <w:t xml:space="preserve">, </w:t>
      </w:r>
      <w:r w:rsidR="00446EBF" w:rsidRPr="000A7E2B">
        <w:t xml:space="preserve">the Board </w:t>
      </w:r>
      <w:r w:rsidR="001421ED">
        <w:t xml:space="preserve">was </w:t>
      </w:r>
      <w:r w:rsidR="0077696C">
        <w:t xml:space="preserve">unable to </w:t>
      </w:r>
      <w:r w:rsidR="00A8389C" w:rsidRPr="000A7E2B">
        <w:t>identify</w:t>
      </w:r>
      <w:r w:rsidR="00672FDA">
        <w:t xml:space="preserve"> </w:t>
      </w:r>
      <w:r>
        <w:t>licences</w:t>
      </w:r>
      <w:r w:rsidR="00672FDA">
        <w:t xml:space="preserve"> of this type</w:t>
      </w:r>
      <w:r w:rsidR="00567A4F" w:rsidRPr="000A7E2B">
        <w:t xml:space="preserve">. This is because, in </w:t>
      </w:r>
      <w:r w:rsidR="00B66A9D" w:rsidRPr="000A7E2B">
        <w:t>most cases</w:t>
      </w:r>
      <w:r w:rsidR="00567A4F" w:rsidRPr="000A7E2B">
        <w:t>, non-IP licence</w:t>
      </w:r>
      <w:r w:rsidR="00B66A9D" w:rsidRPr="000A7E2B">
        <w:t xml:space="preserve">s </w:t>
      </w:r>
      <w:r w:rsidR="001D0965">
        <w:t>that</w:t>
      </w:r>
      <w:r w:rsidR="00B66A9D" w:rsidRPr="000A7E2B">
        <w:t xml:space="preserve"> involve</w:t>
      </w:r>
      <w:r w:rsidR="00B1472E" w:rsidRPr="000A7E2B">
        <w:t xml:space="preserve"> </w:t>
      </w:r>
      <w:r w:rsidR="00567A4F" w:rsidRPr="000A7E2B">
        <w:t>an asset of the licensor (</w:t>
      </w:r>
      <w:r w:rsidR="00F453CE" w:rsidRPr="000A7E2B">
        <w:t xml:space="preserve">but </w:t>
      </w:r>
      <w:r w:rsidR="00B66A9D" w:rsidRPr="000A7E2B">
        <w:t>are</w:t>
      </w:r>
      <w:r w:rsidR="00567A4F" w:rsidRPr="000A7E2B">
        <w:t xml:space="preserve"> not </w:t>
      </w:r>
      <w:r w:rsidR="00B1472E" w:rsidRPr="000A7E2B">
        <w:t>leases</w:t>
      </w:r>
      <w:r w:rsidR="00567A4F" w:rsidRPr="000A7E2B">
        <w:t xml:space="preserve">) </w:t>
      </w:r>
      <w:r w:rsidR="00B66A9D" w:rsidRPr="000A7E2B">
        <w:t>are</w:t>
      </w:r>
      <w:r w:rsidR="00567A4F" w:rsidRPr="000A7E2B">
        <w:t xml:space="preserve"> not distinct from other goods or services that the entity provide</w:t>
      </w:r>
      <w:r w:rsidR="00B66A9D" w:rsidRPr="000A7E2B">
        <w:t>s</w:t>
      </w:r>
      <w:r w:rsidR="00567A4F" w:rsidRPr="000A7E2B">
        <w:t xml:space="preserve"> (</w:t>
      </w:r>
      <w:proofErr w:type="spellStart"/>
      <w:r w:rsidR="00567A4F" w:rsidRPr="000A7E2B">
        <w:t>ie</w:t>
      </w:r>
      <w:proofErr w:type="spellEnd"/>
      <w:r w:rsidR="00567A4F" w:rsidRPr="000A7E2B">
        <w:t xml:space="preserve"> in</w:t>
      </w:r>
      <w:r w:rsidR="00A8389C" w:rsidRPr="000A7E2B">
        <w:t xml:space="preserve"> accordance with</w:t>
      </w:r>
      <w:r w:rsidR="00446EBF" w:rsidRPr="000A7E2B">
        <w:t xml:space="preserve"> the requirements in paragraphs 26</w:t>
      </w:r>
      <w:r w:rsidR="00BC24B5">
        <w:t>–</w:t>
      </w:r>
      <w:r w:rsidR="00446EBF" w:rsidRPr="000A7E2B">
        <w:t>30 and</w:t>
      </w:r>
      <w:r w:rsidR="00A8389C" w:rsidRPr="000A7E2B">
        <w:t xml:space="preserve"> paragraph B54 </w:t>
      </w:r>
      <w:r w:rsidR="00567A4F" w:rsidRPr="000A7E2B">
        <w:t xml:space="preserve">of </w:t>
      </w:r>
      <w:r w:rsidR="00291416" w:rsidRPr="000A7E2B">
        <w:t>AASB </w:t>
      </w:r>
      <w:r w:rsidR="00567A4F" w:rsidRPr="000A7E2B">
        <w:t xml:space="preserve">15). Accordingly these types of arrangements would be accounted for as </w:t>
      </w:r>
      <w:r w:rsidR="00446EBF" w:rsidRPr="000A7E2B">
        <w:t xml:space="preserve">a bundle of </w:t>
      </w:r>
      <w:r w:rsidR="00567A4F" w:rsidRPr="000A7E2B">
        <w:t>goods or services</w:t>
      </w:r>
      <w:r w:rsidR="00AC010C">
        <w:t xml:space="preserve"> in accordance with paragraph 30</w:t>
      </w:r>
      <w:r w:rsidR="00567A4F" w:rsidRPr="000A7E2B">
        <w:t>.</w:t>
      </w:r>
      <w:bookmarkEnd w:id="61"/>
    </w:p>
    <w:p w:rsidR="00D27CE7" w:rsidRDefault="00323B7E" w:rsidP="001C7D79">
      <w:pPr>
        <w:pStyle w:val="NumBC1"/>
        <w:numPr>
          <w:ilvl w:val="0"/>
          <w:numId w:val="32"/>
        </w:numPr>
        <w:spacing w:before="0"/>
      </w:pPr>
      <w:bookmarkStart w:id="62" w:name="_Ref497202024"/>
      <w:r w:rsidRPr="00323B7E">
        <w:t xml:space="preserve"> </w:t>
      </w:r>
      <w:r w:rsidR="00DF610A">
        <w:t xml:space="preserve">For example, </w:t>
      </w:r>
      <w:r w:rsidR="00D67073">
        <w:t xml:space="preserve">the Board considered </w:t>
      </w:r>
      <w:r w:rsidR="00DF610A">
        <w:t>t</w:t>
      </w:r>
      <w:r>
        <w:t>he following two examples of licensing arrangements involving an asset of the licensor</w:t>
      </w:r>
      <w:r w:rsidR="002735CE">
        <w:t xml:space="preserve"> </w:t>
      </w:r>
      <w:r>
        <w:t>that are not leases</w:t>
      </w:r>
      <w:bookmarkEnd w:id="62"/>
      <w:r>
        <w:t>.</w:t>
      </w:r>
      <w:r w:rsidR="00D27CE7">
        <w:t xml:space="preserve"> </w:t>
      </w:r>
    </w:p>
    <w:p w:rsidR="00567A4F" w:rsidRDefault="00567A4F" w:rsidP="005D0061">
      <w:pPr>
        <w:pStyle w:val="IASBSectionTitle3Ind"/>
        <w:jc w:val="both"/>
        <w:outlineLvl w:val="4"/>
      </w:pPr>
      <w:r>
        <w:t>Example: fibre-optic cable</w:t>
      </w:r>
    </w:p>
    <w:p w:rsidR="00567A4F" w:rsidRDefault="00CC3BB1" w:rsidP="001C7D79">
      <w:pPr>
        <w:pStyle w:val="NumBC1"/>
        <w:numPr>
          <w:ilvl w:val="0"/>
          <w:numId w:val="32"/>
        </w:numPr>
        <w:spacing w:before="0"/>
      </w:pPr>
      <w:bookmarkStart w:id="63" w:name="_Ref497044778"/>
      <w:r>
        <w:t xml:space="preserve">The Board </w:t>
      </w:r>
      <w:r w:rsidR="00567A4F">
        <w:t>considered whether the right to utilise a specified capacity within a fibre-optic cable connecting two cities was an example of a licence that provides a licensee a right to access or use a licensor</w:t>
      </w:r>
      <w:r w:rsidR="005446F8">
        <w:t>’</w:t>
      </w:r>
      <w:r w:rsidR="00567A4F">
        <w:t xml:space="preserve">s asset. The scenario considered was based on </w:t>
      </w:r>
      <w:r w:rsidR="00567A4F" w:rsidRPr="00CC3BB1">
        <w:rPr>
          <w:i/>
        </w:rPr>
        <w:t xml:space="preserve">Implementation Example </w:t>
      </w:r>
      <w:r w:rsidR="00F820F7">
        <w:rPr>
          <w:i/>
        </w:rPr>
        <w:t xml:space="preserve">3 – </w:t>
      </w:r>
      <w:r w:rsidR="00567A4F" w:rsidRPr="00CC3BB1">
        <w:rPr>
          <w:i/>
        </w:rPr>
        <w:t>Fibre-optic cable</w:t>
      </w:r>
      <w:r w:rsidR="00567A4F">
        <w:t xml:space="preserve"> from IFRS 16 </w:t>
      </w:r>
      <w:r w:rsidR="00567A4F" w:rsidRPr="00CC3BB1">
        <w:rPr>
          <w:i/>
        </w:rPr>
        <w:t>Leases</w:t>
      </w:r>
      <w:r w:rsidR="00567A4F">
        <w:t xml:space="preserve"> (which was determined not to be a lease as it </w:t>
      </w:r>
      <w:r w:rsidR="00587453">
        <w:t>is</w:t>
      </w:r>
      <w:r w:rsidR="00567A4F">
        <w:t xml:space="preserve"> not an identified asset), where a customer is provided with specified capacity equivalent to them having the use of three fibre strands within a cable. In that example, the supplier makes decisions about the transmission of data (</w:t>
      </w:r>
      <w:proofErr w:type="spellStart"/>
      <w:r w:rsidR="00567A4F">
        <w:t>eg</w:t>
      </w:r>
      <w:proofErr w:type="spellEnd"/>
      <w:r w:rsidR="00567A4F">
        <w:t xml:space="preserve"> lights the fibres, makes decisions about which fibres are used to direct the customer</w:t>
      </w:r>
      <w:r w:rsidR="005446F8">
        <w:t>’</w:t>
      </w:r>
      <w:r w:rsidR="00567A4F">
        <w:t xml:space="preserve">s traffic and makes decisions about the electronic equipment that it owns and connects to the fibres). </w:t>
      </w:r>
      <w:r>
        <w:t>The Board</w:t>
      </w:r>
      <w:r w:rsidR="00567A4F">
        <w:t xml:space="preserve"> concluded that the nature and extent of activities performed by the supplier meant that </w:t>
      </w:r>
      <w:r w:rsidR="00CE7106">
        <w:t>the supplier is</w:t>
      </w:r>
      <w:r w:rsidR="00567A4F">
        <w:t xml:space="preserve"> effectively transmitting data for the customer. Therefore, the supplier is providing the customer with a service and the customer can benefit from the licence only in conjunction with </w:t>
      </w:r>
      <w:r>
        <w:t>that</w:t>
      </w:r>
      <w:r w:rsidR="00567A4F">
        <w:t xml:space="preserve"> related service.</w:t>
      </w:r>
      <w:bookmarkEnd w:id="63"/>
      <w:r w:rsidR="00567A4F">
        <w:t xml:space="preserve"> </w:t>
      </w:r>
      <w:r w:rsidR="00F42AF0">
        <w:t>Therefore, in accordance with paragraph 30, the licence is combined with the other goods or services and accounted for as a bundle of goods or services</w:t>
      </w:r>
      <w:r w:rsidR="00797924">
        <w:t xml:space="preserve"> that is a single performance obligation.</w:t>
      </w:r>
    </w:p>
    <w:p w:rsidR="00567A4F" w:rsidRDefault="00567A4F" w:rsidP="005D0061">
      <w:pPr>
        <w:pStyle w:val="IASBSectionTitle3Ind"/>
        <w:jc w:val="both"/>
        <w:outlineLvl w:val="4"/>
      </w:pPr>
      <w:r>
        <w:t>Example: abalone/fish</w:t>
      </w:r>
    </w:p>
    <w:p w:rsidR="00567A4F" w:rsidRDefault="00CC3BB1" w:rsidP="001C7D79">
      <w:pPr>
        <w:pStyle w:val="NumBC1"/>
        <w:numPr>
          <w:ilvl w:val="0"/>
          <w:numId w:val="32"/>
        </w:numPr>
        <w:spacing w:before="0"/>
      </w:pPr>
      <w:bookmarkStart w:id="64" w:name="_Ref497119120"/>
      <w:r>
        <w:t>The Board considered whether two examples of fishing licences were examples where the licensor grants the licensee rights over the licensor</w:t>
      </w:r>
      <w:r w:rsidR="005446F8">
        <w:t>’</w:t>
      </w:r>
      <w:r>
        <w:t xml:space="preserve">s assets (the first one was a commercial licence to fish for </w:t>
      </w:r>
      <w:r w:rsidR="00567A4F">
        <w:t>abalone</w:t>
      </w:r>
      <w:r>
        <w:t xml:space="preserve"> and the other a recreational </w:t>
      </w:r>
      <w:r w:rsidR="00567A4F">
        <w:t>fishing licence</w:t>
      </w:r>
      <w:r w:rsidRPr="006878FF">
        <w:t>)</w:t>
      </w:r>
      <w:r w:rsidR="00567A4F" w:rsidRPr="006878FF">
        <w:t>.</w:t>
      </w:r>
      <w:r w:rsidR="00567A4F">
        <w:t xml:space="preserve"> In these examples, the bodies of water and the fish are arguably assets of the licensor, which the licensee has the right to access or use.</w:t>
      </w:r>
      <w:bookmarkEnd w:id="64"/>
      <w:r w:rsidR="00567A4F">
        <w:t xml:space="preserve"> </w:t>
      </w:r>
    </w:p>
    <w:p w:rsidR="00567A4F" w:rsidRDefault="00567A4F" w:rsidP="001C7D79">
      <w:pPr>
        <w:pStyle w:val="NumBC1"/>
        <w:numPr>
          <w:ilvl w:val="0"/>
          <w:numId w:val="32"/>
        </w:numPr>
        <w:spacing w:before="0"/>
      </w:pPr>
      <w:bookmarkStart w:id="65" w:name="_Ref497046458"/>
      <w:r>
        <w:t xml:space="preserve">In these examples, the licensee has the ability to take </w:t>
      </w:r>
      <w:r w:rsidR="00442DF4">
        <w:t>or</w:t>
      </w:r>
      <w:r>
        <w:t xml:space="preserve"> attempt to take abalone/fish (up to a maximum quota in the case of abalone). </w:t>
      </w:r>
      <w:r w:rsidR="00CC3BB1">
        <w:t>However, when examined, the Board concluded that a</w:t>
      </w:r>
      <w:r>
        <w:t>balone/fish are tangible goods and the licence is an inextricable part of those tangible goods and is therefore not distinct (refer</w:t>
      </w:r>
      <w:r w:rsidR="00CC3BB1">
        <w:t xml:space="preserve"> paragraph</w:t>
      </w:r>
      <w:r w:rsidR="003B64FA">
        <w:t>s</w:t>
      </w:r>
      <w:r w:rsidR="00CC3BB1">
        <w:t xml:space="preserve"> </w:t>
      </w:r>
      <w:r w:rsidR="00BC24B5">
        <w:t>26–</w:t>
      </w:r>
      <w:r w:rsidR="003B64FA">
        <w:t>30</w:t>
      </w:r>
      <w:r w:rsidR="00CC3BB1">
        <w:t>).</w:t>
      </w:r>
      <w:r w:rsidR="003B64FA">
        <w:t xml:space="preserve"> Therefore, in</w:t>
      </w:r>
      <w:r w:rsidR="00F42AF0">
        <w:t xml:space="preserve"> accordance with paragraph 30, the licence is combined with the other goods or services and accounted for as a bundle of goods or services</w:t>
      </w:r>
      <w:r w:rsidR="00797924">
        <w:t xml:space="preserve"> that is a single performance obligation</w:t>
      </w:r>
      <w:bookmarkEnd w:id="65"/>
    </w:p>
    <w:p w:rsidR="006A2CF9" w:rsidRDefault="00CE7106" w:rsidP="001C7D79">
      <w:pPr>
        <w:pStyle w:val="NumBC1"/>
        <w:numPr>
          <w:ilvl w:val="0"/>
          <w:numId w:val="32"/>
        </w:numPr>
      </w:pPr>
      <w:r>
        <w:t xml:space="preserve">The Board also observed that despite an arrangement </w:t>
      </w:r>
      <w:r w:rsidR="007021BC">
        <w:t>being referred to as</w:t>
      </w:r>
      <w:r>
        <w:t xml:space="preserve"> a licence, it might be </w:t>
      </w:r>
      <w:r w:rsidR="00843E83">
        <w:t xml:space="preserve">in substance </w:t>
      </w:r>
      <w:r>
        <w:t xml:space="preserve">a ‘take or pay’ arrangement, and should be accounted for </w:t>
      </w:r>
      <w:r w:rsidR="00907EEA">
        <w:t>in accordance with the principles of AASB 15, with considerat</w:t>
      </w:r>
      <w:r w:rsidR="00BC24B5">
        <w:t>ion of paragraphs B44–</w:t>
      </w:r>
      <w:r w:rsidR="00907EEA">
        <w:t>B47</w:t>
      </w:r>
      <w:r w:rsidR="000674E5">
        <w:t>,</w:t>
      </w:r>
      <w:r w:rsidR="00907EEA">
        <w:t xml:space="preserve"> which address </w:t>
      </w:r>
      <w:r w:rsidR="007A143B">
        <w:t>cu</w:t>
      </w:r>
      <w:r w:rsidR="00907EEA">
        <w:t>stomers’ unexercised rights</w:t>
      </w:r>
      <w:r>
        <w:t xml:space="preserve">. An example of this would be where a </w:t>
      </w:r>
      <w:r w:rsidR="00544188">
        <w:t>NFP</w:t>
      </w:r>
      <w:r>
        <w:t xml:space="preserve"> public sector licensor issues a ‘licence’ </w:t>
      </w:r>
      <w:r w:rsidR="00544188">
        <w:t>that</w:t>
      </w:r>
      <w:r>
        <w:t xml:space="preserve"> requires the licensee to pay for a specified quota of a good, regardless of whether or not the licensee subsequently chooses or manages to take the specified quota.</w:t>
      </w:r>
    </w:p>
    <w:p w:rsidR="00EB35FD" w:rsidRDefault="00EB35FD" w:rsidP="001C7D79">
      <w:pPr>
        <w:pStyle w:val="NumBC1"/>
        <w:numPr>
          <w:ilvl w:val="0"/>
          <w:numId w:val="32"/>
        </w:numPr>
      </w:pPr>
      <w:r w:rsidRPr="00EB35FD">
        <w:t xml:space="preserve">The Board asked a specific question in ED 283 to understand whether there were any examples of distinct non-IP licences involving an asset of the licensor. Respondents to ED 283 noted a small number, such as mooring licences and road occupancy licences, however the Board noted that the licences identified </w:t>
      </w:r>
      <w:r w:rsidR="00BA26E2">
        <w:t>are</w:t>
      </w:r>
      <w:r w:rsidRPr="00EB35FD">
        <w:t xml:space="preserve"> not common examples, and would not represent a significant amount of an NFP public sector entity’s overall revenue from licences. The Board therefore decided that Standard-setting activities were not warranted, and that if a NFP public sector entity did happen to have a material amount of revenue from these licences, the guidance for non-IP licences involving a right to perform would be sufficient.</w:t>
      </w:r>
    </w:p>
    <w:p w:rsidR="00CD1F5E" w:rsidRDefault="00CD1F5E" w:rsidP="005D0061">
      <w:pPr>
        <w:pStyle w:val="IASBSectionTitle2Ind"/>
        <w:jc w:val="both"/>
        <w:outlineLvl w:val="3"/>
      </w:pPr>
      <w:r w:rsidRPr="008C6892">
        <w:t xml:space="preserve">Options for amending </w:t>
      </w:r>
      <w:r>
        <w:t>AASB 15 to</w:t>
      </w:r>
      <w:r w:rsidRPr="008C6892">
        <w:t xml:space="preserve"> account for revenue</w:t>
      </w:r>
      <w:r>
        <w:t xml:space="preserve"> from licences</w:t>
      </w:r>
      <w:r w:rsidRPr="008C6892">
        <w:t xml:space="preserve"> </w:t>
      </w:r>
    </w:p>
    <w:p w:rsidR="00CD1F5E" w:rsidRDefault="000C29AE" w:rsidP="001C7D79">
      <w:pPr>
        <w:pStyle w:val="NumBC1"/>
        <w:numPr>
          <w:ilvl w:val="0"/>
          <w:numId w:val="32"/>
        </w:numPr>
        <w:spacing w:before="0"/>
      </w:pPr>
      <w:bookmarkStart w:id="66" w:name="_Ref522693041"/>
      <w:r>
        <w:t>The Board concluded</w:t>
      </w:r>
      <w:r w:rsidR="00CD1F5E">
        <w:t xml:space="preserve"> that </w:t>
      </w:r>
      <w:r w:rsidR="00CD1F5E" w:rsidRPr="008C6892">
        <w:t xml:space="preserve">most licences issued by </w:t>
      </w:r>
      <w:r w:rsidR="00CD1F5E">
        <w:t>NFP</w:t>
      </w:r>
      <w:r w:rsidR="00CD1F5E" w:rsidRPr="008C6892">
        <w:t xml:space="preserve"> public sector </w:t>
      </w:r>
      <w:r w:rsidR="00CD1F5E">
        <w:t>licensors</w:t>
      </w:r>
      <w:r w:rsidR="00CD1F5E" w:rsidRPr="008C6892">
        <w:t xml:space="preserve"> are either IP licences or non-IP licences involving the right to perform an activity. Based on this, the Board </w:t>
      </w:r>
      <w:r w:rsidR="00CD1F5E">
        <w:t xml:space="preserve">observed that it would not be </w:t>
      </w:r>
      <w:r w:rsidR="0014647B">
        <w:t>appropriate</w:t>
      </w:r>
      <w:r w:rsidR="00CD1F5E">
        <w:t xml:space="preserve"> to simply apply the guidance for IP licences by analogy</w:t>
      </w:r>
      <w:r w:rsidR="00EB35FD">
        <w:t xml:space="preserve"> (due to the challenges for non-IP licences involving the right to perform an activity noted in </w:t>
      </w:r>
      <w:r w:rsidR="00EB35FD">
        <w:fldChar w:fldCharType="begin"/>
      </w:r>
      <w:r w:rsidR="00EB35FD">
        <w:instrText xml:space="preserve"> REF _Ref522657454 \r \h </w:instrText>
      </w:r>
      <w:r w:rsidR="00EB35FD">
        <w:fldChar w:fldCharType="separate"/>
      </w:r>
      <w:r w:rsidR="00882B86">
        <w:t>BC65</w:t>
      </w:r>
      <w:r w:rsidR="00EB35FD">
        <w:fldChar w:fldCharType="end"/>
      </w:r>
      <w:r w:rsidR="00CD1F5E">
        <w:t>, but instead analysed</w:t>
      </w:r>
      <w:r w:rsidR="00CD1F5E" w:rsidRPr="008C6892">
        <w:t xml:space="preserve"> four </w:t>
      </w:r>
      <w:r w:rsidR="00CD1F5E">
        <w:t xml:space="preserve">possible </w:t>
      </w:r>
      <w:r w:rsidR="00CD1F5E" w:rsidRPr="008C6892">
        <w:t xml:space="preserve">options for </w:t>
      </w:r>
      <w:r w:rsidR="00CD1F5E">
        <w:t xml:space="preserve">prescribing the </w:t>
      </w:r>
      <w:r w:rsidR="00CD1F5E" w:rsidRPr="008C6892">
        <w:t xml:space="preserve">accounting for revenue from licences issued by </w:t>
      </w:r>
      <w:r w:rsidR="00CD1F5E">
        <w:t>NFP</w:t>
      </w:r>
      <w:r w:rsidR="00CD1F5E" w:rsidRPr="008C6892">
        <w:t xml:space="preserve"> public sector </w:t>
      </w:r>
      <w:r w:rsidR="00CD1F5E">
        <w:t>licensors</w:t>
      </w:r>
      <w:bookmarkStart w:id="67" w:name="_Ref522866335"/>
      <w:r w:rsidR="00CD1F5E">
        <w:t xml:space="preserve">. </w:t>
      </w:r>
      <w:bookmarkStart w:id="68" w:name="_Ref497200203"/>
      <w:r w:rsidR="00CD1F5E" w:rsidRPr="00862384">
        <w:t>A summary of the options considered by the Board is detailed below:</w:t>
      </w:r>
      <w:bookmarkEnd w:id="66"/>
      <w:bookmarkEnd w:id="67"/>
      <w:bookmarkEnd w:id="68"/>
    </w:p>
    <w:tbl>
      <w:tblPr>
        <w:tblStyle w:val="TableGrid"/>
        <w:tblW w:w="4884" w:type="pct"/>
        <w:tblInd w:w="108" w:type="dxa"/>
        <w:tblLook w:val="04A0" w:firstRow="1" w:lastRow="0" w:firstColumn="1" w:lastColumn="0" w:noHBand="0" w:noVBand="1"/>
        <w:tblCaption w:val="Summary of options for accounting for licence"/>
        <w:tblDescription w:val="Details what the options were and the likely revenue recognition outcome"/>
      </w:tblPr>
      <w:tblGrid>
        <w:gridCol w:w="1041"/>
        <w:gridCol w:w="1782"/>
        <w:gridCol w:w="2056"/>
        <w:gridCol w:w="2177"/>
        <w:gridCol w:w="1800"/>
      </w:tblGrid>
      <w:tr w:rsidR="00CD1F5E" w:rsidRPr="00862384" w:rsidTr="00870443">
        <w:trPr>
          <w:cantSplit/>
          <w:tblHeader/>
        </w:trPr>
        <w:tc>
          <w:tcPr>
            <w:tcW w:w="588" w:type="pct"/>
            <w:tcBorders>
              <w:top w:val="nil"/>
              <w:left w:val="nil"/>
            </w:tcBorders>
          </w:tcPr>
          <w:p w:rsidR="00CD1F5E" w:rsidRPr="00862384" w:rsidRDefault="00CD1F5E" w:rsidP="00870443">
            <w:pPr>
              <w:spacing w:before="60" w:after="60"/>
              <w:rPr>
                <w:sz w:val="18"/>
                <w:szCs w:val="18"/>
              </w:rPr>
            </w:pPr>
          </w:p>
        </w:tc>
        <w:tc>
          <w:tcPr>
            <w:tcW w:w="1006" w:type="pct"/>
          </w:tcPr>
          <w:p w:rsidR="00CD1F5E" w:rsidRPr="00862384" w:rsidRDefault="00CD1F5E" w:rsidP="00870443">
            <w:pPr>
              <w:spacing w:before="60" w:after="60"/>
              <w:jc w:val="center"/>
              <w:rPr>
                <w:b/>
                <w:sz w:val="18"/>
                <w:szCs w:val="18"/>
              </w:rPr>
            </w:pPr>
            <w:r w:rsidRPr="00862384">
              <w:rPr>
                <w:b/>
                <w:sz w:val="18"/>
                <w:szCs w:val="18"/>
              </w:rPr>
              <w:t>Option 1</w:t>
            </w:r>
          </w:p>
        </w:tc>
        <w:tc>
          <w:tcPr>
            <w:tcW w:w="1161" w:type="pct"/>
          </w:tcPr>
          <w:p w:rsidR="00CD1F5E" w:rsidRPr="00862384" w:rsidRDefault="00CD1F5E" w:rsidP="00870443">
            <w:pPr>
              <w:spacing w:before="60" w:after="60"/>
              <w:jc w:val="center"/>
              <w:rPr>
                <w:b/>
                <w:sz w:val="18"/>
                <w:szCs w:val="18"/>
              </w:rPr>
            </w:pPr>
            <w:r w:rsidRPr="00862384">
              <w:rPr>
                <w:b/>
                <w:sz w:val="18"/>
                <w:szCs w:val="18"/>
              </w:rPr>
              <w:t>Option 2</w:t>
            </w:r>
          </w:p>
        </w:tc>
        <w:tc>
          <w:tcPr>
            <w:tcW w:w="1229" w:type="pct"/>
          </w:tcPr>
          <w:p w:rsidR="00CD1F5E" w:rsidRPr="00862384" w:rsidRDefault="00CD1F5E" w:rsidP="00870443">
            <w:pPr>
              <w:spacing w:before="60" w:after="60"/>
              <w:jc w:val="center"/>
              <w:rPr>
                <w:b/>
                <w:sz w:val="18"/>
                <w:szCs w:val="18"/>
              </w:rPr>
            </w:pPr>
            <w:r w:rsidRPr="00862384">
              <w:rPr>
                <w:b/>
                <w:sz w:val="18"/>
                <w:szCs w:val="18"/>
              </w:rPr>
              <w:t>Option 3</w:t>
            </w:r>
          </w:p>
        </w:tc>
        <w:tc>
          <w:tcPr>
            <w:tcW w:w="1016" w:type="pct"/>
          </w:tcPr>
          <w:p w:rsidR="00CD1F5E" w:rsidRPr="00862384" w:rsidRDefault="00CD1F5E" w:rsidP="00870443">
            <w:pPr>
              <w:spacing w:before="60" w:after="60"/>
              <w:jc w:val="left"/>
              <w:rPr>
                <w:b/>
                <w:sz w:val="18"/>
                <w:szCs w:val="18"/>
              </w:rPr>
            </w:pPr>
            <w:r w:rsidRPr="00862384">
              <w:rPr>
                <w:b/>
                <w:sz w:val="18"/>
                <w:szCs w:val="18"/>
              </w:rPr>
              <w:t>Option 4</w:t>
            </w:r>
          </w:p>
        </w:tc>
      </w:tr>
      <w:tr w:rsidR="00CD1F5E" w:rsidRPr="00862384" w:rsidTr="00870443">
        <w:trPr>
          <w:cantSplit/>
        </w:trPr>
        <w:tc>
          <w:tcPr>
            <w:tcW w:w="588" w:type="pct"/>
          </w:tcPr>
          <w:p w:rsidR="00CD1F5E" w:rsidRPr="00862384" w:rsidRDefault="00CD1F5E" w:rsidP="00870443">
            <w:pPr>
              <w:spacing w:before="60" w:after="60"/>
              <w:jc w:val="left"/>
              <w:rPr>
                <w:sz w:val="18"/>
                <w:szCs w:val="18"/>
              </w:rPr>
            </w:pPr>
            <w:r w:rsidRPr="00862384">
              <w:rPr>
                <w:sz w:val="18"/>
                <w:szCs w:val="18"/>
              </w:rPr>
              <w:t>What is it?</w:t>
            </w:r>
          </w:p>
        </w:tc>
        <w:tc>
          <w:tcPr>
            <w:tcW w:w="1006" w:type="pct"/>
          </w:tcPr>
          <w:p w:rsidR="00CD1F5E" w:rsidRPr="00862384" w:rsidRDefault="00CD1F5E" w:rsidP="00870443">
            <w:pPr>
              <w:spacing w:before="60" w:after="60"/>
              <w:jc w:val="left"/>
              <w:rPr>
                <w:sz w:val="18"/>
                <w:szCs w:val="18"/>
              </w:rPr>
            </w:pPr>
            <w:r w:rsidRPr="00862384">
              <w:rPr>
                <w:sz w:val="18"/>
                <w:szCs w:val="18"/>
              </w:rPr>
              <w:t xml:space="preserve">All licences: </w:t>
            </w:r>
          </w:p>
          <w:p w:rsidR="00CD1F5E" w:rsidRPr="00862384" w:rsidRDefault="00CD1F5E" w:rsidP="00870443">
            <w:pPr>
              <w:pStyle w:val="NumPlain3"/>
              <w:numPr>
                <w:ilvl w:val="0"/>
                <w:numId w:val="0"/>
              </w:numPr>
              <w:spacing w:before="60" w:after="60"/>
              <w:ind w:left="318" w:hanging="318"/>
              <w:jc w:val="left"/>
              <w:rPr>
                <w:sz w:val="18"/>
                <w:szCs w:val="18"/>
              </w:rPr>
            </w:pPr>
            <w:r w:rsidRPr="00862384">
              <w:rPr>
                <w:sz w:val="18"/>
                <w:szCs w:val="18"/>
              </w:rPr>
              <w:t>(</w:t>
            </w:r>
            <w:proofErr w:type="spellStart"/>
            <w:r w:rsidRPr="00862384">
              <w:rPr>
                <w:sz w:val="18"/>
                <w:szCs w:val="18"/>
              </w:rPr>
              <w:t>i</w:t>
            </w:r>
            <w:proofErr w:type="spellEnd"/>
            <w:r w:rsidRPr="00862384">
              <w:rPr>
                <w:sz w:val="18"/>
                <w:szCs w:val="18"/>
              </w:rPr>
              <w:t xml:space="preserve">) </w:t>
            </w:r>
            <w:r w:rsidRPr="00862384">
              <w:rPr>
                <w:sz w:val="18"/>
                <w:szCs w:val="18"/>
              </w:rPr>
              <w:tab/>
              <w:t xml:space="preserve">Apply (unamended)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rsidR="00CD1F5E" w:rsidRPr="00862384" w:rsidRDefault="00CD1F5E" w:rsidP="00870443">
            <w:pPr>
              <w:pStyle w:val="NumPlain3"/>
              <w:numPr>
                <w:ilvl w:val="0"/>
                <w:numId w:val="0"/>
              </w:numPr>
              <w:spacing w:before="60" w:after="60"/>
              <w:ind w:left="318" w:hanging="318"/>
              <w:jc w:val="left"/>
              <w:rPr>
                <w:sz w:val="18"/>
                <w:szCs w:val="18"/>
              </w:rPr>
            </w:pPr>
            <w:r w:rsidRPr="00862384">
              <w:rPr>
                <w:sz w:val="18"/>
                <w:szCs w:val="18"/>
              </w:rPr>
              <w:t xml:space="preserve">(ii) </w:t>
            </w:r>
            <w:r>
              <w:rPr>
                <w:sz w:val="18"/>
                <w:szCs w:val="18"/>
              </w:rPr>
              <w:t xml:space="preserve"> </w:t>
            </w:r>
            <w:r w:rsidRPr="00862384">
              <w:rPr>
                <w:sz w:val="18"/>
                <w:szCs w:val="18"/>
              </w:rPr>
              <w:t xml:space="preserve">Add implementation guidance and examples to help </w:t>
            </w:r>
            <w:r>
              <w:rPr>
                <w:sz w:val="18"/>
                <w:szCs w:val="18"/>
              </w:rPr>
              <w:t>licensors</w:t>
            </w:r>
            <w:r w:rsidRPr="00862384">
              <w:rPr>
                <w:sz w:val="18"/>
                <w:szCs w:val="18"/>
              </w:rPr>
              <w:t xml:space="preserve"> apply (</w:t>
            </w:r>
            <w:proofErr w:type="spellStart"/>
            <w:r w:rsidRPr="00862384">
              <w:rPr>
                <w:sz w:val="18"/>
                <w:szCs w:val="18"/>
              </w:rPr>
              <w:t>i</w:t>
            </w:r>
            <w:proofErr w:type="spellEnd"/>
            <w:r w:rsidRPr="00862384">
              <w:rPr>
                <w:sz w:val="18"/>
                <w:szCs w:val="18"/>
              </w:rPr>
              <w:t>) to all licences</w:t>
            </w:r>
          </w:p>
        </w:tc>
        <w:tc>
          <w:tcPr>
            <w:tcW w:w="1161" w:type="pct"/>
          </w:tcPr>
          <w:p w:rsidR="00CD1F5E" w:rsidRPr="00862384" w:rsidRDefault="00CD1F5E" w:rsidP="00870443">
            <w:pPr>
              <w:pStyle w:val="NumPlain3"/>
              <w:numPr>
                <w:ilvl w:val="0"/>
                <w:numId w:val="0"/>
              </w:numPr>
              <w:ind w:left="378" w:hanging="378"/>
              <w:jc w:val="left"/>
              <w:rPr>
                <w:sz w:val="18"/>
                <w:szCs w:val="18"/>
              </w:rPr>
            </w:pPr>
            <w:r w:rsidRPr="00862384">
              <w:rPr>
                <w:sz w:val="18"/>
                <w:szCs w:val="18"/>
              </w:rPr>
              <w:t>(</w:t>
            </w:r>
            <w:proofErr w:type="spellStart"/>
            <w:r w:rsidRPr="00862384">
              <w:rPr>
                <w:sz w:val="18"/>
                <w:szCs w:val="18"/>
              </w:rPr>
              <w:t>i</w:t>
            </w:r>
            <w:proofErr w:type="spellEnd"/>
            <w:r w:rsidRPr="00862384">
              <w:rPr>
                <w:sz w:val="18"/>
                <w:szCs w:val="18"/>
              </w:rPr>
              <w:t xml:space="preserve">) </w:t>
            </w:r>
            <w:r w:rsidRPr="00862384">
              <w:rPr>
                <w:sz w:val="18"/>
                <w:szCs w:val="18"/>
              </w:rPr>
              <w:tab/>
              <w:t xml:space="preserve">IP licences: Apply principles from paragraphs </w:t>
            </w:r>
            <w:r>
              <w:rPr>
                <w:sz w:val="18"/>
                <w:szCs w:val="18"/>
              </w:rPr>
              <w:t>B52 to B63B</w:t>
            </w:r>
            <w:r w:rsidRPr="00862384">
              <w:rPr>
                <w:sz w:val="18"/>
                <w:szCs w:val="18"/>
              </w:rPr>
              <w:t xml:space="preserve"> in </w:t>
            </w:r>
            <w:r>
              <w:rPr>
                <w:sz w:val="18"/>
                <w:szCs w:val="18"/>
              </w:rPr>
              <w:t>AASB </w:t>
            </w:r>
            <w:r w:rsidRPr="00862384">
              <w:rPr>
                <w:sz w:val="18"/>
                <w:szCs w:val="18"/>
              </w:rPr>
              <w:t xml:space="preserve">15; </w:t>
            </w:r>
          </w:p>
          <w:p w:rsidR="00CD1F5E" w:rsidRPr="00862384" w:rsidRDefault="00CD1F5E" w:rsidP="00870443">
            <w:pPr>
              <w:pStyle w:val="NumPlain3"/>
              <w:numPr>
                <w:ilvl w:val="0"/>
                <w:numId w:val="0"/>
              </w:numPr>
              <w:ind w:left="378" w:hanging="378"/>
              <w:jc w:val="left"/>
              <w:rPr>
                <w:sz w:val="18"/>
                <w:szCs w:val="18"/>
              </w:rPr>
            </w:pPr>
            <w:r w:rsidRPr="00862384">
              <w:rPr>
                <w:sz w:val="18"/>
                <w:szCs w:val="18"/>
              </w:rPr>
              <w:t xml:space="preserve">(ii) </w:t>
            </w:r>
            <w:r w:rsidRPr="00862384">
              <w:rPr>
                <w:sz w:val="18"/>
                <w:szCs w:val="18"/>
              </w:rPr>
              <w:tab/>
              <w:t xml:space="preserve">Non-IP licences: Develop guidance based on general  principles from </w:t>
            </w:r>
            <w:r>
              <w:rPr>
                <w:sz w:val="18"/>
                <w:szCs w:val="18"/>
              </w:rPr>
              <w:t>AASB </w:t>
            </w:r>
            <w:r w:rsidRPr="00862384">
              <w:rPr>
                <w:sz w:val="18"/>
                <w:szCs w:val="18"/>
              </w:rPr>
              <w:t xml:space="preserve">15; and  </w:t>
            </w:r>
          </w:p>
          <w:p w:rsidR="00CD1F5E" w:rsidRPr="00862384" w:rsidRDefault="00CD1F5E" w:rsidP="00870443">
            <w:pPr>
              <w:pStyle w:val="NumPlain3"/>
              <w:numPr>
                <w:ilvl w:val="0"/>
                <w:numId w:val="0"/>
              </w:numPr>
              <w:ind w:left="378" w:hanging="378"/>
              <w:jc w:val="left"/>
              <w:rPr>
                <w:sz w:val="18"/>
                <w:szCs w:val="18"/>
              </w:rPr>
            </w:pPr>
            <w:r w:rsidRPr="00862384">
              <w:rPr>
                <w:sz w:val="18"/>
                <w:szCs w:val="18"/>
              </w:rPr>
              <w:t>(iii)</w:t>
            </w:r>
            <w:r>
              <w:rPr>
                <w:sz w:val="18"/>
                <w:szCs w:val="18"/>
              </w:rPr>
              <w:t xml:space="preserve"> </w:t>
            </w:r>
            <w:r w:rsidRPr="00862384">
              <w:rPr>
                <w:sz w:val="18"/>
                <w:szCs w:val="18"/>
              </w:rPr>
              <w:t xml:space="preserve"> </w:t>
            </w:r>
            <w:r>
              <w:rPr>
                <w:sz w:val="18"/>
                <w:szCs w:val="18"/>
              </w:rPr>
              <w:t xml:space="preserve"> IP and non-IP </w:t>
            </w:r>
            <w:r w:rsidRPr="00862384">
              <w:rPr>
                <w:sz w:val="18"/>
                <w:szCs w:val="18"/>
              </w:rPr>
              <w:t xml:space="preserve">licences: Add implementation examples to help </w:t>
            </w:r>
            <w:r>
              <w:rPr>
                <w:sz w:val="18"/>
                <w:szCs w:val="18"/>
              </w:rPr>
              <w:t>licensors</w:t>
            </w:r>
            <w:r w:rsidRPr="00862384">
              <w:rPr>
                <w:sz w:val="18"/>
                <w:szCs w:val="18"/>
              </w:rPr>
              <w:t xml:space="preserve"> apply (</w:t>
            </w:r>
            <w:proofErr w:type="spellStart"/>
            <w:r w:rsidRPr="00862384">
              <w:rPr>
                <w:sz w:val="18"/>
                <w:szCs w:val="18"/>
              </w:rPr>
              <w:t>i</w:t>
            </w:r>
            <w:proofErr w:type="spellEnd"/>
            <w:r w:rsidRPr="00862384">
              <w:rPr>
                <w:sz w:val="18"/>
                <w:szCs w:val="18"/>
              </w:rPr>
              <w:t>) and (ii)</w:t>
            </w:r>
            <w:r>
              <w:rPr>
                <w:sz w:val="18"/>
                <w:szCs w:val="18"/>
              </w:rPr>
              <w:t>.</w:t>
            </w:r>
            <w:r w:rsidRPr="00862384">
              <w:rPr>
                <w:sz w:val="18"/>
                <w:szCs w:val="18"/>
              </w:rPr>
              <w:t xml:space="preserve"> </w:t>
            </w:r>
          </w:p>
        </w:tc>
        <w:tc>
          <w:tcPr>
            <w:tcW w:w="1229" w:type="pct"/>
          </w:tcPr>
          <w:p w:rsidR="00CD1F5E" w:rsidRPr="00862384" w:rsidRDefault="00CD1F5E" w:rsidP="00870443">
            <w:pPr>
              <w:spacing w:before="60" w:after="60"/>
              <w:jc w:val="left"/>
              <w:rPr>
                <w:sz w:val="18"/>
                <w:szCs w:val="18"/>
              </w:rPr>
            </w:pPr>
            <w:r w:rsidRPr="00862384">
              <w:rPr>
                <w:sz w:val="18"/>
                <w:szCs w:val="18"/>
              </w:rPr>
              <w:t xml:space="preserve">All licences: Practical </w:t>
            </w:r>
            <w:r>
              <w:rPr>
                <w:sz w:val="18"/>
                <w:szCs w:val="18"/>
              </w:rPr>
              <w:t>e</w:t>
            </w:r>
            <w:r w:rsidRPr="00862384">
              <w:rPr>
                <w:sz w:val="18"/>
                <w:szCs w:val="18"/>
              </w:rPr>
              <w:t>xpedients</w:t>
            </w:r>
            <w:r>
              <w:rPr>
                <w:sz w:val="18"/>
                <w:szCs w:val="18"/>
              </w:rPr>
              <w:t>, being a</w:t>
            </w:r>
            <w:r w:rsidRPr="00862384">
              <w:rPr>
                <w:sz w:val="18"/>
                <w:szCs w:val="18"/>
              </w:rPr>
              <w:t xml:space="preserve">ny one, or a combination  of the following: </w:t>
            </w:r>
          </w:p>
          <w:p w:rsidR="00CD1F5E" w:rsidRPr="00862384" w:rsidRDefault="00CD1F5E" w:rsidP="001C7D79">
            <w:pPr>
              <w:pStyle w:val="ListParagraph"/>
              <w:numPr>
                <w:ilvl w:val="0"/>
                <w:numId w:val="28"/>
              </w:numPr>
              <w:pBdr>
                <w:left w:val="none" w:sz="0" w:space="0" w:color="auto"/>
                <w:right w:val="none" w:sz="0" w:space="0" w:color="auto"/>
              </w:pBdr>
              <w:spacing w:before="60" w:after="60"/>
              <w:ind w:left="429" w:hanging="429"/>
              <w:rPr>
                <w:sz w:val="18"/>
                <w:szCs w:val="18"/>
              </w:rPr>
            </w:pPr>
            <w:r w:rsidRPr="00862384">
              <w:rPr>
                <w:sz w:val="18"/>
                <w:szCs w:val="18"/>
              </w:rPr>
              <w:t xml:space="preserve">Recognise revenue for all licences (IP and non-IP) at a point in time (upfront when licence is issued); </w:t>
            </w:r>
          </w:p>
          <w:p w:rsidR="00CD1F5E" w:rsidRPr="00862384" w:rsidRDefault="00CD1F5E" w:rsidP="001C7D79">
            <w:pPr>
              <w:pStyle w:val="ListParagraph"/>
              <w:numPr>
                <w:ilvl w:val="0"/>
                <w:numId w:val="28"/>
              </w:numPr>
              <w:pBdr>
                <w:left w:val="none" w:sz="0" w:space="0" w:color="auto"/>
                <w:right w:val="none" w:sz="0" w:space="0" w:color="auto"/>
              </w:pBdr>
              <w:spacing w:before="60" w:after="60"/>
              <w:ind w:left="429" w:hanging="429"/>
              <w:rPr>
                <w:sz w:val="18"/>
                <w:szCs w:val="18"/>
              </w:rPr>
            </w:pPr>
            <w:r w:rsidRPr="00862384">
              <w:rPr>
                <w:sz w:val="18"/>
                <w:szCs w:val="18"/>
              </w:rPr>
              <w:t>Recognise revenue for all licences (IP and non-IP) over time</w:t>
            </w:r>
            <w:r w:rsidRPr="00862384">
              <w:rPr>
                <w:rStyle w:val="FootnoteReference"/>
                <w:sz w:val="18"/>
                <w:szCs w:val="18"/>
              </w:rPr>
              <w:footnoteReference w:id="3"/>
            </w:r>
            <w:r w:rsidRPr="00862384">
              <w:rPr>
                <w:sz w:val="18"/>
                <w:szCs w:val="18"/>
              </w:rPr>
              <w:t xml:space="preserve">; </w:t>
            </w:r>
          </w:p>
          <w:p w:rsidR="00CD1F5E" w:rsidRPr="00862384" w:rsidRDefault="00CD1F5E" w:rsidP="001C7D79">
            <w:pPr>
              <w:pStyle w:val="ListParagraph"/>
              <w:numPr>
                <w:ilvl w:val="0"/>
                <w:numId w:val="28"/>
              </w:numPr>
              <w:pBdr>
                <w:left w:val="none" w:sz="0" w:space="0" w:color="auto"/>
                <w:right w:val="none" w:sz="0" w:space="0" w:color="auto"/>
              </w:pBdr>
              <w:spacing w:before="60" w:after="60"/>
              <w:ind w:left="429" w:hanging="429"/>
              <w:rPr>
                <w:sz w:val="18"/>
                <w:szCs w:val="18"/>
              </w:rPr>
            </w:pPr>
            <w:r w:rsidRPr="00862384">
              <w:rPr>
                <w:sz w:val="18"/>
                <w:szCs w:val="18"/>
              </w:rPr>
              <w:t>Recognise revenue for all short-term licences (</w:t>
            </w:r>
            <w:r>
              <w:rPr>
                <w:sz w:val="18"/>
                <w:szCs w:val="18"/>
              </w:rPr>
              <w:t>≤</w:t>
            </w:r>
            <w:r w:rsidRPr="00862384">
              <w:rPr>
                <w:sz w:val="18"/>
                <w:szCs w:val="18"/>
              </w:rPr>
              <w:t>1 year)  at a point in time (upfront) and all long-term licences (&gt;1 year) over time</w:t>
            </w:r>
            <w:r w:rsidRPr="00862384">
              <w:rPr>
                <w:sz w:val="18"/>
                <w:szCs w:val="18"/>
                <w:vertAlign w:val="superscript"/>
              </w:rPr>
              <w:t>2</w:t>
            </w:r>
            <w:r w:rsidRPr="00862384">
              <w:rPr>
                <w:sz w:val="18"/>
                <w:szCs w:val="18"/>
              </w:rPr>
              <w:t>; or</w:t>
            </w:r>
          </w:p>
          <w:p w:rsidR="00CD1F5E" w:rsidRPr="00862384" w:rsidRDefault="00CD1F5E" w:rsidP="001C7D79">
            <w:pPr>
              <w:pStyle w:val="ListParagraph"/>
              <w:numPr>
                <w:ilvl w:val="0"/>
                <w:numId w:val="28"/>
              </w:numPr>
              <w:pBdr>
                <w:left w:val="none" w:sz="0" w:space="0" w:color="auto"/>
                <w:right w:val="none" w:sz="0" w:space="0" w:color="auto"/>
              </w:pBdr>
              <w:spacing w:before="60" w:after="60"/>
              <w:ind w:left="429" w:hanging="429"/>
              <w:rPr>
                <w:sz w:val="18"/>
                <w:szCs w:val="18"/>
              </w:rPr>
            </w:pPr>
            <w:r w:rsidRPr="00862384">
              <w:rPr>
                <w:sz w:val="18"/>
                <w:szCs w:val="18"/>
              </w:rPr>
              <w:t>Recognise revenue for all low</w:t>
            </w:r>
            <w:r>
              <w:rPr>
                <w:sz w:val="18"/>
                <w:szCs w:val="18"/>
              </w:rPr>
              <w:t>-</w:t>
            </w:r>
            <w:r w:rsidRPr="00862384">
              <w:rPr>
                <w:sz w:val="18"/>
                <w:szCs w:val="18"/>
              </w:rPr>
              <w:t>value licences at a point in time (upfront) and all high</w:t>
            </w:r>
            <w:r>
              <w:rPr>
                <w:sz w:val="18"/>
                <w:szCs w:val="18"/>
              </w:rPr>
              <w:t>-</w:t>
            </w:r>
            <w:r w:rsidRPr="00862384">
              <w:rPr>
                <w:sz w:val="18"/>
                <w:szCs w:val="18"/>
              </w:rPr>
              <w:t>value licences over time.</w:t>
            </w:r>
            <w:r w:rsidRPr="00862384">
              <w:rPr>
                <w:sz w:val="18"/>
                <w:szCs w:val="18"/>
                <w:vertAlign w:val="superscript"/>
              </w:rPr>
              <w:t>2</w:t>
            </w:r>
          </w:p>
        </w:tc>
        <w:tc>
          <w:tcPr>
            <w:tcW w:w="1016" w:type="pct"/>
          </w:tcPr>
          <w:p w:rsidR="00CD1F5E" w:rsidRPr="00862384" w:rsidRDefault="00CD1F5E" w:rsidP="00870443">
            <w:pPr>
              <w:spacing w:before="60" w:after="60"/>
              <w:jc w:val="left"/>
              <w:rPr>
                <w:sz w:val="18"/>
                <w:szCs w:val="18"/>
              </w:rPr>
            </w:pPr>
            <w:r w:rsidRPr="00862384">
              <w:rPr>
                <w:sz w:val="18"/>
                <w:szCs w:val="18"/>
              </w:rPr>
              <w:t xml:space="preserve">All licences: </w:t>
            </w:r>
            <w:r>
              <w:rPr>
                <w:sz w:val="18"/>
                <w:szCs w:val="18"/>
              </w:rPr>
              <w:t>S</w:t>
            </w:r>
            <w:r w:rsidRPr="00862384">
              <w:rPr>
                <w:sz w:val="18"/>
                <w:szCs w:val="18"/>
              </w:rPr>
              <w:t>plit all licence transactions between a licence and a tax (consistent with GFS accounting for licences</w:t>
            </w:r>
            <w:r>
              <w:rPr>
                <w:sz w:val="18"/>
                <w:szCs w:val="18"/>
              </w:rPr>
              <w:t xml:space="preserve"> and taxes</w:t>
            </w:r>
            <w:r w:rsidRPr="00862384">
              <w:rPr>
                <w:sz w:val="18"/>
                <w:szCs w:val="18"/>
              </w:rPr>
              <w:t xml:space="preserve">), where the reasonable price for the performance obligation is considered a licence and accounted for under </w:t>
            </w:r>
            <w:r>
              <w:rPr>
                <w:sz w:val="18"/>
                <w:szCs w:val="18"/>
              </w:rPr>
              <w:t>AASB </w:t>
            </w:r>
            <w:r w:rsidRPr="00862384">
              <w:rPr>
                <w:sz w:val="18"/>
                <w:szCs w:val="18"/>
              </w:rPr>
              <w:t xml:space="preserve">15 (which may need specific guidance) and the </w:t>
            </w:r>
            <w:r>
              <w:rPr>
                <w:sz w:val="18"/>
                <w:szCs w:val="18"/>
              </w:rPr>
              <w:t>‘</w:t>
            </w:r>
            <w:r w:rsidRPr="00862384">
              <w:rPr>
                <w:sz w:val="18"/>
                <w:szCs w:val="18"/>
              </w:rPr>
              <w:t>excess</w:t>
            </w:r>
            <w:r>
              <w:rPr>
                <w:sz w:val="18"/>
                <w:szCs w:val="18"/>
              </w:rPr>
              <w:t>’</w:t>
            </w:r>
            <w:r w:rsidRPr="00862384">
              <w:rPr>
                <w:sz w:val="18"/>
                <w:szCs w:val="18"/>
              </w:rPr>
              <w:t xml:space="preserve"> over </w:t>
            </w:r>
            <w:r>
              <w:rPr>
                <w:sz w:val="18"/>
                <w:szCs w:val="18"/>
              </w:rPr>
              <w:t>the</w:t>
            </w:r>
            <w:r w:rsidRPr="00862384">
              <w:rPr>
                <w:sz w:val="18"/>
                <w:szCs w:val="18"/>
              </w:rPr>
              <w:t xml:space="preserve"> reasonable price for the performance obligation is considered a tax and accounted for under </w:t>
            </w:r>
            <w:r>
              <w:rPr>
                <w:sz w:val="18"/>
                <w:szCs w:val="18"/>
              </w:rPr>
              <w:t>AASB </w:t>
            </w:r>
            <w:r w:rsidRPr="00862384">
              <w:rPr>
                <w:sz w:val="18"/>
                <w:szCs w:val="18"/>
              </w:rPr>
              <w:t xml:space="preserve">1058. </w:t>
            </w:r>
          </w:p>
        </w:tc>
      </w:tr>
      <w:tr w:rsidR="00CD1F5E" w:rsidRPr="00862384" w:rsidTr="00870443">
        <w:trPr>
          <w:cantSplit/>
        </w:trPr>
        <w:tc>
          <w:tcPr>
            <w:tcW w:w="588" w:type="pct"/>
          </w:tcPr>
          <w:p w:rsidR="00CD1F5E" w:rsidRPr="00862384" w:rsidRDefault="00CD1F5E" w:rsidP="00870443">
            <w:pPr>
              <w:spacing w:before="60" w:after="60"/>
              <w:jc w:val="left"/>
              <w:rPr>
                <w:sz w:val="18"/>
                <w:szCs w:val="18"/>
              </w:rPr>
            </w:pPr>
            <w:r w:rsidRPr="00862384">
              <w:rPr>
                <w:sz w:val="18"/>
                <w:szCs w:val="18"/>
              </w:rPr>
              <w:t>Likely revenue recognition outcome</w:t>
            </w:r>
          </w:p>
        </w:tc>
        <w:tc>
          <w:tcPr>
            <w:tcW w:w="1006" w:type="pct"/>
          </w:tcPr>
          <w:p w:rsidR="00CD1F5E" w:rsidRPr="00862384" w:rsidRDefault="00CD1F5E" w:rsidP="001C7D79">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IP: either over time or point in time</w:t>
            </w:r>
            <w:r>
              <w:rPr>
                <w:sz w:val="18"/>
                <w:szCs w:val="18"/>
              </w:rPr>
              <w:t>, depending on circumstances</w:t>
            </w:r>
          </w:p>
          <w:p w:rsidR="00CD1F5E" w:rsidRPr="00862384" w:rsidRDefault="00CD1F5E" w:rsidP="000643F7">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161" w:type="pct"/>
          </w:tcPr>
          <w:p w:rsidR="00CD1F5E" w:rsidRPr="00862384" w:rsidRDefault="00CD1F5E" w:rsidP="001C7D79">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IP: either over time or point in time</w:t>
            </w:r>
            <w:r>
              <w:rPr>
                <w:sz w:val="18"/>
                <w:szCs w:val="18"/>
              </w:rPr>
              <w:t xml:space="preserve">, depending on circumstances </w:t>
            </w:r>
          </w:p>
          <w:p w:rsidR="00CD1F5E" w:rsidRPr="00862384" w:rsidRDefault="00CD1F5E" w:rsidP="000643F7">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Non</w:t>
            </w:r>
            <w:r>
              <w:rPr>
                <w:sz w:val="18"/>
                <w:szCs w:val="18"/>
              </w:rPr>
              <w:t>-</w:t>
            </w:r>
            <w:r w:rsidRPr="00862384">
              <w:rPr>
                <w:sz w:val="18"/>
                <w:szCs w:val="18"/>
              </w:rPr>
              <w:t>IP:  likely point in time (upfront)</w:t>
            </w:r>
          </w:p>
        </w:tc>
        <w:tc>
          <w:tcPr>
            <w:tcW w:w="1229" w:type="pct"/>
          </w:tcPr>
          <w:p w:rsidR="00CD1F5E" w:rsidRPr="00862384" w:rsidRDefault="00CD1F5E" w:rsidP="001C7D79">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IP and non-IP: either over time or point in time depending on the practical expedient chosen</w:t>
            </w:r>
          </w:p>
        </w:tc>
        <w:tc>
          <w:tcPr>
            <w:tcW w:w="1016" w:type="pct"/>
          </w:tcPr>
          <w:p w:rsidR="00CD1F5E" w:rsidRPr="00862384" w:rsidRDefault="00CD1F5E" w:rsidP="001C7D79">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Licence component: either over time or point in time</w:t>
            </w:r>
            <w:r>
              <w:rPr>
                <w:sz w:val="18"/>
                <w:szCs w:val="18"/>
              </w:rPr>
              <w:t xml:space="preserve"> depending on circumstances</w:t>
            </w:r>
          </w:p>
          <w:p w:rsidR="00CD1F5E" w:rsidRPr="00862384" w:rsidRDefault="00CD1F5E" w:rsidP="001C7D79">
            <w:pPr>
              <w:pStyle w:val="ListParagraph"/>
              <w:numPr>
                <w:ilvl w:val="0"/>
                <w:numId w:val="27"/>
              </w:numPr>
              <w:pBdr>
                <w:left w:val="none" w:sz="0" w:space="0" w:color="auto"/>
                <w:right w:val="none" w:sz="0" w:space="0" w:color="auto"/>
              </w:pBdr>
              <w:spacing w:before="60" w:after="60"/>
              <w:ind w:left="313" w:hanging="284"/>
              <w:rPr>
                <w:sz w:val="18"/>
                <w:szCs w:val="18"/>
              </w:rPr>
            </w:pPr>
            <w:r w:rsidRPr="00862384">
              <w:rPr>
                <w:sz w:val="18"/>
                <w:szCs w:val="18"/>
              </w:rPr>
              <w:t xml:space="preserve">Tax component: recognised under </w:t>
            </w:r>
            <w:r>
              <w:rPr>
                <w:sz w:val="18"/>
                <w:szCs w:val="18"/>
              </w:rPr>
              <w:t>AASB </w:t>
            </w:r>
            <w:r w:rsidRPr="00862384">
              <w:rPr>
                <w:sz w:val="18"/>
                <w:szCs w:val="18"/>
              </w:rPr>
              <w:t>1058</w:t>
            </w:r>
          </w:p>
        </w:tc>
      </w:tr>
    </w:tbl>
    <w:p w:rsidR="00CD1F5E" w:rsidRDefault="00CD1F5E" w:rsidP="005D0061">
      <w:pPr>
        <w:pStyle w:val="IASBSectionTitle1NonInd"/>
        <w:outlineLvl w:val="2"/>
      </w:pPr>
      <w:r>
        <w:t>Accounting</w:t>
      </w:r>
      <w:r w:rsidRPr="008C6892">
        <w:t xml:space="preserve"> for revenue from licences</w:t>
      </w:r>
      <w:r w:rsidR="00EB35FD">
        <w:t xml:space="preserve"> under AASB 15</w:t>
      </w:r>
      <w:r>
        <w:t xml:space="preserve"> – the chosen option</w:t>
      </w:r>
      <w:r w:rsidRPr="008C6892">
        <w:t xml:space="preserve"> </w:t>
      </w:r>
    </w:p>
    <w:p w:rsidR="00CD1F5E" w:rsidRDefault="00CD1F5E" w:rsidP="001C7D79">
      <w:pPr>
        <w:pStyle w:val="NumBC1"/>
        <w:numPr>
          <w:ilvl w:val="0"/>
          <w:numId w:val="32"/>
        </w:numPr>
        <w:spacing w:before="0"/>
      </w:pPr>
      <w:bookmarkStart w:id="69" w:name="_Ref523221565"/>
      <w:r>
        <w:t>After consideration of each of the four possible options, the Board decided option 2 was the most suitable, with some modifications for low-value and short-term licences (see later in this paragraph). The primary reason for the decision is that option 2 is comparatively easier to apply than option 1 (especially for non-IP licences) and option 4 and it is the most consistent with a transaction neutral approach. The Board was concerned that because of the challenges in applying option 1 to non-IP licences and applying option 4 to all licences, inconsistenc</w:t>
      </w:r>
      <w:r w:rsidR="004105DE">
        <w:t>ies</w:t>
      </w:r>
      <w:r>
        <w:t xml:space="preserve"> could arise if applied in practice.  Option 3 offered convenient sub-options, each of which would result in consistency in practice. Therefore the Board decided to modify option 2 to allow licensors the option of adopting practical expedients for low-value or short-term licences</w:t>
      </w:r>
      <w:r w:rsidR="00A4291A">
        <w:t xml:space="preserve"> (including IP licences</w:t>
      </w:r>
      <w:r w:rsidR="00887C26">
        <w:t xml:space="preserve"> – see paragraph </w:t>
      </w:r>
      <w:r w:rsidR="007A143B">
        <w:fldChar w:fldCharType="begin"/>
      </w:r>
      <w:r w:rsidR="007A143B">
        <w:instrText xml:space="preserve"> REF _Ref522705388 \r \h </w:instrText>
      </w:r>
      <w:r w:rsidR="007A143B">
        <w:fldChar w:fldCharType="separate"/>
      </w:r>
      <w:r w:rsidR="00882B86">
        <w:t>BC83</w:t>
      </w:r>
      <w:r w:rsidR="007A143B">
        <w:fldChar w:fldCharType="end"/>
      </w:r>
      <w:r w:rsidR="00A4291A">
        <w:t>)</w:t>
      </w:r>
      <w:r>
        <w:t xml:space="preserve">, </w:t>
      </w:r>
      <w:r w:rsidRPr="00BA4572">
        <w:t>consistent with the precedent set in AASB 16.  The Board also decided to</w:t>
      </w:r>
      <w:r>
        <w:t xml:space="preserve"> specify</w:t>
      </w:r>
      <w:r w:rsidRPr="00BA4572">
        <w:t xml:space="preserve"> that in applying the low</w:t>
      </w:r>
      <w:r>
        <w:t>-</w:t>
      </w:r>
      <w:r w:rsidRPr="00BA4572">
        <w:t>value option, arrangements with contingent consideration are not eligible</w:t>
      </w:r>
      <w:r>
        <w:t xml:space="preserve"> as the Board observed that in most cases this would increase the overall transaction price significantly (and hence would not be of low-value)</w:t>
      </w:r>
      <w:r w:rsidRPr="00BA4572">
        <w:t>.</w:t>
      </w:r>
      <w:bookmarkEnd w:id="69"/>
    </w:p>
    <w:p w:rsidR="00CD1F5E" w:rsidRDefault="00CD1F5E" w:rsidP="001C7D79">
      <w:pPr>
        <w:pStyle w:val="NumBC1"/>
        <w:numPr>
          <w:ilvl w:val="0"/>
          <w:numId w:val="32"/>
        </w:numPr>
        <w:spacing w:before="0"/>
      </w:pPr>
      <w:r>
        <w:t xml:space="preserve">The discussion below sets out the Board’s rationale in </w:t>
      </w:r>
      <w:r w:rsidR="00EB35FD">
        <w:t xml:space="preserve">effecting the chosen option, including the principles of AASB 15 for which the Board decided to develop guidance. </w:t>
      </w:r>
    </w:p>
    <w:p w:rsidR="00C53B3C" w:rsidRPr="00BA4572" w:rsidRDefault="00C53B3C" w:rsidP="007157F6">
      <w:pPr>
        <w:pStyle w:val="NumBC1"/>
        <w:spacing w:before="0"/>
        <w:ind w:left="0" w:firstLine="0"/>
        <w:rPr>
          <w:sz w:val="2"/>
        </w:rPr>
      </w:pPr>
    </w:p>
    <w:p w:rsidR="00952760" w:rsidRDefault="00952760" w:rsidP="005D0061">
      <w:pPr>
        <w:pStyle w:val="IASBSectionTitle2Ind"/>
        <w:jc w:val="both"/>
        <w:outlineLvl w:val="3"/>
      </w:pPr>
      <w:r>
        <w:t>Recognition exemptions for low-value and short-term licences</w:t>
      </w:r>
    </w:p>
    <w:p w:rsidR="00DE435E" w:rsidRDefault="00DC1DC3" w:rsidP="001C7D79">
      <w:pPr>
        <w:pStyle w:val="NumBC1"/>
        <w:numPr>
          <w:ilvl w:val="0"/>
          <w:numId w:val="32"/>
        </w:numPr>
      </w:pPr>
      <w:r>
        <w:t xml:space="preserve">As noted in </w:t>
      </w:r>
      <w:r w:rsidRPr="00567617">
        <w:t>paragraph</w:t>
      </w:r>
      <w:r w:rsidR="002735CE" w:rsidRPr="00567617">
        <w:t xml:space="preserve"> </w:t>
      </w:r>
      <w:r w:rsidR="002735CE" w:rsidRPr="00567617">
        <w:fldChar w:fldCharType="begin"/>
      </w:r>
      <w:r w:rsidR="002735CE" w:rsidRPr="00567617">
        <w:instrText xml:space="preserve"> REF _Ref523221565 \r \h  \* MERGEFORMAT </w:instrText>
      </w:r>
      <w:r w:rsidR="002735CE" w:rsidRPr="00567617">
        <w:fldChar w:fldCharType="separate"/>
      </w:r>
      <w:r w:rsidR="00882B86">
        <w:t>BC74</w:t>
      </w:r>
      <w:r w:rsidR="002735CE" w:rsidRPr="00567617">
        <w:fldChar w:fldCharType="end"/>
      </w:r>
      <w:r w:rsidRPr="00567617">
        <w:t>,</w:t>
      </w:r>
      <w:r>
        <w:t xml:space="preserve"> the Board </w:t>
      </w:r>
      <w:r w:rsidR="00DE435E">
        <w:t>proposed</w:t>
      </w:r>
      <w:r>
        <w:t xml:space="preserve"> practical expedients for low-value or short-term licences in </w:t>
      </w:r>
      <w:r w:rsidR="002B0889">
        <w:t>ED 283</w:t>
      </w:r>
      <w:r w:rsidR="006B354D">
        <w:t xml:space="preserve"> consistent with the precedent in AASB 16</w:t>
      </w:r>
      <w:r w:rsidR="00DE435E">
        <w:rPr>
          <w:i/>
        </w:rPr>
        <w:t xml:space="preserve">. </w:t>
      </w:r>
      <w:r w:rsidR="00DE435E">
        <w:t xml:space="preserve">This included providing guidance for applying the </w:t>
      </w:r>
      <w:r w:rsidR="00CC69D1">
        <w:t xml:space="preserve">requirements </w:t>
      </w:r>
      <w:r w:rsidR="00DE435E">
        <w:t>to low-value licences, but not short-term licences (nor did the Board propose a definition of a ‘short-term licence’</w:t>
      </w:r>
      <w:r w:rsidR="00643D61">
        <w:t>)</w:t>
      </w:r>
      <w:r w:rsidR="00DE435E">
        <w:t xml:space="preserve">.  The majority of respondents to </w:t>
      </w:r>
      <w:r w:rsidR="002B0889">
        <w:t>ED 283</w:t>
      </w:r>
      <w:r w:rsidR="00DE435E">
        <w:t xml:space="preserve"> supported the provision of </w:t>
      </w:r>
      <w:r w:rsidR="00A4291A">
        <w:t>practical expedients</w:t>
      </w:r>
      <w:r w:rsidR="00DE435E">
        <w:t xml:space="preserve"> for short-term and low-value licence</w:t>
      </w:r>
      <w:r w:rsidR="004012CA">
        <w:t>s. However, several respondents</w:t>
      </w:r>
      <w:r w:rsidR="00DE435E">
        <w:t xml:space="preserve"> requested the Board provide more guidance and examples on:</w:t>
      </w:r>
    </w:p>
    <w:p w:rsidR="00DE435E" w:rsidRDefault="006D1AE8" w:rsidP="001C7D79">
      <w:pPr>
        <w:pStyle w:val="NumBC1"/>
        <w:numPr>
          <w:ilvl w:val="1"/>
          <w:numId w:val="32"/>
        </w:numPr>
      </w:pPr>
      <w:bookmarkStart w:id="70" w:name="_Ref522279746"/>
      <w:r>
        <w:t xml:space="preserve">the </w:t>
      </w:r>
      <w:r w:rsidR="00DE435E">
        <w:t>mean</w:t>
      </w:r>
      <w:r>
        <w:t>ing</w:t>
      </w:r>
      <w:r w:rsidR="00DE435E">
        <w:t xml:space="preserve"> </w:t>
      </w:r>
      <w:r>
        <w:t>of</w:t>
      </w:r>
      <w:r w:rsidR="00DE435E">
        <w:t xml:space="preserve"> ‘short-term’ (</w:t>
      </w:r>
      <w:proofErr w:type="spellStart"/>
      <w:r w:rsidR="00DE435E">
        <w:t>ie</w:t>
      </w:r>
      <w:proofErr w:type="spellEnd"/>
      <w:r w:rsidR="00DE435E">
        <w:t xml:space="preserve"> what is the time threshold) and ‘low-value’ (</w:t>
      </w:r>
      <w:proofErr w:type="spellStart"/>
      <w:r w:rsidR="00DE435E">
        <w:t>ie</w:t>
      </w:r>
      <w:proofErr w:type="spellEnd"/>
      <w:r w:rsidR="00DE435E">
        <w:t xml:space="preserve"> what is the monetary threshold and/or examples);</w:t>
      </w:r>
      <w:bookmarkEnd w:id="70"/>
    </w:p>
    <w:p w:rsidR="00DE435E" w:rsidRDefault="00DE435E" w:rsidP="001C7D79">
      <w:pPr>
        <w:pStyle w:val="NumBC1"/>
        <w:numPr>
          <w:ilvl w:val="1"/>
          <w:numId w:val="32"/>
        </w:numPr>
      </w:pPr>
      <w:bookmarkStart w:id="71" w:name="_Ref523221623"/>
      <w:r>
        <w:t>whether the exemption to apply to licences only when they satisf</w:t>
      </w:r>
      <w:r w:rsidR="007F58CC">
        <w:t>y</w:t>
      </w:r>
      <w:r>
        <w:t xml:space="preserve"> both criteria (</w:t>
      </w:r>
      <w:proofErr w:type="spellStart"/>
      <w:r>
        <w:t>ie</w:t>
      </w:r>
      <w:proofErr w:type="spellEnd"/>
      <w:r>
        <w:t xml:space="preserve"> are both short-term and low-value); and</w:t>
      </w:r>
      <w:bookmarkEnd w:id="71"/>
    </w:p>
    <w:p w:rsidR="00DE435E" w:rsidRDefault="00DE435E" w:rsidP="001C7D79">
      <w:pPr>
        <w:pStyle w:val="NumBC1"/>
        <w:numPr>
          <w:ilvl w:val="1"/>
          <w:numId w:val="32"/>
        </w:numPr>
      </w:pPr>
      <w:bookmarkStart w:id="72" w:name="_Ref523221643"/>
      <w:proofErr w:type="gramStart"/>
      <w:r>
        <w:t>whether</w:t>
      </w:r>
      <w:proofErr w:type="gramEnd"/>
      <w:r>
        <w:t xml:space="preserve"> the exemptions are appropriate for some low</w:t>
      </w:r>
      <w:r w:rsidR="00CB342E">
        <w:t>-</w:t>
      </w:r>
      <w:r>
        <w:t>value licences that have a high volume of transactions, meaning the revenue is material.</w:t>
      </w:r>
      <w:bookmarkEnd w:id="72"/>
    </w:p>
    <w:p w:rsidR="00952760" w:rsidRDefault="004012CA" w:rsidP="005D0061">
      <w:pPr>
        <w:pStyle w:val="IASBSectionTitle3Ind"/>
        <w:jc w:val="both"/>
        <w:outlineLvl w:val="4"/>
      </w:pPr>
      <w:r>
        <w:t>Short-term licences</w:t>
      </w:r>
    </w:p>
    <w:p w:rsidR="007E3E17" w:rsidRDefault="004012CA" w:rsidP="001C7D79">
      <w:pPr>
        <w:pStyle w:val="NumBC1"/>
        <w:numPr>
          <w:ilvl w:val="0"/>
          <w:numId w:val="32"/>
        </w:numPr>
      </w:pPr>
      <w:r>
        <w:t xml:space="preserve">In </w:t>
      </w:r>
      <w:r w:rsidR="00835545">
        <w:t>considering</w:t>
      </w:r>
      <w:r>
        <w:t xml:space="preserve"> the issue raised in paragraph </w:t>
      </w:r>
      <w:r>
        <w:fldChar w:fldCharType="begin"/>
      </w:r>
      <w:r>
        <w:instrText xml:space="preserve"> REF _Ref522279746 \r \h </w:instrText>
      </w:r>
      <w:r>
        <w:fldChar w:fldCharType="separate"/>
      </w:r>
      <w:proofErr w:type="gramStart"/>
      <w:r w:rsidR="00882B86">
        <w:t>BC76(</w:t>
      </w:r>
      <w:proofErr w:type="gramEnd"/>
      <w:r w:rsidR="00882B86">
        <w:t>a)</w:t>
      </w:r>
      <w:r>
        <w:fldChar w:fldCharType="end"/>
      </w:r>
      <w:r w:rsidR="00B711E4">
        <w:t>, r</w:t>
      </w:r>
      <w:r>
        <w:t xml:space="preserve">espondents explained that </w:t>
      </w:r>
      <w:r w:rsidRPr="004012CA">
        <w:t xml:space="preserve">‘short-term’ is used in a number of Standards </w:t>
      </w:r>
      <w:r>
        <w:t>inconsistently</w:t>
      </w:r>
      <w:r w:rsidR="00B711E4">
        <w:t>.</w:t>
      </w:r>
      <w:r>
        <w:t xml:space="preserve"> </w:t>
      </w:r>
      <w:r w:rsidR="00B711E4">
        <w:t>F</w:t>
      </w:r>
      <w:r w:rsidRPr="004012CA">
        <w:t>or example</w:t>
      </w:r>
      <w:r>
        <w:t>,</w:t>
      </w:r>
      <w:r w:rsidRPr="004012CA">
        <w:t xml:space="preserve"> </w:t>
      </w:r>
      <w:r>
        <w:t xml:space="preserve">AASB 16 refers to a ‘short-term lease’ as a lease term of 12 months or less at the commencement date, </w:t>
      </w:r>
      <w:r w:rsidRPr="004012CA">
        <w:t>AASB</w:t>
      </w:r>
      <w:r w:rsidR="00CB342E">
        <w:t> </w:t>
      </w:r>
      <w:r w:rsidRPr="004012CA">
        <w:t xml:space="preserve">119 </w:t>
      </w:r>
      <w:r w:rsidRPr="004012CA">
        <w:rPr>
          <w:i/>
        </w:rPr>
        <w:t>Employee Benefits</w:t>
      </w:r>
      <w:r w:rsidRPr="004012CA">
        <w:t xml:space="preserve"> </w:t>
      </w:r>
      <w:r>
        <w:t>refers</w:t>
      </w:r>
      <w:r w:rsidRPr="004012CA">
        <w:t xml:space="preserve"> </w:t>
      </w:r>
      <w:r>
        <w:t xml:space="preserve">to </w:t>
      </w:r>
      <w:r w:rsidRPr="004012CA">
        <w:t xml:space="preserve">employee benefits (other than termination benefits) that are expected to be settled wholly before </w:t>
      </w:r>
      <w:r w:rsidR="002C6F7D">
        <w:t>12</w:t>
      </w:r>
      <w:r w:rsidR="002C6F7D" w:rsidRPr="004012CA">
        <w:t xml:space="preserve"> </w:t>
      </w:r>
      <w:r w:rsidRPr="004012CA">
        <w:t xml:space="preserve">months after the end of the annual reporting period and AASB 107 </w:t>
      </w:r>
      <w:r w:rsidRPr="004012CA">
        <w:rPr>
          <w:i/>
        </w:rPr>
        <w:t>Statement of Cash Flows</w:t>
      </w:r>
      <w:r w:rsidRPr="004012CA">
        <w:t xml:space="preserve"> refers to a maturity period of three months or less</w:t>
      </w:r>
      <w:r>
        <w:t>.</w:t>
      </w:r>
      <w:r w:rsidRPr="004012CA">
        <w:t xml:space="preserve"> </w:t>
      </w:r>
      <w:r>
        <w:t xml:space="preserve">The Board therefore </w:t>
      </w:r>
      <w:r w:rsidR="00CB12AE">
        <w:t xml:space="preserve">decided </w:t>
      </w:r>
      <w:r>
        <w:t xml:space="preserve">that </w:t>
      </w:r>
      <w:r w:rsidRPr="004012CA">
        <w:t xml:space="preserve">adding </w:t>
      </w:r>
      <w:r>
        <w:t xml:space="preserve">a </w:t>
      </w:r>
      <w:r w:rsidRPr="004012CA">
        <w:t xml:space="preserve">practical expedient to AASB 15 for </w:t>
      </w:r>
      <w:r w:rsidR="00540E91">
        <w:t>NFP</w:t>
      </w:r>
      <w:r w:rsidRPr="004012CA">
        <w:t xml:space="preserve"> public sector licensors without a definition could result in application issues and disparate accounting outcomes.</w:t>
      </w:r>
      <w:r>
        <w:t xml:space="preserve"> Consequently, consistent with the decision to use the recognition exemptions in AASB 16 as a precedent, the Board decided to define ‘short-term licences’ as </w:t>
      </w:r>
      <w:r w:rsidRPr="002735CE">
        <w:t xml:space="preserve">a </w:t>
      </w:r>
      <w:r w:rsidR="003B64FA">
        <w:t>licence that has a term of 12 months or less.</w:t>
      </w:r>
    </w:p>
    <w:p w:rsidR="007E3E17" w:rsidRDefault="007E3E17" w:rsidP="001C7D79">
      <w:pPr>
        <w:pStyle w:val="NumBC1"/>
        <w:numPr>
          <w:ilvl w:val="0"/>
          <w:numId w:val="32"/>
        </w:numPr>
      </w:pPr>
      <w:r>
        <w:t>The Board observed that, in accordance with AASB 16</w:t>
      </w:r>
      <w:r>
        <w:rPr>
          <w:i/>
        </w:rPr>
        <w:t xml:space="preserve">, </w:t>
      </w:r>
      <w:r>
        <w:t xml:space="preserve">the term of a lease would take into account a reasonably certain expectation that a lessee would exercise an option to extend </w:t>
      </w:r>
      <w:r w:rsidR="002C6F7D">
        <w:t xml:space="preserve">or terminate </w:t>
      </w:r>
      <w:r>
        <w:t>the lease.  The Board considered whether this principle should be reflected in this Standard</w:t>
      </w:r>
      <w:r w:rsidR="002C6F7D">
        <w:t>.</w:t>
      </w:r>
      <w:r>
        <w:t xml:space="preserve"> </w:t>
      </w:r>
      <w:r w:rsidR="002C6F7D">
        <w:t xml:space="preserve">The Board </w:t>
      </w:r>
      <w:r>
        <w:t>note</w:t>
      </w:r>
      <w:r w:rsidR="002C6F7D">
        <w:t>d</w:t>
      </w:r>
      <w:r>
        <w:t xml:space="preserve"> its expectation that </w:t>
      </w:r>
      <w:r w:rsidR="002C6F7D">
        <w:t xml:space="preserve">an option typically would </w:t>
      </w:r>
      <w:r>
        <w:t xml:space="preserve">modify the scope, or the consideration for, the licence, and therefore </w:t>
      </w:r>
      <w:r w:rsidR="002C6F7D">
        <w:t xml:space="preserve">would </w:t>
      </w:r>
      <w:r>
        <w:t xml:space="preserve">be accounted for as a new licence in accordance with paragraph Aus8.4. Nonetheless, for the removal of doubt and to </w:t>
      </w:r>
      <w:r w:rsidR="002C6F7D">
        <w:t>simplify</w:t>
      </w:r>
      <w:r>
        <w:t xml:space="preserve"> the recognition exemption, the Board decided to specify that an entity need not consider options to renew a licence in determining the lease term. </w:t>
      </w:r>
    </w:p>
    <w:p w:rsidR="00835545" w:rsidRDefault="00835545" w:rsidP="005D0061">
      <w:pPr>
        <w:pStyle w:val="IASBSectionTitle3Ind"/>
        <w:jc w:val="both"/>
        <w:outlineLvl w:val="4"/>
      </w:pPr>
      <w:r>
        <w:t>Low-value licences</w:t>
      </w:r>
    </w:p>
    <w:p w:rsidR="004B0376" w:rsidRDefault="00835545" w:rsidP="001C7D79">
      <w:pPr>
        <w:pStyle w:val="NumBC1"/>
        <w:numPr>
          <w:ilvl w:val="0"/>
          <w:numId w:val="32"/>
        </w:numPr>
      </w:pPr>
      <w:r w:rsidRPr="00835545">
        <w:t xml:space="preserve">In </w:t>
      </w:r>
      <w:r>
        <w:t>considering</w:t>
      </w:r>
      <w:r w:rsidRPr="00835545">
        <w:t xml:space="preserve"> the issue raised in paragra</w:t>
      </w:r>
      <w:r w:rsidR="0077696C">
        <w:t xml:space="preserve">ph </w:t>
      </w:r>
      <w:r w:rsidR="002735CE">
        <w:fldChar w:fldCharType="begin"/>
      </w:r>
      <w:r w:rsidR="002735CE">
        <w:instrText xml:space="preserve"> REF _Ref522279746 \r \h </w:instrText>
      </w:r>
      <w:r w:rsidR="002735CE">
        <w:fldChar w:fldCharType="separate"/>
      </w:r>
      <w:proofErr w:type="gramStart"/>
      <w:r w:rsidR="00882B86">
        <w:t>BC76(</w:t>
      </w:r>
      <w:proofErr w:type="gramEnd"/>
      <w:r w:rsidR="00882B86">
        <w:t>a)</w:t>
      </w:r>
      <w:r w:rsidR="002735CE">
        <w:fldChar w:fldCharType="end"/>
      </w:r>
      <w:r w:rsidR="000664D8">
        <w:t xml:space="preserve"> t</w:t>
      </w:r>
      <w:r>
        <w:t xml:space="preserve">he Board included examples of low-value licences in </w:t>
      </w:r>
      <w:r w:rsidR="002B0889">
        <w:t>ED 283</w:t>
      </w:r>
      <w:r>
        <w:t xml:space="preserve">, including driver licences, marriage licences and working with children permits. </w:t>
      </w:r>
      <w:r w:rsidR="004B0376">
        <w:t xml:space="preserve">The Board decided that it </w:t>
      </w:r>
      <w:r w:rsidR="00250259">
        <w:t>would not be appropriate for it</w:t>
      </w:r>
      <w:r w:rsidR="004B0376">
        <w:t xml:space="preserve"> to provide a more prescriptive list of examples, nor quantify when a licence would be of low-value, as the Board preferred to utilise a principle rather than a rule. </w:t>
      </w:r>
    </w:p>
    <w:p w:rsidR="004B0376" w:rsidRDefault="004E6889" w:rsidP="001C7D79">
      <w:pPr>
        <w:pStyle w:val="NumBC1"/>
        <w:numPr>
          <w:ilvl w:val="0"/>
          <w:numId w:val="32"/>
        </w:numPr>
      </w:pPr>
      <w:r>
        <w:t>Noting the intended consistency with the principle for short-term leases in AASB 16, the Board considered IFRS</w:t>
      </w:r>
      <w:r w:rsidR="004B0376">
        <w:t xml:space="preserve"> 16 </w:t>
      </w:r>
      <w:r>
        <w:t xml:space="preserve">paragraphs </w:t>
      </w:r>
      <w:r w:rsidR="00BC24B5">
        <w:t>BC98–</w:t>
      </w:r>
      <w:r w:rsidR="004B0376">
        <w:t>BC104</w:t>
      </w:r>
      <w:r>
        <w:t xml:space="preserve">, which set out the IASB’s considerations in developing this </w:t>
      </w:r>
      <w:r w:rsidR="009E49C7">
        <w:t xml:space="preserve">type of </w:t>
      </w:r>
      <w:r>
        <w:t>recognition exemption. The Board took particular note of IFRS 16 paragraph BC100</w:t>
      </w:r>
      <w:r w:rsidR="00800159">
        <w:t>,</w:t>
      </w:r>
      <w:r>
        <w:t xml:space="preserve"> which states </w:t>
      </w:r>
      <w:r w:rsidR="00800159">
        <w:t>“</w:t>
      </w:r>
      <w:r>
        <w:t>…</w:t>
      </w:r>
      <w:r w:rsidR="004B0376">
        <w:t>at the time of reaching decisions about the exemption in 2015, the IASB had in mind leases of underlying assets with a value, when new, in the order of magnitude of US$5,000 or less</w:t>
      </w:r>
      <w:r>
        <w:t>...</w:t>
      </w:r>
      <w:r w:rsidR="00800159">
        <w:t>”</w:t>
      </w:r>
      <w:r w:rsidR="004B0376">
        <w:t xml:space="preserve">. </w:t>
      </w:r>
      <w:r w:rsidR="00D525E8">
        <w:t>The Board reaffirmed its decision that entities should apply the recognition exemption for low-value licences consistent with the precedent set in AASB 16</w:t>
      </w:r>
      <w:r w:rsidR="00A37883">
        <w:t>, with the exception that licences with variable consideration could not be considered low value, given the possible fluctuations in value means it is uncertain that they ultimately will be low value</w:t>
      </w:r>
      <w:r w:rsidR="00D525E8">
        <w:t>.</w:t>
      </w:r>
    </w:p>
    <w:p w:rsidR="00D525E8" w:rsidRDefault="00D525E8" w:rsidP="005D0061">
      <w:pPr>
        <w:pStyle w:val="IASBSectionTitle3Ind"/>
        <w:jc w:val="both"/>
        <w:outlineLvl w:val="4"/>
      </w:pPr>
      <w:r>
        <w:t>Application to arrangements that are both short-term and low-value</w:t>
      </w:r>
    </w:p>
    <w:p w:rsidR="00835545" w:rsidRDefault="00D525E8" w:rsidP="001C7D79">
      <w:pPr>
        <w:pStyle w:val="NumBC1"/>
        <w:numPr>
          <w:ilvl w:val="0"/>
          <w:numId w:val="32"/>
        </w:numPr>
      </w:pPr>
      <w:r>
        <w:t>In relation to paragraph</w:t>
      </w:r>
      <w:r w:rsidR="002735CE">
        <w:t xml:space="preserve"> </w:t>
      </w:r>
      <w:r w:rsidR="002735CE">
        <w:fldChar w:fldCharType="begin"/>
      </w:r>
      <w:r w:rsidR="002735CE">
        <w:instrText xml:space="preserve"> REF _Ref523221623 \r \h </w:instrText>
      </w:r>
      <w:r w:rsidR="002735CE">
        <w:fldChar w:fldCharType="separate"/>
      </w:r>
      <w:proofErr w:type="gramStart"/>
      <w:r w:rsidR="00882B86">
        <w:t>BC76(</w:t>
      </w:r>
      <w:proofErr w:type="gramEnd"/>
      <w:r w:rsidR="00882B86">
        <w:t>b)</w:t>
      </w:r>
      <w:r w:rsidR="002735CE">
        <w:fldChar w:fldCharType="end"/>
      </w:r>
      <w:r>
        <w:t xml:space="preserve">, </w:t>
      </w:r>
      <w:r w:rsidR="001F79AA">
        <w:t>t</w:t>
      </w:r>
      <w:r>
        <w:t>he Board noted that, consistent with AASB 16, a licence only ha</w:t>
      </w:r>
      <w:r w:rsidR="001F79AA">
        <w:t>s</w:t>
      </w:r>
      <w:r>
        <w:t xml:space="preserve"> to be one of either short-term or low-value (or both) to be</w:t>
      </w:r>
      <w:r w:rsidR="00277074">
        <w:t xml:space="preserve"> eligible</w:t>
      </w:r>
      <w:r>
        <w:t xml:space="preserve"> for the </w:t>
      </w:r>
      <w:r w:rsidR="00A4291A">
        <w:t>practical expedients</w:t>
      </w:r>
      <w:r>
        <w:t xml:space="preserve">, however decided not to amend the drafting of the exemption, noting it is presented in a manner consistent with </w:t>
      </w:r>
      <w:r w:rsidRPr="00D525E8">
        <w:t xml:space="preserve">the </w:t>
      </w:r>
      <w:r w:rsidR="00A4291A">
        <w:t>practical expedients</w:t>
      </w:r>
      <w:r w:rsidRPr="00D525E8">
        <w:t xml:space="preserve"> in </w:t>
      </w:r>
      <w:r w:rsidR="004C212E">
        <w:t xml:space="preserve">paragraph 5 of </w:t>
      </w:r>
      <w:r w:rsidRPr="00D525E8">
        <w:t>AASB 16</w:t>
      </w:r>
      <w:r>
        <w:t xml:space="preserve">. The Board </w:t>
      </w:r>
      <w:r w:rsidR="00CB342E">
        <w:t xml:space="preserve">noted </w:t>
      </w:r>
      <w:r>
        <w:t xml:space="preserve">that amending the wording of the exemption might cause inconsistency between Standards where the same outcome is intended, and </w:t>
      </w:r>
      <w:r w:rsidR="007147DC">
        <w:t xml:space="preserve">might </w:t>
      </w:r>
      <w:r>
        <w:t>consequently le</w:t>
      </w:r>
      <w:r w:rsidR="007147DC">
        <w:t>a</w:t>
      </w:r>
      <w:r>
        <w:t>d to application issues.</w:t>
      </w:r>
    </w:p>
    <w:p w:rsidR="00D525E8" w:rsidRDefault="00D525E8" w:rsidP="005D0061">
      <w:pPr>
        <w:pStyle w:val="IASBSectionTitle3Ind"/>
        <w:jc w:val="both"/>
        <w:outlineLvl w:val="4"/>
      </w:pPr>
      <w:r>
        <w:t>Low</w:t>
      </w:r>
      <w:r w:rsidR="00CB342E">
        <w:t>-</w:t>
      </w:r>
      <w:r>
        <w:t>value licences that have a high volume of transactions</w:t>
      </w:r>
    </w:p>
    <w:p w:rsidR="00D525E8" w:rsidRDefault="00D525E8" w:rsidP="001C7D79">
      <w:pPr>
        <w:pStyle w:val="NumBC1"/>
        <w:numPr>
          <w:ilvl w:val="0"/>
          <w:numId w:val="32"/>
        </w:numPr>
      </w:pPr>
      <w:r>
        <w:t>In relation to paragraph</w:t>
      </w:r>
      <w:r w:rsidR="002735CE">
        <w:t xml:space="preserve"> </w:t>
      </w:r>
      <w:r w:rsidR="002735CE">
        <w:fldChar w:fldCharType="begin"/>
      </w:r>
      <w:r w:rsidR="002735CE">
        <w:instrText xml:space="preserve"> REF _Ref523221643 \r \h </w:instrText>
      </w:r>
      <w:r w:rsidR="002735CE">
        <w:fldChar w:fldCharType="separate"/>
      </w:r>
      <w:r w:rsidR="00882B86">
        <w:t>BC76(c)</w:t>
      </w:r>
      <w:r w:rsidR="002735CE">
        <w:fldChar w:fldCharType="end"/>
      </w:r>
      <w:r w:rsidR="002735CE">
        <w:t>,</w:t>
      </w:r>
      <w:r>
        <w:t xml:space="preserve"> </w:t>
      </w:r>
      <w:r w:rsidR="00D20777">
        <w:t>r</w:t>
      </w:r>
      <w:r w:rsidR="00E14C9A">
        <w:t xml:space="preserve">espondents raised concern that this might have led to inconsistency as the licensor is provided </w:t>
      </w:r>
      <w:r w:rsidR="00D20777">
        <w:t xml:space="preserve">with </w:t>
      </w:r>
      <w:r w:rsidR="00E14C9A">
        <w:t xml:space="preserve">a choice of the systematic basis upon which it will recognise revenue. However, the Board observed that because the licences in question would be </w:t>
      </w:r>
      <w:r w:rsidR="005A19C9">
        <w:t xml:space="preserve">expected to be </w:t>
      </w:r>
      <w:r w:rsidR="00E14C9A">
        <w:t>issued at a high volume consistently over time, the recognition of revenue would also occur consistently over time, and the Board did not consider that the information provided to users of financial statements would be misleading.</w:t>
      </w:r>
    </w:p>
    <w:p w:rsidR="0046204D" w:rsidRDefault="0046204D" w:rsidP="005D0061">
      <w:pPr>
        <w:pStyle w:val="IASBSectionTitle3Ind"/>
        <w:jc w:val="both"/>
        <w:outlineLvl w:val="4"/>
      </w:pPr>
      <w:r>
        <w:t>Application to NFP public sector IP licences</w:t>
      </w:r>
    </w:p>
    <w:p w:rsidR="0046204D" w:rsidRDefault="0046204D" w:rsidP="001C7D79">
      <w:pPr>
        <w:pStyle w:val="NumBC1"/>
        <w:numPr>
          <w:ilvl w:val="0"/>
          <w:numId w:val="32"/>
        </w:numPr>
      </w:pPr>
      <w:bookmarkStart w:id="73" w:name="_Ref522705388"/>
      <w:r>
        <w:t xml:space="preserve">The Board considered whether the </w:t>
      </w:r>
      <w:r w:rsidR="00034537">
        <w:t>practical expedients</w:t>
      </w:r>
      <w:r>
        <w:t xml:space="preserve"> should also apply to IP licences issued by NFP public sector licensors. The Board noted that this would </w:t>
      </w:r>
      <w:r w:rsidR="00034537">
        <w:t xml:space="preserve">potentially </w:t>
      </w:r>
      <w:r>
        <w:t xml:space="preserve">result in </w:t>
      </w:r>
      <w:r w:rsidR="00034537">
        <w:t xml:space="preserve">a </w:t>
      </w:r>
      <w:r>
        <w:t>differen</w:t>
      </w:r>
      <w:r w:rsidR="00034537">
        <w:t>ce</w:t>
      </w:r>
      <w:r>
        <w:t xml:space="preserve"> for low-value and short-term IP licences between the NFP public sector and other entities. On balance, the Board decided to extend the option to IP licences</w:t>
      </w:r>
      <w:r w:rsidR="00915E26">
        <w:t xml:space="preserve"> in the NFP public sector </w:t>
      </w:r>
      <w:r>
        <w:t>as:</w:t>
      </w:r>
      <w:bookmarkEnd w:id="73"/>
    </w:p>
    <w:p w:rsidR="00AE3C30" w:rsidRDefault="0046204D" w:rsidP="001C7D79">
      <w:pPr>
        <w:pStyle w:val="NumBC1"/>
        <w:numPr>
          <w:ilvl w:val="1"/>
          <w:numId w:val="32"/>
        </w:numPr>
      </w:pPr>
      <w:r>
        <w:t>it preferred consistent treatment of all licences within the NFP public sector, noting that IFRS compliance is not a</w:t>
      </w:r>
      <w:r w:rsidR="00034537">
        <w:t xml:space="preserve"> primary</w:t>
      </w:r>
      <w:r>
        <w:t xml:space="preserve"> objective </w:t>
      </w:r>
      <w:r w:rsidR="00034537">
        <w:t>for</w:t>
      </w:r>
      <w:r>
        <w:t xml:space="preserve"> the NFP public sector;</w:t>
      </w:r>
      <w:r w:rsidR="00034537">
        <w:t xml:space="preserve"> and</w:t>
      </w:r>
    </w:p>
    <w:p w:rsidR="00AE3C30" w:rsidRDefault="0046204D" w:rsidP="001C7D79">
      <w:pPr>
        <w:pStyle w:val="NumBC1"/>
        <w:numPr>
          <w:ilvl w:val="1"/>
          <w:numId w:val="32"/>
        </w:numPr>
      </w:pPr>
      <w:proofErr w:type="gramStart"/>
      <w:r>
        <w:t>this</w:t>
      </w:r>
      <w:proofErr w:type="gramEnd"/>
      <w:r>
        <w:t xml:space="preserve"> would reduce the need for public sector preparers to apply judgement to determine whether their short-term and low-value licences are related to IP or non-IP (which would usually not be of great material</w:t>
      </w:r>
      <w:r w:rsidR="007A143B">
        <w:t>ity</w:t>
      </w:r>
      <w:r>
        <w:t xml:space="preserve">, if at all). </w:t>
      </w:r>
    </w:p>
    <w:p w:rsidR="00952760" w:rsidRPr="00BA4572" w:rsidRDefault="00952760" w:rsidP="005D0061">
      <w:pPr>
        <w:pStyle w:val="IASBSectionTitle2Ind"/>
        <w:jc w:val="both"/>
        <w:outlineLvl w:val="3"/>
      </w:pPr>
      <w:r w:rsidRPr="003114CF">
        <w:t>Applying the principles of AASB 15 to non-IP licences</w:t>
      </w:r>
    </w:p>
    <w:p w:rsidR="00E14C9A" w:rsidRDefault="00CB342E" w:rsidP="001C7D79">
      <w:pPr>
        <w:pStyle w:val="NumBC1"/>
        <w:numPr>
          <w:ilvl w:val="0"/>
          <w:numId w:val="32"/>
        </w:numPr>
      </w:pPr>
      <w:bookmarkStart w:id="74" w:name="_Ref522692060"/>
      <w:r>
        <w:t xml:space="preserve">As noted in paragraph </w:t>
      </w:r>
      <w:r>
        <w:fldChar w:fldCharType="begin"/>
      </w:r>
      <w:r>
        <w:instrText xml:space="preserve"> REF _Ref522545105 \r \h </w:instrText>
      </w:r>
      <w:r>
        <w:fldChar w:fldCharType="separate"/>
      </w:r>
      <w:r w:rsidR="00882B86">
        <w:t>BC10</w:t>
      </w:r>
      <w:r>
        <w:fldChar w:fldCharType="end"/>
      </w:r>
      <w:r>
        <w:t>, t</w:t>
      </w:r>
      <w:r w:rsidR="00E14C9A">
        <w:t xml:space="preserve">he majority of respondents to </w:t>
      </w:r>
      <w:r w:rsidR="002B0889">
        <w:t>ED 283</w:t>
      </w:r>
      <w:r w:rsidR="00E14C9A">
        <w:t xml:space="preserve"> agreed with the Board’s decision to apply </w:t>
      </w:r>
      <w:r w:rsidR="003962AD">
        <w:t xml:space="preserve">the principles in </w:t>
      </w:r>
      <w:r w:rsidR="00E14C9A">
        <w:t xml:space="preserve">AASB 15 </w:t>
      </w:r>
      <w:r w:rsidR="003962AD">
        <w:t xml:space="preserve">to </w:t>
      </w:r>
      <w:r w:rsidR="00E14C9A">
        <w:t xml:space="preserve">non-IP licences. However, despite support in principle, </w:t>
      </w:r>
      <w:r w:rsidR="00915E26">
        <w:t>r</w:t>
      </w:r>
      <w:r w:rsidR="00E14C9A">
        <w:t xml:space="preserve">espondents noted that some activities </w:t>
      </w:r>
      <w:r w:rsidR="00C46278">
        <w:t>that</w:t>
      </w:r>
      <w:r w:rsidR="00E14C9A">
        <w:t xml:space="preserve"> extend beyond just </w:t>
      </w:r>
      <w:r w:rsidR="00EE30D3">
        <w:t xml:space="preserve">administrative activities, including </w:t>
      </w:r>
      <w:r w:rsidR="00E14C9A">
        <w:t xml:space="preserve">maintaining exclusivity of the licence, periodically monitoring whether the terms of </w:t>
      </w:r>
      <w:r w:rsidR="00420195">
        <w:t>a licence</w:t>
      </w:r>
      <w:r w:rsidR="00E14C9A">
        <w:t xml:space="preserve"> are being met and upholding the integrity of the licence are not just features of a licence, but are in fact performance obligations that enhance the commerciality of the arrangements. These respondents </w:t>
      </w:r>
      <w:r w:rsidR="00EE30D3">
        <w:t>held the view</w:t>
      </w:r>
      <w:r w:rsidR="00E14C9A">
        <w:t xml:space="preserve"> that without the active involvement of the licensor in these activities, there is a risk that the commercial value of the arrangement will not be upheld, potentially exposing the licensor to legal action from the licensee. Respondents note</w:t>
      </w:r>
      <w:r w:rsidR="008944C3">
        <w:t>d</w:t>
      </w:r>
      <w:r w:rsidR="00E14C9A">
        <w:t xml:space="preserve"> that the licensor’s activities:</w:t>
      </w:r>
      <w:bookmarkEnd w:id="74"/>
    </w:p>
    <w:p w:rsidR="00E14C9A" w:rsidRDefault="00E14C9A" w:rsidP="001C7D79">
      <w:pPr>
        <w:pStyle w:val="NumBC1"/>
        <w:numPr>
          <w:ilvl w:val="1"/>
          <w:numId w:val="32"/>
        </w:numPr>
      </w:pPr>
      <w:r>
        <w:t>serve to maintain confidence in the services, systems and operations of the licensee, upon which the commerciality of the arrangement is underpinned; and</w:t>
      </w:r>
    </w:p>
    <w:p w:rsidR="00E14C9A" w:rsidRDefault="00E14C9A" w:rsidP="001C7D79">
      <w:pPr>
        <w:pStyle w:val="NumBC1"/>
        <w:numPr>
          <w:ilvl w:val="1"/>
          <w:numId w:val="32"/>
        </w:numPr>
      </w:pPr>
      <w:proofErr w:type="gramStart"/>
      <w:r>
        <w:t>if</w:t>
      </w:r>
      <w:proofErr w:type="gramEnd"/>
      <w:r>
        <w:t xml:space="preserve"> not performed would substantially detract from the commerciality of the arrangement.</w:t>
      </w:r>
    </w:p>
    <w:p w:rsidR="00952760" w:rsidRDefault="00C76A58" w:rsidP="001C7D79">
      <w:pPr>
        <w:pStyle w:val="NumBC1"/>
        <w:numPr>
          <w:ilvl w:val="0"/>
          <w:numId w:val="32"/>
        </w:numPr>
        <w:spacing w:before="0"/>
      </w:pPr>
      <w:r>
        <w:t>In considering this feedback, the Board observed its original decision to apply the principles o</w:t>
      </w:r>
      <w:r w:rsidR="00916A32">
        <w:t>f AASB </w:t>
      </w:r>
      <w:r>
        <w:t>15 to non-IP licences, and specifically noted its decision that</w:t>
      </w:r>
      <w:r w:rsidR="004208B5">
        <w:t>,</w:t>
      </w:r>
      <w:r>
        <w:t xml:space="preserve"> when accounting for non-IP licences, the licensor should disregard the guidance fo</w:t>
      </w:r>
      <w:r w:rsidR="00BC24B5">
        <w:t>r IP licences in paragraphs B52–</w:t>
      </w:r>
      <w:r>
        <w:t>B63B.</w:t>
      </w:r>
      <w:r w:rsidR="00EE30D3">
        <w:t xml:space="preserve"> Consequently, the Board analysed the requirements of paragraph</w:t>
      </w:r>
      <w:r w:rsidR="006A3CE7">
        <w:t>s</w:t>
      </w:r>
      <w:r w:rsidR="00BC24B5">
        <w:t xml:space="preserve"> 22–</w:t>
      </w:r>
      <w:r w:rsidR="00EE30D3">
        <w:t xml:space="preserve">30 </w:t>
      </w:r>
      <w:r w:rsidR="00D40727">
        <w:t xml:space="preserve">to </w:t>
      </w:r>
      <w:r w:rsidR="00EE30D3">
        <w:t xml:space="preserve">the examples of activities provided by the licensor </w:t>
      </w:r>
      <w:r w:rsidR="00D40727">
        <w:t xml:space="preserve">in paragraph </w:t>
      </w:r>
      <w:r w:rsidR="000434BE">
        <w:fldChar w:fldCharType="begin"/>
      </w:r>
      <w:r w:rsidR="000434BE">
        <w:instrText xml:space="preserve"> REF _Ref522692060 \r \h </w:instrText>
      </w:r>
      <w:r w:rsidR="000434BE">
        <w:fldChar w:fldCharType="separate"/>
      </w:r>
      <w:r w:rsidR="00882B86">
        <w:t>BC84</w:t>
      </w:r>
      <w:r w:rsidR="000434BE">
        <w:fldChar w:fldCharType="end"/>
      </w:r>
      <w:r w:rsidR="001B704E">
        <w:t xml:space="preserve"> </w:t>
      </w:r>
      <w:r w:rsidR="00D40727">
        <w:t xml:space="preserve">to determine whether those activities </w:t>
      </w:r>
      <w:r w:rsidR="00EE30D3">
        <w:t xml:space="preserve">would be considered performance obligations </w:t>
      </w:r>
      <w:r w:rsidR="00D40727">
        <w:t xml:space="preserve">to the customer </w:t>
      </w:r>
      <w:r w:rsidR="00EE30D3">
        <w:t xml:space="preserve">in accordance with AASB 15. </w:t>
      </w:r>
    </w:p>
    <w:p w:rsidR="00952760" w:rsidRDefault="00952760" w:rsidP="005D0061">
      <w:pPr>
        <w:pStyle w:val="IASBSectionTitle2Ind"/>
        <w:jc w:val="both"/>
        <w:outlineLvl w:val="3"/>
      </w:pPr>
      <w:r w:rsidRPr="004208B5">
        <w:t>Identifying performance obligations</w:t>
      </w:r>
    </w:p>
    <w:p w:rsidR="004208B5" w:rsidRPr="004208B5" w:rsidRDefault="004208B5" w:rsidP="005D0061">
      <w:pPr>
        <w:pStyle w:val="IASBSectionTitle3Ind"/>
        <w:jc w:val="both"/>
        <w:outlineLvl w:val="4"/>
      </w:pPr>
      <w:r w:rsidRPr="008A03BF">
        <w:t xml:space="preserve">Identifying the customer </w:t>
      </w:r>
    </w:p>
    <w:p w:rsidR="004208B5" w:rsidRPr="00916A32" w:rsidRDefault="00916A32" w:rsidP="001C7D79">
      <w:pPr>
        <w:pStyle w:val="NumBC1"/>
        <w:numPr>
          <w:ilvl w:val="0"/>
          <w:numId w:val="32"/>
        </w:numPr>
      </w:pPr>
      <w:r>
        <w:t xml:space="preserve">The Board noted </w:t>
      </w:r>
      <w:r w:rsidR="00D40727">
        <w:t xml:space="preserve">that the customer in the licensing arrangement is the licensee and activities </w:t>
      </w:r>
      <w:r w:rsidRPr="00916A32">
        <w:t xml:space="preserve">undertaken for the benefit of the </w:t>
      </w:r>
      <w:r w:rsidR="00D40727">
        <w:t xml:space="preserve">general </w:t>
      </w:r>
      <w:r w:rsidRPr="00916A32">
        <w:t xml:space="preserve">public </w:t>
      </w:r>
      <w:r w:rsidR="003B089A">
        <w:t>would not be a transfer of goods or services to the customer</w:t>
      </w:r>
      <w:r w:rsidRPr="00916A32">
        <w:t xml:space="preserve"> </w:t>
      </w:r>
      <w:r w:rsidR="003B089A">
        <w:t>(</w:t>
      </w:r>
      <w:proofErr w:type="spellStart"/>
      <w:r w:rsidR="003B089A">
        <w:t>ie</w:t>
      </w:r>
      <w:proofErr w:type="spellEnd"/>
      <w:r w:rsidR="003B089A">
        <w:t xml:space="preserve"> not </w:t>
      </w:r>
      <w:r w:rsidRPr="00916A32">
        <w:t xml:space="preserve">performance obligations </w:t>
      </w:r>
      <w:r w:rsidR="00D40727">
        <w:t>to the customer</w:t>
      </w:r>
      <w:r w:rsidR="003B089A">
        <w:t>)</w:t>
      </w:r>
      <w:r w:rsidR="00D40727">
        <w:t xml:space="preserve"> </w:t>
      </w:r>
      <w:r w:rsidRPr="00916A32">
        <w:t>under the general principles of AASB</w:t>
      </w:r>
      <w:r w:rsidR="00D40727">
        <w:t> </w:t>
      </w:r>
      <w:r w:rsidRPr="00916A32">
        <w:t>15.</w:t>
      </w:r>
      <w:r w:rsidR="0068662E">
        <w:t xml:space="preserve"> Accordingly, the Board decided it was not necessary to amend the proposals in </w:t>
      </w:r>
      <w:r w:rsidR="002B0889">
        <w:t>ED 283</w:t>
      </w:r>
      <w:r w:rsidR="0068662E">
        <w:t xml:space="preserve"> in respect of this issue.</w:t>
      </w:r>
    </w:p>
    <w:p w:rsidR="00952760" w:rsidRDefault="004208B5" w:rsidP="005D0061">
      <w:pPr>
        <w:pStyle w:val="IASBSectionTitle3Ind"/>
        <w:jc w:val="both"/>
        <w:outlineLvl w:val="4"/>
      </w:pPr>
      <w:r w:rsidRPr="004208B5">
        <w:t>Identifying what is a good or service</w:t>
      </w:r>
    </w:p>
    <w:p w:rsidR="00916A32" w:rsidRDefault="00AC4E12" w:rsidP="001C7D79">
      <w:pPr>
        <w:pStyle w:val="NumBC1"/>
        <w:numPr>
          <w:ilvl w:val="0"/>
          <w:numId w:val="32"/>
        </w:numPr>
      </w:pPr>
      <w:r>
        <w:t xml:space="preserve"> </w:t>
      </w:r>
      <w:bookmarkStart w:id="75" w:name="_Ref522866807"/>
      <w:bookmarkStart w:id="76" w:name="_Ref523830074"/>
      <w:r>
        <w:t xml:space="preserve">As noted in paragraphs </w:t>
      </w:r>
      <w:r>
        <w:fldChar w:fldCharType="begin"/>
      </w:r>
      <w:r>
        <w:instrText xml:space="preserve"> REF _Ref522693060 \r \h </w:instrText>
      </w:r>
      <w:r>
        <w:fldChar w:fldCharType="separate"/>
      </w:r>
      <w:r w:rsidR="00882B86">
        <w:t>BC47</w:t>
      </w:r>
      <w:r>
        <w:fldChar w:fldCharType="end"/>
      </w:r>
      <w:r w:rsidR="00BC24B5">
        <w:t>–</w:t>
      </w:r>
      <w:r>
        <w:fldChar w:fldCharType="begin"/>
      </w:r>
      <w:r>
        <w:instrText xml:space="preserve"> REF _Ref522693062 \r \h </w:instrText>
      </w:r>
      <w:r>
        <w:fldChar w:fldCharType="separate"/>
      </w:r>
      <w:r w:rsidR="00882B86">
        <w:t>BC50</w:t>
      </w:r>
      <w:r>
        <w:fldChar w:fldCharType="end"/>
      </w:r>
      <w:r>
        <w:t>, the Board consider</w:t>
      </w:r>
      <w:r w:rsidR="009C5950">
        <w:t>ed</w:t>
      </w:r>
      <w:r>
        <w:t xml:space="preserve"> that issuing a right to perform would constitute a good or service for the purpose of AASB 15</w:t>
      </w:r>
      <w:r w:rsidR="00916A32">
        <w:t xml:space="preserve">. </w:t>
      </w:r>
      <w:r>
        <w:t>The</w:t>
      </w:r>
      <w:r w:rsidR="004C2E0B">
        <w:t xml:space="preserve"> Board</w:t>
      </w:r>
      <w:r>
        <w:t xml:space="preserve"> noted that a right to perform an activity might also have attributes attached, such as exclusivity. The Board noted that upholding the exclusivity of the right to perform that activity over the term of the licence</w:t>
      </w:r>
      <w:r w:rsidR="00916A32">
        <w:t xml:space="preserve"> would not be a separate good or service (and thus a performance obligation) as it does not transfer anything extra to the licensee than the original licence they receive</w:t>
      </w:r>
      <w:r w:rsidR="007B021B">
        <w:t>d</w:t>
      </w:r>
      <w:r w:rsidR="00916A32">
        <w:t xml:space="preserve"> on day 1. In other words, exclusivity is an attribute and within the boundary of the licence (the good or service) that has been promised to the licensee. Therefore any activities to set up or maintain these exclusivity conditions </w:t>
      </w:r>
      <w:bookmarkEnd w:id="75"/>
      <w:r w:rsidR="003D66BA">
        <w:t>are not performance obligations</w:t>
      </w:r>
      <w:r w:rsidR="00916A32">
        <w:t>.</w:t>
      </w:r>
      <w:bookmarkEnd w:id="76"/>
      <w:r w:rsidR="001B3039">
        <w:t xml:space="preserve"> </w:t>
      </w:r>
      <w:r w:rsidR="00916A32">
        <w:t xml:space="preserve"> </w:t>
      </w:r>
    </w:p>
    <w:p w:rsidR="00916A32" w:rsidRDefault="00916A32" w:rsidP="001C7D79">
      <w:pPr>
        <w:pStyle w:val="NumBC1"/>
        <w:numPr>
          <w:ilvl w:val="0"/>
          <w:numId w:val="32"/>
        </w:numPr>
      </w:pPr>
      <w:bookmarkStart w:id="77" w:name="_Ref523830076"/>
      <w:r>
        <w:t xml:space="preserve">Another example of this would be an arrangement where a licensee needs to fulfil eligibility criteria prior to being granted a right to perform activities, </w:t>
      </w:r>
      <w:r w:rsidR="003D66BA">
        <w:t xml:space="preserve">and </w:t>
      </w:r>
      <w:r w:rsidR="00087F63">
        <w:t xml:space="preserve">the </w:t>
      </w:r>
      <w:r>
        <w:t xml:space="preserve">licensor is required to perform activities to ensure that the eligibility criteria have been met prior to issuing the licence and throughout the term of the </w:t>
      </w:r>
      <w:r w:rsidR="00087F63">
        <w:t>licence</w:t>
      </w:r>
      <w:r>
        <w:t xml:space="preserve">. </w:t>
      </w:r>
      <w:r w:rsidR="003D66BA">
        <w:t xml:space="preserve">Meeting the eligibility criteria is under the control of the licensee and </w:t>
      </w:r>
      <w:r>
        <w:t xml:space="preserve">types of activities performed by </w:t>
      </w:r>
      <w:r w:rsidR="00087F63">
        <w:t xml:space="preserve">a </w:t>
      </w:r>
      <w:r>
        <w:t>licensor do not transfer an additional good or service to the licensee</w:t>
      </w:r>
      <w:r w:rsidR="003D66BA">
        <w:t>, as they merely confirm the licensee continues to meet its obligations</w:t>
      </w:r>
      <w:r>
        <w:t xml:space="preserve"> </w:t>
      </w:r>
      <w:r w:rsidR="003D66BA">
        <w:t>and</w:t>
      </w:r>
      <w:r>
        <w:t xml:space="preserve"> there is no change to the nature of the licence offered as a result of the activities performed by the licensor to check that these eligibility criteria have been fulfilled.</w:t>
      </w:r>
      <w:bookmarkEnd w:id="77"/>
    </w:p>
    <w:p w:rsidR="00AE3C30" w:rsidRPr="00AE3C30" w:rsidRDefault="00916A32" w:rsidP="001C7D79">
      <w:pPr>
        <w:pStyle w:val="NumBC1"/>
        <w:numPr>
          <w:ilvl w:val="0"/>
          <w:numId w:val="32"/>
        </w:numPr>
      </w:pPr>
      <w:bookmarkStart w:id="78" w:name="_Ref522291427"/>
      <w:r>
        <w:t xml:space="preserve">Accordingly, </w:t>
      </w:r>
      <w:r w:rsidR="000C4ECB">
        <w:t xml:space="preserve">based on the </w:t>
      </w:r>
      <w:r w:rsidR="000434BE">
        <w:t xml:space="preserve">considerations in paragraphs </w:t>
      </w:r>
      <w:r w:rsidR="00AF33F1">
        <w:fldChar w:fldCharType="begin"/>
      </w:r>
      <w:r w:rsidR="00AF33F1">
        <w:instrText xml:space="preserve"> REF _Ref523830074 \r \h </w:instrText>
      </w:r>
      <w:r w:rsidR="00AF33F1">
        <w:fldChar w:fldCharType="separate"/>
      </w:r>
      <w:r w:rsidR="00882B86">
        <w:t>BC87</w:t>
      </w:r>
      <w:r w:rsidR="00AF33F1">
        <w:fldChar w:fldCharType="end"/>
      </w:r>
      <w:r w:rsidR="00AF33F1">
        <w:t xml:space="preserve"> and </w:t>
      </w:r>
      <w:r w:rsidR="00AF33F1">
        <w:fldChar w:fldCharType="begin"/>
      </w:r>
      <w:r w:rsidR="00AF33F1">
        <w:instrText xml:space="preserve"> REF _Ref523830076 \r \h </w:instrText>
      </w:r>
      <w:r w:rsidR="00AF33F1">
        <w:fldChar w:fldCharType="separate"/>
      </w:r>
      <w:r w:rsidR="00882B86">
        <w:t>BC88</w:t>
      </w:r>
      <w:r w:rsidR="00AF33F1">
        <w:fldChar w:fldCharType="end"/>
      </w:r>
      <w:r w:rsidR="000C4ECB">
        <w:t xml:space="preserve">, the Board </w:t>
      </w:r>
      <w:r w:rsidR="003D66BA">
        <w:t xml:space="preserve">clarified </w:t>
      </w:r>
      <w:r>
        <w:t xml:space="preserve">that exclusivity and eligibility checking activities are not </w:t>
      </w:r>
      <w:r w:rsidR="003D66BA">
        <w:t xml:space="preserve">performance obligations as they do not transfer </w:t>
      </w:r>
      <w:r>
        <w:t>goods or services</w:t>
      </w:r>
      <w:r w:rsidR="003D66BA">
        <w:t xml:space="preserve"> additional to the licence itself</w:t>
      </w:r>
      <w:r>
        <w:t>.</w:t>
      </w:r>
      <w:r w:rsidR="002B0889" w:rsidDel="002B0889">
        <w:t xml:space="preserve"> </w:t>
      </w:r>
      <w:bookmarkEnd w:id="78"/>
    </w:p>
    <w:p w:rsidR="00E94611" w:rsidRDefault="00E94611" w:rsidP="00AE3C30">
      <w:pPr>
        <w:pStyle w:val="NumBC1"/>
        <w:ind w:firstLine="0"/>
        <w:rPr>
          <w:rFonts w:ascii="Arial" w:hAnsi="Arial" w:cs="Arial"/>
          <w:b/>
          <w:sz w:val="26"/>
        </w:rPr>
      </w:pPr>
      <w:r>
        <w:rPr>
          <w:rFonts w:ascii="Arial" w:hAnsi="Arial" w:cs="Arial"/>
          <w:b/>
          <w:sz w:val="26"/>
        </w:rPr>
        <w:t>Satisfaction of performance obligations</w:t>
      </w:r>
    </w:p>
    <w:p w:rsidR="00E94611" w:rsidRDefault="00E94611" w:rsidP="001C7D79">
      <w:pPr>
        <w:pStyle w:val="NumBC1"/>
        <w:numPr>
          <w:ilvl w:val="0"/>
          <w:numId w:val="32"/>
        </w:numPr>
      </w:pPr>
      <w:r w:rsidRPr="003114CF">
        <w:t xml:space="preserve">The </w:t>
      </w:r>
      <w:r>
        <w:t>Board observed that an entity would be required to apply th</w:t>
      </w:r>
      <w:r w:rsidR="00BC24B5">
        <w:t>e requirements of paragraphs 31–</w:t>
      </w:r>
      <w:r>
        <w:t xml:space="preserve">45 to determine whether the control of the non-IP licence (most commonly a right to perform) is transferred at a point in time or over time. The Board considered </w:t>
      </w:r>
      <w:r w:rsidR="001C2037">
        <w:t xml:space="preserve">that some non-IP licences might be structured such that the licensor has the right to change the rights </w:t>
      </w:r>
      <w:r w:rsidR="00C477D5">
        <w:t>issued</w:t>
      </w:r>
      <w:r w:rsidR="001C2037">
        <w:t xml:space="preserve"> in the licence</w:t>
      </w:r>
      <w:r w:rsidR="00C477D5">
        <w:t xml:space="preserve"> at any time</w:t>
      </w:r>
      <w:r w:rsidR="001C2037">
        <w:t xml:space="preserve"> (</w:t>
      </w:r>
      <w:proofErr w:type="spellStart"/>
      <w:r w:rsidR="001C2037">
        <w:t>ie</w:t>
      </w:r>
      <w:proofErr w:type="spellEnd"/>
      <w:r w:rsidR="001C2037">
        <w:t xml:space="preserve"> change the right to perform at any time), which may indicate that </w:t>
      </w:r>
      <w:r w:rsidR="00C477D5">
        <w:t xml:space="preserve">the licensee does not control the same licence over the term of the licence, and hence control is transferred over time. The Board considered </w:t>
      </w:r>
      <w:r>
        <w:t xml:space="preserve">whether it should provide additional guidance to help licensors make this assessment, but decided </w:t>
      </w:r>
      <w:r w:rsidR="001C2037">
        <w:t xml:space="preserve">it would not be </w:t>
      </w:r>
      <w:r w:rsidR="00665946">
        <w:t>necessary</w:t>
      </w:r>
      <w:r w:rsidR="001C2037">
        <w:t xml:space="preserve"> to do so as, in the Board’s view</w:t>
      </w:r>
      <w:r>
        <w:t>:</w:t>
      </w:r>
    </w:p>
    <w:p w:rsidR="00E94611" w:rsidRDefault="00E94611" w:rsidP="001C7D79">
      <w:pPr>
        <w:pStyle w:val="NumBC1"/>
        <w:numPr>
          <w:ilvl w:val="1"/>
          <w:numId w:val="32"/>
        </w:numPr>
      </w:pPr>
      <w:r>
        <w:t xml:space="preserve">the principles and existing guidance in AASB 15 </w:t>
      </w:r>
      <w:r w:rsidR="002735CE">
        <w:t>are</w:t>
      </w:r>
      <w:r w:rsidR="00571621">
        <w:t xml:space="preserve"> </w:t>
      </w:r>
      <w:r>
        <w:t>sufficient for NFP public sector licensors to apply the Standard;</w:t>
      </w:r>
    </w:p>
    <w:p w:rsidR="00E94611" w:rsidRDefault="00E94611" w:rsidP="001C7D79">
      <w:pPr>
        <w:pStyle w:val="NumBC1"/>
        <w:numPr>
          <w:ilvl w:val="1"/>
          <w:numId w:val="32"/>
        </w:numPr>
      </w:pPr>
      <w:r>
        <w:t xml:space="preserve">the </w:t>
      </w:r>
      <w:r w:rsidR="00FE3E7D">
        <w:t xml:space="preserve">quantitative </w:t>
      </w:r>
      <w:r>
        <w:t xml:space="preserve">magnitude of licences issued by NFP public sector entities </w:t>
      </w:r>
      <w:r w:rsidR="009A3694">
        <w:t>do</w:t>
      </w:r>
      <w:r>
        <w:t xml:space="preserve"> not appear to constitute a significant portion of public sector revenue for the Board to develop public sector specific guidance on </w:t>
      </w:r>
      <w:r w:rsidR="00C477D5">
        <w:t xml:space="preserve">this aspect of </w:t>
      </w:r>
      <w:r>
        <w:t>AASB 15 that</w:t>
      </w:r>
      <w:r w:rsidR="00892E91">
        <w:t>, in the context of IFRS compliance and transaction neutrality,</w:t>
      </w:r>
      <w:r>
        <w:t xml:space="preserve"> </w:t>
      </w:r>
      <w:r w:rsidR="00892E91">
        <w:t>might</w:t>
      </w:r>
      <w:r>
        <w:t xml:space="preserve"> have unintended implications for private sector entities applying AASB 15; and</w:t>
      </w:r>
    </w:p>
    <w:p w:rsidR="00E94611" w:rsidRPr="003114CF" w:rsidRDefault="00E94611" w:rsidP="001C7D79">
      <w:pPr>
        <w:pStyle w:val="NumBC1"/>
        <w:numPr>
          <w:ilvl w:val="1"/>
          <w:numId w:val="32"/>
        </w:numPr>
      </w:pPr>
      <w:proofErr w:type="gramStart"/>
      <w:r>
        <w:t>the</w:t>
      </w:r>
      <w:proofErr w:type="gramEnd"/>
      <w:r>
        <w:t xml:space="preserve"> facts and circumstances of NFP public sector licences differ significantly, and providing specific guidance on this aspect of AASB 15 </w:t>
      </w:r>
      <w:r w:rsidR="004D2A20">
        <w:t>might</w:t>
      </w:r>
      <w:r>
        <w:t xml:space="preserve"> </w:t>
      </w:r>
      <w:r w:rsidR="004D2A20">
        <w:t xml:space="preserve">inadvertently encourage </w:t>
      </w:r>
      <w:r>
        <w:t>licensors to draw conclusions without considering their specific facts and circumstances sufficiently.</w:t>
      </w:r>
    </w:p>
    <w:p w:rsidR="00E94611" w:rsidRDefault="00E94611" w:rsidP="001C7D79">
      <w:pPr>
        <w:pStyle w:val="NumBC1"/>
        <w:numPr>
          <w:ilvl w:val="0"/>
          <w:numId w:val="32"/>
        </w:numPr>
      </w:pPr>
      <w:r>
        <w:t xml:space="preserve">The Board also reaffirmed its view that </w:t>
      </w:r>
      <w:r w:rsidR="009C5950">
        <w:t xml:space="preserve">in majority of instances, </w:t>
      </w:r>
      <w:r>
        <w:t xml:space="preserve">a </w:t>
      </w:r>
      <w:r w:rsidRPr="00E94611">
        <w:t xml:space="preserve">right to perform </w:t>
      </w:r>
      <w:r w:rsidR="00E6175F">
        <w:t>a</w:t>
      </w:r>
      <w:r w:rsidRPr="00E94611">
        <w:t xml:space="preserve"> licenced activity </w:t>
      </w:r>
      <w:r w:rsidR="009C5950">
        <w:t xml:space="preserve">would </w:t>
      </w:r>
      <w:r w:rsidRPr="00E94611">
        <w:t xml:space="preserve">not change over the licence term, because as soon as the licensor has issued the licence, </w:t>
      </w:r>
      <w:r w:rsidR="00E6175F">
        <w:t xml:space="preserve">the </w:t>
      </w:r>
      <w:r w:rsidRPr="00E94611">
        <w:t>licensee would be able to direct the use of and obtain substantially all of the remaining benefits from the right to perform the licenced activities (</w:t>
      </w:r>
      <w:proofErr w:type="spellStart"/>
      <w:r w:rsidRPr="00E94611">
        <w:t>ie</w:t>
      </w:r>
      <w:proofErr w:type="spellEnd"/>
      <w:r w:rsidRPr="00E94611">
        <w:t xml:space="preserve"> the licensee controls the same right to perform the licenced activities throughout the term of the licence). Hence, control would be passed on the day the licence is issued for the entire term of the licence,</w:t>
      </w:r>
      <w:r>
        <w:t xml:space="preserve"> and revenue would generally be recognised at a point in time.</w:t>
      </w:r>
    </w:p>
    <w:p w:rsidR="00E26408" w:rsidRPr="00E26408" w:rsidRDefault="00E26408" w:rsidP="00AE3C30">
      <w:pPr>
        <w:pStyle w:val="NumBC1"/>
        <w:ind w:firstLine="0"/>
        <w:rPr>
          <w:rFonts w:ascii="Arial" w:hAnsi="Arial" w:cs="Arial"/>
          <w:b/>
          <w:sz w:val="26"/>
        </w:rPr>
      </w:pPr>
      <w:r w:rsidRPr="00E26408">
        <w:rPr>
          <w:rFonts w:ascii="Arial" w:hAnsi="Arial" w:cs="Arial"/>
          <w:b/>
          <w:sz w:val="26"/>
        </w:rPr>
        <w:t>Providing a rule to recognise revenue</w:t>
      </w:r>
      <w:r>
        <w:rPr>
          <w:rFonts w:ascii="Arial" w:hAnsi="Arial" w:cs="Arial"/>
          <w:b/>
          <w:sz w:val="26"/>
        </w:rPr>
        <w:t xml:space="preserve"> over time</w:t>
      </w:r>
    </w:p>
    <w:p w:rsidR="007A143B" w:rsidRPr="007A143B" w:rsidRDefault="007A143B" w:rsidP="001C7D79">
      <w:pPr>
        <w:pStyle w:val="NumBC1"/>
        <w:numPr>
          <w:ilvl w:val="0"/>
          <w:numId w:val="32"/>
        </w:numPr>
        <w:rPr>
          <w:szCs w:val="19"/>
        </w:rPr>
      </w:pPr>
      <w:r w:rsidRPr="007A143B">
        <w:rPr>
          <w:szCs w:val="19"/>
        </w:rPr>
        <w:t>In progressing ED 283, the Board also gave consideration as to whether it should provide a specific rule for all licences to be recognised over time (</w:t>
      </w:r>
      <w:proofErr w:type="spellStart"/>
      <w:r w:rsidRPr="007A143B">
        <w:rPr>
          <w:szCs w:val="19"/>
        </w:rPr>
        <w:t>ie</w:t>
      </w:r>
      <w:proofErr w:type="spellEnd"/>
      <w:r w:rsidRPr="007A143B">
        <w:rPr>
          <w:szCs w:val="19"/>
        </w:rPr>
        <w:t xml:space="preserve"> revisiting option 3 from paragraph</w:t>
      </w:r>
      <w:r w:rsidR="000434BE">
        <w:rPr>
          <w:szCs w:val="19"/>
        </w:rPr>
        <w:t xml:space="preserve"> </w:t>
      </w:r>
      <w:r w:rsidR="000434BE">
        <w:rPr>
          <w:szCs w:val="19"/>
        </w:rPr>
        <w:fldChar w:fldCharType="begin"/>
      </w:r>
      <w:r w:rsidR="000434BE">
        <w:rPr>
          <w:szCs w:val="19"/>
        </w:rPr>
        <w:instrText xml:space="preserve"> REF _Ref522866335 \r \h </w:instrText>
      </w:r>
      <w:r w:rsidR="000434BE">
        <w:rPr>
          <w:szCs w:val="19"/>
        </w:rPr>
      </w:r>
      <w:r w:rsidR="000434BE">
        <w:rPr>
          <w:szCs w:val="19"/>
        </w:rPr>
        <w:fldChar w:fldCharType="separate"/>
      </w:r>
      <w:r w:rsidR="00882B86">
        <w:rPr>
          <w:szCs w:val="19"/>
        </w:rPr>
        <w:t>BC73</w:t>
      </w:r>
      <w:r w:rsidR="000434BE">
        <w:rPr>
          <w:szCs w:val="19"/>
        </w:rPr>
        <w:fldChar w:fldCharType="end"/>
      </w:r>
      <w:r w:rsidRPr="007A143B">
        <w:rPr>
          <w:szCs w:val="19"/>
        </w:rPr>
        <w:t>).</w:t>
      </w:r>
    </w:p>
    <w:p w:rsidR="00657E48" w:rsidRPr="00E26408" w:rsidRDefault="003114CF" w:rsidP="001C7D79">
      <w:pPr>
        <w:pStyle w:val="NumBC1"/>
        <w:numPr>
          <w:ilvl w:val="0"/>
          <w:numId w:val="32"/>
        </w:numPr>
        <w:rPr>
          <w:b/>
          <w:szCs w:val="19"/>
        </w:rPr>
      </w:pPr>
      <w:r w:rsidRPr="003114CF">
        <w:rPr>
          <w:szCs w:val="19"/>
        </w:rPr>
        <w:t xml:space="preserve">Based on the </w:t>
      </w:r>
      <w:r>
        <w:rPr>
          <w:szCs w:val="19"/>
        </w:rPr>
        <w:t>analysis in paragraph</w:t>
      </w:r>
      <w:r w:rsidR="00E26408">
        <w:rPr>
          <w:szCs w:val="19"/>
        </w:rPr>
        <w:t xml:space="preserve">s </w:t>
      </w:r>
      <w:r w:rsidR="0093505B">
        <w:rPr>
          <w:szCs w:val="19"/>
        </w:rPr>
        <w:fldChar w:fldCharType="begin"/>
      </w:r>
      <w:r w:rsidR="0093505B">
        <w:rPr>
          <w:szCs w:val="19"/>
        </w:rPr>
        <w:instrText xml:space="preserve"> REF _Ref522866807 \r \h </w:instrText>
      </w:r>
      <w:r w:rsidR="0093505B">
        <w:rPr>
          <w:szCs w:val="19"/>
        </w:rPr>
      </w:r>
      <w:r w:rsidR="0093505B">
        <w:rPr>
          <w:szCs w:val="19"/>
        </w:rPr>
        <w:fldChar w:fldCharType="separate"/>
      </w:r>
      <w:r w:rsidR="00882B86">
        <w:rPr>
          <w:szCs w:val="19"/>
        </w:rPr>
        <w:t>BC87</w:t>
      </w:r>
      <w:r w:rsidR="0093505B">
        <w:rPr>
          <w:szCs w:val="19"/>
        </w:rPr>
        <w:fldChar w:fldCharType="end"/>
      </w:r>
      <w:r w:rsidR="00BC24B5">
        <w:t>–</w:t>
      </w:r>
      <w:r w:rsidR="00E26408">
        <w:rPr>
          <w:szCs w:val="19"/>
        </w:rPr>
        <w:fldChar w:fldCharType="begin"/>
      </w:r>
      <w:r w:rsidR="00E26408">
        <w:rPr>
          <w:szCs w:val="19"/>
        </w:rPr>
        <w:instrText xml:space="preserve"> REF _Ref522291427 \r \h </w:instrText>
      </w:r>
      <w:r w:rsidR="00E26408">
        <w:rPr>
          <w:szCs w:val="19"/>
        </w:rPr>
      </w:r>
      <w:r w:rsidR="00E26408">
        <w:rPr>
          <w:szCs w:val="19"/>
        </w:rPr>
        <w:fldChar w:fldCharType="separate"/>
      </w:r>
      <w:r w:rsidR="00882B86">
        <w:rPr>
          <w:szCs w:val="19"/>
        </w:rPr>
        <w:t>BC89</w:t>
      </w:r>
      <w:r w:rsidR="00E26408">
        <w:rPr>
          <w:szCs w:val="19"/>
        </w:rPr>
        <w:fldChar w:fldCharType="end"/>
      </w:r>
      <w:r w:rsidR="00E26408">
        <w:rPr>
          <w:szCs w:val="19"/>
        </w:rPr>
        <w:t>, the Board</w:t>
      </w:r>
      <w:r w:rsidR="000B4CD0">
        <w:rPr>
          <w:szCs w:val="19"/>
        </w:rPr>
        <w:t xml:space="preserve"> decided</w:t>
      </w:r>
      <w:r w:rsidR="00E26408">
        <w:rPr>
          <w:szCs w:val="19"/>
        </w:rPr>
        <w:t xml:space="preserve"> that </w:t>
      </w:r>
      <w:r w:rsidR="00540E91">
        <w:rPr>
          <w:szCs w:val="19"/>
        </w:rPr>
        <w:t xml:space="preserve">exclusivity and monitoring </w:t>
      </w:r>
      <w:r w:rsidR="00E26408">
        <w:rPr>
          <w:szCs w:val="19"/>
        </w:rPr>
        <w:t xml:space="preserve">activities </w:t>
      </w:r>
      <w:r w:rsidR="00EE16BB">
        <w:rPr>
          <w:szCs w:val="19"/>
        </w:rPr>
        <w:t xml:space="preserve">do </w:t>
      </w:r>
      <w:r w:rsidR="00E26408">
        <w:rPr>
          <w:szCs w:val="19"/>
        </w:rPr>
        <w:t xml:space="preserve">not represent a </w:t>
      </w:r>
      <w:r w:rsidR="003D66BA">
        <w:rPr>
          <w:szCs w:val="19"/>
        </w:rPr>
        <w:t>performance obligation</w:t>
      </w:r>
      <w:r w:rsidR="00E26408">
        <w:rPr>
          <w:szCs w:val="19"/>
        </w:rPr>
        <w:t xml:space="preserve"> in accordance with AASB 15. </w:t>
      </w:r>
      <w:r w:rsidR="006811FB">
        <w:rPr>
          <w:szCs w:val="19"/>
        </w:rPr>
        <w:t>Therefore, the Board observed that if it were to address comments from constituents that such activities should represent a performance obligation</w:t>
      </w:r>
      <w:r w:rsidR="00113754">
        <w:rPr>
          <w:szCs w:val="19"/>
        </w:rPr>
        <w:t xml:space="preserve"> (and hence be satisfied over time)</w:t>
      </w:r>
      <w:r w:rsidR="006811FB">
        <w:rPr>
          <w:szCs w:val="19"/>
        </w:rPr>
        <w:t xml:space="preserve">, the Board would need to </w:t>
      </w:r>
      <w:r w:rsidR="00113754">
        <w:rPr>
          <w:szCs w:val="19"/>
        </w:rPr>
        <w:t xml:space="preserve">create a rule divergent </w:t>
      </w:r>
      <w:r w:rsidR="0004257E">
        <w:rPr>
          <w:szCs w:val="19"/>
        </w:rPr>
        <w:t>from</w:t>
      </w:r>
      <w:r w:rsidR="00113754">
        <w:rPr>
          <w:szCs w:val="19"/>
        </w:rPr>
        <w:t xml:space="preserve"> the principles of AASB 15</w:t>
      </w:r>
      <w:r w:rsidR="006811FB">
        <w:rPr>
          <w:szCs w:val="19"/>
        </w:rPr>
        <w:t xml:space="preserve">. </w:t>
      </w:r>
    </w:p>
    <w:p w:rsidR="00E26408" w:rsidRPr="00E26408" w:rsidRDefault="00E26408" w:rsidP="001C7D79">
      <w:pPr>
        <w:pStyle w:val="NumBC1"/>
        <w:numPr>
          <w:ilvl w:val="0"/>
          <w:numId w:val="32"/>
        </w:numPr>
        <w:rPr>
          <w:b/>
          <w:szCs w:val="19"/>
        </w:rPr>
      </w:pPr>
      <w:r>
        <w:rPr>
          <w:szCs w:val="19"/>
        </w:rPr>
        <w:t xml:space="preserve">The Board noted that in AASB 1059, under the </w:t>
      </w:r>
      <w:r w:rsidRPr="00E26408">
        <w:rPr>
          <w:szCs w:val="19"/>
        </w:rPr>
        <w:t>‘grant of a right to the operator’ (GORTO) model</w:t>
      </w:r>
      <w:r>
        <w:rPr>
          <w:szCs w:val="19"/>
        </w:rPr>
        <w:t xml:space="preserve">, the licensor is effectively licencing the operator to use the service concession asset. The Board noted </w:t>
      </w:r>
      <w:r w:rsidR="00E94611">
        <w:rPr>
          <w:szCs w:val="19"/>
        </w:rPr>
        <w:t xml:space="preserve">its consideration of applying </w:t>
      </w:r>
      <w:r w:rsidR="00540E91">
        <w:rPr>
          <w:szCs w:val="19"/>
        </w:rPr>
        <w:t xml:space="preserve">the IP licensing guidance in </w:t>
      </w:r>
      <w:r w:rsidR="00E94611">
        <w:rPr>
          <w:szCs w:val="19"/>
        </w:rPr>
        <w:t xml:space="preserve">AASB </w:t>
      </w:r>
      <w:r w:rsidR="00540E91">
        <w:rPr>
          <w:szCs w:val="19"/>
        </w:rPr>
        <w:t xml:space="preserve">15 </w:t>
      </w:r>
      <w:r w:rsidR="00E94611">
        <w:rPr>
          <w:szCs w:val="19"/>
        </w:rPr>
        <w:t>to account for these arrangement</w:t>
      </w:r>
      <w:r w:rsidR="005A5021">
        <w:rPr>
          <w:szCs w:val="19"/>
        </w:rPr>
        <w:t>s</w:t>
      </w:r>
      <w:r w:rsidR="007B4F57">
        <w:rPr>
          <w:szCs w:val="19"/>
        </w:rPr>
        <w:t xml:space="preserve"> in the scope of AASB 1059</w:t>
      </w:r>
      <w:r w:rsidR="00E94611">
        <w:rPr>
          <w:szCs w:val="19"/>
        </w:rPr>
        <w:t xml:space="preserve">, but </w:t>
      </w:r>
      <w:r w:rsidR="00540E91">
        <w:rPr>
          <w:szCs w:val="19"/>
        </w:rPr>
        <w:t xml:space="preserve">instead </w:t>
      </w:r>
      <w:r w:rsidR="00E94611">
        <w:rPr>
          <w:szCs w:val="19"/>
        </w:rPr>
        <w:t xml:space="preserve">decided to </w:t>
      </w:r>
      <w:r w:rsidR="00540E91">
        <w:rPr>
          <w:szCs w:val="19"/>
        </w:rPr>
        <w:t xml:space="preserve">require </w:t>
      </w:r>
      <w:r w:rsidR="00E94611">
        <w:rPr>
          <w:szCs w:val="19"/>
        </w:rPr>
        <w:t>revenue to be recognised over time under the GORTO method. The Board also observed that a licensor is required to perform certain monitoring activities in a service concession arrangement, such as</w:t>
      </w:r>
      <w:r w:rsidR="00E94611" w:rsidRPr="00E94611">
        <w:rPr>
          <w:szCs w:val="19"/>
        </w:rPr>
        <w:t xml:space="preserve"> identify</w:t>
      </w:r>
      <w:r w:rsidR="00E94611">
        <w:rPr>
          <w:szCs w:val="19"/>
        </w:rPr>
        <w:t>ing</w:t>
      </w:r>
      <w:r w:rsidR="00E94611" w:rsidRPr="00E94611">
        <w:rPr>
          <w:szCs w:val="19"/>
        </w:rPr>
        <w:t xml:space="preserve"> non-paying vehicles and in the collections of non-payment toll fares</w:t>
      </w:r>
      <w:r w:rsidR="00E94611">
        <w:rPr>
          <w:szCs w:val="19"/>
        </w:rPr>
        <w:t>.</w:t>
      </w:r>
    </w:p>
    <w:p w:rsidR="00E26408" w:rsidRDefault="00E94611" w:rsidP="001C7D79">
      <w:pPr>
        <w:pStyle w:val="NumBC1"/>
        <w:numPr>
          <w:ilvl w:val="0"/>
          <w:numId w:val="32"/>
        </w:numPr>
        <w:rPr>
          <w:szCs w:val="19"/>
        </w:rPr>
      </w:pPr>
      <w:r>
        <w:rPr>
          <w:szCs w:val="19"/>
        </w:rPr>
        <w:t>The Board considered whether this set a precedent to provide a rule for non-IP licences to be recognised over time</w:t>
      </w:r>
      <w:r w:rsidR="007B4F57">
        <w:rPr>
          <w:szCs w:val="19"/>
        </w:rPr>
        <w:t>.</w:t>
      </w:r>
      <w:r>
        <w:rPr>
          <w:szCs w:val="19"/>
        </w:rPr>
        <w:t xml:space="preserve"> </w:t>
      </w:r>
      <w:r w:rsidR="007B4F57">
        <w:rPr>
          <w:szCs w:val="19"/>
        </w:rPr>
        <w:t>H</w:t>
      </w:r>
      <w:r>
        <w:rPr>
          <w:szCs w:val="19"/>
        </w:rPr>
        <w:t>owever</w:t>
      </w:r>
      <w:r w:rsidR="007B4F57">
        <w:rPr>
          <w:szCs w:val="19"/>
        </w:rPr>
        <w:t xml:space="preserve">, the Board </w:t>
      </w:r>
      <w:r w:rsidR="00C73E8F">
        <w:rPr>
          <w:szCs w:val="19"/>
        </w:rPr>
        <w:t xml:space="preserve">noted </w:t>
      </w:r>
      <w:r w:rsidR="00E26408" w:rsidRPr="00E26408">
        <w:rPr>
          <w:szCs w:val="19"/>
        </w:rPr>
        <w:t>fundamental difference</w:t>
      </w:r>
      <w:r w:rsidR="00C73E8F">
        <w:rPr>
          <w:szCs w:val="19"/>
        </w:rPr>
        <w:t>s</w:t>
      </w:r>
      <w:r w:rsidR="00E26408" w:rsidRPr="00E26408">
        <w:rPr>
          <w:szCs w:val="19"/>
        </w:rPr>
        <w:t xml:space="preserve"> </w:t>
      </w:r>
      <w:r w:rsidR="007815E7">
        <w:rPr>
          <w:szCs w:val="19"/>
        </w:rPr>
        <w:t xml:space="preserve">between </w:t>
      </w:r>
      <w:r w:rsidR="00E26408" w:rsidRPr="00E26408">
        <w:rPr>
          <w:szCs w:val="19"/>
        </w:rPr>
        <w:t xml:space="preserve">service concession arrangements </w:t>
      </w:r>
      <w:r w:rsidR="007815E7">
        <w:rPr>
          <w:szCs w:val="19"/>
        </w:rPr>
        <w:t>and non-IP licences</w:t>
      </w:r>
      <w:r w:rsidR="00C73E8F">
        <w:rPr>
          <w:szCs w:val="19"/>
        </w:rPr>
        <w:t xml:space="preserve">. </w:t>
      </w:r>
      <w:r w:rsidR="00E26408" w:rsidRPr="00E26408">
        <w:rPr>
          <w:szCs w:val="19"/>
        </w:rPr>
        <w:t xml:space="preserve"> </w:t>
      </w:r>
      <w:r w:rsidR="00C73E8F">
        <w:rPr>
          <w:szCs w:val="19"/>
        </w:rPr>
        <w:t xml:space="preserve">A service concession arrangement provides an operator with a right to access an asset that is controlled by the public sector.  A licence is a right to use IP or non-IP that is not captured by AASB 16, or a right to perform, which provides significantly more control of the asset or the right to perform to the </w:t>
      </w:r>
      <w:r w:rsidR="004D6049">
        <w:rPr>
          <w:szCs w:val="19"/>
        </w:rPr>
        <w:t>licensee</w:t>
      </w:r>
      <w:r w:rsidR="00C73E8F">
        <w:rPr>
          <w:szCs w:val="19"/>
        </w:rPr>
        <w:t xml:space="preserve">, than is provided in a service concession </w:t>
      </w:r>
      <w:r w:rsidR="004D6049">
        <w:rPr>
          <w:szCs w:val="19"/>
        </w:rPr>
        <w:t>arrangement</w:t>
      </w:r>
      <w:r w:rsidR="00C73E8F">
        <w:rPr>
          <w:szCs w:val="19"/>
        </w:rPr>
        <w:t>.  In a</w:t>
      </w:r>
      <w:r w:rsidR="004D6049">
        <w:rPr>
          <w:szCs w:val="19"/>
        </w:rPr>
        <w:t xml:space="preserve"> service concession arrangement,</w:t>
      </w:r>
      <w:r w:rsidR="00C73E8F">
        <w:rPr>
          <w:szCs w:val="19"/>
        </w:rPr>
        <w:t xml:space="preserve"> </w:t>
      </w:r>
      <w:r w:rsidR="00E26408" w:rsidRPr="00E26408">
        <w:rPr>
          <w:szCs w:val="19"/>
        </w:rPr>
        <w:t xml:space="preserve">the public sector grantor capitalises an asset as part of </w:t>
      </w:r>
      <w:r w:rsidR="004D6049">
        <w:rPr>
          <w:szCs w:val="19"/>
        </w:rPr>
        <w:t xml:space="preserve">the </w:t>
      </w:r>
      <w:r w:rsidR="00E26408" w:rsidRPr="00E26408">
        <w:rPr>
          <w:szCs w:val="19"/>
        </w:rPr>
        <w:t xml:space="preserve">arrangement </w:t>
      </w:r>
      <w:r w:rsidR="00276969">
        <w:rPr>
          <w:szCs w:val="19"/>
        </w:rPr>
        <w:t xml:space="preserve">as it is considered a financing transaction in substance, </w:t>
      </w:r>
      <w:r w:rsidR="004D6049">
        <w:rPr>
          <w:szCs w:val="19"/>
        </w:rPr>
        <w:t xml:space="preserve">and </w:t>
      </w:r>
      <w:r w:rsidR="00276969">
        <w:rPr>
          <w:szCs w:val="19"/>
        </w:rPr>
        <w:t>not a licence.  T</w:t>
      </w:r>
      <w:r w:rsidR="00E26408" w:rsidRPr="00E26408">
        <w:rPr>
          <w:szCs w:val="19"/>
        </w:rPr>
        <w:t xml:space="preserve">he Board considered that recognising revenue immediately (rather than a liability) on </w:t>
      </w:r>
      <w:r w:rsidR="00276969">
        <w:rPr>
          <w:szCs w:val="19"/>
        </w:rPr>
        <w:t xml:space="preserve">the recognition of </w:t>
      </w:r>
      <w:r w:rsidR="00E26408" w:rsidRPr="00E26408">
        <w:rPr>
          <w:szCs w:val="19"/>
        </w:rPr>
        <w:t xml:space="preserve">a service concession asset at fair value </w:t>
      </w:r>
      <w:r w:rsidR="00276969">
        <w:rPr>
          <w:szCs w:val="19"/>
        </w:rPr>
        <w:t>being</w:t>
      </w:r>
      <w:r w:rsidR="00E26408" w:rsidRPr="00E26408">
        <w:rPr>
          <w:szCs w:val="19"/>
        </w:rPr>
        <w:t xml:space="preserve"> current replacement cost did not reflect the economic substance of the arrangement and would overstate current year financial performance and the financial position when the right to charge users of the asset has been transferred to the operator</w:t>
      </w:r>
      <w:r w:rsidR="00C73E8F">
        <w:rPr>
          <w:szCs w:val="19"/>
        </w:rPr>
        <w:t>, as current replacement cost would not reflect that the future cash flows attributable to the asset had been given up by the grantor</w:t>
      </w:r>
      <w:r w:rsidR="00E26408" w:rsidRPr="00E26408">
        <w:rPr>
          <w:szCs w:val="19"/>
        </w:rPr>
        <w:t>. This would not be the case for licensing arrangements as the licensor would not</w:t>
      </w:r>
      <w:r w:rsidR="00D2692C">
        <w:rPr>
          <w:szCs w:val="19"/>
        </w:rPr>
        <w:t>, in most cases,</w:t>
      </w:r>
      <w:r w:rsidR="00E26408" w:rsidRPr="00E26408">
        <w:rPr>
          <w:szCs w:val="19"/>
        </w:rPr>
        <w:t xml:space="preserve"> be recognising the asset giving rise to the licence in its </w:t>
      </w:r>
      <w:r w:rsidR="00DD74B9">
        <w:rPr>
          <w:szCs w:val="19"/>
        </w:rPr>
        <w:t>financial statements</w:t>
      </w:r>
      <w:r w:rsidR="00D2692C">
        <w:rPr>
          <w:szCs w:val="19"/>
        </w:rPr>
        <w:t>.</w:t>
      </w:r>
      <w:r w:rsidR="00E26408" w:rsidRPr="00E26408">
        <w:rPr>
          <w:szCs w:val="19"/>
        </w:rPr>
        <w:t xml:space="preserve"> Accordingly, </w:t>
      </w:r>
      <w:r w:rsidR="0098318C">
        <w:rPr>
          <w:szCs w:val="19"/>
        </w:rPr>
        <w:t>the Board</w:t>
      </w:r>
      <w:r w:rsidR="00E26408" w:rsidRPr="00E26408">
        <w:rPr>
          <w:szCs w:val="19"/>
        </w:rPr>
        <w:t xml:space="preserve"> do</w:t>
      </w:r>
      <w:r w:rsidR="0098318C">
        <w:rPr>
          <w:szCs w:val="19"/>
        </w:rPr>
        <w:t>es</w:t>
      </w:r>
      <w:r w:rsidR="00E26408" w:rsidRPr="00E26408">
        <w:rPr>
          <w:szCs w:val="19"/>
        </w:rPr>
        <w:t xml:space="preserve"> not consider it appropriate </w:t>
      </w:r>
      <w:r w:rsidR="00C73E8F">
        <w:rPr>
          <w:szCs w:val="19"/>
        </w:rPr>
        <w:t>to analogise to service concession arrangements when considering the treatment of licences</w:t>
      </w:r>
      <w:r w:rsidR="00E26408" w:rsidRPr="00E26408">
        <w:rPr>
          <w:szCs w:val="19"/>
        </w:rPr>
        <w:t>.</w:t>
      </w:r>
    </w:p>
    <w:p w:rsidR="00E94611" w:rsidRPr="00E26408" w:rsidRDefault="00E94611" w:rsidP="001C7D79">
      <w:pPr>
        <w:pStyle w:val="NumBC1"/>
        <w:numPr>
          <w:ilvl w:val="0"/>
          <w:numId w:val="32"/>
        </w:numPr>
        <w:rPr>
          <w:szCs w:val="19"/>
        </w:rPr>
      </w:pPr>
      <w:r>
        <w:rPr>
          <w:szCs w:val="19"/>
        </w:rPr>
        <w:t>On balance, the Board decided that AASB 1059 had not set a precedent for a rule</w:t>
      </w:r>
      <w:r w:rsidR="004950BB">
        <w:rPr>
          <w:szCs w:val="19"/>
        </w:rPr>
        <w:t xml:space="preserve"> for licences</w:t>
      </w:r>
      <w:r>
        <w:rPr>
          <w:szCs w:val="19"/>
        </w:rPr>
        <w:t xml:space="preserve">, as revenue </w:t>
      </w:r>
      <w:r w:rsidR="004950BB">
        <w:rPr>
          <w:szCs w:val="19"/>
        </w:rPr>
        <w:t>is</w:t>
      </w:r>
      <w:r>
        <w:rPr>
          <w:szCs w:val="19"/>
        </w:rPr>
        <w:t xml:space="preserve"> recognised over time for reasons specific to </w:t>
      </w:r>
      <w:r w:rsidR="00A575A4">
        <w:rPr>
          <w:szCs w:val="19"/>
        </w:rPr>
        <w:t>service concession arrangements</w:t>
      </w:r>
      <w:r>
        <w:rPr>
          <w:szCs w:val="19"/>
        </w:rPr>
        <w:t xml:space="preserve">. </w:t>
      </w:r>
      <w:r w:rsidR="00D2692C">
        <w:rPr>
          <w:szCs w:val="19"/>
        </w:rPr>
        <w:t xml:space="preserve">The Board also noted that </w:t>
      </w:r>
      <w:r w:rsidR="006930E6">
        <w:rPr>
          <w:szCs w:val="19"/>
        </w:rPr>
        <w:t xml:space="preserve">the majority of </w:t>
      </w:r>
      <w:r w:rsidR="00D2692C">
        <w:rPr>
          <w:szCs w:val="19"/>
        </w:rPr>
        <w:t xml:space="preserve">non-IP licences </w:t>
      </w:r>
      <w:r w:rsidR="006930E6">
        <w:rPr>
          <w:szCs w:val="19"/>
        </w:rPr>
        <w:t>would be addressed by the practical expedients for short-term and low-value licences. Further, the Board noted that the disagreement with the application of AASB 15 (noted in paragraph BC8</w:t>
      </w:r>
      <w:r w:rsidR="00D40032">
        <w:rPr>
          <w:szCs w:val="19"/>
        </w:rPr>
        <w:t>4</w:t>
      </w:r>
      <w:r w:rsidR="001B704E">
        <w:rPr>
          <w:szCs w:val="19"/>
        </w:rPr>
        <w:t>)</w:t>
      </w:r>
      <w:r w:rsidR="006930E6">
        <w:rPr>
          <w:szCs w:val="19"/>
        </w:rPr>
        <w:t xml:space="preserve"> related primarily to casino and gaming licence</w:t>
      </w:r>
      <w:r w:rsidR="001B704E">
        <w:rPr>
          <w:szCs w:val="19"/>
        </w:rPr>
        <w:t>s</w:t>
      </w:r>
      <w:r w:rsidR="006930E6">
        <w:rPr>
          <w:szCs w:val="19"/>
        </w:rPr>
        <w:t xml:space="preserve">. The Board observed that the prevalence and magnitude of such types of licences </w:t>
      </w:r>
      <w:r w:rsidR="000643F7">
        <w:rPr>
          <w:szCs w:val="19"/>
        </w:rPr>
        <w:t xml:space="preserve">did not require specific treatment, </w:t>
      </w:r>
      <w:r w:rsidR="00D40032">
        <w:rPr>
          <w:szCs w:val="19"/>
        </w:rPr>
        <w:t xml:space="preserve">in accordance with </w:t>
      </w:r>
      <w:r w:rsidR="00D40032" w:rsidRPr="003D4816">
        <w:rPr>
          <w:i/>
        </w:rPr>
        <w:t xml:space="preserve">The AASB’s </w:t>
      </w:r>
      <w:r w:rsidR="00D40032">
        <w:rPr>
          <w:i/>
        </w:rPr>
        <w:t>Not-f</w:t>
      </w:r>
      <w:r w:rsidR="00D40032" w:rsidRPr="003D4816">
        <w:rPr>
          <w:i/>
        </w:rPr>
        <w:t>or-Profit Entity Standard-Setting Framework</w:t>
      </w:r>
      <w:r w:rsidR="00D40032">
        <w:rPr>
          <w:szCs w:val="19"/>
        </w:rPr>
        <w:t xml:space="preserve">. The Board made this assessment at the </w:t>
      </w:r>
      <w:r w:rsidR="000643F7">
        <w:rPr>
          <w:szCs w:val="19"/>
        </w:rPr>
        <w:t xml:space="preserve">jurisdictional </w:t>
      </w:r>
      <w:r w:rsidR="00D40032">
        <w:rPr>
          <w:szCs w:val="19"/>
        </w:rPr>
        <w:t>level, observing that casino and gaming licences</w:t>
      </w:r>
      <w:r w:rsidR="000643F7">
        <w:rPr>
          <w:szCs w:val="19"/>
        </w:rPr>
        <w:t xml:space="preserve"> typically</w:t>
      </w:r>
      <w:r w:rsidR="00D40032">
        <w:rPr>
          <w:szCs w:val="19"/>
        </w:rPr>
        <w:t xml:space="preserve"> are issued </w:t>
      </w:r>
      <w:r w:rsidR="000643F7">
        <w:rPr>
          <w:szCs w:val="19"/>
        </w:rPr>
        <w:t xml:space="preserve">by treasuries or </w:t>
      </w:r>
      <w:r w:rsidR="00D40032">
        <w:rPr>
          <w:szCs w:val="19"/>
        </w:rPr>
        <w:t>department</w:t>
      </w:r>
      <w:r w:rsidR="000643F7">
        <w:rPr>
          <w:szCs w:val="19"/>
        </w:rPr>
        <w:t xml:space="preserve">s of finance, with </w:t>
      </w:r>
      <w:r w:rsidR="00A15B71">
        <w:rPr>
          <w:szCs w:val="19"/>
        </w:rPr>
        <w:t>administering</w:t>
      </w:r>
      <w:r w:rsidR="000643F7">
        <w:rPr>
          <w:szCs w:val="19"/>
        </w:rPr>
        <w:t xml:space="preserve"> agencies</w:t>
      </w:r>
      <w:r w:rsidR="00A15B71">
        <w:rPr>
          <w:szCs w:val="19"/>
        </w:rPr>
        <w:t xml:space="preserve"> accounting for such licences as administered items</w:t>
      </w:r>
      <w:r w:rsidR="00D40032">
        <w:rPr>
          <w:szCs w:val="19"/>
        </w:rPr>
        <w:t xml:space="preserve">. </w:t>
      </w:r>
      <w:r>
        <w:rPr>
          <w:szCs w:val="19"/>
        </w:rPr>
        <w:t xml:space="preserve">In light of this the Board decided that the underlying principles of AASB 15 </w:t>
      </w:r>
      <w:r w:rsidR="00A575A4">
        <w:rPr>
          <w:szCs w:val="19"/>
        </w:rPr>
        <w:t>are</w:t>
      </w:r>
      <w:r>
        <w:rPr>
          <w:szCs w:val="19"/>
        </w:rPr>
        <w:t xml:space="preserve"> appropriate for the recognition of revenue from non-IP licences, and it did not find a </w:t>
      </w:r>
      <w:r w:rsidR="00D2692C">
        <w:rPr>
          <w:szCs w:val="19"/>
        </w:rPr>
        <w:t>justifiable</w:t>
      </w:r>
      <w:r>
        <w:rPr>
          <w:szCs w:val="19"/>
        </w:rPr>
        <w:t xml:space="preserve"> reason to diverge from its policy on transaction neutrality.</w:t>
      </w:r>
    </w:p>
    <w:p w:rsidR="00952760" w:rsidRPr="003114CF" w:rsidRDefault="00657E48" w:rsidP="005D0061">
      <w:pPr>
        <w:pStyle w:val="IASBSectionTitle2Ind"/>
        <w:jc w:val="both"/>
        <w:outlineLvl w:val="2"/>
      </w:pPr>
      <w:r w:rsidRPr="003114CF">
        <w:t>Variable consideration</w:t>
      </w:r>
    </w:p>
    <w:p w:rsidR="007C47C2" w:rsidRPr="0077696C" w:rsidRDefault="00273C17" w:rsidP="001C7D79">
      <w:pPr>
        <w:pStyle w:val="NumBC1"/>
        <w:numPr>
          <w:ilvl w:val="0"/>
          <w:numId w:val="32"/>
        </w:numPr>
        <w:spacing w:before="0"/>
      </w:pPr>
      <w:bookmarkStart w:id="79" w:name="_Ref497202359"/>
      <w:r>
        <w:t>The</w:t>
      </w:r>
      <w:r w:rsidR="007C47C2" w:rsidRPr="0077696C">
        <w:t xml:space="preserve"> Board considered whether the general </w:t>
      </w:r>
      <w:r>
        <w:t>principles</w:t>
      </w:r>
      <w:r w:rsidRPr="0077696C">
        <w:t xml:space="preserve"> </w:t>
      </w:r>
      <w:r w:rsidR="007C47C2" w:rsidRPr="0077696C">
        <w:t xml:space="preserve">in </w:t>
      </w:r>
      <w:r w:rsidR="00291416" w:rsidRPr="0077696C">
        <w:t>AASB </w:t>
      </w:r>
      <w:r w:rsidR="007C47C2" w:rsidRPr="0077696C">
        <w:t>15</w:t>
      </w:r>
      <w:r w:rsidR="00BC24B5">
        <w:t xml:space="preserve"> paragraphs 50–</w:t>
      </w:r>
      <w:r w:rsidR="00FE3E7D">
        <w:t>59</w:t>
      </w:r>
      <w:r w:rsidR="007C47C2" w:rsidRPr="0077696C">
        <w:t xml:space="preserve"> should be amended to reflect</w:t>
      </w:r>
      <w:r w:rsidR="00EE373F" w:rsidRPr="0077696C">
        <w:t>,</w:t>
      </w:r>
      <w:r w:rsidR="007C47C2" w:rsidRPr="0077696C">
        <w:t xml:space="preserve"> </w:t>
      </w:r>
      <w:r w:rsidR="00E943B1" w:rsidRPr="0077696C">
        <w:t xml:space="preserve">for non-IP licences, the </w:t>
      </w:r>
      <w:r w:rsidR="00CE1F73" w:rsidRPr="0077696C">
        <w:t xml:space="preserve">guidance for </w:t>
      </w:r>
      <w:r w:rsidR="00E943B1" w:rsidRPr="0077696C">
        <w:t>sales-based or usage-based royalties</w:t>
      </w:r>
      <w:r w:rsidR="00CE1F73" w:rsidRPr="0077696C">
        <w:t xml:space="preserve"> within </w:t>
      </w:r>
      <w:r w:rsidR="007C47C2" w:rsidRPr="0077696C">
        <w:t xml:space="preserve">paragraph B63 of </w:t>
      </w:r>
      <w:r w:rsidR="00291416" w:rsidRPr="0077696C">
        <w:t>AASB </w:t>
      </w:r>
      <w:r w:rsidR="007C47C2" w:rsidRPr="0077696C">
        <w:t>15 for IP licences</w:t>
      </w:r>
      <w:r w:rsidR="00CE1F73" w:rsidRPr="0077696C">
        <w:t xml:space="preserve">. </w:t>
      </w:r>
      <w:r w:rsidR="003D3C1F" w:rsidRPr="0077696C">
        <w:t>The Board noted t</w:t>
      </w:r>
      <w:r w:rsidR="00CE1F73" w:rsidRPr="0077696C">
        <w:t xml:space="preserve">his guidance </w:t>
      </w:r>
      <w:r w:rsidR="00A40FEF" w:rsidRPr="0077696C">
        <w:t>might</w:t>
      </w:r>
      <w:r w:rsidR="00CE1F73" w:rsidRPr="0077696C">
        <w:t xml:space="preserve"> m</w:t>
      </w:r>
      <w:r w:rsidR="007C47C2" w:rsidRPr="0077696C">
        <w:t xml:space="preserve">ake it easier for </w:t>
      </w:r>
      <w:r w:rsidR="00A82DD0" w:rsidRPr="0077696C">
        <w:t>licensors</w:t>
      </w:r>
      <w:r w:rsidR="007C47C2" w:rsidRPr="0077696C">
        <w:t xml:space="preserve"> to determine the transaction price and timing of revenue recognition of </w:t>
      </w:r>
      <w:r w:rsidR="00143837" w:rsidRPr="0077696C">
        <w:t xml:space="preserve">non-IP </w:t>
      </w:r>
      <w:r w:rsidR="00CE1F73" w:rsidRPr="0077696C">
        <w:t>licensing arrangements</w:t>
      </w:r>
      <w:r w:rsidR="00CE1F73" w:rsidRPr="0077696C" w:rsidDel="00CE1F73">
        <w:t xml:space="preserve"> </w:t>
      </w:r>
      <w:r w:rsidR="00CE1F73" w:rsidRPr="0077696C">
        <w:t xml:space="preserve">involving sales-based or usage-based </w:t>
      </w:r>
      <w:r w:rsidR="001431C5" w:rsidRPr="0077696C">
        <w:t>consideration. However</w:t>
      </w:r>
      <w:r w:rsidR="007C47C2" w:rsidRPr="0077696C">
        <w:t xml:space="preserve">, </w:t>
      </w:r>
      <w:r w:rsidR="001431C5">
        <w:t xml:space="preserve">in ED 283, </w:t>
      </w:r>
      <w:r w:rsidR="00C26568" w:rsidRPr="0077696C">
        <w:t>the Board decided</w:t>
      </w:r>
      <w:r w:rsidR="007C47C2" w:rsidRPr="0077696C">
        <w:t xml:space="preserve"> to use the general guidance </w:t>
      </w:r>
      <w:r w:rsidR="007735A7" w:rsidRPr="0077696C">
        <w:t xml:space="preserve">in </w:t>
      </w:r>
      <w:r w:rsidR="00291416" w:rsidRPr="0077696C">
        <w:t>AASB </w:t>
      </w:r>
      <w:r w:rsidR="007735A7" w:rsidRPr="0077696C">
        <w:t xml:space="preserve">15 to be consistent with the overall decision as part of </w:t>
      </w:r>
      <w:r w:rsidR="00CD1C5B" w:rsidRPr="0077696C">
        <w:t>o</w:t>
      </w:r>
      <w:r w:rsidR="00E3103E" w:rsidRPr="0077696C">
        <w:t>ption 2</w:t>
      </w:r>
      <w:r w:rsidR="00D16FE1" w:rsidRPr="0077696C">
        <w:t xml:space="preserve"> (see the table in paragraph </w:t>
      </w:r>
      <w:r w:rsidR="000434BE">
        <w:rPr>
          <w:szCs w:val="19"/>
        </w:rPr>
        <w:fldChar w:fldCharType="begin"/>
      </w:r>
      <w:r w:rsidR="000434BE">
        <w:rPr>
          <w:szCs w:val="19"/>
        </w:rPr>
        <w:instrText xml:space="preserve"> REF _Ref522866335 \r \h </w:instrText>
      </w:r>
      <w:r w:rsidR="000434BE">
        <w:rPr>
          <w:szCs w:val="19"/>
        </w:rPr>
      </w:r>
      <w:r w:rsidR="000434BE">
        <w:rPr>
          <w:szCs w:val="19"/>
        </w:rPr>
        <w:fldChar w:fldCharType="separate"/>
      </w:r>
      <w:r w:rsidR="00882B86">
        <w:rPr>
          <w:szCs w:val="19"/>
        </w:rPr>
        <w:t>BC73</w:t>
      </w:r>
      <w:r w:rsidR="000434BE">
        <w:rPr>
          <w:szCs w:val="19"/>
        </w:rPr>
        <w:fldChar w:fldCharType="end"/>
      </w:r>
      <w:r w:rsidR="000434BE">
        <w:rPr>
          <w:szCs w:val="19"/>
        </w:rPr>
        <w:t xml:space="preserve"> </w:t>
      </w:r>
      <w:r w:rsidR="00D16FE1" w:rsidRPr="0077696C">
        <w:t>above)</w:t>
      </w:r>
      <w:r w:rsidR="007735A7" w:rsidRPr="0077696C">
        <w:t>. The Board also decided t</w:t>
      </w:r>
      <w:r w:rsidR="007C47C2" w:rsidRPr="0077696C">
        <w:t xml:space="preserve">o ask constituents a specific question within </w:t>
      </w:r>
      <w:r w:rsidR="002B0889" w:rsidRPr="0077696C">
        <w:t>ED 283</w:t>
      </w:r>
      <w:r w:rsidR="007C47C2" w:rsidRPr="0077696C">
        <w:t xml:space="preserve"> on whether </w:t>
      </w:r>
      <w:r w:rsidR="00291416" w:rsidRPr="0077696C">
        <w:t>AASB </w:t>
      </w:r>
      <w:r w:rsidR="007C47C2" w:rsidRPr="0077696C">
        <w:t>15 paragraph B63 should be used instead</w:t>
      </w:r>
      <w:r w:rsidR="007735A7" w:rsidRPr="0077696C">
        <w:t xml:space="preserve"> of the general guidance in </w:t>
      </w:r>
      <w:r w:rsidR="00291416" w:rsidRPr="0077696C">
        <w:t>AASB </w:t>
      </w:r>
      <w:r w:rsidR="007735A7" w:rsidRPr="0077696C">
        <w:t xml:space="preserve">15 to account for sales-based or usage-based </w:t>
      </w:r>
      <w:r w:rsidR="00531FA4" w:rsidRPr="0077696C">
        <w:t xml:space="preserve">consideration </w:t>
      </w:r>
      <w:r w:rsidR="007735A7" w:rsidRPr="0077696C">
        <w:t>for non-IP licences</w:t>
      </w:r>
      <w:r w:rsidR="007C47C2" w:rsidRPr="0077696C">
        <w:t>.</w:t>
      </w:r>
      <w:bookmarkEnd w:id="79"/>
      <w:r w:rsidR="007C47C2" w:rsidRPr="0077696C">
        <w:t xml:space="preserve"> </w:t>
      </w:r>
    </w:p>
    <w:p w:rsidR="00EE373F" w:rsidRPr="00262121" w:rsidRDefault="00EE373F" w:rsidP="001C7D79">
      <w:pPr>
        <w:pStyle w:val="NumBC1"/>
        <w:numPr>
          <w:ilvl w:val="0"/>
          <w:numId w:val="32"/>
        </w:numPr>
        <w:spacing w:before="0"/>
      </w:pPr>
      <w:r w:rsidRPr="00262121">
        <w:t>Feedback from respondents on this question was mixed. A number of respondents supported the Board taking a transaction neutral approach to accounting for variable consideration (</w:t>
      </w:r>
      <w:proofErr w:type="spellStart"/>
      <w:r w:rsidRPr="00262121">
        <w:t>ie</w:t>
      </w:r>
      <w:proofErr w:type="spellEnd"/>
      <w:r w:rsidRPr="00262121">
        <w:t xml:space="preserve"> applying the general requirements in AASB 15). However many of these respondents also noted they did not issue licences that involved variable consideration. In contrast</w:t>
      </w:r>
      <w:r w:rsidR="001431C5">
        <w:t>,</w:t>
      </w:r>
      <w:r w:rsidRPr="00262121">
        <w:t xml:space="preserve"> </w:t>
      </w:r>
      <w:r w:rsidR="001431C5">
        <w:t>s</w:t>
      </w:r>
      <w:r w:rsidR="00273C17">
        <w:t xml:space="preserve">ome </w:t>
      </w:r>
      <w:r w:rsidRPr="00262121">
        <w:t xml:space="preserve">respondents that </w:t>
      </w:r>
      <w:r w:rsidR="001431C5">
        <w:t>do</w:t>
      </w:r>
      <w:r w:rsidR="001431C5" w:rsidRPr="00262121">
        <w:t xml:space="preserve"> </w:t>
      </w:r>
      <w:r w:rsidRPr="00262121">
        <w:t>issue licences with variable consideration noted the practical difficulties in applying the general requirements in AASB 15 (such as estimating the consideration and the significant adjustments that would be required) and therefore preferred applying the specific</w:t>
      </w:r>
      <w:r w:rsidR="00BC24B5">
        <w:t xml:space="preserve"> requirements in paragraphs B63–</w:t>
      </w:r>
      <w:r w:rsidRPr="00262121">
        <w:t>B63B for variable consideration of IP licences.</w:t>
      </w:r>
    </w:p>
    <w:p w:rsidR="00D4725F" w:rsidRDefault="00273C17" w:rsidP="001C7D79">
      <w:pPr>
        <w:pStyle w:val="NumBC1"/>
        <w:numPr>
          <w:ilvl w:val="0"/>
          <w:numId w:val="32"/>
        </w:numPr>
        <w:spacing w:before="0"/>
      </w:pPr>
      <w:r>
        <w:t xml:space="preserve">However, the Board observed that difficulties in estimating variable consideration was only brought to the Board’s attention in the context of long-term licences, such as casino licences. </w:t>
      </w:r>
      <w:r w:rsidR="00FE3E7D">
        <w:t>As noted in</w:t>
      </w:r>
      <w:r w:rsidR="001B704E">
        <w:t xml:space="preserve"> paragraph </w:t>
      </w:r>
      <w:r w:rsidR="001B704E">
        <w:fldChar w:fldCharType="begin"/>
      </w:r>
      <w:r w:rsidR="001B704E">
        <w:instrText xml:space="preserve"> REF _Ref523830232 \r \h </w:instrText>
      </w:r>
      <w:r w:rsidR="001B704E">
        <w:fldChar w:fldCharType="separate"/>
      </w:r>
      <w:r w:rsidR="00882B86">
        <w:t>BC4</w:t>
      </w:r>
      <w:r w:rsidR="001B704E">
        <w:fldChar w:fldCharType="end"/>
      </w:r>
      <w:r w:rsidR="00FE3E7D">
        <w:t>, the</w:t>
      </w:r>
      <w:r>
        <w:t xml:space="preserve"> Board observed that the </w:t>
      </w:r>
      <w:r w:rsidR="00FE3E7D">
        <w:t>quantitative</w:t>
      </w:r>
      <w:r>
        <w:t xml:space="preserve"> magnitude of this type of licence is </w:t>
      </w:r>
      <w:r w:rsidR="00FE3E7D">
        <w:t xml:space="preserve">not of significant materiality. Additionally, outreach with users of NFP public sector financial statements confirmed that the variable component of these types of licences is not material </w:t>
      </w:r>
      <w:r w:rsidR="00D4725F">
        <w:t>to their decision-making</w:t>
      </w:r>
      <w:r w:rsidR="00FE3E7D">
        <w:t>.</w:t>
      </w:r>
      <w:r w:rsidR="00D4725F">
        <w:t xml:space="preserve"> </w:t>
      </w:r>
    </w:p>
    <w:p w:rsidR="00273C17" w:rsidRDefault="00D4725F" w:rsidP="001C7D79">
      <w:pPr>
        <w:pStyle w:val="NumBC1"/>
        <w:numPr>
          <w:ilvl w:val="0"/>
          <w:numId w:val="32"/>
        </w:numPr>
        <w:spacing w:before="0"/>
      </w:pPr>
      <w:r>
        <w:t>On balance, the Board decided that</w:t>
      </w:r>
      <w:r w:rsidR="009C0CD1">
        <w:t xml:space="preserve"> it</w:t>
      </w:r>
      <w:r>
        <w:t xml:space="preserve"> was not justifiable (given user needs were addressed), nor sufficiently significant</w:t>
      </w:r>
      <w:r w:rsidR="009C0CD1">
        <w:t xml:space="preserve"> (given the quantitative magnitude) to warrant</w:t>
      </w:r>
      <w:r w:rsidR="009C0CD1" w:rsidRPr="009C0CD1">
        <w:t xml:space="preserve"> </w:t>
      </w:r>
      <w:r w:rsidR="009C0CD1">
        <w:t>departure from its policy of transaction neutrality</w:t>
      </w:r>
      <w:r w:rsidR="001431C5">
        <w:t>, and reaffirmed its decision to require variable consideration in non-IP licences to be accounted for in accordance with the general principles of AASB 15.</w:t>
      </w:r>
    </w:p>
    <w:p w:rsidR="002020C7" w:rsidRPr="003114CF" w:rsidRDefault="002020C7" w:rsidP="005D0061">
      <w:pPr>
        <w:pStyle w:val="IASBSectionTitle1NonInd"/>
        <w:outlineLvl w:val="2"/>
      </w:pPr>
      <w:r w:rsidRPr="003114CF">
        <w:t>Effective date</w:t>
      </w:r>
      <w:r w:rsidR="003114CF" w:rsidRPr="003114CF">
        <w:t xml:space="preserve"> and transition</w:t>
      </w:r>
    </w:p>
    <w:p w:rsidR="002020C7" w:rsidRDefault="00E825F3" w:rsidP="001C7D79">
      <w:pPr>
        <w:pStyle w:val="NumBC1"/>
        <w:numPr>
          <w:ilvl w:val="0"/>
          <w:numId w:val="32"/>
        </w:numPr>
      </w:pPr>
      <w:r>
        <w:t>In developing this Standard,</w:t>
      </w:r>
      <w:r w:rsidR="003114CF">
        <w:t xml:space="preserve"> </w:t>
      </w:r>
      <w:r w:rsidR="003114CF" w:rsidRPr="00766E15">
        <w:t xml:space="preserve">the Board </w:t>
      </w:r>
      <w:r>
        <w:t>was</w:t>
      </w:r>
      <w:r w:rsidR="00A22E99">
        <w:t xml:space="preserve"> </w:t>
      </w:r>
      <w:r w:rsidR="003114CF" w:rsidRPr="00766E15">
        <w:t xml:space="preserve">cognisant that the accounting for revenue from licences issued by public sector </w:t>
      </w:r>
      <w:r w:rsidR="003114CF">
        <w:t>licensors</w:t>
      </w:r>
      <w:r w:rsidR="003114CF" w:rsidRPr="00766E15">
        <w:t xml:space="preserve"> would preferably be clarified prior to 1 January 2019, which is the mandatory application date of </w:t>
      </w:r>
      <w:r w:rsidR="003114CF">
        <w:t>AASB </w:t>
      </w:r>
      <w:r w:rsidR="003114CF" w:rsidRPr="00766E15">
        <w:t xml:space="preserve">15 and </w:t>
      </w:r>
      <w:r w:rsidR="003114CF">
        <w:t>AASB </w:t>
      </w:r>
      <w:r w:rsidR="003114CF" w:rsidRPr="00766E15">
        <w:t xml:space="preserve">1058 for </w:t>
      </w:r>
      <w:r w:rsidR="00540E91">
        <w:t>NFP</w:t>
      </w:r>
      <w:r w:rsidR="003114CF" w:rsidRPr="00766E15">
        <w:t xml:space="preserve"> entities</w:t>
      </w:r>
      <w:r w:rsidR="003114CF">
        <w:t xml:space="preserve">. The Board considered whether the issue of this Standard would be too close to its effective date, and not provide preparers enough time to consider its requirements. However, the Board discussed this with various preparers during its outreach on </w:t>
      </w:r>
      <w:r w:rsidR="002B0889">
        <w:t>ED 283</w:t>
      </w:r>
      <w:r w:rsidR="003114CF">
        <w:t xml:space="preserve">, who confirmed that it would be more useful to apply AASB 15 and AASB 1058 for the first time with the guidance, rather than applying the Standard by analogy. </w:t>
      </w:r>
      <w:r w:rsidR="00E020E9">
        <w:t xml:space="preserve">Accordingly, the Board decided that </w:t>
      </w:r>
      <w:r w:rsidR="00540E91">
        <w:t>the effective date of this Standard should be 1 January 2019 (consistent with AASB 15).</w:t>
      </w:r>
      <w:r w:rsidR="00E020E9">
        <w:t xml:space="preserve"> </w:t>
      </w:r>
      <w:r w:rsidR="003114CF">
        <w:t xml:space="preserve">The Board also </w:t>
      </w:r>
      <w:r w:rsidR="00A2178B">
        <w:t>decided</w:t>
      </w:r>
      <w:r w:rsidR="003114CF">
        <w:t xml:space="preserve"> that additional transitional relief was not required beyond that already provided in AASB 15.</w:t>
      </w:r>
    </w:p>
    <w:p w:rsidR="002020C7" w:rsidRDefault="00016982" w:rsidP="005D0061">
      <w:pPr>
        <w:pStyle w:val="IASBSectionTitle1NonInd"/>
        <w:spacing w:after="0"/>
        <w:outlineLvl w:val="2"/>
      </w:pPr>
      <w:r w:rsidRPr="003114CF">
        <w:t>GAAP/GFS convergence</w:t>
      </w:r>
    </w:p>
    <w:p w:rsidR="002020C7" w:rsidRDefault="00325DF6" w:rsidP="001C7D79">
      <w:pPr>
        <w:pStyle w:val="NumBC1"/>
        <w:numPr>
          <w:ilvl w:val="0"/>
          <w:numId w:val="32"/>
        </w:numPr>
      </w:pPr>
      <w:r>
        <w:t xml:space="preserve">The Board discussed implications of its decisions on </w:t>
      </w:r>
      <w:r w:rsidR="00227450">
        <w:t xml:space="preserve">generally accepted accounting principles </w:t>
      </w:r>
      <w:r w:rsidR="00C312D5">
        <w:t>(</w:t>
      </w:r>
      <w:r>
        <w:t>GAAP</w:t>
      </w:r>
      <w:r w:rsidR="00C312D5">
        <w:t xml:space="preserve">) and </w:t>
      </w:r>
      <w:r>
        <w:t xml:space="preserve">GFS harmonisation. </w:t>
      </w:r>
      <w:r w:rsidR="00505668">
        <w:t>As noted in paragraph</w:t>
      </w:r>
      <w:r w:rsidR="002E5DE4">
        <w:t>s</w:t>
      </w:r>
      <w:r w:rsidR="00657A06">
        <w:t xml:space="preserve"> </w:t>
      </w:r>
      <w:r w:rsidR="002E5DE4">
        <w:fldChar w:fldCharType="begin"/>
      </w:r>
      <w:r w:rsidR="002E5DE4">
        <w:instrText xml:space="preserve"> REF _Ref522289557 \r \h </w:instrText>
      </w:r>
      <w:r w:rsidR="002E5DE4">
        <w:fldChar w:fldCharType="separate"/>
      </w:r>
      <w:r w:rsidR="00882B86">
        <w:t>BC24</w:t>
      </w:r>
      <w:r w:rsidR="002E5DE4">
        <w:fldChar w:fldCharType="end"/>
      </w:r>
      <w:r w:rsidR="00A23AD6">
        <w:t xml:space="preserve"> </w:t>
      </w:r>
      <w:r w:rsidR="00056DD6">
        <w:t>a</w:t>
      </w:r>
      <w:r w:rsidR="00A23AD6">
        <w:t xml:space="preserve">nd </w:t>
      </w:r>
      <w:r w:rsidR="002E5DE4">
        <w:fldChar w:fldCharType="begin"/>
      </w:r>
      <w:r w:rsidR="002E5DE4">
        <w:instrText xml:space="preserve"> REF _Ref522289560 \r \h </w:instrText>
      </w:r>
      <w:r w:rsidR="002E5DE4">
        <w:fldChar w:fldCharType="separate"/>
      </w:r>
      <w:r w:rsidR="00882B86">
        <w:t>BC25</w:t>
      </w:r>
      <w:r w:rsidR="002E5DE4">
        <w:fldChar w:fldCharType="end"/>
      </w:r>
      <w:r w:rsidR="00505668">
        <w:t xml:space="preserve">, the </w:t>
      </w:r>
      <w:r>
        <w:t xml:space="preserve">key </w:t>
      </w:r>
      <w:r w:rsidR="00505668">
        <w:t>difference</w:t>
      </w:r>
      <w:r>
        <w:t xml:space="preserve"> between</w:t>
      </w:r>
      <w:r w:rsidR="00C477D5">
        <w:t xml:space="preserve"> </w:t>
      </w:r>
      <w:r>
        <w:t xml:space="preserve">GAAP and GFS </w:t>
      </w:r>
      <w:r w:rsidR="00505668">
        <w:t xml:space="preserve">that </w:t>
      </w:r>
      <w:r>
        <w:t xml:space="preserve">may arise </w:t>
      </w:r>
      <w:r w:rsidR="00505668">
        <w:t>is where the cost of administrative activities related to the issue of a licence is clearly out of proportion to the revenue, the revenue would be classified as a tax (under GFS) instead of a licence (under GAAP).</w:t>
      </w:r>
      <w:r w:rsidR="002E5DE4">
        <w:t xml:space="preserve"> Therefore, where the cost to issue the licence is proportionate to the expenditure of the licensor, the licence would be classified as a licence, which </w:t>
      </w:r>
      <w:r w:rsidR="00D835FB">
        <w:t>is ultimately described as</w:t>
      </w:r>
      <w:r w:rsidR="002E5DE4">
        <w:t xml:space="preserve"> </w:t>
      </w:r>
      <w:r w:rsidR="002E5DE4">
        <w:rPr>
          <w:i/>
        </w:rPr>
        <w:t>sales of goods and services</w:t>
      </w:r>
      <w:r w:rsidR="002E5DE4">
        <w:t xml:space="preserve"> under GFS. </w:t>
      </w:r>
      <w:r w:rsidR="00505668">
        <w:t xml:space="preserve"> The Board noted (based on advice in the ABS’s comment</w:t>
      </w:r>
      <w:r w:rsidR="002E5DE4">
        <w:t>s</w:t>
      </w:r>
      <w:r w:rsidR="00505668">
        <w:t xml:space="preserve"> </w:t>
      </w:r>
      <w:r w:rsidR="00D835FB">
        <w:t>on</w:t>
      </w:r>
      <w:r w:rsidR="00505668">
        <w:t xml:space="preserve"> </w:t>
      </w:r>
      <w:r w:rsidR="002B0889">
        <w:t>ED 283</w:t>
      </w:r>
      <w:r w:rsidR="00505668">
        <w:t xml:space="preserve">) licences that might be subject to different </w:t>
      </w:r>
      <w:r w:rsidR="00D91F47">
        <w:t xml:space="preserve">classification </w:t>
      </w:r>
      <w:r w:rsidR="002E5DE4">
        <w:t xml:space="preserve">would </w:t>
      </w:r>
      <w:r w:rsidR="00505668">
        <w:t>include casino and taxi licence</w:t>
      </w:r>
      <w:r w:rsidR="00020C4E">
        <w:t>s</w:t>
      </w:r>
      <w:r w:rsidR="00D91F47">
        <w:t>, for which the timing of income recognition under GFS and GAAP would likely be aligned.</w:t>
      </w:r>
    </w:p>
    <w:p w:rsidR="00507654" w:rsidRDefault="001653F5" w:rsidP="001C7D79">
      <w:pPr>
        <w:pStyle w:val="NumBC1"/>
        <w:numPr>
          <w:ilvl w:val="0"/>
          <w:numId w:val="32"/>
        </w:numPr>
      </w:pPr>
      <w:r>
        <w:t xml:space="preserve">The Board </w:t>
      </w:r>
      <w:r w:rsidR="00D91F47">
        <w:t xml:space="preserve">considered </w:t>
      </w:r>
      <w:r>
        <w:t>its policy on GAAP/GFS harmonisation</w:t>
      </w:r>
      <w:r w:rsidR="00D91F47">
        <w:t>.</w:t>
      </w:r>
      <w:r>
        <w:t xml:space="preserve"> Consistent with the rationale provided in paragraph </w:t>
      </w:r>
      <w:r>
        <w:fldChar w:fldCharType="begin"/>
      </w:r>
      <w:r>
        <w:instrText xml:space="preserve"> REF _Ref522289560 \r \h </w:instrText>
      </w:r>
      <w:r>
        <w:fldChar w:fldCharType="separate"/>
      </w:r>
      <w:r w:rsidR="00882B86">
        <w:t>BC25</w:t>
      </w:r>
      <w:r>
        <w:fldChar w:fldCharType="end"/>
      </w:r>
      <w:r>
        <w:t xml:space="preserve">, and consistent with </w:t>
      </w:r>
      <w:r w:rsidR="002951B4">
        <w:t>AASB 1058</w:t>
      </w:r>
      <w:r>
        <w:t xml:space="preserve">, the Board considered that it was not </w:t>
      </w:r>
      <w:r w:rsidR="00B05443">
        <w:t>appropriate</w:t>
      </w:r>
      <w:r>
        <w:t xml:space="preserve"> to amend its decisions reflected in this Standard in order to achieve </w:t>
      </w:r>
      <w:r w:rsidR="00D91F47">
        <w:t xml:space="preserve">full </w:t>
      </w:r>
      <w:r>
        <w:t xml:space="preserve">GAAP/GFS harmonisation. The Board also noted that </w:t>
      </w:r>
      <w:r w:rsidR="003114CF">
        <w:t xml:space="preserve">the key difference is </w:t>
      </w:r>
      <w:r w:rsidR="00E97AED">
        <w:t>caused</w:t>
      </w:r>
      <w:r>
        <w:t xml:space="preserve"> by a difference in the </w:t>
      </w:r>
      <w:r w:rsidR="00D6223E">
        <w:t>Board’s view of a tax (and the definition of a tax in AASB 1058</w:t>
      </w:r>
      <w:r w:rsidR="00A858D2">
        <w:t>)</w:t>
      </w:r>
      <w:r w:rsidR="00D6223E">
        <w:t xml:space="preserve">, and the </w:t>
      </w:r>
      <w:r>
        <w:t>underlying principles</w:t>
      </w:r>
      <w:r w:rsidR="00D6223E">
        <w:t xml:space="preserve"> to distinguish licences from taxes in the GFS Manual</w:t>
      </w:r>
      <w:r>
        <w:t>. Further, some differences could only be addressed by making changes to the underlying principles in AASB 1058 and AASB 15. The Board noted that AASB</w:t>
      </w:r>
      <w:r w:rsidR="00540E91">
        <w:t> </w:t>
      </w:r>
      <w:r>
        <w:t xml:space="preserve">1049 </w:t>
      </w:r>
      <w:r w:rsidRPr="001653F5">
        <w:rPr>
          <w:i/>
        </w:rPr>
        <w:t>Whole of Government and General Government Sector Financial Reporting</w:t>
      </w:r>
      <w:r>
        <w:t xml:space="preserve"> require</w:t>
      </w:r>
      <w:r w:rsidR="00BC7FA0">
        <w:t>s</w:t>
      </w:r>
      <w:r>
        <w:t xml:space="preserve"> entities to identify and explain any differences arising from different requirements in GAAP as compared to GFS. </w:t>
      </w:r>
      <w:bookmarkEnd w:id="58"/>
    </w:p>
    <w:p w:rsidR="002020C7" w:rsidRPr="00015E93" w:rsidRDefault="002020C7" w:rsidP="008F43CA">
      <w:pPr>
        <w:pStyle w:val="NumBC1"/>
        <w:spacing w:after="0"/>
        <w:rPr>
          <w:rFonts w:ascii="Arial" w:hAnsi="Arial"/>
          <w:b/>
          <w:sz w:val="26"/>
        </w:rPr>
      </w:pPr>
    </w:p>
    <w:sectPr w:rsidR="002020C7" w:rsidRPr="00015E93" w:rsidSect="005420ED">
      <w:footerReference w:type="default" r:id="rId24"/>
      <w:headerReference w:type="first" r:id="rId25"/>
      <w:footerReference w:type="first" r:id="rId26"/>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BD" w:rsidRDefault="00AA3CBD">
      <w:r>
        <w:separator/>
      </w:r>
    </w:p>
  </w:endnote>
  <w:endnote w:type="continuationSeparator" w:id="0">
    <w:p w:rsidR="00AA3CBD" w:rsidRDefault="00AA3CBD">
      <w:r>
        <w:continuationSeparator/>
      </w:r>
    </w:p>
  </w:endnote>
  <w:endnote w:type="continuationNotice" w:id="1">
    <w:p w:rsidR="00AA3CBD" w:rsidRDefault="00AA3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Pr="004D1FAE" w:rsidRDefault="0004186A" w:rsidP="004D46F9">
    <w:pPr>
      <w:pStyle w:val="Footer"/>
      <w:rPr>
        <w:b/>
      </w:rPr>
    </w:pPr>
    <w:r>
      <w:rPr>
        <w:b/>
      </w:rPr>
      <w:t>AASB 2018-4</w:t>
    </w:r>
    <w:r w:rsidRPr="004D1FAE">
      <w:rPr>
        <w:b/>
      </w:rPr>
      <w:tab/>
    </w:r>
    <w:r w:rsidRPr="004D1FAE">
      <w:fldChar w:fldCharType="begin"/>
    </w:r>
    <w:r w:rsidRPr="004D1FAE">
      <w:instrText>PAGE</w:instrText>
    </w:r>
    <w:r w:rsidRPr="004D1FAE">
      <w:fldChar w:fldCharType="separate"/>
    </w:r>
    <w:r w:rsidR="00321C1D">
      <w:rPr>
        <w:noProof/>
      </w:rPr>
      <w:t>2</w:t>
    </w:r>
    <w:r w:rsidRPr="004D1FAE">
      <w:fldChar w:fldCharType="end"/>
    </w:r>
    <w:r w:rsidRPr="004D1FAE">
      <w:tab/>
    </w:r>
    <w:r w:rsidRPr="004D1FAE">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Pr="004D46F9" w:rsidRDefault="0004186A" w:rsidP="004D46F9">
    <w:pPr>
      <w:pStyle w:val="Footer"/>
      <w:rPr>
        <w:b/>
      </w:rPr>
    </w:pPr>
    <w:r>
      <w:rPr>
        <w:b/>
      </w:rPr>
      <w:t>AASB 2018-4</w:t>
    </w:r>
    <w:r>
      <w:rPr>
        <w:b/>
      </w:rPr>
      <w:tab/>
    </w:r>
    <w:r>
      <w:fldChar w:fldCharType="begin"/>
    </w:r>
    <w:r>
      <w:instrText>PAGE</w:instrText>
    </w:r>
    <w:r>
      <w:fldChar w:fldCharType="separate"/>
    </w:r>
    <w:r w:rsidR="00321C1D">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Footer"/>
      <w:rPr>
        <w:b/>
      </w:rPr>
    </w:pPr>
    <w:r>
      <w:rPr>
        <w:b/>
      </w:rPr>
      <w:t>AASB 2018-4</w:t>
    </w:r>
    <w:r>
      <w:rPr>
        <w:b/>
      </w:rPr>
      <w:tab/>
    </w:r>
    <w:r>
      <w:fldChar w:fldCharType="begin"/>
    </w:r>
    <w:r>
      <w:instrText>PAGE</w:instrText>
    </w:r>
    <w:r>
      <w:fldChar w:fldCharType="separate"/>
    </w:r>
    <w:r w:rsidR="00321C1D">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Footer"/>
      <w:rPr>
        <w:b/>
      </w:rPr>
    </w:pPr>
    <w:r>
      <w:rPr>
        <w:b/>
      </w:rPr>
      <w:t>AASB 2018-4</w:t>
    </w:r>
    <w:r>
      <w:rPr>
        <w:b/>
      </w:rPr>
      <w:tab/>
    </w:r>
    <w:r>
      <w:fldChar w:fldCharType="begin"/>
    </w:r>
    <w:r>
      <w:instrText>PAGE</w:instrText>
    </w:r>
    <w:r>
      <w:fldChar w:fldCharType="separate"/>
    </w:r>
    <w:r w:rsidR="00321C1D">
      <w:rPr>
        <w:noProof/>
      </w:rPr>
      <w:t>6</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Footer"/>
      <w:rPr>
        <w:b/>
      </w:rPr>
    </w:pPr>
    <w:r w:rsidRPr="00567617">
      <w:rPr>
        <w:b/>
      </w:rPr>
      <w:t>AASB 2018</w:t>
    </w:r>
    <w:r>
      <w:rPr>
        <w:b/>
      </w:rPr>
      <w:t>-4</w:t>
    </w:r>
    <w:r>
      <w:rPr>
        <w:b/>
      </w:rPr>
      <w:tab/>
    </w:r>
    <w:r>
      <w:fldChar w:fldCharType="begin"/>
    </w:r>
    <w:r>
      <w:instrText>PAGE</w:instrText>
    </w:r>
    <w:r>
      <w:fldChar w:fldCharType="separate"/>
    </w:r>
    <w:r w:rsidR="00321C1D">
      <w:rPr>
        <w:noProof/>
      </w:rPr>
      <w:t>10</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rsidP="00801CE1">
    <w:pPr>
      <w:pStyle w:val="Footer"/>
      <w:rPr>
        <w:b/>
      </w:rPr>
    </w:pPr>
    <w:r>
      <w:rPr>
        <w:b/>
      </w:rPr>
      <w:t>AASB 2018-4</w:t>
    </w:r>
    <w:r>
      <w:rPr>
        <w:b/>
      </w:rPr>
      <w:tab/>
    </w:r>
    <w:r>
      <w:fldChar w:fldCharType="begin"/>
    </w:r>
    <w:r>
      <w:instrText>PAGE</w:instrText>
    </w:r>
    <w:r>
      <w:fldChar w:fldCharType="separate"/>
    </w:r>
    <w:r w:rsidR="00321C1D">
      <w:rPr>
        <w:noProof/>
      </w:rPr>
      <w:t>15</w:t>
    </w:r>
    <w:r>
      <w:fldChar w:fldCharType="end"/>
    </w:r>
    <w:r>
      <w:tab/>
    </w:r>
    <w:r>
      <w:rPr>
        <w:b/>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rsidP="00801CE1">
    <w:pPr>
      <w:pStyle w:val="Footer"/>
      <w:rPr>
        <w:b/>
      </w:rPr>
    </w:pPr>
    <w:r>
      <w:rPr>
        <w:b/>
      </w:rPr>
      <w:t>AASB 2018-4</w:t>
    </w:r>
    <w:r>
      <w:rPr>
        <w:b/>
      </w:rPr>
      <w:tab/>
    </w:r>
    <w:r>
      <w:fldChar w:fldCharType="begin"/>
    </w:r>
    <w:r>
      <w:instrText>PAGE</w:instrText>
    </w:r>
    <w:r>
      <w:fldChar w:fldCharType="separate"/>
    </w:r>
    <w:r w:rsidR="00321C1D">
      <w:rPr>
        <w:noProof/>
      </w:rPr>
      <w:t>22</w:t>
    </w:r>
    <w:r>
      <w:fldChar w:fldCharType="end"/>
    </w:r>
    <w:r>
      <w:tab/>
    </w:r>
    <w:r>
      <w:rPr>
        <w:b/>
      </w:rPr>
      <w:t>BASIS FOR CONCLUSIONS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BD" w:rsidRDefault="00AA3CBD">
      <w:r>
        <w:separator/>
      </w:r>
    </w:p>
  </w:footnote>
  <w:footnote w:type="continuationSeparator" w:id="0">
    <w:p w:rsidR="00AA3CBD" w:rsidRDefault="00AA3CBD">
      <w:r>
        <w:continuationSeparator/>
      </w:r>
    </w:p>
  </w:footnote>
  <w:footnote w:type="continuationNotice" w:id="1">
    <w:p w:rsidR="00AA3CBD" w:rsidRDefault="00AA3CBD"/>
  </w:footnote>
  <w:footnote w:id="2">
    <w:p w:rsidR="0004186A" w:rsidRPr="008507CB" w:rsidRDefault="0004186A" w:rsidP="00DF3F8D">
      <w:pPr>
        <w:pStyle w:val="FootnoteText"/>
        <w:rPr>
          <w:lang w:val="en-US"/>
        </w:rPr>
      </w:pPr>
      <w:r w:rsidRPr="00ED25AC">
        <w:rPr>
          <w:rStyle w:val="FootnoteReference"/>
          <w:vertAlign w:val="baseline"/>
        </w:rPr>
        <w:footnoteRef/>
      </w:r>
      <w:r>
        <w:t xml:space="preserve"> </w:t>
      </w:r>
      <w:r>
        <w:tab/>
      </w:r>
      <w:r>
        <w:rPr>
          <w:lang w:val="en-US"/>
        </w:rPr>
        <w:t>AASB 1058 defines taxes as “Economic benefits compulsorily paid or payable to public sector entities in accordance with laws and/or regulations established to provide income to the government. Taxes exclude fines.”</w:t>
      </w:r>
    </w:p>
  </w:footnote>
  <w:footnote w:id="3">
    <w:p w:rsidR="0004186A" w:rsidRDefault="0004186A" w:rsidP="00CD1F5E">
      <w:pPr>
        <w:pStyle w:val="FootnoteText"/>
        <w:ind w:left="284" w:hanging="284"/>
      </w:pPr>
      <w:r w:rsidRPr="00084612">
        <w:rPr>
          <w:rStyle w:val="FootnoteReference"/>
          <w:vertAlign w:val="baseline"/>
        </w:rPr>
        <w:footnoteRef/>
      </w:r>
      <w:r w:rsidRPr="00084612">
        <w:t xml:space="preserve"> </w:t>
      </w:r>
      <w:r>
        <w:tab/>
        <w:t xml:space="preserve">As a further practical expedient, rather than requiring the licensor to apply paragraphs 39–45 of AASB 15 to select an appropriate method to measure its progress towards complete satisfaction of its performance obligation under the licence, revenue could be recognised using a </w:t>
      </w:r>
      <w:r w:rsidRPr="006A470E">
        <w:t>systematic basis over</w:t>
      </w:r>
      <w:r>
        <w:t xml:space="preserve"> the</w:t>
      </w:r>
      <w:r w:rsidRPr="006A470E">
        <w:t xml:space="preserve"> </w:t>
      </w:r>
      <w:r>
        <w:t>licencing period (</w:t>
      </w:r>
      <w:proofErr w:type="spellStart"/>
      <w:r>
        <w:t>eg</w:t>
      </w:r>
      <w:proofErr w:type="spellEnd"/>
      <w:r>
        <w:t xml:space="preserve"> on a straight-line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rsidP="00614E47">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6A" w:rsidRDefault="0004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958B2"/>
    <w:multiLevelType w:val="multilevel"/>
    <w:tmpl w:val="028AB2EE"/>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 w15:restartNumberingAfterBreak="0">
    <w:nsid w:val="09606B65"/>
    <w:multiLevelType w:val="multilevel"/>
    <w:tmpl w:val="EE9C98C8"/>
    <w:numStyleLink w:val="DNos"/>
  </w:abstractNum>
  <w:abstractNum w:abstractNumId="5" w15:restartNumberingAfterBreak="0">
    <w:nsid w:val="0D110677"/>
    <w:multiLevelType w:val="hybridMultilevel"/>
    <w:tmpl w:val="CEDEA508"/>
    <w:lvl w:ilvl="0" w:tplc="0C090001">
      <w:start w:val="1"/>
      <w:numFmt w:val="bullet"/>
      <w:lvlText w:val=""/>
      <w:lvlJc w:val="left"/>
      <w:pPr>
        <w:ind w:left="1142" w:hanging="360"/>
      </w:pPr>
      <w:rPr>
        <w:rFonts w:ascii="Symbol" w:hAnsi="Symbol" w:hint="default"/>
      </w:rPr>
    </w:lvl>
    <w:lvl w:ilvl="1" w:tplc="13C60F54">
      <w:numFmt w:val="bullet"/>
      <w:lvlText w:val="•"/>
      <w:lvlJc w:val="left"/>
      <w:pPr>
        <w:ind w:left="2162" w:hanging="660"/>
      </w:pPr>
      <w:rPr>
        <w:rFonts w:ascii="Times New Roman" w:eastAsia="Times New Roman" w:hAnsi="Times New Roman" w:cs="Times New Roman"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6"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15:restartNumberingAfterBreak="0">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1"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2"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4" w15:restartNumberingAfterBreak="0">
    <w:nsid w:val="339B0D09"/>
    <w:multiLevelType w:val="multilevel"/>
    <w:tmpl w:val="BAB69232"/>
    <w:lvl w:ilvl="0">
      <w:start w:val="1"/>
      <w:numFmt w:val="decimal"/>
      <w:lvlText w:val="G%1"/>
      <w:lvlJc w:val="left"/>
      <w:pPr>
        <w:tabs>
          <w:tab w:val="num" w:pos="782"/>
        </w:tabs>
        <w:ind w:left="782" w:hanging="782"/>
      </w:pPr>
      <w:rPr>
        <w:rFonts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BAC6FB9"/>
    <w:multiLevelType w:val="hybridMultilevel"/>
    <w:tmpl w:val="4C34FA2E"/>
    <w:lvl w:ilvl="0" w:tplc="0C090001">
      <w:start w:val="1"/>
      <w:numFmt w:val="bullet"/>
      <w:lvlText w:val=""/>
      <w:lvlJc w:val="left"/>
      <w:pPr>
        <w:ind w:left="1502" w:hanging="360"/>
      </w:pPr>
      <w:rPr>
        <w:rFonts w:ascii="Symbol" w:hAnsi="Symbol" w:hint="default"/>
      </w:rPr>
    </w:lvl>
    <w:lvl w:ilvl="1" w:tplc="0C090003">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6" w15:restartNumberingAfterBreak="0">
    <w:nsid w:val="40036EA1"/>
    <w:multiLevelType w:val="hybridMultilevel"/>
    <w:tmpl w:val="C26AD4FA"/>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7"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8D24A6"/>
    <w:multiLevelType w:val="hybridMultilevel"/>
    <w:tmpl w:val="426485CC"/>
    <w:lvl w:ilvl="0" w:tplc="1826F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30"/>
    <w:multiLevelType w:val="hybridMultilevel"/>
    <w:tmpl w:val="B10A3FD4"/>
    <w:lvl w:ilvl="0" w:tplc="6D6C4000">
      <w:start w:val="1"/>
      <w:numFmt w:val="lowerLetter"/>
      <w:lvlText w:val="(%1)"/>
      <w:lvlJc w:val="left"/>
      <w:pPr>
        <w:tabs>
          <w:tab w:val="num" w:pos="782"/>
        </w:tabs>
        <w:ind w:left="782" w:hanging="782"/>
      </w:pPr>
      <w:rPr>
        <w:rFonts w:ascii="Times New Roman" w:eastAsia="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2"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8A4BCE"/>
    <w:multiLevelType w:val="hybridMultilevel"/>
    <w:tmpl w:val="C7E2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542243"/>
    <w:multiLevelType w:val="multilevel"/>
    <w:tmpl w:val="7ED89036"/>
    <w:lvl w:ilvl="0">
      <w:start w:val="1"/>
      <w:numFmt w:val="decimal"/>
      <w:pStyle w:val="NumPlain1"/>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5"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7"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EB195B"/>
    <w:multiLevelType w:val="hybridMultilevel"/>
    <w:tmpl w:val="BE425E6A"/>
    <w:lvl w:ilvl="0" w:tplc="8CE6CD8C">
      <w:start w:val="1"/>
      <w:numFmt w:val="bullet"/>
      <w:pStyle w:val="ListParagraph"/>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29" w15:restartNumberingAfterBreak="0">
    <w:nsid w:val="795F71F4"/>
    <w:multiLevelType w:val="multilevel"/>
    <w:tmpl w:val="4AC27B8A"/>
    <w:numStyleLink w:val="IENos"/>
  </w:abstractNum>
  <w:abstractNum w:abstractNumId="30" w15:restartNumberingAfterBreak="0">
    <w:nsid w:val="7A881541"/>
    <w:multiLevelType w:val="hybridMultilevel"/>
    <w:tmpl w:val="EF3A2412"/>
    <w:lvl w:ilvl="0" w:tplc="739C8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7"/>
  </w:num>
  <w:num w:numId="3">
    <w:abstractNumId w:val="7"/>
  </w:num>
  <w:num w:numId="4">
    <w:abstractNumId w:val="26"/>
  </w:num>
  <w:num w:numId="5">
    <w:abstractNumId w:val="9"/>
  </w:num>
  <w:num w:numId="6">
    <w:abstractNumId w:val="11"/>
  </w:num>
  <w:num w:numId="7">
    <w:abstractNumId w:val="1"/>
  </w:num>
  <w:num w:numId="8">
    <w:abstractNumId w:val="0"/>
  </w:num>
  <w:num w:numId="9">
    <w:abstractNumId w:val="17"/>
  </w:num>
  <w:num w:numId="10">
    <w:abstractNumId w:val="14"/>
  </w:num>
  <w:num w:numId="11">
    <w:abstractNumId w:val="22"/>
  </w:num>
  <w:num w:numId="12">
    <w:abstractNumId w:val="21"/>
  </w:num>
  <w:num w:numId="13">
    <w:abstractNumId w:val="3"/>
  </w:num>
  <w:num w:numId="14">
    <w:abstractNumId w:val="13"/>
  </w:num>
  <w:num w:numId="15">
    <w:abstractNumId w:val="4"/>
  </w:num>
  <w:num w:numId="16">
    <w:abstractNumId w:val="25"/>
  </w:num>
  <w:num w:numId="17">
    <w:abstractNumId w:val="28"/>
  </w:num>
  <w:num w:numId="18">
    <w:abstractNumId w:val="12"/>
  </w:num>
  <w:num w:numId="19">
    <w:abstractNumId w:val="8"/>
  </w:num>
  <w:num w:numId="20">
    <w:abstractNumId w:val="10"/>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15"/>
  </w:num>
  <w:num w:numId="26">
    <w:abstractNumId w:val="19"/>
  </w:num>
  <w:num w:numId="27">
    <w:abstractNumId w:val="23"/>
  </w:num>
  <w:num w:numId="28">
    <w:abstractNumId w:val="30"/>
  </w:num>
  <w:num w:numId="29">
    <w:abstractNumId w:val="20"/>
  </w:num>
  <w:num w:numId="30">
    <w:abstractNumId w:val="2"/>
  </w:num>
  <w:num w:numId="31">
    <w:abstractNumId w:val="16"/>
  </w:num>
  <w:num w:numId="32">
    <w:abstractNumId w:val="6"/>
  </w:num>
  <w:num w:numId="33">
    <w:abstractNumId w:val="22"/>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trackedChanges" w:enforcement="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B5"/>
    <w:rsid w:val="00000261"/>
    <w:rsid w:val="00000651"/>
    <w:rsid w:val="000008AD"/>
    <w:rsid w:val="000009B2"/>
    <w:rsid w:val="00001AC3"/>
    <w:rsid w:val="00001C99"/>
    <w:rsid w:val="00001FF0"/>
    <w:rsid w:val="00002325"/>
    <w:rsid w:val="0000292B"/>
    <w:rsid w:val="00002B81"/>
    <w:rsid w:val="00003210"/>
    <w:rsid w:val="00003DBE"/>
    <w:rsid w:val="000041D1"/>
    <w:rsid w:val="00005118"/>
    <w:rsid w:val="00005E66"/>
    <w:rsid w:val="00006AD4"/>
    <w:rsid w:val="00006E9E"/>
    <w:rsid w:val="00007A64"/>
    <w:rsid w:val="0001043A"/>
    <w:rsid w:val="00010796"/>
    <w:rsid w:val="00010915"/>
    <w:rsid w:val="00010987"/>
    <w:rsid w:val="00011447"/>
    <w:rsid w:val="00011912"/>
    <w:rsid w:val="000119F7"/>
    <w:rsid w:val="00011EC4"/>
    <w:rsid w:val="00011FEC"/>
    <w:rsid w:val="00012BBC"/>
    <w:rsid w:val="00013089"/>
    <w:rsid w:val="00013404"/>
    <w:rsid w:val="0001509F"/>
    <w:rsid w:val="00015147"/>
    <w:rsid w:val="000153BB"/>
    <w:rsid w:val="000157D9"/>
    <w:rsid w:val="00015E93"/>
    <w:rsid w:val="000165D6"/>
    <w:rsid w:val="00016674"/>
    <w:rsid w:val="00016982"/>
    <w:rsid w:val="00017100"/>
    <w:rsid w:val="0001727A"/>
    <w:rsid w:val="00020267"/>
    <w:rsid w:val="0002029D"/>
    <w:rsid w:val="00020578"/>
    <w:rsid w:val="00020C4E"/>
    <w:rsid w:val="00020DDE"/>
    <w:rsid w:val="000210D3"/>
    <w:rsid w:val="00021E65"/>
    <w:rsid w:val="0002225A"/>
    <w:rsid w:val="00022A0D"/>
    <w:rsid w:val="00022BCC"/>
    <w:rsid w:val="0002314F"/>
    <w:rsid w:val="000236B4"/>
    <w:rsid w:val="00024E67"/>
    <w:rsid w:val="000252CA"/>
    <w:rsid w:val="000255BE"/>
    <w:rsid w:val="000258F0"/>
    <w:rsid w:val="00026167"/>
    <w:rsid w:val="00026B32"/>
    <w:rsid w:val="000271B1"/>
    <w:rsid w:val="000271D4"/>
    <w:rsid w:val="000275FA"/>
    <w:rsid w:val="00027735"/>
    <w:rsid w:val="00027780"/>
    <w:rsid w:val="000279BC"/>
    <w:rsid w:val="00027D9A"/>
    <w:rsid w:val="00027E8B"/>
    <w:rsid w:val="000300BA"/>
    <w:rsid w:val="00030165"/>
    <w:rsid w:val="0003184A"/>
    <w:rsid w:val="00031FAA"/>
    <w:rsid w:val="00032647"/>
    <w:rsid w:val="00032C5B"/>
    <w:rsid w:val="000330B7"/>
    <w:rsid w:val="00033246"/>
    <w:rsid w:val="00033474"/>
    <w:rsid w:val="00033D55"/>
    <w:rsid w:val="00033F73"/>
    <w:rsid w:val="00034537"/>
    <w:rsid w:val="00035279"/>
    <w:rsid w:val="00035525"/>
    <w:rsid w:val="00036898"/>
    <w:rsid w:val="0003692E"/>
    <w:rsid w:val="0003768A"/>
    <w:rsid w:val="000416D0"/>
    <w:rsid w:val="0004186A"/>
    <w:rsid w:val="00041B60"/>
    <w:rsid w:val="00041D53"/>
    <w:rsid w:val="0004257E"/>
    <w:rsid w:val="000434BE"/>
    <w:rsid w:val="000439A7"/>
    <w:rsid w:val="0004455B"/>
    <w:rsid w:val="000450BD"/>
    <w:rsid w:val="000454D7"/>
    <w:rsid w:val="000463C5"/>
    <w:rsid w:val="00046714"/>
    <w:rsid w:val="00047865"/>
    <w:rsid w:val="0005109E"/>
    <w:rsid w:val="000517C7"/>
    <w:rsid w:val="00051CEC"/>
    <w:rsid w:val="00052AF4"/>
    <w:rsid w:val="00053A55"/>
    <w:rsid w:val="00054B12"/>
    <w:rsid w:val="00054F3A"/>
    <w:rsid w:val="0005512F"/>
    <w:rsid w:val="00055918"/>
    <w:rsid w:val="00055A85"/>
    <w:rsid w:val="000566C5"/>
    <w:rsid w:val="000569E5"/>
    <w:rsid w:val="00056C7B"/>
    <w:rsid w:val="00056DD6"/>
    <w:rsid w:val="00056F0A"/>
    <w:rsid w:val="00057449"/>
    <w:rsid w:val="0005745A"/>
    <w:rsid w:val="0005776D"/>
    <w:rsid w:val="00057771"/>
    <w:rsid w:val="00057824"/>
    <w:rsid w:val="000625F2"/>
    <w:rsid w:val="000630EB"/>
    <w:rsid w:val="00063A97"/>
    <w:rsid w:val="00063C04"/>
    <w:rsid w:val="00063DC6"/>
    <w:rsid w:val="00063F13"/>
    <w:rsid w:val="000643F7"/>
    <w:rsid w:val="00064A04"/>
    <w:rsid w:val="0006519C"/>
    <w:rsid w:val="0006535B"/>
    <w:rsid w:val="000664D8"/>
    <w:rsid w:val="00066BA3"/>
    <w:rsid w:val="00066BC5"/>
    <w:rsid w:val="000674E5"/>
    <w:rsid w:val="00067B06"/>
    <w:rsid w:val="00067CBE"/>
    <w:rsid w:val="0007056F"/>
    <w:rsid w:val="000706E1"/>
    <w:rsid w:val="000711A0"/>
    <w:rsid w:val="000714CF"/>
    <w:rsid w:val="00071730"/>
    <w:rsid w:val="00071A14"/>
    <w:rsid w:val="00072412"/>
    <w:rsid w:val="00072CDC"/>
    <w:rsid w:val="00072CDD"/>
    <w:rsid w:val="0007379C"/>
    <w:rsid w:val="00074133"/>
    <w:rsid w:val="000741CF"/>
    <w:rsid w:val="00074EBE"/>
    <w:rsid w:val="00075681"/>
    <w:rsid w:val="000758A2"/>
    <w:rsid w:val="0007623A"/>
    <w:rsid w:val="00076446"/>
    <w:rsid w:val="00076534"/>
    <w:rsid w:val="00076D3D"/>
    <w:rsid w:val="00077050"/>
    <w:rsid w:val="00077940"/>
    <w:rsid w:val="00077A06"/>
    <w:rsid w:val="00077E04"/>
    <w:rsid w:val="000812F8"/>
    <w:rsid w:val="0008181B"/>
    <w:rsid w:val="000824EA"/>
    <w:rsid w:val="00082C7F"/>
    <w:rsid w:val="000837B4"/>
    <w:rsid w:val="00083B10"/>
    <w:rsid w:val="00084612"/>
    <w:rsid w:val="00085372"/>
    <w:rsid w:val="00085499"/>
    <w:rsid w:val="00085D82"/>
    <w:rsid w:val="00085E31"/>
    <w:rsid w:val="00085FB5"/>
    <w:rsid w:val="00086954"/>
    <w:rsid w:val="00086C71"/>
    <w:rsid w:val="00086CDE"/>
    <w:rsid w:val="00086E71"/>
    <w:rsid w:val="000874A6"/>
    <w:rsid w:val="0008777C"/>
    <w:rsid w:val="00087F63"/>
    <w:rsid w:val="00090347"/>
    <w:rsid w:val="0009048B"/>
    <w:rsid w:val="00090A6F"/>
    <w:rsid w:val="00091F8B"/>
    <w:rsid w:val="00092106"/>
    <w:rsid w:val="000929CE"/>
    <w:rsid w:val="0009395A"/>
    <w:rsid w:val="00093F5F"/>
    <w:rsid w:val="00095128"/>
    <w:rsid w:val="00095418"/>
    <w:rsid w:val="0009597D"/>
    <w:rsid w:val="00095E4E"/>
    <w:rsid w:val="00096027"/>
    <w:rsid w:val="00096B14"/>
    <w:rsid w:val="00096CBD"/>
    <w:rsid w:val="00097308"/>
    <w:rsid w:val="0009793D"/>
    <w:rsid w:val="000A048A"/>
    <w:rsid w:val="000A09D2"/>
    <w:rsid w:val="000A11A3"/>
    <w:rsid w:val="000A2626"/>
    <w:rsid w:val="000A2980"/>
    <w:rsid w:val="000A4331"/>
    <w:rsid w:val="000A4E63"/>
    <w:rsid w:val="000A502D"/>
    <w:rsid w:val="000A53D0"/>
    <w:rsid w:val="000A5D11"/>
    <w:rsid w:val="000A6DCB"/>
    <w:rsid w:val="000A751E"/>
    <w:rsid w:val="000A7648"/>
    <w:rsid w:val="000A7E2B"/>
    <w:rsid w:val="000B1EDD"/>
    <w:rsid w:val="000B1F7B"/>
    <w:rsid w:val="000B20AA"/>
    <w:rsid w:val="000B23A2"/>
    <w:rsid w:val="000B2451"/>
    <w:rsid w:val="000B289C"/>
    <w:rsid w:val="000B28DB"/>
    <w:rsid w:val="000B3164"/>
    <w:rsid w:val="000B3F46"/>
    <w:rsid w:val="000B4871"/>
    <w:rsid w:val="000B4A93"/>
    <w:rsid w:val="000B4CD0"/>
    <w:rsid w:val="000B6AA2"/>
    <w:rsid w:val="000B6DE6"/>
    <w:rsid w:val="000B733C"/>
    <w:rsid w:val="000B779C"/>
    <w:rsid w:val="000C1717"/>
    <w:rsid w:val="000C29AE"/>
    <w:rsid w:val="000C2C75"/>
    <w:rsid w:val="000C2F0C"/>
    <w:rsid w:val="000C32A5"/>
    <w:rsid w:val="000C3C09"/>
    <w:rsid w:val="000C3E3D"/>
    <w:rsid w:val="000C3EB0"/>
    <w:rsid w:val="000C47E1"/>
    <w:rsid w:val="000C4ECB"/>
    <w:rsid w:val="000C50F2"/>
    <w:rsid w:val="000C57D9"/>
    <w:rsid w:val="000C5F7B"/>
    <w:rsid w:val="000C6128"/>
    <w:rsid w:val="000C6BAC"/>
    <w:rsid w:val="000C6E17"/>
    <w:rsid w:val="000C74C4"/>
    <w:rsid w:val="000D011C"/>
    <w:rsid w:val="000D0903"/>
    <w:rsid w:val="000D0F7A"/>
    <w:rsid w:val="000D1008"/>
    <w:rsid w:val="000D1149"/>
    <w:rsid w:val="000D1426"/>
    <w:rsid w:val="000D175E"/>
    <w:rsid w:val="000D2861"/>
    <w:rsid w:val="000D2CF1"/>
    <w:rsid w:val="000D3075"/>
    <w:rsid w:val="000D30D2"/>
    <w:rsid w:val="000D3DE5"/>
    <w:rsid w:val="000D4994"/>
    <w:rsid w:val="000D49DA"/>
    <w:rsid w:val="000D56CB"/>
    <w:rsid w:val="000D59EA"/>
    <w:rsid w:val="000D5EF8"/>
    <w:rsid w:val="000D6186"/>
    <w:rsid w:val="000D6809"/>
    <w:rsid w:val="000D701C"/>
    <w:rsid w:val="000D7B40"/>
    <w:rsid w:val="000E0121"/>
    <w:rsid w:val="000E135E"/>
    <w:rsid w:val="000E1DAC"/>
    <w:rsid w:val="000E2D8C"/>
    <w:rsid w:val="000E2F99"/>
    <w:rsid w:val="000E3188"/>
    <w:rsid w:val="000E31C3"/>
    <w:rsid w:val="000E3F10"/>
    <w:rsid w:val="000E43AA"/>
    <w:rsid w:val="000E43E5"/>
    <w:rsid w:val="000E4403"/>
    <w:rsid w:val="000E46FC"/>
    <w:rsid w:val="000E47A4"/>
    <w:rsid w:val="000E4C80"/>
    <w:rsid w:val="000E4E41"/>
    <w:rsid w:val="000E4E87"/>
    <w:rsid w:val="000E4EF3"/>
    <w:rsid w:val="000E580F"/>
    <w:rsid w:val="000E652A"/>
    <w:rsid w:val="000E6DBE"/>
    <w:rsid w:val="000E7C99"/>
    <w:rsid w:val="000E7DC4"/>
    <w:rsid w:val="000F16CD"/>
    <w:rsid w:val="000F1EC3"/>
    <w:rsid w:val="000F21E9"/>
    <w:rsid w:val="000F251D"/>
    <w:rsid w:val="000F2AC8"/>
    <w:rsid w:val="000F3161"/>
    <w:rsid w:val="000F39E2"/>
    <w:rsid w:val="000F563D"/>
    <w:rsid w:val="000F5761"/>
    <w:rsid w:val="000F5DC0"/>
    <w:rsid w:val="000F64CC"/>
    <w:rsid w:val="000F6AC0"/>
    <w:rsid w:val="000F6DB3"/>
    <w:rsid w:val="000F71C3"/>
    <w:rsid w:val="000F7403"/>
    <w:rsid w:val="000F75D5"/>
    <w:rsid w:val="001000EC"/>
    <w:rsid w:val="00100557"/>
    <w:rsid w:val="00101786"/>
    <w:rsid w:val="00102C3A"/>
    <w:rsid w:val="00103180"/>
    <w:rsid w:val="00104376"/>
    <w:rsid w:val="0010475F"/>
    <w:rsid w:val="001049FF"/>
    <w:rsid w:val="00105010"/>
    <w:rsid w:val="0010528A"/>
    <w:rsid w:val="0010580F"/>
    <w:rsid w:val="0010667F"/>
    <w:rsid w:val="00106E32"/>
    <w:rsid w:val="0010737D"/>
    <w:rsid w:val="001074A9"/>
    <w:rsid w:val="00110B96"/>
    <w:rsid w:val="00110CB7"/>
    <w:rsid w:val="0011141D"/>
    <w:rsid w:val="001115DF"/>
    <w:rsid w:val="001116A1"/>
    <w:rsid w:val="001126A4"/>
    <w:rsid w:val="00113385"/>
    <w:rsid w:val="00113754"/>
    <w:rsid w:val="001137EC"/>
    <w:rsid w:val="00113A08"/>
    <w:rsid w:val="001162C5"/>
    <w:rsid w:val="0011658C"/>
    <w:rsid w:val="001176ED"/>
    <w:rsid w:val="001206CF"/>
    <w:rsid w:val="00120737"/>
    <w:rsid w:val="00120A64"/>
    <w:rsid w:val="001219F3"/>
    <w:rsid w:val="001221C2"/>
    <w:rsid w:val="00122978"/>
    <w:rsid w:val="00122E48"/>
    <w:rsid w:val="0012317A"/>
    <w:rsid w:val="0012399D"/>
    <w:rsid w:val="00124E77"/>
    <w:rsid w:val="00124FCF"/>
    <w:rsid w:val="00125CEA"/>
    <w:rsid w:val="00126397"/>
    <w:rsid w:val="00126406"/>
    <w:rsid w:val="001271E6"/>
    <w:rsid w:val="00127257"/>
    <w:rsid w:val="00127967"/>
    <w:rsid w:val="001301C2"/>
    <w:rsid w:val="00130726"/>
    <w:rsid w:val="00130961"/>
    <w:rsid w:val="00130A31"/>
    <w:rsid w:val="00130ECA"/>
    <w:rsid w:val="00131559"/>
    <w:rsid w:val="00131AF1"/>
    <w:rsid w:val="00131F3B"/>
    <w:rsid w:val="00132E21"/>
    <w:rsid w:val="00132E4F"/>
    <w:rsid w:val="001336E0"/>
    <w:rsid w:val="00133A76"/>
    <w:rsid w:val="00133EF1"/>
    <w:rsid w:val="001341FC"/>
    <w:rsid w:val="00134843"/>
    <w:rsid w:val="00134A43"/>
    <w:rsid w:val="00134B82"/>
    <w:rsid w:val="001358F7"/>
    <w:rsid w:val="00135F1D"/>
    <w:rsid w:val="00135FE5"/>
    <w:rsid w:val="00136A7B"/>
    <w:rsid w:val="00136E2B"/>
    <w:rsid w:val="001374A1"/>
    <w:rsid w:val="001378E3"/>
    <w:rsid w:val="00137947"/>
    <w:rsid w:val="00137957"/>
    <w:rsid w:val="00137D53"/>
    <w:rsid w:val="00140320"/>
    <w:rsid w:val="00140B38"/>
    <w:rsid w:val="00140BCE"/>
    <w:rsid w:val="00140E0B"/>
    <w:rsid w:val="00141169"/>
    <w:rsid w:val="00141C3A"/>
    <w:rsid w:val="00141DD0"/>
    <w:rsid w:val="001421AB"/>
    <w:rsid w:val="001421ED"/>
    <w:rsid w:val="00142A2C"/>
    <w:rsid w:val="00142BAF"/>
    <w:rsid w:val="00142C08"/>
    <w:rsid w:val="001431C5"/>
    <w:rsid w:val="0014379B"/>
    <w:rsid w:val="00143837"/>
    <w:rsid w:val="00143A10"/>
    <w:rsid w:val="00144B7A"/>
    <w:rsid w:val="001452B6"/>
    <w:rsid w:val="001456C1"/>
    <w:rsid w:val="0014647B"/>
    <w:rsid w:val="0014757A"/>
    <w:rsid w:val="00147A97"/>
    <w:rsid w:val="00147E63"/>
    <w:rsid w:val="00147F13"/>
    <w:rsid w:val="00150D88"/>
    <w:rsid w:val="00151D59"/>
    <w:rsid w:val="001526C0"/>
    <w:rsid w:val="00152A57"/>
    <w:rsid w:val="00153181"/>
    <w:rsid w:val="001534CC"/>
    <w:rsid w:val="001536C2"/>
    <w:rsid w:val="00153BC2"/>
    <w:rsid w:val="00153C6A"/>
    <w:rsid w:val="00154080"/>
    <w:rsid w:val="00155581"/>
    <w:rsid w:val="00155C9B"/>
    <w:rsid w:val="0015629B"/>
    <w:rsid w:val="001571AB"/>
    <w:rsid w:val="001573B2"/>
    <w:rsid w:val="00160096"/>
    <w:rsid w:val="00160E0B"/>
    <w:rsid w:val="00162967"/>
    <w:rsid w:val="00162C38"/>
    <w:rsid w:val="0016412F"/>
    <w:rsid w:val="00164AA6"/>
    <w:rsid w:val="00164CBC"/>
    <w:rsid w:val="001652BB"/>
    <w:rsid w:val="001653F5"/>
    <w:rsid w:val="001662B8"/>
    <w:rsid w:val="00166B33"/>
    <w:rsid w:val="0016793C"/>
    <w:rsid w:val="0017095A"/>
    <w:rsid w:val="0017104D"/>
    <w:rsid w:val="00171F51"/>
    <w:rsid w:val="00172A98"/>
    <w:rsid w:val="00173210"/>
    <w:rsid w:val="001739B4"/>
    <w:rsid w:val="00173CDC"/>
    <w:rsid w:val="00175AB0"/>
    <w:rsid w:val="001761C6"/>
    <w:rsid w:val="001767E1"/>
    <w:rsid w:val="001775C3"/>
    <w:rsid w:val="00177693"/>
    <w:rsid w:val="00177DB5"/>
    <w:rsid w:val="001809DB"/>
    <w:rsid w:val="0018122E"/>
    <w:rsid w:val="0018175B"/>
    <w:rsid w:val="00181F08"/>
    <w:rsid w:val="00182092"/>
    <w:rsid w:val="00182312"/>
    <w:rsid w:val="0018314E"/>
    <w:rsid w:val="00184C4D"/>
    <w:rsid w:val="00185255"/>
    <w:rsid w:val="00185479"/>
    <w:rsid w:val="001864D4"/>
    <w:rsid w:val="00186700"/>
    <w:rsid w:val="00186977"/>
    <w:rsid w:val="001869CD"/>
    <w:rsid w:val="001873D1"/>
    <w:rsid w:val="0018777D"/>
    <w:rsid w:val="00187A0D"/>
    <w:rsid w:val="00187E2A"/>
    <w:rsid w:val="00190719"/>
    <w:rsid w:val="00190B06"/>
    <w:rsid w:val="001911F3"/>
    <w:rsid w:val="00191675"/>
    <w:rsid w:val="00191D16"/>
    <w:rsid w:val="0019283F"/>
    <w:rsid w:val="0019286F"/>
    <w:rsid w:val="00193711"/>
    <w:rsid w:val="00193A4E"/>
    <w:rsid w:val="00194827"/>
    <w:rsid w:val="00195449"/>
    <w:rsid w:val="00195CF1"/>
    <w:rsid w:val="00196C3F"/>
    <w:rsid w:val="001A01C4"/>
    <w:rsid w:val="001A0308"/>
    <w:rsid w:val="001A045A"/>
    <w:rsid w:val="001A058E"/>
    <w:rsid w:val="001A0892"/>
    <w:rsid w:val="001A0ABB"/>
    <w:rsid w:val="001A0E08"/>
    <w:rsid w:val="001A0E9F"/>
    <w:rsid w:val="001A102F"/>
    <w:rsid w:val="001A1044"/>
    <w:rsid w:val="001A1066"/>
    <w:rsid w:val="001A17FB"/>
    <w:rsid w:val="001A18EF"/>
    <w:rsid w:val="001A1E4C"/>
    <w:rsid w:val="001A29D7"/>
    <w:rsid w:val="001A3C22"/>
    <w:rsid w:val="001A4B66"/>
    <w:rsid w:val="001A5218"/>
    <w:rsid w:val="001A5344"/>
    <w:rsid w:val="001A58CC"/>
    <w:rsid w:val="001A5F93"/>
    <w:rsid w:val="001A60E3"/>
    <w:rsid w:val="001A6D0F"/>
    <w:rsid w:val="001A7135"/>
    <w:rsid w:val="001A7827"/>
    <w:rsid w:val="001A7915"/>
    <w:rsid w:val="001A7992"/>
    <w:rsid w:val="001A7CA3"/>
    <w:rsid w:val="001B0AF8"/>
    <w:rsid w:val="001B0F18"/>
    <w:rsid w:val="001B10B9"/>
    <w:rsid w:val="001B1447"/>
    <w:rsid w:val="001B1662"/>
    <w:rsid w:val="001B2930"/>
    <w:rsid w:val="001B2940"/>
    <w:rsid w:val="001B3039"/>
    <w:rsid w:val="001B33A5"/>
    <w:rsid w:val="001B3558"/>
    <w:rsid w:val="001B3593"/>
    <w:rsid w:val="001B3D05"/>
    <w:rsid w:val="001B4AF4"/>
    <w:rsid w:val="001B510E"/>
    <w:rsid w:val="001B642D"/>
    <w:rsid w:val="001B6E54"/>
    <w:rsid w:val="001B704E"/>
    <w:rsid w:val="001B7CC1"/>
    <w:rsid w:val="001C072B"/>
    <w:rsid w:val="001C0AFA"/>
    <w:rsid w:val="001C0F3D"/>
    <w:rsid w:val="001C1019"/>
    <w:rsid w:val="001C1467"/>
    <w:rsid w:val="001C14BF"/>
    <w:rsid w:val="001C17DA"/>
    <w:rsid w:val="001C2037"/>
    <w:rsid w:val="001C225F"/>
    <w:rsid w:val="001C277B"/>
    <w:rsid w:val="001C29AF"/>
    <w:rsid w:val="001C2A5B"/>
    <w:rsid w:val="001C3336"/>
    <w:rsid w:val="001C33F4"/>
    <w:rsid w:val="001C3F33"/>
    <w:rsid w:val="001C402E"/>
    <w:rsid w:val="001C4EEA"/>
    <w:rsid w:val="001C6E78"/>
    <w:rsid w:val="001C759E"/>
    <w:rsid w:val="001C767B"/>
    <w:rsid w:val="001C7D79"/>
    <w:rsid w:val="001D0137"/>
    <w:rsid w:val="001D0965"/>
    <w:rsid w:val="001D1AE4"/>
    <w:rsid w:val="001D2481"/>
    <w:rsid w:val="001D35CC"/>
    <w:rsid w:val="001D38E7"/>
    <w:rsid w:val="001D3EEF"/>
    <w:rsid w:val="001D42AC"/>
    <w:rsid w:val="001D44E7"/>
    <w:rsid w:val="001D5458"/>
    <w:rsid w:val="001D579B"/>
    <w:rsid w:val="001D5848"/>
    <w:rsid w:val="001D5CA2"/>
    <w:rsid w:val="001D5D3A"/>
    <w:rsid w:val="001D7531"/>
    <w:rsid w:val="001D7D68"/>
    <w:rsid w:val="001D7F62"/>
    <w:rsid w:val="001D7FD3"/>
    <w:rsid w:val="001E002B"/>
    <w:rsid w:val="001E0771"/>
    <w:rsid w:val="001E0895"/>
    <w:rsid w:val="001E0FF3"/>
    <w:rsid w:val="001E11EE"/>
    <w:rsid w:val="001E127C"/>
    <w:rsid w:val="001E1930"/>
    <w:rsid w:val="001E2531"/>
    <w:rsid w:val="001E2C37"/>
    <w:rsid w:val="001E2DB9"/>
    <w:rsid w:val="001E32FE"/>
    <w:rsid w:val="001E3562"/>
    <w:rsid w:val="001E3565"/>
    <w:rsid w:val="001E4A7A"/>
    <w:rsid w:val="001E4C6A"/>
    <w:rsid w:val="001E565D"/>
    <w:rsid w:val="001E5D78"/>
    <w:rsid w:val="001E6123"/>
    <w:rsid w:val="001E6B0E"/>
    <w:rsid w:val="001E6E9F"/>
    <w:rsid w:val="001E7717"/>
    <w:rsid w:val="001F0B2B"/>
    <w:rsid w:val="001F0CF8"/>
    <w:rsid w:val="001F0FEA"/>
    <w:rsid w:val="001F106D"/>
    <w:rsid w:val="001F180B"/>
    <w:rsid w:val="001F30CA"/>
    <w:rsid w:val="001F3E95"/>
    <w:rsid w:val="001F47EF"/>
    <w:rsid w:val="001F4D8E"/>
    <w:rsid w:val="001F5269"/>
    <w:rsid w:val="001F5A56"/>
    <w:rsid w:val="001F64E4"/>
    <w:rsid w:val="001F6B3B"/>
    <w:rsid w:val="001F6E3F"/>
    <w:rsid w:val="001F774F"/>
    <w:rsid w:val="001F78DF"/>
    <w:rsid w:val="001F79AA"/>
    <w:rsid w:val="001F7F00"/>
    <w:rsid w:val="002003EC"/>
    <w:rsid w:val="002008E0"/>
    <w:rsid w:val="00201AAC"/>
    <w:rsid w:val="00201D71"/>
    <w:rsid w:val="00201D9E"/>
    <w:rsid w:val="002020C7"/>
    <w:rsid w:val="0020220D"/>
    <w:rsid w:val="00202407"/>
    <w:rsid w:val="00203679"/>
    <w:rsid w:val="00203978"/>
    <w:rsid w:val="00203C32"/>
    <w:rsid w:val="00204ED7"/>
    <w:rsid w:val="0020592D"/>
    <w:rsid w:val="00206787"/>
    <w:rsid w:val="00207641"/>
    <w:rsid w:val="0020772C"/>
    <w:rsid w:val="00210F65"/>
    <w:rsid w:val="0021172E"/>
    <w:rsid w:val="00211A36"/>
    <w:rsid w:val="00211DDD"/>
    <w:rsid w:val="00212219"/>
    <w:rsid w:val="00212402"/>
    <w:rsid w:val="002124E1"/>
    <w:rsid w:val="00212C50"/>
    <w:rsid w:val="00214A23"/>
    <w:rsid w:val="00214B17"/>
    <w:rsid w:val="0021553C"/>
    <w:rsid w:val="00215EA9"/>
    <w:rsid w:val="0021684C"/>
    <w:rsid w:val="00217132"/>
    <w:rsid w:val="00217307"/>
    <w:rsid w:val="00217906"/>
    <w:rsid w:val="00220109"/>
    <w:rsid w:val="0022022E"/>
    <w:rsid w:val="00220BEA"/>
    <w:rsid w:val="002210AB"/>
    <w:rsid w:val="00222029"/>
    <w:rsid w:val="0022326A"/>
    <w:rsid w:val="002232E0"/>
    <w:rsid w:val="00223905"/>
    <w:rsid w:val="002243B0"/>
    <w:rsid w:val="002246D9"/>
    <w:rsid w:val="002249FE"/>
    <w:rsid w:val="00224C8E"/>
    <w:rsid w:val="00224F12"/>
    <w:rsid w:val="00225DE4"/>
    <w:rsid w:val="002270F0"/>
    <w:rsid w:val="00227450"/>
    <w:rsid w:val="00227CCF"/>
    <w:rsid w:val="00230A8A"/>
    <w:rsid w:val="002317D8"/>
    <w:rsid w:val="0023375B"/>
    <w:rsid w:val="00233D03"/>
    <w:rsid w:val="00234141"/>
    <w:rsid w:val="00234321"/>
    <w:rsid w:val="00235502"/>
    <w:rsid w:val="00235521"/>
    <w:rsid w:val="00235618"/>
    <w:rsid w:val="002356FE"/>
    <w:rsid w:val="00235AC0"/>
    <w:rsid w:val="00235DC5"/>
    <w:rsid w:val="002361E5"/>
    <w:rsid w:val="00236498"/>
    <w:rsid w:val="00236FDF"/>
    <w:rsid w:val="002378F9"/>
    <w:rsid w:val="00237D43"/>
    <w:rsid w:val="002408B9"/>
    <w:rsid w:val="00242AB9"/>
    <w:rsid w:val="00243564"/>
    <w:rsid w:val="00243811"/>
    <w:rsid w:val="00243DB4"/>
    <w:rsid w:val="00243E6C"/>
    <w:rsid w:val="002443AD"/>
    <w:rsid w:val="00245D4E"/>
    <w:rsid w:val="002468EA"/>
    <w:rsid w:val="00246A5C"/>
    <w:rsid w:val="00246EFC"/>
    <w:rsid w:val="002473A0"/>
    <w:rsid w:val="0024751C"/>
    <w:rsid w:val="002477CB"/>
    <w:rsid w:val="00250233"/>
    <w:rsid w:val="00250259"/>
    <w:rsid w:val="00250328"/>
    <w:rsid w:val="00250A54"/>
    <w:rsid w:val="00250F5D"/>
    <w:rsid w:val="00250FD4"/>
    <w:rsid w:val="002512F6"/>
    <w:rsid w:val="002518A1"/>
    <w:rsid w:val="002518CC"/>
    <w:rsid w:val="00251A5E"/>
    <w:rsid w:val="002533C3"/>
    <w:rsid w:val="00253773"/>
    <w:rsid w:val="002537C2"/>
    <w:rsid w:val="00253B37"/>
    <w:rsid w:val="00253CDB"/>
    <w:rsid w:val="00254076"/>
    <w:rsid w:val="00254B16"/>
    <w:rsid w:val="002550BF"/>
    <w:rsid w:val="002552E8"/>
    <w:rsid w:val="0025550D"/>
    <w:rsid w:val="00255EFB"/>
    <w:rsid w:val="00256492"/>
    <w:rsid w:val="00257C1E"/>
    <w:rsid w:val="0026028D"/>
    <w:rsid w:val="00261B0A"/>
    <w:rsid w:val="00262121"/>
    <w:rsid w:val="0026222B"/>
    <w:rsid w:val="00262A52"/>
    <w:rsid w:val="00263687"/>
    <w:rsid w:val="00263AA9"/>
    <w:rsid w:val="00263C87"/>
    <w:rsid w:val="0026403D"/>
    <w:rsid w:val="002665E5"/>
    <w:rsid w:val="0026709A"/>
    <w:rsid w:val="00270378"/>
    <w:rsid w:val="0027046E"/>
    <w:rsid w:val="002709A2"/>
    <w:rsid w:val="002711CD"/>
    <w:rsid w:val="00271BD7"/>
    <w:rsid w:val="00271EC0"/>
    <w:rsid w:val="002720ED"/>
    <w:rsid w:val="00272327"/>
    <w:rsid w:val="00272957"/>
    <w:rsid w:val="0027296D"/>
    <w:rsid w:val="002729D3"/>
    <w:rsid w:val="00272A7F"/>
    <w:rsid w:val="002732AF"/>
    <w:rsid w:val="002735CE"/>
    <w:rsid w:val="00273C17"/>
    <w:rsid w:val="00274D11"/>
    <w:rsid w:val="002750A1"/>
    <w:rsid w:val="00275389"/>
    <w:rsid w:val="002755C2"/>
    <w:rsid w:val="00276398"/>
    <w:rsid w:val="00276969"/>
    <w:rsid w:val="00276BC5"/>
    <w:rsid w:val="00276C95"/>
    <w:rsid w:val="00277074"/>
    <w:rsid w:val="0028086D"/>
    <w:rsid w:val="00280C26"/>
    <w:rsid w:val="00281005"/>
    <w:rsid w:val="002811CD"/>
    <w:rsid w:val="00282721"/>
    <w:rsid w:val="00283482"/>
    <w:rsid w:val="00283E67"/>
    <w:rsid w:val="0028501F"/>
    <w:rsid w:val="002858B3"/>
    <w:rsid w:val="00285AAB"/>
    <w:rsid w:val="0028603F"/>
    <w:rsid w:val="0028606C"/>
    <w:rsid w:val="002864AA"/>
    <w:rsid w:val="00287A4C"/>
    <w:rsid w:val="002906CA"/>
    <w:rsid w:val="00290804"/>
    <w:rsid w:val="00290946"/>
    <w:rsid w:val="002910B7"/>
    <w:rsid w:val="00291416"/>
    <w:rsid w:val="002919D3"/>
    <w:rsid w:val="002929FC"/>
    <w:rsid w:val="00292AD4"/>
    <w:rsid w:val="0029435C"/>
    <w:rsid w:val="00294446"/>
    <w:rsid w:val="0029466C"/>
    <w:rsid w:val="00294FB3"/>
    <w:rsid w:val="002951B4"/>
    <w:rsid w:val="00295E0B"/>
    <w:rsid w:val="00295F69"/>
    <w:rsid w:val="002963BE"/>
    <w:rsid w:val="0029647E"/>
    <w:rsid w:val="0029666D"/>
    <w:rsid w:val="00297051"/>
    <w:rsid w:val="00297781"/>
    <w:rsid w:val="00297C44"/>
    <w:rsid w:val="002A0A9D"/>
    <w:rsid w:val="002A1863"/>
    <w:rsid w:val="002A201D"/>
    <w:rsid w:val="002A2156"/>
    <w:rsid w:val="002A2937"/>
    <w:rsid w:val="002A3779"/>
    <w:rsid w:val="002A37EE"/>
    <w:rsid w:val="002A3E85"/>
    <w:rsid w:val="002A4AA6"/>
    <w:rsid w:val="002A4EFC"/>
    <w:rsid w:val="002A54C4"/>
    <w:rsid w:val="002A5C71"/>
    <w:rsid w:val="002A646E"/>
    <w:rsid w:val="002A6660"/>
    <w:rsid w:val="002A6EF1"/>
    <w:rsid w:val="002A70C6"/>
    <w:rsid w:val="002A78DF"/>
    <w:rsid w:val="002B0889"/>
    <w:rsid w:val="002B1091"/>
    <w:rsid w:val="002B1EED"/>
    <w:rsid w:val="002B248A"/>
    <w:rsid w:val="002B2E5F"/>
    <w:rsid w:val="002B30EA"/>
    <w:rsid w:val="002B330A"/>
    <w:rsid w:val="002B3D96"/>
    <w:rsid w:val="002B4174"/>
    <w:rsid w:val="002B51C7"/>
    <w:rsid w:val="002B5336"/>
    <w:rsid w:val="002B59B1"/>
    <w:rsid w:val="002B5FC0"/>
    <w:rsid w:val="002B6306"/>
    <w:rsid w:val="002B6309"/>
    <w:rsid w:val="002B6C2C"/>
    <w:rsid w:val="002B6F46"/>
    <w:rsid w:val="002B7803"/>
    <w:rsid w:val="002B79E1"/>
    <w:rsid w:val="002C0049"/>
    <w:rsid w:val="002C0D2E"/>
    <w:rsid w:val="002C0F67"/>
    <w:rsid w:val="002C1EEA"/>
    <w:rsid w:val="002C4591"/>
    <w:rsid w:val="002C518F"/>
    <w:rsid w:val="002C5488"/>
    <w:rsid w:val="002C5505"/>
    <w:rsid w:val="002C6527"/>
    <w:rsid w:val="002C6F7D"/>
    <w:rsid w:val="002C6F7F"/>
    <w:rsid w:val="002C70EF"/>
    <w:rsid w:val="002C726E"/>
    <w:rsid w:val="002C736E"/>
    <w:rsid w:val="002D0179"/>
    <w:rsid w:val="002D02E2"/>
    <w:rsid w:val="002D087C"/>
    <w:rsid w:val="002D0AA2"/>
    <w:rsid w:val="002D1253"/>
    <w:rsid w:val="002D1B04"/>
    <w:rsid w:val="002D2078"/>
    <w:rsid w:val="002D23C7"/>
    <w:rsid w:val="002D247D"/>
    <w:rsid w:val="002D2DB1"/>
    <w:rsid w:val="002D39B3"/>
    <w:rsid w:val="002D5223"/>
    <w:rsid w:val="002D5DEB"/>
    <w:rsid w:val="002D744A"/>
    <w:rsid w:val="002E24BB"/>
    <w:rsid w:val="002E2629"/>
    <w:rsid w:val="002E2D5C"/>
    <w:rsid w:val="002E2DCC"/>
    <w:rsid w:val="002E3406"/>
    <w:rsid w:val="002E3A33"/>
    <w:rsid w:val="002E4267"/>
    <w:rsid w:val="002E4A50"/>
    <w:rsid w:val="002E5588"/>
    <w:rsid w:val="002E5DE4"/>
    <w:rsid w:val="002E6490"/>
    <w:rsid w:val="002E69F4"/>
    <w:rsid w:val="002E6F37"/>
    <w:rsid w:val="002E747F"/>
    <w:rsid w:val="002F0126"/>
    <w:rsid w:val="002F0F14"/>
    <w:rsid w:val="002F130D"/>
    <w:rsid w:val="002F1490"/>
    <w:rsid w:val="002F1567"/>
    <w:rsid w:val="002F1CBC"/>
    <w:rsid w:val="002F1CD0"/>
    <w:rsid w:val="002F2AB9"/>
    <w:rsid w:val="002F397A"/>
    <w:rsid w:val="002F3A37"/>
    <w:rsid w:val="002F4435"/>
    <w:rsid w:val="002F4A3E"/>
    <w:rsid w:val="002F4C70"/>
    <w:rsid w:val="002F515E"/>
    <w:rsid w:val="002F68FE"/>
    <w:rsid w:val="002F6904"/>
    <w:rsid w:val="002F6D53"/>
    <w:rsid w:val="002F73C0"/>
    <w:rsid w:val="002F78A3"/>
    <w:rsid w:val="00300E61"/>
    <w:rsid w:val="00301347"/>
    <w:rsid w:val="00301A78"/>
    <w:rsid w:val="0030304E"/>
    <w:rsid w:val="00303759"/>
    <w:rsid w:val="0030388E"/>
    <w:rsid w:val="003039E8"/>
    <w:rsid w:val="0030407D"/>
    <w:rsid w:val="0030446F"/>
    <w:rsid w:val="00304618"/>
    <w:rsid w:val="00306BE2"/>
    <w:rsid w:val="00307218"/>
    <w:rsid w:val="00307CBF"/>
    <w:rsid w:val="00307F26"/>
    <w:rsid w:val="0031033C"/>
    <w:rsid w:val="003112DC"/>
    <w:rsid w:val="003114CF"/>
    <w:rsid w:val="003115EF"/>
    <w:rsid w:val="00311921"/>
    <w:rsid w:val="003123A5"/>
    <w:rsid w:val="003127BB"/>
    <w:rsid w:val="0031290F"/>
    <w:rsid w:val="00312B54"/>
    <w:rsid w:val="00312E8F"/>
    <w:rsid w:val="0031332C"/>
    <w:rsid w:val="00313580"/>
    <w:rsid w:val="003140A6"/>
    <w:rsid w:val="0031441D"/>
    <w:rsid w:val="00314A1E"/>
    <w:rsid w:val="003153CA"/>
    <w:rsid w:val="003161B2"/>
    <w:rsid w:val="00317CBA"/>
    <w:rsid w:val="00317CBF"/>
    <w:rsid w:val="00317E39"/>
    <w:rsid w:val="00317FE7"/>
    <w:rsid w:val="00320486"/>
    <w:rsid w:val="00321C1D"/>
    <w:rsid w:val="00321F4C"/>
    <w:rsid w:val="003220F2"/>
    <w:rsid w:val="00323643"/>
    <w:rsid w:val="0032368A"/>
    <w:rsid w:val="003239EC"/>
    <w:rsid w:val="00323B41"/>
    <w:rsid w:val="00323B7E"/>
    <w:rsid w:val="00324B4C"/>
    <w:rsid w:val="00324C38"/>
    <w:rsid w:val="003251D8"/>
    <w:rsid w:val="00325281"/>
    <w:rsid w:val="003257C6"/>
    <w:rsid w:val="0032580A"/>
    <w:rsid w:val="00325817"/>
    <w:rsid w:val="00325B5A"/>
    <w:rsid w:val="00325C05"/>
    <w:rsid w:val="00325DF6"/>
    <w:rsid w:val="00326285"/>
    <w:rsid w:val="0032682D"/>
    <w:rsid w:val="00326A65"/>
    <w:rsid w:val="00326B98"/>
    <w:rsid w:val="00327008"/>
    <w:rsid w:val="003276B9"/>
    <w:rsid w:val="0033146B"/>
    <w:rsid w:val="00332470"/>
    <w:rsid w:val="00332905"/>
    <w:rsid w:val="003330EA"/>
    <w:rsid w:val="003339A5"/>
    <w:rsid w:val="00334ADA"/>
    <w:rsid w:val="00334FF1"/>
    <w:rsid w:val="0033581C"/>
    <w:rsid w:val="00336137"/>
    <w:rsid w:val="00336C80"/>
    <w:rsid w:val="00336E86"/>
    <w:rsid w:val="003375E0"/>
    <w:rsid w:val="003375F7"/>
    <w:rsid w:val="0033790E"/>
    <w:rsid w:val="00340944"/>
    <w:rsid w:val="00340DFA"/>
    <w:rsid w:val="00341099"/>
    <w:rsid w:val="0034169D"/>
    <w:rsid w:val="0034240A"/>
    <w:rsid w:val="0034317E"/>
    <w:rsid w:val="00343857"/>
    <w:rsid w:val="00343870"/>
    <w:rsid w:val="00343CC4"/>
    <w:rsid w:val="003447D5"/>
    <w:rsid w:val="0034595D"/>
    <w:rsid w:val="00345A9C"/>
    <w:rsid w:val="0034608C"/>
    <w:rsid w:val="00346578"/>
    <w:rsid w:val="003467DD"/>
    <w:rsid w:val="00346845"/>
    <w:rsid w:val="003474E0"/>
    <w:rsid w:val="003521B4"/>
    <w:rsid w:val="00352A02"/>
    <w:rsid w:val="00354077"/>
    <w:rsid w:val="00354A98"/>
    <w:rsid w:val="00354B47"/>
    <w:rsid w:val="00354F09"/>
    <w:rsid w:val="00354F34"/>
    <w:rsid w:val="0035512A"/>
    <w:rsid w:val="00355167"/>
    <w:rsid w:val="0035663F"/>
    <w:rsid w:val="00357165"/>
    <w:rsid w:val="0035728A"/>
    <w:rsid w:val="003573E0"/>
    <w:rsid w:val="00357526"/>
    <w:rsid w:val="00357CB2"/>
    <w:rsid w:val="00361F69"/>
    <w:rsid w:val="00362313"/>
    <w:rsid w:val="003626C9"/>
    <w:rsid w:val="00362C96"/>
    <w:rsid w:val="0036350A"/>
    <w:rsid w:val="0036360F"/>
    <w:rsid w:val="00363F3F"/>
    <w:rsid w:val="00363F94"/>
    <w:rsid w:val="00364174"/>
    <w:rsid w:val="0036479C"/>
    <w:rsid w:val="00364B30"/>
    <w:rsid w:val="00365525"/>
    <w:rsid w:val="00365B91"/>
    <w:rsid w:val="00365F92"/>
    <w:rsid w:val="00366445"/>
    <w:rsid w:val="00366E55"/>
    <w:rsid w:val="00366F08"/>
    <w:rsid w:val="00366FC5"/>
    <w:rsid w:val="0036712C"/>
    <w:rsid w:val="003674E7"/>
    <w:rsid w:val="00367DC9"/>
    <w:rsid w:val="0037005D"/>
    <w:rsid w:val="003723EE"/>
    <w:rsid w:val="003730F5"/>
    <w:rsid w:val="00373378"/>
    <w:rsid w:val="00373ADD"/>
    <w:rsid w:val="00374A57"/>
    <w:rsid w:val="00374D5C"/>
    <w:rsid w:val="003753C5"/>
    <w:rsid w:val="00376908"/>
    <w:rsid w:val="00376B4F"/>
    <w:rsid w:val="0037746E"/>
    <w:rsid w:val="00377793"/>
    <w:rsid w:val="00377B8D"/>
    <w:rsid w:val="00380065"/>
    <w:rsid w:val="00380F3B"/>
    <w:rsid w:val="00381915"/>
    <w:rsid w:val="0038215C"/>
    <w:rsid w:val="0038235B"/>
    <w:rsid w:val="003823B0"/>
    <w:rsid w:val="00382796"/>
    <w:rsid w:val="00382EA1"/>
    <w:rsid w:val="00383381"/>
    <w:rsid w:val="00383955"/>
    <w:rsid w:val="00384A88"/>
    <w:rsid w:val="00385144"/>
    <w:rsid w:val="00385147"/>
    <w:rsid w:val="0038529E"/>
    <w:rsid w:val="00385A1F"/>
    <w:rsid w:val="00385D67"/>
    <w:rsid w:val="003877AB"/>
    <w:rsid w:val="0038799F"/>
    <w:rsid w:val="0039009E"/>
    <w:rsid w:val="00390622"/>
    <w:rsid w:val="003907E2"/>
    <w:rsid w:val="00392244"/>
    <w:rsid w:val="0039260C"/>
    <w:rsid w:val="00392747"/>
    <w:rsid w:val="00393890"/>
    <w:rsid w:val="003962AD"/>
    <w:rsid w:val="0039686B"/>
    <w:rsid w:val="00397008"/>
    <w:rsid w:val="00397267"/>
    <w:rsid w:val="00397314"/>
    <w:rsid w:val="0039754B"/>
    <w:rsid w:val="00397683"/>
    <w:rsid w:val="00397D05"/>
    <w:rsid w:val="003A05A2"/>
    <w:rsid w:val="003A164C"/>
    <w:rsid w:val="003A17EF"/>
    <w:rsid w:val="003A1B44"/>
    <w:rsid w:val="003A2184"/>
    <w:rsid w:val="003A260D"/>
    <w:rsid w:val="003A4246"/>
    <w:rsid w:val="003A488F"/>
    <w:rsid w:val="003A491C"/>
    <w:rsid w:val="003A4A5A"/>
    <w:rsid w:val="003A5A94"/>
    <w:rsid w:val="003A5D7D"/>
    <w:rsid w:val="003A5EA5"/>
    <w:rsid w:val="003A69B4"/>
    <w:rsid w:val="003A7EB3"/>
    <w:rsid w:val="003B008C"/>
    <w:rsid w:val="003B089A"/>
    <w:rsid w:val="003B0CAA"/>
    <w:rsid w:val="003B0E71"/>
    <w:rsid w:val="003B168B"/>
    <w:rsid w:val="003B1E82"/>
    <w:rsid w:val="003B1FE8"/>
    <w:rsid w:val="003B2790"/>
    <w:rsid w:val="003B2A10"/>
    <w:rsid w:val="003B31CC"/>
    <w:rsid w:val="003B3672"/>
    <w:rsid w:val="003B3AA0"/>
    <w:rsid w:val="003B3C1A"/>
    <w:rsid w:val="003B516F"/>
    <w:rsid w:val="003B64FA"/>
    <w:rsid w:val="003B6633"/>
    <w:rsid w:val="003B7781"/>
    <w:rsid w:val="003B77F5"/>
    <w:rsid w:val="003B7CF4"/>
    <w:rsid w:val="003C0A71"/>
    <w:rsid w:val="003C1526"/>
    <w:rsid w:val="003C15D3"/>
    <w:rsid w:val="003C23DC"/>
    <w:rsid w:val="003C2886"/>
    <w:rsid w:val="003C2A8E"/>
    <w:rsid w:val="003C2EC5"/>
    <w:rsid w:val="003C363F"/>
    <w:rsid w:val="003C38F1"/>
    <w:rsid w:val="003C3F42"/>
    <w:rsid w:val="003C406A"/>
    <w:rsid w:val="003C4137"/>
    <w:rsid w:val="003C4801"/>
    <w:rsid w:val="003C4E8E"/>
    <w:rsid w:val="003C5018"/>
    <w:rsid w:val="003C527F"/>
    <w:rsid w:val="003C61C4"/>
    <w:rsid w:val="003C6910"/>
    <w:rsid w:val="003C6D4E"/>
    <w:rsid w:val="003D08CD"/>
    <w:rsid w:val="003D1902"/>
    <w:rsid w:val="003D1DD4"/>
    <w:rsid w:val="003D2494"/>
    <w:rsid w:val="003D2679"/>
    <w:rsid w:val="003D2936"/>
    <w:rsid w:val="003D314F"/>
    <w:rsid w:val="003D3178"/>
    <w:rsid w:val="003D3C1F"/>
    <w:rsid w:val="003D41A0"/>
    <w:rsid w:val="003D4364"/>
    <w:rsid w:val="003D4375"/>
    <w:rsid w:val="003D4816"/>
    <w:rsid w:val="003D520D"/>
    <w:rsid w:val="003D524C"/>
    <w:rsid w:val="003D53C5"/>
    <w:rsid w:val="003D5EBA"/>
    <w:rsid w:val="003D65B9"/>
    <w:rsid w:val="003D65C6"/>
    <w:rsid w:val="003D66BA"/>
    <w:rsid w:val="003D6FD6"/>
    <w:rsid w:val="003E0A68"/>
    <w:rsid w:val="003E131D"/>
    <w:rsid w:val="003E1900"/>
    <w:rsid w:val="003E1A30"/>
    <w:rsid w:val="003E1AE7"/>
    <w:rsid w:val="003E1C62"/>
    <w:rsid w:val="003E2161"/>
    <w:rsid w:val="003E2214"/>
    <w:rsid w:val="003E264C"/>
    <w:rsid w:val="003E2798"/>
    <w:rsid w:val="003E2938"/>
    <w:rsid w:val="003E2D44"/>
    <w:rsid w:val="003E2EF2"/>
    <w:rsid w:val="003E2F7E"/>
    <w:rsid w:val="003E39FA"/>
    <w:rsid w:val="003E3E64"/>
    <w:rsid w:val="003E425C"/>
    <w:rsid w:val="003E4685"/>
    <w:rsid w:val="003E54A3"/>
    <w:rsid w:val="003E5A91"/>
    <w:rsid w:val="003E6537"/>
    <w:rsid w:val="003E658C"/>
    <w:rsid w:val="003E6923"/>
    <w:rsid w:val="003E7276"/>
    <w:rsid w:val="003E7371"/>
    <w:rsid w:val="003E7457"/>
    <w:rsid w:val="003E7B7D"/>
    <w:rsid w:val="003E7C08"/>
    <w:rsid w:val="003E7F22"/>
    <w:rsid w:val="003F0317"/>
    <w:rsid w:val="003F1055"/>
    <w:rsid w:val="003F1625"/>
    <w:rsid w:val="003F18A9"/>
    <w:rsid w:val="003F1AD0"/>
    <w:rsid w:val="003F1E1C"/>
    <w:rsid w:val="003F1EED"/>
    <w:rsid w:val="003F2DE2"/>
    <w:rsid w:val="003F315B"/>
    <w:rsid w:val="003F3207"/>
    <w:rsid w:val="003F3214"/>
    <w:rsid w:val="003F33FC"/>
    <w:rsid w:val="003F344D"/>
    <w:rsid w:val="003F3599"/>
    <w:rsid w:val="003F38FD"/>
    <w:rsid w:val="003F4C27"/>
    <w:rsid w:val="003F4DAC"/>
    <w:rsid w:val="003F5F79"/>
    <w:rsid w:val="003F7972"/>
    <w:rsid w:val="003F7F89"/>
    <w:rsid w:val="004003E3"/>
    <w:rsid w:val="00400661"/>
    <w:rsid w:val="00400AD7"/>
    <w:rsid w:val="00400CCA"/>
    <w:rsid w:val="004012CA"/>
    <w:rsid w:val="00401ECA"/>
    <w:rsid w:val="00401FCD"/>
    <w:rsid w:val="0040269F"/>
    <w:rsid w:val="0040294C"/>
    <w:rsid w:val="00402965"/>
    <w:rsid w:val="00402A65"/>
    <w:rsid w:val="00403590"/>
    <w:rsid w:val="00403C04"/>
    <w:rsid w:val="00404230"/>
    <w:rsid w:val="004044EA"/>
    <w:rsid w:val="004045BC"/>
    <w:rsid w:val="00404D26"/>
    <w:rsid w:val="00405175"/>
    <w:rsid w:val="004053E8"/>
    <w:rsid w:val="00405A5B"/>
    <w:rsid w:val="004066A9"/>
    <w:rsid w:val="00406BF8"/>
    <w:rsid w:val="004105DE"/>
    <w:rsid w:val="004113C2"/>
    <w:rsid w:val="004114C5"/>
    <w:rsid w:val="004119B0"/>
    <w:rsid w:val="00411E91"/>
    <w:rsid w:val="00412556"/>
    <w:rsid w:val="0041287F"/>
    <w:rsid w:val="0041424C"/>
    <w:rsid w:val="004143FE"/>
    <w:rsid w:val="004150BD"/>
    <w:rsid w:val="004151B2"/>
    <w:rsid w:val="00415405"/>
    <w:rsid w:val="004158BB"/>
    <w:rsid w:val="00415C83"/>
    <w:rsid w:val="00415FE0"/>
    <w:rsid w:val="00416329"/>
    <w:rsid w:val="004164AF"/>
    <w:rsid w:val="00417A08"/>
    <w:rsid w:val="00420195"/>
    <w:rsid w:val="004202BF"/>
    <w:rsid w:val="004208B5"/>
    <w:rsid w:val="0042124E"/>
    <w:rsid w:val="00422ACE"/>
    <w:rsid w:val="00422D5E"/>
    <w:rsid w:val="00422E4D"/>
    <w:rsid w:val="004237C1"/>
    <w:rsid w:val="00424BB0"/>
    <w:rsid w:val="00426284"/>
    <w:rsid w:val="00426876"/>
    <w:rsid w:val="00426938"/>
    <w:rsid w:val="00426B94"/>
    <w:rsid w:val="0042703C"/>
    <w:rsid w:val="0043180C"/>
    <w:rsid w:val="00432B1E"/>
    <w:rsid w:val="00433347"/>
    <w:rsid w:val="004334EB"/>
    <w:rsid w:val="00434107"/>
    <w:rsid w:val="0043477C"/>
    <w:rsid w:val="00434D6D"/>
    <w:rsid w:val="00434D86"/>
    <w:rsid w:val="00434F6F"/>
    <w:rsid w:val="004351C1"/>
    <w:rsid w:val="00435659"/>
    <w:rsid w:val="0043617C"/>
    <w:rsid w:val="0043672A"/>
    <w:rsid w:val="00436A2D"/>
    <w:rsid w:val="00437C4F"/>
    <w:rsid w:val="00437F4C"/>
    <w:rsid w:val="0044198F"/>
    <w:rsid w:val="00442A9A"/>
    <w:rsid w:val="00442DF4"/>
    <w:rsid w:val="00442E52"/>
    <w:rsid w:val="0044321C"/>
    <w:rsid w:val="0044333E"/>
    <w:rsid w:val="00443453"/>
    <w:rsid w:val="004435F1"/>
    <w:rsid w:val="004436B8"/>
    <w:rsid w:val="004439BD"/>
    <w:rsid w:val="00444522"/>
    <w:rsid w:val="00445368"/>
    <w:rsid w:val="004453E4"/>
    <w:rsid w:val="004454B3"/>
    <w:rsid w:val="00446B6E"/>
    <w:rsid w:val="00446EBF"/>
    <w:rsid w:val="0044702C"/>
    <w:rsid w:val="00447A45"/>
    <w:rsid w:val="00447BEE"/>
    <w:rsid w:val="00447C42"/>
    <w:rsid w:val="00447DC3"/>
    <w:rsid w:val="00450B46"/>
    <w:rsid w:val="00451340"/>
    <w:rsid w:val="00451859"/>
    <w:rsid w:val="004521DC"/>
    <w:rsid w:val="004527DE"/>
    <w:rsid w:val="0045345F"/>
    <w:rsid w:val="00453F62"/>
    <w:rsid w:val="004545A2"/>
    <w:rsid w:val="0045523A"/>
    <w:rsid w:val="0045532B"/>
    <w:rsid w:val="00455C72"/>
    <w:rsid w:val="00456DFF"/>
    <w:rsid w:val="0045779C"/>
    <w:rsid w:val="00460FBB"/>
    <w:rsid w:val="00461694"/>
    <w:rsid w:val="00461752"/>
    <w:rsid w:val="00461C8B"/>
    <w:rsid w:val="00461F1F"/>
    <w:rsid w:val="0046204D"/>
    <w:rsid w:val="00462084"/>
    <w:rsid w:val="004627C5"/>
    <w:rsid w:val="00462F90"/>
    <w:rsid w:val="00463511"/>
    <w:rsid w:val="00463652"/>
    <w:rsid w:val="00463DF7"/>
    <w:rsid w:val="004644F7"/>
    <w:rsid w:val="004652FB"/>
    <w:rsid w:val="004655CD"/>
    <w:rsid w:val="004661D9"/>
    <w:rsid w:val="00466394"/>
    <w:rsid w:val="00466754"/>
    <w:rsid w:val="00466993"/>
    <w:rsid w:val="00467464"/>
    <w:rsid w:val="00467ADA"/>
    <w:rsid w:val="00467C35"/>
    <w:rsid w:val="004701F9"/>
    <w:rsid w:val="0047092D"/>
    <w:rsid w:val="00470CE9"/>
    <w:rsid w:val="00470F75"/>
    <w:rsid w:val="004712E6"/>
    <w:rsid w:val="00472073"/>
    <w:rsid w:val="004722EA"/>
    <w:rsid w:val="00472661"/>
    <w:rsid w:val="00472EAB"/>
    <w:rsid w:val="004732BB"/>
    <w:rsid w:val="00473316"/>
    <w:rsid w:val="00473BA6"/>
    <w:rsid w:val="00473BCF"/>
    <w:rsid w:val="0047455E"/>
    <w:rsid w:val="00475397"/>
    <w:rsid w:val="00475510"/>
    <w:rsid w:val="00475DFF"/>
    <w:rsid w:val="0047683E"/>
    <w:rsid w:val="00477450"/>
    <w:rsid w:val="0047781B"/>
    <w:rsid w:val="00477F81"/>
    <w:rsid w:val="004800DF"/>
    <w:rsid w:val="00480D99"/>
    <w:rsid w:val="0048155F"/>
    <w:rsid w:val="00482515"/>
    <w:rsid w:val="004840F7"/>
    <w:rsid w:val="00484887"/>
    <w:rsid w:val="00484A5F"/>
    <w:rsid w:val="00485F80"/>
    <w:rsid w:val="00486CA7"/>
    <w:rsid w:val="00486CE7"/>
    <w:rsid w:val="00487259"/>
    <w:rsid w:val="00487CF6"/>
    <w:rsid w:val="004917D0"/>
    <w:rsid w:val="00491A9F"/>
    <w:rsid w:val="00492A24"/>
    <w:rsid w:val="0049307C"/>
    <w:rsid w:val="004932A5"/>
    <w:rsid w:val="004932CC"/>
    <w:rsid w:val="00493D71"/>
    <w:rsid w:val="00493FCC"/>
    <w:rsid w:val="00494875"/>
    <w:rsid w:val="00494BFB"/>
    <w:rsid w:val="004950BB"/>
    <w:rsid w:val="00495308"/>
    <w:rsid w:val="00495447"/>
    <w:rsid w:val="0049551B"/>
    <w:rsid w:val="004961F8"/>
    <w:rsid w:val="00496B15"/>
    <w:rsid w:val="0049726F"/>
    <w:rsid w:val="00497766"/>
    <w:rsid w:val="00497A27"/>
    <w:rsid w:val="00497E93"/>
    <w:rsid w:val="004A0403"/>
    <w:rsid w:val="004A0762"/>
    <w:rsid w:val="004A1C23"/>
    <w:rsid w:val="004A26ED"/>
    <w:rsid w:val="004A3EF6"/>
    <w:rsid w:val="004A4032"/>
    <w:rsid w:val="004A417F"/>
    <w:rsid w:val="004A4633"/>
    <w:rsid w:val="004A471A"/>
    <w:rsid w:val="004A47CB"/>
    <w:rsid w:val="004A481C"/>
    <w:rsid w:val="004A4A6F"/>
    <w:rsid w:val="004A4EAA"/>
    <w:rsid w:val="004A5A5D"/>
    <w:rsid w:val="004A68FE"/>
    <w:rsid w:val="004A6A02"/>
    <w:rsid w:val="004A6E3F"/>
    <w:rsid w:val="004A7BCF"/>
    <w:rsid w:val="004B017D"/>
    <w:rsid w:val="004B0376"/>
    <w:rsid w:val="004B038C"/>
    <w:rsid w:val="004B155C"/>
    <w:rsid w:val="004B17A7"/>
    <w:rsid w:val="004B1B0B"/>
    <w:rsid w:val="004B2078"/>
    <w:rsid w:val="004B2DD0"/>
    <w:rsid w:val="004B2E60"/>
    <w:rsid w:val="004B3255"/>
    <w:rsid w:val="004B45DD"/>
    <w:rsid w:val="004B528A"/>
    <w:rsid w:val="004B6453"/>
    <w:rsid w:val="004B64FF"/>
    <w:rsid w:val="004B71C3"/>
    <w:rsid w:val="004B7325"/>
    <w:rsid w:val="004B736C"/>
    <w:rsid w:val="004B7DEF"/>
    <w:rsid w:val="004C0037"/>
    <w:rsid w:val="004C0223"/>
    <w:rsid w:val="004C0364"/>
    <w:rsid w:val="004C0716"/>
    <w:rsid w:val="004C1CC3"/>
    <w:rsid w:val="004C212E"/>
    <w:rsid w:val="004C2273"/>
    <w:rsid w:val="004C2CCB"/>
    <w:rsid w:val="004C2E0B"/>
    <w:rsid w:val="004C45C6"/>
    <w:rsid w:val="004C45FC"/>
    <w:rsid w:val="004C546D"/>
    <w:rsid w:val="004C58D9"/>
    <w:rsid w:val="004C5BDE"/>
    <w:rsid w:val="004C5D8D"/>
    <w:rsid w:val="004C68F1"/>
    <w:rsid w:val="004C74FD"/>
    <w:rsid w:val="004C7704"/>
    <w:rsid w:val="004C77BF"/>
    <w:rsid w:val="004D10B5"/>
    <w:rsid w:val="004D1324"/>
    <w:rsid w:val="004D1C91"/>
    <w:rsid w:val="004D1FAE"/>
    <w:rsid w:val="004D2A20"/>
    <w:rsid w:val="004D2FC4"/>
    <w:rsid w:val="004D331F"/>
    <w:rsid w:val="004D3809"/>
    <w:rsid w:val="004D3A9C"/>
    <w:rsid w:val="004D401F"/>
    <w:rsid w:val="004D46F9"/>
    <w:rsid w:val="004D4859"/>
    <w:rsid w:val="004D4D1C"/>
    <w:rsid w:val="004D56E9"/>
    <w:rsid w:val="004D5BFD"/>
    <w:rsid w:val="004D6049"/>
    <w:rsid w:val="004D688F"/>
    <w:rsid w:val="004D703A"/>
    <w:rsid w:val="004D7B1E"/>
    <w:rsid w:val="004E0102"/>
    <w:rsid w:val="004E02BD"/>
    <w:rsid w:val="004E060A"/>
    <w:rsid w:val="004E07E6"/>
    <w:rsid w:val="004E0A0E"/>
    <w:rsid w:val="004E0B0E"/>
    <w:rsid w:val="004E0B2F"/>
    <w:rsid w:val="004E284D"/>
    <w:rsid w:val="004E2E6A"/>
    <w:rsid w:val="004E3511"/>
    <w:rsid w:val="004E382C"/>
    <w:rsid w:val="004E426C"/>
    <w:rsid w:val="004E5945"/>
    <w:rsid w:val="004E5E90"/>
    <w:rsid w:val="004E6889"/>
    <w:rsid w:val="004E7464"/>
    <w:rsid w:val="004E7759"/>
    <w:rsid w:val="004F0985"/>
    <w:rsid w:val="004F13B7"/>
    <w:rsid w:val="004F1CEC"/>
    <w:rsid w:val="004F2717"/>
    <w:rsid w:val="004F3B2C"/>
    <w:rsid w:val="004F4818"/>
    <w:rsid w:val="004F4AD8"/>
    <w:rsid w:val="004F4B48"/>
    <w:rsid w:val="004F5441"/>
    <w:rsid w:val="004F55FE"/>
    <w:rsid w:val="004F5EE1"/>
    <w:rsid w:val="004F6064"/>
    <w:rsid w:val="004F6399"/>
    <w:rsid w:val="004F6A16"/>
    <w:rsid w:val="004F6A53"/>
    <w:rsid w:val="00500173"/>
    <w:rsid w:val="005005B0"/>
    <w:rsid w:val="00500E80"/>
    <w:rsid w:val="00500FA6"/>
    <w:rsid w:val="00501127"/>
    <w:rsid w:val="0050150B"/>
    <w:rsid w:val="00502F0D"/>
    <w:rsid w:val="00503E32"/>
    <w:rsid w:val="00504025"/>
    <w:rsid w:val="005051C9"/>
    <w:rsid w:val="00505565"/>
    <w:rsid w:val="00505668"/>
    <w:rsid w:val="00507654"/>
    <w:rsid w:val="0051066E"/>
    <w:rsid w:val="00510C45"/>
    <w:rsid w:val="005110EC"/>
    <w:rsid w:val="00511873"/>
    <w:rsid w:val="00511C34"/>
    <w:rsid w:val="00511F38"/>
    <w:rsid w:val="0051260D"/>
    <w:rsid w:val="005140EA"/>
    <w:rsid w:val="005148EC"/>
    <w:rsid w:val="0051490C"/>
    <w:rsid w:val="005149DB"/>
    <w:rsid w:val="0051592E"/>
    <w:rsid w:val="005166B2"/>
    <w:rsid w:val="00516FE5"/>
    <w:rsid w:val="00520D6B"/>
    <w:rsid w:val="00521356"/>
    <w:rsid w:val="005218D1"/>
    <w:rsid w:val="00521BDB"/>
    <w:rsid w:val="00521C6B"/>
    <w:rsid w:val="00522EDB"/>
    <w:rsid w:val="00523709"/>
    <w:rsid w:val="00523AD4"/>
    <w:rsid w:val="0052451A"/>
    <w:rsid w:val="005251EC"/>
    <w:rsid w:val="00525767"/>
    <w:rsid w:val="005257BE"/>
    <w:rsid w:val="00525A2B"/>
    <w:rsid w:val="00525CD7"/>
    <w:rsid w:val="00525D48"/>
    <w:rsid w:val="005277CD"/>
    <w:rsid w:val="00530796"/>
    <w:rsid w:val="00531B82"/>
    <w:rsid w:val="00531CE4"/>
    <w:rsid w:val="00531FA4"/>
    <w:rsid w:val="00531FBA"/>
    <w:rsid w:val="005331B2"/>
    <w:rsid w:val="005337C2"/>
    <w:rsid w:val="00533870"/>
    <w:rsid w:val="00533DB8"/>
    <w:rsid w:val="00533EE6"/>
    <w:rsid w:val="0053452C"/>
    <w:rsid w:val="00534A79"/>
    <w:rsid w:val="0053531C"/>
    <w:rsid w:val="00535EC5"/>
    <w:rsid w:val="00536554"/>
    <w:rsid w:val="0053758A"/>
    <w:rsid w:val="005405E8"/>
    <w:rsid w:val="0054063D"/>
    <w:rsid w:val="00540802"/>
    <w:rsid w:val="00540E91"/>
    <w:rsid w:val="00540F72"/>
    <w:rsid w:val="005420ED"/>
    <w:rsid w:val="005429AE"/>
    <w:rsid w:val="00542FB1"/>
    <w:rsid w:val="00544188"/>
    <w:rsid w:val="005446C5"/>
    <w:rsid w:val="005446F8"/>
    <w:rsid w:val="00544AF9"/>
    <w:rsid w:val="00544D1B"/>
    <w:rsid w:val="0054513F"/>
    <w:rsid w:val="00545208"/>
    <w:rsid w:val="005453D3"/>
    <w:rsid w:val="00545F76"/>
    <w:rsid w:val="005460C5"/>
    <w:rsid w:val="00546A4E"/>
    <w:rsid w:val="00546C74"/>
    <w:rsid w:val="00546E3A"/>
    <w:rsid w:val="005473A9"/>
    <w:rsid w:val="00547598"/>
    <w:rsid w:val="0055166C"/>
    <w:rsid w:val="005518E3"/>
    <w:rsid w:val="00552B7D"/>
    <w:rsid w:val="00552F2B"/>
    <w:rsid w:val="00553244"/>
    <w:rsid w:val="00553F55"/>
    <w:rsid w:val="005540CB"/>
    <w:rsid w:val="00554719"/>
    <w:rsid w:val="005547C2"/>
    <w:rsid w:val="00555185"/>
    <w:rsid w:val="0055567A"/>
    <w:rsid w:val="00555A72"/>
    <w:rsid w:val="00560300"/>
    <w:rsid w:val="00560B4A"/>
    <w:rsid w:val="00561F3A"/>
    <w:rsid w:val="0056274D"/>
    <w:rsid w:val="00562884"/>
    <w:rsid w:val="00562C39"/>
    <w:rsid w:val="0056357A"/>
    <w:rsid w:val="00563B30"/>
    <w:rsid w:val="00563C22"/>
    <w:rsid w:val="00564148"/>
    <w:rsid w:val="0056494E"/>
    <w:rsid w:val="005655CE"/>
    <w:rsid w:val="00566286"/>
    <w:rsid w:val="005668C2"/>
    <w:rsid w:val="0056736F"/>
    <w:rsid w:val="00567617"/>
    <w:rsid w:val="00567A4F"/>
    <w:rsid w:val="005704A4"/>
    <w:rsid w:val="005708D3"/>
    <w:rsid w:val="0057144F"/>
    <w:rsid w:val="00571621"/>
    <w:rsid w:val="00571B17"/>
    <w:rsid w:val="00571C8A"/>
    <w:rsid w:val="00571FA3"/>
    <w:rsid w:val="00572462"/>
    <w:rsid w:val="00572AD8"/>
    <w:rsid w:val="005735BA"/>
    <w:rsid w:val="00573B3C"/>
    <w:rsid w:val="005740B3"/>
    <w:rsid w:val="005741EA"/>
    <w:rsid w:val="00574454"/>
    <w:rsid w:val="00577065"/>
    <w:rsid w:val="00577099"/>
    <w:rsid w:val="00577B7E"/>
    <w:rsid w:val="00577C3F"/>
    <w:rsid w:val="00577DA6"/>
    <w:rsid w:val="0058004D"/>
    <w:rsid w:val="00580BC4"/>
    <w:rsid w:val="00581518"/>
    <w:rsid w:val="00581EB2"/>
    <w:rsid w:val="00582020"/>
    <w:rsid w:val="0058228B"/>
    <w:rsid w:val="00582460"/>
    <w:rsid w:val="00582630"/>
    <w:rsid w:val="00582884"/>
    <w:rsid w:val="00582947"/>
    <w:rsid w:val="00582DE1"/>
    <w:rsid w:val="00582FC0"/>
    <w:rsid w:val="005840B8"/>
    <w:rsid w:val="005841E2"/>
    <w:rsid w:val="005852F0"/>
    <w:rsid w:val="0058574F"/>
    <w:rsid w:val="0058643E"/>
    <w:rsid w:val="005867A0"/>
    <w:rsid w:val="00586BB4"/>
    <w:rsid w:val="00586CE3"/>
    <w:rsid w:val="00587453"/>
    <w:rsid w:val="00587A01"/>
    <w:rsid w:val="00590051"/>
    <w:rsid w:val="00590295"/>
    <w:rsid w:val="00590CBB"/>
    <w:rsid w:val="00590E57"/>
    <w:rsid w:val="0059116C"/>
    <w:rsid w:val="005913F1"/>
    <w:rsid w:val="00592A67"/>
    <w:rsid w:val="005934A9"/>
    <w:rsid w:val="0059368A"/>
    <w:rsid w:val="0059410F"/>
    <w:rsid w:val="005944D3"/>
    <w:rsid w:val="00594EB4"/>
    <w:rsid w:val="00595029"/>
    <w:rsid w:val="00596280"/>
    <w:rsid w:val="00597148"/>
    <w:rsid w:val="005A0413"/>
    <w:rsid w:val="005A0ABE"/>
    <w:rsid w:val="005A0D4C"/>
    <w:rsid w:val="005A19C9"/>
    <w:rsid w:val="005A2514"/>
    <w:rsid w:val="005A3BA9"/>
    <w:rsid w:val="005A4CC4"/>
    <w:rsid w:val="005A5021"/>
    <w:rsid w:val="005A5B55"/>
    <w:rsid w:val="005A5DC9"/>
    <w:rsid w:val="005A620E"/>
    <w:rsid w:val="005A6A6C"/>
    <w:rsid w:val="005A6AC0"/>
    <w:rsid w:val="005A6AC7"/>
    <w:rsid w:val="005A6AD7"/>
    <w:rsid w:val="005B0603"/>
    <w:rsid w:val="005B0E10"/>
    <w:rsid w:val="005B146F"/>
    <w:rsid w:val="005B155C"/>
    <w:rsid w:val="005B285A"/>
    <w:rsid w:val="005B2DC3"/>
    <w:rsid w:val="005B3B4C"/>
    <w:rsid w:val="005B45BE"/>
    <w:rsid w:val="005B50EE"/>
    <w:rsid w:val="005B569D"/>
    <w:rsid w:val="005B5F2C"/>
    <w:rsid w:val="005B6405"/>
    <w:rsid w:val="005B67B4"/>
    <w:rsid w:val="005B6C51"/>
    <w:rsid w:val="005B7016"/>
    <w:rsid w:val="005B7FDD"/>
    <w:rsid w:val="005C02FE"/>
    <w:rsid w:val="005C0479"/>
    <w:rsid w:val="005C0DC2"/>
    <w:rsid w:val="005C17FF"/>
    <w:rsid w:val="005C19B0"/>
    <w:rsid w:val="005C1A3D"/>
    <w:rsid w:val="005C1CD6"/>
    <w:rsid w:val="005C2B27"/>
    <w:rsid w:val="005C3AEC"/>
    <w:rsid w:val="005C3D6D"/>
    <w:rsid w:val="005C413A"/>
    <w:rsid w:val="005C4168"/>
    <w:rsid w:val="005C6773"/>
    <w:rsid w:val="005C7311"/>
    <w:rsid w:val="005C74EE"/>
    <w:rsid w:val="005D0061"/>
    <w:rsid w:val="005D02A8"/>
    <w:rsid w:val="005D0F41"/>
    <w:rsid w:val="005D1191"/>
    <w:rsid w:val="005D2B7C"/>
    <w:rsid w:val="005D544B"/>
    <w:rsid w:val="005D5568"/>
    <w:rsid w:val="005D5E5D"/>
    <w:rsid w:val="005D5EAC"/>
    <w:rsid w:val="005D5F21"/>
    <w:rsid w:val="005D6897"/>
    <w:rsid w:val="005D75C9"/>
    <w:rsid w:val="005D7C89"/>
    <w:rsid w:val="005D7F4B"/>
    <w:rsid w:val="005E05ED"/>
    <w:rsid w:val="005E08EB"/>
    <w:rsid w:val="005E1D9B"/>
    <w:rsid w:val="005E26A7"/>
    <w:rsid w:val="005E329B"/>
    <w:rsid w:val="005E43F6"/>
    <w:rsid w:val="005E489D"/>
    <w:rsid w:val="005E5426"/>
    <w:rsid w:val="005E57D7"/>
    <w:rsid w:val="005E5D53"/>
    <w:rsid w:val="005E61F6"/>
    <w:rsid w:val="005E668A"/>
    <w:rsid w:val="005E68A2"/>
    <w:rsid w:val="005E6BE4"/>
    <w:rsid w:val="005E7317"/>
    <w:rsid w:val="005E774D"/>
    <w:rsid w:val="005E7DC9"/>
    <w:rsid w:val="005F129C"/>
    <w:rsid w:val="005F177A"/>
    <w:rsid w:val="005F2123"/>
    <w:rsid w:val="005F26F6"/>
    <w:rsid w:val="005F2F68"/>
    <w:rsid w:val="005F3154"/>
    <w:rsid w:val="005F398F"/>
    <w:rsid w:val="005F47E9"/>
    <w:rsid w:val="005F5122"/>
    <w:rsid w:val="005F512D"/>
    <w:rsid w:val="005F5229"/>
    <w:rsid w:val="005F5921"/>
    <w:rsid w:val="005F5A2D"/>
    <w:rsid w:val="005F5F34"/>
    <w:rsid w:val="005F61A4"/>
    <w:rsid w:val="005F686B"/>
    <w:rsid w:val="005F6D49"/>
    <w:rsid w:val="005F72F0"/>
    <w:rsid w:val="005F79FB"/>
    <w:rsid w:val="005F7EE0"/>
    <w:rsid w:val="0060019B"/>
    <w:rsid w:val="00600673"/>
    <w:rsid w:val="00600D8A"/>
    <w:rsid w:val="00601050"/>
    <w:rsid w:val="006020E4"/>
    <w:rsid w:val="00602261"/>
    <w:rsid w:val="006022DA"/>
    <w:rsid w:val="0060245A"/>
    <w:rsid w:val="0060361A"/>
    <w:rsid w:val="00603A79"/>
    <w:rsid w:val="006043B1"/>
    <w:rsid w:val="00604C13"/>
    <w:rsid w:val="00604F11"/>
    <w:rsid w:val="00605623"/>
    <w:rsid w:val="00605C46"/>
    <w:rsid w:val="00605C6C"/>
    <w:rsid w:val="00605F7C"/>
    <w:rsid w:val="0060603D"/>
    <w:rsid w:val="0060671B"/>
    <w:rsid w:val="00607F9D"/>
    <w:rsid w:val="0061088A"/>
    <w:rsid w:val="00612BA8"/>
    <w:rsid w:val="00613565"/>
    <w:rsid w:val="00613D58"/>
    <w:rsid w:val="00614095"/>
    <w:rsid w:val="00614665"/>
    <w:rsid w:val="00614CB4"/>
    <w:rsid w:val="00614CF2"/>
    <w:rsid w:val="00614E47"/>
    <w:rsid w:val="00615037"/>
    <w:rsid w:val="006151A7"/>
    <w:rsid w:val="006166B1"/>
    <w:rsid w:val="006169C6"/>
    <w:rsid w:val="006179A3"/>
    <w:rsid w:val="00620354"/>
    <w:rsid w:val="00620FCC"/>
    <w:rsid w:val="0062141A"/>
    <w:rsid w:val="0062289B"/>
    <w:rsid w:val="006238BB"/>
    <w:rsid w:val="00623EC7"/>
    <w:rsid w:val="00623FD9"/>
    <w:rsid w:val="006248AF"/>
    <w:rsid w:val="00624CF6"/>
    <w:rsid w:val="00626A65"/>
    <w:rsid w:val="00626B1A"/>
    <w:rsid w:val="00626DC2"/>
    <w:rsid w:val="00631050"/>
    <w:rsid w:val="00632991"/>
    <w:rsid w:val="00633701"/>
    <w:rsid w:val="00633718"/>
    <w:rsid w:val="006345E2"/>
    <w:rsid w:val="006356F0"/>
    <w:rsid w:val="00636631"/>
    <w:rsid w:val="006369D9"/>
    <w:rsid w:val="00637549"/>
    <w:rsid w:val="00637B8A"/>
    <w:rsid w:val="00637E51"/>
    <w:rsid w:val="0064005D"/>
    <w:rsid w:val="00640C79"/>
    <w:rsid w:val="00640ECA"/>
    <w:rsid w:val="00641282"/>
    <w:rsid w:val="006413ED"/>
    <w:rsid w:val="006417A0"/>
    <w:rsid w:val="00642E9E"/>
    <w:rsid w:val="00643057"/>
    <w:rsid w:val="006439E7"/>
    <w:rsid w:val="00643D61"/>
    <w:rsid w:val="0064400E"/>
    <w:rsid w:val="00644B7C"/>
    <w:rsid w:val="00645CB8"/>
    <w:rsid w:val="006463D1"/>
    <w:rsid w:val="006468A9"/>
    <w:rsid w:val="00646DF5"/>
    <w:rsid w:val="0064779A"/>
    <w:rsid w:val="006500A8"/>
    <w:rsid w:val="006506C1"/>
    <w:rsid w:val="00650B3C"/>
    <w:rsid w:val="0065225C"/>
    <w:rsid w:val="006525E8"/>
    <w:rsid w:val="006529A7"/>
    <w:rsid w:val="00652DF8"/>
    <w:rsid w:val="006542D3"/>
    <w:rsid w:val="00654993"/>
    <w:rsid w:val="00656065"/>
    <w:rsid w:val="00656804"/>
    <w:rsid w:val="00657A06"/>
    <w:rsid w:val="00657E48"/>
    <w:rsid w:val="00660202"/>
    <w:rsid w:val="0066077D"/>
    <w:rsid w:val="0066082C"/>
    <w:rsid w:val="0066103A"/>
    <w:rsid w:val="006613AD"/>
    <w:rsid w:val="00661CFD"/>
    <w:rsid w:val="00663CD4"/>
    <w:rsid w:val="0066411C"/>
    <w:rsid w:val="00664225"/>
    <w:rsid w:val="00664268"/>
    <w:rsid w:val="00664507"/>
    <w:rsid w:val="006649EC"/>
    <w:rsid w:val="00665946"/>
    <w:rsid w:val="00665A94"/>
    <w:rsid w:val="006662EB"/>
    <w:rsid w:val="00666A15"/>
    <w:rsid w:val="00670031"/>
    <w:rsid w:val="0067083F"/>
    <w:rsid w:val="00670C1A"/>
    <w:rsid w:val="00672872"/>
    <w:rsid w:val="00672FD6"/>
    <w:rsid w:val="00672FDA"/>
    <w:rsid w:val="00673A62"/>
    <w:rsid w:val="00673D65"/>
    <w:rsid w:val="00674349"/>
    <w:rsid w:val="00674447"/>
    <w:rsid w:val="00674723"/>
    <w:rsid w:val="00674873"/>
    <w:rsid w:val="00675951"/>
    <w:rsid w:val="006759E0"/>
    <w:rsid w:val="00675DA9"/>
    <w:rsid w:val="00676485"/>
    <w:rsid w:val="00676D53"/>
    <w:rsid w:val="00677457"/>
    <w:rsid w:val="006778AD"/>
    <w:rsid w:val="006800FC"/>
    <w:rsid w:val="00680C58"/>
    <w:rsid w:val="00680F34"/>
    <w:rsid w:val="006811FB"/>
    <w:rsid w:val="006822B7"/>
    <w:rsid w:val="00682D6A"/>
    <w:rsid w:val="0068370F"/>
    <w:rsid w:val="00683F39"/>
    <w:rsid w:val="00683FC1"/>
    <w:rsid w:val="006848E4"/>
    <w:rsid w:val="00685351"/>
    <w:rsid w:val="00685CAC"/>
    <w:rsid w:val="0068662E"/>
    <w:rsid w:val="006868DA"/>
    <w:rsid w:val="006878FF"/>
    <w:rsid w:val="00687ABD"/>
    <w:rsid w:val="006911BC"/>
    <w:rsid w:val="0069165E"/>
    <w:rsid w:val="00691C73"/>
    <w:rsid w:val="00692FA2"/>
    <w:rsid w:val="006930E6"/>
    <w:rsid w:val="00693884"/>
    <w:rsid w:val="00694339"/>
    <w:rsid w:val="00694427"/>
    <w:rsid w:val="006953FF"/>
    <w:rsid w:val="00695401"/>
    <w:rsid w:val="00696456"/>
    <w:rsid w:val="00696599"/>
    <w:rsid w:val="00697328"/>
    <w:rsid w:val="006976BD"/>
    <w:rsid w:val="006A0013"/>
    <w:rsid w:val="006A0A42"/>
    <w:rsid w:val="006A0C26"/>
    <w:rsid w:val="006A0C6A"/>
    <w:rsid w:val="006A0D9D"/>
    <w:rsid w:val="006A0E42"/>
    <w:rsid w:val="006A1962"/>
    <w:rsid w:val="006A23B1"/>
    <w:rsid w:val="006A2CF9"/>
    <w:rsid w:val="006A2D8B"/>
    <w:rsid w:val="006A31D7"/>
    <w:rsid w:val="006A3AE9"/>
    <w:rsid w:val="006A3CE7"/>
    <w:rsid w:val="006A40E5"/>
    <w:rsid w:val="006A457D"/>
    <w:rsid w:val="006A4EE0"/>
    <w:rsid w:val="006A6003"/>
    <w:rsid w:val="006A76B8"/>
    <w:rsid w:val="006A7944"/>
    <w:rsid w:val="006B052F"/>
    <w:rsid w:val="006B075A"/>
    <w:rsid w:val="006B075C"/>
    <w:rsid w:val="006B0C75"/>
    <w:rsid w:val="006B0CD6"/>
    <w:rsid w:val="006B166C"/>
    <w:rsid w:val="006B1F0F"/>
    <w:rsid w:val="006B2123"/>
    <w:rsid w:val="006B26D4"/>
    <w:rsid w:val="006B2927"/>
    <w:rsid w:val="006B2C39"/>
    <w:rsid w:val="006B354D"/>
    <w:rsid w:val="006B4D4E"/>
    <w:rsid w:val="006B4D6D"/>
    <w:rsid w:val="006B516B"/>
    <w:rsid w:val="006B51C0"/>
    <w:rsid w:val="006B5A5D"/>
    <w:rsid w:val="006B5BF5"/>
    <w:rsid w:val="006B6046"/>
    <w:rsid w:val="006B65CD"/>
    <w:rsid w:val="006B6B98"/>
    <w:rsid w:val="006C014C"/>
    <w:rsid w:val="006C0929"/>
    <w:rsid w:val="006C1373"/>
    <w:rsid w:val="006C154B"/>
    <w:rsid w:val="006C2151"/>
    <w:rsid w:val="006C2861"/>
    <w:rsid w:val="006C2E37"/>
    <w:rsid w:val="006C3BDA"/>
    <w:rsid w:val="006C3C6D"/>
    <w:rsid w:val="006C4693"/>
    <w:rsid w:val="006C4A6B"/>
    <w:rsid w:val="006C59DD"/>
    <w:rsid w:val="006C6129"/>
    <w:rsid w:val="006C628B"/>
    <w:rsid w:val="006C633F"/>
    <w:rsid w:val="006C743D"/>
    <w:rsid w:val="006D034C"/>
    <w:rsid w:val="006D041B"/>
    <w:rsid w:val="006D055E"/>
    <w:rsid w:val="006D0DDC"/>
    <w:rsid w:val="006D134A"/>
    <w:rsid w:val="006D1AE8"/>
    <w:rsid w:val="006D1BEB"/>
    <w:rsid w:val="006D1D2D"/>
    <w:rsid w:val="006D266E"/>
    <w:rsid w:val="006D2B4C"/>
    <w:rsid w:val="006D4700"/>
    <w:rsid w:val="006D4A57"/>
    <w:rsid w:val="006D4DB1"/>
    <w:rsid w:val="006D4FF7"/>
    <w:rsid w:val="006D52BA"/>
    <w:rsid w:val="006D5620"/>
    <w:rsid w:val="006D7679"/>
    <w:rsid w:val="006D7F45"/>
    <w:rsid w:val="006E0533"/>
    <w:rsid w:val="006E0D31"/>
    <w:rsid w:val="006E0DC3"/>
    <w:rsid w:val="006E1D59"/>
    <w:rsid w:val="006E1E62"/>
    <w:rsid w:val="006E20EE"/>
    <w:rsid w:val="006E2C39"/>
    <w:rsid w:val="006E2E76"/>
    <w:rsid w:val="006E31BC"/>
    <w:rsid w:val="006E3CA3"/>
    <w:rsid w:val="006E462F"/>
    <w:rsid w:val="006E49DF"/>
    <w:rsid w:val="006E4CE3"/>
    <w:rsid w:val="006E5195"/>
    <w:rsid w:val="006E5312"/>
    <w:rsid w:val="006E5480"/>
    <w:rsid w:val="006F058D"/>
    <w:rsid w:val="006F06C8"/>
    <w:rsid w:val="006F12D4"/>
    <w:rsid w:val="006F1514"/>
    <w:rsid w:val="006F5735"/>
    <w:rsid w:val="006F5765"/>
    <w:rsid w:val="006F59AB"/>
    <w:rsid w:val="006F5ACD"/>
    <w:rsid w:val="006F65FA"/>
    <w:rsid w:val="006F665E"/>
    <w:rsid w:val="006F7023"/>
    <w:rsid w:val="006F7468"/>
    <w:rsid w:val="007009FE"/>
    <w:rsid w:val="00700D24"/>
    <w:rsid w:val="00701804"/>
    <w:rsid w:val="00701EF3"/>
    <w:rsid w:val="007020FD"/>
    <w:rsid w:val="007021BC"/>
    <w:rsid w:val="0070254F"/>
    <w:rsid w:val="00702DD9"/>
    <w:rsid w:val="00703577"/>
    <w:rsid w:val="00704BFA"/>
    <w:rsid w:val="00704DBB"/>
    <w:rsid w:val="00705134"/>
    <w:rsid w:val="00705C44"/>
    <w:rsid w:val="00706328"/>
    <w:rsid w:val="007064F5"/>
    <w:rsid w:val="007066E9"/>
    <w:rsid w:val="00707059"/>
    <w:rsid w:val="007076A9"/>
    <w:rsid w:val="00710852"/>
    <w:rsid w:val="00710E20"/>
    <w:rsid w:val="00710FD1"/>
    <w:rsid w:val="007112DC"/>
    <w:rsid w:val="00711D6C"/>
    <w:rsid w:val="00712086"/>
    <w:rsid w:val="00712ABF"/>
    <w:rsid w:val="0071371C"/>
    <w:rsid w:val="00714340"/>
    <w:rsid w:val="007146AE"/>
    <w:rsid w:val="007147DB"/>
    <w:rsid w:val="007147DC"/>
    <w:rsid w:val="00715030"/>
    <w:rsid w:val="007156CE"/>
    <w:rsid w:val="007157F6"/>
    <w:rsid w:val="00715C65"/>
    <w:rsid w:val="00715D96"/>
    <w:rsid w:val="0071627B"/>
    <w:rsid w:val="00716BC1"/>
    <w:rsid w:val="00717391"/>
    <w:rsid w:val="007176AE"/>
    <w:rsid w:val="00720993"/>
    <w:rsid w:val="00720AA0"/>
    <w:rsid w:val="007215DD"/>
    <w:rsid w:val="007219F7"/>
    <w:rsid w:val="00721AEA"/>
    <w:rsid w:val="00722103"/>
    <w:rsid w:val="00722569"/>
    <w:rsid w:val="00723236"/>
    <w:rsid w:val="007232E1"/>
    <w:rsid w:val="00723635"/>
    <w:rsid w:val="00726CEA"/>
    <w:rsid w:val="007272D3"/>
    <w:rsid w:val="0073239B"/>
    <w:rsid w:val="00732972"/>
    <w:rsid w:val="00732A05"/>
    <w:rsid w:val="00732E39"/>
    <w:rsid w:val="007333C2"/>
    <w:rsid w:val="007336F7"/>
    <w:rsid w:val="00733802"/>
    <w:rsid w:val="007338C2"/>
    <w:rsid w:val="00733A62"/>
    <w:rsid w:val="007353B8"/>
    <w:rsid w:val="007358CF"/>
    <w:rsid w:val="00736297"/>
    <w:rsid w:val="0073691A"/>
    <w:rsid w:val="0073697D"/>
    <w:rsid w:val="00736E63"/>
    <w:rsid w:val="007374EF"/>
    <w:rsid w:val="00737714"/>
    <w:rsid w:val="00740280"/>
    <w:rsid w:val="00740FA6"/>
    <w:rsid w:val="007417C4"/>
    <w:rsid w:val="00742E4B"/>
    <w:rsid w:val="00742E9F"/>
    <w:rsid w:val="00743346"/>
    <w:rsid w:val="00743349"/>
    <w:rsid w:val="007435B9"/>
    <w:rsid w:val="00743B43"/>
    <w:rsid w:val="007440B4"/>
    <w:rsid w:val="00745307"/>
    <w:rsid w:val="007455F0"/>
    <w:rsid w:val="00745BCD"/>
    <w:rsid w:val="00746664"/>
    <w:rsid w:val="00746C1F"/>
    <w:rsid w:val="007504A7"/>
    <w:rsid w:val="00751F6A"/>
    <w:rsid w:val="00752099"/>
    <w:rsid w:val="0075216A"/>
    <w:rsid w:val="007530C3"/>
    <w:rsid w:val="007536DF"/>
    <w:rsid w:val="00753DE4"/>
    <w:rsid w:val="00754AD9"/>
    <w:rsid w:val="00754EEB"/>
    <w:rsid w:val="007554ED"/>
    <w:rsid w:val="007555B7"/>
    <w:rsid w:val="007555CA"/>
    <w:rsid w:val="00755B5C"/>
    <w:rsid w:val="00755E40"/>
    <w:rsid w:val="00756FF6"/>
    <w:rsid w:val="00757783"/>
    <w:rsid w:val="00757C85"/>
    <w:rsid w:val="00760E18"/>
    <w:rsid w:val="0076127E"/>
    <w:rsid w:val="00761B65"/>
    <w:rsid w:val="0076255A"/>
    <w:rsid w:val="007626C0"/>
    <w:rsid w:val="0076363C"/>
    <w:rsid w:val="00764613"/>
    <w:rsid w:val="007647AE"/>
    <w:rsid w:val="00764969"/>
    <w:rsid w:val="00764EFC"/>
    <w:rsid w:val="0076559A"/>
    <w:rsid w:val="00766E15"/>
    <w:rsid w:val="00767F36"/>
    <w:rsid w:val="00770537"/>
    <w:rsid w:val="007707C1"/>
    <w:rsid w:val="00770A27"/>
    <w:rsid w:val="007712C8"/>
    <w:rsid w:val="007713C0"/>
    <w:rsid w:val="00772A48"/>
    <w:rsid w:val="007735A7"/>
    <w:rsid w:val="007737AE"/>
    <w:rsid w:val="007744CF"/>
    <w:rsid w:val="0077527D"/>
    <w:rsid w:val="0077563F"/>
    <w:rsid w:val="0077696C"/>
    <w:rsid w:val="00777B1D"/>
    <w:rsid w:val="007804C2"/>
    <w:rsid w:val="007807C4"/>
    <w:rsid w:val="00780E4C"/>
    <w:rsid w:val="0078116B"/>
    <w:rsid w:val="0078134E"/>
    <w:rsid w:val="007815E7"/>
    <w:rsid w:val="007826C4"/>
    <w:rsid w:val="00782E82"/>
    <w:rsid w:val="00783748"/>
    <w:rsid w:val="00783D0F"/>
    <w:rsid w:val="007857B2"/>
    <w:rsid w:val="00785924"/>
    <w:rsid w:val="00785ADD"/>
    <w:rsid w:val="00786CDA"/>
    <w:rsid w:val="00787797"/>
    <w:rsid w:val="0079085A"/>
    <w:rsid w:val="00790944"/>
    <w:rsid w:val="00790C9C"/>
    <w:rsid w:val="00790E82"/>
    <w:rsid w:val="00791960"/>
    <w:rsid w:val="00791CCD"/>
    <w:rsid w:val="00791E8C"/>
    <w:rsid w:val="00792977"/>
    <w:rsid w:val="00793595"/>
    <w:rsid w:val="00794436"/>
    <w:rsid w:val="00794A31"/>
    <w:rsid w:val="00794D1D"/>
    <w:rsid w:val="00795F94"/>
    <w:rsid w:val="007961C3"/>
    <w:rsid w:val="00796E7D"/>
    <w:rsid w:val="007970EE"/>
    <w:rsid w:val="0079773D"/>
    <w:rsid w:val="00797924"/>
    <w:rsid w:val="00797A6A"/>
    <w:rsid w:val="00797D62"/>
    <w:rsid w:val="00797EB5"/>
    <w:rsid w:val="00797FF8"/>
    <w:rsid w:val="007A0A92"/>
    <w:rsid w:val="007A0CCA"/>
    <w:rsid w:val="007A143B"/>
    <w:rsid w:val="007A1F90"/>
    <w:rsid w:val="007A22B0"/>
    <w:rsid w:val="007A24ED"/>
    <w:rsid w:val="007A2A84"/>
    <w:rsid w:val="007A3190"/>
    <w:rsid w:val="007A3694"/>
    <w:rsid w:val="007A49C3"/>
    <w:rsid w:val="007A4A5F"/>
    <w:rsid w:val="007A4EB9"/>
    <w:rsid w:val="007A537D"/>
    <w:rsid w:val="007A5E61"/>
    <w:rsid w:val="007A68C7"/>
    <w:rsid w:val="007A6921"/>
    <w:rsid w:val="007A6BC3"/>
    <w:rsid w:val="007A6F8A"/>
    <w:rsid w:val="007A7028"/>
    <w:rsid w:val="007A7524"/>
    <w:rsid w:val="007A7C2D"/>
    <w:rsid w:val="007B021B"/>
    <w:rsid w:val="007B2369"/>
    <w:rsid w:val="007B3CDB"/>
    <w:rsid w:val="007B47F1"/>
    <w:rsid w:val="007B4F57"/>
    <w:rsid w:val="007B50A2"/>
    <w:rsid w:val="007B5663"/>
    <w:rsid w:val="007B6409"/>
    <w:rsid w:val="007C04A4"/>
    <w:rsid w:val="007C06AF"/>
    <w:rsid w:val="007C1A7F"/>
    <w:rsid w:val="007C1EB1"/>
    <w:rsid w:val="007C2D07"/>
    <w:rsid w:val="007C3253"/>
    <w:rsid w:val="007C345C"/>
    <w:rsid w:val="007C361F"/>
    <w:rsid w:val="007C3F27"/>
    <w:rsid w:val="007C4037"/>
    <w:rsid w:val="007C47C2"/>
    <w:rsid w:val="007C4C6D"/>
    <w:rsid w:val="007C5EA5"/>
    <w:rsid w:val="007C697B"/>
    <w:rsid w:val="007C6A37"/>
    <w:rsid w:val="007C7803"/>
    <w:rsid w:val="007C78D9"/>
    <w:rsid w:val="007D0199"/>
    <w:rsid w:val="007D0416"/>
    <w:rsid w:val="007D0706"/>
    <w:rsid w:val="007D134A"/>
    <w:rsid w:val="007D2184"/>
    <w:rsid w:val="007D21B2"/>
    <w:rsid w:val="007D2444"/>
    <w:rsid w:val="007D2D19"/>
    <w:rsid w:val="007D3036"/>
    <w:rsid w:val="007D3E00"/>
    <w:rsid w:val="007D42E3"/>
    <w:rsid w:val="007D44AC"/>
    <w:rsid w:val="007D4D4A"/>
    <w:rsid w:val="007D562E"/>
    <w:rsid w:val="007D59A9"/>
    <w:rsid w:val="007D6A5D"/>
    <w:rsid w:val="007D7EAB"/>
    <w:rsid w:val="007E02CC"/>
    <w:rsid w:val="007E195B"/>
    <w:rsid w:val="007E20FE"/>
    <w:rsid w:val="007E2400"/>
    <w:rsid w:val="007E2BC2"/>
    <w:rsid w:val="007E2FCE"/>
    <w:rsid w:val="007E31BD"/>
    <w:rsid w:val="007E3544"/>
    <w:rsid w:val="007E3E17"/>
    <w:rsid w:val="007E4145"/>
    <w:rsid w:val="007E49A3"/>
    <w:rsid w:val="007E4EAF"/>
    <w:rsid w:val="007E5FA9"/>
    <w:rsid w:val="007E6CB0"/>
    <w:rsid w:val="007E6CF8"/>
    <w:rsid w:val="007E6E38"/>
    <w:rsid w:val="007E7325"/>
    <w:rsid w:val="007E75EF"/>
    <w:rsid w:val="007E79FD"/>
    <w:rsid w:val="007F0036"/>
    <w:rsid w:val="007F072E"/>
    <w:rsid w:val="007F08AF"/>
    <w:rsid w:val="007F1710"/>
    <w:rsid w:val="007F1D3D"/>
    <w:rsid w:val="007F26FB"/>
    <w:rsid w:val="007F2867"/>
    <w:rsid w:val="007F3642"/>
    <w:rsid w:val="007F3E5C"/>
    <w:rsid w:val="007F58CC"/>
    <w:rsid w:val="007F6E64"/>
    <w:rsid w:val="007F6F67"/>
    <w:rsid w:val="007F72CF"/>
    <w:rsid w:val="007F77A7"/>
    <w:rsid w:val="00800159"/>
    <w:rsid w:val="008012FB"/>
    <w:rsid w:val="00801CE1"/>
    <w:rsid w:val="00801DC9"/>
    <w:rsid w:val="0080250A"/>
    <w:rsid w:val="00802E28"/>
    <w:rsid w:val="008031F9"/>
    <w:rsid w:val="00803366"/>
    <w:rsid w:val="00803AC0"/>
    <w:rsid w:val="00803F71"/>
    <w:rsid w:val="00804563"/>
    <w:rsid w:val="008049F8"/>
    <w:rsid w:val="00805250"/>
    <w:rsid w:val="00806224"/>
    <w:rsid w:val="00806F18"/>
    <w:rsid w:val="00806F40"/>
    <w:rsid w:val="00807A53"/>
    <w:rsid w:val="0081137B"/>
    <w:rsid w:val="00811526"/>
    <w:rsid w:val="0081213A"/>
    <w:rsid w:val="008123A1"/>
    <w:rsid w:val="00812467"/>
    <w:rsid w:val="00812637"/>
    <w:rsid w:val="00812FE8"/>
    <w:rsid w:val="00813227"/>
    <w:rsid w:val="00813271"/>
    <w:rsid w:val="008133A4"/>
    <w:rsid w:val="00813646"/>
    <w:rsid w:val="00814FFF"/>
    <w:rsid w:val="008152BD"/>
    <w:rsid w:val="00815FE7"/>
    <w:rsid w:val="0081608B"/>
    <w:rsid w:val="008170FB"/>
    <w:rsid w:val="0081776C"/>
    <w:rsid w:val="00820794"/>
    <w:rsid w:val="00820B0F"/>
    <w:rsid w:val="008226AA"/>
    <w:rsid w:val="00822733"/>
    <w:rsid w:val="00822BBA"/>
    <w:rsid w:val="00822F9E"/>
    <w:rsid w:val="0082372F"/>
    <w:rsid w:val="00823AC7"/>
    <w:rsid w:val="00823DCA"/>
    <w:rsid w:val="0082459B"/>
    <w:rsid w:val="008253F4"/>
    <w:rsid w:val="00825AB1"/>
    <w:rsid w:val="00825FD2"/>
    <w:rsid w:val="00826343"/>
    <w:rsid w:val="00826673"/>
    <w:rsid w:val="00827E74"/>
    <w:rsid w:val="00830249"/>
    <w:rsid w:val="008306DC"/>
    <w:rsid w:val="0083142D"/>
    <w:rsid w:val="00831497"/>
    <w:rsid w:val="00831E9C"/>
    <w:rsid w:val="008320C6"/>
    <w:rsid w:val="008320FE"/>
    <w:rsid w:val="008323E9"/>
    <w:rsid w:val="008324BC"/>
    <w:rsid w:val="008329BB"/>
    <w:rsid w:val="00832E92"/>
    <w:rsid w:val="00832EE5"/>
    <w:rsid w:val="00833F45"/>
    <w:rsid w:val="00833FBC"/>
    <w:rsid w:val="008340EF"/>
    <w:rsid w:val="008344A7"/>
    <w:rsid w:val="00834FDB"/>
    <w:rsid w:val="008353CC"/>
    <w:rsid w:val="00835545"/>
    <w:rsid w:val="00835E52"/>
    <w:rsid w:val="008366E0"/>
    <w:rsid w:val="00836A68"/>
    <w:rsid w:val="00836C29"/>
    <w:rsid w:val="0083779A"/>
    <w:rsid w:val="0084071A"/>
    <w:rsid w:val="008411BF"/>
    <w:rsid w:val="00841F89"/>
    <w:rsid w:val="00842721"/>
    <w:rsid w:val="00842F68"/>
    <w:rsid w:val="008435AE"/>
    <w:rsid w:val="00843935"/>
    <w:rsid w:val="00843968"/>
    <w:rsid w:val="00843E83"/>
    <w:rsid w:val="00843F54"/>
    <w:rsid w:val="00844AB8"/>
    <w:rsid w:val="008459E8"/>
    <w:rsid w:val="00845B2A"/>
    <w:rsid w:val="00845E80"/>
    <w:rsid w:val="008462BD"/>
    <w:rsid w:val="008462D5"/>
    <w:rsid w:val="008468CA"/>
    <w:rsid w:val="00846D60"/>
    <w:rsid w:val="008470D8"/>
    <w:rsid w:val="00847965"/>
    <w:rsid w:val="00847A71"/>
    <w:rsid w:val="008508EE"/>
    <w:rsid w:val="008512DD"/>
    <w:rsid w:val="0085162F"/>
    <w:rsid w:val="00851A97"/>
    <w:rsid w:val="00852F3E"/>
    <w:rsid w:val="00852F45"/>
    <w:rsid w:val="00852FEB"/>
    <w:rsid w:val="00853AE5"/>
    <w:rsid w:val="00853B92"/>
    <w:rsid w:val="00854578"/>
    <w:rsid w:val="00854D72"/>
    <w:rsid w:val="00855FC7"/>
    <w:rsid w:val="008561BE"/>
    <w:rsid w:val="00856732"/>
    <w:rsid w:val="0085718D"/>
    <w:rsid w:val="008573CF"/>
    <w:rsid w:val="008575C2"/>
    <w:rsid w:val="0085766B"/>
    <w:rsid w:val="00857C70"/>
    <w:rsid w:val="00860B8A"/>
    <w:rsid w:val="00860D4A"/>
    <w:rsid w:val="00861658"/>
    <w:rsid w:val="00862384"/>
    <w:rsid w:val="00862983"/>
    <w:rsid w:val="00863596"/>
    <w:rsid w:val="008635E3"/>
    <w:rsid w:val="0086372F"/>
    <w:rsid w:val="00864393"/>
    <w:rsid w:val="00864ADE"/>
    <w:rsid w:val="00865512"/>
    <w:rsid w:val="008660F6"/>
    <w:rsid w:val="00866709"/>
    <w:rsid w:val="00866C72"/>
    <w:rsid w:val="0086734B"/>
    <w:rsid w:val="008673AC"/>
    <w:rsid w:val="008674E6"/>
    <w:rsid w:val="0086775C"/>
    <w:rsid w:val="00867FB0"/>
    <w:rsid w:val="00870443"/>
    <w:rsid w:val="008705B8"/>
    <w:rsid w:val="00870871"/>
    <w:rsid w:val="00870DA7"/>
    <w:rsid w:val="00871099"/>
    <w:rsid w:val="008712A4"/>
    <w:rsid w:val="00871A12"/>
    <w:rsid w:val="00872914"/>
    <w:rsid w:val="008732DF"/>
    <w:rsid w:val="008734D7"/>
    <w:rsid w:val="00873517"/>
    <w:rsid w:val="00873C96"/>
    <w:rsid w:val="00874705"/>
    <w:rsid w:val="00874B08"/>
    <w:rsid w:val="008753F1"/>
    <w:rsid w:val="00875418"/>
    <w:rsid w:val="00875892"/>
    <w:rsid w:val="00876AB1"/>
    <w:rsid w:val="00876B7F"/>
    <w:rsid w:val="00876C11"/>
    <w:rsid w:val="0087729E"/>
    <w:rsid w:val="00877FE0"/>
    <w:rsid w:val="00880705"/>
    <w:rsid w:val="008817D1"/>
    <w:rsid w:val="00881BBE"/>
    <w:rsid w:val="008824D7"/>
    <w:rsid w:val="008827BC"/>
    <w:rsid w:val="00882B86"/>
    <w:rsid w:val="00883307"/>
    <w:rsid w:val="00883611"/>
    <w:rsid w:val="00886BDD"/>
    <w:rsid w:val="0088718C"/>
    <w:rsid w:val="008874DA"/>
    <w:rsid w:val="008878F9"/>
    <w:rsid w:val="00887C26"/>
    <w:rsid w:val="008904BD"/>
    <w:rsid w:val="00890998"/>
    <w:rsid w:val="00891673"/>
    <w:rsid w:val="0089170F"/>
    <w:rsid w:val="008918D2"/>
    <w:rsid w:val="00891E9B"/>
    <w:rsid w:val="00892598"/>
    <w:rsid w:val="008926C9"/>
    <w:rsid w:val="00892E91"/>
    <w:rsid w:val="00892F61"/>
    <w:rsid w:val="008933B9"/>
    <w:rsid w:val="00893614"/>
    <w:rsid w:val="008937D9"/>
    <w:rsid w:val="008944C3"/>
    <w:rsid w:val="008945B3"/>
    <w:rsid w:val="00894C4F"/>
    <w:rsid w:val="008956CC"/>
    <w:rsid w:val="00895809"/>
    <w:rsid w:val="00895AC5"/>
    <w:rsid w:val="00895DC3"/>
    <w:rsid w:val="00896796"/>
    <w:rsid w:val="00897180"/>
    <w:rsid w:val="00897E6E"/>
    <w:rsid w:val="00897F31"/>
    <w:rsid w:val="008A0411"/>
    <w:rsid w:val="008A0708"/>
    <w:rsid w:val="008A0923"/>
    <w:rsid w:val="008A0BAC"/>
    <w:rsid w:val="008A16EB"/>
    <w:rsid w:val="008A1925"/>
    <w:rsid w:val="008A2C13"/>
    <w:rsid w:val="008A2E1A"/>
    <w:rsid w:val="008A2E9E"/>
    <w:rsid w:val="008A36F6"/>
    <w:rsid w:val="008A3A7D"/>
    <w:rsid w:val="008A413F"/>
    <w:rsid w:val="008A47E6"/>
    <w:rsid w:val="008A4A54"/>
    <w:rsid w:val="008A5306"/>
    <w:rsid w:val="008A53A4"/>
    <w:rsid w:val="008A5554"/>
    <w:rsid w:val="008A55ED"/>
    <w:rsid w:val="008A601E"/>
    <w:rsid w:val="008A60D5"/>
    <w:rsid w:val="008A6182"/>
    <w:rsid w:val="008A67C8"/>
    <w:rsid w:val="008A77A2"/>
    <w:rsid w:val="008B1089"/>
    <w:rsid w:val="008B1841"/>
    <w:rsid w:val="008B1BF3"/>
    <w:rsid w:val="008B1D94"/>
    <w:rsid w:val="008B286D"/>
    <w:rsid w:val="008B2D48"/>
    <w:rsid w:val="008B38F1"/>
    <w:rsid w:val="008B3C8B"/>
    <w:rsid w:val="008B4583"/>
    <w:rsid w:val="008B4C8D"/>
    <w:rsid w:val="008B4DDA"/>
    <w:rsid w:val="008B57BA"/>
    <w:rsid w:val="008B5B53"/>
    <w:rsid w:val="008B643A"/>
    <w:rsid w:val="008B7B61"/>
    <w:rsid w:val="008B7CE7"/>
    <w:rsid w:val="008C0635"/>
    <w:rsid w:val="008C0672"/>
    <w:rsid w:val="008C07DF"/>
    <w:rsid w:val="008C0D39"/>
    <w:rsid w:val="008C1611"/>
    <w:rsid w:val="008C1B72"/>
    <w:rsid w:val="008C1C3A"/>
    <w:rsid w:val="008C1C4A"/>
    <w:rsid w:val="008C1DAF"/>
    <w:rsid w:val="008C2300"/>
    <w:rsid w:val="008C2B6A"/>
    <w:rsid w:val="008C3782"/>
    <w:rsid w:val="008C4380"/>
    <w:rsid w:val="008C4B29"/>
    <w:rsid w:val="008C4BB8"/>
    <w:rsid w:val="008C4D17"/>
    <w:rsid w:val="008C50A3"/>
    <w:rsid w:val="008C53A8"/>
    <w:rsid w:val="008C5DB3"/>
    <w:rsid w:val="008C60B1"/>
    <w:rsid w:val="008C665A"/>
    <w:rsid w:val="008C6892"/>
    <w:rsid w:val="008C6BD0"/>
    <w:rsid w:val="008C761D"/>
    <w:rsid w:val="008C76EA"/>
    <w:rsid w:val="008C7EA9"/>
    <w:rsid w:val="008D0013"/>
    <w:rsid w:val="008D02A7"/>
    <w:rsid w:val="008D04BD"/>
    <w:rsid w:val="008D0CFE"/>
    <w:rsid w:val="008D1DAC"/>
    <w:rsid w:val="008D1E26"/>
    <w:rsid w:val="008D2304"/>
    <w:rsid w:val="008D268A"/>
    <w:rsid w:val="008D2EBD"/>
    <w:rsid w:val="008D33E9"/>
    <w:rsid w:val="008D3486"/>
    <w:rsid w:val="008D3BA0"/>
    <w:rsid w:val="008D43C9"/>
    <w:rsid w:val="008D502C"/>
    <w:rsid w:val="008D5265"/>
    <w:rsid w:val="008D5807"/>
    <w:rsid w:val="008D5BC3"/>
    <w:rsid w:val="008D6133"/>
    <w:rsid w:val="008D619C"/>
    <w:rsid w:val="008D6E77"/>
    <w:rsid w:val="008D75F7"/>
    <w:rsid w:val="008D78A0"/>
    <w:rsid w:val="008E05BB"/>
    <w:rsid w:val="008E0AA3"/>
    <w:rsid w:val="008E1A88"/>
    <w:rsid w:val="008E1F6F"/>
    <w:rsid w:val="008E25F9"/>
    <w:rsid w:val="008E27C3"/>
    <w:rsid w:val="008E2B9E"/>
    <w:rsid w:val="008E2FFA"/>
    <w:rsid w:val="008E34C0"/>
    <w:rsid w:val="008E4BC4"/>
    <w:rsid w:val="008E4E60"/>
    <w:rsid w:val="008E5340"/>
    <w:rsid w:val="008E5685"/>
    <w:rsid w:val="008E56A0"/>
    <w:rsid w:val="008E5931"/>
    <w:rsid w:val="008E5C4A"/>
    <w:rsid w:val="008E5D7E"/>
    <w:rsid w:val="008E6411"/>
    <w:rsid w:val="008E6EC2"/>
    <w:rsid w:val="008E7054"/>
    <w:rsid w:val="008E7564"/>
    <w:rsid w:val="008E7F13"/>
    <w:rsid w:val="008E7FD9"/>
    <w:rsid w:val="008F0A81"/>
    <w:rsid w:val="008F0EE7"/>
    <w:rsid w:val="008F204C"/>
    <w:rsid w:val="008F2D9E"/>
    <w:rsid w:val="008F3EBA"/>
    <w:rsid w:val="008F43CA"/>
    <w:rsid w:val="008F4AC5"/>
    <w:rsid w:val="008F5373"/>
    <w:rsid w:val="008F56C3"/>
    <w:rsid w:val="008F5963"/>
    <w:rsid w:val="008F6037"/>
    <w:rsid w:val="008F60B5"/>
    <w:rsid w:val="008F68BD"/>
    <w:rsid w:val="008F73F2"/>
    <w:rsid w:val="008F74B2"/>
    <w:rsid w:val="008F7900"/>
    <w:rsid w:val="008F7AB3"/>
    <w:rsid w:val="008F7EDF"/>
    <w:rsid w:val="00902834"/>
    <w:rsid w:val="009037FE"/>
    <w:rsid w:val="009043C2"/>
    <w:rsid w:val="00904CCF"/>
    <w:rsid w:val="00905589"/>
    <w:rsid w:val="00906F8D"/>
    <w:rsid w:val="00907EEA"/>
    <w:rsid w:val="009100E6"/>
    <w:rsid w:val="00910857"/>
    <w:rsid w:val="00910A7A"/>
    <w:rsid w:val="00911358"/>
    <w:rsid w:val="00911A0A"/>
    <w:rsid w:val="00911B54"/>
    <w:rsid w:val="00911C6C"/>
    <w:rsid w:val="00911CF8"/>
    <w:rsid w:val="00911F3C"/>
    <w:rsid w:val="009123E5"/>
    <w:rsid w:val="00912FA5"/>
    <w:rsid w:val="009143CE"/>
    <w:rsid w:val="009158C0"/>
    <w:rsid w:val="00915E26"/>
    <w:rsid w:val="00916A32"/>
    <w:rsid w:val="00917D9C"/>
    <w:rsid w:val="00917DEE"/>
    <w:rsid w:val="00920837"/>
    <w:rsid w:val="00922AC9"/>
    <w:rsid w:val="00923261"/>
    <w:rsid w:val="0092442B"/>
    <w:rsid w:val="009245D7"/>
    <w:rsid w:val="009256B7"/>
    <w:rsid w:val="009256D3"/>
    <w:rsid w:val="0092604B"/>
    <w:rsid w:val="009270C4"/>
    <w:rsid w:val="0093046A"/>
    <w:rsid w:val="009304A5"/>
    <w:rsid w:val="009305BF"/>
    <w:rsid w:val="00930F6D"/>
    <w:rsid w:val="00931953"/>
    <w:rsid w:val="00932514"/>
    <w:rsid w:val="00932E7F"/>
    <w:rsid w:val="00933104"/>
    <w:rsid w:val="0093332D"/>
    <w:rsid w:val="00933B7F"/>
    <w:rsid w:val="00933E75"/>
    <w:rsid w:val="00934004"/>
    <w:rsid w:val="0093505B"/>
    <w:rsid w:val="00935763"/>
    <w:rsid w:val="00935C82"/>
    <w:rsid w:val="00936283"/>
    <w:rsid w:val="00936B5D"/>
    <w:rsid w:val="00937002"/>
    <w:rsid w:val="009371A1"/>
    <w:rsid w:val="0093745F"/>
    <w:rsid w:val="00937818"/>
    <w:rsid w:val="00937AD3"/>
    <w:rsid w:val="0094035B"/>
    <w:rsid w:val="00940895"/>
    <w:rsid w:val="00941284"/>
    <w:rsid w:val="009414CB"/>
    <w:rsid w:val="00941937"/>
    <w:rsid w:val="00941BC6"/>
    <w:rsid w:val="00941CDB"/>
    <w:rsid w:val="00942356"/>
    <w:rsid w:val="00942793"/>
    <w:rsid w:val="0094294A"/>
    <w:rsid w:val="00942C63"/>
    <w:rsid w:val="00942DC7"/>
    <w:rsid w:val="00943281"/>
    <w:rsid w:val="009437A5"/>
    <w:rsid w:val="00944264"/>
    <w:rsid w:val="00944959"/>
    <w:rsid w:val="009451C1"/>
    <w:rsid w:val="00945A57"/>
    <w:rsid w:val="00945F76"/>
    <w:rsid w:val="009477C8"/>
    <w:rsid w:val="00947D35"/>
    <w:rsid w:val="00947FF4"/>
    <w:rsid w:val="0095006A"/>
    <w:rsid w:val="0095014C"/>
    <w:rsid w:val="0095029C"/>
    <w:rsid w:val="009502F2"/>
    <w:rsid w:val="00950360"/>
    <w:rsid w:val="00950EDB"/>
    <w:rsid w:val="00952348"/>
    <w:rsid w:val="0095272C"/>
    <w:rsid w:val="00952760"/>
    <w:rsid w:val="0095318B"/>
    <w:rsid w:val="0095361A"/>
    <w:rsid w:val="009544F8"/>
    <w:rsid w:val="009545F8"/>
    <w:rsid w:val="0095463C"/>
    <w:rsid w:val="00954767"/>
    <w:rsid w:val="00954B18"/>
    <w:rsid w:val="00954F6B"/>
    <w:rsid w:val="009552D2"/>
    <w:rsid w:val="009553C4"/>
    <w:rsid w:val="009553D1"/>
    <w:rsid w:val="00955400"/>
    <w:rsid w:val="0095558E"/>
    <w:rsid w:val="009555FB"/>
    <w:rsid w:val="009556F7"/>
    <w:rsid w:val="00955905"/>
    <w:rsid w:val="00956346"/>
    <w:rsid w:val="009566AD"/>
    <w:rsid w:val="009566D1"/>
    <w:rsid w:val="009570E0"/>
    <w:rsid w:val="009606AF"/>
    <w:rsid w:val="0096163C"/>
    <w:rsid w:val="009633E0"/>
    <w:rsid w:val="009641DB"/>
    <w:rsid w:val="00964A3E"/>
    <w:rsid w:val="00964D44"/>
    <w:rsid w:val="0096502D"/>
    <w:rsid w:val="0096557A"/>
    <w:rsid w:val="009661B0"/>
    <w:rsid w:val="00966AD6"/>
    <w:rsid w:val="0096748A"/>
    <w:rsid w:val="00970C7A"/>
    <w:rsid w:val="00970FF6"/>
    <w:rsid w:val="0097151E"/>
    <w:rsid w:val="0097189B"/>
    <w:rsid w:val="00972199"/>
    <w:rsid w:val="009721DB"/>
    <w:rsid w:val="00972BFA"/>
    <w:rsid w:val="009736B5"/>
    <w:rsid w:val="00974206"/>
    <w:rsid w:val="009743B6"/>
    <w:rsid w:val="00974BBD"/>
    <w:rsid w:val="00974E84"/>
    <w:rsid w:val="00975716"/>
    <w:rsid w:val="009767AA"/>
    <w:rsid w:val="00976DE7"/>
    <w:rsid w:val="0097718A"/>
    <w:rsid w:val="0097723F"/>
    <w:rsid w:val="00977C71"/>
    <w:rsid w:val="00977DC2"/>
    <w:rsid w:val="0098277E"/>
    <w:rsid w:val="0098318C"/>
    <w:rsid w:val="00983613"/>
    <w:rsid w:val="0098482F"/>
    <w:rsid w:val="009856E9"/>
    <w:rsid w:val="0098572C"/>
    <w:rsid w:val="00985F14"/>
    <w:rsid w:val="009865F0"/>
    <w:rsid w:val="00986A5C"/>
    <w:rsid w:val="0098737D"/>
    <w:rsid w:val="009875AA"/>
    <w:rsid w:val="0098774E"/>
    <w:rsid w:val="009901C4"/>
    <w:rsid w:val="00990372"/>
    <w:rsid w:val="009904FC"/>
    <w:rsid w:val="0099055F"/>
    <w:rsid w:val="009916B1"/>
    <w:rsid w:val="00991E9B"/>
    <w:rsid w:val="009922F8"/>
    <w:rsid w:val="00992AF1"/>
    <w:rsid w:val="00993871"/>
    <w:rsid w:val="00994A75"/>
    <w:rsid w:val="00995EA5"/>
    <w:rsid w:val="009965BA"/>
    <w:rsid w:val="00997913"/>
    <w:rsid w:val="00997D7D"/>
    <w:rsid w:val="009A0AE1"/>
    <w:rsid w:val="009A0D8F"/>
    <w:rsid w:val="009A122A"/>
    <w:rsid w:val="009A1C6A"/>
    <w:rsid w:val="009A22B2"/>
    <w:rsid w:val="009A3694"/>
    <w:rsid w:val="009A3A98"/>
    <w:rsid w:val="009A3B5D"/>
    <w:rsid w:val="009A42D4"/>
    <w:rsid w:val="009A43BB"/>
    <w:rsid w:val="009A5172"/>
    <w:rsid w:val="009A5E07"/>
    <w:rsid w:val="009A671B"/>
    <w:rsid w:val="009A71A2"/>
    <w:rsid w:val="009A75F0"/>
    <w:rsid w:val="009B2184"/>
    <w:rsid w:val="009B30B5"/>
    <w:rsid w:val="009B3C8B"/>
    <w:rsid w:val="009B3EB0"/>
    <w:rsid w:val="009B50AF"/>
    <w:rsid w:val="009B5D26"/>
    <w:rsid w:val="009B6397"/>
    <w:rsid w:val="009B6535"/>
    <w:rsid w:val="009B6ACE"/>
    <w:rsid w:val="009B6BBD"/>
    <w:rsid w:val="009B6D30"/>
    <w:rsid w:val="009B76F5"/>
    <w:rsid w:val="009C0003"/>
    <w:rsid w:val="009C0CD1"/>
    <w:rsid w:val="009C1266"/>
    <w:rsid w:val="009C1431"/>
    <w:rsid w:val="009C2479"/>
    <w:rsid w:val="009C24E4"/>
    <w:rsid w:val="009C2F08"/>
    <w:rsid w:val="009C300A"/>
    <w:rsid w:val="009C32D7"/>
    <w:rsid w:val="009C3BAA"/>
    <w:rsid w:val="009C3E60"/>
    <w:rsid w:val="009C4751"/>
    <w:rsid w:val="009C48D8"/>
    <w:rsid w:val="009C48FE"/>
    <w:rsid w:val="009C513B"/>
    <w:rsid w:val="009C544E"/>
    <w:rsid w:val="009C5950"/>
    <w:rsid w:val="009C5A2C"/>
    <w:rsid w:val="009C5B51"/>
    <w:rsid w:val="009C5B7D"/>
    <w:rsid w:val="009C62D7"/>
    <w:rsid w:val="009C66D0"/>
    <w:rsid w:val="009C6ABC"/>
    <w:rsid w:val="009C6E9F"/>
    <w:rsid w:val="009C736B"/>
    <w:rsid w:val="009C7CCC"/>
    <w:rsid w:val="009C7CE5"/>
    <w:rsid w:val="009D0071"/>
    <w:rsid w:val="009D0153"/>
    <w:rsid w:val="009D05B6"/>
    <w:rsid w:val="009D06F8"/>
    <w:rsid w:val="009D0820"/>
    <w:rsid w:val="009D1456"/>
    <w:rsid w:val="009D3734"/>
    <w:rsid w:val="009D3CD1"/>
    <w:rsid w:val="009D4E4C"/>
    <w:rsid w:val="009D4F3B"/>
    <w:rsid w:val="009D50D3"/>
    <w:rsid w:val="009D519C"/>
    <w:rsid w:val="009D533A"/>
    <w:rsid w:val="009D66AA"/>
    <w:rsid w:val="009D67AA"/>
    <w:rsid w:val="009D6920"/>
    <w:rsid w:val="009D6C58"/>
    <w:rsid w:val="009D715D"/>
    <w:rsid w:val="009D73F1"/>
    <w:rsid w:val="009D764D"/>
    <w:rsid w:val="009D78B3"/>
    <w:rsid w:val="009E1363"/>
    <w:rsid w:val="009E26F2"/>
    <w:rsid w:val="009E2A9C"/>
    <w:rsid w:val="009E36E2"/>
    <w:rsid w:val="009E3A9A"/>
    <w:rsid w:val="009E49C7"/>
    <w:rsid w:val="009E513E"/>
    <w:rsid w:val="009E5552"/>
    <w:rsid w:val="009E5AD8"/>
    <w:rsid w:val="009E5DEB"/>
    <w:rsid w:val="009E5EB3"/>
    <w:rsid w:val="009E6558"/>
    <w:rsid w:val="009E6B60"/>
    <w:rsid w:val="009E7802"/>
    <w:rsid w:val="009E7851"/>
    <w:rsid w:val="009E7A1C"/>
    <w:rsid w:val="009E7A89"/>
    <w:rsid w:val="009E7CD2"/>
    <w:rsid w:val="009E7E78"/>
    <w:rsid w:val="009F0B7B"/>
    <w:rsid w:val="009F1ECC"/>
    <w:rsid w:val="009F24F7"/>
    <w:rsid w:val="009F27E7"/>
    <w:rsid w:val="009F292F"/>
    <w:rsid w:val="009F29BB"/>
    <w:rsid w:val="009F2AD4"/>
    <w:rsid w:val="009F2B71"/>
    <w:rsid w:val="009F2BC5"/>
    <w:rsid w:val="009F49BB"/>
    <w:rsid w:val="009F4A50"/>
    <w:rsid w:val="009F5704"/>
    <w:rsid w:val="009F6707"/>
    <w:rsid w:val="009F6885"/>
    <w:rsid w:val="009F68F2"/>
    <w:rsid w:val="009F6BCD"/>
    <w:rsid w:val="009F6EC5"/>
    <w:rsid w:val="009F7A2E"/>
    <w:rsid w:val="00A001DD"/>
    <w:rsid w:val="00A0084E"/>
    <w:rsid w:val="00A020C0"/>
    <w:rsid w:val="00A02CA5"/>
    <w:rsid w:val="00A02EFA"/>
    <w:rsid w:val="00A03187"/>
    <w:rsid w:val="00A0400F"/>
    <w:rsid w:val="00A05041"/>
    <w:rsid w:val="00A06B17"/>
    <w:rsid w:val="00A100EE"/>
    <w:rsid w:val="00A1077E"/>
    <w:rsid w:val="00A1173A"/>
    <w:rsid w:val="00A11A79"/>
    <w:rsid w:val="00A11F66"/>
    <w:rsid w:val="00A124B0"/>
    <w:rsid w:val="00A131C7"/>
    <w:rsid w:val="00A13F82"/>
    <w:rsid w:val="00A146CB"/>
    <w:rsid w:val="00A15383"/>
    <w:rsid w:val="00A15B71"/>
    <w:rsid w:val="00A15D71"/>
    <w:rsid w:val="00A160D1"/>
    <w:rsid w:val="00A16664"/>
    <w:rsid w:val="00A170D9"/>
    <w:rsid w:val="00A17A54"/>
    <w:rsid w:val="00A20362"/>
    <w:rsid w:val="00A2178B"/>
    <w:rsid w:val="00A22605"/>
    <w:rsid w:val="00A226A3"/>
    <w:rsid w:val="00A22E0D"/>
    <w:rsid w:val="00A22E99"/>
    <w:rsid w:val="00A2305E"/>
    <w:rsid w:val="00A23A74"/>
    <w:rsid w:val="00A23AD6"/>
    <w:rsid w:val="00A24A56"/>
    <w:rsid w:val="00A25F89"/>
    <w:rsid w:val="00A264ED"/>
    <w:rsid w:val="00A26B9C"/>
    <w:rsid w:val="00A26D01"/>
    <w:rsid w:val="00A26F83"/>
    <w:rsid w:val="00A27046"/>
    <w:rsid w:val="00A300C2"/>
    <w:rsid w:val="00A3022B"/>
    <w:rsid w:val="00A30B5A"/>
    <w:rsid w:val="00A3214C"/>
    <w:rsid w:val="00A32297"/>
    <w:rsid w:val="00A325B2"/>
    <w:rsid w:val="00A32AFB"/>
    <w:rsid w:val="00A348DB"/>
    <w:rsid w:val="00A351AA"/>
    <w:rsid w:val="00A35EA6"/>
    <w:rsid w:val="00A36A2B"/>
    <w:rsid w:val="00A36BF8"/>
    <w:rsid w:val="00A36CB6"/>
    <w:rsid w:val="00A36D1E"/>
    <w:rsid w:val="00A37883"/>
    <w:rsid w:val="00A378D1"/>
    <w:rsid w:val="00A40FEB"/>
    <w:rsid w:val="00A40FEF"/>
    <w:rsid w:val="00A4190E"/>
    <w:rsid w:val="00A41A11"/>
    <w:rsid w:val="00A41C98"/>
    <w:rsid w:val="00A41D1D"/>
    <w:rsid w:val="00A41ED3"/>
    <w:rsid w:val="00A42844"/>
    <w:rsid w:val="00A4291A"/>
    <w:rsid w:val="00A42C63"/>
    <w:rsid w:val="00A430E9"/>
    <w:rsid w:val="00A44724"/>
    <w:rsid w:val="00A44AC6"/>
    <w:rsid w:val="00A4657B"/>
    <w:rsid w:val="00A465DC"/>
    <w:rsid w:val="00A46BD3"/>
    <w:rsid w:val="00A471FF"/>
    <w:rsid w:val="00A47AB5"/>
    <w:rsid w:val="00A47F95"/>
    <w:rsid w:val="00A47FA2"/>
    <w:rsid w:val="00A518E0"/>
    <w:rsid w:val="00A51A7E"/>
    <w:rsid w:val="00A52281"/>
    <w:rsid w:val="00A52870"/>
    <w:rsid w:val="00A52A98"/>
    <w:rsid w:val="00A53211"/>
    <w:rsid w:val="00A536C9"/>
    <w:rsid w:val="00A54291"/>
    <w:rsid w:val="00A542AF"/>
    <w:rsid w:val="00A54544"/>
    <w:rsid w:val="00A55A09"/>
    <w:rsid w:val="00A55B7A"/>
    <w:rsid w:val="00A55F4F"/>
    <w:rsid w:val="00A56BED"/>
    <w:rsid w:val="00A56D79"/>
    <w:rsid w:val="00A575A4"/>
    <w:rsid w:val="00A60896"/>
    <w:rsid w:val="00A60FDE"/>
    <w:rsid w:val="00A6129F"/>
    <w:rsid w:val="00A612B0"/>
    <w:rsid w:val="00A613F3"/>
    <w:rsid w:val="00A614AB"/>
    <w:rsid w:val="00A61945"/>
    <w:rsid w:val="00A61970"/>
    <w:rsid w:val="00A61F32"/>
    <w:rsid w:val="00A62757"/>
    <w:rsid w:val="00A62DA3"/>
    <w:rsid w:val="00A632EB"/>
    <w:rsid w:val="00A63CDE"/>
    <w:rsid w:val="00A644B2"/>
    <w:rsid w:val="00A65C3B"/>
    <w:rsid w:val="00A65FD9"/>
    <w:rsid w:val="00A665EA"/>
    <w:rsid w:val="00A6746D"/>
    <w:rsid w:val="00A70043"/>
    <w:rsid w:val="00A700D1"/>
    <w:rsid w:val="00A721DC"/>
    <w:rsid w:val="00A72276"/>
    <w:rsid w:val="00A735AF"/>
    <w:rsid w:val="00A73943"/>
    <w:rsid w:val="00A748BA"/>
    <w:rsid w:val="00A749EF"/>
    <w:rsid w:val="00A751E4"/>
    <w:rsid w:val="00A75200"/>
    <w:rsid w:val="00A760B5"/>
    <w:rsid w:val="00A7612C"/>
    <w:rsid w:val="00A76D66"/>
    <w:rsid w:val="00A77C0D"/>
    <w:rsid w:val="00A812BF"/>
    <w:rsid w:val="00A812D7"/>
    <w:rsid w:val="00A82605"/>
    <w:rsid w:val="00A82625"/>
    <w:rsid w:val="00A829FB"/>
    <w:rsid w:val="00A82ADC"/>
    <w:rsid w:val="00A82BB6"/>
    <w:rsid w:val="00A82DD0"/>
    <w:rsid w:val="00A830F1"/>
    <w:rsid w:val="00A831E3"/>
    <w:rsid w:val="00A83862"/>
    <w:rsid w:val="00A8389C"/>
    <w:rsid w:val="00A83AFD"/>
    <w:rsid w:val="00A83F1E"/>
    <w:rsid w:val="00A84268"/>
    <w:rsid w:val="00A84755"/>
    <w:rsid w:val="00A8486C"/>
    <w:rsid w:val="00A84D12"/>
    <w:rsid w:val="00A857AE"/>
    <w:rsid w:val="00A858D2"/>
    <w:rsid w:val="00A86971"/>
    <w:rsid w:val="00A870B2"/>
    <w:rsid w:val="00A87802"/>
    <w:rsid w:val="00A90029"/>
    <w:rsid w:val="00A906E3"/>
    <w:rsid w:val="00A90D89"/>
    <w:rsid w:val="00A90EB7"/>
    <w:rsid w:val="00A9199C"/>
    <w:rsid w:val="00A924FE"/>
    <w:rsid w:val="00A92BAF"/>
    <w:rsid w:val="00A93009"/>
    <w:rsid w:val="00A9351F"/>
    <w:rsid w:val="00A94CE4"/>
    <w:rsid w:val="00A94D56"/>
    <w:rsid w:val="00A964EB"/>
    <w:rsid w:val="00A96702"/>
    <w:rsid w:val="00A96976"/>
    <w:rsid w:val="00A97EB2"/>
    <w:rsid w:val="00AA0AB2"/>
    <w:rsid w:val="00AA0BB8"/>
    <w:rsid w:val="00AA1336"/>
    <w:rsid w:val="00AA14A9"/>
    <w:rsid w:val="00AA153A"/>
    <w:rsid w:val="00AA16F1"/>
    <w:rsid w:val="00AA1815"/>
    <w:rsid w:val="00AA19E9"/>
    <w:rsid w:val="00AA1A1B"/>
    <w:rsid w:val="00AA1D58"/>
    <w:rsid w:val="00AA1FEB"/>
    <w:rsid w:val="00AA2AE8"/>
    <w:rsid w:val="00AA30AE"/>
    <w:rsid w:val="00AA3648"/>
    <w:rsid w:val="00AA3CBD"/>
    <w:rsid w:val="00AA430B"/>
    <w:rsid w:val="00AA4693"/>
    <w:rsid w:val="00AA48ED"/>
    <w:rsid w:val="00AA5277"/>
    <w:rsid w:val="00AA56AE"/>
    <w:rsid w:val="00AA5F2C"/>
    <w:rsid w:val="00AA5F9B"/>
    <w:rsid w:val="00AA6012"/>
    <w:rsid w:val="00AA6068"/>
    <w:rsid w:val="00AA60FA"/>
    <w:rsid w:val="00AA6B33"/>
    <w:rsid w:val="00AA6C42"/>
    <w:rsid w:val="00AA6EEF"/>
    <w:rsid w:val="00AA6F39"/>
    <w:rsid w:val="00AA6F55"/>
    <w:rsid w:val="00AA78D1"/>
    <w:rsid w:val="00AB0186"/>
    <w:rsid w:val="00AB0477"/>
    <w:rsid w:val="00AB0DFF"/>
    <w:rsid w:val="00AB1699"/>
    <w:rsid w:val="00AB2760"/>
    <w:rsid w:val="00AB282D"/>
    <w:rsid w:val="00AB28E4"/>
    <w:rsid w:val="00AB37C6"/>
    <w:rsid w:val="00AB3862"/>
    <w:rsid w:val="00AB38E8"/>
    <w:rsid w:val="00AB4822"/>
    <w:rsid w:val="00AB54D2"/>
    <w:rsid w:val="00AB5DD2"/>
    <w:rsid w:val="00AB780A"/>
    <w:rsid w:val="00AC010C"/>
    <w:rsid w:val="00AC18B3"/>
    <w:rsid w:val="00AC2497"/>
    <w:rsid w:val="00AC2733"/>
    <w:rsid w:val="00AC368B"/>
    <w:rsid w:val="00AC38E2"/>
    <w:rsid w:val="00AC3F48"/>
    <w:rsid w:val="00AC4315"/>
    <w:rsid w:val="00AC4BE6"/>
    <w:rsid w:val="00AC4C2F"/>
    <w:rsid w:val="00AC4E12"/>
    <w:rsid w:val="00AC77B3"/>
    <w:rsid w:val="00AD0CA2"/>
    <w:rsid w:val="00AD0EC1"/>
    <w:rsid w:val="00AD15A0"/>
    <w:rsid w:val="00AD1A41"/>
    <w:rsid w:val="00AD1D68"/>
    <w:rsid w:val="00AD239A"/>
    <w:rsid w:val="00AD31E2"/>
    <w:rsid w:val="00AD35FC"/>
    <w:rsid w:val="00AD42DA"/>
    <w:rsid w:val="00AD44D1"/>
    <w:rsid w:val="00AD5CAB"/>
    <w:rsid w:val="00AD5D01"/>
    <w:rsid w:val="00AD64E5"/>
    <w:rsid w:val="00AD719C"/>
    <w:rsid w:val="00AD7C60"/>
    <w:rsid w:val="00AE060B"/>
    <w:rsid w:val="00AE1327"/>
    <w:rsid w:val="00AE2670"/>
    <w:rsid w:val="00AE29DE"/>
    <w:rsid w:val="00AE30AA"/>
    <w:rsid w:val="00AE3A17"/>
    <w:rsid w:val="00AE3C30"/>
    <w:rsid w:val="00AE3E4F"/>
    <w:rsid w:val="00AE463B"/>
    <w:rsid w:val="00AE5111"/>
    <w:rsid w:val="00AE52C6"/>
    <w:rsid w:val="00AE5307"/>
    <w:rsid w:val="00AE5541"/>
    <w:rsid w:val="00AE5AFF"/>
    <w:rsid w:val="00AE5BE8"/>
    <w:rsid w:val="00AE5E13"/>
    <w:rsid w:val="00AE6DFC"/>
    <w:rsid w:val="00AE7491"/>
    <w:rsid w:val="00AF0307"/>
    <w:rsid w:val="00AF0FCF"/>
    <w:rsid w:val="00AF1383"/>
    <w:rsid w:val="00AF1AA7"/>
    <w:rsid w:val="00AF20BB"/>
    <w:rsid w:val="00AF2401"/>
    <w:rsid w:val="00AF318F"/>
    <w:rsid w:val="00AF334F"/>
    <w:rsid w:val="00AF33F1"/>
    <w:rsid w:val="00AF3787"/>
    <w:rsid w:val="00AF4063"/>
    <w:rsid w:val="00AF4107"/>
    <w:rsid w:val="00AF45B0"/>
    <w:rsid w:val="00AF4B1D"/>
    <w:rsid w:val="00AF5DF4"/>
    <w:rsid w:val="00AF6053"/>
    <w:rsid w:val="00AF61B8"/>
    <w:rsid w:val="00AF6C81"/>
    <w:rsid w:val="00AF6DD2"/>
    <w:rsid w:val="00AF7DB2"/>
    <w:rsid w:val="00AF7EB6"/>
    <w:rsid w:val="00B00F40"/>
    <w:rsid w:val="00B0135F"/>
    <w:rsid w:val="00B0162A"/>
    <w:rsid w:val="00B01823"/>
    <w:rsid w:val="00B02408"/>
    <w:rsid w:val="00B024FC"/>
    <w:rsid w:val="00B02671"/>
    <w:rsid w:val="00B0297E"/>
    <w:rsid w:val="00B02A4E"/>
    <w:rsid w:val="00B033FD"/>
    <w:rsid w:val="00B03DD2"/>
    <w:rsid w:val="00B046C0"/>
    <w:rsid w:val="00B05022"/>
    <w:rsid w:val="00B0514A"/>
    <w:rsid w:val="00B052B5"/>
    <w:rsid w:val="00B05443"/>
    <w:rsid w:val="00B05536"/>
    <w:rsid w:val="00B05D6C"/>
    <w:rsid w:val="00B06210"/>
    <w:rsid w:val="00B06594"/>
    <w:rsid w:val="00B0728D"/>
    <w:rsid w:val="00B102DC"/>
    <w:rsid w:val="00B110AD"/>
    <w:rsid w:val="00B114B8"/>
    <w:rsid w:val="00B11A14"/>
    <w:rsid w:val="00B12395"/>
    <w:rsid w:val="00B125BD"/>
    <w:rsid w:val="00B12AF7"/>
    <w:rsid w:val="00B12B5C"/>
    <w:rsid w:val="00B12C85"/>
    <w:rsid w:val="00B1329D"/>
    <w:rsid w:val="00B136C6"/>
    <w:rsid w:val="00B1472E"/>
    <w:rsid w:val="00B14FC9"/>
    <w:rsid w:val="00B1531E"/>
    <w:rsid w:val="00B155C4"/>
    <w:rsid w:val="00B15891"/>
    <w:rsid w:val="00B16904"/>
    <w:rsid w:val="00B16BB0"/>
    <w:rsid w:val="00B16C0B"/>
    <w:rsid w:val="00B17E1D"/>
    <w:rsid w:val="00B201BB"/>
    <w:rsid w:val="00B20812"/>
    <w:rsid w:val="00B20AC8"/>
    <w:rsid w:val="00B21A68"/>
    <w:rsid w:val="00B220D1"/>
    <w:rsid w:val="00B22833"/>
    <w:rsid w:val="00B22B93"/>
    <w:rsid w:val="00B240D3"/>
    <w:rsid w:val="00B25D7F"/>
    <w:rsid w:val="00B2602D"/>
    <w:rsid w:val="00B26CE7"/>
    <w:rsid w:val="00B271BA"/>
    <w:rsid w:val="00B275FF"/>
    <w:rsid w:val="00B27F46"/>
    <w:rsid w:val="00B31DD6"/>
    <w:rsid w:val="00B323E6"/>
    <w:rsid w:val="00B324B9"/>
    <w:rsid w:val="00B32EFA"/>
    <w:rsid w:val="00B33B2B"/>
    <w:rsid w:val="00B3429E"/>
    <w:rsid w:val="00B34C75"/>
    <w:rsid w:val="00B35353"/>
    <w:rsid w:val="00B37B32"/>
    <w:rsid w:val="00B409C1"/>
    <w:rsid w:val="00B40E4F"/>
    <w:rsid w:val="00B41A05"/>
    <w:rsid w:val="00B41C49"/>
    <w:rsid w:val="00B4211E"/>
    <w:rsid w:val="00B42314"/>
    <w:rsid w:val="00B424A0"/>
    <w:rsid w:val="00B424C8"/>
    <w:rsid w:val="00B42563"/>
    <w:rsid w:val="00B42C23"/>
    <w:rsid w:val="00B4329A"/>
    <w:rsid w:val="00B43E88"/>
    <w:rsid w:val="00B43EEB"/>
    <w:rsid w:val="00B45613"/>
    <w:rsid w:val="00B46833"/>
    <w:rsid w:val="00B472B8"/>
    <w:rsid w:val="00B47725"/>
    <w:rsid w:val="00B47CE2"/>
    <w:rsid w:val="00B509EC"/>
    <w:rsid w:val="00B5404D"/>
    <w:rsid w:val="00B55C79"/>
    <w:rsid w:val="00B56B9A"/>
    <w:rsid w:val="00B571AF"/>
    <w:rsid w:val="00B57648"/>
    <w:rsid w:val="00B608FE"/>
    <w:rsid w:val="00B612E6"/>
    <w:rsid w:val="00B61A91"/>
    <w:rsid w:val="00B632E0"/>
    <w:rsid w:val="00B64F9B"/>
    <w:rsid w:val="00B652E2"/>
    <w:rsid w:val="00B65F76"/>
    <w:rsid w:val="00B663F6"/>
    <w:rsid w:val="00B663FF"/>
    <w:rsid w:val="00B66571"/>
    <w:rsid w:val="00B66A9D"/>
    <w:rsid w:val="00B66FE1"/>
    <w:rsid w:val="00B67691"/>
    <w:rsid w:val="00B676C6"/>
    <w:rsid w:val="00B6782C"/>
    <w:rsid w:val="00B67FB3"/>
    <w:rsid w:val="00B7005B"/>
    <w:rsid w:val="00B711E4"/>
    <w:rsid w:val="00B715DA"/>
    <w:rsid w:val="00B71666"/>
    <w:rsid w:val="00B71B8F"/>
    <w:rsid w:val="00B72032"/>
    <w:rsid w:val="00B72075"/>
    <w:rsid w:val="00B724CD"/>
    <w:rsid w:val="00B72ED4"/>
    <w:rsid w:val="00B72FBD"/>
    <w:rsid w:val="00B73050"/>
    <w:rsid w:val="00B73668"/>
    <w:rsid w:val="00B73BFC"/>
    <w:rsid w:val="00B73D5B"/>
    <w:rsid w:val="00B74237"/>
    <w:rsid w:val="00B742EA"/>
    <w:rsid w:val="00B74D24"/>
    <w:rsid w:val="00B7536C"/>
    <w:rsid w:val="00B755EC"/>
    <w:rsid w:val="00B75693"/>
    <w:rsid w:val="00B75DE5"/>
    <w:rsid w:val="00B75E24"/>
    <w:rsid w:val="00B760BB"/>
    <w:rsid w:val="00B7661E"/>
    <w:rsid w:val="00B766A3"/>
    <w:rsid w:val="00B76E3C"/>
    <w:rsid w:val="00B77762"/>
    <w:rsid w:val="00B8053C"/>
    <w:rsid w:val="00B80EE3"/>
    <w:rsid w:val="00B8219B"/>
    <w:rsid w:val="00B82DF7"/>
    <w:rsid w:val="00B82F15"/>
    <w:rsid w:val="00B83388"/>
    <w:rsid w:val="00B83896"/>
    <w:rsid w:val="00B83A27"/>
    <w:rsid w:val="00B84EB0"/>
    <w:rsid w:val="00B8542D"/>
    <w:rsid w:val="00B85F2E"/>
    <w:rsid w:val="00B86B31"/>
    <w:rsid w:val="00B86E42"/>
    <w:rsid w:val="00B875CC"/>
    <w:rsid w:val="00B87D54"/>
    <w:rsid w:val="00B90C57"/>
    <w:rsid w:val="00B90F4A"/>
    <w:rsid w:val="00B916C6"/>
    <w:rsid w:val="00B93574"/>
    <w:rsid w:val="00B94218"/>
    <w:rsid w:val="00B944CE"/>
    <w:rsid w:val="00B947DB"/>
    <w:rsid w:val="00B94FBE"/>
    <w:rsid w:val="00B9516A"/>
    <w:rsid w:val="00B95973"/>
    <w:rsid w:val="00B95CE6"/>
    <w:rsid w:val="00B95DDC"/>
    <w:rsid w:val="00B9694F"/>
    <w:rsid w:val="00B96EEA"/>
    <w:rsid w:val="00BA0278"/>
    <w:rsid w:val="00BA1478"/>
    <w:rsid w:val="00BA1A47"/>
    <w:rsid w:val="00BA1AA4"/>
    <w:rsid w:val="00BA1B2F"/>
    <w:rsid w:val="00BA1C87"/>
    <w:rsid w:val="00BA26E2"/>
    <w:rsid w:val="00BA35BD"/>
    <w:rsid w:val="00BA3AB4"/>
    <w:rsid w:val="00BA4572"/>
    <w:rsid w:val="00BA4622"/>
    <w:rsid w:val="00BA5A1C"/>
    <w:rsid w:val="00BA5A91"/>
    <w:rsid w:val="00BA5B8B"/>
    <w:rsid w:val="00BA68C5"/>
    <w:rsid w:val="00BA7283"/>
    <w:rsid w:val="00BA73EC"/>
    <w:rsid w:val="00BA7B34"/>
    <w:rsid w:val="00BB0212"/>
    <w:rsid w:val="00BB04CF"/>
    <w:rsid w:val="00BB0580"/>
    <w:rsid w:val="00BB0AED"/>
    <w:rsid w:val="00BB110A"/>
    <w:rsid w:val="00BB15C0"/>
    <w:rsid w:val="00BB182C"/>
    <w:rsid w:val="00BB1B92"/>
    <w:rsid w:val="00BB2B55"/>
    <w:rsid w:val="00BB3540"/>
    <w:rsid w:val="00BB4636"/>
    <w:rsid w:val="00BB482C"/>
    <w:rsid w:val="00BB4A14"/>
    <w:rsid w:val="00BB4C9F"/>
    <w:rsid w:val="00BB5369"/>
    <w:rsid w:val="00BB5998"/>
    <w:rsid w:val="00BB5C5A"/>
    <w:rsid w:val="00BB6D68"/>
    <w:rsid w:val="00BB7EC5"/>
    <w:rsid w:val="00BC063E"/>
    <w:rsid w:val="00BC0794"/>
    <w:rsid w:val="00BC0D5D"/>
    <w:rsid w:val="00BC0FCB"/>
    <w:rsid w:val="00BC1390"/>
    <w:rsid w:val="00BC1852"/>
    <w:rsid w:val="00BC2327"/>
    <w:rsid w:val="00BC24B5"/>
    <w:rsid w:val="00BC297A"/>
    <w:rsid w:val="00BC29C0"/>
    <w:rsid w:val="00BC29EC"/>
    <w:rsid w:val="00BC2EE0"/>
    <w:rsid w:val="00BC2F71"/>
    <w:rsid w:val="00BC3DEB"/>
    <w:rsid w:val="00BC3E2F"/>
    <w:rsid w:val="00BC442D"/>
    <w:rsid w:val="00BC489A"/>
    <w:rsid w:val="00BC4A70"/>
    <w:rsid w:val="00BC5A53"/>
    <w:rsid w:val="00BC649F"/>
    <w:rsid w:val="00BC64A4"/>
    <w:rsid w:val="00BC68FF"/>
    <w:rsid w:val="00BC6EF3"/>
    <w:rsid w:val="00BC7BD8"/>
    <w:rsid w:val="00BC7FA0"/>
    <w:rsid w:val="00BD179B"/>
    <w:rsid w:val="00BD1E1D"/>
    <w:rsid w:val="00BD2220"/>
    <w:rsid w:val="00BD22E2"/>
    <w:rsid w:val="00BD327C"/>
    <w:rsid w:val="00BD5AB0"/>
    <w:rsid w:val="00BD5C2D"/>
    <w:rsid w:val="00BD6478"/>
    <w:rsid w:val="00BD6F63"/>
    <w:rsid w:val="00BD7081"/>
    <w:rsid w:val="00BD766E"/>
    <w:rsid w:val="00BD7C2A"/>
    <w:rsid w:val="00BE00D9"/>
    <w:rsid w:val="00BE16C2"/>
    <w:rsid w:val="00BE2254"/>
    <w:rsid w:val="00BE26BE"/>
    <w:rsid w:val="00BE2A8D"/>
    <w:rsid w:val="00BE2CAC"/>
    <w:rsid w:val="00BE2F68"/>
    <w:rsid w:val="00BE34DA"/>
    <w:rsid w:val="00BE38FC"/>
    <w:rsid w:val="00BE3F13"/>
    <w:rsid w:val="00BE466B"/>
    <w:rsid w:val="00BE7139"/>
    <w:rsid w:val="00BE78CF"/>
    <w:rsid w:val="00BF02FD"/>
    <w:rsid w:val="00BF158C"/>
    <w:rsid w:val="00BF354B"/>
    <w:rsid w:val="00BF4E45"/>
    <w:rsid w:val="00BF4F36"/>
    <w:rsid w:val="00BF5F6F"/>
    <w:rsid w:val="00BF60A9"/>
    <w:rsid w:val="00BF668C"/>
    <w:rsid w:val="00BF689C"/>
    <w:rsid w:val="00BF732C"/>
    <w:rsid w:val="00BF7E05"/>
    <w:rsid w:val="00BF7FED"/>
    <w:rsid w:val="00C0058F"/>
    <w:rsid w:val="00C00B50"/>
    <w:rsid w:val="00C02833"/>
    <w:rsid w:val="00C02E14"/>
    <w:rsid w:val="00C032D8"/>
    <w:rsid w:val="00C03309"/>
    <w:rsid w:val="00C03C7B"/>
    <w:rsid w:val="00C03EBF"/>
    <w:rsid w:val="00C04124"/>
    <w:rsid w:val="00C04406"/>
    <w:rsid w:val="00C045AF"/>
    <w:rsid w:val="00C04AD5"/>
    <w:rsid w:val="00C04D6A"/>
    <w:rsid w:val="00C05727"/>
    <w:rsid w:val="00C0584A"/>
    <w:rsid w:val="00C06EBB"/>
    <w:rsid w:val="00C06F1A"/>
    <w:rsid w:val="00C0742A"/>
    <w:rsid w:val="00C0799C"/>
    <w:rsid w:val="00C10B28"/>
    <w:rsid w:val="00C1176A"/>
    <w:rsid w:val="00C11985"/>
    <w:rsid w:val="00C12A5E"/>
    <w:rsid w:val="00C12C78"/>
    <w:rsid w:val="00C13F64"/>
    <w:rsid w:val="00C14B38"/>
    <w:rsid w:val="00C15F6D"/>
    <w:rsid w:val="00C162A3"/>
    <w:rsid w:val="00C16624"/>
    <w:rsid w:val="00C16CD8"/>
    <w:rsid w:val="00C1718D"/>
    <w:rsid w:val="00C1737E"/>
    <w:rsid w:val="00C20227"/>
    <w:rsid w:val="00C20BCF"/>
    <w:rsid w:val="00C20C04"/>
    <w:rsid w:val="00C20C40"/>
    <w:rsid w:val="00C20EBD"/>
    <w:rsid w:val="00C20FCB"/>
    <w:rsid w:val="00C21AC3"/>
    <w:rsid w:val="00C22D6E"/>
    <w:rsid w:val="00C22F92"/>
    <w:rsid w:val="00C24879"/>
    <w:rsid w:val="00C25011"/>
    <w:rsid w:val="00C25183"/>
    <w:rsid w:val="00C259C1"/>
    <w:rsid w:val="00C25C0D"/>
    <w:rsid w:val="00C26568"/>
    <w:rsid w:val="00C26621"/>
    <w:rsid w:val="00C26991"/>
    <w:rsid w:val="00C271AB"/>
    <w:rsid w:val="00C30493"/>
    <w:rsid w:val="00C30C4A"/>
    <w:rsid w:val="00C30C9D"/>
    <w:rsid w:val="00C30E86"/>
    <w:rsid w:val="00C312D5"/>
    <w:rsid w:val="00C31690"/>
    <w:rsid w:val="00C317E7"/>
    <w:rsid w:val="00C32949"/>
    <w:rsid w:val="00C32DD4"/>
    <w:rsid w:val="00C334F1"/>
    <w:rsid w:val="00C33B10"/>
    <w:rsid w:val="00C341A0"/>
    <w:rsid w:val="00C3493B"/>
    <w:rsid w:val="00C34F3D"/>
    <w:rsid w:val="00C3540C"/>
    <w:rsid w:val="00C354DA"/>
    <w:rsid w:val="00C36398"/>
    <w:rsid w:val="00C368DC"/>
    <w:rsid w:val="00C36C50"/>
    <w:rsid w:val="00C37458"/>
    <w:rsid w:val="00C401E2"/>
    <w:rsid w:val="00C41432"/>
    <w:rsid w:val="00C41508"/>
    <w:rsid w:val="00C41CB7"/>
    <w:rsid w:val="00C41EB1"/>
    <w:rsid w:val="00C4264F"/>
    <w:rsid w:val="00C43779"/>
    <w:rsid w:val="00C438DD"/>
    <w:rsid w:val="00C43CD1"/>
    <w:rsid w:val="00C43D4A"/>
    <w:rsid w:val="00C44881"/>
    <w:rsid w:val="00C45020"/>
    <w:rsid w:val="00C46278"/>
    <w:rsid w:val="00C46D49"/>
    <w:rsid w:val="00C4750B"/>
    <w:rsid w:val="00C477D5"/>
    <w:rsid w:val="00C47A1D"/>
    <w:rsid w:val="00C5022C"/>
    <w:rsid w:val="00C50690"/>
    <w:rsid w:val="00C508A2"/>
    <w:rsid w:val="00C50C30"/>
    <w:rsid w:val="00C51DAF"/>
    <w:rsid w:val="00C51E45"/>
    <w:rsid w:val="00C52061"/>
    <w:rsid w:val="00C52E5F"/>
    <w:rsid w:val="00C52F53"/>
    <w:rsid w:val="00C53388"/>
    <w:rsid w:val="00C5363F"/>
    <w:rsid w:val="00C53661"/>
    <w:rsid w:val="00C53B3C"/>
    <w:rsid w:val="00C54116"/>
    <w:rsid w:val="00C552FD"/>
    <w:rsid w:val="00C55F9F"/>
    <w:rsid w:val="00C561B3"/>
    <w:rsid w:val="00C56A1B"/>
    <w:rsid w:val="00C56D12"/>
    <w:rsid w:val="00C57818"/>
    <w:rsid w:val="00C60376"/>
    <w:rsid w:val="00C60469"/>
    <w:rsid w:val="00C60B71"/>
    <w:rsid w:val="00C60F0B"/>
    <w:rsid w:val="00C617B1"/>
    <w:rsid w:val="00C619E5"/>
    <w:rsid w:val="00C62695"/>
    <w:rsid w:val="00C63013"/>
    <w:rsid w:val="00C630CA"/>
    <w:rsid w:val="00C63573"/>
    <w:rsid w:val="00C640B3"/>
    <w:rsid w:val="00C64607"/>
    <w:rsid w:val="00C64E54"/>
    <w:rsid w:val="00C652ED"/>
    <w:rsid w:val="00C65530"/>
    <w:rsid w:val="00C65AB9"/>
    <w:rsid w:val="00C6640D"/>
    <w:rsid w:val="00C66C22"/>
    <w:rsid w:val="00C67E3C"/>
    <w:rsid w:val="00C67F89"/>
    <w:rsid w:val="00C70495"/>
    <w:rsid w:val="00C7153F"/>
    <w:rsid w:val="00C71B3D"/>
    <w:rsid w:val="00C73E8F"/>
    <w:rsid w:val="00C7551D"/>
    <w:rsid w:val="00C7603C"/>
    <w:rsid w:val="00C76254"/>
    <w:rsid w:val="00C762D8"/>
    <w:rsid w:val="00C7669A"/>
    <w:rsid w:val="00C76772"/>
    <w:rsid w:val="00C76A58"/>
    <w:rsid w:val="00C76F83"/>
    <w:rsid w:val="00C77CC4"/>
    <w:rsid w:val="00C8010D"/>
    <w:rsid w:val="00C806B5"/>
    <w:rsid w:val="00C80974"/>
    <w:rsid w:val="00C816AB"/>
    <w:rsid w:val="00C81941"/>
    <w:rsid w:val="00C8272A"/>
    <w:rsid w:val="00C82DCB"/>
    <w:rsid w:val="00C839C0"/>
    <w:rsid w:val="00C83C40"/>
    <w:rsid w:val="00C84E9F"/>
    <w:rsid w:val="00C85014"/>
    <w:rsid w:val="00C85BA5"/>
    <w:rsid w:val="00C861F4"/>
    <w:rsid w:val="00C86287"/>
    <w:rsid w:val="00C8687B"/>
    <w:rsid w:val="00C87279"/>
    <w:rsid w:val="00C901C2"/>
    <w:rsid w:val="00C9045C"/>
    <w:rsid w:val="00C910DA"/>
    <w:rsid w:val="00C9236C"/>
    <w:rsid w:val="00C92763"/>
    <w:rsid w:val="00C92812"/>
    <w:rsid w:val="00C937EB"/>
    <w:rsid w:val="00C93AAA"/>
    <w:rsid w:val="00C94042"/>
    <w:rsid w:val="00C944FF"/>
    <w:rsid w:val="00C946FA"/>
    <w:rsid w:val="00C947D4"/>
    <w:rsid w:val="00C95B7D"/>
    <w:rsid w:val="00C95D8A"/>
    <w:rsid w:val="00C96B81"/>
    <w:rsid w:val="00C978DF"/>
    <w:rsid w:val="00C97DD9"/>
    <w:rsid w:val="00CA0059"/>
    <w:rsid w:val="00CA069F"/>
    <w:rsid w:val="00CA0C2D"/>
    <w:rsid w:val="00CA252E"/>
    <w:rsid w:val="00CA2A72"/>
    <w:rsid w:val="00CA2CB0"/>
    <w:rsid w:val="00CA37C4"/>
    <w:rsid w:val="00CA41FB"/>
    <w:rsid w:val="00CA4445"/>
    <w:rsid w:val="00CA5128"/>
    <w:rsid w:val="00CA53B6"/>
    <w:rsid w:val="00CA53B8"/>
    <w:rsid w:val="00CA599F"/>
    <w:rsid w:val="00CA5C4A"/>
    <w:rsid w:val="00CA60E8"/>
    <w:rsid w:val="00CA61C5"/>
    <w:rsid w:val="00CA6643"/>
    <w:rsid w:val="00CA675E"/>
    <w:rsid w:val="00CA6ABC"/>
    <w:rsid w:val="00CA7D61"/>
    <w:rsid w:val="00CB01E4"/>
    <w:rsid w:val="00CB036F"/>
    <w:rsid w:val="00CB0CF4"/>
    <w:rsid w:val="00CB12AE"/>
    <w:rsid w:val="00CB342E"/>
    <w:rsid w:val="00CB3E12"/>
    <w:rsid w:val="00CB3E49"/>
    <w:rsid w:val="00CB3F16"/>
    <w:rsid w:val="00CB5250"/>
    <w:rsid w:val="00CB568C"/>
    <w:rsid w:val="00CB57DA"/>
    <w:rsid w:val="00CB5AD8"/>
    <w:rsid w:val="00CB5B80"/>
    <w:rsid w:val="00CB5CA5"/>
    <w:rsid w:val="00CB6311"/>
    <w:rsid w:val="00CB6D10"/>
    <w:rsid w:val="00CB719A"/>
    <w:rsid w:val="00CB7F4A"/>
    <w:rsid w:val="00CC0126"/>
    <w:rsid w:val="00CC18D1"/>
    <w:rsid w:val="00CC1A3B"/>
    <w:rsid w:val="00CC1DF4"/>
    <w:rsid w:val="00CC1EFD"/>
    <w:rsid w:val="00CC2633"/>
    <w:rsid w:val="00CC363B"/>
    <w:rsid w:val="00CC3BB1"/>
    <w:rsid w:val="00CC498E"/>
    <w:rsid w:val="00CC4B74"/>
    <w:rsid w:val="00CC4C6F"/>
    <w:rsid w:val="00CC5DA2"/>
    <w:rsid w:val="00CC69D1"/>
    <w:rsid w:val="00CC6A31"/>
    <w:rsid w:val="00CC6FCD"/>
    <w:rsid w:val="00CC72F9"/>
    <w:rsid w:val="00CD0260"/>
    <w:rsid w:val="00CD06AC"/>
    <w:rsid w:val="00CD0E37"/>
    <w:rsid w:val="00CD10A2"/>
    <w:rsid w:val="00CD17CA"/>
    <w:rsid w:val="00CD1944"/>
    <w:rsid w:val="00CD1A0C"/>
    <w:rsid w:val="00CD1C5B"/>
    <w:rsid w:val="00CD1F5E"/>
    <w:rsid w:val="00CD2698"/>
    <w:rsid w:val="00CD30B7"/>
    <w:rsid w:val="00CD32D7"/>
    <w:rsid w:val="00CD35A8"/>
    <w:rsid w:val="00CD4576"/>
    <w:rsid w:val="00CD56AF"/>
    <w:rsid w:val="00CD5D1C"/>
    <w:rsid w:val="00CD5E23"/>
    <w:rsid w:val="00CD5F68"/>
    <w:rsid w:val="00CD6806"/>
    <w:rsid w:val="00CD6DDC"/>
    <w:rsid w:val="00CD7B44"/>
    <w:rsid w:val="00CE026D"/>
    <w:rsid w:val="00CE0D59"/>
    <w:rsid w:val="00CE1096"/>
    <w:rsid w:val="00CE1E51"/>
    <w:rsid w:val="00CE1EAD"/>
    <w:rsid w:val="00CE1EEC"/>
    <w:rsid w:val="00CE1F73"/>
    <w:rsid w:val="00CE25F3"/>
    <w:rsid w:val="00CE2A3E"/>
    <w:rsid w:val="00CE2ACE"/>
    <w:rsid w:val="00CE2F8C"/>
    <w:rsid w:val="00CE3992"/>
    <w:rsid w:val="00CE3D63"/>
    <w:rsid w:val="00CE3D70"/>
    <w:rsid w:val="00CE3DA7"/>
    <w:rsid w:val="00CE3E3F"/>
    <w:rsid w:val="00CE4784"/>
    <w:rsid w:val="00CE4800"/>
    <w:rsid w:val="00CE4F0E"/>
    <w:rsid w:val="00CE4F34"/>
    <w:rsid w:val="00CE5295"/>
    <w:rsid w:val="00CE5B77"/>
    <w:rsid w:val="00CE601A"/>
    <w:rsid w:val="00CE6414"/>
    <w:rsid w:val="00CE68E2"/>
    <w:rsid w:val="00CE7106"/>
    <w:rsid w:val="00CE7521"/>
    <w:rsid w:val="00CF0112"/>
    <w:rsid w:val="00CF09F4"/>
    <w:rsid w:val="00CF0C0A"/>
    <w:rsid w:val="00CF0ED2"/>
    <w:rsid w:val="00CF1A1F"/>
    <w:rsid w:val="00CF25BE"/>
    <w:rsid w:val="00CF2B7A"/>
    <w:rsid w:val="00CF2E34"/>
    <w:rsid w:val="00CF3097"/>
    <w:rsid w:val="00CF30B6"/>
    <w:rsid w:val="00CF33B8"/>
    <w:rsid w:val="00CF3CDB"/>
    <w:rsid w:val="00CF493F"/>
    <w:rsid w:val="00CF509E"/>
    <w:rsid w:val="00CF56E5"/>
    <w:rsid w:val="00CF5E2C"/>
    <w:rsid w:val="00CF5E4C"/>
    <w:rsid w:val="00CF68EF"/>
    <w:rsid w:val="00CF722B"/>
    <w:rsid w:val="00CF75CA"/>
    <w:rsid w:val="00CF7780"/>
    <w:rsid w:val="00CF7B67"/>
    <w:rsid w:val="00D00C34"/>
    <w:rsid w:val="00D00FD5"/>
    <w:rsid w:val="00D01909"/>
    <w:rsid w:val="00D0191F"/>
    <w:rsid w:val="00D02781"/>
    <w:rsid w:val="00D028F7"/>
    <w:rsid w:val="00D0351E"/>
    <w:rsid w:val="00D03678"/>
    <w:rsid w:val="00D0451D"/>
    <w:rsid w:val="00D04C29"/>
    <w:rsid w:val="00D06E16"/>
    <w:rsid w:val="00D071BD"/>
    <w:rsid w:val="00D0733B"/>
    <w:rsid w:val="00D0759F"/>
    <w:rsid w:val="00D075CB"/>
    <w:rsid w:val="00D076A4"/>
    <w:rsid w:val="00D10028"/>
    <w:rsid w:val="00D10267"/>
    <w:rsid w:val="00D10BB2"/>
    <w:rsid w:val="00D11062"/>
    <w:rsid w:val="00D114C7"/>
    <w:rsid w:val="00D1161F"/>
    <w:rsid w:val="00D121BB"/>
    <w:rsid w:val="00D124CF"/>
    <w:rsid w:val="00D138D0"/>
    <w:rsid w:val="00D13FDC"/>
    <w:rsid w:val="00D144B2"/>
    <w:rsid w:val="00D14AB0"/>
    <w:rsid w:val="00D14C4E"/>
    <w:rsid w:val="00D156C3"/>
    <w:rsid w:val="00D157B7"/>
    <w:rsid w:val="00D15E2C"/>
    <w:rsid w:val="00D16162"/>
    <w:rsid w:val="00D16196"/>
    <w:rsid w:val="00D162A1"/>
    <w:rsid w:val="00D16796"/>
    <w:rsid w:val="00D16823"/>
    <w:rsid w:val="00D16B01"/>
    <w:rsid w:val="00D16FE1"/>
    <w:rsid w:val="00D177B9"/>
    <w:rsid w:val="00D17D56"/>
    <w:rsid w:val="00D20777"/>
    <w:rsid w:val="00D20BE7"/>
    <w:rsid w:val="00D21328"/>
    <w:rsid w:val="00D22137"/>
    <w:rsid w:val="00D2295F"/>
    <w:rsid w:val="00D22BEA"/>
    <w:rsid w:val="00D2334C"/>
    <w:rsid w:val="00D23439"/>
    <w:rsid w:val="00D24B0B"/>
    <w:rsid w:val="00D253FB"/>
    <w:rsid w:val="00D254AC"/>
    <w:rsid w:val="00D25BEC"/>
    <w:rsid w:val="00D25C03"/>
    <w:rsid w:val="00D2692C"/>
    <w:rsid w:val="00D276AF"/>
    <w:rsid w:val="00D27CE7"/>
    <w:rsid w:val="00D309AF"/>
    <w:rsid w:val="00D3109C"/>
    <w:rsid w:val="00D31891"/>
    <w:rsid w:val="00D32132"/>
    <w:rsid w:val="00D3277C"/>
    <w:rsid w:val="00D32F2E"/>
    <w:rsid w:val="00D32F99"/>
    <w:rsid w:val="00D3342D"/>
    <w:rsid w:val="00D33DD3"/>
    <w:rsid w:val="00D33DFC"/>
    <w:rsid w:val="00D33F3B"/>
    <w:rsid w:val="00D33FB1"/>
    <w:rsid w:val="00D35518"/>
    <w:rsid w:val="00D35C28"/>
    <w:rsid w:val="00D36B40"/>
    <w:rsid w:val="00D36D99"/>
    <w:rsid w:val="00D37A66"/>
    <w:rsid w:val="00D37CC3"/>
    <w:rsid w:val="00D40032"/>
    <w:rsid w:val="00D405CA"/>
    <w:rsid w:val="00D40670"/>
    <w:rsid w:val="00D40727"/>
    <w:rsid w:val="00D40FBF"/>
    <w:rsid w:val="00D4172B"/>
    <w:rsid w:val="00D4184E"/>
    <w:rsid w:val="00D41BB7"/>
    <w:rsid w:val="00D427C3"/>
    <w:rsid w:val="00D42BF9"/>
    <w:rsid w:val="00D43309"/>
    <w:rsid w:val="00D435B6"/>
    <w:rsid w:val="00D44615"/>
    <w:rsid w:val="00D447D3"/>
    <w:rsid w:val="00D45469"/>
    <w:rsid w:val="00D45856"/>
    <w:rsid w:val="00D45D4D"/>
    <w:rsid w:val="00D4725F"/>
    <w:rsid w:val="00D477C9"/>
    <w:rsid w:val="00D50330"/>
    <w:rsid w:val="00D51703"/>
    <w:rsid w:val="00D51C4E"/>
    <w:rsid w:val="00D51E52"/>
    <w:rsid w:val="00D51ED5"/>
    <w:rsid w:val="00D51FE3"/>
    <w:rsid w:val="00D52086"/>
    <w:rsid w:val="00D525E8"/>
    <w:rsid w:val="00D5358E"/>
    <w:rsid w:val="00D549CC"/>
    <w:rsid w:val="00D54F5C"/>
    <w:rsid w:val="00D5717E"/>
    <w:rsid w:val="00D57404"/>
    <w:rsid w:val="00D5750F"/>
    <w:rsid w:val="00D576E6"/>
    <w:rsid w:val="00D606AF"/>
    <w:rsid w:val="00D614FE"/>
    <w:rsid w:val="00D6186D"/>
    <w:rsid w:val="00D6223E"/>
    <w:rsid w:val="00D62482"/>
    <w:rsid w:val="00D6264E"/>
    <w:rsid w:val="00D626D1"/>
    <w:rsid w:val="00D62BF7"/>
    <w:rsid w:val="00D63670"/>
    <w:rsid w:val="00D6475A"/>
    <w:rsid w:val="00D64907"/>
    <w:rsid w:val="00D6526B"/>
    <w:rsid w:val="00D655F4"/>
    <w:rsid w:val="00D65E51"/>
    <w:rsid w:val="00D663B6"/>
    <w:rsid w:val="00D66534"/>
    <w:rsid w:val="00D66C57"/>
    <w:rsid w:val="00D67073"/>
    <w:rsid w:val="00D67336"/>
    <w:rsid w:val="00D67AD7"/>
    <w:rsid w:val="00D67CA3"/>
    <w:rsid w:val="00D67CDD"/>
    <w:rsid w:val="00D701CA"/>
    <w:rsid w:val="00D717E6"/>
    <w:rsid w:val="00D71D7A"/>
    <w:rsid w:val="00D72781"/>
    <w:rsid w:val="00D72957"/>
    <w:rsid w:val="00D72DFF"/>
    <w:rsid w:val="00D73768"/>
    <w:rsid w:val="00D74038"/>
    <w:rsid w:val="00D749EC"/>
    <w:rsid w:val="00D74C6A"/>
    <w:rsid w:val="00D750BB"/>
    <w:rsid w:val="00D75377"/>
    <w:rsid w:val="00D76152"/>
    <w:rsid w:val="00D76522"/>
    <w:rsid w:val="00D765CC"/>
    <w:rsid w:val="00D769A1"/>
    <w:rsid w:val="00D76CB2"/>
    <w:rsid w:val="00D76EF0"/>
    <w:rsid w:val="00D76F4D"/>
    <w:rsid w:val="00D77020"/>
    <w:rsid w:val="00D77E6A"/>
    <w:rsid w:val="00D8004B"/>
    <w:rsid w:val="00D81655"/>
    <w:rsid w:val="00D831B9"/>
    <w:rsid w:val="00D835FB"/>
    <w:rsid w:val="00D83CF1"/>
    <w:rsid w:val="00D87498"/>
    <w:rsid w:val="00D8790C"/>
    <w:rsid w:val="00D90367"/>
    <w:rsid w:val="00D9150A"/>
    <w:rsid w:val="00D91908"/>
    <w:rsid w:val="00D91D33"/>
    <w:rsid w:val="00D91F47"/>
    <w:rsid w:val="00D926D2"/>
    <w:rsid w:val="00D92D7C"/>
    <w:rsid w:val="00D931C4"/>
    <w:rsid w:val="00D942EB"/>
    <w:rsid w:val="00D95245"/>
    <w:rsid w:val="00D9623C"/>
    <w:rsid w:val="00D966B4"/>
    <w:rsid w:val="00D96A64"/>
    <w:rsid w:val="00D96FC5"/>
    <w:rsid w:val="00D975C7"/>
    <w:rsid w:val="00D97A4F"/>
    <w:rsid w:val="00DA0C79"/>
    <w:rsid w:val="00DA168E"/>
    <w:rsid w:val="00DA1D39"/>
    <w:rsid w:val="00DA29E8"/>
    <w:rsid w:val="00DA2A47"/>
    <w:rsid w:val="00DA2A7B"/>
    <w:rsid w:val="00DA2D4F"/>
    <w:rsid w:val="00DA344E"/>
    <w:rsid w:val="00DA41B8"/>
    <w:rsid w:val="00DA52D2"/>
    <w:rsid w:val="00DA539D"/>
    <w:rsid w:val="00DA5785"/>
    <w:rsid w:val="00DA6BED"/>
    <w:rsid w:val="00DA72E1"/>
    <w:rsid w:val="00DB00CD"/>
    <w:rsid w:val="00DB0320"/>
    <w:rsid w:val="00DB07D4"/>
    <w:rsid w:val="00DB106E"/>
    <w:rsid w:val="00DB1A51"/>
    <w:rsid w:val="00DB1B51"/>
    <w:rsid w:val="00DB1D55"/>
    <w:rsid w:val="00DB2499"/>
    <w:rsid w:val="00DB3252"/>
    <w:rsid w:val="00DB4CB1"/>
    <w:rsid w:val="00DB5089"/>
    <w:rsid w:val="00DB5860"/>
    <w:rsid w:val="00DB648E"/>
    <w:rsid w:val="00DB6BB0"/>
    <w:rsid w:val="00DB6BC1"/>
    <w:rsid w:val="00DB6EDF"/>
    <w:rsid w:val="00DB7431"/>
    <w:rsid w:val="00DB75BD"/>
    <w:rsid w:val="00DC076A"/>
    <w:rsid w:val="00DC1DC3"/>
    <w:rsid w:val="00DC2915"/>
    <w:rsid w:val="00DC2D3F"/>
    <w:rsid w:val="00DC3577"/>
    <w:rsid w:val="00DC35FF"/>
    <w:rsid w:val="00DC37A2"/>
    <w:rsid w:val="00DC3A03"/>
    <w:rsid w:val="00DC3BA8"/>
    <w:rsid w:val="00DC4056"/>
    <w:rsid w:val="00DC4792"/>
    <w:rsid w:val="00DC53E7"/>
    <w:rsid w:val="00DC6D1E"/>
    <w:rsid w:val="00DC6D20"/>
    <w:rsid w:val="00DC7E1B"/>
    <w:rsid w:val="00DD066B"/>
    <w:rsid w:val="00DD0736"/>
    <w:rsid w:val="00DD0763"/>
    <w:rsid w:val="00DD07C4"/>
    <w:rsid w:val="00DD0B5F"/>
    <w:rsid w:val="00DD0DDE"/>
    <w:rsid w:val="00DD1DDC"/>
    <w:rsid w:val="00DD27A9"/>
    <w:rsid w:val="00DD2817"/>
    <w:rsid w:val="00DD29CE"/>
    <w:rsid w:val="00DD37BE"/>
    <w:rsid w:val="00DD3CFB"/>
    <w:rsid w:val="00DD3E6B"/>
    <w:rsid w:val="00DD42DE"/>
    <w:rsid w:val="00DD48E8"/>
    <w:rsid w:val="00DD4F2B"/>
    <w:rsid w:val="00DD4FD4"/>
    <w:rsid w:val="00DD561A"/>
    <w:rsid w:val="00DD5EF3"/>
    <w:rsid w:val="00DD6275"/>
    <w:rsid w:val="00DD64A4"/>
    <w:rsid w:val="00DD6ADC"/>
    <w:rsid w:val="00DD6D38"/>
    <w:rsid w:val="00DD6F88"/>
    <w:rsid w:val="00DD7045"/>
    <w:rsid w:val="00DD74B9"/>
    <w:rsid w:val="00DD7B84"/>
    <w:rsid w:val="00DD7E7A"/>
    <w:rsid w:val="00DE173E"/>
    <w:rsid w:val="00DE1C0E"/>
    <w:rsid w:val="00DE35B3"/>
    <w:rsid w:val="00DE3C1B"/>
    <w:rsid w:val="00DE3FDB"/>
    <w:rsid w:val="00DE4190"/>
    <w:rsid w:val="00DE435E"/>
    <w:rsid w:val="00DE4FAB"/>
    <w:rsid w:val="00DE50D2"/>
    <w:rsid w:val="00DE5A94"/>
    <w:rsid w:val="00DE5AE8"/>
    <w:rsid w:val="00DE5C2E"/>
    <w:rsid w:val="00DE5F88"/>
    <w:rsid w:val="00DE699F"/>
    <w:rsid w:val="00DE700C"/>
    <w:rsid w:val="00DE7E0B"/>
    <w:rsid w:val="00DF050C"/>
    <w:rsid w:val="00DF0ECA"/>
    <w:rsid w:val="00DF1F5B"/>
    <w:rsid w:val="00DF325E"/>
    <w:rsid w:val="00DF39E3"/>
    <w:rsid w:val="00DF3B32"/>
    <w:rsid w:val="00DF3CE2"/>
    <w:rsid w:val="00DF3F8D"/>
    <w:rsid w:val="00DF4A99"/>
    <w:rsid w:val="00DF4D93"/>
    <w:rsid w:val="00DF546A"/>
    <w:rsid w:val="00DF5BF6"/>
    <w:rsid w:val="00DF610A"/>
    <w:rsid w:val="00DF6452"/>
    <w:rsid w:val="00DF72A9"/>
    <w:rsid w:val="00DF79EA"/>
    <w:rsid w:val="00E00617"/>
    <w:rsid w:val="00E00F14"/>
    <w:rsid w:val="00E01E73"/>
    <w:rsid w:val="00E020E9"/>
    <w:rsid w:val="00E02118"/>
    <w:rsid w:val="00E033B7"/>
    <w:rsid w:val="00E039F0"/>
    <w:rsid w:val="00E03E03"/>
    <w:rsid w:val="00E03F28"/>
    <w:rsid w:val="00E04396"/>
    <w:rsid w:val="00E05153"/>
    <w:rsid w:val="00E05C6E"/>
    <w:rsid w:val="00E05D3C"/>
    <w:rsid w:val="00E05DDF"/>
    <w:rsid w:val="00E06C2F"/>
    <w:rsid w:val="00E07097"/>
    <w:rsid w:val="00E07AC2"/>
    <w:rsid w:val="00E07D55"/>
    <w:rsid w:val="00E1000C"/>
    <w:rsid w:val="00E1053D"/>
    <w:rsid w:val="00E10D0B"/>
    <w:rsid w:val="00E116E3"/>
    <w:rsid w:val="00E11E48"/>
    <w:rsid w:val="00E12056"/>
    <w:rsid w:val="00E14C9A"/>
    <w:rsid w:val="00E14F43"/>
    <w:rsid w:val="00E175C9"/>
    <w:rsid w:val="00E175D2"/>
    <w:rsid w:val="00E17C2D"/>
    <w:rsid w:val="00E21ABE"/>
    <w:rsid w:val="00E21C33"/>
    <w:rsid w:val="00E228EB"/>
    <w:rsid w:val="00E22E05"/>
    <w:rsid w:val="00E23632"/>
    <w:rsid w:val="00E24399"/>
    <w:rsid w:val="00E24C45"/>
    <w:rsid w:val="00E251E0"/>
    <w:rsid w:val="00E2617A"/>
    <w:rsid w:val="00E26408"/>
    <w:rsid w:val="00E26430"/>
    <w:rsid w:val="00E266F6"/>
    <w:rsid w:val="00E26CBA"/>
    <w:rsid w:val="00E26E1D"/>
    <w:rsid w:val="00E274C6"/>
    <w:rsid w:val="00E2781A"/>
    <w:rsid w:val="00E27C92"/>
    <w:rsid w:val="00E27E62"/>
    <w:rsid w:val="00E3103E"/>
    <w:rsid w:val="00E312DB"/>
    <w:rsid w:val="00E31B86"/>
    <w:rsid w:val="00E3201E"/>
    <w:rsid w:val="00E321E2"/>
    <w:rsid w:val="00E32438"/>
    <w:rsid w:val="00E32559"/>
    <w:rsid w:val="00E32E05"/>
    <w:rsid w:val="00E33C19"/>
    <w:rsid w:val="00E3417A"/>
    <w:rsid w:val="00E34438"/>
    <w:rsid w:val="00E35550"/>
    <w:rsid w:val="00E369EE"/>
    <w:rsid w:val="00E37DF5"/>
    <w:rsid w:val="00E37F17"/>
    <w:rsid w:val="00E405E3"/>
    <w:rsid w:val="00E41096"/>
    <w:rsid w:val="00E4130A"/>
    <w:rsid w:val="00E41399"/>
    <w:rsid w:val="00E42602"/>
    <w:rsid w:val="00E42781"/>
    <w:rsid w:val="00E43F55"/>
    <w:rsid w:val="00E440F0"/>
    <w:rsid w:val="00E44546"/>
    <w:rsid w:val="00E45302"/>
    <w:rsid w:val="00E459DE"/>
    <w:rsid w:val="00E45C5F"/>
    <w:rsid w:val="00E460D9"/>
    <w:rsid w:val="00E46988"/>
    <w:rsid w:val="00E469C2"/>
    <w:rsid w:val="00E46B3F"/>
    <w:rsid w:val="00E46FE7"/>
    <w:rsid w:val="00E4786F"/>
    <w:rsid w:val="00E47CFA"/>
    <w:rsid w:val="00E47EB7"/>
    <w:rsid w:val="00E50026"/>
    <w:rsid w:val="00E50069"/>
    <w:rsid w:val="00E50112"/>
    <w:rsid w:val="00E523BA"/>
    <w:rsid w:val="00E526CF"/>
    <w:rsid w:val="00E528BB"/>
    <w:rsid w:val="00E52946"/>
    <w:rsid w:val="00E52BFA"/>
    <w:rsid w:val="00E52C8D"/>
    <w:rsid w:val="00E537DC"/>
    <w:rsid w:val="00E54060"/>
    <w:rsid w:val="00E54E95"/>
    <w:rsid w:val="00E55315"/>
    <w:rsid w:val="00E559E8"/>
    <w:rsid w:val="00E55BBD"/>
    <w:rsid w:val="00E56777"/>
    <w:rsid w:val="00E572D3"/>
    <w:rsid w:val="00E5748A"/>
    <w:rsid w:val="00E5781A"/>
    <w:rsid w:val="00E6175F"/>
    <w:rsid w:val="00E61F95"/>
    <w:rsid w:val="00E62F4E"/>
    <w:rsid w:val="00E63081"/>
    <w:rsid w:val="00E63190"/>
    <w:rsid w:val="00E63279"/>
    <w:rsid w:val="00E63587"/>
    <w:rsid w:val="00E63CB4"/>
    <w:rsid w:val="00E641A3"/>
    <w:rsid w:val="00E64D7D"/>
    <w:rsid w:val="00E665A3"/>
    <w:rsid w:val="00E66692"/>
    <w:rsid w:val="00E66994"/>
    <w:rsid w:val="00E66A24"/>
    <w:rsid w:val="00E66A8A"/>
    <w:rsid w:val="00E66D3F"/>
    <w:rsid w:val="00E674BD"/>
    <w:rsid w:val="00E675D8"/>
    <w:rsid w:val="00E67E17"/>
    <w:rsid w:val="00E7089B"/>
    <w:rsid w:val="00E71850"/>
    <w:rsid w:val="00E7241B"/>
    <w:rsid w:val="00E724E1"/>
    <w:rsid w:val="00E72593"/>
    <w:rsid w:val="00E72D2C"/>
    <w:rsid w:val="00E7343A"/>
    <w:rsid w:val="00E739F6"/>
    <w:rsid w:val="00E73BFC"/>
    <w:rsid w:val="00E73ECE"/>
    <w:rsid w:val="00E74690"/>
    <w:rsid w:val="00E74727"/>
    <w:rsid w:val="00E74A57"/>
    <w:rsid w:val="00E74BD5"/>
    <w:rsid w:val="00E74CE4"/>
    <w:rsid w:val="00E750CA"/>
    <w:rsid w:val="00E75676"/>
    <w:rsid w:val="00E7592A"/>
    <w:rsid w:val="00E76CCC"/>
    <w:rsid w:val="00E77DA8"/>
    <w:rsid w:val="00E77EC6"/>
    <w:rsid w:val="00E801EE"/>
    <w:rsid w:val="00E80647"/>
    <w:rsid w:val="00E80EA5"/>
    <w:rsid w:val="00E8110B"/>
    <w:rsid w:val="00E81CD5"/>
    <w:rsid w:val="00E82413"/>
    <w:rsid w:val="00E825F3"/>
    <w:rsid w:val="00E82842"/>
    <w:rsid w:val="00E82B8F"/>
    <w:rsid w:val="00E82DCE"/>
    <w:rsid w:val="00E83128"/>
    <w:rsid w:val="00E8337D"/>
    <w:rsid w:val="00E835DB"/>
    <w:rsid w:val="00E839DA"/>
    <w:rsid w:val="00E8407B"/>
    <w:rsid w:val="00E846DF"/>
    <w:rsid w:val="00E847C9"/>
    <w:rsid w:val="00E8525E"/>
    <w:rsid w:val="00E85C4D"/>
    <w:rsid w:val="00E85FBC"/>
    <w:rsid w:val="00E8610F"/>
    <w:rsid w:val="00E86F13"/>
    <w:rsid w:val="00E877FF"/>
    <w:rsid w:val="00E87ED4"/>
    <w:rsid w:val="00E90B4F"/>
    <w:rsid w:val="00E915E3"/>
    <w:rsid w:val="00E920BB"/>
    <w:rsid w:val="00E92375"/>
    <w:rsid w:val="00E92C82"/>
    <w:rsid w:val="00E93842"/>
    <w:rsid w:val="00E93897"/>
    <w:rsid w:val="00E93927"/>
    <w:rsid w:val="00E93B5A"/>
    <w:rsid w:val="00E943B1"/>
    <w:rsid w:val="00E94561"/>
    <w:rsid w:val="00E94611"/>
    <w:rsid w:val="00E94B36"/>
    <w:rsid w:val="00E94DA2"/>
    <w:rsid w:val="00E95281"/>
    <w:rsid w:val="00E95E6E"/>
    <w:rsid w:val="00E96049"/>
    <w:rsid w:val="00E963B5"/>
    <w:rsid w:val="00E963E9"/>
    <w:rsid w:val="00E968FE"/>
    <w:rsid w:val="00E96D45"/>
    <w:rsid w:val="00E96E8C"/>
    <w:rsid w:val="00E97AED"/>
    <w:rsid w:val="00E97B4B"/>
    <w:rsid w:val="00E97BD9"/>
    <w:rsid w:val="00EA1D7C"/>
    <w:rsid w:val="00EA353E"/>
    <w:rsid w:val="00EA3983"/>
    <w:rsid w:val="00EA3F02"/>
    <w:rsid w:val="00EA44A0"/>
    <w:rsid w:val="00EA48B1"/>
    <w:rsid w:val="00EA4BA2"/>
    <w:rsid w:val="00EA4CE2"/>
    <w:rsid w:val="00EA626B"/>
    <w:rsid w:val="00EA6B49"/>
    <w:rsid w:val="00EA796E"/>
    <w:rsid w:val="00EA7AEA"/>
    <w:rsid w:val="00EB074D"/>
    <w:rsid w:val="00EB0750"/>
    <w:rsid w:val="00EB09D0"/>
    <w:rsid w:val="00EB1327"/>
    <w:rsid w:val="00EB13BA"/>
    <w:rsid w:val="00EB1C6A"/>
    <w:rsid w:val="00EB219B"/>
    <w:rsid w:val="00EB2280"/>
    <w:rsid w:val="00EB30C7"/>
    <w:rsid w:val="00EB3151"/>
    <w:rsid w:val="00EB35FD"/>
    <w:rsid w:val="00EB4197"/>
    <w:rsid w:val="00EB41CB"/>
    <w:rsid w:val="00EB42EA"/>
    <w:rsid w:val="00EB4756"/>
    <w:rsid w:val="00EB4934"/>
    <w:rsid w:val="00EB4F7F"/>
    <w:rsid w:val="00EB5461"/>
    <w:rsid w:val="00EB599F"/>
    <w:rsid w:val="00EB683A"/>
    <w:rsid w:val="00EB68AC"/>
    <w:rsid w:val="00EB6949"/>
    <w:rsid w:val="00EB743C"/>
    <w:rsid w:val="00EB7585"/>
    <w:rsid w:val="00EB75CB"/>
    <w:rsid w:val="00EB7916"/>
    <w:rsid w:val="00EB79D0"/>
    <w:rsid w:val="00EB7EF8"/>
    <w:rsid w:val="00EC0906"/>
    <w:rsid w:val="00EC0D88"/>
    <w:rsid w:val="00EC2A7F"/>
    <w:rsid w:val="00EC2E25"/>
    <w:rsid w:val="00EC332C"/>
    <w:rsid w:val="00EC3386"/>
    <w:rsid w:val="00EC39D0"/>
    <w:rsid w:val="00EC49B4"/>
    <w:rsid w:val="00EC4AFD"/>
    <w:rsid w:val="00EC4C1A"/>
    <w:rsid w:val="00EC5117"/>
    <w:rsid w:val="00EC5413"/>
    <w:rsid w:val="00EC582B"/>
    <w:rsid w:val="00EC59A9"/>
    <w:rsid w:val="00EC5CDD"/>
    <w:rsid w:val="00EC6290"/>
    <w:rsid w:val="00EC635D"/>
    <w:rsid w:val="00EC6A35"/>
    <w:rsid w:val="00EC7D90"/>
    <w:rsid w:val="00ED0067"/>
    <w:rsid w:val="00ED06E4"/>
    <w:rsid w:val="00ED0D18"/>
    <w:rsid w:val="00ED1703"/>
    <w:rsid w:val="00ED1EFE"/>
    <w:rsid w:val="00ED25AC"/>
    <w:rsid w:val="00ED385D"/>
    <w:rsid w:val="00ED4554"/>
    <w:rsid w:val="00ED5174"/>
    <w:rsid w:val="00ED5D2D"/>
    <w:rsid w:val="00ED6AD8"/>
    <w:rsid w:val="00ED6C79"/>
    <w:rsid w:val="00ED6CEE"/>
    <w:rsid w:val="00ED6F27"/>
    <w:rsid w:val="00ED709C"/>
    <w:rsid w:val="00ED75C4"/>
    <w:rsid w:val="00EE0198"/>
    <w:rsid w:val="00EE120E"/>
    <w:rsid w:val="00EE16BB"/>
    <w:rsid w:val="00EE2192"/>
    <w:rsid w:val="00EE2509"/>
    <w:rsid w:val="00EE2D3C"/>
    <w:rsid w:val="00EE2FAD"/>
    <w:rsid w:val="00EE30D3"/>
    <w:rsid w:val="00EE30ED"/>
    <w:rsid w:val="00EE373F"/>
    <w:rsid w:val="00EE37F9"/>
    <w:rsid w:val="00EE3D03"/>
    <w:rsid w:val="00EE44FB"/>
    <w:rsid w:val="00EE53BD"/>
    <w:rsid w:val="00EE5583"/>
    <w:rsid w:val="00EE5F4E"/>
    <w:rsid w:val="00EE5F6F"/>
    <w:rsid w:val="00EE612A"/>
    <w:rsid w:val="00EE708F"/>
    <w:rsid w:val="00EE740D"/>
    <w:rsid w:val="00EE79E3"/>
    <w:rsid w:val="00EF0283"/>
    <w:rsid w:val="00EF0761"/>
    <w:rsid w:val="00EF1488"/>
    <w:rsid w:val="00EF1B71"/>
    <w:rsid w:val="00EF1B80"/>
    <w:rsid w:val="00EF3317"/>
    <w:rsid w:val="00EF3700"/>
    <w:rsid w:val="00EF377A"/>
    <w:rsid w:val="00EF48FC"/>
    <w:rsid w:val="00EF4BC6"/>
    <w:rsid w:val="00EF5AA4"/>
    <w:rsid w:val="00EF6375"/>
    <w:rsid w:val="00EF6D12"/>
    <w:rsid w:val="00EF77B6"/>
    <w:rsid w:val="00F00C9B"/>
    <w:rsid w:val="00F00E2C"/>
    <w:rsid w:val="00F02533"/>
    <w:rsid w:val="00F02710"/>
    <w:rsid w:val="00F02AE6"/>
    <w:rsid w:val="00F03227"/>
    <w:rsid w:val="00F033E8"/>
    <w:rsid w:val="00F041C1"/>
    <w:rsid w:val="00F0524E"/>
    <w:rsid w:val="00F05326"/>
    <w:rsid w:val="00F05B76"/>
    <w:rsid w:val="00F05BA8"/>
    <w:rsid w:val="00F06592"/>
    <w:rsid w:val="00F06EEC"/>
    <w:rsid w:val="00F07B96"/>
    <w:rsid w:val="00F108D6"/>
    <w:rsid w:val="00F10B42"/>
    <w:rsid w:val="00F10C51"/>
    <w:rsid w:val="00F11A27"/>
    <w:rsid w:val="00F11B4E"/>
    <w:rsid w:val="00F11C31"/>
    <w:rsid w:val="00F11F8A"/>
    <w:rsid w:val="00F12080"/>
    <w:rsid w:val="00F125D4"/>
    <w:rsid w:val="00F12DA4"/>
    <w:rsid w:val="00F135B0"/>
    <w:rsid w:val="00F13C5A"/>
    <w:rsid w:val="00F13F78"/>
    <w:rsid w:val="00F14BDB"/>
    <w:rsid w:val="00F15136"/>
    <w:rsid w:val="00F15838"/>
    <w:rsid w:val="00F168AD"/>
    <w:rsid w:val="00F16EE6"/>
    <w:rsid w:val="00F1719A"/>
    <w:rsid w:val="00F17C03"/>
    <w:rsid w:val="00F2045E"/>
    <w:rsid w:val="00F20DEF"/>
    <w:rsid w:val="00F21728"/>
    <w:rsid w:val="00F21C95"/>
    <w:rsid w:val="00F22AF2"/>
    <w:rsid w:val="00F22F03"/>
    <w:rsid w:val="00F23295"/>
    <w:rsid w:val="00F236A0"/>
    <w:rsid w:val="00F237E9"/>
    <w:rsid w:val="00F2388D"/>
    <w:rsid w:val="00F23B2C"/>
    <w:rsid w:val="00F23B99"/>
    <w:rsid w:val="00F24740"/>
    <w:rsid w:val="00F2485B"/>
    <w:rsid w:val="00F2677A"/>
    <w:rsid w:val="00F26A81"/>
    <w:rsid w:val="00F26D9F"/>
    <w:rsid w:val="00F26F52"/>
    <w:rsid w:val="00F2704C"/>
    <w:rsid w:val="00F27D29"/>
    <w:rsid w:val="00F30023"/>
    <w:rsid w:val="00F307BD"/>
    <w:rsid w:val="00F30B47"/>
    <w:rsid w:val="00F30C24"/>
    <w:rsid w:val="00F315A4"/>
    <w:rsid w:val="00F31DBD"/>
    <w:rsid w:val="00F3261D"/>
    <w:rsid w:val="00F328F0"/>
    <w:rsid w:val="00F32D13"/>
    <w:rsid w:val="00F32FCA"/>
    <w:rsid w:val="00F34675"/>
    <w:rsid w:val="00F34A3D"/>
    <w:rsid w:val="00F3586A"/>
    <w:rsid w:val="00F35900"/>
    <w:rsid w:val="00F35C73"/>
    <w:rsid w:val="00F36186"/>
    <w:rsid w:val="00F36994"/>
    <w:rsid w:val="00F3738A"/>
    <w:rsid w:val="00F37F16"/>
    <w:rsid w:val="00F40642"/>
    <w:rsid w:val="00F40D56"/>
    <w:rsid w:val="00F41254"/>
    <w:rsid w:val="00F41347"/>
    <w:rsid w:val="00F41637"/>
    <w:rsid w:val="00F42430"/>
    <w:rsid w:val="00F42464"/>
    <w:rsid w:val="00F424C9"/>
    <w:rsid w:val="00F426F2"/>
    <w:rsid w:val="00F427ED"/>
    <w:rsid w:val="00F42AF0"/>
    <w:rsid w:val="00F42E93"/>
    <w:rsid w:val="00F42FEC"/>
    <w:rsid w:val="00F43D0E"/>
    <w:rsid w:val="00F43DB6"/>
    <w:rsid w:val="00F44317"/>
    <w:rsid w:val="00F446B0"/>
    <w:rsid w:val="00F44712"/>
    <w:rsid w:val="00F449B3"/>
    <w:rsid w:val="00F44C78"/>
    <w:rsid w:val="00F44D15"/>
    <w:rsid w:val="00F453CE"/>
    <w:rsid w:val="00F462CD"/>
    <w:rsid w:val="00F4679D"/>
    <w:rsid w:val="00F47559"/>
    <w:rsid w:val="00F50BD0"/>
    <w:rsid w:val="00F51092"/>
    <w:rsid w:val="00F5172F"/>
    <w:rsid w:val="00F5187A"/>
    <w:rsid w:val="00F54314"/>
    <w:rsid w:val="00F54887"/>
    <w:rsid w:val="00F548BB"/>
    <w:rsid w:val="00F5498F"/>
    <w:rsid w:val="00F54E65"/>
    <w:rsid w:val="00F55437"/>
    <w:rsid w:val="00F55495"/>
    <w:rsid w:val="00F556C7"/>
    <w:rsid w:val="00F55F87"/>
    <w:rsid w:val="00F56039"/>
    <w:rsid w:val="00F567BA"/>
    <w:rsid w:val="00F56BA8"/>
    <w:rsid w:val="00F56D53"/>
    <w:rsid w:val="00F57375"/>
    <w:rsid w:val="00F57401"/>
    <w:rsid w:val="00F57BB6"/>
    <w:rsid w:val="00F60864"/>
    <w:rsid w:val="00F60A2D"/>
    <w:rsid w:val="00F60C18"/>
    <w:rsid w:val="00F60F1C"/>
    <w:rsid w:val="00F611B4"/>
    <w:rsid w:val="00F622D9"/>
    <w:rsid w:val="00F622E0"/>
    <w:rsid w:val="00F62590"/>
    <w:rsid w:val="00F63085"/>
    <w:rsid w:val="00F63A4D"/>
    <w:rsid w:val="00F64342"/>
    <w:rsid w:val="00F64C15"/>
    <w:rsid w:val="00F654A1"/>
    <w:rsid w:val="00F65F8A"/>
    <w:rsid w:val="00F66261"/>
    <w:rsid w:val="00F668D2"/>
    <w:rsid w:val="00F66B41"/>
    <w:rsid w:val="00F679BE"/>
    <w:rsid w:val="00F679E0"/>
    <w:rsid w:val="00F67B48"/>
    <w:rsid w:val="00F702DD"/>
    <w:rsid w:val="00F725C5"/>
    <w:rsid w:val="00F727BE"/>
    <w:rsid w:val="00F72855"/>
    <w:rsid w:val="00F72F69"/>
    <w:rsid w:val="00F7425A"/>
    <w:rsid w:val="00F74C27"/>
    <w:rsid w:val="00F74E81"/>
    <w:rsid w:val="00F751F8"/>
    <w:rsid w:val="00F756B5"/>
    <w:rsid w:val="00F75979"/>
    <w:rsid w:val="00F76519"/>
    <w:rsid w:val="00F76E69"/>
    <w:rsid w:val="00F770EB"/>
    <w:rsid w:val="00F80268"/>
    <w:rsid w:val="00F80554"/>
    <w:rsid w:val="00F81129"/>
    <w:rsid w:val="00F81B84"/>
    <w:rsid w:val="00F82030"/>
    <w:rsid w:val="00F820F7"/>
    <w:rsid w:val="00F82A0E"/>
    <w:rsid w:val="00F8342A"/>
    <w:rsid w:val="00F838E7"/>
    <w:rsid w:val="00F842DC"/>
    <w:rsid w:val="00F8462B"/>
    <w:rsid w:val="00F851E3"/>
    <w:rsid w:val="00F85C8F"/>
    <w:rsid w:val="00F86E7D"/>
    <w:rsid w:val="00F9028C"/>
    <w:rsid w:val="00F904D9"/>
    <w:rsid w:val="00F91426"/>
    <w:rsid w:val="00F917B1"/>
    <w:rsid w:val="00F9265E"/>
    <w:rsid w:val="00F926D3"/>
    <w:rsid w:val="00F92914"/>
    <w:rsid w:val="00F92F49"/>
    <w:rsid w:val="00F931C6"/>
    <w:rsid w:val="00F93BE1"/>
    <w:rsid w:val="00F94606"/>
    <w:rsid w:val="00F94B3F"/>
    <w:rsid w:val="00F94C9C"/>
    <w:rsid w:val="00F96113"/>
    <w:rsid w:val="00F96180"/>
    <w:rsid w:val="00F9696E"/>
    <w:rsid w:val="00F970FB"/>
    <w:rsid w:val="00F971A6"/>
    <w:rsid w:val="00F97EFB"/>
    <w:rsid w:val="00FA07D0"/>
    <w:rsid w:val="00FA134F"/>
    <w:rsid w:val="00FA1C96"/>
    <w:rsid w:val="00FA35EA"/>
    <w:rsid w:val="00FA49E8"/>
    <w:rsid w:val="00FA60BC"/>
    <w:rsid w:val="00FA64BA"/>
    <w:rsid w:val="00FA70BF"/>
    <w:rsid w:val="00FA73A6"/>
    <w:rsid w:val="00FB00FE"/>
    <w:rsid w:val="00FB0135"/>
    <w:rsid w:val="00FB092E"/>
    <w:rsid w:val="00FB0CE6"/>
    <w:rsid w:val="00FB1DAE"/>
    <w:rsid w:val="00FB3943"/>
    <w:rsid w:val="00FB39CB"/>
    <w:rsid w:val="00FB41A3"/>
    <w:rsid w:val="00FB4255"/>
    <w:rsid w:val="00FB44F8"/>
    <w:rsid w:val="00FB4E82"/>
    <w:rsid w:val="00FB5AB2"/>
    <w:rsid w:val="00FB7549"/>
    <w:rsid w:val="00FC00D7"/>
    <w:rsid w:val="00FC0B95"/>
    <w:rsid w:val="00FC0FB1"/>
    <w:rsid w:val="00FC1741"/>
    <w:rsid w:val="00FC1AB9"/>
    <w:rsid w:val="00FC2148"/>
    <w:rsid w:val="00FC2254"/>
    <w:rsid w:val="00FC25A3"/>
    <w:rsid w:val="00FC286F"/>
    <w:rsid w:val="00FC30DA"/>
    <w:rsid w:val="00FC4C5B"/>
    <w:rsid w:val="00FC54B8"/>
    <w:rsid w:val="00FC600C"/>
    <w:rsid w:val="00FC62A2"/>
    <w:rsid w:val="00FC64EE"/>
    <w:rsid w:val="00FC695E"/>
    <w:rsid w:val="00FC6CAA"/>
    <w:rsid w:val="00FC73E0"/>
    <w:rsid w:val="00FD01A0"/>
    <w:rsid w:val="00FD1430"/>
    <w:rsid w:val="00FD18E2"/>
    <w:rsid w:val="00FD1A8A"/>
    <w:rsid w:val="00FD1AB9"/>
    <w:rsid w:val="00FD2955"/>
    <w:rsid w:val="00FD3F5B"/>
    <w:rsid w:val="00FD4BF6"/>
    <w:rsid w:val="00FD55ED"/>
    <w:rsid w:val="00FD5DDD"/>
    <w:rsid w:val="00FD6567"/>
    <w:rsid w:val="00FD7340"/>
    <w:rsid w:val="00FD73D4"/>
    <w:rsid w:val="00FE03E5"/>
    <w:rsid w:val="00FE115F"/>
    <w:rsid w:val="00FE1A5A"/>
    <w:rsid w:val="00FE1DA0"/>
    <w:rsid w:val="00FE1DCB"/>
    <w:rsid w:val="00FE2537"/>
    <w:rsid w:val="00FE38A6"/>
    <w:rsid w:val="00FE3E7D"/>
    <w:rsid w:val="00FE48F5"/>
    <w:rsid w:val="00FE4C3E"/>
    <w:rsid w:val="00FE51A2"/>
    <w:rsid w:val="00FE53C4"/>
    <w:rsid w:val="00FE570A"/>
    <w:rsid w:val="00FE5D30"/>
    <w:rsid w:val="00FE7D04"/>
    <w:rsid w:val="00FF00C8"/>
    <w:rsid w:val="00FF03DD"/>
    <w:rsid w:val="00FF2172"/>
    <w:rsid w:val="00FF21A7"/>
    <w:rsid w:val="00FF22E4"/>
    <w:rsid w:val="00FF2302"/>
    <w:rsid w:val="00FF24CD"/>
    <w:rsid w:val="00FF29C7"/>
    <w:rsid w:val="00FF2B31"/>
    <w:rsid w:val="00FF2D51"/>
    <w:rsid w:val="00FF2DD7"/>
    <w:rsid w:val="00FF302D"/>
    <w:rsid w:val="00FF34AC"/>
    <w:rsid w:val="00FF4BC9"/>
    <w:rsid w:val="00FF5041"/>
    <w:rsid w:val="00FF5CF6"/>
    <w:rsid w:val="00FF622B"/>
    <w:rsid w:val="00FF66EC"/>
    <w:rsid w:val="00FF74BB"/>
    <w:rsid w:val="00FF7981"/>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876057D-DA17-4D84-BCFF-EE139852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60"/>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paragraph" w:styleId="Heading7">
    <w:name w:val="heading 7"/>
    <w:basedOn w:val="Normal"/>
    <w:link w:val="Heading7Char"/>
    <w:semiHidden/>
    <w:rsid w:val="00DB106E"/>
    <w:pPr>
      <w:tabs>
        <w:tab w:val="num" w:pos="4961"/>
      </w:tabs>
      <w:spacing w:before="240" w:after="60"/>
      <w:ind w:left="4961" w:hanging="709"/>
      <w:jc w:val="left"/>
      <w:outlineLvl w:val="6"/>
    </w:pPr>
    <w:rPr>
      <w:sz w:val="24"/>
      <w:szCs w:val="24"/>
      <w:lang w:eastAsia="en-AU"/>
    </w:rPr>
  </w:style>
  <w:style w:type="paragraph" w:styleId="Heading8">
    <w:name w:val="heading 8"/>
    <w:basedOn w:val="Normal"/>
    <w:link w:val="Heading8Char"/>
    <w:semiHidden/>
    <w:rsid w:val="00DB106E"/>
    <w:pPr>
      <w:tabs>
        <w:tab w:val="num" w:pos="5669"/>
      </w:tabs>
      <w:spacing w:before="240" w:after="60"/>
      <w:ind w:left="5669" w:hanging="708"/>
      <w:jc w:val="left"/>
      <w:outlineLvl w:val="7"/>
    </w:pPr>
    <w:rPr>
      <w:iCs/>
      <w:sz w:val="24"/>
      <w:szCs w:val="24"/>
      <w:lang w:eastAsia="en-AU"/>
    </w:rPr>
  </w:style>
  <w:style w:type="paragraph" w:styleId="Heading9">
    <w:name w:val="heading 9"/>
    <w:basedOn w:val="Normal"/>
    <w:link w:val="Heading9Char"/>
    <w:semiHidden/>
    <w:rsid w:val="00DB106E"/>
    <w:pPr>
      <w:tabs>
        <w:tab w:val="num" w:pos="6378"/>
      </w:tabs>
      <w:spacing w:before="240" w:after="60"/>
      <w:ind w:left="6378" w:hanging="709"/>
      <w:jc w:val="left"/>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5"/>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067B06"/>
    <w:pPr>
      <w:numPr>
        <w:numId w:val="1"/>
      </w:numPr>
      <w:spacing w:before="100" w:after="100"/>
    </w:pPr>
  </w:style>
  <w:style w:type="paragraph" w:customStyle="1" w:styleId="NumPlain2">
    <w:name w:val="Num Plain2"/>
    <w:basedOn w:val="NumPlain1"/>
    <w:uiPriority w:val="2"/>
    <w:qFormat/>
    <w:rsid w:val="00067B06"/>
    <w:pPr>
      <w:numPr>
        <w:ilvl w:val="1"/>
      </w:numPr>
      <w:tabs>
        <w:tab w:val="clear" w:pos="1021"/>
      </w:tabs>
      <w:ind w:left="1564" w:hanging="782"/>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Id w:val="13"/>
      </w:numPr>
    </w:pPr>
  </w:style>
  <w:style w:type="paragraph" w:customStyle="1" w:styleId="Bullet1">
    <w:name w:val="Bullet1"/>
    <w:basedOn w:val="Normal"/>
    <w:qFormat/>
    <w:rsid w:val="00580BC4"/>
    <w:pPr>
      <w:numPr>
        <w:numId w:val="4"/>
      </w:numPr>
      <w:spacing w:before="100" w:after="100"/>
      <w:ind w:left="505" w:hanging="505"/>
    </w:pPr>
  </w:style>
  <w:style w:type="paragraph" w:customStyle="1" w:styleId="Bullet2">
    <w:name w:val="Bullet2"/>
    <w:basedOn w:val="Normal"/>
    <w:rsid w:val="00972BFA"/>
    <w:pPr>
      <w:numPr>
        <w:ilvl w:val="1"/>
        <w:numId w:val="4"/>
      </w:numPr>
      <w:spacing w:after="200"/>
      <w:ind w:left="1010" w:hanging="505"/>
    </w:pPr>
  </w:style>
  <w:style w:type="paragraph" w:customStyle="1" w:styleId="Bullet3">
    <w:name w:val="Bullet3"/>
    <w:basedOn w:val="Normal"/>
    <w:rsid w:val="00972BFA"/>
    <w:pPr>
      <w:numPr>
        <w:ilvl w:val="2"/>
        <w:numId w:val="4"/>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4"/>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2"/>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8F43CA"/>
    <w:pPr>
      <w:spacing w:before="100" w:after="100"/>
      <w:ind w:left="782" w:hanging="782"/>
    </w:pPr>
  </w:style>
  <w:style w:type="paragraph" w:customStyle="1" w:styleId="NumBC2">
    <w:name w:val="Num BC2"/>
    <w:basedOn w:val="NumBC1"/>
    <w:rsid w:val="008F43CA"/>
    <w:pPr>
      <w:ind w:left="1281" w:hanging="499"/>
    </w:pPr>
  </w:style>
  <w:style w:type="paragraph" w:customStyle="1" w:styleId="NumBC3">
    <w:name w:val="Num BC3"/>
    <w:basedOn w:val="NumBC2"/>
    <w:rsid w:val="008F43CA"/>
    <w:pPr>
      <w:ind w:left="2063" w:hanging="782"/>
    </w:pPr>
  </w:style>
  <w:style w:type="paragraph" w:customStyle="1" w:styleId="NumBC4">
    <w:name w:val="Num BC4"/>
    <w:basedOn w:val="NumBC3"/>
    <w:rsid w:val="008F43CA"/>
    <w:pPr>
      <w:tabs>
        <w:tab w:val="num" w:pos="2211"/>
      </w:tabs>
      <w:ind w:left="2211" w:hanging="624"/>
    </w:pPr>
  </w:style>
  <w:style w:type="numbering" w:customStyle="1" w:styleId="Bullets">
    <w:name w:val="Bullets"/>
    <w:uiPriority w:val="99"/>
    <w:rsid w:val="00F27D29"/>
    <w:pPr>
      <w:numPr>
        <w:numId w:val="3"/>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7"/>
      </w:numPr>
    </w:pPr>
  </w:style>
  <w:style w:type="paragraph" w:customStyle="1" w:styleId="SubNumPlain3">
    <w:name w:val="SubNum Plain3"/>
    <w:basedOn w:val="PlainHanging3"/>
    <w:qFormat/>
    <w:rsid w:val="00A96702"/>
    <w:pPr>
      <w:numPr>
        <w:ilvl w:val="2"/>
        <w:numId w:val="7"/>
      </w:numPr>
    </w:pPr>
  </w:style>
  <w:style w:type="paragraph" w:customStyle="1" w:styleId="SubNumPlain4">
    <w:name w:val="SubNum Plain4"/>
    <w:basedOn w:val="PlainHanging4"/>
    <w:qFormat/>
    <w:rsid w:val="00A96702"/>
    <w:pPr>
      <w:numPr>
        <w:ilvl w:val="3"/>
        <w:numId w:val="7"/>
      </w:numPr>
    </w:pPr>
  </w:style>
  <w:style w:type="paragraph" w:customStyle="1" w:styleId="SubNumBold1">
    <w:name w:val="SubNum Bold1"/>
    <w:basedOn w:val="BoldHanging1"/>
    <w:qFormat/>
    <w:rsid w:val="00A96702"/>
    <w:pPr>
      <w:numPr>
        <w:numId w:val="8"/>
      </w:numPr>
    </w:pPr>
  </w:style>
  <w:style w:type="paragraph" w:customStyle="1" w:styleId="SubNumBold2">
    <w:name w:val="SubNum Bold2"/>
    <w:basedOn w:val="BoldHanging2"/>
    <w:qFormat/>
    <w:rsid w:val="00A96702"/>
    <w:pPr>
      <w:numPr>
        <w:ilvl w:val="1"/>
        <w:numId w:val="8"/>
      </w:numPr>
    </w:pPr>
  </w:style>
  <w:style w:type="paragraph" w:customStyle="1" w:styleId="SubNumBold3">
    <w:name w:val="SubNum Bold3"/>
    <w:basedOn w:val="BoldHanging3"/>
    <w:qFormat/>
    <w:rsid w:val="00A96702"/>
    <w:pPr>
      <w:numPr>
        <w:ilvl w:val="2"/>
        <w:numId w:val="8"/>
      </w:numPr>
    </w:pPr>
  </w:style>
  <w:style w:type="paragraph" w:customStyle="1" w:styleId="SubNumBold4">
    <w:name w:val="SubNum Bold4"/>
    <w:basedOn w:val="BoldHanging4"/>
    <w:qFormat/>
    <w:rsid w:val="00A96702"/>
    <w:pPr>
      <w:numPr>
        <w:ilvl w:val="3"/>
        <w:numId w:val="8"/>
      </w:numPr>
    </w:pPr>
  </w:style>
  <w:style w:type="numbering" w:customStyle="1" w:styleId="AASBSubNumbers">
    <w:name w:val="AASB SubNumbers"/>
    <w:uiPriority w:val="99"/>
    <w:rsid w:val="00A96702"/>
    <w:pPr>
      <w:numPr>
        <w:numId w:val="6"/>
      </w:numPr>
    </w:pPr>
  </w:style>
  <w:style w:type="numbering" w:customStyle="1" w:styleId="AASBSubNumbersBold">
    <w:name w:val="AASB SubNumbers Bold"/>
    <w:uiPriority w:val="99"/>
    <w:rsid w:val="00A96702"/>
    <w:pPr>
      <w:numPr>
        <w:numId w:val="8"/>
      </w:numPr>
    </w:pPr>
  </w:style>
  <w:style w:type="character" w:customStyle="1" w:styleId="NumPlain1Char">
    <w:name w:val="Num Plain1 Char"/>
    <w:basedOn w:val="DefaultParagraphFont"/>
    <w:link w:val="NumPlain1"/>
    <w:uiPriority w:val="2"/>
    <w:rsid w:val="00067B06"/>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9"/>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5"/>
    <w:rsid w:val="00354B47"/>
    <w:rPr>
      <w:vertAlign w:val="superscript"/>
    </w:rPr>
  </w:style>
  <w:style w:type="character" w:customStyle="1" w:styleId="FootnoteTextChar">
    <w:name w:val="Footnote Text Char"/>
    <w:basedOn w:val="DefaultParagraphFont"/>
    <w:link w:val="FootnoteText"/>
    <w:rsid w:val="00354B47"/>
    <w:rPr>
      <w:sz w:val="16"/>
      <w:lang w:eastAsia="en-US"/>
    </w:rPr>
  </w:style>
  <w:style w:type="character" w:styleId="CommentReference">
    <w:name w:val="annotation reference"/>
    <w:basedOn w:val="DefaultParagraphFont"/>
    <w:rsid w:val="00354B47"/>
    <w:rPr>
      <w:sz w:val="16"/>
      <w:szCs w:val="16"/>
    </w:rPr>
  </w:style>
  <w:style w:type="paragraph" w:styleId="CommentText">
    <w:name w:val="annotation text"/>
    <w:basedOn w:val="Normal"/>
    <w:link w:val="CommentTextChar"/>
    <w:rsid w:val="00354B47"/>
    <w:pPr>
      <w:jc w:val="left"/>
    </w:pPr>
    <w:rPr>
      <w:sz w:val="20"/>
    </w:rPr>
  </w:style>
  <w:style w:type="character" w:customStyle="1" w:styleId="CommentTextChar">
    <w:name w:val="Comment Text Char"/>
    <w:basedOn w:val="DefaultParagraphFont"/>
    <w:link w:val="CommentText"/>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11"/>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uiPriority w:val="34"/>
    <w:rsid w:val="007F6E64"/>
    <w:pPr>
      <w:numPr>
        <w:numId w:val="17"/>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12"/>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3"/>
      </w:numPr>
      <w:spacing w:before="100" w:after="100"/>
    </w:pPr>
  </w:style>
  <w:style w:type="paragraph" w:customStyle="1" w:styleId="NumCPlain2">
    <w:name w:val="Num C Plain 2"/>
    <w:basedOn w:val="NumCPlain1"/>
    <w:qFormat/>
    <w:rsid w:val="008F43CA"/>
    <w:pPr>
      <w:numPr>
        <w:ilvl w:val="1"/>
      </w:numPr>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5"/>
      </w:numPr>
      <w:spacing w:after="200" w:line="200" w:lineRule="exact"/>
      <w:jc w:val="left"/>
    </w:pPr>
    <w:rPr>
      <w:sz w:val="20"/>
    </w:rPr>
  </w:style>
  <w:style w:type="paragraph" w:customStyle="1" w:styleId="DLevel2">
    <w:name w:val="DLevel 2"/>
    <w:basedOn w:val="Normal"/>
    <w:uiPriority w:val="1"/>
    <w:qFormat/>
    <w:rsid w:val="0055166C"/>
    <w:pPr>
      <w:numPr>
        <w:ilvl w:val="1"/>
        <w:numId w:val="15"/>
      </w:numPr>
      <w:spacing w:after="200" w:line="200" w:lineRule="exact"/>
      <w:jc w:val="left"/>
    </w:pPr>
    <w:rPr>
      <w:sz w:val="20"/>
    </w:rPr>
  </w:style>
  <w:style w:type="paragraph" w:customStyle="1" w:styleId="DLevel3">
    <w:name w:val="DLevel 3"/>
    <w:basedOn w:val="Normal"/>
    <w:uiPriority w:val="1"/>
    <w:qFormat/>
    <w:rsid w:val="0055166C"/>
    <w:pPr>
      <w:numPr>
        <w:ilvl w:val="2"/>
        <w:numId w:val="15"/>
      </w:numPr>
      <w:spacing w:after="200" w:line="200" w:lineRule="exact"/>
      <w:jc w:val="left"/>
    </w:pPr>
    <w:rPr>
      <w:sz w:val="20"/>
    </w:rPr>
  </w:style>
  <w:style w:type="numbering" w:customStyle="1" w:styleId="DNos">
    <w:name w:val="DNos"/>
    <w:uiPriority w:val="99"/>
    <w:rsid w:val="0055166C"/>
    <w:pPr>
      <w:numPr>
        <w:numId w:val="14"/>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6"/>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numPr>
        <w:numId w:val="18"/>
      </w:numPr>
      <w:spacing w:after="240"/>
      <w:jc w:val="left"/>
    </w:pPr>
  </w:style>
  <w:style w:type="paragraph" w:customStyle="1" w:styleId="NumDPlain2">
    <w:name w:val="Num D Plain 2"/>
    <w:basedOn w:val="NumDPlain1"/>
    <w:qFormat/>
    <w:rsid w:val="00235618"/>
    <w:pPr>
      <w:numPr>
        <w:ilvl w:val="1"/>
      </w:numPr>
      <w:ind w:left="1564" w:hanging="782"/>
    </w:pPr>
  </w:style>
  <w:style w:type="paragraph" w:customStyle="1" w:styleId="NumDPlain3">
    <w:name w:val="Num D Plain 3"/>
    <w:basedOn w:val="NumDPlain2"/>
    <w:qFormat/>
    <w:rsid w:val="00235618"/>
    <w:pPr>
      <w:numPr>
        <w:ilvl w:val="2"/>
      </w:numPr>
      <w:ind w:left="2347" w:hanging="782"/>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21"/>
      </w:numPr>
      <w:spacing w:after="200" w:line="200" w:lineRule="exact"/>
      <w:jc w:val="left"/>
    </w:pPr>
    <w:rPr>
      <w:sz w:val="20"/>
    </w:rPr>
  </w:style>
  <w:style w:type="paragraph" w:customStyle="1" w:styleId="IE2">
    <w:name w:val="IE2"/>
    <w:basedOn w:val="Normal"/>
    <w:uiPriority w:val="1"/>
    <w:qFormat/>
    <w:rsid w:val="00BA5A1C"/>
    <w:pPr>
      <w:numPr>
        <w:ilvl w:val="1"/>
        <w:numId w:val="21"/>
      </w:numPr>
      <w:spacing w:after="200" w:line="200" w:lineRule="exact"/>
      <w:jc w:val="left"/>
    </w:pPr>
    <w:rPr>
      <w:sz w:val="20"/>
    </w:rPr>
  </w:style>
  <w:style w:type="paragraph" w:customStyle="1" w:styleId="IE3">
    <w:name w:val="IE3"/>
    <w:basedOn w:val="Normal"/>
    <w:uiPriority w:val="1"/>
    <w:qFormat/>
    <w:rsid w:val="00BA5A1C"/>
    <w:pPr>
      <w:numPr>
        <w:ilvl w:val="2"/>
        <w:numId w:val="21"/>
      </w:numPr>
      <w:spacing w:after="200" w:line="200" w:lineRule="exact"/>
      <w:jc w:val="left"/>
    </w:pPr>
    <w:rPr>
      <w:sz w:val="20"/>
    </w:rPr>
  </w:style>
  <w:style w:type="numbering" w:customStyle="1" w:styleId="IENos">
    <w:name w:val="IENos"/>
    <w:uiPriority w:val="99"/>
    <w:rsid w:val="00BA5A1C"/>
    <w:pPr>
      <w:numPr>
        <w:numId w:val="20"/>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5"/>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26"/>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30"/>
      </w:numPr>
      <w:spacing w:after="100"/>
    </w:pPr>
    <w:rPr>
      <w:szCs w:val="19"/>
    </w:rPr>
  </w:style>
  <w:style w:type="paragraph" w:styleId="NormalWeb">
    <w:name w:val="Normal (Web)"/>
    <w:basedOn w:val="Normal"/>
    <w:uiPriority w:val="99"/>
    <w:semiHidden/>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270378"/>
    <w:pPr>
      <w:spacing w:after="120"/>
    </w:pPr>
  </w:style>
  <w:style w:type="character" w:customStyle="1" w:styleId="BodyTextChar">
    <w:name w:val="Body Text Char"/>
    <w:basedOn w:val="DefaultParagraphFont"/>
    <w:link w:val="BodyText"/>
    <w:rsid w:val="00270378"/>
    <w:rPr>
      <w:sz w:val="19"/>
      <w:lang w:eastAsia="en-US"/>
    </w:rPr>
  </w:style>
  <w:style w:type="character" w:customStyle="1" w:styleId="Heading7Char">
    <w:name w:val="Heading 7 Char"/>
    <w:basedOn w:val="DefaultParagraphFont"/>
    <w:link w:val="Heading7"/>
    <w:semiHidden/>
    <w:rsid w:val="00DB106E"/>
    <w:rPr>
      <w:sz w:val="24"/>
      <w:szCs w:val="24"/>
    </w:rPr>
  </w:style>
  <w:style w:type="character" w:customStyle="1" w:styleId="Heading8Char">
    <w:name w:val="Heading 8 Char"/>
    <w:basedOn w:val="DefaultParagraphFont"/>
    <w:link w:val="Heading8"/>
    <w:semiHidden/>
    <w:rsid w:val="00DB106E"/>
    <w:rPr>
      <w:iCs/>
      <w:sz w:val="24"/>
      <w:szCs w:val="24"/>
    </w:rPr>
  </w:style>
  <w:style w:type="character" w:customStyle="1" w:styleId="Heading9Char">
    <w:name w:val="Heading 9 Char"/>
    <w:basedOn w:val="DefaultParagraphFont"/>
    <w:link w:val="Heading9"/>
    <w:semiHidden/>
    <w:rsid w:val="00DB106E"/>
    <w:rPr>
      <w:rFonts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19235389">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984042796">
      <w:bodyDiv w:val="1"/>
      <w:marLeft w:val="0"/>
      <w:marRight w:val="0"/>
      <w:marTop w:val="0"/>
      <w:marBottom w:val="0"/>
      <w:divBdr>
        <w:top w:val="none" w:sz="0" w:space="0" w:color="auto"/>
        <w:left w:val="none" w:sz="0" w:space="0" w:color="auto"/>
        <w:bottom w:val="none" w:sz="0" w:space="0" w:color="auto"/>
        <w:right w:val="none" w:sz="0" w:space="0" w:color="auto"/>
      </w:divBdr>
    </w:div>
    <w:div w:id="20822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6415254-577E-43D4-ACAA-463A3F83D415}"/>
      </w:docPartPr>
      <w:docPartBody>
        <w:p w:rsidR="00FC47A1" w:rsidRDefault="00FC47A1">
          <w:r w:rsidRPr="001257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A1"/>
    <w:rsid w:val="00056A2F"/>
    <w:rsid w:val="002711B6"/>
    <w:rsid w:val="00484891"/>
    <w:rsid w:val="008204AC"/>
    <w:rsid w:val="008F0FAB"/>
    <w:rsid w:val="00BC278A"/>
    <w:rsid w:val="00BC36BF"/>
    <w:rsid w:val="00D100F0"/>
    <w:rsid w:val="00D2775F"/>
    <w:rsid w:val="00D52B28"/>
    <w:rsid w:val="00DC6A9F"/>
    <w:rsid w:val="00FC47A1"/>
    <w:rsid w:val="00FD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7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ASB AUASB Doc" ma:contentTypeID="0x0101005D166743AF667142AE4C423E78D357B8009763AD052C75174CA62908DFABF5F774" ma:contentTypeVersion="3" ma:contentTypeDescription="" ma:contentTypeScope="" ma:versionID="6020663515fa0b519032564ec2354205">
  <xsd:schema xmlns:xsd="http://www.w3.org/2001/XMLSchema" xmlns:xs="http://www.w3.org/2001/XMLSchema" xmlns:p="http://schemas.microsoft.com/office/2006/metadata/properties" xmlns:ns1="http://schemas.microsoft.com/sharepoint/v3" xmlns:ns2="3f4bcce7-ac1a-4c9d-aa3e-7e77695652db" xmlns:ns3="47e576cf-618c-45c9-99ef-ab7e8b777e43" targetNamespace="http://schemas.microsoft.com/office/2006/metadata/properties" ma:root="true" ma:fieldsID="aff4867a5ba70b811cfdf7aa1cd4a09e" ns1:_="" ns2:_="" ns3:_="">
    <xsd:import namespace="http://schemas.microsoft.com/sharepoint/v3"/>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3" nillable="true" ma:taxonomy="true" ma:internalName="i68dcda424604f4b8ece99fc3619f00c" ma:taxonomyFieldName="Term" ma:displayName="Term" ma:default="" ma:fieldId="{268dcda4-2460-4f4b-8ece-99fc3619f00c}" ma:sspId="f2c20519-bfb4-4138-a21e-2e6ee8209940" ma:termSetId="e3959d5c-1f58-4126-9a54-523d5369149b" ma:anchorId="c93fbd10-6fe6-4e0a-9328-8a186cf900e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AASB 15 Revenue from Licences</TermName>
          <TermId xmlns="http://schemas.microsoft.com/office/infopath/2007/PartnerControls">acf344ff-78a6-4c34-a52f-759940d8a4c3</TermId>
        </TermInfo>
        <TermInfo xmlns="http://schemas.microsoft.com/office/infopath/2007/PartnerControls">
          <TermName xmlns="http://schemas.microsoft.com/office/infopath/2007/PartnerControls">Revenue of not-for-profit entities</TermName>
          <TermId xmlns="http://schemas.microsoft.com/office/infopath/2007/PartnerControls">5c2fb2b0-ef0d-4604-a735-7380d017e9a2</TermId>
        </TermInfo>
        <TermInfo xmlns="http://schemas.microsoft.com/office/infopath/2007/PartnerControls">
          <TermName xmlns="http://schemas.microsoft.com/office/infopath/2007/PartnerControls">Licences</TermName>
          <TermId xmlns="http://schemas.microsoft.com/office/infopath/2007/PartnerControls">f853e20a-4091-4972-90aa-a4033947bce2</TermId>
        </TermInfo>
        <TermInfo xmlns="http://schemas.microsoft.com/office/infopath/2007/PartnerControls">
          <TermName xmlns="http://schemas.microsoft.com/office/infopath/2007/PartnerControls">Revenue</TermName>
          <TermId xmlns="http://schemas.microsoft.com/office/infopath/2007/PartnerControls">1125ca89-6a39-41b4-bcb9-c39ada887380</TermId>
        </TermInfo>
      </Terms>
    </TaxKeywordTaxHTField>
    <TaxCatchAll xmlns="3f4bcce7-ac1a-4c9d-aa3e-7e77695652db">
      <Value>32</Value>
      <Value>80</Value>
      <Value>110</Value>
      <Value>114</Value>
      <Value>158</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Pronouncements</TermName>
          <TermId xmlns="http://schemas.microsoft.com/office/infopath/2007/PartnerControls">aebac4d2-43f1-4d93-bf14-ebaac08238ab</TermId>
        </TermInfo>
      </Terms>
    </i68dcda424604f4b8ece99fc3619f00c>
    <_dlc_DocId xmlns="3f4bcce7-ac1a-4c9d-aa3e-7e77695652db">PRDOC-1792883373-20</_dlc_DocId>
    <_dlc_DocIdUrl xmlns="3f4bcce7-ac1a-4c9d-aa3e-7e77695652db">
      <Url>http://hub.aasb.gov.au/sites/stand/AASB15/_layouts/15/DocIdRedir.aspx?ID=PRDOC-1792883373-20</Url>
      <Description>PRDOC-1792883373-20</Description>
    </_dlc_DocIdUrl>
    <V3Comments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4368-B2C2-4970-88D5-B207BDDB8BF9}">
  <ds:schemaRefs>
    <ds:schemaRef ds:uri="Microsoft.SharePoint.Taxonomy.ContentTypeSync"/>
  </ds:schemaRefs>
</ds:datastoreItem>
</file>

<file path=customXml/itemProps2.xml><?xml version="1.0" encoding="utf-8"?>
<ds:datastoreItem xmlns:ds="http://schemas.openxmlformats.org/officeDocument/2006/customXml" ds:itemID="{71707BFD-8B23-4D8F-9559-DE8A70FDB764}">
  <ds:schemaRefs>
    <ds:schemaRef ds:uri="http://schemas.microsoft.com/office/2006/metadata/customXsn"/>
  </ds:schemaRefs>
</ds:datastoreItem>
</file>

<file path=customXml/itemProps3.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4.xml><?xml version="1.0" encoding="utf-8"?>
<ds:datastoreItem xmlns:ds="http://schemas.openxmlformats.org/officeDocument/2006/customXml" ds:itemID="{1CD18450-0C61-4560-8DBA-0241CDA3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3D0946-6EAB-4278-AF83-35B09BE2C6C4}">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47e576cf-618c-45c9-99ef-ab7e8b777e43"/>
    <ds:schemaRef ds:uri="http://schemas.microsoft.com/sharepoint/v3"/>
    <ds:schemaRef ds:uri="http://purl.org/dc/terms/"/>
    <ds:schemaRef ds:uri="http://schemas.openxmlformats.org/package/2006/metadata/core-properties"/>
    <ds:schemaRef ds:uri="http://purl.org/dc/dcmitype/"/>
    <ds:schemaRef ds:uri="3f4bcce7-ac1a-4c9d-aa3e-7e77695652db"/>
    <ds:schemaRef ds:uri="http://www.w3.org/XML/1998/namespace"/>
  </ds:schemaRefs>
</ds:datastoreItem>
</file>

<file path=customXml/itemProps6.xml><?xml version="1.0" encoding="utf-8"?>
<ds:datastoreItem xmlns:ds="http://schemas.openxmlformats.org/officeDocument/2006/customXml" ds:itemID="{15F80D7F-8BAE-4031-BCAE-BF6F46D3C423}">
  <ds:schemaRefs>
    <ds:schemaRef ds:uri="http://schemas.microsoft.com/sharepoint/events"/>
  </ds:schemaRefs>
</ds:datastoreItem>
</file>

<file path=customXml/itemProps7.xml><?xml version="1.0" encoding="utf-8"?>
<ds:datastoreItem xmlns:ds="http://schemas.openxmlformats.org/officeDocument/2006/customXml" ds:itemID="{C84ABF6D-C2E7-465E-B941-33CEC78A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16599</Words>
  <Characters>88736</Characters>
  <Application>Microsoft Office Word</Application>
  <DocSecurity>0</DocSecurity>
  <Lines>739</Lines>
  <Paragraphs>210</Paragraphs>
  <ScaleCrop>false</ScaleCrop>
  <HeadingPairs>
    <vt:vector size="2" baseType="variant">
      <vt:variant>
        <vt:lpstr>Title</vt:lpstr>
      </vt:variant>
      <vt:variant>
        <vt:i4>1</vt:i4>
      </vt:variant>
    </vt:vector>
  </HeadingPairs>
  <TitlesOfParts>
    <vt:vector size="1" baseType="lpstr">
      <vt:lpstr>AASB 2018-4 Amendments to Australian Accounting Standards - Australian Implementation Guidance for Not-for-Profit Public Sector Licensors</vt:lpstr>
    </vt:vector>
  </TitlesOfParts>
  <Company>Australian Accounting Standards Board</Company>
  <LinksUpToDate>false</LinksUpToDate>
  <CharactersWithSpaces>105125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2018-4 Amendments to Australian Accounting Standards - Australian Implementation Guidance for Not-for-Profit Public Sector Licensors</dc:title>
  <dc:subject/>
  <dc:creator>Steenkamp, Shaun</dc:creator>
  <cp:keywords>AASB 15 Revenue from Licences; Revenue of not-for-profit entities; Revenue; Licences</cp:keywords>
  <dc:description/>
  <cp:lastModifiedBy>Barden, James</cp:lastModifiedBy>
  <cp:revision>15</cp:revision>
  <cp:lastPrinted>2018-09-06T05:21:00Z</cp:lastPrinted>
  <dcterms:created xsi:type="dcterms:W3CDTF">2018-09-04T04:03:00Z</dcterms:created>
  <dcterms:modified xsi:type="dcterms:W3CDTF">2018-09-06T05:44:00Z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0x0101005D166743AF667142AE4C423E78D357B8009763AD052C75174CA62908DFABF5F774</vt:lpwstr>
  </property>
  <property fmtid="{D5CDD505-2E9C-101B-9397-08002B2CF9AE}" pid="3" name="TaxKeyword">
    <vt:lpwstr>110;#AASB 15 Revenue from Licences|acf344ff-78a6-4c34-a52f-759940d8a4c3;#32;#Revenue of not-for-profit entities|5c2fb2b0-ef0d-4604-a735-7380d017e9a2;#80;#Licences|f853e20a-4091-4972-90aa-a4033947bce2;#114;#Revenue|1125ca89-6a39-41b4-bcb9-c39ada887380</vt:lpwstr>
  </property>
  <property fmtid="{D5CDD505-2E9C-101B-9397-08002B2CF9AE}" pid="4" name="Term">
    <vt:lpwstr>158;#Pronouncements|aebac4d2-43f1-4d93-bf14-ebaac08238ab</vt:lpwstr>
  </property>
  <property fmtid="{D5CDD505-2E9C-101B-9397-08002B2CF9AE}" pid="5" name="_dlc_DocIdItemGuid">
    <vt:lpwstr>bb4baebb-4f15-4adc-a778-3fb5c2b815f1</vt:lpwstr>
  </property>
  <property fmtid="{D5CDD505-2E9C-101B-9397-08002B2CF9AE}" pid="6" name="DocumentSetDescription">
    <vt:lpwstr/>
  </property>
  <property fmtid="{D5CDD505-2E9C-101B-9397-08002B2CF9AE}" pid="7" name="Month">
    <vt:lpwstr/>
  </property>
</Properties>
</file>