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91BC3" w14:textId="5BDF3A6A" w:rsidR="00C40808" w:rsidRDefault="00220534" w:rsidP="00665DB3">
      <w:pPr>
        <w:pStyle w:val="Headinga"/>
        <w:spacing w:after="0"/>
        <w:jc w:val="center"/>
        <w:rPr>
          <w:rFonts w:ascii="Times New Roman" w:hAnsi="Times New Roman" w:cs="Times New Roman"/>
          <w:sz w:val="24"/>
          <w:szCs w:val="24"/>
        </w:rPr>
      </w:pPr>
      <w:bookmarkStart w:id="0" w:name="bkInstrumentTitle"/>
      <w:bookmarkStart w:id="1" w:name="_GoBack"/>
      <w:bookmarkEnd w:id="0"/>
      <w:bookmarkEnd w:id="1"/>
      <w:r w:rsidRPr="009057C8">
        <w:rPr>
          <w:rFonts w:ascii="Times New Roman" w:hAnsi="Times New Roman" w:cs="Times New Roman"/>
          <w:sz w:val="24"/>
          <w:szCs w:val="24"/>
        </w:rPr>
        <w:t>Banking, Insurance</w:t>
      </w:r>
      <w:r w:rsidR="00F7520C">
        <w:rPr>
          <w:rFonts w:ascii="Times New Roman" w:hAnsi="Times New Roman" w:cs="Times New Roman"/>
          <w:sz w:val="24"/>
          <w:szCs w:val="24"/>
        </w:rPr>
        <w:t xml:space="preserve">, </w:t>
      </w:r>
      <w:r w:rsidRPr="009057C8">
        <w:rPr>
          <w:rFonts w:ascii="Times New Roman" w:hAnsi="Times New Roman" w:cs="Times New Roman"/>
          <w:sz w:val="24"/>
          <w:szCs w:val="24"/>
        </w:rPr>
        <w:t xml:space="preserve">Life Insurance </w:t>
      </w:r>
      <w:r w:rsidR="00F7520C">
        <w:rPr>
          <w:rFonts w:ascii="Times New Roman" w:hAnsi="Times New Roman" w:cs="Times New Roman"/>
          <w:sz w:val="24"/>
          <w:szCs w:val="24"/>
        </w:rPr>
        <w:t xml:space="preserve">and Health Insurance </w:t>
      </w:r>
      <w:r w:rsidRPr="009057C8">
        <w:rPr>
          <w:rFonts w:ascii="Times New Roman" w:hAnsi="Times New Roman" w:cs="Times New Roman"/>
          <w:sz w:val="24"/>
          <w:szCs w:val="24"/>
        </w:rPr>
        <w:t>(prudential standard) determination</w:t>
      </w:r>
      <w:r w:rsidR="00665DB3">
        <w:rPr>
          <w:rFonts w:ascii="Times New Roman" w:hAnsi="Times New Roman" w:cs="Times New Roman"/>
          <w:sz w:val="24"/>
          <w:szCs w:val="24"/>
        </w:rPr>
        <w:t xml:space="preserve"> </w:t>
      </w:r>
      <w:r w:rsidR="007B0280">
        <w:rPr>
          <w:rFonts w:ascii="Times New Roman" w:hAnsi="Times New Roman" w:cs="Times New Roman"/>
          <w:sz w:val="24"/>
          <w:szCs w:val="24"/>
        </w:rPr>
        <w:t xml:space="preserve">No. </w:t>
      </w:r>
      <w:r w:rsidR="00446E98">
        <w:rPr>
          <w:rFonts w:ascii="Times New Roman" w:hAnsi="Times New Roman" w:cs="Times New Roman"/>
          <w:sz w:val="24"/>
          <w:szCs w:val="24"/>
        </w:rPr>
        <w:t xml:space="preserve">1 </w:t>
      </w:r>
      <w:r w:rsidR="007B0280">
        <w:rPr>
          <w:rFonts w:ascii="Times New Roman" w:hAnsi="Times New Roman" w:cs="Times New Roman"/>
          <w:sz w:val="24"/>
          <w:szCs w:val="24"/>
        </w:rPr>
        <w:t>of 2018</w:t>
      </w:r>
    </w:p>
    <w:p w14:paraId="661B7055" w14:textId="0C18C380" w:rsidR="00B33928" w:rsidRPr="00D5144A" w:rsidRDefault="00B33928" w:rsidP="009057C8">
      <w:pPr>
        <w:pStyle w:val="Headinga"/>
        <w:spacing w:before="0" w:after="0"/>
        <w:jc w:val="center"/>
        <w:rPr>
          <w:sz w:val="24"/>
          <w:szCs w:val="24"/>
        </w:rPr>
      </w:pPr>
    </w:p>
    <w:p w14:paraId="7E5E13EF" w14:textId="77777777" w:rsidR="00B33928" w:rsidRPr="009057C8" w:rsidRDefault="00B33928" w:rsidP="00074C6B">
      <w:pPr>
        <w:pStyle w:val="Heading1"/>
        <w:jc w:val="center"/>
        <w:rPr>
          <w:rFonts w:ascii="Times New Roman" w:hAnsi="Times New Roman" w:cs="Times New Roman"/>
          <w:sz w:val="24"/>
          <w:u w:val="single"/>
        </w:rPr>
      </w:pPr>
      <w:r w:rsidRPr="009057C8">
        <w:rPr>
          <w:rFonts w:ascii="Times New Roman" w:hAnsi="Times New Roman" w:cs="Times New Roman"/>
          <w:sz w:val="24"/>
          <w:u w:val="single"/>
        </w:rPr>
        <w:t>EXPLANATORY STATEMENT</w:t>
      </w:r>
    </w:p>
    <w:p w14:paraId="7DDAEDFF" w14:textId="33F92371" w:rsidR="00B33928" w:rsidRPr="009057C8" w:rsidRDefault="00B33928" w:rsidP="00074C6B">
      <w:pPr>
        <w:pStyle w:val="Heading2"/>
        <w:jc w:val="center"/>
        <w:rPr>
          <w:rFonts w:ascii="Times New Roman" w:hAnsi="Times New Roman" w:cs="Times New Roman"/>
          <w:sz w:val="24"/>
          <w:szCs w:val="24"/>
        </w:rPr>
      </w:pPr>
      <w:r w:rsidRPr="009057C8">
        <w:rPr>
          <w:rFonts w:ascii="Times New Roman" w:hAnsi="Times New Roman" w:cs="Times New Roman"/>
          <w:sz w:val="24"/>
          <w:szCs w:val="24"/>
        </w:rPr>
        <w:t xml:space="preserve">Prepared by the Australian </w:t>
      </w:r>
      <w:r w:rsidR="00074C6B" w:rsidRPr="009057C8">
        <w:rPr>
          <w:rFonts w:ascii="Times New Roman" w:hAnsi="Times New Roman" w:cs="Times New Roman"/>
          <w:sz w:val="24"/>
          <w:szCs w:val="24"/>
        </w:rPr>
        <w:t>Prudential Regulation Authority</w:t>
      </w:r>
      <w:r w:rsidR="009B2478">
        <w:rPr>
          <w:rFonts w:ascii="Times New Roman" w:hAnsi="Times New Roman" w:cs="Times New Roman"/>
          <w:sz w:val="24"/>
          <w:szCs w:val="24"/>
        </w:rPr>
        <w:t xml:space="preserve"> (APRA)</w:t>
      </w:r>
    </w:p>
    <w:p w14:paraId="61DD6856" w14:textId="77777777" w:rsidR="00605C21" w:rsidRPr="009057C8" w:rsidRDefault="00605C21" w:rsidP="00432312">
      <w:pPr>
        <w:shd w:val="clear" w:color="auto" w:fill="FFFFFF" w:themeFill="background1"/>
        <w:spacing w:before="100" w:beforeAutospacing="1" w:after="100" w:afterAutospacing="1"/>
        <w:jc w:val="center"/>
        <w:rPr>
          <w:rFonts w:ascii="Times New Roman" w:hAnsi="Times New Roman"/>
          <w:szCs w:val="19"/>
          <w:lang w:val="en-US"/>
        </w:rPr>
      </w:pPr>
      <w:r w:rsidRPr="009057C8">
        <w:rPr>
          <w:rFonts w:ascii="Times New Roman" w:hAnsi="Times New Roman"/>
          <w:i/>
          <w:szCs w:val="19"/>
          <w:lang w:val="en-US"/>
        </w:rPr>
        <w:t xml:space="preserve">Banking Act 1959, </w:t>
      </w:r>
      <w:r w:rsidRPr="009057C8">
        <w:rPr>
          <w:rFonts w:ascii="Times New Roman" w:hAnsi="Times New Roman"/>
          <w:szCs w:val="19"/>
          <w:lang w:val="en-US"/>
        </w:rPr>
        <w:t>section 11AF</w:t>
      </w:r>
    </w:p>
    <w:p w14:paraId="05F8A348" w14:textId="77777777" w:rsidR="00605C21" w:rsidRPr="009057C8" w:rsidRDefault="00605C21" w:rsidP="00432312">
      <w:pPr>
        <w:shd w:val="clear" w:color="auto" w:fill="FFFFFF" w:themeFill="background1"/>
        <w:jc w:val="center"/>
        <w:rPr>
          <w:rFonts w:ascii="Times New Roman" w:hAnsi="Times New Roman"/>
          <w:szCs w:val="19"/>
          <w:lang w:val="en-US"/>
        </w:rPr>
      </w:pPr>
      <w:r w:rsidRPr="009057C8">
        <w:rPr>
          <w:rFonts w:ascii="Times New Roman" w:hAnsi="Times New Roman"/>
          <w:i/>
          <w:iCs/>
          <w:color w:val="000000"/>
          <w:szCs w:val="19"/>
        </w:rPr>
        <w:t>Insurance Act 1973</w:t>
      </w:r>
      <w:r w:rsidRPr="009057C8">
        <w:rPr>
          <w:rFonts w:ascii="Times New Roman" w:hAnsi="Times New Roman"/>
          <w:color w:val="000000"/>
          <w:szCs w:val="19"/>
        </w:rPr>
        <w:t>, section 32</w:t>
      </w:r>
    </w:p>
    <w:p w14:paraId="2E9CB42F" w14:textId="77777777" w:rsidR="00605C21" w:rsidRPr="009057C8" w:rsidRDefault="00605C21" w:rsidP="00BD2A89">
      <w:pPr>
        <w:shd w:val="clear" w:color="auto" w:fill="FFFFFF" w:themeFill="background1"/>
        <w:jc w:val="center"/>
        <w:rPr>
          <w:rFonts w:ascii="Times New Roman" w:hAnsi="Times New Roman"/>
          <w:color w:val="000000"/>
          <w:szCs w:val="19"/>
        </w:rPr>
      </w:pPr>
      <w:r w:rsidRPr="009057C8">
        <w:rPr>
          <w:rFonts w:ascii="Times New Roman" w:hAnsi="Times New Roman"/>
          <w:i/>
          <w:iCs/>
          <w:color w:val="000000"/>
          <w:szCs w:val="19"/>
        </w:rPr>
        <w:t>Life Insurance Act 1995</w:t>
      </w:r>
      <w:r w:rsidRPr="009057C8">
        <w:rPr>
          <w:rFonts w:ascii="Times New Roman" w:hAnsi="Times New Roman"/>
          <w:color w:val="000000"/>
          <w:szCs w:val="19"/>
        </w:rPr>
        <w:t>, section 230A</w:t>
      </w:r>
    </w:p>
    <w:p w14:paraId="39C1AAC4" w14:textId="2D10CABC" w:rsidR="00491173" w:rsidRPr="00B8533C" w:rsidRDefault="00491173" w:rsidP="00BD2A89">
      <w:pPr>
        <w:shd w:val="clear" w:color="auto" w:fill="FFFFFF" w:themeFill="background1"/>
        <w:jc w:val="center"/>
        <w:rPr>
          <w:rFonts w:cs="Arial"/>
          <w:szCs w:val="19"/>
          <w:lang w:val="en-US"/>
        </w:rPr>
      </w:pPr>
      <w:r w:rsidRPr="009057C8">
        <w:rPr>
          <w:rFonts w:ascii="Times New Roman" w:hAnsi="Times New Roman"/>
          <w:i/>
          <w:szCs w:val="19"/>
          <w:shd w:val="clear" w:color="auto" w:fill="FFFFFF" w:themeFill="background1"/>
          <w:lang w:val="en-US"/>
        </w:rPr>
        <w:t>Private Health Insurance (Prudential Supervision) Act 2015</w:t>
      </w:r>
      <w:r w:rsidRPr="009057C8">
        <w:rPr>
          <w:rFonts w:ascii="Times New Roman" w:hAnsi="Times New Roman"/>
          <w:szCs w:val="19"/>
          <w:shd w:val="clear" w:color="auto" w:fill="FFFFFF" w:themeFill="background1"/>
          <w:lang w:val="en-US"/>
        </w:rPr>
        <w:t>, section 92</w:t>
      </w:r>
    </w:p>
    <w:p w14:paraId="4CB93D4D" w14:textId="77777777" w:rsidR="00605C21" w:rsidRPr="009057C8" w:rsidRDefault="00605C21" w:rsidP="00BD2A89">
      <w:pPr>
        <w:shd w:val="clear" w:color="auto" w:fill="FFFFFF" w:themeFill="background1"/>
        <w:spacing w:before="100" w:beforeAutospacing="1" w:after="100" w:afterAutospacing="1"/>
        <w:jc w:val="left"/>
        <w:rPr>
          <w:rFonts w:ascii="Times New Roman" w:hAnsi="Times New Roman"/>
          <w:sz w:val="24"/>
          <w:lang w:val="en-US"/>
        </w:rPr>
      </w:pPr>
      <w:bookmarkStart w:id="2" w:name="bkAct"/>
      <w:bookmarkStart w:id="3" w:name="bkExplanatory"/>
      <w:bookmarkEnd w:id="2"/>
      <w:bookmarkEnd w:id="3"/>
      <w:r w:rsidRPr="009057C8">
        <w:rPr>
          <w:rFonts w:ascii="Times New Roman" w:hAnsi="Times New Roman"/>
          <w:sz w:val="24"/>
        </w:rPr>
        <w:t>APRA may, in writing, determine, vary or revoke a prudential standard that applies to an institution regulated by APRA under:</w:t>
      </w:r>
    </w:p>
    <w:p w14:paraId="79717EB9" w14:textId="42C29780" w:rsidR="00605C21" w:rsidRPr="009057C8" w:rsidRDefault="00605C21" w:rsidP="00432312">
      <w:pPr>
        <w:shd w:val="clear" w:color="auto" w:fill="FFFFFF" w:themeFill="background1"/>
        <w:spacing w:before="100" w:beforeAutospacing="1" w:after="100" w:afterAutospacing="1"/>
        <w:ind w:left="567" w:hanging="567"/>
        <w:jc w:val="left"/>
        <w:rPr>
          <w:rFonts w:ascii="Times New Roman" w:hAnsi="Times New Roman"/>
          <w:sz w:val="24"/>
          <w:lang w:val="en-US"/>
        </w:rPr>
      </w:pPr>
      <w:r w:rsidRPr="009057C8">
        <w:rPr>
          <w:rFonts w:ascii="Times New Roman" w:hAnsi="Times New Roman"/>
          <w:sz w:val="24"/>
        </w:rPr>
        <w:t>(1)</w:t>
      </w:r>
      <w:r w:rsidR="00B33928" w:rsidRPr="009057C8">
        <w:rPr>
          <w:rFonts w:ascii="Times New Roman" w:hAnsi="Times New Roman"/>
          <w:sz w:val="24"/>
        </w:rPr>
        <w:tab/>
      </w:r>
      <w:proofErr w:type="gramStart"/>
      <w:r w:rsidRPr="009057C8">
        <w:rPr>
          <w:rFonts w:ascii="Times New Roman" w:hAnsi="Times New Roman"/>
          <w:sz w:val="24"/>
        </w:rPr>
        <w:t>subsection</w:t>
      </w:r>
      <w:r w:rsidR="00925CA2">
        <w:rPr>
          <w:rFonts w:ascii="Times New Roman" w:hAnsi="Times New Roman"/>
          <w:sz w:val="24"/>
        </w:rPr>
        <w:t>s</w:t>
      </w:r>
      <w:proofErr w:type="gramEnd"/>
      <w:r w:rsidRPr="009057C8">
        <w:rPr>
          <w:rFonts w:ascii="Times New Roman" w:hAnsi="Times New Roman"/>
          <w:sz w:val="24"/>
        </w:rPr>
        <w:t xml:space="preserve"> 11AF(1) </w:t>
      </w:r>
      <w:r w:rsidR="00925CA2">
        <w:rPr>
          <w:rFonts w:ascii="Times New Roman" w:hAnsi="Times New Roman"/>
          <w:sz w:val="24"/>
        </w:rPr>
        <w:t xml:space="preserve">and (3) </w:t>
      </w:r>
      <w:r w:rsidRPr="009057C8">
        <w:rPr>
          <w:rFonts w:ascii="Times New Roman" w:hAnsi="Times New Roman"/>
          <w:sz w:val="24"/>
        </w:rPr>
        <w:t xml:space="preserve">of the </w:t>
      </w:r>
      <w:r w:rsidRPr="009057C8">
        <w:rPr>
          <w:rFonts w:ascii="Times New Roman" w:hAnsi="Times New Roman"/>
          <w:i/>
          <w:iCs/>
          <w:sz w:val="24"/>
        </w:rPr>
        <w:t>Banking Act 1959</w:t>
      </w:r>
      <w:r w:rsidRPr="009057C8">
        <w:rPr>
          <w:rFonts w:ascii="Times New Roman" w:hAnsi="Times New Roman"/>
          <w:sz w:val="24"/>
        </w:rPr>
        <w:t xml:space="preserve"> (Banking Act)</w:t>
      </w:r>
      <w:r w:rsidR="005C43CC" w:rsidRPr="009057C8">
        <w:rPr>
          <w:rFonts w:ascii="Times New Roman" w:hAnsi="Times New Roman"/>
          <w:sz w:val="24"/>
        </w:rPr>
        <w:t>, in</w:t>
      </w:r>
      <w:r w:rsidRPr="009057C8">
        <w:rPr>
          <w:rFonts w:ascii="Times New Roman" w:hAnsi="Times New Roman"/>
          <w:sz w:val="24"/>
        </w:rPr>
        <w:t xml:space="preserve"> relation to authorised deposit-taking institutions (ADIs) and authorised non-operating holding companies (authorised banking NOHCs);</w:t>
      </w:r>
    </w:p>
    <w:p w14:paraId="1217718D" w14:textId="77D176F8" w:rsidR="00605C21" w:rsidRPr="009057C8" w:rsidRDefault="00605C21" w:rsidP="00432312">
      <w:pPr>
        <w:shd w:val="clear" w:color="auto" w:fill="FFFFFF" w:themeFill="background1"/>
        <w:spacing w:before="100" w:beforeAutospacing="1" w:after="100" w:afterAutospacing="1"/>
        <w:ind w:left="567" w:hanging="567"/>
        <w:jc w:val="left"/>
        <w:rPr>
          <w:rFonts w:ascii="Times New Roman" w:hAnsi="Times New Roman"/>
          <w:sz w:val="24"/>
          <w:lang w:val="en-US"/>
        </w:rPr>
      </w:pPr>
      <w:r w:rsidRPr="009057C8">
        <w:rPr>
          <w:rFonts w:ascii="Times New Roman" w:hAnsi="Times New Roman"/>
          <w:sz w:val="24"/>
        </w:rPr>
        <w:t>(2)</w:t>
      </w:r>
      <w:r w:rsidR="00B33928" w:rsidRPr="009057C8">
        <w:rPr>
          <w:rFonts w:ascii="Times New Roman" w:hAnsi="Times New Roman"/>
          <w:sz w:val="24"/>
        </w:rPr>
        <w:tab/>
      </w:r>
      <w:proofErr w:type="gramStart"/>
      <w:r w:rsidRPr="009057C8">
        <w:rPr>
          <w:rFonts w:ascii="Times New Roman" w:hAnsi="Times New Roman"/>
          <w:sz w:val="24"/>
        </w:rPr>
        <w:t>subsection</w:t>
      </w:r>
      <w:r w:rsidR="00925CA2">
        <w:rPr>
          <w:rFonts w:ascii="Times New Roman" w:hAnsi="Times New Roman"/>
          <w:sz w:val="24"/>
        </w:rPr>
        <w:t>s</w:t>
      </w:r>
      <w:proofErr w:type="gramEnd"/>
      <w:r w:rsidRPr="009057C8">
        <w:rPr>
          <w:rFonts w:ascii="Times New Roman" w:hAnsi="Times New Roman"/>
          <w:sz w:val="24"/>
        </w:rPr>
        <w:t xml:space="preserve"> 32(1) </w:t>
      </w:r>
      <w:r w:rsidR="00925CA2">
        <w:rPr>
          <w:rFonts w:ascii="Times New Roman" w:hAnsi="Times New Roman"/>
          <w:sz w:val="24"/>
        </w:rPr>
        <w:t xml:space="preserve">and (4) </w:t>
      </w:r>
      <w:r w:rsidRPr="009057C8">
        <w:rPr>
          <w:rFonts w:ascii="Times New Roman" w:hAnsi="Times New Roman"/>
          <w:sz w:val="24"/>
        </w:rPr>
        <w:t xml:space="preserve">of the </w:t>
      </w:r>
      <w:r w:rsidRPr="009057C8">
        <w:rPr>
          <w:rFonts w:ascii="Times New Roman" w:hAnsi="Times New Roman"/>
          <w:i/>
          <w:iCs/>
          <w:sz w:val="24"/>
        </w:rPr>
        <w:t>Insurance Act 1973</w:t>
      </w:r>
      <w:r w:rsidRPr="009057C8">
        <w:rPr>
          <w:rFonts w:ascii="Times New Roman" w:hAnsi="Times New Roman"/>
          <w:sz w:val="24"/>
        </w:rPr>
        <w:t xml:space="preserve"> (Insurance Act), in relation to general insurers, authorised non-operating holding companies (authorised insurance NOHCs), and subsidiaries of general insurers and authorised insurance NOHCs; </w:t>
      </w:r>
    </w:p>
    <w:p w14:paraId="04CE04E4" w14:textId="4D2D7271" w:rsidR="00491173" w:rsidRPr="009057C8" w:rsidRDefault="00605C21" w:rsidP="00432312">
      <w:pPr>
        <w:shd w:val="clear" w:color="auto" w:fill="FFFFFF" w:themeFill="background1"/>
        <w:spacing w:before="100" w:beforeAutospacing="1" w:after="100" w:afterAutospacing="1"/>
        <w:ind w:left="567" w:hanging="567"/>
        <w:jc w:val="left"/>
        <w:rPr>
          <w:rFonts w:ascii="Times New Roman" w:hAnsi="Times New Roman"/>
          <w:sz w:val="24"/>
        </w:rPr>
      </w:pPr>
      <w:r w:rsidRPr="009057C8">
        <w:rPr>
          <w:rFonts w:ascii="Times New Roman" w:hAnsi="Times New Roman"/>
          <w:sz w:val="24"/>
        </w:rPr>
        <w:t>(3)</w:t>
      </w:r>
      <w:r w:rsidR="00B33928" w:rsidRPr="009057C8">
        <w:rPr>
          <w:rFonts w:ascii="Times New Roman" w:hAnsi="Times New Roman"/>
          <w:sz w:val="24"/>
        </w:rPr>
        <w:tab/>
      </w:r>
      <w:proofErr w:type="gramStart"/>
      <w:r w:rsidRPr="009057C8">
        <w:rPr>
          <w:rFonts w:ascii="Times New Roman" w:hAnsi="Times New Roman"/>
          <w:sz w:val="24"/>
        </w:rPr>
        <w:t>subsection</w:t>
      </w:r>
      <w:r w:rsidR="00925CA2">
        <w:rPr>
          <w:rFonts w:ascii="Times New Roman" w:hAnsi="Times New Roman"/>
          <w:sz w:val="24"/>
        </w:rPr>
        <w:t>s</w:t>
      </w:r>
      <w:proofErr w:type="gramEnd"/>
      <w:r w:rsidRPr="009057C8">
        <w:rPr>
          <w:rFonts w:ascii="Times New Roman" w:hAnsi="Times New Roman"/>
          <w:sz w:val="24"/>
        </w:rPr>
        <w:t xml:space="preserve"> 230A(1) </w:t>
      </w:r>
      <w:r w:rsidR="00925CA2">
        <w:rPr>
          <w:rFonts w:ascii="Times New Roman" w:hAnsi="Times New Roman"/>
          <w:sz w:val="24"/>
        </w:rPr>
        <w:t xml:space="preserve">and (5) </w:t>
      </w:r>
      <w:r w:rsidRPr="009057C8">
        <w:rPr>
          <w:rFonts w:ascii="Times New Roman" w:hAnsi="Times New Roman"/>
          <w:sz w:val="24"/>
        </w:rPr>
        <w:t xml:space="preserve">of the </w:t>
      </w:r>
      <w:r w:rsidRPr="009057C8">
        <w:rPr>
          <w:rFonts w:ascii="Times New Roman" w:hAnsi="Times New Roman"/>
          <w:i/>
          <w:iCs/>
          <w:sz w:val="24"/>
        </w:rPr>
        <w:t>Life Insurance Act 1995</w:t>
      </w:r>
      <w:r w:rsidRPr="009057C8">
        <w:rPr>
          <w:rFonts w:ascii="Times New Roman" w:hAnsi="Times New Roman"/>
          <w:sz w:val="24"/>
        </w:rPr>
        <w:t xml:space="preserve"> (Life Insurance Act), in relation to life companies, friendly societies, registered non-operating holding companies (registered life NOHCs), and subsidiaries of life companies and registered life NOHCs</w:t>
      </w:r>
      <w:r w:rsidR="00491173" w:rsidRPr="009057C8">
        <w:rPr>
          <w:rFonts w:ascii="Times New Roman" w:hAnsi="Times New Roman"/>
          <w:sz w:val="24"/>
        </w:rPr>
        <w:t>; and</w:t>
      </w:r>
    </w:p>
    <w:p w14:paraId="286BE8E5" w14:textId="4E9157A3" w:rsidR="00605C21" w:rsidRPr="009057C8" w:rsidRDefault="00491173" w:rsidP="00432312">
      <w:pPr>
        <w:shd w:val="clear" w:color="auto" w:fill="FFFFFF" w:themeFill="background1"/>
        <w:spacing w:before="100" w:beforeAutospacing="1" w:after="100" w:afterAutospacing="1"/>
        <w:ind w:left="567" w:hanging="567"/>
        <w:jc w:val="left"/>
        <w:rPr>
          <w:rFonts w:ascii="Times New Roman" w:hAnsi="Times New Roman"/>
          <w:sz w:val="24"/>
          <w:lang w:val="en-US"/>
        </w:rPr>
      </w:pPr>
      <w:r w:rsidRPr="009057C8">
        <w:rPr>
          <w:rFonts w:ascii="Times New Roman" w:hAnsi="Times New Roman"/>
          <w:sz w:val="24"/>
          <w:shd w:val="clear" w:color="auto" w:fill="FFFFFF" w:themeFill="background1"/>
        </w:rPr>
        <w:t xml:space="preserve">(4) </w:t>
      </w:r>
      <w:r w:rsidR="00B33928" w:rsidRPr="009057C8">
        <w:rPr>
          <w:rFonts w:ascii="Times New Roman" w:hAnsi="Times New Roman"/>
          <w:sz w:val="24"/>
          <w:shd w:val="clear" w:color="auto" w:fill="FFFFFF" w:themeFill="background1"/>
        </w:rPr>
        <w:tab/>
      </w:r>
      <w:proofErr w:type="gramStart"/>
      <w:r w:rsidRPr="009057C8">
        <w:rPr>
          <w:rFonts w:ascii="Times New Roman" w:hAnsi="Times New Roman"/>
          <w:sz w:val="24"/>
          <w:shd w:val="clear" w:color="auto" w:fill="FFFFFF" w:themeFill="background1"/>
        </w:rPr>
        <w:t>s</w:t>
      </w:r>
      <w:r w:rsidR="000F6B30">
        <w:rPr>
          <w:rFonts w:ascii="Times New Roman" w:hAnsi="Times New Roman"/>
          <w:sz w:val="24"/>
          <w:shd w:val="clear" w:color="auto" w:fill="FFFFFF" w:themeFill="background1"/>
        </w:rPr>
        <w:t>ubs</w:t>
      </w:r>
      <w:r w:rsidRPr="009057C8">
        <w:rPr>
          <w:rFonts w:ascii="Times New Roman" w:hAnsi="Times New Roman"/>
          <w:sz w:val="24"/>
          <w:shd w:val="clear" w:color="auto" w:fill="FFFFFF" w:themeFill="background1"/>
        </w:rPr>
        <w:t>ection</w:t>
      </w:r>
      <w:r w:rsidR="00925CA2">
        <w:rPr>
          <w:rFonts w:ascii="Times New Roman" w:hAnsi="Times New Roman"/>
          <w:sz w:val="24"/>
          <w:shd w:val="clear" w:color="auto" w:fill="FFFFFF" w:themeFill="background1"/>
        </w:rPr>
        <w:t>s</w:t>
      </w:r>
      <w:proofErr w:type="gramEnd"/>
      <w:r w:rsidRPr="009057C8">
        <w:rPr>
          <w:rFonts w:ascii="Times New Roman" w:hAnsi="Times New Roman"/>
          <w:sz w:val="24"/>
          <w:shd w:val="clear" w:color="auto" w:fill="FFFFFF" w:themeFill="background1"/>
        </w:rPr>
        <w:t xml:space="preserve"> 92</w:t>
      </w:r>
      <w:r w:rsidR="00EC030E">
        <w:rPr>
          <w:rFonts w:ascii="Times New Roman" w:hAnsi="Times New Roman"/>
          <w:sz w:val="24"/>
          <w:shd w:val="clear" w:color="auto" w:fill="FFFFFF" w:themeFill="background1"/>
        </w:rPr>
        <w:t>(1)</w:t>
      </w:r>
      <w:r w:rsidRPr="009057C8">
        <w:rPr>
          <w:rFonts w:ascii="Times New Roman" w:hAnsi="Times New Roman"/>
          <w:sz w:val="24"/>
          <w:shd w:val="clear" w:color="auto" w:fill="FFFFFF" w:themeFill="background1"/>
        </w:rPr>
        <w:t xml:space="preserve"> </w:t>
      </w:r>
      <w:r w:rsidR="00925CA2">
        <w:rPr>
          <w:rFonts w:ascii="Times New Roman" w:hAnsi="Times New Roman"/>
          <w:sz w:val="24"/>
          <w:shd w:val="clear" w:color="auto" w:fill="FFFFFF" w:themeFill="background1"/>
        </w:rPr>
        <w:t xml:space="preserve">and (5) </w:t>
      </w:r>
      <w:r w:rsidRPr="009057C8">
        <w:rPr>
          <w:rFonts w:ascii="Times New Roman" w:hAnsi="Times New Roman"/>
          <w:sz w:val="24"/>
          <w:shd w:val="clear" w:color="auto" w:fill="FFFFFF" w:themeFill="background1"/>
        </w:rPr>
        <w:t xml:space="preserve">of the </w:t>
      </w:r>
      <w:r w:rsidRPr="009057C8">
        <w:rPr>
          <w:rFonts w:ascii="Times New Roman" w:hAnsi="Times New Roman"/>
          <w:i/>
          <w:iCs/>
          <w:sz w:val="24"/>
          <w:shd w:val="clear" w:color="auto" w:fill="FFFFFF" w:themeFill="background1"/>
        </w:rPr>
        <w:t>Private Health Insurance (Prudential Supervision) Act 2015</w:t>
      </w:r>
      <w:r w:rsidR="00605C21" w:rsidRPr="009057C8">
        <w:rPr>
          <w:rFonts w:ascii="Times New Roman" w:hAnsi="Times New Roman"/>
          <w:sz w:val="24"/>
          <w:shd w:val="clear" w:color="auto" w:fill="FFFFFF" w:themeFill="background1"/>
        </w:rPr>
        <w:t xml:space="preserve"> </w:t>
      </w:r>
      <w:r w:rsidRPr="009057C8">
        <w:rPr>
          <w:rFonts w:ascii="Times New Roman" w:hAnsi="Times New Roman"/>
          <w:sz w:val="24"/>
          <w:shd w:val="clear" w:color="auto" w:fill="FFFFFF" w:themeFill="background1"/>
        </w:rPr>
        <w:t>(PHI</w:t>
      </w:r>
      <w:r w:rsidR="00A15F0E">
        <w:rPr>
          <w:rFonts w:ascii="Times New Roman" w:hAnsi="Times New Roman"/>
          <w:sz w:val="24"/>
          <w:shd w:val="clear" w:color="auto" w:fill="FFFFFF" w:themeFill="background1"/>
        </w:rPr>
        <w:t>PS</w:t>
      </w:r>
      <w:r w:rsidRPr="009057C8">
        <w:rPr>
          <w:rFonts w:ascii="Times New Roman" w:hAnsi="Times New Roman"/>
          <w:sz w:val="24"/>
          <w:shd w:val="clear" w:color="auto" w:fill="FFFFFF" w:themeFill="background1"/>
        </w:rPr>
        <w:t xml:space="preserve"> Act), in relation to registered private health insurers</w:t>
      </w:r>
      <w:r w:rsidRPr="009057C8">
        <w:rPr>
          <w:rFonts w:ascii="Times New Roman" w:hAnsi="Times New Roman"/>
          <w:sz w:val="24"/>
        </w:rPr>
        <w:t xml:space="preserve">. </w:t>
      </w:r>
    </w:p>
    <w:p w14:paraId="4ED25549" w14:textId="09871ECC" w:rsidR="00605C21" w:rsidRPr="009057C8" w:rsidRDefault="000355D0" w:rsidP="00432312">
      <w:pPr>
        <w:shd w:val="clear" w:color="auto" w:fill="FFFFFF" w:themeFill="background1"/>
        <w:spacing w:before="100" w:beforeAutospacing="1" w:after="100" w:afterAutospacing="1"/>
        <w:jc w:val="left"/>
        <w:rPr>
          <w:rFonts w:ascii="Times New Roman" w:hAnsi="Times New Roman"/>
          <w:sz w:val="24"/>
          <w:lang w:val="en-US"/>
        </w:rPr>
      </w:pPr>
      <w:r w:rsidRPr="0023776E">
        <w:rPr>
          <w:rFonts w:ascii="Times New Roman" w:hAnsi="Times New Roman"/>
          <w:sz w:val="24"/>
        </w:rPr>
        <w:t>On</w:t>
      </w:r>
      <w:r>
        <w:rPr>
          <w:rFonts w:ascii="Times New Roman" w:hAnsi="Times New Roman"/>
          <w:sz w:val="24"/>
        </w:rPr>
        <w:t xml:space="preserve"> 14 September </w:t>
      </w:r>
      <w:r w:rsidR="00491173" w:rsidRPr="0023776E">
        <w:rPr>
          <w:rFonts w:ascii="Times New Roman" w:hAnsi="Times New Roman"/>
          <w:sz w:val="24"/>
        </w:rPr>
        <w:t>201</w:t>
      </w:r>
      <w:r w:rsidR="007B0280">
        <w:rPr>
          <w:rFonts w:ascii="Times New Roman" w:hAnsi="Times New Roman"/>
          <w:sz w:val="24"/>
        </w:rPr>
        <w:t>8</w:t>
      </w:r>
      <w:r w:rsidR="00605C21" w:rsidRPr="0023776E">
        <w:rPr>
          <w:rFonts w:ascii="Times New Roman" w:hAnsi="Times New Roman"/>
          <w:sz w:val="24"/>
        </w:rPr>
        <w:t>,</w:t>
      </w:r>
      <w:r w:rsidR="00605C21" w:rsidRPr="009057C8">
        <w:rPr>
          <w:rFonts w:ascii="Times New Roman" w:hAnsi="Times New Roman"/>
          <w:sz w:val="24"/>
        </w:rPr>
        <w:t xml:space="preserve"> APRA made the follo</w:t>
      </w:r>
      <w:r w:rsidR="00491173" w:rsidRPr="009057C8">
        <w:rPr>
          <w:rFonts w:ascii="Times New Roman" w:hAnsi="Times New Roman"/>
          <w:sz w:val="24"/>
        </w:rPr>
        <w:t>wing</w:t>
      </w:r>
      <w:r w:rsidR="00491173" w:rsidRPr="009057C8">
        <w:rPr>
          <w:rFonts w:ascii="Times New Roman" w:hAnsi="Times New Roman"/>
          <w:sz w:val="24"/>
          <w:shd w:val="clear" w:color="auto" w:fill="FFFFFF" w:themeFill="background1"/>
        </w:rPr>
        <w:t xml:space="preserve"> determination</w:t>
      </w:r>
      <w:r w:rsidR="00491173" w:rsidRPr="009057C8">
        <w:rPr>
          <w:rFonts w:ascii="Times New Roman" w:hAnsi="Times New Roman"/>
          <w:sz w:val="24"/>
        </w:rPr>
        <w:t xml:space="preserve"> (the instrument</w:t>
      </w:r>
      <w:r w:rsidR="00605C21" w:rsidRPr="009057C8">
        <w:rPr>
          <w:rFonts w:ascii="Times New Roman" w:hAnsi="Times New Roman"/>
          <w:sz w:val="24"/>
        </w:rPr>
        <w:t>):</w:t>
      </w:r>
    </w:p>
    <w:p w14:paraId="1FD0C6B6" w14:textId="6108C75A" w:rsidR="00605C21" w:rsidRPr="009057C8" w:rsidRDefault="00605C21" w:rsidP="00074C6B">
      <w:pPr>
        <w:shd w:val="clear" w:color="auto" w:fill="FFFFFF" w:themeFill="background1"/>
        <w:spacing w:before="100" w:beforeAutospacing="1" w:after="100" w:afterAutospacing="1"/>
        <w:ind w:left="567"/>
        <w:jc w:val="left"/>
        <w:rPr>
          <w:rFonts w:ascii="Times New Roman" w:hAnsi="Times New Roman"/>
          <w:sz w:val="24"/>
          <w:lang w:val="en-US"/>
        </w:rPr>
      </w:pPr>
      <w:r w:rsidRPr="009057C8">
        <w:rPr>
          <w:rFonts w:ascii="Times New Roman" w:hAnsi="Times New Roman"/>
          <w:sz w:val="24"/>
        </w:rPr>
        <w:t>Banking</w:t>
      </w:r>
      <w:r w:rsidRPr="009057C8">
        <w:rPr>
          <w:rFonts w:ascii="Times New Roman" w:hAnsi="Times New Roman"/>
          <w:sz w:val="24"/>
          <w:lang w:val="en-US"/>
        </w:rPr>
        <w:t>, Insurance</w:t>
      </w:r>
      <w:r w:rsidR="00432312" w:rsidRPr="009057C8">
        <w:rPr>
          <w:rFonts w:ascii="Times New Roman" w:hAnsi="Times New Roman"/>
          <w:sz w:val="24"/>
          <w:lang w:val="en-US"/>
        </w:rPr>
        <w:t>,</w:t>
      </w:r>
      <w:r w:rsidRPr="009057C8">
        <w:rPr>
          <w:rFonts w:ascii="Times New Roman" w:hAnsi="Times New Roman"/>
          <w:sz w:val="24"/>
          <w:lang w:val="en-US"/>
        </w:rPr>
        <w:t xml:space="preserve"> Life Insurance </w:t>
      </w:r>
      <w:r w:rsidR="00432312" w:rsidRPr="009057C8">
        <w:rPr>
          <w:rFonts w:ascii="Times New Roman" w:hAnsi="Times New Roman"/>
          <w:sz w:val="24"/>
          <w:lang w:val="en-US"/>
        </w:rPr>
        <w:t xml:space="preserve">and Health Insurance </w:t>
      </w:r>
      <w:r w:rsidRPr="009057C8">
        <w:rPr>
          <w:rFonts w:ascii="Times New Roman" w:hAnsi="Times New Roman"/>
          <w:sz w:val="24"/>
          <w:lang w:val="en-US"/>
        </w:rPr>
        <w:t xml:space="preserve">(prudential standard) determination </w:t>
      </w:r>
      <w:r w:rsidRPr="0023776E">
        <w:rPr>
          <w:rFonts w:ascii="Times New Roman" w:hAnsi="Times New Roman"/>
          <w:sz w:val="24"/>
          <w:lang w:val="en-US"/>
        </w:rPr>
        <w:t xml:space="preserve">No. </w:t>
      </w:r>
      <w:r w:rsidR="00A15F0E">
        <w:rPr>
          <w:rFonts w:ascii="Times New Roman" w:hAnsi="Times New Roman"/>
          <w:sz w:val="24"/>
          <w:lang w:val="en-US"/>
        </w:rPr>
        <w:t>1</w:t>
      </w:r>
      <w:r w:rsidR="00A15F0E" w:rsidRPr="0023776E">
        <w:rPr>
          <w:rFonts w:ascii="Times New Roman" w:hAnsi="Times New Roman"/>
          <w:sz w:val="24"/>
          <w:lang w:val="en-US"/>
        </w:rPr>
        <w:t xml:space="preserve"> </w:t>
      </w:r>
      <w:r w:rsidRPr="0023776E">
        <w:rPr>
          <w:rFonts w:ascii="Times New Roman" w:hAnsi="Times New Roman"/>
          <w:sz w:val="24"/>
          <w:lang w:val="en-US"/>
        </w:rPr>
        <w:t>of 201</w:t>
      </w:r>
      <w:r w:rsidR="000B2216">
        <w:rPr>
          <w:rFonts w:ascii="Times New Roman" w:hAnsi="Times New Roman"/>
          <w:sz w:val="24"/>
          <w:lang w:val="en-US"/>
        </w:rPr>
        <w:t>8</w:t>
      </w:r>
      <w:r w:rsidRPr="0023776E">
        <w:rPr>
          <w:rFonts w:ascii="Times New Roman" w:hAnsi="Times New Roman"/>
          <w:sz w:val="24"/>
          <w:lang w:val="en-US"/>
        </w:rPr>
        <w:t>,</w:t>
      </w:r>
      <w:r w:rsidR="00432312" w:rsidRPr="009057C8">
        <w:rPr>
          <w:rFonts w:ascii="Times New Roman" w:hAnsi="Times New Roman"/>
          <w:sz w:val="24"/>
          <w:lang w:val="en-US"/>
        </w:rPr>
        <w:t xml:space="preserve"> which </w:t>
      </w:r>
      <w:r w:rsidRPr="009057C8">
        <w:rPr>
          <w:rFonts w:ascii="Times New Roman" w:hAnsi="Times New Roman"/>
          <w:sz w:val="24"/>
          <w:shd w:val="clear" w:color="auto" w:fill="FFFFFF" w:themeFill="background1"/>
        </w:rPr>
        <w:t>revokes</w:t>
      </w:r>
      <w:r w:rsidRPr="009057C8">
        <w:rPr>
          <w:rFonts w:ascii="Times New Roman" w:hAnsi="Times New Roman"/>
          <w:sz w:val="24"/>
        </w:rPr>
        <w:t xml:space="preserve"> </w:t>
      </w:r>
      <w:r w:rsidRPr="009057C8">
        <w:rPr>
          <w:rFonts w:ascii="Times New Roman" w:hAnsi="Times New Roman"/>
          <w:i/>
          <w:iCs/>
          <w:sz w:val="24"/>
        </w:rPr>
        <w:t>Prudential Standard</w:t>
      </w:r>
      <w:r w:rsidRPr="009057C8">
        <w:rPr>
          <w:rFonts w:ascii="Times New Roman" w:hAnsi="Times New Roman"/>
          <w:sz w:val="24"/>
        </w:rPr>
        <w:t xml:space="preserve"> </w:t>
      </w:r>
      <w:r w:rsidRPr="009057C8">
        <w:rPr>
          <w:rFonts w:ascii="Times New Roman" w:hAnsi="Times New Roman"/>
          <w:i/>
          <w:iCs/>
          <w:sz w:val="24"/>
          <w:lang w:val="en-US"/>
        </w:rPr>
        <w:t xml:space="preserve">CPS </w:t>
      </w:r>
      <w:r w:rsidR="000B2216">
        <w:rPr>
          <w:rFonts w:ascii="Times New Roman" w:hAnsi="Times New Roman"/>
          <w:i/>
          <w:iCs/>
          <w:sz w:val="24"/>
          <w:lang w:val="en-US"/>
        </w:rPr>
        <w:t>510</w:t>
      </w:r>
      <w:r w:rsidRPr="009057C8">
        <w:rPr>
          <w:rFonts w:ascii="Times New Roman" w:hAnsi="Times New Roman"/>
          <w:i/>
          <w:iCs/>
          <w:sz w:val="24"/>
          <w:lang w:val="en-US"/>
        </w:rPr>
        <w:t xml:space="preserve"> </w:t>
      </w:r>
      <w:r w:rsidR="00BF7F22">
        <w:rPr>
          <w:rFonts w:ascii="Times New Roman" w:hAnsi="Times New Roman"/>
          <w:i/>
          <w:iCs/>
          <w:sz w:val="24"/>
          <w:lang w:val="en-US"/>
        </w:rPr>
        <w:t>Governance</w:t>
      </w:r>
      <w:r w:rsidRPr="009057C8">
        <w:rPr>
          <w:rFonts w:ascii="Times New Roman" w:hAnsi="Times New Roman"/>
          <w:i/>
          <w:iCs/>
          <w:sz w:val="24"/>
          <w:lang w:val="en-US"/>
        </w:rPr>
        <w:t xml:space="preserve"> </w:t>
      </w:r>
      <w:r w:rsidRPr="009057C8">
        <w:rPr>
          <w:rFonts w:ascii="Times New Roman" w:hAnsi="Times New Roman"/>
          <w:sz w:val="24"/>
          <w:lang w:val="en-US"/>
        </w:rPr>
        <w:t xml:space="preserve">(CPS </w:t>
      </w:r>
      <w:r w:rsidR="003157FF">
        <w:rPr>
          <w:rFonts w:ascii="Times New Roman" w:hAnsi="Times New Roman"/>
          <w:sz w:val="24"/>
          <w:lang w:val="en-US"/>
        </w:rPr>
        <w:t>51</w:t>
      </w:r>
      <w:r w:rsidRPr="009057C8">
        <w:rPr>
          <w:rFonts w:ascii="Times New Roman" w:hAnsi="Times New Roman"/>
          <w:sz w:val="24"/>
          <w:lang w:val="en-US"/>
        </w:rPr>
        <w:t xml:space="preserve">0) </w:t>
      </w:r>
      <w:r w:rsidRPr="009057C8">
        <w:rPr>
          <w:rFonts w:ascii="Times New Roman" w:hAnsi="Times New Roman"/>
          <w:sz w:val="24"/>
        </w:rPr>
        <w:t xml:space="preserve">made under </w:t>
      </w:r>
      <w:r w:rsidR="00BF7F22" w:rsidRPr="00BF7F22">
        <w:rPr>
          <w:rFonts w:ascii="Times New Roman" w:hAnsi="Times New Roman"/>
          <w:sz w:val="24"/>
        </w:rPr>
        <w:t>Banking, Insurance and Life Insurance (prudential standard) determination No</w:t>
      </w:r>
      <w:r w:rsidR="00965D71" w:rsidRPr="00965D71">
        <w:rPr>
          <w:rFonts w:ascii="Times New Roman" w:hAnsi="Times New Roman"/>
          <w:sz w:val="24"/>
        </w:rPr>
        <w:t>.</w:t>
      </w:r>
      <w:r w:rsidR="00965D71">
        <w:rPr>
          <w:rFonts w:ascii="Times New Roman" w:hAnsi="Times New Roman"/>
          <w:sz w:val="24"/>
        </w:rPr>
        <w:t xml:space="preserve"> 8</w:t>
      </w:r>
      <w:r w:rsidR="00BF7F22" w:rsidRPr="00BF7F22">
        <w:rPr>
          <w:rFonts w:ascii="Times New Roman" w:hAnsi="Times New Roman"/>
          <w:sz w:val="24"/>
        </w:rPr>
        <w:t xml:space="preserve"> of </w:t>
      </w:r>
      <w:r w:rsidR="003157FF">
        <w:rPr>
          <w:rFonts w:ascii="Times New Roman" w:hAnsi="Times New Roman"/>
          <w:sz w:val="24"/>
        </w:rPr>
        <w:t>2016</w:t>
      </w:r>
      <w:r w:rsidRPr="009057C8">
        <w:rPr>
          <w:rFonts w:ascii="Times New Roman" w:hAnsi="Times New Roman"/>
          <w:sz w:val="24"/>
        </w:rPr>
        <w:t xml:space="preserve"> </w:t>
      </w:r>
      <w:r w:rsidR="00965D71">
        <w:rPr>
          <w:rFonts w:ascii="Times New Roman" w:hAnsi="Times New Roman"/>
          <w:sz w:val="24"/>
        </w:rPr>
        <w:t xml:space="preserve">and </w:t>
      </w:r>
      <w:r w:rsidR="00965D71" w:rsidRPr="00965D71">
        <w:rPr>
          <w:rFonts w:ascii="Times New Roman" w:hAnsi="Times New Roman"/>
          <w:i/>
          <w:sz w:val="24"/>
        </w:rPr>
        <w:t>Health Prudential Standard HPS 510</w:t>
      </w:r>
      <w:r w:rsidR="00601123">
        <w:rPr>
          <w:rFonts w:ascii="Times New Roman" w:hAnsi="Times New Roman"/>
          <w:i/>
          <w:sz w:val="24"/>
        </w:rPr>
        <w:t xml:space="preserve"> Governance </w:t>
      </w:r>
      <w:r w:rsidR="00601123">
        <w:rPr>
          <w:rFonts w:ascii="Times New Roman" w:hAnsi="Times New Roman"/>
          <w:sz w:val="24"/>
        </w:rPr>
        <w:t>(HPS 510</w:t>
      </w:r>
      <w:r w:rsidR="00725EC5">
        <w:rPr>
          <w:rFonts w:ascii="Times New Roman" w:hAnsi="Times New Roman"/>
          <w:sz w:val="24"/>
        </w:rPr>
        <w:t>)</w:t>
      </w:r>
      <w:r w:rsidR="00725EC5">
        <w:rPr>
          <w:rFonts w:ascii="Times New Roman" w:hAnsi="Times New Roman"/>
          <w:i/>
          <w:sz w:val="24"/>
        </w:rPr>
        <w:t xml:space="preserve"> made</w:t>
      </w:r>
      <w:r w:rsidR="00965D71">
        <w:rPr>
          <w:rFonts w:ascii="Times New Roman" w:hAnsi="Times New Roman"/>
          <w:sz w:val="24"/>
        </w:rPr>
        <w:t xml:space="preserve"> under Health (prudential standard) determination No. 7 of 2015</w:t>
      </w:r>
      <w:r w:rsidR="00E37753">
        <w:rPr>
          <w:rFonts w:ascii="Times New Roman" w:hAnsi="Times New Roman"/>
          <w:sz w:val="24"/>
        </w:rPr>
        <w:t>, and</w:t>
      </w:r>
      <w:r w:rsidR="009121D1">
        <w:rPr>
          <w:rFonts w:ascii="Times New Roman" w:hAnsi="Times New Roman"/>
          <w:sz w:val="24"/>
        </w:rPr>
        <w:t xml:space="preserve"> </w:t>
      </w:r>
      <w:r w:rsidR="00E37753">
        <w:rPr>
          <w:rFonts w:ascii="Times New Roman" w:hAnsi="Times New Roman"/>
          <w:sz w:val="24"/>
        </w:rPr>
        <w:t>determines</w:t>
      </w:r>
      <w:r w:rsidR="009121D1">
        <w:rPr>
          <w:rFonts w:ascii="Times New Roman" w:hAnsi="Times New Roman"/>
          <w:sz w:val="24"/>
        </w:rPr>
        <w:t xml:space="preserve"> </w:t>
      </w:r>
      <w:r w:rsidR="009B2478">
        <w:rPr>
          <w:rFonts w:ascii="Times New Roman" w:hAnsi="Times New Roman"/>
          <w:sz w:val="24"/>
        </w:rPr>
        <w:t>CPS 510</w:t>
      </w:r>
      <w:r w:rsidR="009121D1">
        <w:rPr>
          <w:rFonts w:ascii="Times New Roman" w:hAnsi="Times New Roman"/>
          <w:sz w:val="24"/>
        </w:rPr>
        <w:t>.</w:t>
      </w:r>
    </w:p>
    <w:p w14:paraId="2E4409AE" w14:textId="0A00310B" w:rsidR="00605C21" w:rsidRPr="009057C8" w:rsidRDefault="00605C21" w:rsidP="00432312">
      <w:pPr>
        <w:shd w:val="clear" w:color="auto" w:fill="FFFFFF" w:themeFill="background1"/>
        <w:spacing w:before="100" w:beforeAutospacing="1" w:after="100" w:afterAutospacing="1"/>
        <w:jc w:val="left"/>
        <w:rPr>
          <w:rFonts w:ascii="Times New Roman" w:hAnsi="Times New Roman"/>
          <w:sz w:val="24"/>
          <w:lang w:val="en-US"/>
        </w:rPr>
      </w:pPr>
      <w:r w:rsidRPr="009057C8">
        <w:rPr>
          <w:rFonts w:ascii="Times New Roman" w:hAnsi="Times New Roman"/>
          <w:sz w:val="24"/>
        </w:rPr>
        <w:t>The instrument commence</w:t>
      </w:r>
      <w:r w:rsidR="00EC030E">
        <w:rPr>
          <w:rFonts w:ascii="Times New Roman" w:hAnsi="Times New Roman"/>
          <w:sz w:val="24"/>
        </w:rPr>
        <w:t>s</w:t>
      </w:r>
      <w:r w:rsidRPr="009057C8">
        <w:rPr>
          <w:rFonts w:ascii="Times New Roman" w:hAnsi="Times New Roman"/>
          <w:sz w:val="24"/>
        </w:rPr>
        <w:t xml:space="preserve"> on 1 </w:t>
      </w:r>
      <w:r w:rsidR="007B0280">
        <w:rPr>
          <w:rFonts w:ascii="Times New Roman" w:hAnsi="Times New Roman"/>
          <w:sz w:val="24"/>
        </w:rPr>
        <w:t>July</w:t>
      </w:r>
      <w:r w:rsidRPr="009057C8">
        <w:rPr>
          <w:rFonts w:ascii="Times New Roman" w:hAnsi="Times New Roman"/>
          <w:sz w:val="24"/>
        </w:rPr>
        <w:t xml:space="preserve"> 201</w:t>
      </w:r>
      <w:r w:rsidR="007B0280">
        <w:rPr>
          <w:rFonts w:ascii="Times New Roman" w:hAnsi="Times New Roman"/>
          <w:sz w:val="24"/>
        </w:rPr>
        <w:t>9</w:t>
      </w:r>
      <w:r w:rsidRPr="009057C8">
        <w:rPr>
          <w:rFonts w:ascii="Times New Roman" w:hAnsi="Times New Roman"/>
          <w:sz w:val="24"/>
        </w:rPr>
        <w:t xml:space="preserve">.   </w:t>
      </w:r>
    </w:p>
    <w:p w14:paraId="65893190" w14:textId="77777777" w:rsidR="00A37E1D" w:rsidRPr="009057C8" w:rsidRDefault="00A37E1D" w:rsidP="00074C6B">
      <w:pPr>
        <w:pStyle w:val="BULLET1"/>
        <w:numPr>
          <w:ilvl w:val="0"/>
          <w:numId w:val="17"/>
        </w:numPr>
        <w:shd w:val="clear" w:color="auto" w:fill="FFFFFF" w:themeFill="background1"/>
        <w:rPr>
          <w:rFonts w:ascii="Times New Roman" w:hAnsi="Times New Roman" w:cs="Times New Roman"/>
          <w:b/>
          <w:sz w:val="24"/>
          <w:szCs w:val="24"/>
        </w:rPr>
      </w:pPr>
      <w:r w:rsidRPr="009057C8">
        <w:rPr>
          <w:rFonts w:ascii="Times New Roman" w:hAnsi="Times New Roman" w:cs="Times New Roman"/>
          <w:b/>
          <w:sz w:val="24"/>
          <w:szCs w:val="24"/>
        </w:rPr>
        <w:t>Background</w:t>
      </w:r>
    </w:p>
    <w:p w14:paraId="11E8B340" w14:textId="77777777" w:rsidR="000E4B3B" w:rsidRDefault="000E4B3B" w:rsidP="000E4B3B">
      <w:pPr>
        <w:widowControl w:val="0"/>
        <w:rPr>
          <w:rFonts w:ascii="Times New Roman" w:hAnsi="Times New Roman"/>
          <w:sz w:val="24"/>
        </w:rPr>
      </w:pPr>
      <w:r w:rsidRPr="009057C8">
        <w:rPr>
          <w:rFonts w:ascii="Times New Roman" w:hAnsi="Times New Roman"/>
          <w:sz w:val="24"/>
        </w:rPr>
        <w:t xml:space="preserve">APRA’s mandate is to ensure the safety and soundness of prudentially regulated financial institutions so that they can meet their financial promises to depositors, policyholders and fund </w:t>
      </w:r>
      <w:r w:rsidRPr="009057C8">
        <w:rPr>
          <w:rFonts w:ascii="Times New Roman" w:hAnsi="Times New Roman"/>
          <w:sz w:val="24"/>
        </w:rPr>
        <w:lastRenderedPageBreak/>
        <w:t xml:space="preserve">members within a stable, efficient and competitive financial system. </w:t>
      </w:r>
    </w:p>
    <w:p w14:paraId="273150D4" w14:textId="0F6F6C5B" w:rsidR="000E4B3B" w:rsidRDefault="000E4B3B" w:rsidP="000E4B3B">
      <w:pPr>
        <w:rPr>
          <w:rFonts w:ascii="Times New Roman" w:hAnsi="Times New Roman"/>
          <w:sz w:val="24"/>
        </w:rPr>
      </w:pPr>
      <w:r w:rsidRPr="009057C8">
        <w:rPr>
          <w:rFonts w:ascii="Times New Roman" w:hAnsi="Times New Roman"/>
          <w:sz w:val="24"/>
        </w:rPr>
        <w:t xml:space="preserve">APRA carries out this mandate through a multi-layered prudential framework that encompasses licensing and supervision of institutions. APRA is empowered under the </w:t>
      </w:r>
      <w:r w:rsidR="00AA6B32" w:rsidRPr="009057C8">
        <w:rPr>
          <w:rFonts w:ascii="Times New Roman" w:hAnsi="Times New Roman"/>
          <w:sz w:val="24"/>
        </w:rPr>
        <w:t xml:space="preserve">Banking Act, the Insurance Act, the Life Insurance </w:t>
      </w:r>
      <w:r w:rsidRPr="009057C8">
        <w:rPr>
          <w:rFonts w:ascii="Times New Roman" w:hAnsi="Times New Roman"/>
          <w:sz w:val="24"/>
        </w:rPr>
        <w:t>Act</w:t>
      </w:r>
      <w:r w:rsidR="00AA6B32" w:rsidRPr="009057C8">
        <w:rPr>
          <w:rFonts w:ascii="Times New Roman" w:hAnsi="Times New Roman"/>
          <w:sz w:val="24"/>
        </w:rPr>
        <w:t xml:space="preserve"> and the PHI</w:t>
      </w:r>
      <w:r w:rsidR="00A15F0E">
        <w:rPr>
          <w:rFonts w:ascii="Times New Roman" w:hAnsi="Times New Roman"/>
          <w:sz w:val="24"/>
        </w:rPr>
        <w:t>PS</w:t>
      </w:r>
      <w:r w:rsidR="00AA6B32" w:rsidRPr="009057C8">
        <w:rPr>
          <w:rFonts w:ascii="Times New Roman" w:hAnsi="Times New Roman"/>
          <w:sz w:val="24"/>
        </w:rPr>
        <w:t xml:space="preserve"> Act </w:t>
      </w:r>
      <w:r w:rsidRPr="009057C8">
        <w:rPr>
          <w:rFonts w:ascii="Times New Roman" w:hAnsi="Times New Roman"/>
          <w:sz w:val="24"/>
        </w:rPr>
        <w:t xml:space="preserve">to issue legally binding prudential standards that set out specific prudential requirements </w:t>
      </w:r>
      <w:r w:rsidR="007E3A1E" w:rsidRPr="009057C8">
        <w:rPr>
          <w:rFonts w:ascii="Times New Roman" w:hAnsi="Times New Roman"/>
          <w:sz w:val="24"/>
        </w:rPr>
        <w:t xml:space="preserve">with </w:t>
      </w:r>
      <w:r w:rsidRPr="009057C8">
        <w:rPr>
          <w:rFonts w:ascii="Times New Roman" w:hAnsi="Times New Roman"/>
          <w:sz w:val="24"/>
        </w:rPr>
        <w:t xml:space="preserve">which </w:t>
      </w:r>
      <w:r w:rsidR="00AA6B32" w:rsidRPr="009057C8">
        <w:rPr>
          <w:rFonts w:ascii="Times New Roman" w:hAnsi="Times New Roman"/>
          <w:sz w:val="24"/>
        </w:rPr>
        <w:t xml:space="preserve">APRA-regulated institutions in each industry </w:t>
      </w:r>
      <w:r w:rsidRPr="009057C8">
        <w:rPr>
          <w:rFonts w:ascii="Times New Roman" w:hAnsi="Times New Roman"/>
          <w:sz w:val="24"/>
        </w:rPr>
        <w:t>must comply. These standards are supported by prudential practice guides which clarify APRA’s expectations with regard to prudential requirements.</w:t>
      </w:r>
    </w:p>
    <w:p w14:paraId="3FAA1353" w14:textId="3B296A13" w:rsidR="000E4B3B" w:rsidRPr="009057C8" w:rsidRDefault="007B0280" w:rsidP="0015227C">
      <w:pPr>
        <w:rPr>
          <w:rFonts w:ascii="Times New Roman" w:hAnsi="Times New Roman"/>
          <w:sz w:val="24"/>
        </w:rPr>
      </w:pPr>
      <w:r w:rsidRPr="007B0280">
        <w:rPr>
          <w:rFonts w:ascii="Times New Roman" w:hAnsi="Times New Roman"/>
          <w:sz w:val="24"/>
        </w:rPr>
        <w:t>In addition to improvements in financial strength and asset quality, it’s also critical to the long run health of the financial system that the Australian community has a high degree of confidence that individual financial institutions are well governed and prudently managed</w:t>
      </w:r>
      <w:r>
        <w:rPr>
          <w:rFonts w:ascii="Times New Roman" w:hAnsi="Times New Roman"/>
          <w:sz w:val="24"/>
        </w:rPr>
        <w:t>.</w:t>
      </w:r>
      <w:r w:rsidR="00672E87">
        <w:rPr>
          <w:rFonts w:ascii="Times New Roman" w:hAnsi="Times New Roman"/>
          <w:sz w:val="24"/>
        </w:rPr>
        <w:t xml:space="preserve"> </w:t>
      </w:r>
      <w:r w:rsidR="00672E87" w:rsidRPr="00672E87">
        <w:rPr>
          <w:rFonts w:ascii="Times New Roman" w:hAnsi="Times New Roman"/>
          <w:sz w:val="24"/>
        </w:rPr>
        <w:t>Robust governance practices that support sound decision-making are essential to ensure regulated institutions remain resilient and able to adapt quickly to changes in the broader operating environment, while remaining prudentially sound.</w:t>
      </w:r>
    </w:p>
    <w:p w14:paraId="269C0E37" w14:textId="5288F97E" w:rsidR="00B7650C" w:rsidRDefault="00B7650C" w:rsidP="00B7650C">
      <w:pPr>
        <w:keepNext/>
        <w:shd w:val="clear" w:color="auto" w:fill="FFFFFF"/>
        <w:spacing w:before="100" w:beforeAutospacing="1" w:after="100" w:afterAutospacing="1"/>
        <w:jc w:val="left"/>
        <w:rPr>
          <w:rFonts w:ascii="Times New Roman" w:hAnsi="Times New Roman"/>
          <w:sz w:val="24"/>
        </w:rPr>
      </w:pPr>
      <w:r>
        <w:rPr>
          <w:rFonts w:ascii="Times New Roman" w:hAnsi="Times New Roman"/>
          <w:sz w:val="24"/>
        </w:rPr>
        <w:t>F</w:t>
      </w:r>
      <w:r w:rsidR="008E57B3" w:rsidRPr="009057C8">
        <w:rPr>
          <w:rFonts w:ascii="Times New Roman" w:hAnsi="Times New Roman"/>
          <w:sz w:val="24"/>
        </w:rPr>
        <w:t xml:space="preserve">ollowing </w:t>
      </w:r>
      <w:r w:rsidR="00965D71">
        <w:rPr>
          <w:rFonts w:ascii="Times New Roman" w:hAnsi="Times New Roman"/>
          <w:sz w:val="24"/>
        </w:rPr>
        <w:t>an</w:t>
      </w:r>
      <w:r>
        <w:rPr>
          <w:rFonts w:ascii="Times New Roman" w:hAnsi="Times New Roman"/>
          <w:sz w:val="24"/>
        </w:rPr>
        <w:t xml:space="preserve"> extensive </w:t>
      </w:r>
      <w:r w:rsidR="008E57B3" w:rsidRPr="009057C8">
        <w:rPr>
          <w:rFonts w:ascii="Times New Roman" w:hAnsi="Times New Roman"/>
          <w:sz w:val="24"/>
        </w:rPr>
        <w:t xml:space="preserve">consultation with the private health insurance industry, </w:t>
      </w:r>
      <w:r w:rsidR="00185C6C">
        <w:rPr>
          <w:rFonts w:ascii="Times New Roman" w:hAnsi="Times New Roman"/>
          <w:sz w:val="24"/>
        </w:rPr>
        <w:t>this instrume</w:t>
      </w:r>
      <w:r>
        <w:rPr>
          <w:rFonts w:ascii="Times New Roman" w:hAnsi="Times New Roman"/>
          <w:sz w:val="24"/>
        </w:rPr>
        <w:t xml:space="preserve">nt </w:t>
      </w:r>
      <w:r w:rsidR="007D639A" w:rsidRPr="00B7650C">
        <w:rPr>
          <w:rFonts w:ascii="Times New Roman" w:hAnsi="Times New Roman"/>
          <w:sz w:val="24"/>
        </w:rPr>
        <w:t>extend</w:t>
      </w:r>
      <w:r>
        <w:rPr>
          <w:rFonts w:ascii="Times New Roman" w:hAnsi="Times New Roman"/>
          <w:sz w:val="24"/>
        </w:rPr>
        <w:t>s</w:t>
      </w:r>
      <w:r w:rsidR="00B906E3" w:rsidRPr="009057C8">
        <w:rPr>
          <w:rFonts w:ascii="Times New Roman" w:hAnsi="Times New Roman"/>
          <w:sz w:val="24"/>
        </w:rPr>
        <w:t xml:space="preserve"> c</w:t>
      </w:r>
      <w:r w:rsidR="007D639A" w:rsidRPr="009057C8">
        <w:rPr>
          <w:rFonts w:ascii="Times New Roman" w:hAnsi="Times New Roman"/>
          <w:sz w:val="24"/>
        </w:rPr>
        <w:t xml:space="preserve">overage </w:t>
      </w:r>
      <w:r w:rsidR="008E57B3" w:rsidRPr="009057C8">
        <w:rPr>
          <w:rFonts w:ascii="Times New Roman" w:hAnsi="Times New Roman"/>
          <w:sz w:val="24"/>
        </w:rPr>
        <w:t xml:space="preserve">of the </w:t>
      </w:r>
      <w:r>
        <w:rPr>
          <w:rFonts w:ascii="Times New Roman" w:hAnsi="Times New Roman"/>
          <w:sz w:val="24"/>
        </w:rPr>
        <w:t xml:space="preserve">cross industry governance </w:t>
      </w:r>
      <w:r w:rsidR="008E57B3" w:rsidRPr="009057C8">
        <w:rPr>
          <w:rFonts w:ascii="Times New Roman" w:hAnsi="Times New Roman"/>
          <w:sz w:val="24"/>
        </w:rPr>
        <w:t xml:space="preserve">prudential standard </w:t>
      </w:r>
      <w:r w:rsidR="007D639A" w:rsidRPr="009057C8">
        <w:rPr>
          <w:rFonts w:ascii="Times New Roman" w:hAnsi="Times New Roman"/>
          <w:sz w:val="24"/>
        </w:rPr>
        <w:t>to private health insurers</w:t>
      </w:r>
      <w:r w:rsidR="00B906E3" w:rsidRPr="009057C8">
        <w:rPr>
          <w:rFonts w:ascii="Times New Roman" w:hAnsi="Times New Roman"/>
          <w:sz w:val="24"/>
        </w:rPr>
        <w:t xml:space="preserve">. The instrument does not </w:t>
      </w:r>
      <w:r w:rsidR="007D639A" w:rsidRPr="009057C8">
        <w:rPr>
          <w:rFonts w:ascii="Times New Roman" w:hAnsi="Times New Roman"/>
          <w:sz w:val="24"/>
        </w:rPr>
        <w:t>impos</w:t>
      </w:r>
      <w:r w:rsidR="00B906E3" w:rsidRPr="009057C8">
        <w:rPr>
          <w:rFonts w:ascii="Times New Roman" w:hAnsi="Times New Roman"/>
          <w:sz w:val="24"/>
        </w:rPr>
        <w:t>e</w:t>
      </w:r>
      <w:r w:rsidR="007D639A" w:rsidRPr="009057C8">
        <w:rPr>
          <w:rFonts w:ascii="Times New Roman" w:hAnsi="Times New Roman"/>
          <w:sz w:val="24"/>
        </w:rPr>
        <w:t xml:space="preserve"> new </w:t>
      </w:r>
      <w:r w:rsidR="009F6B3C" w:rsidRPr="009057C8">
        <w:rPr>
          <w:rFonts w:ascii="Times New Roman" w:hAnsi="Times New Roman"/>
          <w:sz w:val="24"/>
        </w:rPr>
        <w:t xml:space="preserve">prudential </w:t>
      </w:r>
      <w:r w:rsidR="007D639A" w:rsidRPr="009057C8">
        <w:rPr>
          <w:rFonts w:ascii="Times New Roman" w:hAnsi="Times New Roman"/>
          <w:sz w:val="24"/>
        </w:rPr>
        <w:t>requirements on general insurers</w:t>
      </w:r>
      <w:r w:rsidR="009F6B3C" w:rsidRPr="009057C8">
        <w:rPr>
          <w:rFonts w:ascii="Times New Roman" w:hAnsi="Times New Roman"/>
          <w:sz w:val="24"/>
        </w:rPr>
        <w:t xml:space="preserve">, </w:t>
      </w:r>
      <w:r w:rsidR="007D639A" w:rsidRPr="009057C8">
        <w:rPr>
          <w:rFonts w:ascii="Times New Roman" w:hAnsi="Times New Roman"/>
          <w:sz w:val="24"/>
        </w:rPr>
        <w:t xml:space="preserve">life </w:t>
      </w:r>
      <w:r w:rsidR="008E57B3" w:rsidRPr="009057C8">
        <w:rPr>
          <w:rFonts w:ascii="Times New Roman" w:hAnsi="Times New Roman"/>
          <w:sz w:val="24"/>
        </w:rPr>
        <w:t>companies</w:t>
      </w:r>
      <w:r w:rsidR="007D639A" w:rsidRPr="009057C8">
        <w:rPr>
          <w:rFonts w:ascii="Times New Roman" w:hAnsi="Times New Roman"/>
          <w:sz w:val="24"/>
        </w:rPr>
        <w:t>, ADIs</w:t>
      </w:r>
      <w:r w:rsidR="00D531AF" w:rsidRPr="009057C8">
        <w:rPr>
          <w:rFonts w:ascii="Times New Roman" w:hAnsi="Times New Roman"/>
          <w:sz w:val="24"/>
        </w:rPr>
        <w:t xml:space="preserve"> or groups</w:t>
      </w:r>
      <w:r w:rsidR="00E231E0">
        <w:rPr>
          <w:rFonts w:ascii="Times New Roman" w:hAnsi="Times New Roman"/>
          <w:sz w:val="24"/>
        </w:rPr>
        <w:t xml:space="preserve">. </w:t>
      </w:r>
    </w:p>
    <w:p w14:paraId="54F8FD22" w14:textId="4BDA1F0F" w:rsidR="00A37E1D" w:rsidRPr="004A3DA9" w:rsidRDefault="00A37E1D" w:rsidP="004A3DA9">
      <w:pPr>
        <w:pStyle w:val="ListParagraph"/>
        <w:keepNext/>
        <w:numPr>
          <w:ilvl w:val="0"/>
          <w:numId w:val="17"/>
        </w:numPr>
        <w:shd w:val="clear" w:color="auto" w:fill="FFFFFF"/>
        <w:spacing w:before="100" w:beforeAutospacing="1" w:after="100" w:afterAutospacing="1"/>
        <w:jc w:val="left"/>
        <w:rPr>
          <w:rFonts w:ascii="Times New Roman" w:hAnsi="Times New Roman"/>
          <w:b/>
          <w:sz w:val="24"/>
        </w:rPr>
      </w:pPr>
      <w:r w:rsidRPr="004A3DA9">
        <w:rPr>
          <w:rFonts w:ascii="Times New Roman" w:hAnsi="Times New Roman"/>
          <w:b/>
          <w:sz w:val="24"/>
        </w:rPr>
        <w:t>Purpose of the instrument</w:t>
      </w:r>
    </w:p>
    <w:p w14:paraId="72724B41" w14:textId="6EB364DE" w:rsidR="0015227C" w:rsidRDefault="00605C21" w:rsidP="00255C96">
      <w:pPr>
        <w:rPr>
          <w:rFonts w:ascii="Times New Roman" w:hAnsi="Times New Roman"/>
          <w:sz w:val="24"/>
        </w:rPr>
      </w:pPr>
      <w:bookmarkStart w:id="4" w:name="bkBackground"/>
      <w:bookmarkStart w:id="5" w:name="bkPurpose"/>
      <w:bookmarkEnd w:id="4"/>
      <w:bookmarkEnd w:id="5"/>
      <w:r w:rsidRPr="009057C8">
        <w:rPr>
          <w:rFonts w:ascii="Times New Roman" w:hAnsi="Times New Roman"/>
          <w:sz w:val="24"/>
        </w:rPr>
        <w:t>The purpose of th</w:t>
      </w:r>
      <w:r w:rsidR="00A37AE9" w:rsidRPr="009057C8">
        <w:rPr>
          <w:rFonts w:ascii="Times New Roman" w:hAnsi="Times New Roman"/>
          <w:sz w:val="24"/>
        </w:rPr>
        <w:t>e</w:t>
      </w:r>
      <w:r w:rsidRPr="009057C8">
        <w:rPr>
          <w:rFonts w:ascii="Times New Roman" w:hAnsi="Times New Roman"/>
          <w:sz w:val="24"/>
        </w:rPr>
        <w:t xml:space="preserve"> instrument is to</w:t>
      </w:r>
      <w:r w:rsidR="00B3714F">
        <w:rPr>
          <w:rFonts w:ascii="Times New Roman" w:hAnsi="Times New Roman"/>
          <w:sz w:val="24"/>
        </w:rPr>
        <w:t xml:space="preserve"> </w:t>
      </w:r>
      <w:r w:rsidR="00E608DA">
        <w:rPr>
          <w:rFonts w:ascii="Times New Roman" w:hAnsi="Times New Roman"/>
          <w:sz w:val="24"/>
        </w:rPr>
        <w:t xml:space="preserve">update the </w:t>
      </w:r>
      <w:r w:rsidR="00CE778C">
        <w:rPr>
          <w:rFonts w:ascii="Times New Roman" w:hAnsi="Times New Roman"/>
          <w:sz w:val="24"/>
        </w:rPr>
        <w:t xml:space="preserve">requirements in </w:t>
      </w:r>
      <w:r w:rsidR="00E608DA" w:rsidRPr="00CA1857">
        <w:rPr>
          <w:rFonts w:ascii="Times New Roman" w:hAnsi="Times New Roman"/>
          <w:iCs/>
          <w:sz w:val="24"/>
          <w:lang w:val="en-US"/>
        </w:rPr>
        <w:t>HPS 510</w:t>
      </w:r>
      <w:r w:rsidR="00553F0E">
        <w:rPr>
          <w:rFonts w:ascii="Times New Roman" w:hAnsi="Times New Roman"/>
          <w:iCs/>
          <w:sz w:val="24"/>
          <w:lang w:val="en-US"/>
        </w:rPr>
        <w:t xml:space="preserve"> </w:t>
      </w:r>
      <w:r w:rsidR="00E608DA">
        <w:rPr>
          <w:rFonts w:ascii="Times New Roman" w:hAnsi="Times New Roman"/>
          <w:sz w:val="24"/>
        </w:rPr>
        <w:t xml:space="preserve">to reflect </w:t>
      </w:r>
      <w:r w:rsidR="00672E87" w:rsidRPr="00672E87">
        <w:rPr>
          <w:rFonts w:ascii="Times New Roman" w:hAnsi="Times New Roman"/>
          <w:sz w:val="24"/>
        </w:rPr>
        <w:t>the latest experience in developing sound governance frameworks</w:t>
      </w:r>
      <w:r w:rsidR="00553F0E">
        <w:rPr>
          <w:rFonts w:ascii="Times New Roman" w:hAnsi="Times New Roman"/>
          <w:sz w:val="24"/>
        </w:rPr>
        <w:t xml:space="preserve"> and to harmonise the prudential </w:t>
      </w:r>
      <w:r w:rsidR="0008018D">
        <w:rPr>
          <w:rFonts w:ascii="Times New Roman" w:hAnsi="Times New Roman"/>
          <w:sz w:val="24"/>
        </w:rPr>
        <w:t>requirements</w:t>
      </w:r>
      <w:r w:rsidR="002D107F">
        <w:rPr>
          <w:rFonts w:ascii="Times New Roman" w:hAnsi="Times New Roman"/>
          <w:sz w:val="24"/>
        </w:rPr>
        <w:t xml:space="preserve"> with other APRA-r</w:t>
      </w:r>
      <w:r w:rsidR="00553F0E">
        <w:rPr>
          <w:rFonts w:ascii="Times New Roman" w:hAnsi="Times New Roman"/>
          <w:sz w:val="24"/>
        </w:rPr>
        <w:t>egulated sectors</w:t>
      </w:r>
      <w:r w:rsidR="00CE778C">
        <w:rPr>
          <w:rFonts w:ascii="Times New Roman" w:hAnsi="Times New Roman"/>
          <w:sz w:val="24"/>
        </w:rPr>
        <w:t xml:space="preserve">, by extending the application of </w:t>
      </w:r>
      <w:r w:rsidR="009B2478">
        <w:rPr>
          <w:rFonts w:ascii="Times New Roman" w:hAnsi="Times New Roman"/>
          <w:sz w:val="24"/>
        </w:rPr>
        <w:t>CPS 510</w:t>
      </w:r>
      <w:r w:rsidR="00CE778C">
        <w:rPr>
          <w:rFonts w:ascii="Times New Roman" w:hAnsi="Times New Roman"/>
          <w:sz w:val="24"/>
        </w:rPr>
        <w:t xml:space="preserve"> to private health insurers</w:t>
      </w:r>
      <w:r w:rsidR="00672E87" w:rsidRPr="00672E87">
        <w:rPr>
          <w:rFonts w:ascii="Times New Roman" w:hAnsi="Times New Roman"/>
          <w:sz w:val="24"/>
        </w:rPr>
        <w:t>.</w:t>
      </w:r>
    </w:p>
    <w:p w14:paraId="3438BD53" w14:textId="0A9DCC5E" w:rsidR="0015227C" w:rsidRDefault="0015227C" w:rsidP="00255C96">
      <w:pPr>
        <w:rPr>
          <w:rFonts w:ascii="Times New Roman" w:hAnsi="Times New Roman"/>
          <w:sz w:val="24"/>
        </w:rPr>
      </w:pPr>
      <w:r w:rsidRPr="0015227C">
        <w:rPr>
          <w:rFonts w:ascii="Times New Roman" w:hAnsi="Times New Roman"/>
          <w:sz w:val="24"/>
        </w:rPr>
        <w:t xml:space="preserve">The </w:t>
      </w:r>
      <w:r w:rsidR="004B7E96">
        <w:rPr>
          <w:rFonts w:ascii="Times New Roman" w:hAnsi="Times New Roman"/>
          <w:sz w:val="24"/>
        </w:rPr>
        <w:t xml:space="preserve">new cross industry </w:t>
      </w:r>
      <w:r w:rsidRPr="0015227C">
        <w:rPr>
          <w:rFonts w:ascii="Times New Roman" w:hAnsi="Times New Roman"/>
          <w:sz w:val="24"/>
        </w:rPr>
        <w:t xml:space="preserve">prudential framework is expected to improve resilience </w:t>
      </w:r>
      <w:r w:rsidR="00672E87">
        <w:rPr>
          <w:rFonts w:ascii="Times New Roman" w:hAnsi="Times New Roman"/>
          <w:sz w:val="24"/>
        </w:rPr>
        <w:t xml:space="preserve">in the private health insurance sector </w:t>
      </w:r>
      <w:r w:rsidRPr="0015227C">
        <w:rPr>
          <w:rFonts w:ascii="Times New Roman" w:hAnsi="Times New Roman"/>
          <w:sz w:val="24"/>
        </w:rPr>
        <w:t>by increasing the likelihood that Boards, senior management, auditors and actuaries will identify and take proactive action on emerging issues. Policyholders are expected to benefit from a strengthening of the overall quality of governance of private health insurers through a reduction in the risk of failure arising from fraud, mismanagement, or other undesirable practices.</w:t>
      </w:r>
    </w:p>
    <w:p w14:paraId="34D03072" w14:textId="77777777" w:rsidR="00A37E1D" w:rsidRPr="009057C8" w:rsidRDefault="00A37E1D" w:rsidP="009057C8">
      <w:pPr>
        <w:pStyle w:val="BULLET1"/>
        <w:keepNext/>
        <w:numPr>
          <w:ilvl w:val="0"/>
          <w:numId w:val="17"/>
        </w:numPr>
        <w:shd w:val="clear" w:color="auto" w:fill="FFFFFF" w:themeFill="background1"/>
        <w:rPr>
          <w:rFonts w:ascii="Times New Roman" w:hAnsi="Times New Roman" w:cs="Times New Roman"/>
          <w:b/>
          <w:sz w:val="24"/>
          <w:szCs w:val="24"/>
        </w:rPr>
      </w:pPr>
      <w:bookmarkStart w:id="6" w:name="bk3Operation"/>
      <w:r w:rsidRPr="009057C8">
        <w:rPr>
          <w:rFonts w:ascii="Times New Roman" w:hAnsi="Times New Roman" w:cs="Times New Roman"/>
          <w:b/>
          <w:sz w:val="24"/>
          <w:szCs w:val="24"/>
        </w:rPr>
        <w:t>Operation of the instrument</w:t>
      </w:r>
    </w:p>
    <w:bookmarkEnd w:id="6"/>
    <w:p w14:paraId="64747ACB" w14:textId="3FCD49FF" w:rsidR="00A87BEC" w:rsidRDefault="00CE6255" w:rsidP="00AD64BE">
      <w:pPr>
        <w:shd w:val="clear" w:color="auto" w:fill="FFFFFF"/>
        <w:spacing w:before="100" w:beforeAutospacing="1" w:after="100" w:afterAutospacing="1"/>
        <w:jc w:val="left"/>
        <w:rPr>
          <w:rFonts w:ascii="Times New Roman" w:hAnsi="Times New Roman"/>
          <w:sz w:val="24"/>
        </w:rPr>
      </w:pPr>
      <w:r w:rsidRPr="009057C8">
        <w:rPr>
          <w:rFonts w:ascii="Times New Roman" w:hAnsi="Times New Roman"/>
          <w:sz w:val="24"/>
        </w:rPr>
        <w:t xml:space="preserve">Key aspects of </w:t>
      </w:r>
      <w:r w:rsidR="00584673">
        <w:rPr>
          <w:rFonts w:ascii="Times New Roman" w:hAnsi="Times New Roman"/>
          <w:sz w:val="24"/>
        </w:rPr>
        <w:t xml:space="preserve">CPS </w:t>
      </w:r>
      <w:r w:rsidR="00672E87">
        <w:rPr>
          <w:rFonts w:ascii="Times New Roman" w:hAnsi="Times New Roman"/>
          <w:sz w:val="24"/>
        </w:rPr>
        <w:t>51</w:t>
      </w:r>
      <w:r w:rsidR="002949D7">
        <w:rPr>
          <w:rFonts w:ascii="Times New Roman" w:hAnsi="Times New Roman"/>
          <w:sz w:val="24"/>
        </w:rPr>
        <w:t>0 which will now apply</w:t>
      </w:r>
      <w:r w:rsidR="008431D4" w:rsidRPr="009057C8">
        <w:rPr>
          <w:rFonts w:ascii="Times New Roman" w:hAnsi="Times New Roman"/>
          <w:sz w:val="24"/>
        </w:rPr>
        <w:t xml:space="preserve"> to </w:t>
      </w:r>
      <w:r w:rsidR="009D4911" w:rsidRPr="009057C8">
        <w:rPr>
          <w:rFonts w:ascii="Times New Roman" w:hAnsi="Times New Roman"/>
          <w:sz w:val="24"/>
        </w:rPr>
        <w:t>private health insurers are:</w:t>
      </w:r>
    </w:p>
    <w:p w14:paraId="4ADC63E6" w14:textId="26F42D9E" w:rsidR="00980112" w:rsidRDefault="00980112" w:rsidP="00AD64BE">
      <w:pPr>
        <w:shd w:val="clear" w:color="auto" w:fill="FFFFFF"/>
        <w:spacing w:before="100" w:beforeAutospacing="1" w:after="100" w:afterAutospacing="1"/>
        <w:jc w:val="left"/>
        <w:rPr>
          <w:rFonts w:ascii="Times New Roman" w:hAnsi="Times New Roman"/>
          <w:b/>
          <w:sz w:val="24"/>
        </w:rPr>
      </w:pPr>
      <w:r w:rsidRPr="00980112">
        <w:rPr>
          <w:rFonts w:ascii="Times New Roman" w:hAnsi="Times New Roman"/>
          <w:b/>
          <w:sz w:val="24"/>
        </w:rPr>
        <w:t xml:space="preserve">Board and </w:t>
      </w:r>
      <w:r w:rsidR="0008018D" w:rsidRPr="00980112">
        <w:rPr>
          <w:rFonts w:ascii="Times New Roman" w:hAnsi="Times New Roman"/>
          <w:b/>
          <w:sz w:val="24"/>
        </w:rPr>
        <w:t>senior</w:t>
      </w:r>
      <w:r w:rsidRPr="00980112">
        <w:rPr>
          <w:rFonts w:ascii="Times New Roman" w:hAnsi="Times New Roman"/>
          <w:b/>
          <w:sz w:val="24"/>
        </w:rPr>
        <w:t xml:space="preserve"> manag</w:t>
      </w:r>
      <w:r w:rsidR="00666D92">
        <w:rPr>
          <w:rFonts w:ascii="Times New Roman" w:hAnsi="Times New Roman"/>
          <w:b/>
          <w:sz w:val="24"/>
        </w:rPr>
        <w:t>e</w:t>
      </w:r>
      <w:r w:rsidRPr="00980112">
        <w:rPr>
          <w:rFonts w:ascii="Times New Roman" w:hAnsi="Times New Roman"/>
          <w:b/>
          <w:sz w:val="24"/>
        </w:rPr>
        <w:t>ment</w:t>
      </w:r>
    </w:p>
    <w:p w14:paraId="0B571381" w14:textId="73319B2C" w:rsidR="005112CD" w:rsidRPr="005112CD" w:rsidRDefault="005112CD" w:rsidP="00AD64BE">
      <w:pPr>
        <w:shd w:val="clear" w:color="auto" w:fill="FFFFFF"/>
        <w:spacing w:before="100" w:beforeAutospacing="1" w:after="100" w:afterAutospacing="1"/>
        <w:jc w:val="left"/>
        <w:rPr>
          <w:rFonts w:ascii="Times New Roman" w:hAnsi="Times New Roman"/>
          <w:sz w:val="24"/>
        </w:rPr>
      </w:pPr>
      <w:r w:rsidRPr="005112CD">
        <w:rPr>
          <w:rFonts w:ascii="Times New Roman" w:hAnsi="Times New Roman"/>
          <w:sz w:val="24"/>
        </w:rPr>
        <w:t xml:space="preserve">CPS 510 </w:t>
      </w:r>
      <w:r w:rsidR="00553F0E">
        <w:rPr>
          <w:rFonts w:ascii="Times New Roman" w:hAnsi="Times New Roman"/>
          <w:sz w:val="24"/>
        </w:rPr>
        <w:t xml:space="preserve">recognises the important </w:t>
      </w:r>
      <w:r w:rsidRPr="005112CD">
        <w:rPr>
          <w:rFonts w:ascii="Times New Roman" w:hAnsi="Times New Roman"/>
          <w:sz w:val="24"/>
        </w:rPr>
        <w:t xml:space="preserve">role </w:t>
      </w:r>
      <w:r w:rsidR="00553F0E">
        <w:rPr>
          <w:rFonts w:ascii="Times New Roman" w:hAnsi="Times New Roman"/>
          <w:sz w:val="24"/>
        </w:rPr>
        <w:t xml:space="preserve">that </w:t>
      </w:r>
      <w:r w:rsidRPr="005112CD">
        <w:rPr>
          <w:rFonts w:ascii="Times New Roman" w:hAnsi="Times New Roman"/>
          <w:sz w:val="24"/>
        </w:rPr>
        <w:t xml:space="preserve">senior managers play </w:t>
      </w:r>
      <w:r w:rsidR="00E231E0">
        <w:rPr>
          <w:rFonts w:ascii="Times New Roman" w:hAnsi="Times New Roman"/>
          <w:sz w:val="24"/>
        </w:rPr>
        <w:t xml:space="preserve">in </w:t>
      </w:r>
      <w:r w:rsidR="002D107F">
        <w:rPr>
          <w:rFonts w:ascii="Times New Roman" w:hAnsi="Times New Roman"/>
          <w:sz w:val="24"/>
        </w:rPr>
        <w:t xml:space="preserve">the </w:t>
      </w:r>
      <w:r w:rsidR="00E231E0">
        <w:rPr>
          <w:rFonts w:ascii="Times New Roman" w:hAnsi="Times New Roman"/>
          <w:sz w:val="24"/>
        </w:rPr>
        <w:t xml:space="preserve">governance of an institution </w:t>
      </w:r>
      <w:r w:rsidR="0008018D">
        <w:rPr>
          <w:rFonts w:ascii="Times New Roman" w:hAnsi="Times New Roman"/>
          <w:sz w:val="24"/>
        </w:rPr>
        <w:t xml:space="preserve">and </w:t>
      </w:r>
      <w:r w:rsidR="0008018D" w:rsidRPr="005112CD">
        <w:rPr>
          <w:rFonts w:ascii="Times New Roman" w:hAnsi="Times New Roman"/>
          <w:sz w:val="24"/>
        </w:rPr>
        <w:t>requires</w:t>
      </w:r>
      <w:r w:rsidRPr="005112CD">
        <w:rPr>
          <w:rFonts w:ascii="Times New Roman" w:hAnsi="Times New Roman"/>
          <w:sz w:val="24"/>
        </w:rPr>
        <w:t xml:space="preserve"> the Board to be satisfied that the skills of senior managers are appropriate to the positions they hold. It also requires directors to constructively challenge senior management proposals and decisions on all aspects of risk management arising from the institution’s activities</w:t>
      </w:r>
      <w:r>
        <w:rPr>
          <w:rFonts w:ascii="Times New Roman" w:hAnsi="Times New Roman"/>
          <w:sz w:val="24"/>
        </w:rPr>
        <w:t>.</w:t>
      </w:r>
    </w:p>
    <w:p w14:paraId="22209BC6" w14:textId="6D7E37C6" w:rsidR="00980112" w:rsidRDefault="00666D92" w:rsidP="00CA1857">
      <w:pPr>
        <w:keepNext/>
        <w:spacing w:line="276" w:lineRule="auto"/>
        <w:jc w:val="left"/>
        <w:rPr>
          <w:rFonts w:ascii="Times New Roman" w:hAnsi="Times New Roman"/>
          <w:b/>
          <w:sz w:val="24"/>
        </w:rPr>
      </w:pPr>
      <w:r w:rsidRPr="00666D92">
        <w:rPr>
          <w:rFonts w:ascii="Times New Roman" w:hAnsi="Times New Roman"/>
          <w:b/>
          <w:sz w:val="24"/>
        </w:rPr>
        <w:lastRenderedPageBreak/>
        <w:t>Independence and Board composition</w:t>
      </w:r>
    </w:p>
    <w:p w14:paraId="518BC535" w14:textId="70E46A0E" w:rsidR="00666D92" w:rsidRDefault="00666D92" w:rsidP="002D107F">
      <w:pPr>
        <w:shd w:val="clear" w:color="auto" w:fill="FFFFFF"/>
        <w:spacing w:before="100" w:beforeAutospacing="1" w:after="100" w:afterAutospacing="1"/>
        <w:jc w:val="left"/>
        <w:rPr>
          <w:rFonts w:ascii="Times New Roman" w:hAnsi="Times New Roman"/>
          <w:sz w:val="24"/>
        </w:rPr>
      </w:pPr>
      <w:r w:rsidRPr="00666D92">
        <w:rPr>
          <w:rFonts w:ascii="Times New Roman" w:hAnsi="Times New Roman"/>
          <w:sz w:val="24"/>
        </w:rPr>
        <w:t xml:space="preserve">CPS 510 </w:t>
      </w:r>
      <w:r w:rsidR="00B53060">
        <w:rPr>
          <w:rFonts w:ascii="Times New Roman" w:hAnsi="Times New Roman"/>
          <w:sz w:val="24"/>
        </w:rPr>
        <w:t>broadens</w:t>
      </w:r>
      <w:r w:rsidRPr="00666D92">
        <w:rPr>
          <w:rFonts w:ascii="Times New Roman" w:hAnsi="Times New Roman"/>
          <w:sz w:val="24"/>
        </w:rPr>
        <w:t xml:space="preserve"> </w:t>
      </w:r>
      <w:r w:rsidR="00553F0E">
        <w:rPr>
          <w:rFonts w:ascii="Times New Roman" w:hAnsi="Times New Roman"/>
          <w:sz w:val="24"/>
        </w:rPr>
        <w:t xml:space="preserve">independence </w:t>
      </w:r>
      <w:r w:rsidR="00553F0E" w:rsidRPr="00666D92">
        <w:rPr>
          <w:rFonts w:ascii="Times New Roman" w:hAnsi="Times New Roman"/>
          <w:sz w:val="24"/>
        </w:rPr>
        <w:t xml:space="preserve">requirements </w:t>
      </w:r>
      <w:r w:rsidR="00B53060">
        <w:rPr>
          <w:rFonts w:ascii="Times New Roman" w:hAnsi="Times New Roman"/>
          <w:sz w:val="24"/>
        </w:rPr>
        <w:t>for PHI Board members.</w:t>
      </w:r>
      <w:r w:rsidRPr="00666D92">
        <w:rPr>
          <w:rFonts w:ascii="Times New Roman" w:hAnsi="Times New Roman"/>
          <w:sz w:val="24"/>
        </w:rPr>
        <w:t xml:space="preserve"> For example, </w:t>
      </w:r>
      <w:r w:rsidR="00E231E0">
        <w:rPr>
          <w:rFonts w:ascii="Times New Roman" w:hAnsi="Times New Roman"/>
          <w:sz w:val="24"/>
        </w:rPr>
        <w:t>it</w:t>
      </w:r>
      <w:r w:rsidR="00E231E0" w:rsidRPr="00666D92">
        <w:rPr>
          <w:rFonts w:ascii="Times New Roman" w:hAnsi="Times New Roman"/>
          <w:sz w:val="24"/>
        </w:rPr>
        <w:t xml:space="preserve"> </w:t>
      </w:r>
      <w:r w:rsidRPr="00666D92">
        <w:rPr>
          <w:rFonts w:ascii="Times New Roman" w:hAnsi="Times New Roman"/>
          <w:sz w:val="24"/>
        </w:rPr>
        <w:t>enable</w:t>
      </w:r>
      <w:r w:rsidR="00E231E0">
        <w:rPr>
          <w:rFonts w:ascii="Times New Roman" w:hAnsi="Times New Roman"/>
          <w:sz w:val="24"/>
        </w:rPr>
        <w:t>s</w:t>
      </w:r>
      <w:r w:rsidRPr="00666D92">
        <w:rPr>
          <w:rFonts w:ascii="Times New Roman" w:hAnsi="Times New Roman"/>
          <w:sz w:val="24"/>
        </w:rPr>
        <w:t xml:space="preserve"> independent directors on the Board of a parent company, or another subsidiary in a group, to sit as independent directors on other subsidiary Boards. The standard also enables senior managers of the parent company, or other subsidiaries to sit as non-executive directors on other subsidiary Boards</w:t>
      </w:r>
      <w:r w:rsidR="005112CD">
        <w:rPr>
          <w:rFonts w:ascii="Times New Roman" w:hAnsi="Times New Roman"/>
          <w:sz w:val="24"/>
        </w:rPr>
        <w:t>.</w:t>
      </w:r>
    </w:p>
    <w:p w14:paraId="23A8342C" w14:textId="708DFBD8" w:rsidR="005112CD" w:rsidRPr="00666D92" w:rsidRDefault="005112CD" w:rsidP="002D107F">
      <w:pPr>
        <w:shd w:val="clear" w:color="auto" w:fill="FFFFFF"/>
        <w:spacing w:before="100" w:beforeAutospacing="1" w:after="100" w:afterAutospacing="1"/>
        <w:jc w:val="left"/>
        <w:rPr>
          <w:rFonts w:ascii="Times New Roman" w:hAnsi="Times New Roman"/>
          <w:sz w:val="24"/>
        </w:rPr>
      </w:pPr>
      <w:r w:rsidRPr="005112CD">
        <w:rPr>
          <w:rFonts w:ascii="Times New Roman" w:hAnsi="Times New Roman"/>
          <w:sz w:val="24"/>
        </w:rPr>
        <w:t xml:space="preserve">CPS 510 may require a larger number of independent directors, </w:t>
      </w:r>
      <w:r w:rsidR="00B53060">
        <w:rPr>
          <w:rFonts w:ascii="Times New Roman" w:hAnsi="Times New Roman"/>
          <w:sz w:val="24"/>
        </w:rPr>
        <w:t>depending on the size of the Board</w:t>
      </w:r>
      <w:r w:rsidR="00E231E0">
        <w:rPr>
          <w:rFonts w:ascii="Times New Roman" w:hAnsi="Times New Roman"/>
          <w:sz w:val="24"/>
        </w:rPr>
        <w:t>,</w:t>
      </w:r>
      <w:r w:rsidR="00B53060">
        <w:rPr>
          <w:rFonts w:ascii="Times New Roman" w:hAnsi="Times New Roman"/>
          <w:sz w:val="24"/>
        </w:rPr>
        <w:t xml:space="preserve"> </w:t>
      </w:r>
      <w:r w:rsidRPr="005112CD">
        <w:rPr>
          <w:rFonts w:ascii="Times New Roman" w:hAnsi="Times New Roman"/>
          <w:sz w:val="24"/>
        </w:rPr>
        <w:t>as it requires all locally incorporated regulated institutions to have a majority of independent directors at all times.</w:t>
      </w:r>
    </w:p>
    <w:p w14:paraId="5D4495B0" w14:textId="59DB05D2" w:rsidR="005112CD" w:rsidRPr="00112EE3" w:rsidRDefault="005112CD" w:rsidP="003D52D0">
      <w:pPr>
        <w:shd w:val="clear" w:color="auto" w:fill="FFFFFF"/>
        <w:spacing w:before="100" w:beforeAutospacing="1" w:after="100" w:afterAutospacing="1"/>
        <w:jc w:val="left"/>
        <w:rPr>
          <w:rFonts w:ascii="Times New Roman" w:hAnsi="Times New Roman"/>
          <w:b/>
          <w:sz w:val="24"/>
        </w:rPr>
      </w:pPr>
      <w:r w:rsidRPr="00112EE3">
        <w:rPr>
          <w:rFonts w:ascii="Times New Roman" w:hAnsi="Times New Roman"/>
          <w:b/>
          <w:sz w:val="24"/>
        </w:rPr>
        <w:t>Board committees</w:t>
      </w:r>
    </w:p>
    <w:p w14:paraId="5BDAD635" w14:textId="4C0AF1CC" w:rsidR="00BE6379" w:rsidRPr="00DD702D" w:rsidRDefault="005112CD" w:rsidP="00BE6379">
      <w:pPr>
        <w:pStyle w:val="APRANORMAL"/>
        <w:rPr>
          <w:rFonts w:ascii="Times New Roman" w:hAnsi="Times New Roman"/>
          <w:sz w:val="24"/>
        </w:rPr>
      </w:pPr>
      <w:r w:rsidRPr="00DD702D">
        <w:rPr>
          <w:rFonts w:ascii="Times New Roman" w:hAnsi="Times New Roman"/>
          <w:sz w:val="24"/>
          <w:szCs w:val="24"/>
          <w:lang w:val="en-AU" w:eastAsia="en-AU"/>
        </w:rPr>
        <w:t>Reflecting APRA’s experience in supervising financial institutions as well as international stand</w:t>
      </w:r>
      <w:r w:rsidR="00F976D4">
        <w:rPr>
          <w:rFonts w:ascii="Times New Roman" w:hAnsi="Times New Roman"/>
          <w:sz w:val="24"/>
          <w:szCs w:val="24"/>
          <w:lang w:val="en-AU" w:eastAsia="en-AU"/>
        </w:rPr>
        <w:t>ards and best practice, CPS 510</w:t>
      </w:r>
      <w:r w:rsidR="00B53060">
        <w:rPr>
          <w:rFonts w:ascii="Times New Roman" w:hAnsi="Times New Roman"/>
          <w:sz w:val="24"/>
          <w:szCs w:val="24"/>
          <w:lang w:val="en-AU" w:eastAsia="en-AU"/>
        </w:rPr>
        <w:t xml:space="preserve"> </w:t>
      </w:r>
      <w:r w:rsidRPr="00DD702D">
        <w:rPr>
          <w:rFonts w:ascii="Times New Roman" w:hAnsi="Times New Roman"/>
          <w:sz w:val="24"/>
          <w:szCs w:val="24"/>
          <w:lang w:val="en-AU" w:eastAsia="en-AU"/>
        </w:rPr>
        <w:t>mandates</w:t>
      </w:r>
      <w:r w:rsidR="00B53060">
        <w:rPr>
          <w:rFonts w:ascii="Times New Roman" w:hAnsi="Times New Roman"/>
          <w:sz w:val="24"/>
          <w:szCs w:val="24"/>
          <w:lang w:val="en-AU" w:eastAsia="en-AU"/>
        </w:rPr>
        <w:t xml:space="preserve"> a Board Risk Committee separate from the Board Audit Committee</w:t>
      </w:r>
      <w:r w:rsidR="009B2478">
        <w:rPr>
          <w:rFonts w:ascii="Times New Roman" w:hAnsi="Times New Roman"/>
          <w:sz w:val="24"/>
          <w:szCs w:val="24"/>
          <w:lang w:val="en-AU" w:eastAsia="en-AU"/>
        </w:rPr>
        <w:t>,</w:t>
      </w:r>
      <w:r w:rsidR="00BE6379">
        <w:rPr>
          <w:rFonts w:ascii="Times New Roman" w:hAnsi="Times New Roman"/>
          <w:sz w:val="24"/>
          <w:szCs w:val="24"/>
          <w:lang w:val="en-AU" w:eastAsia="en-AU"/>
        </w:rPr>
        <w:t xml:space="preserve"> along with a Board Remuneration Committee.</w:t>
      </w:r>
    </w:p>
    <w:p w14:paraId="4CBBAFAA" w14:textId="3614B358" w:rsidR="00DD702D" w:rsidRPr="00DD702D" w:rsidRDefault="00DD702D" w:rsidP="00DD702D">
      <w:pPr>
        <w:jc w:val="left"/>
        <w:rPr>
          <w:rFonts w:ascii="Times New Roman" w:hAnsi="Times New Roman"/>
          <w:sz w:val="24"/>
        </w:rPr>
      </w:pPr>
      <w:r w:rsidRPr="00DD702D">
        <w:rPr>
          <w:rFonts w:ascii="Times New Roman" w:hAnsi="Times New Roman"/>
          <w:b/>
          <w:sz w:val="24"/>
        </w:rPr>
        <w:t>Board performance, assessment and renewal</w:t>
      </w:r>
    </w:p>
    <w:p w14:paraId="2B2F63EB" w14:textId="7996077E" w:rsidR="00DD702D" w:rsidRDefault="00DD702D" w:rsidP="00DD702D">
      <w:pPr>
        <w:shd w:val="clear" w:color="auto" w:fill="FFFFFF"/>
        <w:spacing w:before="100" w:beforeAutospacing="1" w:after="100" w:afterAutospacing="1"/>
        <w:jc w:val="left"/>
        <w:rPr>
          <w:rFonts w:ascii="Times New Roman" w:hAnsi="Times New Roman"/>
          <w:sz w:val="24"/>
        </w:rPr>
      </w:pPr>
      <w:r w:rsidRPr="00DD702D">
        <w:rPr>
          <w:rFonts w:ascii="Times New Roman" w:hAnsi="Times New Roman"/>
          <w:sz w:val="24"/>
        </w:rPr>
        <w:t>CPS 510 contains performance assessment and renewal provisions that require regulated institutions to establish processes for assessing, appointing, re-appointing and removing directors.</w:t>
      </w:r>
    </w:p>
    <w:p w14:paraId="02A75DB3" w14:textId="460ECC05" w:rsidR="00DD702D" w:rsidRPr="00DD702D" w:rsidRDefault="00DD702D" w:rsidP="00DD702D">
      <w:pPr>
        <w:shd w:val="clear" w:color="auto" w:fill="FFFFFF"/>
        <w:spacing w:before="100" w:beforeAutospacing="1" w:after="100" w:afterAutospacing="1"/>
        <w:jc w:val="left"/>
        <w:rPr>
          <w:rFonts w:ascii="Times New Roman" w:hAnsi="Times New Roman"/>
          <w:b/>
          <w:sz w:val="24"/>
        </w:rPr>
      </w:pPr>
      <w:r w:rsidRPr="00DD702D">
        <w:rPr>
          <w:rFonts w:ascii="Times New Roman" w:hAnsi="Times New Roman"/>
          <w:b/>
          <w:sz w:val="24"/>
        </w:rPr>
        <w:t>Remuneration policy</w:t>
      </w:r>
    </w:p>
    <w:p w14:paraId="69C2496F" w14:textId="77777777" w:rsidR="00DD702D" w:rsidRPr="00DD702D" w:rsidRDefault="00DD702D" w:rsidP="00DD702D">
      <w:pPr>
        <w:shd w:val="clear" w:color="auto" w:fill="FFFFFF"/>
        <w:spacing w:before="100" w:beforeAutospacing="1" w:after="100" w:afterAutospacing="1"/>
        <w:jc w:val="left"/>
        <w:rPr>
          <w:rFonts w:ascii="Times New Roman" w:hAnsi="Times New Roman"/>
          <w:sz w:val="24"/>
        </w:rPr>
      </w:pPr>
      <w:r w:rsidRPr="00DD702D">
        <w:rPr>
          <w:rFonts w:ascii="Times New Roman" w:hAnsi="Times New Roman"/>
          <w:sz w:val="24"/>
        </w:rPr>
        <w:t xml:space="preserve">CPS 510 requires regulated institutions to establish a written remuneration policy to align remuneration outcomes with prudent risk-taking. APRA does not have a view on the level of executive remuneration. The remuneration requirements in the standard are principles-based and focussed on promoting effective governance, ensuring executive directors are not placed in a position of actual or perceived conflict of interest, and managing risk incentives associated with remuneration. </w:t>
      </w:r>
    </w:p>
    <w:p w14:paraId="639BF3B1" w14:textId="5D880403" w:rsidR="00DD702D" w:rsidRPr="00DD702D" w:rsidRDefault="00DD702D" w:rsidP="00DD702D">
      <w:pPr>
        <w:shd w:val="clear" w:color="auto" w:fill="FFFFFF"/>
        <w:spacing w:before="100" w:beforeAutospacing="1" w:after="100" w:afterAutospacing="1"/>
        <w:jc w:val="left"/>
        <w:rPr>
          <w:rFonts w:ascii="Times New Roman" w:hAnsi="Times New Roman"/>
          <w:sz w:val="24"/>
        </w:rPr>
      </w:pPr>
      <w:r w:rsidRPr="00DD702D">
        <w:rPr>
          <w:rFonts w:ascii="Times New Roman" w:hAnsi="Times New Roman"/>
          <w:sz w:val="24"/>
        </w:rPr>
        <w:t>The remuneration requirements of CPS 510 and the guidance contained in Prudential Practice Guide PPG 511 Remuneration will assist private health insurers to put in place procedures, controls and performance measures, and to ensure prudent remuneration decisions, particularly in adverse circumstances.</w:t>
      </w:r>
    </w:p>
    <w:p w14:paraId="4AA434E7" w14:textId="46F837F8" w:rsidR="00CC6C9E" w:rsidRPr="00C927B4" w:rsidRDefault="00CC6C9E" w:rsidP="00CC6C9E">
      <w:pPr>
        <w:shd w:val="clear" w:color="auto" w:fill="FFFFFF"/>
        <w:spacing w:before="100" w:beforeAutospacing="1" w:after="100" w:afterAutospacing="1"/>
        <w:jc w:val="left"/>
        <w:rPr>
          <w:rFonts w:ascii="Times New Roman" w:hAnsi="Times New Roman"/>
          <w:b/>
          <w:sz w:val="24"/>
        </w:rPr>
      </w:pPr>
      <w:r w:rsidRPr="00C927B4">
        <w:rPr>
          <w:rFonts w:ascii="Times New Roman" w:hAnsi="Times New Roman"/>
          <w:b/>
          <w:sz w:val="24"/>
        </w:rPr>
        <w:t>Internal audit</w:t>
      </w:r>
    </w:p>
    <w:p w14:paraId="0DCAC230" w14:textId="0FB0C20E" w:rsidR="006624CF" w:rsidRDefault="00CC6C9E" w:rsidP="00CC6C9E">
      <w:pPr>
        <w:shd w:val="clear" w:color="auto" w:fill="FFFFFF"/>
        <w:spacing w:before="100" w:beforeAutospacing="1" w:after="100" w:afterAutospacing="1"/>
        <w:jc w:val="left"/>
        <w:rPr>
          <w:rFonts w:ascii="Times New Roman" w:hAnsi="Times New Roman"/>
          <w:sz w:val="24"/>
        </w:rPr>
      </w:pPr>
      <w:r w:rsidRPr="00CC6C9E">
        <w:rPr>
          <w:rFonts w:ascii="Times New Roman" w:hAnsi="Times New Roman"/>
          <w:sz w:val="24"/>
        </w:rPr>
        <w:t xml:space="preserve">CPS 510 </w:t>
      </w:r>
      <w:r w:rsidR="00280317">
        <w:rPr>
          <w:rFonts w:ascii="Times New Roman" w:hAnsi="Times New Roman"/>
          <w:sz w:val="24"/>
        </w:rPr>
        <w:t xml:space="preserve">expands the internal audit functions to include an evaluation of the </w:t>
      </w:r>
      <w:r w:rsidR="00280317" w:rsidRPr="00280317">
        <w:rPr>
          <w:rFonts w:ascii="Times New Roman" w:hAnsi="Times New Roman"/>
          <w:sz w:val="24"/>
        </w:rPr>
        <w:t>adequacy and effectiveness of the financial and risk management framework of the institution</w:t>
      </w:r>
      <w:r w:rsidR="00280317">
        <w:rPr>
          <w:rFonts w:ascii="Times New Roman" w:hAnsi="Times New Roman"/>
          <w:sz w:val="24"/>
        </w:rPr>
        <w:t xml:space="preserve"> pre</w:t>
      </w:r>
      <w:r w:rsidR="006624CF">
        <w:rPr>
          <w:rFonts w:ascii="Times New Roman" w:hAnsi="Times New Roman"/>
          <w:sz w:val="24"/>
        </w:rPr>
        <w:t>s</w:t>
      </w:r>
      <w:r w:rsidR="00280317">
        <w:rPr>
          <w:rFonts w:ascii="Times New Roman" w:hAnsi="Times New Roman"/>
          <w:sz w:val="24"/>
        </w:rPr>
        <w:t>c</w:t>
      </w:r>
      <w:r w:rsidR="006624CF">
        <w:rPr>
          <w:rFonts w:ascii="Times New Roman" w:hAnsi="Times New Roman"/>
          <w:sz w:val="24"/>
        </w:rPr>
        <w:t>r</w:t>
      </w:r>
      <w:r w:rsidR="00280317">
        <w:rPr>
          <w:rFonts w:ascii="Times New Roman" w:hAnsi="Times New Roman"/>
          <w:sz w:val="24"/>
        </w:rPr>
        <w:t xml:space="preserve">ibed by </w:t>
      </w:r>
      <w:r w:rsidR="006624CF" w:rsidRPr="006624CF">
        <w:rPr>
          <w:rFonts w:ascii="Times New Roman" w:hAnsi="Times New Roman"/>
          <w:i/>
          <w:sz w:val="24"/>
        </w:rPr>
        <w:t>Prudential Standard CPS 220 Risk Management</w:t>
      </w:r>
      <w:r w:rsidR="006624CF" w:rsidRPr="006624CF">
        <w:rPr>
          <w:rFonts w:ascii="Times New Roman" w:hAnsi="Times New Roman"/>
          <w:sz w:val="24"/>
        </w:rPr>
        <w:t xml:space="preserve"> (CPS 220)</w:t>
      </w:r>
      <w:r w:rsidR="00280317" w:rsidRPr="00280317">
        <w:rPr>
          <w:rFonts w:ascii="Times New Roman" w:hAnsi="Times New Roman"/>
          <w:sz w:val="24"/>
        </w:rPr>
        <w:t xml:space="preserve">.  </w:t>
      </w:r>
    </w:p>
    <w:p w14:paraId="27831622" w14:textId="77777777" w:rsidR="006624CF" w:rsidRDefault="00280317" w:rsidP="00CC6C9E">
      <w:pPr>
        <w:shd w:val="clear" w:color="auto" w:fill="FFFFFF"/>
        <w:spacing w:before="100" w:beforeAutospacing="1" w:after="100" w:afterAutospacing="1"/>
        <w:jc w:val="left"/>
        <w:rPr>
          <w:rFonts w:ascii="Times New Roman" w:hAnsi="Times New Roman"/>
          <w:sz w:val="24"/>
        </w:rPr>
      </w:pPr>
      <w:r w:rsidRPr="00280317">
        <w:rPr>
          <w:rFonts w:ascii="Times New Roman" w:hAnsi="Times New Roman"/>
          <w:sz w:val="24"/>
        </w:rPr>
        <w:t>To fulfil its functions, the internal auditor must, at all times, have unfettered access to the institution’s business lines and support functions</w:t>
      </w:r>
      <w:r w:rsidR="006624CF">
        <w:rPr>
          <w:rFonts w:ascii="Times New Roman" w:hAnsi="Times New Roman"/>
          <w:sz w:val="24"/>
        </w:rPr>
        <w:t>.</w:t>
      </w:r>
    </w:p>
    <w:p w14:paraId="278B5CDA" w14:textId="3B87F7F7" w:rsidR="00CC6C9E" w:rsidRPr="00C927B4" w:rsidRDefault="00CC6C9E" w:rsidP="00CA1857">
      <w:pPr>
        <w:keepNext/>
        <w:shd w:val="clear" w:color="auto" w:fill="FFFFFF"/>
        <w:spacing w:before="100" w:beforeAutospacing="1" w:after="100" w:afterAutospacing="1"/>
        <w:jc w:val="left"/>
        <w:rPr>
          <w:rFonts w:ascii="Times New Roman" w:hAnsi="Times New Roman"/>
          <w:b/>
          <w:sz w:val="24"/>
        </w:rPr>
      </w:pPr>
      <w:r w:rsidRPr="00C927B4">
        <w:rPr>
          <w:rFonts w:ascii="Times New Roman" w:hAnsi="Times New Roman"/>
          <w:b/>
          <w:sz w:val="24"/>
        </w:rPr>
        <w:lastRenderedPageBreak/>
        <w:t xml:space="preserve">Communications with APRA </w:t>
      </w:r>
    </w:p>
    <w:p w14:paraId="4A2F172E" w14:textId="77777777" w:rsidR="00CC6C9E" w:rsidRPr="00CC6C9E" w:rsidRDefault="00CC6C9E" w:rsidP="00CC6C9E">
      <w:pPr>
        <w:shd w:val="clear" w:color="auto" w:fill="FFFFFF"/>
        <w:spacing w:before="100" w:beforeAutospacing="1" w:after="100" w:afterAutospacing="1"/>
        <w:jc w:val="left"/>
        <w:rPr>
          <w:rFonts w:ascii="Times New Roman" w:hAnsi="Times New Roman"/>
          <w:sz w:val="24"/>
        </w:rPr>
      </w:pPr>
      <w:r w:rsidRPr="00CC6C9E">
        <w:rPr>
          <w:rFonts w:ascii="Times New Roman" w:hAnsi="Times New Roman"/>
          <w:sz w:val="24"/>
        </w:rPr>
        <w:t xml:space="preserve">With a view to ensuring regulated institutions do not attempt to prevent the provision of relevant prudential information to APRA, CPS 510 requires corporate policies to not constrain employees or contractors from discussing issues with APRA of relevance to the prudential supervision of the institution, or from providing documents under their control to APRA. </w:t>
      </w:r>
    </w:p>
    <w:p w14:paraId="6568B239" w14:textId="029FE5EA" w:rsidR="005112CD" w:rsidRDefault="00CC6C9E" w:rsidP="003D52D0">
      <w:pPr>
        <w:shd w:val="clear" w:color="auto" w:fill="FFFFFF"/>
        <w:spacing w:before="100" w:beforeAutospacing="1" w:after="100" w:afterAutospacing="1"/>
        <w:jc w:val="left"/>
        <w:rPr>
          <w:rFonts w:ascii="Times New Roman" w:hAnsi="Times New Roman"/>
          <w:sz w:val="24"/>
        </w:rPr>
      </w:pPr>
      <w:r w:rsidRPr="00CC6C9E">
        <w:rPr>
          <w:rFonts w:ascii="Times New Roman" w:hAnsi="Times New Roman"/>
          <w:sz w:val="24"/>
        </w:rPr>
        <w:t>The standard also requires directors and senior managers to be available to meet with APRA on request. Such meetings provide the regulated institution with an opportunity to raise matters directly with APRA and to hear APRA’s views on emerging issues.</w:t>
      </w:r>
    </w:p>
    <w:p w14:paraId="6D939D85" w14:textId="5EC3B0A7" w:rsidR="00BE6379" w:rsidRPr="00BE6379" w:rsidRDefault="002D107F" w:rsidP="00C927B4">
      <w:pPr>
        <w:shd w:val="clear" w:color="auto" w:fill="FFFFFF"/>
        <w:spacing w:before="100" w:beforeAutospacing="1" w:after="100" w:afterAutospacing="1"/>
        <w:jc w:val="left"/>
        <w:rPr>
          <w:rFonts w:ascii="Times New Roman" w:hAnsi="Times New Roman"/>
          <w:b/>
          <w:sz w:val="24"/>
        </w:rPr>
      </w:pPr>
      <w:r>
        <w:rPr>
          <w:rFonts w:ascii="Times New Roman" w:hAnsi="Times New Roman"/>
          <w:b/>
          <w:sz w:val="24"/>
        </w:rPr>
        <w:t>Relevance to other APRA-</w:t>
      </w:r>
      <w:r w:rsidR="00BE6379" w:rsidRPr="00BE6379">
        <w:rPr>
          <w:rFonts w:ascii="Times New Roman" w:hAnsi="Times New Roman"/>
          <w:b/>
          <w:sz w:val="24"/>
        </w:rPr>
        <w:t>regulated industries</w:t>
      </w:r>
    </w:p>
    <w:p w14:paraId="61916280" w14:textId="530EF62B" w:rsidR="00FC263F" w:rsidRDefault="003D52D0" w:rsidP="00C927B4">
      <w:pPr>
        <w:shd w:val="clear" w:color="auto" w:fill="FFFFFF"/>
        <w:spacing w:before="100" w:beforeAutospacing="1" w:after="100" w:afterAutospacing="1"/>
        <w:jc w:val="left"/>
        <w:rPr>
          <w:rFonts w:ascii="Times New Roman" w:hAnsi="Times New Roman"/>
          <w:sz w:val="24"/>
        </w:rPr>
      </w:pPr>
      <w:r w:rsidRPr="009057C8">
        <w:rPr>
          <w:rFonts w:ascii="Times New Roman" w:hAnsi="Times New Roman"/>
          <w:sz w:val="24"/>
        </w:rPr>
        <w:t>The instrument mak</w:t>
      </w:r>
      <w:r w:rsidR="007700B6">
        <w:rPr>
          <w:rFonts w:ascii="Times New Roman" w:hAnsi="Times New Roman"/>
          <w:sz w:val="24"/>
        </w:rPr>
        <w:t>es no material changes to CPS 51</w:t>
      </w:r>
      <w:r w:rsidRPr="009057C8">
        <w:rPr>
          <w:rFonts w:ascii="Times New Roman" w:hAnsi="Times New Roman"/>
          <w:sz w:val="24"/>
        </w:rPr>
        <w:t>0 for general ins</w:t>
      </w:r>
      <w:r w:rsidR="00C927B4">
        <w:rPr>
          <w:rFonts w:ascii="Times New Roman" w:hAnsi="Times New Roman"/>
          <w:sz w:val="24"/>
        </w:rPr>
        <w:t>urers, life companies and ADIs</w:t>
      </w:r>
      <w:r w:rsidR="007700B6">
        <w:rPr>
          <w:rFonts w:ascii="Times New Roman" w:hAnsi="Times New Roman"/>
          <w:sz w:val="24"/>
        </w:rPr>
        <w:t>.</w:t>
      </w:r>
    </w:p>
    <w:p w14:paraId="7E1896AA" w14:textId="38F651C0" w:rsidR="00D72CF3" w:rsidRPr="009057C8" w:rsidRDefault="00FC263F" w:rsidP="00D72CF3">
      <w:pPr>
        <w:keepNext/>
        <w:shd w:val="clear" w:color="auto" w:fill="FFFFFF"/>
        <w:spacing w:before="100" w:beforeAutospacing="1" w:after="100" w:afterAutospacing="1"/>
        <w:jc w:val="left"/>
        <w:rPr>
          <w:rFonts w:ascii="Times New Roman" w:hAnsi="Times New Roman"/>
          <w:sz w:val="24"/>
        </w:rPr>
      </w:pPr>
      <w:r w:rsidRPr="009057C8">
        <w:rPr>
          <w:rFonts w:ascii="Times New Roman" w:hAnsi="Times New Roman"/>
          <w:iCs/>
          <w:sz w:val="24"/>
        </w:rPr>
        <w:t xml:space="preserve">In </w:t>
      </w:r>
      <w:r w:rsidR="00C927B4">
        <w:rPr>
          <w:rFonts w:ascii="Times New Roman" w:hAnsi="Times New Roman"/>
          <w:iCs/>
          <w:sz w:val="24"/>
        </w:rPr>
        <w:t>CPS 510</w:t>
      </w:r>
      <w:r w:rsidRPr="009057C8">
        <w:rPr>
          <w:rFonts w:ascii="Times New Roman" w:hAnsi="Times New Roman"/>
          <w:iCs/>
          <w:sz w:val="24"/>
        </w:rPr>
        <w:t>, unless the contrary intention appears, a refer</w:t>
      </w:r>
      <w:r w:rsidR="00396396">
        <w:rPr>
          <w:rFonts w:ascii="Times New Roman" w:hAnsi="Times New Roman"/>
          <w:iCs/>
          <w:sz w:val="24"/>
        </w:rPr>
        <w:t xml:space="preserve">ence to an Act, Regulations or </w:t>
      </w:r>
      <w:proofErr w:type="gramStart"/>
      <w:r w:rsidR="00396396">
        <w:rPr>
          <w:rFonts w:ascii="Times New Roman" w:hAnsi="Times New Roman"/>
          <w:iCs/>
          <w:sz w:val="24"/>
        </w:rPr>
        <w:t>prudential</w:t>
      </w:r>
      <w:proofErr w:type="gramEnd"/>
      <w:r w:rsidR="00396396">
        <w:rPr>
          <w:rFonts w:ascii="Times New Roman" w:hAnsi="Times New Roman"/>
          <w:iCs/>
          <w:sz w:val="24"/>
        </w:rPr>
        <w:t xml:space="preserve"> s</w:t>
      </w:r>
      <w:r w:rsidRPr="009057C8">
        <w:rPr>
          <w:rFonts w:ascii="Times New Roman" w:hAnsi="Times New Roman"/>
          <w:iCs/>
          <w:sz w:val="24"/>
        </w:rPr>
        <w:t>tandard is a reference to the Act, Regulations or Prudential Standard as in force from time to time</w:t>
      </w:r>
      <w:r>
        <w:rPr>
          <w:rFonts w:ascii="Times New Roman" w:hAnsi="Times New Roman"/>
          <w:iCs/>
          <w:sz w:val="24"/>
        </w:rPr>
        <w:t>.</w:t>
      </w:r>
    </w:p>
    <w:p w14:paraId="3F6BFE77" w14:textId="10299F7F" w:rsidR="00A37E1D" w:rsidRPr="009057C8" w:rsidRDefault="00A37E1D" w:rsidP="009254CE">
      <w:pPr>
        <w:pStyle w:val="ListParagraph"/>
        <w:keepNext/>
        <w:numPr>
          <w:ilvl w:val="0"/>
          <w:numId w:val="17"/>
        </w:numPr>
        <w:shd w:val="clear" w:color="auto" w:fill="FFFFFF" w:themeFill="background1"/>
        <w:spacing w:before="100" w:beforeAutospacing="1"/>
        <w:jc w:val="left"/>
        <w:rPr>
          <w:rFonts w:ascii="Times New Roman" w:hAnsi="Times New Roman"/>
          <w:b/>
          <w:sz w:val="24"/>
        </w:rPr>
      </w:pPr>
      <w:bookmarkStart w:id="7" w:name="bkoperation"/>
      <w:bookmarkStart w:id="8" w:name="bkConsultationNo"/>
      <w:bookmarkEnd w:id="7"/>
      <w:bookmarkEnd w:id="8"/>
      <w:r w:rsidRPr="009057C8">
        <w:rPr>
          <w:rFonts w:ascii="Times New Roman" w:hAnsi="Times New Roman"/>
          <w:b/>
          <w:sz w:val="24"/>
        </w:rPr>
        <w:t>Consultation</w:t>
      </w:r>
    </w:p>
    <w:p w14:paraId="338E5CB5" w14:textId="77777777" w:rsidR="001B7845" w:rsidRDefault="00EF46A7" w:rsidP="001B7845">
      <w:pPr>
        <w:keepNext/>
        <w:shd w:val="clear" w:color="auto" w:fill="FFFFFF"/>
        <w:spacing w:before="100" w:beforeAutospacing="1" w:after="100" w:afterAutospacing="1"/>
        <w:jc w:val="left"/>
        <w:rPr>
          <w:rFonts w:ascii="Times New Roman" w:hAnsi="Times New Roman"/>
          <w:sz w:val="24"/>
        </w:rPr>
      </w:pPr>
      <w:r w:rsidRPr="00EF46A7">
        <w:rPr>
          <w:rFonts w:ascii="Times New Roman" w:hAnsi="Times New Roman"/>
          <w:sz w:val="24"/>
        </w:rPr>
        <w:t xml:space="preserve">Since assuming responsibility for the prudential regulation of </w:t>
      </w:r>
      <w:r>
        <w:rPr>
          <w:rFonts w:ascii="Times New Roman" w:hAnsi="Times New Roman"/>
          <w:sz w:val="24"/>
        </w:rPr>
        <w:t xml:space="preserve">private health insurance </w:t>
      </w:r>
      <w:r w:rsidRPr="00EF46A7">
        <w:rPr>
          <w:rFonts w:ascii="Times New Roman" w:hAnsi="Times New Roman"/>
          <w:sz w:val="24"/>
        </w:rPr>
        <w:t>in 2015, APRA has progressively reviewed the prudential framework applying to private health insurers to ensure it remains fit for purpose.</w:t>
      </w:r>
      <w:r>
        <w:rPr>
          <w:rFonts w:ascii="Times New Roman" w:hAnsi="Times New Roman"/>
          <w:sz w:val="24"/>
        </w:rPr>
        <w:t xml:space="preserve"> </w:t>
      </w:r>
      <w:r w:rsidR="001B7845" w:rsidRPr="00B41B96">
        <w:rPr>
          <w:rFonts w:ascii="Times New Roman" w:hAnsi="Times New Roman"/>
          <w:sz w:val="24"/>
        </w:rPr>
        <w:t xml:space="preserve">In August </w:t>
      </w:r>
      <w:r w:rsidR="001B7845">
        <w:rPr>
          <w:rFonts w:ascii="Times New Roman" w:hAnsi="Times New Roman"/>
          <w:sz w:val="24"/>
        </w:rPr>
        <w:t>2016, APRA released a three stage</w:t>
      </w:r>
      <w:r w:rsidR="001B7845" w:rsidRPr="00B41B96">
        <w:rPr>
          <w:rFonts w:ascii="Times New Roman" w:hAnsi="Times New Roman"/>
          <w:sz w:val="24"/>
        </w:rPr>
        <w:t xml:space="preserve"> Prudential Policy </w:t>
      </w:r>
      <w:r w:rsidR="001B7845">
        <w:rPr>
          <w:rFonts w:ascii="Times New Roman" w:hAnsi="Times New Roman"/>
          <w:sz w:val="24"/>
        </w:rPr>
        <w:t>Roadmap</w:t>
      </w:r>
      <w:r w:rsidR="001B7845" w:rsidRPr="00B41B96">
        <w:rPr>
          <w:rFonts w:ascii="Times New Roman" w:hAnsi="Times New Roman"/>
          <w:sz w:val="24"/>
        </w:rPr>
        <w:t xml:space="preserve"> for the private health insurance industry. </w:t>
      </w:r>
      <w:r w:rsidR="001B7845">
        <w:rPr>
          <w:rFonts w:ascii="Times New Roman" w:hAnsi="Times New Roman"/>
          <w:sz w:val="24"/>
        </w:rPr>
        <w:t xml:space="preserve">Stage two of the Roadmap contained a proposal </w:t>
      </w:r>
      <w:r w:rsidR="001B7845" w:rsidRPr="00B41B96">
        <w:rPr>
          <w:rFonts w:ascii="Times New Roman" w:hAnsi="Times New Roman"/>
          <w:sz w:val="24"/>
        </w:rPr>
        <w:t xml:space="preserve">for </w:t>
      </w:r>
      <w:r w:rsidR="001B7845">
        <w:rPr>
          <w:rFonts w:ascii="Times New Roman" w:hAnsi="Times New Roman"/>
          <w:sz w:val="24"/>
        </w:rPr>
        <w:t xml:space="preserve">extending the application of </w:t>
      </w:r>
      <w:r w:rsidR="001B7845" w:rsidRPr="005C43CC">
        <w:rPr>
          <w:rFonts w:ascii="Times New Roman" w:hAnsi="Times New Roman"/>
          <w:sz w:val="24"/>
        </w:rPr>
        <w:t xml:space="preserve">CPS 510 </w:t>
      </w:r>
      <w:r w:rsidR="001B7845">
        <w:rPr>
          <w:rFonts w:ascii="Times New Roman" w:hAnsi="Times New Roman"/>
          <w:sz w:val="24"/>
        </w:rPr>
        <w:t xml:space="preserve">to include private health insurers. </w:t>
      </w:r>
    </w:p>
    <w:p w14:paraId="53746E8F" w14:textId="26B75F08" w:rsidR="0063666A" w:rsidRDefault="0063666A" w:rsidP="0063666A">
      <w:pPr>
        <w:keepNext/>
        <w:shd w:val="clear" w:color="auto" w:fill="FFFFFF"/>
        <w:spacing w:before="100" w:beforeAutospacing="1" w:after="100" w:afterAutospacing="1"/>
        <w:jc w:val="left"/>
        <w:rPr>
          <w:rFonts w:ascii="Times New Roman" w:hAnsi="Times New Roman"/>
          <w:sz w:val="24"/>
        </w:rPr>
      </w:pPr>
      <w:r w:rsidRPr="00B41B96">
        <w:rPr>
          <w:rFonts w:ascii="Times New Roman" w:hAnsi="Times New Roman"/>
          <w:sz w:val="24"/>
        </w:rPr>
        <w:t xml:space="preserve">In February 2018, APRA released for public consultation </w:t>
      </w:r>
      <w:r w:rsidRPr="00C26B60">
        <w:rPr>
          <w:rFonts w:ascii="Times New Roman" w:hAnsi="Times New Roman"/>
          <w:i/>
          <w:sz w:val="24"/>
        </w:rPr>
        <w:t>Discussion Paper: Governance, Fit</w:t>
      </w:r>
      <w:r w:rsidRPr="00C26B60">
        <w:rPr>
          <w:rFonts w:ascii="Times New Roman" w:hAnsi="Times New Roman"/>
          <w:sz w:val="24"/>
        </w:rPr>
        <w:t xml:space="preserve"> </w:t>
      </w:r>
      <w:r w:rsidRPr="00C26B60">
        <w:rPr>
          <w:rFonts w:ascii="Times New Roman" w:hAnsi="Times New Roman"/>
          <w:i/>
          <w:sz w:val="24"/>
        </w:rPr>
        <w:t>and Proper, Audit and Disclosure</w:t>
      </w:r>
      <w:r w:rsidRPr="00C26B60">
        <w:rPr>
          <w:rFonts w:ascii="Times New Roman" w:hAnsi="Times New Roman"/>
          <w:sz w:val="24"/>
        </w:rPr>
        <w:t xml:space="preserve"> </w:t>
      </w:r>
      <w:r>
        <w:rPr>
          <w:rFonts w:ascii="Times New Roman" w:hAnsi="Times New Roman"/>
          <w:i/>
          <w:sz w:val="24"/>
        </w:rPr>
        <w:t>Requirements</w:t>
      </w:r>
      <w:r>
        <w:rPr>
          <w:rFonts w:ascii="Times New Roman" w:hAnsi="Times New Roman"/>
          <w:sz w:val="24"/>
        </w:rPr>
        <w:t xml:space="preserve">. </w:t>
      </w:r>
      <w:r w:rsidRPr="00C26B60">
        <w:rPr>
          <w:rFonts w:ascii="Times New Roman" w:hAnsi="Times New Roman"/>
          <w:sz w:val="24"/>
        </w:rPr>
        <w:t xml:space="preserve"> </w:t>
      </w:r>
      <w:r>
        <w:rPr>
          <w:rFonts w:ascii="Times New Roman" w:hAnsi="Times New Roman"/>
          <w:sz w:val="24"/>
        </w:rPr>
        <w:t xml:space="preserve">This document outlined the proposed requirements for </w:t>
      </w:r>
      <w:r w:rsidR="002D107F">
        <w:rPr>
          <w:rFonts w:ascii="Times New Roman" w:hAnsi="Times New Roman"/>
          <w:sz w:val="24"/>
        </w:rPr>
        <w:t>private health insurers</w:t>
      </w:r>
      <w:r>
        <w:rPr>
          <w:rFonts w:ascii="Times New Roman" w:hAnsi="Times New Roman"/>
          <w:sz w:val="24"/>
        </w:rPr>
        <w:t xml:space="preserve"> from </w:t>
      </w:r>
      <w:r w:rsidRPr="00E270B9">
        <w:rPr>
          <w:rFonts w:ascii="Times New Roman" w:hAnsi="Times New Roman"/>
          <w:sz w:val="24"/>
        </w:rPr>
        <w:t xml:space="preserve">the existing </w:t>
      </w:r>
      <w:r w:rsidR="00396396">
        <w:rPr>
          <w:rFonts w:ascii="Times New Roman" w:hAnsi="Times New Roman"/>
          <w:sz w:val="24"/>
        </w:rPr>
        <w:t>cross-</w:t>
      </w:r>
      <w:r>
        <w:rPr>
          <w:rFonts w:ascii="Times New Roman" w:hAnsi="Times New Roman"/>
          <w:sz w:val="24"/>
        </w:rPr>
        <w:t xml:space="preserve">industry </w:t>
      </w:r>
      <w:r w:rsidR="008B6826" w:rsidRPr="008B6826">
        <w:rPr>
          <w:rFonts w:ascii="Times New Roman" w:hAnsi="Times New Roman"/>
          <w:sz w:val="24"/>
        </w:rPr>
        <w:t>p</w:t>
      </w:r>
      <w:r w:rsidR="008B6826" w:rsidRPr="008B6826">
        <w:rPr>
          <w:rFonts w:ascii="Times New Roman" w:hAnsi="Times New Roman"/>
          <w:iCs/>
          <w:sz w:val="24"/>
        </w:rPr>
        <w:t>rudential s</w:t>
      </w:r>
      <w:r w:rsidRPr="008B6826">
        <w:rPr>
          <w:rFonts w:ascii="Times New Roman" w:hAnsi="Times New Roman"/>
          <w:iCs/>
          <w:sz w:val="24"/>
        </w:rPr>
        <w:t>tandard</w:t>
      </w:r>
      <w:r w:rsidRPr="00FF3D25">
        <w:rPr>
          <w:rFonts w:ascii="Times New Roman" w:hAnsi="Times New Roman"/>
          <w:sz w:val="24"/>
        </w:rPr>
        <w:t xml:space="preserve"> </w:t>
      </w:r>
      <w:r w:rsidR="008B6826" w:rsidRPr="008B6826">
        <w:rPr>
          <w:rFonts w:ascii="Times New Roman" w:hAnsi="Times New Roman"/>
          <w:iCs/>
          <w:sz w:val="24"/>
          <w:lang w:val="en-US"/>
        </w:rPr>
        <w:t>CPS 510</w:t>
      </w:r>
      <w:r>
        <w:rPr>
          <w:rFonts w:ascii="Times New Roman" w:hAnsi="Times New Roman"/>
          <w:i/>
          <w:iCs/>
          <w:sz w:val="24"/>
          <w:lang w:val="en-US"/>
        </w:rPr>
        <w:t xml:space="preserve"> </w:t>
      </w:r>
      <w:r>
        <w:rPr>
          <w:rFonts w:ascii="Times New Roman" w:hAnsi="Times New Roman"/>
          <w:sz w:val="24"/>
        </w:rPr>
        <w:t>and provided a twelve week consultation period.</w:t>
      </w:r>
    </w:p>
    <w:p w14:paraId="1357CEA1" w14:textId="50F82B93" w:rsidR="0063666A" w:rsidRDefault="0063666A" w:rsidP="0063666A">
      <w:pPr>
        <w:rPr>
          <w:rFonts w:ascii="Times New Roman" w:hAnsi="Times New Roman"/>
          <w:sz w:val="24"/>
        </w:rPr>
      </w:pPr>
      <w:r>
        <w:rPr>
          <w:rFonts w:ascii="Times New Roman" w:hAnsi="Times New Roman"/>
          <w:sz w:val="24"/>
        </w:rPr>
        <w:t>APRA presented the reforms via a wide range of industry forums</w:t>
      </w:r>
      <w:r w:rsidRPr="000B7746">
        <w:rPr>
          <w:rFonts w:ascii="Times New Roman" w:hAnsi="Times New Roman"/>
          <w:sz w:val="24"/>
        </w:rPr>
        <w:t xml:space="preserve"> and held </w:t>
      </w:r>
      <w:r>
        <w:rPr>
          <w:rFonts w:ascii="Times New Roman" w:hAnsi="Times New Roman"/>
          <w:sz w:val="24"/>
        </w:rPr>
        <w:t xml:space="preserve">round table </w:t>
      </w:r>
      <w:r w:rsidRPr="000B7746">
        <w:rPr>
          <w:rFonts w:ascii="Times New Roman" w:hAnsi="Times New Roman"/>
          <w:sz w:val="24"/>
        </w:rPr>
        <w:t xml:space="preserve">discussions with </w:t>
      </w:r>
      <w:r>
        <w:rPr>
          <w:rFonts w:ascii="Times New Roman" w:hAnsi="Times New Roman"/>
          <w:sz w:val="24"/>
        </w:rPr>
        <w:t>the relevant external actuarial and auditing firms</w:t>
      </w:r>
      <w:r w:rsidRPr="000B7746">
        <w:rPr>
          <w:rFonts w:ascii="Times New Roman" w:hAnsi="Times New Roman"/>
          <w:sz w:val="24"/>
        </w:rPr>
        <w:t xml:space="preserve"> </w:t>
      </w:r>
      <w:r>
        <w:rPr>
          <w:rFonts w:ascii="Times New Roman" w:hAnsi="Times New Roman"/>
          <w:sz w:val="24"/>
        </w:rPr>
        <w:t>on the proposed requirements</w:t>
      </w:r>
      <w:r w:rsidRPr="000B7746">
        <w:rPr>
          <w:rFonts w:ascii="Times New Roman" w:hAnsi="Times New Roman"/>
          <w:sz w:val="24"/>
        </w:rPr>
        <w:t>.</w:t>
      </w:r>
      <w:r>
        <w:rPr>
          <w:rFonts w:ascii="Times New Roman" w:hAnsi="Times New Roman"/>
          <w:sz w:val="24"/>
        </w:rPr>
        <w:t xml:space="preserve"> </w:t>
      </w:r>
    </w:p>
    <w:p w14:paraId="1EC49B14" w14:textId="6EABA78E" w:rsidR="00542043" w:rsidRDefault="00542043" w:rsidP="0063666A">
      <w:pPr>
        <w:rPr>
          <w:rFonts w:ascii="Times New Roman" w:hAnsi="Times New Roman"/>
          <w:sz w:val="24"/>
        </w:rPr>
      </w:pPr>
      <w:r>
        <w:rPr>
          <w:rFonts w:ascii="Times New Roman" w:hAnsi="Times New Roman"/>
          <w:sz w:val="24"/>
        </w:rPr>
        <w:t>CPS 510</w:t>
      </w:r>
      <w:r w:rsidRPr="00B60F43">
        <w:rPr>
          <w:rFonts w:ascii="Times New Roman" w:hAnsi="Times New Roman"/>
          <w:sz w:val="24"/>
        </w:rPr>
        <w:t xml:space="preserve"> is accompanied by guidance</w:t>
      </w:r>
      <w:r>
        <w:rPr>
          <w:rFonts w:ascii="Times New Roman" w:hAnsi="Times New Roman"/>
          <w:sz w:val="24"/>
        </w:rPr>
        <w:t xml:space="preserve"> for private health insurers.</w:t>
      </w:r>
      <w:r w:rsidRPr="00B60F43">
        <w:rPr>
          <w:rFonts w:ascii="Times New Roman" w:hAnsi="Times New Roman"/>
          <w:sz w:val="24"/>
        </w:rPr>
        <w:t xml:space="preserve"> The guidance is not legally enforceable, but sets out APRA’s expectations of better practice and aims to assist </w:t>
      </w:r>
      <w:r>
        <w:rPr>
          <w:rFonts w:ascii="Times New Roman" w:hAnsi="Times New Roman"/>
          <w:sz w:val="24"/>
        </w:rPr>
        <w:t xml:space="preserve">private health </w:t>
      </w:r>
      <w:r w:rsidRPr="00B60F43">
        <w:rPr>
          <w:rFonts w:ascii="Times New Roman" w:hAnsi="Times New Roman"/>
          <w:sz w:val="24"/>
        </w:rPr>
        <w:t>insurers to understand the standard. The guidance notes APRA’s view that long periods of tenure can affect a person’s capacity to exercise</w:t>
      </w:r>
      <w:r w:rsidRPr="00C57FAF">
        <w:rPr>
          <w:rFonts w:ascii="Times New Roman" w:hAnsi="Times New Roman"/>
          <w:sz w:val="24"/>
        </w:rPr>
        <w:t xml:space="preserve"> independent judgement. </w:t>
      </w:r>
      <w:r>
        <w:rPr>
          <w:rFonts w:ascii="Times New Roman" w:hAnsi="Times New Roman"/>
          <w:sz w:val="24"/>
        </w:rPr>
        <w:t>The</w:t>
      </w:r>
      <w:r w:rsidRPr="00C57FAF">
        <w:rPr>
          <w:rFonts w:ascii="Times New Roman" w:hAnsi="Times New Roman"/>
          <w:sz w:val="24"/>
        </w:rPr>
        <w:t xml:space="preserve"> guidance notes APRA’s expectation that there would be limited circumstances in which maximum tenure limits exceeding 12 years would be appropriate and that circumstances where a person is re-appointed as a director at the end of the private health insurer’s maximum tenure period would be exceptional.</w:t>
      </w:r>
    </w:p>
    <w:p w14:paraId="36138E07" w14:textId="77777777" w:rsidR="004A3DA9" w:rsidRDefault="0063666A" w:rsidP="00B60F43">
      <w:pPr>
        <w:rPr>
          <w:rFonts w:ascii="Times New Roman" w:hAnsi="Times New Roman"/>
          <w:sz w:val="24"/>
        </w:rPr>
      </w:pPr>
      <w:r>
        <w:rPr>
          <w:rFonts w:ascii="Times New Roman" w:hAnsi="Times New Roman"/>
          <w:sz w:val="24"/>
        </w:rPr>
        <w:t xml:space="preserve">All nine written </w:t>
      </w:r>
      <w:r w:rsidR="0008018D">
        <w:rPr>
          <w:rFonts w:ascii="Times New Roman" w:hAnsi="Times New Roman"/>
          <w:sz w:val="24"/>
        </w:rPr>
        <w:t>submissions</w:t>
      </w:r>
      <w:r>
        <w:rPr>
          <w:rFonts w:ascii="Times New Roman" w:hAnsi="Times New Roman"/>
          <w:sz w:val="24"/>
        </w:rPr>
        <w:t xml:space="preserve"> in response to the Discussion Paper were </w:t>
      </w:r>
      <w:r w:rsidR="003E450C">
        <w:rPr>
          <w:rFonts w:ascii="Times New Roman" w:hAnsi="Times New Roman"/>
          <w:sz w:val="24"/>
        </w:rPr>
        <w:t xml:space="preserve">supportive of the </w:t>
      </w:r>
      <w:r w:rsidR="00D456E5">
        <w:rPr>
          <w:rFonts w:ascii="Times New Roman" w:hAnsi="Times New Roman"/>
          <w:sz w:val="24"/>
        </w:rPr>
        <w:t xml:space="preserve">goal to </w:t>
      </w:r>
      <w:r w:rsidR="0008018D">
        <w:rPr>
          <w:rFonts w:ascii="Times New Roman" w:hAnsi="Times New Roman"/>
          <w:sz w:val="24"/>
        </w:rPr>
        <w:t>strengthen</w:t>
      </w:r>
      <w:r w:rsidR="00D456E5">
        <w:rPr>
          <w:rFonts w:ascii="Times New Roman" w:hAnsi="Times New Roman"/>
          <w:sz w:val="24"/>
        </w:rPr>
        <w:t xml:space="preserve"> the overall quality of governance in private health insurers</w:t>
      </w:r>
      <w:r w:rsidR="00542043">
        <w:rPr>
          <w:rFonts w:ascii="Times New Roman" w:hAnsi="Times New Roman"/>
          <w:sz w:val="24"/>
        </w:rPr>
        <w:t xml:space="preserve">. Some submissions </w:t>
      </w:r>
      <w:r w:rsidR="00542043">
        <w:rPr>
          <w:rFonts w:ascii="Times New Roman" w:hAnsi="Times New Roman"/>
          <w:sz w:val="24"/>
        </w:rPr>
        <w:lastRenderedPageBreak/>
        <w:t>noted concerns in relation to the guidance on director tenure</w:t>
      </w:r>
      <w:r w:rsidR="00D456E5">
        <w:rPr>
          <w:rFonts w:ascii="Times New Roman" w:hAnsi="Times New Roman"/>
          <w:sz w:val="24"/>
        </w:rPr>
        <w:t xml:space="preserve">. </w:t>
      </w:r>
      <w:r w:rsidR="00B60F43">
        <w:rPr>
          <w:rFonts w:ascii="Times New Roman" w:hAnsi="Times New Roman"/>
          <w:sz w:val="24"/>
        </w:rPr>
        <w:t xml:space="preserve">APRA issued a letter to the industry responding to the key issues. </w:t>
      </w:r>
    </w:p>
    <w:p w14:paraId="3866E424" w14:textId="273C7DA8" w:rsidR="00B60F43" w:rsidRPr="00B60F43" w:rsidRDefault="00B60F43" w:rsidP="00B60F43">
      <w:pPr>
        <w:rPr>
          <w:rFonts w:ascii="Times New Roman" w:hAnsi="Times New Roman"/>
          <w:sz w:val="24"/>
        </w:rPr>
      </w:pPr>
      <w:r>
        <w:rPr>
          <w:rFonts w:ascii="Times New Roman" w:hAnsi="Times New Roman"/>
          <w:sz w:val="24"/>
        </w:rPr>
        <w:t xml:space="preserve">In relation to </w:t>
      </w:r>
      <w:r w:rsidR="00601123">
        <w:rPr>
          <w:rFonts w:ascii="Times New Roman" w:hAnsi="Times New Roman"/>
          <w:sz w:val="24"/>
        </w:rPr>
        <w:t>feedback on proposed guidance on director tenure</w:t>
      </w:r>
      <w:r w:rsidR="004D0C59">
        <w:rPr>
          <w:rFonts w:ascii="Times New Roman" w:hAnsi="Times New Roman"/>
          <w:sz w:val="24"/>
        </w:rPr>
        <w:t xml:space="preserve">, APRA confirmed there is </w:t>
      </w:r>
      <w:r w:rsidRPr="00B60F43">
        <w:rPr>
          <w:rFonts w:ascii="Times New Roman" w:hAnsi="Times New Roman"/>
          <w:sz w:val="24"/>
        </w:rPr>
        <w:t xml:space="preserve">no requirement in the governance standard for fixed tenure for PHI directors. The standard </w:t>
      </w:r>
      <w:r w:rsidR="00EE5831">
        <w:rPr>
          <w:rFonts w:ascii="Times New Roman" w:hAnsi="Times New Roman"/>
          <w:sz w:val="24"/>
        </w:rPr>
        <w:t xml:space="preserve">includes </w:t>
      </w:r>
      <w:r w:rsidR="00EE5831" w:rsidRPr="00B60F43">
        <w:rPr>
          <w:rFonts w:ascii="Times New Roman" w:hAnsi="Times New Roman"/>
          <w:sz w:val="24"/>
        </w:rPr>
        <w:t>a</w:t>
      </w:r>
      <w:r w:rsidRPr="00B60F43">
        <w:rPr>
          <w:rFonts w:ascii="Times New Roman" w:hAnsi="Times New Roman"/>
          <w:sz w:val="24"/>
        </w:rPr>
        <w:t xml:space="preserve"> principles-based requirement for a</w:t>
      </w:r>
      <w:r w:rsidR="004D0C59">
        <w:rPr>
          <w:rFonts w:ascii="Times New Roman" w:hAnsi="Times New Roman"/>
          <w:sz w:val="24"/>
        </w:rPr>
        <w:t>ll</w:t>
      </w:r>
      <w:r w:rsidRPr="00B60F43">
        <w:rPr>
          <w:rFonts w:ascii="Times New Roman" w:hAnsi="Times New Roman"/>
          <w:sz w:val="24"/>
        </w:rPr>
        <w:t xml:space="preserve"> </w:t>
      </w:r>
      <w:r w:rsidR="004D0C59">
        <w:rPr>
          <w:rFonts w:ascii="Times New Roman" w:hAnsi="Times New Roman"/>
          <w:sz w:val="24"/>
        </w:rPr>
        <w:t>APRA regulated entities</w:t>
      </w:r>
      <w:r w:rsidR="004D0C59" w:rsidRPr="00B60F43">
        <w:rPr>
          <w:rFonts w:ascii="Times New Roman" w:hAnsi="Times New Roman"/>
          <w:sz w:val="24"/>
        </w:rPr>
        <w:t xml:space="preserve"> </w:t>
      </w:r>
      <w:r w:rsidR="004D0C59">
        <w:rPr>
          <w:rFonts w:ascii="Times New Roman" w:hAnsi="Times New Roman"/>
          <w:sz w:val="24"/>
        </w:rPr>
        <w:t xml:space="preserve">to have a </w:t>
      </w:r>
      <w:r w:rsidRPr="00B60F43">
        <w:rPr>
          <w:rFonts w:ascii="Times New Roman" w:hAnsi="Times New Roman"/>
          <w:sz w:val="24"/>
        </w:rPr>
        <w:t xml:space="preserve">Board renewal policy that sets out how the Board intends to renew itself in order to ensure it remains open to new ideas and independent thinking, while retaining adequate expertise. </w:t>
      </w:r>
    </w:p>
    <w:p w14:paraId="5D4711A5" w14:textId="13450404" w:rsidR="00AD64BE" w:rsidRPr="00FF3D25" w:rsidRDefault="00B60F43" w:rsidP="00CA1857">
      <w:pPr>
        <w:pStyle w:val="ListParagraph"/>
        <w:numPr>
          <w:ilvl w:val="0"/>
          <w:numId w:val="17"/>
        </w:numPr>
        <w:shd w:val="clear" w:color="auto" w:fill="FFFFFF"/>
        <w:spacing w:before="100" w:beforeAutospacing="1" w:after="100" w:afterAutospacing="1"/>
        <w:rPr>
          <w:rFonts w:ascii="Times New Roman" w:hAnsi="Times New Roman"/>
          <w:b/>
          <w:sz w:val="24"/>
        </w:rPr>
      </w:pPr>
      <w:r>
        <w:t xml:space="preserve">  </w:t>
      </w:r>
      <w:bookmarkStart w:id="9" w:name="bkRIS"/>
      <w:bookmarkStart w:id="10" w:name="bkConsultation"/>
      <w:bookmarkStart w:id="11" w:name="bkRISNO"/>
      <w:bookmarkEnd w:id="9"/>
      <w:bookmarkEnd w:id="10"/>
      <w:bookmarkEnd w:id="11"/>
      <w:r w:rsidR="00AD64BE" w:rsidRPr="00542043">
        <w:rPr>
          <w:rFonts w:ascii="Times New Roman" w:eastAsiaTheme="minorEastAsia" w:hAnsi="Times New Roman"/>
          <w:b/>
          <w:sz w:val="24"/>
        </w:rPr>
        <w:t>Regulation</w:t>
      </w:r>
      <w:r w:rsidR="00AD64BE" w:rsidRPr="00FF3D25">
        <w:rPr>
          <w:rFonts w:ascii="Times New Roman" w:hAnsi="Times New Roman"/>
          <w:b/>
          <w:sz w:val="24"/>
        </w:rPr>
        <w:t xml:space="preserve"> Impact Statement</w:t>
      </w:r>
    </w:p>
    <w:p w14:paraId="0A7CBCE3" w14:textId="77777777" w:rsidR="00AD64BE" w:rsidRPr="00FF3D25" w:rsidRDefault="00AD64BE" w:rsidP="00FD3E6E">
      <w:pPr>
        <w:shd w:val="clear" w:color="auto" w:fill="FFFFFF"/>
        <w:spacing w:before="100" w:beforeAutospacing="1" w:after="100" w:afterAutospacing="1"/>
        <w:rPr>
          <w:rFonts w:ascii="Times New Roman" w:hAnsi="Times New Roman"/>
          <w:kern w:val="32"/>
          <w:sz w:val="24"/>
        </w:rPr>
      </w:pPr>
      <w:r w:rsidRPr="00FF3D25">
        <w:rPr>
          <w:rFonts w:ascii="Times New Roman" w:hAnsi="Times New Roman"/>
          <w:kern w:val="32"/>
          <w:sz w:val="24"/>
        </w:rPr>
        <w:t>The Office of Best Practice Regulation advised that a Regulation Impact Statement was not required for this determination.</w:t>
      </w:r>
    </w:p>
    <w:p w14:paraId="6E67110D" w14:textId="77777777" w:rsidR="00AD64BE" w:rsidRPr="00FD3E6E" w:rsidRDefault="00AD64BE" w:rsidP="00AD64BE">
      <w:pPr>
        <w:pStyle w:val="ListParagraph"/>
        <w:numPr>
          <w:ilvl w:val="0"/>
          <w:numId w:val="17"/>
        </w:numPr>
        <w:shd w:val="clear" w:color="auto" w:fill="FFFFFF"/>
        <w:spacing w:before="100" w:beforeAutospacing="1" w:after="100" w:afterAutospacing="1"/>
        <w:rPr>
          <w:rFonts w:ascii="Times New Roman" w:eastAsiaTheme="minorEastAsia" w:hAnsi="Times New Roman"/>
          <w:b/>
          <w:sz w:val="24"/>
        </w:rPr>
      </w:pPr>
      <w:r w:rsidRPr="00A66D9A">
        <w:rPr>
          <w:rFonts w:ascii="Times New Roman" w:eastAsiaTheme="minorEastAsia" w:hAnsi="Times New Roman"/>
          <w:b/>
          <w:sz w:val="24"/>
        </w:rPr>
        <w:t xml:space="preserve">Statement of compatibility prepared in accordance with Part 3 of the </w:t>
      </w:r>
      <w:r w:rsidRPr="00A66D9A">
        <w:rPr>
          <w:rFonts w:ascii="Times New Roman" w:eastAsiaTheme="minorEastAsia" w:hAnsi="Times New Roman"/>
          <w:b/>
          <w:i/>
          <w:sz w:val="24"/>
        </w:rPr>
        <w:t>Human Rights (Parliamentary Scrutiny) Act 2011</w:t>
      </w:r>
      <w:r w:rsidRPr="00FD3E6E">
        <w:rPr>
          <w:rFonts w:ascii="Times New Roman" w:eastAsiaTheme="minorEastAsia" w:hAnsi="Times New Roman"/>
          <w:b/>
          <w:sz w:val="24"/>
        </w:rPr>
        <w:t>.</w:t>
      </w:r>
    </w:p>
    <w:p w14:paraId="03060F98" w14:textId="77777777" w:rsidR="00AD64BE" w:rsidRPr="00FF3D25" w:rsidRDefault="00AD64BE" w:rsidP="00FD3E6E">
      <w:pPr>
        <w:shd w:val="clear" w:color="auto" w:fill="FFFFFF"/>
        <w:spacing w:before="100" w:beforeAutospacing="1" w:after="100" w:afterAutospacing="1"/>
        <w:rPr>
          <w:rFonts w:ascii="Times New Roman" w:hAnsi="Times New Roman"/>
          <w:kern w:val="32"/>
          <w:sz w:val="24"/>
        </w:rPr>
      </w:pPr>
      <w:r w:rsidRPr="00FF3D25">
        <w:rPr>
          <w:rFonts w:ascii="Times New Roman" w:hAnsi="Times New Roman"/>
          <w:kern w:val="32"/>
          <w:sz w:val="24"/>
        </w:rPr>
        <w:t xml:space="preserve">A Statement of compatibility prepared in accordance with Part 3 of the </w:t>
      </w:r>
      <w:r w:rsidRPr="00FF3D25">
        <w:rPr>
          <w:rFonts w:ascii="Times New Roman" w:hAnsi="Times New Roman"/>
          <w:i/>
          <w:kern w:val="32"/>
          <w:sz w:val="24"/>
        </w:rPr>
        <w:t>Human Rights (Parliamentary Scrutiny) Act 2011</w:t>
      </w:r>
      <w:r w:rsidRPr="00FF3D25">
        <w:rPr>
          <w:rFonts w:ascii="Times New Roman" w:hAnsi="Times New Roman"/>
          <w:kern w:val="32"/>
          <w:sz w:val="24"/>
        </w:rPr>
        <w:t xml:space="preserve"> is provided at Attachment A to this Explanatory Statement.</w:t>
      </w:r>
    </w:p>
    <w:p w14:paraId="1A90F50A" w14:textId="77777777" w:rsidR="00AD64BE" w:rsidRPr="00F212E9" w:rsidRDefault="00AD64BE" w:rsidP="00AD64BE">
      <w:pPr>
        <w:shd w:val="clear" w:color="auto" w:fill="FFFFFF"/>
        <w:spacing w:before="100" w:beforeAutospacing="1" w:after="100" w:afterAutospacing="1"/>
        <w:jc w:val="left"/>
        <w:rPr>
          <w:rFonts w:ascii="Times New Roman" w:hAnsi="Times New Roman"/>
          <w:sz w:val="24"/>
          <w:lang w:val="en-US"/>
        </w:rPr>
      </w:pPr>
      <w:r w:rsidRPr="00FF3D25">
        <w:rPr>
          <w:rFonts w:ascii="Times New Roman" w:hAnsi="Times New Roman"/>
          <w:sz w:val="24"/>
          <w:lang w:val="en-US"/>
        </w:rPr>
        <w:br w:type="page"/>
      </w:r>
      <w:r w:rsidRPr="00F212E9">
        <w:rPr>
          <w:rFonts w:ascii="Times New Roman" w:hAnsi="Times New Roman"/>
          <w:sz w:val="24"/>
          <w:lang w:val="en-US"/>
        </w:rPr>
        <w:t> </w:t>
      </w:r>
    </w:p>
    <w:p w14:paraId="46154AAA" w14:textId="77777777" w:rsidR="00AD64BE" w:rsidRPr="00FF3D25" w:rsidRDefault="00AD64BE" w:rsidP="00AD64BE">
      <w:pPr>
        <w:shd w:val="clear" w:color="auto" w:fill="FFFFFF"/>
        <w:spacing w:before="100" w:beforeAutospacing="1"/>
        <w:jc w:val="center"/>
        <w:rPr>
          <w:rFonts w:ascii="Times New Roman" w:hAnsi="Times New Roman"/>
          <w:sz w:val="24"/>
          <w:lang w:val="en-US"/>
        </w:rPr>
      </w:pPr>
      <w:r w:rsidRPr="00FF3D25">
        <w:rPr>
          <w:rFonts w:ascii="Times New Roman" w:hAnsi="Times New Roman"/>
          <w:b/>
          <w:bCs/>
          <w:sz w:val="24"/>
        </w:rPr>
        <w:t>ATTACHMENT A</w:t>
      </w:r>
    </w:p>
    <w:p w14:paraId="39DE37EC" w14:textId="77777777" w:rsidR="00AD64BE" w:rsidRPr="00FF3D25" w:rsidRDefault="00AD64BE" w:rsidP="00AD64BE">
      <w:pPr>
        <w:shd w:val="clear" w:color="auto" w:fill="FFFFFF"/>
        <w:spacing w:before="100" w:beforeAutospacing="1"/>
        <w:jc w:val="center"/>
        <w:rPr>
          <w:rFonts w:ascii="Times New Roman" w:hAnsi="Times New Roman"/>
          <w:sz w:val="24"/>
          <w:lang w:val="en-US"/>
        </w:rPr>
      </w:pPr>
      <w:r w:rsidRPr="00FF3D25">
        <w:rPr>
          <w:rFonts w:ascii="Times New Roman" w:hAnsi="Times New Roman"/>
          <w:b/>
          <w:bCs/>
          <w:sz w:val="24"/>
        </w:rPr>
        <w:t>Statement of Compatibility with Human Rights</w:t>
      </w:r>
    </w:p>
    <w:p w14:paraId="1D141C3F" w14:textId="77777777"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i/>
          <w:iCs/>
          <w:sz w:val="24"/>
        </w:rPr>
        <w:t>Prepared in accordance with Part 3 of the Human Rights (Parliamentary Scrutiny) Act 2011</w:t>
      </w:r>
    </w:p>
    <w:p w14:paraId="63A85D19" w14:textId="3E286767" w:rsidR="00377F2E" w:rsidRPr="00FF3D25" w:rsidRDefault="00377F2E" w:rsidP="00FF3D25">
      <w:pPr>
        <w:shd w:val="clear" w:color="auto" w:fill="FFFFFF"/>
        <w:spacing w:after="0"/>
        <w:jc w:val="center"/>
        <w:rPr>
          <w:rFonts w:ascii="Times New Roman" w:hAnsi="Times New Roman"/>
          <w:b/>
          <w:iCs/>
          <w:sz w:val="24"/>
        </w:rPr>
      </w:pPr>
      <w:r w:rsidRPr="00FF3D25">
        <w:rPr>
          <w:rFonts w:ascii="Times New Roman" w:hAnsi="Times New Roman"/>
          <w:b/>
          <w:iCs/>
          <w:sz w:val="24"/>
        </w:rPr>
        <w:t>Banking, Insurance</w:t>
      </w:r>
      <w:r w:rsidR="00C34549">
        <w:rPr>
          <w:rFonts w:ascii="Times New Roman" w:hAnsi="Times New Roman"/>
          <w:b/>
          <w:iCs/>
          <w:sz w:val="24"/>
        </w:rPr>
        <w:t>,</w:t>
      </w:r>
      <w:r w:rsidRPr="00FF3D25">
        <w:rPr>
          <w:rFonts w:ascii="Times New Roman" w:hAnsi="Times New Roman"/>
          <w:b/>
          <w:iCs/>
          <w:sz w:val="24"/>
        </w:rPr>
        <w:t xml:space="preserve"> Life Insurance </w:t>
      </w:r>
      <w:r w:rsidR="00C34549">
        <w:rPr>
          <w:rFonts w:ascii="Times New Roman" w:hAnsi="Times New Roman"/>
          <w:b/>
          <w:iCs/>
          <w:sz w:val="24"/>
        </w:rPr>
        <w:t xml:space="preserve">and Health Insurance </w:t>
      </w:r>
      <w:r w:rsidRPr="00FF3D25">
        <w:rPr>
          <w:rFonts w:ascii="Times New Roman" w:hAnsi="Times New Roman"/>
          <w:b/>
          <w:iCs/>
          <w:sz w:val="24"/>
        </w:rPr>
        <w:t xml:space="preserve">(prudential </w:t>
      </w:r>
      <w:r w:rsidR="00725EC5" w:rsidRPr="00FF3D25">
        <w:rPr>
          <w:rFonts w:ascii="Times New Roman" w:hAnsi="Times New Roman"/>
          <w:b/>
          <w:iCs/>
          <w:sz w:val="24"/>
        </w:rPr>
        <w:t>standard determination No</w:t>
      </w:r>
      <w:r w:rsidR="008B6826">
        <w:rPr>
          <w:rFonts w:ascii="Times New Roman" w:hAnsi="Times New Roman"/>
          <w:b/>
          <w:iCs/>
          <w:sz w:val="24"/>
        </w:rPr>
        <w:t xml:space="preserve"> </w:t>
      </w:r>
      <w:r w:rsidR="00702F97">
        <w:rPr>
          <w:rFonts w:ascii="Times New Roman" w:hAnsi="Times New Roman"/>
          <w:b/>
          <w:iCs/>
          <w:sz w:val="24"/>
        </w:rPr>
        <w:t xml:space="preserve">1 </w:t>
      </w:r>
      <w:r w:rsidR="00C34549">
        <w:rPr>
          <w:rFonts w:ascii="Times New Roman" w:hAnsi="Times New Roman"/>
          <w:b/>
          <w:iCs/>
          <w:sz w:val="24"/>
        </w:rPr>
        <w:t>of 2018</w:t>
      </w:r>
    </w:p>
    <w:p w14:paraId="50BC85E0" w14:textId="30F56EF8"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sz w:val="24"/>
        </w:rPr>
        <w:t xml:space="preserve">This Legislative Instrument is compatible with the human rights and freedoms recognised or declared in the international instruments listed in section 3 of the </w:t>
      </w:r>
      <w:r w:rsidRPr="00FF3D25">
        <w:rPr>
          <w:rFonts w:ascii="Times New Roman" w:hAnsi="Times New Roman"/>
          <w:i/>
          <w:iCs/>
          <w:sz w:val="24"/>
        </w:rPr>
        <w:t>Human Rights (Parliamentary Scrutiny) Act 2011</w:t>
      </w:r>
      <w:r w:rsidRPr="00FF3D25">
        <w:rPr>
          <w:rFonts w:ascii="Times New Roman" w:hAnsi="Times New Roman"/>
          <w:sz w:val="24"/>
        </w:rPr>
        <w:t xml:space="preserve"> (</w:t>
      </w:r>
      <w:r w:rsidRPr="00FF3D25">
        <w:rPr>
          <w:rFonts w:ascii="Times New Roman" w:hAnsi="Times New Roman"/>
          <w:bCs/>
          <w:i/>
          <w:iCs/>
          <w:sz w:val="24"/>
        </w:rPr>
        <w:t>HRPS Act</w:t>
      </w:r>
      <w:r w:rsidRPr="00FF3D25">
        <w:rPr>
          <w:rFonts w:ascii="Times New Roman" w:hAnsi="Times New Roman"/>
          <w:sz w:val="24"/>
        </w:rPr>
        <w:t>).</w:t>
      </w:r>
    </w:p>
    <w:p w14:paraId="6B68B40B" w14:textId="77777777"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b/>
          <w:bCs/>
          <w:sz w:val="24"/>
        </w:rPr>
        <w:t xml:space="preserve">Overview of the Legislative Instrument </w:t>
      </w:r>
    </w:p>
    <w:p w14:paraId="7EEDE8DB" w14:textId="1B531B24" w:rsidR="00DA1D1C" w:rsidRDefault="00926C5C" w:rsidP="00926C5C">
      <w:pPr>
        <w:pStyle w:val="ListParagraph"/>
        <w:shd w:val="clear" w:color="auto" w:fill="FFFFFF"/>
        <w:spacing w:before="100" w:beforeAutospacing="1" w:after="100" w:afterAutospacing="1"/>
        <w:ind w:left="0"/>
        <w:jc w:val="left"/>
        <w:rPr>
          <w:rFonts w:ascii="Times New Roman" w:hAnsi="Times New Roman"/>
          <w:iCs/>
          <w:sz w:val="24"/>
        </w:rPr>
      </w:pPr>
      <w:r w:rsidRPr="00FF3D25">
        <w:rPr>
          <w:rFonts w:ascii="Times New Roman" w:hAnsi="Times New Roman"/>
          <w:sz w:val="24"/>
        </w:rPr>
        <w:t>Th</w:t>
      </w:r>
      <w:r w:rsidR="005C2D71">
        <w:rPr>
          <w:rFonts w:ascii="Times New Roman" w:hAnsi="Times New Roman"/>
          <w:sz w:val="24"/>
        </w:rPr>
        <w:t>is</w:t>
      </w:r>
      <w:r w:rsidRPr="00FF3D25">
        <w:rPr>
          <w:rFonts w:ascii="Times New Roman" w:hAnsi="Times New Roman"/>
          <w:sz w:val="24"/>
        </w:rPr>
        <w:t xml:space="preserve"> </w:t>
      </w:r>
      <w:r w:rsidR="005C2D71">
        <w:rPr>
          <w:rFonts w:ascii="Times New Roman" w:hAnsi="Times New Roman"/>
          <w:sz w:val="24"/>
        </w:rPr>
        <w:t>L</w:t>
      </w:r>
      <w:r w:rsidRPr="00FF3D25">
        <w:rPr>
          <w:rFonts w:ascii="Times New Roman" w:hAnsi="Times New Roman"/>
          <w:sz w:val="24"/>
        </w:rPr>
        <w:t xml:space="preserve">egislative </w:t>
      </w:r>
      <w:r w:rsidR="005C2D71">
        <w:rPr>
          <w:rFonts w:ascii="Times New Roman" w:hAnsi="Times New Roman"/>
          <w:sz w:val="24"/>
        </w:rPr>
        <w:t>I</w:t>
      </w:r>
      <w:r w:rsidRPr="00FF3D25">
        <w:rPr>
          <w:rFonts w:ascii="Times New Roman" w:hAnsi="Times New Roman"/>
          <w:sz w:val="24"/>
        </w:rPr>
        <w:t xml:space="preserve">nstrument revokes </w:t>
      </w:r>
      <w:r w:rsidRPr="00FF3D25">
        <w:rPr>
          <w:rFonts w:ascii="Times New Roman" w:hAnsi="Times New Roman"/>
          <w:i/>
          <w:iCs/>
          <w:sz w:val="24"/>
        </w:rPr>
        <w:t>Prudential Standard</w:t>
      </w:r>
      <w:r w:rsidRPr="00FF3D25">
        <w:rPr>
          <w:rFonts w:ascii="Times New Roman" w:hAnsi="Times New Roman"/>
          <w:i/>
          <w:sz w:val="24"/>
        </w:rPr>
        <w:t xml:space="preserve"> </w:t>
      </w:r>
      <w:r w:rsidRPr="00FF3D25">
        <w:rPr>
          <w:rFonts w:ascii="Times New Roman" w:hAnsi="Times New Roman"/>
          <w:i/>
          <w:iCs/>
          <w:sz w:val="24"/>
          <w:lang w:val="en-US"/>
        </w:rPr>
        <w:t xml:space="preserve">CPS </w:t>
      </w:r>
      <w:r w:rsidR="00C34549">
        <w:rPr>
          <w:rFonts w:ascii="Times New Roman" w:hAnsi="Times New Roman"/>
          <w:i/>
          <w:iCs/>
          <w:sz w:val="24"/>
          <w:lang w:val="en-US"/>
        </w:rPr>
        <w:t>510 Governance</w:t>
      </w:r>
      <w:r w:rsidR="00C34549">
        <w:rPr>
          <w:rFonts w:ascii="Times New Roman" w:hAnsi="Times New Roman"/>
          <w:iCs/>
          <w:sz w:val="24"/>
          <w:lang w:val="en-US"/>
        </w:rPr>
        <w:t xml:space="preserve"> (CPS 51</w:t>
      </w:r>
      <w:r w:rsidRPr="00FF3D25">
        <w:rPr>
          <w:rFonts w:ascii="Times New Roman" w:hAnsi="Times New Roman"/>
          <w:iCs/>
          <w:sz w:val="24"/>
          <w:lang w:val="en-US"/>
        </w:rPr>
        <w:t xml:space="preserve">0) </w:t>
      </w:r>
      <w:r w:rsidR="00193DF8" w:rsidRPr="00193DF8">
        <w:rPr>
          <w:rFonts w:ascii="Times New Roman" w:hAnsi="Times New Roman"/>
          <w:iCs/>
          <w:sz w:val="24"/>
        </w:rPr>
        <w:t>made under Banking, Insurance and Life Insurance (prudenti</w:t>
      </w:r>
      <w:r w:rsidR="005F59D6">
        <w:rPr>
          <w:rFonts w:ascii="Times New Roman" w:hAnsi="Times New Roman"/>
          <w:iCs/>
          <w:sz w:val="24"/>
        </w:rPr>
        <w:t>al standard) determination No. 8</w:t>
      </w:r>
      <w:r w:rsidR="003B180D">
        <w:rPr>
          <w:rFonts w:ascii="Times New Roman" w:hAnsi="Times New Roman"/>
          <w:iCs/>
          <w:sz w:val="24"/>
        </w:rPr>
        <w:t xml:space="preserve"> </w:t>
      </w:r>
      <w:r w:rsidR="00193DF8" w:rsidRPr="00193DF8">
        <w:rPr>
          <w:rFonts w:ascii="Times New Roman" w:hAnsi="Times New Roman"/>
          <w:iCs/>
          <w:sz w:val="24"/>
        </w:rPr>
        <w:t>of</w:t>
      </w:r>
      <w:r w:rsidR="00193DF8" w:rsidRPr="00193DF8" w:rsidDel="00193DF8">
        <w:rPr>
          <w:rFonts w:ascii="Times New Roman" w:hAnsi="Times New Roman"/>
          <w:iCs/>
          <w:sz w:val="24"/>
        </w:rPr>
        <w:t xml:space="preserve"> </w:t>
      </w:r>
      <w:r w:rsidRPr="00FF3D25">
        <w:rPr>
          <w:rFonts w:ascii="Times New Roman" w:hAnsi="Times New Roman"/>
          <w:iCs/>
          <w:sz w:val="24"/>
        </w:rPr>
        <w:t xml:space="preserve"> 2016 a</w:t>
      </w:r>
      <w:r w:rsidR="003B180D">
        <w:rPr>
          <w:rFonts w:ascii="Times New Roman" w:hAnsi="Times New Roman"/>
          <w:iCs/>
          <w:sz w:val="24"/>
        </w:rPr>
        <w:t>nd</w:t>
      </w:r>
      <w:r w:rsidR="005F59D6">
        <w:rPr>
          <w:rFonts w:ascii="Times New Roman" w:hAnsi="Times New Roman"/>
          <w:sz w:val="24"/>
        </w:rPr>
        <w:t xml:space="preserve"> </w:t>
      </w:r>
      <w:r w:rsidR="005F59D6" w:rsidRPr="00965D71">
        <w:rPr>
          <w:rFonts w:ascii="Times New Roman" w:hAnsi="Times New Roman"/>
          <w:i/>
          <w:sz w:val="24"/>
        </w:rPr>
        <w:t>Health Prudential Standard HPS 510</w:t>
      </w:r>
      <w:r w:rsidR="005F59D6">
        <w:rPr>
          <w:rFonts w:ascii="Times New Roman" w:hAnsi="Times New Roman"/>
          <w:i/>
          <w:sz w:val="24"/>
        </w:rPr>
        <w:t xml:space="preserve"> </w:t>
      </w:r>
      <w:r w:rsidR="005F59D6">
        <w:rPr>
          <w:rFonts w:ascii="Times New Roman" w:hAnsi="Times New Roman"/>
          <w:sz w:val="24"/>
        </w:rPr>
        <w:t>made under Health (prudential standard) determination No. 7 of 2015</w:t>
      </w:r>
      <w:r w:rsidR="00DA1D1C">
        <w:rPr>
          <w:rFonts w:ascii="Times New Roman" w:hAnsi="Times New Roman"/>
          <w:sz w:val="24"/>
        </w:rPr>
        <w:t xml:space="preserve"> and </w:t>
      </w:r>
      <w:r w:rsidR="005C2D71">
        <w:rPr>
          <w:rFonts w:ascii="Times New Roman" w:hAnsi="Times New Roman"/>
          <w:iCs/>
          <w:sz w:val="24"/>
        </w:rPr>
        <w:t>determines</w:t>
      </w:r>
      <w:r w:rsidR="003B180D">
        <w:rPr>
          <w:rFonts w:ascii="Times New Roman" w:hAnsi="Times New Roman"/>
          <w:iCs/>
          <w:sz w:val="24"/>
        </w:rPr>
        <w:t xml:space="preserve"> a new CPS 51</w:t>
      </w:r>
      <w:r w:rsidRPr="00FF3D25">
        <w:rPr>
          <w:rFonts w:ascii="Times New Roman" w:hAnsi="Times New Roman"/>
          <w:iCs/>
          <w:sz w:val="24"/>
        </w:rPr>
        <w:t xml:space="preserve">0. </w:t>
      </w:r>
    </w:p>
    <w:p w14:paraId="2C2D4812" w14:textId="77777777" w:rsidR="00DA1D1C" w:rsidRDefault="00DA1D1C" w:rsidP="00926C5C">
      <w:pPr>
        <w:pStyle w:val="ListParagraph"/>
        <w:shd w:val="clear" w:color="auto" w:fill="FFFFFF"/>
        <w:spacing w:before="100" w:beforeAutospacing="1" w:after="100" w:afterAutospacing="1"/>
        <w:ind w:left="0"/>
        <w:jc w:val="left"/>
        <w:rPr>
          <w:rFonts w:ascii="Times New Roman" w:hAnsi="Times New Roman"/>
          <w:iCs/>
          <w:sz w:val="24"/>
        </w:rPr>
      </w:pPr>
    </w:p>
    <w:p w14:paraId="2AD009C0" w14:textId="10ADB811" w:rsidR="00AD64BE" w:rsidRPr="00FF3D25" w:rsidRDefault="00C84C64" w:rsidP="00926C5C">
      <w:pPr>
        <w:pStyle w:val="ListParagraph"/>
        <w:shd w:val="clear" w:color="auto" w:fill="FFFFFF"/>
        <w:spacing w:before="100" w:beforeAutospacing="1" w:after="100" w:afterAutospacing="1"/>
        <w:ind w:left="0"/>
        <w:jc w:val="left"/>
        <w:rPr>
          <w:rFonts w:ascii="Times New Roman" w:hAnsi="Times New Roman"/>
          <w:iCs/>
          <w:sz w:val="24"/>
        </w:rPr>
      </w:pPr>
      <w:r w:rsidRPr="00FF3D25">
        <w:rPr>
          <w:rFonts w:ascii="Times New Roman" w:hAnsi="Times New Roman"/>
          <w:iCs/>
          <w:sz w:val="24"/>
        </w:rPr>
        <w:t xml:space="preserve">The instrument extends the </w:t>
      </w:r>
      <w:r w:rsidR="00926C5C" w:rsidRPr="00FF3D25">
        <w:rPr>
          <w:rFonts w:ascii="Times New Roman" w:hAnsi="Times New Roman"/>
          <w:iCs/>
          <w:sz w:val="24"/>
        </w:rPr>
        <w:t xml:space="preserve">coverage of </w:t>
      </w:r>
      <w:r w:rsidR="00DA1D1C">
        <w:rPr>
          <w:rFonts w:ascii="Times New Roman" w:hAnsi="Times New Roman"/>
          <w:iCs/>
          <w:sz w:val="24"/>
        </w:rPr>
        <w:t>CPS 51</w:t>
      </w:r>
      <w:r w:rsidR="00CF0956" w:rsidRPr="00FF3D25">
        <w:rPr>
          <w:rFonts w:ascii="Times New Roman" w:hAnsi="Times New Roman"/>
          <w:iCs/>
          <w:sz w:val="24"/>
        </w:rPr>
        <w:t>0</w:t>
      </w:r>
      <w:r w:rsidR="00926C5C" w:rsidRPr="00FF3D25">
        <w:rPr>
          <w:rFonts w:ascii="Times New Roman" w:hAnsi="Times New Roman"/>
          <w:iCs/>
          <w:sz w:val="24"/>
        </w:rPr>
        <w:t xml:space="preserve"> </w:t>
      </w:r>
      <w:r w:rsidR="00CF0956" w:rsidRPr="00FF3D25">
        <w:rPr>
          <w:rFonts w:ascii="Times New Roman" w:hAnsi="Times New Roman"/>
          <w:iCs/>
          <w:sz w:val="24"/>
        </w:rPr>
        <w:t xml:space="preserve">to private health insurers under the </w:t>
      </w:r>
      <w:r w:rsidR="00CF0956" w:rsidRPr="00FF3D25">
        <w:rPr>
          <w:rFonts w:ascii="Times New Roman" w:hAnsi="Times New Roman"/>
          <w:i/>
          <w:iCs/>
          <w:sz w:val="24"/>
        </w:rPr>
        <w:t>Private Health Insurance (Prudential Supervision) Act 2015</w:t>
      </w:r>
      <w:r w:rsidR="00CF0956" w:rsidRPr="00FF3D25">
        <w:rPr>
          <w:rFonts w:ascii="Times New Roman" w:hAnsi="Times New Roman"/>
          <w:iCs/>
          <w:sz w:val="24"/>
        </w:rPr>
        <w:t>.</w:t>
      </w:r>
    </w:p>
    <w:p w14:paraId="3CC5BC04" w14:textId="42B13D17" w:rsidR="00AB1812" w:rsidRPr="009057C8" w:rsidRDefault="00CF0956" w:rsidP="00AB1812">
      <w:pPr>
        <w:rPr>
          <w:rFonts w:ascii="Times New Roman" w:hAnsi="Times New Roman"/>
          <w:sz w:val="24"/>
        </w:rPr>
      </w:pPr>
      <w:r w:rsidRPr="00FF3D25">
        <w:rPr>
          <w:rFonts w:ascii="Times New Roman" w:hAnsi="Times New Roman"/>
          <w:sz w:val="24"/>
        </w:rPr>
        <w:t>The prudenti</w:t>
      </w:r>
      <w:r w:rsidR="003B180D">
        <w:rPr>
          <w:rFonts w:ascii="Times New Roman" w:hAnsi="Times New Roman"/>
          <w:sz w:val="24"/>
        </w:rPr>
        <w:t>al framework contained in CPS 51</w:t>
      </w:r>
      <w:r w:rsidRPr="00FF3D25">
        <w:rPr>
          <w:rFonts w:ascii="Times New Roman" w:hAnsi="Times New Roman"/>
          <w:sz w:val="24"/>
        </w:rPr>
        <w:t xml:space="preserve">0 </w:t>
      </w:r>
      <w:r w:rsidR="00AB1812">
        <w:rPr>
          <w:rFonts w:ascii="Times New Roman" w:hAnsi="Times New Roman"/>
          <w:sz w:val="24"/>
        </w:rPr>
        <w:t xml:space="preserve">supports </w:t>
      </w:r>
      <w:r w:rsidR="00AB1812" w:rsidRPr="00672E87">
        <w:rPr>
          <w:rFonts w:ascii="Times New Roman" w:hAnsi="Times New Roman"/>
          <w:sz w:val="24"/>
        </w:rPr>
        <w:t>sound decision-making to ensure regulated institutions remain resilient and able to adapt quickly to changes in the broader operating environment, while remaining prudentially sound.</w:t>
      </w:r>
    </w:p>
    <w:p w14:paraId="1825EDA4" w14:textId="5877999F" w:rsidR="003B180D" w:rsidRDefault="00AD64BE" w:rsidP="00AD64BE">
      <w:pPr>
        <w:pStyle w:val="ListParagraph"/>
        <w:shd w:val="clear" w:color="auto" w:fill="FFFFFF"/>
        <w:spacing w:before="100" w:beforeAutospacing="1" w:after="100" w:afterAutospacing="1"/>
        <w:ind w:left="0"/>
        <w:jc w:val="left"/>
        <w:rPr>
          <w:rFonts w:ascii="Times New Roman" w:hAnsi="Times New Roman"/>
          <w:sz w:val="24"/>
        </w:rPr>
      </w:pPr>
      <w:r w:rsidRPr="00FF3D25">
        <w:rPr>
          <w:rFonts w:ascii="Times New Roman" w:hAnsi="Times New Roman"/>
          <w:sz w:val="24"/>
        </w:rPr>
        <w:t xml:space="preserve">The instrument does not impose new prudential requirements on existing APRA-regulated institutions </w:t>
      </w:r>
      <w:r w:rsidR="00702F97">
        <w:rPr>
          <w:rFonts w:ascii="Times New Roman" w:hAnsi="Times New Roman"/>
          <w:sz w:val="24"/>
        </w:rPr>
        <w:t xml:space="preserve">previously </w:t>
      </w:r>
      <w:r w:rsidRPr="00FF3D25">
        <w:rPr>
          <w:rFonts w:ascii="Times New Roman" w:hAnsi="Times New Roman"/>
          <w:sz w:val="24"/>
        </w:rPr>
        <w:t>covere</w:t>
      </w:r>
      <w:r w:rsidR="00DA1D1C">
        <w:rPr>
          <w:rFonts w:ascii="Times New Roman" w:hAnsi="Times New Roman"/>
          <w:sz w:val="24"/>
        </w:rPr>
        <w:t xml:space="preserve">d by </w:t>
      </w:r>
      <w:r w:rsidR="00C87A64">
        <w:rPr>
          <w:rFonts w:ascii="Times New Roman" w:hAnsi="Times New Roman"/>
          <w:sz w:val="24"/>
        </w:rPr>
        <w:t xml:space="preserve">the </w:t>
      </w:r>
      <w:r w:rsidR="00DA1D1C">
        <w:rPr>
          <w:rFonts w:ascii="Times New Roman" w:hAnsi="Times New Roman"/>
          <w:sz w:val="24"/>
        </w:rPr>
        <w:t>CPS 51</w:t>
      </w:r>
      <w:r w:rsidRPr="00FF3D25">
        <w:rPr>
          <w:rFonts w:ascii="Times New Roman" w:hAnsi="Times New Roman"/>
          <w:sz w:val="24"/>
        </w:rPr>
        <w:t>0 determination</w:t>
      </w:r>
      <w:r w:rsidR="00C87A64">
        <w:rPr>
          <w:rFonts w:ascii="Times New Roman" w:hAnsi="Times New Roman"/>
          <w:sz w:val="24"/>
        </w:rPr>
        <w:t xml:space="preserve"> made under </w:t>
      </w:r>
      <w:r w:rsidR="00C87A64" w:rsidRPr="00BF7F22">
        <w:rPr>
          <w:rFonts w:ascii="Times New Roman" w:hAnsi="Times New Roman"/>
          <w:sz w:val="24"/>
        </w:rPr>
        <w:t>Banking, Insurance and Life Insurance (prudential standard) determination No</w:t>
      </w:r>
      <w:r w:rsidR="00C87A64" w:rsidRPr="00965D71">
        <w:rPr>
          <w:rFonts w:ascii="Times New Roman" w:hAnsi="Times New Roman"/>
          <w:sz w:val="24"/>
        </w:rPr>
        <w:t>.</w:t>
      </w:r>
      <w:r w:rsidR="00C87A64">
        <w:rPr>
          <w:rFonts w:ascii="Times New Roman" w:hAnsi="Times New Roman"/>
          <w:sz w:val="24"/>
        </w:rPr>
        <w:t xml:space="preserve"> 8</w:t>
      </w:r>
      <w:r w:rsidR="00C87A64" w:rsidRPr="00BF7F22">
        <w:rPr>
          <w:rFonts w:ascii="Times New Roman" w:hAnsi="Times New Roman"/>
          <w:sz w:val="24"/>
        </w:rPr>
        <w:t xml:space="preserve"> of </w:t>
      </w:r>
      <w:r w:rsidR="00C87A64">
        <w:rPr>
          <w:rFonts w:ascii="Times New Roman" w:hAnsi="Times New Roman"/>
          <w:sz w:val="24"/>
        </w:rPr>
        <w:t>2016</w:t>
      </w:r>
      <w:r w:rsidR="003B180D">
        <w:rPr>
          <w:rFonts w:ascii="Times New Roman" w:hAnsi="Times New Roman"/>
          <w:sz w:val="24"/>
        </w:rPr>
        <w:t>.</w:t>
      </w:r>
    </w:p>
    <w:p w14:paraId="7D582025" w14:textId="77777777"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b/>
          <w:bCs/>
          <w:sz w:val="24"/>
        </w:rPr>
        <w:t>Human rights implications</w:t>
      </w:r>
    </w:p>
    <w:p w14:paraId="38D63935" w14:textId="77777777"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sz w:val="24"/>
        </w:rPr>
        <w:t>APRA has assessed this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0D5D7335" w14:textId="77777777"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b/>
          <w:bCs/>
          <w:sz w:val="24"/>
        </w:rPr>
        <w:t>Conclusion</w:t>
      </w:r>
    </w:p>
    <w:p w14:paraId="712550F2" w14:textId="5CF04B0C" w:rsidR="00B531B4" w:rsidRPr="00B531B4" w:rsidRDefault="00C87A64" w:rsidP="00FF3D25">
      <w:pPr>
        <w:shd w:val="clear" w:color="auto" w:fill="FFFFFF"/>
        <w:spacing w:before="100" w:beforeAutospacing="1"/>
        <w:jc w:val="left"/>
      </w:pPr>
      <w:r w:rsidRPr="004A3DA9">
        <w:rPr>
          <w:rFonts w:ascii="Times New Roman" w:hAnsi="Times New Roman"/>
          <w:iCs/>
          <w:sz w:val="24"/>
        </w:rPr>
        <w:t>This Legislative Instrument</w:t>
      </w:r>
      <w:r w:rsidR="003B180D">
        <w:rPr>
          <w:rFonts w:ascii="Times New Roman" w:hAnsi="Times New Roman"/>
          <w:i/>
          <w:iCs/>
          <w:sz w:val="24"/>
          <w:lang w:val="en-US"/>
        </w:rPr>
        <w:t xml:space="preserve"> </w:t>
      </w:r>
      <w:r w:rsidR="00AD64BE" w:rsidRPr="00FF3D25">
        <w:rPr>
          <w:rFonts w:ascii="Times New Roman" w:hAnsi="Times New Roman"/>
          <w:sz w:val="24"/>
          <w:lang w:val="en-US"/>
        </w:rPr>
        <w:t xml:space="preserve">is </w:t>
      </w:r>
      <w:r w:rsidR="00AD64BE" w:rsidRPr="00FF3D25">
        <w:rPr>
          <w:rFonts w:ascii="Times New Roman" w:hAnsi="Times New Roman"/>
          <w:sz w:val="24"/>
        </w:rPr>
        <w:t>compatible with human rights as it does not raise any human rights issues.</w:t>
      </w:r>
    </w:p>
    <w:sectPr w:rsidR="00B531B4" w:rsidRPr="00B531B4" w:rsidSect="00C62913">
      <w:headerReference w:type="default" r:id="rId14"/>
      <w:head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2B28C" w14:textId="77777777" w:rsidR="00605C21" w:rsidRDefault="00605C21" w:rsidP="007A463E">
      <w:pPr>
        <w:spacing w:after="0"/>
      </w:pPr>
      <w:r>
        <w:separator/>
      </w:r>
    </w:p>
    <w:p w14:paraId="59684D52" w14:textId="77777777" w:rsidR="00605C21" w:rsidRDefault="00605C21"/>
  </w:endnote>
  <w:endnote w:type="continuationSeparator" w:id="0">
    <w:p w14:paraId="116B1FEE" w14:textId="77777777" w:rsidR="00605C21" w:rsidRDefault="00605C21" w:rsidP="007A463E">
      <w:pPr>
        <w:spacing w:after="0"/>
      </w:pPr>
      <w:r>
        <w:continuationSeparator/>
      </w:r>
    </w:p>
    <w:p w14:paraId="55B49878" w14:textId="77777777" w:rsidR="00605C21" w:rsidRDefault="00605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5927C" w14:textId="77777777" w:rsidR="00605C21" w:rsidRDefault="00605C21" w:rsidP="007A463E">
      <w:pPr>
        <w:spacing w:after="0"/>
      </w:pPr>
      <w:r>
        <w:separator/>
      </w:r>
    </w:p>
    <w:p w14:paraId="51D179C9" w14:textId="77777777" w:rsidR="00605C21" w:rsidRDefault="00605C21"/>
  </w:footnote>
  <w:footnote w:type="continuationSeparator" w:id="0">
    <w:p w14:paraId="6C39EC95" w14:textId="77777777" w:rsidR="00605C21" w:rsidRDefault="00605C21" w:rsidP="007A463E">
      <w:pPr>
        <w:spacing w:after="0"/>
      </w:pPr>
      <w:r>
        <w:continuationSeparator/>
      </w:r>
    </w:p>
    <w:p w14:paraId="053604CC" w14:textId="77777777" w:rsidR="00605C21" w:rsidRDefault="00605C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E4BD9" w14:textId="77777777" w:rsidR="00665727" w:rsidRPr="00665727" w:rsidRDefault="00665727" w:rsidP="006657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07DE" w14:textId="7E9F025B" w:rsidR="000D09FA" w:rsidRPr="00702586" w:rsidRDefault="000D09FA" w:rsidP="00B33928">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274D99"/>
    <w:multiLevelType w:val="hybridMultilevel"/>
    <w:tmpl w:val="719A9CF2"/>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8" w15:restartNumberingAfterBreak="0">
    <w:nsid w:val="1C6C12A2"/>
    <w:multiLevelType w:val="hybridMultilevel"/>
    <w:tmpl w:val="C3788E0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409B1"/>
    <w:multiLevelType w:val="multilevel"/>
    <w:tmpl w:val="0C09001F"/>
    <w:numStyleLink w:val="111111"/>
  </w:abstractNum>
  <w:abstractNum w:abstractNumId="10"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797A5C"/>
    <w:multiLevelType w:val="hybridMultilevel"/>
    <w:tmpl w:val="E964401E"/>
    <w:lvl w:ilvl="0" w:tplc="D8D8520E">
      <w:start w:val="1"/>
      <w:numFmt w:val="bullet"/>
      <w:pStyle w:val="APRA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E5DBB"/>
    <w:multiLevelType w:val="hybridMultilevel"/>
    <w:tmpl w:val="1BBC3D8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D63288"/>
    <w:multiLevelType w:val="hybridMultilevel"/>
    <w:tmpl w:val="0BAAE34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7B60F1"/>
    <w:multiLevelType w:val="hybridMultilevel"/>
    <w:tmpl w:val="A9F81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505AF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836555"/>
    <w:multiLevelType w:val="hybridMultilevel"/>
    <w:tmpl w:val="8550F6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DC482D"/>
    <w:multiLevelType w:val="hybridMultilevel"/>
    <w:tmpl w:val="7D2C70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C4F0200"/>
    <w:multiLevelType w:val="hybridMultilevel"/>
    <w:tmpl w:val="C2189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E2021B"/>
    <w:multiLevelType w:val="hybridMultilevel"/>
    <w:tmpl w:val="A386DAA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10A4DD0"/>
    <w:multiLevelType w:val="hybridMultilevel"/>
    <w:tmpl w:val="A49C8A28"/>
    <w:lvl w:ilvl="0" w:tplc="687260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BB35E31"/>
    <w:multiLevelType w:val="hybridMultilevel"/>
    <w:tmpl w:val="FDD470F8"/>
    <w:lvl w:ilvl="0" w:tplc="9FE46678">
      <w:start w:val="1"/>
      <w:numFmt w:val="bullet"/>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abstractNumId w:val="10"/>
  </w:num>
  <w:num w:numId="2">
    <w:abstractNumId w:val="22"/>
  </w:num>
  <w:num w:numId="3">
    <w:abstractNumId w:val="14"/>
  </w:num>
  <w:num w:numId="4">
    <w:abstractNumId w:val="4"/>
  </w:num>
  <w:num w:numId="5">
    <w:abstractNumId w:val="3"/>
  </w:num>
  <w:num w:numId="6">
    <w:abstractNumId w:val="2"/>
  </w:num>
  <w:num w:numId="7">
    <w:abstractNumId w:val="1"/>
  </w:num>
  <w:num w:numId="8">
    <w:abstractNumId w:val="0"/>
  </w:num>
  <w:num w:numId="9">
    <w:abstractNumId w:val="9"/>
  </w:num>
  <w:num w:numId="10">
    <w:abstractNumId w:val="23"/>
  </w:num>
  <w:num w:numId="11">
    <w:abstractNumId w:val="8"/>
  </w:num>
  <w:num w:numId="12">
    <w:abstractNumId w:val="24"/>
  </w:num>
  <w:num w:numId="13">
    <w:abstractNumId w:val="12"/>
  </w:num>
  <w:num w:numId="14">
    <w:abstractNumId w:val="6"/>
  </w:num>
  <w:num w:numId="15">
    <w:abstractNumId w:val="5"/>
  </w:num>
  <w:num w:numId="16">
    <w:abstractNumId w:val="17"/>
  </w:num>
  <w:num w:numId="17">
    <w:abstractNumId w:val="15"/>
  </w:num>
  <w:num w:numId="18">
    <w:abstractNumId w:val="21"/>
  </w:num>
  <w:num w:numId="19">
    <w:abstractNumId w:val="13"/>
  </w:num>
  <w:num w:numId="20">
    <w:abstractNumId w:val="16"/>
  </w:num>
  <w:num w:numId="21">
    <w:abstractNumId w:val="18"/>
  </w:num>
  <w:num w:numId="22">
    <w:abstractNumId w:val="20"/>
  </w:num>
  <w:num w:numId="23">
    <w:abstractNumId w:val="7"/>
  </w:num>
  <w:num w:numId="24">
    <w:abstractNumId w:val="11"/>
  </w:num>
  <w:num w:numId="2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21"/>
    <w:rsid w:val="00003065"/>
    <w:rsid w:val="00011B0A"/>
    <w:rsid w:val="000355D0"/>
    <w:rsid w:val="000408CA"/>
    <w:rsid w:val="00052C3B"/>
    <w:rsid w:val="00053F0B"/>
    <w:rsid w:val="00063BDC"/>
    <w:rsid w:val="00065EA9"/>
    <w:rsid w:val="00074C6B"/>
    <w:rsid w:val="0008018D"/>
    <w:rsid w:val="000A1A18"/>
    <w:rsid w:val="000A348A"/>
    <w:rsid w:val="000B2216"/>
    <w:rsid w:val="000C170D"/>
    <w:rsid w:val="000C6B7D"/>
    <w:rsid w:val="000D09FA"/>
    <w:rsid w:val="000D2D92"/>
    <w:rsid w:val="000D7CA6"/>
    <w:rsid w:val="000E057F"/>
    <w:rsid w:val="000E4B3B"/>
    <w:rsid w:val="000F03D7"/>
    <w:rsid w:val="000F0ECC"/>
    <w:rsid w:val="000F20CF"/>
    <w:rsid w:val="000F68BE"/>
    <w:rsid w:val="000F6B30"/>
    <w:rsid w:val="00112EE3"/>
    <w:rsid w:val="00134811"/>
    <w:rsid w:val="001502F1"/>
    <w:rsid w:val="0015227C"/>
    <w:rsid w:val="001749A4"/>
    <w:rsid w:val="0017548F"/>
    <w:rsid w:val="00185C6C"/>
    <w:rsid w:val="0018786E"/>
    <w:rsid w:val="00193DF8"/>
    <w:rsid w:val="001A3900"/>
    <w:rsid w:val="001B2D90"/>
    <w:rsid w:val="001B367E"/>
    <w:rsid w:val="001B7845"/>
    <w:rsid w:val="001C4D04"/>
    <w:rsid w:val="001D3046"/>
    <w:rsid w:val="001D3B1C"/>
    <w:rsid w:val="001D505A"/>
    <w:rsid w:val="001D7D3C"/>
    <w:rsid w:val="001E00D2"/>
    <w:rsid w:val="001F6792"/>
    <w:rsid w:val="00206A42"/>
    <w:rsid w:val="0021143E"/>
    <w:rsid w:val="00217DB6"/>
    <w:rsid w:val="00220534"/>
    <w:rsid w:val="00224233"/>
    <w:rsid w:val="0023776E"/>
    <w:rsid w:val="002403C8"/>
    <w:rsid w:val="00245562"/>
    <w:rsid w:val="00250D1A"/>
    <w:rsid w:val="00255C96"/>
    <w:rsid w:val="00257E33"/>
    <w:rsid w:val="002641C2"/>
    <w:rsid w:val="0026542C"/>
    <w:rsid w:val="00267EBC"/>
    <w:rsid w:val="002767C9"/>
    <w:rsid w:val="00280317"/>
    <w:rsid w:val="002835A4"/>
    <w:rsid w:val="002949D7"/>
    <w:rsid w:val="002B0A7E"/>
    <w:rsid w:val="002B0B89"/>
    <w:rsid w:val="002B6DA9"/>
    <w:rsid w:val="002B6DEB"/>
    <w:rsid w:val="002B6F5E"/>
    <w:rsid w:val="002D107F"/>
    <w:rsid w:val="002F0157"/>
    <w:rsid w:val="002F5035"/>
    <w:rsid w:val="00311A97"/>
    <w:rsid w:val="003128C4"/>
    <w:rsid w:val="003157FF"/>
    <w:rsid w:val="00323358"/>
    <w:rsid w:val="00325932"/>
    <w:rsid w:val="00332DB9"/>
    <w:rsid w:val="00340359"/>
    <w:rsid w:val="00350945"/>
    <w:rsid w:val="00353DE2"/>
    <w:rsid w:val="00361F0A"/>
    <w:rsid w:val="0036442A"/>
    <w:rsid w:val="00367A5D"/>
    <w:rsid w:val="00370758"/>
    <w:rsid w:val="003707EE"/>
    <w:rsid w:val="003736CF"/>
    <w:rsid w:val="00373B0D"/>
    <w:rsid w:val="00377F2E"/>
    <w:rsid w:val="00386279"/>
    <w:rsid w:val="00386506"/>
    <w:rsid w:val="00387CA2"/>
    <w:rsid w:val="00396396"/>
    <w:rsid w:val="003A2FC2"/>
    <w:rsid w:val="003B180D"/>
    <w:rsid w:val="003C19D6"/>
    <w:rsid w:val="003C6CBE"/>
    <w:rsid w:val="003D52D0"/>
    <w:rsid w:val="003D6738"/>
    <w:rsid w:val="003E450C"/>
    <w:rsid w:val="003E7FFE"/>
    <w:rsid w:val="00405FDF"/>
    <w:rsid w:val="00407D70"/>
    <w:rsid w:val="004118D9"/>
    <w:rsid w:val="00412C3B"/>
    <w:rsid w:val="00427B33"/>
    <w:rsid w:val="00432312"/>
    <w:rsid w:val="0043440F"/>
    <w:rsid w:val="00443931"/>
    <w:rsid w:val="00444BF0"/>
    <w:rsid w:val="00444FE9"/>
    <w:rsid w:val="00446E98"/>
    <w:rsid w:val="00456209"/>
    <w:rsid w:val="00465B7B"/>
    <w:rsid w:val="004843AB"/>
    <w:rsid w:val="00491173"/>
    <w:rsid w:val="004A3DA9"/>
    <w:rsid w:val="004B4492"/>
    <w:rsid w:val="004B7E96"/>
    <w:rsid w:val="004C2EC4"/>
    <w:rsid w:val="004D0C59"/>
    <w:rsid w:val="004D7117"/>
    <w:rsid w:val="004E13AF"/>
    <w:rsid w:val="004E6A33"/>
    <w:rsid w:val="004F27CF"/>
    <w:rsid w:val="004F3D22"/>
    <w:rsid w:val="00510F9A"/>
    <w:rsid w:val="005112CD"/>
    <w:rsid w:val="00524C66"/>
    <w:rsid w:val="00527542"/>
    <w:rsid w:val="00542043"/>
    <w:rsid w:val="00547263"/>
    <w:rsid w:val="00552CA7"/>
    <w:rsid w:val="00553F0E"/>
    <w:rsid w:val="00561E9D"/>
    <w:rsid w:val="0057342E"/>
    <w:rsid w:val="00573D1F"/>
    <w:rsid w:val="00584673"/>
    <w:rsid w:val="00584A8F"/>
    <w:rsid w:val="00594DB4"/>
    <w:rsid w:val="005B26A3"/>
    <w:rsid w:val="005B45B6"/>
    <w:rsid w:val="005C2D71"/>
    <w:rsid w:val="005C43CC"/>
    <w:rsid w:val="005E6AF8"/>
    <w:rsid w:val="005F4764"/>
    <w:rsid w:val="005F59D6"/>
    <w:rsid w:val="00601123"/>
    <w:rsid w:val="00605C21"/>
    <w:rsid w:val="00606F5A"/>
    <w:rsid w:val="0060742D"/>
    <w:rsid w:val="006128BA"/>
    <w:rsid w:val="00615AEF"/>
    <w:rsid w:val="006352A2"/>
    <w:rsid w:val="0063666A"/>
    <w:rsid w:val="00646C7A"/>
    <w:rsid w:val="00647D69"/>
    <w:rsid w:val="006571E9"/>
    <w:rsid w:val="006624CF"/>
    <w:rsid w:val="00665727"/>
    <w:rsid w:val="00665DB3"/>
    <w:rsid w:val="00666D92"/>
    <w:rsid w:val="00670A1C"/>
    <w:rsid w:val="00672E87"/>
    <w:rsid w:val="00677A36"/>
    <w:rsid w:val="00686723"/>
    <w:rsid w:val="0068743E"/>
    <w:rsid w:val="006954D2"/>
    <w:rsid w:val="006A152E"/>
    <w:rsid w:val="006A5169"/>
    <w:rsid w:val="006B00F8"/>
    <w:rsid w:val="006B2F1B"/>
    <w:rsid w:val="006B712D"/>
    <w:rsid w:val="006C1429"/>
    <w:rsid w:val="006C2140"/>
    <w:rsid w:val="006C3279"/>
    <w:rsid w:val="006C6152"/>
    <w:rsid w:val="006D1C03"/>
    <w:rsid w:val="006E4003"/>
    <w:rsid w:val="006E598D"/>
    <w:rsid w:val="006F04E3"/>
    <w:rsid w:val="00702586"/>
    <w:rsid w:val="00702F97"/>
    <w:rsid w:val="007236E2"/>
    <w:rsid w:val="00725EC5"/>
    <w:rsid w:val="0073670A"/>
    <w:rsid w:val="007403DD"/>
    <w:rsid w:val="0074364D"/>
    <w:rsid w:val="0074761E"/>
    <w:rsid w:val="00747F66"/>
    <w:rsid w:val="0075584E"/>
    <w:rsid w:val="007700B6"/>
    <w:rsid w:val="00781FF4"/>
    <w:rsid w:val="00786B63"/>
    <w:rsid w:val="007A463E"/>
    <w:rsid w:val="007B0280"/>
    <w:rsid w:val="007B28CF"/>
    <w:rsid w:val="007D639A"/>
    <w:rsid w:val="007E3A1E"/>
    <w:rsid w:val="007E6359"/>
    <w:rsid w:val="00800F98"/>
    <w:rsid w:val="00801533"/>
    <w:rsid w:val="00814611"/>
    <w:rsid w:val="00816255"/>
    <w:rsid w:val="008204C0"/>
    <w:rsid w:val="008205AE"/>
    <w:rsid w:val="00837BD5"/>
    <w:rsid w:val="008431D4"/>
    <w:rsid w:val="00855C24"/>
    <w:rsid w:val="00857706"/>
    <w:rsid w:val="008635C3"/>
    <w:rsid w:val="0086465D"/>
    <w:rsid w:val="00870FFC"/>
    <w:rsid w:val="00872E1D"/>
    <w:rsid w:val="008908B8"/>
    <w:rsid w:val="00893C18"/>
    <w:rsid w:val="008B1AF8"/>
    <w:rsid w:val="008B1F6B"/>
    <w:rsid w:val="008B5DBD"/>
    <w:rsid w:val="008B6826"/>
    <w:rsid w:val="008B6A27"/>
    <w:rsid w:val="008C693E"/>
    <w:rsid w:val="008C7E1A"/>
    <w:rsid w:val="008D017B"/>
    <w:rsid w:val="008E57B3"/>
    <w:rsid w:val="008E726B"/>
    <w:rsid w:val="0090535F"/>
    <w:rsid w:val="009057C8"/>
    <w:rsid w:val="00907579"/>
    <w:rsid w:val="00910073"/>
    <w:rsid w:val="009121D1"/>
    <w:rsid w:val="00921341"/>
    <w:rsid w:val="00921BB0"/>
    <w:rsid w:val="00922ADE"/>
    <w:rsid w:val="00924D4A"/>
    <w:rsid w:val="009254CE"/>
    <w:rsid w:val="00925CA2"/>
    <w:rsid w:val="0092635A"/>
    <w:rsid w:val="00926C5C"/>
    <w:rsid w:val="00942A22"/>
    <w:rsid w:val="00950E3C"/>
    <w:rsid w:val="00965D71"/>
    <w:rsid w:val="00970A4C"/>
    <w:rsid w:val="00980112"/>
    <w:rsid w:val="0098213D"/>
    <w:rsid w:val="00983285"/>
    <w:rsid w:val="00997619"/>
    <w:rsid w:val="009B1386"/>
    <w:rsid w:val="009B2478"/>
    <w:rsid w:val="009D2A4D"/>
    <w:rsid w:val="009D4911"/>
    <w:rsid w:val="009D6090"/>
    <w:rsid w:val="009D611D"/>
    <w:rsid w:val="009F1036"/>
    <w:rsid w:val="009F1FDA"/>
    <w:rsid w:val="009F210E"/>
    <w:rsid w:val="009F3135"/>
    <w:rsid w:val="009F6B3C"/>
    <w:rsid w:val="00A00652"/>
    <w:rsid w:val="00A06EE8"/>
    <w:rsid w:val="00A15F0E"/>
    <w:rsid w:val="00A17687"/>
    <w:rsid w:val="00A30827"/>
    <w:rsid w:val="00A37017"/>
    <w:rsid w:val="00A37AE9"/>
    <w:rsid w:val="00A37E1D"/>
    <w:rsid w:val="00A66D9A"/>
    <w:rsid w:val="00A72B85"/>
    <w:rsid w:val="00A87BEC"/>
    <w:rsid w:val="00A94878"/>
    <w:rsid w:val="00A95F03"/>
    <w:rsid w:val="00AA0524"/>
    <w:rsid w:val="00AA6B32"/>
    <w:rsid w:val="00AB1812"/>
    <w:rsid w:val="00AC0C2B"/>
    <w:rsid w:val="00AD64BE"/>
    <w:rsid w:val="00AD7335"/>
    <w:rsid w:val="00AF1BE2"/>
    <w:rsid w:val="00AF6C79"/>
    <w:rsid w:val="00B02972"/>
    <w:rsid w:val="00B04050"/>
    <w:rsid w:val="00B0602C"/>
    <w:rsid w:val="00B12E7E"/>
    <w:rsid w:val="00B20CD1"/>
    <w:rsid w:val="00B21A37"/>
    <w:rsid w:val="00B23C04"/>
    <w:rsid w:val="00B33928"/>
    <w:rsid w:val="00B3714F"/>
    <w:rsid w:val="00B41B96"/>
    <w:rsid w:val="00B46B6B"/>
    <w:rsid w:val="00B53060"/>
    <w:rsid w:val="00B531B4"/>
    <w:rsid w:val="00B60F43"/>
    <w:rsid w:val="00B74CDE"/>
    <w:rsid w:val="00B7650C"/>
    <w:rsid w:val="00B822D5"/>
    <w:rsid w:val="00B84C2E"/>
    <w:rsid w:val="00B8533C"/>
    <w:rsid w:val="00B86EF7"/>
    <w:rsid w:val="00B906E3"/>
    <w:rsid w:val="00B95BAF"/>
    <w:rsid w:val="00BA0735"/>
    <w:rsid w:val="00BA1D0F"/>
    <w:rsid w:val="00BB3C38"/>
    <w:rsid w:val="00BD1FF2"/>
    <w:rsid w:val="00BD2A89"/>
    <w:rsid w:val="00BE6379"/>
    <w:rsid w:val="00BF1E2B"/>
    <w:rsid w:val="00BF633E"/>
    <w:rsid w:val="00BF7F22"/>
    <w:rsid w:val="00C224E9"/>
    <w:rsid w:val="00C26B60"/>
    <w:rsid w:val="00C273CD"/>
    <w:rsid w:val="00C333E7"/>
    <w:rsid w:val="00C34549"/>
    <w:rsid w:val="00C40808"/>
    <w:rsid w:val="00C47DC4"/>
    <w:rsid w:val="00C50F0F"/>
    <w:rsid w:val="00C5285C"/>
    <w:rsid w:val="00C572AB"/>
    <w:rsid w:val="00C57584"/>
    <w:rsid w:val="00C57FAF"/>
    <w:rsid w:val="00C614C0"/>
    <w:rsid w:val="00C62913"/>
    <w:rsid w:val="00C67000"/>
    <w:rsid w:val="00C7343C"/>
    <w:rsid w:val="00C84C64"/>
    <w:rsid w:val="00C87A64"/>
    <w:rsid w:val="00C927B4"/>
    <w:rsid w:val="00C97F58"/>
    <w:rsid w:val="00CA1857"/>
    <w:rsid w:val="00CA2803"/>
    <w:rsid w:val="00CB7367"/>
    <w:rsid w:val="00CC05EA"/>
    <w:rsid w:val="00CC10DA"/>
    <w:rsid w:val="00CC201A"/>
    <w:rsid w:val="00CC6C9E"/>
    <w:rsid w:val="00CD2F77"/>
    <w:rsid w:val="00CD6D38"/>
    <w:rsid w:val="00CE6255"/>
    <w:rsid w:val="00CE778C"/>
    <w:rsid w:val="00CF0956"/>
    <w:rsid w:val="00CF1FC4"/>
    <w:rsid w:val="00D02242"/>
    <w:rsid w:val="00D047CF"/>
    <w:rsid w:val="00D079B4"/>
    <w:rsid w:val="00D132D8"/>
    <w:rsid w:val="00D14049"/>
    <w:rsid w:val="00D21F7F"/>
    <w:rsid w:val="00D425EF"/>
    <w:rsid w:val="00D456E5"/>
    <w:rsid w:val="00D531AF"/>
    <w:rsid w:val="00D63B9A"/>
    <w:rsid w:val="00D72CF3"/>
    <w:rsid w:val="00D922D4"/>
    <w:rsid w:val="00D95999"/>
    <w:rsid w:val="00DA1D1C"/>
    <w:rsid w:val="00DC769D"/>
    <w:rsid w:val="00DC7EF3"/>
    <w:rsid w:val="00DC7F18"/>
    <w:rsid w:val="00DD223E"/>
    <w:rsid w:val="00DD41AB"/>
    <w:rsid w:val="00DD702D"/>
    <w:rsid w:val="00DE0A59"/>
    <w:rsid w:val="00DE11E2"/>
    <w:rsid w:val="00DE29C0"/>
    <w:rsid w:val="00DF0FC2"/>
    <w:rsid w:val="00E029A9"/>
    <w:rsid w:val="00E1225E"/>
    <w:rsid w:val="00E1313F"/>
    <w:rsid w:val="00E1430F"/>
    <w:rsid w:val="00E231E0"/>
    <w:rsid w:val="00E270B9"/>
    <w:rsid w:val="00E32CE9"/>
    <w:rsid w:val="00E36C9E"/>
    <w:rsid w:val="00E37753"/>
    <w:rsid w:val="00E448C7"/>
    <w:rsid w:val="00E55A7E"/>
    <w:rsid w:val="00E608DA"/>
    <w:rsid w:val="00E63012"/>
    <w:rsid w:val="00E83D82"/>
    <w:rsid w:val="00E9625F"/>
    <w:rsid w:val="00E96618"/>
    <w:rsid w:val="00EA00F3"/>
    <w:rsid w:val="00EA4E82"/>
    <w:rsid w:val="00EB1ACB"/>
    <w:rsid w:val="00EC030E"/>
    <w:rsid w:val="00EC06FA"/>
    <w:rsid w:val="00ED3926"/>
    <w:rsid w:val="00ED48F3"/>
    <w:rsid w:val="00EE5831"/>
    <w:rsid w:val="00EF01CF"/>
    <w:rsid w:val="00EF46A7"/>
    <w:rsid w:val="00EF496F"/>
    <w:rsid w:val="00EF5EE9"/>
    <w:rsid w:val="00F06113"/>
    <w:rsid w:val="00F12FD3"/>
    <w:rsid w:val="00F212E9"/>
    <w:rsid w:val="00F22D6A"/>
    <w:rsid w:val="00F34F34"/>
    <w:rsid w:val="00F6460D"/>
    <w:rsid w:val="00F7520C"/>
    <w:rsid w:val="00F77F5D"/>
    <w:rsid w:val="00F865EB"/>
    <w:rsid w:val="00F976D4"/>
    <w:rsid w:val="00FA261A"/>
    <w:rsid w:val="00FA2F99"/>
    <w:rsid w:val="00FA3F0E"/>
    <w:rsid w:val="00FA6006"/>
    <w:rsid w:val="00FC263F"/>
    <w:rsid w:val="00FD1215"/>
    <w:rsid w:val="00FD3E6E"/>
    <w:rsid w:val="00FE57E9"/>
    <w:rsid w:val="00FF3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91EF9EF"/>
  <w15:chartTrackingRefBased/>
  <w15:docId w15:val="{30269514-A642-4BCA-B56F-31CD6FAA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2E"/>
    <w:pPr>
      <w:spacing w:after="240" w:line="240" w:lineRule="auto"/>
      <w:jc w:val="both"/>
    </w:pPr>
    <w:rPr>
      <w:rFonts w:ascii="Arial" w:hAnsi="Arial"/>
      <w:szCs w:val="24"/>
      <w:lang w:eastAsia="en-AU"/>
    </w:rPr>
  </w:style>
  <w:style w:type="paragraph" w:styleId="Heading1">
    <w:name w:val="heading 1"/>
    <w:basedOn w:val="Normal"/>
    <w:next w:val="Normal"/>
    <w:link w:val="Heading1Char"/>
    <w:qFormat/>
    <w:rsid w:val="00C333E7"/>
    <w:pPr>
      <w:spacing w:after="360"/>
      <w:outlineLvl w:val="0"/>
    </w:pPr>
    <w:rPr>
      <w:rFonts w:cs="Arial"/>
      <w:b/>
      <w:sz w:val="32"/>
    </w:rPr>
  </w:style>
  <w:style w:type="paragraph" w:styleId="Heading2">
    <w:name w:val="heading 2"/>
    <w:basedOn w:val="Normal"/>
    <w:next w:val="Normal"/>
    <w:link w:val="Heading2Char"/>
    <w:qFormat/>
    <w:rsid w:val="004118D9"/>
    <w:pPr>
      <w:keepNext/>
      <w:outlineLvl w:val="1"/>
    </w:pPr>
    <w:rPr>
      <w:rFonts w:cs="Arial"/>
      <w:b/>
      <w:bCs/>
      <w:iCs/>
      <w:sz w:val="28"/>
      <w:szCs w:val="28"/>
    </w:rPr>
  </w:style>
  <w:style w:type="paragraph" w:styleId="Heading3">
    <w:name w:val="heading 3"/>
    <w:basedOn w:val="Normal"/>
    <w:next w:val="Normal"/>
    <w:link w:val="Heading3Char"/>
    <w:qFormat/>
    <w:rsid w:val="00CB7367"/>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rsid w:val="00C333E7"/>
    <w:rPr>
      <w:rFonts w:ascii="Arial" w:hAnsi="Arial" w:cs="Arial"/>
      <w:b/>
      <w:sz w:val="32"/>
      <w:szCs w:val="24"/>
      <w:lang w:eastAsia="en-AU"/>
    </w:rPr>
  </w:style>
  <w:style w:type="character" w:customStyle="1" w:styleId="Heading2Char">
    <w:name w:val="Heading 2 Char"/>
    <w:basedOn w:val="DefaultParagraphFont"/>
    <w:link w:val="Heading2"/>
    <w:rsid w:val="004118D9"/>
    <w:rPr>
      <w:rFonts w:ascii="Arial" w:hAnsi="Arial" w:cs="Arial"/>
      <w:b/>
      <w:bCs/>
      <w:iCs/>
      <w:sz w:val="28"/>
      <w:szCs w:val="28"/>
      <w:lang w:eastAsia="en-AU"/>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spacing w:after="0"/>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iPriority w:val="99"/>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uiPriority w:val="22"/>
    <w:rsid w:val="005F4764"/>
    <w:rPr>
      <w:rFonts w:ascii="Arial" w:hAnsi="Arial"/>
      <w:b/>
      <w:bCs/>
      <w:sz w:val="22"/>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iPriority w:val="99"/>
    <w:semiHidden/>
    <w:unhideWhenUsed/>
    <w:rsid w:val="005F4764"/>
  </w:style>
  <w:style w:type="character" w:customStyle="1" w:styleId="BodyTextChar">
    <w:name w:val="Body Text Char"/>
    <w:basedOn w:val="DefaultParagraphFont"/>
    <w:link w:val="BodyText"/>
    <w:uiPriority w:val="99"/>
    <w:semiHidden/>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widowControl w:val="0"/>
      <w:spacing w:before="60" w:after="60"/>
    </w:pPr>
    <w:rPr>
      <w:rFonts w:cstheme="minorBidi"/>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pPr>
      <w:spacing w:after="0"/>
    </w:pPr>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pPr>
      <w:spacing w:after="0"/>
    </w:pPr>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0">
    <w:name w:val="Bullet 1"/>
    <w:basedOn w:val="Normal"/>
    <w:link w:val="Bullet1Char"/>
    <w:rsid w:val="00CC10DA"/>
    <w:pPr>
      <w:tabs>
        <w:tab w:val="left" w:pos="426"/>
      </w:tabs>
    </w:pPr>
    <w:rPr>
      <w:rFonts w:cs="Arial"/>
      <w:color w:val="000000"/>
      <w:szCs w:val="22"/>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szCs w:val="22"/>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5F4764"/>
    <w:pPr>
      <w:spacing w:after="0"/>
    </w:pPr>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spacing w:after="0"/>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pPr>
      <w:spacing w:after="0"/>
    </w:pPr>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link w:val="BULLET1Char0"/>
    <w:qFormat/>
    <w:rsid w:val="0036442A"/>
    <w:pPr>
      <w:numPr>
        <w:numId w:val="13"/>
      </w:numPr>
      <w:ind w:left="425" w:hanging="425"/>
    </w:pPr>
    <w:rPr>
      <w:rFonts w:eastAsiaTheme="minorEastAsia" w:cstheme="minorBidi"/>
      <w:szCs w:val="22"/>
    </w:rPr>
  </w:style>
  <w:style w:type="character" w:customStyle="1" w:styleId="BULLET1Char0">
    <w:name w:val="BULLET 1 Char"/>
    <w:basedOn w:val="DefaultParagraphFont"/>
    <w:link w:val="BULLET1"/>
    <w:rsid w:val="0036442A"/>
    <w:rPr>
      <w:rFonts w:ascii="Arial" w:eastAsiaTheme="minorEastAsia" w:hAnsi="Arial" w:cstheme="minorBidi"/>
      <w:lang w:eastAsia="en-AU"/>
    </w:rPr>
  </w:style>
  <w:style w:type="paragraph" w:customStyle="1" w:styleId="BULLET2">
    <w:name w:val="BULLET 2"/>
    <w:basedOn w:val="BULLET1"/>
    <w:link w:val="BULLET2Char0"/>
    <w:qFormat/>
    <w:rsid w:val="00FE57E9"/>
    <w:pPr>
      <w:numPr>
        <w:numId w:val="14"/>
      </w:numPr>
      <w:ind w:left="850" w:hanging="425"/>
    </w:pPr>
  </w:style>
  <w:style w:type="character" w:customStyle="1" w:styleId="BULLET2Char0">
    <w:name w:val="BULLET 2 Char"/>
    <w:basedOn w:val="DefaultParagraphFont"/>
    <w:link w:val="BULLET2"/>
    <w:rsid w:val="00FE57E9"/>
    <w:rPr>
      <w:rFonts w:ascii="Arial" w:eastAsiaTheme="minorEastAsia" w:hAnsi="Arial" w:cstheme="minorBidi"/>
      <w:lang w:eastAsia="en-AU"/>
    </w:rPr>
  </w:style>
  <w:style w:type="paragraph" w:customStyle="1" w:styleId="BULLET3">
    <w:name w:val="BULLET 3"/>
    <w:basedOn w:val="BULLET1"/>
    <w:link w:val="BULLET3Char0"/>
    <w:qFormat/>
    <w:rsid w:val="00B95BAF"/>
    <w:pPr>
      <w:numPr>
        <w:numId w:val="15"/>
      </w:numPr>
      <w:ind w:left="1276" w:hanging="425"/>
    </w:pPr>
  </w:style>
  <w:style w:type="character" w:customStyle="1" w:styleId="BULLET3Char0">
    <w:name w:val="BULLET 3 Char"/>
    <w:basedOn w:val="BULLET1Char0"/>
    <w:link w:val="BULLET3"/>
    <w:rsid w:val="00B95BAF"/>
    <w:rPr>
      <w:rFonts w:ascii="Arial" w:eastAsiaTheme="minorEastAsia" w:hAnsi="Arial" w:cstheme="minorBidi"/>
      <w:lang w:eastAsia="en-AU"/>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lang w:val="en-US"/>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szCs w:val="22"/>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nhideWhenUsed/>
    <w:rsid w:val="0036442A"/>
    <w:rPr>
      <w:sz w:val="20"/>
      <w:szCs w:val="20"/>
    </w:rPr>
  </w:style>
  <w:style w:type="character" w:customStyle="1" w:styleId="CommentTextChar">
    <w:name w:val="Comment Text Char"/>
    <w:basedOn w:val="DefaultParagraphFont"/>
    <w:link w:val="CommentText"/>
    <w:rsid w:val="0036442A"/>
    <w:rPr>
      <w:rFonts w:ascii="Arial" w:hAnsi="Arial"/>
      <w:sz w:val="20"/>
      <w:szCs w:val="20"/>
      <w:lang w:eastAsia="en-AU"/>
    </w:rPr>
  </w:style>
  <w:style w:type="paragraph" w:customStyle="1" w:styleId="heading">
    <w:name w:val="heading"/>
    <w:basedOn w:val="Normal"/>
    <w:rsid w:val="00605C21"/>
    <w:pPr>
      <w:spacing w:before="100" w:beforeAutospacing="1" w:after="100" w:afterAutospacing="1"/>
      <w:jc w:val="left"/>
    </w:pPr>
    <w:rPr>
      <w:rFonts w:ascii="Times New Roman" w:hAnsi="Times New Roman"/>
      <w:sz w:val="24"/>
    </w:rPr>
  </w:style>
  <w:style w:type="paragraph" w:customStyle="1" w:styleId="heading0">
    <w:name w:val="heading0"/>
    <w:basedOn w:val="Normal"/>
    <w:rsid w:val="00605C21"/>
    <w:pPr>
      <w:spacing w:before="100" w:beforeAutospacing="1" w:after="100" w:afterAutospacing="1"/>
      <w:jc w:val="left"/>
    </w:pPr>
    <w:rPr>
      <w:rFonts w:ascii="Times New Roman" w:hAnsi="Times New Roman"/>
      <w:sz w:val="24"/>
    </w:rPr>
  </w:style>
  <w:style w:type="paragraph" w:customStyle="1" w:styleId="Headinga">
    <w:name w:val="Heading"/>
    <w:basedOn w:val="Normal"/>
    <w:rsid w:val="00B33928"/>
    <w:pPr>
      <w:keepNext/>
      <w:spacing w:before="240" w:after="60"/>
      <w:outlineLvl w:val="0"/>
    </w:pPr>
    <w:rPr>
      <w:rFonts w:cs="Arial"/>
      <w:b/>
      <w:kern w:val="32"/>
      <w:sz w:val="26"/>
      <w:szCs w:val="32"/>
    </w:rPr>
  </w:style>
  <w:style w:type="paragraph" w:customStyle="1" w:styleId="TableTextform">
    <w:name w:val="TableText form"/>
    <w:basedOn w:val="Normal"/>
    <w:qFormat/>
    <w:rsid w:val="004F3D22"/>
    <w:pPr>
      <w:spacing w:before="40"/>
      <w:jc w:val="left"/>
    </w:pPr>
    <w:rPr>
      <w:rFonts w:eastAsiaTheme="majorEastAsia" w:cs="Arial"/>
      <w:bCs/>
      <w:sz w:val="20"/>
      <w:szCs w:val="20"/>
      <w:lang w:eastAsia="en-US"/>
    </w:rPr>
  </w:style>
  <w:style w:type="paragraph" w:styleId="CommentSubject">
    <w:name w:val="annotation subject"/>
    <w:basedOn w:val="CommentText"/>
    <w:next w:val="CommentText"/>
    <w:link w:val="CommentSubjectChar"/>
    <w:uiPriority w:val="99"/>
    <w:semiHidden/>
    <w:unhideWhenUsed/>
    <w:rsid w:val="00527542"/>
    <w:rPr>
      <w:b/>
      <w:bCs/>
    </w:rPr>
  </w:style>
  <w:style w:type="character" w:customStyle="1" w:styleId="CommentSubjectChar">
    <w:name w:val="Comment Subject Char"/>
    <w:basedOn w:val="CommentTextChar"/>
    <w:link w:val="CommentSubject"/>
    <w:uiPriority w:val="99"/>
    <w:semiHidden/>
    <w:rsid w:val="00527542"/>
    <w:rPr>
      <w:rFonts w:ascii="Arial" w:hAnsi="Arial"/>
      <w:b/>
      <w:bCs/>
      <w:sz w:val="20"/>
      <w:szCs w:val="20"/>
      <w:lang w:eastAsia="en-AU"/>
    </w:rPr>
  </w:style>
  <w:style w:type="character" w:customStyle="1" w:styleId="ListParagraphChar">
    <w:name w:val="List Paragraph Char"/>
    <w:basedOn w:val="DefaultParagraphFont"/>
    <w:link w:val="ListParagraph"/>
    <w:uiPriority w:val="34"/>
    <w:rsid w:val="009D4911"/>
    <w:rPr>
      <w:rFonts w:ascii="Arial" w:hAnsi="Arial"/>
      <w:szCs w:val="24"/>
      <w:lang w:eastAsia="en-AU"/>
    </w:rPr>
  </w:style>
  <w:style w:type="character" w:customStyle="1" w:styleId="APRANORMALChar">
    <w:name w:val="APRA NORMAL Char"/>
    <w:basedOn w:val="DefaultParagraphFont"/>
    <w:link w:val="APRANORMAL"/>
    <w:locked/>
    <w:rsid w:val="00594DB4"/>
    <w:rPr>
      <w:rFonts w:ascii="DIN OT Light" w:hAnsi="DIN OT Light"/>
      <w:lang w:val="en-GB"/>
    </w:rPr>
  </w:style>
  <w:style w:type="paragraph" w:customStyle="1" w:styleId="APRANORMAL">
    <w:name w:val="APRA NORMAL"/>
    <w:basedOn w:val="Normal"/>
    <w:link w:val="APRANORMALChar"/>
    <w:qFormat/>
    <w:rsid w:val="00594DB4"/>
    <w:pPr>
      <w:jc w:val="left"/>
    </w:pPr>
    <w:rPr>
      <w:rFonts w:ascii="DIN OT Light" w:hAnsi="DIN OT Light"/>
      <w:szCs w:val="22"/>
      <w:lang w:val="en-GB" w:eastAsia="en-US"/>
    </w:rPr>
  </w:style>
  <w:style w:type="character" w:customStyle="1" w:styleId="APRABULLETChar">
    <w:name w:val="APRA BULLET Char"/>
    <w:basedOn w:val="DefaultParagraphFont"/>
    <w:link w:val="APRABULLET"/>
    <w:locked/>
    <w:rsid w:val="00594DB4"/>
    <w:rPr>
      <w:rFonts w:ascii="DIN OT Light" w:hAnsi="DIN OT Light"/>
      <w:lang w:val="en-GB"/>
    </w:rPr>
  </w:style>
  <w:style w:type="paragraph" w:customStyle="1" w:styleId="APRABULLET">
    <w:name w:val="APRA BULLET"/>
    <w:basedOn w:val="ListParagraph"/>
    <w:link w:val="APRABULLETChar"/>
    <w:qFormat/>
    <w:rsid w:val="00594DB4"/>
    <w:pPr>
      <w:numPr>
        <w:numId w:val="24"/>
      </w:numPr>
      <w:jc w:val="left"/>
    </w:pPr>
    <w:rPr>
      <w:rFonts w:ascii="DIN OT Light" w:hAnsi="DIN OT Light"/>
      <w:szCs w:val="22"/>
      <w:lang w:val="en-GB" w:eastAsia="en-US"/>
    </w:rPr>
  </w:style>
  <w:style w:type="paragraph" w:styleId="EndnoteText">
    <w:name w:val="endnote text"/>
    <w:basedOn w:val="Normal"/>
    <w:link w:val="EndnoteTextChar"/>
    <w:uiPriority w:val="99"/>
    <w:semiHidden/>
    <w:unhideWhenUsed/>
    <w:rsid w:val="00EB1ACB"/>
    <w:pPr>
      <w:spacing w:after="0"/>
    </w:pPr>
    <w:rPr>
      <w:sz w:val="20"/>
      <w:szCs w:val="20"/>
    </w:rPr>
  </w:style>
  <w:style w:type="character" w:customStyle="1" w:styleId="EndnoteTextChar">
    <w:name w:val="Endnote Text Char"/>
    <w:basedOn w:val="DefaultParagraphFont"/>
    <w:link w:val="EndnoteText"/>
    <w:uiPriority w:val="99"/>
    <w:semiHidden/>
    <w:rsid w:val="00EB1ACB"/>
    <w:rPr>
      <w:rFonts w:ascii="Arial" w:hAnsi="Arial"/>
      <w:sz w:val="20"/>
      <w:szCs w:val="20"/>
      <w:lang w:eastAsia="en-AU"/>
    </w:rPr>
  </w:style>
  <w:style w:type="character" w:styleId="EndnoteReference">
    <w:name w:val="endnote reference"/>
    <w:basedOn w:val="DefaultParagraphFont"/>
    <w:uiPriority w:val="99"/>
    <w:semiHidden/>
    <w:unhideWhenUsed/>
    <w:rsid w:val="00EB1ACB"/>
    <w:rPr>
      <w:vertAlign w:val="superscript"/>
    </w:rPr>
  </w:style>
  <w:style w:type="paragraph" w:styleId="Revision">
    <w:name w:val="Revision"/>
    <w:hidden/>
    <w:uiPriority w:val="99"/>
    <w:semiHidden/>
    <w:rsid w:val="006C2140"/>
    <w:pPr>
      <w:spacing w:after="0" w:line="240" w:lineRule="auto"/>
    </w:pPr>
    <w:rPr>
      <w:rFonts w:ascii="Arial" w:hAnsi="Arial"/>
      <w:szCs w:val="24"/>
      <w:lang w:eastAsia="en-AU"/>
    </w:rPr>
  </w:style>
  <w:style w:type="paragraph" w:customStyle="1" w:styleId="APRAHEADING3">
    <w:name w:val="APRA HEADING 3"/>
    <w:basedOn w:val="APRANORMAL"/>
    <w:link w:val="APRAHEADING3Char"/>
    <w:qFormat/>
    <w:rsid w:val="00DD702D"/>
    <w:pPr>
      <w:spacing w:before="360" w:after="120"/>
    </w:pPr>
    <w:rPr>
      <w:rFonts w:ascii="DIN OT Medium" w:eastAsiaTheme="minorHAnsi" w:hAnsi="DIN OT Medium"/>
      <w:color w:val="002060"/>
      <w:sz w:val="26"/>
      <w:szCs w:val="24"/>
    </w:rPr>
  </w:style>
  <w:style w:type="character" w:customStyle="1" w:styleId="APRAHEADING3Char">
    <w:name w:val="APRA HEADING 3 Char"/>
    <w:basedOn w:val="APRANORMALChar"/>
    <w:link w:val="APRAHEADING3"/>
    <w:rsid w:val="00DD702D"/>
    <w:rPr>
      <w:rFonts w:ascii="DIN OT Medium" w:eastAsiaTheme="minorHAnsi" w:hAnsi="DIN OT Medium"/>
      <w:color w:val="002060"/>
      <w:sz w:val="2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5543">
      <w:bodyDiv w:val="1"/>
      <w:marLeft w:val="0"/>
      <w:marRight w:val="0"/>
      <w:marTop w:val="0"/>
      <w:marBottom w:val="0"/>
      <w:divBdr>
        <w:top w:val="none" w:sz="0" w:space="0" w:color="auto"/>
        <w:left w:val="none" w:sz="0" w:space="0" w:color="auto"/>
        <w:bottom w:val="none" w:sz="0" w:space="0" w:color="auto"/>
        <w:right w:val="none" w:sz="0" w:space="0" w:color="auto"/>
      </w:divBdr>
    </w:div>
    <w:div w:id="1650162696">
      <w:bodyDiv w:val="1"/>
      <w:marLeft w:val="0"/>
      <w:marRight w:val="0"/>
      <w:marTop w:val="0"/>
      <w:marBottom w:val="0"/>
      <w:divBdr>
        <w:top w:val="none" w:sz="0" w:space="0" w:color="auto"/>
        <w:left w:val="none" w:sz="0" w:space="0" w:color="auto"/>
        <w:bottom w:val="none" w:sz="0" w:space="0" w:color="auto"/>
        <w:right w:val="none" w:sz="0" w:space="0" w:color="auto"/>
      </w:divBdr>
      <w:divsChild>
        <w:div w:id="191962900">
          <w:marLeft w:val="0"/>
          <w:marRight w:val="0"/>
          <w:marTop w:val="0"/>
          <w:marBottom w:val="0"/>
          <w:divBdr>
            <w:top w:val="none" w:sz="0" w:space="0" w:color="auto"/>
            <w:left w:val="none" w:sz="0" w:space="0" w:color="auto"/>
            <w:bottom w:val="none" w:sz="0" w:space="0" w:color="auto"/>
            <w:right w:val="none" w:sz="0" w:space="0" w:color="auto"/>
          </w:divBdr>
          <w:divsChild>
            <w:div w:id="47925477">
              <w:marLeft w:val="0"/>
              <w:marRight w:val="0"/>
              <w:marTop w:val="0"/>
              <w:marBottom w:val="0"/>
              <w:divBdr>
                <w:top w:val="none" w:sz="0" w:space="0" w:color="auto"/>
                <w:left w:val="none" w:sz="0" w:space="0" w:color="auto"/>
                <w:bottom w:val="none" w:sz="0" w:space="0" w:color="auto"/>
                <w:right w:val="none" w:sz="0" w:space="0" w:color="auto"/>
              </w:divBdr>
              <w:divsChild>
                <w:div w:id="1059865498">
                  <w:marLeft w:val="0"/>
                  <w:marRight w:val="0"/>
                  <w:marTop w:val="0"/>
                  <w:marBottom w:val="0"/>
                  <w:divBdr>
                    <w:top w:val="none" w:sz="0" w:space="0" w:color="auto"/>
                    <w:left w:val="none" w:sz="0" w:space="0" w:color="auto"/>
                    <w:bottom w:val="none" w:sz="0" w:space="0" w:color="auto"/>
                    <w:right w:val="none" w:sz="0" w:space="0" w:color="auto"/>
                  </w:divBdr>
                  <w:divsChild>
                    <w:div w:id="886842946">
                      <w:marLeft w:val="0"/>
                      <w:marRight w:val="0"/>
                      <w:marTop w:val="0"/>
                      <w:marBottom w:val="0"/>
                      <w:divBdr>
                        <w:top w:val="none" w:sz="0" w:space="0" w:color="auto"/>
                        <w:left w:val="none" w:sz="0" w:space="0" w:color="auto"/>
                        <w:bottom w:val="none" w:sz="0" w:space="0" w:color="auto"/>
                        <w:right w:val="none" w:sz="0" w:space="0" w:color="auto"/>
                      </w:divBdr>
                      <w:divsChild>
                        <w:div w:id="181868443">
                          <w:marLeft w:val="0"/>
                          <w:marRight w:val="0"/>
                          <w:marTop w:val="0"/>
                          <w:marBottom w:val="0"/>
                          <w:divBdr>
                            <w:top w:val="none" w:sz="0" w:space="0" w:color="auto"/>
                            <w:left w:val="none" w:sz="0" w:space="0" w:color="auto"/>
                            <w:bottom w:val="none" w:sz="0" w:space="0" w:color="auto"/>
                            <w:right w:val="none" w:sz="0" w:space="0" w:color="auto"/>
                          </w:divBdr>
                          <w:divsChild>
                            <w:div w:id="215239015">
                              <w:marLeft w:val="0"/>
                              <w:marRight w:val="0"/>
                              <w:marTop w:val="0"/>
                              <w:marBottom w:val="0"/>
                              <w:divBdr>
                                <w:top w:val="none" w:sz="0" w:space="0" w:color="auto"/>
                                <w:left w:val="none" w:sz="0" w:space="0" w:color="auto"/>
                                <w:bottom w:val="none" w:sz="0" w:space="0" w:color="auto"/>
                                <w:right w:val="none" w:sz="0" w:space="0" w:color="auto"/>
                              </w:divBdr>
                              <w:divsChild>
                                <w:div w:id="1666593459">
                                  <w:marLeft w:val="0"/>
                                  <w:marRight w:val="0"/>
                                  <w:marTop w:val="0"/>
                                  <w:marBottom w:val="0"/>
                                  <w:divBdr>
                                    <w:top w:val="none" w:sz="0" w:space="0" w:color="auto"/>
                                    <w:left w:val="none" w:sz="0" w:space="0" w:color="auto"/>
                                    <w:bottom w:val="none" w:sz="0" w:space="0" w:color="auto"/>
                                    <w:right w:val="none" w:sz="0" w:space="0" w:color="auto"/>
                                  </w:divBdr>
                                  <w:divsChild>
                                    <w:div w:id="402338432">
                                      <w:marLeft w:val="0"/>
                                      <w:marRight w:val="0"/>
                                      <w:marTop w:val="0"/>
                                      <w:marBottom w:val="0"/>
                                      <w:divBdr>
                                        <w:top w:val="none" w:sz="0" w:space="0" w:color="auto"/>
                                        <w:left w:val="none" w:sz="0" w:space="0" w:color="auto"/>
                                        <w:bottom w:val="none" w:sz="0" w:space="0" w:color="auto"/>
                                        <w:right w:val="none" w:sz="0" w:space="0" w:color="auto"/>
                                      </w:divBdr>
                                      <w:divsChild>
                                        <w:div w:id="1028140019">
                                          <w:marLeft w:val="0"/>
                                          <w:marRight w:val="0"/>
                                          <w:marTop w:val="0"/>
                                          <w:marBottom w:val="0"/>
                                          <w:divBdr>
                                            <w:top w:val="none" w:sz="0" w:space="0" w:color="auto"/>
                                            <w:left w:val="none" w:sz="0" w:space="0" w:color="auto"/>
                                            <w:bottom w:val="none" w:sz="0" w:space="0" w:color="auto"/>
                                            <w:right w:val="none" w:sz="0" w:space="0" w:color="auto"/>
                                          </w:divBdr>
                                          <w:divsChild>
                                            <w:div w:id="395586384">
                                              <w:marLeft w:val="0"/>
                                              <w:marRight w:val="0"/>
                                              <w:marTop w:val="0"/>
                                              <w:marBottom w:val="0"/>
                                              <w:divBdr>
                                                <w:top w:val="none" w:sz="0" w:space="0" w:color="auto"/>
                                                <w:left w:val="none" w:sz="0" w:space="0" w:color="auto"/>
                                                <w:bottom w:val="none" w:sz="0" w:space="0" w:color="auto"/>
                                                <w:right w:val="none" w:sz="0" w:space="0" w:color="auto"/>
                                              </w:divBdr>
                                              <w:divsChild>
                                                <w:div w:id="600377071">
                                                  <w:marLeft w:val="0"/>
                                                  <w:marRight w:val="0"/>
                                                  <w:marTop w:val="0"/>
                                                  <w:marBottom w:val="0"/>
                                                  <w:divBdr>
                                                    <w:top w:val="none" w:sz="0" w:space="0" w:color="auto"/>
                                                    <w:left w:val="none" w:sz="0" w:space="0" w:color="auto"/>
                                                    <w:bottom w:val="none" w:sz="0" w:space="0" w:color="auto"/>
                                                    <w:right w:val="none" w:sz="0" w:space="0" w:color="auto"/>
                                                  </w:divBdr>
                                                  <w:divsChild>
                                                    <w:div w:id="992493456">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sChild>
                                                            <w:div w:id="1042293611">
                                                              <w:marLeft w:val="0"/>
                                                              <w:marRight w:val="0"/>
                                                              <w:marTop w:val="0"/>
                                                              <w:marBottom w:val="0"/>
                                                              <w:divBdr>
                                                                <w:top w:val="single" w:sz="8" w:space="1" w:color="auto"/>
                                                                <w:left w:val="single" w:sz="8" w:space="4" w:color="auto"/>
                                                                <w:bottom w:val="single" w:sz="8" w:space="1" w:color="auto"/>
                                                                <w:right w:val="single" w:sz="8" w:space="4" w:color="auto"/>
                                                              </w:divBdr>
                                                            </w:div>
                                                          </w:divsChild>
                                                        </w:div>
                                                        <w:div w:id="1982072630">
                                                          <w:marLeft w:val="0"/>
                                                          <w:marRight w:val="0"/>
                                                          <w:marTop w:val="0"/>
                                                          <w:marBottom w:val="0"/>
                                                          <w:divBdr>
                                                            <w:top w:val="none" w:sz="0" w:space="0" w:color="auto"/>
                                                            <w:left w:val="none" w:sz="0" w:space="0" w:color="auto"/>
                                                            <w:bottom w:val="none" w:sz="0" w:space="0" w:color="auto"/>
                                                            <w:right w:val="none" w:sz="0" w:space="0" w:color="auto"/>
                                                          </w:divBdr>
                                                          <w:divsChild>
                                                            <w:div w:id="679820420">
                                                              <w:marLeft w:val="0"/>
                                                              <w:marRight w:val="0"/>
                                                              <w:marTop w:val="0"/>
                                                              <w:marBottom w:val="0"/>
                                                              <w:divBdr>
                                                                <w:top w:val="none" w:sz="0" w:space="0" w:color="auto"/>
                                                                <w:left w:val="none" w:sz="0" w:space="0" w:color="auto"/>
                                                                <w:bottom w:val="none" w:sz="0" w:space="0" w:color="auto"/>
                                                                <w:right w:val="none" w:sz="0" w:space="0" w:color="auto"/>
                                                              </w:divBdr>
                                                            </w:div>
                                                            <w:div w:id="820778531">
                                                              <w:marLeft w:val="0"/>
                                                              <w:marRight w:val="0"/>
                                                              <w:marTop w:val="0"/>
                                                              <w:marBottom w:val="0"/>
                                                              <w:divBdr>
                                                                <w:top w:val="none" w:sz="0" w:space="0" w:color="auto"/>
                                                                <w:left w:val="none" w:sz="0" w:space="0" w:color="auto"/>
                                                                <w:bottom w:val="none" w:sz="0" w:space="0" w:color="auto"/>
                                                                <w:right w:val="none" w:sz="0" w:space="0" w:color="auto"/>
                                                              </w:divBdr>
                                                            </w:div>
                                                            <w:div w:id="1301109830">
                                                              <w:marLeft w:val="0"/>
                                                              <w:marRight w:val="0"/>
                                                              <w:marTop w:val="0"/>
                                                              <w:marBottom w:val="0"/>
                                                              <w:divBdr>
                                                                <w:top w:val="none" w:sz="0" w:space="0" w:color="auto"/>
                                                                <w:left w:val="none" w:sz="0" w:space="0" w:color="auto"/>
                                                                <w:bottom w:val="none" w:sz="0" w:space="0" w:color="auto"/>
                                                                <w:right w:val="none" w:sz="0" w:space="0" w:color="auto"/>
                                                              </w:divBdr>
                                                            </w:div>
                                                            <w:div w:id="532691162">
                                                              <w:marLeft w:val="0"/>
                                                              <w:marRight w:val="0"/>
                                                              <w:marTop w:val="0"/>
                                                              <w:marBottom w:val="0"/>
                                                              <w:divBdr>
                                                                <w:top w:val="none" w:sz="0" w:space="0" w:color="auto"/>
                                                                <w:left w:val="none" w:sz="0" w:space="0" w:color="auto"/>
                                                                <w:bottom w:val="none" w:sz="0" w:space="0" w:color="auto"/>
                                                                <w:right w:val="none" w:sz="0" w:space="0" w:color="auto"/>
                                                              </w:divBdr>
                                                            </w:div>
                                                            <w:div w:id="261298842">
                                                              <w:marLeft w:val="0"/>
                                                              <w:marRight w:val="0"/>
                                                              <w:marTop w:val="0"/>
                                                              <w:marBottom w:val="0"/>
                                                              <w:divBdr>
                                                                <w:top w:val="none" w:sz="0" w:space="0" w:color="auto"/>
                                                                <w:left w:val="none" w:sz="0" w:space="0" w:color="auto"/>
                                                                <w:bottom w:val="none" w:sz="0" w:space="0" w:color="auto"/>
                                                                <w:right w:val="none" w:sz="0" w:space="0" w:color="auto"/>
                                                              </w:divBdr>
                                                            </w:div>
                                                            <w:div w:id="614481849">
                                                              <w:marLeft w:val="0"/>
                                                              <w:marRight w:val="0"/>
                                                              <w:marTop w:val="0"/>
                                                              <w:marBottom w:val="0"/>
                                                              <w:divBdr>
                                                                <w:top w:val="none" w:sz="0" w:space="0" w:color="auto"/>
                                                                <w:left w:val="none" w:sz="0" w:space="0" w:color="auto"/>
                                                                <w:bottom w:val="none" w:sz="0" w:space="0" w:color="auto"/>
                                                                <w:right w:val="none" w:sz="0" w:space="0" w:color="auto"/>
                                                              </w:divBdr>
                                                            </w:div>
                                                            <w:div w:id="781463809">
                                                              <w:marLeft w:val="0"/>
                                                              <w:marRight w:val="0"/>
                                                              <w:marTop w:val="0"/>
                                                              <w:marBottom w:val="0"/>
                                                              <w:divBdr>
                                                                <w:top w:val="none" w:sz="0" w:space="0" w:color="auto"/>
                                                                <w:left w:val="none" w:sz="0" w:space="0" w:color="auto"/>
                                                                <w:bottom w:val="none" w:sz="0" w:space="0" w:color="auto"/>
                                                                <w:right w:val="none" w:sz="0" w:space="0" w:color="auto"/>
                                                              </w:divBdr>
                                                            </w:div>
                                                            <w:div w:id="171995040">
                                                              <w:marLeft w:val="0"/>
                                                              <w:marRight w:val="0"/>
                                                              <w:marTop w:val="0"/>
                                                              <w:marBottom w:val="0"/>
                                                              <w:divBdr>
                                                                <w:top w:val="none" w:sz="0" w:space="0" w:color="auto"/>
                                                                <w:left w:val="none" w:sz="0" w:space="0" w:color="auto"/>
                                                                <w:bottom w:val="none" w:sz="0" w:space="0" w:color="auto"/>
                                                                <w:right w:val="none" w:sz="0" w:space="0" w:color="auto"/>
                                                              </w:divBdr>
                                                            </w:div>
                                                            <w:div w:id="2017657474">
                                                              <w:marLeft w:val="0"/>
                                                              <w:marRight w:val="0"/>
                                                              <w:marTop w:val="0"/>
                                                              <w:marBottom w:val="0"/>
                                                              <w:divBdr>
                                                                <w:top w:val="none" w:sz="0" w:space="0" w:color="auto"/>
                                                                <w:left w:val="none" w:sz="0" w:space="0" w:color="auto"/>
                                                                <w:bottom w:val="none" w:sz="0" w:space="0" w:color="auto"/>
                                                                <w:right w:val="none" w:sz="0" w:space="0" w:color="auto"/>
                                                              </w:divBdr>
                                                            </w:div>
                                                            <w:div w:id="11727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023381">
      <w:bodyDiv w:val="1"/>
      <w:marLeft w:val="0"/>
      <w:marRight w:val="0"/>
      <w:marTop w:val="0"/>
      <w:marBottom w:val="0"/>
      <w:divBdr>
        <w:top w:val="none" w:sz="0" w:space="0" w:color="auto"/>
        <w:left w:val="none" w:sz="0" w:space="0" w:color="auto"/>
        <w:bottom w:val="none" w:sz="0" w:space="0" w:color="auto"/>
        <w:right w:val="none" w:sz="0" w:space="0" w:color="auto"/>
      </w:divBdr>
    </w:div>
    <w:div w:id="19041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5DC771C71BB4845AB93BC02659C2DB8" ma:contentTypeVersion="41" ma:contentTypeDescription="Create a new document." ma:contentTypeScope="" ma:versionID="064e89384cd1d4ca266e9aa652837c9d">
  <xsd:schema xmlns:xsd="http://www.w3.org/2001/XMLSchema" xmlns:xs="http://www.w3.org/2001/XMLSchema" xmlns:p="http://schemas.microsoft.com/office/2006/metadata/properties" xmlns:ns1="814d62cb-2db6-4c25-ab62-b9075facbc11" targetNamespace="http://schemas.microsoft.com/office/2006/metadata/properties" ma:root="true" ma:fieldsID="5c92866c16cc27dd85bdef4b81c4811d"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cabba438-e540-45b7-b5ef-c7b650713dff}" ma:internalName="TaxCatchAll" ma:showField="CatchAllData"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cabba438-e540-45b7-b5ef-c7b650713dff}" ma:internalName="TaxCatchAllLabel" ma:readOnly="true" ma:showField="CatchAllDataLabel"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default="" ma:fieldId="{3724204a-6447-41eb-9f77-7fcb03fe8840}" ma:taxonomyMulti="true" ma:sspId="8aef97a4-ded2-4e4a-9fbc-e666dae3ecd2" ma:termSetId="bc69aadb-e477-43ee-ac85-2690ed5e70c7"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TermInfo xmlns="http://schemas.microsoft.com/office/infopath/2007/PartnerControls">
          <TermName xmlns="http://schemas.microsoft.com/office/infopath/2007/PartnerControls">Private Health Insurance (Prudential Supervision) Act 2015</TermName>
          <TermId xmlns="http://schemas.microsoft.com/office/infopath/2007/PartnerControls">01905406-79f0-428d-bcfd-886429f0c7a1</TermId>
        </TermInfo>
      </Terms>
    </b37d8d7e823543f58f89056343a9035c>
    <d9a849fd1b8e46ada0321eb0681a10ee xmlns="814d62cb-2db6-4c25-ab62-b9075facbc11">
      <Terms xmlns="http://schemas.microsoft.com/office/infopath/2007/PartnerControls"/>
    </d9a849fd1b8e46ada0321eb0681a10ee>
    <APRAOwner xmlns="814d62cb-2db6-4c25-ab62-b9075facbc11">
      <UserInfo>
        <DisplayName>Bowden, Fiona</DisplayName>
        <AccountId>52</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Governance</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To be processed</TermName>
          <TermId xmlns="http://schemas.microsoft.com/office/infopath/2007/PartnerControls">c0c6f97a-a3b3-435c-af41-5a1e9d58212b</TermId>
        </TermInfo>
      </Terms>
    </j163382b748246d3b6e7caae71dbeeb0>
    <TaxCatchAll xmlns="814d62cb-2db6-4c25-ab62-b9075facbc11">
      <Value>33</Value>
      <Value>15</Value>
      <Value>14</Value>
      <Value>11</Value>
      <Value>107</Value>
      <Value>240</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s>
    </l003ee8eff60461aa1bd0027aba92ea4>
    <APRADescription xmlns="814d62cb-2db6-4c25-ab62-b9075facbc11">Explanatory Statement (ES) for CPS 510 expanding coverage to PHIs</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CPS 510 Governance</TermName>
          <TermId xmlns="http://schemas.microsoft.com/office/infopath/2007/PartnerControls">3374e1fd-4314-489a-b89c-fba9765313c0</TermId>
        </TermInfo>
      </Terms>
    </aa36a5a650d54f768f171f4d17b8b238>
    <_dlc_DocId xmlns="814d62cb-2db6-4c25-ab62-b9075facbc11">WP5AJ56JFQTV-44125397-921</_dlc_DocId>
    <_dlc_DocIdUrl xmlns="814d62cb-2db6-4c25-ab62-b9075facbc11">
      <Url>https://im/teams/POLICYINS/_layouts/15/DocIdRedir.aspx?ID=WP5AJ56JFQTV-44125397-921</Url>
      <Description>WP5AJ56JFQTV-44125397-921</Description>
    </_dlc_DocIdUrl>
    <APRAMeetingDate xmlns="814d62cb-2db6-4c25-ab62-b9075facbc11" xsi:nil="true"/>
    <APRAMeetingNumber xmlns="814d62cb-2db6-4c25-ab62-b9075facb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2.xml><?xml version="1.0" encoding="utf-8"?>
<ds:datastoreItem xmlns:ds="http://schemas.openxmlformats.org/officeDocument/2006/customXml" ds:itemID="{6AD23DD5-CCB9-47CC-A334-51C9C0E2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D65E4-C341-4218-93F1-A803338500E7}">
  <ds:schemaRef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5.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6.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7.xml><?xml version="1.0" encoding="utf-8"?>
<ds:datastoreItem xmlns:ds="http://schemas.openxmlformats.org/officeDocument/2006/customXml" ds:itemID="{B03E20E8-8316-4844-8273-D98BCAF3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1884</Words>
  <Characters>11089</Characters>
  <Application>Microsoft Office Word</Application>
  <DocSecurity>0</DocSecurity>
  <Lines>189</Lines>
  <Paragraphs>71</Paragraphs>
  <ScaleCrop>false</ScaleCrop>
  <HeadingPairs>
    <vt:vector size="2" baseType="variant">
      <vt:variant>
        <vt:lpstr>Title</vt:lpstr>
      </vt:variant>
      <vt:variant>
        <vt:i4>1</vt:i4>
      </vt:variant>
    </vt:vector>
  </HeadingPairs>
  <TitlesOfParts>
    <vt:vector size="1" baseType="lpstr">
      <vt:lpstr>ES - Banking, Insurance, Life Insurance and Health Insur (prudential standard) determination No. 1 of 2017</vt:lpstr>
    </vt:vector>
  </TitlesOfParts>
  <Company>APRA</Company>
  <LinksUpToDate>false</LinksUpToDate>
  <CharactersWithSpaces>12926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Insurance, Life Insurance and Health Insur (prudential standard) determination No. 1 of 2017</dc:title>
  <dc:subject/>
  <dc:creator>Gray, Annemaree</dc:creator>
  <cp:keywords>[SEC=UNCLASSIFIED]</cp:keywords>
  <dc:description/>
  <cp:lastModifiedBy>Chen, Alice</cp:lastModifiedBy>
  <cp:revision>2</cp:revision>
  <cp:lastPrinted>2018-09-25T02:33:00Z</cp:lastPrinted>
  <dcterms:created xsi:type="dcterms:W3CDTF">2018-09-27T07:03:00Z</dcterms:created>
  <dcterms:modified xsi:type="dcterms:W3CDTF">2018-09-27T07:03:00Z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A1D55FE21516A40B041E98377D2D0DCD58D5850A</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9C067D50978879436E318D5E7BFFFFEDBE5D11BB</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B27C5C063B7042C883B594F0517ED4B4</vt:lpwstr>
  </property>
  <property fmtid="{D5CDD505-2E9C-101B-9397-08002B2CF9AE}" pid="16" name="PM_OriginationTimeStamp">
    <vt:lpwstr>2018-02-26T04:42:17Z</vt:lpwstr>
  </property>
  <property fmtid="{D5CDD505-2E9C-101B-9397-08002B2CF9AE}" pid="17" name="PM_Hash_Version">
    <vt:lpwstr>2016.1</vt:lpwstr>
  </property>
  <property fmtid="{D5CDD505-2E9C-101B-9397-08002B2CF9AE}" pid="18" name="PM_Hash_Salt_Prev">
    <vt:lpwstr>32CE449974543704905F781555C3BE0A</vt:lpwstr>
  </property>
  <property fmtid="{D5CDD505-2E9C-101B-9397-08002B2CF9AE}" pid="19" name="PM_Hash_Salt">
    <vt:lpwstr>92732AF1282000E92F563F5A0AB0845E</vt:lpwstr>
  </property>
  <property fmtid="{D5CDD505-2E9C-101B-9397-08002B2CF9AE}" pid="20" name="PM_MinimumSecurityClassification">
    <vt:lpwstr/>
  </property>
  <property fmtid="{D5CDD505-2E9C-101B-9397-08002B2CF9AE}" pid="21" name="ContentTypeId">
    <vt:lpwstr>0x0101008CA7A4F8331B45C7B0D3158B4994D0CA0200E5DC771C71BB4845AB93BC02659C2DB8</vt:lpwstr>
  </property>
  <property fmtid="{D5CDD505-2E9C-101B-9397-08002B2CF9AE}" pid="22" name="APRAExternalOrganisation">
    <vt:lpwstr/>
  </property>
  <property fmtid="{D5CDD505-2E9C-101B-9397-08002B2CF9AE}" pid="23" name="APRAIRTR">
    <vt:lpwstr/>
  </property>
  <property fmtid="{D5CDD505-2E9C-101B-9397-08002B2CF9AE}" pid="24" name="APRAPeriod">
    <vt:lpwstr/>
  </property>
  <property fmtid="{D5CDD505-2E9C-101B-9397-08002B2CF9AE}" pid="25" name="APRACostCentre">
    <vt:lpwstr/>
  </property>
  <property fmtid="{D5CDD505-2E9C-101B-9397-08002B2CF9AE}" pid="26" name="IT system type">
    <vt:lpwstr/>
  </property>
  <property fmtid="{D5CDD505-2E9C-101B-9397-08002B2CF9AE}" pid="27" name="APRACategory">
    <vt:lpwstr/>
  </property>
  <property fmtid="{D5CDD505-2E9C-101B-9397-08002B2CF9AE}" pid="28" name="APRAPRSG">
    <vt:lpwstr>107;#CPS 510 Governance|3374e1fd-4314-489a-b89c-fba9765313c0</vt:lpwstr>
  </property>
  <property fmtid="{D5CDD505-2E9C-101B-9397-08002B2CF9AE}" pid="29" name="APRAStatus">
    <vt:lpwstr>240;#To be processed|c0c6f97a-a3b3-435c-af41-5a1e9d58212b</vt:lpwstr>
  </property>
  <property fmtid="{D5CDD505-2E9C-101B-9397-08002B2CF9AE}" pid="30" name="APRADocumentType">
    <vt:lpwstr>33;#Explanatory statement|b22f2e2f-3f73-411b-9a7c-34264d26fa25</vt:lpwstr>
  </property>
  <property fmtid="{D5CDD505-2E9C-101B-9397-08002B2CF9AE}" pid="31" name="APRAActivity">
    <vt:lpwstr>11;#Prudential standard development|fbeb3364-1425-47e2-8200-3b7f3a245dfe</vt:lpwstr>
  </property>
  <property fmtid="{D5CDD505-2E9C-101B-9397-08002B2CF9AE}" pid="32" name="APRAEntityAdviceSupport">
    <vt:lpwstr/>
  </property>
  <property fmtid="{D5CDD505-2E9C-101B-9397-08002B2CF9AE}" pid="33" name="APRALegislation">
    <vt:lpwstr>15;#Private Health Insurance (Prudential Supervision) Act 2015|01905406-79f0-428d-bcfd-886429f0c7a1</vt:lpwstr>
  </property>
  <property fmtid="{D5CDD505-2E9C-101B-9397-08002B2CF9AE}" pid="34" name="APRAYear">
    <vt:lpwstr/>
  </property>
  <property fmtid="{D5CDD505-2E9C-101B-9397-08002B2CF9AE}" pid="35" name="APRAIndustry">
    <vt:lpwstr>14;#PHI|10657f9d-7e9a-e511-8d41-005056b54f10</vt:lpwstr>
  </property>
  <property fmtid="{D5CDD505-2E9C-101B-9397-08002B2CF9AE}" pid="36" name="_dlc_DocIdItemGuid">
    <vt:lpwstr>9d7b1ce3-9f58-405c-a0fe-34de2ef547b8</vt:lpwstr>
  </property>
  <property fmtid="{D5CDD505-2E9C-101B-9397-08002B2CF9AE}" pid="37" name="RecordPoint_WorkflowType">
    <vt:lpwstr>ActiveSubmitStub</vt:lpwstr>
  </property>
  <property fmtid="{D5CDD505-2E9C-101B-9397-08002B2CF9AE}" pid="38" name="RecordPoint_ActiveItemWebId">
    <vt:lpwstr>{b7c132af-ef8f-43c8-b784-c343c8358833}</vt:lpwstr>
  </property>
  <property fmtid="{D5CDD505-2E9C-101B-9397-08002B2CF9AE}" pid="39" name="RecordPoint_ActiveItemSiteId">
    <vt:lpwstr>{0108aca2-193a-480a-9365-26eca985c6f0}</vt:lpwstr>
  </property>
  <property fmtid="{D5CDD505-2E9C-101B-9397-08002B2CF9AE}" pid="40" name="RecordPoint_ActiveItemListId">
    <vt:lpwstr>{8524f2be-f3e8-4e4e-b114-b0bf6497a529}</vt:lpwstr>
  </property>
  <property fmtid="{D5CDD505-2E9C-101B-9397-08002B2CF9AE}" pid="41" name="RecordPoint_ActiveItemUniqueId">
    <vt:lpwstr>{9d7b1ce3-9f58-405c-a0fe-34de2ef547b8}</vt:lpwstr>
  </property>
  <property fmtid="{D5CDD505-2E9C-101B-9397-08002B2CF9AE}" pid="42" name="IsLocked">
    <vt:lpwstr>Yes</vt:lpwstr>
  </property>
  <property fmtid="{D5CDD505-2E9C-101B-9397-08002B2CF9AE}" pid="43" name="RecordPoint_SubmissionCompleted">
    <vt:lpwstr>2018-09-25T15:15:00.6521686+10:00</vt:lpwstr>
  </property>
  <property fmtid="{D5CDD505-2E9C-101B-9397-08002B2CF9AE}" pid="44" name="RecordPoint_RecordNumberSubmitted">
    <vt:lpwstr>R0000462893</vt:lpwstr>
  </property>
  <property fmtid="{D5CDD505-2E9C-101B-9397-08002B2CF9AE}" pid="45" name="PM_SecurityClassification_Prev">
    <vt:lpwstr>UNCLASSIFIED</vt:lpwstr>
  </property>
  <property fmtid="{D5CDD505-2E9C-101B-9397-08002B2CF9AE}" pid="46" name="PM_Qualifier_Prev">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