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D9EE4" w14:textId="77777777" w:rsidR="00BE119A" w:rsidRDefault="00BE119A" w:rsidP="00BE119A">
      <w:pPr>
        <w:rPr>
          <w:color w:val="000000"/>
        </w:rPr>
      </w:pPr>
      <w:bookmarkStart w:id="0" w:name="_Toc168113228"/>
      <w:bookmarkStart w:id="1" w:name="_GoBack"/>
      <w:bookmarkEnd w:id="1"/>
      <w:r>
        <w:rPr>
          <w:noProof/>
          <w:color w:val="000000"/>
        </w:rPr>
        <w:drawing>
          <wp:inline distT="0" distB="0" distL="0" distR="0" wp14:anchorId="293E90F3" wp14:editId="604B71CC">
            <wp:extent cx="1419225" cy="1104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67857B26" w14:textId="77777777" w:rsidR="00BE119A" w:rsidRDefault="00BE119A" w:rsidP="00BE119A">
      <w:pPr>
        <w:rPr>
          <w:color w:val="000000"/>
        </w:rPr>
      </w:pPr>
    </w:p>
    <w:p w14:paraId="06D25758" w14:textId="77777777" w:rsidR="00BE119A" w:rsidRPr="0050148F" w:rsidRDefault="00BE119A" w:rsidP="00BE119A">
      <w:pPr>
        <w:pStyle w:val="Title"/>
        <w:rPr>
          <w:rFonts w:ascii="Arial" w:hAnsi="Arial" w:cs="Arial"/>
          <w:color w:val="000000"/>
          <w:szCs w:val="40"/>
        </w:rPr>
      </w:pPr>
      <w:r w:rsidRPr="0050148F">
        <w:rPr>
          <w:rFonts w:ascii="Arial" w:hAnsi="Arial" w:cs="Arial"/>
          <w:caps w:val="0"/>
          <w:color w:val="000000"/>
          <w:szCs w:val="40"/>
        </w:rPr>
        <w:t xml:space="preserve">Health Insurance (prudential standard) determination No. </w:t>
      </w:r>
      <w:r w:rsidRPr="0050148F">
        <w:rPr>
          <w:rFonts w:ascii="Arial" w:hAnsi="Arial" w:cs="Arial"/>
          <w:color w:val="000000"/>
          <w:szCs w:val="40"/>
        </w:rPr>
        <w:t xml:space="preserve">2 </w:t>
      </w:r>
      <w:r w:rsidRPr="0050148F">
        <w:rPr>
          <w:rFonts w:ascii="Arial" w:hAnsi="Arial" w:cs="Arial"/>
          <w:caps w:val="0"/>
          <w:color w:val="000000"/>
          <w:szCs w:val="40"/>
        </w:rPr>
        <w:t>of 201</w:t>
      </w:r>
      <w:r w:rsidRPr="0050148F">
        <w:rPr>
          <w:rFonts w:ascii="Arial" w:hAnsi="Arial" w:cs="Arial"/>
          <w:color w:val="000000"/>
          <w:szCs w:val="40"/>
        </w:rPr>
        <w:t xml:space="preserve">8 </w:t>
      </w:r>
    </w:p>
    <w:p w14:paraId="4E6D8C15" w14:textId="77777777" w:rsidR="00BE119A" w:rsidRDefault="00BE119A" w:rsidP="00BE119A">
      <w:pPr>
        <w:pStyle w:val="Title"/>
        <w:rPr>
          <w:rFonts w:ascii="Arial" w:hAnsi="Arial" w:cs="Arial"/>
          <w:caps w:val="0"/>
          <w:color w:val="000000"/>
          <w:sz w:val="28"/>
          <w:szCs w:val="28"/>
        </w:rPr>
      </w:pPr>
    </w:p>
    <w:p w14:paraId="5BA3D58C" w14:textId="77777777" w:rsidR="00BE119A" w:rsidRPr="00D452F9" w:rsidRDefault="00BE119A" w:rsidP="00BE119A">
      <w:pPr>
        <w:pStyle w:val="Title"/>
        <w:rPr>
          <w:rFonts w:ascii="Arial" w:hAnsi="Arial" w:cs="Arial"/>
          <w:color w:val="000000"/>
          <w:sz w:val="28"/>
          <w:szCs w:val="28"/>
        </w:rPr>
      </w:pPr>
      <w:r>
        <w:rPr>
          <w:rFonts w:ascii="Arial" w:hAnsi="Arial" w:cs="Arial"/>
          <w:caps w:val="0"/>
          <w:color w:val="000000"/>
          <w:sz w:val="28"/>
          <w:szCs w:val="28"/>
        </w:rPr>
        <w:t>Prudential S</w:t>
      </w:r>
      <w:r w:rsidRPr="00D452F9">
        <w:rPr>
          <w:rFonts w:ascii="Arial" w:hAnsi="Arial" w:cs="Arial"/>
          <w:caps w:val="0"/>
          <w:color w:val="000000"/>
          <w:sz w:val="28"/>
          <w:szCs w:val="28"/>
        </w:rPr>
        <w:t xml:space="preserve">tandard </w:t>
      </w:r>
      <w:r>
        <w:rPr>
          <w:rFonts w:ascii="Arial" w:hAnsi="Arial" w:cs="Arial"/>
          <w:caps w:val="0"/>
          <w:color w:val="000000"/>
          <w:sz w:val="28"/>
          <w:szCs w:val="28"/>
        </w:rPr>
        <w:t>HPS 001 D</w:t>
      </w:r>
      <w:r w:rsidRPr="00D452F9">
        <w:rPr>
          <w:rFonts w:ascii="Arial" w:hAnsi="Arial" w:cs="Arial"/>
          <w:caps w:val="0"/>
          <w:color w:val="000000"/>
          <w:sz w:val="28"/>
          <w:szCs w:val="28"/>
        </w:rPr>
        <w:t>efinitions</w:t>
      </w:r>
    </w:p>
    <w:p w14:paraId="3744467C" w14:textId="77777777" w:rsidR="00BE119A" w:rsidRDefault="00BE119A" w:rsidP="00BE119A">
      <w:pPr>
        <w:pStyle w:val="ActTitle"/>
        <w:rPr>
          <w:color w:val="000000"/>
        </w:rPr>
      </w:pPr>
      <w:r>
        <w:rPr>
          <w:color w:val="000000"/>
        </w:rPr>
        <w:t>Private Health Insurance (Prudential Supervision) Act 2015</w:t>
      </w:r>
    </w:p>
    <w:p w14:paraId="5150C8BB" w14:textId="77777777" w:rsidR="00BE119A" w:rsidRDefault="00BE119A" w:rsidP="00BE119A">
      <w:pPr>
        <w:pStyle w:val="IntroTo"/>
        <w:rPr>
          <w:color w:val="000000"/>
        </w:rPr>
      </w:pPr>
    </w:p>
    <w:p w14:paraId="233184ED" w14:textId="77777777" w:rsidR="00BE119A" w:rsidRDefault="00BE119A" w:rsidP="00BE119A">
      <w:pPr>
        <w:pStyle w:val="IntroTo"/>
        <w:ind w:left="709" w:hanging="709"/>
        <w:jc w:val="both"/>
        <w:rPr>
          <w:szCs w:val="24"/>
        </w:rPr>
      </w:pPr>
      <w:r>
        <w:rPr>
          <w:szCs w:val="24"/>
        </w:rPr>
        <w:t>I, Geoff Summerhayes, a delegate of APRA:</w:t>
      </w:r>
    </w:p>
    <w:p w14:paraId="3DC54D84" w14:textId="77777777" w:rsidR="00BE119A" w:rsidRDefault="00BE119A" w:rsidP="00BE119A">
      <w:pPr>
        <w:pStyle w:val="IntroTo"/>
        <w:ind w:left="709" w:hanging="709"/>
        <w:jc w:val="both"/>
        <w:rPr>
          <w:szCs w:val="24"/>
        </w:rPr>
      </w:pPr>
    </w:p>
    <w:p w14:paraId="553B9D7D" w14:textId="2894EB31" w:rsidR="00BE119A" w:rsidRDefault="00BE119A" w:rsidP="00BE119A">
      <w:pPr>
        <w:pStyle w:val="IntroTo"/>
        <w:numPr>
          <w:ilvl w:val="0"/>
          <w:numId w:val="27"/>
        </w:numPr>
        <w:ind w:left="720" w:hanging="720"/>
        <w:jc w:val="both"/>
        <w:rPr>
          <w:color w:val="000000"/>
          <w:szCs w:val="24"/>
        </w:rPr>
      </w:pPr>
      <w:r>
        <w:rPr>
          <w:color w:val="000000"/>
          <w:szCs w:val="24"/>
        </w:rPr>
        <w:t xml:space="preserve">under subsection 92(5) of the </w:t>
      </w:r>
      <w:r>
        <w:rPr>
          <w:i/>
          <w:color w:val="000000"/>
          <w:szCs w:val="24"/>
        </w:rPr>
        <w:t>Private Health</w:t>
      </w:r>
      <w:r>
        <w:rPr>
          <w:color w:val="000000"/>
          <w:szCs w:val="24"/>
        </w:rPr>
        <w:t xml:space="preserve"> </w:t>
      </w:r>
      <w:r>
        <w:rPr>
          <w:i/>
          <w:color w:val="000000"/>
          <w:szCs w:val="24"/>
        </w:rPr>
        <w:t xml:space="preserve">Insurance (Prudential Supervision) Act 2015 </w:t>
      </w:r>
      <w:r>
        <w:rPr>
          <w:color w:val="000000"/>
          <w:szCs w:val="24"/>
        </w:rPr>
        <w:t>(the</w:t>
      </w:r>
      <w:r w:rsidR="00BD66CD">
        <w:rPr>
          <w:color w:val="000000"/>
          <w:szCs w:val="24"/>
        </w:rPr>
        <w:t xml:space="preserve"> PHIPS</w:t>
      </w:r>
      <w:r>
        <w:rPr>
          <w:color w:val="000000"/>
          <w:szCs w:val="24"/>
        </w:rPr>
        <w:t xml:space="preserve"> Act) REVOKE Health Insurance (prudential standard) determination No. 1 of 2017, including </w:t>
      </w:r>
      <w:r>
        <w:rPr>
          <w:i/>
          <w:color w:val="000000"/>
          <w:szCs w:val="24"/>
        </w:rPr>
        <w:t xml:space="preserve">Prudential Standard HPS 001 </w:t>
      </w:r>
      <w:r w:rsidRPr="003D7437">
        <w:rPr>
          <w:color w:val="000000"/>
          <w:szCs w:val="24"/>
        </w:rPr>
        <w:t>Definitions</w:t>
      </w:r>
      <w:r>
        <w:rPr>
          <w:color w:val="000000"/>
          <w:szCs w:val="24"/>
        </w:rPr>
        <w:t xml:space="preserve"> made under that Determination, to the extent that it applied to all private health insurers; and </w:t>
      </w:r>
    </w:p>
    <w:p w14:paraId="6B15AAC3" w14:textId="77777777" w:rsidR="00BE119A" w:rsidRDefault="00BE119A" w:rsidP="00BE119A">
      <w:pPr>
        <w:pStyle w:val="IntroTo"/>
        <w:ind w:firstLine="0"/>
        <w:jc w:val="both"/>
        <w:rPr>
          <w:color w:val="000000"/>
          <w:szCs w:val="24"/>
        </w:rPr>
      </w:pPr>
    </w:p>
    <w:p w14:paraId="3944D953" w14:textId="77777777" w:rsidR="00BE119A" w:rsidRPr="007C559F" w:rsidRDefault="00BE119A" w:rsidP="00BE119A">
      <w:pPr>
        <w:pStyle w:val="IntroTo"/>
        <w:numPr>
          <w:ilvl w:val="0"/>
          <w:numId w:val="27"/>
        </w:numPr>
        <w:ind w:left="720" w:hanging="720"/>
        <w:jc w:val="both"/>
        <w:rPr>
          <w:color w:val="000000"/>
          <w:szCs w:val="24"/>
        </w:rPr>
      </w:pPr>
      <w:r>
        <w:rPr>
          <w:color w:val="000000"/>
          <w:szCs w:val="24"/>
        </w:rPr>
        <w:t xml:space="preserve">under subsection 92(1) of the </w:t>
      </w:r>
      <w:r w:rsidRPr="008A2759">
        <w:rPr>
          <w:i/>
          <w:color w:val="000000"/>
          <w:szCs w:val="24"/>
        </w:rPr>
        <w:t>Private Health Insurance (Prudential Supervision) Act 2015</w:t>
      </w:r>
      <w:r>
        <w:rPr>
          <w:color w:val="000000"/>
          <w:szCs w:val="24"/>
        </w:rPr>
        <w:t xml:space="preserve"> </w:t>
      </w:r>
      <w:r w:rsidRPr="007C559F">
        <w:rPr>
          <w:color w:val="000000"/>
          <w:szCs w:val="24"/>
        </w:rPr>
        <w:t xml:space="preserve">DETERMINE </w:t>
      </w:r>
      <w:r w:rsidRPr="007C559F">
        <w:rPr>
          <w:i/>
          <w:color w:val="000000"/>
          <w:szCs w:val="24"/>
        </w:rPr>
        <w:t>Prudential Standard HPS 001 Definitions</w:t>
      </w:r>
      <w:r w:rsidRPr="007C559F">
        <w:rPr>
          <w:color w:val="000000"/>
          <w:szCs w:val="24"/>
        </w:rPr>
        <w:t>, in the form set out in the Schedule, which applies to all private health insurers.</w:t>
      </w:r>
    </w:p>
    <w:p w14:paraId="215220F1" w14:textId="77777777" w:rsidR="00BE119A" w:rsidRDefault="00BE119A" w:rsidP="00BE119A"/>
    <w:p w14:paraId="66C68495" w14:textId="77777777" w:rsidR="00BE119A" w:rsidRDefault="00BE119A" w:rsidP="00BE119A">
      <w:r>
        <w:t>This instrument commences on 1 July 2019.</w:t>
      </w:r>
    </w:p>
    <w:p w14:paraId="68D92975" w14:textId="77777777" w:rsidR="00BE119A" w:rsidRDefault="00BE119A" w:rsidP="00BE119A"/>
    <w:p w14:paraId="7F6766D5" w14:textId="77777777" w:rsidR="00676DA1" w:rsidRDefault="00676DA1" w:rsidP="00BE119A"/>
    <w:p w14:paraId="6E186BD5" w14:textId="08AACC15" w:rsidR="00BE119A" w:rsidRDefault="00284C5E" w:rsidP="00BE119A">
      <w:r>
        <w:t>Dated: 14 September</w:t>
      </w:r>
      <w:r w:rsidR="00BE119A">
        <w:t xml:space="preserve"> 2018</w:t>
      </w:r>
    </w:p>
    <w:p w14:paraId="39EDADA9" w14:textId="77777777" w:rsidR="00BE119A" w:rsidRDefault="00BE119A" w:rsidP="00BE119A">
      <w:pPr>
        <w:rPr>
          <w:i/>
        </w:rPr>
      </w:pPr>
    </w:p>
    <w:p w14:paraId="6E2BF9CB" w14:textId="77777777" w:rsidR="00BE119A" w:rsidRDefault="00BE119A" w:rsidP="00BE119A">
      <w:pPr>
        <w:rPr>
          <w:i/>
        </w:rPr>
      </w:pPr>
    </w:p>
    <w:p w14:paraId="281B1423" w14:textId="77777777" w:rsidR="00BE119A" w:rsidRDefault="00BE119A" w:rsidP="00BE119A"/>
    <w:p w14:paraId="01FBE26F" w14:textId="77777777" w:rsidR="00BE119A" w:rsidRDefault="00BE119A" w:rsidP="00BE119A"/>
    <w:p w14:paraId="1F07305A" w14:textId="77777777" w:rsidR="00676DA1" w:rsidRDefault="00676DA1" w:rsidP="00BE119A"/>
    <w:p w14:paraId="372A6815" w14:textId="77777777" w:rsidR="00BE119A" w:rsidRDefault="00BE119A" w:rsidP="00BE119A">
      <w:r>
        <w:t>Geoff Summerhayes</w:t>
      </w:r>
    </w:p>
    <w:p w14:paraId="755CDB82" w14:textId="77777777" w:rsidR="00676DA1" w:rsidRDefault="00676DA1" w:rsidP="00BE119A"/>
    <w:p w14:paraId="44D5BB96" w14:textId="77777777" w:rsidR="00284C5E" w:rsidRDefault="00284C5E" w:rsidP="00BE119A"/>
    <w:p w14:paraId="030EC618" w14:textId="719291A8" w:rsidR="00BE119A" w:rsidRDefault="00BE119A" w:rsidP="00284C5E">
      <w:r>
        <w:t>Member</w:t>
      </w:r>
    </w:p>
    <w:p w14:paraId="42AFE936" w14:textId="77777777" w:rsidR="00284C5E" w:rsidRDefault="00284C5E" w:rsidP="00284C5E"/>
    <w:p w14:paraId="09013363" w14:textId="77777777" w:rsidR="00284C5E" w:rsidRDefault="00284C5E" w:rsidP="00284C5E"/>
    <w:p w14:paraId="26FA7F3A" w14:textId="77777777" w:rsidR="00284C5E" w:rsidRPr="00284C5E" w:rsidRDefault="00284C5E" w:rsidP="00284C5E"/>
    <w:p w14:paraId="68D2455B" w14:textId="77777777" w:rsidR="00BE119A" w:rsidRDefault="00BE119A" w:rsidP="00BE119A">
      <w:pPr>
        <w:pStyle w:val="IH"/>
        <w:ind w:left="0" w:firstLine="0"/>
        <w:rPr>
          <w:rFonts w:ascii="Times New Roman" w:hAnsi="Times New Roman"/>
          <w:color w:val="000000"/>
        </w:rPr>
      </w:pPr>
      <w:r>
        <w:rPr>
          <w:b w:val="0"/>
          <w:color w:val="000000"/>
        </w:rPr>
        <w:br w:type="page"/>
      </w:r>
      <w:r>
        <w:rPr>
          <w:rFonts w:ascii="Times New Roman" w:hAnsi="Times New Roman"/>
          <w:color w:val="000000"/>
        </w:rPr>
        <w:lastRenderedPageBreak/>
        <w:t>Interpretation</w:t>
      </w:r>
    </w:p>
    <w:p w14:paraId="65BBAE91" w14:textId="77777777" w:rsidR="00BE119A" w:rsidRDefault="00BE119A" w:rsidP="00BE119A">
      <w:pPr>
        <w:pStyle w:val="IP"/>
        <w:rPr>
          <w:color w:val="000000"/>
        </w:rPr>
      </w:pPr>
      <w:r>
        <w:rPr>
          <w:color w:val="000000"/>
        </w:rPr>
        <w:t>In this Determination:</w:t>
      </w:r>
    </w:p>
    <w:p w14:paraId="6C24E0D7" w14:textId="77777777" w:rsidR="00BE119A" w:rsidRDefault="00BE119A" w:rsidP="00BE119A">
      <w:pPr>
        <w:pStyle w:val="IntroTo"/>
        <w:spacing w:before="240"/>
        <w:ind w:left="0" w:firstLine="0"/>
        <w:jc w:val="both"/>
        <w:rPr>
          <w:color w:val="000000"/>
          <w:szCs w:val="24"/>
        </w:rPr>
      </w:pPr>
      <w:r>
        <w:rPr>
          <w:b/>
          <w:i/>
          <w:color w:val="000000"/>
          <w:szCs w:val="24"/>
        </w:rPr>
        <w:t>APRA</w:t>
      </w:r>
      <w:r>
        <w:rPr>
          <w:color w:val="000000"/>
          <w:szCs w:val="24"/>
        </w:rPr>
        <w:t xml:space="preserve"> means the Australian Prudential Regulation Authority.</w:t>
      </w:r>
    </w:p>
    <w:p w14:paraId="5DD29516" w14:textId="77777777" w:rsidR="00BE119A" w:rsidRPr="004D4DAF" w:rsidRDefault="00BE119A" w:rsidP="00BE119A">
      <w:pPr>
        <w:pStyle w:val="IntroTo"/>
        <w:spacing w:before="240"/>
        <w:ind w:left="0" w:firstLine="0"/>
        <w:jc w:val="both"/>
        <w:rPr>
          <w:rStyle w:val="CharSchNo"/>
          <w:b/>
          <w:i/>
          <w:color w:val="000000"/>
          <w:szCs w:val="24"/>
        </w:rPr>
      </w:pPr>
      <w:r>
        <w:rPr>
          <w:b/>
          <w:i/>
          <w:color w:val="000000"/>
          <w:szCs w:val="24"/>
        </w:rPr>
        <w:t xml:space="preserve">private health insurer </w:t>
      </w:r>
      <w:r>
        <w:rPr>
          <w:color w:val="000000"/>
          <w:szCs w:val="24"/>
        </w:rPr>
        <w:t xml:space="preserve">has the same meaning as in the Act. </w:t>
      </w:r>
      <w:r>
        <w:rPr>
          <w:b/>
          <w:i/>
          <w:color w:val="000000"/>
          <w:szCs w:val="24"/>
        </w:rPr>
        <w:t xml:space="preserve"> </w:t>
      </w:r>
    </w:p>
    <w:p w14:paraId="72AE45EE" w14:textId="77777777" w:rsidR="00BE119A" w:rsidRDefault="00BE119A" w:rsidP="00BE119A">
      <w:pPr>
        <w:pStyle w:val="AS"/>
        <w:ind w:left="0" w:firstLine="0"/>
        <w:rPr>
          <w:rStyle w:val="CharSchNo"/>
          <w:color w:val="000000"/>
        </w:rPr>
      </w:pPr>
      <w:r>
        <w:rPr>
          <w:rStyle w:val="CharSchNo"/>
          <w:color w:val="000000"/>
        </w:rPr>
        <w:t xml:space="preserve">Schedule </w:t>
      </w:r>
    </w:p>
    <w:p w14:paraId="22BDAC9B" w14:textId="77777777" w:rsidR="00BE119A" w:rsidRDefault="00BE119A" w:rsidP="00BE119A">
      <w:pPr>
        <w:rPr>
          <w:rFonts w:ascii="Arial" w:hAnsi="Arial"/>
          <w:sz w:val="22"/>
        </w:rPr>
      </w:pPr>
    </w:p>
    <w:p w14:paraId="61937493" w14:textId="77777777" w:rsidR="00BE119A" w:rsidRDefault="00BE119A" w:rsidP="00BE119A">
      <w:pPr>
        <w:rPr>
          <w:bCs/>
          <w:szCs w:val="24"/>
        </w:rPr>
      </w:pPr>
      <w:r>
        <w:rPr>
          <w:i/>
          <w:color w:val="000000"/>
          <w:szCs w:val="24"/>
        </w:rPr>
        <w:t xml:space="preserve">Prudential Standard HPS 001 Definitions </w:t>
      </w:r>
      <w:r>
        <w:rPr>
          <w:bCs/>
          <w:szCs w:val="24"/>
        </w:rPr>
        <w:t>comprises the following 7 pages</w:t>
      </w:r>
      <w:bookmarkEnd w:id="0"/>
    </w:p>
    <w:p w14:paraId="70EC0311" w14:textId="77777777" w:rsidR="00BE119A" w:rsidRDefault="00BE119A" w:rsidP="00BE119A">
      <w:pPr>
        <w:rPr>
          <w:bCs/>
          <w:szCs w:val="24"/>
        </w:rPr>
      </w:pPr>
    </w:p>
    <w:p w14:paraId="35765E31" w14:textId="4B56F33D" w:rsidR="00BE119A" w:rsidRDefault="00BE119A" w:rsidP="00D452F9">
      <w:pPr>
        <w:pStyle w:val="Heading5"/>
        <w:jc w:val="both"/>
        <w:rPr>
          <w:szCs w:val="20"/>
        </w:rPr>
        <w:sectPr w:rsidR="00BE119A" w:rsidSect="00C62913">
          <w:footerReference w:type="first" r:id="rId15"/>
          <w:pgSz w:w="11906" w:h="16838" w:code="9"/>
          <w:pgMar w:top="1440" w:right="1440" w:bottom="1440" w:left="1440" w:header="567" w:footer="567" w:gutter="0"/>
          <w:cols w:space="708"/>
          <w:titlePg/>
          <w:docGrid w:linePitch="360"/>
        </w:sectPr>
      </w:pPr>
    </w:p>
    <w:p w14:paraId="1204ECC5" w14:textId="7FB3F2CB" w:rsidR="00D452F9" w:rsidRDefault="00D452F9" w:rsidP="00D452F9">
      <w:pPr>
        <w:pStyle w:val="Heading5"/>
        <w:jc w:val="both"/>
        <w:rPr>
          <w:szCs w:val="20"/>
        </w:rPr>
      </w:pPr>
      <w:r>
        <w:rPr>
          <w:noProof/>
        </w:rPr>
        <w:lastRenderedPageBreak/>
        <w:drawing>
          <wp:inline distT="0" distB="0" distL="0" distR="0" wp14:anchorId="1204ED75" wp14:editId="1204ED76">
            <wp:extent cx="14192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bookmarkStart w:id="2" w:name="_Ref214187054"/>
      <w:bookmarkEnd w:id="2"/>
    </w:p>
    <w:p w14:paraId="1204ECC6" w14:textId="77777777" w:rsidR="00D452F9" w:rsidRDefault="00D452F9" w:rsidP="00D452F9">
      <w:pPr>
        <w:pStyle w:val="Heading5"/>
        <w:spacing w:after="240"/>
        <w:rPr>
          <w:rFonts w:ascii="Arial" w:hAnsi="Arial"/>
          <w:sz w:val="26"/>
        </w:rPr>
      </w:pPr>
    </w:p>
    <w:p w14:paraId="1204ECC7" w14:textId="77777777" w:rsidR="00D452F9" w:rsidRPr="00B9295F" w:rsidRDefault="00D452F9" w:rsidP="00D452F9">
      <w:pPr>
        <w:pStyle w:val="Heading5"/>
        <w:spacing w:before="120" w:after="360"/>
        <w:rPr>
          <w:rFonts w:ascii="Arial" w:hAnsi="Arial"/>
          <w:i w:val="0"/>
          <w:sz w:val="40"/>
          <w:szCs w:val="40"/>
        </w:rPr>
      </w:pPr>
      <w:r w:rsidRPr="00B9295F">
        <w:rPr>
          <w:rFonts w:ascii="Arial" w:hAnsi="Arial"/>
          <w:i w:val="0"/>
          <w:sz w:val="40"/>
          <w:szCs w:val="40"/>
        </w:rPr>
        <w:t xml:space="preserve">Prudential Standard HPS </w:t>
      </w:r>
      <w:r w:rsidR="00E97C95" w:rsidRPr="00B9295F">
        <w:rPr>
          <w:rFonts w:ascii="Arial" w:hAnsi="Arial"/>
          <w:i w:val="0"/>
          <w:sz w:val="40"/>
          <w:szCs w:val="40"/>
        </w:rPr>
        <w:t>001</w:t>
      </w:r>
    </w:p>
    <w:p w14:paraId="1204ECC8" w14:textId="77777777" w:rsidR="00D452F9" w:rsidRDefault="00E97C95" w:rsidP="00D452F9">
      <w:pPr>
        <w:tabs>
          <w:tab w:val="left" w:pos="9000"/>
        </w:tabs>
        <w:spacing w:before="120" w:after="240"/>
        <w:rPr>
          <w:rFonts w:ascii="Arial" w:hAnsi="Arial" w:cs="Arial"/>
          <w:b/>
          <w:sz w:val="40"/>
          <w:szCs w:val="40"/>
        </w:rPr>
      </w:pPr>
      <w:bookmarkStart w:id="3" w:name="_Toc214330526"/>
      <w:r>
        <w:rPr>
          <w:rFonts w:ascii="Arial" w:hAnsi="Arial" w:cs="Arial"/>
          <w:b/>
          <w:sz w:val="40"/>
          <w:szCs w:val="40"/>
        </w:rPr>
        <w:t>Definitions</w:t>
      </w:r>
    </w:p>
    <w:p w14:paraId="1204ECC9" w14:textId="77777777" w:rsidR="00D452F9" w:rsidRDefault="00D452F9" w:rsidP="00BE7A00">
      <w:pPr>
        <w:pBdr>
          <w:top w:val="single" w:sz="4" w:space="1" w:color="auto"/>
          <w:left w:val="single" w:sz="4" w:space="4" w:color="auto"/>
          <w:bottom w:val="single" w:sz="4" w:space="1" w:color="auto"/>
          <w:right w:val="single" w:sz="4" w:space="4" w:color="auto"/>
        </w:pBdr>
        <w:shd w:val="clear" w:color="auto" w:fill="E6E6E6"/>
        <w:tabs>
          <w:tab w:val="left" w:pos="9000"/>
        </w:tabs>
        <w:spacing w:before="120" w:after="360"/>
        <w:rPr>
          <w:rFonts w:ascii="Arial" w:hAnsi="Arial" w:cs="Arial"/>
          <w:b/>
          <w:sz w:val="32"/>
          <w:szCs w:val="32"/>
        </w:rPr>
      </w:pPr>
      <w:r>
        <w:rPr>
          <w:rFonts w:ascii="Arial" w:hAnsi="Arial" w:cs="Arial"/>
          <w:b/>
          <w:sz w:val="32"/>
          <w:szCs w:val="32"/>
        </w:rPr>
        <w:t>Objectives and key requirements of this Prudential Standard</w:t>
      </w:r>
    </w:p>
    <w:p w14:paraId="5F2212D0" w14:textId="04EFC69C" w:rsidR="00B9295F" w:rsidRDefault="00D452F9" w:rsidP="00B9295F">
      <w:pPr>
        <w:pBdr>
          <w:top w:val="single" w:sz="4" w:space="1" w:color="auto"/>
          <w:left w:val="single" w:sz="4" w:space="4" w:color="auto"/>
          <w:bottom w:val="single" w:sz="4" w:space="1" w:color="auto"/>
          <w:right w:val="single" w:sz="4" w:space="4" w:color="auto"/>
        </w:pBdr>
        <w:shd w:val="clear" w:color="auto" w:fill="E6E6E6"/>
        <w:tabs>
          <w:tab w:val="left" w:pos="9000"/>
        </w:tabs>
        <w:jc w:val="both"/>
      </w:pPr>
      <w:r>
        <w:t xml:space="preserve">This Prudential Standard </w:t>
      </w:r>
      <w:r w:rsidR="00E97C95">
        <w:t xml:space="preserve">defines key terms referred to in other prudential standards which are applicable to private health </w:t>
      </w:r>
      <w:r w:rsidR="0006429C">
        <w:t>insurers</w:t>
      </w:r>
      <w:r w:rsidR="00E97C95">
        <w:t xml:space="preserve">. All prudential standards applicable to </w:t>
      </w:r>
      <w:r>
        <w:t>private health insurer</w:t>
      </w:r>
      <w:r w:rsidR="00E97C95">
        <w:t>s must be read in conjunction with this Prudential Standard.</w:t>
      </w:r>
      <w:r w:rsidR="00B9295F">
        <w:t xml:space="preserve"> </w:t>
      </w:r>
    </w:p>
    <w:p w14:paraId="1B5E08B1" w14:textId="77777777" w:rsidR="00B9295F" w:rsidRDefault="00B9295F" w:rsidP="00B9295F">
      <w:pPr>
        <w:pBdr>
          <w:top w:val="single" w:sz="4" w:space="1" w:color="auto"/>
          <w:left w:val="single" w:sz="4" w:space="4" w:color="auto"/>
          <w:bottom w:val="single" w:sz="4" w:space="1" w:color="auto"/>
          <w:right w:val="single" w:sz="4" w:space="4" w:color="auto"/>
        </w:pBdr>
        <w:shd w:val="clear" w:color="auto" w:fill="E6E6E6"/>
        <w:tabs>
          <w:tab w:val="left" w:pos="9000"/>
        </w:tabs>
        <w:jc w:val="both"/>
      </w:pPr>
    </w:p>
    <w:bookmarkEnd w:id="3"/>
    <w:p w14:paraId="1204ECCD" w14:textId="77777777" w:rsidR="00D452F9" w:rsidRDefault="00D452F9" w:rsidP="00D452F9">
      <w:pPr>
        <w:rPr>
          <w:rFonts w:ascii="Arial" w:hAnsi="Arial" w:cs="Arial"/>
          <w:b/>
          <w:bCs/>
          <w:kern w:val="32"/>
          <w:szCs w:val="24"/>
        </w:rPr>
      </w:pPr>
      <w:r>
        <w:rPr>
          <w:szCs w:val="24"/>
        </w:rPr>
        <w:br w:type="page"/>
      </w:r>
      <w:bookmarkStart w:id="4" w:name="_Toc254614303"/>
      <w:bookmarkStart w:id="5" w:name="_Toc254614302"/>
      <w:bookmarkStart w:id="6" w:name="_Toc226426950"/>
      <w:bookmarkStart w:id="7" w:name="_Toc222544122"/>
      <w:bookmarkStart w:id="8" w:name="_Toc222315044"/>
      <w:bookmarkStart w:id="9" w:name="_Toc222134996"/>
      <w:bookmarkStart w:id="10" w:name="_Toc221683643"/>
      <w:bookmarkStart w:id="11" w:name="_Toc221611743"/>
      <w:bookmarkStart w:id="12" w:name="_Toc220308925"/>
      <w:bookmarkStart w:id="13" w:name="_Toc220146493"/>
      <w:bookmarkStart w:id="14" w:name="_Toc214333728"/>
    </w:p>
    <w:p w14:paraId="1204ECCE" w14:textId="77777777" w:rsidR="00D452F9" w:rsidRPr="00B9295F" w:rsidRDefault="00D452F9" w:rsidP="00F06477">
      <w:pPr>
        <w:pStyle w:val="Heading1"/>
        <w:keepNext/>
        <w:spacing w:after="240"/>
        <w:rPr>
          <w:rFonts w:ascii="Arial" w:eastAsia="Calibri" w:hAnsi="Arial"/>
          <w:sz w:val="24"/>
          <w:szCs w:val="24"/>
        </w:rPr>
      </w:pPr>
      <w:r w:rsidRPr="00B9295F">
        <w:rPr>
          <w:rFonts w:ascii="Arial" w:eastAsia="Calibri" w:hAnsi="Arial"/>
          <w:sz w:val="24"/>
          <w:szCs w:val="24"/>
        </w:rPr>
        <w:lastRenderedPageBreak/>
        <w:t>Authority</w:t>
      </w:r>
      <w:bookmarkEnd w:id="4"/>
      <w:bookmarkEnd w:id="5"/>
      <w:bookmarkEnd w:id="6"/>
      <w:bookmarkEnd w:id="7"/>
      <w:bookmarkEnd w:id="8"/>
      <w:bookmarkEnd w:id="9"/>
      <w:bookmarkEnd w:id="10"/>
      <w:bookmarkEnd w:id="11"/>
      <w:bookmarkEnd w:id="12"/>
      <w:bookmarkEnd w:id="13"/>
      <w:bookmarkEnd w:id="14"/>
    </w:p>
    <w:p w14:paraId="1204ECCF" w14:textId="77777777" w:rsidR="00D452F9" w:rsidRPr="00E97C95" w:rsidRDefault="00D452F9" w:rsidP="00D452F9">
      <w:pPr>
        <w:pStyle w:val="BodyText"/>
        <w:numPr>
          <w:ilvl w:val="0"/>
          <w:numId w:val="19"/>
        </w:numPr>
        <w:tabs>
          <w:tab w:val="left" w:pos="720"/>
        </w:tabs>
        <w:spacing w:after="240"/>
        <w:ind w:left="567" w:hanging="567"/>
        <w:jc w:val="both"/>
        <w:rPr>
          <w:szCs w:val="24"/>
        </w:rPr>
      </w:pPr>
      <w:bookmarkStart w:id="15" w:name="_Ref214184089"/>
      <w:r w:rsidRPr="00E97C95">
        <w:rPr>
          <w:szCs w:val="24"/>
        </w:rPr>
        <w:t xml:space="preserve">This Prudential Standard is made under paragraph 92(1) of the </w:t>
      </w:r>
      <w:r w:rsidRPr="00E97C95">
        <w:rPr>
          <w:i/>
          <w:szCs w:val="24"/>
        </w:rPr>
        <w:t>Private Health Insurance (Prudential Supervision) Act 2015</w:t>
      </w:r>
      <w:r w:rsidRPr="00E97C95">
        <w:rPr>
          <w:szCs w:val="24"/>
        </w:rPr>
        <w:t xml:space="preserve"> (the Act).</w:t>
      </w:r>
      <w:bookmarkEnd w:id="15"/>
      <w:r w:rsidRPr="00E97C95">
        <w:rPr>
          <w:szCs w:val="24"/>
        </w:rPr>
        <w:t xml:space="preserve">  </w:t>
      </w:r>
    </w:p>
    <w:p w14:paraId="1204ECD0" w14:textId="77777777" w:rsidR="00D452F9" w:rsidRPr="00B9295F" w:rsidRDefault="00D452F9" w:rsidP="00F06477">
      <w:pPr>
        <w:pStyle w:val="Heading1"/>
        <w:keepNext/>
        <w:spacing w:after="240"/>
        <w:rPr>
          <w:rFonts w:ascii="Arial" w:eastAsia="Calibri" w:hAnsi="Arial"/>
          <w:sz w:val="24"/>
          <w:szCs w:val="24"/>
        </w:rPr>
      </w:pPr>
      <w:bookmarkStart w:id="16" w:name="_Toc254614304"/>
      <w:bookmarkStart w:id="17" w:name="_Toc214333729"/>
      <w:r w:rsidRPr="00B9295F">
        <w:rPr>
          <w:rFonts w:ascii="Arial" w:eastAsia="Calibri" w:hAnsi="Arial"/>
          <w:sz w:val="24"/>
          <w:szCs w:val="24"/>
        </w:rPr>
        <w:t>Application</w:t>
      </w:r>
      <w:bookmarkEnd w:id="16"/>
      <w:bookmarkEnd w:id="17"/>
    </w:p>
    <w:p w14:paraId="1204ECD1" w14:textId="55BF7731" w:rsidR="00A06731" w:rsidRPr="00A06731" w:rsidRDefault="00A06731" w:rsidP="00A06731">
      <w:pPr>
        <w:pStyle w:val="BodyText"/>
        <w:numPr>
          <w:ilvl w:val="0"/>
          <w:numId w:val="19"/>
        </w:numPr>
        <w:tabs>
          <w:tab w:val="left" w:pos="720"/>
        </w:tabs>
        <w:spacing w:after="240"/>
        <w:ind w:left="567" w:hanging="567"/>
        <w:jc w:val="both"/>
        <w:rPr>
          <w:szCs w:val="24"/>
        </w:rPr>
      </w:pPr>
      <w:bookmarkStart w:id="18" w:name="_Ref214184075"/>
      <w:r w:rsidRPr="00A06731">
        <w:t>This Prudential Standard commences on 1 July 2019</w:t>
      </w:r>
      <w:r w:rsidR="0031117B">
        <w:t>.</w:t>
      </w:r>
    </w:p>
    <w:bookmarkEnd w:id="18"/>
    <w:p w14:paraId="1204ECD2" w14:textId="77777777" w:rsidR="00A06731" w:rsidRPr="00A06731" w:rsidRDefault="00A06731" w:rsidP="00A06731">
      <w:pPr>
        <w:pStyle w:val="BodyText"/>
        <w:numPr>
          <w:ilvl w:val="0"/>
          <w:numId w:val="19"/>
        </w:numPr>
        <w:tabs>
          <w:tab w:val="left" w:pos="720"/>
        </w:tabs>
        <w:spacing w:after="240"/>
        <w:ind w:left="567" w:hanging="567"/>
        <w:jc w:val="both"/>
        <w:rPr>
          <w:szCs w:val="24"/>
        </w:rPr>
      </w:pPr>
      <w:r w:rsidRPr="00A06731">
        <w:t>Unless the contrary intention appears, definitions in this Prudential Standard apply to all prudential standards made under subsection 92(1) of the Act (collectively ‘HI Prudential Standards’</w:t>
      </w:r>
      <w:bookmarkStart w:id="19" w:name="_Ref90200254"/>
      <w:r>
        <w:t>).</w:t>
      </w:r>
    </w:p>
    <w:p w14:paraId="1204ECD3" w14:textId="77777777" w:rsidR="00D452F9" w:rsidRPr="00A06731" w:rsidRDefault="00A06731" w:rsidP="00D452F9">
      <w:pPr>
        <w:pStyle w:val="BodyText"/>
        <w:numPr>
          <w:ilvl w:val="0"/>
          <w:numId w:val="19"/>
        </w:numPr>
        <w:tabs>
          <w:tab w:val="left" w:pos="720"/>
        </w:tabs>
        <w:spacing w:after="240"/>
        <w:ind w:left="567" w:hanging="567"/>
        <w:jc w:val="both"/>
        <w:rPr>
          <w:szCs w:val="24"/>
        </w:rPr>
      </w:pPr>
      <w:r w:rsidRPr="0007798C">
        <w:t xml:space="preserve">In this Prudential Standard, unless the contrary intention appears, a reference to an Act, Regulations or Prudential Standard is a reference to the Act, Regulations or Prudential Standard as in force from time to </w:t>
      </w:r>
      <w:r>
        <w:t>time.</w:t>
      </w:r>
    </w:p>
    <w:p w14:paraId="1204ECD4" w14:textId="77777777" w:rsidR="00D452F9" w:rsidRPr="00B9295F" w:rsidRDefault="00A06731" w:rsidP="00F06477">
      <w:pPr>
        <w:pStyle w:val="Heading1"/>
        <w:keepNext/>
        <w:spacing w:after="240"/>
        <w:rPr>
          <w:rFonts w:ascii="Arial" w:eastAsia="Calibri" w:hAnsi="Arial"/>
          <w:sz w:val="24"/>
          <w:szCs w:val="24"/>
        </w:rPr>
      </w:pPr>
      <w:r w:rsidRPr="00B9295F">
        <w:rPr>
          <w:rFonts w:ascii="Arial" w:eastAsia="Calibri" w:hAnsi="Arial"/>
          <w:sz w:val="24"/>
          <w:szCs w:val="24"/>
        </w:rPr>
        <w:t>Definit</w:t>
      </w:r>
      <w:r w:rsidR="00D452F9" w:rsidRPr="00B9295F">
        <w:rPr>
          <w:rFonts w:ascii="Arial" w:eastAsia="Calibri" w:hAnsi="Arial"/>
          <w:sz w:val="24"/>
          <w:szCs w:val="24"/>
        </w:rPr>
        <w:t>ion</w:t>
      </w:r>
      <w:r w:rsidRPr="00B9295F">
        <w:rPr>
          <w:rFonts w:ascii="Arial" w:eastAsia="Calibri" w:hAnsi="Arial"/>
          <w:sz w:val="24"/>
          <w:szCs w:val="24"/>
        </w:rPr>
        <w:t>s</w:t>
      </w:r>
    </w:p>
    <w:p w14:paraId="1204ECD5" w14:textId="77777777" w:rsidR="00F06477" w:rsidRPr="0007798C" w:rsidRDefault="00F06477" w:rsidP="004D4DAF">
      <w:pPr>
        <w:pStyle w:val="ListParagraph"/>
        <w:numPr>
          <w:ilvl w:val="0"/>
          <w:numId w:val="19"/>
        </w:numPr>
        <w:tabs>
          <w:tab w:val="clear" w:pos="720"/>
          <w:tab w:val="num" w:pos="567"/>
        </w:tabs>
        <w:spacing w:after="240"/>
        <w:ind w:hanging="720"/>
        <w:contextualSpacing w:val="0"/>
        <w:jc w:val="both"/>
      </w:pPr>
      <w:r w:rsidRPr="0007798C">
        <w:t>Key terms in the HI Prudential Standards are defined as follows:</w:t>
      </w:r>
    </w:p>
    <w:p w14:paraId="1204ECD6" w14:textId="77777777" w:rsidR="00F06477" w:rsidRDefault="00F06477" w:rsidP="00F06477">
      <w:pPr>
        <w:ind w:left="567"/>
        <w:jc w:val="both"/>
      </w:pPr>
      <w:r w:rsidRPr="00D36919">
        <w:rPr>
          <w:b/>
        </w:rPr>
        <w:t>Act</w:t>
      </w:r>
      <w:r w:rsidRPr="0007798C">
        <w:t xml:space="preserve"> means the </w:t>
      </w:r>
      <w:r w:rsidRPr="00F06477">
        <w:rPr>
          <w:i/>
        </w:rPr>
        <w:t>Private Health Insurance (Prudential Supervision) Act 2015</w:t>
      </w:r>
      <w:r w:rsidRPr="0007798C">
        <w:t>.</w:t>
      </w:r>
    </w:p>
    <w:p w14:paraId="1204ECD7" w14:textId="77777777" w:rsidR="00F06477" w:rsidRPr="0007798C" w:rsidRDefault="00F06477" w:rsidP="00F06477">
      <w:pPr>
        <w:ind w:left="567"/>
        <w:jc w:val="both"/>
      </w:pPr>
    </w:p>
    <w:p w14:paraId="1204ECD8" w14:textId="77777777" w:rsidR="00F06477" w:rsidRDefault="00F06477" w:rsidP="00F06477">
      <w:pPr>
        <w:ind w:left="567"/>
        <w:jc w:val="both"/>
      </w:pPr>
      <w:r w:rsidRPr="00D36919">
        <w:rPr>
          <w:b/>
        </w:rPr>
        <w:t>Annual balance date</w:t>
      </w:r>
      <w:r w:rsidRPr="0007798C">
        <w:t xml:space="preserve"> is 30 June each year for private health insurers.</w:t>
      </w:r>
    </w:p>
    <w:p w14:paraId="1204ECD9" w14:textId="77777777" w:rsidR="00F06477" w:rsidRPr="0007798C" w:rsidRDefault="00F06477" w:rsidP="00F06477">
      <w:pPr>
        <w:ind w:left="567"/>
        <w:jc w:val="both"/>
      </w:pPr>
    </w:p>
    <w:p w14:paraId="1204ECDA" w14:textId="77777777" w:rsidR="00F06477" w:rsidRDefault="00F06477" w:rsidP="00F06477">
      <w:pPr>
        <w:ind w:firstLine="567"/>
        <w:jc w:val="both"/>
      </w:pPr>
      <w:r w:rsidRPr="00D36919">
        <w:rPr>
          <w:b/>
        </w:rPr>
        <w:t>Appointed actuary</w:t>
      </w:r>
      <w:r w:rsidRPr="0007798C">
        <w:t xml:space="preserve"> has the same meaning as in the Act.</w:t>
      </w:r>
    </w:p>
    <w:p w14:paraId="1204ECDB" w14:textId="77777777" w:rsidR="00F06477" w:rsidRPr="0007798C" w:rsidRDefault="00F06477" w:rsidP="00F06477">
      <w:pPr>
        <w:ind w:firstLine="567"/>
        <w:jc w:val="both"/>
      </w:pPr>
    </w:p>
    <w:p w14:paraId="1204ECDC" w14:textId="77777777" w:rsidR="00F06477" w:rsidRDefault="00F06477" w:rsidP="00F06477">
      <w:pPr>
        <w:ind w:left="567"/>
        <w:jc w:val="both"/>
      </w:pPr>
      <w:r w:rsidRPr="00D36919">
        <w:rPr>
          <w:b/>
        </w:rPr>
        <w:t>Appointed Auditor</w:t>
      </w:r>
      <w:r w:rsidRPr="0007798C">
        <w:t xml:space="preserve"> means an auditor appointed for the purposes of Prudential Standard HPS 310 Audit and Related Matters. </w:t>
      </w:r>
    </w:p>
    <w:p w14:paraId="1204ECDD" w14:textId="77777777" w:rsidR="00F06477" w:rsidRPr="0007798C" w:rsidRDefault="00F06477" w:rsidP="00F06477">
      <w:pPr>
        <w:ind w:left="567"/>
        <w:jc w:val="both"/>
      </w:pPr>
    </w:p>
    <w:p w14:paraId="1204ECDE" w14:textId="66BAA9A9" w:rsidR="00F06477" w:rsidRDefault="00F06477" w:rsidP="00F06477">
      <w:pPr>
        <w:ind w:left="567"/>
        <w:jc w:val="both"/>
      </w:pPr>
      <w:r w:rsidRPr="00D36919">
        <w:rPr>
          <w:b/>
        </w:rPr>
        <w:t>Approved loss absorbing subordinated debt of a health benefits fund</w:t>
      </w:r>
      <w:r w:rsidRPr="0007798C">
        <w:t xml:space="preserve"> means a security or other debt instrument, which has been approved by APRA prior to the time of issue. APRA must consider the quantum of the proposed issue and the timing for draw down, in making its decision on app</w:t>
      </w:r>
      <w:r w:rsidR="004D4DAF">
        <w:t>roval. APRA must consider that a</w:t>
      </w:r>
      <w:r w:rsidRPr="0007798C">
        <w:t>pproved loss absorbing subordinated debt must be created by a debt instrument or agreement which meets and continues to meet the following terms and conditions:</w:t>
      </w:r>
    </w:p>
    <w:p w14:paraId="1204ECDF" w14:textId="77777777" w:rsidR="00F06477" w:rsidRDefault="00F06477" w:rsidP="00F06477">
      <w:pPr>
        <w:ind w:left="567"/>
        <w:jc w:val="both"/>
      </w:pPr>
    </w:p>
    <w:p w14:paraId="1204ECE0" w14:textId="77777777" w:rsidR="00BF40F0" w:rsidRPr="0007798C" w:rsidRDefault="00BF40F0" w:rsidP="00BF40F0">
      <w:pPr>
        <w:pStyle w:val="ListParagraph"/>
        <w:numPr>
          <w:ilvl w:val="0"/>
          <w:numId w:val="29"/>
        </w:numPr>
        <w:spacing w:after="240"/>
        <w:ind w:left="1134" w:hanging="567"/>
        <w:contextualSpacing w:val="0"/>
        <w:jc w:val="both"/>
      </w:pPr>
      <w:bookmarkStart w:id="20" w:name="_Toc254614305"/>
      <w:r w:rsidRPr="0007798C">
        <w:t>it must comprise a mechanism which specifies the conditions and process for loss absorption, through diminution of value, conversion or other means, of the instrument or agreement on a going concern basis, such that prior to non-compliance with Prudential Standard HPS 110 Capital Adequacy (HPS 110) the value of the debt would be reduced to the relevant extent, and if necessary exhausted; and</w:t>
      </w:r>
    </w:p>
    <w:p w14:paraId="1204ECE1" w14:textId="77777777" w:rsidR="00BF40F0" w:rsidRPr="0007798C" w:rsidRDefault="00BF40F0" w:rsidP="00BF40F0">
      <w:pPr>
        <w:pStyle w:val="ListParagraph"/>
        <w:numPr>
          <w:ilvl w:val="0"/>
          <w:numId w:val="29"/>
        </w:numPr>
        <w:spacing w:after="240"/>
        <w:ind w:left="1134" w:hanging="567"/>
        <w:contextualSpacing w:val="0"/>
        <w:jc w:val="both"/>
      </w:pPr>
      <w:r w:rsidRPr="0007798C">
        <w:t>it must have a minimum term of 10 years from the commencement of the loan; and</w:t>
      </w:r>
    </w:p>
    <w:p w14:paraId="1204ECE2" w14:textId="77777777" w:rsidR="00BF40F0" w:rsidRPr="0007798C" w:rsidRDefault="00BF40F0" w:rsidP="00BF40F0">
      <w:pPr>
        <w:pStyle w:val="ListParagraph"/>
        <w:numPr>
          <w:ilvl w:val="0"/>
          <w:numId w:val="29"/>
        </w:numPr>
        <w:spacing w:after="240"/>
        <w:ind w:left="1134" w:hanging="567"/>
        <w:contextualSpacing w:val="0"/>
        <w:jc w:val="both"/>
      </w:pPr>
      <w:r w:rsidRPr="0007798C">
        <w:t>there must be no circumstances where repayment may be accelerated or called at the lender’s or any third party’s option; and</w:t>
      </w:r>
    </w:p>
    <w:p w14:paraId="1204ECE3" w14:textId="77777777" w:rsidR="00F06477" w:rsidRPr="00BF40F0" w:rsidRDefault="00BF40F0" w:rsidP="00D452F9">
      <w:pPr>
        <w:pStyle w:val="ListParagraph"/>
        <w:numPr>
          <w:ilvl w:val="0"/>
          <w:numId w:val="29"/>
        </w:numPr>
        <w:spacing w:after="240"/>
        <w:ind w:left="1134" w:hanging="567"/>
        <w:contextualSpacing w:val="0"/>
        <w:jc w:val="both"/>
      </w:pPr>
      <w:r w:rsidRPr="0007798C">
        <w:t>interest payments must not be payable where the payment of these would cause the fund to breach the requirements of HPS 110; and</w:t>
      </w:r>
    </w:p>
    <w:p w14:paraId="1204ECE4" w14:textId="77777777" w:rsidR="00BF40F0" w:rsidRPr="0007798C" w:rsidRDefault="00BF40F0" w:rsidP="00BF40F0">
      <w:pPr>
        <w:pStyle w:val="ListParagraph"/>
        <w:numPr>
          <w:ilvl w:val="0"/>
          <w:numId w:val="29"/>
        </w:numPr>
        <w:spacing w:after="240"/>
        <w:ind w:left="1134" w:hanging="567"/>
        <w:contextualSpacing w:val="0"/>
        <w:jc w:val="both"/>
      </w:pPr>
      <w:r w:rsidRPr="0007798C">
        <w:lastRenderedPageBreak/>
        <w:t>interest payment obligations may be capitalised and interest may be charged on capitalised interest; and</w:t>
      </w:r>
    </w:p>
    <w:p w14:paraId="1204ECE5" w14:textId="77777777" w:rsidR="00BF40F0" w:rsidRPr="0007798C" w:rsidRDefault="00BF40F0" w:rsidP="00BF40F0">
      <w:pPr>
        <w:pStyle w:val="ListParagraph"/>
        <w:numPr>
          <w:ilvl w:val="0"/>
          <w:numId w:val="29"/>
        </w:numPr>
        <w:spacing w:after="240"/>
        <w:ind w:left="1134" w:hanging="567"/>
        <w:contextualSpacing w:val="0"/>
        <w:jc w:val="both"/>
      </w:pPr>
      <w:r w:rsidRPr="0007798C">
        <w:t>capital repayments must not be made where repayment would cause the fund to breach the requirements of HPS 110; and</w:t>
      </w:r>
    </w:p>
    <w:p w14:paraId="1204ECE6" w14:textId="77777777" w:rsidR="00BF40F0" w:rsidRDefault="00BF40F0" w:rsidP="00BF40F0">
      <w:pPr>
        <w:pStyle w:val="ListParagraph"/>
        <w:numPr>
          <w:ilvl w:val="0"/>
          <w:numId w:val="29"/>
        </w:numPr>
        <w:spacing w:after="240"/>
        <w:ind w:left="1134" w:hanging="567"/>
        <w:contextualSpacing w:val="0"/>
        <w:jc w:val="both"/>
      </w:pPr>
      <w:r w:rsidRPr="0007798C">
        <w:t>delayed capital repayments may be subject to continuing interest charges on the interest charge and repayment conditions specified in this paragraph.</w:t>
      </w:r>
    </w:p>
    <w:p w14:paraId="1204ECE7" w14:textId="77777777" w:rsidR="00BF40F0" w:rsidRDefault="00BF40F0" w:rsidP="00BF40F0">
      <w:pPr>
        <w:ind w:left="567"/>
        <w:jc w:val="both"/>
      </w:pPr>
      <w:r w:rsidRPr="0007798C">
        <w:t xml:space="preserve">Approved loss absorbing subordinated debt of a health benefits fund approved by PHIAC for the purposes of Rule 3A of the Private Health Insurance (Health Benefits Fund Administration) Rules 2007 as it was in effect between 1 April 2014 and 30 June 2015 is taken to have been approved by APRA for the purposes of this Prudential Standard. </w:t>
      </w:r>
    </w:p>
    <w:p w14:paraId="1204ECE8" w14:textId="77777777" w:rsidR="00BF40F0" w:rsidRDefault="00BF40F0" w:rsidP="00BF40F0">
      <w:pPr>
        <w:ind w:firstLine="567"/>
        <w:jc w:val="both"/>
      </w:pPr>
    </w:p>
    <w:p w14:paraId="1204ECE9" w14:textId="77777777" w:rsidR="00BF40F0" w:rsidRPr="0007798C" w:rsidRDefault="00BF40F0" w:rsidP="00BF40F0">
      <w:pPr>
        <w:ind w:left="567"/>
        <w:jc w:val="both"/>
      </w:pPr>
      <w:r w:rsidRPr="00D36919">
        <w:rPr>
          <w:b/>
        </w:rPr>
        <w:t>APRA-regulated institution</w:t>
      </w:r>
      <w:r w:rsidRPr="0007798C">
        <w:t xml:space="preserve"> includes private health insurers registered under the Act.</w:t>
      </w:r>
    </w:p>
    <w:p w14:paraId="1204ECEA" w14:textId="77777777" w:rsidR="00BF40F0" w:rsidRDefault="00BF40F0" w:rsidP="00BF40F0">
      <w:pPr>
        <w:jc w:val="both"/>
      </w:pPr>
    </w:p>
    <w:p w14:paraId="1204ECEB" w14:textId="77777777" w:rsidR="00BF40F0" w:rsidRDefault="00BF40F0" w:rsidP="00BF40F0">
      <w:pPr>
        <w:ind w:firstLine="567"/>
        <w:jc w:val="both"/>
      </w:pPr>
      <w:r w:rsidRPr="00D36919">
        <w:rPr>
          <w:b/>
        </w:rPr>
        <w:t>ASIC</w:t>
      </w:r>
      <w:r w:rsidRPr="0007798C">
        <w:t xml:space="preserve"> means the Australian Securities and Investments Commission.</w:t>
      </w:r>
    </w:p>
    <w:p w14:paraId="1204ECEC" w14:textId="77777777" w:rsidR="00BF40F0" w:rsidRPr="0007798C" w:rsidRDefault="00BF40F0" w:rsidP="00BF40F0">
      <w:pPr>
        <w:jc w:val="both"/>
      </w:pPr>
    </w:p>
    <w:p w14:paraId="1204ECED" w14:textId="77777777" w:rsidR="00BF40F0" w:rsidRPr="0007798C" w:rsidRDefault="00BF40F0" w:rsidP="00BF40F0">
      <w:pPr>
        <w:ind w:firstLine="567"/>
      </w:pPr>
      <w:r w:rsidRPr="00D36919">
        <w:rPr>
          <w:b/>
        </w:rPr>
        <w:t>Assets</w:t>
      </w:r>
      <w:r w:rsidRPr="0007798C">
        <w:t xml:space="preserve"> has the same meaning as in the Act.</w:t>
      </w:r>
    </w:p>
    <w:p w14:paraId="1204ECEE" w14:textId="77777777" w:rsidR="00BF40F0" w:rsidRDefault="00BF40F0" w:rsidP="00BF40F0"/>
    <w:p w14:paraId="1204ECEF" w14:textId="77777777" w:rsidR="00BF40F0" w:rsidRDefault="00BF40F0" w:rsidP="00BF40F0">
      <w:pPr>
        <w:ind w:left="567"/>
      </w:pPr>
      <w:r w:rsidRPr="00D36919">
        <w:rPr>
          <w:b/>
        </w:rPr>
        <w:t>Associates</w:t>
      </w:r>
      <w:r w:rsidRPr="0007798C">
        <w:t xml:space="preserve"> has the same meaning as in clause 4 in Schedule 1 of the </w:t>
      </w:r>
      <w:r w:rsidRPr="00BF40F0">
        <w:rPr>
          <w:i/>
        </w:rPr>
        <w:t>Financial Sector (Shareholdings) Act 1998</w:t>
      </w:r>
      <w:r w:rsidRPr="0007798C">
        <w:t>.</w:t>
      </w:r>
    </w:p>
    <w:p w14:paraId="1204ECF0" w14:textId="77777777" w:rsidR="00BF40F0" w:rsidRDefault="00BF40F0" w:rsidP="00BF40F0">
      <w:pPr>
        <w:ind w:left="567"/>
      </w:pPr>
    </w:p>
    <w:p w14:paraId="1204ECF1" w14:textId="77777777" w:rsidR="00BF40F0" w:rsidRPr="0007798C" w:rsidRDefault="00BF40F0" w:rsidP="00BF40F0">
      <w:pPr>
        <w:ind w:firstLine="567"/>
      </w:pPr>
      <w:r w:rsidRPr="00D36919">
        <w:rPr>
          <w:b/>
        </w:rPr>
        <w:t>AASB</w:t>
      </w:r>
      <w:r w:rsidRPr="0007798C">
        <w:t xml:space="preserve"> refers to the Australian Accounting Standards Board.</w:t>
      </w:r>
    </w:p>
    <w:p w14:paraId="1204ECF2" w14:textId="77777777" w:rsidR="00BF40F0" w:rsidRDefault="00BF40F0" w:rsidP="00BF40F0">
      <w:pPr>
        <w:jc w:val="both"/>
      </w:pPr>
    </w:p>
    <w:p w14:paraId="1204ECF3" w14:textId="77777777" w:rsidR="00BF40F0" w:rsidRDefault="00BF40F0" w:rsidP="00BF40F0">
      <w:pPr>
        <w:ind w:firstLine="567"/>
        <w:jc w:val="both"/>
      </w:pPr>
      <w:r w:rsidRPr="00D36919">
        <w:rPr>
          <w:b/>
        </w:rPr>
        <w:t>AUASB</w:t>
      </w:r>
      <w:r w:rsidRPr="0007798C">
        <w:t xml:space="preserve"> refers to the Auditing and Assurance Standards Board. </w:t>
      </w:r>
    </w:p>
    <w:p w14:paraId="1204ECF4" w14:textId="77777777" w:rsidR="00BF40F0" w:rsidRPr="0007798C" w:rsidRDefault="00BF40F0" w:rsidP="00BF40F0">
      <w:pPr>
        <w:ind w:firstLine="567"/>
        <w:jc w:val="both"/>
      </w:pPr>
    </w:p>
    <w:p w14:paraId="1204ECF5" w14:textId="77777777" w:rsidR="00BF40F0" w:rsidRDefault="00BF40F0" w:rsidP="00BF40F0">
      <w:pPr>
        <w:ind w:left="567"/>
        <w:jc w:val="both"/>
      </w:pPr>
      <w:r w:rsidRPr="00D36919">
        <w:rPr>
          <w:b/>
        </w:rPr>
        <w:t>Australian Accounting Standards</w:t>
      </w:r>
      <w:r w:rsidRPr="0007798C">
        <w:t xml:space="preserve"> is a reference to the Australian Accounting Standards issued by the AASB as may be amended from time to time. </w:t>
      </w:r>
    </w:p>
    <w:p w14:paraId="1204ECF6" w14:textId="77777777" w:rsidR="00C52FAC" w:rsidRPr="00D36919" w:rsidRDefault="00C52FAC" w:rsidP="00BF40F0">
      <w:pPr>
        <w:ind w:left="567"/>
        <w:jc w:val="both"/>
        <w:rPr>
          <w:b/>
        </w:rPr>
      </w:pPr>
    </w:p>
    <w:p w14:paraId="1204ECF7" w14:textId="77777777" w:rsidR="00BF40F0" w:rsidRDefault="00BF40F0" w:rsidP="00C52FAC">
      <w:pPr>
        <w:ind w:left="567"/>
        <w:jc w:val="both"/>
      </w:pPr>
      <w:r w:rsidRPr="00D36919">
        <w:rPr>
          <w:b/>
        </w:rPr>
        <w:t>Australian Auditing and Assurance Standards</w:t>
      </w:r>
      <w:r w:rsidRPr="0007798C">
        <w:t xml:space="preserve"> is a reference to the Australian Auditing and Assurance Standards issued by the AUASB as may be amended from time to time.</w:t>
      </w:r>
    </w:p>
    <w:p w14:paraId="1204ECF8" w14:textId="77777777" w:rsidR="00C52FAC" w:rsidRPr="0007798C" w:rsidRDefault="00C52FAC" w:rsidP="00C52FAC">
      <w:pPr>
        <w:ind w:left="567"/>
        <w:jc w:val="both"/>
      </w:pPr>
    </w:p>
    <w:p w14:paraId="1204ECF9" w14:textId="77777777" w:rsidR="00BF40F0" w:rsidRDefault="00BF40F0" w:rsidP="00C52FAC">
      <w:pPr>
        <w:ind w:left="567"/>
        <w:jc w:val="both"/>
      </w:pPr>
      <w:r w:rsidRPr="00D36919">
        <w:rPr>
          <w:b/>
        </w:rPr>
        <w:t>Authorised deposit-taking institution</w:t>
      </w:r>
      <w:r w:rsidRPr="0007798C">
        <w:t xml:space="preserve"> means a body corporate in relation to which an authority under subsection 9(3) of the </w:t>
      </w:r>
      <w:r w:rsidRPr="00C52FAC">
        <w:rPr>
          <w:i/>
        </w:rPr>
        <w:t>Banking Act 1959</w:t>
      </w:r>
      <w:r w:rsidRPr="0007798C">
        <w:t xml:space="preserve"> is in force.</w:t>
      </w:r>
    </w:p>
    <w:p w14:paraId="1204ECFA" w14:textId="77777777" w:rsidR="00C52FAC" w:rsidRDefault="00C52FAC" w:rsidP="00C52FAC">
      <w:pPr>
        <w:ind w:left="567"/>
        <w:jc w:val="both"/>
      </w:pPr>
    </w:p>
    <w:p w14:paraId="1204ECFB" w14:textId="77777777" w:rsidR="00C52FAC" w:rsidRDefault="00C52FAC" w:rsidP="00C52FAC">
      <w:pPr>
        <w:ind w:left="567"/>
        <w:jc w:val="both"/>
      </w:pPr>
      <w:r w:rsidRPr="00D36919">
        <w:rPr>
          <w:b/>
        </w:rPr>
        <w:t>Billed risk equalisation special account liability</w:t>
      </w:r>
      <w:r w:rsidRPr="00C52FAC">
        <w:t xml:space="preserve"> means the amount of risk equalisation special account payments, on the relevant day, for which an invoice from APRA has been received by the private health insurer but that have not yet been paid by the private health insurer.</w:t>
      </w:r>
    </w:p>
    <w:p w14:paraId="1204ECFC" w14:textId="77777777" w:rsidR="00C52FAC" w:rsidRDefault="00C52FAC" w:rsidP="00C52FAC">
      <w:pPr>
        <w:ind w:left="567"/>
        <w:jc w:val="both"/>
      </w:pPr>
    </w:p>
    <w:p w14:paraId="1204ECFD" w14:textId="77777777" w:rsidR="00C52FAC" w:rsidRDefault="00C52FAC" w:rsidP="00C52FAC">
      <w:pPr>
        <w:ind w:left="567"/>
        <w:jc w:val="both"/>
      </w:pPr>
      <w:r w:rsidRPr="00D36919">
        <w:rPr>
          <w:b/>
        </w:rPr>
        <w:t>Board</w:t>
      </w:r>
      <w:r w:rsidRPr="0007798C">
        <w:t xml:space="preserve"> means the board of directors of an APRA-regulated institution. </w:t>
      </w:r>
    </w:p>
    <w:p w14:paraId="1204ECFE" w14:textId="77777777" w:rsidR="00C52FAC" w:rsidRPr="0007798C" w:rsidRDefault="00C52FAC" w:rsidP="00C52FAC">
      <w:pPr>
        <w:ind w:left="567"/>
        <w:jc w:val="both"/>
      </w:pPr>
    </w:p>
    <w:p w14:paraId="1204ECFF" w14:textId="77777777" w:rsidR="0006429C" w:rsidRDefault="00C52FAC" w:rsidP="00C52FAC">
      <w:pPr>
        <w:ind w:left="567"/>
        <w:jc w:val="both"/>
      </w:pPr>
      <w:r w:rsidRPr="00D36919">
        <w:rPr>
          <w:b/>
        </w:rPr>
        <w:t>Board Audit Committee</w:t>
      </w:r>
      <w:r w:rsidRPr="0007798C">
        <w:t xml:space="preserve"> has the same meaning as in Prudential Standard CPS 510 Governance (CPS 510).</w:t>
      </w:r>
    </w:p>
    <w:p w14:paraId="1204ED00" w14:textId="77777777" w:rsidR="00C52FAC" w:rsidRPr="0007798C" w:rsidRDefault="00C52FAC" w:rsidP="00C52FAC">
      <w:pPr>
        <w:ind w:left="567"/>
        <w:jc w:val="both"/>
      </w:pPr>
    </w:p>
    <w:p w14:paraId="1204ED01" w14:textId="77777777" w:rsidR="00C52FAC" w:rsidRDefault="00C52FAC" w:rsidP="00C52FAC">
      <w:pPr>
        <w:ind w:left="567"/>
        <w:jc w:val="both"/>
      </w:pPr>
      <w:r w:rsidRPr="00D36919">
        <w:rPr>
          <w:b/>
        </w:rPr>
        <w:t>Board Remuneration Committee</w:t>
      </w:r>
      <w:r w:rsidRPr="0007798C">
        <w:t xml:space="preserve"> has the same meaning as in CPS 510.</w:t>
      </w:r>
    </w:p>
    <w:p w14:paraId="1204ED02" w14:textId="77777777" w:rsidR="00C52FAC" w:rsidRPr="0007798C" w:rsidRDefault="00C52FAC" w:rsidP="00C52FAC">
      <w:pPr>
        <w:ind w:left="567"/>
        <w:jc w:val="both"/>
      </w:pPr>
    </w:p>
    <w:p w14:paraId="1204ED03" w14:textId="77777777" w:rsidR="00C52FAC" w:rsidRDefault="00C52FAC" w:rsidP="00C52FAC">
      <w:pPr>
        <w:ind w:left="567"/>
        <w:jc w:val="both"/>
      </w:pPr>
      <w:r w:rsidRPr="00D36919">
        <w:rPr>
          <w:b/>
        </w:rPr>
        <w:t>Board Risk Committee</w:t>
      </w:r>
      <w:r w:rsidRPr="0007798C">
        <w:t xml:space="preserve"> has the same meaning as in CPS 510.</w:t>
      </w:r>
    </w:p>
    <w:p w14:paraId="1204ED04" w14:textId="77777777" w:rsidR="00C52FAC" w:rsidRDefault="00C52FAC" w:rsidP="00C52FAC">
      <w:pPr>
        <w:ind w:left="567"/>
        <w:jc w:val="both"/>
      </w:pPr>
      <w:r w:rsidRPr="00D36919">
        <w:rPr>
          <w:b/>
        </w:rPr>
        <w:t>Business day</w:t>
      </w:r>
      <w:r w:rsidRPr="0007798C">
        <w:t xml:space="preserve"> means a day that is not a Saturday, a Sunday or a public holiday or bank holiday in the place concerned.</w:t>
      </w:r>
    </w:p>
    <w:p w14:paraId="1204ED05" w14:textId="77777777" w:rsidR="0006429C" w:rsidRDefault="0006429C" w:rsidP="00C52FAC">
      <w:pPr>
        <w:ind w:left="567"/>
        <w:jc w:val="both"/>
      </w:pPr>
    </w:p>
    <w:p w14:paraId="1204ED06" w14:textId="77777777" w:rsidR="00C52FAC" w:rsidRDefault="00C52FAC" w:rsidP="00C52FAC">
      <w:pPr>
        <w:ind w:left="567"/>
        <w:jc w:val="both"/>
      </w:pPr>
      <w:r w:rsidRPr="00D36919">
        <w:rPr>
          <w:b/>
        </w:rPr>
        <w:t>Business plan</w:t>
      </w:r>
      <w:r w:rsidRPr="0007798C">
        <w:t xml:space="preserve"> refers to a written plan as part of an insurer’s risk management framework as required under Prudential Standard CPS 220 Risk Management (CPS 220).</w:t>
      </w:r>
    </w:p>
    <w:p w14:paraId="1204ED07" w14:textId="77777777" w:rsidR="00C52FAC" w:rsidRPr="0007798C" w:rsidRDefault="00C52FAC" w:rsidP="00C52FAC">
      <w:pPr>
        <w:ind w:left="567"/>
        <w:jc w:val="both"/>
      </w:pPr>
    </w:p>
    <w:p w14:paraId="1204ED08" w14:textId="77777777" w:rsidR="00C52FAC" w:rsidRDefault="00C52FAC" w:rsidP="00C52FAC">
      <w:pPr>
        <w:ind w:left="567"/>
        <w:jc w:val="both"/>
      </w:pPr>
      <w:r w:rsidRPr="00D36919">
        <w:rPr>
          <w:b/>
        </w:rPr>
        <w:t>Cash</w:t>
      </w:r>
      <w:r w:rsidRPr="0007798C">
        <w:t xml:space="preserve"> has the meaning given in Australian Accounting Standards Standard 107.6 as in force from time to time.</w:t>
      </w:r>
    </w:p>
    <w:p w14:paraId="1204ED09" w14:textId="77777777" w:rsidR="00C52FAC" w:rsidRPr="0007798C" w:rsidRDefault="00C52FAC" w:rsidP="00C52FAC">
      <w:pPr>
        <w:ind w:left="567"/>
        <w:jc w:val="both"/>
      </w:pPr>
    </w:p>
    <w:p w14:paraId="1204ED0A" w14:textId="77777777" w:rsidR="00C52FAC" w:rsidRDefault="00C52FAC" w:rsidP="00C52FAC">
      <w:pPr>
        <w:ind w:left="567"/>
        <w:jc w:val="both"/>
      </w:pPr>
      <w:r w:rsidRPr="00D36919">
        <w:rPr>
          <w:b/>
        </w:rPr>
        <w:t>Central estimate</w:t>
      </w:r>
      <w:r w:rsidRPr="0007798C">
        <w:t xml:space="preserve"> means an estimate of the mean of the range of possible outcomes of any calculation required under either Prudential Standard HPS 100 Solvency (HPS 100) or HPS 110.</w:t>
      </w:r>
    </w:p>
    <w:p w14:paraId="1204ED0B" w14:textId="77777777" w:rsidR="00C52FAC" w:rsidRPr="0007798C" w:rsidRDefault="00C52FAC" w:rsidP="00C52FAC">
      <w:pPr>
        <w:ind w:left="567"/>
        <w:jc w:val="both"/>
      </w:pPr>
    </w:p>
    <w:p w14:paraId="1204ED0C" w14:textId="77777777" w:rsidR="00C52FAC" w:rsidRDefault="00C52FAC" w:rsidP="00C52FAC">
      <w:pPr>
        <w:ind w:left="567"/>
        <w:jc w:val="both"/>
      </w:pPr>
      <w:r w:rsidRPr="00D36919">
        <w:rPr>
          <w:b/>
        </w:rPr>
        <w:t>Chief executive</w:t>
      </w:r>
      <w:r w:rsidRPr="0007798C">
        <w:t xml:space="preserve"> </w:t>
      </w:r>
      <w:r w:rsidRPr="00D36919">
        <w:rPr>
          <w:b/>
        </w:rPr>
        <w:t>officer</w:t>
      </w:r>
      <w:r w:rsidRPr="0007798C">
        <w:t xml:space="preserve"> has the same meaning as in the Act.</w:t>
      </w:r>
    </w:p>
    <w:p w14:paraId="1204ED0D" w14:textId="77777777" w:rsidR="00C52FAC" w:rsidRPr="0007798C" w:rsidRDefault="00C52FAC" w:rsidP="00C52FAC">
      <w:pPr>
        <w:ind w:left="567"/>
        <w:jc w:val="both"/>
      </w:pPr>
    </w:p>
    <w:p w14:paraId="1204ED0E" w14:textId="77777777" w:rsidR="00C52FAC" w:rsidRDefault="00C52FAC" w:rsidP="00C52FAC">
      <w:pPr>
        <w:ind w:left="567"/>
        <w:jc w:val="both"/>
      </w:pPr>
      <w:r w:rsidRPr="00D36919">
        <w:rPr>
          <w:b/>
        </w:rPr>
        <w:t>Company</w:t>
      </w:r>
      <w:r w:rsidRPr="0007798C">
        <w:t xml:space="preserve"> means:</w:t>
      </w:r>
    </w:p>
    <w:p w14:paraId="1204ED0F" w14:textId="77777777" w:rsidR="0006429C" w:rsidRPr="0007798C" w:rsidRDefault="0006429C" w:rsidP="00C52FAC">
      <w:pPr>
        <w:ind w:left="567"/>
        <w:jc w:val="both"/>
      </w:pPr>
    </w:p>
    <w:p w14:paraId="1204ED10" w14:textId="77777777" w:rsidR="00C52FAC" w:rsidRPr="0007798C" w:rsidRDefault="00C52FAC" w:rsidP="00C52FAC">
      <w:pPr>
        <w:pStyle w:val="ListParagraph"/>
        <w:numPr>
          <w:ilvl w:val="0"/>
          <w:numId w:val="30"/>
        </w:numPr>
        <w:spacing w:after="240"/>
        <w:contextualSpacing w:val="0"/>
        <w:jc w:val="both"/>
      </w:pPr>
      <w:r w:rsidRPr="0007798C">
        <w:t xml:space="preserve">a company within the meaning of the </w:t>
      </w:r>
      <w:r w:rsidRPr="00C52FAC">
        <w:rPr>
          <w:i/>
        </w:rPr>
        <w:t>Corporations Act 2001</w:t>
      </w:r>
      <w:r w:rsidRPr="0007798C">
        <w:t xml:space="preserve"> (Corps Act); and</w:t>
      </w:r>
    </w:p>
    <w:p w14:paraId="1204ED11" w14:textId="77777777" w:rsidR="00C52FAC" w:rsidRPr="0007798C" w:rsidRDefault="00C52FAC" w:rsidP="00C52FAC">
      <w:pPr>
        <w:pStyle w:val="ListParagraph"/>
        <w:numPr>
          <w:ilvl w:val="0"/>
          <w:numId w:val="30"/>
        </w:numPr>
        <w:spacing w:after="240"/>
        <w:contextualSpacing w:val="0"/>
        <w:jc w:val="both"/>
      </w:pPr>
      <w:r w:rsidRPr="0007798C">
        <w:t>a constitutional corporation.</w:t>
      </w:r>
    </w:p>
    <w:p w14:paraId="1204ED12" w14:textId="77777777" w:rsidR="00C52FAC" w:rsidRDefault="00C52FAC" w:rsidP="00C52FAC">
      <w:pPr>
        <w:ind w:left="567"/>
        <w:jc w:val="both"/>
      </w:pPr>
      <w:r w:rsidRPr="007D44A7">
        <w:rPr>
          <w:b/>
        </w:rPr>
        <w:t>Complying health insurance product</w:t>
      </w:r>
      <w:r w:rsidRPr="0007798C">
        <w:t xml:space="preserve"> has the same meaning as in the Act.</w:t>
      </w:r>
    </w:p>
    <w:p w14:paraId="1204ED13" w14:textId="77777777" w:rsidR="0006429C" w:rsidRPr="0007798C" w:rsidRDefault="0006429C" w:rsidP="00C52FAC">
      <w:pPr>
        <w:ind w:left="567"/>
        <w:jc w:val="both"/>
      </w:pPr>
    </w:p>
    <w:p w14:paraId="1204ED14" w14:textId="77777777" w:rsidR="00C52FAC" w:rsidRPr="0007798C" w:rsidRDefault="00C52FAC" w:rsidP="00C52FAC">
      <w:pPr>
        <w:ind w:left="567"/>
        <w:jc w:val="both"/>
      </w:pPr>
      <w:r w:rsidRPr="007D44A7">
        <w:rPr>
          <w:b/>
        </w:rPr>
        <w:t>Constructive obligation</w:t>
      </w:r>
      <w:r w:rsidRPr="0007798C">
        <w:t xml:space="preserve"> has the meaning given in the liability adequacy test in Australian Accounting Standard Board Standard 137 as in force from time to time.</w:t>
      </w:r>
    </w:p>
    <w:p w14:paraId="1204ED15" w14:textId="77777777" w:rsidR="00C52FAC" w:rsidRDefault="00C52FAC" w:rsidP="00C52FAC">
      <w:pPr>
        <w:ind w:left="567"/>
        <w:jc w:val="both"/>
      </w:pPr>
    </w:p>
    <w:p w14:paraId="1204ED16" w14:textId="77777777" w:rsidR="00C52FAC" w:rsidRPr="0007798C" w:rsidRDefault="00C52FAC" w:rsidP="00C52FAC">
      <w:pPr>
        <w:ind w:left="567"/>
        <w:jc w:val="both"/>
      </w:pPr>
      <w:r w:rsidRPr="007D44A7">
        <w:rPr>
          <w:b/>
        </w:rPr>
        <w:t>Constitutional corporation</w:t>
      </w:r>
      <w:r w:rsidRPr="0007798C">
        <w:t xml:space="preserve"> has the same meaning as in the Act.</w:t>
      </w:r>
    </w:p>
    <w:p w14:paraId="1204ED17" w14:textId="77777777" w:rsidR="00C52FAC" w:rsidRDefault="00C52FAC" w:rsidP="00C52FAC">
      <w:pPr>
        <w:ind w:left="567"/>
        <w:jc w:val="both"/>
      </w:pPr>
    </w:p>
    <w:p w14:paraId="1204ED18" w14:textId="77777777" w:rsidR="00C52FAC" w:rsidRPr="0007798C" w:rsidRDefault="00C52FAC" w:rsidP="00C52FAC">
      <w:pPr>
        <w:ind w:left="567"/>
        <w:jc w:val="both"/>
      </w:pPr>
      <w:r w:rsidRPr="007D44A7">
        <w:rPr>
          <w:b/>
        </w:rPr>
        <w:t>Corporate governance</w:t>
      </w:r>
      <w:r w:rsidRPr="0007798C">
        <w:t xml:space="preserve"> means a system by which an APRA-regulated institution is directed and controlled.</w:t>
      </w:r>
    </w:p>
    <w:p w14:paraId="1204ED19" w14:textId="77777777" w:rsidR="00C52FAC" w:rsidRDefault="00C52FAC" w:rsidP="00C52FAC">
      <w:pPr>
        <w:ind w:left="567"/>
        <w:jc w:val="both"/>
      </w:pPr>
    </w:p>
    <w:p w14:paraId="1204ED1A" w14:textId="77777777" w:rsidR="00C52FAC" w:rsidRDefault="00C52FAC" w:rsidP="00C52FAC">
      <w:pPr>
        <w:ind w:left="567"/>
        <w:jc w:val="both"/>
      </w:pPr>
      <w:r w:rsidRPr="007D44A7">
        <w:rPr>
          <w:b/>
        </w:rPr>
        <w:t>Corporate group</w:t>
      </w:r>
      <w:r w:rsidRPr="0007798C">
        <w:t xml:space="preserve"> is a group of entities comprising two or more companies that are related bodies corporate within the meaning of section 50 of the Corps Act.</w:t>
      </w:r>
    </w:p>
    <w:p w14:paraId="1204ED1B" w14:textId="77777777" w:rsidR="00C52FAC" w:rsidRPr="0007798C" w:rsidRDefault="00C52FAC" w:rsidP="00C52FAC">
      <w:pPr>
        <w:ind w:left="567"/>
        <w:jc w:val="both"/>
      </w:pPr>
    </w:p>
    <w:p w14:paraId="1204ED1C" w14:textId="77777777" w:rsidR="00C52FAC" w:rsidRDefault="00C52FAC" w:rsidP="00C52FAC">
      <w:pPr>
        <w:ind w:left="567"/>
        <w:jc w:val="both"/>
      </w:pPr>
      <w:r w:rsidRPr="007D44A7">
        <w:rPr>
          <w:b/>
        </w:rPr>
        <w:t>Corporations legislation</w:t>
      </w:r>
      <w:r w:rsidRPr="0007798C">
        <w:t xml:space="preserve"> has the meaning given by section 9 of the Corps Act.</w:t>
      </w:r>
    </w:p>
    <w:p w14:paraId="1204ED1D" w14:textId="77777777" w:rsidR="00C52FAC" w:rsidRPr="0007798C" w:rsidRDefault="00C52FAC" w:rsidP="00C52FAC">
      <w:pPr>
        <w:ind w:left="567"/>
        <w:jc w:val="both"/>
      </w:pPr>
    </w:p>
    <w:p w14:paraId="1204ED1E" w14:textId="77777777" w:rsidR="00C52FAC" w:rsidRDefault="00C52FAC" w:rsidP="00C52FAC">
      <w:pPr>
        <w:ind w:firstLine="567"/>
        <w:jc w:val="both"/>
      </w:pPr>
      <w:r w:rsidRPr="007D44A7">
        <w:rPr>
          <w:b/>
        </w:rPr>
        <w:t>Director</w:t>
      </w:r>
      <w:r w:rsidRPr="0007798C">
        <w:t xml:space="preserve"> has the same meaning as in the Act.</w:t>
      </w:r>
    </w:p>
    <w:p w14:paraId="1204ED1F" w14:textId="77777777" w:rsidR="00C52FAC" w:rsidRPr="0007798C" w:rsidRDefault="00C52FAC" w:rsidP="00C52FAC">
      <w:pPr>
        <w:ind w:firstLine="567"/>
        <w:jc w:val="both"/>
      </w:pPr>
    </w:p>
    <w:p w14:paraId="1204ED20" w14:textId="77777777" w:rsidR="00C52FAC" w:rsidRPr="0007798C" w:rsidRDefault="00C52FAC" w:rsidP="00C52FAC">
      <w:pPr>
        <w:ind w:left="567"/>
        <w:jc w:val="both"/>
      </w:pPr>
      <w:r w:rsidRPr="007D44A7">
        <w:rPr>
          <w:b/>
        </w:rPr>
        <w:t>Ensure</w:t>
      </w:r>
      <w:r w:rsidRPr="0007798C">
        <w:t xml:space="preserve"> when used in relation to a responsibility of the board, means to take all reasonable steps and make all reasonable enquiries as are appropriate for a board so that the board can determine, to the best of its knowledge, that the stated matter has been properly addressed.</w:t>
      </w:r>
    </w:p>
    <w:p w14:paraId="1204ED21" w14:textId="77777777" w:rsidR="00C52FAC" w:rsidRDefault="00C52FAC" w:rsidP="00C52FAC">
      <w:pPr>
        <w:ind w:left="567"/>
        <w:jc w:val="both"/>
      </w:pPr>
    </w:p>
    <w:p w14:paraId="1204ED22" w14:textId="77777777" w:rsidR="00C52FAC" w:rsidRDefault="00C52FAC" w:rsidP="00C52FAC">
      <w:pPr>
        <w:ind w:left="567"/>
        <w:jc w:val="both"/>
      </w:pPr>
      <w:r w:rsidRPr="007D44A7">
        <w:rPr>
          <w:b/>
        </w:rPr>
        <w:t>Executive director,</w:t>
      </w:r>
      <w:r w:rsidRPr="0007798C">
        <w:t xml:space="preserve"> for a private health insurer, means a director who is:</w:t>
      </w:r>
    </w:p>
    <w:p w14:paraId="1204ED23" w14:textId="77777777" w:rsidR="00C52FAC" w:rsidRPr="0007798C" w:rsidRDefault="00C52FAC" w:rsidP="00C52FAC">
      <w:pPr>
        <w:ind w:left="567"/>
        <w:jc w:val="both"/>
      </w:pPr>
    </w:p>
    <w:p w14:paraId="1204ED24" w14:textId="77777777" w:rsidR="00C52FAC" w:rsidRPr="0007798C" w:rsidRDefault="00C52FAC" w:rsidP="00C52FAC">
      <w:pPr>
        <w:pStyle w:val="ListParagraph"/>
        <w:numPr>
          <w:ilvl w:val="0"/>
          <w:numId w:val="31"/>
        </w:numPr>
        <w:spacing w:after="240"/>
        <w:ind w:left="1134" w:hanging="567"/>
        <w:contextualSpacing w:val="0"/>
        <w:jc w:val="both"/>
      </w:pPr>
      <w:r w:rsidRPr="0007798C">
        <w:t>a member of management of the insurer; and</w:t>
      </w:r>
    </w:p>
    <w:p w14:paraId="1204ED25" w14:textId="77777777" w:rsidR="00C52FAC" w:rsidRPr="0007798C" w:rsidRDefault="00C52FAC" w:rsidP="00C52FAC">
      <w:pPr>
        <w:pStyle w:val="ListParagraph"/>
        <w:numPr>
          <w:ilvl w:val="0"/>
          <w:numId w:val="31"/>
        </w:numPr>
        <w:spacing w:after="240"/>
        <w:ind w:left="1134" w:hanging="567"/>
        <w:contextualSpacing w:val="0"/>
        <w:jc w:val="both"/>
      </w:pPr>
      <w:r w:rsidRPr="0007798C">
        <w:t>an employee of the insurer.</w:t>
      </w:r>
    </w:p>
    <w:p w14:paraId="1204ED26" w14:textId="77777777" w:rsidR="00C52FAC" w:rsidRDefault="00C52FAC" w:rsidP="00C52FAC">
      <w:pPr>
        <w:ind w:left="567"/>
        <w:jc w:val="both"/>
      </w:pPr>
      <w:r w:rsidRPr="007D44A7">
        <w:rPr>
          <w:b/>
        </w:rPr>
        <w:t>Financial condition</w:t>
      </w:r>
      <w:r w:rsidRPr="0007798C">
        <w:t xml:space="preserve"> </w:t>
      </w:r>
      <w:r w:rsidRPr="007D44A7">
        <w:rPr>
          <w:b/>
        </w:rPr>
        <w:t>report</w:t>
      </w:r>
      <w:r w:rsidRPr="0007798C">
        <w:t xml:space="preserve"> means a report on the financial condition of a private health insurer, including a report on the financial condition of each health benefits fund conducted by the insurer.</w:t>
      </w:r>
    </w:p>
    <w:p w14:paraId="1204ED27" w14:textId="77777777" w:rsidR="0006429C" w:rsidRPr="0007798C" w:rsidRDefault="0006429C" w:rsidP="00C52FAC">
      <w:pPr>
        <w:ind w:left="567"/>
        <w:jc w:val="both"/>
      </w:pPr>
    </w:p>
    <w:p w14:paraId="1204ED28" w14:textId="77777777" w:rsidR="00C52FAC" w:rsidRDefault="00C52FAC" w:rsidP="00C52FAC">
      <w:pPr>
        <w:ind w:left="567"/>
        <w:jc w:val="both"/>
      </w:pPr>
      <w:r w:rsidRPr="007D44A7">
        <w:rPr>
          <w:b/>
        </w:rPr>
        <w:t>Financial interdependency</w:t>
      </w:r>
      <w:r w:rsidRPr="0007798C">
        <w:t xml:space="preserve"> in relation to a group of related counterparties, means a circumstance in which the financial soundness of one counterparty in the group may affect the financial soundness of another counterparty in the group.</w:t>
      </w:r>
    </w:p>
    <w:p w14:paraId="1204ED29" w14:textId="77777777" w:rsidR="002D61DD" w:rsidRPr="0007798C" w:rsidRDefault="002D61DD" w:rsidP="00C52FAC">
      <w:pPr>
        <w:ind w:left="567"/>
        <w:jc w:val="both"/>
      </w:pPr>
    </w:p>
    <w:p w14:paraId="1204ED2A" w14:textId="77777777" w:rsidR="00C52FAC" w:rsidRDefault="00C52FAC" w:rsidP="00C52FAC">
      <w:pPr>
        <w:ind w:left="567"/>
        <w:jc w:val="both"/>
      </w:pPr>
      <w:r w:rsidRPr="007D44A7">
        <w:rPr>
          <w:b/>
        </w:rPr>
        <w:t>FSCODA</w:t>
      </w:r>
      <w:r w:rsidRPr="0007798C">
        <w:t xml:space="preserve"> means the </w:t>
      </w:r>
      <w:r w:rsidRPr="002D61DD">
        <w:rPr>
          <w:i/>
        </w:rPr>
        <w:t>Financial Sector (Collection of Data) Act 2001</w:t>
      </w:r>
      <w:r w:rsidRPr="0007798C">
        <w:t>.</w:t>
      </w:r>
    </w:p>
    <w:p w14:paraId="1204ED2B" w14:textId="77777777" w:rsidR="002D61DD" w:rsidRPr="0007798C" w:rsidRDefault="002D61DD" w:rsidP="00C52FAC">
      <w:pPr>
        <w:ind w:left="567"/>
        <w:jc w:val="both"/>
      </w:pPr>
    </w:p>
    <w:p w14:paraId="1204ED2C" w14:textId="77777777" w:rsidR="00C52FAC" w:rsidRDefault="00C52FAC" w:rsidP="00C52FAC">
      <w:pPr>
        <w:ind w:left="567"/>
        <w:jc w:val="both"/>
      </w:pPr>
      <w:r w:rsidRPr="007D44A7">
        <w:rPr>
          <w:b/>
        </w:rPr>
        <w:t>Fit and proper assessment</w:t>
      </w:r>
      <w:r w:rsidRPr="0007798C">
        <w:t xml:space="preserve"> means an assessment of a person’s fitness and propriety in accordance with Prudential Standard CPS 520 Fit and Proper (CPS 520). </w:t>
      </w:r>
    </w:p>
    <w:p w14:paraId="1204ED2D" w14:textId="77777777" w:rsidR="002D61DD" w:rsidRPr="0007798C" w:rsidRDefault="002D61DD" w:rsidP="00C52FAC">
      <w:pPr>
        <w:ind w:left="567"/>
        <w:jc w:val="both"/>
      </w:pPr>
    </w:p>
    <w:p w14:paraId="460217A2" w14:textId="77777777" w:rsidR="00336B0E" w:rsidRDefault="00C52FAC" w:rsidP="00C52FAC">
      <w:pPr>
        <w:ind w:left="567"/>
        <w:jc w:val="both"/>
      </w:pPr>
      <w:r w:rsidRPr="007D44A7">
        <w:rPr>
          <w:b/>
        </w:rPr>
        <w:t>Fit and proper policy</w:t>
      </w:r>
      <w:r w:rsidRPr="0007798C">
        <w:t xml:space="preserve"> means a written policy relating to the fitness and propriety of a private health insurer’s responsible persons that meets the requirements of CPS 520.</w:t>
      </w:r>
    </w:p>
    <w:p w14:paraId="2E8E11AC" w14:textId="77777777" w:rsidR="00336B0E" w:rsidRDefault="00336B0E" w:rsidP="00C52FAC">
      <w:pPr>
        <w:ind w:left="567"/>
        <w:jc w:val="both"/>
      </w:pPr>
    </w:p>
    <w:p w14:paraId="1204ED2E" w14:textId="1B48B98B" w:rsidR="00C52FAC" w:rsidRDefault="00C52FAC" w:rsidP="00C52FAC">
      <w:pPr>
        <w:ind w:left="567"/>
        <w:jc w:val="both"/>
      </w:pPr>
      <w:r w:rsidRPr="00336B0E">
        <w:rPr>
          <w:b/>
        </w:rPr>
        <w:t>Group of related counterparties</w:t>
      </w:r>
      <w:r w:rsidRPr="0007798C">
        <w:t xml:space="preserve"> means two or more counterparties which are related parties, or are linked by either of the following:</w:t>
      </w:r>
    </w:p>
    <w:p w14:paraId="1204ED2F" w14:textId="77777777" w:rsidR="002D61DD" w:rsidRPr="0007798C" w:rsidRDefault="002D61DD" w:rsidP="00C52FAC">
      <w:pPr>
        <w:ind w:left="567"/>
        <w:jc w:val="both"/>
      </w:pPr>
    </w:p>
    <w:p w14:paraId="1204ED30" w14:textId="77777777" w:rsidR="00C52FAC" w:rsidRPr="0007798C" w:rsidRDefault="00C52FAC" w:rsidP="00C52FAC">
      <w:pPr>
        <w:pStyle w:val="ListParagraph"/>
        <w:numPr>
          <w:ilvl w:val="0"/>
          <w:numId w:val="32"/>
        </w:numPr>
        <w:spacing w:after="240"/>
        <w:ind w:left="1134" w:hanging="567"/>
        <w:contextualSpacing w:val="0"/>
        <w:jc w:val="both"/>
      </w:pPr>
      <w:r w:rsidRPr="0007798C">
        <w:t>financial interdependency; or</w:t>
      </w:r>
    </w:p>
    <w:p w14:paraId="1204ED31" w14:textId="77777777" w:rsidR="00C52FAC" w:rsidRPr="0007798C" w:rsidRDefault="00C52FAC" w:rsidP="00C52FAC">
      <w:pPr>
        <w:pStyle w:val="ListParagraph"/>
        <w:numPr>
          <w:ilvl w:val="0"/>
          <w:numId w:val="32"/>
        </w:numPr>
        <w:spacing w:after="240"/>
        <w:ind w:left="1134" w:hanging="567"/>
        <w:contextualSpacing w:val="0"/>
        <w:jc w:val="both"/>
      </w:pPr>
      <w:r w:rsidRPr="0007798C">
        <w:t>any other connection or relationship that might expose the counterparties in the group to a single risk.</w:t>
      </w:r>
    </w:p>
    <w:p w14:paraId="1204ED32" w14:textId="77777777" w:rsidR="00C52FAC" w:rsidRDefault="00C52FAC" w:rsidP="00C52FAC">
      <w:pPr>
        <w:ind w:left="567"/>
        <w:jc w:val="both"/>
      </w:pPr>
      <w:r w:rsidRPr="007D44A7">
        <w:rPr>
          <w:b/>
        </w:rPr>
        <w:t>Health benefits fund</w:t>
      </w:r>
      <w:r w:rsidRPr="0007798C">
        <w:t xml:space="preserve"> has the same meaning as in the Act.</w:t>
      </w:r>
    </w:p>
    <w:p w14:paraId="1204ED33" w14:textId="77777777" w:rsidR="002D61DD" w:rsidRPr="0007798C" w:rsidRDefault="002D61DD" w:rsidP="00C52FAC">
      <w:pPr>
        <w:ind w:left="567"/>
        <w:jc w:val="both"/>
      </w:pPr>
    </w:p>
    <w:p w14:paraId="1204ED34" w14:textId="77777777" w:rsidR="00C52FAC" w:rsidRPr="0007798C" w:rsidRDefault="00C52FAC" w:rsidP="00C52FAC">
      <w:pPr>
        <w:ind w:left="567"/>
        <w:jc w:val="both"/>
      </w:pPr>
      <w:r w:rsidRPr="007D44A7">
        <w:rPr>
          <w:b/>
        </w:rPr>
        <w:t>Health business revenue estimate</w:t>
      </w:r>
      <w:r w:rsidRPr="0007798C">
        <w:t xml:space="preserve"> of a health benefits fund, is its premium income estimate plus a central estimate of the gross revenue that it will earn in relation to its health related business in the 12 months after the relevant day, less any premium ceded to reinsurers in relation to health-related business within that 12 month period.</w:t>
      </w:r>
    </w:p>
    <w:p w14:paraId="1204ED35" w14:textId="77777777" w:rsidR="00C52FAC" w:rsidRDefault="00C52FAC" w:rsidP="00C52FAC">
      <w:pPr>
        <w:ind w:left="567"/>
        <w:jc w:val="both"/>
      </w:pPr>
    </w:p>
    <w:p w14:paraId="1204ED36" w14:textId="77777777" w:rsidR="002D61DD" w:rsidRDefault="002D61DD" w:rsidP="002D61DD">
      <w:pPr>
        <w:ind w:firstLine="567"/>
      </w:pPr>
      <w:r w:rsidRPr="007D44A7">
        <w:rPr>
          <w:b/>
        </w:rPr>
        <w:t>Health-related business</w:t>
      </w:r>
      <w:r w:rsidRPr="0007798C">
        <w:t xml:space="preserve"> has the same meaning as in the Act.</w:t>
      </w:r>
    </w:p>
    <w:p w14:paraId="1204ED37" w14:textId="77777777" w:rsidR="002D61DD" w:rsidRPr="0007798C" w:rsidRDefault="002D61DD" w:rsidP="002D61DD">
      <w:pPr>
        <w:ind w:firstLine="567"/>
      </w:pPr>
    </w:p>
    <w:p w14:paraId="1204ED38" w14:textId="77777777" w:rsidR="002D61DD" w:rsidRDefault="002D61DD" w:rsidP="002D61DD">
      <w:pPr>
        <w:ind w:left="567"/>
      </w:pPr>
      <w:r w:rsidRPr="007D44A7">
        <w:rPr>
          <w:b/>
        </w:rPr>
        <w:t>Material risks</w:t>
      </w:r>
      <w:r w:rsidRPr="0007798C">
        <w:t xml:space="preserve"> are those risks that could have a material impact, both financial and non-financial on the APRA-regulated institution, or on the interests of depositors and/or policyholders of the APRA-regulated institution. Material risks may include, but are not limited to the examples included in paragraph 26 of CPS 220.</w:t>
      </w:r>
    </w:p>
    <w:p w14:paraId="1204ED39" w14:textId="77777777" w:rsidR="002D61DD" w:rsidRPr="0007798C" w:rsidRDefault="002D61DD" w:rsidP="002D61DD">
      <w:pPr>
        <w:ind w:left="567"/>
      </w:pPr>
    </w:p>
    <w:p w14:paraId="1204ED3A" w14:textId="77777777" w:rsidR="002D61DD" w:rsidRDefault="002D61DD" w:rsidP="002D61DD">
      <w:pPr>
        <w:keepNext/>
        <w:ind w:firstLine="567"/>
        <w:jc w:val="both"/>
      </w:pPr>
      <w:r w:rsidRPr="007D44A7">
        <w:rPr>
          <w:b/>
        </w:rPr>
        <w:t>New product</w:t>
      </w:r>
      <w:r w:rsidRPr="0007798C">
        <w:t xml:space="preserve"> means a product that:</w:t>
      </w:r>
    </w:p>
    <w:p w14:paraId="1204ED3B" w14:textId="77777777" w:rsidR="002D61DD" w:rsidRPr="0007798C" w:rsidRDefault="002D61DD" w:rsidP="002D61DD">
      <w:pPr>
        <w:keepNext/>
        <w:ind w:firstLine="567"/>
        <w:jc w:val="both"/>
      </w:pPr>
    </w:p>
    <w:p w14:paraId="1204ED3C" w14:textId="77777777" w:rsidR="002D61DD" w:rsidRPr="0007798C" w:rsidRDefault="002D61DD" w:rsidP="002D61DD">
      <w:pPr>
        <w:pStyle w:val="ListParagraph"/>
        <w:numPr>
          <w:ilvl w:val="0"/>
          <w:numId w:val="33"/>
        </w:numPr>
        <w:spacing w:after="240"/>
        <w:contextualSpacing w:val="0"/>
        <w:jc w:val="both"/>
      </w:pPr>
      <w:r w:rsidRPr="0007798C">
        <w:t>has not previously been offered by a private health insurer; and</w:t>
      </w:r>
    </w:p>
    <w:p w14:paraId="1204ED3D" w14:textId="77777777" w:rsidR="002D61DD" w:rsidRPr="0007798C" w:rsidRDefault="002D61DD" w:rsidP="002D61DD">
      <w:pPr>
        <w:pStyle w:val="ListParagraph"/>
        <w:numPr>
          <w:ilvl w:val="0"/>
          <w:numId w:val="33"/>
        </w:numPr>
        <w:spacing w:after="240"/>
        <w:contextualSpacing w:val="0"/>
        <w:jc w:val="both"/>
      </w:pPr>
      <w:r w:rsidRPr="0007798C">
        <w:t>contains characteristics that are different from other products offered by the insurer.</w:t>
      </w:r>
    </w:p>
    <w:p w14:paraId="1204ED3E" w14:textId="77777777" w:rsidR="002D61DD" w:rsidRDefault="002D61DD" w:rsidP="002D61DD">
      <w:pPr>
        <w:ind w:left="567" w:hanging="3"/>
        <w:jc w:val="both"/>
      </w:pPr>
      <w:r w:rsidRPr="007D44A7">
        <w:rPr>
          <w:b/>
        </w:rPr>
        <w:t>Non-executive director</w:t>
      </w:r>
      <w:r w:rsidRPr="0007798C">
        <w:t xml:space="preserve"> is defined in CPS 510. </w:t>
      </w:r>
    </w:p>
    <w:p w14:paraId="1204ED3F" w14:textId="77777777" w:rsidR="002D61DD" w:rsidRPr="0007798C" w:rsidRDefault="002D61DD" w:rsidP="002D61DD">
      <w:pPr>
        <w:ind w:left="567" w:hanging="3"/>
        <w:jc w:val="both"/>
      </w:pPr>
    </w:p>
    <w:p w14:paraId="1204ED40" w14:textId="77777777" w:rsidR="002D61DD" w:rsidRDefault="002D61DD" w:rsidP="002D61DD">
      <w:pPr>
        <w:ind w:left="567" w:hanging="3"/>
        <w:jc w:val="both"/>
      </w:pPr>
      <w:r w:rsidRPr="007D44A7">
        <w:rPr>
          <w:b/>
        </w:rPr>
        <w:t xml:space="preserve">Officer </w:t>
      </w:r>
      <w:r w:rsidRPr="0007798C">
        <w:t>has the same meaning as in the Act.</w:t>
      </w:r>
    </w:p>
    <w:p w14:paraId="1204ED41" w14:textId="77777777" w:rsidR="007D44A7" w:rsidRPr="0007798C" w:rsidRDefault="007D44A7" w:rsidP="002D61DD">
      <w:pPr>
        <w:ind w:left="567" w:hanging="3"/>
        <w:jc w:val="both"/>
      </w:pPr>
    </w:p>
    <w:p w14:paraId="1204ED42" w14:textId="77777777" w:rsidR="002D61DD" w:rsidRPr="007D44A7" w:rsidRDefault="002D61DD" w:rsidP="002D61DD">
      <w:pPr>
        <w:pStyle w:val="Definition"/>
        <w:spacing w:before="0" w:after="240"/>
        <w:ind w:left="567"/>
        <w:rPr>
          <w:sz w:val="24"/>
          <w:szCs w:val="24"/>
        </w:rPr>
      </w:pPr>
      <w:r w:rsidRPr="007D44A7">
        <w:rPr>
          <w:b/>
          <w:sz w:val="24"/>
          <w:szCs w:val="24"/>
        </w:rPr>
        <w:t>PHIAC</w:t>
      </w:r>
      <w:r w:rsidRPr="007D44A7">
        <w:rPr>
          <w:sz w:val="24"/>
          <w:szCs w:val="24"/>
        </w:rPr>
        <w:t xml:space="preserve"> means the former Private Health Insurance Administration Council established under the National Health Act 1953, whose prudential functions transferred to APRA on 30 June 2015.</w:t>
      </w:r>
    </w:p>
    <w:p w14:paraId="1204ED43" w14:textId="77777777" w:rsidR="002D61DD" w:rsidRDefault="002D61DD" w:rsidP="002D61DD">
      <w:pPr>
        <w:ind w:left="567"/>
        <w:jc w:val="both"/>
      </w:pPr>
      <w:r w:rsidRPr="007D44A7">
        <w:rPr>
          <w:b/>
        </w:rPr>
        <w:t>Policy holder</w:t>
      </w:r>
      <w:r w:rsidRPr="0007798C">
        <w:t xml:space="preserve"> has the same meaning as in the Act.</w:t>
      </w:r>
    </w:p>
    <w:p w14:paraId="1204ED44" w14:textId="77777777" w:rsidR="002D61DD" w:rsidRPr="0007798C" w:rsidRDefault="002D61DD" w:rsidP="002D61DD">
      <w:pPr>
        <w:ind w:left="567"/>
        <w:jc w:val="both"/>
      </w:pPr>
    </w:p>
    <w:p w14:paraId="1204ED45" w14:textId="77777777" w:rsidR="002D61DD" w:rsidRDefault="002D61DD" w:rsidP="002D61DD">
      <w:pPr>
        <w:ind w:left="567"/>
        <w:jc w:val="both"/>
      </w:pPr>
      <w:r w:rsidRPr="007D44A7">
        <w:rPr>
          <w:b/>
        </w:rPr>
        <w:t>Premium income estimate</w:t>
      </w:r>
      <w:r w:rsidRPr="0007798C">
        <w:t xml:space="preserve"> of a health benefits fund, is the central estimate of the amount of health insurance business premium income that it will earn in the 12 months after the relevant day, where the premium increase assumption is the lesser of:</w:t>
      </w:r>
    </w:p>
    <w:p w14:paraId="1204ED46" w14:textId="77777777" w:rsidR="002D61DD" w:rsidRPr="0007798C" w:rsidRDefault="002D61DD" w:rsidP="002D61DD">
      <w:pPr>
        <w:ind w:left="567"/>
        <w:jc w:val="both"/>
      </w:pPr>
    </w:p>
    <w:p w14:paraId="1204ED47" w14:textId="77777777" w:rsidR="002D61DD" w:rsidRPr="0007798C" w:rsidRDefault="002D61DD" w:rsidP="002D61DD">
      <w:pPr>
        <w:pStyle w:val="ListParagraph"/>
        <w:numPr>
          <w:ilvl w:val="0"/>
          <w:numId w:val="34"/>
        </w:numPr>
        <w:spacing w:after="240"/>
        <w:ind w:left="1134" w:hanging="566"/>
        <w:contextualSpacing w:val="0"/>
        <w:jc w:val="both"/>
      </w:pPr>
      <w:r w:rsidRPr="0007798C">
        <w:t>the central estimate of the amount of revenue the private health insurer’s health benefits fund will earn in the 12 months after the relevant day; and</w:t>
      </w:r>
    </w:p>
    <w:p w14:paraId="1204ED48" w14:textId="77777777" w:rsidR="002D61DD" w:rsidRPr="0007798C" w:rsidRDefault="002D61DD" w:rsidP="002D61DD">
      <w:pPr>
        <w:pStyle w:val="ListParagraph"/>
        <w:numPr>
          <w:ilvl w:val="0"/>
          <w:numId w:val="34"/>
        </w:numPr>
        <w:spacing w:after="240"/>
        <w:ind w:left="1134" w:hanging="566"/>
        <w:contextualSpacing w:val="0"/>
        <w:jc w:val="both"/>
      </w:pPr>
      <w:r w:rsidRPr="0007798C">
        <w:t>the amount determined in accordance with the methodology published by APRA, as amended from time to time.</w:t>
      </w:r>
    </w:p>
    <w:p w14:paraId="1204ED49" w14:textId="77777777" w:rsidR="002D61DD" w:rsidRDefault="002D61DD" w:rsidP="002D61DD">
      <w:pPr>
        <w:ind w:left="567"/>
        <w:jc w:val="both"/>
      </w:pPr>
      <w:r w:rsidRPr="007D44A7">
        <w:rPr>
          <w:b/>
        </w:rPr>
        <w:t>Previously approved subordinated debt</w:t>
      </w:r>
      <w:r w:rsidRPr="0007798C">
        <w:t xml:space="preserve"> of a health benefits fund, means debt of a kind previously approved by PHIAC as subordinated debt, for the purposes of the solvency standard or capital adequacy standard established by the Private Health Insurance (Health Benefits Fund Administration) Rules 2007 (made under the </w:t>
      </w:r>
      <w:r w:rsidRPr="002D61DD">
        <w:rPr>
          <w:i/>
        </w:rPr>
        <w:t>Private Health Insurance Act 2007</w:t>
      </w:r>
      <w:r w:rsidRPr="0007798C">
        <w:t>), as in force as immediately prior to 31 March 2014.</w:t>
      </w:r>
    </w:p>
    <w:p w14:paraId="1204ED4A" w14:textId="77777777" w:rsidR="002D61DD" w:rsidRPr="0007798C" w:rsidRDefault="002D61DD" w:rsidP="002D61DD">
      <w:pPr>
        <w:ind w:left="567"/>
        <w:jc w:val="both"/>
      </w:pPr>
    </w:p>
    <w:p w14:paraId="1204ED4B" w14:textId="77777777" w:rsidR="002D61DD" w:rsidRDefault="002D61DD" w:rsidP="002D61DD">
      <w:pPr>
        <w:ind w:left="567"/>
        <w:jc w:val="both"/>
      </w:pPr>
      <w:r w:rsidRPr="007D44A7">
        <w:rPr>
          <w:b/>
        </w:rPr>
        <w:t>Private health insurer</w:t>
      </w:r>
      <w:r w:rsidRPr="0007798C">
        <w:t xml:space="preserve"> has the same meaning as in the Act.</w:t>
      </w:r>
    </w:p>
    <w:p w14:paraId="1204ED4C" w14:textId="77777777" w:rsidR="002D61DD" w:rsidRPr="0007798C" w:rsidRDefault="002D61DD" w:rsidP="002D61DD">
      <w:pPr>
        <w:ind w:left="567"/>
        <w:jc w:val="both"/>
      </w:pPr>
    </w:p>
    <w:p w14:paraId="1204ED4D" w14:textId="77777777" w:rsidR="002D61DD" w:rsidRDefault="002D61DD" w:rsidP="002D61DD">
      <w:pPr>
        <w:ind w:left="567"/>
        <w:jc w:val="both"/>
      </w:pPr>
      <w:r w:rsidRPr="007D44A7">
        <w:rPr>
          <w:b/>
        </w:rPr>
        <w:t>Probability of adequacy</w:t>
      </w:r>
      <w:r w:rsidRPr="0007798C">
        <w:t xml:space="preserve"> means the percentile required to meet individual elements of either HPS 100 or HPS 110.</w:t>
      </w:r>
    </w:p>
    <w:p w14:paraId="1204ED4E" w14:textId="77777777" w:rsidR="002D61DD" w:rsidRPr="0007798C" w:rsidRDefault="002D61DD" w:rsidP="002D61DD">
      <w:pPr>
        <w:ind w:left="567"/>
        <w:jc w:val="both"/>
      </w:pPr>
    </w:p>
    <w:p w14:paraId="1204ED4F" w14:textId="77777777" w:rsidR="002D61DD" w:rsidRDefault="002D61DD" w:rsidP="002D61DD">
      <w:pPr>
        <w:ind w:left="567"/>
        <w:jc w:val="both"/>
      </w:pPr>
      <w:r w:rsidRPr="007D44A7">
        <w:rPr>
          <w:b/>
        </w:rPr>
        <w:t>Prudential requirements</w:t>
      </w:r>
      <w:r w:rsidRPr="0007798C">
        <w:t xml:space="preserve"> includes requirements imposed by the Act, prudential standards and APRA rules made under the Act, reporting standards made under the FSCODA, conditions imposed at the time of registration under the Act and any other requirements imposed by APRA in writing.</w:t>
      </w:r>
    </w:p>
    <w:p w14:paraId="1204ED50" w14:textId="77777777" w:rsidR="002D61DD" w:rsidRPr="0007798C" w:rsidRDefault="002D61DD" w:rsidP="002D61DD">
      <w:pPr>
        <w:ind w:left="567"/>
        <w:jc w:val="both"/>
      </w:pPr>
    </w:p>
    <w:p w14:paraId="1204ED51" w14:textId="77777777" w:rsidR="002D61DD" w:rsidRDefault="002D61DD" w:rsidP="002D61DD">
      <w:pPr>
        <w:ind w:left="567"/>
        <w:jc w:val="both"/>
      </w:pPr>
      <w:r w:rsidRPr="007D44A7">
        <w:rPr>
          <w:b/>
        </w:rPr>
        <w:t>Referable</w:t>
      </w:r>
      <w:r w:rsidRPr="0007798C">
        <w:t xml:space="preserve"> has the same meaning as in the Act.</w:t>
      </w:r>
    </w:p>
    <w:p w14:paraId="1204ED52" w14:textId="77777777" w:rsidR="002D61DD" w:rsidRPr="0007798C" w:rsidRDefault="002D61DD" w:rsidP="002D61DD">
      <w:pPr>
        <w:ind w:left="567"/>
        <w:jc w:val="both"/>
      </w:pPr>
    </w:p>
    <w:p w14:paraId="1204ED53" w14:textId="77777777" w:rsidR="002D61DD" w:rsidRDefault="002D61DD" w:rsidP="002D61DD">
      <w:pPr>
        <w:ind w:left="567"/>
        <w:jc w:val="both"/>
      </w:pPr>
      <w:r w:rsidRPr="00C53D54">
        <w:rPr>
          <w:b/>
        </w:rPr>
        <w:t>Related party</w:t>
      </w:r>
      <w:r w:rsidRPr="0007798C">
        <w:t xml:space="preserve"> has the meaning given by the Australian Accounting Standards Board Standard 124 as in force from time to time.</w:t>
      </w:r>
    </w:p>
    <w:p w14:paraId="1204ED54" w14:textId="77777777" w:rsidR="002D61DD" w:rsidRPr="0007798C" w:rsidRDefault="002D61DD" w:rsidP="002D61DD">
      <w:pPr>
        <w:ind w:left="567"/>
        <w:jc w:val="both"/>
      </w:pPr>
    </w:p>
    <w:p w14:paraId="1204ED55" w14:textId="77777777" w:rsidR="002D61DD" w:rsidRDefault="002D61DD" w:rsidP="002D61DD">
      <w:pPr>
        <w:ind w:left="567"/>
        <w:jc w:val="both"/>
      </w:pPr>
      <w:r w:rsidRPr="00C53D54">
        <w:rPr>
          <w:b/>
        </w:rPr>
        <w:t>Relevant day</w:t>
      </w:r>
      <w:r w:rsidRPr="0007798C">
        <w:t xml:space="preserve"> means the day on which the calculation is based for the purposes of assessing compliance with HPS 100 or HPS 110, as the case may be.</w:t>
      </w:r>
    </w:p>
    <w:p w14:paraId="1204ED56" w14:textId="77777777" w:rsidR="002D61DD" w:rsidRPr="0007798C" w:rsidRDefault="002D61DD" w:rsidP="002D61DD">
      <w:pPr>
        <w:ind w:left="567"/>
        <w:jc w:val="both"/>
      </w:pPr>
    </w:p>
    <w:p w14:paraId="1204ED57" w14:textId="77777777" w:rsidR="002D61DD" w:rsidRDefault="002D61DD" w:rsidP="002D61DD">
      <w:pPr>
        <w:ind w:left="567"/>
        <w:jc w:val="both"/>
      </w:pPr>
      <w:r w:rsidRPr="00C53D54">
        <w:rPr>
          <w:b/>
        </w:rPr>
        <w:t>Remuneration Policy</w:t>
      </w:r>
      <w:r w:rsidRPr="0007798C">
        <w:t xml:space="preserve"> has the same meaning as in CPS 510. </w:t>
      </w:r>
    </w:p>
    <w:p w14:paraId="1204ED58" w14:textId="77777777" w:rsidR="002D61DD" w:rsidRPr="0007798C" w:rsidRDefault="002D61DD" w:rsidP="002D61DD">
      <w:pPr>
        <w:ind w:left="567"/>
        <w:jc w:val="both"/>
      </w:pPr>
    </w:p>
    <w:p w14:paraId="1204ED59" w14:textId="77B860B0" w:rsidR="002D61DD" w:rsidRDefault="002D61DD" w:rsidP="002D61DD">
      <w:pPr>
        <w:ind w:left="567"/>
        <w:jc w:val="both"/>
      </w:pPr>
      <w:r w:rsidRPr="00C53D54">
        <w:rPr>
          <w:b/>
        </w:rPr>
        <w:t>Responsible persons</w:t>
      </w:r>
      <w:r w:rsidRPr="0007798C">
        <w:t xml:space="preserve"> </w:t>
      </w:r>
      <w:r w:rsidR="00336B0E" w:rsidRPr="0007798C">
        <w:t xml:space="preserve">has the same meaning as in </w:t>
      </w:r>
      <w:r w:rsidRPr="0007798C">
        <w:t>CPS 520.</w:t>
      </w:r>
    </w:p>
    <w:p w14:paraId="1204ED5A" w14:textId="77777777" w:rsidR="002D61DD" w:rsidRPr="0007798C" w:rsidRDefault="002D61DD" w:rsidP="002D61DD">
      <w:pPr>
        <w:ind w:left="567"/>
        <w:jc w:val="both"/>
      </w:pPr>
    </w:p>
    <w:p w14:paraId="1204ED5B" w14:textId="08E49848" w:rsidR="002D61DD" w:rsidRDefault="002D61DD" w:rsidP="002D61DD">
      <w:pPr>
        <w:ind w:left="567"/>
        <w:jc w:val="both"/>
      </w:pPr>
      <w:r w:rsidRPr="00C53D54">
        <w:rPr>
          <w:b/>
        </w:rPr>
        <w:t>Risk management framework</w:t>
      </w:r>
      <w:r w:rsidRPr="0007798C">
        <w:t xml:space="preserve"> </w:t>
      </w:r>
      <w:r w:rsidR="00336B0E" w:rsidRPr="0007798C">
        <w:t xml:space="preserve">has the same meaning as in </w:t>
      </w:r>
      <w:r w:rsidRPr="0007798C">
        <w:t>CPS 220.</w:t>
      </w:r>
    </w:p>
    <w:p w14:paraId="1204ED5C" w14:textId="77777777" w:rsidR="002D61DD" w:rsidRPr="0007798C" w:rsidRDefault="002D61DD" w:rsidP="002D61DD">
      <w:pPr>
        <w:ind w:left="567"/>
        <w:jc w:val="both"/>
      </w:pPr>
    </w:p>
    <w:p w14:paraId="1204ED5D" w14:textId="201BA0A7" w:rsidR="002D61DD" w:rsidRDefault="002D61DD" w:rsidP="002D61DD">
      <w:pPr>
        <w:ind w:left="567"/>
        <w:jc w:val="both"/>
      </w:pPr>
      <w:r w:rsidRPr="00C53D54">
        <w:rPr>
          <w:b/>
        </w:rPr>
        <w:t>Risk management strategy</w:t>
      </w:r>
      <w:r w:rsidRPr="0007798C">
        <w:t xml:space="preserve"> </w:t>
      </w:r>
      <w:r w:rsidR="00336B0E" w:rsidRPr="0007798C">
        <w:t xml:space="preserve">has the same meaning as in </w:t>
      </w:r>
      <w:r w:rsidRPr="0007798C">
        <w:t>CPS 220.</w:t>
      </w:r>
    </w:p>
    <w:p w14:paraId="1204ED5E" w14:textId="77777777" w:rsidR="002D61DD" w:rsidRPr="0007798C" w:rsidRDefault="002D61DD" w:rsidP="002D61DD">
      <w:pPr>
        <w:ind w:left="567"/>
        <w:jc w:val="both"/>
      </w:pPr>
    </w:p>
    <w:p w14:paraId="1204ED5F" w14:textId="77777777" w:rsidR="002D61DD" w:rsidRDefault="002D61DD" w:rsidP="002D61DD">
      <w:pPr>
        <w:ind w:left="567"/>
        <w:jc w:val="both"/>
      </w:pPr>
      <w:r w:rsidRPr="00C53D54">
        <w:rPr>
          <w:b/>
        </w:rPr>
        <w:t>Senior management</w:t>
      </w:r>
      <w:r w:rsidRPr="0007798C">
        <w:t xml:space="preserve"> responsibilities means the responsibilities of making, or participating in making, decisions that affect the whole, or a substantial part, of the business of the private health insurer. </w:t>
      </w:r>
    </w:p>
    <w:p w14:paraId="1204ED60" w14:textId="77777777" w:rsidR="002D61DD" w:rsidRPr="0007798C" w:rsidRDefault="002D61DD" w:rsidP="002D61DD">
      <w:pPr>
        <w:ind w:left="567"/>
        <w:jc w:val="both"/>
      </w:pPr>
    </w:p>
    <w:p w14:paraId="1204ED61" w14:textId="77777777" w:rsidR="002D61DD" w:rsidRDefault="002D61DD" w:rsidP="002D61DD">
      <w:pPr>
        <w:ind w:left="567"/>
        <w:jc w:val="both"/>
      </w:pPr>
      <w:r w:rsidRPr="00C53D54">
        <w:rPr>
          <w:b/>
        </w:rPr>
        <w:t>Single equivalent units (SEUs)</w:t>
      </w:r>
      <w:r w:rsidRPr="0007798C">
        <w:t xml:space="preserve"> for a policy – if a policy falls into one of the categories of policies specified below, the single equivalent unit for the policy is the number shown next to the category:</w:t>
      </w:r>
    </w:p>
    <w:p w14:paraId="1157C5B2" w14:textId="77777777" w:rsidR="00FD6B39" w:rsidRDefault="00FD6B39" w:rsidP="002D61DD">
      <w:pPr>
        <w:ind w:left="567"/>
        <w:jc w:val="both"/>
      </w:pPr>
    </w:p>
    <w:p w14:paraId="1204ED62" w14:textId="77777777" w:rsidR="002D61DD" w:rsidRPr="0007798C" w:rsidRDefault="002D61DD" w:rsidP="002D61DD">
      <w:pPr>
        <w:pStyle w:val="ListParagraph"/>
        <w:numPr>
          <w:ilvl w:val="0"/>
          <w:numId w:val="37"/>
        </w:numPr>
        <w:spacing w:after="240"/>
        <w:ind w:left="1134" w:hanging="566"/>
        <w:contextualSpacing w:val="0"/>
        <w:jc w:val="both"/>
      </w:pPr>
      <w:r w:rsidRPr="0007798C">
        <w:t>a hospital policy under which only one person is insured – 1;</w:t>
      </w:r>
    </w:p>
    <w:p w14:paraId="1204ED63" w14:textId="77777777" w:rsidR="002D61DD" w:rsidRPr="0007798C" w:rsidRDefault="002D61DD" w:rsidP="002D61DD">
      <w:pPr>
        <w:pStyle w:val="ListParagraph"/>
        <w:numPr>
          <w:ilvl w:val="0"/>
          <w:numId w:val="37"/>
        </w:numPr>
        <w:spacing w:after="240"/>
        <w:ind w:left="1134" w:hanging="566"/>
        <w:contextualSpacing w:val="0"/>
        <w:jc w:val="both"/>
      </w:pPr>
      <w:r w:rsidRPr="0007798C">
        <w:t>a hospital policy under which 2 adults are insured (and no-one else) – 2;</w:t>
      </w:r>
    </w:p>
    <w:p w14:paraId="1204ED64" w14:textId="77777777" w:rsidR="002D61DD" w:rsidRPr="0007798C" w:rsidRDefault="002D61DD" w:rsidP="002D61DD">
      <w:pPr>
        <w:pStyle w:val="ListParagraph"/>
        <w:numPr>
          <w:ilvl w:val="0"/>
          <w:numId w:val="37"/>
        </w:numPr>
        <w:spacing w:after="240"/>
        <w:ind w:left="1134" w:hanging="566"/>
        <w:contextualSpacing w:val="0"/>
        <w:jc w:val="both"/>
      </w:pPr>
      <w:r w:rsidRPr="0007798C">
        <w:t>a hospital policy under which 2 or more people are insured, none of whom is an adult – 1;</w:t>
      </w:r>
    </w:p>
    <w:p w14:paraId="1204ED65" w14:textId="77777777" w:rsidR="002D61DD" w:rsidRPr="0007798C" w:rsidRDefault="002D61DD" w:rsidP="002D61DD">
      <w:pPr>
        <w:pStyle w:val="ListParagraph"/>
        <w:numPr>
          <w:ilvl w:val="0"/>
          <w:numId w:val="37"/>
        </w:numPr>
        <w:spacing w:after="240"/>
        <w:ind w:left="1134" w:hanging="566"/>
        <w:contextualSpacing w:val="0"/>
        <w:jc w:val="both"/>
      </w:pPr>
      <w:r w:rsidRPr="0007798C">
        <w:t>a hospital policy under which 2 or more people are insured, only one of whom is an adult – 1;</w:t>
      </w:r>
    </w:p>
    <w:p w14:paraId="1204ED66" w14:textId="77777777" w:rsidR="002D61DD" w:rsidRPr="0007798C" w:rsidRDefault="002D61DD" w:rsidP="002D61DD">
      <w:pPr>
        <w:pStyle w:val="ListParagraph"/>
        <w:numPr>
          <w:ilvl w:val="0"/>
          <w:numId w:val="37"/>
        </w:numPr>
        <w:spacing w:after="240"/>
        <w:ind w:left="1134" w:hanging="566"/>
        <w:contextualSpacing w:val="0"/>
        <w:jc w:val="both"/>
      </w:pPr>
      <w:r w:rsidRPr="0007798C">
        <w:t>a hospital policy under which 3 or more people are insured, only 2 of whom are adults – 2;</w:t>
      </w:r>
    </w:p>
    <w:p w14:paraId="1204ED67" w14:textId="77777777" w:rsidR="002D61DD" w:rsidRPr="0007798C" w:rsidRDefault="002D61DD" w:rsidP="002D61DD">
      <w:pPr>
        <w:pStyle w:val="ListParagraph"/>
        <w:numPr>
          <w:ilvl w:val="0"/>
          <w:numId w:val="37"/>
        </w:numPr>
        <w:spacing w:after="240"/>
        <w:ind w:left="1134" w:hanging="566"/>
        <w:contextualSpacing w:val="0"/>
        <w:jc w:val="both"/>
      </w:pPr>
      <w:r w:rsidRPr="0007798C">
        <w:t>a hospital policy under which 3 or more people are insured, at least 3 of whom are adults – 2.</w:t>
      </w:r>
    </w:p>
    <w:p w14:paraId="1204ED68" w14:textId="77777777" w:rsidR="002D61DD" w:rsidRDefault="002D61DD" w:rsidP="002D61DD">
      <w:pPr>
        <w:ind w:left="567"/>
        <w:jc w:val="both"/>
      </w:pPr>
      <w:r w:rsidRPr="00C53D54">
        <w:rPr>
          <w:b/>
        </w:rPr>
        <w:t>Size margin</w:t>
      </w:r>
      <w:r w:rsidRPr="0007798C">
        <w:t xml:space="preserve"> of a health benefits fund, is the lesser of:</w:t>
      </w:r>
    </w:p>
    <w:p w14:paraId="1204ED69" w14:textId="77777777" w:rsidR="002D61DD" w:rsidRPr="0007798C" w:rsidRDefault="002D61DD" w:rsidP="002D61DD">
      <w:pPr>
        <w:ind w:left="567"/>
        <w:jc w:val="both"/>
      </w:pPr>
    </w:p>
    <w:p w14:paraId="1204ED6A" w14:textId="77777777" w:rsidR="002D61DD" w:rsidRPr="0007798C" w:rsidRDefault="002D61DD" w:rsidP="002D61DD">
      <w:pPr>
        <w:pStyle w:val="ListParagraph"/>
        <w:numPr>
          <w:ilvl w:val="0"/>
          <w:numId w:val="36"/>
        </w:numPr>
        <w:spacing w:after="240"/>
        <w:ind w:left="1134" w:hanging="567"/>
        <w:contextualSpacing w:val="0"/>
        <w:jc w:val="both"/>
      </w:pPr>
      <w:r w:rsidRPr="0007798C">
        <w:t xml:space="preserve">the margin based on the number of SEUs of the health benefits fund as calculated by the following formula: </w:t>
      </w:r>
    </w:p>
    <w:p w14:paraId="1204ED6B" w14:textId="77777777" w:rsidR="002D61DD" w:rsidRDefault="002D61DD" w:rsidP="002D61DD">
      <w:pPr>
        <w:pStyle w:val="ListParagraph"/>
        <w:spacing w:after="240"/>
        <w:ind w:left="1134"/>
        <w:jc w:val="both"/>
      </w:pPr>
      <w:r w:rsidRPr="0007798C">
        <w:t>0.75 × (SEUs) ^ -0.16; and</w:t>
      </w:r>
    </w:p>
    <w:p w14:paraId="1204ED6C" w14:textId="77777777" w:rsidR="002D61DD" w:rsidRPr="0007798C" w:rsidRDefault="002D61DD" w:rsidP="002D61DD">
      <w:pPr>
        <w:pStyle w:val="ListParagraph"/>
        <w:spacing w:after="240"/>
        <w:ind w:left="1134"/>
        <w:jc w:val="both"/>
      </w:pPr>
    </w:p>
    <w:p w14:paraId="1204ED6D" w14:textId="77777777" w:rsidR="002D61DD" w:rsidRPr="0007798C" w:rsidRDefault="002D61DD" w:rsidP="002D61DD">
      <w:pPr>
        <w:pStyle w:val="ListParagraph"/>
        <w:numPr>
          <w:ilvl w:val="0"/>
          <w:numId w:val="36"/>
        </w:numPr>
        <w:spacing w:after="240"/>
        <w:ind w:left="1134" w:hanging="567"/>
        <w:contextualSpacing w:val="0"/>
        <w:jc w:val="both"/>
      </w:pPr>
      <w:r w:rsidRPr="0007798C">
        <w:t>0.25.</w:t>
      </w:r>
    </w:p>
    <w:p w14:paraId="1204ED6E" w14:textId="77777777" w:rsidR="002D61DD" w:rsidRDefault="002D61DD" w:rsidP="002D61DD">
      <w:pPr>
        <w:ind w:left="567"/>
        <w:jc w:val="both"/>
      </w:pPr>
      <w:r w:rsidRPr="00C53D54">
        <w:rPr>
          <w:b/>
        </w:rPr>
        <w:t>Subordinated debt</w:t>
      </w:r>
      <w:r w:rsidRPr="0007798C">
        <w:t xml:space="preserve"> means the sum of any previously approved subordinated debt and any approved loss absorbing subordinated debt.</w:t>
      </w:r>
    </w:p>
    <w:p w14:paraId="1204ED6F" w14:textId="77777777" w:rsidR="002D61DD" w:rsidRPr="0007798C" w:rsidRDefault="002D61DD" w:rsidP="002D61DD">
      <w:pPr>
        <w:ind w:left="567"/>
        <w:jc w:val="both"/>
      </w:pPr>
    </w:p>
    <w:p w14:paraId="1204ED70" w14:textId="77777777" w:rsidR="002D61DD" w:rsidRDefault="002D61DD" w:rsidP="002D61DD">
      <w:pPr>
        <w:ind w:left="567"/>
        <w:jc w:val="both"/>
      </w:pPr>
      <w:r w:rsidRPr="00C53D54">
        <w:rPr>
          <w:b/>
        </w:rPr>
        <w:t>Substantial shareholder</w:t>
      </w:r>
      <w:r w:rsidRPr="0007798C">
        <w:t xml:space="preserve"> means a person with a substantial holding within the meaning given by section 9 of the Corps Act.</w:t>
      </w:r>
    </w:p>
    <w:p w14:paraId="1204ED71" w14:textId="77777777" w:rsidR="002D61DD" w:rsidRPr="0007798C" w:rsidRDefault="002D61DD" w:rsidP="002D61DD">
      <w:pPr>
        <w:ind w:left="567"/>
        <w:jc w:val="both"/>
      </w:pPr>
    </w:p>
    <w:p w14:paraId="1204ED72" w14:textId="77777777" w:rsidR="00B531B4" w:rsidRPr="00B531B4" w:rsidRDefault="002D61DD" w:rsidP="0006429C">
      <w:pPr>
        <w:ind w:left="567"/>
        <w:jc w:val="both"/>
      </w:pPr>
      <w:r w:rsidRPr="00C53D54">
        <w:rPr>
          <w:b/>
        </w:rPr>
        <w:t>Terminating management</w:t>
      </w:r>
      <w:r w:rsidRPr="0007798C">
        <w:t xml:space="preserve"> has the same meaning as in the Act.</w:t>
      </w:r>
      <w:bookmarkEnd w:id="19"/>
      <w:bookmarkEnd w:id="20"/>
    </w:p>
    <w:sectPr w:rsidR="00B531B4" w:rsidRPr="00B531B4" w:rsidSect="00BE119A">
      <w:headerReference w:type="default" r:id="rId16"/>
      <w:footerReference w:type="default" r:id="rId17"/>
      <w:headerReference w:type="first" r:id="rId18"/>
      <w:footerReference w:type="first" r:id="rId19"/>
      <w:pgSz w:w="11906" w:h="16838" w:code="9"/>
      <w:pgMar w:top="1440"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4ED7B" w14:textId="77777777" w:rsidR="00BD23C1" w:rsidRDefault="00BD23C1" w:rsidP="007A463E">
      <w:r>
        <w:separator/>
      </w:r>
    </w:p>
    <w:p w14:paraId="1204ED7C" w14:textId="77777777" w:rsidR="00BD23C1" w:rsidRDefault="00BD23C1"/>
  </w:endnote>
  <w:endnote w:type="continuationSeparator" w:id="0">
    <w:p w14:paraId="1204ED7D" w14:textId="77777777" w:rsidR="00BD23C1" w:rsidRDefault="00BD23C1" w:rsidP="007A463E">
      <w:r>
        <w:continuationSeparator/>
      </w:r>
    </w:p>
    <w:p w14:paraId="1204ED7E" w14:textId="77777777" w:rsidR="00BD23C1" w:rsidRDefault="00BD2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E326D" w14:textId="6B48CF9E" w:rsidR="00C9331F" w:rsidRPr="00C9331F" w:rsidRDefault="00C9331F">
    <w:pPr>
      <w:pStyle w:val="Footer"/>
      <w:rPr>
        <w:b/>
        <w:sz w:val="24"/>
        <w:szCs w:val="24"/>
      </w:rPr>
    </w:pPr>
  </w:p>
  <w:p w14:paraId="1204ED84" w14:textId="77777777" w:rsidR="0006429C" w:rsidRPr="00C9331F" w:rsidRDefault="0006429C" w:rsidP="00C933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152060"/>
      <w:docPartObj>
        <w:docPartGallery w:val="Page Numbers (Bottom of Page)"/>
        <w:docPartUnique/>
      </w:docPartObj>
    </w:sdtPr>
    <w:sdtEndPr>
      <w:rPr>
        <w:b/>
        <w:sz w:val="24"/>
        <w:szCs w:val="24"/>
      </w:rPr>
    </w:sdtEndPr>
    <w:sdtContent>
      <w:p w14:paraId="7E390221" w14:textId="77777777" w:rsidR="00BE119A" w:rsidRPr="00FF03D4" w:rsidRDefault="00BE119A">
        <w:pPr>
          <w:pStyle w:val="Footer"/>
          <w:rPr>
            <w:b/>
            <w:sz w:val="24"/>
            <w:szCs w:val="24"/>
          </w:rPr>
        </w:pPr>
        <w:r w:rsidRPr="00FF03D4">
          <w:rPr>
            <w:b/>
            <w:sz w:val="24"/>
            <w:szCs w:val="24"/>
          </w:rPr>
          <w:t xml:space="preserve">HPS 001 - </w:t>
        </w:r>
        <w:sdt>
          <w:sdtPr>
            <w:rPr>
              <w:b/>
              <w:sz w:val="24"/>
              <w:szCs w:val="24"/>
            </w:rPr>
            <w:id w:val="986133462"/>
            <w:docPartObj>
              <w:docPartGallery w:val="Page Numbers (Top of Page)"/>
              <w:docPartUnique/>
            </w:docPartObj>
          </w:sdtPr>
          <w:sdtEndPr/>
          <w:sdtContent>
            <w:r w:rsidRPr="00FF03D4">
              <w:rPr>
                <w:b/>
                <w:bCs/>
                <w:sz w:val="24"/>
                <w:szCs w:val="24"/>
              </w:rPr>
              <w:fldChar w:fldCharType="begin"/>
            </w:r>
            <w:r w:rsidRPr="00FF03D4">
              <w:rPr>
                <w:b/>
                <w:bCs/>
                <w:sz w:val="24"/>
                <w:szCs w:val="24"/>
              </w:rPr>
              <w:instrText xml:space="preserve"> PAGE </w:instrText>
            </w:r>
            <w:r w:rsidRPr="00FF03D4">
              <w:rPr>
                <w:b/>
                <w:bCs/>
                <w:sz w:val="24"/>
                <w:szCs w:val="24"/>
              </w:rPr>
              <w:fldChar w:fldCharType="separate"/>
            </w:r>
            <w:r w:rsidR="00B112A3">
              <w:rPr>
                <w:b/>
                <w:bCs/>
                <w:noProof/>
                <w:sz w:val="24"/>
                <w:szCs w:val="24"/>
              </w:rPr>
              <w:t>7</w:t>
            </w:r>
            <w:r w:rsidRPr="00FF03D4">
              <w:rPr>
                <w:b/>
                <w:bCs/>
                <w:sz w:val="24"/>
                <w:szCs w:val="24"/>
              </w:rPr>
              <w:fldChar w:fldCharType="end"/>
            </w:r>
          </w:sdtContent>
        </w:sdt>
      </w:p>
    </w:sdtContent>
  </w:sdt>
  <w:p w14:paraId="6C13B6C1" w14:textId="77777777" w:rsidR="00BE119A" w:rsidRDefault="00BE1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60684"/>
      <w:docPartObj>
        <w:docPartGallery w:val="Page Numbers (Bottom of Page)"/>
        <w:docPartUnique/>
      </w:docPartObj>
    </w:sdtPr>
    <w:sdtEndPr>
      <w:rPr>
        <w:b/>
        <w:sz w:val="24"/>
        <w:szCs w:val="24"/>
      </w:rPr>
    </w:sdtEndPr>
    <w:sdtContent>
      <w:sdt>
        <w:sdtPr>
          <w:id w:val="-1504583893"/>
          <w:docPartObj>
            <w:docPartGallery w:val="Page Numbers (Top of Page)"/>
            <w:docPartUnique/>
          </w:docPartObj>
        </w:sdtPr>
        <w:sdtEndPr>
          <w:rPr>
            <w:b/>
            <w:sz w:val="24"/>
            <w:szCs w:val="24"/>
          </w:rPr>
        </w:sdtEndPr>
        <w:sdtContent>
          <w:p w14:paraId="6F01CBA2" w14:textId="77777777" w:rsidR="00BE119A" w:rsidRPr="00C9331F" w:rsidRDefault="00BE119A">
            <w:pPr>
              <w:pStyle w:val="Footer"/>
              <w:rPr>
                <w:b/>
                <w:sz w:val="24"/>
                <w:szCs w:val="24"/>
              </w:rPr>
            </w:pPr>
            <w:r w:rsidRPr="00C9331F">
              <w:rPr>
                <w:b/>
                <w:sz w:val="24"/>
                <w:szCs w:val="24"/>
              </w:rPr>
              <w:t xml:space="preserve">HPS 001 - </w:t>
            </w:r>
            <w:r w:rsidRPr="00C9331F">
              <w:rPr>
                <w:b/>
                <w:bCs/>
                <w:sz w:val="24"/>
                <w:szCs w:val="24"/>
              </w:rPr>
              <w:fldChar w:fldCharType="begin"/>
            </w:r>
            <w:r w:rsidRPr="00C9331F">
              <w:rPr>
                <w:b/>
                <w:bCs/>
                <w:sz w:val="24"/>
                <w:szCs w:val="24"/>
              </w:rPr>
              <w:instrText xml:space="preserve"> PAGE </w:instrText>
            </w:r>
            <w:r w:rsidRPr="00C9331F">
              <w:rPr>
                <w:b/>
                <w:bCs/>
                <w:sz w:val="24"/>
                <w:szCs w:val="24"/>
              </w:rPr>
              <w:fldChar w:fldCharType="separate"/>
            </w:r>
            <w:r w:rsidR="00B112A3">
              <w:rPr>
                <w:b/>
                <w:bCs/>
                <w:noProof/>
                <w:sz w:val="24"/>
                <w:szCs w:val="24"/>
              </w:rPr>
              <w:t>1</w:t>
            </w:r>
            <w:r w:rsidRPr="00C9331F">
              <w:rPr>
                <w:b/>
                <w:bCs/>
                <w:sz w:val="24"/>
                <w:szCs w:val="24"/>
              </w:rPr>
              <w:fldChar w:fldCharType="end"/>
            </w:r>
          </w:p>
        </w:sdtContent>
      </w:sdt>
    </w:sdtContent>
  </w:sdt>
  <w:p w14:paraId="32EDF1AD" w14:textId="77777777" w:rsidR="00BE119A" w:rsidRPr="00C9331F" w:rsidRDefault="00BE119A" w:rsidP="00C93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ED77" w14:textId="77777777" w:rsidR="00BD23C1" w:rsidRDefault="00BD23C1" w:rsidP="007A463E">
      <w:r>
        <w:separator/>
      </w:r>
    </w:p>
    <w:p w14:paraId="1204ED78" w14:textId="77777777" w:rsidR="00BD23C1" w:rsidRDefault="00BD23C1"/>
  </w:footnote>
  <w:footnote w:type="continuationSeparator" w:id="0">
    <w:p w14:paraId="1204ED79" w14:textId="77777777" w:rsidR="00BD23C1" w:rsidRDefault="00BD23C1" w:rsidP="007A463E">
      <w:r>
        <w:continuationSeparator/>
      </w:r>
    </w:p>
    <w:p w14:paraId="1204ED7A" w14:textId="77777777" w:rsidR="00BD23C1" w:rsidRDefault="00BD23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66E27" w14:textId="77777777" w:rsidR="00D93BF4" w:rsidRPr="00665727" w:rsidRDefault="00D93BF4" w:rsidP="00665727">
    <w:pPr>
      <w:pStyle w:val="Header"/>
      <w:jc w:val="right"/>
    </w:pPr>
    <w:r>
      <w:t>July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6680D" w14:textId="77777777" w:rsidR="00D93BF4" w:rsidRPr="00665727" w:rsidRDefault="00D93BF4" w:rsidP="00FF03D4">
    <w:pPr>
      <w:pStyle w:val="Header"/>
      <w:jc w:val="right"/>
    </w:pPr>
    <w:r>
      <w:t>July 2019</w:t>
    </w:r>
  </w:p>
  <w:p w14:paraId="70B27D42" w14:textId="77777777" w:rsidR="00D93BF4" w:rsidRDefault="00D93BF4" w:rsidP="001D3B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5E320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989E8622"/>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767836BE"/>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B25284C2"/>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8"/>
    <w:multiLevelType w:val="multilevel"/>
    <w:tmpl w:val="25DA7400"/>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15:restartNumberingAfterBreak="0">
    <w:nsid w:val="00921E05"/>
    <w:multiLevelType w:val="hybridMultilevel"/>
    <w:tmpl w:val="AED81594"/>
    <w:lvl w:ilvl="0" w:tplc="8528B9EC">
      <w:start w:val="1"/>
      <w:numFmt w:val="bullet"/>
      <w:pStyle w:val="BULLET3"/>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01776129"/>
    <w:multiLevelType w:val="hybridMultilevel"/>
    <w:tmpl w:val="2E3885DE"/>
    <w:lvl w:ilvl="0" w:tplc="4D169E66">
      <w:start w:val="1"/>
      <w:numFmt w:val="bullet"/>
      <w:pStyle w:val="BULLET2"/>
      <w:lvlText w:val="―"/>
      <w:lvlJc w:val="left"/>
      <w:pPr>
        <w:ind w:left="785"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873809"/>
    <w:multiLevelType w:val="hybridMultilevel"/>
    <w:tmpl w:val="B2C2679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10332E75"/>
    <w:multiLevelType w:val="multilevel"/>
    <w:tmpl w:val="EF76052E"/>
    <w:lvl w:ilvl="0">
      <w:start w:val="1"/>
      <w:numFmt w:val="decimal"/>
      <w:lvlText w:val="Note %1"/>
      <w:lvlJc w:val="left"/>
      <w:pPr>
        <w:tabs>
          <w:tab w:val="num" w:pos="794"/>
        </w:tabs>
        <w:ind w:left="0" w:firstLine="0"/>
      </w:pPr>
      <w:rPr>
        <w:rFonts w:hint="default"/>
        <w:b w:val="0"/>
        <w:i/>
      </w:rPr>
    </w:lvl>
    <w:lvl w:ilvl="1">
      <w:start w:val="1"/>
      <w:numFmt w:val="lowerLetter"/>
      <w:lvlText w:val="%2."/>
      <w:lvlJc w:val="left"/>
      <w:pPr>
        <w:tabs>
          <w:tab w:val="num" w:pos="2404"/>
        </w:tabs>
        <w:ind w:left="2404" w:hanging="360"/>
      </w:pPr>
    </w:lvl>
    <w:lvl w:ilvl="2">
      <w:start w:val="1"/>
      <w:numFmt w:val="lowerRoman"/>
      <w:lvlText w:val="%3."/>
      <w:lvlJc w:val="right"/>
      <w:pPr>
        <w:tabs>
          <w:tab w:val="num" w:pos="3124"/>
        </w:tabs>
        <w:ind w:left="3124" w:hanging="180"/>
      </w:pPr>
    </w:lvl>
    <w:lvl w:ilvl="3">
      <w:start w:val="1"/>
      <w:numFmt w:val="decimal"/>
      <w:lvlText w:val="%4."/>
      <w:lvlJc w:val="left"/>
      <w:pPr>
        <w:tabs>
          <w:tab w:val="num" w:pos="3844"/>
        </w:tabs>
        <w:ind w:left="3844" w:hanging="360"/>
      </w:pPr>
    </w:lvl>
    <w:lvl w:ilvl="4">
      <w:start w:val="1"/>
      <w:numFmt w:val="lowerLetter"/>
      <w:lvlText w:val="%5."/>
      <w:lvlJc w:val="left"/>
      <w:pPr>
        <w:tabs>
          <w:tab w:val="num" w:pos="4564"/>
        </w:tabs>
        <w:ind w:left="4564" w:hanging="360"/>
      </w:pPr>
    </w:lvl>
    <w:lvl w:ilvl="5">
      <w:start w:val="1"/>
      <w:numFmt w:val="lowerRoman"/>
      <w:lvlText w:val="%6."/>
      <w:lvlJc w:val="right"/>
      <w:pPr>
        <w:tabs>
          <w:tab w:val="num" w:pos="5284"/>
        </w:tabs>
        <w:ind w:left="5284" w:hanging="180"/>
      </w:pPr>
    </w:lvl>
    <w:lvl w:ilvl="6">
      <w:start w:val="1"/>
      <w:numFmt w:val="decimal"/>
      <w:lvlText w:val="%7."/>
      <w:lvlJc w:val="left"/>
      <w:pPr>
        <w:tabs>
          <w:tab w:val="num" w:pos="6004"/>
        </w:tabs>
        <w:ind w:left="6004" w:hanging="360"/>
      </w:pPr>
    </w:lvl>
    <w:lvl w:ilvl="7">
      <w:start w:val="1"/>
      <w:numFmt w:val="lowerLetter"/>
      <w:lvlText w:val="%8."/>
      <w:lvlJc w:val="left"/>
      <w:pPr>
        <w:tabs>
          <w:tab w:val="num" w:pos="6724"/>
        </w:tabs>
        <w:ind w:left="6724" w:hanging="360"/>
      </w:pPr>
    </w:lvl>
    <w:lvl w:ilvl="8">
      <w:start w:val="1"/>
      <w:numFmt w:val="lowerRoman"/>
      <w:lvlText w:val="%9."/>
      <w:lvlJc w:val="right"/>
      <w:pPr>
        <w:tabs>
          <w:tab w:val="num" w:pos="7444"/>
        </w:tabs>
        <w:ind w:left="7444" w:hanging="180"/>
      </w:pPr>
    </w:lvl>
  </w:abstractNum>
  <w:abstractNum w:abstractNumId="9" w15:restartNumberingAfterBreak="0">
    <w:nsid w:val="12D47222"/>
    <w:multiLevelType w:val="singleLevel"/>
    <w:tmpl w:val="077210B0"/>
    <w:lvl w:ilvl="0">
      <w:start w:val="1"/>
      <w:numFmt w:val="decimal"/>
      <w:lvlText w:val="%1."/>
      <w:lvlJc w:val="left"/>
      <w:pPr>
        <w:tabs>
          <w:tab w:val="num" w:pos="567"/>
        </w:tabs>
        <w:ind w:left="567" w:hanging="567"/>
      </w:pPr>
      <w:rPr>
        <w:rFonts w:ascii="Times New Roman" w:hAnsi="Times New Roman" w:cs="Times New Roman" w:hint="default"/>
        <w:b w:val="0"/>
        <w:i w:val="0"/>
        <w:sz w:val="24"/>
        <w:szCs w:val="24"/>
      </w:rPr>
    </w:lvl>
  </w:abstractNum>
  <w:abstractNum w:abstractNumId="10" w15:restartNumberingAfterBreak="0">
    <w:nsid w:val="1A35133A"/>
    <w:multiLevelType w:val="hybridMultilevel"/>
    <w:tmpl w:val="98D21884"/>
    <w:lvl w:ilvl="0" w:tplc="A01A8F4E">
      <w:start w:val="1"/>
      <w:numFmt w:val="lowerLetter"/>
      <w:lvlText w:val="(%1)"/>
      <w:lvlJc w:val="left"/>
      <w:pPr>
        <w:tabs>
          <w:tab w:val="num" w:pos="1134"/>
        </w:tabs>
        <w:ind w:left="1134" w:hanging="567"/>
      </w:pPr>
      <w:rPr>
        <w:rFonts w:ascii="Times New Roman" w:hAnsi="Times New Roman" w:cs="Times New Roman" w:hint="default"/>
        <w:b w:val="0"/>
        <w:i w:val="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15:restartNumberingAfterBreak="0">
    <w:nsid w:val="1C6C12A2"/>
    <w:multiLevelType w:val="hybridMultilevel"/>
    <w:tmpl w:val="C3788E00"/>
    <w:lvl w:ilvl="0" w:tplc="0C090001">
      <w:start w:val="1"/>
      <w:numFmt w:val="bullet"/>
      <w:lvlText w:val=""/>
      <w:lvlJc w:val="left"/>
      <w:pPr>
        <w:tabs>
          <w:tab w:val="num" w:pos="720"/>
        </w:tabs>
        <w:ind w:left="720" w:hanging="360"/>
      </w:pPr>
      <w:rPr>
        <w:rFonts w:ascii="Symbol" w:hAnsi="Symbol" w:hint="default"/>
      </w:rPr>
    </w:lvl>
    <w:lvl w:ilvl="1" w:tplc="AB22E4FE">
      <w:start w:val="1"/>
      <w:numFmt w:val="bullet"/>
      <w:lvlText w:val=""/>
      <w:lvlJc w:val="left"/>
      <w:pPr>
        <w:tabs>
          <w:tab w:val="num" w:pos="397"/>
        </w:tabs>
        <w:ind w:left="397" w:hanging="39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409B1"/>
    <w:multiLevelType w:val="multilevel"/>
    <w:tmpl w:val="0C09001F"/>
    <w:numStyleLink w:val="111111"/>
  </w:abstractNum>
  <w:abstractNum w:abstractNumId="13" w15:restartNumberingAfterBreak="0">
    <w:nsid w:val="200069B5"/>
    <w:multiLevelType w:val="hybridMultilevel"/>
    <w:tmpl w:val="36445D72"/>
    <w:lvl w:ilvl="0" w:tplc="EDD0F3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686E40"/>
    <w:multiLevelType w:val="hybridMultilevel"/>
    <w:tmpl w:val="F56E16BE"/>
    <w:lvl w:ilvl="0" w:tplc="EDD0F382">
      <w:start w:val="1"/>
      <w:numFmt w:val="lowerLetter"/>
      <w:lvlText w:val="(%1)"/>
      <w:lvlJc w:val="left"/>
      <w:pPr>
        <w:ind w:left="-1203" w:hanging="705"/>
      </w:pPr>
      <w:rPr>
        <w:rFonts w:hint="default"/>
      </w:rPr>
    </w:lvl>
    <w:lvl w:ilvl="1" w:tplc="0C090019" w:tentative="1">
      <w:start w:val="1"/>
      <w:numFmt w:val="lowerLetter"/>
      <w:lvlText w:val="%2."/>
      <w:lvlJc w:val="left"/>
      <w:pPr>
        <w:ind w:left="-828" w:hanging="360"/>
      </w:pPr>
    </w:lvl>
    <w:lvl w:ilvl="2" w:tplc="0C09001B" w:tentative="1">
      <w:start w:val="1"/>
      <w:numFmt w:val="lowerRoman"/>
      <w:lvlText w:val="%3."/>
      <w:lvlJc w:val="right"/>
      <w:pPr>
        <w:ind w:left="-108" w:hanging="180"/>
      </w:pPr>
    </w:lvl>
    <w:lvl w:ilvl="3" w:tplc="0C09000F" w:tentative="1">
      <w:start w:val="1"/>
      <w:numFmt w:val="decimal"/>
      <w:lvlText w:val="%4."/>
      <w:lvlJc w:val="left"/>
      <w:pPr>
        <w:ind w:left="612" w:hanging="360"/>
      </w:pPr>
    </w:lvl>
    <w:lvl w:ilvl="4" w:tplc="0C090019" w:tentative="1">
      <w:start w:val="1"/>
      <w:numFmt w:val="lowerLetter"/>
      <w:lvlText w:val="%5."/>
      <w:lvlJc w:val="left"/>
      <w:pPr>
        <w:ind w:left="1332" w:hanging="360"/>
      </w:pPr>
    </w:lvl>
    <w:lvl w:ilvl="5" w:tplc="0C09001B" w:tentative="1">
      <w:start w:val="1"/>
      <w:numFmt w:val="lowerRoman"/>
      <w:lvlText w:val="%6."/>
      <w:lvlJc w:val="right"/>
      <w:pPr>
        <w:ind w:left="2052" w:hanging="180"/>
      </w:pPr>
    </w:lvl>
    <w:lvl w:ilvl="6" w:tplc="0C09000F" w:tentative="1">
      <w:start w:val="1"/>
      <w:numFmt w:val="decimal"/>
      <w:lvlText w:val="%7."/>
      <w:lvlJc w:val="left"/>
      <w:pPr>
        <w:ind w:left="2772" w:hanging="360"/>
      </w:pPr>
    </w:lvl>
    <w:lvl w:ilvl="7" w:tplc="0C090019" w:tentative="1">
      <w:start w:val="1"/>
      <w:numFmt w:val="lowerLetter"/>
      <w:lvlText w:val="%8."/>
      <w:lvlJc w:val="left"/>
      <w:pPr>
        <w:ind w:left="3492" w:hanging="360"/>
      </w:pPr>
    </w:lvl>
    <w:lvl w:ilvl="8" w:tplc="0C09001B" w:tentative="1">
      <w:start w:val="1"/>
      <w:numFmt w:val="lowerRoman"/>
      <w:lvlText w:val="%9."/>
      <w:lvlJc w:val="right"/>
      <w:pPr>
        <w:ind w:left="4212" w:hanging="180"/>
      </w:pPr>
    </w:lvl>
  </w:abstractNum>
  <w:abstractNum w:abstractNumId="15" w15:restartNumberingAfterBreak="0">
    <w:nsid w:val="25057092"/>
    <w:multiLevelType w:val="hybridMultilevel"/>
    <w:tmpl w:val="8EBEBBEC"/>
    <w:lvl w:ilvl="0" w:tplc="8DE05774">
      <w:start w:val="1"/>
      <w:numFmt w:val="lowerLetter"/>
      <w:lvlText w:val="(%1)"/>
      <w:lvlJc w:val="left"/>
      <w:pPr>
        <w:ind w:left="1131" w:hanging="564"/>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6E2E20"/>
    <w:multiLevelType w:val="hybridMultilevel"/>
    <w:tmpl w:val="53A2E68C"/>
    <w:lvl w:ilvl="0" w:tplc="1C60E128">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DD46FC"/>
    <w:multiLevelType w:val="hybridMultilevel"/>
    <w:tmpl w:val="EE34CE52"/>
    <w:lvl w:ilvl="0" w:tplc="D71CFBF0">
      <w:start w:val="1"/>
      <w:numFmt w:val="lowerLetter"/>
      <w:lvlText w:val="(%1)"/>
      <w:lvlJc w:val="left"/>
      <w:pPr>
        <w:tabs>
          <w:tab w:val="num" w:pos="1134"/>
        </w:tabs>
        <w:ind w:left="1134" w:hanging="56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9" w15:restartNumberingAfterBreak="0">
    <w:nsid w:val="373F2167"/>
    <w:multiLevelType w:val="hybridMultilevel"/>
    <w:tmpl w:val="9DA2E1D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C13511"/>
    <w:multiLevelType w:val="hybridMultilevel"/>
    <w:tmpl w:val="561E4F06"/>
    <w:lvl w:ilvl="0" w:tplc="9DF443D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38A67A19"/>
    <w:multiLevelType w:val="hybridMultilevel"/>
    <w:tmpl w:val="C4DCAE3A"/>
    <w:lvl w:ilvl="0" w:tplc="E4FC2854">
      <w:start w:val="1"/>
      <w:numFmt w:val="lowerLetter"/>
      <w:lvlText w:val="(%1)"/>
      <w:lvlJc w:val="left"/>
      <w:pPr>
        <w:tabs>
          <w:tab w:val="num" w:pos="1134"/>
        </w:tabs>
        <w:ind w:left="1134" w:hanging="567"/>
      </w:pPr>
      <w:rPr>
        <w:rFonts w:hint="default"/>
        <w:b w:val="0"/>
        <w:i w:val="0"/>
      </w:rPr>
    </w:lvl>
    <w:lvl w:ilvl="1" w:tplc="4CF85F20">
      <w:start w:val="1"/>
      <w:numFmt w:val="lowerRoman"/>
      <w:lvlText w:val="(%2)"/>
      <w:lvlJc w:val="left"/>
      <w:pPr>
        <w:tabs>
          <w:tab w:val="num" w:pos="1701"/>
        </w:tabs>
        <w:ind w:left="1701" w:hanging="567"/>
      </w:pPr>
      <w:rPr>
        <w:rFonts w:hint="default"/>
        <w:b w:val="0"/>
        <w:i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FE16EBE"/>
    <w:multiLevelType w:val="hybridMultilevel"/>
    <w:tmpl w:val="655CF580"/>
    <w:lvl w:ilvl="0" w:tplc="D71CFBF0">
      <w:start w:val="1"/>
      <w:numFmt w:val="lowerLetter"/>
      <w:lvlText w:val="(%1)"/>
      <w:lvlJc w:val="left"/>
      <w:pPr>
        <w:tabs>
          <w:tab w:val="num" w:pos="1134"/>
        </w:tabs>
        <w:ind w:left="1134" w:hanging="56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3" w15:restartNumberingAfterBreak="0">
    <w:nsid w:val="42FB6B5C"/>
    <w:multiLevelType w:val="hybridMultilevel"/>
    <w:tmpl w:val="22821850"/>
    <w:lvl w:ilvl="0" w:tplc="B85E7A38">
      <w:start w:val="1"/>
      <w:numFmt w:val="lowerLetter"/>
      <w:lvlText w:val="(%1)"/>
      <w:lvlJc w:val="left"/>
      <w:pPr>
        <w:ind w:left="939" w:hanging="372"/>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43E55AE2"/>
    <w:multiLevelType w:val="hybridMultilevel"/>
    <w:tmpl w:val="EAEE684E"/>
    <w:lvl w:ilvl="0" w:tplc="CE145ECC">
      <w:start w:val="1"/>
      <w:numFmt w:val="lowerLetter"/>
      <w:lvlText w:val="(%1)"/>
      <w:lvlJc w:val="left"/>
      <w:pPr>
        <w:ind w:left="927" w:hanging="360"/>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44F47C8D"/>
    <w:multiLevelType w:val="hybridMultilevel"/>
    <w:tmpl w:val="8B48D918"/>
    <w:lvl w:ilvl="0" w:tplc="3B5A6B2A">
      <w:start w:val="1"/>
      <w:numFmt w:val="decimal"/>
      <w:lvlText w:val="%1."/>
      <w:lvlJc w:val="left"/>
      <w:pPr>
        <w:tabs>
          <w:tab w:val="num" w:pos="720"/>
        </w:tabs>
        <w:ind w:left="720" w:hanging="360"/>
      </w:pPr>
      <w:rPr>
        <w:b w:val="0"/>
        <w:szCs w:val="24"/>
      </w:rPr>
    </w:lvl>
    <w:lvl w:ilvl="1" w:tplc="68F61DF4">
      <w:start w:val="1"/>
      <w:numFmt w:val="lowerLetter"/>
      <w:lvlText w:val="(%2)"/>
      <w:lvlJc w:val="left"/>
      <w:pPr>
        <w:tabs>
          <w:tab w:val="num" w:pos="1134"/>
        </w:tabs>
        <w:ind w:left="1134" w:hanging="567"/>
      </w:pPr>
      <w:rPr>
        <w:b w:val="0"/>
        <w:szCs w:val="24"/>
      </w:rPr>
    </w:lvl>
    <w:lvl w:ilvl="2" w:tplc="2BBE7670">
      <w:start w:val="1"/>
      <w:numFmt w:val="lowerRoman"/>
      <w:lvlText w:val="(%3)"/>
      <w:lvlJc w:val="left"/>
      <w:pPr>
        <w:tabs>
          <w:tab w:val="num" w:pos="1728"/>
        </w:tabs>
        <w:ind w:left="1728" w:hanging="576"/>
      </w:pPr>
      <w:rPr>
        <w:rFonts w:ascii="Times New Roman" w:hAnsi="Times New Roman" w:cs="Times New Roman" w:hint="default"/>
        <w:b w:val="0"/>
        <w:szCs w:val="24"/>
      </w:r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46CD6F57"/>
    <w:multiLevelType w:val="hybridMultilevel"/>
    <w:tmpl w:val="BF665FEA"/>
    <w:lvl w:ilvl="0" w:tplc="C88C2A52">
      <w:start w:val="1"/>
      <w:numFmt w:val="lowerLetter"/>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505AF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7C565E"/>
    <w:multiLevelType w:val="hybridMultilevel"/>
    <w:tmpl w:val="0E9CFC42"/>
    <w:lvl w:ilvl="0" w:tplc="0860A298">
      <w:start w:val="1"/>
      <w:numFmt w:val="lowerLetter"/>
      <w:lvlText w:val="(%1)"/>
      <w:lvlJc w:val="left"/>
      <w:pPr>
        <w:ind w:left="1140" w:hanging="576"/>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9" w15:restartNumberingAfterBreak="0">
    <w:nsid w:val="5FC55421"/>
    <w:multiLevelType w:val="hybridMultilevel"/>
    <w:tmpl w:val="BA609A98"/>
    <w:lvl w:ilvl="0" w:tplc="37FC470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21E7529"/>
    <w:multiLevelType w:val="hybridMultilevel"/>
    <w:tmpl w:val="686ECE6A"/>
    <w:lvl w:ilvl="0" w:tplc="365849D8">
      <w:start w:val="1"/>
      <w:numFmt w:val="lowerLetter"/>
      <w:lvlText w:val="(%1)"/>
      <w:lvlJc w:val="left"/>
      <w:pPr>
        <w:ind w:left="1131" w:hanging="564"/>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70776594"/>
    <w:multiLevelType w:val="multilevel"/>
    <w:tmpl w:val="6B24E690"/>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10A4DD0"/>
    <w:multiLevelType w:val="hybridMultilevel"/>
    <w:tmpl w:val="A49C8A28"/>
    <w:lvl w:ilvl="0" w:tplc="687260A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16E619C"/>
    <w:multiLevelType w:val="hybridMultilevel"/>
    <w:tmpl w:val="BF665FEA"/>
    <w:lvl w:ilvl="0" w:tplc="C88C2A52">
      <w:start w:val="1"/>
      <w:numFmt w:val="lowerLetter"/>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673731"/>
    <w:multiLevelType w:val="hybridMultilevel"/>
    <w:tmpl w:val="853AA2A0"/>
    <w:lvl w:ilvl="0" w:tplc="D71CFBF0">
      <w:start w:val="1"/>
      <w:numFmt w:val="lowerLetter"/>
      <w:lvlText w:val="(%1)"/>
      <w:lvlJc w:val="left"/>
      <w:pPr>
        <w:tabs>
          <w:tab w:val="num" w:pos="1134"/>
        </w:tabs>
        <w:ind w:left="1134" w:hanging="567"/>
      </w:pPr>
    </w:lvl>
    <w:lvl w:ilvl="1" w:tplc="7D522166">
      <w:start w:val="1"/>
      <w:numFmt w:val="lowerRoman"/>
      <w:lvlText w:val="(%2)"/>
      <w:lvlJc w:val="left"/>
      <w:pPr>
        <w:ind w:left="1800" w:hanging="72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5" w15:restartNumberingAfterBreak="0">
    <w:nsid w:val="7BB35E31"/>
    <w:multiLevelType w:val="hybridMultilevel"/>
    <w:tmpl w:val="FDD470F8"/>
    <w:lvl w:ilvl="0" w:tplc="9FE46678">
      <w:start w:val="1"/>
      <w:numFmt w:val="bullet"/>
      <w:lvlText w:val="o"/>
      <w:lvlJc w:val="left"/>
      <w:pPr>
        <w:ind w:left="1930" w:hanging="360"/>
      </w:pPr>
      <w:rPr>
        <w:rFonts w:ascii="Courier New" w:hAnsi="Courier New" w:cs="Courier New" w:hint="default"/>
      </w:rPr>
    </w:lvl>
    <w:lvl w:ilvl="1" w:tplc="0C090003" w:tentative="1">
      <w:start w:val="1"/>
      <w:numFmt w:val="bullet"/>
      <w:lvlText w:val="o"/>
      <w:lvlJc w:val="left"/>
      <w:pPr>
        <w:ind w:left="2650" w:hanging="360"/>
      </w:pPr>
      <w:rPr>
        <w:rFonts w:ascii="Courier New" w:hAnsi="Courier New" w:cs="Courier New" w:hint="default"/>
      </w:rPr>
    </w:lvl>
    <w:lvl w:ilvl="2" w:tplc="0C090005" w:tentative="1">
      <w:start w:val="1"/>
      <w:numFmt w:val="bullet"/>
      <w:lvlText w:val=""/>
      <w:lvlJc w:val="left"/>
      <w:pPr>
        <w:ind w:left="3370" w:hanging="360"/>
      </w:pPr>
      <w:rPr>
        <w:rFonts w:ascii="Wingdings" w:hAnsi="Wingdings" w:hint="default"/>
      </w:rPr>
    </w:lvl>
    <w:lvl w:ilvl="3" w:tplc="0C090001" w:tentative="1">
      <w:start w:val="1"/>
      <w:numFmt w:val="bullet"/>
      <w:lvlText w:val=""/>
      <w:lvlJc w:val="left"/>
      <w:pPr>
        <w:ind w:left="4090" w:hanging="360"/>
      </w:pPr>
      <w:rPr>
        <w:rFonts w:ascii="Symbol" w:hAnsi="Symbol" w:hint="default"/>
      </w:rPr>
    </w:lvl>
    <w:lvl w:ilvl="4" w:tplc="0C090003" w:tentative="1">
      <w:start w:val="1"/>
      <w:numFmt w:val="bullet"/>
      <w:lvlText w:val="o"/>
      <w:lvlJc w:val="left"/>
      <w:pPr>
        <w:ind w:left="4810" w:hanging="360"/>
      </w:pPr>
      <w:rPr>
        <w:rFonts w:ascii="Courier New" w:hAnsi="Courier New" w:cs="Courier New" w:hint="default"/>
      </w:rPr>
    </w:lvl>
    <w:lvl w:ilvl="5" w:tplc="0C090005" w:tentative="1">
      <w:start w:val="1"/>
      <w:numFmt w:val="bullet"/>
      <w:lvlText w:val=""/>
      <w:lvlJc w:val="left"/>
      <w:pPr>
        <w:ind w:left="5530" w:hanging="360"/>
      </w:pPr>
      <w:rPr>
        <w:rFonts w:ascii="Wingdings" w:hAnsi="Wingdings" w:hint="default"/>
      </w:rPr>
    </w:lvl>
    <w:lvl w:ilvl="6" w:tplc="0C090001" w:tentative="1">
      <w:start w:val="1"/>
      <w:numFmt w:val="bullet"/>
      <w:lvlText w:val=""/>
      <w:lvlJc w:val="left"/>
      <w:pPr>
        <w:ind w:left="6250" w:hanging="360"/>
      </w:pPr>
      <w:rPr>
        <w:rFonts w:ascii="Symbol" w:hAnsi="Symbol" w:hint="default"/>
      </w:rPr>
    </w:lvl>
    <w:lvl w:ilvl="7" w:tplc="0C090003" w:tentative="1">
      <w:start w:val="1"/>
      <w:numFmt w:val="bullet"/>
      <w:lvlText w:val="o"/>
      <w:lvlJc w:val="left"/>
      <w:pPr>
        <w:ind w:left="6970" w:hanging="360"/>
      </w:pPr>
      <w:rPr>
        <w:rFonts w:ascii="Courier New" w:hAnsi="Courier New" w:cs="Courier New" w:hint="default"/>
      </w:rPr>
    </w:lvl>
    <w:lvl w:ilvl="8" w:tplc="0C090005" w:tentative="1">
      <w:start w:val="1"/>
      <w:numFmt w:val="bullet"/>
      <w:lvlText w:val=""/>
      <w:lvlJc w:val="left"/>
      <w:pPr>
        <w:ind w:left="7690" w:hanging="360"/>
      </w:pPr>
      <w:rPr>
        <w:rFonts w:ascii="Wingdings" w:hAnsi="Wingdings" w:hint="default"/>
      </w:rPr>
    </w:lvl>
  </w:abstractNum>
  <w:num w:numId="1">
    <w:abstractNumId w:val="16"/>
  </w:num>
  <w:num w:numId="2">
    <w:abstractNumId w:val="31"/>
  </w:num>
  <w:num w:numId="3">
    <w:abstractNumId w:val="19"/>
  </w:num>
  <w:num w:numId="4">
    <w:abstractNumId w:val="4"/>
  </w:num>
  <w:num w:numId="5">
    <w:abstractNumId w:val="3"/>
  </w:num>
  <w:num w:numId="6">
    <w:abstractNumId w:val="2"/>
  </w:num>
  <w:num w:numId="7">
    <w:abstractNumId w:val="1"/>
  </w:num>
  <w:num w:numId="8">
    <w:abstractNumId w:val="0"/>
  </w:num>
  <w:num w:numId="9">
    <w:abstractNumId w:val="12"/>
  </w:num>
  <w:num w:numId="10">
    <w:abstractNumId w:val="32"/>
  </w:num>
  <w:num w:numId="11">
    <w:abstractNumId w:val="11"/>
  </w:num>
  <w:num w:numId="12">
    <w:abstractNumId w:val="35"/>
  </w:num>
  <w:num w:numId="13">
    <w:abstractNumId w:val="17"/>
  </w:num>
  <w:num w:numId="14">
    <w:abstractNumId w:val="6"/>
  </w:num>
  <w:num w:numId="15">
    <w:abstractNumId w:val="5"/>
  </w:num>
  <w:num w:numId="16">
    <w:abstractNumId w:val="27"/>
  </w:num>
  <w:num w:numId="17">
    <w:abstractNumId w:val="9"/>
    <w:lvlOverride w:ilvl="0">
      <w:startOverride w:val="1"/>
    </w:lvlOverride>
  </w:num>
  <w:num w:numId="18">
    <w:abstractNumId w:val="7"/>
  </w:num>
  <w:num w:numId="19">
    <w:abstractNumId w:val="2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13"/>
  </w:num>
  <w:num w:numId="27">
    <w:abstractNumId w:val="14"/>
  </w:num>
  <w:num w:numId="28">
    <w:abstractNumId w:val="29"/>
  </w:num>
  <w:num w:numId="29">
    <w:abstractNumId w:val="24"/>
  </w:num>
  <w:num w:numId="30">
    <w:abstractNumId w:val="15"/>
  </w:num>
  <w:num w:numId="31">
    <w:abstractNumId w:val="30"/>
  </w:num>
  <w:num w:numId="32">
    <w:abstractNumId w:val="20"/>
  </w:num>
  <w:num w:numId="33">
    <w:abstractNumId w:val="28"/>
  </w:num>
  <w:num w:numId="34">
    <w:abstractNumId w:val="33"/>
  </w:num>
  <w:num w:numId="35">
    <w:abstractNumId w:val="21"/>
  </w:num>
  <w:num w:numId="36">
    <w:abstractNumId w:val="23"/>
  </w:num>
  <w:num w:numId="3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57"/>
    <w:rsid w:val="00003065"/>
    <w:rsid w:val="00011B0A"/>
    <w:rsid w:val="000408CA"/>
    <w:rsid w:val="00053F0B"/>
    <w:rsid w:val="00063BDC"/>
    <w:rsid w:val="0006429C"/>
    <w:rsid w:val="00081306"/>
    <w:rsid w:val="000A1A18"/>
    <w:rsid w:val="000A2A1C"/>
    <w:rsid w:val="000C170D"/>
    <w:rsid w:val="000C6B7D"/>
    <w:rsid w:val="000D09FA"/>
    <w:rsid w:val="000D2D92"/>
    <w:rsid w:val="000D7CA6"/>
    <w:rsid w:val="000E057F"/>
    <w:rsid w:val="000F0ECC"/>
    <w:rsid w:val="000F20CF"/>
    <w:rsid w:val="001502F1"/>
    <w:rsid w:val="001749A4"/>
    <w:rsid w:val="0017548F"/>
    <w:rsid w:val="001B2D90"/>
    <w:rsid w:val="001D3046"/>
    <w:rsid w:val="001D3B1C"/>
    <w:rsid w:val="001D505A"/>
    <w:rsid w:val="001D7D3C"/>
    <w:rsid w:val="001E00D2"/>
    <w:rsid w:val="0021143E"/>
    <w:rsid w:val="002403C8"/>
    <w:rsid w:val="00257E33"/>
    <w:rsid w:val="0026542C"/>
    <w:rsid w:val="00267EBC"/>
    <w:rsid w:val="002767C9"/>
    <w:rsid w:val="00284C5E"/>
    <w:rsid w:val="002B0A7E"/>
    <w:rsid w:val="002B0B89"/>
    <w:rsid w:val="002B6F5E"/>
    <w:rsid w:val="002D61DD"/>
    <w:rsid w:val="002F0157"/>
    <w:rsid w:val="002F5035"/>
    <w:rsid w:val="0031117B"/>
    <w:rsid w:val="003128C4"/>
    <w:rsid w:val="003249C2"/>
    <w:rsid w:val="00325932"/>
    <w:rsid w:val="00332DB9"/>
    <w:rsid w:val="00336B0E"/>
    <w:rsid w:val="0033720D"/>
    <w:rsid w:val="00340359"/>
    <w:rsid w:val="00353DE2"/>
    <w:rsid w:val="0036442A"/>
    <w:rsid w:val="00367A5D"/>
    <w:rsid w:val="003707EE"/>
    <w:rsid w:val="00373B0D"/>
    <w:rsid w:val="00387CA2"/>
    <w:rsid w:val="003A2FC2"/>
    <w:rsid w:val="003C6CBE"/>
    <w:rsid w:val="003D6738"/>
    <w:rsid w:val="004118D9"/>
    <w:rsid w:val="00427B33"/>
    <w:rsid w:val="0043440F"/>
    <w:rsid w:val="00444BF0"/>
    <w:rsid w:val="004B4492"/>
    <w:rsid w:val="004C0D72"/>
    <w:rsid w:val="004C2EC4"/>
    <w:rsid w:val="004D4DAF"/>
    <w:rsid w:val="004D7117"/>
    <w:rsid w:val="004E13AF"/>
    <w:rsid w:val="004F27CF"/>
    <w:rsid w:val="0050148F"/>
    <w:rsid w:val="00547263"/>
    <w:rsid w:val="00552CA7"/>
    <w:rsid w:val="00584A8F"/>
    <w:rsid w:val="005C56A4"/>
    <w:rsid w:val="005E6AF8"/>
    <w:rsid w:val="005F4764"/>
    <w:rsid w:val="00606F5A"/>
    <w:rsid w:val="0060742D"/>
    <w:rsid w:val="006128BA"/>
    <w:rsid w:val="00615AEF"/>
    <w:rsid w:val="006352A2"/>
    <w:rsid w:val="00646C7A"/>
    <w:rsid w:val="006571E9"/>
    <w:rsid w:val="00665727"/>
    <w:rsid w:val="00676DA1"/>
    <w:rsid w:val="00677A36"/>
    <w:rsid w:val="00686723"/>
    <w:rsid w:val="0068743E"/>
    <w:rsid w:val="006A152E"/>
    <w:rsid w:val="006A5169"/>
    <w:rsid w:val="006B2F1B"/>
    <w:rsid w:val="006B712D"/>
    <w:rsid w:val="006C1429"/>
    <w:rsid w:val="006E4003"/>
    <w:rsid w:val="007236E2"/>
    <w:rsid w:val="007403DD"/>
    <w:rsid w:val="0074761E"/>
    <w:rsid w:val="00781FF4"/>
    <w:rsid w:val="00786B63"/>
    <w:rsid w:val="007A463E"/>
    <w:rsid w:val="007D44A7"/>
    <w:rsid w:val="007E6359"/>
    <w:rsid w:val="00801533"/>
    <w:rsid w:val="00806C73"/>
    <w:rsid w:val="00814611"/>
    <w:rsid w:val="00816255"/>
    <w:rsid w:val="00817360"/>
    <w:rsid w:val="008204C0"/>
    <w:rsid w:val="00857706"/>
    <w:rsid w:val="00870FFC"/>
    <w:rsid w:val="00872E1D"/>
    <w:rsid w:val="008B5DBD"/>
    <w:rsid w:val="008C693E"/>
    <w:rsid w:val="008C7E1A"/>
    <w:rsid w:val="00907579"/>
    <w:rsid w:val="00910073"/>
    <w:rsid w:val="00921341"/>
    <w:rsid w:val="00922ADE"/>
    <w:rsid w:val="0092635A"/>
    <w:rsid w:val="00935157"/>
    <w:rsid w:val="00970A4C"/>
    <w:rsid w:val="0098213D"/>
    <w:rsid w:val="00983285"/>
    <w:rsid w:val="009B1386"/>
    <w:rsid w:val="009D2A4D"/>
    <w:rsid w:val="009F1036"/>
    <w:rsid w:val="009F210E"/>
    <w:rsid w:val="009F3135"/>
    <w:rsid w:val="00A00652"/>
    <w:rsid w:val="00A06731"/>
    <w:rsid w:val="00A06EE8"/>
    <w:rsid w:val="00A17687"/>
    <w:rsid w:val="00A30827"/>
    <w:rsid w:val="00A37017"/>
    <w:rsid w:val="00A4438B"/>
    <w:rsid w:val="00B04050"/>
    <w:rsid w:val="00B0602C"/>
    <w:rsid w:val="00B112A3"/>
    <w:rsid w:val="00B12E7E"/>
    <w:rsid w:val="00B20CD1"/>
    <w:rsid w:val="00B21A37"/>
    <w:rsid w:val="00B531B4"/>
    <w:rsid w:val="00B86EF7"/>
    <w:rsid w:val="00B9295F"/>
    <w:rsid w:val="00B95BAF"/>
    <w:rsid w:val="00BB3C38"/>
    <w:rsid w:val="00BD23C1"/>
    <w:rsid w:val="00BD66CD"/>
    <w:rsid w:val="00BE119A"/>
    <w:rsid w:val="00BE7A00"/>
    <w:rsid w:val="00BF40F0"/>
    <w:rsid w:val="00C273CD"/>
    <w:rsid w:val="00C333E7"/>
    <w:rsid w:val="00C41556"/>
    <w:rsid w:val="00C5285C"/>
    <w:rsid w:val="00C52FAC"/>
    <w:rsid w:val="00C53D54"/>
    <w:rsid w:val="00C572AB"/>
    <w:rsid w:val="00C614C0"/>
    <w:rsid w:val="00C62913"/>
    <w:rsid w:val="00C7343C"/>
    <w:rsid w:val="00C9331F"/>
    <w:rsid w:val="00C97F58"/>
    <w:rsid w:val="00CB7367"/>
    <w:rsid w:val="00CC05EA"/>
    <w:rsid w:val="00CC10DA"/>
    <w:rsid w:val="00CC201A"/>
    <w:rsid w:val="00CD6D38"/>
    <w:rsid w:val="00CF1FC4"/>
    <w:rsid w:val="00D02242"/>
    <w:rsid w:val="00D079B4"/>
    <w:rsid w:val="00D14049"/>
    <w:rsid w:val="00D21F7F"/>
    <w:rsid w:val="00D36919"/>
    <w:rsid w:val="00D452F9"/>
    <w:rsid w:val="00D93BF4"/>
    <w:rsid w:val="00D95999"/>
    <w:rsid w:val="00DC7EF3"/>
    <w:rsid w:val="00DC7F18"/>
    <w:rsid w:val="00DE0A59"/>
    <w:rsid w:val="00E1225E"/>
    <w:rsid w:val="00E1430F"/>
    <w:rsid w:val="00E32CE9"/>
    <w:rsid w:val="00E36C9E"/>
    <w:rsid w:val="00E448C7"/>
    <w:rsid w:val="00E55A7E"/>
    <w:rsid w:val="00E63012"/>
    <w:rsid w:val="00E83D82"/>
    <w:rsid w:val="00E96618"/>
    <w:rsid w:val="00E97C95"/>
    <w:rsid w:val="00ED3926"/>
    <w:rsid w:val="00ED48F3"/>
    <w:rsid w:val="00EF496F"/>
    <w:rsid w:val="00EF5EE9"/>
    <w:rsid w:val="00F06477"/>
    <w:rsid w:val="00F12FD3"/>
    <w:rsid w:val="00F34F34"/>
    <w:rsid w:val="00F6460D"/>
    <w:rsid w:val="00F77F5D"/>
    <w:rsid w:val="00F865EB"/>
    <w:rsid w:val="00FA261A"/>
    <w:rsid w:val="00FA2F99"/>
    <w:rsid w:val="00FD6B39"/>
    <w:rsid w:val="00FE57E9"/>
    <w:rsid w:val="00FF03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04EC9F"/>
  <w15:chartTrackingRefBased/>
  <w15:docId w15:val="{99770005-8BA0-41B1-9A09-73BFD999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sz w:val="22"/>
        <w:szCs w:val="22"/>
        <w:lang w:val="en-AU"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2F9"/>
    <w:pPr>
      <w:spacing w:after="0" w:line="240" w:lineRule="auto"/>
    </w:pPr>
    <w:rPr>
      <w:rFonts w:ascii="Times New Roman" w:hAnsi="Times New Roman"/>
      <w:sz w:val="24"/>
      <w:szCs w:val="20"/>
      <w:lang w:eastAsia="en-AU"/>
    </w:rPr>
  </w:style>
  <w:style w:type="paragraph" w:styleId="Heading1">
    <w:name w:val="heading 1"/>
    <w:basedOn w:val="Normal"/>
    <w:next w:val="Normal"/>
    <w:link w:val="Heading1Char"/>
    <w:qFormat/>
    <w:rsid w:val="00C333E7"/>
    <w:pPr>
      <w:spacing w:after="360"/>
      <w:outlineLvl w:val="0"/>
    </w:pPr>
    <w:rPr>
      <w:rFonts w:cs="Arial"/>
      <w:b/>
      <w:sz w:val="32"/>
    </w:rPr>
  </w:style>
  <w:style w:type="paragraph" w:styleId="Heading2">
    <w:name w:val="heading 2"/>
    <w:basedOn w:val="Normal"/>
    <w:next w:val="Normal"/>
    <w:link w:val="Heading2Char"/>
    <w:qFormat/>
    <w:rsid w:val="004118D9"/>
    <w:pPr>
      <w:keepNext/>
      <w:outlineLvl w:val="1"/>
    </w:pPr>
    <w:rPr>
      <w:rFonts w:cs="Arial"/>
      <w:b/>
      <w:bCs/>
      <w:iCs/>
      <w:sz w:val="28"/>
      <w:szCs w:val="28"/>
    </w:rPr>
  </w:style>
  <w:style w:type="paragraph" w:styleId="Heading3">
    <w:name w:val="heading 3"/>
    <w:basedOn w:val="Normal"/>
    <w:next w:val="Normal"/>
    <w:link w:val="Heading3Char"/>
    <w:qFormat/>
    <w:rsid w:val="00CB7367"/>
    <w:pPr>
      <w:keepNext/>
      <w:spacing w:before="240" w:after="120"/>
      <w:outlineLvl w:val="2"/>
    </w:pPr>
    <w:rPr>
      <w:rFonts w:cs="Arial"/>
      <w:b/>
      <w:bCs/>
      <w:i/>
      <w:szCs w:val="26"/>
    </w:rPr>
  </w:style>
  <w:style w:type="paragraph" w:styleId="Heading4">
    <w:name w:val="heading 4"/>
    <w:basedOn w:val="Heading3"/>
    <w:next w:val="Normal"/>
    <w:link w:val="Heading4Char"/>
    <w:uiPriority w:val="9"/>
    <w:unhideWhenUsed/>
    <w:qFormat/>
    <w:rsid w:val="009F3135"/>
    <w:pPr>
      <w:numPr>
        <w:ilvl w:val="3"/>
      </w:numPr>
      <w:outlineLvl w:val="3"/>
    </w:pPr>
    <w:rPr>
      <w:bCs w:val="0"/>
      <w:i w:val="0"/>
      <w:iCs/>
      <w:sz w:val="22"/>
    </w:rPr>
  </w:style>
  <w:style w:type="paragraph" w:styleId="Heading5">
    <w:name w:val="heading 5"/>
    <w:basedOn w:val="Heading4"/>
    <w:next w:val="Normal"/>
    <w:link w:val="Heading5Char"/>
    <w:unhideWhenUsed/>
    <w:qFormat/>
    <w:rsid w:val="009F3135"/>
    <w:pPr>
      <w:numPr>
        <w:ilvl w:val="4"/>
      </w:numPr>
      <w:outlineLvl w:val="4"/>
    </w:pPr>
    <w:rPr>
      <w:i/>
    </w:rPr>
  </w:style>
  <w:style w:type="paragraph" w:styleId="Heading6">
    <w:name w:val="heading 6"/>
    <w:basedOn w:val="Heading5"/>
    <w:next w:val="Normal"/>
    <w:link w:val="Heading6Char"/>
    <w:uiPriority w:val="9"/>
    <w:unhideWhenUsed/>
    <w:qFormat/>
    <w:rsid w:val="009F3135"/>
    <w:pPr>
      <w:numPr>
        <w:ilvl w:val="5"/>
      </w:numPr>
      <w:outlineLvl w:val="5"/>
    </w:pPr>
    <w:rPr>
      <w:b w:val="0"/>
    </w:rPr>
  </w:style>
  <w:style w:type="paragraph" w:styleId="Heading7">
    <w:name w:val="heading 7"/>
    <w:basedOn w:val="Heading6"/>
    <w:next w:val="Normal"/>
    <w:link w:val="Heading7Char"/>
    <w:uiPriority w:val="9"/>
    <w:unhideWhenUsed/>
    <w:rsid w:val="005F4764"/>
    <w:pPr>
      <w:numPr>
        <w:ilvl w:val="6"/>
      </w:numPr>
      <w:spacing w:before="200" w:line="288" w:lineRule="auto"/>
      <w:outlineLvl w:val="6"/>
    </w:pPr>
    <w:rPr>
      <w:b/>
      <w:i w:val="0"/>
      <w:color w:val="404040"/>
      <w:szCs w:val="22"/>
    </w:rPr>
  </w:style>
  <w:style w:type="paragraph" w:styleId="Heading8">
    <w:name w:val="heading 8"/>
    <w:basedOn w:val="Normal"/>
    <w:next w:val="Normal"/>
    <w:link w:val="Heading8Char"/>
    <w:uiPriority w:val="9"/>
    <w:unhideWhenUsed/>
    <w:rsid w:val="005F4764"/>
    <w:pPr>
      <w:keepNext/>
      <w:keepLines/>
      <w:spacing w:before="200"/>
      <w:outlineLvl w:val="7"/>
    </w:pPr>
    <w:rPr>
      <w:rFonts w:eastAsiaTheme="majorEastAsia" w:cstheme="majorBidi"/>
      <w:color w:val="404040" w:themeColor="text1" w:themeTint="BF"/>
      <w:sz w:val="20"/>
    </w:rPr>
  </w:style>
  <w:style w:type="paragraph" w:styleId="Heading9">
    <w:name w:val="heading 9"/>
    <w:basedOn w:val="Normal"/>
    <w:next w:val="Normal"/>
    <w:link w:val="Heading9Char"/>
    <w:uiPriority w:val="9"/>
    <w:unhideWhenUsed/>
    <w:rsid w:val="005F4764"/>
    <w:pPr>
      <w:keepNext/>
      <w:keepLines/>
      <w:spacing w:before="200"/>
      <w:outlineLvl w:val="8"/>
    </w:pPr>
    <w:rPr>
      <w:rFonts w:eastAsiaTheme="majorEastAsia"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F4764"/>
    <w:pPr>
      <w:spacing w:line="240" w:lineRule="auto"/>
    </w:pPr>
    <w:rPr>
      <w:rFonts w:ascii="Arial" w:hAnsi="Arial"/>
    </w:rPr>
  </w:style>
  <w:style w:type="character" w:customStyle="1" w:styleId="Heading1Char">
    <w:name w:val="Heading 1 Char"/>
    <w:basedOn w:val="DefaultParagraphFont"/>
    <w:link w:val="Heading1"/>
    <w:rsid w:val="00C333E7"/>
    <w:rPr>
      <w:rFonts w:ascii="Arial" w:hAnsi="Arial" w:cs="Arial"/>
      <w:b/>
      <w:sz w:val="32"/>
      <w:szCs w:val="24"/>
      <w:lang w:eastAsia="en-AU"/>
    </w:rPr>
  </w:style>
  <w:style w:type="character" w:customStyle="1" w:styleId="Heading2Char">
    <w:name w:val="Heading 2 Char"/>
    <w:basedOn w:val="DefaultParagraphFont"/>
    <w:link w:val="Heading2"/>
    <w:rsid w:val="004118D9"/>
    <w:rPr>
      <w:rFonts w:ascii="Arial" w:hAnsi="Arial" w:cs="Arial"/>
      <w:b/>
      <w:bCs/>
      <w:iCs/>
      <w:sz w:val="28"/>
      <w:szCs w:val="28"/>
      <w:lang w:eastAsia="en-AU"/>
    </w:rPr>
  </w:style>
  <w:style w:type="character" w:customStyle="1" w:styleId="Heading4Char">
    <w:name w:val="Heading 4 Char"/>
    <w:link w:val="Heading4"/>
    <w:uiPriority w:val="9"/>
    <w:rsid w:val="009F3135"/>
    <w:rPr>
      <w:rFonts w:ascii="Arial" w:hAnsi="Arial" w:cs="Arial"/>
      <w:b/>
      <w:iCs/>
      <w:szCs w:val="26"/>
      <w:lang w:eastAsia="en-AU"/>
    </w:rPr>
  </w:style>
  <w:style w:type="paragraph" w:customStyle="1" w:styleId="Bullet">
    <w:name w:val="Bullet"/>
    <w:basedOn w:val="Normal"/>
    <w:link w:val="BulletChar"/>
    <w:rsid w:val="005F4764"/>
    <w:pPr>
      <w:numPr>
        <w:numId w:val="2"/>
      </w:numPr>
      <w:tabs>
        <w:tab w:val="left" w:pos="1935"/>
      </w:tabs>
      <w:spacing w:before="120"/>
    </w:pPr>
  </w:style>
  <w:style w:type="character" w:customStyle="1" w:styleId="BulletChar">
    <w:name w:val="Bullet Char"/>
    <w:link w:val="Bullet"/>
    <w:rsid w:val="005F4764"/>
    <w:rPr>
      <w:rFonts w:ascii="Arial" w:hAnsi="Arial"/>
      <w:sz w:val="24"/>
      <w:szCs w:val="24"/>
      <w:lang w:eastAsia="en-AU"/>
    </w:rPr>
  </w:style>
  <w:style w:type="paragraph" w:customStyle="1" w:styleId="Nonchapterheading">
    <w:name w:val="Non chapter heading"/>
    <w:basedOn w:val="Heading5"/>
    <w:link w:val="NonchapterheadingChar"/>
    <w:rsid w:val="005F4764"/>
    <w:pPr>
      <w:numPr>
        <w:ilvl w:val="0"/>
      </w:numPr>
      <w:spacing w:line="288" w:lineRule="auto"/>
      <w:ind w:left="360" w:hanging="360"/>
    </w:pPr>
    <w:rPr>
      <w:iCs w:val="0"/>
    </w:rPr>
  </w:style>
  <w:style w:type="character" w:customStyle="1" w:styleId="NonchapterheadingChar">
    <w:name w:val="Non chapter heading Char"/>
    <w:basedOn w:val="Heading5Char"/>
    <w:link w:val="Nonchapterheading"/>
    <w:rsid w:val="005F4764"/>
    <w:rPr>
      <w:rFonts w:ascii="Arial" w:hAnsi="Arial" w:cs="Arial"/>
      <w:b/>
      <w:i/>
      <w:iCs w:val="0"/>
      <w:szCs w:val="26"/>
      <w:lang w:eastAsia="en-AU"/>
    </w:rPr>
  </w:style>
  <w:style w:type="character" w:customStyle="1" w:styleId="Heading5Char">
    <w:name w:val="Heading 5 Char"/>
    <w:link w:val="Heading5"/>
    <w:rsid w:val="009F3135"/>
    <w:rPr>
      <w:rFonts w:ascii="Arial" w:hAnsi="Arial" w:cs="Arial"/>
      <w:b/>
      <w:i/>
      <w:iCs/>
      <w:szCs w:val="26"/>
      <w:lang w:eastAsia="en-AU"/>
    </w:rPr>
  </w:style>
  <w:style w:type="paragraph" w:customStyle="1" w:styleId="Non-numberedchapterheading">
    <w:name w:val="Non-numbered chapter heading"/>
    <w:basedOn w:val="Heading5"/>
    <w:link w:val="Non-numberedchapterheadingChar"/>
    <w:rsid w:val="005F4764"/>
    <w:pPr>
      <w:numPr>
        <w:ilvl w:val="0"/>
      </w:numPr>
      <w:spacing w:line="288" w:lineRule="auto"/>
      <w:ind w:left="360" w:hanging="360"/>
    </w:pPr>
    <w:rPr>
      <w:iCs w:val="0"/>
    </w:rPr>
  </w:style>
  <w:style w:type="character" w:customStyle="1" w:styleId="Non-numberedchapterheadingChar">
    <w:name w:val="Non-numbered chapter heading Char"/>
    <w:basedOn w:val="Heading5Char"/>
    <w:link w:val="Non-numberedchapterheading"/>
    <w:rsid w:val="005F4764"/>
    <w:rPr>
      <w:rFonts w:ascii="Arial" w:hAnsi="Arial" w:cs="Arial"/>
      <w:b/>
      <w:i/>
      <w:iCs w:val="0"/>
      <w:szCs w:val="26"/>
      <w:lang w:eastAsia="en-AU"/>
    </w:rPr>
  </w:style>
  <w:style w:type="character" w:customStyle="1" w:styleId="Heading3Char">
    <w:name w:val="Heading 3 Char"/>
    <w:basedOn w:val="DefaultParagraphFont"/>
    <w:link w:val="Heading3"/>
    <w:rsid w:val="00CB7367"/>
    <w:rPr>
      <w:rFonts w:ascii="Arial" w:hAnsi="Arial" w:cs="Arial"/>
      <w:b/>
      <w:bCs/>
      <w:i/>
      <w:sz w:val="24"/>
      <w:szCs w:val="26"/>
      <w:lang w:eastAsia="en-AU"/>
    </w:rPr>
  </w:style>
  <w:style w:type="character" w:customStyle="1" w:styleId="Heading6Char">
    <w:name w:val="Heading 6 Char"/>
    <w:link w:val="Heading6"/>
    <w:uiPriority w:val="9"/>
    <w:rsid w:val="009F3135"/>
    <w:rPr>
      <w:rFonts w:ascii="Arial" w:hAnsi="Arial" w:cs="Arial"/>
      <w:i/>
      <w:iCs/>
      <w:szCs w:val="26"/>
      <w:lang w:eastAsia="en-AU"/>
    </w:rPr>
  </w:style>
  <w:style w:type="character" w:customStyle="1" w:styleId="Heading7Char">
    <w:name w:val="Heading 7 Char"/>
    <w:link w:val="Heading7"/>
    <w:uiPriority w:val="9"/>
    <w:rsid w:val="005F4764"/>
    <w:rPr>
      <w:rFonts w:ascii="Arial" w:hAnsi="Arial" w:cs="Arial"/>
      <w:i/>
      <w:iCs/>
      <w:color w:val="404040"/>
      <w:lang w:eastAsia="en-AU"/>
    </w:rPr>
  </w:style>
  <w:style w:type="paragraph" w:styleId="TOC1">
    <w:name w:val="toc 1"/>
    <w:basedOn w:val="Normal"/>
    <w:next w:val="Normal"/>
    <w:autoRedefine/>
    <w:uiPriority w:val="39"/>
    <w:unhideWhenUsed/>
    <w:qFormat/>
    <w:rsid w:val="0017548F"/>
    <w:pPr>
      <w:tabs>
        <w:tab w:val="right" w:leader="dot" w:pos="9016"/>
      </w:tabs>
    </w:pPr>
    <w:rPr>
      <w:b/>
      <w:noProof/>
      <w:sz w:val="28"/>
    </w:rPr>
  </w:style>
  <w:style w:type="paragraph" w:styleId="TOC2">
    <w:name w:val="toc 2"/>
    <w:basedOn w:val="Normal"/>
    <w:next w:val="Normal"/>
    <w:autoRedefine/>
    <w:uiPriority w:val="39"/>
    <w:unhideWhenUsed/>
    <w:qFormat/>
    <w:rsid w:val="00B0602C"/>
    <w:pPr>
      <w:ind w:left="220"/>
    </w:pPr>
  </w:style>
  <w:style w:type="paragraph" w:styleId="TOC3">
    <w:name w:val="toc 3"/>
    <w:basedOn w:val="Normal"/>
    <w:next w:val="Normal"/>
    <w:autoRedefine/>
    <w:uiPriority w:val="39"/>
    <w:unhideWhenUsed/>
    <w:qFormat/>
    <w:rsid w:val="005F4764"/>
    <w:pPr>
      <w:ind w:left="440"/>
    </w:pPr>
  </w:style>
  <w:style w:type="paragraph" w:styleId="TOC4">
    <w:name w:val="toc 4"/>
    <w:basedOn w:val="Normal"/>
    <w:next w:val="Normal"/>
    <w:autoRedefine/>
    <w:uiPriority w:val="39"/>
    <w:unhideWhenUsed/>
    <w:rsid w:val="005F4764"/>
    <w:pPr>
      <w:ind w:left="660"/>
    </w:pPr>
  </w:style>
  <w:style w:type="paragraph" w:styleId="FootnoteText">
    <w:name w:val="footnote text"/>
    <w:basedOn w:val="Normal"/>
    <w:link w:val="FootnoteTextChar"/>
    <w:unhideWhenUsed/>
    <w:rsid w:val="005F4764"/>
    <w:rPr>
      <w:sz w:val="18"/>
    </w:rPr>
  </w:style>
  <w:style w:type="character" w:customStyle="1" w:styleId="FootnoteTextChar">
    <w:name w:val="Footnote Text Char"/>
    <w:link w:val="FootnoteText"/>
    <w:rsid w:val="005F4764"/>
    <w:rPr>
      <w:rFonts w:ascii="Arial" w:hAnsi="Arial"/>
      <w:sz w:val="18"/>
      <w:szCs w:val="24"/>
      <w:lang w:eastAsia="en-AU"/>
    </w:rPr>
  </w:style>
  <w:style w:type="paragraph" w:styleId="Header">
    <w:name w:val="header"/>
    <w:basedOn w:val="Normal"/>
    <w:link w:val="HeaderChar"/>
    <w:unhideWhenUsed/>
    <w:rsid w:val="005F4764"/>
    <w:pPr>
      <w:tabs>
        <w:tab w:val="center" w:pos="4513"/>
        <w:tab w:val="right" w:pos="9026"/>
      </w:tabs>
    </w:pPr>
  </w:style>
  <w:style w:type="character" w:customStyle="1" w:styleId="HeaderChar">
    <w:name w:val="Header Char"/>
    <w:link w:val="Header"/>
    <w:rsid w:val="005F4764"/>
    <w:rPr>
      <w:rFonts w:ascii="Arial" w:hAnsi="Arial"/>
      <w:szCs w:val="24"/>
      <w:lang w:eastAsia="en-AU"/>
    </w:rPr>
  </w:style>
  <w:style w:type="paragraph" w:styleId="Footer">
    <w:name w:val="footer"/>
    <w:basedOn w:val="Normal"/>
    <w:link w:val="FooterChar"/>
    <w:uiPriority w:val="99"/>
    <w:unhideWhenUsed/>
    <w:rsid w:val="005F4764"/>
    <w:pPr>
      <w:tabs>
        <w:tab w:val="center" w:pos="4513"/>
        <w:tab w:val="right" w:pos="9026"/>
      </w:tabs>
      <w:jc w:val="right"/>
    </w:pPr>
    <w:rPr>
      <w:sz w:val="18"/>
    </w:rPr>
  </w:style>
  <w:style w:type="character" w:customStyle="1" w:styleId="FooterChar">
    <w:name w:val="Footer Char"/>
    <w:link w:val="Footer"/>
    <w:uiPriority w:val="99"/>
    <w:rsid w:val="005F4764"/>
    <w:rPr>
      <w:rFonts w:ascii="Arial" w:hAnsi="Arial"/>
      <w:sz w:val="18"/>
      <w:szCs w:val="24"/>
      <w:lang w:eastAsia="en-AU"/>
    </w:rPr>
  </w:style>
  <w:style w:type="character" w:styleId="FootnoteReference">
    <w:name w:val="footnote reference"/>
    <w:unhideWhenUsed/>
    <w:qFormat/>
    <w:rsid w:val="005F4764"/>
    <w:rPr>
      <w:rFonts w:ascii="Arial" w:hAnsi="Arial"/>
      <w:i w:val="0"/>
      <w:color w:val="595959" w:themeColor="text1" w:themeTint="A6"/>
      <w:sz w:val="18"/>
      <w:vertAlign w:val="superscript"/>
    </w:rPr>
  </w:style>
  <w:style w:type="paragraph" w:styleId="Subtitle">
    <w:name w:val="Subtitle"/>
    <w:basedOn w:val="Normal"/>
    <w:next w:val="Normal"/>
    <w:link w:val="SubtitleChar"/>
    <w:uiPriority w:val="11"/>
    <w:rsid w:val="005F4764"/>
    <w:pPr>
      <w:numPr>
        <w:ilvl w:val="1"/>
      </w:numPr>
    </w:pPr>
    <w:rPr>
      <w:rFonts w:eastAsiaTheme="majorEastAsia" w:cstheme="majorBidi"/>
      <w:i/>
      <w:iCs/>
      <w:spacing w:val="15"/>
    </w:rPr>
  </w:style>
  <w:style w:type="character" w:customStyle="1" w:styleId="SubtitleChar">
    <w:name w:val="Subtitle Char"/>
    <w:link w:val="Subtitle"/>
    <w:uiPriority w:val="11"/>
    <w:rsid w:val="005F4764"/>
    <w:rPr>
      <w:rFonts w:ascii="Arial" w:eastAsiaTheme="majorEastAsia" w:hAnsi="Arial" w:cstheme="majorBidi"/>
      <w:i/>
      <w:iCs/>
      <w:spacing w:val="15"/>
      <w:szCs w:val="24"/>
      <w:lang w:eastAsia="en-AU"/>
    </w:rPr>
  </w:style>
  <w:style w:type="character" w:styleId="Hyperlink">
    <w:name w:val="Hyperlink"/>
    <w:uiPriority w:val="99"/>
    <w:rsid w:val="005F4764"/>
    <w:rPr>
      <w:rFonts w:ascii="Arial" w:hAnsi="Arial"/>
      <w:color w:val="0000FF"/>
      <w:sz w:val="22"/>
      <w:u w:val="single"/>
    </w:rPr>
  </w:style>
  <w:style w:type="character" w:styleId="Strong">
    <w:name w:val="Strong"/>
    <w:uiPriority w:val="22"/>
    <w:rsid w:val="005F4764"/>
    <w:rPr>
      <w:rFonts w:ascii="Arial" w:hAnsi="Arial"/>
      <w:b/>
      <w:bCs/>
      <w:sz w:val="22"/>
    </w:rPr>
  </w:style>
  <w:style w:type="character" w:styleId="Emphasis">
    <w:name w:val="Emphasis"/>
    <w:uiPriority w:val="20"/>
    <w:rsid w:val="005F4764"/>
    <w:rPr>
      <w:rFonts w:ascii="Arial" w:hAnsi="Arial"/>
      <w:i/>
      <w:iCs/>
      <w:sz w:val="22"/>
    </w:rPr>
  </w:style>
  <w:style w:type="table" w:styleId="TableGrid">
    <w:name w:val="Table Grid"/>
    <w:basedOn w:val="TableNormal"/>
    <w:uiPriority w:val="59"/>
    <w:rsid w:val="005F4764"/>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5F4764"/>
    <w:pPr>
      <w:numPr>
        <w:numId w:val="9"/>
      </w:numPr>
    </w:pPr>
  </w:style>
  <w:style w:type="paragraph" w:styleId="ListParagraph">
    <w:name w:val="List Paragraph"/>
    <w:basedOn w:val="Normal"/>
    <w:link w:val="ListParagraphChar"/>
    <w:uiPriority w:val="34"/>
    <w:qFormat/>
    <w:rsid w:val="005F4764"/>
    <w:pPr>
      <w:ind w:left="720"/>
      <w:contextualSpacing/>
    </w:pPr>
  </w:style>
  <w:style w:type="paragraph" w:styleId="Quote">
    <w:name w:val="Quote"/>
    <w:basedOn w:val="Normal"/>
    <w:next w:val="Normal"/>
    <w:link w:val="QuoteChar"/>
    <w:uiPriority w:val="29"/>
    <w:qFormat/>
    <w:rsid w:val="005F4764"/>
    <w:rPr>
      <w:i/>
      <w:iCs/>
      <w:color w:val="000000"/>
    </w:rPr>
  </w:style>
  <w:style w:type="character" w:customStyle="1" w:styleId="QuoteChar">
    <w:name w:val="Quote Char"/>
    <w:link w:val="Quote"/>
    <w:uiPriority w:val="29"/>
    <w:rsid w:val="005F4764"/>
    <w:rPr>
      <w:rFonts w:ascii="Arial" w:hAnsi="Arial"/>
      <w:i/>
      <w:iCs/>
      <w:color w:val="000000"/>
      <w:szCs w:val="24"/>
      <w:lang w:eastAsia="en-AU"/>
    </w:rPr>
  </w:style>
  <w:style w:type="paragraph" w:styleId="TOAHeading">
    <w:name w:val="toa heading"/>
    <w:basedOn w:val="Normal"/>
    <w:next w:val="Normal"/>
    <w:uiPriority w:val="99"/>
    <w:semiHidden/>
    <w:unhideWhenUsed/>
    <w:rsid w:val="005F4764"/>
    <w:pPr>
      <w:spacing w:before="120"/>
    </w:pPr>
    <w:rPr>
      <w:rFonts w:eastAsiaTheme="majorEastAsia" w:cstheme="majorBidi"/>
      <w:b/>
      <w:bCs/>
      <w:sz w:val="28"/>
    </w:rPr>
  </w:style>
  <w:style w:type="character" w:styleId="IntenseEmphasis">
    <w:name w:val="Intense Emphasis"/>
    <w:uiPriority w:val="21"/>
    <w:rsid w:val="005F4764"/>
    <w:rPr>
      <w:rFonts w:ascii="Trebuchet MS" w:hAnsi="Trebuchet MS"/>
      <w:b/>
      <w:bCs/>
      <w:i/>
      <w:iCs/>
      <w:color w:val="000000" w:themeColor="text1"/>
      <w:sz w:val="22"/>
    </w:rPr>
  </w:style>
  <w:style w:type="paragraph" w:styleId="ListBullet">
    <w:name w:val="List Bullet"/>
    <w:basedOn w:val="List"/>
    <w:uiPriority w:val="99"/>
    <w:unhideWhenUsed/>
    <w:rsid w:val="005F4764"/>
    <w:pPr>
      <w:numPr>
        <w:numId w:val="3"/>
      </w:numPr>
      <w:contextualSpacing w:val="0"/>
    </w:pPr>
  </w:style>
  <w:style w:type="paragraph" w:styleId="ListNumber2">
    <w:name w:val="List Number 2"/>
    <w:basedOn w:val="Normal"/>
    <w:uiPriority w:val="99"/>
    <w:unhideWhenUsed/>
    <w:rsid w:val="005F4764"/>
    <w:pPr>
      <w:numPr>
        <w:numId w:val="5"/>
      </w:numPr>
      <w:contextualSpacing/>
    </w:pPr>
  </w:style>
  <w:style w:type="paragraph" w:styleId="ListNumber3">
    <w:name w:val="List Number 3"/>
    <w:basedOn w:val="Normal"/>
    <w:link w:val="ListNumber3Char"/>
    <w:uiPriority w:val="99"/>
    <w:unhideWhenUsed/>
    <w:rsid w:val="005F4764"/>
    <w:pPr>
      <w:numPr>
        <w:numId w:val="6"/>
      </w:numPr>
      <w:contextualSpacing/>
    </w:pPr>
  </w:style>
  <w:style w:type="paragraph" w:styleId="ListNumber4">
    <w:name w:val="List Number 4"/>
    <w:basedOn w:val="Normal"/>
    <w:uiPriority w:val="99"/>
    <w:semiHidden/>
    <w:unhideWhenUsed/>
    <w:rsid w:val="005F4764"/>
    <w:pPr>
      <w:numPr>
        <w:numId w:val="7"/>
      </w:numPr>
      <w:contextualSpacing/>
    </w:pPr>
  </w:style>
  <w:style w:type="paragraph" w:styleId="ListNumber5">
    <w:name w:val="List Number 5"/>
    <w:basedOn w:val="Normal"/>
    <w:uiPriority w:val="99"/>
    <w:semiHidden/>
    <w:unhideWhenUsed/>
    <w:rsid w:val="005F4764"/>
    <w:pPr>
      <w:numPr>
        <w:numId w:val="8"/>
      </w:numPr>
      <w:contextualSpacing/>
    </w:pPr>
  </w:style>
  <w:style w:type="paragraph" w:styleId="ListNumber">
    <w:name w:val="List Number"/>
    <w:basedOn w:val="Normal"/>
    <w:uiPriority w:val="99"/>
    <w:unhideWhenUsed/>
    <w:rsid w:val="005F4764"/>
    <w:pPr>
      <w:numPr>
        <w:numId w:val="4"/>
      </w:numPr>
      <w:contextualSpacing/>
    </w:pPr>
  </w:style>
  <w:style w:type="paragraph" w:styleId="List">
    <w:name w:val="List"/>
    <w:basedOn w:val="Normal"/>
    <w:uiPriority w:val="99"/>
    <w:unhideWhenUsed/>
    <w:rsid w:val="005F4764"/>
    <w:pPr>
      <w:ind w:left="283" w:hanging="283"/>
      <w:contextualSpacing/>
    </w:pPr>
  </w:style>
  <w:style w:type="paragraph" w:styleId="List2">
    <w:name w:val="List 2"/>
    <w:basedOn w:val="Normal"/>
    <w:uiPriority w:val="99"/>
    <w:unhideWhenUsed/>
    <w:rsid w:val="005F4764"/>
    <w:pPr>
      <w:ind w:left="566" w:hanging="283"/>
      <w:contextualSpacing/>
    </w:pPr>
  </w:style>
  <w:style w:type="paragraph" w:styleId="List3">
    <w:name w:val="List 3"/>
    <w:basedOn w:val="Normal"/>
    <w:uiPriority w:val="99"/>
    <w:unhideWhenUsed/>
    <w:rsid w:val="005F4764"/>
    <w:pPr>
      <w:ind w:left="849" w:hanging="283"/>
      <w:contextualSpacing/>
    </w:pPr>
  </w:style>
  <w:style w:type="paragraph" w:styleId="List4">
    <w:name w:val="List 4"/>
    <w:basedOn w:val="Normal"/>
    <w:uiPriority w:val="99"/>
    <w:unhideWhenUsed/>
    <w:rsid w:val="005F4764"/>
    <w:pPr>
      <w:ind w:left="1132" w:hanging="283"/>
      <w:contextualSpacing/>
    </w:pPr>
  </w:style>
  <w:style w:type="numbering" w:styleId="111111">
    <w:name w:val="Outline List 2"/>
    <w:basedOn w:val="NoList"/>
    <w:uiPriority w:val="99"/>
    <w:semiHidden/>
    <w:unhideWhenUsed/>
    <w:rsid w:val="005F4764"/>
    <w:pPr>
      <w:numPr>
        <w:numId w:val="1"/>
      </w:numPr>
    </w:pPr>
  </w:style>
  <w:style w:type="character" w:customStyle="1" w:styleId="ListNumber3Char">
    <w:name w:val="List Number 3 Char"/>
    <w:basedOn w:val="DefaultParagraphFont"/>
    <w:link w:val="ListNumber3"/>
    <w:uiPriority w:val="99"/>
    <w:rsid w:val="005F4764"/>
    <w:rPr>
      <w:rFonts w:ascii="Arial" w:hAnsi="Arial"/>
      <w:szCs w:val="24"/>
      <w:lang w:eastAsia="en-AU"/>
    </w:rPr>
  </w:style>
  <w:style w:type="character" w:customStyle="1" w:styleId="NumberedListChar">
    <w:name w:val="Numbered List Char"/>
    <w:basedOn w:val="ListNumber3Char"/>
    <w:link w:val="NumberedList"/>
    <w:rsid w:val="005F4764"/>
    <w:rPr>
      <w:rFonts w:ascii="Arial" w:hAnsi="Arial"/>
      <w:szCs w:val="24"/>
      <w:lang w:eastAsia="en-AU"/>
    </w:rPr>
  </w:style>
  <w:style w:type="paragraph" w:styleId="BodyText">
    <w:name w:val="Body Text"/>
    <w:basedOn w:val="Normal"/>
    <w:link w:val="BodyTextChar"/>
    <w:unhideWhenUsed/>
    <w:rsid w:val="005F4764"/>
  </w:style>
  <w:style w:type="character" w:customStyle="1" w:styleId="BodyTextChar">
    <w:name w:val="Body Text Char"/>
    <w:basedOn w:val="DefaultParagraphFont"/>
    <w:link w:val="BodyText"/>
    <w:rsid w:val="005F4764"/>
    <w:rPr>
      <w:rFonts w:ascii="Arial" w:hAnsi="Arial"/>
      <w:szCs w:val="24"/>
      <w:lang w:eastAsia="en-AU"/>
    </w:rPr>
  </w:style>
  <w:style w:type="character" w:customStyle="1" w:styleId="Heading8Char">
    <w:name w:val="Heading 8 Char"/>
    <w:basedOn w:val="DefaultParagraphFont"/>
    <w:link w:val="Heading8"/>
    <w:uiPriority w:val="9"/>
    <w:rsid w:val="005F4764"/>
    <w:rPr>
      <w:rFonts w:ascii="Arial" w:eastAsiaTheme="majorEastAsia" w:hAnsi="Arial" w:cstheme="majorBidi"/>
      <w:color w:val="404040" w:themeColor="text1" w:themeTint="BF"/>
      <w:sz w:val="20"/>
      <w:szCs w:val="20"/>
      <w:lang w:eastAsia="en-AU"/>
    </w:rPr>
  </w:style>
  <w:style w:type="character" w:customStyle="1" w:styleId="Heading9Char">
    <w:name w:val="Heading 9 Char"/>
    <w:basedOn w:val="DefaultParagraphFont"/>
    <w:link w:val="Heading9"/>
    <w:uiPriority w:val="9"/>
    <w:rsid w:val="005F4764"/>
    <w:rPr>
      <w:rFonts w:ascii="Arial" w:eastAsiaTheme="majorEastAsia" w:hAnsi="Arial" w:cstheme="majorBidi"/>
      <w:i/>
      <w:iCs/>
      <w:color w:val="404040" w:themeColor="text1" w:themeTint="BF"/>
      <w:sz w:val="20"/>
      <w:szCs w:val="20"/>
      <w:lang w:eastAsia="en-AU"/>
    </w:rPr>
  </w:style>
  <w:style w:type="paragraph" w:styleId="TOCHeading">
    <w:name w:val="TOC Heading"/>
    <w:basedOn w:val="Heading1"/>
    <w:next w:val="Normal"/>
    <w:uiPriority w:val="39"/>
    <w:unhideWhenUsed/>
    <w:qFormat/>
    <w:rsid w:val="00B0602C"/>
    <w:pPr>
      <w:spacing w:after="0"/>
      <w:outlineLvl w:val="9"/>
    </w:pPr>
    <w:rPr>
      <w:szCs w:val="28"/>
    </w:rPr>
  </w:style>
  <w:style w:type="paragraph" w:customStyle="1" w:styleId="TableColumnHeading">
    <w:name w:val="Table Column Heading"/>
    <w:basedOn w:val="Normal"/>
    <w:rsid w:val="005F4764"/>
    <w:pPr>
      <w:widowControl w:val="0"/>
      <w:spacing w:before="120"/>
    </w:pPr>
    <w:rPr>
      <w:rFonts w:eastAsia="Times" w:cstheme="majorBidi"/>
      <w:b/>
      <w:iCs/>
      <w:color w:val="000000" w:themeColor="text1"/>
    </w:rPr>
  </w:style>
  <w:style w:type="paragraph" w:customStyle="1" w:styleId="TableColumnSub-Heading">
    <w:name w:val="Table Column Sub-Heading"/>
    <w:basedOn w:val="Normal"/>
    <w:rsid w:val="005F4764"/>
    <w:pPr>
      <w:keepNext/>
      <w:widowControl w:val="0"/>
      <w:spacing w:before="60" w:after="60"/>
    </w:pPr>
    <w:rPr>
      <w:rFonts w:cstheme="minorBidi"/>
      <w:b/>
      <w:sz w:val="20"/>
    </w:rPr>
  </w:style>
  <w:style w:type="paragraph" w:customStyle="1" w:styleId="TableRowHeading">
    <w:name w:val="Table Row Heading"/>
    <w:basedOn w:val="Normal"/>
    <w:rsid w:val="005F4764"/>
    <w:pPr>
      <w:keepNext/>
      <w:widowControl w:val="0"/>
      <w:spacing w:before="120"/>
    </w:pPr>
    <w:rPr>
      <w:b/>
      <w:i/>
      <w:sz w:val="20"/>
    </w:rPr>
  </w:style>
  <w:style w:type="table" w:customStyle="1" w:styleId="APRAWorkingPaperTable">
    <w:name w:val="APRA Working Paper Table"/>
    <w:basedOn w:val="TableNormal"/>
    <w:uiPriority w:val="99"/>
    <w:rsid w:val="005F4764"/>
    <w:pPr>
      <w:spacing w:after="0" w:line="240" w:lineRule="auto"/>
    </w:pPr>
    <w:rPr>
      <w:rFonts w:ascii="Arial" w:hAnsi="Arial"/>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8DB3E2" w:themeFill="text2" w:themeFillTint="66"/>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5F4764"/>
    <w:rPr>
      <w:rFonts w:cs="Tahoma"/>
      <w:sz w:val="16"/>
      <w:szCs w:val="16"/>
    </w:rPr>
  </w:style>
  <w:style w:type="character" w:customStyle="1" w:styleId="BalloonTextChar">
    <w:name w:val="Balloon Text Char"/>
    <w:basedOn w:val="DefaultParagraphFont"/>
    <w:link w:val="BalloonText"/>
    <w:uiPriority w:val="99"/>
    <w:semiHidden/>
    <w:rsid w:val="005F4764"/>
    <w:rPr>
      <w:rFonts w:ascii="Arial" w:hAnsi="Arial" w:cs="Tahoma"/>
      <w:sz w:val="16"/>
      <w:szCs w:val="16"/>
      <w:lang w:eastAsia="en-AU"/>
    </w:rPr>
  </w:style>
  <w:style w:type="character" w:styleId="FollowedHyperlink">
    <w:name w:val="FollowedHyperlink"/>
    <w:basedOn w:val="DefaultParagraphFont"/>
    <w:uiPriority w:val="99"/>
    <w:semiHidden/>
    <w:unhideWhenUsed/>
    <w:rsid w:val="005F4764"/>
    <w:rPr>
      <w:color w:val="800080" w:themeColor="followedHyperlink"/>
      <w:u w:val="single"/>
    </w:rPr>
  </w:style>
  <w:style w:type="paragraph" w:styleId="Title">
    <w:name w:val="Title"/>
    <w:basedOn w:val="Normal"/>
    <w:next w:val="Normal"/>
    <w:link w:val="TitleChar"/>
    <w:uiPriority w:val="1"/>
    <w:qFormat/>
    <w:rsid w:val="00C333E7"/>
    <w:pPr>
      <w:spacing w:after="300"/>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1"/>
    <w:rsid w:val="00C333E7"/>
    <w:rPr>
      <w:rFonts w:ascii="Arial" w:eastAsiaTheme="majorEastAsia" w:hAnsi="Arial" w:cstheme="majorBidi"/>
      <w:b/>
      <w:caps/>
      <w:spacing w:val="5"/>
      <w:kern w:val="28"/>
      <w:sz w:val="40"/>
      <w:szCs w:val="52"/>
      <w:lang w:eastAsia="en-AU"/>
    </w:rPr>
  </w:style>
  <w:style w:type="character" w:styleId="SubtleEmphasis">
    <w:name w:val="Subtle Emphasis"/>
    <w:basedOn w:val="DefaultParagraphFont"/>
    <w:uiPriority w:val="19"/>
    <w:rsid w:val="005F4764"/>
    <w:rPr>
      <w:i/>
      <w:iCs/>
      <w:color w:val="808080" w:themeColor="text1" w:themeTint="7F"/>
    </w:rPr>
  </w:style>
  <w:style w:type="character" w:styleId="PlaceholderText">
    <w:name w:val="Placeholder Text"/>
    <w:basedOn w:val="DefaultParagraphFont"/>
    <w:uiPriority w:val="99"/>
    <w:semiHidden/>
    <w:rsid w:val="005F4764"/>
    <w:rPr>
      <w:color w:val="808080"/>
    </w:rPr>
  </w:style>
  <w:style w:type="paragraph" w:customStyle="1" w:styleId="APRASignature">
    <w:name w:val="APRA Signature"/>
    <w:basedOn w:val="Normal"/>
    <w:link w:val="APRASignatureChar"/>
    <w:rsid w:val="005F4764"/>
    <w:rPr>
      <w:i/>
    </w:rPr>
  </w:style>
  <w:style w:type="character" w:customStyle="1" w:styleId="APRASignatureChar">
    <w:name w:val="APRA Signature Char"/>
    <w:basedOn w:val="DefaultParagraphFont"/>
    <w:link w:val="APRASignature"/>
    <w:rsid w:val="005F4764"/>
    <w:rPr>
      <w:rFonts w:ascii="Arial" w:hAnsi="Arial"/>
      <w:i/>
      <w:szCs w:val="24"/>
      <w:lang w:eastAsia="en-AU"/>
    </w:rPr>
  </w:style>
  <w:style w:type="paragraph" w:customStyle="1" w:styleId="Tabletext">
    <w:name w:val="Table text"/>
    <w:basedOn w:val="Normal"/>
    <w:link w:val="TabletextChar"/>
    <w:qFormat/>
    <w:rsid w:val="005F4764"/>
    <w:pPr>
      <w:spacing w:before="60" w:after="60"/>
    </w:pPr>
    <w:rPr>
      <w:rFonts w:cs="Arial"/>
    </w:rPr>
  </w:style>
  <w:style w:type="character" w:customStyle="1" w:styleId="TabletextChar">
    <w:name w:val="Table text Char"/>
    <w:basedOn w:val="DefaultParagraphFont"/>
    <w:link w:val="Tabletext"/>
    <w:rsid w:val="005F4764"/>
    <w:rPr>
      <w:rFonts w:ascii="Arial" w:hAnsi="Arial" w:cs="Arial"/>
      <w:szCs w:val="24"/>
      <w:lang w:eastAsia="en-AU"/>
    </w:rPr>
  </w:style>
  <w:style w:type="paragraph" w:customStyle="1" w:styleId="Bullet10">
    <w:name w:val="Bullet 1"/>
    <w:basedOn w:val="Normal"/>
    <w:link w:val="Bullet1Char"/>
    <w:rsid w:val="00CC10DA"/>
    <w:pPr>
      <w:tabs>
        <w:tab w:val="left" w:pos="426"/>
      </w:tabs>
    </w:pPr>
    <w:rPr>
      <w:rFonts w:cs="Arial"/>
      <w:color w:val="000000"/>
      <w:szCs w:val="22"/>
    </w:rPr>
  </w:style>
  <w:style w:type="character" w:customStyle="1" w:styleId="Bullet1Char">
    <w:name w:val="Bullet 1 Char"/>
    <w:basedOn w:val="DefaultParagraphFont"/>
    <w:link w:val="Bullet10"/>
    <w:rsid w:val="00CC10DA"/>
    <w:rPr>
      <w:rFonts w:ascii="Arial" w:hAnsi="Arial" w:cs="Arial"/>
      <w:color w:val="000000"/>
      <w:lang w:eastAsia="en-AU"/>
    </w:rPr>
  </w:style>
  <w:style w:type="paragraph" w:customStyle="1" w:styleId="Bullet20">
    <w:name w:val="Bullet 2"/>
    <w:basedOn w:val="Normal"/>
    <w:link w:val="Bullet2Char"/>
    <w:rsid w:val="00CC10DA"/>
    <w:pPr>
      <w:spacing w:before="240"/>
    </w:pPr>
    <w:rPr>
      <w:rFonts w:cs="Arial"/>
      <w:color w:val="000000"/>
      <w:szCs w:val="22"/>
    </w:rPr>
  </w:style>
  <w:style w:type="character" w:customStyle="1" w:styleId="Bullet2Char">
    <w:name w:val="Bullet 2 Char"/>
    <w:basedOn w:val="DefaultParagraphFont"/>
    <w:link w:val="Bullet20"/>
    <w:rsid w:val="00CC10DA"/>
    <w:rPr>
      <w:rFonts w:ascii="Arial" w:hAnsi="Arial" w:cs="Arial"/>
      <w:color w:val="000000"/>
      <w:lang w:eastAsia="en-AU"/>
    </w:rPr>
  </w:style>
  <w:style w:type="paragraph" w:customStyle="1" w:styleId="Bullet30">
    <w:name w:val="Bullet 3"/>
    <w:basedOn w:val="Normal"/>
    <w:link w:val="Bullet3Char"/>
    <w:rsid w:val="00CC10DA"/>
    <w:rPr>
      <w:rFonts w:cs="Arial"/>
      <w:color w:val="000000"/>
    </w:rPr>
  </w:style>
  <w:style w:type="character" w:customStyle="1" w:styleId="Bullet3Char">
    <w:name w:val="Bullet 3 Char"/>
    <w:basedOn w:val="Bullet1Char"/>
    <w:link w:val="Bullet30"/>
    <w:rsid w:val="00CC10DA"/>
    <w:rPr>
      <w:rFonts w:ascii="Arial" w:hAnsi="Arial" w:cs="Arial"/>
      <w:color w:val="000000"/>
      <w:szCs w:val="24"/>
      <w:lang w:eastAsia="en-AU"/>
    </w:rPr>
  </w:style>
  <w:style w:type="paragraph" w:styleId="MacroText">
    <w:name w:val="macro"/>
    <w:link w:val="MacroTextChar"/>
    <w:uiPriority w:val="99"/>
    <w:semiHidden/>
    <w:unhideWhenUsed/>
    <w:rsid w:val="005F476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hAnsi="Arial"/>
      <w:sz w:val="20"/>
      <w:szCs w:val="20"/>
      <w:lang w:eastAsia="en-AU"/>
    </w:rPr>
  </w:style>
  <w:style w:type="character" w:customStyle="1" w:styleId="MacroTextChar">
    <w:name w:val="Macro Text Char"/>
    <w:basedOn w:val="DefaultParagraphFont"/>
    <w:link w:val="MacroText"/>
    <w:uiPriority w:val="99"/>
    <w:semiHidden/>
    <w:rsid w:val="005F4764"/>
    <w:rPr>
      <w:rFonts w:ascii="Arial" w:hAnsi="Arial"/>
      <w:sz w:val="20"/>
      <w:szCs w:val="20"/>
      <w:lang w:eastAsia="en-AU"/>
    </w:rPr>
  </w:style>
  <w:style w:type="paragraph" w:styleId="BlockText">
    <w:name w:val="Block Text"/>
    <w:basedOn w:val="Normal"/>
    <w:uiPriority w:val="99"/>
    <w:semiHidden/>
    <w:unhideWhenUsed/>
    <w:rsid w:val="005F476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table" w:styleId="ColorfulGrid">
    <w:name w:val="Colorful Grid"/>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5F476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F4764"/>
    <w:rPr>
      <w:rFonts w:eastAsiaTheme="majorEastAsia" w:cstheme="majorBidi"/>
      <w:sz w:val="20"/>
    </w:rPr>
  </w:style>
  <w:style w:type="table" w:styleId="GridTable1Light">
    <w:name w:val="Grid Table 1 Light"/>
    <w:basedOn w:val="TableNormal"/>
    <w:uiPriority w:val="46"/>
    <w:rsid w:val="005F4764"/>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4764"/>
    <w:pPr>
      <w:spacing w:after="0" w:line="240" w:lineRule="auto"/>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4764"/>
    <w:pPr>
      <w:spacing w:after="0" w:line="240" w:lineRule="auto"/>
    </w:pPr>
    <w:rPr>
      <w:rFonts w:ascii="Arial" w:hAnsi="Aria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4764"/>
    <w:pPr>
      <w:spacing w:after="0" w:line="240" w:lineRule="auto"/>
    </w:pPr>
    <w:rPr>
      <w:rFonts w:ascii="Arial" w:hAnsi="Ari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4764"/>
    <w:pPr>
      <w:spacing w:after="0" w:line="240" w:lineRule="auto"/>
    </w:pPr>
    <w:rPr>
      <w:rFonts w:ascii="Arial" w:hAnsi="Aria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4764"/>
    <w:pPr>
      <w:spacing w:after="0" w:line="240" w:lineRule="auto"/>
    </w:pPr>
    <w:rPr>
      <w:rFonts w:ascii="Arial" w:hAnsi="Aria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4764"/>
    <w:pPr>
      <w:spacing w:after="0" w:line="240" w:lineRule="auto"/>
    </w:pPr>
    <w:rPr>
      <w:rFonts w:ascii="Arial" w:hAnsi="Arial"/>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4764"/>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4764"/>
    <w:pPr>
      <w:spacing w:after="0" w:line="240" w:lineRule="auto"/>
    </w:pPr>
    <w:rPr>
      <w:rFonts w:ascii="Arial" w:hAnsi="Arial"/>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F4764"/>
    <w:pPr>
      <w:spacing w:after="0" w:line="240" w:lineRule="auto"/>
    </w:pPr>
    <w:rPr>
      <w:rFonts w:ascii="Arial" w:hAnsi="Arial"/>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F4764"/>
    <w:pPr>
      <w:spacing w:after="0" w:line="240" w:lineRule="auto"/>
    </w:pPr>
    <w:rPr>
      <w:rFonts w:ascii="Arial" w:hAnsi="Arial"/>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F4764"/>
    <w:pPr>
      <w:spacing w:after="0" w:line="240" w:lineRule="auto"/>
    </w:pPr>
    <w:rPr>
      <w:rFonts w:ascii="Arial" w:hAnsi="Aria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F4764"/>
    <w:pPr>
      <w:spacing w:after="0" w:line="240" w:lineRule="auto"/>
    </w:pPr>
    <w:rPr>
      <w:rFonts w:ascii="Arial" w:hAnsi="Aria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F4764"/>
    <w:pPr>
      <w:spacing w:after="0" w:line="240" w:lineRule="auto"/>
    </w:pPr>
    <w:rPr>
      <w:rFonts w:ascii="Arial" w:hAnsi="Arial"/>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x1">
    <w:name w:val="index 1"/>
    <w:basedOn w:val="Normal"/>
    <w:next w:val="Normal"/>
    <w:autoRedefine/>
    <w:uiPriority w:val="99"/>
    <w:semiHidden/>
    <w:unhideWhenUsed/>
    <w:rsid w:val="005F4764"/>
    <w:pPr>
      <w:ind w:left="220" w:hanging="220"/>
    </w:pPr>
  </w:style>
  <w:style w:type="paragraph" w:styleId="IndexHeading">
    <w:name w:val="index heading"/>
    <w:basedOn w:val="Normal"/>
    <w:next w:val="Index1"/>
    <w:uiPriority w:val="99"/>
    <w:semiHidden/>
    <w:unhideWhenUsed/>
    <w:rsid w:val="005F4764"/>
    <w:rPr>
      <w:rFonts w:eastAsiaTheme="majorEastAsia" w:cstheme="majorBidi"/>
      <w:b/>
      <w:bCs/>
    </w:rPr>
  </w:style>
  <w:style w:type="table" w:styleId="LightGrid">
    <w:name w:val="Light Grid"/>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F4764"/>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4764"/>
    <w:pPr>
      <w:spacing w:after="0" w:line="240" w:lineRule="auto"/>
    </w:pPr>
    <w:rPr>
      <w:rFonts w:ascii="Arial"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F4764"/>
    <w:pPr>
      <w:spacing w:after="0" w:line="240" w:lineRule="auto"/>
    </w:pPr>
    <w:rPr>
      <w:rFonts w:ascii="Arial"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F4764"/>
    <w:pPr>
      <w:spacing w:after="0" w:line="240" w:lineRule="auto"/>
    </w:pPr>
    <w:rPr>
      <w:rFonts w:ascii="Arial"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F4764"/>
    <w:pPr>
      <w:spacing w:after="0" w:line="240" w:lineRule="auto"/>
    </w:pPr>
    <w:rPr>
      <w:rFonts w:ascii="Arial"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F4764"/>
    <w:pPr>
      <w:spacing w:after="0" w:line="240" w:lineRule="auto"/>
    </w:pPr>
    <w:rPr>
      <w:rFonts w:ascii="Arial"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F4764"/>
    <w:pPr>
      <w:spacing w:after="0" w:line="240" w:lineRule="auto"/>
    </w:pPr>
    <w:rPr>
      <w:rFonts w:ascii="Arial"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F4764"/>
    <w:pPr>
      <w:spacing w:after="0" w:line="240" w:lineRule="auto"/>
    </w:pPr>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4764"/>
    <w:pPr>
      <w:spacing w:after="0" w:line="240" w:lineRule="auto"/>
    </w:pPr>
    <w:rPr>
      <w:rFonts w:ascii="Arial" w:hAnsi="Arial"/>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F4764"/>
    <w:pPr>
      <w:spacing w:after="0" w:line="240" w:lineRule="auto"/>
    </w:pPr>
    <w:rPr>
      <w:rFonts w:ascii="Arial" w:hAnsi="Arial"/>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F4764"/>
    <w:pPr>
      <w:spacing w:after="0" w:line="240" w:lineRule="auto"/>
    </w:pPr>
    <w:rPr>
      <w:rFonts w:ascii="Arial" w:hAnsi="Arial"/>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F4764"/>
    <w:pPr>
      <w:spacing w:after="0" w:line="240" w:lineRule="auto"/>
    </w:pPr>
    <w:rPr>
      <w:rFonts w:ascii="Arial" w:hAnsi="Arial"/>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
    <w:name w:val="List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F4764"/>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F476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5F4764"/>
    <w:rPr>
      <w:rFonts w:ascii="Arial" w:eastAsiaTheme="majorEastAsia" w:hAnsi="Arial" w:cstheme="majorBidi"/>
      <w:sz w:val="24"/>
      <w:szCs w:val="24"/>
      <w:shd w:val="pct20" w:color="auto" w:fill="auto"/>
      <w:lang w:eastAsia="en-AU"/>
    </w:rPr>
  </w:style>
  <w:style w:type="paragraph" w:styleId="NormalWeb">
    <w:name w:val="Normal (Web)"/>
    <w:basedOn w:val="Normal"/>
    <w:uiPriority w:val="99"/>
    <w:semiHidden/>
    <w:unhideWhenUsed/>
    <w:rsid w:val="005F4764"/>
  </w:style>
  <w:style w:type="table" w:styleId="PlainTable1">
    <w:name w:val="Plain Table 1"/>
    <w:basedOn w:val="TableNormal"/>
    <w:uiPriority w:val="41"/>
    <w:rsid w:val="005F4764"/>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4764"/>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4764"/>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4764"/>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4764"/>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4764"/>
    <w:rPr>
      <w:sz w:val="21"/>
      <w:szCs w:val="21"/>
    </w:rPr>
  </w:style>
  <w:style w:type="character" w:customStyle="1" w:styleId="PlainTextChar">
    <w:name w:val="Plain Text Char"/>
    <w:basedOn w:val="DefaultParagraphFont"/>
    <w:link w:val="PlainText"/>
    <w:uiPriority w:val="99"/>
    <w:semiHidden/>
    <w:rsid w:val="005F4764"/>
    <w:rPr>
      <w:rFonts w:ascii="Arial" w:hAnsi="Arial"/>
      <w:sz w:val="21"/>
      <w:szCs w:val="21"/>
      <w:lang w:eastAsia="en-AU"/>
    </w:rPr>
  </w:style>
  <w:style w:type="table" w:styleId="Table3Deffects1">
    <w:name w:val="Table 3D effects 1"/>
    <w:basedOn w:val="TableNormal"/>
    <w:uiPriority w:val="99"/>
    <w:semiHidden/>
    <w:unhideWhenUsed/>
    <w:rsid w:val="005F4764"/>
    <w:pPr>
      <w:spacing w:after="240" w:line="240" w:lineRule="auto"/>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4764"/>
    <w:pPr>
      <w:spacing w:after="240" w:line="240" w:lineRule="auto"/>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4764"/>
    <w:pPr>
      <w:spacing w:after="240" w:line="240" w:lineRule="auto"/>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4764"/>
    <w:pPr>
      <w:spacing w:after="240" w:line="240" w:lineRule="auto"/>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4764"/>
    <w:pPr>
      <w:spacing w:after="240" w:line="240" w:lineRule="auto"/>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4764"/>
    <w:pPr>
      <w:spacing w:after="240" w:line="240" w:lineRule="auto"/>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4764"/>
    <w:pPr>
      <w:spacing w:after="240" w:line="240" w:lineRule="auto"/>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4764"/>
    <w:pPr>
      <w:spacing w:after="240" w:line="240" w:lineRule="auto"/>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4764"/>
    <w:pPr>
      <w:spacing w:after="240" w:line="240" w:lineRule="auto"/>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4764"/>
    <w:pPr>
      <w:spacing w:after="240" w:line="240" w:lineRule="auto"/>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4764"/>
    <w:pPr>
      <w:spacing w:after="240" w:line="240" w:lineRule="auto"/>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4764"/>
    <w:pPr>
      <w:spacing w:after="240" w:line="240" w:lineRule="auto"/>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4764"/>
    <w:pPr>
      <w:spacing w:after="240" w:line="240" w:lineRule="auto"/>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4764"/>
    <w:pPr>
      <w:spacing w:after="240" w:line="240" w:lineRule="auto"/>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4764"/>
    <w:pPr>
      <w:spacing w:after="240" w:line="240" w:lineRule="auto"/>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4764"/>
    <w:pPr>
      <w:spacing w:after="240" w:line="240" w:lineRule="auto"/>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4764"/>
    <w:pPr>
      <w:spacing w:after="240" w:line="240" w:lineRule="auto"/>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4764"/>
    <w:pPr>
      <w:spacing w:after="240" w:line="240" w:lineRule="auto"/>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4764"/>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4764"/>
    <w:pPr>
      <w:spacing w:after="240" w:line="240" w:lineRule="auto"/>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4764"/>
    <w:pPr>
      <w:spacing w:after="240" w:line="240" w:lineRule="auto"/>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4764"/>
    <w:pPr>
      <w:spacing w:after="240" w:line="240" w:lineRule="auto"/>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4764"/>
    <w:pPr>
      <w:spacing w:after="240" w:line="240" w:lineRule="auto"/>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4764"/>
    <w:pPr>
      <w:spacing w:after="240" w:line="240" w:lineRule="auto"/>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4764"/>
    <w:pPr>
      <w:spacing w:after="240"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4764"/>
    <w:pPr>
      <w:spacing w:after="240" w:line="240" w:lineRule="auto"/>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4764"/>
    <w:pPr>
      <w:spacing w:after="240" w:line="240" w:lineRule="auto"/>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4764"/>
    <w:pPr>
      <w:spacing w:after="240" w:line="240" w:lineRule="auto"/>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link w:val="BULLET1Char0"/>
    <w:qFormat/>
    <w:rsid w:val="0036442A"/>
    <w:pPr>
      <w:numPr>
        <w:numId w:val="13"/>
      </w:numPr>
      <w:ind w:left="425" w:hanging="425"/>
    </w:pPr>
    <w:rPr>
      <w:rFonts w:eastAsiaTheme="minorEastAsia" w:cstheme="minorBidi"/>
      <w:szCs w:val="22"/>
    </w:rPr>
  </w:style>
  <w:style w:type="character" w:customStyle="1" w:styleId="BULLET1Char0">
    <w:name w:val="BULLET 1 Char"/>
    <w:basedOn w:val="DefaultParagraphFont"/>
    <w:link w:val="BULLET1"/>
    <w:rsid w:val="0036442A"/>
    <w:rPr>
      <w:rFonts w:ascii="Arial" w:eastAsiaTheme="minorEastAsia" w:hAnsi="Arial" w:cstheme="minorBidi"/>
      <w:lang w:eastAsia="en-AU"/>
    </w:rPr>
  </w:style>
  <w:style w:type="paragraph" w:customStyle="1" w:styleId="BULLET2">
    <w:name w:val="BULLET 2"/>
    <w:basedOn w:val="BULLET1"/>
    <w:link w:val="BULLET2Char0"/>
    <w:qFormat/>
    <w:rsid w:val="00FE57E9"/>
    <w:pPr>
      <w:numPr>
        <w:numId w:val="14"/>
      </w:numPr>
      <w:ind w:left="850" w:hanging="425"/>
    </w:pPr>
  </w:style>
  <w:style w:type="character" w:customStyle="1" w:styleId="BULLET2Char0">
    <w:name w:val="BULLET 2 Char"/>
    <w:basedOn w:val="DefaultParagraphFont"/>
    <w:link w:val="BULLET2"/>
    <w:rsid w:val="00FE57E9"/>
    <w:rPr>
      <w:rFonts w:ascii="Arial" w:eastAsiaTheme="minorEastAsia" w:hAnsi="Arial" w:cstheme="minorBidi"/>
      <w:lang w:eastAsia="en-AU"/>
    </w:rPr>
  </w:style>
  <w:style w:type="paragraph" w:customStyle="1" w:styleId="BULLET3">
    <w:name w:val="BULLET 3"/>
    <w:basedOn w:val="BULLET1"/>
    <w:link w:val="BULLET3Char0"/>
    <w:qFormat/>
    <w:rsid w:val="00B95BAF"/>
    <w:pPr>
      <w:numPr>
        <w:numId w:val="15"/>
      </w:numPr>
      <w:ind w:left="1276" w:hanging="425"/>
    </w:pPr>
  </w:style>
  <w:style w:type="character" w:customStyle="1" w:styleId="BULLET3Char0">
    <w:name w:val="BULLET 3 Char"/>
    <w:basedOn w:val="BULLET1Char0"/>
    <w:link w:val="BULLET3"/>
    <w:rsid w:val="00B95BAF"/>
    <w:rPr>
      <w:rFonts w:ascii="Arial" w:eastAsiaTheme="minorEastAsia" w:hAnsi="Arial" w:cstheme="minorBidi"/>
      <w:lang w:eastAsia="en-AU"/>
    </w:rPr>
  </w:style>
  <w:style w:type="paragraph" w:customStyle="1" w:styleId="Footnotes">
    <w:name w:val="Footnotes"/>
    <w:basedOn w:val="FootnoteText"/>
    <w:link w:val="FootnotesChar"/>
    <w:qFormat/>
    <w:rsid w:val="00C333E7"/>
    <w:pPr>
      <w:tabs>
        <w:tab w:val="left" w:pos="425"/>
      </w:tabs>
      <w:spacing w:after="120"/>
    </w:pPr>
    <w:rPr>
      <w:rFonts w:eastAsiaTheme="minorEastAsia" w:cstheme="minorBidi"/>
    </w:rPr>
  </w:style>
  <w:style w:type="character" w:customStyle="1" w:styleId="FootnotesChar">
    <w:name w:val="Footnotes Char"/>
    <w:basedOn w:val="FootnoteTextChar"/>
    <w:link w:val="Footnotes"/>
    <w:rsid w:val="00C333E7"/>
    <w:rPr>
      <w:rFonts w:ascii="Arial" w:eastAsiaTheme="minorEastAsia" w:hAnsi="Arial" w:cstheme="minorBidi"/>
      <w:sz w:val="18"/>
      <w:szCs w:val="20"/>
      <w:lang w:eastAsia="en-AU"/>
    </w:rPr>
  </w:style>
  <w:style w:type="character" w:styleId="BookTitle">
    <w:name w:val="Book Title"/>
    <w:basedOn w:val="DefaultParagraphFont"/>
    <w:uiPriority w:val="33"/>
    <w:rsid w:val="00FE57E9"/>
    <w:rPr>
      <w:b/>
      <w:bCs/>
      <w:i/>
      <w:iCs/>
      <w:spacing w:val="5"/>
    </w:rPr>
  </w:style>
  <w:style w:type="paragraph" w:customStyle="1" w:styleId="LetterHeadingCAPS">
    <w:name w:val="Letter Heading CAPS"/>
    <w:basedOn w:val="Normal"/>
    <w:link w:val="LetterHeadingCAPSChar"/>
    <w:rsid w:val="006A152E"/>
    <w:rPr>
      <w:b/>
      <w:lang w:val="en-US"/>
    </w:rPr>
  </w:style>
  <w:style w:type="paragraph" w:customStyle="1" w:styleId="LetterCAPS">
    <w:name w:val="Letter CAPS"/>
    <w:basedOn w:val="LetterHeadingCAPS"/>
    <w:link w:val="LetterCAPSChar"/>
    <w:rsid w:val="006A152E"/>
  </w:style>
  <w:style w:type="character" w:customStyle="1" w:styleId="LetterHeadingCAPSChar">
    <w:name w:val="Letter Heading CAPS Char"/>
    <w:basedOn w:val="DefaultParagraphFont"/>
    <w:link w:val="LetterHeadingCAPS"/>
    <w:rsid w:val="006A152E"/>
    <w:rPr>
      <w:rFonts w:ascii="Arial" w:hAnsi="Arial"/>
      <w:b/>
      <w:szCs w:val="24"/>
      <w:lang w:val="en-US" w:eastAsia="en-AU"/>
    </w:rPr>
  </w:style>
  <w:style w:type="paragraph" w:customStyle="1" w:styleId="LetterTitleCAPS">
    <w:name w:val="Letter Title CAPS"/>
    <w:basedOn w:val="Title"/>
    <w:link w:val="LetterTitleCAPSChar"/>
    <w:autoRedefine/>
    <w:rsid w:val="00325932"/>
    <w:rPr>
      <w:sz w:val="22"/>
      <w:szCs w:val="22"/>
    </w:rPr>
  </w:style>
  <w:style w:type="character" w:customStyle="1" w:styleId="LetterCAPSChar">
    <w:name w:val="Letter CAPS Char"/>
    <w:basedOn w:val="LetterHeadingCAPSChar"/>
    <w:link w:val="LetterCAPS"/>
    <w:rsid w:val="006A152E"/>
    <w:rPr>
      <w:rFonts w:ascii="Arial" w:hAnsi="Arial"/>
      <w:b/>
      <w:szCs w:val="24"/>
      <w:lang w:val="en-US" w:eastAsia="en-AU"/>
    </w:rPr>
  </w:style>
  <w:style w:type="character" w:customStyle="1" w:styleId="LetterTitleCAPSChar">
    <w:name w:val="Letter Title CAPS Char"/>
    <w:basedOn w:val="TitleChar"/>
    <w:link w:val="LetterTitleCAPS"/>
    <w:rsid w:val="00325932"/>
    <w:rPr>
      <w:rFonts w:ascii="Arial" w:eastAsiaTheme="majorEastAsia" w:hAnsi="Arial" w:cstheme="majorBidi"/>
      <w:b/>
      <w:caps/>
      <w:spacing w:val="5"/>
      <w:kern w:val="28"/>
      <w:sz w:val="40"/>
      <w:szCs w:val="52"/>
      <w:lang w:eastAsia="en-AU"/>
    </w:rPr>
  </w:style>
  <w:style w:type="paragraph" w:customStyle="1" w:styleId="LetterCAPSTitle">
    <w:name w:val="Letter CAPS Title"/>
    <w:basedOn w:val="Normal"/>
    <w:link w:val="LetterCAPSTitleChar"/>
    <w:qFormat/>
    <w:rsid w:val="00325932"/>
    <w:rPr>
      <w:b/>
      <w:caps/>
      <w:szCs w:val="22"/>
    </w:rPr>
  </w:style>
  <w:style w:type="character" w:customStyle="1" w:styleId="LetterCAPSTitleChar">
    <w:name w:val="Letter CAPS Title Char"/>
    <w:basedOn w:val="DefaultParagraphFont"/>
    <w:link w:val="LetterCAPSTitle"/>
    <w:rsid w:val="00325932"/>
    <w:rPr>
      <w:rFonts w:ascii="Arial" w:hAnsi="Arial"/>
      <w:b/>
      <w:caps/>
      <w:lang w:eastAsia="en-AU"/>
    </w:rPr>
  </w:style>
  <w:style w:type="paragraph" w:customStyle="1" w:styleId="SecurityClassification">
    <w:name w:val="Security Classification"/>
    <w:basedOn w:val="Normal"/>
    <w:link w:val="SecurityClassificationChar"/>
    <w:rsid w:val="002B0A7E"/>
    <w:pPr>
      <w:spacing w:before="600" w:after="120"/>
      <w:jc w:val="center"/>
    </w:pPr>
    <w:rPr>
      <w:rFonts w:cs="Arial"/>
      <w:b/>
      <w:color w:val="FF0000"/>
    </w:rPr>
  </w:style>
  <w:style w:type="character" w:customStyle="1" w:styleId="SecurityClassificationChar">
    <w:name w:val="Security Classification Char"/>
    <w:basedOn w:val="DefaultParagraphFont"/>
    <w:link w:val="SecurityClassification"/>
    <w:rsid w:val="002B0A7E"/>
    <w:rPr>
      <w:rFonts w:ascii="Arial" w:hAnsi="Arial" w:cs="Arial"/>
      <w:b/>
      <w:color w:val="FF0000"/>
      <w:sz w:val="24"/>
      <w:szCs w:val="24"/>
      <w:lang w:eastAsia="en-AU"/>
    </w:rPr>
  </w:style>
  <w:style w:type="character" w:styleId="CommentReference">
    <w:name w:val="annotation reference"/>
    <w:basedOn w:val="DefaultParagraphFont"/>
    <w:uiPriority w:val="99"/>
    <w:semiHidden/>
    <w:unhideWhenUsed/>
    <w:rsid w:val="0036442A"/>
    <w:rPr>
      <w:sz w:val="16"/>
      <w:szCs w:val="16"/>
    </w:rPr>
  </w:style>
  <w:style w:type="paragraph" w:styleId="CommentText">
    <w:name w:val="annotation text"/>
    <w:basedOn w:val="Normal"/>
    <w:link w:val="CommentTextChar"/>
    <w:uiPriority w:val="99"/>
    <w:semiHidden/>
    <w:unhideWhenUsed/>
    <w:rsid w:val="0036442A"/>
    <w:rPr>
      <w:sz w:val="20"/>
    </w:rPr>
  </w:style>
  <w:style w:type="character" w:customStyle="1" w:styleId="CommentTextChar">
    <w:name w:val="Comment Text Char"/>
    <w:basedOn w:val="DefaultParagraphFont"/>
    <w:link w:val="CommentText"/>
    <w:uiPriority w:val="99"/>
    <w:semiHidden/>
    <w:rsid w:val="0036442A"/>
    <w:rPr>
      <w:rFonts w:ascii="Arial" w:hAnsi="Arial"/>
      <w:sz w:val="20"/>
      <w:szCs w:val="20"/>
      <w:lang w:eastAsia="en-AU"/>
    </w:rPr>
  </w:style>
  <w:style w:type="paragraph" w:customStyle="1" w:styleId="ActTitle">
    <w:name w:val="Act Title"/>
    <w:basedOn w:val="Normal"/>
    <w:next w:val="IntroTo"/>
    <w:rsid w:val="00D452F9"/>
    <w:pPr>
      <w:pBdr>
        <w:bottom w:val="single" w:sz="4" w:space="3" w:color="auto"/>
      </w:pBdr>
      <w:spacing w:before="480" w:after="240"/>
    </w:pPr>
    <w:rPr>
      <w:rFonts w:ascii="Arial" w:hAnsi="Arial"/>
      <w:i/>
      <w:iCs/>
      <w:sz w:val="28"/>
    </w:rPr>
  </w:style>
  <w:style w:type="paragraph" w:customStyle="1" w:styleId="IntroTo">
    <w:name w:val="IntroTo:"/>
    <w:basedOn w:val="Normal"/>
    <w:rsid w:val="00D452F9"/>
    <w:pPr>
      <w:ind w:left="720" w:hanging="720"/>
    </w:pPr>
    <w:rPr>
      <w:lang w:eastAsia="en-US"/>
    </w:rPr>
  </w:style>
  <w:style w:type="paragraph" w:customStyle="1" w:styleId="IH">
    <w:name w:val="IH"/>
    <w:aliases w:val="Interpretation heading"/>
    <w:basedOn w:val="Normal"/>
    <w:next w:val="Normal"/>
    <w:rsid w:val="00D452F9"/>
    <w:pPr>
      <w:keepNext/>
      <w:spacing w:before="480"/>
      <w:ind w:left="964" w:hanging="964"/>
    </w:pPr>
    <w:rPr>
      <w:rFonts w:ascii="Arial" w:hAnsi="Arial"/>
      <w:b/>
      <w:szCs w:val="24"/>
      <w:lang w:eastAsia="en-US"/>
    </w:rPr>
  </w:style>
  <w:style w:type="paragraph" w:customStyle="1" w:styleId="IP">
    <w:name w:val="IP"/>
    <w:aliases w:val="Interpretation paragraph"/>
    <w:basedOn w:val="Normal"/>
    <w:next w:val="Normal"/>
    <w:rsid w:val="00D452F9"/>
    <w:pPr>
      <w:keepNext/>
      <w:tabs>
        <w:tab w:val="right" w:pos="794"/>
      </w:tabs>
      <w:spacing w:before="120" w:line="260" w:lineRule="exact"/>
      <w:ind w:left="964" w:hanging="964"/>
      <w:jc w:val="both"/>
    </w:pPr>
    <w:rPr>
      <w:szCs w:val="24"/>
      <w:lang w:eastAsia="en-US"/>
    </w:rPr>
  </w:style>
  <w:style w:type="paragraph" w:customStyle="1" w:styleId="AS">
    <w:name w:val="AS"/>
    <w:aliases w:val="Schedule title Amendment"/>
    <w:basedOn w:val="Normal"/>
    <w:next w:val="Normal"/>
    <w:rsid w:val="00D452F9"/>
    <w:pPr>
      <w:keepNext/>
      <w:autoSpaceDE w:val="0"/>
      <w:autoSpaceDN w:val="0"/>
      <w:spacing w:before="480"/>
      <w:ind w:left="2410" w:hanging="2410"/>
    </w:pPr>
    <w:rPr>
      <w:rFonts w:ascii="Arial" w:hAnsi="Arial" w:cs="Arial"/>
      <w:b/>
      <w:bCs/>
      <w:sz w:val="32"/>
      <w:szCs w:val="32"/>
    </w:rPr>
  </w:style>
  <w:style w:type="paragraph" w:customStyle="1" w:styleId="Default">
    <w:name w:val="Default"/>
    <w:rsid w:val="00D452F9"/>
    <w:pPr>
      <w:autoSpaceDE w:val="0"/>
      <w:autoSpaceDN w:val="0"/>
      <w:adjustRightInd w:val="0"/>
      <w:spacing w:after="0" w:line="240" w:lineRule="auto"/>
    </w:pPr>
    <w:rPr>
      <w:rFonts w:ascii="Times New Roman" w:hAnsi="Times New Roman"/>
      <w:color w:val="000000"/>
      <w:sz w:val="24"/>
      <w:szCs w:val="24"/>
      <w:lang w:eastAsia="en-AU"/>
    </w:rPr>
  </w:style>
  <w:style w:type="character" w:customStyle="1" w:styleId="CharSchNo">
    <w:name w:val="CharSchNo"/>
    <w:basedOn w:val="DefaultParagraphFont"/>
    <w:rsid w:val="00D452F9"/>
  </w:style>
  <w:style w:type="character" w:customStyle="1" w:styleId="ListParagraphChar">
    <w:name w:val="List Paragraph Char"/>
    <w:link w:val="ListParagraph"/>
    <w:uiPriority w:val="34"/>
    <w:rsid w:val="00F06477"/>
    <w:rPr>
      <w:rFonts w:ascii="Times New Roman" w:hAnsi="Times New Roman"/>
      <w:sz w:val="24"/>
      <w:szCs w:val="20"/>
      <w:lang w:eastAsia="en-AU"/>
    </w:rPr>
  </w:style>
  <w:style w:type="paragraph" w:customStyle="1" w:styleId="Definition">
    <w:name w:val="Definition"/>
    <w:aliases w:val="dd"/>
    <w:basedOn w:val="Normal"/>
    <w:rsid w:val="002D61DD"/>
    <w:pPr>
      <w:spacing w:before="180"/>
      <w:ind w:left="113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3989">
      <w:bodyDiv w:val="1"/>
      <w:marLeft w:val="0"/>
      <w:marRight w:val="0"/>
      <w:marTop w:val="0"/>
      <w:marBottom w:val="0"/>
      <w:divBdr>
        <w:top w:val="none" w:sz="0" w:space="0" w:color="auto"/>
        <w:left w:val="none" w:sz="0" w:space="0" w:color="auto"/>
        <w:bottom w:val="none" w:sz="0" w:space="0" w:color="auto"/>
        <w:right w:val="none" w:sz="0" w:space="0" w:color="auto"/>
      </w:divBdr>
    </w:div>
    <w:div w:id="10973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E5DC771C71BB4845AB93BC02659C2DB8" ma:contentTypeVersion="41" ma:contentTypeDescription="Create a new document." ma:contentTypeScope="" ma:versionID="064e89384cd1d4ca266e9aa652837c9d">
  <xsd:schema xmlns:xsd="http://www.w3.org/2001/XMLSchema" xmlns:xs="http://www.w3.org/2001/XMLSchema" xmlns:p="http://schemas.microsoft.com/office/2006/metadata/properties" xmlns:ns1="814d62cb-2db6-4c25-ab62-b9075facbc11" targetNamespace="http://schemas.microsoft.com/office/2006/metadata/properties" ma:root="true" ma:fieldsID="5c92866c16cc27dd85bdef4b81c4811d"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cabba438-e540-45b7-b5ef-c7b650713dff}" ma:internalName="TaxCatchAll" ma:showField="CatchAllData" ma:web="b7c132af-ef8f-43c8-b784-c343c8358833">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cabba438-e540-45b7-b5ef-c7b650713dff}" ma:internalName="TaxCatchAllLabel" ma:readOnly="true" ma:showField="CatchAllDataLabel" ma:web="b7c132af-ef8f-43c8-b784-c343c8358833">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default="" ma:fieldId="{3724204a-6447-41eb-9f77-7fcb03fe8840}" ma:taxonomyMulti="true" ma:sspId="8aef97a4-ded2-4e4a-9fbc-e666dae3ecd2" ma:termSetId="bc69aadb-e477-43ee-ac85-2690ed5e70c7"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Communication - external</TermName>
          <TermId xmlns="http://schemas.microsoft.com/office/infopath/2007/PartnerControls">baf9e592-0501-4265-ab47-7bc3da499426</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Prudential standard</TermName>
          <TermId xmlns="http://schemas.microsoft.com/office/infopath/2007/PartnerControls">6ce5a155-9ab2-41e3-9b2a-5baab4b7f1d1</TermId>
        </TermInfo>
      </Terms>
    </h67caa35a4114acd8e15fe89b3f29f9e>
    <b37d8d7e823543f58f89056343a9035c xmlns="814d62cb-2db6-4c25-ab62-b9075facbc11">
      <Terms xmlns="http://schemas.microsoft.com/office/infopath/2007/PartnerControls">
        <TermInfo xmlns="http://schemas.microsoft.com/office/infopath/2007/PartnerControls">
          <TermName xmlns="http://schemas.microsoft.com/office/infopath/2007/PartnerControls">Private Health Insurance (Prudential Supervision) Act 2015</TermName>
          <TermId xmlns="http://schemas.microsoft.com/office/infopath/2007/PartnerControls">01905406-79f0-428d-bcfd-886429f0c7a1</TermId>
        </TermInfo>
      </Terms>
    </b37d8d7e823543f58f89056343a9035c>
    <d9a849fd1b8e46ada0321eb0681a10ee xmlns="814d62cb-2db6-4c25-ab62-b9075facbc11">
      <Terms xmlns="http://schemas.microsoft.com/office/infopath/2007/PartnerControls"/>
    </d9a849fd1b8e46ada0321eb0681a10ee>
    <APRAOwner xmlns="814d62cb-2db6-4c25-ab62-b9075facbc11">
      <UserInfo>
        <DisplayName>Bowden, Fiona</DisplayName>
        <AccountId>52</AccountId>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governance, fit and proper, appointed auditor</APRAKeywords>
    <APRAApprovedBy xmlns="814d62cb-2db6-4c25-ab62-b9075facbc11">
      <UserInfo>
        <DisplayName/>
        <AccountId xsi:nil="true"/>
        <AccountType/>
      </UserInfo>
    </APRAApprovedBy>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TaxCatchAll xmlns="814d62cb-2db6-4c25-ab62-b9075facbc11">
      <Value>15</Value>
      <Value>26</Value>
      <Value>23</Value>
      <Value>1</Value>
      <Value>14</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TermInfo xmlns="http://schemas.microsoft.com/office/infopath/2007/PartnerControls">
          <TermName xmlns="http://schemas.microsoft.com/office/infopath/2007/PartnerControls">PHI</TermName>
          <TermId xmlns="http://schemas.microsoft.com/office/infopath/2007/PartnerControls">10657f9d-7e9a-e511-8d41-005056b54f10</TermId>
        </TermInfo>
      </Terms>
    </l003ee8eff60461aa1bd0027aba92ea4>
    <APRADescription xmlns="814d62cb-2db6-4c25-ab62-b9075facbc11">Includes Governance, Fit and Proper and Audit terminology for PHIs</APRADescription>
    <APRAActivityID xmlns="814d62cb-2db6-4c25-ab62-b9075facbc11" xsi:nil="true"/>
    <p10c80fc2da942ae8f2ea9b33b6ea0ba xmlns="814d62cb-2db6-4c25-ab62-b9075facbc11">
      <Terms xmlns="http://schemas.microsoft.com/office/infopath/2007/PartnerControls"/>
    </p10c80fc2da942ae8f2ea9b33b6ea0ba>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WP5AJ56JFQTV-44125397-894</_dlc_DocId>
    <_dlc_DocIdUrl xmlns="814d62cb-2db6-4c25-ab62-b9075facbc11">
      <Url>https://im/teams/POLICYINS/_layouts/15/DocIdRedir.aspx?ID=WP5AJ56JFQTV-44125397-894</Url>
      <Description>WP5AJ56JFQTV-44125397-894</Description>
    </_dlc_DocIdUrl>
    <APRAMeetingDate xmlns="814d62cb-2db6-4c25-ab62-b9075facbc11" xsi:nil="true"/>
    <APRAMeetingNumber xmlns="814d62cb-2db6-4c25-ab62-b9075facbc1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14BB-32BC-4B9C-89F7-379D592D1DCE}">
  <ds:schemaRefs>
    <ds:schemaRef ds:uri="Microsoft.SharePoint.Taxonomy.ContentTypeSync"/>
  </ds:schemaRefs>
</ds:datastoreItem>
</file>

<file path=customXml/itemProps2.xml><?xml version="1.0" encoding="utf-8"?>
<ds:datastoreItem xmlns:ds="http://schemas.openxmlformats.org/officeDocument/2006/customXml" ds:itemID="{08FFF2B8-6B36-4E24-8541-AB7310F9D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D65E4-C341-4218-93F1-A803338500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d62cb-2db6-4c25-ab62-b9075facbc11"/>
    <ds:schemaRef ds:uri="http://www.w3.org/XML/1998/namespace"/>
    <ds:schemaRef ds:uri="http://purl.org/dc/dcmitype/"/>
  </ds:schemaRefs>
</ds:datastoreItem>
</file>

<file path=customXml/itemProps4.xml><?xml version="1.0" encoding="utf-8"?>
<ds:datastoreItem xmlns:ds="http://schemas.openxmlformats.org/officeDocument/2006/customXml" ds:itemID="{A10E97BB-8477-44F6-94CF-B3A4A95F10C6}">
  <ds:schemaRefs>
    <ds:schemaRef ds:uri="http://schemas.microsoft.com/sharepoint/v3/contenttype/forms"/>
  </ds:schemaRefs>
</ds:datastoreItem>
</file>

<file path=customXml/itemProps5.xml><?xml version="1.0" encoding="utf-8"?>
<ds:datastoreItem xmlns:ds="http://schemas.openxmlformats.org/officeDocument/2006/customXml" ds:itemID="{08D004BE-0F74-4743-90AD-5A5BC1CB7B23}">
  <ds:schemaRefs>
    <ds:schemaRef ds:uri="http://schemas.microsoft.com/office/2006/customDocumentInformationPanel"/>
  </ds:schemaRefs>
</ds:datastoreItem>
</file>

<file path=customXml/itemProps6.xml><?xml version="1.0" encoding="utf-8"?>
<ds:datastoreItem xmlns:ds="http://schemas.openxmlformats.org/officeDocument/2006/customXml" ds:itemID="{A3C84825-A9E3-497E-8BFD-53040ABE3674}">
  <ds:schemaRefs>
    <ds:schemaRef ds:uri="http://schemas.microsoft.com/sharepoint/events"/>
  </ds:schemaRefs>
</ds:datastoreItem>
</file>

<file path=customXml/itemProps7.xml><?xml version="1.0" encoding="utf-8"?>
<ds:datastoreItem xmlns:ds="http://schemas.openxmlformats.org/officeDocument/2006/customXml" ds:itemID="{EB25B487-1F73-4FB9-8C48-28223923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2186</Words>
  <Characters>11330</Characters>
  <Application>Microsoft Office Word</Application>
  <DocSecurity>0</DocSecurity>
  <Lines>309</Lines>
  <Paragraphs>122</Paragraphs>
  <ScaleCrop>false</ScaleCrop>
  <HeadingPairs>
    <vt:vector size="2" baseType="variant">
      <vt:variant>
        <vt:lpstr>Title</vt:lpstr>
      </vt:variant>
      <vt:variant>
        <vt:i4>1</vt:i4>
      </vt:variant>
    </vt:vector>
  </HeadingPairs>
  <TitlesOfParts>
    <vt:vector size="1" baseType="lpstr">
      <vt:lpstr>HPS 001 Definitions 1 July 2019 commencement</vt:lpstr>
    </vt:vector>
  </TitlesOfParts>
  <Company>APRA</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HPS 001 Definitions 1 July 2019 commencement</dc:title>
  <dc:subject/>
  <dc:creator>Bowden, Fiona</dc:creator>
  <cp:keywords>[SEC=UNCLASSIFIED]</cp:keywords>
  <dc:description/>
  <cp:lastModifiedBy>Chen, Alice</cp:lastModifiedBy>
  <cp:revision>2</cp:revision>
  <cp:lastPrinted>2018-09-03T05:34:00Z</cp:lastPrinted>
  <dcterms:created xsi:type="dcterms:W3CDTF">2018-09-28T07:31:00Z</dcterms:created>
  <dcterms:modified xsi:type="dcterms:W3CDTF">2018-09-28T07:31:00Z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vt:lpwstr>
  </property>
  <property fmtid="{D5CDD505-2E9C-101B-9397-08002B2CF9AE}" pid="3" name="PM_Caveats_Count">
    <vt:lpwstr>0</vt:lpwstr>
  </property>
  <property fmtid="{D5CDD505-2E9C-101B-9397-08002B2CF9AE}" pid="4" name="PM_Originator_Hash_SHA1">
    <vt:lpwstr>A1D55FE21516A40B041E98377D2D0DCD58D5850A</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383AE70279182E9815A46F98A8555B2489CAFA8D</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UNCLASSIFIED</vt:lpwstr>
  </property>
  <property fmtid="{D5CDD505-2E9C-101B-9397-08002B2CF9AE}" pid="11" name="PM_ProtectiveMarkingValue_Header">
    <vt:lpwstr>UNCLASSIFIED</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2012.3</vt:lpwstr>
  </property>
  <property fmtid="{D5CDD505-2E9C-101B-9397-08002B2CF9AE}" pid="15" name="PM_Originating_FileId">
    <vt:lpwstr>D2B534F5390D4DF98335F5FFF5F2A3B2</vt:lpwstr>
  </property>
  <property fmtid="{D5CDD505-2E9C-101B-9397-08002B2CF9AE}" pid="16" name="PM_OriginationTimeStamp">
    <vt:lpwstr>2018-08-31T05:33:32Z</vt:lpwstr>
  </property>
  <property fmtid="{D5CDD505-2E9C-101B-9397-08002B2CF9AE}" pid="17" name="PM_Hash_Version">
    <vt:lpwstr>2016.1</vt:lpwstr>
  </property>
  <property fmtid="{D5CDD505-2E9C-101B-9397-08002B2CF9AE}" pid="18" name="PM_Hash_Salt_Prev">
    <vt:lpwstr>0D3AB735C0E606986780B4288155FB5E</vt:lpwstr>
  </property>
  <property fmtid="{D5CDD505-2E9C-101B-9397-08002B2CF9AE}" pid="19" name="PM_Hash_Salt">
    <vt:lpwstr>0D3AB735C0E606986780B4288155FB5E</vt:lpwstr>
  </property>
  <property fmtid="{D5CDD505-2E9C-101B-9397-08002B2CF9AE}" pid="20" name="ContentTypeId">
    <vt:lpwstr>0x0101008CA7A4F8331B45C7B0D3158B4994D0CA0200E5DC771C71BB4845AB93BC02659C2DB8</vt:lpwstr>
  </property>
  <property fmtid="{D5CDD505-2E9C-101B-9397-08002B2CF9AE}" pid="21" name="APRAExternalOrganisation">
    <vt:lpwstr/>
  </property>
  <property fmtid="{D5CDD505-2E9C-101B-9397-08002B2CF9AE}" pid="22" name="APRAIRTR">
    <vt:lpwstr/>
  </property>
  <property fmtid="{D5CDD505-2E9C-101B-9397-08002B2CF9AE}" pid="23" name="APRAPeriod">
    <vt:lpwstr/>
  </property>
  <property fmtid="{D5CDD505-2E9C-101B-9397-08002B2CF9AE}" pid="24" name="APRACostCentre">
    <vt:lpwstr/>
  </property>
  <property fmtid="{D5CDD505-2E9C-101B-9397-08002B2CF9AE}" pid="25" name="IT system type">
    <vt:lpwstr/>
  </property>
  <property fmtid="{D5CDD505-2E9C-101B-9397-08002B2CF9AE}" pid="26" name="APRACategory">
    <vt:lpwstr/>
  </property>
  <property fmtid="{D5CDD505-2E9C-101B-9397-08002B2CF9AE}" pid="27" name="APRAPRSG">
    <vt:lpwstr/>
  </property>
  <property fmtid="{D5CDD505-2E9C-101B-9397-08002B2CF9AE}" pid="28" name="APRAStatus">
    <vt:lpwstr>1;#Draft|0e1556d2-3fe8-443a-ada7-3620563b46b3</vt:lpwstr>
  </property>
  <property fmtid="{D5CDD505-2E9C-101B-9397-08002B2CF9AE}" pid="29" name="APRADocumentType">
    <vt:lpwstr>23;#Prudential standard|6ce5a155-9ab2-41e3-9b2a-5baab4b7f1d1</vt:lpwstr>
  </property>
  <property fmtid="{D5CDD505-2E9C-101B-9397-08002B2CF9AE}" pid="30" name="APRAActivity">
    <vt:lpwstr>26;#Communication - external|baf9e592-0501-4265-ab47-7bc3da499426</vt:lpwstr>
  </property>
  <property fmtid="{D5CDD505-2E9C-101B-9397-08002B2CF9AE}" pid="31" name="APRAEntityAdviceSupport">
    <vt:lpwstr/>
  </property>
  <property fmtid="{D5CDD505-2E9C-101B-9397-08002B2CF9AE}" pid="32" name="APRALegislation">
    <vt:lpwstr>15;#Private Health Insurance (Prudential Supervision) Act 2015|01905406-79f0-428d-bcfd-886429f0c7a1</vt:lpwstr>
  </property>
  <property fmtid="{D5CDD505-2E9C-101B-9397-08002B2CF9AE}" pid="33" name="APRAYear">
    <vt:lpwstr/>
  </property>
  <property fmtid="{D5CDD505-2E9C-101B-9397-08002B2CF9AE}" pid="34" name="APRAIndustry">
    <vt:lpwstr>14;#PHI|10657f9d-7e9a-e511-8d41-005056b54f10</vt:lpwstr>
  </property>
  <property fmtid="{D5CDD505-2E9C-101B-9397-08002B2CF9AE}" pid="35" name="_dlc_DocIdItemGuid">
    <vt:lpwstr>b9ba8e4d-9a3c-44e9-a380-87030b3c76e9</vt:lpwstr>
  </property>
  <property fmtid="{D5CDD505-2E9C-101B-9397-08002B2CF9AE}" pid="36" name="RecordPoint_WorkflowType">
    <vt:lpwstr>ActiveSubmitStub</vt:lpwstr>
  </property>
  <property fmtid="{D5CDD505-2E9C-101B-9397-08002B2CF9AE}" pid="37" name="RecordPoint_ActiveItemWebId">
    <vt:lpwstr>{b7c132af-ef8f-43c8-b784-c343c8358833}</vt:lpwstr>
  </property>
  <property fmtid="{D5CDD505-2E9C-101B-9397-08002B2CF9AE}" pid="38" name="RecordPoint_ActiveItemSiteId">
    <vt:lpwstr>{0108aca2-193a-480a-9365-26eca985c6f0}</vt:lpwstr>
  </property>
  <property fmtid="{D5CDD505-2E9C-101B-9397-08002B2CF9AE}" pid="39" name="RecordPoint_ActiveItemListId">
    <vt:lpwstr>{8524f2be-f3e8-4e4e-b114-b0bf6497a529}</vt:lpwstr>
  </property>
  <property fmtid="{D5CDD505-2E9C-101B-9397-08002B2CF9AE}" pid="40" name="RecordPoint_ActiveItemUniqueId">
    <vt:lpwstr>{b9ba8e4d-9a3c-44e9-a380-87030b3c76e9}</vt:lpwstr>
  </property>
  <property fmtid="{D5CDD505-2E9C-101B-9397-08002B2CF9AE}" pid="41" name="IsLocked">
    <vt:lpwstr>Yes</vt:lpwstr>
  </property>
  <property fmtid="{D5CDD505-2E9C-101B-9397-08002B2CF9AE}" pid="42" name="RecordPoint_RecordNumberSubmitted">
    <vt:lpwstr>R0000447976</vt:lpwstr>
  </property>
  <property fmtid="{D5CDD505-2E9C-101B-9397-08002B2CF9AE}" pid="43" name="RecordPoint_SubmissionCompleted">
    <vt:lpwstr>2018-09-25T14:15:58.4529629+10:00</vt:lpwstr>
  </property>
  <property fmtid="{D5CDD505-2E9C-101B-9397-08002B2CF9AE}" pid="44" name="RecordPoint_SubmissionDate">
    <vt:lpwstr/>
  </property>
  <property fmtid="{D5CDD505-2E9C-101B-9397-08002B2CF9AE}" pid="45" name="RecordPoint_ActiveItemMoved">
    <vt:lpwstr/>
  </property>
  <property fmtid="{D5CDD505-2E9C-101B-9397-08002B2CF9AE}" pid="46" name="RecordPoint_RecordFormat">
    <vt:lpwstr/>
  </property>
</Properties>
</file>