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5327F5" w:rsidRDefault="007231B2" w:rsidP="007231B2">
      <w:pPr>
        <w:jc w:val="center"/>
        <w:rPr>
          <w:rFonts w:ascii="Times New Roman" w:hAnsi="Times New Roman"/>
          <w:b/>
          <w:szCs w:val="24"/>
          <w:u w:val="single"/>
        </w:rPr>
      </w:pPr>
      <w:bookmarkStart w:id="0" w:name="_GoBack"/>
      <w:bookmarkEnd w:id="0"/>
      <w:r w:rsidRPr="005327F5">
        <w:rPr>
          <w:rFonts w:ascii="Times New Roman" w:hAnsi="Times New Roman"/>
          <w:b/>
          <w:szCs w:val="24"/>
          <w:u w:val="single"/>
        </w:rPr>
        <w:t>EXPLANATORY STATEMENT</w:t>
      </w:r>
    </w:p>
    <w:p w:rsidR="007231B2" w:rsidRPr="005327F5" w:rsidRDefault="007231B2" w:rsidP="007231B2">
      <w:pPr>
        <w:rPr>
          <w:rFonts w:ascii="Times New Roman" w:hAnsi="Times New Roman"/>
          <w:b/>
          <w:szCs w:val="24"/>
        </w:rPr>
      </w:pPr>
    </w:p>
    <w:p w:rsidR="007231B2" w:rsidRPr="005327F5" w:rsidRDefault="007231B2" w:rsidP="007231B2">
      <w:pPr>
        <w:jc w:val="center"/>
        <w:rPr>
          <w:rFonts w:ascii="Times New Roman" w:hAnsi="Times New Roman"/>
          <w:szCs w:val="24"/>
          <w:u w:val="single"/>
        </w:rPr>
      </w:pPr>
      <w:r w:rsidRPr="005327F5">
        <w:rPr>
          <w:rFonts w:ascii="Times New Roman" w:hAnsi="Times New Roman"/>
          <w:i/>
          <w:szCs w:val="24"/>
        </w:rPr>
        <w:t>Therapeutic Goods Act 1989</w:t>
      </w:r>
    </w:p>
    <w:p w:rsidR="007231B2" w:rsidRPr="005327F5" w:rsidRDefault="007231B2" w:rsidP="007231B2">
      <w:pPr>
        <w:rPr>
          <w:rFonts w:ascii="Times New Roman" w:hAnsi="Times New Roman"/>
          <w:szCs w:val="24"/>
          <w:u w:val="single"/>
        </w:rPr>
      </w:pPr>
    </w:p>
    <w:p w:rsidR="002757A6" w:rsidRPr="005327F5" w:rsidRDefault="00CD6487" w:rsidP="007231B2">
      <w:pPr>
        <w:jc w:val="center"/>
        <w:rPr>
          <w:rFonts w:ascii="Times New Roman" w:hAnsi="Times New Roman"/>
          <w:i/>
          <w:szCs w:val="24"/>
        </w:rPr>
      </w:pPr>
      <w:r w:rsidRPr="0098260D">
        <w:rPr>
          <w:rFonts w:ascii="Times New Roman" w:hAnsi="Times New Roman"/>
          <w:i/>
          <w:szCs w:val="24"/>
        </w:rPr>
        <w:t>Therapeutic Goods (</w:t>
      </w:r>
      <w:r w:rsidR="006D1F21" w:rsidRPr="0098260D">
        <w:rPr>
          <w:i/>
        </w:rPr>
        <w:t>Medical Devices—Information that Must Accompany Application for Inclusion</w:t>
      </w:r>
      <w:r w:rsidRPr="0098260D">
        <w:rPr>
          <w:rFonts w:ascii="Times New Roman" w:hAnsi="Times New Roman"/>
          <w:i/>
          <w:szCs w:val="24"/>
        </w:rPr>
        <w:t>) Determination 2018</w:t>
      </w:r>
    </w:p>
    <w:p w:rsidR="00CD6487" w:rsidRPr="005327F5" w:rsidRDefault="00CD6487" w:rsidP="007231B2">
      <w:pPr>
        <w:jc w:val="center"/>
        <w:rPr>
          <w:rFonts w:ascii="Times New Roman" w:hAnsi="Times New Roman"/>
          <w:b/>
          <w:szCs w:val="24"/>
        </w:rPr>
      </w:pPr>
    </w:p>
    <w:p w:rsidR="007231B2" w:rsidRPr="005327F5" w:rsidRDefault="007231B2" w:rsidP="007231B2">
      <w:pPr>
        <w:autoSpaceDE w:val="0"/>
        <w:autoSpaceDN w:val="0"/>
        <w:adjustRightInd w:val="0"/>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Act 1989</w:t>
      </w:r>
      <w:r w:rsidRPr="005327F5">
        <w:rPr>
          <w:rFonts w:ascii="Times New Roman" w:hAnsi="Times New Roman"/>
          <w:szCs w:val="24"/>
        </w:rPr>
        <w:t xml:space="preserve"> (</w:t>
      </w:r>
      <w:r w:rsidR="005C1891">
        <w:rPr>
          <w:rFonts w:ascii="Times New Roman" w:hAnsi="Times New Roman"/>
          <w:szCs w:val="24"/>
        </w:rPr>
        <w:t>“</w:t>
      </w:r>
      <w:r w:rsidRPr="005327F5">
        <w:rPr>
          <w:rFonts w:ascii="Times New Roman" w:hAnsi="Times New Roman"/>
          <w:szCs w:val="24"/>
        </w:rPr>
        <w:t>Act</w:t>
      </w:r>
      <w:r w:rsidR="005C1891">
        <w:rPr>
          <w:rFonts w:ascii="Times New Roman" w:hAnsi="Times New Roman"/>
          <w:szCs w:val="24"/>
        </w:rPr>
        <w:t>”</w:t>
      </w:r>
      <w:r w:rsidRPr="005327F5">
        <w:rPr>
          <w:rFonts w:ascii="Times New Roman" w:hAnsi="Times New Roman"/>
          <w:szCs w:val="24"/>
        </w:rPr>
        <w:t>) provides for the e</w:t>
      </w:r>
      <w:r w:rsidR="002757A6" w:rsidRPr="005327F5">
        <w:rPr>
          <w:rFonts w:ascii="Times New Roman" w:hAnsi="Times New Roman"/>
          <w:szCs w:val="24"/>
        </w:rPr>
        <w:t>stablishment and maintenance of</w:t>
      </w:r>
      <w:r w:rsidR="0046497F" w:rsidRPr="005327F5">
        <w:rPr>
          <w:rFonts w:ascii="Times New Roman" w:hAnsi="Times New Roman"/>
          <w:szCs w:val="24"/>
        </w:rPr>
        <w:t xml:space="preserve"> </w:t>
      </w:r>
      <w:r w:rsidRPr="005327F5">
        <w:rPr>
          <w:rFonts w:ascii="Times New Roman" w:hAnsi="Times New Roman"/>
          <w:szCs w:val="24"/>
        </w:rPr>
        <w:t xml:space="preserve">a national system of controls for the quality, safety, efficacy and timely availability of therapeutic goods that are </w:t>
      </w:r>
      <w:r w:rsidR="000257B7" w:rsidRPr="005327F5">
        <w:rPr>
          <w:rFonts w:ascii="Times New Roman" w:hAnsi="Times New Roman"/>
          <w:szCs w:val="24"/>
        </w:rPr>
        <w:t>used</w:t>
      </w:r>
      <w:r w:rsidR="00C74E09" w:rsidRPr="005327F5">
        <w:rPr>
          <w:rFonts w:ascii="Times New Roman" w:hAnsi="Times New Roman"/>
          <w:szCs w:val="24"/>
        </w:rPr>
        <w:t xml:space="preserve"> in</w:t>
      </w:r>
      <w:r w:rsidR="009B2729" w:rsidRPr="005327F5">
        <w:rPr>
          <w:rFonts w:ascii="Times New Roman" w:hAnsi="Times New Roman"/>
          <w:szCs w:val="24"/>
        </w:rPr>
        <w:t>,</w:t>
      </w:r>
      <w:r w:rsidRPr="005327F5">
        <w:rPr>
          <w:rFonts w:ascii="Times New Roman" w:hAnsi="Times New Roman"/>
          <w:szCs w:val="24"/>
        </w:rPr>
        <w:t xml:space="preserve"> or exported from</w:t>
      </w:r>
      <w:r w:rsidR="009B2729" w:rsidRPr="005327F5">
        <w:rPr>
          <w:rFonts w:ascii="Times New Roman" w:hAnsi="Times New Roman"/>
          <w:szCs w:val="24"/>
        </w:rPr>
        <w:t>,</w:t>
      </w:r>
      <w:r w:rsidRPr="005327F5">
        <w:rPr>
          <w:rFonts w:ascii="Times New Roman" w:hAnsi="Times New Roman"/>
          <w:szCs w:val="24"/>
        </w:rPr>
        <w:t xml:space="preserve"> Australia.</w:t>
      </w:r>
    </w:p>
    <w:p w:rsidR="007231B2" w:rsidRPr="005327F5" w:rsidRDefault="007231B2" w:rsidP="007231B2">
      <w:pPr>
        <w:autoSpaceDE w:val="0"/>
        <w:autoSpaceDN w:val="0"/>
        <w:adjustRightInd w:val="0"/>
        <w:rPr>
          <w:rFonts w:ascii="Times New Roman" w:hAnsi="Times New Roman"/>
          <w:szCs w:val="24"/>
        </w:rPr>
      </w:pPr>
    </w:p>
    <w:p w:rsidR="0032675B" w:rsidRPr="005327F5" w:rsidRDefault="00C45F4D" w:rsidP="00C45F4D">
      <w:pPr>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Amendment (2017 Measures No.1) Act 2018</w:t>
      </w:r>
      <w:r w:rsidRPr="005327F5">
        <w:rPr>
          <w:rFonts w:ascii="Times New Roman" w:hAnsi="Times New Roman"/>
          <w:szCs w:val="24"/>
        </w:rPr>
        <w:t xml:space="preserve"> (</w:t>
      </w:r>
      <w:r w:rsidR="005C1891">
        <w:rPr>
          <w:rFonts w:ascii="Times New Roman" w:hAnsi="Times New Roman"/>
          <w:szCs w:val="24"/>
        </w:rPr>
        <w:t>“</w:t>
      </w:r>
      <w:r w:rsidRPr="005327F5">
        <w:rPr>
          <w:rFonts w:ascii="Times New Roman" w:hAnsi="Times New Roman"/>
          <w:szCs w:val="24"/>
        </w:rPr>
        <w:t>Amendment Act</w:t>
      </w:r>
      <w:r w:rsidR="005C1891">
        <w:rPr>
          <w:rFonts w:ascii="Times New Roman" w:hAnsi="Times New Roman"/>
          <w:szCs w:val="24"/>
        </w:rPr>
        <w:t>”</w:t>
      </w:r>
      <w:r w:rsidRPr="005327F5">
        <w:rPr>
          <w:rFonts w:ascii="Times New Roman" w:hAnsi="Times New Roman"/>
          <w:szCs w:val="24"/>
        </w:rPr>
        <w:t xml:space="preserve">) </w:t>
      </w:r>
      <w:r w:rsidR="00E44DB1" w:rsidRPr="005327F5">
        <w:rPr>
          <w:rFonts w:ascii="Times New Roman" w:hAnsi="Times New Roman"/>
          <w:szCs w:val="24"/>
        </w:rPr>
        <w:t xml:space="preserve">amended the </w:t>
      </w:r>
      <w:r w:rsidR="00270664">
        <w:rPr>
          <w:rFonts w:ascii="Times New Roman" w:hAnsi="Times New Roman"/>
          <w:szCs w:val="24"/>
        </w:rPr>
        <w:t>Act</w:t>
      </w:r>
      <w:r w:rsidR="00964F22">
        <w:rPr>
          <w:rFonts w:ascii="Times New Roman" w:hAnsi="Times New Roman"/>
          <w:szCs w:val="24"/>
        </w:rPr>
        <w:t>,</w:t>
      </w:r>
      <w:r w:rsidR="00270664">
        <w:rPr>
          <w:rFonts w:ascii="Times New Roman" w:hAnsi="Times New Roman"/>
          <w:szCs w:val="24"/>
        </w:rPr>
        <w:t xml:space="preserve"> </w:t>
      </w:r>
      <w:r w:rsidR="0032675B">
        <w:rPr>
          <w:rFonts w:ascii="Times New Roman" w:hAnsi="Times New Roman"/>
          <w:szCs w:val="24"/>
        </w:rPr>
        <w:t>principally</w:t>
      </w:r>
      <w:r w:rsidR="00E44DB1" w:rsidRPr="005327F5">
        <w:rPr>
          <w:rFonts w:ascii="Times New Roman" w:hAnsi="Times New Roman"/>
          <w:szCs w:val="24"/>
        </w:rPr>
        <w:t xml:space="preserve"> to </w:t>
      </w:r>
      <w:r w:rsidRPr="005327F5">
        <w:rPr>
          <w:rFonts w:ascii="Times New Roman" w:hAnsi="Times New Roman"/>
          <w:szCs w:val="24"/>
        </w:rPr>
        <w:t xml:space="preserve">support the implementation of </w:t>
      </w:r>
      <w:r w:rsidR="007C64DB">
        <w:rPr>
          <w:rFonts w:ascii="Times New Roman" w:hAnsi="Times New Roman"/>
          <w:szCs w:val="24"/>
        </w:rPr>
        <w:t xml:space="preserve">various </w:t>
      </w:r>
      <w:r w:rsidRPr="005327F5">
        <w:rPr>
          <w:rFonts w:ascii="Times New Roman" w:hAnsi="Times New Roman"/>
          <w:szCs w:val="24"/>
        </w:rPr>
        <w:t>recommendations of</w:t>
      </w:r>
      <w:r w:rsidR="007C64DB">
        <w:rPr>
          <w:rFonts w:ascii="Times New Roman" w:hAnsi="Times New Roman"/>
          <w:szCs w:val="24"/>
        </w:rPr>
        <w:t> </w:t>
      </w:r>
      <w:r w:rsidRPr="005327F5">
        <w:rPr>
          <w:rFonts w:ascii="Times New Roman" w:hAnsi="Times New Roman"/>
          <w:szCs w:val="24"/>
        </w:rPr>
        <w:t>the Expert Panel Review of Medicines and Medical Device Regulation (</w:t>
      </w:r>
      <w:r w:rsidR="005C1891">
        <w:rPr>
          <w:rFonts w:ascii="Times New Roman" w:hAnsi="Times New Roman"/>
          <w:szCs w:val="24"/>
        </w:rPr>
        <w:t>“</w:t>
      </w:r>
      <w:r w:rsidRPr="005327F5">
        <w:rPr>
          <w:rFonts w:ascii="Times New Roman" w:hAnsi="Times New Roman"/>
          <w:szCs w:val="24"/>
        </w:rPr>
        <w:t>Review</w:t>
      </w:r>
      <w:r w:rsidR="005C1891">
        <w:rPr>
          <w:rFonts w:ascii="Times New Roman" w:hAnsi="Times New Roman"/>
          <w:szCs w:val="24"/>
        </w:rPr>
        <w:t>”</w:t>
      </w:r>
      <w:r w:rsidRPr="005327F5">
        <w:rPr>
          <w:rFonts w:ascii="Times New Roman" w:hAnsi="Times New Roman"/>
          <w:szCs w:val="24"/>
        </w:rPr>
        <w:t>)</w:t>
      </w:r>
      <w:r w:rsidR="00270664">
        <w:rPr>
          <w:rFonts w:ascii="Times New Roman" w:hAnsi="Times New Roman"/>
          <w:szCs w:val="24"/>
        </w:rPr>
        <w:t>. In</w:t>
      </w:r>
      <w:r w:rsidR="007C64DB">
        <w:rPr>
          <w:rFonts w:ascii="Times New Roman" w:hAnsi="Times New Roman"/>
          <w:szCs w:val="24"/>
        </w:rPr>
        <w:t> </w:t>
      </w:r>
      <w:r w:rsidR="00270664">
        <w:rPr>
          <w:rFonts w:ascii="Times New Roman" w:hAnsi="Times New Roman"/>
          <w:szCs w:val="24"/>
        </w:rPr>
        <w:t>addition, the Amendment Act made</w:t>
      </w:r>
      <w:r w:rsidR="00CB6DE2">
        <w:rPr>
          <w:rFonts w:ascii="Times New Roman" w:hAnsi="Times New Roman"/>
          <w:szCs w:val="24"/>
        </w:rPr>
        <w:t xml:space="preserve"> amendments to </w:t>
      </w:r>
      <w:r w:rsidR="00E44DB1" w:rsidRPr="005327F5">
        <w:rPr>
          <w:rFonts w:ascii="Times New Roman" w:hAnsi="Times New Roman"/>
          <w:szCs w:val="24"/>
        </w:rPr>
        <w:t>provide greater clarity</w:t>
      </w:r>
      <w:r w:rsidR="00964F22">
        <w:rPr>
          <w:rFonts w:ascii="Times New Roman" w:hAnsi="Times New Roman"/>
          <w:szCs w:val="24"/>
        </w:rPr>
        <w:t xml:space="preserve"> and more accurately reflect administrative practices for considering applications </w:t>
      </w:r>
      <w:r w:rsidR="00E44DB1" w:rsidRPr="005327F5">
        <w:rPr>
          <w:rFonts w:ascii="Times New Roman" w:hAnsi="Times New Roman"/>
          <w:szCs w:val="24"/>
        </w:rPr>
        <w:t>for the inclusion of</w:t>
      </w:r>
      <w:r w:rsidR="007C64DB">
        <w:rPr>
          <w:rFonts w:ascii="Times New Roman" w:hAnsi="Times New Roman"/>
          <w:szCs w:val="24"/>
        </w:rPr>
        <w:t> </w:t>
      </w:r>
      <w:r w:rsidR="00E44DB1" w:rsidRPr="005327F5">
        <w:rPr>
          <w:rFonts w:ascii="Times New Roman" w:hAnsi="Times New Roman"/>
          <w:szCs w:val="24"/>
        </w:rPr>
        <w:t>therapeutic goods in the Australian Register of</w:t>
      </w:r>
      <w:r w:rsidR="007C64DB">
        <w:rPr>
          <w:rFonts w:ascii="Times New Roman" w:hAnsi="Times New Roman"/>
          <w:szCs w:val="24"/>
        </w:rPr>
        <w:t xml:space="preserve"> </w:t>
      </w:r>
      <w:r w:rsidR="00E44DB1" w:rsidRPr="005327F5">
        <w:rPr>
          <w:rFonts w:ascii="Times New Roman" w:hAnsi="Times New Roman"/>
          <w:szCs w:val="24"/>
        </w:rPr>
        <w:t>Therapeutic Goods (</w:t>
      </w:r>
      <w:r w:rsidR="005C1891">
        <w:rPr>
          <w:rFonts w:ascii="Times New Roman" w:hAnsi="Times New Roman"/>
          <w:szCs w:val="24"/>
        </w:rPr>
        <w:t>“</w:t>
      </w:r>
      <w:r w:rsidR="00E44DB1" w:rsidRPr="005327F5">
        <w:rPr>
          <w:rFonts w:ascii="Times New Roman" w:hAnsi="Times New Roman"/>
          <w:szCs w:val="24"/>
        </w:rPr>
        <w:t>Register</w:t>
      </w:r>
      <w:r w:rsidR="005C1891">
        <w:rPr>
          <w:rFonts w:ascii="Times New Roman" w:hAnsi="Times New Roman"/>
          <w:szCs w:val="24"/>
        </w:rPr>
        <w:t>”</w:t>
      </w:r>
      <w:r w:rsidR="00E44DB1" w:rsidRPr="005327F5">
        <w:rPr>
          <w:rFonts w:ascii="Times New Roman" w:hAnsi="Times New Roman"/>
          <w:szCs w:val="24"/>
        </w:rPr>
        <w:t>).</w:t>
      </w:r>
      <w:r w:rsidR="0032675B">
        <w:rPr>
          <w:rFonts w:ascii="Times New Roman" w:hAnsi="Times New Roman"/>
          <w:szCs w:val="24"/>
        </w:rPr>
        <w:t xml:space="preserve"> These amendments reflect, for example, the administrative practice of considering whether an application has met certain ‘preliminary’ requirements before the application is processed further.</w:t>
      </w:r>
      <w:r w:rsidR="00C86442" w:rsidRPr="00C86442">
        <w:rPr>
          <w:rFonts w:ascii="Times New Roman" w:hAnsi="Times New Roman"/>
          <w:szCs w:val="24"/>
        </w:rPr>
        <w:t xml:space="preserve"> </w:t>
      </w:r>
    </w:p>
    <w:p w:rsidR="00C45F4D" w:rsidRPr="005327F5" w:rsidRDefault="00C45F4D" w:rsidP="00E90759">
      <w:pPr>
        <w:autoSpaceDE w:val="0"/>
        <w:autoSpaceDN w:val="0"/>
        <w:adjustRightInd w:val="0"/>
        <w:rPr>
          <w:rFonts w:ascii="Times New Roman" w:hAnsi="Times New Roman"/>
          <w:szCs w:val="24"/>
        </w:rPr>
      </w:pPr>
    </w:p>
    <w:p w:rsidR="00E44DB1" w:rsidRPr="005327F5" w:rsidRDefault="00E44DB1" w:rsidP="00E44DB1">
      <w:pPr>
        <w:rPr>
          <w:rFonts w:ascii="Times New Roman" w:hAnsi="Times New Roman"/>
          <w:szCs w:val="24"/>
        </w:rPr>
      </w:pPr>
      <w:r w:rsidRPr="005327F5">
        <w:rPr>
          <w:rFonts w:ascii="Times New Roman" w:hAnsi="Times New Roman"/>
          <w:szCs w:val="24"/>
        </w:rPr>
        <w:t xml:space="preserve">These preliminary requirements include that an application has been made in accordance with the </w:t>
      </w:r>
      <w:r w:rsidR="00184B26">
        <w:rPr>
          <w:rFonts w:ascii="Times New Roman" w:hAnsi="Times New Roman"/>
          <w:szCs w:val="24"/>
        </w:rPr>
        <w:t xml:space="preserve">relevant </w:t>
      </w:r>
      <w:r w:rsidRPr="005327F5">
        <w:rPr>
          <w:rFonts w:ascii="Times New Roman" w:hAnsi="Times New Roman"/>
          <w:szCs w:val="24"/>
        </w:rPr>
        <w:t xml:space="preserve">form </w:t>
      </w:r>
      <w:r w:rsidR="00184B26">
        <w:rPr>
          <w:rFonts w:ascii="Times New Roman" w:hAnsi="Times New Roman"/>
          <w:szCs w:val="24"/>
        </w:rPr>
        <w:t xml:space="preserve">that has been approved in writing by the Secretary (or such other approved manner), </w:t>
      </w:r>
      <w:r w:rsidRPr="005327F5">
        <w:rPr>
          <w:rFonts w:ascii="Times New Roman" w:hAnsi="Times New Roman"/>
          <w:szCs w:val="24"/>
        </w:rPr>
        <w:t xml:space="preserve">for </w:t>
      </w:r>
      <w:r w:rsidR="005C1891">
        <w:rPr>
          <w:rFonts w:ascii="Times New Roman" w:hAnsi="Times New Roman"/>
          <w:szCs w:val="24"/>
        </w:rPr>
        <w:t xml:space="preserve">a particular class </w:t>
      </w:r>
      <w:r w:rsidRPr="005327F5">
        <w:rPr>
          <w:rFonts w:ascii="Times New Roman" w:hAnsi="Times New Roman"/>
          <w:szCs w:val="24"/>
        </w:rPr>
        <w:t xml:space="preserve">of </w:t>
      </w:r>
      <w:r w:rsidR="00184B26">
        <w:rPr>
          <w:rFonts w:ascii="Times New Roman" w:hAnsi="Times New Roman"/>
          <w:szCs w:val="24"/>
        </w:rPr>
        <w:t xml:space="preserve">therapeutic </w:t>
      </w:r>
      <w:r w:rsidRPr="005327F5">
        <w:rPr>
          <w:rFonts w:ascii="Times New Roman" w:hAnsi="Times New Roman"/>
          <w:szCs w:val="24"/>
        </w:rPr>
        <w:t xml:space="preserve">goods, and </w:t>
      </w:r>
      <w:r w:rsidR="00064E93">
        <w:rPr>
          <w:rFonts w:ascii="Times New Roman" w:hAnsi="Times New Roman"/>
          <w:szCs w:val="24"/>
        </w:rPr>
        <w:t>is accompanied by</w:t>
      </w:r>
      <w:r w:rsidRPr="005327F5">
        <w:rPr>
          <w:rFonts w:ascii="Times New Roman" w:hAnsi="Times New Roman"/>
          <w:szCs w:val="24"/>
        </w:rPr>
        <w:t xml:space="preserve"> the </w:t>
      </w:r>
      <w:r w:rsidR="005C1891">
        <w:rPr>
          <w:rFonts w:ascii="Times New Roman" w:hAnsi="Times New Roman"/>
          <w:szCs w:val="24"/>
        </w:rPr>
        <w:t xml:space="preserve">kind of </w:t>
      </w:r>
      <w:r w:rsidRPr="005327F5">
        <w:rPr>
          <w:rFonts w:ascii="Times New Roman" w:hAnsi="Times New Roman"/>
          <w:szCs w:val="24"/>
        </w:rPr>
        <w:t>information needed to evaluate the application</w:t>
      </w:r>
      <w:r w:rsidR="00FB08B7">
        <w:rPr>
          <w:rFonts w:ascii="Times New Roman" w:hAnsi="Times New Roman"/>
          <w:szCs w:val="24"/>
        </w:rPr>
        <w:t xml:space="preserve">. </w:t>
      </w:r>
      <w:r w:rsidR="00977A26">
        <w:rPr>
          <w:rFonts w:ascii="Times New Roman" w:hAnsi="Times New Roman"/>
          <w:szCs w:val="24"/>
        </w:rPr>
        <w:t>Where an application does not meet these requirements, t</w:t>
      </w:r>
      <w:r w:rsidR="00C86442">
        <w:rPr>
          <w:rFonts w:ascii="Times New Roman" w:hAnsi="Times New Roman"/>
          <w:szCs w:val="24"/>
        </w:rPr>
        <w:t xml:space="preserve">he </w:t>
      </w:r>
      <w:r w:rsidR="00C86442" w:rsidRPr="005327F5">
        <w:rPr>
          <w:rFonts w:ascii="Times New Roman" w:hAnsi="Times New Roman"/>
          <w:szCs w:val="24"/>
        </w:rPr>
        <w:t xml:space="preserve">Secretary has the power to refuse </w:t>
      </w:r>
      <w:r w:rsidR="00977A26">
        <w:rPr>
          <w:rFonts w:ascii="Times New Roman" w:hAnsi="Times New Roman"/>
          <w:szCs w:val="24"/>
        </w:rPr>
        <w:t>the</w:t>
      </w:r>
      <w:r w:rsidR="00C86442" w:rsidRPr="005327F5">
        <w:rPr>
          <w:rFonts w:ascii="Times New Roman" w:hAnsi="Times New Roman"/>
          <w:szCs w:val="24"/>
        </w:rPr>
        <w:t xml:space="preserve"> application prior to </w:t>
      </w:r>
      <w:r w:rsidR="00977A26">
        <w:rPr>
          <w:rFonts w:ascii="Times New Roman" w:hAnsi="Times New Roman"/>
          <w:szCs w:val="24"/>
        </w:rPr>
        <w:t xml:space="preserve">its </w:t>
      </w:r>
      <w:r w:rsidR="00C86442" w:rsidRPr="005327F5">
        <w:rPr>
          <w:rFonts w:ascii="Times New Roman" w:hAnsi="Times New Roman"/>
          <w:szCs w:val="24"/>
        </w:rPr>
        <w:t>evaluati</w:t>
      </w:r>
      <w:r w:rsidR="00977A26">
        <w:rPr>
          <w:rFonts w:ascii="Times New Roman" w:hAnsi="Times New Roman"/>
          <w:szCs w:val="24"/>
        </w:rPr>
        <w:t>on</w:t>
      </w:r>
      <w:r w:rsidR="00C86442" w:rsidRPr="005327F5">
        <w:rPr>
          <w:rFonts w:ascii="Times New Roman" w:hAnsi="Times New Roman"/>
          <w:szCs w:val="24"/>
        </w:rPr>
        <w:t>.</w:t>
      </w:r>
      <w:r w:rsidR="00C86442">
        <w:rPr>
          <w:rFonts w:ascii="Times New Roman" w:hAnsi="Times New Roman"/>
          <w:szCs w:val="24"/>
        </w:rPr>
        <w:t xml:space="preserve"> </w:t>
      </w:r>
      <w:r w:rsidR="00FB08B7">
        <w:rPr>
          <w:rFonts w:ascii="Times New Roman" w:hAnsi="Times New Roman"/>
          <w:szCs w:val="24"/>
        </w:rPr>
        <w:t>The preliminary assessment process</w:t>
      </w:r>
      <w:r w:rsidRPr="005327F5">
        <w:rPr>
          <w:rFonts w:ascii="Times New Roman" w:hAnsi="Times New Roman"/>
          <w:szCs w:val="24"/>
        </w:rPr>
        <w:t xml:space="preserve"> enable</w:t>
      </w:r>
      <w:r w:rsidR="00FB08B7">
        <w:rPr>
          <w:rFonts w:ascii="Times New Roman" w:hAnsi="Times New Roman"/>
          <w:szCs w:val="24"/>
        </w:rPr>
        <w:t>s</w:t>
      </w:r>
      <w:r w:rsidRPr="005327F5">
        <w:rPr>
          <w:rFonts w:ascii="Times New Roman" w:hAnsi="Times New Roman"/>
          <w:szCs w:val="24"/>
        </w:rPr>
        <w:t xml:space="preserve"> the effective management of resources by the Department in the review of </w:t>
      </w:r>
      <w:r w:rsidR="005C1891">
        <w:rPr>
          <w:rFonts w:ascii="Times New Roman" w:hAnsi="Times New Roman"/>
          <w:szCs w:val="24"/>
        </w:rPr>
        <w:t>therapeutic goods</w:t>
      </w:r>
      <w:r w:rsidRPr="005327F5">
        <w:rPr>
          <w:rFonts w:ascii="Times New Roman" w:hAnsi="Times New Roman"/>
          <w:szCs w:val="24"/>
        </w:rPr>
        <w:t>, and create</w:t>
      </w:r>
      <w:r w:rsidR="00FB08B7">
        <w:rPr>
          <w:rFonts w:ascii="Times New Roman" w:hAnsi="Times New Roman"/>
          <w:szCs w:val="24"/>
        </w:rPr>
        <w:t>s</w:t>
      </w:r>
      <w:r w:rsidRPr="005327F5">
        <w:rPr>
          <w:rFonts w:ascii="Times New Roman" w:hAnsi="Times New Roman"/>
          <w:szCs w:val="24"/>
        </w:rPr>
        <w:t xml:space="preserve"> certainty for sponsors as to the</w:t>
      </w:r>
      <w:r w:rsidR="005C1891">
        <w:rPr>
          <w:rFonts w:ascii="Times New Roman" w:hAnsi="Times New Roman"/>
          <w:szCs w:val="24"/>
        </w:rPr>
        <w:t xml:space="preserve"> requirements</w:t>
      </w:r>
      <w:r w:rsidRPr="005327F5">
        <w:rPr>
          <w:rFonts w:ascii="Times New Roman" w:hAnsi="Times New Roman"/>
          <w:szCs w:val="24"/>
        </w:rPr>
        <w:t xml:space="preserve">.   </w:t>
      </w:r>
    </w:p>
    <w:p w:rsidR="00E44DB1" w:rsidRPr="005327F5" w:rsidRDefault="00E44DB1" w:rsidP="00E90759">
      <w:pPr>
        <w:autoSpaceDE w:val="0"/>
        <w:autoSpaceDN w:val="0"/>
        <w:adjustRightInd w:val="0"/>
        <w:rPr>
          <w:rFonts w:ascii="Times New Roman" w:hAnsi="Times New Roman"/>
          <w:szCs w:val="24"/>
        </w:rPr>
      </w:pPr>
    </w:p>
    <w:p w:rsidR="005D2FC2" w:rsidRPr="005327F5" w:rsidRDefault="00FE7C01" w:rsidP="005D2FC2">
      <w:pPr>
        <w:rPr>
          <w:rFonts w:ascii="Times New Roman" w:hAnsi="Times New Roman"/>
          <w:szCs w:val="24"/>
        </w:rPr>
      </w:pPr>
      <w:r>
        <w:rPr>
          <w:rFonts w:ascii="Times New Roman" w:hAnsi="Times New Roman"/>
          <w:szCs w:val="24"/>
        </w:rPr>
        <w:t>T</w:t>
      </w:r>
      <w:r w:rsidR="00E44DB1" w:rsidRPr="005327F5">
        <w:rPr>
          <w:rFonts w:ascii="Times New Roman" w:hAnsi="Times New Roman"/>
          <w:szCs w:val="24"/>
        </w:rPr>
        <w:t xml:space="preserve">he </w:t>
      </w:r>
      <w:r w:rsidR="00C45F4D" w:rsidRPr="005327F5">
        <w:rPr>
          <w:rFonts w:ascii="Times New Roman" w:hAnsi="Times New Roman"/>
          <w:szCs w:val="24"/>
        </w:rPr>
        <w:t xml:space="preserve">Amendment Act </w:t>
      </w:r>
      <w:r w:rsidR="00977A26">
        <w:rPr>
          <w:rFonts w:ascii="Times New Roman" w:hAnsi="Times New Roman"/>
          <w:szCs w:val="24"/>
        </w:rPr>
        <w:t>inserted a</w:t>
      </w:r>
      <w:r w:rsidR="006B76D0" w:rsidRPr="005327F5">
        <w:rPr>
          <w:rFonts w:ascii="Times New Roman" w:hAnsi="Times New Roman"/>
          <w:szCs w:val="24"/>
        </w:rPr>
        <w:t xml:space="preserve"> </w:t>
      </w:r>
      <w:r w:rsidR="005D2FC2" w:rsidRPr="005327F5">
        <w:rPr>
          <w:rFonts w:ascii="Times New Roman" w:hAnsi="Times New Roman"/>
          <w:szCs w:val="24"/>
        </w:rPr>
        <w:t xml:space="preserve">new </w:t>
      </w:r>
      <w:r w:rsidR="00C45F4D" w:rsidRPr="005327F5">
        <w:rPr>
          <w:rFonts w:ascii="Times New Roman" w:hAnsi="Times New Roman"/>
          <w:szCs w:val="24"/>
        </w:rPr>
        <w:t>section</w:t>
      </w:r>
      <w:r w:rsidR="00DE2998">
        <w:rPr>
          <w:rFonts w:ascii="Times New Roman" w:hAnsi="Times New Roman"/>
          <w:szCs w:val="24"/>
        </w:rPr>
        <w:t> </w:t>
      </w:r>
      <w:r w:rsidR="00F41D1A">
        <w:rPr>
          <w:rFonts w:ascii="Times New Roman" w:hAnsi="Times New Roman"/>
          <w:szCs w:val="24"/>
        </w:rPr>
        <w:t>41FDB</w:t>
      </w:r>
      <w:r w:rsidR="00767590">
        <w:rPr>
          <w:rFonts w:ascii="Times New Roman" w:hAnsi="Times New Roman"/>
          <w:szCs w:val="24"/>
        </w:rPr>
        <w:t xml:space="preserve"> </w:t>
      </w:r>
      <w:r w:rsidR="006B76D0">
        <w:rPr>
          <w:rFonts w:ascii="Times New Roman" w:hAnsi="Times New Roman"/>
          <w:szCs w:val="24"/>
        </w:rPr>
        <w:t>in</w:t>
      </w:r>
      <w:r w:rsidR="00C45F4D" w:rsidRPr="005327F5">
        <w:rPr>
          <w:rFonts w:ascii="Times New Roman" w:hAnsi="Times New Roman"/>
          <w:szCs w:val="24"/>
        </w:rPr>
        <w:t>to the Act</w:t>
      </w:r>
      <w:r w:rsidR="006B76D0">
        <w:rPr>
          <w:rFonts w:ascii="Times New Roman" w:hAnsi="Times New Roman"/>
          <w:szCs w:val="24"/>
        </w:rPr>
        <w:t>, which</w:t>
      </w:r>
      <w:r w:rsidR="00767590">
        <w:rPr>
          <w:rFonts w:ascii="Times New Roman" w:hAnsi="Times New Roman"/>
          <w:szCs w:val="24"/>
        </w:rPr>
        <w:t xml:space="preserve"> </w:t>
      </w:r>
      <w:r w:rsidR="005D2FC2" w:rsidRPr="005327F5">
        <w:rPr>
          <w:rFonts w:ascii="Times New Roman" w:hAnsi="Times New Roman"/>
          <w:szCs w:val="24"/>
        </w:rPr>
        <w:t>sets</w:t>
      </w:r>
      <w:r w:rsidR="00C45F4D" w:rsidRPr="005327F5">
        <w:rPr>
          <w:rFonts w:ascii="Times New Roman" w:hAnsi="Times New Roman"/>
          <w:szCs w:val="24"/>
        </w:rPr>
        <w:t xml:space="preserve"> out </w:t>
      </w:r>
      <w:r w:rsidR="00E44DB1" w:rsidRPr="005327F5">
        <w:rPr>
          <w:rFonts w:ascii="Times New Roman" w:hAnsi="Times New Roman"/>
          <w:szCs w:val="24"/>
        </w:rPr>
        <w:t xml:space="preserve">the </w:t>
      </w:r>
      <w:r w:rsidR="00C45F4D" w:rsidRPr="005327F5">
        <w:rPr>
          <w:rFonts w:ascii="Times New Roman" w:hAnsi="Times New Roman"/>
          <w:szCs w:val="24"/>
        </w:rPr>
        <w:t xml:space="preserve">preliminary assessment requirements </w:t>
      </w:r>
      <w:r>
        <w:rPr>
          <w:rFonts w:ascii="Times New Roman" w:hAnsi="Times New Roman"/>
          <w:szCs w:val="24"/>
        </w:rPr>
        <w:t>in relation to</w:t>
      </w:r>
      <w:r w:rsidR="00947515">
        <w:rPr>
          <w:rFonts w:ascii="Times New Roman" w:hAnsi="Times New Roman"/>
          <w:szCs w:val="24"/>
        </w:rPr>
        <w:t xml:space="preserve"> an</w:t>
      </w:r>
      <w:r w:rsidR="00C45F4D" w:rsidRPr="005327F5">
        <w:rPr>
          <w:rFonts w:ascii="Times New Roman" w:hAnsi="Times New Roman"/>
          <w:szCs w:val="24"/>
        </w:rPr>
        <w:t xml:space="preserve"> application</w:t>
      </w:r>
      <w:r w:rsidR="00947515">
        <w:rPr>
          <w:rFonts w:ascii="Times New Roman" w:hAnsi="Times New Roman"/>
          <w:szCs w:val="24"/>
        </w:rPr>
        <w:t xml:space="preserve"> to the Secretary</w:t>
      </w:r>
      <w:r w:rsidR="00C45F4D" w:rsidRPr="005327F5">
        <w:rPr>
          <w:rFonts w:ascii="Times New Roman" w:hAnsi="Times New Roman"/>
          <w:szCs w:val="24"/>
        </w:rPr>
        <w:t xml:space="preserve"> for </w:t>
      </w:r>
      <w:r w:rsidR="00947515">
        <w:rPr>
          <w:rFonts w:ascii="Times New Roman" w:hAnsi="Times New Roman"/>
          <w:szCs w:val="24"/>
        </w:rPr>
        <w:t>a</w:t>
      </w:r>
      <w:r w:rsidR="00C45F4D" w:rsidRPr="005327F5">
        <w:rPr>
          <w:rFonts w:ascii="Times New Roman" w:hAnsi="Times New Roman"/>
          <w:szCs w:val="24"/>
        </w:rPr>
        <w:t xml:space="preserve"> </w:t>
      </w:r>
      <w:r w:rsidR="006D1F21">
        <w:rPr>
          <w:rFonts w:ascii="Times New Roman" w:hAnsi="Times New Roman"/>
          <w:szCs w:val="24"/>
        </w:rPr>
        <w:t>kind of medical device</w:t>
      </w:r>
      <w:r w:rsidR="00947515">
        <w:rPr>
          <w:rFonts w:ascii="Times New Roman" w:hAnsi="Times New Roman"/>
          <w:szCs w:val="24"/>
        </w:rPr>
        <w:t xml:space="preserve"> to be included</w:t>
      </w:r>
      <w:r w:rsidR="00767590">
        <w:rPr>
          <w:rFonts w:ascii="Times New Roman" w:hAnsi="Times New Roman"/>
          <w:szCs w:val="24"/>
        </w:rPr>
        <w:t xml:space="preserve"> in the Register</w:t>
      </w:r>
      <w:r w:rsidR="00C45F4D" w:rsidRPr="005327F5">
        <w:rPr>
          <w:rFonts w:ascii="Times New Roman" w:hAnsi="Times New Roman"/>
          <w:szCs w:val="24"/>
        </w:rPr>
        <w:t>. The</w:t>
      </w:r>
      <w:r w:rsidR="00E44DB1" w:rsidRPr="005327F5">
        <w:rPr>
          <w:rFonts w:ascii="Times New Roman" w:hAnsi="Times New Roman"/>
          <w:szCs w:val="24"/>
        </w:rPr>
        <w:t>se</w:t>
      </w:r>
      <w:r w:rsidR="00C45F4D" w:rsidRPr="005327F5">
        <w:rPr>
          <w:rFonts w:ascii="Times New Roman" w:hAnsi="Times New Roman"/>
          <w:szCs w:val="24"/>
        </w:rPr>
        <w:t xml:space="preserve"> include requirement</w:t>
      </w:r>
      <w:r w:rsidR="00977A26">
        <w:rPr>
          <w:rFonts w:ascii="Times New Roman" w:hAnsi="Times New Roman"/>
          <w:szCs w:val="24"/>
        </w:rPr>
        <w:t>s</w:t>
      </w:r>
      <w:r w:rsidR="00C45F4D" w:rsidRPr="005327F5">
        <w:rPr>
          <w:rFonts w:ascii="Times New Roman" w:hAnsi="Times New Roman"/>
          <w:szCs w:val="24"/>
        </w:rPr>
        <w:t xml:space="preserve"> that the application be accompanied by information that is of a kind determined under </w:t>
      </w:r>
      <w:r w:rsidR="005D2FC2" w:rsidRPr="005327F5">
        <w:rPr>
          <w:rFonts w:ascii="Times New Roman" w:hAnsi="Times New Roman"/>
          <w:szCs w:val="24"/>
        </w:rPr>
        <w:t xml:space="preserve">subsection </w:t>
      </w:r>
      <w:r w:rsidR="00F41D1A">
        <w:rPr>
          <w:rFonts w:ascii="Times New Roman" w:hAnsi="Times New Roman"/>
          <w:szCs w:val="24"/>
        </w:rPr>
        <w:t>41FDB(7)</w:t>
      </w:r>
      <w:r w:rsidR="00246ECE">
        <w:rPr>
          <w:rFonts w:ascii="Times New Roman" w:hAnsi="Times New Roman"/>
          <w:szCs w:val="24"/>
        </w:rPr>
        <w:t>, and in a form determined under subsection 41FDB(8),</w:t>
      </w:r>
      <w:r>
        <w:rPr>
          <w:rFonts w:ascii="Times New Roman" w:hAnsi="Times New Roman"/>
          <w:szCs w:val="24"/>
        </w:rPr>
        <w:t xml:space="preserve"> </w:t>
      </w:r>
      <w:r w:rsidR="00947515">
        <w:rPr>
          <w:rFonts w:ascii="Times New Roman" w:hAnsi="Times New Roman"/>
          <w:szCs w:val="24"/>
        </w:rPr>
        <w:t xml:space="preserve">for </w:t>
      </w:r>
      <w:r w:rsidR="005C1891">
        <w:rPr>
          <w:rFonts w:ascii="Times New Roman" w:hAnsi="Times New Roman"/>
          <w:szCs w:val="24"/>
        </w:rPr>
        <w:t xml:space="preserve">the relevant classification </w:t>
      </w:r>
      <w:r w:rsidR="00947515">
        <w:rPr>
          <w:rFonts w:ascii="Times New Roman" w:hAnsi="Times New Roman"/>
          <w:szCs w:val="24"/>
        </w:rPr>
        <w:t>of medical device (</w:t>
      </w:r>
      <w:r w:rsidR="00412141">
        <w:rPr>
          <w:rFonts w:ascii="Times New Roman" w:hAnsi="Times New Roman"/>
          <w:szCs w:val="24"/>
        </w:rPr>
        <w:t>sub</w:t>
      </w:r>
      <w:r w:rsidR="00947515">
        <w:rPr>
          <w:rFonts w:ascii="Times New Roman" w:hAnsi="Times New Roman"/>
          <w:szCs w:val="24"/>
        </w:rPr>
        <w:t>paragraph</w:t>
      </w:r>
      <w:r w:rsidR="00412141">
        <w:rPr>
          <w:rFonts w:ascii="Times New Roman" w:hAnsi="Times New Roman"/>
          <w:szCs w:val="24"/>
        </w:rPr>
        <w:t>s</w:t>
      </w:r>
      <w:r w:rsidR="00947515">
        <w:rPr>
          <w:rFonts w:ascii="Times New Roman" w:hAnsi="Times New Roman"/>
          <w:szCs w:val="24"/>
        </w:rPr>
        <w:t xml:space="preserve"> 41FDB(2)(d)</w:t>
      </w:r>
      <w:r w:rsidR="00412141">
        <w:rPr>
          <w:rFonts w:ascii="Times New Roman" w:hAnsi="Times New Roman"/>
          <w:szCs w:val="24"/>
        </w:rPr>
        <w:t xml:space="preserve">(i) and </w:t>
      </w:r>
      <w:r w:rsidR="005C1891">
        <w:rPr>
          <w:rFonts w:ascii="Times New Roman" w:hAnsi="Times New Roman"/>
          <w:szCs w:val="24"/>
        </w:rPr>
        <w:t>41FDB(2)(d)</w:t>
      </w:r>
      <w:r w:rsidR="00412141">
        <w:rPr>
          <w:rFonts w:ascii="Times New Roman" w:hAnsi="Times New Roman"/>
          <w:szCs w:val="24"/>
        </w:rPr>
        <w:t>(ii)</w:t>
      </w:r>
      <w:r w:rsidR="005C1891">
        <w:rPr>
          <w:rFonts w:ascii="Times New Roman" w:hAnsi="Times New Roman"/>
          <w:szCs w:val="24"/>
        </w:rPr>
        <w:t xml:space="preserve"> refers</w:t>
      </w:r>
      <w:r w:rsidR="00947515">
        <w:rPr>
          <w:rFonts w:ascii="Times New Roman" w:hAnsi="Times New Roman"/>
          <w:szCs w:val="24"/>
        </w:rPr>
        <w:t>)</w:t>
      </w:r>
      <w:r w:rsidR="005D2FC2" w:rsidRPr="005327F5">
        <w:rPr>
          <w:rFonts w:ascii="Times New Roman" w:hAnsi="Times New Roman"/>
          <w:szCs w:val="24"/>
        </w:rPr>
        <w:t>.</w:t>
      </w:r>
    </w:p>
    <w:p w:rsidR="005D2FC2" w:rsidRPr="005327F5" w:rsidRDefault="005D2FC2" w:rsidP="005D2FC2">
      <w:pPr>
        <w:rPr>
          <w:rFonts w:ascii="Times New Roman" w:hAnsi="Times New Roman"/>
          <w:szCs w:val="24"/>
        </w:rPr>
      </w:pPr>
    </w:p>
    <w:p w:rsidR="002E3566" w:rsidRDefault="00FE7C01" w:rsidP="005D2FC2">
      <w:pPr>
        <w:rPr>
          <w:rFonts w:ascii="Times New Roman" w:hAnsi="Times New Roman"/>
          <w:szCs w:val="24"/>
        </w:rPr>
      </w:pPr>
      <w:r w:rsidRPr="005327F5">
        <w:rPr>
          <w:rFonts w:ascii="Times New Roman" w:hAnsi="Times New Roman"/>
          <w:szCs w:val="24"/>
        </w:rPr>
        <w:t>Subsection</w:t>
      </w:r>
      <w:r w:rsidR="00412141">
        <w:rPr>
          <w:rFonts w:ascii="Times New Roman" w:hAnsi="Times New Roman"/>
          <w:szCs w:val="24"/>
        </w:rPr>
        <w:t>s</w:t>
      </w:r>
      <w:r w:rsidRPr="005327F5">
        <w:rPr>
          <w:rFonts w:ascii="Times New Roman" w:hAnsi="Times New Roman"/>
          <w:szCs w:val="24"/>
        </w:rPr>
        <w:t xml:space="preserve"> </w:t>
      </w:r>
      <w:r>
        <w:rPr>
          <w:rFonts w:ascii="Times New Roman" w:hAnsi="Times New Roman"/>
          <w:szCs w:val="24"/>
        </w:rPr>
        <w:t>41FDB(7)</w:t>
      </w:r>
      <w:r w:rsidRPr="005327F5">
        <w:rPr>
          <w:rFonts w:ascii="Times New Roman" w:hAnsi="Times New Roman"/>
          <w:szCs w:val="24"/>
        </w:rPr>
        <w:t xml:space="preserve"> </w:t>
      </w:r>
      <w:r w:rsidR="00412141">
        <w:rPr>
          <w:rFonts w:ascii="Times New Roman" w:hAnsi="Times New Roman"/>
          <w:szCs w:val="24"/>
        </w:rPr>
        <w:t>and 41FDB(8)</w:t>
      </w:r>
      <w:r w:rsidR="00412141" w:rsidRPr="005327F5">
        <w:rPr>
          <w:rFonts w:ascii="Times New Roman" w:hAnsi="Times New Roman"/>
          <w:szCs w:val="24"/>
        </w:rPr>
        <w:t xml:space="preserve"> </w:t>
      </w:r>
      <w:r w:rsidRPr="005327F5">
        <w:rPr>
          <w:rFonts w:ascii="Times New Roman" w:hAnsi="Times New Roman"/>
          <w:szCs w:val="24"/>
        </w:rPr>
        <w:t xml:space="preserve">of the Act </w:t>
      </w:r>
      <w:r w:rsidR="005C1891">
        <w:rPr>
          <w:rFonts w:ascii="Times New Roman" w:hAnsi="Times New Roman"/>
          <w:szCs w:val="24"/>
        </w:rPr>
        <w:t xml:space="preserve">relevantly </w:t>
      </w:r>
      <w:r w:rsidRPr="005327F5">
        <w:rPr>
          <w:rFonts w:ascii="Times New Roman" w:hAnsi="Times New Roman"/>
          <w:szCs w:val="24"/>
        </w:rPr>
        <w:t xml:space="preserve">provide that the Secretary may, by legislative instrument, determine a kind </w:t>
      </w:r>
      <w:r w:rsidR="00412141">
        <w:rPr>
          <w:rFonts w:ascii="Times New Roman" w:hAnsi="Times New Roman"/>
          <w:szCs w:val="24"/>
        </w:rPr>
        <w:t xml:space="preserve">and form </w:t>
      </w:r>
      <w:r w:rsidRPr="005327F5">
        <w:rPr>
          <w:rFonts w:ascii="Times New Roman" w:hAnsi="Times New Roman"/>
          <w:szCs w:val="24"/>
        </w:rPr>
        <w:t>of information</w:t>
      </w:r>
      <w:r w:rsidR="00412141">
        <w:rPr>
          <w:rFonts w:ascii="Times New Roman" w:hAnsi="Times New Roman"/>
          <w:szCs w:val="24"/>
        </w:rPr>
        <w:t xml:space="preserve"> respectively</w:t>
      </w:r>
      <w:r w:rsidRPr="005327F5">
        <w:rPr>
          <w:rFonts w:ascii="Times New Roman" w:hAnsi="Times New Roman"/>
          <w:szCs w:val="24"/>
        </w:rPr>
        <w:t xml:space="preserve"> for the purposes of </w:t>
      </w:r>
      <w:r w:rsidR="005C1891">
        <w:rPr>
          <w:rFonts w:ascii="Times New Roman" w:hAnsi="Times New Roman"/>
          <w:szCs w:val="24"/>
        </w:rPr>
        <w:t xml:space="preserve">an </w:t>
      </w:r>
      <w:r w:rsidRPr="005327F5">
        <w:rPr>
          <w:rFonts w:ascii="Times New Roman" w:hAnsi="Times New Roman"/>
          <w:szCs w:val="24"/>
        </w:rPr>
        <w:t xml:space="preserve">application </w:t>
      </w:r>
      <w:r w:rsidR="005C1891">
        <w:rPr>
          <w:rFonts w:ascii="Times New Roman" w:hAnsi="Times New Roman"/>
          <w:szCs w:val="24"/>
        </w:rPr>
        <w:t xml:space="preserve">mentioned in </w:t>
      </w:r>
      <w:r w:rsidRPr="005327F5">
        <w:rPr>
          <w:rFonts w:ascii="Times New Roman" w:hAnsi="Times New Roman"/>
          <w:szCs w:val="24"/>
        </w:rPr>
        <w:t>subparagraph</w:t>
      </w:r>
      <w:r w:rsidR="00412141">
        <w:rPr>
          <w:rFonts w:ascii="Times New Roman" w:hAnsi="Times New Roman"/>
          <w:szCs w:val="24"/>
        </w:rPr>
        <w:t>s</w:t>
      </w:r>
      <w:r w:rsidRPr="005327F5">
        <w:rPr>
          <w:rFonts w:ascii="Times New Roman" w:hAnsi="Times New Roman"/>
          <w:szCs w:val="24"/>
        </w:rPr>
        <w:t xml:space="preserve"> </w:t>
      </w:r>
      <w:r>
        <w:rPr>
          <w:rFonts w:ascii="Times New Roman" w:hAnsi="Times New Roman"/>
          <w:szCs w:val="24"/>
        </w:rPr>
        <w:t>41FDB</w:t>
      </w:r>
      <w:r w:rsidRPr="005327F5">
        <w:rPr>
          <w:rFonts w:ascii="Times New Roman" w:hAnsi="Times New Roman"/>
          <w:szCs w:val="24"/>
        </w:rPr>
        <w:t>(2)(d)(i)</w:t>
      </w:r>
      <w:r w:rsidR="00412141">
        <w:rPr>
          <w:rFonts w:ascii="Times New Roman" w:hAnsi="Times New Roman"/>
          <w:szCs w:val="24"/>
        </w:rPr>
        <w:t xml:space="preserve"> and (ii) </w:t>
      </w:r>
      <w:r w:rsidRPr="005327F5">
        <w:rPr>
          <w:rFonts w:ascii="Times New Roman" w:hAnsi="Times New Roman"/>
          <w:szCs w:val="24"/>
        </w:rPr>
        <w:t xml:space="preserve">of the Act </w:t>
      </w:r>
      <w:r w:rsidR="005C1891">
        <w:rPr>
          <w:rFonts w:ascii="Times New Roman" w:hAnsi="Times New Roman"/>
          <w:szCs w:val="24"/>
        </w:rPr>
        <w:t xml:space="preserve">in relation </w:t>
      </w:r>
      <w:r w:rsidRPr="005327F5">
        <w:rPr>
          <w:rFonts w:ascii="Times New Roman" w:hAnsi="Times New Roman"/>
          <w:szCs w:val="24"/>
        </w:rPr>
        <w:t xml:space="preserve">to </w:t>
      </w:r>
      <w:r>
        <w:rPr>
          <w:rFonts w:ascii="Times New Roman" w:hAnsi="Times New Roman"/>
          <w:szCs w:val="24"/>
        </w:rPr>
        <w:t xml:space="preserve">medical devices of a particular </w:t>
      </w:r>
      <w:r w:rsidR="00C50FA4">
        <w:rPr>
          <w:rFonts w:ascii="Times New Roman" w:hAnsi="Times New Roman"/>
          <w:szCs w:val="24"/>
        </w:rPr>
        <w:t>classification</w:t>
      </w:r>
      <w:r w:rsidR="002757A6" w:rsidRPr="005327F5">
        <w:rPr>
          <w:rFonts w:ascii="Times New Roman" w:hAnsi="Times New Roman"/>
          <w:szCs w:val="24"/>
        </w:rPr>
        <w:t>.</w:t>
      </w:r>
    </w:p>
    <w:p w:rsidR="00093573" w:rsidRDefault="00093573" w:rsidP="005D2FC2">
      <w:pPr>
        <w:rPr>
          <w:rFonts w:ascii="Times New Roman" w:hAnsi="Times New Roman"/>
          <w:szCs w:val="24"/>
        </w:rPr>
      </w:pPr>
    </w:p>
    <w:p w:rsidR="007C64DB" w:rsidRDefault="006E3506" w:rsidP="00967299">
      <w:pPr>
        <w:rPr>
          <w:rFonts w:ascii="Times New Roman" w:hAnsi="Times New Roman"/>
          <w:szCs w:val="24"/>
        </w:rPr>
      </w:pPr>
      <w:r w:rsidRPr="00BF3CEB">
        <w:rPr>
          <w:rFonts w:ascii="Times New Roman" w:hAnsi="Times New Roman"/>
          <w:szCs w:val="24"/>
        </w:rPr>
        <w:t xml:space="preserve">The </w:t>
      </w:r>
      <w:r w:rsidR="00147EBC" w:rsidRPr="009838D9">
        <w:rPr>
          <w:rFonts w:ascii="Times New Roman" w:hAnsi="Times New Roman"/>
          <w:i/>
          <w:szCs w:val="24"/>
        </w:rPr>
        <w:t>Therapeutic Goods (</w:t>
      </w:r>
      <w:r w:rsidR="006D1F21" w:rsidRPr="009838D9">
        <w:rPr>
          <w:i/>
        </w:rPr>
        <w:t>Medical Devices—Information that Must Accompany Application for Inclusion</w:t>
      </w:r>
      <w:r w:rsidR="00147EBC" w:rsidRPr="009838D9">
        <w:rPr>
          <w:rFonts w:ascii="Times New Roman" w:hAnsi="Times New Roman"/>
          <w:i/>
          <w:szCs w:val="24"/>
        </w:rPr>
        <w:t>) Determination 2018</w:t>
      </w:r>
      <w:r w:rsidR="00147EBC" w:rsidRPr="00BF3CEB">
        <w:rPr>
          <w:rFonts w:ascii="Times New Roman" w:hAnsi="Times New Roman"/>
          <w:szCs w:val="24"/>
        </w:rPr>
        <w:t xml:space="preserve"> </w:t>
      </w:r>
      <w:r w:rsidR="00294A49" w:rsidRPr="002B294C">
        <w:rPr>
          <w:rFonts w:ascii="Times New Roman" w:hAnsi="Times New Roman"/>
          <w:szCs w:val="24"/>
        </w:rPr>
        <w:t>(</w:t>
      </w:r>
      <w:r w:rsidR="005C1891" w:rsidRPr="00805C6E">
        <w:rPr>
          <w:rFonts w:ascii="Times New Roman" w:hAnsi="Times New Roman"/>
          <w:szCs w:val="24"/>
        </w:rPr>
        <w:t>“</w:t>
      </w:r>
      <w:r w:rsidR="00147EBC" w:rsidRPr="00805C6E">
        <w:rPr>
          <w:rFonts w:ascii="Times New Roman" w:hAnsi="Times New Roman"/>
          <w:szCs w:val="24"/>
        </w:rPr>
        <w:t>Determination</w:t>
      </w:r>
      <w:r w:rsidR="005C1891" w:rsidRPr="00805C6E">
        <w:rPr>
          <w:rFonts w:ascii="Times New Roman" w:hAnsi="Times New Roman"/>
          <w:szCs w:val="24"/>
        </w:rPr>
        <w:t>”</w:t>
      </w:r>
      <w:r w:rsidR="00294A49" w:rsidRPr="00805C6E">
        <w:rPr>
          <w:rFonts w:ascii="Times New Roman" w:hAnsi="Times New Roman"/>
          <w:szCs w:val="24"/>
        </w:rPr>
        <w:t xml:space="preserve">) </w:t>
      </w:r>
      <w:r w:rsidR="00A27C61" w:rsidRPr="00805C6E">
        <w:rPr>
          <w:rFonts w:ascii="Times New Roman" w:hAnsi="Times New Roman"/>
          <w:szCs w:val="24"/>
        </w:rPr>
        <w:t xml:space="preserve">is </w:t>
      </w:r>
      <w:r w:rsidR="00FF0639" w:rsidRPr="00805C6E">
        <w:rPr>
          <w:rFonts w:ascii="Times New Roman" w:hAnsi="Times New Roman"/>
          <w:szCs w:val="24"/>
        </w:rPr>
        <w:t xml:space="preserve">made </w:t>
      </w:r>
      <w:r w:rsidR="00764766" w:rsidRPr="00805C6E">
        <w:rPr>
          <w:rFonts w:ascii="Times New Roman" w:hAnsi="Times New Roman"/>
          <w:szCs w:val="24"/>
        </w:rPr>
        <w:t xml:space="preserve">for the purposes of </w:t>
      </w:r>
      <w:r w:rsidR="00FF0639" w:rsidRPr="00805C6E">
        <w:rPr>
          <w:rFonts w:ascii="Times New Roman" w:hAnsi="Times New Roman"/>
          <w:szCs w:val="24"/>
        </w:rPr>
        <w:t>subsection</w:t>
      </w:r>
      <w:r w:rsidR="002F52F2" w:rsidRPr="00805C6E">
        <w:rPr>
          <w:rFonts w:ascii="Times New Roman" w:hAnsi="Times New Roman"/>
          <w:szCs w:val="24"/>
        </w:rPr>
        <w:t>s</w:t>
      </w:r>
      <w:r w:rsidR="00147EBC" w:rsidRPr="00805C6E">
        <w:rPr>
          <w:rFonts w:ascii="Times New Roman" w:hAnsi="Times New Roman"/>
          <w:szCs w:val="24"/>
        </w:rPr>
        <w:t xml:space="preserve"> </w:t>
      </w:r>
      <w:r w:rsidR="00F41D1A" w:rsidRPr="00805C6E">
        <w:rPr>
          <w:rFonts w:ascii="Times New Roman" w:hAnsi="Times New Roman"/>
          <w:szCs w:val="24"/>
        </w:rPr>
        <w:t>41FDB(7</w:t>
      </w:r>
      <w:r w:rsidR="002F52F2" w:rsidRPr="00805C6E">
        <w:rPr>
          <w:rFonts w:ascii="Times New Roman" w:hAnsi="Times New Roman"/>
          <w:szCs w:val="24"/>
        </w:rPr>
        <w:t xml:space="preserve">) and </w:t>
      </w:r>
      <w:r w:rsidR="00D347E6" w:rsidRPr="00805C6E">
        <w:rPr>
          <w:rFonts w:ascii="Times New Roman" w:hAnsi="Times New Roman"/>
          <w:szCs w:val="24"/>
        </w:rPr>
        <w:t>41FDB(8</w:t>
      </w:r>
      <w:r w:rsidR="002F52F2" w:rsidRPr="00805C6E">
        <w:rPr>
          <w:rFonts w:ascii="Times New Roman" w:hAnsi="Times New Roman"/>
          <w:szCs w:val="24"/>
        </w:rPr>
        <w:t>)</w:t>
      </w:r>
      <w:r w:rsidR="00D347E6">
        <w:rPr>
          <w:rFonts w:ascii="Times New Roman" w:hAnsi="Times New Roman"/>
          <w:szCs w:val="24"/>
        </w:rPr>
        <w:t xml:space="preserve"> of the Act</w:t>
      </w:r>
      <w:r w:rsidR="007C64DB">
        <w:rPr>
          <w:rFonts w:ascii="Times New Roman" w:hAnsi="Times New Roman"/>
          <w:szCs w:val="24"/>
        </w:rPr>
        <w:t xml:space="preserve">. As above, it </w:t>
      </w:r>
      <w:r w:rsidR="00764766">
        <w:rPr>
          <w:rFonts w:ascii="Times New Roman" w:hAnsi="Times New Roman"/>
          <w:szCs w:val="24"/>
        </w:rPr>
        <w:t>determines the kind</w:t>
      </w:r>
      <w:r w:rsidR="002F52F2">
        <w:rPr>
          <w:rFonts w:ascii="Times New Roman" w:hAnsi="Times New Roman"/>
          <w:szCs w:val="24"/>
        </w:rPr>
        <w:t xml:space="preserve"> and form</w:t>
      </w:r>
      <w:r w:rsidR="00764766">
        <w:rPr>
          <w:rFonts w:ascii="Times New Roman" w:hAnsi="Times New Roman"/>
          <w:szCs w:val="24"/>
        </w:rPr>
        <w:t xml:space="preserve"> of information that must accompany an application for </w:t>
      </w:r>
      <w:r w:rsidR="00D347E6">
        <w:rPr>
          <w:rFonts w:ascii="Times New Roman" w:hAnsi="Times New Roman"/>
          <w:szCs w:val="24"/>
        </w:rPr>
        <w:t xml:space="preserve">kinds of </w:t>
      </w:r>
      <w:r w:rsidR="00764766">
        <w:rPr>
          <w:rFonts w:ascii="Times New Roman" w:hAnsi="Times New Roman"/>
          <w:szCs w:val="24"/>
        </w:rPr>
        <w:t xml:space="preserve">medical devices </w:t>
      </w:r>
      <w:r w:rsidR="005C1891">
        <w:rPr>
          <w:rFonts w:ascii="Times New Roman" w:hAnsi="Times New Roman"/>
          <w:szCs w:val="24"/>
        </w:rPr>
        <w:t xml:space="preserve">of a particular classification </w:t>
      </w:r>
      <w:r w:rsidR="00764766">
        <w:rPr>
          <w:rFonts w:ascii="Times New Roman" w:hAnsi="Times New Roman"/>
          <w:szCs w:val="24"/>
        </w:rPr>
        <w:t>to be included in the Register</w:t>
      </w:r>
      <w:r w:rsidR="00D347E6">
        <w:rPr>
          <w:rFonts w:ascii="Times New Roman" w:hAnsi="Times New Roman"/>
          <w:szCs w:val="24"/>
        </w:rPr>
        <w:t>.</w:t>
      </w:r>
    </w:p>
    <w:p w:rsidR="007C64DB" w:rsidRDefault="007C64DB" w:rsidP="00967299">
      <w:pPr>
        <w:rPr>
          <w:rFonts w:ascii="Times New Roman" w:hAnsi="Times New Roman"/>
          <w:szCs w:val="24"/>
        </w:rPr>
      </w:pPr>
    </w:p>
    <w:p w:rsidR="00607490" w:rsidRPr="005327F5" w:rsidRDefault="00840E1F" w:rsidP="00967299">
      <w:pPr>
        <w:rPr>
          <w:rFonts w:ascii="Times New Roman" w:hAnsi="Times New Roman"/>
          <w:szCs w:val="24"/>
        </w:rPr>
      </w:pPr>
      <w:r>
        <w:rPr>
          <w:rFonts w:ascii="Times New Roman" w:hAnsi="Times New Roman"/>
          <w:szCs w:val="24"/>
        </w:rPr>
        <w:t xml:space="preserve">The kinds of information </w:t>
      </w:r>
      <w:r w:rsidR="00514995">
        <w:rPr>
          <w:rFonts w:ascii="Times New Roman" w:hAnsi="Times New Roman"/>
          <w:szCs w:val="24"/>
        </w:rPr>
        <w:t xml:space="preserve">specified in this Determination </w:t>
      </w:r>
      <w:r>
        <w:rPr>
          <w:rFonts w:ascii="Times New Roman" w:hAnsi="Times New Roman"/>
          <w:szCs w:val="24"/>
        </w:rPr>
        <w:t xml:space="preserve">relate to </w:t>
      </w:r>
      <w:r w:rsidR="00805C6E">
        <w:rPr>
          <w:rFonts w:ascii="Times New Roman" w:hAnsi="Times New Roman"/>
          <w:szCs w:val="24"/>
        </w:rPr>
        <w:t xml:space="preserve">the conformity assessment documents that are required to demonstrate that appropriate conformity assessment procedures have been applied by the manufacturer </w:t>
      </w:r>
      <w:r w:rsidR="00514995">
        <w:rPr>
          <w:rFonts w:ascii="Times New Roman" w:hAnsi="Times New Roman"/>
          <w:szCs w:val="24"/>
        </w:rPr>
        <w:t xml:space="preserve">to its quality </w:t>
      </w:r>
      <w:r w:rsidR="00514995">
        <w:rPr>
          <w:rFonts w:ascii="Times New Roman" w:hAnsi="Times New Roman"/>
          <w:szCs w:val="24"/>
        </w:rPr>
        <w:lastRenderedPageBreak/>
        <w:t xml:space="preserve">management system and </w:t>
      </w:r>
      <w:r w:rsidR="00805C6E">
        <w:rPr>
          <w:rFonts w:ascii="Times New Roman" w:hAnsi="Times New Roman"/>
          <w:szCs w:val="24"/>
        </w:rPr>
        <w:t xml:space="preserve">the particular kind of </w:t>
      </w:r>
      <w:r w:rsidR="007C64DB">
        <w:rPr>
          <w:rFonts w:ascii="Times New Roman" w:hAnsi="Times New Roman"/>
          <w:szCs w:val="24"/>
        </w:rPr>
        <w:t xml:space="preserve">medical </w:t>
      </w:r>
      <w:r w:rsidR="00805C6E">
        <w:rPr>
          <w:rFonts w:ascii="Times New Roman" w:hAnsi="Times New Roman"/>
          <w:szCs w:val="24"/>
        </w:rPr>
        <w:t xml:space="preserve">device. </w:t>
      </w:r>
      <w:r w:rsidR="00155B04">
        <w:rPr>
          <w:rFonts w:ascii="Times New Roman" w:hAnsi="Times New Roman"/>
          <w:szCs w:val="24"/>
        </w:rPr>
        <w:t xml:space="preserve">The </w:t>
      </w:r>
      <w:r w:rsidR="00514995">
        <w:rPr>
          <w:rFonts w:ascii="Times New Roman" w:hAnsi="Times New Roman"/>
          <w:szCs w:val="24"/>
        </w:rPr>
        <w:t xml:space="preserve">conformity assessment documents </w:t>
      </w:r>
      <w:r w:rsidR="00155B04">
        <w:rPr>
          <w:rFonts w:ascii="Times New Roman" w:hAnsi="Times New Roman"/>
          <w:szCs w:val="24"/>
        </w:rPr>
        <w:t xml:space="preserve">include certificates and other documents which have been issued or recognised by </w:t>
      </w:r>
      <w:r w:rsidR="00514995">
        <w:rPr>
          <w:rFonts w:ascii="Times New Roman" w:hAnsi="Times New Roman"/>
          <w:szCs w:val="24"/>
        </w:rPr>
        <w:t xml:space="preserve">the Secretary and, in the alternative, </w:t>
      </w:r>
      <w:r w:rsidR="00155B04">
        <w:rPr>
          <w:rFonts w:ascii="Times New Roman" w:hAnsi="Times New Roman"/>
          <w:szCs w:val="24"/>
        </w:rPr>
        <w:t>comparable overseas regulators.</w:t>
      </w:r>
    </w:p>
    <w:p w:rsidR="00AE04AB" w:rsidRPr="005327F5" w:rsidRDefault="00AE04AB" w:rsidP="00967299">
      <w:pPr>
        <w:rPr>
          <w:rFonts w:ascii="Times New Roman" w:hAnsi="Times New Roman"/>
          <w:szCs w:val="24"/>
        </w:rPr>
      </w:pPr>
    </w:p>
    <w:p w:rsidR="007C64DB" w:rsidRDefault="00B719D6" w:rsidP="00155B04">
      <w:r>
        <w:rPr>
          <w:rFonts w:ascii="Times New Roman" w:hAnsi="Times New Roman"/>
          <w:szCs w:val="24"/>
        </w:rPr>
        <w:t>In effect, t</w:t>
      </w:r>
      <w:r w:rsidR="007C64DB">
        <w:rPr>
          <w:rFonts w:ascii="Times New Roman" w:hAnsi="Times New Roman"/>
          <w:szCs w:val="24"/>
        </w:rPr>
        <w:t xml:space="preserve">he </w:t>
      </w:r>
      <w:r w:rsidR="00514995">
        <w:rPr>
          <w:rFonts w:ascii="Times New Roman" w:hAnsi="Times New Roman"/>
          <w:szCs w:val="24"/>
        </w:rPr>
        <w:t xml:space="preserve">Determination </w:t>
      </w:r>
      <w:r>
        <w:rPr>
          <w:rFonts w:ascii="Times New Roman" w:hAnsi="Times New Roman"/>
          <w:szCs w:val="24"/>
        </w:rPr>
        <w:t xml:space="preserve">supports the implementation of </w:t>
      </w:r>
      <w:r w:rsidR="00514995">
        <w:rPr>
          <w:rFonts w:ascii="Times New Roman" w:hAnsi="Times New Roman"/>
          <w:szCs w:val="24"/>
        </w:rPr>
        <w:t>Review recommendations 15 and 17</w:t>
      </w:r>
      <w:r w:rsidR="007C64DB">
        <w:rPr>
          <w:rFonts w:ascii="Times New Roman" w:hAnsi="Times New Roman"/>
          <w:szCs w:val="24"/>
        </w:rPr>
        <w:t xml:space="preserve"> </w:t>
      </w:r>
      <w:r w:rsidR="00F66145">
        <w:rPr>
          <w:rFonts w:ascii="Times New Roman" w:hAnsi="Times New Roman"/>
          <w:szCs w:val="24"/>
        </w:rPr>
        <w:t xml:space="preserve">which </w:t>
      </w:r>
      <w:r>
        <w:rPr>
          <w:rFonts w:ascii="Times New Roman" w:hAnsi="Times New Roman"/>
          <w:szCs w:val="24"/>
        </w:rPr>
        <w:t xml:space="preserve">encouraged </w:t>
      </w:r>
      <w:r w:rsidR="00155B04" w:rsidRPr="00015B7C">
        <w:rPr>
          <w:rFonts w:ascii="Times New Roman" w:hAnsi="Times New Roman"/>
          <w:szCs w:val="24"/>
        </w:rPr>
        <w:t xml:space="preserve">greater use of assessments </w:t>
      </w:r>
      <w:r w:rsidR="007C64DB">
        <w:rPr>
          <w:rFonts w:ascii="Times New Roman" w:hAnsi="Times New Roman"/>
          <w:szCs w:val="24"/>
        </w:rPr>
        <w:t xml:space="preserve">issued </w:t>
      </w:r>
      <w:r w:rsidR="00514995">
        <w:rPr>
          <w:rFonts w:ascii="Times New Roman" w:hAnsi="Times New Roman"/>
          <w:szCs w:val="24"/>
        </w:rPr>
        <w:t xml:space="preserve">or recognised by </w:t>
      </w:r>
      <w:r w:rsidR="00155B04" w:rsidRPr="00015B7C">
        <w:rPr>
          <w:rFonts w:ascii="Times New Roman" w:hAnsi="Times New Roman"/>
          <w:szCs w:val="24"/>
        </w:rPr>
        <w:t>comparable overseas regulators</w:t>
      </w:r>
      <w:r>
        <w:rPr>
          <w:rFonts w:ascii="Times New Roman" w:hAnsi="Times New Roman"/>
          <w:szCs w:val="24"/>
        </w:rPr>
        <w:t>. In particular, t</w:t>
      </w:r>
      <w:r w:rsidR="00155B04">
        <w:rPr>
          <w:rFonts w:ascii="Times New Roman" w:hAnsi="Times New Roman"/>
          <w:szCs w:val="24"/>
        </w:rPr>
        <w:t xml:space="preserve">he </w:t>
      </w:r>
      <w:r w:rsidR="00F66145">
        <w:rPr>
          <w:rFonts w:ascii="Times New Roman" w:hAnsi="Times New Roman"/>
          <w:szCs w:val="24"/>
        </w:rPr>
        <w:t xml:space="preserve">Determination specifies conformity assessment documents </w:t>
      </w:r>
      <w:r>
        <w:t xml:space="preserve">issued or recognised by </w:t>
      </w:r>
      <w:r w:rsidR="00F66145" w:rsidRPr="00015B7C">
        <w:t xml:space="preserve">comparable overseas regulators </w:t>
      </w:r>
      <w:r>
        <w:rPr>
          <w:rFonts w:ascii="Times New Roman" w:hAnsi="Times New Roman"/>
          <w:szCs w:val="24"/>
        </w:rPr>
        <w:t>that may accompany an application for inclusion of a medical device in Australia</w:t>
      </w:r>
      <w:r w:rsidR="00155B04" w:rsidRPr="00015B7C">
        <w:t>.</w:t>
      </w:r>
    </w:p>
    <w:p w:rsidR="007C64DB" w:rsidRDefault="007C64DB" w:rsidP="00155B04"/>
    <w:p w:rsidR="00155B04" w:rsidRDefault="00B719D6" w:rsidP="00155B04">
      <w:pPr>
        <w:rPr>
          <w:rFonts w:ascii="Times New Roman" w:hAnsi="Times New Roman"/>
          <w:szCs w:val="24"/>
        </w:rPr>
      </w:pPr>
      <w:r>
        <w:t xml:space="preserve">Relevantly, section 41FD of the Act provides that an </w:t>
      </w:r>
      <w:r w:rsidR="00155B04" w:rsidRPr="00015B7C">
        <w:t>a</w:t>
      </w:r>
      <w:r>
        <w:t>pplicant for the inclusion of a </w:t>
      </w:r>
      <w:r w:rsidR="00155B04" w:rsidRPr="00015B7C">
        <w:t xml:space="preserve">kind of medical device in the </w:t>
      </w:r>
      <w:r w:rsidR="00155B04">
        <w:t>Register</w:t>
      </w:r>
      <w:r w:rsidR="00155B04" w:rsidRPr="00015B7C">
        <w:t xml:space="preserve"> </w:t>
      </w:r>
      <w:r>
        <w:t xml:space="preserve">must </w:t>
      </w:r>
      <w:r w:rsidR="00155B04" w:rsidRPr="00015B7C">
        <w:t>certify that appropriate conformity assessment procedure</w:t>
      </w:r>
      <w:r w:rsidR="00155B04">
        <w:t>s have been applied to devices of that kind</w:t>
      </w:r>
      <w:r w:rsidR="00155B04" w:rsidRPr="00015B7C">
        <w:t xml:space="preserve">, or </w:t>
      </w:r>
      <w:r w:rsidR="00155B04">
        <w:t xml:space="preserve">requirements comparable to such </w:t>
      </w:r>
      <w:r w:rsidR="00155B04" w:rsidRPr="00015B7C">
        <w:t>procedure</w:t>
      </w:r>
      <w:r w:rsidR="00155B04">
        <w:t>s</w:t>
      </w:r>
      <w:r w:rsidR="00155B04" w:rsidRPr="00015B7C">
        <w:t xml:space="preserve"> ha</w:t>
      </w:r>
      <w:r w:rsidR="00155B04">
        <w:t>ve</w:t>
      </w:r>
      <w:r w:rsidR="00155B04" w:rsidRPr="00015B7C">
        <w:t xml:space="preserve"> been </w:t>
      </w:r>
      <w:r w:rsidR="00155B04">
        <w:t>applied</w:t>
      </w:r>
      <w:r w:rsidR="00155B04" w:rsidRPr="00015B7C">
        <w:t xml:space="preserve"> to</w:t>
      </w:r>
      <w:r w:rsidR="00155B04">
        <w:t xml:space="preserve"> medical devices of that kind to the satisfaction of an overseas regulator. </w:t>
      </w:r>
      <w:r w:rsidR="00155B04" w:rsidRPr="00015B7C">
        <w:t xml:space="preserve">The </w:t>
      </w:r>
      <w:r w:rsidR="00155B04">
        <w:t>comparable</w:t>
      </w:r>
      <w:r w:rsidR="00155B04" w:rsidRPr="00015B7C">
        <w:t xml:space="preserve"> overseas regulators </w:t>
      </w:r>
      <w:r w:rsidR="00155B04">
        <w:t>have</w:t>
      </w:r>
      <w:r w:rsidR="00155B04" w:rsidRPr="00015B7C">
        <w:t xml:space="preserve"> be</w:t>
      </w:r>
      <w:r w:rsidR="00155B04">
        <w:t>en</w:t>
      </w:r>
      <w:r w:rsidR="00155B04" w:rsidRPr="00015B7C">
        <w:t xml:space="preserve"> specified in</w:t>
      </w:r>
      <w:r w:rsidR="00155B04">
        <w:t xml:space="preserve"> the </w:t>
      </w:r>
      <w:r w:rsidR="00155B04" w:rsidRPr="00A20950">
        <w:rPr>
          <w:i/>
        </w:rPr>
        <w:t>Therapeutic Goods (Overseas Regulators) Determination 2018</w:t>
      </w:r>
      <w:r w:rsidR="00155B04">
        <w:t xml:space="preserve"> which is </w:t>
      </w:r>
      <w:r w:rsidR="00155B04" w:rsidRPr="00015B7C">
        <w:t xml:space="preserve">a </w:t>
      </w:r>
      <w:r w:rsidR="00155B04">
        <w:t>notifiable</w:t>
      </w:r>
      <w:r w:rsidR="00155B04" w:rsidRPr="00015B7C">
        <w:t xml:space="preserve"> instrument</w:t>
      </w:r>
      <w:r w:rsidR="00155B04">
        <w:t xml:space="preserve"> freely available from the Federal Register of Legislation at legislation.gov.au</w:t>
      </w:r>
    </w:p>
    <w:p w:rsidR="007C64DB" w:rsidRPr="005327F5" w:rsidRDefault="007C64DB" w:rsidP="005327F5">
      <w:pPr>
        <w:rPr>
          <w:rFonts w:ascii="Times New Roman" w:hAnsi="Times New Roman"/>
          <w:szCs w:val="24"/>
        </w:rPr>
      </w:pPr>
    </w:p>
    <w:p w:rsidR="00242711" w:rsidRPr="00242711" w:rsidRDefault="00242711" w:rsidP="009838D9">
      <w:pPr>
        <w:keepNext/>
        <w:rPr>
          <w:rFonts w:ascii="Times New Roman" w:hAnsi="Times New Roman"/>
          <w:b/>
          <w:szCs w:val="24"/>
        </w:rPr>
      </w:pPr>
      <w:r w:rsidRPr="00242711">
        <w:rPr>
          <w:rFonts w:ascii="Times New Roman" w:hAnsi="Times New Roman"/>
          <w:b/>
          <w:szCs w:val="24"/>
        </w:rPr>
        <w:t xml:space="preserve">Consultation </w:t>
      </w:r>
    </w:p>
    <w:p w:rsidR="00D347E6" w:rsidRDefault="00D347E6" w:rsidP="009838D9">
      <w:pPr>
        <w:keepNext/>
        <w:rPr>
          <w:rFonts w:ascii="Times New Roman" w:hAnsi="Times New Roman"/>
          <w:szCs w:val="24"/>
        </w:rPr>
      </w:pPr>
    </w:p>
    <w:p w:rsidR="006C6E34" w:rsidRDefault="00DA355A" w:rsidP="00C90A25">
      <w:pPr>
        <w:rPr>
          <w:rFonts w:ascii="Times New Roman" w:hAnsi="Times New Roman"/>
          <w:szCs w:val="24"/>
        </w:rPr>
      </w:pPr>
      <w:r>
        <w:rPr>
          <w:rFonts w:ascii="Times New Roman" w:hAnsi="Times New Roman"/>
          <w:szCs w:val="24"/>
        </w:rPr>
        <w:t>In addition to the extensive consultation that was conducted in relation to the Review, the Therapeutic Goods Administration (“</w:t>
      </w:r>
      <w:r w:rsidR="00C90A25" w:rsidRPr="00C90A25">
        <w:rPr>
          <w:rFonts w:ascii="Times New Roman" w:hAnsi="Times New Roman"/>
          <w:szCs w:val="24"/>
        </w:rPr>
        <w:t>TGA</w:t>
      </w:r>
      <w:r>
        <w:rPr>
          <w:rFonts w:ascii="Times New Roman" w:hAnsi="Times New Roman"/>
          <w:szCs w:val="24"/>
        </w:rPr>
        <w:t>”)</w:t>
      </w:r>
      <w:r w:rsidR="00C90A25" w:rsidRPr="00C90A25">
        <w:rPr>
          <w:rFonts w:ascii="Times New Roman" w:hAnsi="Times New Roman"/>
          <w:szCs w:val="24"/>
        </w:rPr>
        <w:t xml:space="preserve"> undertook</w:t>
      </w:r>
      <w:r w:rsidR="006C6E34">
        <w:rPr>
          <w:rFonts w:ascii="Times New Roman" w:hAnsi="Times New Roman"/>
          <w:szCs w:val="24"/>
        </w:rPr>
        <w:t xml:space="preserve"> targeted</w:t>
      </w:r>
      <w:r w:rsidR="00C90A25" w:rsidRPr="00C90A25">
        <w:rPr>
          <w:rFonts w:ascii="Times New Roman" w:hAnsi="Times New Roman"/>
          <w:szCs w:val="24"/>
        </w:rPr>
        <w:t xml:space="preserve"> </w:t>
      </w:r>
      <w:r w:rsidR="006C6E34">
        <w:rPr>
          <w:rFonts w:ascii="Times New Roman" w:hAnsi="Times New Roman"/>
          <w:szCs w:val="24"/>
        </w:rPr>
        <w:t xml:space="preserve">stakeholder </w:t>
      </w:r>
      <w:r w:rsidR="00C90A25" w:rsidRPr="00C90A25">
        <w:rPr>
          <w:rFonts w:ascii="Times New Roman" w:hAnsi="Times New Roman"/>
          <w:szCs w:val="24"/>
        </w:rPr>
        <w:t>consultation</w:t>
      </w:r>
      <w:r w:rsidR="006C6E34">
        <w:rPr>
          <w:rFonts w:ascii="Times New Roman" w:hAnsi="Times New Roman"/>
          <w:szCs w:val="24"/>
        </w:rPr>
        <w:t xml:space="preserve"> </w:t>
      </w:r>
      <w:r>
        <w:rPr>
          <w:rFonts w:ascii="Times New Roman" w:hAnsi="Times New Roman"/>
          <w:szCs w:val="24"/>
        </w:rPr>
        <w:t xml:space="preserve">this year </w:t>
      </w:r>
      <w:r w:rsidR="006C6E34" w:rsidRPr="00C90A25">
        <w:rPr>
          <w:rFonts w:ascii="Times New Roman" w:hAnsi="Times New Roman"/>
          <w:szCs w:val="24"/>
        </w:rPr>
        <w:t>on</w:t>
      </w:r>
      <w:r>
        <w:rPr>
          <w:rFonts w:ascii="Times New Roman" w:hAnsi="Times New Roman"/>
          <w:szCs w:val="24"/>
        </w:rPr>
        <w:t> </w:t>
      </w:r>
      <w:r w:rsidR="006C6E34" w:rsidRPr="00C90A25">
        <w:rPr>
          <w:rFonts w:ascii="Times New Roman" w:hAnsi="Times New Roman"/>
          <w:szCs w:val="24"/>
        </w:rPr>
        <w:t xml:space="preserve">the detailed requirements outlined in this </w:t>
      </w:r>
      <w:r w:rsidR="006C6E34">
        <w:rPr>
          <w:rFonts w:ascii="Times New Roman" w:hAnsi="Times New Roman"/>
          <w:szCs w:val="24"/>
        </w:rPr>
        <w:t>Determination with members of the Regulatory and Technical Consultative Forum for medical devices</w:t>
      </w:r>
      <w:r w:rsidR="00563520">
        <w:rPr>
          <w:rFonts w:ascii="Times New Roman" w:hAnsi="Times New Roman"/>
          <w:szCs w:val="24"/>
        </w:rPr>
        <w:t xml:space="preserve"> (“RegTech”)</w:t>
      </w:r>
      <w:r w:rsidR="006C6E34">
        <w:rPr>
          <w:rFonts w:ascii="Times New Roman" w:hAnsi="Times New Roman"/>
          <w:szCs w:val="24"/>
        </w:rPr>
        <w:t xml:space="preserve">. This consultation was </w:t>
      </w:r>
      <w:r>
        <w:rPr>
          <w:rFonts w:ascii="Times New Roman" w:hAnsi="Times New Roman"/>
          <w:szCs w:val="24"/>
        </w:rPr>
        <w:t xml:space="preserve">conducted </w:t>
      </w:r>
      <w:r w:rsidR="00C90A25" w:rsidRPr="00C90A25">
        <w:rPr>
          <w:rFonts w:ascii="Times New Roman" w:hAnsi="Times New Roman"/>
          <w:szCs w:val="24"/>
        </w:rPr>
        <w:t xml:space="preserve">in conjunction with related changes for use of assessments and approvals from </w:t>
      </w:r>
      <w:r w:rsidR="00F9540D">
        <w:rPr>
          <w:rFonts w:ascii="Times New Roman" w:hAnsi="Times New Roman"/>
          <w:szCs w:val="24"/>
        </w:rPr>
        <w:t>comparable overseas regulators.</w:t>
      </w:r>
    </w:p>
    <w:p w:rsidR="00F9540D" w:rsidRDefault="00F9540D" w:rsidP="00C90A25">
      <w:pPr>
        <w:rPr>
          <w:rFonts w:ascii="Times New Roman" w:hAnsi="Times New Roman"/>
          <w:szCs w:val="24"/>
        </w:rPr>
      </w:pPr>
    </w:p>
    <w:p w:rsidR="006C6E34" w:rsidRDefault="00C90A25" w:rsidP="00C90A25">
      <w:pPr>
        <w:rPr>
          <w:rFonts w:ascii="Times New Roman" w:hAnsi="Times New Roman"/>
          <w:szCs w:val="24"/>
        </w:rPr>
      </w:pPr>
      <w:r w:rsidRPr="00C90A25">
        <w:rPr>
          <w:rFonts w:ascii="Times New Roman" w:hAnsi="Times New Roman"/>
          <w:szCs w:val="24"/>
        </w:rPr>
        <w:t xml:space="preserve">Guidance outlining the </w:t>
      </w:r>
      <w:r w:rsidRPr="006C6E34">
        <w:rPr>
          <w:rFonts w:ascii="Times New Roman" w:hAnsi="Times New Roman"/>
          <w:szCs w:val="24"/>
        </w:rPr>
        <w:t xml:space="preserve">requirements </w:t>
      </w:r>
      <w:r w:rsidR="006C6E34" w:rsidRPr="00F9540D">
        <w:rPr>
          <w:rFonts w:ascii="Times New Roman" w:hAnsi="Times New Roman"/>
          <w:szCs w:val="24"/>
        </w:rPr>
        <w:t>with</w:t>
      </w:r>
      <w:r w:rsidRPr="006C6E34">
        <w:rPr>
          <w:rFonts w:ascii="Times New Roman" w:hAnsi="Times New Roman"/>
          <w:szCs w:val="24"/>
        </w:rPr>
        <w:t xml:space="preserve"> some changes were made</w:t>
      </w:r>
      <w:r w:rsidR="00DA355A">
        <w:rPr>
          <w:rFonts w:ascii="Times New Roman" w:hAnsi="Times New Roman"/>
          <w:szCs w:val="24"/>
        </w:rPr>
        <w:t>,</w:t>
      </w:r>
      <w:r w:rsidRPr="006C6E34">
        <w:rPr>
          <w:rFonts w:ascii="Times New Roman" w:hAnsi="Times New Roman"/>
          <w:szCs w:val="24"/>
        </w:rPr>
        <w:t xml:space="preserve"> and</w:t>
      </w:r>
      <w:r w:rsidRPr="00C90A25">
        <w:rPr>
          <w:rFonts w:ascii="Times New Roman" w:hAnsi="Times New Roman"/>
          <w:szCs w:val="24"/>
        </w:rPr>
        <w:t xml:space="preserve"> additional supporting material in the form of questions and answers was developed. This guidance and </w:t>
      </w:r>
      <w:r w:rsidR="006C6E34">
        <w:rPr>
          <w:rFonts w:ascii="Times New Roman" w:hAnsi="Times New Roman"/>
          <w:szCs w:val="24"/>
        </w:rPr>
        <w:t>supporting material</w:t>
      </w:r>
      <w:r w:rsidRPr="00C90A25">
        <w:rPr>
          <w:rFonts w:ascii="Times New Roman" w:hAnsi="Times New Roman"/>
          <w:szCs w:val="24"/>
        </w:rPr>
        <w:t xml:space="preserve"> were discussed again at the RegTech meeting</w:t>
      </w:r>
      <w:r w:rsidR="006C6E34">
        <w:rPr>
          <w:rFonts w:ascii="Times New Roman" w:hAnsi="Times New Roman"/>
          <w:szCs w:val="24"/>
        </w:rPr>
        <w:t xml:space="preserve"> on </w:t>
      </w:r>
      <w:r w:rsidR="00563520">
        <w:rPr>
          <w:rFonts w:ascii="Times New Roman" w:hAnsi="Times New Roman"/>
          <w:szCs w:val="24"/>
        </w:rPr>
        <w:t>10 </w:t>
      </w:r>
      <w:r w:rsidR="006C6E34" w:rsidRPr="00C90A25">
        <w:rPr>
          <w:rFonts w:ascii="Times New Roman" w:hAnsi="Times New Roman"/>
          <w:szCs w:val="24"/>
        </w:rPr>
        <w:t>August 2018</w:t>
      </w:r>
      <w:r w:rsidR="00F9540D">
        <w:rPr>
          <w:rFonts w:ascii="Times New Roman" w:hAnsi="Times New Roman"/>
          <w:szCs w:val="24"/>
        </w:rPr>
        <w:t xml:space="preserve">. </w:t>
      </w:r>
      <w:r w:rsidRPr="00C90A25">
        <w:rPr>
          <w:rFonts w:ascii="Times New Roman" w:hAnsi="Times New Roman"/>
          <w:szCs w:val="24"/>
        </w:rPr>
        <w:t xml:space="preserve"> </w:t>
      </w:r>
      <w:r w:rsidR="00F9540D">
        <w:t>RegTech members strongly supported the proposal and only provided minor comments which were taken into consideration before the guidance was finalised. The guidance was</w:t>
      </w:r>
      <w:r w:rsidRPr="00C90A25">
        <w:rPr>
          <w:rFonts w:ascii="Times New Roman" w:hAnsi="Times New Roman"/>
          <w:szCs w:val="24"/>
        </w:rPr>
        <w:t xml:space="preserve"> published on the TGA website on 20 August 2018 (</w:t>
      </w:r>
      <w:hyperlink r:id="rId9" w:history="1">
        <w:r w:rsidR="006C6E34" w:rsidRPr="00025168">
          <w:rPr>
            <w:rStyle w:val="Hyperlink"/>
            <w:rFonts w:ascii="Times New Roman" w:hAnsi="Times New Roman"/>
            <w:szCs w:val="24"/>
          </w:rPr>
          <w:t>http://www.tga.gov.au/comparable-overseas-regulators-medical-device-applications</w:t>
        </w:r>
      </w:hyperlink>
      <w:r w:rsidR="006C6E34">
        <w:rPr>
          <w:rFonts w:ascii="Times New Roman" w:hAnsi="Times New Roman"/>
          <w:szCs w:val="24"/>
        </w:rPr>
        <w:t>).</w:t>
      </w:r>
    </w:p>
    <w:p w:rsidR="006C6E34" w:rsidRDefault="006C6E34" w:rsidP="00C90A25">
      <w:pPr>
        <w:rPr>
          <w:rFonts w:ascii="Times New Roman" w:hAnsi="Times New Roman"/>
          <w:szCs w:val="24"/>
        </w:rPr>
      </w:pPr>
    </w:p>
    <w:p w:rsidR="00700F37" w:rsidRPr="00CB3EFF" w:rsidRDefault="006C6E34" w:rsidP="009838D9">
      <w:pPr>
        <w:rPr>
          <w:rFonts w:ascii="Times New Roman" w:hAnsi="Times New Roman"/>
          <w:b/>
          <w:sz w:val="22"/>
          <w:szCs w:val="22"/>
        </w:rPr>
      </w:pPr>
      <w:r>
        <w:rPr>
          <w:rFonts w:ascii="Times New Roman" w:hAnsi="Times New Roman"/>
          <w:szCs w:val="24"/>
        </w:rPr>
        <w:t xml:space="preserve"> </w:t>
      </w:r>
      <w:r w:rsidR="00700F37" w:rsidRPr="00CB3EFF">
        <w:rPr>
          <w:rFonts w:ascii="Times New Roman" w:hAnsi="Times New Roman"/>
          <w:b/>
          <w:sz w:val="22"/>
          <w:szCs w:val="22"/>
        </w:rPr>
        <w:t>Documents incorporated by reference</w:t>
      </w:r>
    </w:p>
    <w:p w:rsidR="00700F37" w:rsidRPr="00CB3EFF" w:rsidRDefault="00700F37" w:rsidP="00700F37">
      <w:pPr>
        <w:rPr>
          <w:rFonts w:ascii="Times New Roman" w:hAnsi="Times New Roman"/>
          <w:sz w:val="22"/>
          <w:szCs w:val="22"/>
        </w:rPr>
      </w:pPr>
    </w:p>
    <w:p w:rsidR="00782045" w:rsidRDefault="00872025" w:rsidP="00700F37">
      <w:pPr>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Schedules 1</w:t>
      </w:r>
      <w:r w:rsidR="00A46299">
        <w:rPr>
          <w:rFonts w:ascii="Times New Roman" w:eastAsiaTheme="minorHAnsi" w:hAnsi="Times New Roman"/>
          <w:color w:val="000000"/>
          <w:szCs w:val="24"/>
          <w:lang w:eastAsia="en-US"/>
        </w:rPr>
        <w:t>, 2</w:t>
      </w:r>
      <w:r>
        <w:rPr>
          <w:rFonts w:ascii="Times New Roman" w:eastAsiaTheme="minorHAnsi" w:hAnsi="Times New Roman"/>
          <w:color w:val="000000"/>
          <w:szCs w:val="24"/>
          <w:lang w:eastAsia="en-US"/>
        </w:rPr>
        <w:t xml:space="preserve"> and </w:t>
      </w:r>
      <w:r w:rsidR="00A46299">
        <w:rPr>
          <w:rFonts w:ascii="Times New Roman" w:eastAsiaTheme="minorHAnsi" w:hAnsi="Times New Roman"/>
          <w:color w:val="000000"/>
          <w:szCs w:val="24"/>
          <w:lang w:eastAsia="en-US"/>
        </w:rPr>
        <w:t>3</w:t>
      </w:r>
      <w:r>
        <w:rPr>
          <w:rFonts w:ascii="Times New Roman" w:eastAsiaTheme="minorHAnsi" w:hAnsi="Times New Roman"/>
          <w:color w:val="000000"/>
          <w:szCs w:val="24"/>
          <w:lang w:eastAsia="en-US"/>
        </w:rPr>
        <w:t xml:space="preserve"> to t</w:t>
      </w:r>
      <w:r w:rsidR="00700F37">
        <w:rPr>
          <w:rFonts w:ascii="Times New Roman" w:eastAsiaTheme="minorHAnsi" w:hAnsi="Times New Roman"/>
          <w:color w:val="000000"/>
          <w:szCs w:val="24"/>
          <w:lang w:eastAsia="en-US"/>
        </w:rPr>
        <w:t>he Determination specif</w:t>
      </w:r>
      <w:r w:rsidR="00840E1F">
        <w:rPr>
          <w:rFonts w:ascii="Times New Roman" w:eastAsiaTheme="minorHAnsi" w:hAnsi="Times New Roman"/>
          <w:color w:val="000000"/>
          <w:szCs w:val="24"/>
          <w:lang w:eastAsia="en-US"/>
        </w:rPr>
        <w:t>y</w:t>
      </w:r>
      <w:r w:rsidR="00700F37">
        <w:rPr>
          <w:rFonts w:ascii="Times New Roman" w:eastAsiaTheme="minorHAnsi" w:hAnsi="Times New Roman"/>
          <w:color w:val="000000"/>
          <w:szCs w:val="24"/>
          <w:lang w:eastAsia="en-US"/>
        </w:rPr>
        <w:t xml:space="preserve"> the kind</w:t>
      </w:r>
      <w:r>
        <w:rPr>
          <w:rFonts w:ascii="Times New Roman" w:eastAsiaTheme="minorHAnsi" w:hAnsi="Times New Roman"/>
          <w:color w:val="000000"/>
          <w:szCs w:val="24"/>
          <w:lang w:eastAsia="en-US"/>
        </w:rPr>
        <w:t>s</w:t>
      </w:r>
      <w:r w:rsidR="00700F37">
        <w:rPr>
          <w:rFonts w:ascii="Times New Roman" w:eastAsiaTheme="minorHAnsi" w:hAnsi="Times New Roman"/>
          <w:color w:val="000000"/>
          <w:szCs w:val="24"/>
          <w:lang w:eastAsia="en-US"/>
        </w:rPr>
        <w:t xml:space="preserve"> of information required to accompany an application form for inclusion of a medical </w:t>
      </w:r>
      <w:r>
        <w:rPr>
          <w:rFonts w:ascii="Times New Roman" w:eastAsiaTheme="minorHAnsi" w:hAnsi="Times New Roman"/>
          <w:color w:val="000000"/>
          <w:szCs w:val="24"/>
          <w:lang w:eastAsia="en-US"/>
        </w:rPr>
        <w:t xml:space="preserve">device in the Register </w:t>
      </w:r>
      <w:r w:rsidR="00700F37">
        <w:rPr>
          <w:rFonts w:ascii="Times New Roman" w:eastAsiaTheme="minorHAnsi" w:hAnsi="Times New Roman"/>
          <w:color w:val="000000"/>
          <w:szCs w:val="24"/>
          <w:lang w:eastAsia="en-US"/>
        </w:rPr>
        <w:t xml:space="preserve">by </w:t>
      </w:r>
      <w:r w:rsidR="00A46299">
        <w:rPr>
          <w:rFonts w:ascii="Times New Roman" w:eastAsiaTheme="minorHAnsi" w:hAnsi="Times New Roman"/>
          <w:color w:val="000000"/>
          <w:szCs w:val="24"/>
          <w:lang w:eastAsia="en-US"/>
        </w:rPr>
        <w:t xml:space="preserve">reference to </w:t>
      </w:r>
      <w:r w:rsidR="00700F37">
        <w:rPr>
          <w:rFonts w:ascii="Times New Roman" w:eastAsiaTheme="minorHAnsi" w:hAnsi="Times New Roman"/>
          <w:color w:val="000000"/>
          <w:szCs w:val="24"/>
          <w:lang w:eastAsia="en-US"/>
        </w:rPr>
        <w:t xml:space="preserve">certain matters contained in </w:t>
      </w:r>
      <w:r w:rsidR="00782045">
        <w:rPr>
          <w:rFonts w:ascii="Times New Roman" w:eastAsiaTheme="minorHAnsi" w:hAnsi="Times New Roman"/>
          <w:color w:val="000000"/>
          <w:szCs w:val="24"/>
          <w:lang w:eastAsia="en-US"/>
        </w:rPr>
        <w:t xml:space="preserve">the </w:t>
      </w:r>
      <w:r w:rsidR="00782045" w:rsidRPr="0056717E">
        <w:rPr>
          <w:rFonts w:ascii="Times New Roman" w:eastAsiaTheme="minorHAnsi" w:hAnsi="Times New Roman"/>
          <w:i/>
          <w:color w:val="000000"/>
          <w:szCs w:val="24"/>
          <w:lang w:eastAsia="en-US"/>
        </w:rPr>
        <w:t>Therapeutic Goods (Medical Devices) Regulations 2002</w:t>
      </w:r>
      <w:r w:rsidR="00782045">
        <w:rPr>
          <w:rFonts w:ascii="Times New Roman" w:eastAsiaTheme="minorHAnsi" w:hAnsi="Times New Roman"/>
          <w:color w:val="000000"/>
          <w:szCs w:val="24"/>
          <w:lang w:eastAsia="en-US"/>
        </w:rPr>
        <w:t xml:space="preserve"> and specified </w:t>
      </w:r>
      <w:r w:rsidR="00A46299">
        <w:rPr>
          <w:rFonts w:ascii="Times New Roman" w:eastAsiaTheme="minorHAnsi" w:hAnsi="Times New Roman"/>
          <w:color w:val="000000"/>
          <w:szCs w:val="24"/>
          <w:lang w:eastAsia="en-US"/>
        </w:rPr>
        <w:t xml:space="preserve">legislation relating to </w:t>
      </w:r>
      <w:r w:rsidR="008A154E">
        <w:rPr>
          <w:rFonts w:ascii="Times New Roman" w:eastAsiaTheme="minorHAnsi" w:hAnsi="Times New Roman"/>
          <w:color w:val="000000"/>
          <w:szCs w:val="24"/>
          <w:lang w:eastAsia="en-US"/>
        </w:rPr>
        <w:t xml:space="preserve">comparable </w:t>
      </w:r>
      <w:r w:rsidR="00782045">
        <w:rPr>
          <w:rFonts w:ascii="Times New Roman" w:eastAsiaTheme="minorHAnsi" w:hAnsi="Times New Roman"/>
          <w:color w:val="000000"/>
          <w:szCs w:val="24"/>
          <w:lang w:eastAsia="en-US"/>
        </w:rPr>
        <w:t xml:space="preserve">overseas regulators </w:t>
      </w:r>
      <w:r w:rsidR="00A46299">
        <w:rPr>
          <w:rFonts w:ascii="Times New Roman" w:eastAsiaTheme="minorHAnsi" w:hAnsi="Times New Roman"/>
          <w:color w:val="000000"/>
          <w:szCs w:val="24"/>
          <w:lang w:eastAsia="en-US"/>
        </w:rPr>
        <w:t>(</w:t>
      </w:r>
      <w:r w:rsidR="00782045">
        <w:rPr>
          <w:rFonts w:ascii="Times New Roman" w:eastAsiaTheme="minorHAnsi" w:hAnsi="Times New Roman"/>
          <w:color w:val="000000"/>
          <w:szCs w:val="24"/>
          <w:lang w:eastAsia="en-US"/>
        </w:rPr>
        <w:t>within the meaning of section 41BIB of the Act</w:t>
      </w:r>
      <w:r w:rsidR="00A46299">
        <w:rPr>
          <w:rFonts w:ascii="Times New Roman" w:eastAsiaTheme="minorHAnsi" w:hAnsi="Times New Roman"/>
          <w:color w:val="000000"/>
          <w:szCs w:val="24"/>
          <w:lang w:eastAsia="en-US"/>
        </w:rPr>
        <w:t>)</w:t>
      </w:r>
      <w:r w:rsidR="00782045">
        <w:rPr>
          <w:rFonts w:ascii="Times New Roman" w:eastAsiaTheme="minorHAnsi" w:hAnsi="Times New Roman"/>
          <w:color w:val="000000"/>
          <w:szCs w:val="24"/>
          <w:lang w:eastAsia="en-US"/>
        </w:rPr>
        <w:t>.</w:t>
      </w:r>
    </w:p>
    <w:p w:rsidR="00782045" w:rsidRDefault="00782045" w:rsidP="00700F37">
      <w:pPr>
        <w:rPr>
          <w:rFonts w:ascii="Times New Roman" w:eastAsiaTheme="minorHAnsi" w:hAnsi="Times New Roman"/>
          <w:color w:val="000000"/>
          <w:szCs w:val="24"/>
          <w:lang w:eastAsia="en-US"/>
        </w:rPr>
      </w:pPr>
    </w:p>
    <w:p w:rsidR="00782045" w:rsidRPr="0056717E" w:rsidRDefault="00782045" w:rsidP="00782045">
      <w:pPr>
        <w:autoSpaceDE w:val="0"/>
        <w:autoSpaceDN w:val="0"/>
        <w:adjustRightInd w:val="0"/>
        <w:rPr>
          <w:rFonts w:ascii="Times New Roman" w:eastAsiaTheme="minorHAnsi" w:hAnsi="Times New Roman"/>
          <w:szCs w:val="24"/>
          <w:lang w:eastAsia="en-US"/>
        </w:rPr>
      </w:pPr>
      <w:r>
        <w:rPr>
          <w:rFonts w:ascii="Times New Roman" w:eastAsiaTheme="minorHAnsi" w:hAnsi="Times New Roman"/>
          <w:color w:val="000000"/>
          <w:szCs w:val="24"/>
          <w:lang w:eastAsia="en-US"/>
        </w:rPr>
        <w:t xml:space="preserve">The </w:t>
      </w:r>
      <w:r w:rsidRPr="004B0C12">
        <w:rPr>
          <w:rFonts w:ascii="Times New Roman" w:eastAsiaTheme="minorHAnsi" w:hAnsi="Times New Roman"/>
          <w:i/>
          <w:color w:val="000000"/>
          <w:szCs w:val="24"/>
          <w:lang w:eastAsia="en-US"/>
        </w:rPr>
        <w:t>Therapeutic Goods (Medical Devices) Regulations 2002</w:t>
      </w:r>
      <w:r>
        <w:rPr>
          <w:rFonts w:ascii="Times New Roman" w:eastAsiaTheme="minorHAnsi" w:hAnsi="Times New Roman"/>
          <w:i/>
          <w:color w:val="000000"/>
          <w:szCs w:val="24"/>
          <w:lang w:eastAsia="en-US"/>
        </w:rPr>
        <w:t xml:space="preserve"> </w:t>
      </w:r>
      <w:r w:rsidRPr="0056717E">
        <w:rPr>
          <w:rFonts w:ascii="Times New Roman" w:eastAsiaTheme="minorHAnsi" w:hAnsi="Times New Roman"/>
          <w:color w:val="000000"/>
          <w:szCs w:val="24"/>
          <w:lang w:eastAsia="en-US"/>
        </w:rPr>
        <w:t>are made under the</w:t>
      </w:r>
      <w:r>
        <w:rPr>
          <w:rFonts w:ascii="Times New Roman" w:eastAsiaTheme="minorHAnsi" w:hAnsi="Times New Roman"/>
          <w:i/>
          <w:color w:val="000000"/>
          <w:szCs w:val="24"/>
          <w:lang w:eastAsia="en-US"/>
        </w:rPr>
        <w:t xml:space="preserve"> Therapeutic </w:t>
      </w:r>
      <w:r w:rsidRPr="00872025">
        <w:rPr>
          <w:rFonts w:ascii="Times New Roman" w:eastAsiaTheme="minorHAnsi" w:hAnsi="Times New Roman"/>
          <w:i/>
          <w:color w:val="000000"/>
          <w:szCs w:val="24"/>
          <w:lang w:eastAsia="en-US"/>
        </w:rPr>
        <w:t xml:space="preserve">Goods Act 1989 </w:t>
      </w:r>
      <w:r w:rsidRPr="0056717E">
        <w:rPr>
          <w:rFonts w:ascii="Times New Roman" w:eastAsiaTheme="minorHAnsi" w:hAnsi="Times New Roman"/>
          <w:color w:val="000000"/>
          <w:szCs w:val="24"/>
          <w:lang w:eastAsia="en-US"/>
        </w:rPr>
        <w:t>and</w:t>
      </w:r>
      <w:r w:rsidRPr="00872025">
        <w:rPr>
          <w:rFonts w:ascii="Times New Roman" w:eastAsiaTheme="minorHAnsi" w:hAnsi="Times New Roman"/>
          <w:i/>
          <w:color w:val="000000"/>
          <w:szCs w:val="24"/>
          <w:lang w:eastAsia="en-US"/>
        </w:rPr>
        <w:t xml:space="preserve"> </w:t>
      </w:r>
      <w:r w:rsidRPr="0056717E">
        <w:rPr>
          <w:rFonts w:ascii="Times New Roman" w:eastAsiaTheme="minorHAnsi" w:hAnsi="Times New Roman"/>
          <w:color w:val="000000"/>
          <w:szCs w:val="24"/>
          <w:lang w:eastAsia="en-US"/>
        </w:rPr>
        <w:t xml:space="preserve">are freely available from </w:t>
      </w:r>
      <w:hyperlink r:id="rId10" w:history="1">
        <w:r w:rsidRPr="00872025">
          <w:rPr>
            <w:rStyle w:val="Hyperlink"/>
            <w:rFonts w:ascii="Times New Roman" w:eastAsiaTheme="minorHAnsi" w:hAnsi="Times New Roman"/>
            <w:szCs w:val="24"/>
            <w:lang w:eastAsia="en-US"/>
          </w:rPr>
          <w:t>www.legislation.gov.au</w:t>
        </w:r>
      </w:hyperlink>
      <w:r w:rsidRPr="00872025">
        <w:rPr>
          <w:rFonts w:ascii="Times New Roman" w:eastAsiaTheme="minorHAnsi" w:hAnsi="Times New Roman"/>
          <w:color w:val="0000FF"/>
          <w:szCs w:val="24"/>
          <w:lang w:eastAsia="en-US"/>
        </w:rPr>
        <w:t xml:space="preserve">. </w:t>
      </w:r>
      <w:r w:rsidRPr="0056717E">
        <w:rPr>
          <w:rFonts w:ascii="Times New Roman" w:eastAsiaTheme="minorHAnsi" w:hAnsi="Times New Roman"/>
          <w:szCs w:val="24"/>
          <w:lang w:eastAsia="en-US"/>
        </w:rPr>
        <w:t>In</w:t>
      </w:r>
      <w:r w:rsidR="008A154E">
        <w:rPr>
          <w:rFonts w:ascii="Times New Roman" w:eastAsiaTheme="minorHAnsi" w:hAnsi="Times New Roman"/>
          <w:szCs w:val="24"/>
          <w:lang w:eastAsia="en-US"/>
        </w:rPr>
        <w:t> </w:t>
      </w:r>
      <w:r w:rsidRPr="0056717E">
        <w:rPr>
          <w:rFonts w:ascii="Times New Roman" w:eastAsiaTheme="minorHAnsi" w:hAnsi="Times New Roman"/>
          <w:szCs w:val="24"/>
          <w:lang w:eastAsia="en-US"/>
        </w:rPr>
        <w:t xml:space="preserve">accordance with section 14 of the </w:t>
      </w:r>
      <w:r w:rsidRPr="00872025">
        <w:rPr>
          <w:rFonts w:ascii="Times New Roman" w:eastAsiaTheme="minorHAnsi" w:hAnsi="Times New Roman"/>
          <w:i/>
          <w:color w:val="000000"/>
          <w:szCs w:val="24"/>
          <w:lang w:eastAsia="en-US"/>
        </w:rPr>
        <w:t>Legis</w:t>
      </w:r>
      <w:r w:rsidRPr="006F15D6">
        <w:rPr>
          <w:rFonts w:ascii="Times New Roman" w:eastAsiaTheme="minorHAnsi" w:hAnsi="Times New Roman"/>
          <w:i/>
          <w:color w:val="000000"/>
          <w:szCs w:val="24"/>
          <w:lang w:eastAsia="en-US"/>
        </w:rPr>
        <w:t>lation Act 2003</w:t>
      </w:r>
      <w:r>
        <w:rPr>
          <w:rFonts w:ascii="Times New Roman" w:eastAsiaTheme="minorHAnsi" w:hAnsi="Times New Roman"/>
          <w:i/>
          <w:color w:val="000000"/>
          <w:szCs w:val="24"/>
          <w:lang w:eastAsia="en-US"/>
        </w:rPr>
        <w:t xml:space="preserve"> </w:t>
      </w:r>
      <w:r w:rsidRPr="006F15D6">
        <w:rPr>
          <w:rFonts w:ascii="Times New Roman" w:eastAsiaTheme="minorHAnsi" w:hAnsi="Times New Roman"/>
          <w:color w:val="000000"/>
          <w:szCs w:val="24"/>
          <w:lang w:eastAsia="en-US"/>
        </w:rPr>
        <w:t>(</w:t>
      </w:r>
      <w:r w:rsidR="008A154E">
        <w:rPr>
          <w:rFonts w:ascii="Times New Roman" w:eastAsiaTheme="minorHAnsi" w:hAnsi="Times New Roman"/>
          <w:color w:val="000000"/>
          <w:szCs w:val="24"/>
          <w:lang w:eastAsia="en-US"/>
        </w:rPr>
        <w:t>“</w:t>
      </w:r>
      <w:r w:rsidRPr="006F15D6">
        <w:rPr>
          <w:rFonts w:ascii="Times New Roman" w:eastAsiaTheme="minorHAnsi" w:hAnsi="Times New Roman"/>
          <w:color w:val="000000"/>
          <w:szCs w:val="24"/>
          <w:lang w:eastAsia="en-US"/>
        </w:rPr>
        <w:t>Legislation Act</w:t>
      </w:r>
      <w:r w:rsidR="008A154E">
        <w:rPr>
          <w:rFonts w:ascii="Times New Roman" w:eastAsiaTheme="minorHAnsi" w:hAnsi="Times New Roman"/>
          <w:color w:val="000000"/>
          <w:szCs w:val="24"/>
          <w:lang w:eastAsia="en-US"/>
        </w:rPr>
        <w:t>”</w:t>
      </w:r>
      <w:r w:rsidR="00170363">
        <w:rPr>
          <w:rFonts w:ascii="Times New Roman" w:eastAsiaTheme="minorHAnsi" w:hAnsi="Times New Roman"/>
          <w:color w:val="000000"/>
          <w:szCs w:val="24"/>
          <w:lang w:eastAsia="en-US"/>
        </w:rPr>
        <w:t xml:space="preserve">), </w:t>
      </w:r>
      <w:r>
        <w:rPr>
          <w:rFonts w:ascii="Times New Roman" w:eastAsiaTheme="minorHAnsi" w:hAnsi="Times New Roman"/>
          <w:color w:val="000000"/>
          <w:szCs w:val="24"/>
          <w:lang w:eastAsia="en-US"/>
        </w:rPr>
        <w:t xml:space="preserve">these regulations </w:t>
      </w:r>
      <w:r w:rsidRPr="00170363">
        <w:rPr>
          <w:rFonts w:ascii="Times New Roman" w:eastAsiaTheme="minorHAnsi" w:hAnsi="Times New Roman"/>
          <w:color w:val="000000"/>
          <w:szCs w:val="24"/>
          <w:lang w:eastAsia="en-US"/>
        </w:rPr>
        <w:t>are</w:t>
      </w:r>
      <w:r w:rsidR="00B72D34" w:rsidRPr="00170363">
        <w:rPr>
          <w:rFonts w:ascii="Times New Roman" w:eastAsiaTheme="minorHAnsi" w:hAnsi="Times New Roman"/>
          <w:color w:val="000000"/>
          <w:szCs w:val="24"/>
          <w:lang w:eastAsia="en-US"/>
        </w:rPr>
        <w:t xml:space="preserve"> incorporated</w:t>
      </w:r>
      <w:r w:rsidR="009455F9">
        <w:rPr>
          <w:rFonts w:ascii="Times New Roman" w:eastAsiaTheme="minorHAnsi" w:hAnsi="Times New Roman"/>
          <w:color w:val="000000"/>
          <w:szCs w:val="24"/>
          <w:lang w:eastAsia="en-US"/>
        </w:rPr>
        <w:t xml:space="preserve"> as</w:t>
      </w:r>
      <w:r w:rsidR="00B72D34" w:rsidRPr="00170363">
        <w:rPr>
          <w:rFonts w:ascii="Times New Roman" w:eastAsiaTheme="minorHAnsi" w:hAnsi="Times New Roman"/>
          <w:color w:val="000000"/>
          <w:szCs w:val="24"/>
          <w:lang w:eastAsia="en-US"/>
        </w:rPr>
        <w:t xml:space="preserve"> </w:t>
      </w:r>
      <w:r w:rsidR="00A46299">
        <w:rPr>
          <w:rFonts w:ascii="Times New Roman" w:eastAsiaTheme="minorHAnsi" w:hAnsi="Times New Roman"/>
          <w:color w:val="000000"/>
          <w:szCs w:val="24"/>
          <w:lang w:eastAsia="en-US"/>
        </w:rPr>
        <w:t xml:space="preserve">amended </w:t>
      </w:r>
      <w:r w:rsidRPr="00170363">
        <w:rPr>
          <w:rFonts w:ascii="Times New Roman" w:eastAsiaTheme="minorHAnsi" w:hAnsi="Times New Roman"/>
          <w:color w:val="000000"/>
          <w:szCs w:val="24"/>
          <w:lang w:eastAsia="en-US"/>
        </w:rPr>
        <w:t>from time to time</w:t>
      </w:r>
      <w:r w:rsidR="00B72D34" w:rsidRPr="00170363">
        <w:rPr>
          <w:rFonts w:ascii="Times New Roman" w:eastAsiaTheme="minorHAnsi" w:hAnsi="Times New Roman"/>
          <w:color w:val="000000"/>
          <w:szCs w:val="24"/>
          <w:lang w:eastAsia="en-US"/>
        </w:rPr>
        <w:t>, and so</w:t>
      </w:r>
      <w:r w:rsidR="00170363" w:rsidRPr="0056717E">
        <w:rPr>
          <w:rFonts w:ascii="Times New Roman" w:eastAsiaTheme="minorHAnsi" w:hAnsi="Times New Roman"/>
          <w:color w:val="000000"/>
          <w:szCs w:val="24"/>
          <w:lang w:eastAsia="en-US"/>
        </w:rPr>
        <w:t xml:space="preserve"> any changes subsequently made to these regulations will be automatically incorporated</w:t>
      </w:r>
      <w:r w:rsidRPr="00170363">
        <w:rPr>
          <w:rFonts w:ascii="Times New Roman" w:eastAsiaTheme="minorHAnsi" w:hAnsi="Times New Roman"/>
          <w:color w:val="000000"/>
          <w:szCs w:val="24"/>
          <w:lang w:eastAsia="en-US"/>
        </w:rPr>
        <w:t>.</w:t>
      </w:r>
    </w:p>
    <w:p w:rsidR="00782045" w:rsidRPr="0056717E" w:rsidRDefault="00782045" w:rsidP="00700F37">
      <w:pPr>
        <w:rPr>
          <w:rFonts w:ascii="Times New Roman" w:eastAsiaTheme="minorHAnsi" w:hAnsi="Times New Roman"/>
          <w:szCs w:val="24"/>
          <w:lang w:eastAsia="en-US"/>
        </w:rPr>
      </w:pPr>
    </w:p>
    <w:p w:rsidR="00503F73" w:rsidRDefault="00170363" w:rsidP="009838D9">
      <w:pPr>
        <w:autoSpaceDE w:val="0"/>
        <w:autoSpaceDN w:val="0"/>
        <w:adjustRightInd w:val="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lastRenderedPageBreak/>
        <w:t>T</w:t>
      </w:r>
      <w:r w:rsidR="00700F37">
        <w:rPr>
          <w:rFonts w:ascii="Times New Roman" w:eastAsiaTheme="minorHAnsi" w:hAnsi="Times New Roman"/>
          <w:color w:val="000000"/>
          <w:szCs w:val="24"/>
          <w:lang w:eastAsia="en-US"/>
        </w:rPr>
        <w:t xml:space="preserve">he following table contains a description of the </w:t>
      </w:r>
      <w:r w:rsidR="00A46299">
        <w:rPr>
          <w:rFonts w:ascii="Times New Roman" w:eastAsiaTheme="minorHAnsi" w:hAnsi="Times New Roman"/>
          <w:color w:val="000000"/>
          <w:szCs w:val="24"/>
          <w:lang w:eastAsia="en-US"/>
        </w:rPr>
        <w:t xml:space="preserve">other documents </w:t>
      </w:r>
      <w:r>
        <w:rPr>
          <w:rFonts w:ascii="Times New Roman" w:eastAsiaTheme="minorHAnsi" w:hAnsi="Times New Roman"/>
          <w:color w:val="000000"/>
          <w:szCs w:val="24"/>
          <w:lang w:eastAsia="en-US"/>
        </w:rPr>
        <w:t>relat</w:t>
      </w:r>
      <w:r w:rsidR="00A46299">
        <w:rPr>
          <w:rFonts w:ascii="Times New Roman" w:eastAsiaTheme="minorHAnsi" w:hAnsi="Times New Roman"/>
          <w:color w:val="000000"/>
          <w:szCs w:val="24"/>
          <w:lang w:eastAsia="en-US"/>
        </w:rPr>
        <w:t xml:space="preserve">ing </w:t>
      </w:r>
      <w:r>
        <w:rPr>
          <w:rFonts w:ascii="Times New Roman" w:eastAsiaTheme="minorHAnsi" w:hAnsi="Times New Roman"/>
          <w:color w:val="000000"/>
          <w:szCs w:val="24"/>
          <w:lang w:eastAsia="en-US"/>
        </w:rPr>
        <w:t>to overseas regulators that are</w:t>
      </w:r>
      <w:r w:rsidR="00700F37">
        <w:rPr>
          <w:rFonts w:ascii="Times New Roman" w:eastAsiaTheme="minorHAnsi" w:hAnsi="Times New Roman"/>
          <w:color w:val="000000"/>
          <w:szCs w:val="24"/>
          <w:lang w:eastAsia="en-US"/>
        </w:rPr>
        <w:t xml:space="preserve"> incorporated by reference into the </w:t>
      </w:r>
      <w:r>
        <w:rPr>
          <w:rFonts w:ascii="Times New Roman" w:eastAsiaTheme="minorHAnsi" w:hAnsi="Times New Roman"/>
          <w:color w:val="000000"/>
          <w:szCs w:val="24"/>
          <w:lang w:eastAsia="en-US"/>
        </w:rPr>
        <w:t>Determination</w:t>
      </w:r>
      <w:r w:rsidR="00700F37">
        <w:rPr>
          <w:rFonts w:ascii="Times New Roman" w:eastAsiaTheme="minorHAnsi" w:hAnsi="Times New Roman"/>
          <w:color w:val="000000"/>
          <w:szCs w:val="24"/>
          <w:lang w:eastAsia="en-US"/>
        </w:rPr>
        <w:t xml:space="preserve"> and how </w:t>
      </w:r>
      <w:r w:rsidR="008A154E">
        <w:rPr>
          <w:rFonts w:ascii="Times New Roman" w:eastAsiaTheme="minorHAnsi" w:hAnsi="Times New Roman"/>
          <w:color w:val="000000"/>
          <w:szCs w:val="24"/>
          <w:lang w:eastAsia="en-US"/>
        </w:rPr>
        <w:t xml:space="preserve">those </w:t>
      </w:r>
      <w:r w:rsidR="00A46299">
        <w:rPr>
          <w:rFonts w:ascii="Times New Roman" w:eastAsiaTheme="minorHAnsi" w:hAnsi="Times New Roman"/>
          <w:color w:val="000000"/>
          <w:szCs w:val="24"/>
          <w:lang w:eastAsia="en-US"/>
        </w:rPr>
        <w:t xml:space="preserve">documents </w:t>
      </w:r>
      <w:r w:rsidR="00700F37">
        <w:rPr>
          <w:rFonts w:ascii="Times New Roman" w:eastAsiaTheme="minorHAnsi" w:hAnsi="Times New Roman"/>
          <w:color w:val="000000"/>
          <w:szCs w:val="24"/>
          <w:lang w:eastAsia="en-US"/>
        </w:rPr>
        <w:t>may be obtained.</w:t>
      </w:r>
      <w:r w:rsidR="00BA4252">
        <w:rPr>
          <w:rFonts w:ascii="Times New Roman" w:eastAsiaTheme="minorHAnsi" w:hAnsi="Times New Roman"/>
          <w:color w:val="000000"/>
          <w:szCs w:val="24"/>
          <w:lang w:eastAsia="en-US"/>
        </w:rPr>
        <w:t xml:space="preserve"> All of these documents are freely available.</w:t>
      </w:r>
    </w:p>
    <w:p w:rsidR="00700F37" w:rsidRDefault="00700F37" w:rsidP="00700F37">
      <w:pPr>
        <w:autoSpaceDE w:val="0"/>
        <w:autoSpaceDN w:val="0"/>
        <w:adjustRightInd w:val="0"/>
        <w:rPr>
          <w:rFonts w:ascii="Times New Roman" w:eastAsiaTheme="minorHAnsi" w:hAnsi="Times New Roman"/>
          <w:color w:val="000000"/>
          <w:szCs w:val="24"/>
          <w:lang w:eastAsia="en-US"/>
        </w:rPr>
      </w:pPr>
    </w:p>
    <w:tbl>
      <w:tblPr>
        <w:tblStyle w:val="TableGrid"/>
        <w:tblW w:w="9004" w:type="dxa"/>
        <w:tblInd w:w="108" w:type="dxa"/>
        <w:tblBorders>
          <w:left w:val="none" w:sz="0" w:space="0" w:color="auto"/>
          <w:right w:val="none" w:sz="0" w:space="0" w:color="auto"/>
        </w:tblBorders>
        <w:tblLayout w:type="fixed"/>
        <w:tblLook w:val="04A0" w:firstRow="1" w:lastRow="0" w:firstColumn="1" w:lastColumn="0" w:noHBand="0" w:noVBand="1"/>
      </w:tblPr>
      <w:tblGrid>
        <w:gridCol w:w="2660"/>
        <w:gridCol w:w="3118"/>
        <w:gridCol w:w="3226"/>
      </w:tblGrid>
      <w:tr w:rsidR="00700F37" w:rsidRPr="00F7228D" w:rsidTr="009838D9">
        <w:tc>
          <w:tcPr>
            <w:tcW w:w="2660" w:type="dxa"/>
          </w:tcPr>
          <w:p w:rsidR="00700F37" w:rsidRPr="00D711F6" w:rsidRDefault="00700F37" w:rsidP="007018B7">
            <w:pPr>
              <w:autoSpaceDE w:val="0"/>
              <w:autoSpaceDN w:val="0"/>
              <w:adjustRightInd w:val="0"/>
              <w:spacing w:before="120"/>
              <w:rPr>
                <w:rFonts w:ascii="Times New Roman" w:eastAsiaTheme="minorHAnsi" w:hAnsi="Times New Roman"/>
                <w:b/>
                <w:color w:val="000000"/>
                <w:szCs w:val="24"/>
                <w:lang w:eastAsia="en-US"/>
              </w:rPr>
            </w:pPr>
            <w:r w:rsidRPr="00D711F6">
              <w:rPr>
                <w:rFonts w:ascii="Times New Roman" w:eastAsiaTheme="minorHAnsi" w:hAnsi="Times New Roman"/>
                <w:b/>
                <w:color w:val="000000"/>
                <w:szCs w:val="24"/>
                <w:lang w:eastAsia="en-US"/>
              </w:rPr>
              <w:t>Document</w:t>
            </w:r>
          </w:p>
        </w:tc>
        <w:tc>
          <w:tcPr>
            <w:tcW w:w="3118" w:type="dxa"/>
          </w:tcPr>
          <w:p w:rsidR="00700F37" w:rsidRPr="00D711F6" w:rsidRDefault="00700F37" w:rsidP="007018B7">
            <w:pPr>
              <w:autoSpaceDE w:val="0"/>
              <w:autoSpaceDN w:val="0"/>
              <w:adjustRightInd w:val="0"/>
              <w:spacing w:before="120"/>
              <w:rPr>
                <w:rFonts w:ascii="Times New Roman" w:eastAsiaTheme="minorHAnsi" w:hAnsi="Times New Roman"/>
                <w:b/>
                <w:color w:val="000000"/>
                <w:szCs w:val="24"/>
                <w:lang w:eastAsia="en-US"/>
              </w:rPr>
            </w:pPr>
            <w:r w:rsidRPr="00D711F6">
              <w:rPr>
                <w:rFonts w:ascii="Times New Roman" w:eastAsiaTheme="minorHAnsi" w:hAnsi="Times New Roman"/>
                <w:b/>
                <w:color w:val="000000"/>
                <w:szCs w:val="24"/>
                <w:lang w:eastAsia="en-US"/>
              </w:rPr>
              <w:t>Description</w:t>
            </w:r>
          </w:p>
        </w:tc>
        <w:tc>
          <w:tcPr>
            <w:tcW w:w="3226" w:type="dxa"/>
          </w:tcPr>
          <w:p w:rsidR="00700F37" w:rsidRPr="00D711F6" w:rsidRDefault="00700F37" w:rsidP="007018B7">
            <w:pPr>
              <w:autoSpaceDE w:val="0"/>
              <w:autoSpaceDN w:val="0"/>
              <w:adjustRightInd w:val="0"/>
              <w:spacing w:before="120"/>
              <w:rPr>
                <w:rFonts w:ascii="Times New Roman" w:eastAsiaTheme="minorHAnsi" w:hAnsi="Times New Roman"/>
                <w:b/>
                <w:color w:val="000000"/>
                <w:szCs w:val="24"/>
                <w:lang w:eastAsia="en-US"/>
              </w:rPr>
            </w:pPr>
            <w:r w:rsidRPr="00D711F6">
              <w:rPr>
                <w:rFonts w:ascii="Times New Roman" w:eastAsiaTheme="minorHAnsi" w:hAnsi="Times New Roman"/>
                <w:b/>
                <w:color w:val="000000"/>
                <w:szCs w:val="24"/>
                <w:lang w:eastAsia="en-US"/>
              </w:rPr>
              <w:t>Source</w:t>
            </w:r>
          </w:p>
        </w:tc>
      </w:tr>
      <w:tr w:rsidR="00700F37" w:rsidTr="009838D9">
        <w:tc>
          <w:tcPr>
            <w:tcW w:w="2660" w:type="dxa"/>
          </w:tcPr>
          <w:p w:rsidR="00700F37" w:rsidRDefault="00700F37" w:rsidP="007018B7">
            <w:pPr>
              <w:autoSpaceDE w:val="0"/>
              <w:autoSpaceDN w:val="0"/>
              <w:adjustRightInd w:val="0"/>
              <w:spacing w:before="60" w:after="60"/>
            </w:pPr>
            <w:r>
              <w:rPr>
                <w:szCs w:val="22"/>
              </w:rPr>
              <w:t xml:space="preserve">Medical Devices Regulations (SOR/98-282) made under the </w:t>
            </w:r>
            <w:r w:rsidRPr="00502239">
              <w:rPr>
                <w:i/>
                <w:szCs w:val="22"/>
              </w:rPr>
              <w:t>Food and Drugs Act</w:t>
            </w:r>
            <w:r>
              <w:rPr>
                <w:szCs w:val="22"/>
              </w:rPr>
              <w:t xml:space="preserve"> of Canada</w:t>
            </w:r>
          </w:p>
        </w:tc>
        <w:tc>
          <w:tcPr>
            <w:tcW w:w="3118" w:type="dxa"/>
          </w:tcPr>
          <w:p w:rsidR="005F1E2F" w:rsidRPr="0056717E" w:rsidRDefault="00A05F22" w:rsidP="007018B7">
            <w:pPr>
              <w:autoSpaceDE w:val="0"/>
              <w:autoSpaceDN w:val="0"/>
              <w:adjustRightInd w:val="0"/>
              <w:spacing w:before="60" w:after="60"/>
              <w:rPr>
                <w:szCs w:val="22"/>
              </w:rPr>
            </w:pPr>
            <w:r>
              <w:rPr>
                <w:rFonts w:ascii="Times New Roman" w:eastAsiaTheme="minorHAnsi" w:hAnsi="Times New Roman"/>
                <w:color w:val="000000"/>
                <w:szCs w:val="24"/>
                <w:lang w:eastAsia="en-US"/>
              </w:rPr>
              <w:t>These r</w:t>
            </w:r>
            <w:r w:rsidR="00700F37">
              <w:rPr>
                <w:rFonts w:ascii="Times New Roman" w:eastAsiaTheme="minorHAnsi" w:hAnsi="Times New Roman"/>
                <w:color w:val="000000"/>
                <w:szCs w:val="24"/>
                <w:lang w:eastAsia="en-US"/>
              </w:rPr>
              <w:t>egulations</w:t>
            </w:r>
            <w:r>
              <w:rPr>
                <w:rFonts w:ascii="Times New Roman" w:eastAsiaTheme="minorHAnsi" w:hAnsi="Times New Roman"/>
                <w:color w:val="000000"/>
                <w:szCs w:val="24"/>
                <w:lang w:eastAsia="en-US"/>
              </w:rPr>
              <w:t xml:space="preserve"> are</w:t>
            </w:r>
            <w:r w:rsidR="00700F37">
              <w:rPr>
                <w:rFonts w:ascii="Times New Roman" w:eastAsiaTheme="minorHAnsi" w:hAnsi="Times New Roman"/>
                <w:color w:val="000000"/>
                <w:szCs w:val="24"/>
                <w:lang w:eastAsia="en-US"/>
              </w:rPr>
              <w:t xml:space="preserve"> made under the </w:t>
            </w:r>
            <w:r w:rsidR="00700F37" w:rsidRPr="00502239">
              <w:rPr>
                <w:i/>
                <w:szCs w:val="22"/>
              </w:rPr>
              <w:t>Food and Drugs Act</w:t>
            </w:r>
            <w:r w:rsidR="00700F37">
              <w:rPr>
                <w:szCs w:val="22"/>
              </w:rPr>
              <w:t xml:space="preserve"> of Canada</w:t>
            </w:r>
            <w:r>
              <w:rPr>
                <w:szCs w:val="22"/>
              </w:rPr>
              <w:t xml:space="preserve"> and specify requirements</w:t>
            </w:r>
            <w:r w:rsidR="00700F37">
              <w:rPr>
                <w:szCs w:val="22"/>
              </w:rPr>
              <w:t xml:space="preserve"> </w:t>
            </w:r>
            <w:r w:rsidR="00292591">
              <w:rPr>
                <w:szCs w:val="22"/>
              </w:rPr>
              <w:t xml:space="preserve">in relation to the </w:t>
            </w:r>
            <w:r>
              <w:rPr>
                <w:szCs w:val="22"/>
              </w:rPr>
              <w:t>manufacture, sale, advertising and importation</w:t>
            </w:r>
            <w:r w:rsidR="00292591">
              <w:rPr>
                <w:szCs w:val="22"/>
              </w:rPr>
              <w:t xml:space="preserve"> of medical devices</w:t>
            </w:r>
            <w:r>
              <w:rPr>
                <w:szCs w:val="22"/>
              </w:rPr>
              <w:t>, including in vitro medical devices.</w:t>
            </w:r>
          </w:p>
        </w:tc>
        <w:tc>
          <w:tcPr>
            <w:tcW w:w="3226" w:type="dxa"/>
          </w:tcPr>
          <w:p w:rsidR="00700F37" w:rsidRDefault="00DF59B7" w:rsidP="007018B7">
            <w:pPr>
              <w:autoSpaceDE w:val="0"/>
              <w:autoSpaceDN w:val="0"/>
              <w:adjustRightInd w:val="0"/>
              <w:spacing w:before="60" w:after="60"/>
              <w:rPr>
                <w:rFonts w:ascii="Times New Roman" w:eastAsiaTheme="minorHAnsi" w:hAnsi="Times New Roman"/>
                <w:color w:val="0000FF"/>
                <w:szCs w:val="24"/>
                <w:lang w:eastAsia="en-US"/>
              </w:rPr>
            </w:pPr>
            <w:hyperlink r:id="rId11" w:history="1">
              <w:r w:rsidR="00700F37" w:rsidRPr="006B1C98">
                <w:rPr>
                  <w:rStyle w:val="Hyperlink"/>
                  <w:rFonts w:ascii="Times New Roman" w:eastAsiaTheme="minorHAnsi" w:hAnsi="Times New Roman"/>
                  <w:szCs w:val="24"/>
                  <w:lang w:eastAsia="en-US"/>
                </w:rPr>
                <w:t>http://laws-lois.justice.gc.ca/eng/regulations/SOR-98-282/</w:t>
              </w:r>
            </w:hyperlink>
          </w:p>
          <w:p w:rsidR="00700F37" w:rsidRDefault="00700F37" w:rsidP="007018B7">
            <w:pPr>
              <w:autoSpaceDE w:val="0"/>
              <w:autoSpaceDN w:val="0"/>
              <w:adjustRightInd w:val="0"/>
              <w:spacing w:before="60" w:after="60"/>
              <w:rPr>
                <w:rFonts w:ascii="Times New Roman" w:eastAsiaTheme="minorHAnsi" w:hAnsi="Times New Roman"/>
                <w:color w:val="0000FF"/>
                <w:szCs w:val="24"/>
                <w:lang w:eastAsia="en-US"/>
              </w:rPr>
            </w:pPr>
          </w:p>
        </w:tc>
      </w:tr>
      <w:tr w:rsidR="00700F37" w:rsidTr="009838D9">
        <w:tc>
          <w:tcPr>
            <w:tcW w:w="2660" w:type="dxa"/>
          </w:tcPr>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r>
              <w:t>Council Directive of 20</w:t>
            </w:r>
            <w:r w:rsidR="00A46299">
              <w:t> </w:t>
            </w:r>
            <w:r>
              <w:t>June 1990 on the approximation of the laws of the Member States relating to active implantable medical devices (90/385/EEC)</w:t>
            </w:r>
          </w:p>
        </w:tc>
        <w:tc>
          <w:tcPr>
            <w:tcW w:w="3118" w:type="dxa"/>
          </w:tcPr>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This directive of the Council</w:t>
            </w:r>
            <w:r w:rsidR="00C958EE">
              <w:rPr>
                <w:rFonts w:ascii="Times New Roman" w:eastAsiaTheme="minorHAnsi" w:hAnsi="Times New Roman"/>
                <w:color w:val="000000"/>
                <w:szCs w:val="24"/>
                <w:lang w:eastAsia="en-US"/>
              </w:rPr>
              <w:t xml:space="preserve"> of the European Communities</w:t>
            </w:r>
            <w:r>
              <w:rPr>
                <w:rFonts w:ascii="Times New Roman" w:eastAsiaTheme="minorHAnsi" w:hAnsi="Times New Roman"/>
                <w:color w:val="000000"/>
                <w:szCs w:val="24"/>
                <w:lang w:eastAsia="en-US"/>
              </w:rPr>
              <w:t xml:space="preserve"> sets out the requirements </w:t>
            </w:r>
            <w:r w:rsidR="00A46299">
              <w:rPr>
                <w:rFonts w:ascii="Times New Roman" w:eastAsiaTheme="minorHAnsi" w:hAnsi="Times New Roman"/>
                <w:color w:val="000000"/>
                <w:szCs w:val="24"/>
                <w:lang w:eastAsia="en-US"/>
              </w:rPr>
              <w:t xml:space="preserve">for </w:t>
            </w:r>
            <w:r>
              <w:t>active implantable medical devices</w:t>
            </w:r>
            <w:r>
              <w:rPr>
                <w:rFonts w:ascii="Times New Roman" w:eastAsiaTheme="minorHAnsi" w:hAnsi="Times New Roman"/>
                <w:color w:val="000000"/>
                <w:szCs w:val="24"/>
                <w:lang w:eastAsia="en-US"/>
              </w:rPr>
              <w:t xml:space="preserve"> available in the European Union (EU)</w:t>
            </w:r>
            <w:r w:rsidR="00872025">
              <w:rPr>
                <w:rFonts w:ascii="Times New Roman" w:eastAsiaTheme="minorHAnsi" w:hAnsi="Times New Roman"/>
                <w:color w:val="000000"/>
                <w:szCs w:val="24"/>
                <w:lang w:eastAsia="en-US"/>
              </w:rPr>
              <w:t>.</w:t>
            </w:r>
          </w:p>
        </w:tc>
        <w:tc>
          <w:tcPr>
            <w:tcW w:w="3226" w:type="dxa"/>
          </w:tcPr>
          <w:p w:rsidR="00700F37" w:rsidRDefault="00DF59B7" w:rsidP="007018B7">
            <w:pPr>
              <w:autoSpaceDE w:val="0"/>
              <w:autoSpaceDN w:val="0"/>
              <w:adjustRightInd w:val="0"/>
              <w:spacing w:before="60" w:after="60"/>
              <w:rPr>
                <w:rFonts w:ascii="Times New Roman" w:eastAsiaTheme="minorHAnsi" w:hAnsi="Times New Roman"/>
                <w:color w:val="0000FF"/>
                <w:szCs w:val="24"/>
                <w:lang w:eastAsia="en-US"/>
              </w:rPr>
            </w:pPr>
            <w:hyperlink r:id="rId12" w:history="1">
              <w:r w:rsidR="00700F37" w:rsidRPr="006B1C98">
                <w:rPr>
                  <w:rStyle w:val="Hyperlink"/>
                  <w:rFonts w:ascii="Times New Roman" w:eastAsiaTheme="minorHAnsi" w:hAnsi="Times New Roman"/>
                  <w:szCs w:val="24"/>
                  <w:lang w:eastAsia="en-US"/>
                </w:rPr>
                <w:t>https://eur-lex.europa.eu/legal-content/EN/ALL/?uri=celex:31990L0385</w:t>
              </w:r>
            </w:hyperlink>
          </w:p>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p>
        </w:tc>
      </w:tr>
      <w:tr w:rsidR="00700F37" w:rsidTr="009838D9">
        <w:tc>
          <w:tcPr>
            <w:tcW w:w="2660" w:type="dxa"/>
          </w:tcPr>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r>
              <w:t>Council Directive 93/42/EEC of 14 June 1993 concerning medical devices</w:t>
            </w:r>
          </w:p>
        </w:tc>
        <w:tc>
          <w:tcPr>
            <w:tcW w:w="3118" w:type="dxa"/>
          </w:tcPr>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This directive of the Council of the European </w:t>
            </w:r>
            <w:r w:rsidR="00C958EE">
              <w:rPr>
                <w:rFonts w:ascii="Times New Roman" w:eastAsiaTheme="minorHAnsi" w:hAnsi="Times New Roman"/>
                <w:color w:val="000000"/>
                <w:szCs w:val="24"/>
                <w:lang w:eastAsia="en-US"/>
              </w:rPr>
              <w:t>Communities</w:t>
            </w:r>
            <w:r>
              <w:rPr>
                <w:rFonts w:ascii="Times New Roman" w:eastAsiaTheme="minorHAnsi" w:hAnsi="Times New Roman"/>
                <w:color w:val="000000"/>
                <w:szCs w:val="24"/>
                <w:lang w:eastAsia="en-US"/>
              </w:rPr>
              <w:t xml:space="preserve"> sets out the requirements </w:t>
            </w:r>
            <w:r w:rsidR="00A46299">
              <w:rPr>
                <w:rFonts w:ascii="Times New Roman" w:eastAsiaTheme="minorHAnsi" w:hAnsi="Times New Roman"/>
                <w:color w:val="000000"/>
                <w:szCs w:val="24"/>
                <w:lang w:eastAsia="en-US"/>
              </w:rPr>
              <w:t xml:space="preserve">for </w:t>
            </w:r>
            <w:r>
              <w:rPr>
                <w:rFonts w:ascii="Times New Roman" w:eastAsiaTheme="minorHAnsi" w:hAnsi="Times New Roman"/>
                <w:color w:val="000000"/>
                <w:szCs w:val="24"/>
                <w:lang w:eastAsia="en-US"/>
              </w:rPr>
              <w:t>medical devices available in the EU</w:t>
            </w:r>
            <w:r w:rsidR="00872025">
              <w:rPr>
                <w:rFonts w:ascii="Times New Roman" w:eastAsiaTheme="minorHAnsi" w:hAnsi="Times New Roman"/>
                <w:color w:val="000000"/>
                <w:szCs w:val="24"/>
                <w:lang w:eastAsia="en-US"/>
              </w:rPr>
              <w:t>.</w:t>
            </w:r>
          </w:p>
        </w:tc>
        <w:tc>
          <w:tcPr>
            <w:tcW w:w="3226" w:type="dxa"/>
          </w:tcPr>
          <w:p w:rsidR="00700F37" w:rsidRDefault="00DF59B7" w:rsidP="007018B7">
            <w:pPr>
              <w:autoSpaceDE w:val="0"/>
              <w:autoSpaceDN w:val="0"/>
              <w:adjustRightInd w:val="0"/>
              <w:spacing w:before="60" w:after="60"/>
              <w:rPr>
                <w:rFonts w:ascii="Times New Roman" w:eastAsiaTheme="minorHAnsi" w:hAnsi="Times New Roman"/>
                <w:color w:val="000000"/>
                <w:szCs w:val="24"/>
                <w:lang w:eastAsia="en-US"/>
              </w:rPr>
            </w:pPr>
            <w:hyperlink r:id="rId13" w:history="1">
              <w:r w:rsidR="00700F37" w:rsidRPr="006B1C98">
                <w:rPr>
                  <w:rStyle w:val="Hyperlink"/>
                  <w:rFonts w:ascii="Times New Roman" w:eastAsiaTheme="minorHAnsi" w:hAnsi="Times New Roman"/>
                  <w:szCs w:val="24"/>
                  <w:lang w:eastAsia="en-US"/>
                </w:rPr>
                <w:t>https://eur-lex.europa.eu/legal-content/EN/ALL/?uri=CELEX:31993L0042</w:t>
              </w:r>
            </w:hyperlink>
          </w:p>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p>
        </w:tc>
      </w:tr>
      <w:tr w:rsidR="00700F37" w:rsidTr="009838D9">
        <w:tc>
          <w:tcPr>
            <w:tcW w:w="2660" w:type="dxa"/>
          </w:tcPr>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r>
              <w:t>Directive 98/79/EC of the European Parliament and of the Council of 27</w:t>
            </w:r>
            <w:r w:rsidR="00A46299">
              <w:t> </w:t>
            </w:r>
            <w:r>
              <w:t xml:space="preserve">October 1998 on </w:t>
            </w:r>
            <w:r w:rsidRPr="00502239">
              <w:rPr>
                <w:i/>
              </w:rPr>
              <w:t>in vitro</w:t>
            </w:r>
            <w:r>
              <w:t xml:space="preserve"> diagnostic medical devices</w:t>
            </w:r>
          </w:p>
        </w:tc>
        <w:tc>
          <w:tcPr>
            <w:tcW w:w="3118" w:type="dxa"/>
          </w:tcPr>
          <w:p w:rsidR="00700F37" w:rsidRDefault="00C958EE" w:rsidP="007018B7">
            <w:pPr>
              <w:autoSpaceDE w:val="0"/>
              <w:autoSpaceDN w:val="0"/>
              <w:adjustRightInd w:val="0"/>
              <w:spacing w:before="60" w:after="6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This </w:t>
            </w:r>
            <w:r w:rsidR="00700F37">
              <w:rPr>
                <w:rFonts w:ascii="Times New Roman" w:eastAsiaTheme="minorHAnsi" w:hAnsi="Times New Roman"/>
                <w:color w:val="000000"/>
                <w:szCs w:val="24"/>
                <w:lang w:eastAsia="en-US"/>
              </w:rPr>
              <w:t>directive of the European Parliament and of the Council</w:t>
            </w:r>
            <w:r>
              <w:rPr>
                <w:rFonts w:ascii="Times New Roman" w:eastAsiaTheme="minorHAnsi" w:hAnsi="Times New Roman"/>
                <w:color w:val="000000"/>
                <w:szCs w:val="24"/>
                <w:lang w:eastAsia="en-US"/>
              </w:rPr>
              <w:t xml:space="preserve"> of the European Union </w:t>
            </w:r>
            <w:r w:rsidR="00700F37">
              <w:rPr>
                <w:rFonts w:ascii="Times New Roman" w:eastAsiaTheme="minorHAnsi" w:hAnsi="Times New Roman"/>
                <w:color w:val="000000"/>
                <w:szCs w:val="24"/>
                <w:lang w:eastAsia="en-US"/>
              </w:rPr>
              <w:t xml:space="preserve">sets out the requirements </w:t>
            </w:r>
            <w:r w:rsidR="00A46299">
              <w:rPr>
                <w:rFonts w:ascii="Times New Roman" w:eastAsiaTheme="minorHAnsi" w:hAnsi="Times New Roman"/>
                <w:color w:val="000000"/>
                <w:szCs w:val="24"/>
                <w:lang w:eastAsia="en-US"/>
              </w:rPr>
              <w:t xml:space="preserve">for </w:t>
            </w:r>
            <w:r w:rsidR="00700F37" w:rsidRPr="00D711F6">
              <w:rPr>
                <w:rFonts w:ascii="Times New Roman" w:eastAsiaTheme="minorHAnsi" w:hAnsi="Times New Roman"/>
                <w:i/>
                <w:color w:val="000000"/>
                <w:szCs w:val="24"/>
                <w:lang w:eastAsia="en-US"/>
              </w:rPr>
              <w:t>in vitro</w:t>
            </w:r>
            <w:r w:rsidR="00700F37">
              <w:rPr>
                <w:rFonts w:ascii="Times New Roman" w:eastAsiaTheme="minorHAnsi" w:hAnsi="Times New Roman"/>
                <w:color w:val="000000"/>
                <w:szCs w:val="24"/>
                <w:lang w:eastAsia="en-US"/>
              </w:rPr>
              <w:t xml:space="preserve"> medical devices and their accessories available in the EU.</w:t>
            </w:r>
          </w:p>
        </w:tc>
        <w:tc>
          <w:tcPr>
            <w:tcW w:w="3226" w:type="dxa"/>
          </w:tcPr>
          <w:p w:rsidR="00700F37" w:rsidRDefault="00DF59B7" w:rsidP="007018B7">
            <w:pPr>
              <w:autoSpaceDE w:val="0"/>
              <w:autoSpaceDN w:val="0"/>
              <w:adjustRightInd w:val="0"/>
              <w:spacing w:before="60" w:after="60"/>
              <w:rPr>
                <w:rFonts w:ascii="Times New Roman" w:eastAsiaTheme="minorHAnsi" w:hAnsi="Times New Roman"/>
                <w:color w:val="000000"/>
                <w:szCs w:val="24"/>
                <w:lang w:eastAsia="en-US"/>
              </w:rPr>
            </w:pPr>
            <w:hyperlink r:id="rId14" w:history="1">
              <w:r w:rsidR="00700F37" w:rsidRPr="006B1C98">
                <w:rPr>
                  <w:rStyle w:val="Hyperlink"/>
                  <w:rFonts w:ascii="Times New Roman" w:eastAsiaTheme="minorHAnsi" w:hAnsi="Times New Roman"/>
                  <w:szCs w:val="24"/>
                  <w:lang w:eastAsia="en-US"/>
                </w:rPr>
                <w:t>https://eur-lex.europa.eu/legal-content/EN/ALL/?uri=celex:31998L0079</w:t>
              </w:r>
            </w:hyperlink>
          </w:p>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p>
        </w:tc>
      </w:tr>
      <w:tr w:rsidR="00700F37" w:rsidTr="009838D9">
        <w:tc>
          <w:tcPr>
            <w:tcW w:w="2660" w:type="dxa"/>
          </w:tcPr>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r w:rsidRPr="00502239">
              <w:t>Regulation (EU) 2017/745 of the European Parliament and of the Council of 5 April 2017 on medical devices</w:t>
            </w:r>
          </w:p>
        </w:tc>
        <w:tc>
          <w:tcPr>
            <w:tcW w:w="3118" w:type="dxa"/>
          </w:tcPr>
          <w:p w:rsidR="00700F37" w:rsidRDefault="00130E9B" w:rsidP="007018B7">
            <w:pPr>
              <w:autoSpaceDE w:val="0"/>
              <w:autoSpaceDN w:val="0"/>
              <w:adjustRightInd w:val="0"/>
              <w:spacing w:before="60" w:after="6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Th</w:t>
            </w:r>
            <w:r w:rsidR="00FD5623">
              <w:rPr>
                <w:rFonts w:ascii="Times New Roman" w:eastAsiaTheme="minorHAnsi" w:hAnsi="Times New Roman"/>
                <w:color w:val="000000"/>
                <w:szCs w:val="24"/>
                <w:lang w:eastAsia="en-US"/>
              </w:rPr>
              <w:t>is</w:t>
            </w:r>
            <w:r w:rsidR="005F1E2F">
              <w:rPr>
                <w:rFonts w:ascii="Times New Roman" w:eastAsiaTheme="minorHAnsi" w:hAnsi="Times New Roman"/>
                <w:color w:val="000000"/>
                <w:szCs w:val="24"/>
                <w:lang w:eastAsia="en-US"/>
              </w:rPr>
              <w:t xml:space="preserve"> new</w:t>
            </w:r>
            <w:r>
              <w:rPr>
                <w:rFonts w:ascii="Times New Roman" w:eastAsiaTheme="minorHAnsi" w:hAnsi="Times New Roman"/>
                <w:color w:val="000000"/>
                <w:szCs w:val="24"/>
                <w:lang w:eastAsia="en-US"/>
              </w:rPr>
              <w:t xml:space="preserve"> EU Medical Devices Regulation </w:t>
            </w:r>
            <w:r w:rsidR="005F1E2F">
              <w:rPr>
                <w:rFonts w:ascii="Times New Roman" w:eastAsiaTheme="minorHAnsi" w:hAnsi="Times New Roman"/>
                <w:color w:val="000000"/>
                <w:szCs w:val="24"/>
                <w:lang w:eastAsia="en-US"/>
              </w:rPr>
              <w:t>entered into force on 25 May</w:t>
            </w:r>
            <w:r>
              <w:rPr>
                <w:rFonts w:ascii="Times New Roman" w:eastAsiaTheme="minorHAnsi" w:hAnsi="Times New Roman"/>
                <w:color w:val="000000"/>
                <w:szCs w:val="24"/>
                <w:lang w:eastAsia="en-US"/>
              </w:rPr>
              <w:t xml:space="preserve"> 2017</w:t>
            </w:r>
            <w:r w:rsidR="005F1E2F">
              <w:rPr>
                <w:rFonts w:ascii="Times New Roman" w:eastAsiaTheme="minorHAnsi" w:hAnsi="Times New Roman"/>
                <w:color w:val="000000"/>
                <w:szCs w:val="24"/>
                <w:lang w:eastAsia="en-US"/>
              </w:rPr>
              <w:t>. F</w:t>
            </w:r>
            <w:r>
              <w:rPr>
                <w:rFonts w:ascii="Times New Roman" w:eastAsiaTheme="minorHAnsi" w:hAnsi="Times New Roman"/>
                <w:color w:val="000000"/>
                <w:szCs w:val="24"/>
                <w:lang w:eastAsia="en-US"/>
              </w:rPr>
              <w:t xml:space="preserve">ollowing a three year transition period, it will replace the </w:t>
            </w:r>
            <w:r w:rsidR="00FD5623">
              <w:rPr>
                <w:rFonts w:ascii="Times New Roman" w:eastAsiaTheme="minorHAnsi" w:hAnsi="Times New Roman"/>
                <w:color w:val="000000"/>
                <w:szCs w:val="24"/>
                <w:lang w:eastAsia="en-US"/>
              </w:rPr>
              <w:t xml:space="preserve">EU </w:t>
            </w:r>
            <w:r>
              <w:rPr>
                <w:rFonts w:ascii="Times New Roman" w:eastAsiaTheme="minorHAnsi" w:hAnsi="Times New Roman"/>
                <w:color w:val="000000"/>
                <w:szCs w:val="24"/>
                <w:lang w:eastAsia="en-US"/>
              </w:rPr>
              <w:t xml:space="preserve">Medical Devices Directive (Council Directive 93/42/EEC) and the </w:t>
            </w:r>
            <w:r w:rsidR="00FD5623">
              <w:rPr>
                <w:rFonts w:ascii="Times New Roman" w:eastAsiaTheme="minorHAnsi" w:hAnsi="Times New Roman"/>
                <w:color w:val="000000"/>
                <w:szCs w:val="24"/>
                <w:lang w:eastAsia="en-US"/>
              </w:rPr>
              <w:t xml:space="preserve">EU </w:t>
            </w:r>
            <w:r>
              <w:rPr>
                <w:rFonts w:ascii="Times New Roman" w:eastAsiaTheme="minorHAnsi" w:hAnsi="Times New Roman"/>
                <w:color w:val="000000"/>
                <w:szCs w:val="24"/>
                <w:lang w:eastAsia="en-US"/>
              </w:rPr>
              <w:t>Active Implantable Medical Devices Directive (Council Directive 90/385/EEC)</w:t>
            </w:r>
            <w:r w:rsidR="005F1E2F">
              <w:rPr>
                <w:rFonts w:ascii="Times New Roman" w:eastAsiaTheme="minorHAnsi" w:hAnsi="Times New Roman"/>
                <w:color w:val="000000"/>
                <w:szCs w:val="24"/>
                <w:lang w:eastAsia="en-US"/>
              </w:rPr>
              <w:t>.</w:t>
            </w:r>
          </w:p>
        </w:tc>
        <w:tc>
          <w:tcPr>
            <w:tcW w:w="3226" w:type="dxa"/>
          </w:tcPr>
          <w:p w:rsidR="00700F37" w:rsidRDefault="00DF59B7" w:rsidP="007018B7">
            <w:pPr>
              <w:autoSpaceDE w:val="0"/>
              <w:autoSpaceDN w:val="0"/>
              <w:adjustRightInd w:val="0"/>
              <w:spacing w:before="60" w:after="60"/>
              <w:rPr>
                <w:rFonts w:ascii="Times New Roman" w:eastAsiaTheme="minorHAnsi" w:hAnsi="Times New Roman"/>
                <w:color w:val="000000"/>
                <w:szCs w:val="24"/>
                <w:lang w:eastAsia="en-US"/>
              </w:rPr>
            </w:pPr>
            <w:hyperlink r:id="rId15" w:history="1">
              <w:r w:rsidR="00700F37" w:rsidRPr="006B1C98">
                <w:rPr>
                  <w:rStyle w:val="Hyperlink"/>
                  <w:rFonts w:ascii="Times New Roman" w:eastAsiaTheme="minorHAnsi" w:hAnsi="Times New Roman"/>
                  <w:szCs w:val="24"/>
                  <w:lang w:eastAsia="en-US"/>
                </w:rPr>
                <w:t>https://eur-lex.europa.eu/legal-content/EN/ALL/?uri=CELEX:32017R0745</w:t>
              </w:r>
            </w:hyperlink>
          </w:p>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p>
        </w:tc>
      </w:tr>
      <w:tr w:rsidR="00700F37" w:rsidTr="009838D9">
        <w:tc>
          <w:tcPr>
            <w:tcW w:w="2660" w:type="dxa"/>
          </w:tcPr>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r w:rsidRPr="00502239">
              <w:t xml:space="preserve">Regulation (EU) 2017/746 of the European Parliament and of the Council of 5 April </w:t>
            </w:r>
            <w:r w:rsidRPr="00502239">
              <w:lastRenderedPageBreak/>
              <w:t>2017 on in vitro diagnostic medical devices</w:t>
            </w:r>
          </w:p>
        </w:tc>
        <w:tc>
          <w:tcPr>
            <w:tcW w:w="3118" w:type="dxa"/>
          </w:tcPr>
          <w:p w:rsidR="00700F37" w:rsidRDefault="00FD5623" w:rsidP="007018B7">
            <w:pPr>
              <w:autoSpaceDE w:val="0"/>
              <w:autoSpaceDN w:val="0"/>
              <w:adjustRightInd w:val="0"/>
              <w:spacing w:before="60" w:after="6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lastRenderedPageBreak/>
              <w:t>This</w:t>
            </w:r>
            <w:r w:rsidR="00130E9B">
              <w:rPr>
                <w:rFonts w:ascii="Times New Roman" w:eastAsiaTheme="minorHAnsi" w:hAnsi="Times New Roman"/>
                <w:color w:val="000000"/>
                <w:szCs w:val="24"/>
                <w:lang w:eastAsia="en-US"/>
              </w:rPr>
              <w:t xml:space="preserve"> new </w:t>
            </w:r>
            <w:r w:rsidR="005F1E2F">
              <w:rPr>
                <w:rFonts w:ascii="Times New Roman" w:eastAsiaTheme="minorHAnsi" w:hAnsi="Times New Roman"/>
                <w:color w:val="000000"/>
                <w:szCs w:val="24"/>
                <w:lang w:eastAsia="en-US"/>
              </w:rPr>
              <w:t xml:space="preserve">EU </w:t>
            </w:r>
            <w:r w:rsidR="00130E9B">
              <w:rPr>
                <w:rFonts w:ascii="Times New Roman" w:eastAsiaTheme="minorHAnsi" w:hAnsi="Times New Roman"/>
                <w:color w:val="000000"/>
                <w:szCs w:val="24"/>
                <w:lang w:eastAsia="en-US"/>
              </w:rPr>
              <w:t xml:space="preserve">IVD Medical Devices Regulation </w:t>
            </w:r>
            <w:r w:rsidR="005F1E2F">
              <w:rPr>
                <w:rFonts w:ascii="Times New Roman" w:eastAsiaTheme="minorHAnsi" w:hAnsi="Times New Roman"/>
                <w:color w:val="000000"/>
                <w:szCs w:val="24"/>
                <w:lang w:eastAsia="en-US"/>
              </w:rPr>
              <w:t>entered into force on</w:t>
            </w:r>
            <w:r w:rsidR="00130E9B">
              <w:rPr>
                <w:rFonts w:ascii="Times New Roman" w:eastAsiaTheme="minorHAnsi" w:hAnsi="Times New Roman"/>
                <w:color w:val="000000"/>
                <w:szCs w:val="24"/>
                <w:lang w:eastAsia="en-US"/>
              </w:rPr>
              <w:t xml:space="preserve"> </w:t>
            </w:r>
            <w:r w:rsidR="005F1E2F">
              <w:rPr>
                <w:rFonts w:ascii="Times New Roman" w:eastAsiaTheme="minorHAnsi" w:hAnsi="Times New Roman"/>
                <w:color w:val="000000"/>
                <w:szCs w:val="24"/>
                <w:lang w:eastAsia="en-US"/>
              </w:rPr>
              <w:t>25 May</w:t>
            </w:r>
            <w:r w:rsidR="00130E9B">
              <w:rPr>
                <w:rFonts w:ascii="Times New Roman" w:eastAsiaTheme="minorHAnsi" w:hAnsi="Times New Roman"/>
                <w:color w:val="000000"/>
                <w:szCs w:val="24"/>
                <w:lang w:eastAsia="en-US"/>
              </w:rPr>
              <w:t xml:space="preserve"> 2017</w:t>
            </w:r>
            <w:r w:rsidR="005F1E2F">
              <w:rPr>
                <w:rFonts w:ascii="Times New Roman" w:eastAsiaTheme="minorHAnsi" w:hAnsi="Times New Roman"/>
                <w:color w:val="000000"/>
                <w:szCs w:val="24"/>
                <w:lang w:eastAsia="en-US"/>
              </w:rPr>
              <w:t>. F</w:t>
            </w:r>
            <w:r w:rsidR="00130E9B">
              <w:rPr>
                <w:rFonts w:ascii="Times New Roman" w:eastAsiaTheme="minorHAnsi" w:hAnsi="Times New Roman"/>
                <w:color w:val="000000"/>
                <w:szCs w:val="24"/>
                <w:lang w:eastAsia="en-US"/>
              </w:rPr>
              <w:t xml:space="preserve">ollowing a five year </w:t>
            </w:r>
            <w:r w:rsidR="00130E9B">
              <w:rPr>
                <w:rFonts w:ascii="Times New Roman" w:eastAsiaTheme="minorHAnsi" w:hAnsi="Times New Roman"/>
                <w:color w:val="000000"/>
                <w:szCs w:val="24"/>
                <w:lang w:eastAsia="en-US"/>
              </w:rPr>
              <w:lastRenderedPageBreak/>
              <w:t xml:space="preserve">transition period, it will replace the </w:t>
            </w:r>
            <w:r>
              <w:rPr>
                <w:rFonts w:ascii="Times New Roman" w:eastAsiaTheme="minorHAnsi" w:hAnsi="Times New Roman"/>
                <w:color w:val="000000"/>
                <w:szCs w:val="24"/>
                <w:lang w:eastAsia="en-US"/>
              </w:rPr>
              <w:t xml:space="preserve">EU </w:t>
            </w:r>
            <w:r w:rsidR="00130E9B">
              <w:rPr>
                <w:rFonts w:ascii="Times New Roman" w:eastAsiaTheme="minorHAnsi" w:hAnsi="Times New Roman"/>
                <w:color w:val="000000"/>
                <w:szCs w:val="24"/>
                <w:lang w:eastAsia="en-US"/>
              </w:rPr>
              <w:t>IVD Directive (Directive 98/79/</w:t>
            </w:r>
            <w:r w:rsidR="005F1E2F">
              <w:rPr>
                <w:rFonts w:ascii="Times New Roman" w:eastAsiaTheme="minorHAnsi" w:hAnsi="Times New Roman"/>
                <w:color w:val="000000"/>
                <w:szCs w:val="24"/>
                <w:lang w:eastAsia="en-US"/>
              </w:rPr>
              <w:t>EC).</w:t>
            </w:r>
          </w:p>
        </w:tc>
        <w:tc>
          <w:tcPr>
            <w:tcW w:w="3226" w:type="dxa"/>
          </w:tcPr>
          <w:p w:rsidR="00700F37" w:rsidRDefault="00DF59B7" w:rsidP="007018B7">
            <w:pPr>
              <w:autoSpaceDE w:val="0"/>
              <w:autoSpaceDN w:val="0"/>
              <w:adjustRightInd w:val="0"/>
              <w:spacing w:before="60" w:after="60"/>
              <w:rPr>
                <w:rFonts w:ascii="Times New Roman" w:eastAsiaTheme="minorHAnsi" w:hAnsi="Times New Roman"/>
                <w:color w:val="000000"/>
                <w:szCs w:val="24"/>
                <w:lang w:eastAsia="en-US"/>
              </w:rPr>
            </w:pPr>
            <w:hyperlink r:id="rId16" w:history="1">
              <w:r w:rsidR="00700F37" w:rsidRPr="006B1C98">
                <w:rPr>
                  <w:rStyle w:val="Hyperlink"/>
                  <w:rFonts w:ascii="Times New Roman" w:eastAsiaTheme="minorHAnsi" w:hAnsi="Times New Roman"/>
                  <w:szCs w:val="24"/>
                  <w:lang w:eastAsia="en-US"/>
                </w:rPr>
                <w:t>https://eur-lex.europa.eu/legal-content/EN/TXT/?uri=CELEX%3A32017R0746</w:t>
              </w:r>
            </w:hyperlink>
          </w:p>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p>
        </w:tc>
      </w:tr>
      <w:tr w:rsidR="00700F37" w:rsidTr="009838D9">
        <w:tc>
          <w:tcPr>
            <w:tcW w:w="2660" w:type="dxa"/>
          </w:tcPr>
          <w:p w:rsidR="00700F37" w:rsidRDefault="002B294C" w:rsidP="007018B7">
            <w:pPr>
              <w:autoSpaceDE w:val="0"/>
              <w:autoSpaceDN w:val="0"/>
              <w:adjustRightInd w:val="0"/>
              <w:spacing w:before="60" w:after="60"/>
              <w:rPr>
                <w:rFonts w:ascii="Times New Roman" w:eastAsiaTheme="minorHAnsi" w:hAnsi="Times New Roman"/>
                <w:color w:val="000000"/>
                <w:szCs w:val="24"/>
                <w:lang w:eastAsia="en-US"/>
              </w:rPr>
            </w:pPr>
            <w:r>
              <w:lastRenderedPageBreak/>
              <w:t xml:space="preserve">The Law </w:t>
            </w:r>
            <w:r w:rsidR="00700F37">
              <w:t xml:space="preserve">on </w:t>
            </w:r>
            <w:r w:rsidR="00700F37" w:rsidRPr="00502239">
              <w:t xml:space="preserve">Securing Quality, Efficacy and Safety of </w:t>
            </w:r>
            <w:r>
              <w:t xml:space="preserve">Products Including </w:t>
            </w:r>
            <w:r w:rsidR="00700F37" w:rsidRPr="00502239">
              <w:t>Pharmaceuticals</w:t>
            </w:r>
            <w:r>
              <w:t xml:space="preserve"> and</w:t>
            </w:r>
            <w:r w:rsidR="00700F37" w:rsidRPr="00502239">
              <w:t xml:space="preserve"> Medical Devices of Japan</w:t>
            </w:r>
          </w:p>
        </w:tc>
        <w:tc>
          <w:tcPr>
            <w:tcW w:w="3118" w:type="dxa"/>
          </w:tcPr>
          <w:p w:rsidR="00700F37" w:rsidRDefault="0011067B" w:rsidP="007018B7">
            <w:pPr>
              <w:autoSpaceDE w:val="0"/>
              <w:autoSpaceDN w:val="0"/>
              <w:adjustRightInd w:val="0"/>
              <w:spacing w:before="60" w:after="6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Th</w:t>
            </w:r>
            <w:r w:rsidR="00977C7A">
              <w:rPr>
                <w:rFonts w:ascii="Times New Roman" w:eastAsiaTheme="minorHAnsi" w:hAnsi="Times New Roman"/>
                <w:color w:val="000000"/>
                <w:szCs w:val="24"/>
                <w:lang w:eastAsia="en-US"/>
              </w:rPr>
              <w:t>is law (known as</w:t>
            </w:r>
            <w:r>
              <w:rPr>
                <w:rFonts w:ascii="Times New Roman" w:eastAsiaTheme="minorHAnsi" w:hAnsi="Times New Roman"/>
                <w:color w:val="000000"/>
                <w:szCs w:val="24"/>
                <w:lang w:eastAsia="en-US"/>
              </w:rPr>
              <w:t xml:space="preserve"> </w:t>
            </w:r>
            <w:r w:rsidRPr="009838D9">
              <w:rPr>
                <w:rFonts w:ascii="Times New Roman" w:eastAsiaTheme="minorHAnsi" w:hAnsi="Times New Roman"/>
                <w:i/>
                <w:color w:val="000000"/>
                <w:szCs w:val="24"/>
                <w:lang w:eastAsia="en-US"/>
              </w:rPr>
              <w:t>Pharmaceutical and Medical Device Act</w:t>
            </w:r>
            <w:r>
              <w:rPr>
                <w:rFonts w:ascii="Times New Roman" w:eastAsiaTheme="minorHAnsi" w:hAnsi="Times New Roman"/>
                <w:color w:val="000000"/>
                <w:szCs w:val="24"/>
                <w:lang w:eastAsia="en-US"/>
              </w:rPr>
              <w:t xml:space="preserve"> of Japan</w:t>
            </w:r>
            <w:r w:rsidR="00977C7A">
              <w:rPr>
                <w:rFonts w:ascii="Times New Roman" w:eastAsiaTheme="minorHAnsi" w:hAnsi="Times New Roman"/>
                <w:color w:val="000000"/>
                <w:szCs w:val="24"/>
                <w:lang w:eastAsia="en-US"/>
              </w:rPr>
              <w:t>)</w:t>
            </w:r>
            <w:r>
              <w:rPr>
                <w:rFonts w:ascii="Times New Roman" w:eastAsiaTheme="minorHAnsi" w:hAnsi="Times New Roman"/>
                <w:color w:val="000000"/>
                <w:szCs w:val="24"/>
                <w:lang w:eastAsia="en-US"/>
              </w:rPr>
              <w:t xml:space="preserve"> sets out</w:t>
            </w:r>
            <w:r w:rsidR="00130E9B">
              <w:rPr>
                <w:rFonts w:ascii="Times New Roman" w:eastAsiaTheme="minorHAnsi" w:hAnsi="Times New Roman"/>
                <w:color w:val="000000"/>
                <w:szCs w:val="24"/>
                <w:lang w:eastAsia="en-US"/>
              </w:rPr>
              <w:t>, among other things,</w:t>
            </w:r>
            <w:r>
              <w:rPr>
                <w:rFonts w:ascii="Times New Roman" w:eastAsiaTheme="minorHAnsi" w:hAnsi="Times New Roman"/>
                <w:color w:val="000000"/>
                <w:szCs w:val="24"/>
                <w:lang w:eastAsia="en-US"/>
              </w:rPr>
              <w:t xml:space="preserve"> requirements</w:t>
            </w:r>
            <w:r w:rsidR="00130E9B">
              <w:rPr>
                <w:rFonts w:ascii="Times New Roman" w:eastAsiaTheme="minorHAnsi" w:hAnsi="Times New Roman"/>
                <w:color w:val="000000"/>
                <w:szCs w:val="24"/>
                <w:lang w:eastAsia="en-US"/>
              </w:rPr>
              <w:t xml:space="preserve"> for the registration and approval of medical devices</w:t>
            </w:r>
            <w:r w:rsidR="00FD5623">
              <w:rPr>
                <w:rFonts w:ascii="Times New Roman" w:eastAsiaTheme="minorHAnsi" w:hAnsi="Times New Roman"/>
                <w:color w:val="000000"/>
                <w:szCs w:val="24"/>
                <w:lang w:eastAsia="en-US"/>
              </w:rPr>
              <w:t>.</w:t>
            </w:r>
          </w:p>
        </w:tc>
        <w:tc>
          <w:tcPr>
            <w:tcW w:w="3226" w:type="dxa"/>
          </w:tcPr>
          <w:p w:rsidR="00700F37" w:rsidRDefault="00DF59B7" w:rsidP="007018B7">
            <w:pPr>
              <w:autoSpaceDE w:val="0"/>
              <w:autoSpaceDN w:val="0"/>
              <w:adjustRightInd w:val="0"/>
              <w:spacing w:before="60" w:after="60"/>
              <w:rPr>
                <w:rFonts w:ascii="Times New Roman" w:eastAsiaTheme="minorHAnsi" w:hAnsi="Times New Roman"/>
                <w:color w:val="000000"/>
                <w:szCs w:val="24"/>
                <w:lang w:eastAsia="en-US"/>
              </w:rPr>
            </w:pPr>
            <w:hyperlink r:id="rId17" w:history="1">
              <w:r w:rsidR="00700F37" w:rsidRPr="006B1C98">
                <w:rPr>
                  <w:rStyle w:val="Hyperlink"/>
                  <w:rFonts w:ascii="Times New Roman" w:eastAsiaTheme="minorHAnsi" w:hAnsi="Times New Roman"/>
                  <w:szCs w:val="24"/>
                  <w:lang w:eastAsia="en-US"/>
                </w:rPr>
                <w:t>http://www.japaneselawtranslation.go.jp/law/detail/?id=2766&amp;vm=04&amp;re=02</w:t>
              </w:r>
            </w:hyperlink>
          </w:p>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p>
        </w:tc>
      </w:tr>
      <w:tr w:rsidR="00700F37" w:rsidTr="009838D9">
        <w:tc>
          <w:tcPr>
            <w:tcW w:w="2660" w:type="dxa"/>
          </w:tcPr>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r>
              <w:t>Federal Food, Drug, and Cosmetic Act of the United States</w:t>
            </w:r>
          </w:p>
        </w:tc>
        <w:tc>
          <w:tcPr>
            <w:tcW w:w="3118" w:type="dxa"/>
          </w:tcPr>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The </w:t>
            </w:r>
            <w:r w:rsidRPr="00D5795A">
              <w:rPr>
                <w:rFonts w:ascii="Times New Roman" w:eastAsiaTheme="minorHAnsi" w:hAnsi="Times New Roman"/>
                <w:i/>
                <w:color w:val="000000"/>
                <w:szCs w:val="24"/>
                <w:lang w:eastAsia="en-US"/>
              </w:rPr>
              <w:t>F</w:t>
            </w:r>
            <w:r w:rsidR="00FD5623" w:rsidRPr="00D5795A">
              <w:rPr>
                <w:rFonts w:ascii="Times New Roman" w:eastAsiaTheme="minorHAnsi" w:hAnsi="Times New Roman"/>
                <w:i/>
                <w:color w:val="000000"/>
                <w:szCs w:val="24"/>
                <w:lang w:eastAsia="en-US"/>
              </w:rPr>
              <w:t>ederal</w:t>
            </w:r>
            <w:r w:rsidR="00FD5623">
              <w:rPr>
                <w:rFonts w:ascii="Times New Roman" w:eastAsiaTheme="minorHAnsi" w:hAnsi="Times New Roman"/>
                <w:color w:val="000000"/>
                <w:szCs w:val="24"/>
                <w:lang w:eastAsia="en-US"/>
              </w:rPr>
              <w:t xml:space="preserve"> </w:t>
            </w:r>
            <w:r w:rsidR="00FD5623" w:rsidRPr="009838D9">
              <w:rPr>
                <w:rFonts w:ascii="Times New Roman" w:eastAsiaTheme="minorHAnsi" w:hAnsi="Times New Roman"/>
                <w:i/>
                <w:color w:val="000000"/>
                <w:szCs w:val="24"/>
                <w:lang w:eastAsia="en-US"/>
              </w:rPr>
              <w:t xml:space="preserve">Food, Drug and Cosmetic </w:t>
            </w:r>
            <w:r w:rsidRPr="009838D9">
              <w:rPr>
                <w:rFonts w:ascii="Times New Roman" w:eastAsiaTheme="minorHAnsi" w:hAnsi="Times New Roman"/>
                <w:i/>
                <w:color w:val="000000"/>
                <w:szCs w:val="24"/>
                <w:lang w:eastAsia="en-US"/>
              </w:rPr>
              <w:t>Act</w:t>
            </w:r>
            <w:r>
              <w:rPr>
                <w:rFonts w:ascii="Times New Roman" w:eastAsiaTheme="minorHAnsi" w:hAnsi="Times New Roman"/>
                <w:color w:val="000000"/>
                <w:szCs w:val="24"/>
                <w:lang w:eastAsia="en-US"/>
              </w:rPr>
              <w:t xml:space="preserve"> of the U</w:t>
            </w:r>
            <w:r w:rsidR="0011067B">
              <w:rPr>
                <w:rFonts w:ascii="Times New Roman" w:eastAsiaTheme="minorHAnsi" w:hAnsi="Times New Roman"/>
                <w:color w:val="000000"/>
                <w:szCs w:val="24"/>
                <w:lang w:eastAsia="en-US"/>
              </w:rPr>
              <w:t xml:space="preserve">nited </w:t>
            </w:r>
            <w:r>
              <w:rPr>
                <w:rFonts w:ascii="Times New Roman" w:eastAsiaTheme="minorHAnsi" w:hAnsi="Times New Roman"/>
                <w:color w:val="000000"/>
                <w:szCs w:val="24"/>
                <w:lang w:eastAsia="en-US"/>
              </w:rPr>
              <w:t>S</w:t>
            </w:r>
            <w:r w:rsidR="0011067B">
              <w:rPr>
                <w:rFonts w:ascii="Times New Roman" w:eastAsiaTheme="minorHAnsi" w:hAnsi="Times New Roman"/>
                <w:color w:val="000000"/>
                <w:szCs w:val="24"/>
                <w:lang w:eastAsia="en-US"/>
              </w:rPr>
              <w:t>tates</w:t>
            </w:r>
            <w:r w:rsidR="005F1E2F">
              <w:rPr>
                <w:rFonts w:ascii="Times New Roman" w:eastAsiaTheme="minorHAnsi" w:hAnsi="Times New Roman"/>
                <w:color w:val="000000"/>
                <w:szCs w:val="24"/>
                <w:lang w:eastAsia="en-US"/>
              </w:rPr>
              <w:t xml:space="preserve"> </w:t>
            </w:r>
            <w:r w:rsidR="00A46299">
              <w:rPr>
                <w:rFonts w:ascii="Times New Roman" w:eastAsiaTheme="minorHAnsi" w:hAnsi="Times New Roman"/>
                <w:color w:val="000000"/>
                <w:szCs w:val="24"/>
                <w:lang w:eastAsia="en-US"/>
              </w:rPr>
              <w:t xml:space="preserve">provides </w:t>
            </w:r>
            <w:r w:rsidR="005F1E2F">
              <w:rPr>
                <w:rFonts w:ascii="Times New Roman" w:eastAsiaTheme="minorHAnsi" w:hAnsi="Times New Roman"/>
                <w:color w:val="000000"/>
                <w:szCs w:val="24"/>
                <w:lang w:eastAsia="en-US"/>
              </w:rPr>
              <w:t>for the safety of food, drugs and cosmetics.</w:t>
            </w:r>
            <w:r w:rsidR="008B43E0">
              <w:rPr>
                <w:rFonts w:ascii="Times New Roman" w:eastAsiaTheme="minorHAnsi" w:hAnsi="Times New Roman"/>
                <w:color w:val="000000"/>
                <w:szCs w:val="24"/>
                <w:lang w:eastAsia="en-US"/>
              </w:rPr>
              <w:t xml:space="preserve"> </w:t>
            </w:r>
            <w:r w:rsidR="00BA4252">
              <w:rPr>
                <w:rFonts w:ascii="Times New Roman" w:eastAsiaTheme="minorHAnsi" w:hAnsi="Times New Roman"/>
                <w:color w:val="000000"/>
                <w:szCs w:val="24"/>
                <w:lang w:eastAsia="en-US"/>
              </w:rPr>
              <w:t>Chapter V of this Act deals with drugs and devices.</w:t>
            </w:r>
          </w:p>
        </w:tc>
        <w:tc>
          <w:tcPr>
            <w:tcW w:w="3226" w:type="dxa"/>
          </w:tcPr>
          <w:p w:rsidR="00700F37" w:rsidRDefault="00DF59B7" w:rsidP="007018B7">
            <w:pPr>
              <w:autoSpaceDE w:val="0"/>
              <w:autoSpaceDN w:val="0"/>
              <w:adjustRightInd w:val="0"/>
              <w:spacing w:before="60" w:after="60"/>
              <w:rPr>
                <w:rFonts w:ascii="Times New Roman" w:eastAsiaTheme="minorHAnsi" w:hAnsi="Times New Roman"/>
                <w:color w:val="000000"/>
                <w:szCs w:val="24"/>
                <w:lang w:eastAsia="en-US"/>
              </w:rPr>
            </w:pPr>
            <w:hyperlink r:id="rId18" w:history="1">
              <w:r w:rsidR="00700F37" w:rsidRPr="006B1C98">
                <w:rPr>
                  <w:rStyle w:val="Hyperlink"/>
                  <w:rFonts w:ascii="Times New Roman" w:eastAsiaTheme="minorHAnsi" w:hAnsi="Times New Roman"/>
                  <w:szCs w:val="24"/>
                  <w:lang w:eastAsia="en-US"/>
                </w:rPr>
                <w:t>https://www.fda.gov/regulatoryinformation/lawsenforcedbyfda/federalfooddrugandcosmeticactfdcact/default.htm</w:t>
              </w:r>
            </w:hyperlink>
          </w:p>
          <w:p w:rsidR="00700F37" w:rsidRDefault="00700F37" w:rsidP="007018B7">
            <w:pPr>
              <w:autoSpaceDE w:val="0"/>
              <w:autoSpaceDN w:val="0"/>
              <w:adjustRightInd w:val="0"/>
              <w:spacing w:before="60" w:after="60"/>
              <w:rPr>
                <w:rFonts w:ascii="Times New Roman" w:eastAsiaTheme="minorHAnsi" w:hAnsi="Times New Roman"/>
                <w:color w:val="000000"/>
                <w:szCs w:val="24"/>
                <w:lang w:eastAsia="en-US"/>
              </w:rPr>
            </w:pPr>
          </w:p>
        </w:tc>
      </w:tr>
    </w:tbl>
    <w:p w:rsidR="00700F37" w:rsidRDefault="00700F37" w:rsidP="00700F37">
      <w:pPr>
        <w:autoSpaceDE w:val="0"/>
        <w:autoSpaceDN w:val="0"/>
        <w:adjustRightInd w:val="0"/>
        <w:rPr>
          <w:rFonts w:ascii="Times New Roman" w:eastAsiaTheme="minorHAnsi" w:hAnsi="Times New Roman"/>
          <w:color w:val="000000"/>
          <w:szCs w:val="24"/>
          <w:lang w:eastAsia="en-US"/>
        </w:rPr>
      </w:pPr>
    </w:p>
    <w:p w:rsidR="00782045" w:rsidRPr="00CB3EFF" w:rsidRDefault="00782045" w:rsidP="00782045">
      <w:pPr>
        <w:rPr>
          <w:rFonts w:ascii="Times New Roman" w:hAnsi="Times New Roman"/>
          <w:sz w:val="22"/>
          <w:szCs w:val="22"/>
        </w:rPr>
      </w:pPr>
      <w:r w:rsidRPr="00CB3EFF">
        <w:rPr>
          <w:rFonts w:ascii="Times New Roman" w:hAnsi="Times New Roman"/>
          <w:sz w:val="22"/>
          <w:szCs w:val="22"/>
        </w:rPr>
        <w:t xml:space="preserve">In accordance with section 14 of the </w:t>
      </w:r>
      <w:r w:rsidRPr="0056717E">
        <w:rPr>
          <w:rFonts w:ascii="Times New Roman" w:hAnsi="Times New Roman"/>
          <w:sz w:val="22"/>
          <w:szCs w:val="22"/>
        </w:rPr>
        <w:t>Legislation Act</w:t>
      </w:r>
      <w:r w:rsidRPr="00CB3EFF">
        <w:rPr>
          <w:rFonts w:ascii="Times New Roman" w:hAnsi="Times New Roman"/>
          <w:sz w:val="22"/>
          <w:szCs w:val="22"/>
        </w:rPr>
        <w:t>, these documents are incorporated as in force or existing immediately before the commencement of this Determination. This means that any subsequent changes to these documents will not be automatically applied under the Determination.</w:t>
      </w:r>
    </w:p>
    <w:p w:rsidR="00700F37" w:rsidRDefault="00700F37" w:rsidP="00700F37">
      <w:pPr>
        <w:rPr>
          <w:rFonts w:ascii="Times New Roman" w:eastAsiaTheme="minorHAnsi" w:hAnsi="Times New Roman"/>
          <w:color w:val="000000"/>
          <w:szCs w:val="24"/>
          <w:lang w:eastAsia="en-US"/>
        </w:rPr>
      </w:pPr>
    </w:p>
    <w:p w:rsidR="00294A49" w:rsidRDefault="00294A49" w:rsidP="007231B2">
      <w:pPr>
        <w:rPr>
          <w:rFonts w:ascii="Times New Roman" w:hAnsi="Times New Roman"/>
          <w:szCs w:val="24"/>
        </w:rPr>
      </w:pPr>
      <w:r w:rsidRPr="005327F5">
        <w:rPr>
          <w:rFonts w:ascii="Times New Roman" w:hAnsi="Times New Roman"/>
          <w:szCs w:val="24"/>
        </w:rPr>
        <w:t xml:space="preserve">Details of the </w:t>
      </w:r>
      <w:r w:rsidR="00147EBC" w:rsidRPr="005327F5">
        <w:rPr>
          <w:rFonts w:ascii="Times New Roman" w:hAnsi="Times New Roman"/>
          <w:szCs w:val="24"/>
        </w:rPr>
        <w:t xml:space="preserve">Determination </w:t>
      </w:r>
      <w:r w:rsidRPr="005327F5">
        <w:rPr>
          <w:rFonts w:ascii="Times New Roman" w:hAnsi="Times New Roman"/>
          <w:szCs w:val="24"/>
        </w:rPr>
        <w:t xml:space="preserve">are set out in </w:t>
      </w:r>
      <w:r w:rsidRPr="005327F5">
        <w:rPr>
          <w:rFonts w:ascii="Times New Roman" w:hAnsi="Times New Roman"/>
          <w:szCs w:val="24"/>
          <w:u w:val="single"/>
        </w:rPr>
        <w:t>Attachment A</w:t>
      </w:r>
      <w:r w:rsidRPr="005327F5">
        <w:rPr>
          <w:rFonts w:ascii="Times New Roman" w:hAnsi="Times New Roman"/>
          <w:szCs w:val="24"/>
        </w:rPr>
        <w:t>.</w:t>
      </w:r>
    </w:p>
    <w:p w:rsidR="00D347E6" w:rsidRDefault="00D347E6" w:rsidP="00294A49">
      <w:pPr>
        <w:rPr>
          <w:rFonts w:ascii="Times New Roman" w:hAnsi="Times New Roman"/>
          <w:szCs w:val="24"/>
        </w:rPr>
      </w:pPr>
    </w:p>
    <w:p w:rsidR="00294A49" w:rsidRPr="005327F5" w:rsidRDefault="00294A49" w:rsidP="00294A49">
      <w:pPr>
        <w:rPr>
          <w:rFonts w:ascii="Times New Roman" w:hAnsi="Times New Roman"/>
          <w:szCs w:val="24"/>
        </w:rPr>
      </w:pPr>
      <w:r w:rsidRPr="005327F5">
        <w:rPr>
          <w:rFonts w:ascii="Times New Roman" w:hAnsi="Times New Roman"/>
          <w:szCs w:val="24"/>
        </w:rPr>
        <w:t xml:space="preserve">The </w:t>
      </w:r>
      <w:r w:rsidR="00147EBC" w:rsidRPr="005327F5">
        <w:rPr>
          <w:rFonts w:ascii="Times New Roman" w:hAnsi="Times New Roman"/>
          <w:szCs w:val="24"/>
        </w:rPr>
        <w:t>Determination</w:t>
      </w:r>
      <w:r w:rsidRPr="005327F5">
        <w:rPr>
          <w:rFonts w:ascii="Times New Roman" w:hAnsi="Times New Roman"/>
          <w:szCs w:val="24"/>
        </w:rPr>
        <w:t xml:space="preserve"> is compatible with human rights and freedoms recognised or declared under section 3 of the </w:t>
      </w:r>
      <w:r w:rsidRPr="005327F5">
        <w:rPr>
          <w:rFonts w:ascii="Times New Roman" w:hAnsi="Times New Roman"/>
          <w:i/>
          <w:szCs w:val="24"/>
        </w:rPr>
        <w:t>Human Rights (Parliamentary Scrutiny) Act 2011</w:t>
      </w:r>
      <w:r w:rsidRPr="005327F5">
        <w:rPr>
          <w:rFonts w:ascii="Times New Roman" w:hAnsi="Times New Roman"/>
          <w:szCs w:val="24"/>
        </w:rPr>
        <w:t xml:space="preserve">. A full statement of compatibility is set out in </w:t>
      </w:r>
      <w:r w:rsidRPr="005327F5">
        <w:rPr>
          <w:rFonts w:ascii="Times New Roman" w:hAnsi="Times New Roman"/>
          <w:szCs w:val="24"/>
          <w:u w:val="single"/>
        </w:rPr>
        <w:t xml:space="preserve">Attachment </w:t>
      </w:r>
      <w:r w:rsidR="00292591">
        <w:rPr>
          <w:rFonts w:ascii="Times New Roman" w:hAnsi="Times New Roman"/>
          <w:szCs w:val="24"/>
          <w:u w:val="single"/>
        </w:rPr>
        <w:t>B</w:t>
      </w:r>
      <w:r w:rsidRPr="005327F5">
        <w:rPr>
          <w:rFonts w:ascii="Times New Roman" w:hAnsi="Times New Roman"/>
          <w:szCs w:val="24"/>
        </w:rPr>
        <w:t>.</w:t>
      </w:r>
    </w:p>
    <w:p w:rsidR="00294A49" w:rsidRPr="005327F5" w:rsidRDefault="00294A49" w:rsidP="007231B2">
      <w:pPr>
        <w:rPr>
          <w:rFonts w:ascii="Times New Roman" w:hAnsi="Times New Roman"/>
          <w:szCs w:val="24"/>
        </w:rPr>
      </w:pPr>
    </w:p>
    <w:p w:rsidR="00CC7CE5" w:rsidRDefault="00CC7CE5" w:rsidP="00CC7CE5">
      <w:pPr>
        <w:autoSpaceDE w:val="0"/>
        <w:autoSpaceDN w:val="0"/>
        <w:adjustRightInd w:val="0"/>
        <w:rPr>
          <w:rFonts w:ascii="Times New Roman" w:hAnsi="Times New Roman"/>
          <w:szCs w:val="24"/>
        </w:rPr>
      </w:pPr>
      <w:r w:rsidRPr="005327F5">
        <w:rPr>
          <w:rFonts w:ascii="Times New Roman" w:hAnsi="Times New Roman"/>
          <w:szCs w:val="24"/>
        </w:rPr>
        <w:t xml:space="preserve">The </w:t>
      </w:r>
      <w:r w:rsidR="00147EBC" w:rsidRPr="005327F5">
        <w:rPr>
          <w:rFonts w:ascii="Times New Roman" w:hAnsi="Times New Roman"/>
          <w:szCs w:val="24"/>
        </w:rPr>
        <w:t xml:space="preserve">Determination </w:t>
      </w:r>
      <w:r w:rsidRPr="005327F5">
        <w:rPr>
          <w:rFonts w:ascii="Times New Roman" w:hAnsi="Times New Roman"/>
          <w:szCs w:val="24"/>
        </w:rPr>
        <w:t>is a disallowable legislative instrument</w:t>
      </w:r>
      <w:r w:rsidRPr="005327F5">
        <w:rPr>
          <w:rFonts w:ascii="Times New Roman" w:hAnsi="Times New Roman"/>
          <w:i/>
          <w:szCs w:val="24"/>
        </w:rPr>
        <w:t xml:space="preserve"> </w:t>
      </w:r>
      <w:r w:rsidR="006833B2" w:rsidRPr="005327F5">
        <w:rPr>
          <w:rFonts w:ascii="Times New Roman" w:hAnsi="Times New Roman"/>
          <w:szCs w:val="24"/>
        </w:rPr>
        <w:t>and commence</w:t>
      </w:r>
      <w:r w:rsidR="006D3BC0">
        <w:rPr>
          <w:rFonts w:ascii="Times New Roman" w:hAnsi="Times New Roman"/>
          <w:szCs w:val="24"/>
        </w:rPr>
        <w:t>s</w:t>
      </w:r>
      <w:r w:rsidRPr="005327F5">
        <w:rPr>
          <w:rFonts w:ascii="Times New Roman" w:hAnsi="Times New Roman"/>
          <w:szCs w:val="24"/>
        </w:rPr>
        <w:t xml:space="preserve"> on </w:t>
      </w:r>
      <w:r w:rsidR="006833B2" w:rsidRPr="005327F5">
        <w:rPr>
          <w:rFonts w:ascii="Times New Roman" w:hAnsi="Times New Roman"/>
          <w:szCs w:val="24"/>
        </w:rPr>
        <w:t xml:space="preserve">the day after it </w:t>
      </w:r>
      <w:r w:rsidR="006D3BC0">
        <w:rPr>
          <w:rFonts w:ascii="Times New Roman" w:hAnsi="Times New Roman"/>
          <w:szCs w:val="24"/>
        </w:rPr>
        <w:t>is</w:t>
      </w:r>
      <w:r w:rsidR="006D3BC0" w:rsidRPr="005327F5">
        <w:rPr>
          <w:rFonts w:ascii="Times New Roman" w:hAnsi="Times New Roman"/>
          <w:szCs w:val="24"/>
        </w:rPr>
        <w:t xml:space="preserve"> </w:t>
      </w:r>
      <w:r w:rsidR="006833B2" w:rsidRPr="005327F5">
        <w:rPr>
          <w:rFonts w:ascii="Times New Roman" w:hAnsi="Times New Roman"/>
          <w:szCs w:val="24"/>
        </w:rPr>
        <w:t>registered</w:t>
      </w:r>
      <w:r w:rsidRPr="005327F5">
        <w:rPr>
          <w:rFonts w:ascii="Times New Roman" w:hAnsi="Times New Roman"/>
          <w:szCs w:val="24"/>
        </w:rPr>
        <w:t>.</w:t>
      </w:r>
    </w:p>
    <w:p w:rsidR="00F7228D" w:rsidRDefault="00F7228D" w:rsidP="00CC7CE5">
      <w:pPr>
        <w:autoSpaceDE w:val="0"/>
        <w:autoSpaceDN w:val="0"/>
        <w:adjustRightInd w:val="0"/>
        <w:rPr>
          <w:rFonts w:ascii="Times New Roman" w:hAnsi="Times New Roman"/>
          <w:szCs w:val="24"/>
        </w:rPr>
      </w:pPr>
    </w:p>
    <w:p w:rsidR="00B818BD" w:rsidRDefault="00B818BD">
      <w:pPr>
        <w:spacing w:after="200" w:line="276" w:lineRule="auto"/>
        <w:rPr>
          <w:rFonts w:ascii="Times New Roman" w:hAnsi="Times New Roman"/>
          <w:b/>
          <w:bCs/>
          <w:szCs w:val="24"/>
        </w:rPr>
      </w:pPr>
      <w:r>
        <w:rPr>
          <w:rFonts w:ascii="Times New Roman" w:hAnsi="Times New Roman"/>
          <w:b/>
          <w:bCs/>
          <w:szCs w:val="24"/>
        </w:rPr>
        <w:br w:type="page"/>
      </w:r>
    </w:p>
    <w:p w:rsidR="00420786" w:rsidRPr="005327F5" w:rsidRDefault="00420786">
      <w:pPr>
        <w:spacing w:after="200" w:line="276" w:lineRule="auto"/>
        <w:rPr>
          <w:rFonts w:ascii="Times New Roman" w:hAnsi="Times New Roman"/>
          <w:b/>
          <w:bCs/>
          <w:szCs w:val="24"/>
        </w:rPr>
      </w:pPr>
    </w:p>
    <w:p w:rsidR="00294A49" w:rsidRPr="005327F5" w:rsidRDefault="00294A49" w:rsidP="00294A49">
      <w:pPr>
        <w:jc w:val="right"/>
        <w:rPr>
          <w:rFonts w:ascii="Times New Roman" w:hAnsi="Times New Roman"/>
          <w:b/>
          <w:bCs/>
          <w:szCs w:val="24"/>
        </w:rPr>
      </w:pPr>
      <w:r w:rsidRPr="005327F5">
        <w:rPr>
          <w:rFonts w:ascii="Times New Roman" w:hAnsi="Times New Roman"/>
          <w:b/>
          <w:bCs/>
          <w:szCs w:val="24"/>
        </w:rPr>
        <w:t>Attachment A</w:t>
      </w:r>
    </w:p>
    <w:p w:rsidR="00294A49" w:rsidRPr="005327F5" w:rsidRDefault="00294A49" w:rsidP="00294A49">
      <w:pPr>
        <w:rPr>
          <w:rFonts w:ascii="Times New Roman" w:hAnsi="Times New Roman"/>
          <w:b/>
          <w:bCs/>
          <w:szCs w:val="24"/>
        </w:rPr>
      </w:pPr>
    </w:p>
    <w:p w:rsidR="00294A49" w:rsidRPr="005327F5" w:rsidRDefault="00294A49" w:rsidP="00294A49">
      <w:pPr>
        <w:rPr>
          <w:rFonts w:ascii="Times New Roman" w:hAnsi="Times New Roman"/>
          <w:b/>
          <w:bCs/>
          <w:i/>
          <w:szCs w:val="24"/>
        </w:rPr>
      </w:pPr>
      <w:r w:rsidRPr="002A431C">
        <w:rPr>
          <w:rFonts w:ascii="Times New Roman" w:hAnsi="Times New Roman"/>
          <w:b/>
          <w:bCs/>
          <w:szCs w:val="24"/>
        </w:rPr>
        <w:t xml:space="preserve">Details of the </w:t>
      </w:r>
      <w:r w:rsidR="0060165C" w:rsidRPr="002A431C">
        <w:rPr>
          <w:rFonts w:ascii="Times New Roman" w:hAnsi="Times New Roman"/>
          <w:b/>
          <w:i/>
          <w:szCs w:val="24"/>
        </w:rPr>
        <w:t>Therapeutic Goods (</w:t>
      </w:r>
      <w:r w:rsidR="006D1F21" w:rsidRPr="002A431C">
        <w:rPr>
          <w:b/>
          <w:i/>
        </w:rPr>
        <w:t>Medical Devices—Information that Must Accompany Application for Inclusion</w:t>
      </w:r>
      <w:r w:rsidR="0060165C" w:rsidRPr="002A431C">
        <w:rPr>
          <w:rFonts w:ascii="Times New Roman" w:hAnsi="Times New Roman"/>
          <w:b/>
          <w:i/>
          <w:szCs w:val="24"/>
        </w:rPr>
        <w:t>) Determination 2018</w:t>
      </w:r>
    </w:p>
    <w:p w:rsidR="00294A49" w:rsidRPr="005327F5" w:rsidRDefault="00294A49" w:rsidP="00294A49">
      <w:pPr>
        <w:rPr>
          <w:rFonts w:ascii="Times New Roman" w:hAnsi="Times New Roman"/>
          <w:b/>
          <w:bCs/>
          <w:i/>
          <w:szCs w:val="24"/>
        </w:rPr>
      </w:pPr>
    </w:p>
    <w:p w:rsidR="00294A49" w:rsidRPr="005327F5" w:rsidRDefault="00B279BF" w:rsidP="00294A49">
      <w:pPr>
        <w:rPr>
          <w:rFonts w:ascii="Times New Roman" w:hAnsi="Times New Roman"/>
          <w:b/>
          <w:bCs/>
          <w:szCs w:val="24"/>
        </w:rPr>
      </w:pPr>
      <w:r w:rsidRPr="005327F5">
        <w:rPr>
          <w:rFonts w:ascii="Times New Roman" w:hAnsi="Times New Roman"/>
          <w:b/>
          <w:bCs/>
          <w:szCs w:val="24"/>
        </w:rPr>
        <w:t>Section 1 – Name</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Cs/>
          <w:szCs w:val="24"/>
        </w:rPr>
      </w:pPr>
      <w:r w:rsidRPr="005327F5">
        <w:rPr>
          <w:rFonts w:ascii="Times New Roman" w:hAnsi="Times New Roman"/>
          <w:bCs/>
          <w:szCs w:val="24"/>
        </w:rPr>
        <w:t>This section provides that the name of th</w:t>
      </w:r>
      <w:r w:rsidR="00846A95" w:rsidRPr="005327F5">
        <w:rPr>
          <w:rFonts w:ascii="Times New Roman" w:hAnsi="Times New Roman"/>
          <w:bCs/>
          <w:szCs w:val="24"/>
        </w:rPr>
        <w:t>e</w:t>
      </w:r>
      <w:r w:rsidRPr="005327F5">
        <w:rPr>
          <w:rFonts w:ascii="Times New Roman" w:hAnsi="Times New Roman"/>
          <w:bCs/>
          <w:szCs w:val="24"/>
        </w:rPr>
        <w:t xml:space="preserve"> </w:t>
      </w:r>
      <w:r w:rsidR="00DC5BDE">
        <w:rPr>
          <w:rFonts w:ascii="Times New Roman" w:hAnsi="Times New Roman"/>
          <w:bCs/>
          <w:szCs w:val="24"/>
        </w:rPr>
        <w:t>instrument</w:t>
      </w:r>
      <w:r w:rsidR="00DC5BDE" w:rsidRPr="005327F5">
        <w:rPr>
          <w:rFonts w:ascii="Times New Roman" w:hAnsi="Times New Roman"/>
          <w:bCs/>
          <w:szCs w:val="24"/>
        </w:rPr>
        <w:t xml:space="preserve"> </w:t>
      </w:r>
      <w:r w:rsidRPr="005327F5">
        <w:rPr>
          <w:rFonts w:ascii="Times New Roman" w:hAnsi="Times New Roman"/>
          <w:bCs/>
          <w:szCs w:val="24"/>
        </w:rPr>
        <w:t xml:space="preserve">is </w:t>
      </w:r>
      <w:r w:rsidRPr="00BF3CEB">
        <w:rPr>
          <w:rFonts w:ascii="Times New Roman" w:hAnsi="Times New Roman"/>
          <w:bCs/>
          <w:szCs w:val="24"/>
        </w:rPr>
        <w:t xml:space="preserve">the </w:t>
      </w:r>
      <w:r w:rsidR="0060165C" w:rsidRPr="002A431C">
        <w:rPr>
          <w:rFonts w:ascii="Times New Roman" w:hAnsi="Times New Roman"/>
          <w:i/>
          <w:szCs w:val="24"/>
        </w:rPr>
        <w:t>Therapeutic Goods (</w:t>
      </w:r>
      <w:r w:rsidR="006D1F21" w:rsidRPr="002A431C">
        <w:rPr>
          <w:i/>
        </w:rPr>
        <w:t>Medical Devices—Information that Must Accompany Application for Inclusion</w:t>
      </w:r>
      <w:r w:rsidR="0060165C" w:rsidRPr="002A431C">
        <w:rPr>
          <w:rFonts w:ascii="Times New Roman" w:hAnsi="Times New Roman"/>
          <w:i/>
          <w:szCs w:val="24"/>
        </w:rPr>
        <w:t>) Determination 2018</w:t>
      </w:r>
      <w:r w:rsidR="00337507" w:rsidRPr="002A431C">
        <w:rPr>
          <w:rFonts w:ascii="Times New Roman" w:hAnsi="Times New Roman"/>
          <w:i/>
          <w:szCs w:val="24"/>
        </w:rPr>
        <w:t>.</w:t>
      </w:r>
    </w:p>
    <w:p w:rsidR="00B279BF" w:rsidRPr="005327F5" w:rsidRDefault="00B279BF" w:rsidP="00294A49">
      <w:pPr>
        <w:rPr>
          <w:rFonts w:ascii="Times New Roman" w:hAnsi="Times New Roman"/>
          <w:bCs/>
          <w:szCs w:val="24"/>
        </w:rPr>
      </w:pPr>
    </w:p>
    <w:p w:rsidR="00B279BF" w:rsidRPr="005327F5" w:rsidRDefault="00B279BF" w:rsidP="00294A49">
      <w:pPr>
        <w:rPr>
          <w:rFonts w:ascii="Times New Roman" w:hAnsi="Times New Roman"/>
          <w:b/>
          <w:bCs/>
          <w:szCs w:val="24"/>
        </w:rPr>
      </w:pPr>
      <w:r w:rsidRPr="005327F5">
        <w:rPr>
          <w:rFonts w:ascii="Times New Roman" w:hAnsi="Times New Roman"/>
          <w:b/>
          <w:bCs/>
          <w:szCs w:val="24"/>
        </w:rPr>
        <w:t>Section 2 – Commencement</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Cs/>
          <w:szCs w:val="24"/>
        </w:rPr>
      </w:pPr>
      <w:r w:rsidRPr="005327F5">
        <w:rPr>
          <w:rFonts w:ascii="Times New Roman" w:hAnsi="Times New Roman"/>
          <w:bCs/>
          <w:szCs w:val="24"/>
        </w:rPr>
        <w:t xml:space="preserve">This section provides that </w:t>
      </w:r>
      <w:r w:rsidR="00846A95" w:rsidRPr="005327F5">
        <w:rPr>
          <w:rFonts w:ascii="Times New Roman" w:hAnsi="Times New Roman"/>
          <w:bCs/>
          <w:szCs w:val="24"/>
        </w:rPr>
        <w:t xml:space="preserve">the </w:t>
      </w:r>
      <w:r w:rsidR="00592942">
        <w:rPr>
          <w:rFonts w:ascii="Times New Roman" w:hAnsi="Times New Roman"/>
          <w:bCs/>
          <w:szCs w:val="24"/>
        </w:rPr>
        <w:t>instrument</w:t>
      </w:r>
      <w:r w:rsidR="00592942" w:rsidRPr="005327F5">
        <w:rPr>
          <w:rFonts w:ascii="Times New Roman" w:hAnsi="Times New Roman"/>
          <w:bCs/>
          <w:szCs w:val="24"/>
        </w:rPr>
        <w:t xml:space="preserve"> </w:t>
      </w:r>
      <w:r w:rsidR="00846A95" w:rsidRPr="005327F5">
        <w:rPr>
          <w:rFonts w:ascii="Times New Roman" w:hAnsi="Times New Roman"/>
          <w:bCs/>
          <w:szCs w:val="24"/>
        </w:rPr>
        <w:t xml:space="preserve">commences </w:t>
      </w:r>
      <w:r w:rsidR="00337507" w:rsidRPr="005327F5">
        <w:rPr>
          <w:rFonts w:ascii="Times New Roman" w:hAnsi="Times New Roman"/>
          <w:bCs/>
          <w:szCs w:val="24"/>
        </w:rPr>
        <w:t xml:space="preserve">on </w:t>
      </w:r>
      <w:r w:rsidR="0013396D" w:rsidRPr="005327F5">
        <w:rPr>
          <w:rFonts w:ascii="Times New Roman" w:hAnsi="Times New Roman"/>
          <w:bCs/>
          <w:szCs w:val="24"/>
        </w:rPr>
        <w:t>the day after it is registered</w:t>
      </w:r>
      <w:r w:rsidR="00846A95" w:rsidRPr="005327F5">
        <w:rPr>
          <w:rFonts w:ascii="Times New Roman" w:hAnsi="Times New Roman"/>
          <w:bCs/>
          <w:szCs w:val="24"/>
        </w:rPr>
        <w:t>.</w:t>
      </w:r>
    </w:p>
    <w:p w:rsidR="00B279BF" w:rsidRPr="005327F5" w:rsidRDefault="00B279BF" w:rsidP="00294A49">
      <w:pPr>
        <w:rPr>
          <w:rFonts w:ascii="Times New Roman" w:hAnsi="Times New Roman"/>
          <w:b/>
          <w:bCs/>
          <w:szCs w:val="24"/>
        </w:rPr>
      </w:pPr>
    </w:p>
    <w:p w:rsidR="00DC5BDE" w:rsidRPr="005327F5" w:rsidRDefault="00DC5BDE" w:rsidP="00DC5BDE">
      <w:pPr>
        <w:rPr>
          <w:rFonts w:ascii="Times New Roman" w:hAnsi="Times New Roman"/>
          <w:b/>
          <w:bCs/>
          <w:szCs w:val="24"/>
        </w:rPr>
      </w:pPr>
      <w:r w:rsidRPr="005327F5">
        <w:rPr>
          <w:rFonts w:ascii="Times New Roman" w:hAnsi="Times New Roman"/>
          <w:b/>
          <w:bCs/>
          <w:szCs w:val="24"/>
        </w:rPr>
        <w:t xml:space="preserve">Section </w:t>
      </w:r>
      <w:r>
        <w:rPr>
          <w:rFonts w:ascii="Times New Roman" w:hAnsi="Times New Roman"/>
          <w:b/>
          <w:bCs/>
          <w:szCs w:val="24"/>
        </w:rPr>
        <w:t>3</w:t>
      </w:r>
      <w:r w:rsidRPr="005327F5">
        <w:rPr>
          <w:rFonts w:ascii="Times New Roman" w:hAnsi="Times New Roman"/>
          <w:b/>
          <w:bCs/>
          <w:szCs w:val="24"/>
        </w:rPr>
        <w:t xml:space="preserve"> – </w:t>
      </w:r>
      <w:r>
        <w:rPr>
          <w:rFonts w:ascii="Times New Roman" w:hAnsi="Times New Roman"/>
          <w:b/>
          <w:bCs/>
          <w:szCs w:val="24"/>
        </w:rPr>
        <w:t>Authority</w:t>
      </w:r>
    </w:p>
    <w:p w:rsidR="00DC5BDE" w:rsidRPr="005327F5" w:rsidRDefault="00DC5BDE" w:rsidP="00DC5BDE">
      <w:pPr>
        <w:rPr>
          <w:rFonts w:ascii="Times New Roman" w:hAnsi="Times New Roman"/>
          <w:b/>
          <w:bCs/>
          <w:szCs w:val="24"/>
        </w:rPr>
      </w:pPr>
    </w:p>
    <w:p w:rsidR="00DC5BDE" w:rsidRDefault="00DC5BDE" w:rsidP="00DC5BDE">
      <w:pPr>
        <w:rPr>
          <w:rFonts w:ascii="Times New Roman" w:hAnsi="Times New Roman"/>
          <w:bCs/>
          <w:szCs w:val="24"/>
        </w:rPr>
      </w:pPr>
      <w:r w:rsidRPr="005327F5">
        <w:rPr>
          <w:rFonts w:ascii="Times New Roman" w:hAnsi="Times New Roman"/>
          <w:bCs/>
          <w:szCs w:val="24"/>
        </w:rPr>
        <w:t xml:space="preserve">This section provides </w:t>
      </w:r>
      <w:r>
        <w:rPr>
          <w:rFonts w:ascii="Times New Roman" w:hAnsi="Times New Roman"/>
          <w:bCs/>
          <w:szCs w:val="24"/>
        </w:rPr>
        <w:t xml:space="preserve">that </w:t>
      </w:r>
      <w:r w:rsidRPr="005327F5">
        <w:rPr>
          <w:rFonts w:ascii="Times New Roman" w:hAnsi="Times New Roman"/>
          <w:bCs/>
          <w:szCs w:val="24"/>
        </w:rPr>
        <w:t xml:space="preserve">the </w:t>
      </w:r>
      <w:r>
        <w:rPr>
          <w:rFonts w:ascii="Times New Roman" w:hAnsi="Times New Roman"/>
          <w:bCs/>
          <w:szCs w:val="24"/>
        </w:rPr>
        <w:t>instrument</w:t>
      </w:r>
      <w:r w:rsidRPr="005327F5">
        <w:rPr>
          <w:rFonts w:ascii="Times New Roman" w:hAnsi="Times New Roman"/>
          <w:bCs/>
          <w:szCs w:val="24"/>
        </w:rPr>
        <w:t xml:space="preserve"> </w:t>
      </w:r>
      <w:r>
        <w:rPr>
          <w:rFonts w:ascii="Times New Roman" w:hAnsi="Times New Roman"/>
          <w:bCs/>
          <w:szCs w:val="24"/>
        </w:rPr>
        <w:t xml:space="preserve">is made under subsections </w:t>
      </w:r>
      <w:r>
        <w:t xml:space="preserve">41FDB(7) and 41FDB(8) </w:t>
      </w:r>
      <w:r>
        <w:rPr>
          <w:rFonts w:ascii="Times New Roman" w:hAnsi="Times New Roman"/>
          <w:bCs/>
          <w:szCs w:val="24"/>
        </w:rPr>
        <w:t>of</w:t>
      </w:r>
      <w:r w:rsidRPr="005327F5">
        <w:rPr>
          <w:rFonts w:ascii="Times New Roman" w:hAnsi="Times New Roman"/>
          <w:bCs/>
          <w:szCs w:val="24"/>
        </w:rPr>
        <w:t xml:space="preserve"> the Act. </w:t>
      </w:r>
      <w:r>
        <w:rPr>
          <w:rFonts w:ascii="Times New Roman" w:hAnsi="Times New Roman"/>
          <w:bCs/>
          <w:szCs w:val="24"/>
        </w:rPr>
        <w:t>These provisions</w:t>
      </w:r>
      <w:r>
        <w:t xml:space="preserve"> empower the Secretary to determine, by legislative instrument, a</w:t>
      </w:r>
      <w:r w:rsidR="003E14EF">
        <w:t xml:space="preserve"> kind</w:t>
      </w:r>
      <w:r w:rsidR="00F343F7" w:rsidRPr="00F343F7">
        <w:t xml:space="preserve"> </w:t>
      </w:r>
      <w:r w:rsidR="00F343F7">
        <w:t>and form of</w:t>
      </w:r>
      <w:r>
        <w:t xml:space="preserve"> information that </w:t>
      </w:r>
      <w:r w:rsidR="003E14EF">
        <w:t>must accompany an application to the Secretary for a kind of medical device to be included in the Register.</w:t>
      </w:r>
    </w:p>
    <w:p w:rsidR="00DC5BDE" w:rsidRDefault="00DC5BDE" w:rsidP="00DC5BDE">
      <w:pPr>
        <w:rPr>
          <w:rFonts w:ascii="Times New Roman" w:hAnsi="Times New Roman"/>
          <w:bCs/>
          <w:szCs w:val="24"/>
        </w:rPr>
      </w:pPr>
    </w:p>
    <w:p w:rsidR="004E6B0E" w:rsidRPr="005327F5" w:rsidRDefault="004E6B0E" w:rsidP="004E6B0E">
      <w:pPr>
        <w:rPr>
          <w:rFonts w:ascii="Times New Roman" w:hAnsi="Times New Roman"/>
          <w:b/>
          <w:bCs/>
          <w:szCs w:val="24"/>
        </w:rPr>
      </w:pPr>
      <w:r w:rsidRPr="005327F5">
        <w:rPr>
          <w:rFonts w:ascii="Times New Roman" w:hAnsi="Times New Roman"/>
          <w:b/>
          <w:bCs/>
          <w:szCs w:val="24"/>
        </w:rPr>
        <w:t xml:space="preserve">Section </w:t>
      </w:r>
      <w:r>
        <w:rPr>
          <w:rFonts w:ascii="Times New Roman" w:hAnsi="Times New Roman"/>
          <w:b/>
          <w:bCs/>
          <w:szCs w:val="24"/>
        </w:rPr>
        <w:t>4</w:t>
      </w:r>
      <w:r w:rsidRPr="005327F5">
        <w:rPr>
          <w:rFonts w:ascii="Times New Roman" w:hAnsi="Times New Roman"/>
          <w:b/>
          <w:bCs/>
          <w:szCs w:val="24"/>
        </w:rPr>
        <w:t xml:space="preserve"> – Definitions</w:t>
      </w:r>
    </w:p>
    <w:p w:rsidR="004E6B0E" w:rsidRPr="005327F5" w:rsidRDefault="004E6B0E" w:rsidP="004E6B0E">
      <w:pPr>
        <w:rPr>
          <w:rFonts w:ascii="Times New Roman" w:hAnsi="Times New Roman"/>
          <w:b/>
          <w:bCs/>
          <w:szCs w:val="24"/>
        </w:rPr>
      </w:pPr>
    </w:p>
    <w:p w:rsidR="004E6B0E" w:rsidRDefault="004E6B0E" w:rsidP="004E6B0E">
      <w:pPr>
        <w:rPr>
          <w:rFonts w:ascii="Times New Roman" w:hAnsi="Times New Roman"/>
          <w:bCs/>
          <w:szCs w:val="24"/>
        </w:rPr>
      </w:pPr>
      <w:r w:rsidRPr="005327F5">
        <w:rPr>
          <w:rFonts w:ascii="Times New Roman" w:hAnsi="Times New Roman"/>
          <w:bCs/>
          <w:szCs w:val="24"/>
        </w:rPr>
        <w:t xml:space="preserve">This section provides definitions for certain terms used in the </w:t>
      </w:r>
      <w:r>
        <w:rPr>
          <w:rFonts w:ascii="Times New Roman" w:hAnsi="Times New Roman"/>
          <w:bCs/>
          <w:szCs w:val="24"/>
        </w:rPr>
        <w:t>instrument</w:t>
      </w:r>
      <w:r w:rsidRPr="005327F5">
        <w:rPr>
          <w:rFonts w:ascii="Times New Roman" w:hAnsi="Times New Roman"/>
          <w:bCs/>
          <w:szCs w:val="24"/>
        </w:rPr>
        <w:t xml:space="preserve"> that are not otherwise defined in the Act.</w:t>
      </w:r>
      <w:r w:rsidR="00F343F7">
        <w:rPr>
          <w:rFonts w:ascii="Times New Roman" w:hAnsi="Times New Roman"/>
          <w:bCs/>
          <w:szCs w:val="24"/>
        </w:rPr>
        <w:t xml:space="preserve"> A number of terms are defined by reference to their meaning in the </w:t>
      </w:r>
      <w:r w:rsidR="00F343F7" w:rsidRPr="0056717E">
        <w:rPr>
          <w:rFonts w:ascii="Times New Roman" w:hAnsi="Times New Roman"/>
          <w:bCs/>
          <w:i/>
          <w:szCs w:val="24"/>
        </w:rPr>
        <w:t>Therapeutic Goods (Medical Devices) Regulations 2002</w:t>
      </w:r>
      <w:r w:rsidR="00F343F7">
        <w:rPr>
          <w:rFonts w:ascii="Times New Roman" w:hAnsi="Times New Roman"/>
          <w:bCs/>
          <w:szCs w:val="24"/>
        </w:rPr>
        <w:t xml:space="preserve"> (the Regulations).</w:t>
      </w:r>
    </w:p>
    <w:p w:rsidR="004E6B0E" w:rsidRPr="005327F5" w:rsidRDefault="004E6B0E" w:rsidP="004E6B0E">
      <w:pPr>
        <w:rPr>
          <w:rFonts w:ascii="Times New Roman" w:hAnsi="Times New Roman"/>
          <w:bCs/>
          <w:szCs w:val="24"/>
        </w:rPr>
      </w:pPr>
    </w:p>
    <w:p w:rsidR="004E6B0E" w:rsidRPr="005327F5" w:rsidRDefault="004E6B0E" w:rsidP="004E6B0E">
      <w:pPr>
        <w:rPr>
          <w:rFonts w:ascii="Times New Roman" w:hAnsi="Times New Roman"/>
          <w:b/>
          <w:bCs/>
          <w:szCs w:val="24"/>
        </w:rPr>
      </w:pPr>
      <w:r w:rsidRPr="005327F5">
        <w:rPr>
          <w:rFonts w:ascii="Times New Roman" w:hAnsi="Times New Roman"/>
          <w:b/>
          <w:bCs/>
          <w:szCs w:val="24"/>
        </w:rPr>
        <w:t xml:space="preserve">Section </w:t>
      </w:r>
      <w:r>
        <w:rPr>
          <w:rFonts w:ascii="Times New Roman" w:hAnsi="Times New Roman"/>
          <w:b/>
          <w:bCs/>
          <w:szCs w:val="24"/>
        </w:rPr>
        <w:t>5</w:t>
      </w:r>
      <w:r w:rsidRPr="005327F5">
        <w:rPr>
          <w:rFonts w:ascii="Times New Roman" w:hAnsi="Times New Roman"/>
          <w:b/>
          <w:bCs/>
          <w:szCs w:val="24"/>
        </w:rPr>
        <w:t xml:space="preserve"> – </w:t>
      </w:r>
      <w:r w:rsidRPr="004E6B0E">
        <w:rPr>
          <w:rFonts w:ascii="Times New Roman" w:hAnsi="Times New Roman"/>
          <w:b/>
          <w:bCs/>
          <w:szCs w:val="24"/>
        </w:rPr>
        <w:t>Kind of information—medical devices other than IVD medical devices</w:t>
      </w:r>
    </w:p>
    <w:p w:rsidR="004E6B0E" w:rsidRPr="005327F5" w:rsidRDefault="004E6B0E" w:rsidP="004E6B0E">
      <w:pPr>
        <w:rPr>
          <w:rFonts w:ascii="Times New Roman" w:hAnsi="Times New Roman"/>
          <w:b/>
          <w:bCs/>
          <w:szCs w:val="24"/>
        </w:rPr>
      </w:pPr>
    </w:p>
    <w:p w:rsidR="009B69DB" w:rsidRDefault="009B69DB" w:rsidP="009B69DB">
      <w:pPr>
        <w:rPr>
          <w:rFonts w:ascii="Times New Roman" w:hAnsi="Times New Roman"/>
          <w:bCs/>
          <w:szCs w:val="24"/>
        </w:rPr>
      </w:pPr>
      <w:r w:rsidRPr="005327F5">
        <w:rPr>
          <w:rFonts w:ascii="Times New Roman" w:hAnsi="Times New Roman"/>
          <w:bCs/>
          <w:szCs w:val="24"/>
        </w:rPr>
        <w:t xml:space="preserve">This section </w:t>
      </w:r>
      <w:r>
        <w:rPr>
          <w:rFonts w:ascii="Times New Roman" w:hAnsi="Times New Roman"/>
          <w:bCs/>
          <w:szCs w:val="24"/>
        </w:rPr>
        <w:t xml:space="preserve">is made for subsection </w:t>
      </w:r>
      <w:r>
        <w:t xml:space="preserve">41FDB(7) </w:t>
      </w:r>
      <w:r w:rsidR="00BF3CEB">
        <w:t xml:space="preserve">of the Act </w:t>
      </w:r>
      <w:r>
        <w:t>and</w:t>
      </w:r>
      <w:r w:rsidRPr="005327F5">
        <w:rPr>
          <w:rFonts w:ascii="Times New Roman" w:hAnsi="Times New Roman"/>
          <w:bCs/>
          <w:szCs w:val="24"/>
        </w:rPr>
        <w:t xml:space="preserve"> </w:t>
      </w:r>
      <w:r>
        <w:rPr>
          <w:rFonts w:ascii="Times New Roman" w:hAnsi="Times New Roman"/>
          <w:bCs/>
          <w:szCs w:val="24"/>
        </w:rPr>
        <w:t>provides that an application for inclusion of a medical device (other than an IVD medical device) must be accompanied by the kind of information specified in the relevant Part of Schedule 1 to the Determination.</w:t>
      </w:r>
      <w:r w:rsidR="00802ED9">
        <w:rPr>
          <w:rFonts w:ascii="Times New Roman" w:hAnsi="Times New Roman"/>
          <w:bCs/>
          <w:szCs w:val="24"/>
        </w:rPr>
        <w:t xml:space="preserve"> </w:t>
      </w:r>
      <w:r w:rsidR="00213441">
        <w:rPr>
          <w:rFonts w:ascii="Times New Roman" w:hAnsi="Times New Roman"/>
          <w:bCs/>
          <w:szCs w:val="24"/>
        </w:rPr>
        <w:t>The requirements of this section are subject to section 8.</w:t>
      </w:r>
    </w:p>
    <w:p w:rsidR="004E6B0E" w:rsidRPr="005327F5" w:rsidRDefault="004E6B0E" w:rsidP="004E6B0E">
      <w:pPr>
        <w:rPr>
          <w:rFonts w:ascii="Times New Roman" w:hAnsi="Times New Roman"/>
          <w:bCs/>
          <w:szCs w:val="24"/>
        </w:rPr>
      </w:pPr>
    </w:p>
    <w:p w:rsidR="004E6B0E" w:rsidRPr="005327F5" w:rsidRDefault="004E6B0E" w:rsidP="004E6B0E">
      <w:pPr>
        <w:rPr>
          <w:rFonts w:ascii="Times New Roman" w:hAnsi="Times New Roman"/>
          <w:b/>
          <w:bCs/>
          <w:szCs w:val="24"/>
        </w:rPr>
      </w:pPr>
      <w:r w:rsidRPr="005327F5">
        <w:rPr>
          <w:rFonts w:ascii="Times New Roman" w:hAnsi="Times New Roman"/>
          <w:b/>
          <w:bCs/>
          <w:szCs w:val="24"/>
        </w:rPr>
        <w:t xml:space="preserve">Section </w:t>
      </w:r>
      <w:r>
        <w:rPr>
          <w:rFonts w:ascii="Times New Roman" w:hAnsi="Times New Roman"/>
          <w:b/>
          <w:bCs/>
          <w:szCs w:val="24"/>
        </w:rPr>
        <w:t>6</w:t>
      </w:r>
      <w:r w:rsidRPr="005327F5">
        <w:rPr>
          <w:rFonts w:ascii="Times New Roman" w:hAnsi="Times New Roman"/>
          <w:b/>
          <w:bCs/>
          <w:szCs w:val="24"/>
        </w:rPr>
        <w:t xml:space="preserve"> – </w:t>
      </w:r>
      <w:r w:rsidRPr="004E6B0E">
        <w:rPr>
          <w:rFonts w:ascii="Times New Roman" w:hAnsi="Times New Roman"/>
          <w:b/>
          <w:bCs/>
          <w:szCs w:val="24"/>
        </w:rPr>
        <w:t>Kind of information—IVD medical devices</w:t>
      </w:r>
    </w:p>
    <w:p w:rsidR="004E6B0E" w:rsidRPr="005327F5" w:rsidRDefault="004E6B0E" w:rsidP="004E6B0E">
      <w:pPr>
        <w:rPr>
          <w:rFonts w:ascii="Times New Roman" w:hAnsi="Times New Roman"/>
          <w:b/>
          <w:bCs/>
          <w:szCs w:val="24"/>
        </w:rPr>
      </w:pPr>
    </w:p>
    <w:p w:rsidR="009B69DB" w:rsidRDefault="009B69DB" w:rsidP="009B69DB">
      <w:pPr>
        <w:rPr>
          <w:rFonts w:ascii="Times New Roman" w:hAnsi="Times New Roman"/>
          <w:bCs/>
          <w:szCs w:val="24"/>
        </w:rPr>
      </w:pPr>
      <w:r w:rsidRPr="005327F5">
        <w:rPr>
          <w:rFonts w:ascii="Times New Roman" w:hAnsi="Times New Roman"/>
          <w:bCs/>
          <w:szCs w:val="24"/>
        </w:rPr>
        <w:t xml:space="preserve">This section </w:t>
      </w:r>
      <w:r>
        <w:rPr>
          <w:rFonts w:ascii="Times New Roman" w:hAnsi="Times New Roman"/>
          <w:bCs/>
          <w:szCs w:val="24"/>
        </w:rPr>
        <w:t xml:space="preserve">is made for subsection </w:t>
      </w:r>
      <w:r>
        <w:t>41FDB(</w:t>
      </w:r>
      <w:r w:rsidR="00BF3CEB">
        <w:t>7</w:t>
      </w:r>
      <w:r>
        <w:t xml:space="preserve">) </w:t>
      </w:r>
      <w:r w:rsidR="00213441">
        <w:t xml:space="preserve">of the Act </w:t>
      </w:r>
      <w:r>
        <w:t>and</w:t>
      </w:r>
      <w:r w:rsidRPr="005327F5">
        <w:rPr>
          <w:rFonts w:ascii="Times New Roman" w:hAnsi="Times New Roman"/>
          <w:bCs/>
          <w:szCs w:val="24"/>
        </w:rPr>
        <w:t xml:space="preserve"> </w:t>
      </w:r>
      <w:r>
        <w:rPr>
          <w:rFonts w:ascii="Times New Roman" w:hAnsi="Times New Roman"/>
          <w:bCs/>
          <w:szCs w:val="24"/>
        </w:rPr>
        <w:t>provides that an application for inclusion of an IVD medical device must be accompanied by the kind of information specified in the relevant Part of Schedule 2 to the Determination.</w:t>
      </w:r>
      <w:r w:rsidRPr="005327F5">
        <w:rPr>
          <w:rFonts w:ascii="Times New Roman" w:hAnsi="Times New Roman"/>
          <w:bCs/>
          <w:szCs w:val="24"/>
        </w:rPr>
        <w:t xml:space="preserve"> </w:t>
      </w:r>
      <w:r w:rsidR="00157380">
        <w:rPr>
          <w:rFonts w:ascii="Times New Roman" w:hAnsi="Times New Roman"/>
          <w:bCs/>
          <w:szCs w:val="24"/>
        </w:rPr>
        <w:t>The requirements of this section are subject to section 8</w:t>
      </w:r>
      <w:r w:rsidR="00802ED9">
        <w:rPr>
          <w:rFonts w:ascii="Times New Roman" w:hAnsi="Times New Roman"/>
          <w:bCs/>
          <w:szCs w:val="24"/>
        </w:rPr>
        <w:t>.</w:t>
      </w:r>
    </w:p>
    <w:p w:rsidR="004E6B0E" w:rsidRPr="005327F5" w:rsidRDefault="004E6B0E" w:rsidP="004E6B0E">
      <w:pPr>
        <w:rPr>
          <w:rFonts w:ascii="Times New Roman" w:hAnsi="Times New Roman"/>
          <w:bCs/>
          <w:szCs w:val="24"/>
        </w:rPr>
      </w:pPr>
    </w:p>
    <w:p w:rsidR="00175C4D" w:rsidRPr="00574869" w:rsidRDefault="00175C4D" w:rsidP="00175C4D">
      <w:pPr>
        <w:rPr>
          <w:rFonts w:ascii="Times New Roman" w:hAnsi="Times New Roman"/>
          <w:b/>
          <w:bCs/>
          <w:szCs w:val="24"/>
        </w:rPr>
      </w:pPr>
      <w:r w:rsidRPr="005327F5">
        <w:rPr>
          <w:rFonts w:ascii="Times New Roman" w:hAnsi="Times New Roman"/>
          <w:b/>
          <w:bCs/>
          <w:szCs w:val="24"/>
        </w:rPr>
        <w:t xml:space="preserve">Section </w:t>
      </w:r>
      <w:r>
        <w:rPr>
          <w:rFonts w:ascii="Times New Roman" w:hAnsi="Times New Roman"/>
          <w:b/>
          <w:bCs/>
          <w:szCs w:val="24"/>
        </w:rPr>
        <w:t>7</w:t>
      </w:r>
      <w:r w:rsidRPr="005327F5">
        <w:rPr>
          <w:rFonts w:ascii="Times New Roman" w:hAnsi="Times New Roman"/>
          <w:b/>
          <w:bCs/>
          <w:szCs w:val="24"/>
        </w:rPr>
        <w:t xml:space="preserve"> – </w:t>
      </w:r>
      <w:r w:rsidRPr="004E6B0E">
        <w:rPr>
          <w:rFonts w:ascii="Times New Roman" w:hAnsi="Times New Roman"/>
          <w:b/>
          <w:bCs/>
          <w:szCs w:val="24"/>
        </w:rPr>
        <w:t xml:space="preserve">Kind of information—medical </w:t>
      </w:r>
      <w:r w:rsidRPr="00574869">
        <w:rPr>
          <w:rFonts w:ascii="Times New Roman" w:hAnsi="Times New Roman"/>
          <w:b/>
          <w:bCs/>
          <w:szCs w:val="24"/>
        </w:rPr>
        <w:t>devices</w:t>
      </w:r>
      <w:r w:rsidR="00574869" w:rsidRPr="00574869">
        <w:rPr>
          <w:b/>
          <w:bCs/>
          <w:szCs w:val="24"/>
        </w:rPr>
        <w:t xml:space="preserve"> </w:t>
      </w:r>
      <w:r w:rsidR="00574869" w:rsidRPr="00574869">
        <w:rPr>
          <w:b/>
        </w:rPr>
        <w:t>used for a special purpose that are a system or procedure pack</w:t>
      </w:r>
    </w:p>
    <w:p w:rsidR="00175C4D" w:rsidRPr="005327F5" w:rsidRDefault="00175C4D" w:rsidP="00175C4D">
      <w:pPr>
        <w:rPr>
          <w:rFonts w:ascii="Times New Roman" w:hAnsi="Times New Roman"/>
          <w:b/>
          <w:bCs/>
          <w:szCs w:val="24"/>
        </w:rPr>
      </w:pPr>
    </w:p>
    <w:p w:rsidR="00175C4D" w:rsidRDefault="00175C4D" w:rsidP="00175C4D">
      <w:pPr>
        <w:rPr>
          <w:rFonts w:ascii="Times New Roman" w:hAnsi="Times New Roman"/>
          <w:bCs/>
          <w:szCs w:val="24"/>
        </w:rPr>
      </w:pPr>
      <w:r w:rsidRPr="005327F5">
        <w:rPr>
          <w:rFonts w:ascii="Times New Roman" w:hAnsi="Times New Roman"/>
          <w:bCs/>
          <w:szCs w:val="24"/>
        </w:rPr>
        <w:t xml:space="preserve">This section </w:t>
      </w:r>
      <w:r>
        <w:rPr>
          <w:rFonts w:ascii="Times New Roman" w:hAnsi="Times New Roman"/>
          <w:bCs/>
          <w:szCs w:val="24"/>
        </w:rPr>
        <w:t xml:space="preserve">is made for subsection </w:t>
      </w:r>
      <w:r>
        <w:t>41FDB(</w:t>
      </w:r>
      <w:r w:rsidR="00DA65A7">
        <w:t>8</w:t>
      </w:r>
      <w:r>
        <w:t xml:space="preserve">) </w:t>
      </w:r>
      <w:r w:rsidR="00213441">
        <w:t xml:space="preserve">of the Act </w:t>
      </w:r>
      <w:r>
        <w:t>and</w:t>
      </w:r>
      <w:r w:rsidRPr="005327F5">
        <w:rPr>
          <w:rFonts w:ascii="Times New Roman" w:hAnsi="Times New Roman"/>
          <w:bCs/>
          <w:szCs w:val="24"/>
        </w:rPr>
        <w:t xml:space="preserve"> </w:t>
      </w:r>
      <w:r>
        <w:rPr>
          <w:rFonts w:ascii="Times New Roman" w:hAnsi="Times New Roman"/>
          <w:bCs/>
          <w:szCs w:val="24"/>
        </w:rPr>
        <w:t xml:space="preserve">provides that an application </w:t>
      </w:r>
      <w:r w:rsidR="00DA65A7">
        <w:rPr>
          <w:rFonts w:ascii="Times New Roman" w:hAnsi="Times New Roman"/>
          <w:bCs/>
          <w:szCs w:val="24"/>
        </w:rPr>
        <w:t xml:space="preserve">for inclusion of a </w:t>
      </w:r>
      <w:r>
        <w:rPr>
          <w:rFonts w:ascii="Times New Roman" w:hAnsi="Times New Roman"/>
          <w:bCs/>
          <w:szCs w:val="24"/>
        </w:rPr>
        <w:t xml:space="preserve">medical device </w:t>
      </w:r>
      <w:r w:rsidR="00DA65A7" w:rsidRPr="007C3A7D">
        <w:t xml:space="preserve">used for a special purpose that </w:t>
      </w:r>
      <w:r w:rsidR="003D2252">
        <w:t>is</w:t>
      </w:r>
      <w:r w:rsidR="00DA65A7" w:rsidRPr="007C3A7D">
        <w:t xml:space="preserve"> a system or procedure pack</w:t>
      </w:r>
      <w:r w:rsidR="00DA65A7">
        <w:rPr>
          <w:rFonts w:ascii="Times New Roman" w:hAnsi="Times New Roman"/>
          <w:bCs/>
          <w:szCs w:val="24"/>
        </w:rPr>
        <w:t xml:space="preserve"> </w:t>
      </w:r>
      <w:r>
        <w:rPr>
          <w:rFonts w:ascii="Times New Roman" w:hAnsi="Times New Roman"/>
          <w:bCs/>
          <w:szCs w:val="24"/>
        </w:rPr>
        <w:t xml:space="preserve">must be accompanied by the kind </w:t>
      </w:r>
      <w:r w:rsidR="00DA65A7">
        <w:rPr>
          <w:rFonts w:ascii="Times New Roman" w:hAnsi="Times New Roman"/>
          <w:bCs/>
          <w:szCs w:val="24"/>
        </w:rPr>
        <w:t xml:space="preserve">of information specified in </w:t>
      </w:r>
      <w:r w:rsidR="0011678C">
        <w:rPr>
          <w:rFonts w:ascii="Times New Roman" w:hAnsi="Times New Roman"/>
          <w:bCs/>
          <w:szCs w:val="24"/>
        </w:rPr>
        <w:t xml:space="preserve">Part 1 of </w:t>
      </w:r>
      <w:r>
        <w:rPr>
          <w:rFonts w:ascii="Times New Roman" w:hAnsi="Times New Roman"/>
          <w:bCs/>
          <w:szCs w:val="24"/>
        </w:rPr>
        <w:t xml:space="preserve">Schedule </w:t>
      </w:r>
      <w:r w:rsidR="00DA65A7">
        <w:rPr>
          <w:rFonts w:ascii="Times New Roman" w:hAnsi="Times New Roman"/>
          <w:bCs/>
          <w:szCs w:val="24"/>
        </w:rPr>
        <w:t>3</w:t>
      </w:r>
      <w:r>
        <w:rPr>
          <w:rFonts w:ascii="Times New Roman" w:hAnsi="Times New Roman"/>
          <w:bCs/>
          <w:szCs w:val="24"/>
        </w:rPr>
        <w:t xml:space="preserve"> to the Determination.</w:t>
      </w:r>
      <w:r w:rsidRPr="005327F5">
        <w:rPr>
          <w:rFonts w:ascii="Times New Roman" w:hAnsi="Times New Roman"/>
          <w:bCs/>
          <w:szCs w:val="24"/>
        </w:rPr>
        <w:t xml:space="preserve"> </w:t>
      </w:r>
      <w:r w:rsidR="0011678C">
        <w:rPr>
          <w:rFonts w:ascii="Times New Roman" w:hAnsi="Times New Roman"/>
          <w:bCs/>
          <w:szCs w:val="24"/>
        </w:rPr>
        <w:t xml:space="preserve">Where the medical device is intended by </w:t>
      </w:r>
      <w:r w:rsidR="0011678C">
        <w:rPr>
          <w:rFonts w:ascii="Times New Roman" w:hAnsi="Times New Roman"/>
          <w:bCs/>
          <w:szCs w:val="24"/>
        </w:rPr>
        <w:lastRenderedPageBreak/>
        <w:t xml:space="preserve">the manufacturer to be supplied in a sterile state, the application must </w:t>
      </w:r>
      <w:r w:rsidR="000A6B75">
        <w:rPr>
          <w:rFonts w:ascii="Times New Roman" w:hAnsi="Times New Roman"/>
          <w:bCs/>
          <w:szCs w:val="24"/>
        </w:rPr>
        <w:t xml:space="preserve">also </w:t>
      </w:r>
      <w:r w:rsidR="0011678C">
        <w:rPr>
          <w:rFonts w:ascii="Times New Roman" w:hAnsi="Times New Roman"/>
          <w:bCs/>
          <w:szCs w:val="24"/>
        </w:rPr>
        <w:t xml:space="preserve">be accompanied by </w:t>
      </w:r>
      <w:r w:rsidR="000A6B75">
        <w:rPr>
          <w:rFonts w:ascii="Times New Roman" w:hAnsi="Times New Roman"/>
          <w:bCs/>
          <w:szCs w:val="24"/>
        </w:rPr>
        <w:t xml:space="preserve">one or more documents </w:t>
      </w:r>
      <w:r w:rsidR="0011678C">
        <w:rPr>
          <w:rFonts w:ascii="Times New Roman" w:hAnsi="Times New Roman"/>
          <w:bCs/>
          <w:szCs w:val="24"/>
        </w:rPr>
        <w:t>specified in Part 2 of Schedule 3.</w:t>
      </w:r>
    </w:p>
    <w:p w:rsidR="00175C4D" w:rsidRDefault="00175C4D" w:rsidP="00175C4D">
      <w:pPr>
        <w:rPr>
          <w:rFonts w:ascii="Times New Roman" w:hAnsi="Times New Roman"/>
          <w:bCs/>
          <w:szCs w:val="24"/>
        </w:rPr>
      </w:pPr>
    </w:p>
    <w:p w:rsidR="003D2252" w:rsidRPr="00574869" w:rsidRDefault="003D2252" w:rsidP="003D2252">
      <w:pPr>
        <w:keepNext/>
        <w:rPr>
          <w:rFonts w:ascii="Times New Roman" w:hAnsi="Times New Roman"/>
          <w:b/>
          <w:bCs/>
          <w:szCs w:val="24"/>
        </w:rPr>
      </w:pPr>
      <w:r w:rsidRPr="005327F5">
        <w:rPr>
          <w:rFonts w:ascii="Times New Roman" w:hAnsi="Times New Roman"/>
          <w:b/>
          <w:bCs/>
          <w:szCs w:val="24"/>
        </w:rPr>
        <w:t xml:space="preserve">Section </w:t>
      </w:r>
      <w:r>
        <w:rPr>
          <w:rFonts w:ascii="Times New Roman" w:hAnsi="Times New Roman"/>
          <w:b/>
          <w:bCs/>
          <w:szCs w:val="24"/>
        </w:rPr>
        <w:t>8</w:t>
      </w:r>
      <w:r w:rsidRPr="005327F5">
        <w:rPr>
          <w:rFonts w:ascii="Times New Roman" w:hAnsi="Times New Roman"/>
          <w:b/>
          <w:bCs/>
          <w:szCs w:val="24"/>
        </w:rPr>
        <w:t xml:space="preserve"> – </w:t>
      </w:r>
      <w:r>
        <w:rPr>
          <w:rFonts w:ascii="Times New Roman" w:hAnsi="Times New Roman"/>
          <w:b/>
          <w:bCs/>
          <w:szCs w:val="24"/>
        </w:rPr>
        <w:t>Alternative k</w:t>
      </w:r>
      <w:r w:rsidRPr="004E6B0E">
        <w:rPr>
          <w:rFonts w:ascii="Times New Roman" w:hAnsi="Times New Roman"/>
          <w:b/>
          <w:bCs/>
          <w:szCs w:val="24"/>
        </w:rPr>
        <w:t>ind</w:t>
      </w:r>
      <w:r>
        <w:rPr>
          <w:rFonts w:ascii="Times New Roman" w:hAnsi="Times New Roman"/>
          <w:b/>
          <w:bCs/>
          <w:szCs w:val="24"/>
        </w:rPr>
        <w:t>s</w:t>
      </w:r>
      <w:r w:rsidRPr="004E6B0E">
        <w:rPr>
          <w:rFonts w:ascii="Times New Roman" w:hAnsi="Times New Roman"/>
          <w:b/>
          <w:bCs/>
          <w:szCs w:val="24"/>
        </w:rPr>
        <w:t xml:space="preserve"> of information</w:t>
      </w:r>
    </w:p>
    <w:p w:rsidR="003D2252" w:rsidRPr="005327F5" w:rsidRDefault="003D2252" w:rsidP="003D2252">
      <w:pPr>
        <w:rPr>
          <w:rFonts w:ascii="Times New Roman" w:hAnsi="Times New Roman"/>
          <w:b/>
          <w:bCs/>
          <w:szCs w:val="24"/>
        </w:rPr>
      </w:pPr>
    </w:p>
    <w:p w:rsidR="006360A1" w:rsidRDefault="003D2252" w:rsidP="003D2252">
      <w:r w:rsidRPr="005327F5">
        <w:rPr>
          <w:rFonts w:ascii="Times New Roman" w:hAnsi="Times New Roman"/>
          <w:bCs/>
          <w:szCs w:val="24"/>
        </w:rPr>
        <w:t xml:space="preserve">This section </w:t>
      </w:r>
      <w:r w:rsidR="006360A1">
        <w:rPr>
          <w:rFonts w:ascii="Times New Roman" w:hAnsi="Times New Roman"/>
          <w:bCs/>
          <w:szCs w:val="24"/>
        </w:rPr>
        <w:t>provides</w:t>
      </w:r>
      <w:r w:rsidR="006A2255">
        <w:rPr>
          <w:rFonts w:ascii="Times New Roman" w:hAnsi="Times New Roman"/>
          <w:bCs/>
          <w:szCs w:val="24"/>
        </w:rPr>
        <w:t xml:space="preserve"> that an application for the inclusion of a kind of medical device may, instead of the requirements specified for the particular classification</w:t>
      </w:r>
      <w:r w:rsidR="0011678C">
        <w:rPr>
          <w:rFonts w:ascii="Times New Roman" w:hAnsi="Times New Roman"/>
          <w:bCs/>
          <w:szCs w:val="24"/>
        </w:rPr>
        <w:t xml:space="preserve"> under section 5 or 6, </w:t>
      </w:r>
      <w:r w:rsidR="006A2255">
        <w:rPr>
          <w:rFonts w:ascii="Times New Roman" w:hAnsi="Times New Roman"/>
          <w:bCs/>
          <w:szCs w:val="24"/>
        </w:rPr>
        <w:t>be accompanied</w:t>
      </w:r>
      <w:r w:rsidR="0011678C">
        <w:rPr>
          <w:rFonts w:ascii="Times New Roman" w:hAnsi="Times New Roman"/>
          <w:bCs/>
          <w:szCs w:val="24"/>
        </w:rPr>
        <w:t xml:space="preserve"> by </w:t>
      </w:r>
      <w:r w:rsidR="00A2329B">
        <w:rPr>
          <w:rFonts w:ascii="Times New Roman" w:hAnsi="Times New Roman"/>
          <w:bCs/>
          <w:szCs w:val="24"/>
        </w:rPr>
        <w:t>the kind of information specified in that section in relation to a higher le</w:t>
      </w:r>
      <w:r w:rsidR="006360A1">
        <w:rPr>
          <w:rFonts w:ascii="Times New Roman" w:hAnsi="Times New Roman"/>
          <w:bCs/>
          <w:szCs w:val="24"/>
        </w:rPr>
        <w:t>vel classification</w:t>
      </w:r>
      <w:r>
        <w:rPr>
          <w:rFonts w:ascii="Times New Roman" w:hAnsi="Times New Roman"/>
          <w:bCs/>
          <w:szCs w:val="24"/>
        </w:rPr>
        <w:t>.</w:t>
      </w:r>
      <w:r w:rsidR="006360A1" w:rsidRPr="006360A1">
        <w:t xml:space="preserve"> </w:t>
      </w:r>
    </w:p>
    <w:p w:rsidR="006360A1" w:rsidRDefault="006360A1" w:rsidP="003D2252"/>
    <w:p w:rsidR="003D2252" w:rsidRDefault="006360A1" w:rsidP="003D2252">
      <w:pPr>
        <w:rPr>
          <w:rFonts w:ascii="Times New Roman" w:hAnsi="Times New Roman"/>
          <w:bCs/>
          <w:szCs w:val="24"/>
        </w:rPr>
      </w:pPr>
      <w:r w:rsidRPr="00766732">
        <w:t xml:space="preserve">The </w:t>
      </w:r>
      <w:r>
        <w:t xml:space="preserve">note to this section clarifies that the </w:t>
      </w:r>
      <w:r w:rsidRPr="00766732">
        <w:t>kind of information determined under section</w:t>
      </w:r>
      <w:r>
        <w:t>s</w:t>
      </w:r>
      <w:r w:rsidRPr="00766732">
        <w:t xml:space="preserve"> </w:t>
      </w:r>
      <w:r>
        <w:t>5</w:t>
      </w:r>
      <w:r w:rsidRPr="00766732">
        <w:t xml:space="preserve"> and </w:t>
      </w:r>
      <w:r>
        <w:t>6</w:t>
      </w:r>
      <w:r w:rsidRPr="00766732">
        <w:t xml:space="preserve"> relate to the minimum conformity assessment procedures that the manufacturer must apply to </w:t>
      </w:r>
      <w:r>
        <w:t>a kind of device of that classification.</w:t>
      </w:r>
      <w:r w:rsidR="003D2252" w:rsidRPr="005327F5">
        <w:rPr>
          <w:rFonts w:ascii="Times New Roman" w:hAnsi="Times New Roman"/>
          <w:bCs/>
          <w:szCs w:val="24"/>
        </w:rPr>
        <w:t xml:space="preserve">  </w:t>
      </w:r>
    </w:p>
    <w:p w:rsidR="003D2252" w:rsidRPr="005327F5" w:rsidRDefault="003D2252" w:rsidP="00175C4D">
      <w:pPr>
        <w:rPr>
          <w:rFonts w:ascii="Times New Roman" w:hAnsi="Times New Roman"/>
          <w:bCs/>
          <w:szCs w:val="24"/>
        </w:rPr>
      </w:pPr>
    </w:p>
    <w:p w:rsidR="004E6B0E" w:rsidRDefault="004E6B0E" w:rsidP="004E6B0E">
      <w:pPr>
        <w:rPr>
          <w:rFonts w:ascii="Times New Roman" w:hAnsi="Times New Roman"/>
          <w:b/>
          <w:bCs/>
          <w:szCs w:val="24"/>
        </w:rPr>
      </w:pPr>
      <w:r w:rsidRPr="005327F5">
        <w:rPr>
          <w:rFonts w:ascii="Times New Roman" w:hAnsi="Times New Roman"/>
          <w:b/>
          <w:bCs/>
          <w:szCs w:val="24"/>
        </w:rPr>
        <w:t xml:space="preserve">Section </w:t>
      </w:r>
      <w:r w:rsidR="006360A1">
        <w:rPr>
          <w:rFonts w:ascii="Times New Roman" w:hAnsi="Times New Roman"/>
          <w:b/>
          <w:bCs/>
          <w:szCs w:val="24"/>
        </w:rPr>
        <w:t>9</w:t>
      </w:r>
      <w:r w:rsidRPr="005327F5">
        <w:rPr>
          <w:rFonts w:ascii="Times New Roman" w:hAnsi="Times New Roman"/>
          <w:b/>
          <w:bCs/>
          <w:szCs w:val="24"/>
        </w:rPr>
        <w:t xml:space="preserve"> – </w:t>
      </w:r>
      <w:r w:rsidRPr="004E6B0E">
        <w:rPr>
          <w:rFonts w:ascii="Times New Roman" w:hAnsi="Times New Roman"/>
          <w:b/>
          <w:bCs/>
          <w:szCs w:val="24"/>
        </w:rPr>
        <w:t xml:space="preserve">Classes of medical device for which accompanying information is not </w:t>
      </w:r>
      <w:r w:rsidR="00272120">
        <w:rPr>
          <w:rFonts w:ascii="Times New Roman" w:hAnsi="Times New Roman"/>
          <w:b/>
          <w:bCs/>
          <w:szCs w:val="24"/>
        </w:rPr>
        <w:t>determined</w:t>
      </w:r>
    </w:p>
    <w:p w:rsidR="004E6B0E" w:rsidRPr="005327F5" w:rsidRDefault="004E6B0E" w:rsidP="004E6B0E">
      <w:pPr>
        <w:rPr>
          <w:rFonts w:ascii="Times New Roman" w:hAnsi="Times New Roman"/>
          <w:b/>
          <w:bCs/>
          <w:szCs w:val="24"/>
        </w:rPr>
      </w:pPr>
    </w:p>
    <w:p w:rsidR="004E6B0E" w:rsidRDefault="004E6B0E" w:rsidP="004E6B0E">
      <w:pPr>
        <w:rPr>
          <w:rFonts w:ascii="Times New Roman" w:hAnsi="Times New Roman"/>
          <w:bCs/>
          <w:szCs w:val="24"/>
        </w:rPr>
      </w:pPr>
      <w:r>
        <w:rPr>
          <w:rFonts w:ascii="Times New Roman" w:hAnsi="Times New Roman"/>
          <w:bCs/>
          <w:szCs w:val="24"/>
        </w:rPr>
        <w:t xml:space="preserve">This section clarifies that no information, other than the information required by the application form, is </w:t>
      </w:r>
      <w:r w:rsidR="00503F73">
        <w:rPr>
          <w:rFonts w:ascii="Times New Roman" w:hAnsi="Times New Roman"/>
          <w:bCs/>
          <w:szCs w:val="24"/>
        </w:rPr>
        <w:t xml:space="preserve">determined </w:t>
      </w:r>
      <w:r>
        <w:rPr>
          <w:rFonts w:ascii="Times New Roman" w:hAnsi="Times New Roman"/>
          <w:bCs/>
          <w:szCs w:val="24"/>
        </w:rPr>
        <w:t>to accompany an application to include the following classes of medical devices in the Register:</w:t>
      </w:r>
    </w:p>
    <w:p w:rsidR="004E6B0E" w:rsidRPr="00465C51" w:rsidRDefault="004E6B0E" w:rsidP="009838D9">
      <w:pPr>
        <w:pStyle w:val="paragraph"/>
        <w:numPr>
          <w:ilvl w:val="0"/>
          <w:numId w:val="5"/>
        </w:numPr>
        <w:spacing w:before="120"/>
        <w:ind w:left="763"/>
      </w:pPr>
      <w:r w:rsidRPr="00465C51">
        <w:t>a Class I medical device where the medical device:</w:t>
      </w:r>
    </w:p>
    <w:p w:rsidR="004E6B0E" w:rsidRPr="00465C51" w:rsidRDefault="004E6B0E" w:rsidP="009838D9">
      <w:pPr>
        <w:pStyle w:val="paragraph"/>
        <w:numPr>
          <w:ilvl w:val="1"/>
          <w:numId w:val="4"/>
        </w:numPr>
        <w:tabs>
          <w:tab w:val="clear" w:pos="1531"/>
        </w:tabs>
        <w:spacing w:before="120"/>
        <w:ind w:left="1231" w:hanging="425"/>
      </w:pPr>
      <w:r w:rsidRPr="00465C51">
        <w:t xml:space="preserve"> is not supplied in a sterile state; and</w:t>
      </w:r>
    </w:p>
    <w:p w:rsidR="004E6B0E" w:rsidRPr="00465C51" w:rsidRDefault="004E6B0E" w:rsidP="009838D9">
      <w:pPr>
        <w:pStyle w:val="paragraph"/>
        <w:numPr>
          <w:ilvl w:val="1"/>
          <w:numId w:val="4"/>
        </w:numPr>
        <w:tabs>
          <w:tab w:val="clear" w:pos="1531"/>
        </w:tabs>
        <w:spacing w:before="120"/>
        <w:ind w:left="1231" w:hanging="425"/>
      </w:pPr>
      <w:r w:rsidRPr="00465C51">
        <w:t>does not have a measuring function;</w:t>
      </w:r>
    </w:p>
    <w:p w:rsidR="004E6B0E" w:rsidRPr="00465C51" w:rsidRDefault="004E6B0E" w:rsidP="009838D9">
      <w:pPr>
        <w:pStyle w:val="paragraph"/>
        <w:numPr>
          <w:ilvl w:val="0"/>
          <w:numId w:val="5"/>
        </w:numPr>
        <w:spacing w:before="120"/>
        <w:ind w:left="760" w:hanging="357"/>
      </w:pPr>
      <w:r w:rsidRPr="00465C51">
        <w:t xml:space="preserve">a medical device </w:t>
      </w:r>
      <w:r w:rsidRPr="00F2201F">
        <w:t>that is intended by the manufacturer to be for export only</w:t>
      </w:r>
      <w:r w:rsidRPr="00465C51">
        <w:t>;</w:t>
      </w:r>
    </w:p>
    <w:p w:rsidR="004E6B0E" w:rsidRPr="00465C51" w:rsidRDefault="004E6B0E" w:rsidP="009838D9">
      <w:pPr>
        <w:pStyle w:val="paragraph"/>
        <w:numPr>
          <w:ilvl w:val="0"/>
          <w:numId w:val="5"/>
        </w:numPr>
        <w:spacing w:before="120"/>
        <w:ind w:left="760" w:hanging="357"/>
      </w:pPr>
      <w:r w:rsidRPr="00465C51">
        <w:t>a Class 1 IVD medical device;</w:t>
      </w:r>
    </w:p>
    <w:p w:rsidR="004E6B0E" w:rsidRPr="00465C51" w:rsidRDefault="004E6B0E" w:rsidP="009838D9">
      <w:pPr>
        <w:pStyle w:val="paragraph"/>
        <w:numPr>
          <w:ilvl w:val="0"/>
          <w:numId w:val="5"/>
        </w:numPr>
        <w:spacing w:before="120"/>
        <w:ind w:left="760" w:hanging="357"/>
      </w:pPr>
      <w:r w:rsidRPr="00465C51">
        <w:t>a</w:t>
      </w:r>
      <w:r w:rsidR="00272120">
        <w:t xml:space="preserve">n in-house IVD medical device other than a Class 4 in-house IVD medical device. </w:t>
      </w:r>
    </w:p>
    <w:p w:rsidR="004E6B0E" w:rsidRPr="005327F5" w:rsidRDefault="004E6B0E" w:rsidP="004E6B0E">
      <w:pPr>
        <w:rPr>
          <w:rFonts w:ascii="Times New Roman" w:hAnsi="Times New Roman"/>
          <w:bCs/>
          <w:szCs w:val="24"/>
        </w:rPr>
      </w:pPr>
      <w:r w:rsidRPr="005327F5">
        <w:rPr>
          <w:rFonts w:ascii="Times New Roman" w:hAnsi="Times New Roman"/>
          <w:bCs/>
          <w:szCs w:val="24"/>
        </w:rPr>
        <w:t xml:space="preserve"> </w:t>
      </w:r>
    </w:p>
    <w:p w:rsidR="00FF0639" w:rsidRPr="005327F5" w:rsidRDefault="00FF0639" w:rsidP="00FF0639">
      <w:pPr>
        <w:rPr>
          <w:rFonts w:ascii="Times New Roman" w:hAnsi="Times New Roman"/>
          <w:b/>
          <w:bCs/>
          <w:szCs w:val="24"/>
        </w:rPr>
      </w:pPr>
      <w:r w:rsidRPr="005327F5">
        <w:rPr>
          <w:rFonts w:ascii="Times New Roman" w:hAnsi="Times New Roman"/>
          <w:b/>
          <w:bCs/>
          <w:szCs w:val="24"/>
        </w:rPr>
        <w:t xml:space="preserve">Section </w:t>
      </w:r>
      <w:r w:rsidR="00272120">
        <w:rPr>
          <w:rFonts w:ascii="Times New Roman" w:hAnsi="Times New Roman"/>
          <w:b/>
          <w:bCs/>
          <w:szCs w:val="24"/>
        </w:rPr>
        <w:t>10</w:t>
      </w:r>
      <w:r w:rsidRPr="005327F5">
        <w:rPr>
          <w:rFonts w:ascii="Times New Roman" w:hAnsi="Times New Roman"/>
          <w:b/>
          <w:bCs/>
          <w:szCs w:val="24"/>
        </w:rPr>
        <w:t xml:space="preserve"> – </w:t>
      </w:r>
      <w:r w:rsidR="004E6B0E">
        <w:rPr>
          <w:rFonts w:ascii="Times New Roman" w:hAnsi="Times New Roman"/>
          <w:b/>
          <w:bCs/>
          <w:szCs w:val="24"/>
        </w:rPr>
        <w:t>Form</w:t>
      </w:r>
      <w:r w:rsidR="004E6B0E" w:rsidRPr="005327F5">
        <w:rPr>
          <w:rFonts w:ascii="Times New Roman" w:hAnsi="Times New Roman"/>
          <w:b/>
          <w:bCs/>
          <w:szCs w:val="24"/>
        </w:rPr>
        <w:t xml:space="preserve"> </w:t>
      </w:r>
      <w:r w:rsidRPr="005327F5">
        <w:rPr>
          <w:rFonts w:ascii="Times New Roman" w:hAnsi="Times New Roman"/>
          <w:b/>
          <w:bCs/>
          <w:szCs w:val="24"/>
        </w:rPr>
        <w:t>of information</w:t>
      </w:r>
      <w:r w:rsidR="009838D9" w:rsidRPr="004E6B0E">
        <w:rPr>
          <w:rFonts w:ascii="Times New Roman" w:hAnsi="Times New Roman"/>
          <w:b/>
          <w:bCs/>
          <w:szCs w:val="24"/>
        </w:rPr>
        <w:t>—</w:t>
      </w:r>
      <w:r w:rsidR="009838D9">
        <w:rPr>
          <w:rFonts w:ascii="Times New Roman" w:hAnsi="Times New Roman"/>
          <w:b/>
          <w:bCs/>
          <w:szCs w:val="24"/>
        </w:rPr>
        <w:t>all medical devices</w:t>
      </w:r>
    </w:p>
    <w:p w:rsidR="0078179C" w:rsidRDefault="0078179C" w:rsidP="00FF0639">
      <w:pPr>
        <w:rPr>
          <w:rFonts w:ascii="Times New Roman" w:hAnsi="Times New Roman"/>
          <w:b/>
          <w:bCs/>
          <w:szCs w:val="24"/>
        </w:rPr>
      </w:pPr>
    </w:p>
    <w:p w:rsidR="003B739C" w:rsidRDefault="003B739C" w:rsidP="003B739C">
      <w:pPr>
        <w:rPr>
          <w:rFonts w:ascii="Times New Roman" w:hAnsi="Times New Roman"/>
          <w:bCs/>
          <w:szCs w:val="24"/>
        </w:rPr>
      </w:pPr>
      <w:r>
        <w:rPr>
          <w:rFonts w:ascii="Times New Roman" w:hAnsi="Times New Roman"/>
          <w:bCs/>
          <w:szCs w:val="24"/>
        </w:rPr>
        <w:t>This section is made for subsection 41FDB(8) of the Act and provides that all information that is required to accompany an application for a kind of medical device to be included in the Register, must be</w:t>
      </w:r>
      <w:r w:rsidR="00437041">
        <w:rPr>
          <w:rFonts w:ascii="Times New Roman" w:hAnsi="Times New Roman"/>
          <w:bCs/>
          <w:szCs w:val="24"/>
        </w:rPr>
        <w:t xml:space="preserve"> legible, and either</w:t>
      </w:r>
      <w:r>
        <w:rPr>
          <w:rFonts w:ascii="Times New Roman" w:hAnsi="Times New Roman"/>
          <w:bCs/>
          <w:szCs w:val="24"/>
        </w:rPr>
        <w:t xml:space="preserve"> in English</w:t>
      </w:r>
      <w:r w:rsidR="00437041">
        <w:rPr>
          <w:rFonts w:ascii="Times New Roman" w:hAnsi="Times New Roman"/>
          <w:bCs/>
          <w:szCs w:val="24"/>
        </w:rPr>
        <w:t xml:space="preserve"> or accompanied by a certified translation</w:t>
      </w:r>
      <w:r w:rsidR="00D229EC">
        <w:rPr>
          <w:rFonts w:ascii="Times New Roman" w:hAnsi="Times New Roman"/>
          <w:bCs/>
          <w:szCs w:val="24"/>
        </w:rPr>
        <w:t xml:space="preserve"> into English</w:t>
      </w:r>
      <w:r>
        <w:rPr>
          <w:rFonts w:ascii="Times New Roman" w:hAnsi="Times New Roman"/>
          <w:bCs/>
          <w:szCs w:val="24"/>
        </w:rPr>
        <w:t xml:space="preserve">.  </w:t>
      </w:r>
    </w:p>
    <w:p w:rsidR="003B739C" w:rsidRDefault="003B739C" w:rsidP="003B739C">
      <w:pPr>
        <w:rPr>
          <w:rFonts w:ascii="Times New Roman" w:hAnsi="Times New Roman"/>
          <w:bCs/>
          <w:szCs w:val="24"/>
        </w:rPr>
      </w:pPr>
    </w:p>
    <w:p w:rsidR="003B739C" w:rsidRPr="005327F5" w:rsidRDefault="003B739C" w:rsidP="003B739C">
      <w:pPr>
        <w:rPr>
          <w:rFonts w:ascii="Times New Roman" w:hAnsi="Times New Roman"/>
          <w:b/>
          <w:bCs/>
          <w:szCs w:val="24"/>
        </w:rPr>
      </w:pPr>
      <w:r w:rsidRPr="005327F5">
        <w:rPr>
          <w:rFonts w:ascii="Times New Roman" w:hAnsi="Times New Roman"/>
          <w:b/>
          <w:bCs/>
          <w:szCs w:val="24"/>
        </w:rPr>
        <w:t>S</w:t>
      </w:r>
      <w:r>
        <w:rPr>
          <w:rFonts w:ascii="Times New Roman" w:hAnsi="Times New Roman"/>
          <w:b/>
          <w:bCs/>
          <w:szCs w:val="24"/>
        </w:rPr>
        <w:t>chedule 1</w:t>
      </w:r>
      <w:r w:rsidRPr="005327F5">
        <w:rPr>
          <w:rFonts w:ascii="Times New Roman" w:hAnsi="Times New Roman"/>
          <w:b/>
          <w:bCs/>
          <w:szCs w:val="24"/>
        </w:rPr>
        <w:t xml:space="preserve"> – </w:t>
      </w:r>
      <w:r w:rsidR="004E6B0E" w:rsidRPr="004E6B0E">
        <w:rPr>
          <w:rFonts w:ascii="Times New Roman" w:hAnsi="Times New Roman"/>
          <w:b/>
          <w:bCs/>
          <w:szCs w:val="24"/>
        </w:rPr>
        <w:t>Medical devices other than IVD medical devices</w:t>
      </w:r>
    </w:p>
    <w:p w:rsidR="003B739C" w:rsidRDefault="003B739C" w:rsidP="003B739C">
      <w:pPr>
        <w:rPr>
          <w:rFonts w:ascii="Times New Roman" w:hAnsi="Times New Roman"/>
          <w:b/>
          <w:bCs/>
          <w:szCs w:val="24"/>
        </w:rPr>
      </w:pPr>
    </w:p>
    <w:p w:rsidR="00D229EC" w:rsidRDefault="00654509" w:rsidP="003B739C">
      <w:pPr>
        <w:rPr>
          <w:rFonts w:ascii="Times New Roman" w:hAnsi="Times New Roman"/>
          <w:bCs/>
          <w:szCs w:val="24"/>
        </w:rPr>
      </w:pPr>
      <w:r>
        <w:rPr>
          <w:rFonts w:ascii="Times New Roman" w:hAnsi="Times New Roman"/>
          <w:bCs/>
          <w:szCs w:val="24"/>
        </w:rPr>
        <w:t>Schedule 1 specifies the kinds of information that must accompany an application for a kind of medical device to be included in the Register where the medical device is not an IVD medical device</w:t>
      </w:r>
      <w:r w:rsidR="003B739C">
        <w:rPr>
          <w:rFonts w:ascii="Times New Roman" w:hAnsi="Times New Roman"/>
          <w:bCs/>
          <w:szCs w:val="24"/>
        </w:rPr>
        <w:t>.</w:t>
      </w:r>
    </w:p>
    <w:p w:rsidR="003B739C" w:rsidRDefault="003B739C" w:rsidP="003B739C">
      <w:pPr>
        <w:rPr>
          <w:rFonts w:ascii="Times New Roman" w:hAnsi="Times New Roman"/>
          <w:bCs/>
          <w:szCs w:val="24"/>
        </w:rPr>
      </w:pPr>
    </w:p>
    <w:p w:rsidR="004E6B0E" w:rsidRPr="005327F5" w:rsidRDefault="004E6B0E" w:rsidP="009838D9">
      <w:pPr>
        <w:keepNext/>
        <w:rPr>
          <w:rFonts w:ascii="Times New Roman" w:hAnsi="Times New Roman"/>
          <w:b/>
          <w:bCs/>
          <w:szCs w:val="24"/>
        </w:rPr>
      </w:pPr>
      <w:r w:rsidRPr="005327F5">
        <w:rPr>
          <w:rFonts w:ascii="Times New Roman" w:hAnsi="Times New Roman"/>
          <w:b/>
          <w:bCs/>
          <w:szCs w:val="24"/>
        </w:rPr>
        <w:t>S</w:t>
      </w:r>
      <w:r>
        <w:rPr>
          <w:rFonts w:ascii="Times New Roman" w:hAnsi="Times New Roman"/>
          <w:b/>
          <w:bCs/>
          <w:szCs w:val="24"/>
        </w:rPr>
        <w:t>chedule 2</w:t>
      </w:r>
      <w:r w:rsidRPr="005327F5">
        <w:rPr>
          <w:rFonts w:ascii="Times New Roman" w:hAnsi="Times New Roman"/>
          <w:b/>
          <w:bCs/>
          <w:szCs w:val="24"/>
        </w:rPr>
        <w:t xml:space="preserve"> –</w:t>
      </w:r>
      <w:r w:rsidR="00E003FC">
        <w:rPr>
          <w:rFonts w:ascii="Times New Roman" w:hAnsi="Times New Roman"/>
          <w:b/>
          <w:bCs/>
          <w:szCs w:val="24"/>
        </w:rPr>
        <w:t xml:space="preserve"> </w:t>
      </w:r>
      <w:r w:rsidRPr="004E6B0E">
        <w:rPr>
          <w:rFonts w:ascii="Times New Roman" w:hAnsi="Times New Roman"/>
          <w:b/>
          <w:bCs/>
          <w:szCs w:val="24"/>
        </w:rPr>
        <w:t>IVD medical devices</w:t>
      </w:r>
    </w:p>
    <w:p w:rsidR="004E6B0E" w:rsidRDefault="004E6B0E" w:rsidP="009838D9">
      <w:pPr>
        <w:keepNext/>
        <w:rPr>
          <w:rFonts w:ascii="Times New Roman" w:hAnsi="Times New Roman"/>
          <w:b/>
          <w:bCs/>
          <w:szCs w:val="24"/>
        </w:rPr>
      </w:pPr>
    </w:p>
    <w:p w:rsidR="004E6B0E" w:rsidRDefault="004E6B0E" w:rsidP="009838D9">
      <w:pPr>
        <w:keepNext/>
        <w:rPr>
          <w:rFonts w:ascii="Times New Roman" w:hAnsi="Times New Roman"/>
          <w:bCs/>
          <w:szCs w:val="24"/>
        </w:rPr>
      </w:pPr>
      <w:r>
        <w:rPr>
          <w:rFonts w:ascii="Times New Roman" w:hAnsi="Times New Roman"/>
          <w:bCs/>
          <w:szCs w:val="24"/>
        </w:rPr>
        <w:t xml:space="preserve">Schedule 2 specifies the kinds of information that must accompany an application for a kind of medical device to be included in the Register where the medical device is an IVD medical device.  </w:t>
      </w:r>
    </w:p>
    <w:p w:rsidR="004E6B0E" w:rsidRDefault="004E6B0E" w:rsidP="004E6B0E">
      <w:pPr>
        <w:rPr>
          <w:rFonts w:ascii="Times New Roman" w:hAnsi="Times New Roman"/>
          <w:bCs/>
          <w:szCs w:val="24"/>
        </w:rPr>
      </w:pPr>
    </w:p>
    <w:p w:rsidR="00D229EC" w:rsidRPr="005327F5" w:rsidRDefault="00D229EC" w:rsidP="009838D9">
      <w:pPr>
        <w:keepNext/>
        <w:spacing w:after="200" w:line="276" w:lineRule="auto"/>
        <w:rPr>
          <w:rFonts w:ascii="Times New Roman" w:hAnsi="Times New Roman"/>
          <w:b/>
          <w:bCs/>
          <w:szCs w:val="24"/>
        </w:rPr>
      </w:pPr>
      <w:r w:rsidRPr="005327F5">
        <w:rPr>
          <w:rFonts w:ascii="Times New Roman" w:hAnsi="Times New Roman"/>
          <w:b/>
          <w:bCs/>
          <w:szCs w:val="24"/>
        </w:rPr>
        <w:lastRenderedPageBreak/>
        <w:t>S</w:t>
      </w:r>
      <w:r>
        <w:rPr>
          <w:rFonts w:ascii="Times New Roman" w:hAnsi="Times New Roman"/>
          <w:b/>
          <w:bCs/>
          <w:szCs w:val="24"/>
        </w:rPr>
        <w:t>chedule 3</w:t>
      </w:r>
      <w:r w:rsidRPr="005327F5">
        <w:rPr>
          <w:rFonts w:ascii="Times New Roman" w:hAnsi="Times New Roman"/>
          <w:b/>
          <w:bCs/>
          <w:szCs w:val="24"/>
        </w:rPr>
        <w:t xml:space="preserve"> –</w:t>
      </w:r>
      <w:r w:rsidRPr="00D229EC">
        <w:t xml:space="preserve"> </w:t>
      </w:r>
      <w:r w:rsidRPr="00D229EC">
        <w:rPr>
          <w:rFonts w:ascii="Times New Roman" w:hAnsi="Times New Roman"/>
          <w:b/>
          <w:bCs/>
          <w:szCs w:val="24"/>
        </w:rPr>
        <w:t>Medical devices used for a special purpose that are a system or procedure pack</w:t>
      </w:r>
    </w:p>
    <w:p w:rsidR="00D229EC" w:rsidRDefault="00D229EC" w:rsidP="009838D9">
      <w:pPr>
        <w:keepNext/>
        <w:rPr>
          <w:rFonts w:ascii="Times New Roman" w:hAnsi="Times New Roman"/>
          <w:b/>
          <w:bCs/>
          <w:szCs w:val="24"/>
        </w:rPr>
      </w:pPr>
    </w:p>
    <w:p w:rsidR="008040F8" w:rsidRDefault="00D229EC">
      <w:pPr>
        <w:spacing w:after="200" w:line="276" w:lineRule="auto"/>
        <w:rPr>
          <w:rFonts w:ascii="Times New Roman" w:hAnsi="Times New Roman"/>
          <w:b/>
          <w:bCs/>
          <w:szCs w:val="24"/>
        </w:rPr>
      </w:pPr>
      <w:r>
        <w:rPr>
          <w:rFonts w:ascii="Times New Roman" w:hAnsi="Times New Roman"/>
          <w:bCs/>
          <w:szCs w:val="24"/>
        </w:rPr>
        <w:t xml:space="preserve">Schedule </w:t>
      </w:r>
      <w:r w:rsidR="008A154E">
        <w:rPr>
          <w:rFonts w:ascii="Times New Roman" w:hAnsi="Times New Roman"/>
          <w:bCs/>
          <w:szCs w:val="24"/>
        </w:rPr>
        <w:t>3</w:t>
      </w:r>
      <w:r>
        <w:rPr>
          <w:rFonts w:ascii="Times New Roman" w:hAnsi="Times New Roman"/>
          <w:bCs/>
          <w:szCs w:val="24"/>
        </w:rPr>
        <w:t xml:space="preserve"> specifies the kinds of information that must accompany an application for a kind of medical device to be included in the Register where the medical device is a</w:t>
      </w:r>
      <w:r w:rsidR="00902FD5">
        <w:rPr>
          <w:rFonts w:ascii="Times New Roman" w:hAnsi="Times New Roman"/>
          <w:bCs/>
          <w:szCs w:val="24"/>
        </w:rPr>
        <w:t xml:space="preserve"> medical device used for a special purpose that is a system or procedure pack.</w:t>
      </w:r>
    </w:p>
    <w:p w:rsidR="00855B3C" w:rsidRDefault="00855B3C">
      <w:pPr>
        <w:spacing w:after="200" w:line="276" w:lineRule="auto"/>
        <w:rPr>
          <w:rFonts w:ascii="Times New Roman" w:hAnsi="Times New Roman"/>
          <w:b/>
          <w:bCs/>
          <w:szCs w:val="24"/>
        </w:rPr>
      </w:pPr>
      <w:r>
        <w:rPr>
          <w:rFonts w:ascii="Times New Roman" w:hAnsi="Times New Roman"/>
          <w:b/>
          <w:bCs/>
          <w:szCs w:val="24"/>
        </w:rPr>
        <w:br w:type="page"/>
      </w:r>
    </w:p>
    <w:p w:rsidR="00294A49" w:rsidRPr="005327F5" w:rsidRDefault="00294A49" w:rsidP="00294A49">
      <w:pPr>
        <w:jc w:val="right"/>
        <w:rPr>
          <w:rFonts w:ascii="Times New Roman" w:hAnsi="Times New Roman"/>
          <w:b/>
          <w:bCs/>
          <w:szCs w:val="24"/>
        </w:rPr>
      </w:pPr>
      <w:r w:rsidRPr="005327F5">
        <w:rPr>
          <w:rFonts w:ascii="Times New Roman" w:hAnsi="Times New Roman"/>
          <w:b/>
          <w:bCs/>
          <w:szCs w:val="24"/>
        </w:rPr>
        <w:lastRenderedPageBreak/>
        <w:t xml:space="preserve">Attachment </w:t>
      </w:r>
      <w:r w:rsidR="00292591">
        <w:rPr>
          <w:rFonts w:ascii="Times New Roman" w:hAnsi="Times New Roman"/>
          <w:b/>
          <w:bCs/>
          <w:szCs w:val="24"/>
        </w:rPr>
        <w:t>B</w:t>
      </w:r>
    </w:p>
    <w:p w:rsidR="00294A49" w:rsidRPr="005327F5" w:rsidRDefault="00294A49" w:rsidP="007231B2">
      <w:pPr>
        <w:rPr>
          <w:rFonts w:ascii="Times New Roman" w:hAnsi="Times New Roman"/>
          <w:b/>
          <w:bCs/>
          <w:szCs w:val="24"/>
        </w:rPr>
      </w:pPr>
    </w:p>
    <w:p w:rsidR="00E96E22" w:rsidRPr="00452502" w:rsidRDefault="00E96E22" w:rsidP="00E96E22">
      <w:pPr>
        <w:ind w:left="720"/>
        <w:jc w:val="center"/>
        <w:rPr>
          <w:rFonts w:ascii="Times New Roman" w:hAnsi="Times New Roman"/>
          <w:b/>
          <w:bCs/>
          <w:caps/>
          <w:sz w:val="22"/>
          <w:szCs w:val="22"/>
        </w:rPr>
      </w:pPr>
      <w:r w:rsidRPr="00452502">
        <w:rPr>
          <w:rFonts w:ascii="Times New Roman" w:hAnsi="Times New Roman"/>
          <w:b/>
          <w:bCs/>
          <w:caps/>
          <w:sz w:val="22"/>
          <w:szCs w:val="22"/>
        </w:rPr>
        <w:t>Statement of compatibility with human rights</w:t>
      </w:r>
    </w:p>
    <w:p w:rsidR="00E96E22" w:rsidRPr="00A35596" w:rsidRDefault="00E96E22" w:rsidP="00E96E22">
      <w:pPr>
        <w:rPr>
          <w:rFonts w:ascii="Times New Roman" w:hAnsi="Times New Roman"/>
          <w:bCs/>
          <w:sz w:val="22"/>
          <w:szCs w:val="22"/>
        </w:rPr>
      </w:pPr>
    </w:p>
    <w:p w:rsidR="00E96E22" w:rsidRPr="00452502" w:rsidRDefault="00E96E22" w:rsidP="00E96E22">
      <w:pPr>
        <w:jc w:val="center"/>
        <w:rPr>
          <w:rFonts w:ascii="Times New Roman" w:hAnsi="Times New Roman"/>
          <w:i/>
          <w:sz w:val="22"/>
          <w:szCs w:val="22"/>
        </w:rPr>
      </w:pPr>
      <w:r w:rsidRPr="00452502">
        <w:rPr>
          <w:rFonts w:ascii="Times New Roman" w:hAnsi="Times New Roman"/>
          <w:i/>
          <w:sz w:val="22"/>
          <w:szCs w:val="22"/>
        </w:rPr>
        <w:t xml:space="preserve">Prepared in accordance with </w:t>
      </w:r>
      <w:r>
        <w:rPr>
          <w:rFonts w:ascii="Times New Roman" w:hAnsi="Times New Roman"/>
          <w:i/>
          <w:sz w:val="22"/>
          <w:szCs w:val="22"/>
        </w:rPr>
        <w:t xml:space="preserve">Part 3 </w:t>
      </w:r>
      <w:r w:rsidRPr="00452502">
        <w:rPr>
          <w:rFonts w:ascii="Times New Roman" w:hAnsi="Times New Roman"/>
          <w:i/>
          <w:sz w:val="22"/>
          <w:szCs w:val="22"/>
        </w:rPr>
        <w:t>of the Human Rights (Parliamentary Scrutiny) Act 2011</w:t>
      </w:r>
    </w:p>
    <w:p w:rsidR="00E96E22" w:rsidRPr="00A35596" w:rsidRDefault="00E96E22" w:rsidP="00E96E22">
      <w:pPr>
        <w:rPr>
          <w:rFonts w:ascii="Times New Roman" w:hAnsi="Times New Roman"/>
          <w:sz w:val="22"/>
          <w:szCs w:val="22"/>
        </w:rPr>
      </w:pPr>
    </w:p>
    <w:p w:rsidR="0030123E" w:rsidRPr="005327F5" w:rsidRDefault="0030123E" w:rsidP="0030123E">
      <w:pPr>
        <w:rPr>
          <w:rFonts w:ascii="Times New Roman" w:hAnsi="Times New Roman"/>
          <w:szCs w:val="24"/>
        </w:rPr>
      </w:pPr>
    </w:p>
    <w:p w:rsidR="0030123E" w:rsidRPr="005327F5" w:rsidRDefault="0060165C" w:rsidP="0056717E">
      <w:pPr>
        <w:jc w:val="center"/>
        <w:rPr>
          <w:rFonts w:ascii="Times New Roman" w:hAnsi="Times New Roman"/>
          <w:b/>
          <w:i/>
          <w:szCs w:val="24"/>
        </w:rPr>
      </w:pPr>
      <w:r w:rsidRPr="005327F5">
        <w:rPr>
          <w:rFonts w:ascii="Times New Roman" w:hAnsi="Times New Roman"/>
          <w:b/>
          <w:i/>
          <w:szCs w:val="24"/>
        </w:rPr>
        <w:t>Therapeutic Goods (</w:t>
      </w:r>
      <w:r w:rsidR="006D1F21" w:rsidRPr="006D1F21">
        <w:rPr>
          <w:b/>
          <w:i/>
        </w:rPr>
        <w:t>Medical Devices—Information that Must Accompany Application for Inclusion</w:t>
      </w:r>
      <w:r w:rsidRPr="005327F5">
        <w:rPr>
          <w:rFonts w:ascii="Times New Roman" w:hAnsi="Times New Roman"/>
          <w:b/>
          <w:i/>
          <w:szCs w:val="24"/>
        </w:rPr>
        <w:t>) Determination 2018</w:t>
      </w:r>
    </w:p>
    <w:p w:rsidR="0030123E" w:rsidRPr="005327F5" w:rsidRDefault="0030123E" w:rsidP="0030123E">
      <w:pPr>
        <w:rPr>
          <w:rFonts w:ascii="Times New Roman" w:hAnsi="Times New Roman"/>
          <w:szCs w:val="24"/>
        </w:rPr>
      </w:pPr>
    </w:p>
    <w:p w:rsidR="0030123E" w:rsidRPr="005327F5" w:rsidRDefault="00E96E22" w:rsidP="0030123E">
      <w:pPr>
        <w:rPr>
          <w:rFonts w:ascii="Times New Roman" w:hAnsi="Times New Roman"/>
          <w:szCs w:val="24"/>
        </w:rPr>
      </w:pPr>
      <w:r>
        <w:rPr>
          <w:rFonts w:ascii="Times New Roman" w:hAnsi="Times New Roman"/>
          <w:szCs w:val="24"/>
        </w:rPr>
        <w:t>This legislative instrument</w:t>
      </w:r>
      <w:r w:rsidR="00820BA2" w:rsidRPr="005327F5">
        <w:rPr>
          <w:rFonts w:ascii="Times New Roman" w:hAnsi="Times New Roman"/>
          <w:i/>
          <w:szCs w:val="24"/>
        </w:rPr>
        <w:t xml:space="preserve"> </w:t>
      </w:r>
      <w:r w:rsidR="00462DFB" w:rsidRPr="005327F5">
        <w:rPr>
          <w:rFonts w:ascii="Times New Roman" w:hAnsi="Times New Roman"/>
          <w:szCs w:val="24"/>
        </w:rPr>
        <w:t xml:space="preserve">is </w:t>
      </w:r>
      <w:r w:rsidR="007231B2" w:rsidRPr="005327F5">
        <w:rPr>
          <w:rFonts w:ascii="Times New Roman" w:hAnsi="Times New Roman"/>
          <w:szCs w:val="24"/>
        </w:rPr>
        <w:t xml:space="preserve">compatible with the human rights and freedoms recognised or declared in the international instruments listed in section 3 of the </w:t>
      </w:r>
      <w:r w:rsidR="007231B2" w:rsidRPr="005327F5">
        <w:rPr>
          <w:rFonts w:ascii="Times New Roman" w:hAnsi="Times New Roman"/>
          <w:i/>
          <w:szCs w:val="24"/>
        </w:rPr>
        <w:t>Human Rights (Parliamentary Scrutiny) Act 2011</w:t>
      </w:r>
      <w:r w:rsidR="007231B2" w:rsidRPr="005327F5">
        <w:rPr>
          <w:rFonts w:ascii="Times New Roman" w:hAnsi="Times New Roman"/>
          <w:szCs w:val="24"/>
        </w:rPr>
        <w:t>.</w:t>
      </w:r>
    </w:p>
    <w:p w:rsidR="0030123E" w:rsidRPr="005327F5" w:rsidRDefault="0030123E" w:rsidP="0030123E">
      <w:pPr>
        <w:rPr>
          <w:rFonts w:ascii="Times New Roman" w:hAnsi="Times New Roman"/>
          <w:szCs w:val="24"/>
        </w:rPr>
      </w:pPr>
    </w:p>
    <w:p w:rsidR="000A5AE3" w:rsidRPr="005327F5" w:rsidRDefault="00862B50" w:rsidP="0030123E">
      <w:pPr>
        <w:rPr>
          <w:rFonts w:ascii="Times New Roman" w:hAnsi="Times New Roman"/>
          <w:b/>
          <w:szCs w:val="24"/>
        </w:rPr>
      </w:pPr>
      <w:r w:rsidRPr="005327F5">
        <w:rPr>
          <w:rFonts w:ascii="Times New Roman" w:hAnsi="Times New Roman"/>
          <w:b/>
          <w:szCs w:val="24"/>
        </w:rPr>
        <w:t>Overview of legislative instrument</w:t>
      </w:r>
    </w:p>
    <w:p w:rsidR="000A5AE3" w:rsidRPr="005327F5" w:rsidRDefault="000A5AE3" w:rsidP="0030123E">
      <w:pPr>
        <w:rPr>
          <w:rFonts w:ascii="Times New Roman" w:hAnsi="Times New Roman"/>
          <w:szCs w:val="24"/>
        </w:rPr>
      </w:pPr>
    </w:p>
    <w:p w:rsidR="00E0552A" w:rsidRPr="005327F5" w:rsidRDefault="00F7190F" w:rsidP="00EF1A58">
      <w:pPr>
        <w:rPr>
          <w:rFonts w:ascii="Times New Roman" w:hAnsi="Times New Roman"/>
          <w:szCs w:val="24"/>
        </w:rPr>
      </w:pPr>
      <w:r>
        <w:rPr>
          <w:rFonts w:ascii="Times New Roman" w:hAnsi="Times New Roman"/>
          <w:szCs w:val="24"/>
        </w:rPr>
        <w:t xml:space="preserve">The </w:t>
      </w:r>
      <w:r w:rsidRPr="009838D9">
        <w:rPr>
          <w:rFonts w:ascii="Times New Roman" w:hAnsi="Times New Roman"/>
          <w:i/>
          <w:szCs w:val="24"/>
        </w:rPr>
        <w:t>Therapeutic Goods (Medical Devices—Information that Must Accompany Application for Inclusion) Determination 2018</w:t>
      </w:r>
      <w:r>
        <w:rPr>
          <w:rFonts w:ascii="Times New Roman" w:hAnsi="Times New Roman"/>
          <w:szCs w:val="24"/>
        </w:rPr>
        <w:t xml:space="preserve"> </w:t>
      </w:r>
      <w:r w:rsidR="007231B2" w:rsidRPr="005327F5">
        <w:rPr>
          <w:rFonts w:ascii="Times New Roman" w:hAnsi="Times New Roman"/>
          <w:szCs w:val="24"/>
        </w:rPr>
        <w:t>is made under subsection</w:t>
      </w:r>
      <w:r w:rsidR="0060165C" w:rsidRPr="005327F5">
        <w:rPr>
          <w:rFonts w:ascii="Times New Roman" w:hAnsi="Times New Roman"/>
          <w:szCs w:val="24"/>
        </w:rPr>
        <w:t>s</w:t>
      </w:r>
      <w:r w:rsidR="007231B2" w:rsidRPr="005327F5">
        <w:rPr>
          <w:rFonts w:ascii="Times New Roman" w:hAnsi="Times New Roman"/>
          <w:szCs w:val="24"/>
        </w:rPr>
        <w:t xml:space="preserve"> </w:t>
      </w:r>
      <w:r w:rsidR="00F41D1A" w:rsidRPr="00E44F50">
        <w:rPr>
          <w:rFonts w:ascii="Times New Roman" w:hAnsi="Times New Roman"/>
          <w:szCs w:val="24"/>
        </w:rPr>
        <w:t>41FDB(7)</w:t>
      </w:r>
      <w:r w:rsidR="0060165C" w:rsidRPr="005327F5">
        <w:rPr>
          <w:rFonts w:ascii="Times New Roman" w:hAnsi="Times New Roman"/>
          <w:szCs w:val="24"/>
        </w:rPr>
        <w:t xml:space="preserve"> </w:t>
      </w:r>
      <w:r w:rsidR="008859F3">
        <w:rPr>
          <w:rFonts w:ascii="Times New Roman" w:hAnsi="Times New Roman"/>
          <w:szCs w:val="24"/>
        </w:rPr>
        <w:t xml:space="preserve">and 41FDB(8) </w:t>
      </w:r>
      <w:r w:rsidR="007231B2" w:rsidRPr="005327F5">
        <w:rPr>
          <w:rFonts w:ascii="Times New Roman" w:hAnsi="Times New Roman"/>
          <w:szCs w:val="24"/>
        </w:rPr>
        <w:t xml:space="preserve">of the </w:t>
      </w:r>
      <w:r w:rsidR="007231B2" w:rsidRPr="005327F5">
        <w:rPr>
          <w:rFonts w:ascii="Times New Roman" w:hAnsi="Times New Roman"/>
          <w:i/>
          <w:szCs w:val="24"/>
        </w:rPr>
        <w:t xml:space="preserve">Therapeutic Goods Act 1989 </w:t>
      </w:r>
      <w:r w:rsidR="000A5AE3" w:rsidRPr="005327F5">
        <w:rPr>
          <w:rFonts w:ascii="Times New Roman" w:hAnsi="Times New Roman"/>
          <w:szCs w:val="24"/>
        </w:rPr>
        <w:t>(</w:t>
      </w:r>
      <w:r w:rsidR="008A154E">
        <w:rPr>
          <w:rFonts w:ascii="Times New Roman" w:hAnsi="Times New Roman"/>
          <w:szCs w:val="24"/>
        </w:rPr>
        <w:t>“</w:t>
      </w:r>
      <w:r w:rsidR="007231B2" w:rsidRPr="005327F5">
        <w:rPr>
          <w:rFonts w:ascii="Times New Roman" w:hAnsi="Times New Roman"/>
          <w:szCs w:val="24"/>
        </w:rPr>
        <w:t>Act</w:t>
      </w:r>
      <w:r w:rsidR="008A154E">
        <w:rPr>
          <w:rFonts w:ascii="Times New Roman" w:hAnsi="Times New Roman"/>
          <w:szCs w:val="24"/>
        </w:rPr>
        <w:t>”</w:t>
      </w:r>
      <w:r w:rsidR="007231B2" w:rsidRPr="005327F5">
        <w:rPr>
          <w:rFonts w:ascii="Times New Roman" w:hAnsi="Times New Roman"/>
          <w:szCs w:val="24"/>
        </w:rPr>
        <w:t xml:space="preserve">) </w:t>
      </w:r>
      <w:r w:rsidR="00DA231C" w:rsidRPr="005327F5">
        <w:rPr>
          <w:rFonts w:ascii="Times New Roman" w:hAnsi="Times New Roman"/>
          <w:szCs w:val="24"/>
        </w:rPr>
        <w:t>by </w:t>
      </w:r>
      <w:r w:rsidR="007231B2" w:rsidRPr="005327F5">
        <w:rPr>
          <w:rFonts w:ascii="Times New Roman" w:hAnsi="Times New Roman"/>
          <w:szCs w:val="24"/>
        </w:rPr>
        <w:t>a</w:t>
      </w:r>
      <w:r w:rsidR="008A154E">
        <w:rPr>
          <w:rFonts w:ascii="Times New Roman" w:hAnsi="Times New Roman"/>
          <w:szCs w:val="24"/>
        </w:rPr>
        <w:t> </w:t>
      </w:r>
      <w:r w:rsidR="007231B2" w:rsidRPr="005327F5">
        <w:rPr>
          <w:rFonts w:ascii="Times New Roman" w:hAnsi="Times New Roman"/>
          <w:szCs w:val="24"/>
        </w:rPr>
        <w:t xml:space="preserve">delegate of the </w:t>
      </w:r>
      <w:r w:rsidR="00B13D82">
        <w:rPr>
          <w:rFonts w:ascii="Times New Roman" w:hAnsi="Times New Roman"/>
          <w:szCs w:val="24"/>
        </w:rPr>
        <w:t>Secretary</w:t>
      </w:r>
      <w:r w:rsidR="00B13D82" w:rsidRPr="005327F5">
        <w:rPr>
          <w:rFonts w:ascii="Times New Roman" w:hAnsi="Times New Roman"/>
          <w:szCs w:val="24"/>
        </w:rPr>
        <w:t xml:space="preserve"> </w:t>
      </w:r>
      <w:r w:rsidR="00B13D82">
        <w:rPr>
          <w:rFonts w:ascii="Times New Roman" w:hAnsi="Times New Roman"/>
          <w:szCs w:val="24"/>
        </w:rPr>
        <w:t>of the Department of</w:t>
      </w:r>
      <w:r w:rsidR="00B13D82" w:rsidRPr="005327F5">
        <w:rPr>
          <w:rFonts w:ascii="Times New Roman" w:hAnsi="Times New Roman"/>
          <w:szCs w:val="24"/>
        </w:rPr>
        <w:t xml:space="preserve"> </w:t>
      </w:r>
      <w:r w:rsidR="007231B2" w:rsidRPr="005327F5">
        <w:rPr>
          <w:rFonts w:ascii="Times New Roman" w:hAnsi="Times New Roman"/>
          <w:szCs w:val="24"/>
        </w:rPr>
        <w:t>Health</w:t>
      </w:r>
      <w:r w:rsidR="00462DFB" w:rsidRPr="005327F5">
        <w:rPr>
          <w:rFonts w:ascii="Times New Roman" w:hAnsi="Times New Roman"/>
          <w:szCs w:val="24"/>
        </w:rPr>
        <w:t>.</w:t>
      </w:r>
      <w:r w:rsidR="00EF1A58" w:rsidRPr="005327F5">
        <w:rPr>
          <w:rFonts w:ascii="Times New Roman" w:hAnsi="Times New Roman"/>
          <w:szCs w:val="24"/>
        </w:rPr>
        <w:t xml:space="preserve"> The purpose of the </w:t>
      </w:r>
      <w:r w:rsidR="008A154E">
        <w:rPr>
          <w:rFonts w:ascii="Times New Roman" w:hAnsi="Times New Roman"/>
          <w:szCs w:val="24"/>
        </w:rPr>
        <w:t xml:space="preserve">instrument </w:t>
      </w:r>
      <w:r w:rsidR="00EF1A58" w:rsidRPr="005327F5">
        <w:rPr>
          <w:rFonts w:ascii="Times New Roman" w:hAnsi="Times New Roman"/>
          <w:szCs w:val="24"/>
        </w:rPr>
        <w:t xml:space="preserve">is to </w:t>
      </w:r>
      <w:r w:rsidR="008A154E">
        <w:rPr>
          <w:rFonts w:ascii="Times New Roman" w:hAnsi="Times New Roman"/>
          <w:szCs w:val="24"/>
        </w:rPr>
        <w:t xml:space="preserve">specify </w:t>
      </w:r>
      <w:r w:rsidR="00E0552A" w:rsidRPr="005327F5">
        <w:rPr>
          <w:rFonts w:ascii="Times New Roman" w:hAnsi="Times New Roman"/>
          <w:szCs w:val="24"/>
        </w:rPr>
        <w:t xml:space="preserve">the kind of information that must accompany an application for the </w:t>
      </w:r>
      <w:r w:rsidR="00767590">
        <w:rPr>
          <w:rFonts w:ascii="Times New Roman" w:hAnsi="Times New Roman"/>
          <w:szCs w:val="24"/>
        </w:rPr>
        <w:t xml:space="preserve">inclusion of a </w:t>
      </w:r>
      <w:r w:rsidR="00F41D1A">
        <w:rPr>
          <w:rFonts w:ascii="Times New Roman" w:hAnsi="Times New Roman"/>
          <w:szCs w:val="24"/>
        </w:rPr>
        <w:t>kind of medical device</w:t>
      </w:r>
      <w:r w:rsidR="00767590">
        <w:rPr>
          <w:rFonts w:ascii="Times New Roman" w:hAnsi="Times New Roman"/>
          <w:szCs w:val="24"/>
        </w:rPr>
        <w:t xml:space="preserve"> in the </w:t>
      </w:r>
      <w:r w:rsidR="00D22658">
        <w:rPr>
          <w:rFonts w:ascii="Times New Roman" w:hAnsi="Times New Roman"/>
          <w:szCs w:val="24"/>
        </w:rPr>
        <w:t>Australian Register of</w:t>
      </w:r>
      <w:r w:rsidR="008A154E">
        <w:rPr>
          <w:rFonts w:ascii="Times New Roman" w:hAnsi="Times New Roman"/>
          <w:szCs w:val="24"/>
        </w:rPr>
        <w:t> </w:t>
      </w:r>
      <w:r w:rsidR="00D22658">
        <w:rPr>
          <w:rFonts w:ascii="Times New Roman" w:hAnsi="Times New Roman"/>
          <w:szCs w:val="24"/>
        </w:rPr>
        <w:t xml:space="preserve">Therapeutic Goods (the </w:t>
      </w:r>
      <w:r w:rsidR="00767590">
        <w:rPr>
          <w:rFonts w:ascii="Times New Roman" w:hAnsi="Times New Roman"/>
          <w:szCs w:val="24"/>
        </w:rPr>
        <w:t>Register</w:t>
      </w:r>
      <w:r w:rsidR="00D22658">
        <w:rPr>
          <w:rFonts w:ascii="Times New Roman" w:hAnsi="Times New Roman"/>
          <w:szCs w:val="24"/>
        </w:rPr>
        <w:t>)</w:t>
      </w:r>
      <w:r w:rsidR="00E0552A" w:rsidRPr="005327F5">
        <w:rPr>
          <w:rFonts w:ascii="Times New Roman" w:hAnsi="Times New Roman"/>
          <w:szCs w:val="24"/>
        </w:rPr>
        <w:t xml:space="preserve">, and </w:t>
      </w:r>
      <w:r w:rsidR="00E0552A" w:rsidRPr="00E44F50">
        <w:rPr>
          <w:rFonts w:ascii="Times New Roman" w:hAnsi="Times New Roman"/>
          <w:szCs w:val="24"/>
        </w:rPr>
        <w:t>the form in which that information must be provided.</w:t>
      </w:r>
      <w:r w:rsidR="00D47897">
        <w:rPr>
          <w:rFonts w:ascii="Times New Roman" w:hAnsi="Times New Roman"/>
          <w:szCs w:val="24"/>
        </w:rPr>
        <w:t xml:space="preserve"> The kind of information determined relate to the conformity assessment documents that are required to demonstrate that appropriate conformity assessment procedures have been applied by the manufacturer </w:t>
      </w:r>
      <w:r w:rsidR="008A154E">
        <w:rPr>
          <w:rFonts w:ascii="Times New Roman" w:hAnsi="Times New Roman"/>
          <w:szCs w:val="24"/>
        </w:rPr>
        <w:t xml:space="preserve">to its quality management system and </w:t>
      </w:r>
      <w:r w:rsidR="00D47897">
        <w:rPr>
          <w:rFonts w:ascii="Times New Roman" w:hAnsi="Times New Roman"/>
          <w:szCs w:val="24"/>
        </w:rPr>
        <w:t>the particular kind of device.</w:t>
      </w:r>
    </w:p>
    <w:p w:rsidR="00E0552A" w:rsidRPr="005327F5" w:rsidRDefault="00E0552A" w:rsidP="00EF1A58">
      <w:pPr>
        <w:rPr>
          <w:rFonts w:ascii="Times New Roman" w:hAnsi="Times New Roman"/>
          <w:szCs w:val="24"/>
        </w:rPr>
      </w:pPr>
    </w:p>
    <w:p w:rsidR="00BB7F14" w:rsidRDefault="00E0552A" w:rsidP="00EF1A58">
      <w:pPr>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 xml:space="preserve">Therapeutic Goods Amendment (2017 Measures No. 1) Act 2018 </w:t>
      </w:r>
      <w:r w:rsidRPr="005327F5">
        <w:rPr>
          <w:rFonts w:ascii="Times New Roman" w:hAnsi="Times New Roman"/>
          <w:szCs w:val="24"/>
        </w:rPr>
        <w:t>amended the Act</w:t>
      </w:r>
      <w:r w:rsidR="008A154E">
        <w:rPr>
          <w:rFonts w:ascii="Times New Roman" w:hAnsi="Times New Roman"/>
          <w:szCs w:val="24"/>
        </w:rPr>
        <w:t> </w:t>
      </w:r>
      <w:r w:rsidRPr="005327F5">
        <w:rPr>
          <w:rFonts w:ascii="Times New Roman" w:hAnsi="Times New Roman"/>
          <w:szCs w:val="24"/>
        </w:rPr>
        <w:t xml:space="preserve">to provide for </w:t>
      </w:r>
      <w:r w:rsidR="00E06A99" w:rsidRPr="005327F5">
        <w:rPr>
          <w:rFonts w:ascii="Times New Roman" w:hAnsi="Times New Roman"/>
          <w:szCs w:val="24"/>
        </w:rPr>
        <w:t xml:space="preserve">the </w:t>
      </w:r>
      <w:r w:rsidRPr="005327F5">
        <w:rPr>
          <w:rFonts w:ascii="Times New Roman" w:hAnsi="Times New Roman"/>
          <w:szCs w:val="24"/>
        </w:rPr>
        <w:t xml:space="preserve">preliminary assessment of applications for </w:t>
      </w:r>
      <w:r w:rsidR="008A154E">
        <w:rPr>
          <w:rFonts w:ascii="Times New Roman" w:hAnsi="Times New Roman"/>
          <w:szCs w:val="24"/>
        </w:rPr>
        <w:t xml:space="preserve">the </w:t>
      </w:r>
      <w:r w:rsidRPr="005327F5">
        <w:rPr>
          <w:rFonts w:ascii="Times New Roman" w:hAnsi="Times New Roman"/>
          <w:szCs w:val="24"/>
        </w:rPr>
        <w:t xml:space="preserve">registration </w:t>
      </w:r>
      <w:r w:rsidR="008A154E">
        <w:rPr>
          <w:rFonts w:ascii="Times New Roman" w:hAnsi="Times New Roman"/>
          <w:szCs w:val="24"/>
        </w:rPr>
        <w:t xml:space="preserve">or inclusion </w:t>
      </w:r>
      <w:r w:rsidRPr="005327F5">
        <w:rPr>
          <w:rFonts w:ascii="Times New Roman" w:hAnsi="Times New Roman"/>
          <w:szCs w:val="24"/>
        </w:rPr>
        <w:t xml:space="preserve">of therapeutic goods. Under paragraph </w:t>
      </w:r>
      <w:r w:rsidR="00F41D1A">
        <w:rPr>
          <w:rFonts w:ascii="Times New Roman" w:hAnsi="Times New Roman"/>
          <w:szCs w:val="24"/>
        </w:rPr>
        <w:t>41FDB</w:t>
      </w:r>
      <w:r w:rsidRPr="005327F5">
        <w:rPr>
          <w:rFonts w:ascii="Times New Roman" w:hAnsi="Times New Roman"/>
          <w:szCs w:val="24"/>
        </w:rPr>
        <w:t>(2)(d) of the Act</w:t>
      </w:r>
      <w:r w:rsidR="00BB7F14">
        <w:rPr>
          <w:rFonts w:ascii="Times New Roman" w:hAnsi="Times New Roman"/>
          <w:szCs w:val="24"/>
        </w:rPr>
        <w:t>,</w:t>
      </w:r>
      <w:r w:rsidRPr="005327F5">
        <w:rPr>
          <w:rFonts w:ascii="Times New Roman" w:hAnsi="Times New Roman"/>
          <w:szCs w:val="24"/>
        </w:rPr>
        <w:t xml:space="preserve"> as amended</w:t>
      </w:r>
      <w:r w:rsidR="00BB7F14">
        <w:rPr>
          <w:rFonts w:ascii="Times New Roman" w:hAnsi="Times New Roman"/>
          <w:szCs w:val="24"/>
        </w:rPr>
        <w:t>,</w:t>
      </w:r>
      <w:r w:rsidRPr="005327F5">
        <w:rPr>
          <w:rFonts w:ascii="Times New Roman" w:hAnsi="Times New Roman"/>
          <w:szCs w:val="24"/>
        </w:rPr>
        <w:t xml:space="preserve"> an application must be accompanied by information that is of a kind </w:t>
      </w:r>
      <w:r w:rsidR="008A154E">
        <w:rPr>
          <w:rFonts w:ascii="Times New Roman" w:hAnsi="Times New Roman"/>
          <w:szCs w:val="24"/>
        </w:rPr>
        <w:t xml:space="preserve">and form </w:t>
      </w:r>
      <w:r w:rsidRPr="005327F5">
        <w:rPr>
          <w:rFonts w:ascii="Times New Roman" w:hAnsi="Times New Roman"/>
          <w:szCs w:val="24"/>
        </w:rPr>
        <w:t>determined under subsection</w:t>
      </w:r>
      <w:r w:rsidR="008A154E">
        <w:rPr>
          <w:rFonts w:ascii="Times New Roman" w:hAnsi="Times New Roman"/>
          <w:szCs w:val="24"/>
        </w:rPr>
        <w:t>s</w:t>
      </w:r>
      <w:r w:rsidRPr="005327F5">
        <w:rPr>
          <w:rFonts w:ascii="Times New Roman" w:hAnsi="Times New Roman"/>
          <w:szCs w:val="24"/>
        </w:rPr>
        <w:t xml:space="preserve"> </w:t>
      </w:r>
      <w:r w:rsidR="00F41D1A">
        <w:rPr>
          <w:rFonts w:ascii="Times New Roman" w:hAnsi="Times New Roman"/>
          <w:szCs w:val="24"/>
        </w:rPr>
        <w:t>41FDB(7)</w:t>
      </w:r>
      <w:r w:rsidRPr="005327F5">
        <w:rPr>
          <w:rFonts w:ascii="Times New Roman" w:hAnsi="Times New Roman"/>
          <w:szCs w:val="24"/>
        </w:rPr>
        <w:t xml:space="preserve"> </w:t>
      </w:r>
      <w:r w:rsidR="008A154E">
        <w:rPr>
          <w:rFonts w:ascii="Times New Roman" w:hAnsi="Times New Roman"/>
          <w:szCs w:val="24"/>
        </w:rPr>
        <w:t xml:space="preserve">and 41FDB(8) </w:t>
      </w:r>
      <w:r w:rsidRPr="005327F5">
        <w:rPr>
          <w:rFonts w:ascii="Times New Roman" w:hAnsi="Times New Roman"/>
          <w:szCs w:val="24"/>
        </w:rPr>
        <w:t>of the Act.</w:t>
      </w:r>
      <w:r w:rsidR="0013396D" w:rsidRPr="005327F5">
        <w:rPr>
          <w:rFonts w:ascii="Times New Roman" w:hAnsi="Times New Roman"/>
          <w:szCs w:val="24"/>
        </w:rPr>
        <w:t xml:space="preserve"> </w:t>
      </w:r>
    </w:p>
    <w:p w:rsidR="00BB7F14" w:rsidRDefault="00BB7F14" w:rsidP="00EF1A58">
      <w:pPr>
        <w:rPr>
          <w:rFonts w:ascii="Times New Roman" w:hAnsi="Times New Roman"/>
          <w:szCs w:val="24"/>
        </w:rPr>
      </w:pPr>
    </w:p>
    <w:p w:rsidR="00E0552A" w:rsidRPr="005327F5" w:rsidRDefault="0013396D" w:rsidP="00EF1A58">
      <w:pPr>
        <w:rPr>
          <w:rFonts w:ascii="Times New Roman" w:hAnsi="Times New Roman"/>
          <w:szCs w:val="24"/>
        </w:rPr>
      </w:pPr>
      <w:r w:rsidRPr="005327F5">
        <w:rPr>
          <w:rFonts w:ascii="Times New Roman" w:hAnsi="Times New Roman"/>
          <w:szCs w:val="24"/>
        </w:rPr>
        <w:t xml:space="preserve">The only persons on whom requirements </w:t>
      </w:r>
      <w:r w:rsidR="00BB7F14">
        <w:rPr>
          <w:rFonts w:ascii="Times New Roman" w:hAnsi="Times New Roman"/>
          <w:szCs w:val="24"/>
        </w:rPr>
        <w:t xml:space="preserve">under this instrument </w:t>
      </w:r>
      <w:r w:rsidRPr="005327F5">
        <w:rPr>
          <w:rFonts w:ascii="Times New Roman" w:hAnsi="Times New Roman"/>
          <w:szCs w:val="24"/>
        </w:rPr>
        <w:t xml:space="preserve">are imposed are applicants for </w:t>
      </w:r>
      <w:r w:rsidR="00E06A99" w:rsidRPr="005327F5">
        <w:rPr>
          <w:rFonts w:ascii="Times New Roman" w:hAnsi="Times New Roman"/>
          <w:szCs w:val="24"/>
        </w:rPr>
        <w:t xml:space="preserve">the </w:t>
      </w:r>
      <w:r w:rsidR="00767590">
        <w:rPr>
          <w:rFonts w:ascii="Times New Roman" w:hAnsi="Times New Roman"/>
          <w:szCs w:val="24"/>
        </w:rPr>
        <w:t xml:space="preserve">inclusion of </w:t>
      </w:r>
      <w:r w:rsidR="00F41D1A">
        <w:rPr>
          <w:rFonts w:ascii="Times New Roman" w:hAnsi="Times New Roman"/>
          <w:szCs w:val="24"/>
        </w:rPr>
        <w:t>medical device</w:t>
      </w:r>
      <w:r w:rsidR="008A154E">
        <w:rPr>
          <w:rFonts w:ascii="Times New Roman" w:hAnsi="Times New Roman"/>
          <w:szCs w:val="24"/>
        </w:rPr>
        <w:t>s</w:t>
      </w:r>
      <w:r w:rsidR="00767590">
        <w:rPr>
          <w:rFonts w:ascii="Times New Roman" w:hAnsi="Times New Roman"/>
          <w:szCs w:val="24"/>
        </w:rPr>
        <w:t xml:space="preserve"> in the Register</w:t>
      </w:r>
      <w:r w:rsidRPr="005327F5">
        <w:rPr>
          <w:rFonts w:ascii="Times New Roman" w:hAnsi="Times New Roman"/>
          <w:szCs w:val="24"/>
        </w:rPr>
        <w:t xml:space="preserve">. The requirements are reasonably adapted to the need to ensure that </w:t>
      </w:r>
      <w:r w:rsidR="00F41D1A">
        <w:rPr>
          <w:rFonts w:ascii="Times New Roman" w:hAnsi="Times New Roman"/>
          <w:szCs w:val="24"/>
        </w:rPr>
        <w:t>kinds of medical devices satisfy the requirements set out in the Act for inclusion in the Register</w:t>
      </w:r>
      <w:r w:rsidRPr="005327F5">
        <w:rPr>
          <w:rFonts w:ascii="Times New Roman" w:hAnsi="Times New Roman"/>
          <w:szCs w:val="24"/>
        </w:rPr>
        <w:t>.</w:t>
      </w:r>
    </w:p>
    <w:p w:rsidR="00E0552A" w:rsidRPr="005327F5" w:rsidRDefault="00E0552A" w:rsidP="00EF1A58">
      <w:pPr>
        <w:rPr>
          <w:rFonts w:ascii="Times New Roman" w:hAnsi="Times New Roman"/>
          <w:szCs w:val="24"/>
        </w:rPr>
      </w:pPr>
    </w:p>
    <w:p w:rsidR="007231B2" w:rsidRPr="005327F5" w:rsidRDefault="007231B2" w:rsidP="0030123E">
      <w:pPr>
        <w:rPr>
          <w:rFonts w:ascii="Times New Roman" w:hAnsi="Times New Roman"/>
          <w:b/>
          <w:szCs w:val="24"/>
        </w:rPr>
      </w:pPr>
      <w:r w:rsidRPr="005327F5">
        <w:rPr>
          <w:rFonts w:ascii="Times New Roman" w:hAnsi="Times New Roman"/>
          <w:b/>
          <w:szCs w:val="24"/>
        </w:rPr>
        <w:t>Human rights implications</w:t>
      </w:r>
    </w:p>
    <w:p w:rsidR="0030123E" w:rsidRPr="005327F5" w:rsidRDefault="0030123E" w:rsidP="0030123E">
      <w:pPr>
        <w:rPr>
          <w:rFonts w:ascii="Times New Roman" w:hAnsi="Times New Roman"/>
          <w:szCs w:val="24"/>
        </w:rPr>
      </w:pPr>
    </w:p>
    <w:p w:rsidR="007231B2" w:rsidRPr="00F7190F" w:rsidRDefault="00115003" w:rsidP="0030123E">
      <w:pPr>
        <w:rPr>
          <w:rFonts w:ascii="Times New Roman" w:hAnsi="Times New Roman"/>
          <w:szCs w:val="24"/>
        </w:rPr>
      </w:pPr>
      <w:r>
        <w:rPr>
          <w:rFonts w:ascii="Times New Roman" w:hAnsi="Times New Roman"/>
          <w:szCs w:val="24"/>
        </w:rPr>
        <w:t>Th</w:t>
      </w:r>
      <w:r w:rsidR="00F7190F">
        <w:rPr>
          <w:rFonts w:ascii="Times New Roman" w:hAnsi="Times New Roman"/>
          <w:szCs w:val="24"/>
        </w:rPr>
        <w:t>e</w:t>
      </w:r>
      <w:r>
        <w:rPr>
          <w:rFonts w:ascii="Times New Roman" w:hAnsi="Times New Roman"/>
          <w:szCs w:val="24"/>
        </w:rPr>
        <w:t xml:space="preserve"> </w:t>
      </w:r>
      <w:r w:rsidR="008A154E">
        <w:rPr>
          <w:rFonts w:ascii="Times New Roman" w:hAnsi="Times New Roman"/>
          <w:szCs w:val="24"/>
        </w:rPr>
        <w:t xml:space="preserve">instrument </w:t>
      </w:r>
      <w:r>
        <w:rPr>
          <w:rFonts w:ascii="Times New Roman" w:hAnsi="Times New Roman"/>
          <w:szCs w:val="24"/>
        </w:rPr>
        <w:t xml:space="preserve">engages the right to health in </w:t>
      </w:r>
      <w:r w:rsidR="008A154E">
        <w:rPr>
          <w:rFonts w:ascii="Times New Roman" w:hAnsi="Times New Roman"/>
          <w:szCs w:val="24"/>
        </w:rPr>
        <w:t>A</w:t>
      </w:r>
      <w:r>
        <w:rPr>
          <w:rFonts w:ascii="Times New Roman" w:hAnsi="Times New Roman"/>
          <w:szCs w:val="24"/>
        </w:rPr>
        <w:t xml:space="preserve">rticle 12(1) of the </w:t>
      </w:r>
      <w:r w:rsidRPr="00C571E4">
        <w:rPr>
          <w:rFonts w:ascii="Times New Roman" w:hAnsi="Times New Roman"/>
          <w:i/>
          <w:szCs w:val="24"/>
        </w:rPr>
        <w:t>International Covenant on Economic, Social and Cultural Rights</w:t>
      </w:r>
      <w:r w:rsidR="00D940AB">
        <w:rPr>
          <w:rFonts w:ascii="Times New Roman" w:hAnsi="Times New Roman"/>
          <w:i/>
          <w:szCs w:val="24"/>
        </w:rPr>
        <w:t xml:space="preserve"> </w:t>
      </w:r>
      <w:r w:rsidR="00D940AB" w:rsidRPr="00F7190F">
        <w:rPr>
          <w:rFonts w:ascii="Times New Roman" w:hAnsi="Times New Roman"/>
          <w:szCs w:val="24"/>
        </w:rPr>
        <w:t>(</w:t>
      </w:r>
      <w:r w:rsidR="00F7190F">
        <w:rPr>
          <w:rFonts w:ascii="Times New Roman" w:hAnsi="Times New Roman"/>
          <w:szCs w:val="24"/>
        </w:rPr>
        <w:t>“</w:t>
      </w:r>
      <w:r w:rsidR="00D940AB" w:rsidRPr="00F7190F">
        <w:rPr>
          <w:rFonts w:ascii="Times New Roman" w:hAnsi="Times New Roman"/>
          <w:szCs w:val="24"/>
        </w:rPr>
        <w:t>ICESCR</w:t>
      </w:r>
      <w:r w:rsidR="00F7190F">
        <w:rPr>
          <w:rFonts w:ascii="Times New Roman" w:hAnsi="Times New Roman"/>
          <w:szCs w:val="24"/>
        </w:rPr>
        <w:t>”</w:t>
      </w:r>
      <w:r w:rsidR="00D940AB" w:rsidRPr="00F7190F">
        <w:rPr>
          <w:rFonts w:ascii="Times New Roman" w:hAnsi="Times New Roman"/>
          <w:szCs w:val="24"/>
        </w:rPr>
        <w:t>)</w:t>
      </w:r>
      <w:r w:rsidRPr="00F7190F">
        <w:rPr>
          <w:rFonts w:ascii="Times New Roman" w:hAnsi="Times New Roman"/>
          <w:szCs w:val="24"/>
        </w:rPr>
        <w:t xml:space="preserve">. </w:t>
      </w:r>
    </w:p>
    <w:p w:rsidR="00F7190F" w:rsidRDefault="00F7190F" w:rsidP="0030123E">
      <w:pPr>
        <w:rPr>
          <w:rFonts w:ascii="Times New Roman" w:hAnsi="Times New Roman"/>
          <w:szCs w:val="24"/>
        </w:rPr>
      </w:pPr>
    </w:p>
    <w:p w:rsidR="00115003" w:rsidRDefault="00115003" w:rsidP="0030123E">
      <w:pPr>
        <w:rPr>
          <w:sz w:val="23"/>
          <w:szCs w:val="23"/>
        </w:rPr>
      </w:pPr>
      <w:r>
        <w:rPr>
          <w:sz w:val="23"/>
          <w:szCs w:val="23"/>
        </w:rPr>
        <w:t>Article 12 of the ICESCR promotes the right of all individuals to enjoy the highest attainable standards of physical and mental health.</w:t>
      </w:r>
      <w:r w:rsidR="00C571E4" w:rsidRPr="00C571E4">
        <w:rPr>
          <w:sz w:val="23"/>
          <w:szCs w:val="23"/>
        </w:rPr>
        <w:t xml:space="preserve"> </w:t>
      </w:r>
      <w:r w:rsidR="00C571E4">
        <w:rPr>
          <w:sz w:val="23"/>
          <w:szCs w:val="23"/>
        </w:rPr>
        <w:t xml:space="preserve">In </w:t>
      </w:r>
      <w:r w:rsidR="00C571E4">
        <w:rPr>
          <w:i/>
          <w:iCs/>
          <w:sz w:val="23"/>
          <w:szCs w:val="23"/>
        </w:rPr>
        <w:t xml:space="preserve">General Comment No. 14: The Right to the Highest Attainable Standard of Health (Art. 12) </w:t>
      </w:r>
      <w:r w:rsidR="00C571E4">
        <w:rPr>
          <w:sz w:val="23"/>
          <w:szCs w:val="23"/>
        </w:rPr>
        <w:t xml:space="preserve">(2000), the United Nations Committee on Economic, Social and Cultural Rights stated that health is a ‘fundamental human right indispensable for the exercise of other human rights’, and that the right to health is not </w:t>
      </w:r>
      <w:r w:rsidR="00F7190F">
        <w:rPr>
          <w:sz w:val="23"/>
          <w:szCs w:val="23"/>
        </w:rPr>
        <w:t xml:space="preserve">to be understood as </w:t>
      </w:r>
      <w:r w:rsidR="00C571E4">
        <w:rPr>
          <w:sz w:val="23"/>
          <w:szCs w:val="23"/>
        </w:rPr>
        <w:t xml:space="preserve">the right to be healthy, but </w:t>
      </w:r>
      <w:r w:rsidR="00F7190F">
        <w:rPr>
          <w:sz w:val="23"/>
          <w:szCs w:val="23"/>
        </w:rPr>
        <w:t>includes the</w:t>
      </w:r>
      <w:r w:rsidR="00C571E4">
        <w:rPr>
          <w:sz w:val="23"/>
          <w:szCs w:val="23"/>
        </w:rPr>
        <w:t xml:space="preserve"> right to a system of health protection that provides equal opportunity for people to enjoy the highest attainable level of health.</w:t>
      </w:r>
    </w:p>
    <w:p w:rsidR="00C571E4" w:rsidRDefault="00C571E4" w:rsidP="0030123E">
      <w:pPr>
        <w:rPr>
          <w:sz w:val="23"/>
          <w:szCs w:val="23"/>
        </w:rPr>
      </w:pPr>
    </w:p>
    <w:p w:rsidR="00D22658" w:rsidRDefault="00D22658" w:rsidP="0030123E">
      <w:pPr>
        <w:rPr>
          <w:sz w:val="23"/>
          <w:szCs w:val="23"/>
        </w:rPr>
      </w:pPr>
      <w:r>
        <w:rPr>
          <w:sz w:val="23"/>
          <w:szCs w:val="23"/>
        </w:rPr>
        <w:lastRenderedPageBreak/>
        <w:t xml:space="preserve">The </w:t>
      </w:r>
      <w:r w:rsidR="008A154E">
        <w:rPr>
          <w:sz w:val="23"/>
          <w:szCs w:val="23"/>
        </w:rPr>
        <w:t xml:space="preserve">instrument </w:t>
      </w:r>
      <w:r>
        <w:rPr>
          <w:sz w:val="23"/>
          <w:szCs w:val="23"/>
        </w:rPr>
        <w:t>takes positive steps to promote the right to health by ensuring that there is sufficient documentary evidence accompanying an application for inclusion of a medical device in the Register</w:t>
      </w:r>
      <w:r w:rsidR="006009EA">
        <w:rPr>
          <w:sz w:val="23"/>
          <w:szCs w:val="23"/>
        </w:rPr>
        <w:t xml:space="preserve"> to</w:t>
      </w:r>
      <w:r>
        <w:rPr>
          <w:sz w:val="23"/>
          <w:szCs w:val="23"/>
        </w:rPr>
        <w:t xml:space="preserve"> enable the application </w:t>
      </w:r>
      <w:r w:rsidR="006009EA">
        <w:rPr>
          <w:sz w:val="23"/>
          <w:szCs w:val="23"/>
        </w:rPr>
        <w:t xml:space="preserve">to be </w:t>
      </w:r>
      <w:r w:rsidR="008A154E">
        <w:rPr>
          <w:sz w:val="23"/>
          <w:szCs w:val="23"/>
        </w:rPr>
        <w:t xml:space="preserve">processed by the Secretary of the Department of Health </w:t>
      </w:r>
      <w:r w:rsidRPr="007B784B">
        <w:rPr>
          <w:sz w:val="23"/>
          <w:szCs w:val="23"/>
        </w:rPr>
        <w:t>in an effective and timely manner. Th</w:t>
      </w:r>
      <w:r w:rsidR="008A154E">
        <w:rPr>
          <w:sz w:val="23"/>
          <w:szCs w:val="23"/>
        </w:rPr>
        <w:t xml:space="preserve">e information that must accompany an application for inclusion in the Register </w:t>
      </w:r>
      <w:r w:rsidRPr="007B784B">
        <w:rPr>
          <w:sz w:val="23"/>
          <w:szCs w:val="23"/>
        </w:rPr>
        <w:t xml:space="preserve">will assist </w:t>
      </w:r>
      <w:r w:rsidR="006009EA">
        <w:rPr>
          <w:sz w:val="23"/>
          <w:szCs w:val="23"/>
        </w:rPr>
        <w:t>in ensuring</w:t>
      </w:r>
      <w:r w:rsidRPr="007B784B">
        <w:rPr>
          <w:sz w:val="23"/>
          <w:szCs w:val="23"/>
        </w:rPr>
        <w:t xml:space="preserve"> </w:t>
      </w:r>
      <w:r w:rsidR="007B784B" w:rsidRPr="007B784B">
        <w:rPr>
          <w:sz w:val="23"/>
          <w:szCs w:val="23"/>
        </w:rPr>
        <w:t xml:space="preserve">the safety and satisfactory performance of </w:t>
      </w:r>
      <w:r w:rsidRPr="007B784B">
        <w:rPr>
          <w:sz w:val="23"/>
          <w:szCs w:val="23"/>
        </w:rPr>
        <w:t>medical devices</w:t>
      </w:r>
      <w:r w:rsidR="006009EA">
        <w:rPr>
          <w:sz w:val="23"/>
          <w:szCs w:val="23"/>
        </w:rPr>
        <w:t>, as well as</w:t>
      </w:r>
      <w:r w:rsidR="007B784B" w:rsidRPr="007B784B">
        <w:rPr>
          <w:sz w:val="23"/>
          <w:szCs w:val="23"/>
        </w:rPr>
        <w:t xml:space="preserve"> their timely availability</w:t>
      </w:r>
      <w:r w:rsidR="006009EA">
        <w:rPr>
          <w:sz w:val="23"/>
          <w:szCs w:val="23"/>
        </w:rPr>
        <w:t>,</w:t>
      </w:r>
      <w:r w:rsidR="006009EA" w:rsidRPr="006009EA">
        <w:rPr>
          <w:sz w:val="23"/>
          <w:szCs w:val="23"/>
        </w:rPr>
        <w:t xml:space="preserve"> </w:t>
      </w:r>
      <w:r w:rsidR="006009EA" w:rsidRPr="007B784B">
        <w:rPr>
          <w:sz w:val="23"/>
          <w:szCs w:val="23"/>
        </w:rPr>
        <w:t>in Australia</w:t>
      </w:r>
      <w:r w:rsidR="007B784B" w:rsidRPr="007B784B">
        <w:rPr>
          <w:sz w:val="23"/>
          <w:szCs w:val="23"/>
        </w:rPr>
        <w:t>.</w:t>
      </w:r>
    </w:p>
    <w:p w:rsidR="00F7190F" w:rsidRDefault="00F7190F" w:rsidP="0030123E">
      <w:pPr>
        <w:rPr>
          <w:sz w:val="23"/>
          <w:szCs w:val="23"/>
        </w:rPr>
      </w:pPr>
    </w:p>
    <w:p w:rsidR="0030123E" w:rsidRPr="005327F5" w:rsidRDefault="0030123E" w:rsidP="0030123E">
      <w:pPr>
        <w:rPr>
          <w:rFonts w:ascii="Times New Roman" w:hAnsi="Times New Roman"/>
          <w:b/>
          <w:szCs w:val="24"/>
        </w:rPr>
      </w:pPr>
      <w:r w:rsidRPr="005327F5">
        <w:rPr>
          <w:rFonts w:ascii="Times New Roman" w:hAnsi="Times New Roman"/>
          <w:b/>
          <w:szCs w:val="24"/>
        </w:rPr>
        <w:t>Conclusion</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szCs w:val="24"/>
        </w:rPr>
      </w:pPr>
      <w:r w:rsidRPr="005327F5">
        <w:rPr>
          <w:rFonts w:ascii="Times New Roman" w:hAnsi="Times New Roman"/>
          <w:szCs w:val="24"/>
        </w:rPr>
        <w:t xml:space="preserve">This instrument is compatible with human rights </w:t>
      </w:r>
      <w:r w:rsidR="00115003">
        <w:rPr>
          <w:rFonts w:ascii="Times New Roman" w:hAnsi="Times New Roman"/>
          <w:szCs w:val="24"/>
        </w:rPr>
        <w:t xml:space="preserve">because it promotes the right to health </w:t>
      </w:r>
      <w:r w:rsidR="002C0B26">
        <w:rPr>
          <w:rFonts w:ascii="Times New Roman" w:hAnsi="Times New Roman"/>
          <w:szCs w:val="24"/>
        </w:rPr>
        <w:t xml:space="preserve">in Article 12 of the ICESCR </w:t>
      </w:r>
      <w:r w:rsidR="00115003">
        <w:rPr>
          <w:rFonts w:ascii="Times New Roman" w:hAnsi="Times New Roman"/>
          <w:szCs w:val="24"/>
        </w:rPr>
        <w:t>and does not raise any</w:t>
      </w:r>
      <w:r w:rsidR="002C0B26">
        <w:rPr>
          <w:rFonts w:ascii="Times New Roman" w:hAnsi="Times New Roman"/>
          <w:szCs w:val="24"/>
        </w:rPr>
        <w:t xml:space="preserve"> other</w:t>
      </w:r>
      <w:r w:rsidR="00115003">
        <w:rPr>
          <w:rFonts w:ascii="Times New Roman" w:hAnsi="Times New Roman"/>
          <w:szCs w:val="24"/>
        </w:rPr>
        <w:t xml:space="preserve"> human rights issues</w:t>
      </w:r>
      <w:r w:rsidR="000A5AE3" w:rsidRPr="005327F5">
        <w:rPr>
          <w:rFonts w:ascii="Times New Roman" w:hAnsi="Times New Roman"/>
          <w:szCs w:val="24"/>
        </w:rPr>
        <w:t>.</w:t>
      </w:r>
    </w:p>
    <w:p w:rsidR="007231B2" w:rsidRPr="005327F5" w:rsidRDefault="007231B2" w:rsidP="000A5AE3">
      <w:pPr>
        <w:rPr>
          <w:rFonts w:ascii="Times New Roman" w:hAnsi="Times New Roman"/>
          <w:szCs w:val="24"/>
        </w:rPr>
      </w:pPr>
    </w:p>
    <w:p w:rsidR="000A5AE3" w:rsidRPr="005327F5" w:rsidRDefault="000A5AE3" w:rsidP="000A5AE3">
      <w:pPr>
        <w:rPr>
          <w:rFonts w:ascii="Times New Roman" w:hAnsi="Times New Roman"/>
          <w:szCs w:val="24"/>
        </w:rPr>
      </w:pPr>
    </w:p>
    <w:p w:rsidR="007231B2" w:rsidRPr="00E54613" w:rsidRDefault="00D22658" w:rsidP="000A5AE3">
      <w:pPr>
        <w:rPr>
          <w:rFonts w:ascii="Times New Roman" w:hAnsi="Times New Roman"/>
          <w:b/>
          <w:szCs w:val="24"/>
        </w:rPr>
      </w:pPr>
      <w:r>
        <w:rPr>
          <w:rFonts w:ascii="Times New Roman" w:hAnsi="Times New Roman"/>
          <w:b/>
          <w:szCs w:val="24"/>
        </w:rPr>
        <w:t>Hongxia Jin</w:t>
      </w:r>
      <w:r w:rsidR="007231B2" w:rsidRPr="00E54613">
        <w:rPr>
          <w:rFonts w:ascii="Times New Roman" w:hAnsi="Times New Roman"/>
          <w:b/>
          <w:szCs w:val="24"/>
        </w:rPr>
        <w:t xml:space="preserve">, delegate of the </w:t>
      </w:r>
      <w:r w:rsidR="009F1A03" w:rsidRPr="00E54613">
        <w:rPr>
          <w:rFonts w:ascii="Times New Roman" w:hAnsi="Times New Roman"/>
          <w:b/>
          <w:szCs w:val="24"/>
        </w:rPr>
        <w:t>Secretary of the Department of</w:t>
      </w:r>
      <w:r w:rsidR="002757A6" w:rsidRPr="00E54613">
        <w:rPr>
          <w:rFonts w:ascii="Times New Roman" w:hAnsi="Times New Roman"/>
          <w:b/>
          <w:szCs w:val="24"/>
        </w:rPr>
        <w:t xml:space="preserve"> </w:t>
      </w:r>
      <w:r w:rsidR="007231B2" w:rsidRPr="00E54613">
        <w:rPr>
          <w:rFonts w:ascii="Times New Roman" w:hAnsi="Times New Roman"/>
          <w:b/>
          <w:szCs w:val="24"/>
        </w:rPr>
        <w:t>Health</w:t>
      </w:r>
    </w:p>
    <w:sectPr w:rsidR="007231B2" w:rsidRPr="00E54613" w:rsidSect="009838D9">
      <w:headerReference w:type="even" r:id="rId19"/>
      <w:headerReference w:type="default" r:id="rId20"/>
      <w:footerReference w:type="default" r:id="rId21"/>
      <w:footerReference w:type="first" r:id="rId22"/>
      <w:pgSz w:w="11907" w:h="16840" w:code="9"/>
      <w:pgMar w:top="1134" w:right="2126"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A6" w:rsidRDefault="00E528A6">
      <w:r>
        <w:separator/>
      </w:r>
    </w:p>
  </w:endnote>
  <w:endnote w:type="continuationSeparator" w:id="0">
    <w:p w:rsidR="00E528A6" w:rsidRDefault="00E5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A51246" w:rsidRDefault="00A51246">
        <w:pPr>
          <w:pStyle w:val="Footer"/>
          <w:jc w:val="right"/>
        </w:pPr>
        <w:r>
          <w:fldChar w:fldCharType="begin"/>
        </w:r>
        <w:r>
          <w:instrText xml:space="preserve"> PAGE   \* MERGEFORMAT </w:instrText>
        </w:r>
        <w:r>
          <w:fldChar w:fldCharType="separate"/>
        </w:r>
        <w:r w:rsidR="00DF59B7">
          <w:rPr>
            <w:noProof/>
          </w:rPr>
          <w:t>9</w:t>
        </w:r>
        <w:r>
          <w:rPr>
            <w:noProof/>
          </w:rPr>
          <w:fldChar w:fldCharType="end"/>
        </w:r>
      </w:p>
    </w:sdtContent>
  </w:sdt>
  <w:p w:rsidR="00A51246" w:rsidRPr="00877529" w:rsidRDefault="00A512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A6" w:rsidRDefault="00E528A6">
      <w:r>
        <w:separator/>
      </w:r>
    </w:p>
  </w:footnote>
  <w:footnote w:type="continuationSeparator" w:id="0">
    <w:p w:rsidR="00E528A6" w:rsidRDefault="00E52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246" w:rsidRDefault="00A51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E04406B"/>
    <w:multiLevelType w:val="hybridMultilevel"/>
    <w:tmpl w:val="5136DC2A"/>
    <w:lvl w:ilvl="0" w:tplc="69984C6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65D973F6"/>
    <w:multiLevelType w:val="hybridMultilevel"/>
    <w:tmpl w:val="14D0AEE2"/>
    <w:lvl w:ilvl="0" w:tplc="9A483B10">
      <w:start w:val="1"/>
      <w:numFmt w:val="lowerLetter"/>
      <w:lvlText w:val="(%1)"/>
      <w:lvlJc w:val="left"/>
      <w:pPr>
        <w:ind w:left="1815" w:hanging="375"/>
      </w:pPr>
      <w:rPr>
        <w:rFonts w:hint="default"/>
      </w:rPr>
    </w:lvl>
    <w:lvl w:ilvl="1" w:tplc="031CA5C6">
      <w:start w:val="1"/>
      <w:numFmt w:val="lowerRoman"/>
      <w:lvlText w:val="(%2)"/>
      <w:lvlJc w:val="left"/>
      <w:pPr>
        <w:ind w:left="2520" w:hanging="360"/>
      </w:pPr>
      <w:rPr>
        <w:rFonts w:ascii="Times New Roman" w:eastAsia="Times New Roman" w:hAnsi="Times New Roman" w:cs="Times New Roman"/>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2A47BA2-7C5D-4DA4-A0B6-BEA28BE4D75E}"/>
    <w:docVar w:name="dgnword-eventsink" w:val="197710720"/>
  </w:docVars>
  <w:rsids>
    <w:rsidRoot w:val="007231B2"/>
    <w:rsid w:val="00012656"/>
    <w:rsid w:val="00013323"/>
    <w:rsid w:val="000257B7"/>
    <w:rsid w:val="0002592B"/>
    <w:rsid w:val="000372AF"/>
    <w:rsid w:val="0003734E"/>
    <w:rsid w:val="00037CA7"/>
    <w:rsid w:val="00042068"/>
    <w:rsid w:val="00045BDF"/>
    <w:rsid w:val="00064E93"/>
    <w:rsid w:val="0006546D"/>
    <w:rsid w:val="000664F1"/>
    <w:rsid w:val="00066CAF"/>
    <w:rsid w:val="000675AB"/>
    <w:rsid w:val="00071126"/>
    <w:rsid w:val="00072CA3"/>
    <w:rsid w:val="00085CCF"/>
    <w:rsid w:val="000917B7"/>
    <w:rsid w:val="00092F0C"/>
    <w:rsid w:val="00093573"/>
    <w:rsid w:val="00093E11"/>
    <w:rsid w:val="00094B6D"/>
    <w:rsid w:val="00096083"/>
    <w:rsid w:val="000A1279"/>
    <w:rsid w:val="000A1F6B"/>
    <w:rsid w:val="000A5AE3"/>
    <w:rsid w:val="000A6B75"/>
    <w:rsid w:val="000B005F"/>
    <w:rsid w:val="000B58FD"/>
    <w:rsid w:val="000B7645"/>
    <w:rsid w:val="000C367F"/>
    <w:rsid w:val="000D45CA"/>
    <w:rsid w:val="000D45DC"/>
    <w:rsid w:val="000E4089"/>
    <w:rsid w:val="000F414D"/>
    <w:rsid w:val="0011067B"/>
    <w:rsid w:val="00115003"/>
    <w:rsid w:val="00115FCF"/>
    <w:rsid w:val="00116077"/>
    <w:rsid w:val="0011678C"/>
    <w:rsid w:val="001262A6"/>
    <w:rsid w:val="00126B69"/>
    <w:rsid w:val="00130E9B"/>
    <w:rsid w:val="00132FF7"/>
    <w:rsid w:val="00133752"/>
    <w:rsid w:val="0013396D"/>
    <w:rsid w:val="00141D8C"/>
    <w:rsid w:val="00146B03"/>
    <w:rsid w:val="00147EBC"/>
    <w:rsid w:val="00155B04"/>
    <w:rsid w:val="00157380"/>
    <w:rsid w:val="001609F4"/>
    <w:rsid w:val="00170363"/>
    <w:rsid w:val="00175C4D"/>
    <w:rsid w:val="00176F07"/>
    <w:rsid w:val="001811A6"/>
    <w:rsid w:val="00184B26"/>
    <w:rsid w:val="00190FC6"/>
    <w:rsid w:val="00195047"/>
    <w:rsid w:val="00197BB2"/>
    <w:rsid w:val="001A4C5C"/>
    <w:rsid w:val="001C30A4"/>
    <w:rsid w:val="001D19ED"/>
    <w:rsid w:val="001D3026"/>
    <w:rsid w:val="001D5008"/>
    <w:rsid w:val="001E6D11"/>
    <w:rsid w:val="001F73A0"/>
    <w:rsid w:val="00201305"/>
    <w:rsid w:val="00204B5E"/>
    <w:rsid w:val="00213441"/>
    <w:rsid w:val="002308E0"/>
    <w:rsid w:val="00234F18"/>
    <w:rsid w:val="0023790D"/>
    <w:rsid w:val="00241F6A"/>
    <w:rsid w:val="00242711"/>
    <w:rsid w:val="00246353"/>
    <w:rsid w:val="002464E1"/>
    <w:rsid w:val="00246ECE"/>
    <w:rsid w:val="00247855"/>
    <w:rsid w:val="00270664"/>
    <w:rsid w:val="002707DC"/>
    <w:rsid w:val="00272120"/>
    <w:rsid w:val="002745A7"/>
    <w:rsid w:val="002757A6"/>
    <w:rsid w:val="00287FCA"/>
    <w:rsid w:val="00292591"/>
    <w:rsid w:val="00292B07"/>
    <w:rsid w:val="00294A49"/>
    <w:rsid w:val="00294DFA"/>
    <w:rsid w:val="002A431C"/>
    <w:rsid w:val="002A7E5C"/>
    <w:rsid w:val="002B1D7C"/>
    <w:rsid w:val="002B294C"/>
    <w:rsid w:val="002C0B26"/>
    <w:rsid w:val="002D37B0"/>
    <w:rsid w:val="002D6924"/>
    <w:rsid w:val="002E05C2"/>
    <w:rsid w:val="002E0A39"/>
    <w:rsid w:val="002E2C4A"/>
    <w:rsid w:val="002E3566"/>
    <w:rsid w:val="002F2C22"/>
    <w:rsid w:val="002F52F2"/>
    <w:rsid w:val="0030123E"/>
    <w:rsid w:val="00305D1F"/>
    <w:rsid w:val="0031255D"/>
    <w:rsid w:val="00314200"/>
    <w:rsid w:val="00324D6B"/>
    <w:rsid w:val="0032675B"/>
    <w:rsid w:val="00337507"/>
    <w:rsid w:val="0034158F"/>
    <w:rsid w:val="00344295"/>
    <w:rsid w:val="003473D3"/>
    <w:rsid w:val="0034742D"/>
    <w:rsid w:val="00350252"/>
    <w:rsid w:val="003533D3"/>
    <w:rsid w:val="0036052F"/>
    <w:rsid w:val="00362E3E"/>
    <w:rsid w:val="00366DB2"/>
    <w:rsid w:val="00387260"/>
    <w:rsid w:val="00395762"/>
    <w:rsid w:val="00395FAE"/>
    <w:rsid w:val="003B2462"/>
    <w:rsid w:val="003B739C"/>
    <w:rsid w:val="003C04A2"/>
    <w:rsid w:val="003C16E5"/>
    <w:rsid w:val="003C17BC"/>
    <w:rsid w:val="003C191C"/>
    <w:rsid w:val="003C223D"/>
    <w:rsid w:val="003C2A3E"/>
    <w:rsid w:val="003C52E5"/>
    <w:rsid w:val="003C60B8"/>
    <w:rsid w:val="003C635E"/>
    <w:rsid w:val="003D187B"/>
    <w:rsid w:val="003D2252"/>
    <w:rsid w:val="003D2315"/>
    <w:rsid w:val="003E0599"/>
    <w:rsid w:val="003E0824"/>
    <w:rsid w:val="003E14EF"/>
    <w:rsid w:val="003F64DA"/>
    <w:rsid w:val="00404820"/>
    <w:rsid w:val="00407BD8"/>
    <w:rsid w:val="00412141"/>
    <w:rsid w:val="00413B76"/>
    <w:rsid w:val="00420786"/>
    <w:rsid w:val="004243D7"/>
    <w:rsid w:val="0043154E"/>
    <w:rsid w:val="004324BB"/>
    <w:rsid w:val="004366EB"/>
    <w:rsid w:val="00437041"/>
    <w:rsid w:val="00437FB7"/>
    <w:rsid w:val="0044018D"/>
    <w:rsid w:val="00442059"/>
    <w:rsid w:val="00451CCD"/>
    <w:rsid w:val="00453338"/>
    <w:rsid w:val="0046020B"/>
    <w:rsid w:val="00462DFB"/>
    <w:rsid w:val="0046497F"/>
    <w:rsid w:val="00464E36"/>
    <w:rsid w:val="00465C51"/>
    <w:rsid w:val="004661F7"/>
    <w:rsid w:val="00473CD2"/>
    <w:rsid w:val="00480D1D"/>
    <w:rsid w:val="00481C2F"/>
    <w:rsid w:val="0048208F"/>
    <w:rsid w:val="004833CC"/>
    <w:rsid w:val="00483AEE"/>
    <w:rsid w:val="00486AE4"/>
    <w:rsid w:val="00487413"/>
    <w:rsid w:val="00490CE7"/>
    <w:rsid w:val="0049262B"/>
    <w:rsid w:val="004966C9"/>
    <w:rsid w:val="00497396"/>
    <w:rsid w:val="004A1A83"/>
    <w:rsid w:val="004B2AAC"/>
    <w:rsid w:val="004B7DFF"/>
    <w:rsid w:val="004E1773"/>
    <w:rsid w:val="004E32CA"/>
    <w:rsid w:val="004E668D"/>
    <w:rsid w:val="004E6B0E"/>
    <w:rsid w:val="004F2CA3"/>
    <w:rsid w:val="005000FF"/>
    <w:rsid w:val="00503F73"/>
    <w:rsid w:val="00504A03"/>
    <w:rsid w:val="00514995"/>
    <w:rsid w:val="005327F5"/>
    <w:rsid w:val="0053308F"/>
    <w:rsid w:val="005340C6"/>
    <w:rsid w:val="0053604F"/>
    <w:rsid w:val="005447E6"/>
    <w:rsid w:val="0054626F"/>
    <w:rsid w:val="005539E1"/>
    <w:rsid w:val="00561F82"/>
    <w:rsid w:val="005623D6"/>
    <w:rsid w:val="00563520"/>
    <w:rsid w:val="0056717E"/>
    <w:rsid w:val="0057215F"/>
    <w:rsid w:val="00574869"/>
    <w:rsid w:val="00580AF5"/>
    <w:rsid w:val="00592942"/>
    <w:rsid w:val="00593609"/>
    <w:rsid w:val="005961E5"/>
    <w:rsid w:val="0059755B"/>
    <w:rsid w:val="005C02D8"/>
    <w:rsid w:val="005C1891"/>
    <w:rsid w:val="005C235E"/>
    <w:rsid w:val="005C312F"/>
    <w:rsid w:val="005C4345"/>
    <w:rsid w:val="005D2FC2"/>
    <w:rsid w:val="005E15CB"/>
    <w:rsid w:val="005E1BCC"/>
    <w:rsid w:val="005E26CD"/>
    <w:rsid w:val="005E5712"/>
    <w:rsid w:val="005E7ABA"/>
    <w:rsid w:val="005F1E2F"/>
    <w:rsid w:val="006009EA"/>
    <w:rsid w:val="0060165C"/>
    <w:rsid w:val="00605E56"/>
    <w:rsid w:val="00607490"/>
    <w:rsid w:val="00611E64"/>
    <w:rsid w:val="00616634"/>
    <w:rsid w:val="00621156"/>
    <w:rsid w:val="006217AB"/>
    <w:rsid w:val="00622597"/>
    <w:rsid w:val="0062448C"/>
    <w:rsid w:val="006264E3"/>
    <w:rsid w:val="00634C8C"/>
    <w:rsid w:val="006351A7"/>
    <w:rsid w:val="00635C35"/>
    <w:rsid w:val="006360A1"/>
    <w:rsid w:val="00636FD2"/>
    <w:rsid w:val="00650907"/>
    <w:rsid w:val="0065156C"/>
    <w:rsid w:val="00654509"/>
    <w:rsid w:val="00656611"/>
    <w:rsid w:val="006667BD"/>
    <w:rsid w:val="006709C9"/>
    <w:rsid w:val="006833B2"/>
    <w:rsid w:val="00693517"/>
    <w:rsid w:val="00695811"/>
    <w:rsid w:val="006A2255"/>
    <w:rsid w:val="006B0291"/>
    <w:rsid w:val="006B6868"/>
    <w:rsid w:val="006B76D0"/>
    <w:rsid w:val="006C6E34"/>
    <w:rsid w:val="006D1F21"/>
    <w:rsid w:val="006D3BC0"/>
    <w:rsid w:val="006D6C7D"/>
    <w:rsid w:val="006E3506"/>
    <w:rsid w:val="006E47AA"/>
    <w:rsid w:val="006E768D"/>
    <w:rsid w:val="006F15D6"/>
    <w:rsid w:val="006F22BA"/>
    <w:rsid w:val="006F372C"/>
    <w:rsid w:val="006F7A45"/>
    <w:rsid w:val="00700F37"/>
    <w:rsid w:val="00700FE9"/>
    <w:rsid w:val="007018B7"/>
    <w:rsid w:val="00701C2A"/>
    <w:rsid w:val="00712B05"/>
    <w:rsid w:val="007231B2"/>
    <w:rsid w:val="00723277"/>
    <w:rsid w:val="00723D4C"/>
    <w:rsid w:val="00730B87"/>
    <w:rsid w:val="00733C83"/>
    <w:rsid w:val="00735A9C"/>
    <w:rsid w:val="007444E7"/>
    <w:rsid w:val="00746EC6"/>
    <w:rsid w:val="007529F8"/>
    <w:rsid w:val="00764766"/>
    <w:rsid w:val="00767590"/>
    <w:rsid w:val="00773472"/>
    <w:rsid w:val="0078179C"/>
    <w:rsid w:val="00782045"/>
    <w:rsid w:val="007A0A2B"/>
    <w:rsid w:val="007A2E78"/>
    <w:rsid w:val="007B18F6"/>
    <w:rsid w:val="007B784B"/>
    <w:rsid w:val="007C2577"/>
    <w:rsid w:val="007C320B"/>
    <w:rsid w:val="007C3C7B"/>
    <w:rsid w:val="007C560B"/>
    <w:rsid w:val="007C64DB"/>
    <w:rsid w:val="007D3909"/>
    <w:rsid w:val="007D454B"/>
    <w:rsid w:val="007E4CD6"/>
    <w:rsid w:val="007F5E46"/>
    <w:rsid w:val="00802ED9"/>
    <w:rsid w:val="008040F8"/>
    <w:rsid w:val="00805C6E"/>
    <w:rsid w:val="00813F58"/>
    <w:rsid w:val="00820BA2"/>
    <w:rsid w:val="00821FF9"/>
    <w:rsid w:val="00824C87"/>
    <w:rsid w:val="00826B69"/>
    <w:rsid w:val="00831398"/>
    <w:rsid w:val="00840E1F"/>
    <w:rsid w:val="00846A95"/>
    <w:rsid w:val="00853F80"/>
    <w:rsid w:val="008553EC"/>
    <w:rsid w:val="00855B3C"/>
    <w:rsid w:val="008566DA"/>
    <w:rsid w:val="00862B50"/>
    <w:rsid w:val="00863009"/>
    <w:rsid w:val="00872025"/>
    <w:rsid w:val="00877529"/>
    <w:rsid w:val="0088053C"/>
    <w:rsid w:val="00883647"/>
    <w:rsid w:val="0088383B"/>
    <w:rsid w:val="008859F3"/>
    <w:rsid w:val="00891CD0"/>
    <w:rsid w:val="0089273D"/>
    <w:rsid w:val="008A154E"/>
    <w:rsid w:val="008A4504"/>
    <w:rsid w:val="008B1FDF"/>
    <w:rsid w:val="008B43E0"/>
    <w:rsid w:val="008B6B9F"/>
    <w:rsid w:val="008C2089"/>
    <w:rsid w:val="008C2DFA"/>
    <w:rsid w:val="008D0491"/>
    <w:rsid w:val="008D1520"/>
    <w:rsid w:val="008E4262"/>
    <w:rsid w:val="008E7CA0"/>
    <w:rsid w:val="008F0DE7"/>
    <w:rsid w:val="008F7C91"/>
    <w:rsid w:val="00902FD5"/>
    <w:rsid w:val="00906F35"/>
    <w:rsid w:val="00924BE6"/>
    <w:rsid w:val="009300E0"/>
    <w:rsid w:val="009377D2"/>
    <w:rsid w:val="0094112E"/>
    <w:rsid w:val="009455F9"/>
    <w:rsid w:val="00946A18"/>
    <w:rsid w:val="00946D6F"/>
    <w:rsid w:val="00947515"/>
    <w:rsid w:val="00950602"/>
    <w:rsid w:val="0095160E"/>
    <w:rsid w:val="00954C8A"/>
    <w:rsid w:val="00957D1D"/>
    <w:rsid w:val="00964F22"/>
    <w:rsid w:val="00967299"/>
    <w:rsid w:val="00970B28"/>
    <w:rsid w:val="00977A26"/>
    <w:rsid w:val="00977C7A"/>
    <w:rsid w:val="0098260D"/>
    <w:rsid w:val="009838D9"/>
    <w:rsid w:val="00992FE7"/>
    <w:rsid w:val="009B084B"/>
    <w:rsid w:val="009B2729"/>
    <w:rsid w:val="009B69DB"/>
    <w:rsid w:val="009C0C82"/>
    <w:rsid w:val="009D12CE"/>
    <w:rsid w:val="009D24B6"/>
    <w:rsid w:val="009E4235"/>
    <w:rsid w:val="009F042D"/>
    <w:rsid w:val="009F079E"/>
    <w:rsid w:val="009F1A03"/>
    <w:rsid w:val="009F7C21"/>
    <w:rsid w:val="00A01398"/>
    <w:rsid w:val="00A05F22"/>
    <w:rsid w:val="00A0659F"/>
    <w:rsid w:val="00A1397B"/>
    <w:rsid w:val="00A2329B"/>
    <w:rsid w:val="00A23F76"/>
    <w:rsid w:val="00A27874"/>
    <w:rsid w:val="00A27C61"/>
    <w:rsid w:val="00A309AD"/>
    <w:rsid w:val="00A33510"/>
    <w:rsid w:val="00A35596"/>
    <w:rsid w:val="00A423DC"/>
    <w:rsid w:val="00A42AB8"/>
    <w:rsid w:val="00A4520E"/>
    <w:rsid w:val="00A46299"/>
    <w:rsid w:val="00A51246"/>
    <w:rsid w:val="00A6223E"/>
    <w:rsid w:val="00A74B02"/>
    <w:rsid w:val="00A81139"/>
    <w:rsid w:val="00A941AB"/>
    <w:rsid w:val="00AA6C67"/>
    <w:rsid w:val="00AB49B2"/>
    <w:rsid w:val="00AC0B76"/>
    <w:rsid w:val="00AC0C99"/>
    <w:rsid w:val="00AC59C2"/>
    <w:rsid w:val="00AD1943"/>
    <w:rsid w:val="00AE04AB"/>
    <w:rsid w:val="00AF61D6"/>
    <w:rsid w:val="00B01348"/>
    <w:rsid w:val="00B04E0B"/>
    <w:rsid w:val="00B07040"/>
    <w:rsid w:val="00B071F4"/>
    <w:rsid w:val="00B10B79"/>
    <w:rsid w:val="00B13D82"/>
    <w:rsid w:val="00B279BF"/>
    <w:rsid w:val="00B339C2"/>
    <w:rsid w:val="00B4475C"/>
    <w:rsid w:val="00B474BB"/>
    <w:rsid w:val="00B60387"/>
    <w:rsid w:val="00B67F5D"/>
    <w:rsid w:val="00B719D6"/>
    <w:rsid w:val="00B72D34"/>
    <w:rsid w:val="00B761CB"/>
    <w:rsid w:val="00B818BD"/>
    <w:rsid w:val="00B8360C"/>
    <w:rsid w:val="00B8739B"/>
    <w:rsid w:val="00B87D77"/>
    <w:rsid w:val="00BA30C2"/>
    <w:rsid w:val="00BA366D"/>
    <w:rsid w:val="00BA4252"/>
    <w:rsid w:val="00BB1578"/>
    <w:rsid w:val="00BB708E"/>
    <w:rsid w:val="00BB7F14"/>
    <w:rsid w:val="00BC4C90"/>
    <w:rsid w:val="00BC551A"/>
    <w:rsid w:val="00BD342D"/>
    <w:rsid w:val="00BD7BB5"/>
    <w:rsid w:val="00BE215A"/>
    <w:rsid w:val="00BF3CEB"/>
    <w:rsid w:val="00C0721E"/>
    <w:rsid w:val="00C109D1"/>
    <w:rsid w:val="00C21B58"/>
    <w:rsid w:val="00C2687F"/>
    <w:rsid w:val="00C27768"/>
    <w:rsid w:val="00C318E5"/>
    <w:rsid w:val="00C36254"/>
    <w:rsid w:val="00C377F0"/>
    <w:rsid w:val="00C44132"/>
    <w:rsid w:val="00C45F4D"/>
    <w:rsid w:val="00C50898"/>
    <w:rsid w:val="00C50FA4"/>
    <w:rsid w:val="00C51AC0"/>
    <w:rsid w:val="00C53E11"/>
    <w:rsid w:val="00C54F44"/>
    <w:rsid w:val="00C571E4"/>
    <w:rsid w:val="00C6165A"/>
    <w:rsid w:val="00C62ABA"/>
    <w:rsid w:val="00C62CD2"/>
    <w:rsid w:val="00C650E1"/>
    <w:rsid w:val="00C65D06"/>
    <w:rsid w:val="00C66DC2"/>
    <w:rsid w:val="00C74E09"/>
    <w:rsid w:val="00C81627"/>
    <w:rsid w:val="00C86442"/>
    <w:rsid w:val="00C86C60"/>
    <w:rsid w:val="00C90A25"/>
    <w:rsid w:val="00C933AA"/>
    <w:rsid w:val="00C958EE"/>
    <w:rsid w:val="00CA5153"/>
    <w:rsid w:val="00CB3006"/>
    <w:rsid w:val="00CB6DE2"/>
    <w:rsid w:val="00CC233B"/>
    <w:rsid w:val="00CC588D"/>
    <w:rsid w:val="00CC7CE5"/>
    <w:rsid w:val="00CD25AD"/>
    <w:rsid w:val="00CD46EE"/>
    <w:rsid w:val="00CD6487"/>
    <w:rsid w:val="00CF1662"/>
    <w:rsid w:val="00D00488"/>
    <w:rsid w:val="00D05B9F"/>
    <w:rsid w:val="00D1427F"/>
    <w:rsid w:val="00D16A53"/>
    <w:rsid w:val="00D22658"/>
    <w:rsid w:val="00D229EC"/>
    <w:rsid w:val="00D327BE"/>
    <w:rsid w:val="00D347E6"/>
    <w:rsid w:val="00D37233"/>
    <w:rsid w:val="00D41D94"/>
    <w:rsid w:val="00D42CDB"/>
    <w:rsid w:val="00D46CF2"/>
    <w:rsid w:val="00D47897"/>
    <w:rsid w:val="00D53112"/>
    <w:rsid w:val="00D53194"/>
    <w:rsid w:val="00D5795A"/>
    <w:rsid w:val="00D74AC5"/>
    <w:rsid w:val="00D936F7"/>
    <w:rsid w:val="00D938ED"/>
    <w:rsid w:val="00D940AB"/>
    <w:rsid w:val="00DA231C"/>
    <w:rsid w:val="00DA355A"/>
    <w:rsid w:val="00DA65A7"/>
    <w:rsid w:val="00DA6D2C"/>
    <w:rsid w:val="00DA735D"/>
    <w:rsid w:val="00DA7C4C"/>
    <w:rsid w:val="00DB4E3C"/>
    <w:rsid w:val="00DB5E73"/>
    <w:rsid w:val="00DB766E"/>
    <w:rsid w:val="00DC0B9E"/>
    <w:rsid w:val="00DC2341"/>
    <w:rsid w:val="00DC5BDE"/>
    <w:rsid w:val="00DC7829"/>
    <w:rsid w:val="00DD3DBC"/>
    <w:rsid w:val="00DE1A9E"/>
    <w:rsid w:val="00DE2998"/>
    <w:rsid w:val="00DE2B9A"/>
    <w:rsid w:val="00DF0128"/>
    <w:rsid w:val="00DF0B72"/>
    <w:rsid w:val="00DF59B7"/>
    <w:rsid w:val="00DF7F7E"/>
    <w:rsid w:val="00E003FC"/>
    <w:rsid w:val="00E0126C"/>
    <w:rsid w:val="00E01D06"/>
    <w:rsid w:val="00E0415F"/>
    <w:rsid w:val="00E046D0"/>
    <w:rsid w:val="00E0552A"/>
    <w:rsid w:val="00E06A99"/>
    <w:rsid w:val="00E17817"/>
    <w:rsid w:val="00E218BF"/>
    <w:rsid w:val="00E32FD9"/>
    <w:rsid w:val="00E43D84"/>
    <w:rsid w:val="00E44DB1"/>
    <w:rsid w:val="00E44F50"/>
    <w:rsid w:val="00E528A6"/>
    <w:rsid w:val="00E54613"/>
    <w:rsid w:val="00E54856"/>
    <w:rsid w:val="00E566BD"/>
    <w:rsid w:val="00E62E77"/>
    <w:rsid w:val="00E764CB"/>
    <w:rsid w:val="00E84FA8"/>
    <w:rsid w:val="00E8647D"/>
    <w:rsid w:val="00E90759"/>
    <w:rsid w:val="00E92B82"/>
    <w:rsid w:val="00E92FFE"/>
    <w:rsid w:val="00E9656D"/>
    <w:rsid w:val="00E96E22"/>
    <w:rsid w:val="00E97364"/>
    <w:rsid w:val="00EA295B"/>
    <w:rsid w:val="00EA4EA8"/>
    <w:rsid w:val="00EB0061"/>
    <w:rsid w:val="00EB4DA4"/>
    <w:rsid w:val="00EB4FA6"/>
    <w:rsid w:val="00EC079E"/>
    <w:rsid w:val="00ED1D1B"/>
    <w:rsid w:val="00ED3829"/>
    <w:rsid w:val="00EE2D71"/>
    <w:rsid w:val="00EF1A58"/>
    <w:rsid w:val="00EF5682"/>
    <w:rsid w:val="00F013C1"/>
    <w:rsid w:val="00F071D4"/>
    <w:rsid w:val="00F13638"/>
    <w:rsid w:val="00F26F50"/>
    <w:rsid w:val="00F31646"/>
    <w:rsid w:val="00F343F7"/>
    <w:rsid w:val="00F348DA"/>
    <w:rsid w:val="00F41CB2"/>
    <w:rsid w:val="00F41D1A"/>
    <w:rsid w:val="00F42641"/>
    <w:rsid w:val="00F51BF2"/>
    <w:rsid w:val="00F66145"/>
    <w:rsid w:val="00F7190F"/>
    <w:rsid w:val="00F7228D"/>
    <w:rsid w:val="00F80CDC"/>
    <w:rsid w:val="00F84730"/>
    <w:rsid w:val="00F86F17"/>
    <w:rsid w:val="00F94FB3"/>
    <w:rsid w:val="00F9540D"/>
    <w:rsid w:val="00FA47BE"/>
    <w:rsid w:val="00FA7E1B"/>
    <w:rsid w:val="00FB08B7"/>
    <w:rsid w:val="00FB0C1D"/>
    <w:rsid w:val="00FB2407"/>
    <w:rsid w:val="00FB6877"/>
    <w:rsid w:val="00FC0F7B"/>
    <w:rsid w:val="00FC14E0"/>
    <w:rsid w:val="00FC3E91"/>
    <w:rsid w:val="00FD112C"/>
    <w:rsid w:val="00FD215A"/>
    <w:rsid w:val="00FD41F1"/>
    <w:rsid w:val="00FD5623"/>
    <w:rsid w:val="00FE7AF2"/>
    <w:rsid w:val="00FE7C01"/>
    <w:rsid w:val="00FF0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table" w:styleId="TableGrid">
    <w:name w:val="Table Grid"/>
    <w:basedOn w:val="TableNormal"/>
    <w:uiPriority w:val="59"/>
    <w:rsid w:val="00D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C82"/>
    <w:rPr>
      <w:color w:val="800080" w:themeColor="followedHyperlink"/>
      <w:u w:val="single"/>
    </w:rPr>
  </w:style>
  <w:style w:type="paragraph" w:customStyle="1" w:styleId="paragraph">
    <w:name w:val="paragraph"/>
    <w:aliases w:val="a"/>
    <w:basedOn w:val="Normal"/>
    <w:rsid w:val="00465C51"/>
    <w:pPr>
      <w:tabs>
        <w:tab w:val="right" w:pos="1531"/>
      </w:tabs>
      <w:spacing w:before="40"/>
      <w:ind w:left="1644" w:hanging="1644"/>
    </w:pPr>
    <w:rPr>
      <w:rFonts w:ascii="Times New Roman" w:hAnsi="Times New Roman"/>
      <w:sz w:val="22"/>
    </w:rPr>
  </w:style>
  <w:style w:type="paragraph" w:customStyle="1" w:styleId="Default">
    <w:name w:val="Default"/>
    <w:rsid w:val="00E965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table" w:styleId="TableGrid">
    <w:name w:val="Table Grid"/>
    <w:basedOn w:val="TableNormal"/>
    <w:uiPriority w:val="59"/>
    <w:rsid w:val="00D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C82"/>
    <w:rPr>
      <w:color w:val="800080" w:themeColor="followedHyperlink"/>
      <w:u w:val="single"/>
    </w:rPr>
  </w:style>
  <w:style w:type="paragraph" w:customStyle="1" w:styleId="paragraph">
    <w:name w:val="paragraph"/>
    <w:aliases w:val="a"/>
    <w:basedOn w:val="Normal"/>
    <w:rsid w:val="00465C51"/>
    <w:pPr>
      <w:tabs>
        <w:tab w:val="right" w:pos="1531"/>
      </w:tabs>
      <w:spacing w:before="40"/>
      <w:ind w:left="1644" w:hanging="1644"/>
    </w:pPr>
    <w:rPr>
      <w:rFonts w:ascii="Times New Roman" w:hAnsi="Times New Roman"/>
      <w:sz w:val="22"/>
    </w:rPr>
  </w:style>
  <w:style w:type="paragraph" w:customStyle="1" w:styleId="Default">
    <w:name w:val="Default"/>
    <w:rsid w:val="00E965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599532767">
      <w:bodyDiv w:val="1"/>
      <w:marLeft w:val="0"/>
      <w:marRight w:val="0"/>
      <w:marTop w:val="0"/>
      <w:marBottom w:val="0"/>
      <w:divBdr>
        <w:top w:val="none" w:sz="0" w:space="0" w:color="auto"/>
        <w:left w:val="none" w:sz="0" w:space="0" w:color="auto"/>
        <w:bottom w:val="none" w:sz="0" w:space="0" w:color="auto"/>
        <w:right w:val="none" w:sz="0" w:space="0" w:color="auto"/>
      </w:divBdr>
    </w:div>
    <w:div w:id="20191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ALL/?uri=CELEX:31993L0042" TargetMode="External"/><Relationship Id="rId18" Type="http://schemas.openxmlformats.org/officeDocument/2006/relationships/hyperlink" Target="https://www.fda.gov/regulatoryinformation/lawsenforcedbyfda/federalfooddrugandcosmeticactfdcact/default.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ur-lex.europa.eu/legal-content/EN/ALL/?uri=celex:31990L0385" TargetMode="External"/><Relationship Id="rId17" Type="http://schemas.openxmlformats.org/officeDocument/2006/relationships/hyperlink" Target="http://www.japaneselawtranslation.go.jp/law/detail/?id=2766&amp;vm=04&amp;re=02" TargetMode="External"/><Relationship Id="rId2" Type="http://schemas.openxmlformats.org/officeDocument/2006/relationships/numbering" Target="numbering.xml"/><Relationship Id="rId16" Type="http://schemas.openxmlformats.org/officeDocument/2006/relationships/hyperlink" Target="https://eur-lex.europa.eu/legal-content/EN/TXT/?uri=CELEX%3A32017R074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s-lois.justice.gc.ca/eng/regulations/SOR-98-28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ur-lex.europa.eu/legal-content/EN/ALL/?uri=CELEX:32017R0745" TargetMode="External"/><Relationship Id="rId23" Type="http://schemas.openxmlformats.org/officeDocument/2006/relationships/fontTable" Target="fontTable.xml"/><Relationship Id="rId10" Type="http://schemas.openxmlformats.org/officeDocument/2006/relationships/hyperlink" Target="http://www.legislation.gov.a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a.gov.au/comparable-overseas-regulators-medical-device-applications" TargetMode="External"/><Relationship Id="rId14" Type="http://schemas.openxmlformats.org/officeDocument/2006/relationships/hyperlink" Target="https://eur-lex.europa.eu/legal-content/EN/ALL/?uri=celex:31998L007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FA56-72EB-4751-81C2-29B4953E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2018-10-02T03:50:00Z</cp:lastPrinted>
  <dcterms:created xsi:type="dcterms:W3CDTF">2018-10-08T00:42:00Z</dcterms:created>
  <dcterms:modified xsi:type="dcterms:W3CDTF">2018-10-08T00:42:00Z</dcterms:modified>
</cp:coreProperties>
</file>