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26" w:rsidRDefault="003A6026" w:rsidP="003A6026">
      <w:pPr>
        <w:jc w:val="center"/>
        <w:rPr>
          <w:u w:val="single"/>
        </w:rPr>
      </w:pPr>
      <w:bookmarkStart w:id="0" w:name="_GoBack"/>
      <w:bookmarkEnd w:id="0"/>
      <w:r>
        <w:rPr>
          <w:u w:val="single"/>
        </w:rPr>
        <w:t>EXPLANATORY STATEMENT</w:t>
      </w:r>
    </w:p>
    <w:p w:rsidR="00202381" w:rsidRDefault="00202381" w:rsidP="003A6026">
      <w:pPr>
        <w:rPr>
          <w:u w:val="single"/>
        </w:rPr>
      </w:pPr>
    </w:p>
    <w:p w:rsidR="004C4924" w:rsidRDefault="004C4924" w:rsidP="003A6026">
      <w:pPr>
        <w:rPr>
          <w:u w:val="single"/>
        </w:rPr>
      </w:pPr>
    </w:p>
    <w:p w:rsidR="003A6026" w:rsidRPr="00AB1D6C" w:rsidRDefault="004C4924" w:rsidP="00AB1D6C">
      <w:pPr>
        <w:jc w:val="center"/>
        <w:rPr>
          <w:i/>
        </w:rPr>
      </w:pPr>
      <w:r>
        <w:rPr>
          <w:i/>
        </w:rPr>
        <w:t>Biosecurity Act 2015</w:t>
      </w:r>
    </w:p>
    <w:p w:rsidR="003A6026" w:rsidRDefault="003A6026" w:rsidP="003A6026"/>
    <w:p w:rsidR="00D70F61" w:rsidRPr="00082B90" w:rsidRDefault="00D70F61" w:rsidP="00D70F61">
      <w:pPr>
        <w:ind w:right="91"/>
        <w:jc w:val="center"/>
        <w:rPr>
          <w:i/>
        </w:rPr>
      </w:pPr>
      <w:r>
        <w:rPr>
          <w:i/>
        </w:rPr>
        <w:t>Biosecurity (Human Health) Amendment (Disinsection Exemption) Regulations 2018</w:t>
      </w:r>
    </w:p>
    <w:p w:rsidR="00AB1D6C" w:rsidRDefault="00AB1D6C" w:rsidP="00AB1D6C">
      <w:pPr>
        <w:jc w:val="center"/>
      </w:pPr>
    </w:p>
    <w:p w:rsidR="003A6026" w:rsidRPr="00D70F61" w:rsidRDefault="003A6026" w:rsidP="003A6026">
      <w:pPr>
        <w:rPr>
          <w:b/>
        </w:rPr>
      </w:pPr>
      <w:r w:rsidRPr="00D70F61">
        <w:rPr>
          <w:b/>
        </w:rPr>
        <w:t>Authority</w:t>
      </w:r>
      <w:r w:rsidR="00D510D1" w:rsidRPr="00D70F61">
        <w:rPr>
          <w:b/>
        </w:rPr>
        <w:t xml:space="preserve"> </w:t>
      </w:r>
    </w:p>
    <w:p w:rsidR="004C4924" w:rsidRDefault="004C4924" w:rsidP="004C4924">
      <w:pPr>
        <w:tabs>
          <w:tab w:val="right" w:pos="9072"/>
        </w:tabs>
        <w:ind w:right="91"/>
      </w:pPr>
      <w:r>
        <w:t xml:space="preserve">The </w:t>
      </w:r>
      <w:r w:rsidRPr="00B37D06">
        <w:rPr>
          <w:i/>
        </w:rPr>
        <w:t>Biosecurity Act 2015</w:t>
      </w:r>
      <w:r>
        <w:t xml:space="preserve"> (Act) provides the primary legislative means and a regulatory framework for the Australian Government to manage the risk of pests and diseases from entering Australian territory and causing harm to animal, plant and human health, the environment and the economy.  The Act manages biosecurity </w:t>
      </w:r>
      <w:proofErr w:type="spellStart"/>
      <w:r>
        <w:t>risks</w:t>
      </w:r>
      <w:proofErr w:type="gramStart"/>
      <w:r w:rsidR="00C84D05">
        <w:t>,</w:t>
      </w:r>
      <w:r>
        <w:t>including</w:t>
      </w:r>
      <w:proofErr w:type="spellEnd"/>
      <w:proofErr w:type="gramEnd"/>
      <w:r>
        <w:t xml:space="preserve"> the risk of listed human diseases</w:t>
      </w:r>
      <w:r w:rsidR="00C84D05">
        <w:t>,</w:t>
      </w:r>
      <w:r>
        <w:t xml:space="preserve">  entering Australian territory, or emerging, establishing themselves, or spreading in Australian territory or a part of Australian territory.</w:t>
      </w:r>
    </w:p>
    <w:p w:rsidR="004C4924" w:rsidRDefault="004C4924" w:rsidP="004C4924">
      <w:pPr>
        <w:tabs>
          <w:tab w:val="right" w:pos="9072"/>
        </w:tabs>
        <w:ind w:right="91"/>
      </w:pPr>
    </w:p>
    <w:p w:rsidR="00D70F61" w:rsidRDefault="00D70F61" w:rsidP="00D70F61">
      <w:pPr>
        <w:tabs>
          <w:tab w:val="right" w:pos="9072"/>
        </w:tabs>
        <w:ind w:right="91"/>
      </w:pPr>
      <w:r>
        <w:t>Section 645 of the Act provides that the Governor-General may make regulations prescribing matters required or permitted by the Act to be prescribed, or necessary or convenient to be prescribed for carrying out or giving effect to the Act.</w:t>
      </w:r>
    </w:p>
    <w:p w:rsidR="00C546D6" w:rsidRDefault="00C546D6" w:rsidP="003A6026"/>
    <w:p w:rsidR="00D70F61" w:rsidRDefault="00D70F61" w:rsidP="00D70F61">
      <w:pPr>
        <w:tabs>
          <w:tab w:val="right" w:pos="9072"/>
        </w:tabs>
        <w:ind w:right="91"/>
      </w:pPr>
      <w:r>
        <w:t xml:space="preserve">Section 204A of the Act provides that regulations may prescribe measures to be taken by the operators of incoming aircraft or vessels or outgoing aircraft or vessels to destroy vectors </w:t>
      </w:r>
      <w:r w:rsidR="00845294">
        <w:t xml:space="preserve">(such as exotic mosquitoes) </w:t>
      </w:r>
      <w:r>
        <w:t>that have the potential to cause</w:t>
      </w:r>
      <w:r w:rsidRPr="00D70F61">
        <w:rPr>
          <w:rFonts w:hint="eastAsia"/>
          <w:lang w:eastAsia="ja-JP"/>
        </w:rPr>
        <w:t>, directly or indirectly,</w:t>
      </w:r>
      <w:r>
        <w:t xml:space="preserve"> a listed human disease or </w:t>
      </w:r>
      <w:r w:rsidRPr="00D70F61">
        <w:rPr>
          <w:rFonts w:hint="eastAsia"/>
          <w:lang w:eastAsia="ja-JP"/>
        </w:rPr>
        <w:t xml:space="preserve">any </w:t>
      </w:r>
      <w:r>
        <w:t xml:space="preserve">other human disease, and may </w:t>
      </w:r>
      <w:r w:rsidRPr="00D70F61">
        <w:rPr>
          <w:rFonts w:hint="eastAsia"/>
          <w:lang w:eastAsia="ja-JP"/>
        </w:rPr>
        <w:t xml:space="preserve">exist </w:t>
      </w:r>
      <w:r>
        <w:t>on the aircraft or vessel</w:t>
      </w:r>
      <w:r w:rsidRPr="00D70F61">
        <w:rPr>
          <w:rFonts w:hint="eastAsia"/>
          <w:lang w:eastAsia="ja-JP"/>
        </w:rPr>
        <w:t>s</w:t>
      </w:r>
      <w:r>
        <w:t xml:space="preserve">. </w:t>
      </w:r>
    </w:p>
    <w:p w:rsidR="00D70F61" w:rsidRDefault="00D70F61" w:rsidP="00D70F61">
      <w:pPr>
        <w:tabs>
          <w:tab w:val="right" w:pos="9072"/>
        </w:tabs>
        <w:ind w:right="91"/>
      </w:pPr>
    </w:p>
    <w:p w:rsidR="00D70F61" w:rsidRDefault="00D70F61" w:rsidP="00D70F61">
      <w:r>
        <w:t xml:space="preserve">The </w:t>
      </w:r>
      <w:r>
        <w:rPr>
          <w:i/>
        </w:rPr>
        <w:t xml:space="preserve">Biosecurity (Human Health) Regulation 2016 </w:t>
      </w:r>
      <w:r>
        <w:t>prescribes measures to be taken by incoming aircraft and vessels for the control and destruction of vectors.</w:t>
      </w:r>
    </w:p>
    <w:p w:rsidR="00D70F61" w:rsidRDefault="00D70F61" w:rsidP="003A6026"/>
    <w:p w:rsidR="00C546D6" w:rsidRPr="00D70F61" w:rsidRDefault="00C546D6" w:rsidP="003A6026">
      <w:pPr>
        <w:rPr>
          <w:b/>
        </w:rPr>
      </w:pPr>
      <w:r w:rsidRPr="00D70F61">
        <w:rPr>
          <w:b/>
        </w:rPr>
        <w:t>Purpose</w:t>
      </w:r>
    </w:p>
    <w:p w:rsidR="00D70F61" w:rsidRPr="00D70F61" w:rsidRDefault="004C4924" w:rsidP="00D70F61">
      <w:r w:rsidRPr="00246E34">
        <w:t xml:space="preserve">The purpose of </w:t>
      </w:r>
      <w:r w:rsidR="00D70F61">
        <w:t xml:space="preserve">the </w:t>
      </w:r>
      <w:r w:rsidR="00D70F61">
        <w:rPr>
          <w:i/>
        </w:rPr>
        <w:t>Biosecurity (Human Health) Amendment (Disinsection Exemption) Regulations 2018</w:t>
      </w:r>
      <w:r w:rsidR="00D70F61">
        <w:t xml:space="preserve"> (Regulation</w:t>
      </w:r>
      <w:r w:rsidR="00652AA8">
        <w:t>s</w:t>
      </w:r>
      <w:r w:rsidR="00D70F61">
        <w:t>) is to provide that in the circumstances, where an aircraft is assessed as presenting an acceptable level of biosecurity risk, it may be exempt from requirements to undertake disinsection measures.</w:t>
      </w:r>
      <w:r w:rsidR="00F33D0D">
        <w:t xml:space="preserve"> </w:t>
      </w:r>
      <w:r w:rsidR="00D70F61">
        <w:t xml:space="preserve">‘Disinsection’ is the </w:t>
      </w:r>
      <w:r w:rsidR="00D70F61" w:rsidRPr="00C148E8">
        <w:t>procedure</w:t>
      </w:r>
      <w:r w:rsidR="00D70F61">
        <w:t xml:space="preserve"> </w:t>
      </w:r>
      <w:r w:rsidR="00D70F61" w:rsidRPr="00C148E8">
        <w:t>whereby health measures are taken to control or kill the insect vectors of human diseases present in baggage, cargo, containers, conveyances, goods and postal parcels</w:t>
      </w:r>
      <w:r w:rsidR="00D70F61">
        <w:t>.</w:t>
      </w:r>
    </w:p>
    <w:p w:rsidR="00AB1D6C" w:rsidRDefault="00AB1D6C" w:rsidP="003A6026">
      <w:pPr>
        <w:rPr>
          <w:i/>
        </w:rPr>
      </w:pPr>
    </w:p>
    <w:p w:rsidR="00C546D6" w:rsidRPr="00D70F61" w:rsidRDefault="00D70F61" w:rsidP="003A6026">
      <w:pPr>
        <w:rPr>
          <w:b/>
        </w:rPr>
      </w:pPr>
      <w:r w:rsidRPr="00D70F61">
        <w:rPr>
          <w:b/>
        </w:rPr>
        <w:t>Consultation</w:t>
      </w:r>
    </w:p>
    <w:p w:rsidR="00D70F61" w:rsidRDefault="00D70F61" w:rsidP="00D70F61">
      <w:pPr>
        <w:pStyle w:val="HB-dotpoint"/>
        <w:numPr>
          <w:ilvl w:val="0"/>
          <w:numId w:val="0"/>
        </w:numPr>
        <w:tabs>
          <w:tab w:val="left" w:pos="6804"/>
        </w:tabs>
        <w:spacing w:before="0"/>
      </w:pPr>
      <w:r w:rsidRPr="002077EB">
        <w:t>During the development of the Regulation</w:t>
      </w:r>
      <w:r w:rsidR="00652AA8">
        <w:t>s</w:t>
      </w:r>
      <w:r w:rsidRPr="002077EB">
        <w:t xml:space="preserve">, the Department of Health consulted with the Department of Agriculture and Water Resources and </w:t>
      </w:r>
      <w:r>
        <w:t>S</w:t>
      </w:r>
      <w:r w:rsidRPr="002077EB">
        <w:t xml:space="preserve">tate and </w:t>
      </w:r>
    </w:p>
    <w:p w:rsidR="00D70F61" w:rsidRDefault="00D70F61" w:rsidP="00D70F61">
      <w:pPr>
        <w:pStyle w:val="HB-dotpoint"/>
        <w:numPr>
          <w:ilvl w:val="0"/>
          <w:numId w:val="0"/>
        </w:numPr>
        <w:tabs>
          <w:tab w:val="left" w:pos="6804"/>
        </w:tabs>
        <w:spacing w:before="0"/>
      </w:pPr>
      <w:r>
        <w:t>T</w:t>
      </w:r>
      <w:r w:rsidRPr="002077EB">
        <w:t xml:space="preserve">erritory health departments. </w:t>
      </w:r>
    </w:p>
    <w:p w:rsidR="00D70F61" w:rsidRDefault="00D70F61" w:rsidP="00D70F61">
      <w:pPr>
        <w:pStyle w:val="HB-dotpoint"/>
        <w:numPr>
          <w:ilvl w:val="0"/>
          <w:numId w:val="0"/>
        </w:numPr>
        <w:tabs>
          <w:tab w:val="left" w:pos="6804"/>
        </w:tabs>
        <w:spacing w:before="0"/>
      </w:pPr>
    </w:p>
    <w:p w:rsidR="00D70F61" w:rsidRDefault="00D70F61" w:rsidP="00D70F61">
      <w:pPr>
        <w:pStyle w:val="HB-dotpoint"/>
        <w:numPr>
          <w:ilvl w:val="0"/>
          <w:numId w:val="0"/>
        </w:numPr>
        <w:tabs>
          <w:tab w:val="left" w:pos="6804"/>
        </w:tabs>
        <w:spacing w:before="0"/>
      </w:pPr>
      <w:r>
        <w:t xml:space="preserve">Details of the Regulations are set out in the </w:t>
      </w:r>
      <w:r>
        <w:rPr>
          <w:u w:val="single"/>
        </w:rPr>
        <w:t>Attachment</w:t>
      </w:r>
      <w:r>
        <w:t xml:space="preserve">. </w:t>
      </w:r>
    </w:p>
    <w:p w:rsidR="00D70F61" w:rsidRDefault="00D70F61" w:rsidP="00D70F61">
      <w:pPr>
        <w:pStyle w:val="HB-dotpoint"/>
        <w:numPr>
          <w:ilvl w:val="0"/>
          <w:numId w:val="0"/>
        </w:numPr>
        <w:tabs>
          <w:tab w:val="left" w:pos="6804"/>
        </w:tabs>
        <w:spacing w:before="0"/>
      </w:pPr>
    </w:p>
    <w:p w:rsidR="00D70F61" w:rsidRDefault="00D70F61" w:rsidP="00D70F61">
      <w:pPr>
        <w:pStyle w:val="HB-dotpoint"/>
        <w:numPr>
          <w:ilvl w:val="0"/>
          <w:numId w:val="0"/>
        </w:numPr>
        <w:tabs>
          <w:tab w:val="left" w:pos="6804"/>
        </w:tabs>
        <w:spacing w:before="0"/>
      </w:pPr>
      <w:r>
        <w:t xml:space="preserve">The Regulations are a legislative instrument for the purposes of the </w:t>
      </w:r>
      <w:r>
        <w:rPr>
          <w:i/>
        </w:rPr>
        <w:t>Legislation Act 2003.</w:t>
      </w:r>
      <w:r>
        <w:t xml:space="preserve"> </w:t>
      </w:r>
    </w:p>
    <w:p w:rsidR="00D70F61" w:rsidRDefault="00D70F61" w:rsidP="00D70F61">
      <w:pPr>
        <w:pStyle w:val="HB-dotpoint"/>
        <w:numPr>
          <w:ilvl w:val="0"/>
          <w:numId w:val="0"/>
        </w:numPr>
        <w:tabs>
          <w:tab w:val="left" w:pos="6804"/>
        </w:tabs>
        <w:spacing w:before="0"/>
      </w:pPr>
    </w:p>
    <w:p w:rsidR="00D70F61" w:rsidRPr="00D70F61" w:rsidRDefault="00D70F61" w:rsidP="00D70F61">
      <w:pPr>
        <w:pStyle w:val="HB-dotpoint"/>
        <w:numPr>
          <w:ilvl w:val="0"/>
          <w:numId w:val="0"/>
        </w:numPr>
        <w:tabs>
          <w:tab w:val="left" w:pos="6804"/>
        </w:tabs>
        <w:spacing w:before="0"/>
      </w:pPr>
      <w:r>
        <w:t>The Regulations commence the day following</w:t>
      </w:r>
      <w:r w:rsidR="00F72F03">
        <w:t xml:space="preserve"> </w:t>
      </w:r>
      <w:r w:rsidR="00652AA8">
        <w:t>their</w:t>
      </w:r>
      <w:r>
        <w:t xml:space="preserve"> registration. </w:t>
      </w:r>
    </w:p>
    <w:p w:rsidR="0022676F" w:rsidRDefault="0022676F" w:rsidP="00BB171B">
      <w:pPr>
        <w:rPr>
          <w:u w:val="single"/>
        </w:rPr>
      </w:pPr>
    </w:p>
    <w:p w:rsidR="003D084E" w:rsidRDefault="003D084E" w:rsidP="003D084E">
      <w:pPr>
        <w:jc w:val="right"/>
        <w:rPr>
          <w:b/>
        </w:rPr>
      </w:pPr>
      <w:r>
        <w:rPr>
          <w:b/>
        </w:rPr>
        <w:lastRenderedPageBreak/>
        <w:t>Attachment</w:t>
      </w:r>
    </w:p>
    <w:p w:rsidR="003E0859" w:rsidRPr="003E0859" w:rsidRDefault="00571345" w:rsidP="003E0859">
      <w:pPr>
        <w:ind w:right="91"/>
        <w:rPr>
          <w:b/>
          <w:i/>
        </w:rPr>
      </w:pPr>
      <w:r w:rsidRPr="003E0859">
        <w:rPr>
          <w:b/>
        </w:rPr>
        <w:t>Details</w:t>
      </w:r>
      <w:r w:rsidR="003E0859" w:rsidRPr="003E0859">
        <w:rPr>
          <w:b/>
        </w:rPr>
        <w:t xml:space="preserve"> of the </w:t>
      </w:r>
      <w:r w:rsidR="003E0859" w:rsidRPr="003E0859">
        <w:rPr>
          <w:b/>
          <w:i/>
        </w:rPr>
        <w:t>Biosecurity (Human Health) Amendment (Disinsection Exemption) Regulations 2018</w:t>
      </w:r>
    </w:p>
    <w:p w:rsidR="00571345" w:rsidRPr="00D70F61" w:rsidRDefault="00571345" w:rsidP="00BB171B">
      <w:pPr>
        <w:rPr>
          <w:b/>
        </w:rPr>
      </w:pPr>
    </w:p>
    <w:p w:rsidR="00EA3E59" w:rsidRDefault="00EA3E59" w:rsidP="00BB171B">
      <w:pPr>
        <w:rPr>
          <w:u w:val="single"/>
        </w:rPr>
      </w:pPr>
    </w:p>
    <w:p w:rsidR="00D70F61" w:rsidRDefault="00D70F61" w:rsidP="00D70F61">
      <w:pPr>
        <w:ind w:right="91"/>
      </w:pPr>
      <w:r>
        <w:rPr>
          <w:u w:val="single"/>
        </w:rPr>
        <w:t xml:space="preserve">Section 1 - Name </w:t>
      </w:r>
    </w:p>
    <w:p w:rsidR="00D70F61" w:rsidRDefault="00D70F61" w:rsidP="00D70F61">
      <w:pPr>
        <w:ind w:right="91"/>
      </w:pPr>
    </w:p>
    <w:p w:rsidR="00D70F61" w:rsidRPr="0045559F" w:rsidRDefault="00D70F61" w:rsidP="00D70F61">
      <w:pPr>
        <w:ind w:right="91"/>
      </w:pPr>
      <w:r>
        <w:t>Section 1 provide</w:t>
      </w:r>
      <w:r w:rsidR="00E92923">
        <w:t>s</w:t>
      </w:r>
      <w:r>
        <w:t xml:space="preserve"> that the name of the Regulation</w:t>
      </w:r>
      <w:r w:rsidR="003E0859">
        <w:t>s</w:t>
      </w:r>
      <w:r>
        <w:t xml:space="preserve"> is the </w:t>
      </w:r>
      <w:r>
        <w:rPr>
          <w:i/>
        </w:rPr>
        <w:t>Biosecurity (Human Health) Amendment (Disinsection Exemption) Regulations 2018</w:t>
      </w:r>
      <w:r>
        <w:t xml:space="preserve">. </w:t>
      </w:r>
    </w:p>
    <w:p w:rsidR="00D70F61" w:rsidRDefault="00D70F61" w:rsidP="00D70F61">
      <w:pPr>
        <w:ind w:right="91"/>
      </w:pPr>
    </w:p>
    <w:p w:rsidR="00D70F61" w:rsidRPr="00AE63D2" w:rsidRDefault="00D70F61" w:rsidP="00D70F61">
      <w:pPr>
        <w:ind w:right="91"/>
        <w:rPr>
          <w:u w:val="single"/>
        </w:rPr>
      </w:pPr>
      <w:r>
        <w:rPr>
          <w:u w:val="single"/>
        </w:rPr>
        <w:t>Section</w:t>
      </w:r>
      <w:r w:rsidRPr="00AE63D2">
        <w:rPr>
          <w:u w:val="single"/>
        </w:rPr>
        <w:t xml:space="preserve"> 2 </w:t>
      </w:r>
      <w:r>
        <w:rPr>
          <w:u w:val="single"/>
        </w:rPr>
        <w:t>-</w:t>
      </w:r>
      <w:r w:rsidRPr="00AE63D2">
        <w:rPr>
          <w:u w:val="single"/>
        </w:rPr>
        <w:t xml:space="preserve"> Commencement</w:t>
      </w:r>
    </w:p>
    <w:p w:rsidR="00D70F61" w:rsidRDefault="00D70F61" w:rsidP="00D70F61">
      <w:pPr>
        <w:ind w:right="91"/>
      </w:pPr>
    </w:p>
    <w:p w:rsidR="00D70F61" w:rsidRDefault="00D70F61" w:rsidP="00D70F61">
      <w:pPr>
        <w:ind w:right="91"/>
      </w:pPr>
      <w:r>
        <w:t>Section 2 provide</w:t>
      </w:r>
      <w:r w:rsidR="00E92923">
        <w:t>s</w:t>
      </w:r>
      <w:r>
        <w:t xml:space="preserve"> that the Regulation</w:t>
      </w:r>
      <w:r w:rsidR="003E0859">
        <w:t>s</w:t>
      </w:r>
      <w:r>
        <w:t xml:space="preserve"> commence the day after the Regulation</w:t>
      </w:r>
      <w:r w:rsidR="003E0859">
        <w:t>s</w:t>
      </w:r>
      <w:r>
        <w:t xml:space="preserve"> ha</w:t>
      </w:r>
      <w:r w:rsidR="003E0859">
        <w:t>ve</w:t>
      </w:r>
      <w:r>
        <w:t xml:space="preserve"> been registered</w:t>
      </w:r>
      <w:r w:rsidRPr="00832EF0">
        <w:t xml:space="preserve"> </w:t>
      </w:r>
      <w:r>
        <w:t xml:space="preserve">on the Federal Register of Legislation. </w:t>
      </w:r>
    </w:p>
    <w:p w:rsidR="00D70F61" w:rsidRDefault="00D70F61" w:rsidP="00D70F61">
      <w:pPr>
        <w:ind w:right="91"/>
      </w:pPr>
    </w:p>
    <w:p w:rsidR="00D70F61" w:rsidRDefault="00D70F61" w:rsidP="00D70F61">
      <w:pPr>
        <w:ind w:right="91"/>
      </w:pPr>
      <w:r>
        <w:rPr>
          <w:u w:val="single"/>
        </w:rPr>
        <w:t>Section 3 - Authority</w:t>
      </w:r>
    </w:p>
    <w:p w:rsidR="00D70F61" w:rsidRDefault="00D70F61" w:rsidP="00D70F61">
      <w:pPr>
        <w:ind w:right="91"/>
      </w:pPr>
    </w:p>
    <w:p w:rsidR="00D70F61" w:rsidRPr="009B2F06" w:rsidRDefault="00D70F61" w:rsidP="00D70F61">
      <w:pPr>
        <w:ind w:right="91"/>
      </w:pPr>
      <w:r>
        <w:t>Section 3 provide</w:t>
      </w:r>
      <w:r w:rsidR="00E92923">
        <w:t>s</w:t>
      </w:r>
      <w:r>
        <w:t xml:space="preserve"> that the Regulation</w:t>
      </w:r>
      <w:r w:rsidR="003E0859">
        <w:t>s are made under</w:t>
      </w:r>
      <w:r>
        <w:t xml:space="preserve"> the </w:t>
      </w:r>
      <w:r>
        <w:rPr>
          <w:i/>
        </w:rPr>
        <w:t>Biosecurity Act 2015</w:t>
      </w:r>
      <w:r>
        <w:t xml:space="preserve">. </w:t>
      </w:r>
    </w:p>
    <w:p w:rsidR="00D70F61" w:rsidRDefault="00D70F61" w:rsidP="00D70F61">
      <w:pPr>
        <w:ind w:right="91"/>
      </w:pPr>
    </w:p>
    <w:p w:rsidR="00D70F61" w:rsidRDefault="00D70F61" w:rsidP="00D70F61">
      <w:pPr>
        <w:keepNext/>
        <w:ind w:right="748"/>
        <w:rPr>
          <w:u w:val="single"/>
        </w:rPr>
      </w:pPr>
      <w:r>
        <w:rPr>
          <w:u w:val="single"/>
        </w:rPr>
        <w:t>Section 4 - Schedule</w:t>
      </w:r>
      <w:r w:rsidR="003E0859">
        <w:rPr>
          <w:u w:val="single"/>
        </w:rPr>
        <w:t>s</w:t>
      </w:r>
    </w:p>
    <w:p w:rsidR="00D70F61" w:rsidRDefault="00D70F61" w:rsidP="00D70F61">
      <w:pPr>
        <w:keepNext/>
        <w:ind w:right="748"/>
      </w:pPr>
    </w:p>
    <w:p w:rsidR="00D70F61" w:rsidRDefault="00D70F61" w:rsidP="00D70F61">
      <w:pPr>
        <w:keepNext/>
        <w:ind w:right="748"/>
      </w:pPr>
      <w:r>
        <w:t>Section 4 provide</w:t>
      </w:r>
      <w:r w:rsidR="00E92923">
        <w:t>s</w:t>
      </w:r>
      <w: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D70F61" w:rsidRDefault="00D70F61" w:rsidP="00D70F61">
      <w:pPr>
        <w:ind w:right="91"/>
        <w:rPr>
          <w:u w:val="single"/>
        </w:rPr>
      </w:pPr>
    </w:p>
    <w:p w:rsidR="00D70F61" w:rsidRDefault="00D70F61" w:rsidP="00D70F61">
      <w:pPr>
        <w:ind w:right="91"/>
      </w:pPr>
      <w:r>
        <w:rPr>
          <w:u w:val="single"/>
        </w:rPr>
        <w:t>Schedule 1 - Amendments</w:t>
      </w:r>
    </w:p>
    <w:p w:rsidR="00D70F61" w:rsidRDefault="00D70F61" w:rsidP="00D70F61">
      <w:pPr>
        <w:ind w:right="91"/>
      </w:pPr>
    </w:p>
    <w:p w:rsidR="00D70F61" w:rsidRPr="0041573F" w:rsidRDefault="00D70F61" w:rsidP="00D70F61">
      <w:pPr>
        <w:ind w:right="91"/>
        <w:rPr>
          <w:u w:val="single"/>
        </w:rPr>
      </w:pPr>
      <w:r w:rsidRPr="0041573F">
        <w:rPr>
          <w:u w:val="single"/>
        </w:rPr>
        <w:t>Item [1] – subsection 7(3)</w:t>
      </w:r>
    </w:p>
    <w:p w:rsidR="00D70F61" w:rsidRDefault="00D70F61" w:rsidP="00D70F61">
      <w:pPr>
        <w:ind w:right="91"/>
      </w:pPr>
    </w:p>
    <w:p w:rsidR="00D70F61" w:rsidRDefault="00D70F61" w:rsidP="00D70F61">
      <w:pPr>
        <w:ind w:right="91"/>
      </w:pPr>
      <w:r>
        <w:t>Item 1 repeal</w:t>
      </w:r>
      <w:r w:rsidR="00E92923">
        <w:t>s</w:t>
      </w:r>
      <w:r>
        <w:t xml:space="preserve"> the heading ‘Exemption’ and substitute</w:t>
      </w:r>
      <w:r w:rsidR="003E0859">
        <w:t>s</w:t>
      </w:r>
      <w:r>
        <w:t xml:space="preserve"> it with ‘Exemptions’. </w:t>
      </w:r>
    </w:p>
    <w:p w:rsidR="00D70F61" w:rsidRDefault="00D70F61" w:rsidP="00D70F61">
      <w:pPr>
        <w:ind w:right="91"/>
      </w:pPr>
    </w:p>
    <w:p w:rsidR="00D70F61" w:rsidRPr="0041573F" w:rsidRDefault="00D70F61" w:rsidP="00D70F61">
      <w:pPr>
        <w:ind w:right="91"/>
        <w:rPr>
          <w:u w:val="single"/>
        </w:rPr>
      </w:pPr>
      <w:r w:rsidRPr="0041573F">
        <w:rPr>
          <w:u w:val="single"/>
        </w:rPr>
        <w:t>Item [2] – at the end of section 7</w:t>
      </w:r>
    </w:p>
    <w:p w:rsidR="00D70F61" w:rsidRDefault="00D70F61" w:rsidP="00D70F61">
      <w:pPr>
        <w:ind w:right="91"/>
      </w:pPr>
    </w:p>
    <w:p w:rsidR="00D70F61" w:rsidRPr="009C7A63" w:rsidRDefault="00D70F61" w:rsidP="00D70F61">
      <w:pPr>
        <w:ind w:right="91"/>
      </w:pPr>
      <w:r>
        <w:t>Item 2</w:t>
      </w:r>
      <w:r w:rsidR="00E92923">
        <w:rPr>
          <w:rFonts w:hint="eastAsia"/>
          <w:lang w:eastAsia="ja-JP"/>
        </w:rPr>
        <w:t xml:space="preserve"> </w:t>
      </w:r>
      <w:r>
        <w:t>provide</w:t>
      </w:r>
      <w:r w:rsidR="00E92923">
        <w:t>s</w:t>
      </w:r>
      <w:r>
        <w:t xml:space="preserve"> an additional subsection at the end of section 7. The subsection provide</w:t>
      </w:r>
      <w:r w:rsidR="003D084E">
        <w:t>s</w:t>
      </w:r>
      <w:r>
        <w:t xml:space="preserve"> the operator of an incoming aircraft with an exemption from compliance with the disinsection measures if the aircraft has been assessed as presenting an acceptably low level of biosecurity risk by a </w:t>
      </w:r>
      <w:r w:rsidR="003E0859">
        <w:t>h</w:t>
      </w:r>
      <w:r>
        <w:t xml:space="preserve">uman </w:t>
      </w:r>
      <w:r w:rsidR="003E0859">
        <w:t>b</w:t>
      </w:r>
      <w:r>
        <w:t xml:space="preserve">iosecurity </w:t>
      </w:r>
      <w:r w:rsidR="003E0859">
        <w:t>o</w:t>
      </w:r>
      <w:r>
        <w:t>fficer of the Health Department, and if the operator</w:t>
      </w:r>
      <w:r w:rsidR="003E0859">
        <w:t xml:space="preserve"> of the aircraft</w:t>
      </w:r>
      <w:r>
        <w:t xml:space="preserve"> has been notified of the exemption. </w:t>
      </w:r>
    </w:p>
    <w:p w:rsidR="007757EA" w:rsidRDefault="007757EA" w:rsidP="00BB171B"/>
    <w:p w:rsidR="00E92923" w:rsidRDefault="00E92923" w:rsidP="00BB171B"/>
    <w:p w:rsidR="00E92923" w:rsidRDefault="00E92923" w:rsidP="00BB171B"/>
    <w:p w:rsidR="00E92923" w:rsidRDefault="00E92923" w:rsidP="00BB171B"/>
    <w:p w:rsidR="00E92923" w:rsidRDefault="00E92923" w:rsidP="00BB171B"/>
    <w:p w:rsidR="00E92923" w:rsidRDefault="00E92923" w:rsidP="00BB171B"/>
    <w:p w:rsidR="00E92923" w:rsidRDefault="00E92923" w:rsidP="00BB171B"/>
    <w:p w:rsidR="00E92923" w:rsidRDefault="00E92923" w:rsidP="00BB171B"/>
    <w:p w:rsidR="00E92923" w:rsidRDefault="00E92923" w:rsidP="00BB171B"/>
    <w:p w:rsidR="00D17D2A" w:rsidRDefault="00D17D2A" w:rsidP="00BB171B"/>
    <w:p w:rsidR="00E92923" w:rsidRDefault="00E92923" w:rsidP="00BB171B"/>
    <w:p w:rsidR="00E92923" w:rsidRDefault="00E92923" w:rsidP="00D17D2A">
      <w:pPr>
        <w:jc w:val="center"/>
        <w:rPr>
          <w:b/>
        </w:rPr>
      </w:pPr>
      <w:r>
        <w:rPr>
          <w:b/>
        </w:rPr>
        <w:lastRenderedPageBreak/>
        <w:t>Statement of Compatibility with Human Rights</w:t>
      </w:r>
    </w:p>
    <w:p w:rsidR="00E92923" w:rsidRDefault="00E92923" w:rsidP="00A41E14">
      <w:pPr>
        <w:rPr>
          <w:b/>
        </w:rPr>
      </w:pPr>
    </w:p>
    <w:p w:rsidR="00E92923" w:rsidRDefault="00E92923" w:rsidP="00E92923">
      <w:pPr>
        <w:jc w:val="center"/>
        <w:rPr>
          <w:i/>
        </w:rPr>
      </w:pPr>
      <w:r>
        <w:rPr>
          <w:i/>
        </w:rPr>
        <w:t>Prepared in accordance with Part 3 of the Human Rights (Parliamentary Scrutiny) Act 2011</w:t>
      </w:r>
    </w:p>
    <w:p w:rsidR="00E92923" w:rsidRDefault="00E92923" w:rsidP="00E92923">
      <w:pPr>
        <w:jc w:val="center"/>
        <w:rPr>
          <w:i/>
        </w:rPr>
      </w:pPr>
    </w:p>
    <w:p w:rsidR="00E92923" w:rsidRDefault="00E92923" w:rsidP="00E92923">
      <w:pPr>
        <w:jc w:val="center"/>
      </w:pPr>
      <w:r>
        <w:rPr>
          <w:b/>
          <w:i/>
        </w:rPr>
        <w:t>Biosecurity (Human Health) Amendment (Disinsection Exemption) Regulations 2018</w:t>
      </w:r>
    </w:p>
    <w:p w:rsidR="00E92923" w:rsidRDefault="00E92923" w:rsidP="00A41E14"/>
    <w:p w:rsidR="00E92923" w:rsidRDefault="00685BF8" w:rsidP="00D17D2A">
      <w:pPr>
        <w:jc w:val="center"/>
      </w:pPr>
      <w:r>
        <w:t>The</w:t>
      </w:r>
      <w:r w:rsidR="00845294">
        <w:t xml:space="preserve"> </w:t>
      </w:r>
      <w:r w:rsidR="00E92923">
        <w:t>Regulation</w:t>
      </w:r>
      <w:r>
        <w:t>s</w:t>
      </w:r>
      <w:r w:rsidR="00E92923">
        <w:t xml:space="preserve"> </w:t>
      </w:r>
      <w:r>
        <w:t>are</w:t>
      </w:r>
      <w:r w:rsidR="00845294">
        <w:t xml:space="preserve"> </w:t>
      </w:r>
      <w:r w:rsidR="00E92923">
        <w:t xml:space="preserve">compatible with the human rights and freedoms recognised or declared in the international instruments listed in section 3 of the </w:t>
      </w:r>
      <w:r w:rsidR="00E92923">
        <w:rPr>
          <w:i/>
        </w:rPr>
        <w:t>Human Rights (Parliamentary Scrutiny) Act 2011</w:t>
      </w:r>
      <w:r w:rsidR="00E92923">
        <w:t>.</w:t>
      </w:r>
    </w:p>
    <w:p w:rsidR="00E92923" w:rsidRDefault="00E92923" w:rsidP="00A41E14"/>
    <w:p w:rsidR="00E92923" w:rsidRDefault="00E92923" w:rsidP="00A41E14">
      <w:r>
        <w:rPr>
          <w:b/>
        </w:rPr>
        <w:t xml:space="preserve">Overview of the </w:t>
      </w:r>
      <w:r w:rsidR="00E1066F">
        <w:rPr>
          <w:b/>
        </w:rPr>
        <w:t>Disallowable Legislative Instrument</w:t>
      </w:r>
    </w:p>
    <w:p w:rsidR="00E92923" w:rsidRDefault="00E92923" w:rsidP="00A41E14">
      <w:r>
        <w:t xml:space="preserve">The </w:t>
      </w:r>
      <w:r>
        <w:rPr>
          <w:i/>
        </w:rPr>
        <w:t>Biosecurity (Human Health) Amendment (Disinsection Exemption) Regulations 2018</w:t>
      </w:r>
      <w:r>
        <w:t xml:space="preserve"> </w:t>
      </w:r>
      <w:r w:rsidR="00D17D2A">
        <w:t xml:space="preserve">(the Regulations) </w:t>
      </w:r>
      <w:r>
        <w:t xml:space="preserve">provide that in the circumstances, where an aircraft is assessed as presenting an acceptable level of biosecurity risk, it may be exempt from requirements to undertake disinsection measures. ‘Disinsection’ is the </w:t>
      </w:r>
      <w:r w:rsidRPr="00C148E8">
        <w:t>procedure</w:t>
      </w:r>
      <w:r>
        <w:t xml:space="preserve"> </w:t>
      </w:r>
      <w:r w:rsidRPr="00C148E8">
        <w:t xml:space="preserve">whereby health measures are taken to control or kill the insect vectors </w:t>
      </w:r>
      <w:r w:rsidR="00845294">
        <w:t xml:space="preserve">(such as exotic mosquitoes) </w:t>
      </w:r>
      <w:r w:rsidRPr="00C148E8">
        <w:t>of human diseases present in baggage, cargo, containers, conveyances, goods and postal parcels</w:t>
      </w:r>
      <w:r>
        <w:t>.</w:t>
      </w:r>
    </w:p>
    <w:p w:rsidR="00D17D2A" w:rsidRDefault="00D17D2A" w:rsidP="00A41E14"/>
    <w:p w:rsidR="00D17D2A" w:rsidRDefault="00D17D2A" w:rsidP="00A41E14">
      <w:r>
        <w:t>The Regulations enables the application of disinsection requirements based on the level of risk posed by incoming aircraft. This reduces the regulatory burden on incom</w:t>
      </w:r>
      <w:r w:rsidR="00845294">
        <w:t xml:space="preserve">ing aircraft while maintaining </w:t>
      </w:r>
      <w:r>
        <w:t xml:space="preserve">protection of public health and biosecurity in Australia. </w:t>
      </w:r>
    </w:p>
    <w:p w:rsidR="00BB3059" w:rsidRDefault="00BB3059" w:rsidP="00A41E14"/>
    <w:p w:rsidR="00BB3059" w:rsidRDefault="00BB3059" w:rsidP="00A41E14">
      <w:pPr>
        <w:rPr>
          <w:b/>
        </w:rPr>
      </w:pPr>
      <w:r>
        <w:rPr>
          <w:b/>
        </w:rPr>
        <w:t>Human rights implications</w:t>
      </w:r>
    </w:p>
    <w:p w:rsidR="00BB3059" w:rsidRDefault="00E1066F" w:rsidP="00A41E14">
      <w:r>
        <w:t>The</w:t>
      </w:r>
      <w:r w:rsidR="00BB3059">
        <w:t xml:space="preserve"> Regulation</w:t>
      </w:r>
      <w:r>
        <w:t>s</w:t>
      </w:r>
      <w:r w:rsidR="00BB3059">
        <w:t xml:space="preserve"> engage</w:t>
      </w:r>
      <w:r w:rsidR="00D36F2F">
        <w:t>,</w:t>
      </w:r>
      <w:r w:rsidR="00BB3059">
        <w:t xml:space="preserve"> and </w:t>
      </w:r>
      <w:r w:rsidR="00D36F2F">
        <w:t xml:space="preserve">are </w:t>
      </w:r>
      <w:r w:rsidR="00BB3059">
        <w:t>consistent with</w:t>
      </w:r>
      <w:r w:rsidR="00D36F2F">
        <w:t>,</w:t>
      </w:r>
      <w:r w:rsidR="00BB3059">
        <w:t xml:space="preserve"> Article 12 of the International Covenant on Economic, Social and Cultural Rights</w:t>
      </w:r>
      <w:r w:rsidR="00D36F2F">
        <w:t xml:space="preserve"> (ICESCR)</w:t>
      </w:r>
      <w:r w:rsidR="00BB3059">
        <w:t xml:space="preserve"> by assisting with the progressive realisation by all appropriate means of the right of everyone to the enjoyment of the highest attainable standard of physical and mental health. </w:t>
      </w:r>
    </w:p>
    <w:p w:rsidR="00BB3059" w:rsidRDefault="00BB3059" w:rsidP="00A41E14"/>
    <w:p w:rsidR="00BB3059" w:rsidRDefault="00D36F2F" w:rsidP="00A41E14">
      <w:r>
        <w:t xml:space="preserve">The </w:t>
      </w:r>
      <w:r w:rsidR="00BB3059">
        <w:t>Regulation</w:t>
      </w:r>
      <w:r>
        <w:t>s</w:t>
      </w:r>
      <w:r w:rsidR="00BB3059">
        <w:t xml:space="preserve"> provide the means of protecting pu</w:t>
      </w:r>
      <w:r w:rsidR="000617C0">
        <w:t xml:space="preserve">blic health in Australia through prescribing appropriate measures and exemptions from measures to prevent </w:t>
      </w:r>
      <w:r w:rsidR="00E90B23">
        <w:t xml:space="preserve">the entry and establishment of exotic vectors that may exist on or in an aircraft and that may carry human diseases. </w:t>
      </w:r>
    </w:p>
    <w:p w:rsidR="00BB3059" w:rsidRDefault="00BB3059" w:rsidP="00A41E14"/>
    <w:p w:rsidR="00BB3059" w:rsidRDefault="00BB3059" w:rsidP="00A41E14">
      <w:r>
        <w:t xml:space="preserve">The human biosecurity measures contained in </w:t>
      </w:r>
      <w:r w:rsidR="004B6752">
        <w:t xml:space="preserve">the </w:t>
      </w:r>
      <w:r>
        <w:t>Regulation</w:t>
      </w:r>
      <w:r w:rsidR="004B6752">
        <w:t>s</w:t>
      </w:r>
      <w:r>
        <w:t xml:space="preserve"> also implement Australia’s obligations under the </w:t>
      </w:r>
      <w:r>
        <w:rPr>
          <w:i/>
        </w:rPr>
        <w:t>International Health Regulations 2005</w:t>
      </w:r>
      <w:r>
        <w:t xml:space="preserve"> (IHR). The </w:t>
      </w:r>
      <w:r w:rsidR="004B6752">
        <w:t>purpose of the IHR is</w:t>
      </w:r>
      <w:r>
        <w:t xml:space="preserve"> to prevent, protect against, control and provide a public health response to the international spread of disease in ways that are commensurate with and restricted to public health risks, and which avoid unnecessary interference with international traffic and trade. </w:t>
      </w:r>
    </w:p>
    <w:p w:rsidR="00BB3059" w:rsidRDefault="00BB3059" w:rsidP="00A41E14"/>
    <w:p w:rsidR="00BB3059" w:rsidRDefault="00BB3059" w:rsidP="00A41E14">
      <w:pPr>
        <w:rPr>
          <w:b/>
        </w:rPr>
      </w:pPr>
      <w:r>
        <w:rPr>
          <w:b/>
        </w:rPr>
        <w:t>Conclusion</w:t>
      </w:r>
    </w:p>
    <w:p w:rsidR="00BB3059" w:rsidRDefault="00BB3059" w:rsidP="00A41E14">
      <w:r>
        <w:t>The Regulation</w:t>
      </w:r>
      <w:r w:rsidR="004B6752">
        <w:t>s</w:t>
      </w:r>
      <w:r>
        <w:t xml:space="preserve"> </w:t>
      </w:r>
      <w:r w:rsidR="004B6752">
        <w:t xml:space="preserve">are </w:t>
      </w:r>
      <w:r>
        <w:t>compatible with human rights because it advances the protection of human rights</w:t>
      </w:r>
      <w:r w:rsidR="004B6752">
        <w:t xml:space="preserve"> through promoting the right to health.</w:t>
      </w:r>
      <w:r>
        <w:t xml:space="preserve"> </w:t>
      </w:r>
    </w:p>
    <w:p w:rsidR="00BB3059" w:rsidRDefault="00BB3059" w:rsidP="00A41E14"/>
    <w:p w:rsidR="00BB3059" w:rsidRDefault="00BB3059" w:rsidP="00BB3059">
      <w:pPr>
        <w:jc w:val="center"/>
        <w:rPr>
          <w:b/>
        </w:rPr>
      </w:pPr>
      <w:r>
        <w:rPr>
          <w:b/>
        </w:rPr>
        <w:t xml:space="preserve">Greg Hunt, </w:t>
      </w:r>
    </w:p>
    <w:p w:rsidR="00BB3059" w:rsidRPr="0036652F" w:rsidRDefault="00BB3059" w:rsidP="0036652F">
      <w:pPr>
        <w:jc w:val="center"/>
        <w:rPr>
          <w:b/>
        </w:rPr>
      </w:pPr>
      <w:r>
        <w:rPr>
          <w:b/>
        </w:rPr>
        <w:t>Minister of Health</w:t>
      </w:r>
    </w:p>
    <w:sectPr w:rsidR="00BB3059" w:rsidRPr="0036652F">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61" w:rsidRDefault="00D70F61" w:rsidP="00D70F61">
      <w:r>
        <w:separator/>
      </w:r>
    </w:p>
  </w:endnote>
  <w:endnote w:type="continuationSeparator" w:id="0">
    <w:p w:rsidR="00D70F61" w:rsidRDefault="00D70F61" w:rsidP="00D7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61" w:rsidRDefault="00D70F61" w:rsidP="00D70F61">
      <w:r>
        <w:separator/>
      </w:r>
    </w:p>
  </w:footnote>
  <w:footnote w:type="continuationSeparator" w:id="0">
    <w:p w:rsidR="00D70F61" w:rsidRDefault="00D70F61" w:rsidP="00D7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61" w:rsidRPr="00D70F61" w:rsidRDefault="00D70F61" w:rsidP="00D70F61">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E148C2"/>
    <w:multiLevelType w:val="hybridMultilevel"/>
    <w:tmpl w:val="02FCC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C0"/>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76F"/>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2F8"/>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6C6"/>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52F"/>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4E"/>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859"/>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3E8"/>
    <w:rsid w:val="004B59B5"/>
    <w:rsid w:val="004B5A13"/>
    <w:rsid w:val="004B5BC7"/>
    <w:rsid w:val="004B651C"/>
    <w:rsid w:val="004B65C4"/>
    <w:rsid w:val="004B6752"/>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24"/>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DFF"/>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194"/>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AA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417"/>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5BF8"/>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8C4"/>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11B"/>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263"/>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294"/>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7F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059"/>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4D0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8CF"/>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D2A"/>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6F2F"/>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0F61"/>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5834"/>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6F"/>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B23"/>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923"/>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3E59"/>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3D0D"/>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2F03"/>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HB-dotpoint">
    <w:name w:val="HB - dotpoint"/>
    <w:basedOn w:val="Normal"/>
    <w:rsid w:val="00D70F61"/>
    <w:pPr>
      <w:numPr>
        <w:numId w:val="4"/>
      </w:numPr>
      <w:spacing w:before="180"/>
    </w:pPr>
    <w:rPr>
      <w:szCs w:val="20"/>
    </w:rPr>
  </w:style>
  <w:style w:type="paragraph" w:styleId="Header">
    <w:name w:val="header"/>
    <w:basedOn w:val="Normal"/>
    <w:link w:val="HeaderChar"/>
    <w:rsid w:val="00D70F61"/>
    <w:pPr>
      <w:tabs>
        <w:tab w:val="center" w:pos="4513"/>
        <w:tab w:val="right" w:pos="9026"/>
      </w:tabs>
    </w:pPr>
  </w:style>
  <w:style w:type="character" w:customStyle="1" w:styleId="HeaderChar">
    <w:name w:val="Header Char"/>
    <w:basedOn w:val="DefaultParagraphFont"/>
    <w:link w:val="Header"/>
    <w:rsid w:val="00D70F61"/>
    <w:rPr>
      <w:sz w:val="24"/>
      <w:szCs w:val="24"/>
    </w:rPr>
  </w:style>
  <w:style w:type="paragraph" w:styleId="Footer">
    <w:name w:val="footer"/>
    <w:basedOn w:val="Normal"/>
    <w:link w:val="FooterChar"/>
    <w:rsid w:val="00D70F61"/>
    <w:pPr>
      <w:tabs>
        <w:tab w:val="center" w:pos="4513"/>
        <w:tab w:val="right" w:pos="9026"/>
      </w:tabs>
    </w:pPr>
  </w:style>
  <w:style w:type="character" w:customStyle="1" w:styleId="FooterChar">
    <w:name w:val="Footer Char"/>
    <w:basedOn w:val="DefaultParagraphFont"/>
    <w:link w:val="Footer"/>
    <w:rsid w:val="00D70F61"/>
    <w:rPr>
      <w:sz w:val="24"/>
      <w:szCs w:val="24"/>
    </w:rPr>
  </w:style>
  <w:style w:type="character" w:styleId="CommentReference">
    <w:name w:val="annotation reference"/>
    <w:basedOn w:val="DefaultParagraphFont"/>
    <w:rsid w:val="00E1066F"/>
    <w:rPr>
      <w:sz w:val="16"/>
      <w:szCs w:val="16"/>
    </w:rPr>
  </w:style>
  <w:style w:type="paragraph" w:styleId="CommentText">
    <w:name w:val="annotation text"/>
    <w:basedOn w:val="Normal"/>
    <w:link w:val="CommentTextChar"/>
    <w:rsid w:val="00E1066F"/>
    <w:rPr>
      <w:sz w:val="20"/>
      <w:szCs w:val="20"/>
    </w:rPr>
  </w:style>
  <w:style w:type="character" w:customStyle="1" w:styleId="CommentTextChar">
    <w:name w:val="Comment Text Char"/>
    <w:basedOn w:val="DefaultParagraphFont"/>
    <w:link w:val="CommentText"/>
    <w:rsid w:val="00E1066F"/>
  </w:style>
  <w:style w:type="paragraph" w:styleId="CommentSubject">
    <w:name w:val="annotation subject"/>
    <w:basedOn w:val="CommentText"/>
    <w:next w:val="CommentText"/>
    <w:link w:val="CommentSubjectChar"/>
    <w:rsid w:val="00E1066F"/>
    <w:rPr>
      <w:b/>
      <w:bCs/>
    </w:rPr>
  </w:style>
  <w:style w:type="character" w:customStyle="1" w:styleId="CommentSubjectChar">
    <w:name w:val="Comment Subject Char"/>
    <w:basedOn w:val="CommentTextChar"/>
    <w:link w:val="CommentSubject"/>
    <w:rsid w:val="00E106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HB-dotpoint">
    <w:name w:val="HB - dotpoint"/>
    <w:basedOn w:val="Normal"/>
    <w:rsid w:val="00D70F61"/>
    <w:pPr>
      <w:numPr>
        <w:numId w:val="4"/>
      </w:numPr>
      <w:spacing w:before="180"/>
    </w:pPr>
    <w:rPr>
      <w:szCs w:val="20"/>
    </w:rPr>
  </w:style>
  <w:style w:type="paragraph" w:styleId="Header">
    <w:name w:val="header"/>
    <w:basedOn w:val="Normal"/>
    <w:link w:val="HeaderChar"/>
    <w:rsid w:val="00D70F61"/>
    <w:pPr>
      <w:tabs>
        <w:tab w:val="center" w:pos="4513"/>
        <w:tab w:val="right" w:pos="9026"/>
      </w:tabs>
    </w:pPr>
  </w:style>
  <w:style w:type="character" w:customStyle="1" w:styleId="HeaderChar">
    <w:name w:val="Header Char"/>
    <w:basedOn w:val="DefaultParagraphFont"/>
    <w:link w:val="Header"/>
    <w:rsid w:val="00D70F61"/>
    <w:rPr>
      <w:sz w:val="24"/>
      <w:szCs w:val="24"/>
    </w:rPr>
  </w:style>
  <w:style w:type="paragraph" w:styleId="Footer">
    <w:name w:val="footer"/>
    <w:basedOn w:val="Normal"/>
    <w:link w:val="FooterChar"/>
    <w:rsid w:val="00D70F61"/>
    <w:pPr>
      <w:tabs>
        <w:tab w:val="center" w:pos="4513"/>
        <w:tab w:val="right" w:pos="9026"/>
      </w:tabs>
    </w:pPr>
  </w:style>
  <w:style w:type="character" w:customStyle="1" w:styleId="FooterChar">
    <w:name w:val="Footer Char"/>
    <w:basedOn w:val="DefaultParagraphFont"/>
    <w:link w:val="Footer"/>
    <w:rsid w:val="00D70F61"/>
    <w:rPr>
      <w:sz w:val="24"/>
      <w:szCs w:val="24"/>
    </w:rPr>
  </w:style>
  <w:style w:type="character" w:styleId="CommentReference">
    <w:name w:val="annotation reference"/>
    <w:basedOn w:val="DefaultParagraphFont"/>
    <w:rsid w:val="00E1066F"/>
    <w:rPr>
      <w:sz w:val="16"/>
      <w:szCs w:val="16"/>
    </w:rPr>
  </w:style>
  <w:style w:type="paragraph" w:styleId="CommentText">
    <w:name w:val="annotation text"/>
    <w:basedOn w:val="Normal"/>
    <w:link w:val="CommentTextChar"/>
    <w:rsid w:val="00E1066F"/>
    <w:rPr>
      <w:sz w:val="20"/>
      <w:szCs w:val="20"/>
    </w:rPr>
  </w:style>
  <w:style w:type="character" w:customStyle="1" w:styleId="CommentTextChar">
    <w:name w:val="Comment Text Char"/>
    <w:basedOn w:val="DefaultParagraphFont"/>
    <w:link w:val="CommentText"/>
    <w:rsid w:val="00E1066F"/>
  </w:style>
  <w:style w:type="paragraph" w:styleId="CommentSubject">
    <w:name w:val="annotation subject"/>
    <w:basedOn w:val="CommentText"/>
    <w:next w:val="CommentText"/>
    <w:link w:val="CommentSubjectChar"/>
    <w:rsid w:val="00E1066F"/>
    <w:rPr>
      <w:b/>
      <w:bCs/>
    </w:rPr>
  </w:style>
  <w:style w:type="character" w:customStyle="1" w:styleId="CommentSubjectChar">
    <w:name w:val="Comment Subject Char"/>
    <w:basedOn w:val="CommentTextChar"/>
    <w:link w:val="CommentSubject"/>
    <w:rsid w:val="00E10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ty xmlns="772ff458-8fd1-4621-8c7b-377e5c23ae2b">Planning</Document_x0020_Catego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379780B7BAB649A5A29208DF8E9A84" ma:contentTypeVersion="2" ma:contentTypeDescription="Create a new document." ma:contentTypeScope="" ma:versionID="a5963b9a02e063db95a4f93117438a4b">
  <xsd:schema xmlns:xsd="http://www.w3.org/2001/XMLSchema" xmlns:xs="http://www.w3.org/2001/XMLSchema" xmlns:p="http://schemas.microsoft.com/office/2006/metadata/properties" xmlns:ns2="772ff458-8fd1-4621-8c7b-377e5c23ae2b" targetNamespace="http://schemas.microsoft.com/office/2006/metadata/properties" ma:root="true" ma:fieldsID="057589c99959100446e5d3dd18451769" ns2:_="">
    <xsd:import namespace="772ff458-8fd1-4621-8c7b-377e5c23ae2b"/>
    <xsd:element name="properties">
      <xsd:complexType>
        <xsd:sequence>
          <xsd:element name="documentManagement">
            <xsd:complexType>
              <xsd:all>
                <xsd:element ref="ns2:Document_x0020_Catego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ff458-8fd1-4621-8c7b-377e5c23ae2b" elementFormDefault="qualified">
    <xsd:import namespace="http://schemas.microsoft.com/office/2006/documentManagement/types"/>
    <xsd:import namespace="http://schemas.microsoft.com/office/infopath/2007/PartnerControls"/>
    <xsd:element name="Document_x0020_Categoty" ma:index="8" ma:displayName="Document Category" ma:format="Dropdown" ma:internalName="Document_x0020_Categoty">
      <xsd:simpleType>
        <xsd:restriction base="dms:Choice">
          <xsd:enumeration value="Planning"/>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502BE609-B9F0-476D-8395-DB39852CAA9C}">
  <ds:schemaRefs>
    <ds:schemaRef ds:uri="http://purl.org/dc/elements/1.1/"/>
    <ds:schemaRef ds:uri="http://purl.org/dc/dcmitype/"/>
    <ds:schemaRef ds:uri="http://www.w3.org/XML/1998/namespace"/>
    <ds:schemaRef ds:uri="http://schemas.microsoft.com/office/2006/documentManagement/types"/>
    <ds:schemaRef ds:uri="http://purl.org/dc/terms/"/>
    <ds:schemaRef ds:uri="772ff458-8fd1-4621-8c7b-377e5c23ae2b"/>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7808BD3-A5A1-4840-BCC0-0A5FAD6C6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ff458-8fd1-4621-8c7b-377e5c23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5.xml><?xml version="1.0" encoding="utf-8"?>
<ds:datastoreItem xmlns:ds="http://schemas.openxmlformats.org/officeDocument/2006/customXml" ds:itemID="{F7718C10-734E-47AC-BE84-96955F9A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Pooja Bedi</cp:lastModifiedBy>
  <cp:revision>2</cp:revision>
  <cp:lastPrinted>2009-12-03T05:05:00Z</cp:lastPrinted>
  <dcterms:created xsi:type="dcterms:W3CDTF">2018-10-09T23:27:00Z</dcterms:created>
  <dcterms:modified xsi:type="dcterms:W3CDTF">2018-10-09T23:27:00Z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