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05" w:rsidRPr="00BA0B4F" w:rsidRDefault="00005205" w:rsidP="00005205">
      <w:pPr>
        <w:spacing w:after="220" w:line="240" w:lineRule="auto"/>
        <w:jc w:val="center"/>
        <w:rPr>
          <w:rFonts w:ascii="Times New Roman" w:hAnsi="Times New Roman" w:cs="Times New Roman"/>
          <w:b/>
          <w:sz w:val="24"/>
          <w:szCs w:val="24"/>
        </w:rPr>
      </w:pPr>
      <w:r w:rsidRPr="00BA0B4F">
        <w:rPr>
          <w:rFonts w:ascii="Times New Roman" w:hAnsi="Times New Roman" w:cs="Times New Roman"/>
          <w:b/>
          <w:sz w:val="24"/>
          <w:szCs w:val="24"/>
        </w:rPr>
        <w:t>EXPLANATORY STATEMENT</w:t>
      </w:r>
    </w:p>
    <w:p w:rsidR="00005205" w:rsidRPr="00BA0B4F" w:rsidRDefault="00005205" w:rsidP="00005205">
      <w:pPr>
        <w:spacing w:after="220" w:line="240" w:lineRule="auto"/>
        <w:jc w:val="center"/>
        <w:rPr>
          <w:rFonts w:ascii="Times New Roman" w:hAnsi="Times New Roman" w:cs="Times New Roman"/>
          <w:b/>
          <w:sz w:val="24"/>
          <w:szCs w:val="24"/>
        </w:rPr>
      </w:pPr>
      <w:r w:rsidRPr="00BA0B4F">
        <w:rPr>
          <w:rFonts w:ascii="Times New Roman" w:hAnsi="Times New Roman" w:cs="Times New Roman"/>
          <w:b/>
          <w:color w:val="000000"/>
          <w:sz w:val="24"/>
          <w:szCs w:val="24"/>
        </w:rPr>
        <w:t>Safety, Rehabilitation and Compensation (Defence-related Claims) (Catastrophic Injury) Rules 2018</w:t>
      </w:r>
    </w:p>
    <w:p w:rsidR="00005205" w:rsidRPr="00BA0B4F" w:rsidRDefault="00005205" w:rsidP="00005205">
      <w:pPr>
        <w:pStyle w:val="BodyText"/>
        <w:ind w:left="1134" w:hanging="1134"/>
        <w:rPr>
          <w:rFonts w:ascii="Times New Roman" w:hAnsi="Times New Roman"/>
          <w:color w:val="000000"/>
          <w:sz w:val="24"/>
          <w:szCs w:val="24"/>
        </w:rPr>
      </w:pPr>
    </w:p>
    <w:p w:rsidR="00005205" w:rsidRPr="00BA0B4F" w:rsidRDefault="00005205" w:rsidP="00005205">
      <w:pPr>
        <w:rPr>
          <w:rFonts w:ascii="Times New Roman" w:hAnsi="Times New Roman" w:cs="Times New Roman"/>
          <w:color w:val="000000"/>
          <w:sz w:val="24"/>
          <w:szCs w:val="24"/>
          <w:u w:val="single"/>
        </w:rPr>
      </w:pPr>
      <w:r w:rsidRPr="00BA0B4F">
        <w:rPr>
          <w:rFonts w:ascii="Times New Roman" w:hAnsi="Times New Roman" w:cs="Times New Roman"/>
          <w:color w:val="000000"/>
          <w:sz w:val="24"/>
          <w:szCs w:val="24"/>
          <w:u w:val="single"/>
        </w:rPr>
        <w:t>Instrument 2018 No. MRCC65</w:t>
      </w:r>
    </w:p>
    <w:p w:rsidR="00005205" w:rsidRPr="00490F1C" w:rsidRDefault="00005205" w:rsidP="00005205">
      <w:pPr>
        <w:rPr>
          <w:rFonts w:ascii="Times New Roman" w:hAnsi="Times New Roman" w:cs="Times New Roman"/>
          <w:sz w:val="24"/>
          <w:szCs w:val="24"/>
        </w:rPr>
      </w:pPr>
    </w:p>
    <w:p w:rsidR="00005205" w:rsidRPr="00BA0B4F" w:rsidRDefault="00005205" w:rsidP="00005205">
      <w:pPr>
        <w:rPr>
          <w:rFonts w:ascii="Times New Roman" w:hAnsi="Times New Roman" w:cs="Times New Roman"/>
          <w:b/>
          <w:sz w:val="24"/>
          <w:szCs w:val="24"/>
        </w:rPr>
      </w:pPr>
      <w:r w:rsidRPr="00BA0B4F">
        <w:rPr>
          <w:rFonts w:ascii="Times New Roman" w:hAnsi="Times New Roman" w:cs="Times New Roman"/>
          <w:b/>
          <w:sz w:val="24"/>
          <w:szCs w:val="24"/>
        </w:rPr>
        <w:t>EMPOWERING PROVISION</w:t>
      </w:r>
    </w:p>
    <w:p w:rsidR="00005205" w:rsidRPr="00BA0B4F" w:rsidRDefault="006756F9" w:rsidP="00005205">
      <w:pPr>
        <w:rPr>
          <w:rFonts w:ascii="Times New Roman" w:hAnsi="Times New Roman" w:cs="Times New Roman"/>
          <w:sz w:val="24"/>
          <w:szCs w:val="24"/>
        </w:rPr>
      </w:pPr>
      <w:r>
        <w:rPr>
          <w:rFonts w:ascii="Times New Roman" w:hAnsi="Times New Roman" w:cs="Times New Roman"/>
          <w:sz w:val="24"/>
          <w:szCs w:val="24"/>
        </w:rPr>
        <w:t xml:space="preserve">Subsection </w:t>
      </w:r>
      <w:r w:rsidR="00005205" w:rsidRPr="00BA0B4F">
        <w:rPr>
          <w:rFonts w:ascii="Times New Roman" w:hAnsi="Times New Roman" w:cs="Times New Roman"/>
          <w:sz w:val="24"/>
          <w:szCs w:val="24"/>
        </w:rPr>
        <w:t xml:space="preserve">122A(1) of the </w:t>
      </w:r>
      <w:r w:rsidR="00005205" w:rsidRPr="00BA0B4F">
        <w:rPr>
          <w:rFonts w:ascii="Times New Roman" w:hAnsi="Times New Roman" w:cs="Times New Roman"/>
          <w:i/>
          <w:sz w:val="24"/>
          <w:szCs w:val="24"/>
        </w:rPr>
        <w:t>Safety, Rehabilitation and Compensation (Defence-related Claims) Act 1988</w:t>
      </w:r>
      <w:r w:rsidR="00005205" w:rsidRPr="00BA0B4F">
        <w:rPr>
          <w:rFonts w:ascii="Times New Roman" w:hAnsi="Times New Roman" w:cs="Times New Roman"/>
          <w:sz w:val="24"/>
          <w:szCs w:val="24"/>
        </w:rPr>
        <w:t>.</w:t>
      </w:r>
    </w:p>
    <w:p w:rsidR="00005205" w:rsidRPr="00BA0B4F" w:rsidRDefault="00005205" w:rsidP="00005205">
      <w:pPr>
        <w:rPr>
          <w:rFonts w:ascii="Times New Roman" w:hAnsi="Times New Roman" w:cs="Times New Roman"/>
          <w:b/>
          <w:sz w:val="24"/>
          <w:szCs w:val="24"/>
        </w:rPr>
      </w:pPr>
      <w:r w:rsidRPr="00BA0B4F">
        <w:rPr>
          <w:rFonts w:ascii="Times New Roman" w:hAnsi="Times New Roman" w:cs="Times New Roman"/>
          <w:b/>
          <w:sz w:val="24"/>
          <w:szCs w:val="24"/>
        </w:rPr>
        <w:t>PURPOSE</w:t>
      </w:r>
    </w:p>
    <w:p w:rsidR="00D84339" w:rsidRDefault="00D84339" w:rsidP="00D84339">
      <w:pPr>
        <w:rPr>
          <w:rFonts w:ascii="Times New Roman" w:eastAsia="Calibri" w:hAnsi="Times New Roman" w:cs="Times New Roman"/>
          <w:sz w:val="24"/>
          <w:szCs w:val="24"/>
        </w:rPr>
      </w:pPr>
      <w:r w:rsidRPr="00C530AE">
        <w:rPr>
          <w:rFonts w:ascii="Times New Roman" w:hAnsi="Times New Roman" w:cs="Times New Roman"/>
          <w:color w:val="000000"/>
          <w:sz w:val="24"/>
          <w:szCs w:val="24"/>
          <w:lang w:val="en-GB"/>
        </w:rPr>
        <w:t xml:space="preserve">The purpose of this instrument is to prescribe conditions that must be satisfied for the purpose of the definition of </w:t>
      </w:r>
      <w:r>
        <w:rPr>
          <w:rFonts w:ascii="Times New Roman" w:hAnsi="Times New Roman" w:cs="Times New Roman"/>
          <w:color w:val="000000"/>
          <w:sz w:val="24"/>
          <w:szCs w:val="24"/>
          <w:lang w:val="en-GB"/>
        </w:rPr>
        <w:t>‘</w:t>
      </w:r>
      <w:r w:rsidRPr="00C530AE">
        <w:rPr>
          <w:rFonts w:ascii="Times New Roman" w:hAnsi="Times New Roman" w:cs="Times New Roman"/>
          <w:color w:val="000000"/>
          <w:sz w:val="24"/>
          <w:szCs w:val="24"/>
          <w:lang w:val="en-GB"/>
        </w:rPr>
        <w:t>catastrophic injury</w:t>
      </w:r>
      <w:r>
        <w:rPr>
          <w:rFonts w:ascii="Times New Roman" w:hAnsi="Times New Roman" w:cs="Times New Roman"/>
          <w:color w:val="000000"/>
          <w:sz w:val="24"/>
          <w:szCs w:val="24"/>
          <w:lang w:val="en-GB"/>
        </w:rPr>
        <w:t>’</w:t>
      </w:r>
      <w:r w:rsidRPr="00C530AE">
        <w:rPr>
          <w:rFonts w:ascii="Times New Roman" w:hAnsi="Times New Roman" w:cs="Times New Roman"/>
          <w:color w:val="000000"/>
          <w:sz w:val="24"/>
          <w:szCs w:val="24"/>
          <w:lang w:val="en-GB"/>
        </w:rPr>
        <w:t xml:space="preserve"> </w:t>
      </w:r>
      <w:r w:rsidRPr="00BA0B4F">
        <w:rPr>
          <w:rFonts w:ascii="Times New Roman" w:eastAsia="Calibri" w:hAnsi="Times New Roman" w:cs="Times New Roman"/>
          <w:sz w:val="24"/>
          <w:szCs w:val="24"/>
        </w:rPr>
        <w:t xml:space="preserve">in subsection 4(1) of the </w:t>
      </w:r>
      <w:r w:rsidRPr="00BA0B4F">
        <w:rPr>
          <w:rFonts w:ascii="Times New Roman" w:hAnsi="Times New Roman" w:cs="Times New Roman"/>
          <w:i/>
          <w:sz w:val="24"/>
          <w:szCs w:val="24"/>
        </w:rPr>
        <w:t>Safety, Rehabilitation and Compensation (Defence-related Claims) Act 1988</w:t>
      </w:r>
      <w:r>
        <w:rPr>
          <w:rFonts w:ascii="Times New Roman" w:hAnsi="Times New Roman" w:cs="Times New Roman"/>
          <w:i/>
          <w:sz w:val="24"/>
          <w:szCs w:val="24"/>
        </w:rPr>
        <w:t xml:space="preserve"> </w:t>
      </w:r>
      <w:r w:rsidRPr="00BA0B4F">
        <w:rPr>
          <w:rFonts w:ascii="Times New Roman" w:eastAsia="Calibri" w:hAnsi="Times New Roman" w:cs="Times New Roman"/>
          <w:sz w:val="24"/>
          <w:szCs w:val="24"/>
        </w:rPr>
        <w:t>(‘</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w:t>
      </w:r>
      <w:r>
        <w:rPr>
          <w:rFonts w:ascii="Times New Roman" w:eastAsia="Calibri" w:hAnsi="Times New Roman" w:cs="Times New Roman"/>
          <w:sz w:val="24"/>
          <w:szCs w:val="24"/>
        </w:rPr>
        <w:t>.</w:t>
      </w:r>
    </w:p>
    <w:p w:rsidR="00005205" w:rsidRPr="00BA0B4F" w:rsidRDefault="00005205" w:rsidP="00005205">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w:t>
      </w:r>
      <w:r w:rsidRPr="00BA0B4F">
        <w:rPr>
          <w:rFonts w:ascii="Times New Roman" w:hAnsi="Times New Roman" w:cs="Times New Roman"/>
          <w:sz w:val="24"/>
          <w:szCs w:val="24"/>
        </w:rPr>
        <w:t xml:space="preserv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w:t>
      </w:r>
      <w:r w:rsidR="00D84339">
        <w:rPr>
          <w:rFonts w:ascii="Times New Roman" w:eastAsia="Calibri" w:hAnsi="Times New Roman" w:cs="Times New Roman"/>
          <w:sz w:val="24"/>
          <w:szCs w:val="24"/>
        </w:rPr>
        <w:t xml:space="preserve"> </w:t>
      </w:r>
      <w:r w:rsidRPr="00BA0B4F">
        <w:rPr>
          <w:rFonts w:ascii="Times New Roman" w:eastAsia="Calibri" w:hAnsi="Times New Roman" w:cs="Times New Roman"/>
          <w:sz w:val="24"/>
          <w:szCs w:val="24"/>
        </w:rPr>
        <w:t xml:space="preserve">provides rehabilitation support for </w:t>
      </w:r>
      <w:r w:rsidR="006756F9">
        <w:rPr>
          <w:rFonts w:ascii="Times New Roman" w:eastAsia="Calibri" w:hAnsi="Times New Roman" w:cs="Times New Roman"/>
          <w:sz w:val="24"/>
          <w:szCs w:val="24"/>
        </w:rPr>
        <w:t xml:space="preserve">employees who are defined under section 5 as </w:t>
      </w:r>
      <w:r>
        <w:rPr>
          <w:rFonts w:ascii="Times New Roman" w:eastAsia="Calibri" w:hAnsi="Times New Roman" w:cs="Times New Roman"/>
          <w:sz w:val="24"/>
          <w:szCs w:val="24"/>
        </w:rPr>
        <w:t>members of the Defence Forces (“employee”). The D</w:t>
      </w:r>
      <w:r w:rsidRPr="00BA0B4F">
        <w:rPr>
          <w:rFonts w:ascii="Times New Roman" w:eastAsia="Calibri" w:hAnsi="Times New Roman" w:cs="Times New Roman"/>
          <w:sz w:val="24"/>
          <w:szCs w:val="24"/>
        </w:rPr>
        <w:t>RC</w:t>
      </w:r>
      <w:r w:rsidR="006756F9">
        <w:rPr>
          <w:rFonts w:ascii="Times New Roman" w:eastAsia="Calibri" w:hAnsi="Times New Roman" w:cs="Times New Roman"/>
          <w:sz w:val="24"/>
          <w:szCs w:val="24"/>
        </w:rPr>
        <w:t>A also provides compensation payments</w:t>
      </w:r>
      <w:r w:rsidRPr="00BA0B4F">
        <w:rPr>
          <w:rFonts w:ascii="Times New Roman" w:eastAsia="Calibri" w:hAnsi="Times New Roman" w:cs="Times New Roman"/>
          <w:sz w:val="24"/>
          <w:szCs w:val="24"/>
        </w:rPr>
        <w:t xml:space="preserve"> for those employees and their dependants. </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Subject to sections 29 and 29A of the</w:t>
      </w:r>
      <w:r>
        <w:rPr>
          <w:rFonts w:ascii="Times New Roman" w:eastAsia="Calibri" w:hAnsi="Times New Roman" w:cs="Times New Roman"/>
          <w:sz w:val="24"/>
          <w:szCs w:val="24"/>
        </w:rPr>
        <w:t xml:space="preserve"> DRCA</w:t>
      </w:r>
      <w:r w:rsidRPr="00BA0B4F">
        <w:rPr>
          <w:rFonts w:ascii="Times New Roman" w:eastAsia="Calibri" w:hAnsi="Times New Roman" w:cs="Times New Roman"/>
          <w:sz w:val="24"/>
          <w:szCs w:val="24"/>
        </w:rPr>
        <w:t xml:space="preserve">, if compensation is payable under the </w:t>
      </w:r>
      <w:r>
        <w:rPr>
          <w:rFonts w:ascii="Times New Roman" w:eastAsia="Calibri" w:hAnsi="Times New Roman" w:cs="Times New Roman"/>
          <w:sz w:val="24"/>
          <w:szCs w:val="24"/>
        </w:rPr>
        <w:t xml:space="preserve">DRCA </w:t>
      </w:r>
      <w:r w:rsidRPr="00BA0B4F">
        <w:rPr>
          <w:rFonts w:ascii="Times New Roman" w:eastAsia="Calibri" w:hAnsi="Times New Roman" w:cs="Times New Roman"/>
          <w:sz w:val="24"/>
          <w:szCs w:val="24"/>
        </w:rPr>
        <w:t xml:space="preserve">in respect of an injury suffered by an employee (that is, a compensable injury), and the employee reasonably requires and obtains household services or attendant care services as a result of that injury, </w:t>
      </w:r>
      <w:r w:rsidR="00933EA5">
        <w:rPr>
          <w:rFonts w:ascii="Times New Roman" w:eastAsia="Calibri" w:hAnsi="Times New Roman" w:cs="Times New Roman"/>
          <w:sz w:val="24"/>
          <w:szCs w:val="24"/>
        </w:rPr>
        <w:t xml:space="preserve">the </w:t>
      </w:r>
      <w:r w:rsidR="007C775E">
        <w:rPr>
          <w:rFonts w:ascii="Times New Roman" w:eastAsia="Calibri" w:hAnsi="Times New Roman" w:cs="Times New Roman"/>
          <w:sz w:val="24"/>
          <w:szCs w:val="24"/>
        </w:rPr>
        <w:t xml:space="preserve">Commonwealth </w:t>
      </w:r>
      <w:r w:rsidRPr="00BA0B4F">
        <w:rPr>
          <w:rFonts w:ascii="Times New Roman" w:eastAsia="Calibri" w:hAnsi="Times New Roman" w:cs="Times New Roman"/>
          <w:sz w:val="24"/>
          <w:szCs w:val="24"/>
        </w:rPr>
        <w:t>is liable to pay an amount of compensation.</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If the compensable injury is not a ‘catastrophic injury’</w:t>
      </w:r>
      <w:r w:rsidR="00942976">
        <w:rPr>
          <w:rFonts w:ascii="Times New Roman" w:eastAsia="Calibri" w:hAnsi="Times New Roman" w:cs="Times New Roman"/>
          <w:sz w:val="24"/>
          <w:szCs w:val="24"/>
        </w:rPr>
        <w:t>, under section 29 of the DRCA</w:t>
      </w:r>
      <w:r w:rsidRPr="00BA0B4F">
        <w:rPr>
          <w:rFonts w:ascii="Times New Roman" w:eastAsia="Calibri" w:hAnsi="Times New Roman" w:cs="Times New Roman"/>
          <w:sz w:val="24"/>
          <w:szCs w:val="24"/>
        </w:rPr>
        <w:t>:</w:t>
      </w:r>
    </w:p>
    <w:p w:rsidR="00005205" w:rsidRPr="00BA0B4F" w:rsidRDefault="00005205" w:rsidP="00005205">
      <w:pPr>
        <w:pStyle w:val="ListParagraph"/>
        <w:numPr>
          <w:ilvl w:val="0"/>
          <w:numId w:val="2"/>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amount per week payable by </w:t>
      </w:r>
      <w:r w:rsidR="00933EA5">
        <w:rPr>
          <w:rFonts w:ascii="Times New Roman" w:eastAsia="Calibri" w:hAnsi="Times New Roman" w:cs="Times New Roman"/>
          <w:sz w:val="24"/>
          <w:szCs w:val="24"/>
        </w:rPr>
        <w:t>the Comm</w:t>
      </w:r>
      <w:r w:rsidR="007C775E">
        <w:rPr>
          <w:rFonts w:ascii="Times New Roman" w:eastAsia="Calibri" w:hAnsi="Times New Roman" w:cs="Times New Roman"/>
          <w:sz w:val="24"/>
          <w:szCs w:val="24"/>
        </w:rPr>
        <w:t xml:space="preserve">onwealth </w:t>
      </w:r>
      <w:r w:rsidRPr="00BA0B4F">
        <w:rPr>
          <w:rFonts w:ascii="Times New Roman" w:eastAsia="Calibri" w:hAnsi="Times New Roman" w:cs="Times New Roman"/>
          <w:sz w:val="24"/>
          <w:szCs w:val="24"/>
        </w:rPr>
        <w:t>is capped at $473.25 per week for household services and $473.25 per week for attendant care services (the monetary cap is indexed annually on 1 July, and the figure of $473.25 is current for 2018-2019)</w:t>
      </w:r>
      <w:r w:rsidR="006756F9">
        <w:rPr>
          <w:rFonts w:ascii="Times New Roman" w:eastAsia="Calibri" w:hAnsi="Times New Roman" w:cs="Times New Roman"/>
          <w:sz w:val="24"/>
          <w:szCs w:val="24"/>
        </w:rPr>
        <w:t>; and</w:t>
      </w:r>
    </w:p>
    <w:p w:rsidR="00005205" w:rsidRPr="00BA0B4F" w:rsidRDefault="00005205" w:rsidP="00005205">
      <w:pPr>
        <w:pStyle w:val="ListParagraph"/>
        <w:numPr>
          <w:ilvl w:val="0"/>
          <w:numId w:val="2"/>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compensation for household services is not payable in the first 28 days after the date of injury, unless </w:t>
      </w:r>
      <w:r w:rsidR="00933EA5">
        <w:rPr>
          <w:rFonts w:ascii="Times New Roman" w:eastAsia="Calibri" w:hAnsi="Times New Roman" w:cs="Times New Roman"/>
          <w:sz w:val="24"/>
          <w:szCs w:val="24"/>
        </w:rPr>
        <w:t xml:space="preserve">the </w:t>
      </w:r>
      <w:r w:rsidR="007C775E">
        <w:rPr>
          <w:rFonts w:ascii="Times New Roman" w:eastAsia="Calibri" w:hAnsi="Times New Roman" w:cs="Times New Roman"/>
          <w:sz w:val="24"/>
          <w:szCs w:val="24"/>
        </w:rPr>
        <w:t xml:space="preserve">Military Rehabilitation and Compensation Commission (“Commission”) </w:t>
      </w:r>
      <w:r w:rsidRPr="00BA0B4F">
        <w:rPr>
          <w:rFonts w:ascii="Times New Roman" w:eastAsia="Calibri" w:hAnsi="Times New Roman" w:cs="Times New Roman"/>
          <w:sz w:val="24"/>
          <w:szCs w:val="24"/>
        </w:rPr>
        <w:t>determines otherwise in a particular case on the ground of financial hardship or the need to provide for adequate supervision of dependent children.</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If the compensable injury is a ‘catastrophic injury’</w:t>
      </w:r>
      <w:r w:rsidR="00942976">
        <w:rPr>
          <w:rFonts w:ascii="Times New Roman" w:eastAsia="Calibri" w:hAnsi="Times New Roman" w:cs="Times New Roman"/>
          <w:sz w:val="24"/>
          <w:szCs w:val="24"/>
        </w:rPr>
        <w:t>, under section 29A of the DRCA</w:t>
      </w:r>
      <w:r w:rsidRPr="00BA0B4F">
        <w:rPr>
          <w:rFonts w:ascii="Times New Roman" w:eastAsia="Calibri" w:hAnsi="Times New Roman" w:cs="Times New Roman"/>
          <w:sz w:val="24"/>
          <w:szCs w:val="24"/>
        </w:rPr>
        <w:t>:</w:t>
      </w:r>
    </w:p>
    <w:p w:rsidR="00005205" w:rsidRPr="00BA0B4F" w:rsidRDefault="00005205" w:rsidP="00005205">
      <w:pPr>
        <w:pStyle w:val="ListParagraph"/>
        <w:numPr>
          <w:ilvl w:val="0"/>
          <w:numId w:val="3"/>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there is no monetary cap on the amount of weekly compensation payable for household services or attendant care services</w:t>
      </w:r>
      <w:r w:rsidR="006756F9">
        <w:rPr>
          <w:rFonts w:ascii="Times New Roman" w:eastAsia="Calibri" w:hAnsi="Times New Roman" w:cs="Times New Roman"/>
          <w:sz w:val="24"/>
          <w:szCs w:val="24"/>
        </w:rPr>
        <w:t>; and</w:t>
      </w:r>
    </w:p>
    <w:p w:rsidR="00005205" w:rsidRPr="00BA0B4F" w:rsidRDefault="00B34C2F" w:rsidP="00005205">
      <w:pPr>
        <w:pStyle w:val="ListParagraph"/>
        <w:numPr>
          <w:ilvl w:val="0"/>
          <w:numId w:val="3"/>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nothing which prevents </w:t>
      </w:r>
      <w:r w:rsidR="00005205" w:rsidRPr="00BA0B4F">
        <w:rPr>
          <w:rFonts w:ascii="Times New Roman" w:eastAsia="Calibri" w:hAnsi="Times New Roman" w:cs="Times New Roman"/>
          <w:sz w:val="24"/>
          <w:szCs w:val="24"/>
        </w:rPr>
        <w:t>compensation for household services</w:t>
      </w:r>
      <w:r>
        <w:rPr>
          <w:rFonts w:ascii="Times New Roman" w:eastAsia="Calibri" w:hAnsi="Times New Roman" w:cs="Times New Roman"/>
          <w:sz w:val="24"/>
          <w:szCs w:val="24"/>
        </w:rPr>
        <w:t xml:space="preserve"> and attendant care services being</w:t>
      </w:r>
      <w:r w:rsidR="00005205" w:rsidRPr="00BA0B4F">
        <w:rPr>
          <w:rFonts w:ascii="Times New Roman" w:eastAsia="Calibri" w:hAnsi="Times New Roman" w:cs="Times New Roman"/>
          <w:sz w:val="24"/>
          <w:szCs w:val="24"/>
        </w:rPr>
        <w:t xml:space="preserve"> payable in the first 28 days after the date of injury.</w:t>
      </w:r>
    </w:p>
    <w:p w:rsidR="00005205"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‘Catastrophic injury’ is defined in subsection 4(1) of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xml:space="preserve"> to mean an injury where the conditions specified in the legislativ</w:t>
      </w:r>
      <w:r w:rsidR="006756F9">
        <w:rPr>
          <w:rFonts w:ascii="Times New Roman" w:eastAsia="Calibri" w:hAnsi="Times New Roman" w:cs="Times New Roman"/>
          <w:sz w:val="24"/>
          <w:szCs w:val="24"/>
        </w:rPr>
        <w:t>e rules are satisfied. Subsection 122A(1)</w:t>
      </w:r>
      <w:r w:rsidRPr="00BA0B4F">
        <w:rPr>
          <w:rFonts w:ascii="Times New Roman" w:eastAsia="Calibri" w:hAnsi="Times New Roman" w:cs="Times New Roman"/>
          <w:sz w:val="24"/>
          <w:szCs w:val="24"/>
        </w:rPr>
        <w:t xml:space="preserve"> of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xml:space="preserve"> allows the</w:t>
      </w:r>
      <w:r w:rsidR="00933EA5">
        <w:rPr>
          <w:rFonts w:ascii="Times New Roman" w:eastAsia="Calibri" w:hAnsi="Times New Roman" w:cs="Times New Roman"/>
          <w:sz w:val="24"/>
          <w:szCs w:val="24"/>
        </w:rPr>
        <w:t xml:space="preserve"> </w:t>
      </w:r>
      <w:r>
        <w:rPr>
          <w:rFonts w:ascii="Times New Roman" w:eastAsia="Calibri" w:hAnsi="Times New Roman" w:cs="Times New Roman"/>
          <w:sz w:val="24"/>
          <w:szCs w:val="24"/>
        </w:rPr>
        <w:t>Commission</w:t>
      </w:r>
      <w:r w:rsidRPr="00BA0B4F">
        <w:rPr>
          <w:rFonts w:ascii="Times New Roman" w:eastAsia="Calibri" w:hAnsi="Times New Roman" w:cs="Times New Roman"/>
          <w:sz w:val="24"/>
          <w:szCs w:val="24"/>
        </w:rPr>
        <w:t xml:space="preserve"> to make rules prescribing matters required or permitted by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xml:space="preserve"> to be prescribed by the legislative rules.</w:t>
      </w:r>
      <w:r w:rsidR="00BB0F65">
        <w:rPr>
          <w:rFonts w:ascii="Times New Roman" w:eastAsia="Calibri" w:hAnsi="Times New Roman" w:cs="Times New Roman"/>
          <w:sz w:val="24"/>
          <w:szCs w:val="24"/>
        </w:rPr>
        <w:t xml:space="preserve"> </w:t>
      </w:r>
    </w:p>
    <w:p w:rsidR="00D84339" w:rsidRPr="00DA5016" w:rsidRDefault="00FB79A0" w:rsidP="00D84339">
      <w:pPr>
        <w:pStyle w:val="HTMLPreformatted"/>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This</w:t>
      </w:r>
      <w:r w:rsidR="00D84339">
        <w:rPr>
          <w:rFonts w:ascii="Times New Roman" w:hAnsi="Times New Roman" w:cs="Times New Roman"/>
          <w:color w:val="000000"/>
          <w:sz w:val="24"/>
          <w:szCs w:val="24"/>
        </w:rPr>
        <w:t xml:space="preserve"> is the first instrument </w:t>
      </w:r>
      <w:r w:rsidR="00D84339" w:rsidRPr="00DA5016">
        <w:rPr>
          <w:rFonts w:ascii="Times New Roman" w:hAnsi="Times New Roman" w:cs="Times New Roman"/>
          <w:color w:val="000000"/>
          <w:sz w:val="24"/>
          <w:szCs w:val="24"/>
        </w:rPr>
        <w:t>to be made under the DRCA</w:t>
      </w:r>
      <w:r w:rsidR="00D84339">
        <w:rPr>
          <w:rFonts w:ascii="Times New Roman" w:hAnsi="Times New Roman" w:cs="Times New Roman"/>
          <w:color w:val="000000"/>
          <w:sz w:val="24"/>
          <w:szCs w:val="24"/>
        </w:rPr>
        <w:t xml:space="preserve"> </w:t>
      </w:r>
      <w:r w:rsidR="00D84339">
        <w:rPr>
          <w:rFonts w:ascii="Times New Roman" w:eastAsia="Calibri" w:hAnsi="Times New Roman" w:cs="Times New Roman"/>
          <w:sz w:val="24"/>
          <w:szCs w:val="24"/>
        </w:rPr>
        <w:t>specifying</w:t>
      </w:r>
      <w:r w:rsidR="00D84339" w:rsidRPr="00BA0B4F">
        <w:rPr>
          <w:rFonts w:ascii="Times New Roman" w:eastAsia="Calibri" w:hAnsi="Times New Roman" w:cs="Times New Roman"/>
          <w:sz w:val="24"/>
          <w:szCs w:val="24"/>
        </w:rPr>
        <w:t xml:space="preserve"> the conditions for the definition of ‘catastrophic injury’</w:t>
      </w:r>
      <w:r w:rsidR="00D84339">
        <w:rPr>
          <w:rFonts w:ascii="Times New Roman" w:eastAsia="Calibri" w:hAnsi="Times New Roman" w:cs="Times New Roman"/>
          <w:sz w:val="24"/>
          <w:szCs w:val="24"/>
        </w:rPr>
        <w:t xml:space="preserve">. </w:t>
      </w:r>
    </w:p>
    <w:p w:rsidR="00D84339" w:rsidRDefault="00D84339" w:rsidP="00D84339">
      <w:pPr>
        <w:pStyle w:val="HTMLPreformatted"/>
        <w:rPr>
          <w:rFonts w:ascii="Times New Roman" w:hAnsi="Times New Roman" w:cs="Times New Roman"/>
          <w:sz w:val="24"/>
          <w:szCs w:val="24"/>
        </w:rPr>
      </w:pPr>
    </w:p>
    <w:p w:rsidR="00D84339" w:rsidRDefault="00D84339" w:rsidP="00D84339">
      <w:pPr>
        <w:pStyle w:val="HTMLPreformatted"/>
        <w:rPr>
          <w:rFonts w:ascii="Times New Roman" w:hAnsi="Times New Roman" w:cs="Times New Roman"/>
          <w:sz w:val="24"/>
          <w:szCs w:val="24"/>
        </w:rPr>
      </w:pPr>
      <w:r>
        <w:rPr>
          <w:rFonts w:ascii="Times New Roman" w:hAnsi="Times New Roman" w:cs="Times New Roman"/>
          <w:sz w:val="24"/>
          <w:szCs w:val="24"/>
        </w:rPr>
        <w:t>T</w:t>
      </w:r>
      <w:r w:rsidRPr="00AC6E85">
        <w:rPr>
          <w:rFonts w:ascii="Times New Roman" w:hAnsi="Times New Roman" w:cs="Times New Roman"/>
          <w:sz w:val="24"/>
          <w:szCs w:val="24"/>
        </w:rPr>
        <w:t xml:space="preserve">he </w:t>
      </w:r>
      <w:r>
        <w:rPr>
          <w:rFonts w:ascii="Times New Roman" w:hAnsi="Times New Roman" w:cs="Times New Roman"/>
          <w:sz w:val="24"/>
          <w:szCs w:val="24"/>
        </w:rPr>
        <w:t xml:space="preserve">conditions specified by this instrument for the </w:t>
      </w:r>
      <w:r w:rsidRPr="00AC6E85">
        <w:rPr>
          <w:rFonts w:ascii="Times New Roman" w:hAnsi="Times New Roman" w:cs="Times New Roman"/>
          <w:sz w:val="24"/>
          <w:szCs w:val="24"/>
        </w:rPr>
        <w:t xml:space="preserve">definition of </w:t>
      </w:r>
      <w:r>
        <w:rPr>
          <w:rFonts w:ascii="Times New Roman" w:hAnsi="Times New Roman" w:cs="Times New Roman"/>
          <w:sz w:val="24"/>
          <w:szCs w:val="24"/>
        </w:rPr>
        <w:t>‘</w:t>
      </w:r>
      <w:r w:rsidRPr="00AC6E85">
        <w:rPr>
          <w:rFonts w:ascii="Times New Roman" w:hAnsi="Times New Roman" w:cs="Times New Roman"/>
          <w:sz w:val="24"/>
          <w:szCs w:val="24"/>
        </w:rPr>
        <w:t>catastrophic injury</w:t>
      </w:r>
      <w:r>
        <w:rPr>
          <w:rFonts w:ascii="Times New Roman" w:hAnsi="Times New Roman" w:cs="Times New Roman"/>
          <w:sz w:val="24"/>
          <w:szCs w:val="24"/>
        </w:rPr>
        <w:t>’</w:t>
      </w:r>
      <w:r w:rsidRPr="00AC6E85">
        <w:rPr>
          <w:rFonts w:ascii="Times New Roman" w:hAnsi="Times New Roman" w:cs="Times New Roman"/>
          <w:sz w:val="24"/>
          <w:szCs w:val="24"/>
        </w:rPr>
        <w:t xml:space="preserve"> </w:t>
      </w:r>
      <w:r>
        <w:rPr>
          <w:rFonts w:ascii="Times New Roman" w:hAnsi="Times New Roman" w:cs="Times New Roman"/>
          <w:sz w:val="24"/>
          <w:szCs w:val="24"/>
        </w:rPr>
        <w:t xml:space="preserve">under the DRCA are the same as those specified </w:t>
      </w:r>
      <w:r w:rsidR="00C57644">
        <w:rPr>
          <w:rFonts w:ascii="Times New Roman" w:hAnsi="Times New Roman" w:cs="Times New Roman"/>
          <w:sz w:val="24"/>
          <w:szCs w:val="24"/>
        </w:rPr>
        <w:t xml:space="preserve">in the corresponding definition </w:t>
      </w:r>
      <w:r>
        <w:rPr>
          <w:rFonts w:ascii="Times New Roman" w:hAnsi="Times New Roman" w:cs="Times New Roman"/>
          <w:sz w:val="24"/>
          <w:szCs w:val="24"/>
        </w:rPr>
        <w:t xml:space="preserve">under the </w:t>
      </w:r>
      <w:r w:rsidRPr="00FC3BD4">
        <w:rPr>
          <w:rFonts w:ascii="Times New Roman" w:hAnsi="Times New Roman" w:cs="Times New Roman"/>
          <w:i/>
          <w:sz w:val="24"/>
          <w:szCs w:val="24"/>
        </w:rPr>
        <w:t>Military Rehabilitation and Compensation Act 2004</w:t>
      </w:r>
      <w:r w:rsidR="000E7679">
        <w:rPr>
          <w:rFonts w:ascii="Times New Roman" w:hAnsi="Times New Roman" w:cs="Times New Roman"/>
          <w:sz w:val="24"/>
          <w:szCs w:val="24"/>
        </w:rPr>
        <w:t xml:space="preserve"> (MRCA)</w:t>
      </w:r>
      <w:r w:rsidRPr="00AC6E85">
        <w:rPr>
          <w:rFonts w:ascii="Times New Roman" w:hAnsi="Times New Roman" w:cs="Times New Roman"/>
          <w:sz w:val="24"/>
          <w:szCs w:val="24"/>
        </w:rPr>
        <w:t>.</w:t>
      </w:r>
      <w:r>
        <w:rPr>
          <w:rFonts w:ascii="Times New Roman" w:hAnsi="Times New Roman" w:cs="Times New Roman"/>
          <w:sz w:val="24"/>
          <w:szCs w:val="24"/>
        </w:rPr>
        <w:t xml:space="preserve"> They are </w:t>
      </w:r>
      <w:r w:rsidR="00FB79A0">
        <w:rPr>
          <w:rFonts w:ascii="Times New Roman" w:hAnsi="Times New Roman" w:cs="Times New Roman"/>
          <w:sz w:val="24"/>
          <w:szCs w:val="24"/>
        </w:rPr>
        <w:t xml:space="preserve">also </w:t>
      </w:r>
      <w:r>
        <w:rPr>
          <w:rFonts w:ascii="Times New Roman" w:hAnsi="Times New Roman" w:cs="Times New Roman"/>
          <w:sz w:val="24"/>
          <w:szCs w:val="24"/>
        </w:rPr>
        <w:t xml:space="preserve">broadly consistent with the conditions specified </w:t>
      </w:r>
      <w:r w:rsidR="00FB79A0">
        <w:rPr>
          <w:rFonts w:ascii="Times New Roman" w:hAnsi="Times New Roman" w:cs="Times New Roman"/>
          <w:sz w:val="24"/>
          <w:szCs w:val="24"/>
        </w:rPr>
        <w:t>as</w:t>
      </w:r>
      <w:r>
        <w:rPr>
          <w:rFonts w:ascii="Times New Roman" w:hAnsi="Times New Roman" w:cs="Times New Roman"/>
          <w:sz w:val="24"/>
          <w:szCs w:val="24"/>
        </w:rPr>
        <w:t xml:space="preserve"> catastrophic injuries for civilians with coverage </w:t>
      </w:r>
      <w:r w:rsidRPr="00AC6E85">
        <w:rPr>
          <w:rFonts w:ascii="Times New Roman" w:hAnsi="Times New Roman" w:cs="Times New Roman"/>
          <w:sz w:val="24"/>
          <w:szCs w:val="24"/>
        </w:rPr>
        <w:t xml:space="preserve">under the </w:t>
      </w:r>
      <w:r w:rsidRPr="00087F31">
        <w:rPr>
          <w:rFonts w:ascii="Times New Roman" w:hAnsi="Times New Roman" w:cs="Times New Roman"/>
          <w:i/>
          <w:sz w:val="24"/>
          <w:szCs w:val="24"/>
        </w:rPr>
        <w:t>Safety, Rehabilitation and Compensation Act 1988</w:t>
      </w:r>
      <w:r>
        <w:rPr>
          <w:rFonts w:ascii="Times New Roman" w:hAnsi="Times New Roman" w:cs="Times New Roman"/>
          <w:i/>
          <w:sz w:val="24"/>
          <w:szCs w:val="24"/>
        </w:rPr>
        <w:t xml:space="preserve"> </w:t>
      </w:r>
      <w:r w:rsidRPr="00DA5016">
        <w:rPr>
          <w:rFonts w:ascii="Times New Roman" w:hAnsi="Times New Roman" w:cs="Times New Roman"/>
          <w:color w:val="000000"/>
          <w:sz w:val="24"/>
          <w:szCs w:val="24"/>
        </w:rPr>
        <w:t>(</w:t>
      </w:r>
      <w:r>
        <w:rPr>
          <w:rFonts w:ascii="Times New Roman" w:hAnsi="Times New Roman" w:cs="Times New Roman"/>
          <w:color w:val="000000"/>
          <w:sz w:val="24"/>
          <w:szCs w:val="24"/>
        </w:rPr>
        <w:t>SRCA)</w:t>
      </w:r>
      <w:r w:rsidRPr="00AC6E85">
        <w:rPr>
          <w:rFonts w:ascii="Times New Roman" w:hAnsi="Times New Roman" w:cs="Times New Roman"/>
          <w:sz w:val="24"/>
          <w:szCs w:val="24"/>
        </w:rPr>
        <w:t>.</w:t>
      </w:r>
    </w:p>
    <w:p w:rsidR="00D84339" w:rsidRDefault="00D84339" w:rsidP="00D84339">
      <w:pPr>
        <w:pStyle w:val="HTMLPreformatted"/>
        <w:rPr>
          <w:rFonts w:ascii="Times New Roman" w:hAnsi="Times New Roman" w:cs="Times New Roman"/>
          <w:sz w:val="24"/>
          <w:szCs w:val="24"/>
        </w:rPr>
      </w:pPr>
    </w:p>
    <w:p w:rsidR="00D84339" w:rsidRPr="00AC6E85" w:rsidRDefault="00D84339" w:rsidP="00D84339">
      <w:pPr>
        <w:pStyle w:val="HTMLPreformatted"/>
        <w:rPr>
          <w:rFonts w:ascii="Times New Roman" w:hAnsi="Times New Roman" w:cs="Times New Roman"/>
          <w:sz w:val="24"/>
          <w:szCs w:val="24"/>
        </w:rPr>
      </w:pPr>
      <w:r w:rsidRPr="00DA5016">
        <w:rPr>
          <w:rFonts w:ascii="Times New Roman" w:hAnsi="Times New Roman" w:cs="Times New Roman"/>
          <w:sz w:val="24"/>
          <w:szCs w:val="24"/>
        </w:rPr>
        <w:t xml:space="preserve">The DRCA, which is a re-enacted version of </w:t>
      </w:r>
      <w:r w:rsidR="00FB79A0">
        <w:rPr>
          <w:rFonts w:ascii="Times New Roman" w:hAnsi="Times New Roman" w:cs="Times New Roman"/>
          <w:sz w:val="24"/>
          <w:szCs w:val="24"/>
        </w:rPr>
        <w:t xml:space="preserve">the </w:t>
      </w:r>
      <w:r>
        <w:rPr>
          <w:rFonts w:ascii="Times New Roman" w:hAnsi="Times New Roman" w:cs="Times New Roman"/>
          <w:color w:val="000000"/>
          <w:sz w:val="24"/>
          <w:szCs w:val="24"/>
        </w:rPr>
        <w:t>SRCA</w:t>
      </w:r>
      <w:r w:rsidRPr="00DA5016">
        <w:rPr>
          <w:rFonts w:ascii="Times New Roman" w:hAnsi="Times New Roman" w:cs="Times New Roman"/>
          <w:sz w:val="24"/>
          <w:szCs w:val="24"/>
        </w:rPr>
        <w:t xml:space="preserve">, was created by the </w:t>
      </w:r>
      <w:r w:rsidRPr="00DA5016">
        <w:rPr>
          <w:rFonts w:ascii="Times New Roman" w:hAnsi="Times New Roman" w:cs="Times New Roman"/>
          <w:i/>
          <w:sz w:val="24"/>
          <w:szCs w:val="24"/>
        </w:rPr>
        <w:t>Safety, Rehabilitation and Compensation Legislation Amendment (Defence Force) Act</w:t>
      </w:r>
      <w:r w:rsidRPr="00DA5016">
        <w:rPr>
          <w:rFonts w:ascii="Times New Roman" w:hAnsi="Times New Roman" w:cs="Times New Roman"/>
          <w:sz w:val="24"/>
          <w:szCs w:val="24"/>
        </w:rPr>
        <w:t xml:space="preserve"> </w:t>
      </w:r>
      <w:r w:rsidRPr="00DA5016">
        <w:rPr>
          <w:rFonts w:ascii="Times New Roman" w:hAnsi="Times New Roman" w:cs="Times New Roman"/>
          <w:i/>
          <w:sz w:val="24"/>
          <w:szCs w:val="24"/>
        </w:rPr>
        <w:t xml:space="preserve">2017. </w:t>
      </w:r>
      <w:r w:rsidRPr="00DA5016">
        <w:rPr>
          <w:rFonts w:ascii="Times New Roman" w:hAnsi="Times New Roman" w:cs="Times New Roman"/>
          <w:sz w:val="24"/>
          <w:szCs w:val="24"/>
        </w:rPr>
        <w:t>The DRCA commenced on 12 October 2017</w:t>
      </w:r>
      <w:r w:rsidR="00FB79A0">
        <w:rPr>
          <w:rFonts w:ascii="Times New Roman" w:hAnsi="Times New Roman" w:cs="Times New Roman"/>
          <w:sz w:val="24"/>
          <w:szCs w:val="24"/>
        </w:rPr>
        <w:t>, with</w:t>
      </w:r>
      <w:r w:rsidRPr="00DA5016">
        <w:rPr>
          <w:rFonts w:ascii="Times New Roman" w:hAnsi="Times New Roman" w:cs="Times New Roman"/>
          <w:sz w:val="24"/>
          <w:szCs w:val="24"/>
        </w:rPr>
        <w:t xml:space="preserve"> modifi</w:t>
      </w:r>
      <w:r w:rsidR="00FB79A0">
        <w:rPr>
          <w:rFonts w:ascii="Times New Roman" w:hAnsi="Times New Roman" w:cs="Times New Roman"/>
          <w:sz w:val="24"/>
          <w:szCs w:val="24"/>
        </w:rPr>
        <w:t>cations</w:t>
      </w:r>
      <w:r w:rsidRPr="00DA5016">
        <w:rPr>
          <w:rFonts w:ascii="Times New Roman" w:hAnsi="Times New Roman" w:cs="Times New Roman"/>
          <w:sz w:val="24"/>
          <w:szCs w:val="24"/>
        </w:rPr>
        <w:t xml:space="preserve"> to </w:t>
      </w:r>
      <w:r w:rsidR="00FB79A0">
        <w:rPr>
          <w:rFonts w:ascii="Times New Roman" w:hAnsi="Times New Roman" w:cs="Times New Roman"/>
          <w:sz w:val="24"/>
          <w:szCs w:val="24"/>
        </w:rPr>
        <w:t xml:space="preserve">limit coverage under the Act </w:t>
      </w:r>
      <w:r w:rsidRPr="00DA5016">
        <w:rPr>
          <w:rFonts w:ascii="Times New Roman" w:hAnsi="Times New Roman" w:cs="Times New Roman"/>
          <w:sz w:val="24"/>
          <w:szCs w:val="24"/>
        </w:rPr>
        <w:t xml:space="preserve">to members of the Defence Force </w:t>
      </w:r>
      <w:r w:rsidR="00FB79A0">
        <w:rPr>
          <w:rFonts w:ascii="Times New Roman" w:hAnsi="Times New Roman" w:cs="Times New Roman"/>
          <w:sz w:val="24"/>
          <w:szCs w:val="24"/>
        </w:rPr>
        <w:t xml:space="preserve">with conditions attributable to service prior to 1 July 2004 (the commencement date of the MRCA) </w:t>
      </w:r>
      <w:r w:rsidRPr="00DA5016">
        <w:rPr>
          <w:rFonts w:ascii="Times New Roman" w:hAnsi="Times New Roman" w:cs="Times New Roman"/>
          <w:sz w:val="24"/>
          <w:szCs w:val="24"/>
        </w:rPr>
        <w:t>and their dependants</w:t>
      </w:r>
      <w:r>
        <w:rPr>
          <w:rFonts w:ascii="Times New Roman" w:hAnsi="Times New Roman" w:cs="Times New Roman"/>
          <w:sz w:val="24"/>
          <w:szCs w:val="24"/>
        </w:rPr>
        <w:t xml:space="preserve">. </w:t>
      </w:r>
      <w:r w:rsidRPr="00DA5016">
        <w:rPr>
          <w:rFonts w:ascii="Times New Roman" w:hAnsi="Times New Roman" w:cs="Times New Roman"/>
          <w:sz w:val="24"/>
          <w:szCs w:val="24"/>
        </w:rPr>
        <w:t xml:space="preserve">Prior to 12 October 2017, </w:t>
      </w:r>
      <w:r w:rsidRPr="00DA5016">
        <w:rPr>
          <w:rFonts w:ascii="Times New Roman" w:hAnsi="Times New Roman" w:cs="Times New Roman"/>
          <w:color w:val="000000"/>
          <w:sz w:val="24"/>
          <w:szCs w:val="24"/>
        </w:rPr>
        <w:t>employees who were members of the A</w:t>
      </w:r>
      <w:r>
        <w:rPr>
          <w:rFonts w:ascii="Times New Roman" w:hAnsi="Times New Roman" w:cs="Times New Roman"/>
          <w:color w:val="000000"/>
          <w:sz w:val="24"/>
          <w:szCs w:val="24"/>
        </w:rPr>
        <w:t xml:space="preserve">ustralian </w:t>
      </w:r>
      <w:r w:rsidRPr="00DA5016">
        <w:rPr>
          <w:rFonts w:ascii="Times New Roman" w:hAnsi="Times New Roman" w:cs="Times New Roman"/>
          <w:color w:val="000000"/>
          <w:sz w:val="24"/>
          <w:szCs w:val="24"/>
        </w:rPr>
        <w:t>D</w:t>
      </w:r>
      <w:r>
        <w:rPr>
          <w:rFonts w:ascii="Times New Roman" w:hAnsi="Times New Roman" w:cs="Times New Roman"/>
          <w:color w:val="000000"/>
          <w:sz w:val="24"/>
          <w:szCs w:val="24"/>
        </w:rPr>
        <w:t xml:space="preserve">efence </w:t>
      </w:r>
      <w:r w:rsidRPr="00DA5016">
        <w:rPr>
          <w:rFonts w:ascii="Times New Roman" w:hAnsi="Times New Roman" w:cs="Times New Roman"/>
          <w:color w:val="000000"/>
          <w:sz w:val="24"/>
          <w:szCs w:val="24"/>
        </w:rPr>
        <w:t>F</w:t>
      </w:r>
      <w:r>
        <w:rPr>
          <w:rFonts w:ascii="Times New Roman" w:hAnsi="Times New Roman" w:cs="Times New Roman"/>
          <w:color w:val="000000"/>
          <w:sz w:val="24"/>
          <w:szCs w:val="24"/>
        </w:rPr>
        <w:t>orce</w:t>
      </w:r>
      <w:r w:rsidRPr="00DA5016">
        <w:rPr>
          <w:rFonts w:ascii="Times New Roman" w:hAnsi="Times New Roman" w:cs="Times New Roman"/>
          <w:color w:val="000000"/>
          <w:sz w:val="24"/>
          <w:szCs w:val="24"/>
        </w:rPr>
        <w:t xml:space="preserve"> </w:t>
      </w:r>
      <w:r w:rsidR="00FB79A0">
        <w:rPr>
          <w:rFonts w:ascii="Times New Roman" w:hAnsi="Times New Roman" w:cs="Times New Roman"/>
          <w:color w:val="000000"/>
          <w:sz w:val="24"/>
          <w:szCs w:val="24"/>
        </w:rPr>
        <w:t xml:space="preserve">with conditions linked to service before 1 July 2004 </w:t>
      </w:r>
      <w:r w:rsidRPr="00DA5016">
        <w:rPr>
          <w:rFonts w:ascii="Times New Roman" w:hAnsi="Times New Roman" w:cs="Times New Roman"/>
          <w:color w:val="000000"/>
          <w:sz w:val="24"/>
          <w:szCs w:val="24"/>
        </w:rPr>
        <w:t>were covered by the</w:t>
      </w:r>
      <w:r>
        <w:rPr>
          <w:rFonts w:ascii="Times New Roman" w:hAnsi="Times New Roman" w:cs="Times New Roman"/>
          <w:color w:val="000000"/>
          <w:sz w:val="24"/>
          <w:szCs w:val="24"/>
        </w:rPr>
        <w:t xml:space="preserve"> SRCA</w:t>
      </w:r>
      <w:r>
        <w:rPr>
          <w:rFonts w:ascii="Times New Roman" w:hAnsi="Times New Roman" w:cs="Times New Roman"/>
          <w:sz w:val="24"/>
          <w:szCs w:val="24"/>
        </w:rPr>
        <w:t xml:space="preserve">. </w:t>
      </w:r>
    </w:p>
    <w:p w:rsidR="00D84339" w:rsidRPr="00BA0B4F" w:rsidRDefault="00D84339" w:rsidP="00005205">
      <w:pPr>
        <w:spacing w:after="220" w:line="240" w:lineRule="auto"/>
        <w:rPr>
          <w:rFonts w:ascii="Times New Roman" w:eastAsia="Calibri" w:hAnsi="Times New Roman" w:cs="Times New Roman"/>
          <w:sz w:val="24"/>
          <w:szCs w:val="24"/>
        </w:rPr>
      </w:pPr>
    </w:p>
    <w:p w:rsidR="00005205" w:rsidRPr="00BA0B4F" w:rsidRDefault="00005205" w:rsidP="00005205">
      <w:pPr>
        <w:spacing w:after="220" w:line="240" w:lineRule="auto"/>
        <w:rPr>
          <w:rFonts w:ascii="Times New Roman" w:eastAsia="Calibri" w:hAnsi="Times New Roman" w:cs="Times New Roman"/>
          <w:b/>
          <w:sz w:val="24"/>
          <w:szCs w:val="24"/>
        </w:rPr>
      </w:pPr>
      <w:r w:rsidRPr="00BA0B4F">
        <w:rPr>
          <w:rFonts w:ascii="Times New Roman" w:eastAsia="Calibri" w:hAnsi="Times New Roman" w:cs="Times New Roman"/>
          <w:b/>
          <w:sz w:val="24"/>
          <w:szCs w:val="24"/>
        </w:rPr>
        <w:t>National Injury Insurance Scheme minimum benchmarks</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conditions for the definition of a ‘catastrophic injury’ in this instrument are based on the minimum benchmarks for eligibility for catastrophic traumatic injuries for the workplace accidents stream of the National Injury Insurance Scheme (‘NIIS’). The minimum benchmarks are also the minimum benchmarks for the motor vehicle accidents stream of the NIIS. </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The NIIS minimum benchmarks for eligibility for catastrophic traumatic injuries are:</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1. </w:t>
      </w:r>
      <w:r w:rsidR="006756F9">
        <w:rPr>
          <w:rFonts w:ascii="Times New Roman" w:eastAsia="Calibri" w:hAnsi="Times New Roman" w:cs="Times New Roman"/>
          <w:sz w:val="24"/>
          <w:szCs w:val="24"/>
        </w:rPr>
        <w:t>Spinal cord</w:t>
      </w:r>
      <w:r w:rsidRPr="00BA0B4F">
        <w:rPr>
          <w:rFonts w:ascii="Times New Roman" w:eastAsia="Calibri" w:hAnsi="Times New Roman" w:cs="Times New Roman"/>
          <w:sz w:val="24"/>
          <w:szCs w:val="24"/>
        </w:rPr>
        <w:t xml:space="preserve"> injury — based on evidence of a permanent neurological deficit (principally paraplegia and quadriplegia).</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2. Traumatic brain injury — based on evidence of a significant brain injury which results in permanent impairments of cognitive, physical and/or psychosocial functions. A defined period of post traumatic amnesia plus a Functional Independence Measure at five or less, or two points less than the age appropriate norm (or equivalent where other assessment tools are used), would be required.</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3. Multiple amputations of the upper and/or lower extremities or single amputations involving forequarter amputation or shoulder disarticulation, hindquarter amputation, hip disarticulation or “short” </w:t>
      </w:r>
      <w:proofErr w:type="spellStart"/>
      <w:r w:rsidRPr="00BA0B4F">
        <w:rPr>
          <w:rFonts w:ascii="Times New Roman" w:eastAsia="Calibri" w:hAnsi="Times New Roman" w:cs="Times New Roman"/>
          <w:sz w:val="24"/>
          <w:szCs w:val="24"/>
        </w:rPr>
        <w:t>transfemoral</w:t>
      </w:r>
      <w:proofErr w:type="spellEnd"/>
      <w:r w:rsidRPr="00BA0B4F">
        <w:rPr>
          <w:rFonts w:ascii="Times New Roman" w:eastAsia="Calibri" w:hAnsi="Times New Roman" w:cs="Times New Roman"/>
          <w:sz w:val="24"/>
          <w:szCs w:val="24"/>
        </w:rPr>
        <w:t xml:space="preserve"> amputation involving the loss of 65% or more of the length of the femur.</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4. Burns — full thickness burns greater than 40 per cent of the total body surface area (or greater than 30 per cent in children under 16 years) or full thickness burns to the hands</w:t>
      </w:r>
      <w:r w:rsidR="003E1F3E">
        <w:rPr>
          <w:rFonts w:ascii="Times New Roman" w:eastAsia="Calibri" w:hAnsi="Times New Roman" w:cs="Times New Roman"/>
          <w:sz w:val="24"/>
          <w:szCs w:val="24"/>
        </w:rPr>
        <w:t>,</w:t>
      </w:r>
      <w:r w:rsidRPr="00BA0B4F">
        <w:rPr>
          <w:rFonts w:ascii="Times New Roman" w:eastAsia="Calibri" w:hAnsi="Times New Roman" w:cs="Times New Roman"/>
          <w:sz w:val="24"/>
          <w:szCs w:val="24"/>
        </w:rPr>
        <w:t xml:space="preserve"> face or genital area, or inhalation burns causing long-term respiratory impairment, plus a </w:t>
      </w:r>
      <w:r w:rsidR="00DD5C02" w:rsidRPr="00BA0B4F">
        <w:rPr>
          <w:rFonts w:ascii="Times New Roman" w:eastAsia="Calibri" w:hAnsi="Times New Roman" w:cs="Times New Roman"/>
          <w:sz w:val="24"/>
          <w:szCs w:val="24"/>
        </w:rPr>
        <w:t xml:space="preserve">Functional Independence Measure </w:t>
      </w:r>
      <w:r w:rsidRPr="00BA0B4F">
        <w:rPr>
          <w:rFonts w:ascii="Times New Roman" w:eastAsia="Calibri" w:hAnsi="Times New Roman" w:cs="Times New Roman"/>
          <w:sz w:val="24"/>
          <w:szCs w:val="24"/>
        </w:rPr>
        <w:t>score at five or less, or two points less than the age norm (or equivalent where other assessment tools are used).</w:t>
      </w:r>
    </w:p>
    <w:p w:rsidR="00005205" w:rsidRPr="00BA0B4F" w:rsidRDefault="00005205" w:rsidP="00005205">
      <w:pPr>
        <w:spacing w:after="220" w:line="240" w:lineRule="auto"/>
        <w:ind w:firstLine="720"/>
        <w:rPr>
          <w:rFonts w:ascii="Times New Roman" w:eastAsia="Calibri" w:hAnsi="Times New Roman" w:cs="Times New Roman"/>
          <w:sz w:val="24"/>
          <w:szCs w:val="24"/>
        </w:rPr>
      </w:pPr>
      <w:r w:rsidRPr="00BA0B4F">
        <w:rPr>
          <w:rFonts w:ascii="Times New Roman" w:eastAsia="Calibri" w:hAnsi="Times New Roman" w:cs="Times New Roman"/>
          <w:sz w:val="24"/>
          <w:szCs w:val="24"/>
        </w:rPr>
        <w:t>5. Permanent traumatic blindness, based on the legal definition of blindness.</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Whilst the conditions for the definition of a ‘catastrophic injury’ in this instrument are based on the NIIS minimum benchmarks, the conditions have been modified where it has been </w:t>
      </w:r>
      <w:r w:rsidRPr="00BA0B4F">
        <w:rPr>
          <w:rFonts w:ascii="Times New Roman" w:eastAsia="Calibri" w:hAnsi="Times New Roman" w:cs="Times New Roman"/>
          <w:sz w:val="24"/>
          <w:szCs w:val="24"/>
        </w:rPr>
        <w:lastRenderedPageBreak/>
        <w:t xml:space="preserve">appropriate or necessary to do so in order for the conditions to operate within the existing framework of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two primary modifications are that: </w:t>
      </w:r>
    </w:p>
    <w:p w:rsidR="00005205" w:rsidRPr="00BA0B4F" w:rsidRDefault="00005205" w:rsidP="00005205">
      <w:pPr>
        <w:pStyle w:val="ListParagraph"/>
        <w:numPr>
          <w:ilvl w:val="0"/>
          <w:numId w:val="1"/>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the injury does not need to have been traumatic</w:t>
      </w:r>
    </w:p>
    <w:p w:rsidR="00005205" w:rsidRPr="00BA0B4F" w:rsidRDefault="00005205" w:rsidP="00005205">
      <w:pPr>
        <w:pStyle w:val="ListParagraph"/>
        <w:numPr>
          <w:ilvl w:val="0"/>
          <w:numId w:val="1"/>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injury (or the impairment resulting from the injury) does not need to be permanent. </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There is no requirement for a ‘catastrophic injury’ to have been traumatic because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xml:space="preserve"> does not distinguish between compensable injuries which were traumatic injuries, and compensable injuries which were not traumatic injuries.</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There is no requirement that a ‘catastrophic injury’, or the impairment resulting from that injury, be permanent because an employee who has a catastrophic injury (such as a catastrophic brain injury) is likely to require the same level of household services or attendant care services during the period the employee has that catastrophic injury, regardless of whether the catastrophic injury is </w:t>
      </w:r>
      <w:r w:rsidR="00530D44">
        <w:rPr>
          <w:rFonts w:ascii="Times New Roman" w:eastAsia="Calibri" w:hAnsi="Times New Roman" w:cs="Times New Roman"/>
          <w:sz w:val="24"/>
          <w:szCs w:val="24"/>
        </w:rPr>
        <w:t xml:space="preserve">formally categorised as </w:t>
      </w:r>
      <w:r w:rsidRPr="00BA0B4F">
        <w:rPr>
          <w:rFonts w:ascii="Times New Roman" w:eastAsia="Calibri" w:hAnsi="Times New Roman" w:cs="Times New Roman"/>
          <w:sz w:val="24"/>
          <w:szCs w:val="24"/>
        </w:rPr>
        <w:t xml:space="preserve">temporary or permanent. </w:t>
      </w:r>
    </w:p>
    <w:p w:rsidR="00005205" w:rsidRPr="00BA0B4F" w:rsidRDefault="00005205" w:rsidP="00005205">
      <w:pPr>
        <w:spacing w:after="220" w:line="240" w:lineRule="auto"/>
        <w:rPr>
          <w:rFonts w:ascii="Times New Roman" w:eastAsia="Calibri" w:hAnsi="Times New Roman" w:cs="Times New Roman"/>
          <w:b/>
          <w:sz w:val="24"/>
          <w:szCs w:val="24"/>
        </w:rPr>
      </w:pPr>
      <w:r w:rsidRPr="00BA0B4F">
        <w:rPr>
          <w:rFonts w:ascii="Times New Roman" w:eastAsia="Calibri" w:hAnsi="Times New Roman" w:cs="Times New Roman"/>
          <w:b/>
          <w:sz w:val="24"/>
          <w:szCs w:val="24"/>
        </w:rPr>
        <w:t>Functional Independence Measure</w:t>
      </w:r>
    </w:p>
    <w:p w:rsidR="00005205" w:rsidRPr="00BA0B4F" w:rsidRDefault="00005205" w:rsidP="00005205">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The Functional Independence Measure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xml:space="preserve">’) is a basic indicator of severity of functional limitation that uses a 7-point ordinal scale for each of 18 activities of daily living. </w:t>
      </w:r>
      <w:r w:rsidR="00C57644" w:rsidRPr="00905E8B">
        <w:rPr>
          <w:rFonts w:ascii="Times New Roman" w:hAnsi="Times New Roman" w:cs="Times New Roman"/>
          <w:sz w:val="24"/>
          <w:szCs w:val="24"/>
        </w:rPr>
        <w:t xml:space="preserve">The higher the score, the more independent the patient is in performing the </w:t>
      </w:r>
      <w:r w:rsidR="00C57644">
        <w:rPr>
          <w:rFonts w:ascii="Times New Roman" w:hAnsi="Times New Roman" w:cs="Times New Roman"/>
          <w:sz w:val="24"/>
          <w:szCs w:val="24"/>
        </w:rPr>
        <w:t xml:space="preserve">activity. </w:t>
      </w:r>
      <w:r w:rsidRPr="00BA0B4F">
        <w:rPr>
          <w:rFonts w:ascii="Times New Roman" w:hAnsi="Times New Roman" w:cs="Times New Roman"/>
          <w:sz w:val="24"/>
          <w:szCs w:val="24"/>
        </w:rPr>
        <w:t>The scale provides for the classification of individuals by their ability to carry out an activity independently, compared with their need for assistance from another person or a device. If the person needs help, the scale assesses the degree of that need.</w:t>
      </w:r>
    </w:p>
    <w:p w:rsidR="00005205" w:rsidRPr="00BA0B4F" w:rsidRDefault="00005205" w:rsidP="00005205">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xml:space="preserve"> is widely used in Australia and internationally by medical and health professionals, including doctors, nurses and allied health professionals. It is also used in assessing injured persons for the purposes of entry into motor accident and lifetime care schemes for persons with a catastrophic injury in the Australian Capital Territory, New South Wales, Queensland, South Australia and Western Australia. </w:t>
      </w:r>
    </w:p>
    <w:p w:rsidR="00005205" w:rsidRPr="00BA0B4F" w:rsidRDefault="00005205" w:rsidP="00005205">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The licence in Australia for the use of the FIM</w:t>
      </w:r>
      <w:r w:rsidRPr="00BA0B4F">
        <w:rPr>
          <w:rFonts w:ascii="Times New Roman" w:hAnsi="Times New Roman" w:cs="Times New Roman"/>
          <w:sz w:val="24"/>
          <w:szCs w:val="24"/>
          <w:vertAlign w:val="superscript"/>
        </w:rPr>
        <w:t>TM</w:t>
      </w:r>
      <w:r w:rsidRPr="00BA0B4F" w:rsidDel="00B561F9">
        <w:rPr>
          <w:rFonts w:ascii="Times New Roman" w:hAnsi="Times New Roman" w:cs="Times New Roman"/>
          <w:sz w:val="24"/>
          <w:szCs w:val="24"/>
        </w:rPr>
        <w:t xml:space="preserve"> </w:t>
      </w:r>
      <w:r w:rsidRPr="00BA0B4F">
        <w:rPr>
          <w:rFonts w:ascii="Times New Roman" w:hAnsi="Times New Roman" w:cs="Times New Roman"/>
          <w:sz w:val="24"/>
          <w:szCs w:val="24"/>
        </w:rPr>
        <w:t xml:space="preserve">is held by the Australasian Rehabilitation Outcomes Centre (‘AROC’). AROC was established by the Australasian Faculty of Rehabilitation Medicine of the Royal Australasian College of Physicians in 2002. </w:t>
      </w:r>
    </w:p>
    <w:p w:rsidR="00F879AB" w:rsidRPr="005378BB" w:rsidRDefault="00F879AB" w:rsidP="00F879AB">
      <w:pPr>
        <w:spacing w:after="220" w:line="240" w:lineRule="auto"/>
        <w:rPr>
          <w:rFonts w:ascii="Times New Roman" w:eastAsia="Times New Roman" w:hAnsi="Times New Roman" w:cs="Times New Roman"/>
          <w:i/>
          <w:color w:val="000000"/>
          <w:sz w:val="24"/>
          <w:szCs w:val="24"/>
          <w:lang w:eastAsia="en-AU"/>
        </w:rPr>
      </w:pPr>
      <w:r w:rsidRPr="005378BB">
        <w:rPr>
          <w:rFonts w:ascii="Times New Roman" w:hAnsi="Times New Roman" w:cs="Times New Roman"/>
          <w:i/>
          <w:sz w:val="24"/>
          <w:szCs w:val="24"/>
        </w:rPr>
        <w:t>FIM</w:t>
      </w:r>
      <w:r w:rsidRPr="005378BB">
        <w:rPr>
          <w:rFonts w:ascii="Times New Roman" w:hAnsi="Times New Roman" w:cs="Times New Roman"/>
          <w:i/>
          <w:sz w:val="24"/>
          <w:szCs w:val="24"/>
          <w:vertAlign w:val="superscript"/>
        </w:rPr>
        <w:t>TM</w:t>
      </w:r>
      <w:r w:rsidRPr="005378BB">
        <w:rPr>
          <w:rFonts w:ascii="Times New Roman" w:hAnsi="Times New Roman" w:cs="Times New Roman"/>
          <w:i/>
          <w:sz w:val="24"/>
          <w:szCs w:val="24"/>
        </w:rPr>
        <w:t xml:space="preserve"> credentialed medical or health care professional</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Times New Roman" w:hAnsi="Times New Roman" w:cs="Times New Roman"/>
          <w:color w:val="000000"/>
          <w:sz w:val="24"/>
          <w:szCs w:val="24"/>
          <w:lang w:eastAsia="en-AU"/>
        </w:rPr>
        <w:t>A FIM</w:t>
      </w:r>
      <w:r w:rsidRPr="00BA0B4F">
        <w:rPr>
          <w:rFonts w:ascii="Times New Roman" w:hAnsi="Times New Roman" w:cs="Times New Roman"/>
          <w:sz w:val="24"/>
          <w:szCs w:val="24"/>
          <w:vertAlign w:val="superscript"/>
        </w:rPr>
        <w:t>TM</w:t>
      </w:r>
      <w:r w:rsidRPr="00BA0B4F">
        <w:rPr>
          <w:rFonts w:ascii="Times New Roman" w:eastAsia="Times New Roman" w:hAnsi="Times New Roman" w:cs="Times New Roman"/>
          <w:color w:val="000000"/>
          <w:sz w:val="24"/>
          <w:szCs w:val="24"/>
          <w:lang w:eastAsia="en-AU"/>
        </w:rPr>
        <w:t xml:space="preserve"> assessment must be carried out by a person </w:t>
      </w:r>
      <w:r w:rsidRPr="00BA0B4F">
        <w:rPr>
          <w:rFonts w:ascii="Times New Roman" w:hAnsi="Times New Roman" w:cs="Times New Roman"/>
          <w:sz w:val="24"/>
          <w:szCs w:val="24"/>
          <w:lang w:val="en"/>
        </w:rPr>
        <w:t>who has been trained in the use of the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lang w:val="en"/>
        </w:rPr>
        <w:t>, has passed the relevant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lang w:val="en"/>
        </w:rPr>
        <w:t xml:space="preserve"> credentialing examination and is credentialed at the time of the assessment. To be credentialed, a person must complete and pass a credentialing examination, which is available from AROC. Further information is available at: </w:t>
      </w:r>
      <w:hyperlink r:id="rId7" w:history="1">
        <w:r w:rsidR="008303FD" w:rsidRPr="008303FD">
          <w:rPr>
            <w:rStyle w:val="Hyperlink"/>
            <w:rFonts w:ascii="Times New Roman" w:hAnsi="Times New Roman"/>
            <w:sz w:val="24"/>
            <w:szCs w:val="24"/>
          </w:rPr>
          <w:t>https://ahsri.uow.edu.au/aroc/training/index.html</w:t>
        </w:r>
      </w:hyperlink>
      <w:r w:rsidR="008303FD">
        <w:rPr>
          <w:rFonts w:ascii="Times New Roman" w:hAnsi="Times New Roman" w:cs="Times New Roman"/>
          <w:sz w:val="24"/>
          <w:szCs w:val="24"/>
          <w:lang w:val="en"/>
        </w:rPr>
        <w:t>.</w:t>
      </w:r>
    </w:p>
    <w:p w:rsidR="00005205"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Where the NIIS minimum benchmarks refer to ‘other assessment tools’, this instrument only refers to the </w:t>
      </w:r>
      <w:r w:rsidRPr="00BA0B4F">
        <w:rPr>
          <w:rFonts w:ascii="Times New Roman" w:hAnsi="Times New Roman" w:cs="Times New Roman"/>
          <w:sz w:val="24"/>
          <w:szCs w:val="24"/>
        </w:rPr>
        <w:t>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That is because the use of the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xml:space="preserve"> has been widely adopted in Australia. In addition, </w:t>
      </w:r>
      <w:r w:rsidRPr="00BA0B4F">
        <w:rPr>
          <w:rFonts w:ascii="Times New Roman" w:eastAsia="Calibri" w:hAnsi="Times New Roman" w:cs="Times New Roman"/>
          <w:sz w:val="24"/>
          <w:szCs w:val="24"/>
        </w:rPr>
        <w:t>the use of several different assessment tools could lead to inconsistent outcomes.</w:t>
      </w:r>
    </w:p>
    <w:p w:rsidR="00BD56AF" w:rsidRPr="00BB0F65" w:rsidRDefault="00005205" w:rsidP="00BB0F65">
      <w:pPr>
        <w:spacing w:after="22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It is a condition</w:t>
      </w:r>
      <w:r w:rsidRPr="00BA0B4F">
        <w:rPr>
          <w:rFonts w:ascii="Times New Roman" w:eastAsia="Calibri" w:hAnsi="Times New Roman" w:cs="Times New Roman"/>
          <w:sz w:val="24"/>
          <w:szCs w:val="24"/>
        </w:rPr>
        <w:t xml:space="preserve"> for the definition of a ‘catastrophic injury’ in this instrument</w:t>
      </w:r>
      <w:r>
        <w:rPr>
          <w:rFonts w:ascii="Times New Roman" w:eastAsia="Calibri" w:hAnsi="Times New Roman" w:cs="Times New Roman"/>
          <w:sz w:val="24"/>
          <w:szCs w:val="24"/>
        </w:rPr>
        <w:t xml:space="preserve"> that </w:t>
      </w:r>
      <w:r w:rsidR="006756F9">
        <w:rPr>
          <w:rFonts w:ascii="Times New Roman" w:eastAsia="Calibri" w:hAnsi="Times New Roman" w:cs="Times New Roman"/>
          <w:sz w:val="24"/>
          <w:szCs w:val="24"/>
        </w:rPr>
        <w:t xml:space="preserve">the </w:t>
      </w:r>
      <w:r w:rsidRPr="00B6644D">
        <w:rPr>
          <w:rFonts w:ascii="Times New Roman" w:hAnsi="Times New Roman" w:cs="Times New Roman"/>
          <w:sz w:val="24"/>
          <w:szCs w:val="24"/>
        </w:rPr>
        <w:t xml:space="preserve">injury results in </w:t>
      </w:r>
      <w:r w:rsidR="00DD5C02">
        <w:rPr>
          <w:rFonts w:ascii="Times New Roman" w:hAnsi="Times New Roman" w:cs="Times New Roman"/>
          <w:sz w:val="24"/>
          <w:szCs w:val="24"/>
        </w:rPr>
        <w:t xml:space="preserve">an </w:t>
      </w:r>
      <w:r w:rsidRPr="00B6644D">
        <w:rPr>
          <w:rFonts w:ascii="Times New Roman" w:hAnsi="Times New Roman" w:cs="Times New Roman"/>
          <w:sz w:val="24"/>
          <w:szCs w:val="24"/>
        </w:rPr>
        <w:t xml:space="preserve">impairment assessed at a score of </w:t>
      </w:r>
      <w:r w:rsidR="00DD5C02">
        <w:rPr>
          <w:rFonts w:ascii="Times New Roman" w:hAnsi="Times New Roman" w:cs="Times New Roman"/>
          <w:sz w:val="24"/>
          <w:szCs w:val="24"/>
        </w:rPr>
        <w:t>five</w:t>
      </w:r>
      <w:r w:rsidRPr="00B6644D">
        <w:rPr>
          <w:rFonts w:ascii="Times New Roman" w:hAnsi="Times New Roman" w:cs="Times New Roman"/>
          <w:sz w:val="24"/>
          <w:szCs w:val="24"/>
        </w:rPr>
        <w:t xml:space="preserve"> or less on any of the items on the </w:t>
      </w:r>
      <w:r w:rsidR="006756F9" w:rsidRPr="00BA0B4F">
        <w:rPr>
          <w:rFonts w:ascii="Times New Roman" w:hAnsi="Times New Roman" w:cs="Times New Roman"/>
          <w:sz w:val="24"/>
          <w:szCs w:val="24"/>
        </w:rPr>
        <w:t>FIM</w:t>
      </w:r>
      <w:r w:rsidR="006756F9" w:rsidRPr="00BA0B4F">
        <w:rPr>
          <w:rFonts w:ascii="Times New Roman" w:hAnsi="Times New Roman" w:cs="Times New Roman"/>
          <w:sz w:val="24"/>
          <w:szCs w:val="24"/>
          <w:vertAlign w:val="superscript"/>
        </w:rPr>
        <w:t>TM</w:t>
      </w:r>
      <w:r w:rsidRPr="00B6644D">
        <w:rPr>
          <w:rFonts w:ascii="Times New Roman" w:hAnsi="Times New Roman" w:cs="Times New Roman"/>
          <w:sz w:val="24"/>
          <w:szCs w:val="24"/>
        </w:rPr>
        <w:t xml:space="preserve"> score sheet</w:t>
      </w:r>
      <w:r w:rsidR="002D423D">
        <w:rPr>
          <w:rFonts w:ascii="Times New Roman" w:hAnsi="Times New Roman" w:cs="Times New Roman"/>
          <w:sz w:val="24"/>
          <w:szCs w:val="24"/>
        </w:rPr>
        <w:t>, see paragraph 6(a)</w:t>
      </w:r>
      <w:r w:rsidR="00760123">
        <w:rPr>
          <w:rFonts w:ascii="Times New Roman" w:hAnsi="Times New Roman" w:cs="Times New Roman"/>
          <w:sz w:val="24"/>
          <w:szCs w:val="24"/>
        </w:rPr>
        <w:t xml:space="preserve"> of </w:t>
      </w:r>
      <w:r w:rsidR="006B729F">
        <w:rPr>
          <w:rFonts w:ascii="Times New Roman" w:hAnsi="Times New Roman" w:cs="Times New Roman"/>
          <w:sz w:val="24"/>
          <w:szCs w:val="24"/>
        </w:rPr>
        <w:t xml:space="preserve">this </w:t>
      </w:r>
      <w:r w:rsidR="00760123">
        <w:rPr>
          <w:rFonts w:ascii="Times New Roman" w:hAnsi="Times New Roman" w:cs="Times New Roman"/>
          <w:sz w:val="24"/>
          <w:szCs w:val="24"/>
        </w:rPr>
        <w:t>instrument</w:t>
      </w:r>
      <w:r w:rsidR="002D423D">
        <w:rPr>
          <w:rFonts w:ascii="Times New Roman" w:hAnsi="Times New Roman" w:cs="Times New Roman"/>
          <w:sz w:val="24"/>
          <w:szCs w:val="24"/>
        </w:rPr>
        <w:t>.</w:t>
      </w:r>
      <w:r w:rsidR="00BB0F65">
        <w:rPr>
          <w:rFonts w:ascii="Times New Roman" w:hAnsi="Times New Roman" w:cs="Times New Roman"/>
          <w:sz w:val="24"/>
          <w:szCs w:val="24"/>
        </w:rPr>
        <w:t xml:space="preserve"> </w:t>
      </w:r>
    </w:p>
    <w:p w:rsidR="00005205" w:rsidRDefault="00005205" w:rsidP="00005205">
      <w:pPr>
        <w:spacing w:after="220" w:line="240" w:lineRule="auto"/>
        <w:rPr>
          <w:rFonts w:ascii="Times New Roman" w:hAnsi="Times New Roman" w:cs="Times New Roman"/>
          <w:b/>
          <w:sz w:val="24"/>
          <w:szCs w:val="24"/>
        </w:rPr>
      </w:pPr>
      <w:r w:rsidRPr="00B6644D">
        <w:rPr>
          <w:rFonts w:ascii="Times New Roman" w:hAnsi="Times New Roman" w:cs="Times New Roman"/>
          <w:b/>
          <w:sz w:val="24"/>
          <w:szCs w:val="24"/>
        </w:rPr>
        <w:t>Standardised Mini</w:t>
      </w:r>
      <w:r w:rsidR="003E1F3E">
        <w:rPr>
          <w:rFonts w:ascii="Times New Roman" w:hAnsi="Times New Roman" w:cs="Times New Roman"/>
          <w:b/>
          <w:sz w:val="24"/>
          <w:szCs w:val="24"/>
        </w:rPr>
        <w:t>-</w:t>
      </w:r>
      <w:r w:rsidRPr="00B6644D">
        <w:rPr>
          <w:rFonts w:ascii="Times New Roman" w:hAnsi="Times New Roman" w:cs="Times New Roman"/>
          <w:b/>
          <w:sz w:val="24"/>
          <w:szCs w:val="24"/>
        </w:rPr>
        <w:t>Mental State Examination</w:t>
      </w:r>
    </w:p>
    <w:p w:rsidR="002D423D" w:rsidRDefault="00EE1232" w:rsidP="002D423D">
      <w:pPr>
        <w:spacing w:after="220" w:line="240" w:lineRule="auto"/>
        <w:rPr>
          <w:rFonts w:ascii="Times New Roman" w:hAnsi="Times New Roman" w:cs="Times New Roman"/>
          <w:sz w:val="24"/>
          <w:szCs w:val="24"/>
        </w:rPr>
      </w:pPr>
      <w:r>
        <w:rPr>
          <w:rFonts w:ascii="Times New Roman" w:eastAsia="Calibri" w:hAnsi="Times New Roman" w:cs="Times New Roman"/>
          <w:sz w:val="24"/>
          <w:szCs w:val="24"/>
        </w:rPr>
        <w:t>The Standardised Mini-</w:t>
      </w:r>
      <w:r w:rsidR="00933EA5">
        <w:rPr>
          <w:rFonts w:ascii="Times New Roman" w:eastAsia="Calibri" w:hAnsi="Times New Roman" w:cs="Times New Roman"/>
          <w:sz w:val="24"/>
          <w:szCs w:val="24"/>
        </w:rPr>
        <w:t>Mental State Examination (SMMSE) is the most common cognitive screening and assessment tool used in clinical practice, and is a well validated measure of impairments associated with diseases of the brain.</w:t>
      </w:r>
      <w:r w:rsidR="002D423D">
        <w:rPr>
          <w:rFonts w:ascii="Times New Roman" w:eastAsia="Calibri" w:hAnsi="Times New Roman" w:cs="Times New Roman"/>
          <w:sz w:val="24"/>
          <w:szCs w:val="24"/>
        </w:rPr>
        <w:t xml:space="preserve"> The Standardised Mini-Mental State Examination (SMMSE) tool is used in section 8 of this instrument as one of the measures for determini</w:t>
      </w:r>
      <w:r w:rsidR="00017C47">
        <w:rPr>
          <w:rFonts w:ascii="Times New Roman" w:eastAsia="Calibri" w:hAnsi="Times New Roman" w:cs="Times New Roman"/>
          <w:sz w:val="24"/>
          <w:szCs w:val="24"/>
        </w:rPr>
        <w:t xml:space="preserve">ng whether an injury </w:t>
      </w:r>
      <w:r w:rsidR="002D423D">
        <w:rPr>
          <w:rFonts w:ascii="Times New Roman" w:eastAsia="Calibri" w:hAnsi="Times New Roman" w:cs="Times New Roman"/>
          <w:sz w:val="24"/>
          <w:szCs w:val="24"/>
        </w:rPr>
        <w:t xml:space="preserve">is a catastrophic </w:t>
      </w:r>
      <w:r w:rsidR="00017C47">
        <w:rPr>
          <w:rFonts w:ascii="Times New Roman" w:eastAsia="Calibri" w:hAnsi="Times New Roman" w:cs="Times New Roman"/>
          <w:sz w:val="24"/>
          <w:szCs w:val="24"/>
        </w:rPr>
        <w:t xml:space="preserve">brain </w:t>
      </w:r>
      <w:r w:rsidR="002D423D">
        <w:rPr>
          <w:rFonts w:ascii="Times New Roman" w:eastAsia="Calibri" w:hAnsi="Times New Roman" w:cs="Times New Roman"/>
          <w:sz w:val="24"/>
          <w:szCs w:val="24"/>
        </w:rPr>
        <w:t xml:space="preserve">injury. </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CONSULTATION</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 xml:space="preserve">Section 17 of the </w:t>
      </w:r>
      <w:r w:rsidRPr="00216A5E">
        <w:rPr>
          <w:rFonts w:ascii="Times New Roman" w:hAnsi="Times New Roman" w:cs="Times New Roman"/>
          <w:i/>
          <w:sz w:val="24"/>
          <w:szCs w:val="24"/>
        </w:rPr>
        <w:t>Legislation Act 2003</w:t>
      </w:r>
      <w:r w:rsidRPr="00B6644D">
        <w:rPr>
          <w:rFonts w:ascii="Times New Roman" w:hAnsi="Times New Roman" w:cs="Times New Roman"/>
          <w:sz w:val="24"/>
          <w:szCs w:val="24"/>
        </w:rPr>
        <w:t xml:space="preserve"> requires a rule-maker to be satisfied, before making a legislative instrument that any consultation the rule-maker considered appropriate and reasonably practicable, has been undertaken.</w:t>
      </w:r>
    </w:p>
    <w:p w:rsidR="00A81C8B" w:rsidRDefault="00B00797" w:rsidP="00A81C8B">
      <w:pPr>
        <w:rPr>
          <w:rFonts w:ascii="Times New Roman" w:hAnsi="Times New Roman"/>
          <w:color w:val="000000"/>
          <w:sz w:val="24"/>
          <w:szCs w:val="24"/>
        </w:rPr>
      </w:pPr>
      <w:r>
        <w:rPr>
          <w:rFonts w:ascii="Times New Roman" w:hAnsi="Times New Roman" w:cs="Times New Roman"/>
          <w:color w:val="000000"/>
          <w:sz w:val="24"/>
          <w:szCs w:val="24"/>
        </w:rPr>
        <w:t xml:space="preserve">External consultation has taken place with the </w:t>
      </w:r>
      <w:r w:rsidRPr="00A1600D">
        <w:rPr>
          <w:rFonts w:ascii="Times New Roman" w:hAnsi="Times New Roman" w:cs="Times New Roman"/>
          <w:color w:val="000000"/>
          <w:sz w:val="24"/>
          <w:szCs w:val="24"/>
        </w:rPr>
        <w:t xml:space="preserve">Department of Jobs and Small Business, and </w:t>
      </w:r>
      <w:proofErr w:type="spellStart"/>
      <w:r w:rsidRPr="00A1600D">
        <w:rPr>
          <w:rFonts w:ascii="Times New Roman" w:hAnsi="Times New Roman" w:cs="Times New Roman"/>
          <w:color w:val="000000"/>
          <w:sz w:val="24"/>
          <w:szCs w:val="24"/>
        </w:rPr>
        <w:t>Comcare</w:t>
      </w:r>
      <w:proofErr w:type="spellEnd"/>
      <w:r>
        <w:rPr>
          <w:rFonts w:ascii="Times New Roman" w:hAnsi="Times New Roman" w:cs="Times New Roman"/>
          <w:color w:val="000000"/>
          <w:sz w:val="24"/>
          <w:szCs w:val="24"/>
        </w:rPr>
        <w:t xml:space="preserve">. There has been consultation within </w:t>
      </w:r>
      <w:r w:rsidR="0092167E">
        <w:rPr>
          <w:rFonts w:ascii="Times New Roman" w:hAnsi="Times New Roman" w:cs="Times New Roman"/>
          <w:color w:val="000000"/>
          <w:sz w:val="24"/>
          <w:szCs w:val="24"/>
        </w:rPr>
        <w:t>the De</w:t>
      </w:r>
      <w:r w:rsidR="002541D9">
        <w:rPr>
          <w:rFonts w:ascii="Times New Roman" w:hAnsi="Times New Roman" w:cs="Times New Roman"/>
          <w:color w:val="000000"/>
          <w:sz w:val="24"/>
          <w:szCs w:val="24"/>
        </w:rPr>
        <w:t>partment of Veterans’ Affairs</w:t>
      </w:r>
      <w:r>
        <w:rPr>
          <w:rFonts w:ascii="Times New Roman" w:hAnsi="Times New Roman" w:cs="Times New Roman"/>
          <w:color w:val="000000"/>
          <w:sz w:val="24"/>
          <w:szCs w:val="24"/>
        </w:rPr>
        <w:t xml:space="preserve"> with the </w:t>
      </w:r>
      <w:r w:rsidR="002541D9">
        <w:rPr>
          <w:rFonts w:ascii="Times New Roman" w:hAnsi="Times New Roman" w:cs="Times New Roman"/>
          <w:color w:val="000000"/>
          <w:sz w:val="24"/>
          <w:szCs w:val="24"/>
        </w:rPr>
        <w:t>Chief Health Officer/</w:t>
      </w:r>
      <w:r w:rsidRPr="00490F1C">
        <w:rPr>
          <w:rFonts w:ascii="Times New Roman" w:hAnsi="Times New Roman" w:cs="Times New Roman"/>
          <w:color w:val="000000"/>
          <w:sz w:val="24"/>
          <w:szCs w:val="24"/>
        </w:rPr>
        <w:t xml:space="preserve">Principal Medical Adviser, </w:t>
      </w:r>
      <w:r>
        <w:rPr>
          <w:rFonts w:ascii="Times New Roman" w:hAnsi="Times New Roman" w:cs="Times New Roman"/>
          <w:color w:val="000000"/>
          <w:sz w:val="24"/>
          <w:szCs w:val="24"/>
        </w:rPr>
        <w:t xml:space="preserve">the </w:t>
      </w:r>
      <w:r w:rsidR="002541D9">
        <w:rPr>
          <w:rFonts w:ascii="Times New Roman" w:hAnsi="Times New Roman" w:cs="Times New Roman"/>
          <w:color w:val="000000"/>
          <w:sz w:val="24"/>
          <w:szCs w:val="24"/>
        </w:rPr>
        <w:t xml:space="preserve">Senior </w:t>
      </w:r>
      <w:r w:rsidRPr="00490F1C">
        <w:rPr>
          <w:rFonts w:ascii="Times New Roman" w:hAnsi="Times New Roman" w:cs="Times New Roman"/>
          <w:color w:val="000000"/>
          <w:sz w:val="24"/>
          <w:szCs w:val="24"/>
        </w:rPr>
        <w:t xml:space="preserve">Medical Adviser and </w:t>
      </w:r>
      <w:r>
        <w:rPr>
          <w:rFonts w:ascii="Times New Roman" w:hAnsi="Times New Roman" w:cs="Times New Roman"/>
          <w:color w:val="000000"/>
          <w:sz w:val="24"/>
          <w:szCs w:val="24"/>
        </w:rPr>
        <w:t xml:space="preserve">the </w:t>
      </w:r>
      <w:r w:rsidR="00A81C8B">
        <w:rPr>
          <w:rFonts w:ascii="Times New Roman" w:hAnsi="Times New Roman"/>
          <w:color w:val="000000"/>
          <w:sz w:val="24"/>
          <w:szCs w:val="24"/>
        </w:rPr>
        <w:t>Eligibility and Payments Policy Branch.</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 xml:space="preserve">In these circumstances it is considered that the requirements of section 17 of the </w:t>
      </w:r>
      <w:r w:rsidRPr="00216A5E">
        <w:rPr>
          <w:rFonts w:ascii="Times New Roman" w:hAnsi="Times New Roman" w:cs="Times New Roman"/>
          <w:i/>
          <w:sz w:val="24"/>
          <w:szCs w:val="24"/>
        </w:rPr>
        <w:t>Legislation Act 2003</w:t>
      </w:r>
      <w:r w:rsidRPr="00B6644D">
        <w:rPr>
          <w:rFonts w:ascii="Times New Roman" w:hAnsi="Times New Roman" w:cs="Times New Roman"/>
          <w:sz w:val="24"/>
          <w:szCs w:val="24"/>
        </w:rPr>
        <w:t xml:space="preserve"> have been met.</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RETROSPECTIVITY</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 xml:space="preserve">None. </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DOCUMENTS INCORPORATED BY REFERENCE</w:t>
      </w:r>
    </w:p>
    <w:p w:rsidR="00760123" w:rsidRDefault="003E1F3E" w:rsidP="00F23CCF">
      <w:pPr>
        <w:rPr>
          <w:rFonts w:ascii="Times New Roman" w:eastAsia="Times New Roman" w:hAnsi="Times New Roman" w:cs="Times New Roman"/>
          <w:sz w:val="24"/>
          <w:szCs w:val="24"/>
          <w:lang w:eastAsia="en-AU"/>
        </w:rPr>
      </w:pPr>
      <w:r>
        <w:rPr>
          <w:rFonts w:ascii="Times New Roman" w:hAnsi="Times New Roman" w:cs="Times New Roman"/>
          <w:sz w:val="24"/>
          <w:szCs w:val="24"/>
        </w:rPr>
        <w:t>Th</w:t>
      </w:r>
      <w:r w:rsidR="006B729F">
        <w:rPr>
          <w:rFonts w:ascii="Times New Roman" w:hAnsi="Times New Roman" w:cs="Times New Roman"/>
          <w:sz w:val="24"/>
          <w:szCs w:val="24"/>
        </w:rPr>
        <w:t>is</w:t>
      </w:r>
      <w:r w:rsidR="00402F00">
        <w:rPr>
          <w:rFonts w:ascii="Times New Roman" w:hAnsi="Times New Roman" w:cs="Times New Roman"/>
          <w:sz w:val="24"/>
          <w:szCs w:val="24"/>
        </w:rPr>
        <w:t xml:space="preserve"> </w:t>
      </w:r>
      <w:r w:rsidR="00021D47">
        <w:rPr>
          <w:rFonts w:ascii="Times New Roman" w:hAnsi="Times New Roman" w:cs="Times New Roman"/>
          <w:sz w:val="24"/>
          <w:szCs w:val="24"/>
        </w:rPr>
        <w:t xml:space="preserve">instrument incorporates, by reference, the </w:t>
      </w:r>
      <w:r w:rsidRPr="00BA0B4F">
        <w:rPr>
          <w:rFonts w:ascii="Times New Roman" w:hAnsi="Times New Roman" w:cs="Times New Roman"/>
          <w:sz w:val="24"/>
          <w:szCs w:val="24"/>
        </w:rPr>
        <w:t>FIM</w:t>
      </w:r>
      <w:r w:rsidRPr="00BA0B4F">
        <w:rPr>
          <w:rFonts w:ascii="Times New Roman" w:hAnsi="Times New Roman" w:cs="Times New Roman"/>
          <w:sz w:val="24"/>
          <w:szCs w:val="24"/>
          <w:vertAlign w:val="superscript"/>
        </w:rPr>
        <w:t>TM</w:t>
      </w:r>
      <w:r>
        <w:rPr>
          <w:rFonts w:ascii="Times New Roman" w:hAnsi="Times New Roman" w:cs="Times New Roman"/>
          <w:sz w:val="24"/>
          <w:szCs w:val="24"/>
          <w:vertAlign w:val="superscript"/>
        </w:rPr>
        <w:t xml:space="preserve"> </w:t>
      </w:r>
      <w:r>
        <w:rPr>
          <w:rFonts w:ascii="Times New Roman" w:hAnsi="Times New Roman" w:cs="Times New Roman"/>
          <w:sz w:val="24"/>
          <w:szCs w:val="24"/>
        </w:rPr>
        <w:t>score sheet</w:t>
      </w:r>
      <w:r w:rsidR="00021D47">
        <w:rPr>
          <w:rFonts w:ascii="Times New Roman" w:hAnsi="Times New Roman" w:cs="Times New Roman"/>
          <w:sz w:val="24"/>
          <w:szCs w:val="24"/>
        </w:rPr>
        <w:t xml:space="preserve">. The </w:t>
      </w:r>
      <w:r w:rsidR="00021D47" w:rsidRPr="00BA0B4F">
        <w:rPr>
          <w:rFonts w:ascii="Times New Roman" w:hAnsi="Times New Roman" w:cs="Times New Roman"/>
          <w:sz w:val="24"/>
          <w:szCs w:val="24"/>
        </w:rPr>
        <w:t>FIM</w:t>
      </w:r>
      <w:r w:rsidR="00021D47" w:rsidRPr="00BA0B4F">
        <w:rPr>
          <w:rFonts w:ascii="Times New Roman" w:hAnsi="Times New Roman" w:cs="Times New Roman"/>
          <w:sz w:val="24"/>
          <w:szCs w:val="24"/>
          <w:vertAlign w:val="superscript"/>
        </w:rPr>
        <w:t>TM</w:t>
      </w:r>
      <w:r w:rsidR="00021D47">
        <w:rPr>
          <w:rFonts w:ascii="Times New Roman" w:hAnsi="Times New Roman" w:cs="Times New Roman"/>
          <w:sz w:val="24"/>
          <w:szCs w:val="24"/>
          <w:vertAlign w:val="superscript"/>
        </w:rPr>
        <w:t xml:space="preserve"> </w:t>
      </w:r>
      <w:r w:rsidR="00021D47">
        <w:rPr>
          <w:rFonts w:ascii="Times New Roman" w:hAnsi="Times New Roman" w:cs="Times New Roman"/>
          <w:sz w:val="24"/>
          <w:szCs w:val="24"/>
        </w:rPr>
        <w:t xml:space="preserve">score sheet that is incorporated by reference is </w:t>
      </w:r>
      <w:r>
        <w:rPr>
          <w:rFonts w:ascii="Times New Roman" w:hAnsi="Times New Roman" w:cs="Times New Roman"/>
          <w:sz w:val="24"/>
          <w:szCs w:val="24"/>
        </w:rPr>
        <w:t>the version of the document in the form in which it exists on the day of commencement of th</w:t>
      </w:r>
      <w:r w:rsidR="006B729F">
        <w:rPr>
          <w:rFonts w:ascii="Times New Roman" w:hAnsi="Times New Roman" w:cs="Times New Roman"/>
          <w:sz w:val="24"/>
          <w:szCs w:val="24"/>
        </w:rPr>
        <w:t>is</w:t>
      </w:r>
      <w:r w:rsidR="002600F7">
        <w:rPr>
          <w:rFonts w:ascii="Times New Roman" w:hAnsi="Times New Roman" w:cs="Times New Roman"/>
          <w:sz w:val="24"/>
          <w:szCs w:val="24"/>
        </w:rPr>
        <w:t xml:space="preserve"> </w:t>
      </w:r>
      <w:r>
        <w:rPr>
          <w:rFonts w:ascii="Times New Roman" w:hAnsi="Times New Roman" w:cs="Times New Roman"/>
          <w:sz w:val="24"/>
          <w:szCs w:val="24"/>
        </w:rPr>
        <w:t xml:space="preserve">instrument. The </w:t>
      </w:r>
      <w:r w:rsidRPr="00BA0B4F">
        <w:rPr>
          <w:rFonts w:ascii="Times New Roman" w:hAnsi="Times New Roman" w:cs="Times New Roman"/>
          <w:sz w:val="24"/>
          <w:szCs w:val="24"/>
        </w:rPr>
        <w:t>FIM</w:t>
      </w:r>
      <w:r w:rsidRPr="00BA0B4F">
        <w:rPr>
          <w:rFonts w:ascii="Times New Roman" w:hAnsi="Times New Roman" w:cs="Times New Roman"/>
          <w:sz w:val="24"/>
          <w:szCs w:val="24"/>
          <w:vertAlign w:val="superscript"/>
        </w:rPr>
        <w:t>TM</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score sheet is published by </w:t>
      </w:r>
      <w:r w:rsidRPr="00BB0F65">
        <w:rPr>
          <w:rFonts w:ascii="Times New Roman" w:hAnsi="Times New Roman" w:cs="Times New Roman"/>
          <w:sz w:val="24"/>
          <w:szCs w:val="24"/>
        </w:rPr>
        <w:t>A</w:t>
      </w:r>
      <w:r>
        <w:rPr>
          <w:rFonts w:ascii="Times New Roman" w:hAnsi="Times New Roman" w:cs="Times New Roman"/>
          <w:sz w:val="24"/>
          <w:szCs w:val="24"/>
        </w:rPr>
        <w:t>ROC</w:t>
      </w:r>
      <w:r w:rsidRPr="00BB0F65">
        <w:rPr>
          <w:rFonts w:ascii="Times New Roman" w:hAnsi="Times New Roman" w:cs="Times New Roman"/>
          <w:sz w:val="24"/>
          <w:szCs w:val="24"/>
        </w:rPr>
        <w:t>. The FIM</w:t>
      </w:r>
      <w:r w:rsidRPr="00BB0F65">
        <w:rPr>
          <w:rFonts w:ascii="Times New Roman" w:hAnsi="Times New Roman" w:cs="Times New Roman"/>
          <w:sz w:val="24"/>
          <w:szCs w:val="24"/>
          <w:vertAlign w:val="superscript"/>
        </w:rPr>
        <w:t>TM</w:t>
      </w:r>
      <w:r w:rsidRPr="00BB0F65">
        <w:rPr>
          <w:rFonts w:ascii="Times New Roman" w:hAnsi="Times New Roman" w:cs="Times New Roman"/>
          <w:sz w:val="24"/>
          <w:szCs w:val="24"/>
        </w:rPr>
        <w:t xml:space="preserve"> score sheet is </w:t>
      </w:r>
      <w:r>
        <w:rPr>
          <w:rFonts w:ascii="Times New Roman" w:hAnsi="Times New Roman" w:cs="Times New Roman"/>
          <w:sz w:val="24"/>
          <w:szCs w:val="24"/>
        </w:rPr>
        <w:t xml:space="preserve">freely </w:t>
      </w:r>
      <w:r w:rsidRPr="00BB0F65">
        <w:rPr>
          <w:rFonts w:ascii="Times New Roman" w:hAnsi="Times New Roman" w:cs="Times New Roman"/>
          <w:sz w:val="24"/>
          <w:szCs w:val="24"/>
        </w:rPr>
        <w:t xml:space="preserve">available </w:t>
      </w:r>
      <w:r>
        <w:rPr>
          <w:rFonts w:ascii="Times New Roman" w:hAnsi="Times New Roman" w:cs="Times New Roman"/>
          <w:sz w:val="24"/>
          <w:szCs w:val="24"/>
        </w:rPr>
        <w:t xml:space="preserve">online </w:t>
      </w:r>
      <w:r w:rsidRPr="00BB0F65">
        <w:rPr>
          <w:rFonts w:ascii="Times New Roman" w:hAnsi="Times New Roman" w:cs="Times New Roman"/>
          <w:sz w:val="24"/>
          <w:szCs w:val="24"/>
        </w:rPr>
        <w:t xml:space="preserve">at: </w:t>
      </w:r>
      <w:hyperlink r:id="rId8" w:history="1">
        <w:r w:rsidRPr="00BB0F65">
          <w:rPr>
            <w:rStyle w:val="Hyperlink"/>
            <w:rFonts w:ascii="Times New Roman" w:hAnsi="Times New Roman"/>
            <w:sz w:val="24"/>
            <w:szCs w:val="24"/>
          </w:rPr>
          <w:t>https://ahsri.uow.edu.au/aroc/whatisfim/index.html</w:t>
        </w:r>
      </w:hyperlink>
      <w:r w:rsidRPr="00BB0F65">
        <w:rPr>
          <w:rFonts w:ascii="Times New Roman" w:hAnsi="Times New Roman" w:cs="Times New Roman"/>
          <w:color w:val="1F497D"/>
          <w:sz w:val="24"/>
          <w:szCs w:val="24"/>
        </w:rPr>
        <w:t xml:space="preserve"> </w:t>
      </w:r>
      <w:r w:rsidRPr="00BB0F65">
        <w:rPr>
          <w:rFonts w:ascii="Times New Roman" w:hAnsi="Times New Roman" w:cs="Times New Roman"/>
          <w:sz w:val="24"/>
          <w:szCs w:val="24"/>
        </w:rPr>
        <w:t>by opening the page and clicking on the excel diagram under the heading “AN-SNAP Calculator With Benchmarks”.</w:t>
      </w:r>
      <w:r w:rsidR="00F23CCF" w:rsidRPr="00F23CCF">
        <w:rPr>
          <w:rFonts w:ascii="Times New Roman" w:eastAsia="Times New Roman" w:hAnsi="Times New Roman" w:cs="Times New Roman"/>
          <w:sz w:val="24"/>
          <w:szCs w:val="24"/>
          <w:lang w:eastAsia="en-AU"/>
        </w:rPr>
        <w:t xml:space="preserve"> </w:t>
      </w:r>
    </w:p>
    <w:p w:rsidR="00F23CCF" w:rsidRPr="0040126B" w:rsidRDefault="003E1F3E" w:rsidP="00F23CCF">
      <w:pPr>
        <w:rPr>
          <w:rFonts w:ascii="Times New Roman" w:eastAsia="Times New Roman" w:hAnsi="Times New Roman" w:cs="Times New Roman"/>
          <w:color w:val="000000"/>
          <w:sz w:val="24"/>
          <w:szCs w:val="24"/>
          <w:lang w:val="en-GB" w:eastAsia="en-AU"/>
        </w:rPr>
      </w:pPr>
      <w:r>
        <w:rPr>
          <w:rFonts w:ascii="Times New Roman" w:hAnsi="Times New Roman" w:cs="Times New Roman"/>
          <w:sz w:val="24"/>
          <w:szCs w:val="24"/>
        </w:rPr>
        <w:t>Th</w:t>
      </w:r>
      <w:r w:rsidR="006B729F">
        <w:rPr>
          <w:rFonts w:ascii="Times New Roman" w:hAnsi="Times New Roman" w:cs="Times New Roman"/>
          <w:sz w:val="24"/>
          <w:szCs w:val="24"/>
        </w:rPr>
        <w:t>is</w:t>
      </w:r>
      <w:r w:rsidR="00021D47">
        <w:rPr>
          <w:rFonts w:ascii="Times New Roman" w:hAnsi="Times New Roman" w:cs="Times New Roman"/>
          <w:sz w:val="24"/>
          <w:szCs w:val="24"/>
        </w:rPr>
        <w:t xml:space="preserve"> instrument incorporates, by reference, the</w:t>
      </w:r>
      <w:r>
        <w:rPr>
          <w:rFonts w:ascii="Times New Roman" w:hAnsi="Times New Roman" w:cs="Times New Roman"/>
          <w:sz w:val="24"/>
          <w:szCs w:val="24"/>
        </w:rPr>
        <w:t xml:space="preserve"> </w:t>
      </w:r>
      <w:r w:rsidRPr="002C3B89">
        <w:rPr>
          <w:rFonts w:ascii="Times New Roman" w:hAnsi="Times New Roman" w:cs="Times New Roman"/>
          <w:sz w:val="24"/>
          <w:szCs w:val="24"/>
        </w:rPr>
        <w:t>Standardised Mini-Mental State Examination (SMMSE) tool</w:t>
      </w:r>
      <w:r w:rsidR="00021D47">
        <w:rPr>
          <w:rFonts w:ascii="Times New Roman" w:hAnsi="Times New Roman" w:cs="Times New Roman"/>
          <w:sz w:val="24"/>
          <w:szCs w:val="24"/>
        </w:rPr>
        <w:t xml:space="preserve">. The </w:t>
      </w:r>
      <w:r w:rsidR="00021D47" w:rsidRPr="002C3B89">
        <w:rPr>
          <w:rFonts w:ascii="Times New Roman" w:hAnsi="Times New Roman" w:cs="Times New Roman"/>
          <w:sz w:val="24"/>
          <w:szCs w:val="24"/>
        </w:rPr>
        <w:t>Standardised Mini-Mental State Examination (SMMSE) tool</w:t>
      </w:r>
      <w:r w:rsidR="00021D47">
        <w:rPr>
          <w:rFonts w:ascii="Times New Roman" w:hAnsi="Times New Roman" w:cs="Times New Roman"/>
          <w:sz w:val="24"/>
          <w:szCs w:val="24"/>
        </w:rPr>
        <w:t xml:space="preserve"> that is incorporated by reference is </w:t>
      </w:r>
      <w:r>
        <w:rPr>
          <w:rFonts w:ascii="Times New Roman" w:hAnsi="Times New Roman" w:cs="Times New Roman"/>
          <w:sz w:val="24"/>
          <w:szCs w:val="24"/>
        </w:rPr>
        <w:t xml:space="preserve">the version of the document in the form in which it exists on the day of commencement of this instrument. The </w:t>
      </w:r>
      <w:r>
        <w:rPr>
          <w:rFonts w:ascii="Times New Roman" w:hAnsi="Times New Roman" w:cs="Times New Roman"/>
          <w:sz w:val="24"/>
          <w:szCs w:val="24"/>
          <w:vertAlign w:val="superscript"/>
        </w:rPr>
        <w:t xml:space="preserve"> </w:t>
      </w:r>
      <w:r w:rsidRPr="002C3B89">
        <w:rPr>
          <w:rFonts w:ascii="Times New Roman" w:hAnsi="Times New Roman" w:cs="Times New Roman"/>
          <w:sz w:val="24"/>
          <w:szCs w:val="24"/>
        </w:rPr>
        <w:t xml:space="preserve">Standardised Mini-Mental State Examination (SMMSE) </w:t>
      </w:r>
      <w:r>
        <w:rPr>
          <w:rFonts w:ascii="Times New Roman" w:hAnsi="Times New Roman" w:cs="Times New Roman"/>
          <w:sz w:val="24"/>
          <w:szCs w:val="24"/>
        </w:rPr>
        <w:t xml:space="preserve">tool is published by the </w:t>
      </w:r>
      <w:r w:rsidRPr="00A90480">
        <w:rPr>
          <w:rFonts w:ascii="Times New Roman" w:hAnsi="Times New Roman" w:cs="Times New Roman"/>
          <w:sz w:val="24"/>
          <w:szCs w:val="24"/>
        </w:rPr>
        <w:t>Independent Hospital Pricing Authority</w:t>
      </w:r>
      <w:r>
        <w:rPr>
          <w:rFonts w:ascii="Times New Roman" w:hAnsi="Times New Roman" w:cs="Times New Roman"/>
          <w:sz w:val="24"/>
          <w:szCs w:val="24"/>
        </w:rPr>
        <w:t xml:space="preserve">. The incorporated document is freely </w:t>
      </w:r>
      <w:r w:rsidRPr="00BB0F65">
        <w:rPr>
          <w:rFonts w:ascii="Times New Roman" w:hAnsi="Times New Roman" w:cs="Times New Roman"/>
          <w:sz w:val="24"/>
          <w:szCs w:val="24"/>
        </w:rPr>
        <w:t>available online at:</w:t>
      </w:r>
      <w:r w:rsidR="00A4716C">
        <w:rPr>
          <w:rFonts w:ascii="Times New Roman" w:hAnsi="Times New Roman" w:cs="Times New Roman"/>
          <w:sz w:val="24"/>
          <w:szCs w:val="24"/>
        </w:rPr>
        <w:t xml:space="preserve"> </w:t>
      </w:r>
      <w:hyperlink r:id="rId9" w:history="1">
        <w:r w:rsidRPr="00BB0F65">
          <w:rPr>
            <w:rStyle w:val="Hyperlink"/>
            <w:rFonts w:ascii="Times New Roman" w:hAnsi="Times New Roman"/>
            <w:sz w:val="24"/>
            <w:szCs w:val="24"/>
          </w:rPr>
          <w:t>https://www.ihpa.gov.au/what-we-do/standardised-mini-mental-state-examination-smmse</w:t>
        </w:r>
      </w:hyperlink>
      <w:r w:rsidR="00A4716C">
        <w:rPr>
          <w:rStyle w:val="Hyperlink"/>
          <w:rFonts w:ascii="Times New Roman" w:hAnsi="Times New Roman"/>
          <w:sz w:val="24"/>
          <w:szCs w:val="24"/>
        </w:rPr>
        <w:t xml:space="preserve"> </w:t>
      </w:r>
      <w:r w:rsidR="00A4716C">
        <w:rPr>
          <w:rFonts w:ascii="Times New Roman" w:hAnsi="Times New Roman" w:cs="Times New Roman"/>
          <w:sz w:val="24"/>
          <w:szCs w:val="24"/>
        </w:rPr>
        <w:t>by opening the page and clicking on the heading ‘Standard Mini-Mental Examination (SMMSE) tool’.</w:t>
      </w:r>
      <w:r w:rsidR="00F23CCF" w:rsidRPr="00F23CCF">
        <w:rPr>
          <w:rFonts w:ascii="Times New Roman" w:eastAsia="Times New Roman" w:hAnsi="Times New Roman" w:cs="Times New Roman"/>
          <w:sz w:val="24"/>
          <w:szCs w:val="24"/>
          <w:lang w:eastAsia="en-AU"/>
        </w:rPr>
        <w:t xml:space="preserve"> </w:t>
      </w:r>
    </w:p>
    <w:p w:rsidR="006A79C9" w:rsidRDefault="006A79C9" w:rsidP="00164336">
      <w:pPr>
        <w:rPr>
          <w:rFonts w:ascii="Times New Roman" w:hAnsi="Times New Roman" w:cs="Times New Roman"/>
          <w:b/>
          <w:sz w:val="24"/>
          <w:szCs w:val="24"/>
        </w:rPr>
      </w:pPr>
    </w:p>
    <w:p w:rsidR="006A79C9" w:rsidRDefault="006A79C9" w:rsidP="00164336">
      <w:pPr>
        <w:rPr>
          <w:rFonts w:ascii="Times New Roman" w:hAnsi="Times New Roman" w:cs="Times New Roman"/>
          <w:b/>
          <w:sz w:val="24"/>
          <w:szCs w:val="24"/>
        </w:rPr>
      </w:pP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REGULATORY IMPACT</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None.</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HUMAN RIGHTS STATEMENT</w:t>
      </w:r>
    </w:p>
    <w:p w:rsidR="0057326C" w:rsidRPr="0057326C" w:rsidRDefault="0057326C" w:rsidP="0057326C">
      <w:pPr>
        <w:spacing w:after="220" w:line="240" w:lineRule="auto"/>
        <w:rPr>
          <w:rFonts w:ascii="Times New Roman" w:eastAsia="Times New Roman" w:hAnsi="Times New Roman" w:cs="Times New Roman"/>
          <w:sz w:val="24"/>
          <w:szCs w:val="24"/>
          <w:lang w:eastAsia="en-AU"/>
        </w:rPr>
      </w:pPr>
      <w:r w:rsidRPr="00BA0B4F">
        <w:rPr>
          <w:rFonts w:ascii="Times New Roman" w:eastAsia="Times New Roman" w:hAnsi="Times New Roman" w:cs="Times New Roman"/>
          <w:iCs/>
          <w:sz w:val="24"/>
          <w:szCs w:val="24"/>
          <w:lang w:eastAsia="en-AU"/>
        </w:rPr>
        <w:t>Prepared in accordance with Part 3 of the</w:t>
      </w:r>
      <w:r w:rsidRPr="00BA0B4F">
        <w:rPr>
          <w:rFonts w:ascii="Times New Roman" w:eastAsia="Times New Roman" w:hAnsi="Times New Roman" w:cs="Times New Roman"/>
          <w:i/>
          <w:iCs/>
          <w:sz w:val="24"/>
          <w:szCs w:val="24"/>
          <w:lang w:eastAsia="en-AU"/>
        </w:rPr>
        <w:t xml:space="preserve"> Human Rights (Parliamentary Scrutiny) Act 2011</w:t>
      </w:r>
      <w:r>
        <w:rPr>
          <w:rFonts w:ascii="Times New Roman" w:eastAsia="Times New Roman" w:hAnsi="Times New Roman" w:cs="Times New Roman"/>
          <w:iCs/>
          <w:sz w:val="24"/>
          <w:szCs w:val="24"/>
          <w:lang w:eastAsia="en-AU"/>
        </w:rPr>
        <w:t>.</w:t>
      </w:r>
    </w:p>
    <w:p w:rsidR="00164336" w:rsidRPr="00BA0B4F" w:rsidRDefault="00164336" w:rsidP="00164336">
      <w:pPr>
        <w:spacing w:after="220" w:line="240" w:lineRule="auto"/>
        <w:rPr>
          <w:rFonts w:ascii="Times New Roman" w:eastAsia="Times New Roman" w:hAnsi="Times New Roman" w:cs="Times New Roman"/>
          <w:sz w:val="24"/>
          <w:szCs w:val="24"/>
          <w:lang w:eastAsia="en-AU"/>
        </w:rPr>
      </w:pPr>
      <w:r w:rsidRPr="00BA0B4F">
        <w:rPr>
          <w:rFonts w:ascii="Times New Roman" w:eastAsia="Times New Roman" w:hAnsi="Times New Roman" w:cs="Times New Roman"/>
          <w:b/>
          <w:bCs/>
          <w:sz w:val="24"/>
          <w:szCs w:val="24"/>
          <w:lang w:eastAsia="en-AU"/>
        </w:rPr>
        <w:t>Human rights implications</w:t>
      </w:r>
    </w:p>
    <w:p w:rsidR="00164336" w:rsidRPr="00BA0B4F" w:rsidRDefault="00164336" w:rsidP="00164336">
      <w:pPr>
        <w:spacing w:after="220" w:line="240" w:lineRule="auto"/>
        <w:outlineLvl w:val="2"/>
        <w:rPr>
          <w:rFonts w:ascii="Times New Roman" w:eastAsia="Times New Roman" w:hAnsi="Times New Roman" w:cs="Times New Roman"/>
          <w:bCs/>
          <w:sz w:val="24"/>
          <w:szCs w:val="24"/>
          <w:lang w:eastAsia="en-AU"/>
        </w:rPr>
      </w:pPr>
      <w:r w:rsidRPr="00BA0B4F">
        <w:rPr>
          <w:rFonts w:ascii="Times New Roman" w:eastAsia="Times New Roman" w:hAnsi="Times New Roman" w:cs="Times New Roman"/>
          <w:bCs/>
          <w:sz w:val="24"/>
          <w:szCs w:val="24"/>
          <w:lang w:eastAsia="en-AU"/>
        </w:rPr>
        <w:t xml:space="preserve">Article 9 of the </w:t>
      </w:r>
      <w:r w:rsidRPr="00BA0B4F">
        <w:rPr>
          <w:rFonts w:ascii="Times New Roman" w:eastAsia="Times New Roman" w:hAnsi="Times New Roman" w:cs="Times New Roman"/>
          <w:bCs/>
          <w:i/>
          <w:sz w:val="24"/>
          <w:szCs w:val="24"/>
          <w:lang w:eastAsia="en-AU"/>
        </w:rPr>
        <w:t>International Covenant on Economic, Social and Cultural Rights</w:t>
      </w:r>
      <w:r w:rsidRPr="00BA0B4F">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00394452" w:rsidRPr="00BA0B4F">
        <w:rPr>
          <w:rFonts w:ascii="Times New Roman" w:eastAsia="Times New Roman" w:hAnsi="Times New Roman" w:cs="Times New Roman"/>
          <w:bCs/>
          <w:sz w:val="24"/>
          <w:szCs w:val="24"/>
          <w:lang w:eastAsia="en-AU"/>
        </w:rPr>
        <w:t xml:space="preserve"> </w:t>
      </w:r>
      <w:r w:rsidR="006756F9">
        <w:rPr>
          <w:rFonts w:ascii="Times New Roman" w:eastAsia="Times New Roman" w:hAnsi="Times New Roman" w:cs="Times New Roman"/>
          <w:bCs/>
          <w:sz w:val="24"/>
          <w:szCs w:val="24"/>
          <w:lang w:eastAsia="en-AU"/>
        </w:rPr>
        <w:t>Compensation</w:t>
      </w:r>
      <w:r w:rsidR="00394452">
        <w:rPr>
          <w:rFonts w:ascii="Times New Roman" w:eastAsia="Times New Roman" w:hAnsi="Times New Roman" w:cs="Times New Roman"/>
          <w:bCs/>
          <w:sz w:val="24"/>
          <w:szCs w:val="24"/>
          <w:lang w:eastAsia="en-AU"/>
        </w:rPr>
        <w:t xml:space="preserve"> payments</w:t>
      </w:r>
      <w:r w:rsidR="006756F9">
        <w:rPr>
          <w:rFonts w:ascii="Times New Roman" w:eastAsia="Times New Roman" w:hAnsi="Times New Roman" w:cs="Times New Roman"/>
          <w:bCs/>
          <w:sz w:val="24"/>
          <w:szCs w:val="24"/>
          <w:lang w:eastAsia="en-AU"/>
        </w:rPr>
        <w:t xml:space="preserve"> are</w:t>
      </w:r>
      <w:r w:rsidRPr="00BA0B4F">
        <w:rPr>
          <w:rFonts w:ascii="Times New Roman" w:eastAsia="Times New Roman" w:hAnsi="Times New Roman" w:cs="Times New Roman"/>
          <w:bCs/>
          <w:sz w:val="24"/>
          <w:szCs w:val="24"/>
          <w:lang w:eastAsia="en-AU"/>
        </w:rPr>
        <w:t xml:space="preserve"> analogous to social insurance in that </w:t>
      </w:r>
      <w:r w:rsidR="003E1F3E">
        <w:rPr>
          <w:rFonts w:ascii="Times New Roman" w:eastAsia="Times New Roman" w:hAnsi="Times New Roman" w:cs="Times New Roman"/>
          <w:bCs/>
          <w:sz w:val="24"/>
          <w:szCs w:val="24"/>
          <w:lang w:eastAsia="en-AU"/>
        </w:rPr>
        <w:t>they</w:t>
      </w:r>
      <w:r w:rsidRPr="00BA0B4F">
        <w:rPr>
          <w:rFonts w:ascii="Times New Roman" w:eastAsia="Times New Roman" w:hAnsi="Times New Roman" w:cs="Times New Roman"/>
          <w:bCs/>
          <w:sz w:val="24"/>
          <w:szCs w:val="24"/>
          <w:lang w:eastAsia="en-AU"/>
        </w:rPr>
        <w:t xml:space="preserve"> provide payment of wages and medical costs to employees for injuries occurring as a result of their employment. </w:t>
      </w:r>
    </w:p>
    <w:p w:rsidR="00394452" w:rsidRPr="00394452" w:rsidRDefault="00394452" w:rsidP="00394452">
      <w:pPr>
        <w:spacing w:before="120" w:after="120"/>
        <w:rPr>
          <w:rFonts w:ascii="Times New Roman" w:hAnsi="Times New Roman" w:cs="Times New Roman"/>
          <w:i/>
          <w:sz w:val="24"/>
          <w:szCs w:val="24"/>
        </w:rPr>
      </w:pPr>
      <w:r w:rsidRPr="00394452">
        <w:rPr>
          <w:rFonts w:ascii="Times New Roman" w:hAnsi="Times New Roman" w:cs="Times New Roman"/>
          <w:i/>
          <w:sz w:val="24"/>
          <w:szCs w:val="24"/>
        </w:rPr>
        <w:t>Overview</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Under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compensation is payable in respect of household services and attendant care services (being services that the employee reasonably requires) obtained by an employee as a result of a compensable injury.</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If that injury is not a ‘catastrophic injury’, the amount per week payable by </w:t>
      </w:r>
      <w:r w:rsidR="00933EA5">
        <w:rPr>
          <w:rFonts w:ascii="Times New Roman" w:eastAsia="Calibri" w:hAnsi="Times New Roman" w:cs="Times New Roman"/>
          <w:sz w:val="24"/>
          <w:szCs w:val="24"/>
        </w:rPr>
        <w:t>the Commission</w:t>
      </w:r>
      <w:r w:rsidRPr="00BA0B4F">
        <w:rPr>
          <w:rFonts w:ascii="Times New Roman" w:eastAsia="Calibri" w:hAnsi="Times New Roman" w:cs="Times New Roman"/>
          <w:sz w:val="24"/>
          <w:szCs w:val="24"/>
        </w:rPr>
        <w:t xml:space="preserve"> is capped </w:t>
      </w:r>
      <w:r w:rsidRPr="00490F1C">
        <w:rPr>
          <w:rFonts w:ascii="Times New Roman" w:eastAsia="Calibri" w:hAnsi="Times New Roman" w:cs="Times New Roman"/>
          <w:sz w:val="24"/>
          <w:szCs w:val="24"/>
        </w:rPr>
        <w:t>at $473.25</w:t>
      </w:r>
      <w:r w:rsidRPr="00BA0B4F">
        <w:rPr>
          <w:rFonts w:ascii="Times New Roman" w:eastAsia="Calibri" w:hAnsi="Times New Roman" w:cs="Times New Roman"/>
          <w:sz w:val="24"/>
          <w:szCs w:val="24"/>
        </w:rPr>
        <w:t xml:space="preserve"> per week (indexed annually on 1 July; figure current for 2018-2019) for each of household services or attendant care services.</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If that injury is a ‘catastrophic injury’, there is no monetary cap on the amount of weekly compensation payable for household services or attendant care services, and the employee will not be subject to a 28-day waiting period before compensation for household services is payable.</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This instrument specifies the conditions which must be satisfied for an injury to be a ‘catastrophic injury’ for the purposes of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xml:space="preserve">. Broadly, there are five categories of ‘catastrophic injury’: ‘catastrophic </w:t>
      </w:r>
      <w:r>
        <w:rPr>
          <w:rFonts w:ascii="Times New Roman" w:eastAsia="Calibri" w:hAnsi="Times New Roman" w:cs="Times New Roman"/>
          <w:sz w:val="24"/>
          <w:szCs w:val="24"/>
        </w:rPr>
        <w:t>ne</w:t>
      </w:r>
      <w:r w:rsidR="00A11926">
        <w:rPr>
          <w:rFonts w:ascii="Times New Roman" w:eastAsia="Calibri" w:hAnsi="Times New Roman" w:cs="Times New Roman"/>
          <w:sz w:val="24"/>
          <w:szCs w:val="24"/>
        </w:rPr>
        <w:t>rve</w:t>
      </w:r>
      <w:r w:rsidRPr="00BA0B4F">
        <w:rPr>
          <w:rFonts w:ascii="Times New Roman" w:eastAsia="Calibri" w:hAnsi="Times New Roman" w:cs="Times New Roman"/>
          <w:sz w:val="24"/>
          <w:szCs w:val="24"/>
        </w:rPr>
        <w:t xml:space="preserve"> injury’, ‘catastrophic brain injury’, ‘catastrophic amputation injury’, ‘catastrophic burn injury’ and ‘catastrophic blindness injury’.</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These conditions are based on the catastrophic injury minimum benchmarks established by the National Injury Insurance Scheme.</w:t>
      </w:r>
    </w:p>
    <w:p w:rsidR="00394452" w:rsidRPr="00394452" w:rsidRDefault="00394452" w:rsidP="00394452">
      <w:pPr>
        <w:spacing w:before="120" w:after="120"/>
        <w:rPr>
          <w:rFonts w:ascii="Times New Roman" w:hAnsi="Times New Roman" w:cs="Times New Roman"/>
          <w:i/>
          <w:sz w:val="24"/>
          <w:szCs w:val="24"/>
        </w:rPr>
      </w:pPr>
      <w:r w:rsidRPr="00394452">
        <w:rPr>
          <w:rFonts w:ascii="Times New Roman" w:hAnsi="Times New Roman" w:cs="Times New Roman"/>
          <w:i/>
          <w:sz w:val="24"/>
          <w:szCs w:val="24"/>
        </w:rPr>
        <w:t>Conclusion</w:t>
      </w:r>
    </w:p>
    <w:p w:rsidR="00394452" w:rsidRPr="00394452" w:rsidRDefault="00394452" w:rsidP="00394452">
      <w:pPr>
        <w:spacing w:before="120" w:after="120"/>
        <w:rPr>
          <w:rFonts w:ascii="Times New Roman" w:hAnsi="Times New Roman" w:cs="Times New Roman"/>
          <w:sz w:val="24"/>
          <w:szCs w:val="24"/>
        </w:rPr>
      </w:pPr>
      <w:r w:rsidRPr="00394452">
        <w:rPr>
          <w:rFonts w:ascii="Times New Roman" w:hAnsi="Times New Roman" w:cs="Times New Roman"/>
          <w:color w:val="000000"/>
          <w:sz w:val="24"/>
          <w:szCs w:val="24"/>
          <w:lang w:val="en-US"/>
        </w:rPr>
        <w:t>The attached instrument engages positively with the Right to Social Security,</w:t>
      </w:r>
      <w:r w:rsidR="006756F9">
        <w:rPr>
          <w:rFonts w:ascii="Times New Roman" w:hAnsi="Times New Roman" w:cs="Times New Roman"/>
          <w:sz w:val="24"/>
          <w:szCs w:val="24"/>
        </w:rPr>
        <w:t xml:space="preserve"> and is considered to be human rights compatible</w:t>
      </w:r>
      <w:r w:rsidRPr="00394452">
        <w:rPr>
          <w:rFonts w:ascii="Times New Roman" w:hAnsi="Times New Roman" w:cs="Times New Roman"/>
          <w:sz w:val="24"/>
          <w:szCs w:val="24"/>
        </w:rPr>
        <w:t xml:space="preserve">. </w:t>
      </w:r>
    </w:p>
    <w:p w:rsidR="00394452" w:rsidRPr="00394452" w:rsidRDefault="00394452" w:rsidP="00394452">
      <w:pPr>
        <w:pStyle w:val="Default"/>
        <w:rPr>
          <w:bCs/>
        </w:rPr>
      </w:pPr>
    </w:p>
    <w:p w:rsidR="00394452" w:rsidRPr="00394452" w:rsidRDefault="00394452" w:rsidP="00394452">
      <w:pPr>
        <w:pStyle w:val="Default"/>
        <w:rPr>
          <w:bCs/>
        </w:rPr>
      </w:pPr>
      <w:r w:rsidRPr="00394452">
        <w:rPr>
          <w:bCs/>
        </w:rPr>
        <w:t>Military Rehabilitation and Compensation Commission</w:t>
      </w:r>
    </w:p>
    <w:p w:rsidR="00394452" w:rsidRPr="00394452" w:rsidRDefault="00394452" w:rsidP="00394452">
      <w:pPr>
        <w:pStyle w:val="Default"/>
        <w:rPr>
          <w:bCs/>
        </w:rPr>
      </w:pPr>
      <w:r w:rsidRPr="00394452">
        <w:rPr>
          <w:bCs/>
        </w:rPr>
        <w:t>Rule-Maker</w:t>
      </w:r>
    </w:p>
    <w:p w:rsidR="00633305" w:rsidRPr="00394452" w:rsidRDefault="00633305" w:rsidP="00394452">
      <w:pPr>
        <w:autoSpaceDE w:val="0"/>
        <w:autoSpaceDN w:val="0"/>
        <w:adjustRightInd w:val="0"/>
        <w:rPr>
          <w:rFonts w:ascii="Times New Roman" w:hAnsi="Times New Roman" w:cs="Times New Roman"/>
          <w:b/>
          <w:bCs/>
          <w:color w:val="000000"/>
          <w:sz w:val="24"/>
          <w:szCs w:val="24"/>
        </w:rPr>
      </w:pPr>
    </w:p>
    <w:p w:rsidR="00394452" w:rsidRPr="00394452" w:rsidRDefault="00394452" w:rsidP="00394452">
      <w:pPr>
        <w:rPr>
          <w:rFonts w:ascii="Times New Roman" w:hAnsi="Times New Roman" w:cs="Times New Roman"/>
          <w:b/>
          <w:color w:val="000000"/>
          <w:sz w:val="24"/>
          <w:szCs w:val="24"/>
        </w:rPr>
      </w:pPr>
      <w:r w:rsidRPr="00394452">
        <w:rPr>
          <w:rFonts w:ascii="Times New Roman" w:hAnsi="Times New Roman" w:cs="Times New Roman"/>
          <w:b/>
          <w:color w:val="000000"/>
          <w:sz w:val="24"/>
          <w:szCs w:val="24"/>
        </w:rPr>
        <w:lastRenderedPageBreak/>
        <w:t xml:space="preserve">FURTHER EXPLANATION OF PROVISIONS </w:t>
      </w:r>
    </w:p>
    <w:p w:rsidR="00394452" w:rsidRPr="00394452" w:rsidRDefault="00394452" w:rsidP="00394452">
      <w:pPr>
        <w:pStyle w:val="Default"/>
        <w:autoSpaceDE/>
        <w:adjustRightInd/>
      </w:pPr>
      <w:r w:rsidRPr="00394452">
        <w:t xml:space="preserve">See: </w:t>
      </w:r>
      <w:r w:rsidRPr="00394452">
        <w:rPr>
          <w:u w:val="single"/>
        </w:rPr>
        <w:t>Attachment A</w:t>
      </w:r>
    </w:p>
    <w:p w:rsidR="00394452" w:rsidRPr="00394452" w:rsidRDefault="00394452" w:rsidP="00394452">
      <w:pPr>
        <w:pStyle w:val="Default"/>
        <w:autoSpaceDE/>
        <w:adjustRightInd/>
      </w:pPr>
    </w:p>
    <w:p w:rsidR="0057326C" w:rsidRPr="0057326C" w:rsidRDefault="0057326C" w:rsidP="0057326C">
      <w:pPr>
        <w:spacing w:after="0" w:line="240" w:lineRule="auto"/>
        <w:jc w:val="right"/>
        <w:rPr>
          <w:rFonts w:ascii="Times New Roman" w:eastAsia="Times New Roman" w:hAnsi="Times New Roman" w:cs="Times New Roman"/>
          <w:color w:val="000000"/>
          <w:sz w:val="28"/>
          <w:szCs w:val="28"/>
          <w:u w:val="single"/>
          <w:lang w:val="en-GB" w:eastAsia="ja-JP"/>
        </w:rPr>
      </w:pPr>
      <w:r w:rsidRPr="0057326C">
        <w:rPr>
          <w:rFonts w:ascii="Times New Roman" w:eastAsia="Times New Roman" w:hAnsi="Times New Roman" w:cs="Times New Roman"/>
          <w:color w:val="000000"/>
          <w:sz w:val="28"/>
          <w:szCs w:val="28"/>
          <w:u w:val="single"/>
          <w:lang w:val="en-GB" w:eastAsia="ja-JP"/>
        </w:rPr>
        <w:t>Attachment A</w:t>
      </w:r>
    </w:p>
    <w:p w:rsidR="0057326C" w:rsidRPr="0057326C" w:rsidRDefault="0057326C" w:rsidP="0057326C">
      <w:pPr>
        <w:spacing w:after="0" w:line="240" w:lineRule="auto"/>
        <w:rPr>
          <w:rFonts w:ascii="Times New Roman" w:eastAsia="Times New Roman" w:hAnsi="Times New Roman" w:cs="Times New Roman"/>
          <w:sz w:val="24"/>
          <w:szCs w:val="24"/>
          <w:lang w:val="en-GB" w:eastAsia="ja-JP"/>
        </w:rPr>
      </w:pPr>
    </w:p>
    <w:p w:rsidR="006932E5" w:rsidRPr="006932E5" w:rsidRDefault="006932E5" w:rsidP="006932E5">
      <w:pPr>
        <w:spacing w:after="220" w:line="240" w:lineRule="auto"/>
        <w:jc w:val="center"/>
        <w:rPr>
          <w:rFonts w:ascii="Times New Roman" w:hAnsi="Times New Roman" w:cs="Times New Roman"/>
          <w:b/>
          <w:sz w:val="28"/>
          <w:szCs w:val="28"/>
        </w:rPr>
      </w:pPr>
      <w:r w:rsidRPr="006932E5">
        <w:rPr>
          <w:rFonts w:ascii="Times New Roman" w:hAnsi="Times New Roman" w:cs="Times New Roman"/>
          <w:b/>
          <w:color w:val="000000"/>
          <w:sz w:val="28"/>
          <w:szCs w:val="28"/>
        </w:rPr>
        <w:t>Safety, Rehabilitation and Compensation (Defence-related Claims) (Catastrophic Injury) Rules 2018</w:t>
      </w:r>
    </w:p>
    <w:p w:rsidR="006932E5" w:rsidRPr="00BA0B4F" w:rsidRDefault="006932E5" w:rsidP="006932E5">
      <w:pPr>
        <w:pStyle w:val="BodyText"/>
        <w:ind w:left="1134" w:hanging="1134"/>
        <w:rPr>
          <w:rFonts w:ascii="Times New Roman" w:hAnsi="Times New Roman"/>
          <w:color w:val="000000"/>
          <w:sz w:val="24"/>
          <w:szCs w:val="24"/>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1</w:t>
      </w:r>
    </w:p>
    <w:p w:rsidR="006932E5" w:rsidRPr="006932E5" w:rsidRDefault="0057326C" w:rsidP="006932E5">
      <w:pPr>
        <w:rPr>
          <w:rFonts w:ascii="Times New Roman" w:hAnsi="Times New Roman" w:cs="Times New Roman"/>
          <w:b/>
          <w:color w:val="000000"/>
          <w:sz w:val="36"/>
          <w:szCs w:val="36"/>
        </w:rPr>
      </w:pPr>
      <w:r w:rsidRPr="006932E5">
        <w:rPr>
          <w:rFonts w:ascii="Times New Roman" w:eastAsia="Times New Roman" w:hAnsi="Times New Roman" w:cs="Times New Roman"/>
          <w:sz w:val="24"/>
          <w:szCs w:val="24"/>
          <w:lang w:eastAsia="en-AU"/>
        </w:rPr>
        <w:t>This section provides that the name of the instrument is the</w:t>
      </w:r>
      <w:r w:rsidRPr="006932E5">
        <w:rPr>
          <w:rFonts w:ascii="Times New Roman" w:eastAsia="Times New Roman" w:hAnsi="Times New Roman" w:cs="Times New Roman"/>
          <w:i/>
          <w:sz w:val="24"/>
          <w:szCs w:val="24"/>
          <w:lang w:eastAsia="en-AU"/>
        </w:rPr>
        <w:t xml:space="preserve"> </w:t>
      </w:r>
      <w:r w:rsidR="006932E5" w:rsidRPr="006932E5">
        <w:rPr>
          <w:rFonts w:ascii="Times New Roman" w:hAnsi="Times New Roman" w:cs="Times New Roman"/>
          <w:i/>
          <w:color w:val="000000"/>
          <w:sz w:val="24"/>
          <w:szCs w:val="24"/>
        </w:rPr>
        <w:t>Safety, Rehabilitation and Compensation (Defence-related Claims) (Catastrophic Injury) Rules 2018.</w:t>
      </w: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2</w:t>
      </w:r>
    </w:p>
    <w:p w:rsidR="0057326C" w:rsidRPr="0057326C" w:rsidRDefault="0057326C" w:rsidP="0057326C">
      <w:pPr>
        <w:tabs>
          <w:tab w:val="center" w:pos="4153"/>
          <w:tab w:val="right" w:pos="8306"/>
        </w:tabs>
        <w:spacing w:after="0" w:line="240" w:lineRule="auto"/>
        <w:rPr>
          <w:rFonts w:ascii="Times New Roman" w:eastAsia="Times New Roman" w:hAnsi="Times New Roman" w:cs="Times New Roman"/>
          <w:sz w:val="24"/>
          <w:szCs w:val="24"/>
          <w:lang w:eastAsia="en-AU"/>
        </w:rPr>
      </w:pPr>
      <w:r w:rsidRPr="0057326C">
        <w:rPr>
          <w:rFonts w:ascii="Times New Roman" w:eastAsia="Times New Roman" w:hAnsi="Times New Roman" w:cs="Times New Roman"/>
          <w:sz w:val="24"/>
          <w:szCs w:val="24"/>
          <w:lang w:eastAsia="en-AU"/>
        </w:rPr>
        <w:t xml:space="preserve">This is the commencement provision and provides that the instrument is to commence on the day after it is registered on the Federal Register of Legislation. </w:t>
      </w: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3</w:t>
      </w:r>
    </w:p>
    <w:p w:rsidR="0057326C" w:rsidRPr="0057326C" w:rsidRDefault="0057326C" w:rsidP="0057326C">
      <w:pPr>
        <w:spacing w:after="0" w:line="240" w:lineRule="auto"/>
        <w:rPr>
          <w:rFonts w:ascii="Times New Roman" w:eastAsia="Times New Roman" w:hAnsi="Times New Roman" w:cs="Times New Roman"/>
          <w:b/>
          <w:color w:val="000000"/>
          <w:sz w:val="24"/>
          <w:szCs w:val="24"/>
          <w:lang w:val="en-GB" w:eastAsia="ja-JP"/>
        </w:rPr>
      </w:pPr>
      <w:r w:rsidRPr="0057326C">
        <w:rPr>
          <w:rFonts w:ascii="Times New Roman" w:eastAsia="Times New Roman" w:hAnsi="Times New Roman" w:cs="Times New Roman"/>
          <w:color w:val="000000"/>
          <w:sz w:val="24"/>
          <w:szCs w:val="24"/>
          <w:lang w:val="en-GB" w:eastAsia="ja-JP"/>
        </w:rPr>
        <w:t>This section sets out the empowering provision in the primary legislation that authorises the making of this i</w:t>
      </w:r>
      <w:r w:rsidR="00DC685C">
        <w:rPr>
          <w:rFonts w:ascii="Times New Roman" w:eastAsia="Times New Roman" w:hAnsi="Times New Roman" w:cs="Times New Roman"/>
          <w:color w:val="000000"/>
          <w:sz w:val="24"/>
          <w:szCs w:val="24"/>
          <w:lang w:val="en-GB" w:eastAsia="ja-JP"/>
        </w:rPr>
        <w:t>nstrument, that is, subsection 122A(1) of the D</w:t>
      </w:r>
      <w:r w:rsidRPr="0057326C">
        <w:rPr>
          <w:rFonts w:ascii="Times New Roman" w:eastAsia="Times New Roman" w:hAnsi="Times New Roman" w:cs="Times New Roman"/>
          <w:color w:val="000000"/>
          <w:sz w:val="24"/>
          <w:szCs w:val="24"/>
          <w:lang w:val="en-GB" w:eastAsia="ja-JP"/>
        </w:rPr>
        <w:t xml:space="preserve">RCA. </w:t>
      </w:r>
    </w:p>
    <w:p w:rsidR="00DC685C" w:rsidRDefault="00DC685C" w:rsidP="0057326C">
      <w:pPr>
        <w:spacing w:after="0" w:line="240" w:lineRule="auto"/>
        <w:rPr>
          <w:rFonts w:ascii="Times New Roman" w:eastAsia="Times New Roman" w:hAnsi="Times New Roman" w:cs="Times New Roman"/>
          <w:color w:val="000000"/>
          <w:sz w:val="24"/>
          <w:szCs w:val="24"/>
          <w:u w:val="single"/>
          <w:lang w:val="en-GB" w:eastAsia="ja-JP"/>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4</w:t>
      </w:r>
    </w:p>
    <w:p w:rsidR="00DC685C" w:rsidRDefault="0057326C" w:rsidP="0057326C">
      <w:pPr>
        <w:spacing w:after="0" w:line="240" w:lineRule="auto"/>
        <w:rPr>
          <w:rFonts w:ascii="Times New Roman" w:eastAsia="Times New Roman" w:hAnsi="Times New Roman" w:cs="Times New Roman"/>
          <w:sz w:val="24"/>
          <w:szCs w:val="24"/>
          <w:lang w:val="en-GB" w:eastAsia="ja-JP"/>
        </w:rPr>
      </w:pPr>
      <w:r w:rsidRPr="0057326C">
        <w:rPr>
          <w:rFonts w:ascii="Times New Roman" w:eastAsia="Times New Roman" w:hAnsi="Times New Roman" w:cs="Times New Roman"/>
          <w:sz w:val="24"/>
          <w:szCs w:val="24"/>
          <w:lang w:val="en-GB" w:eastAsia="ja-JP"/>
        </w:rPr>
        <w:t xml:space="preserve">This section is a purpose provision. </w:t>
      </w:r>
      <w:r w:rsidR="00DC685C">
        <w:rPr>
          <w:rFonts w:ascii="Times New Roman" w:eastAsia="Times New Roman" w:hAnsi="Times New Roman" w:cs="Times New Roman"/>
          <w:sz w:val="24"/>
          <w:szCs w:val="24"/>
          <w:lang w:val="en-GB" w:eastAsia="ja-JP"/>
        </w:rPr>
        <w:t xml:space="preserve">The purpose of the instrument is to prescribe conditions that must be satisfied for the definition of catastrophic injury. </w:t>
      </w:r>
    </w:p>
    <w:p w:rsidR="0057326C" w:rsidRPr="0057326C" w:rsidRDefault="0057326C" w:rsidP="0057326C">
      <w:pPr>
        <w:spacing w:after="0" w:line="240" w:lineRule="auto"/>
        <w:rPr>
          <w:rFonts w:ascii="Times New Roman" w:eastAsia="Times New Roman" w:hAnsi="Times New Roman" w:cs="Times New Roman"/>
          <w:b/>
          <w:sz w:val="28"/>
          <w:szCs w:val="24"/>
          <w:lang w:val="en-GB" w:eastAsia="ja-JP"/>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5</w:t>
      </w:r>
    </w:p>
    <w:p w:rsidR="0057326C" w:rsidRPr="0057326C" w:rsidRDefault="0057326C" w:rsidP="0057326C">
      <w:pPr>
        <w:spacing w:after="0" w:line="240" w:lineRule="auto"/>
        <w:rPr>
          <w:rFonts w:ascii="Times New Roman" w:eastAsia="Times New Roman" w:hAnsi="Times New Roman" w:cs="Times New Roman"/>
          <w:sz w:val="24"/>
          <w:szCs w:val="24"/>
          <w:lang w:val="en-GB" w:eastAsia="ja-JP"/>
        </w:rPr>
      </w:pPr>
      <w:r w:rsidRPr="0057326C">
        <w:rPr>
          <w:rFonts w:ascii="Times New Roman" w:eastAsia="Times New Roman" w:hAnsi="Times New Roman" w:cs="Times New Roman"/>
          <w:color w:val="000000"/>
          <w:sz w:val="24"/>
          <w:szCs w:val="24"/>
          <w:lang w:val="en-GB" w:eastAsia="ja-JP"/>
        </w:rPr>
        <w:t xml:space="preserve">This is the interpretation section. It defines terms that are used in the instrument. </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For the purposes of this instrument:</w:t>
      </w:r>
    </w:p>
    <w:p w:rsidR="0057326C" w:rsidRDefault="0057326C" w:rsidP="0057326C">
      <w:pPr>
        <w:pStyle w:val="ListParagraph"/>
        <w:numPr>
          <w:ilvl w:val="0"/>
          <w:numId w:val="4"/>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‘Act’ means the </w:t>
      </w:r>
      <w:r w:rsidRPr="00BA0B4F">
        <w:rPr>
          <w:rFonts w:ascii="Times New Roman" w:eastAsia="Calibri" w:hAnsi="Times New Roman" w:cs="Times New Roman"/>
          <w:i/>
          <w:sz w:val="24"/>
          <w:szCs w:val="24"/>
        </w:rPr>
        <w:t xml:space="preserve">Safety, Rehabilitation and Compensation </w:t>
      </w:r>
      <w:r w:rsidR="00DC685C">
        <w:rPr>
          <w:rFonts w:ascii="Times New Roman" w:eastAsia="Calibri" w:hAnsi="Times New Roman" w:cs="Times New Roman"/>
          <w:i/>
          <w:sz w:val="24"/>
          <w:szCs w:val="24"/>
        </w:rPr>
        <w:t xml:space="preserve">(Defence-related Claims) </w:t>
      </w:r>
      <w:r w:rsidRPr="00BA0B4F">
        <w:rPr>
          <w:rFonts w:ascii="Times New Roman" w:eastAsia="Calibri" w:hAnsi="Times New Roman" w:cs="Times New Roman"/>
          <w:i/>
          <w:sz w:val="24"/>
          <w:szCs w:val="24"/>
        </w:rPr>
        <w:t>1988</w:t>
      </w:r>
      <w:r w:rsidR="00BB0F65">
        <w:rPr>
          <w:rFonts w:ascii="Times New Roman" w:eastAsia="Calibri" w:hAnsi="Times New Roman" w:cs="Times New Roman"/>
          <w:sz w:val="24"/>
          <w:szCs w:val="24"/>
        </w:rPr>
        <w:t>.</w:t>
      </w:r>
    </w:p>
    <w:p w:rsidR="00402F00" w:rsidRDefault="00402F00" w:rsidP="0089313F">
      <w:pPr>
        <w:pStyle w:val="ListParagraph"/>
        <w:spacing w:after="220" w:line="240" w:lineRule="auto"/>
        <w:ind w:left="360"/>
        <w:rPr>
          <w:rFonts w:ascii="Times New Roman" w:eastAsia="Calibri" w:hAnsi="Times New Roman" w:cs="Times New Roman"/>
          <w:sz w:val="24"/>
          <w:szCs w:val="24"/>
        </w:rPr>
      </w:pPr>
    </w:p>
    <w:p w:rsidR="001D4AE6" w:rsidRDefault="00F23CCF" w:rsidP="001D4AE6">
      <w:pPr>
        <w:pStyle w:val="ListParagraph"/>
        <w:numPr>
          <w:ilvl w:val="0"/>
          <w:numId w:val="4"/>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‘employee’ has </w:t>
      </w:r>
      <w:r w:rsidRPr="00F23CCF">
        <w:rPr>
          <w:rFonts w:ascii="Times New Roman" w:eastAsia="Calibri" w:hAnsi="Times New Roman" w:cs="Times New Roman"/>
          <w:sz w:val="24"/>
          <w:szCs w:val="24"/>
        </w:rPr>
        <w:t xml:space="preserve">the same meaning as in the Act. </w:t>
      </w:r>
    </w:p>
    <w:p w:rsidR="00402F00" w:rsidRPr="0089313F" w:rsidRDefault="00402F00" w:rsidP="0089313F">
      <w:pPr>
        <w:pStyle w:val="ListParagraph"/>
        <w:rPr>
          <w:rFonts w:ascii="Times New Roman" w:eastAsia="Calibri" w:hAnsi="Times New Roman" w:cs="Times New Roman"/>
          <w:sz w:val="24"/>
          <w:szCs w:val="24"/>
        </w:rPr>
      </w:pPr>
    </w:p>
    <w:p w:rsidR="00760123" w:rsidRPr="0089313F" w:rsidRDefault="00DC685C" w:rsidP="001D4AE6">
      <w:pPr>
        <w:pStyle w:val="ListParagraph"/>
        <w:numPr>
          <w:ilvl w:val="0"/>
          <w:numId w:val="4"/>
        </w:numPr>
        <w:spacing w:after="220" w:line="240" w:lineRule="auto"/>
        <w:rPr>
          <w:rFonts w:ascii="Times New Roman" w:eastAsia="Calibri" w:hAnsi="Times New Roman" w:cs="Times New Roman"/>
          <w:sz w:val="24"/>
          <w:szCs w:val="24"/>
        </w:rPr>
      </w:pPr>
      <w:r w:rsidRPr="00760123">
        <w:rPr>
          <w:rFonts w:ascii="Times New Roman" w:hAnsi="Times New Roman" w:cs="Times New Roman"/>
          <w:sz w:val="24"/>
          <w:szCs w:val="24"/>
        </w:rPr>
        <w:t>‘FIM</w:t>
      </w:r>
      <w:r w:rsidRPr="00760123">
        <w:rPr>
          <w:rFonts w:ascii="Times New Roman" w:hAnsi="Times New Roman" w:cs="Times New Roman"/>
          <w:sz w:val="24"/>
          <w:szCs w:val="24"/>
          <w:vertAlign w:val="superscript"/>
        </w:rPr>
        <w:t>TM</w:t>
      </w:r>
      <w:r w:rsidR="00607C0C" w:rsidRPr="00760123">
        <w:rPr>
          <w:rFonts w:ascii="Times New Roman" w:hAnsi="Times New Roman" w:cs="Times New Roman"/>
          <w:sz w:val="24"/>
          <w:szCs w:val="24"/>
        </w:rPr>
        <w:t xml:space="preserve"> score sheet</w:t>
      </w:r>
      <w:r w:rsidR="00BB0F65" w:rsidRPr="00760123">
        <w:rPr>
          <w:rFonts w:ascii="Times New Roman" w:hAnsi="Times New Roman" w:cs="Times New Roman"/>
          <w:sz w:val="24"/>
          <w:szCs w:val="24"/>
        </w:rPr>
        <w:t>’</w:t>
      </w:r>
      <w:r w:rsidR="00607C0C" w:rsidRPr="00760123">
        <w:rPr>
          <w:rFonts w:ascii="Times New Roman" w:hAnsi="Times New Roman" w:cs="Times New Roman"/>
          <w:sz w:val="24"/>
          <w:szCs w:val="24"/>
        </w:rPr>
        <w:t xml:space="preserve"> is the </w:t>
      </w:r>
      <w:r w:rsidR="00BB0F65" w:rsidRPr="00760123">
        <w:rPr>
          <w:rFonts w:ascii="Times New Roman" w:hAnsi="Times New Roman" w:cs="Times New Roman"/>
          <w:sz w:val="24"/>
          <w:szCs w:val="24"/>
        </w:rPr>
        <w:t>Functional Independence Measure</w:t>
      </w:r>
      <w:r w:rsidRPr="00760123">
        <w:rPr>
          <w:rFonts w:ascii="Times New Roman" w:hAnsi="Times New Roman" w:cs="Times New Roman"/>
          <w:sz w:val="24"/>
          <w:szCs w:val="24"/>
        </w:rPr>
        <w:t xml:space="preserve"> </w:t>
      </w:r>
      <w:r w:rsidR="00BB0F65" w:rsidRPr="00760123">
        <w:rPr>
          <w:rFonts w:ascii="Times New Roman" w:hAnsi="Times New Roman" w:cs="Times New Roman"/>
          <w:sz w:val="24"/>
          <w:szCs w:val="24"/>
        </w:rPr>
        <w:t>score sheet</w:t>
      </w:r>
      <w:r w:rsidR="00607C0C" w:rsidRPr="00760123">
        <w:rPr>
          <w:rFonts w:ascii="Times New Roman" w:hAnsi="Times New Roman" w:cs="Times New Roman"/>
          <w:sz w:val="24"/>
          <w:szCs w:val="24"/>
        </w:rPr>
        <w:t xml:space="preserve"> which </w:t>
      </w:r>
      <w:r w:rsidRPr="00760123">
        <w:rPr>
          <w:rFonts w:ascii="Times New Roman" w:hAnsi="Times New Roman" w:cs="Times New Roman"/>
          <w:sz w:val="24"/>
          <w:szCs w:val="24"/>
        </w:rPr>
        <w:t>is a basic indicator of severity of functional limitation, being the version of the document in the form in which it exists on the day of commencement of this instrument, and which is published by the Australasian Rehabilitation Outcomes Centre.</w:t>
      </w:r>
      <w:r w:rsidR="00EF5EB3" w:rsidRPr="00760123">
        <w:rPr>
          <w:rFonts w:ascii="Times New Roman" w:hAnsi="Times New Roman" w:cs="Times New Roman"/>
          <w:sz w:val="24"/>
          <w:szCs w:val="24"/>
        </w:rPr>
        <w:t xml:space="preserve"> </w:t>
      </w:r>
      <w:r w:rsidR="00BB0F65" w:rsidRPr="00760123">
        <w:rPr>
          <w:rFonts w:ascii="Times New Roman" w:hAnsi="Times New Roman" w:cs="Times New Roman"/>
          <w:sz w:val="24"/>
          <w:szCs w:val="24"/>
        </w:rPr>
        <w:t>The FIM</w:t>
      </w:r>
      <w:r w:rsidR="00BB0F65" w:rsidRPr="00760123">
        <w:rPr>
          <w:rFonts w:ascii="Times New Roman" w:hAnsi="Times New Roman" w:cs="Times New Roman"/>
          <w:sz w:val="24"/>
          <w:szCs w:val="24"/>
          <w:vertAlign w:val="superscript"/>
        </w:rPr>
        <w:t>TM</w:t>
      </w:r>
      <w:r w:rsidR="00BB0F65" w:rsidRPr="00760123">
        <w:rPr>
          <w:rFonts w:ascii="Times New Roman" w:hAnsi="Times New Roman" w:cs="Times New Roman"/>
          <w:sz w:val="24"/>
          <w:szCs w:val="24"/>
        </w:rPr>
        <w:t xml:space="preserve"> score sheet is freely available online at: </w:t>
      </w:r>
      <w:hyperlink r:id="rId10" w:history="1">
        <w:r w:rsidR="00BB0F65" w:rsidRPr="00760123">
          <w:rPr>
            <w:rStyle w:val="Hyperlink"/>
            <w:rFonts w:ascii="Times New Roman" w:hAnsi="Times New Roman"/>
            <w:sz w:val="24"/>
            <w:szCs w:val="24"/>
          </w:rPr>
          <w:t>https://ahsri.uow.edu.au/aroc/whatisfim/index.html</w:t>
        </w:r>
      </w:hyperlink>
      <w:r w:rsidR="00BB0F65" w:rsidRPr="00760123">
        <w:rPr>
          <w:rFonts w:ascii="Times New Roman" w:hAnsi="Times New Roman" w:cs="Times New Roman"/>
          <w:color w:val="1F497D"/>
          <w:sz w:val="24"/>
          <w:szCs w:val="24"/>
        </w:rPr>
        <w:t xml:space="preserve"> </w:t>
      </w:r>
      <w:r w:rsidR="00BB0F65" w:rsidRPr="00760123">
        <w:rPr>
          <w:rFonts w:ascii="Times New Roman" w:hAnsi="Times New Roman" w:cs="Times New Roman"/>
          <w:sz w:val="24"/>
          <w:szCs w:val="24"/>
        </w:rPr>
        <w:t>by opening the page and clicking on the excel diagram under the heading “AN-SNAP Calculator With Benchmarks”.</w:t>
      </w:r>
      <w:r w:rsidR="00F23CCF" w:rsidRPr="00760123">
        <w:rPr>
          <w:rFonts w:ascii="Times New Roman" w:hAnsi="Times New Roman" w:cs="Times New Roman"/>
          <w:sz w:val="24"/>
          <w:szCs w:val="24"/>
        </w:rPr>
        <w:t xml:space="preserve"> </w:t>
      </w:r>
    </w:p>
    <w:p w:rsidR="00402F00" w:rsidRPr="00760123" w:rsidRDefault="00402F00" w:rsidP="0089313F">
      <w:pPr>
        <w:pStyle w:val="ListParagraph"/>
        <w:spacing w:after="220" w:line="240" w:lineRule="auto"/>
        <w:ind w:left="360"/>
        <w:rPr>
          <w:rFonts w:ascii="Times New Roman" w:eastAsia="Calibri" w:hAnsi="Times New Roman" w:cs="Times New Roman"/>
          <w:sz w:val="24"/>
          <w:szCs w:val="24"/>
        </w:rPr>
      </w:pPr>
    </w:p>
    <w:p w:rsidR="001D4AE6" w:rsidRDefault="0057326C" w:rsidP="001D4AE6">
      <w:pPr>
        <w:pStyle w:val="ListParagraph"/>
        <w:numPr>
          <w:ilvl w:val="0"/>
          <w:numId w:val="4"/>
        </w:numPr>
        <w:spacing w:after="220" w:line="240" w:lineRule="auto"/>
        <w:rPr>
          <w:rFonts w:ascii="Times New Roman" w:eastAsia="Calibri" w:hAnsi="Times New Roman" w:cs="Times New Roman"/>
          <w:sz w:val="24"/>
          <w:szCs w:val="24"/>
        </w:rPr>
      </w:pPr>
      <w:r w:rsidRPr="00760123">
        <w:rPr>
          <w:rFonts w:ascii="Times New Roman" w:eastAsia="Calibri" w:hAnsi="Times New Roman" w:cs="Times New Roman"/>
          <w:sz w:val="24"/>
          <w:szCs w:val="24"/>
        </w:rPr>
        <w:t xml:space="preserve">‘injury’ means an injury in respect of which compensation is payable under the </w:t>
      </w:r>
      <w:r w:rsidR="00760123">
        <w:rPr>
          <w:rFonts w:ascii="Times New Roman" w:eastAsia="Calibri" w:hAnsi="Times New Roman" w:cs="Times New Roman"/>
          <w:sz w:val="24"/>
          <w:szCs w:val="24"/>
        </w:rPr>
        <w:t xml:space="preserve">Act. </w:t>
      </w:r>
      <w:r w:rsidR="00DC685C" w:rsidRPr="00760123">
        <w:rPr>
          <w:rFonts w:ascii="Times New Roman" w:eastAsia="Calibri" w:hAnsi="Times New Roman" w:cs="Times New Roman"/>
          <w:sz w:val="24"/>
          <w:szCs w:val="24"/>
        </w:rPr>
        <w:t>The note to the definition of ‘inju</w:t>
      </w:r>
      <w:r w:rsidR="00760123">
        <w:rPr>
          <w:rFonts w:ascii="Times New Roman" w:eastAsia="Calibri" w:hAnsi="Times New Roman" w:cs="Times New Roman"/>
          <w:sz w:val="24"/>
          <w:szCs w:val="24"/>
        </w:rPr>
        <w:t>ry’ confirms that under the Act</w:t>
      </w:r>
      <w:r w:rsidR="00DC685C" w:rsidRPr="00760123">
        <w:rPr>
          <w:rFonts w:ascii="Times New Roman" w:eastAsia="Calibri" w:hAnsi="Times New Roman" w:cs="Times New Roman"/>
          <w:sz w:val="24"/>
          <w:szCs w:val="24"/>
        </w:rPr>
        <w:t xml:space="preserve"> an injury includes a disease. </w:t>
      </w:r>
    </w:p>
    <w:p w:rsidR="00402F00" w:rsidRPr="0089313F" w:rsidRDefault="00402F00" w:rsidP="0089313F">
      <w:pPr>
        <w:pStyle w:val="ListParagraph"/>
        <w:rPr>
          <w:rFonts w:ascii="Times New Roman" w:eastAsia="Calibri" w:hAnsi="Times New Roman" w:cs="Times New Roman"/>
          <w:sz w:val="24"/>
          <w:szCs w:val="24"/>
        </w:rPr>
      </w:pPr>
    </w:p>
    <w:p w:rsidR="00F23CCF" w:rsidRPr="001D4AE6" w:rsidRDefault="00DC685C" w:rsidP="001D4AE6">
      <w:pPr>
        <w:pStyle w:val="ListParagraph"/>
        <w:numPr>
          <w:ilvl w:val="0"/>
          <w:numId w:val="4"/>
        </w:numPr>
        <w:spacing w:after="220" w:line="240" w:lineRule="auto"/>
        <w:rPr>
          <w:rFonts w:ascii="Times New Roman" w:eastAsia="Calibri" w:hAnsi="Times New Roman" w:cs="Times New Roman"/>
          <w:sz w:val="24"/>
          <w:szCs w:val="24"/>
        </w:rPr>
      </w:pPr>
      <w:r w:rsidRPr="001D4AE6">
        <w:rPr>
          <w:rFonts w:ascii="Times New Roman" w:hAnsi="Times New Roman" w:cs="Times New Roman"/>
          <w:sz w:val="24"/>
          <w:szCs w:val="24"/>
        </w:rPr>
        <w:t>‘</w:t>
      </w:r>
      <w:r w:rsidR="00490F1C" w:rsidRPr="001D4AE6">
        <w:rPr>
          <w:rFonts w:ascii="Times New Roman" w:hAnsi="Times New Roman" w:cs="Times New Roman"/>
          <w:sz w:val="24"/>
          <w:szCs w:val="24"/>
        </w:rPr>
        <w:t>Standardised Mini-</w:t>
      </w:r>
      <w:r w:rsidRPr="001D4AE6">
        <w:rPr>
          <w:rFonts w:ascii="Times New Roman" w:hAnsi="Times New Roman" w:cs="Times New Roman"/>
          <w:sz w:val="24"/>
          <w:szCs w:val="24"/>
        </w:rPr>
        <w:t>Mental State Examination (SMMSE)</w:t>
      </w:r>
      <w:r w:rsidR="00BB0F65" w:rsidRPr="001D4AE6">
        <w:rPr>
          <w:rFonts w:ascii="Times New Roman" w:hAnsi="Times New Roman" w:cs="Times New Roman"/>
          <w:sz w:val="24"/>
          <w:szCs w:val="24"/>
        </w:rPr>
        <w:t xml:space="preserve"> tool</w:t>
      </w:r>
      <w:r w:rsidRPr="001D4AE6">
        <w:rPr>
          <w:rFonts w:ascii="Times New Roman" w:hAnsi="Times New Roman" w:cs="Times New Roman"/>
          <w:sz w:val="24"/>
          <w:szCs w:val="24"/>
        </w:rPr>
        <w:t>’ is a common cognitive screening or assessment tool used in clinical practices, being the version of the document in the form in which it exists on the day of commencement of this instrument, and which is published by the Independent Hospital Pricing Authority.</w:t>
      </w:r>
      <w:r w:rsidR="00EF5EB3" w:rsidRPr="001D4AE6">
        <w:rPr>
          <w:rFonts w:ascii="Times New Roman" w:hAnsi="Times New Roman" w:cs="Times New Roman"/>
          <w:sz w:val="24"/>
          <w:szCs w:val="24"/>
        </w:rPr>
        <w:t xml:space="preserve"> The document is freely </w:t>
      </w:r>
      <w:r w:rsidR="00EF5EB3" w:rsidRPr="001D4AE6">
        <w:rPr>
          <w:rFonts w:ascii="Times New Roman" w:hAnsi="Times New Roman" w:cs="Times New Roman"/>
          <w:sz w:val="24"/>
          <w:szCs w:val="24"/>
        </w:rPr>
        <w:lastRenderedPageBreak/>
        <w:t xml:space="preserve">available online at: </w:t>
      </w:r>
      <w:hyperlink r:id="rId11" w:history="1">
        <w:r w:rsidR="00EF5EB3" w:rsidRPr="001D4AE6">
          <w:rPr>
            <w:rStyle w:val="Hyperlink"/>
            <w:rFonts w:ascii="Times New Roman" w:hAnsi="Times New Roman"/>
            <w:sz w:val="24"/>
            <w:szCs w:val="24"/>
          </w:rPr>
          <w:t>https://www.ihpa.gov.au/what-we-do/standardised-mini-mental-state-examination-smmse</w:t>
        </w:r>
      </w:hyperlink>
      <w:r w:rsidR="00F23CCF" w:rsidRPr="001D4AE6">
        <w:rPr>
          <w:rFonts w:ascii="Times New Roman" w:hAnsi="Times New Roman" w:cs="Times New Roman"/>
          <w:sz w:val="24"/>
          <w:szCs w:val="24"/>
        </w:rPr>
        <w:t xml:space="preserve"> by opening the page and clicking on the heading “Standard Mini-Mental Examination (SMMSE) tool</w:t>
      </w:r>
      <w:r w:rsidR="00EF5EB3" w:rsidRPr="001D4AE6">
        <w:rPr>
          <w:rFonts w:ascii="Times New Roman" w:hAnsi="Times New Roman" w:cs="Times New Roman"/>
          <w:color w:val="1F497D"/>
          <w:sz w:val="24"/>
          <w:szCs w:val="24"/>
        </w:rPr>
        <w:t>.</w:t>
      </w:r>
    </w:p>
    <w:p w:rsidR="0057326C" w:rsidRPr="00490F1C" w:rsidRDefault="0057326C" w:rsidP="0057326C">
      <w:pPr>
        <w:spacing w:after="220" w:line="240" w:lineRule="auto"/>
        <w:rPr>
          <w:rFonts w:ascii="Times New Roman" w:eastAsia="Calibri" w:hAnsi="Times New Roman" w:cs="Times New Roman"/>
          <w:sz w:val="24"/>
          <w:szCs w:val="24"/>
          <w:u w:val="single"/>
        </w:rPr>
      </w:pPr>
      <w:r w:rsidRPr="00490F1C">
        <w:rPr>
          <w:rFonts w:ascii="Times New Roman" w:eastAsia="Calibri" w:hAnsi="Times New Roman" w:cs="Times New Roman"/>
          <w:sz w:val="24"/>
          <w:szCs w:val="24"/>
          <w:u w:val="single"/>
        </w:rPr>
        <w:t>Section 6 – Conditions of a catastrophic injury</w:t>
      </w:r>
    </w:p>
    <w:p w:rsidR="00BB0F65" w:rsidRDefault="00BB0F65" w:rsidP="00BB0F65">
      <w:pPr>
        <w:spacing w:after="0" w:line="240" w:lineRule="auto"/>
        <w:rPr>
          <w:rFonts w:ascii="Times New Roman" w:eastAsia="Times New Roman" w:hAnsi="Times New Roman" w:cs="Times New Roman"/>
          <w:sz w:val="24"/>
          <w:szCs w:val="24"/>
          <w:lang w:eastAsia="en-AU"/>
        </w:rPr>
      </w:pPr>
      <w:r w:rsidRPr="00BB0F65">
        <w:rPr>
          <w:rFonts w:ascii="Times New Roman" w:eastAsia="Times New Roman" w:hAnsi="Times New Roman" w:cs="Times New Roman"/>
          <w:sz w:val="24"/>
          <w:szCs w:val="24"/>
          <w:lang w:eastAsia="en-AU"/>
        </w:rPr>
        <w:t>For the purposes of the definition of catastrophic injury in subsection 4(1) of the Act, an injury is a catastrophic injury if both of the following conditions are satisfied:</w:t>
      </w:r>
    </w:p>
    <w:p w:rsidR="00402F00" w:rsidRPr="00BB0F65" w:rsidRDefault="00402F00" w:rsidP="00BB0F65">
      <w:pPr>
        <w:spacing w:after="0" w:line="240" w:lineRule="auto"/>
        <w:rPr>
          <w:rFonts w:ascii="Times New Roman" w:eastAsia="Times New Roman" w:hAnsi="Times New Roman" w:cs="Times New Roman"/>
          <w:sz w:val="24"/>
          <w:szCs w:val="24"/>
          <w:lang w:eastAsia="en-AU"/>
        </w:rPr>
      </w:pPr>
    </w:p>
    <w:p w:rsidR="00BB0F65" w:rsidRPr="00BB0F65" w:rsidRDefault="00DC685C" w:rsidP="00BB0F65">
      <w:pPr>
        <w:pStyle w:val="ListParagraph"/>
        <w:numPr>
          <w:ilvl w:val="0"/>
          <w:numId w:val="18"/>
        </w:numPr>
        <w:rPr>
          <w:rFonts w:ascii="Times New Roman" w:hAnsi="Times New Roman" w:cs="Times New Roman"/>
          <w:color w:val="000000"/>
          <w:sz w:val="24"/>
          <w:szCs w:val="24"/>
          <w:lang w:val="en-GB"/>
        </w:rPr>
      </w:pPr>
      <w:r w:rsidRPr="00BB0F65">
        <w:rPr>
          <w:rFonts w:ascii="Times New Roman" w:hAnsi="Times New Roman" w:cs="Times New Roman"/>
          <w:sz w:val="24"/>
          <w:szCs w:val="24"/>
        </w:rPr>
        <w:t xml:space="preserve">the </w:t>
      </w:r>
      <w:r w:rsidRPr="00216A5E">
        <w:rPr>
          <w:rFonts w:ascii="Times New Roman" w:hAnsi="Times New Roman" w:cs="Times New Roman"/>
          <w:sz w:val="24"/>
          <w:szCs w:val="24"/>
        </w:rPr>
        <w:t>injury</w:t>
      </w:r>
      <w:r w:rsidRPr="00BB0F65">
        <w:rPr>
          <w:rFonts w:ascii="Times New Roman" w:hAnsi="Times New Roman" w:cs="Times New Roman"/>
          <w:sz w:val="24"/>
          <w:szCs w:val="24"/>
        </w:rPr>
        <w:t xml:space="preserve"> results in </w:t>
      </w:r>
      <w:r w:rsidR="00402F00">
        <w:rPr>
          <w:rFonts w:ascii="Times New Roman" w:hAnsi="Times New Roman" w:cs="Times New Roman"/>
          <w:sz w:val="24"/>
          <w:szCs w:val="24"/>
        </w:rPr>
        <w:t xml:space="preserve">an </w:t>
      </w:r>
      <w:r w:rsidRPr="00BB0F65">
        <w:rPr>
          <w:rFonts w:ascii="Times New Roman" w:hAnsi="Times New Roman" w:cs="Times New Roman"/>
          <w:sz w:val="24"/>
          <w:szCs w:val="24"/>
        </w:rPr>
        <w:t xml:space="preserve">impairment assessed </w:t>
      </w:r>
      <w:r w:rsidR="00A90480" w:rsidRPr="00BB0F65">
        <w:rPr>
          <w:rFonts w:ascii="Times New Roman" w:hAnsi="Times New Roman" w:cs="Times New Roman"/>
          <w:sz w:val="24"/>
          <w:szCs w:val="24"/>
        </w:rPr>
        <w:t xml:space="preserve">by a </w:t>
      </w:r>
      <w:r w:rsidR="00A90480" w:rsidRPr="00216A5E">
        <w:rPr>
          <w:rFonts w:ascii="Times New Roman" w:hAnsi="Times New Roman" w:cs="Times New Roman"/>
          <w:sz w:val="24"/>
          <w:szCs w:val="24"/>
        </w:rPr>
        <w:t>FIM</w:t>
      </w:r>
      <w:r w:rsidR="00A90480" w:rsidRPr="00216A5E">
        <w:rPr>
          <w:rFonts w:ascii="Times New Roman" w:hAnsi="Times New Roman" w:cs="Times New Roman"/>
          <w:sz w:val="24"/>
          <w:szCs w:val="24"/>
          <w:vertAlign w:val="superscript"/>
        </w:rPr>
        <w:t>TM</w:t>
      </w:r>
      <w:r w:rsidR="00A90480" w:rsidRPr="00BB0F65">
        <w:rPr>
          <w:rFonts w:ascii="Times New Roman" w:hAnsi="Times New Roman" w:cs="Times New Roman"/>
          <w:sz w:val="24"/>
          <w:szCs w:val="24"/>
        </w:rPr>
        <w:t xml:space="preserve"> credentialed medical or health care professional </w:t>
      </w:r>
      <w:r w:rsidRPr="00BB0F65">
        <w:rPr>
          <w:rFonts w:ascii="Times New Roman" w:hAnsi="Times New Roman" w:cs="Times New Roman"/>
          <w:sz w:val="24"/>
          <w:szCs w:val="24"/>
        </w:rPr>
        <w:t xml:space="preserve">at a score of 5 or less on any of the items on the </w:t>
      </w:r>
      <w:r w:rsidRPr="00216A5E">
        <w:rPr>
          <w:rFonts w:ascii="Times New Roman" w:hAnsi="Times New Roman" w:cs="Times New Roman"/>
          <w:sz w:val="24"/>
          <w:szCs w:val="24"/>
        </w:rPr>
        <w:t>FIM</w:t>
      </w:r>
      <w:r w:rsidRPr="00216A5E">
        <w:rPr>
          <w:rFonts w:ascii="Times New Roman" w:hAnsi="Times New Roman" w:cs="Times New Roman"/>
          <w:sz w:val="24"/>
          <w:szCs w:val="24"/>
          <w:vertAlign w:val="superscript"/>
        </w:rPr>
        <w:t>TM</w:t>
      </w:r>
      <w:r w:rsidRPr="00E879DF">
        <w:rPr>
          <w:rFonts w:ascii="Times New Roman" w:hAnsi="Times New Roman" w:cs="Times New Roman"/>
          <w:sz w:val="24"/>
          <w:szCs w:val="24"/>
          <w:vertAlign w:val="superscript"/>
        </w:rPr>
        <w:t xml:space="preserve"> </w:t>
      </w:r>
      <w:r w:rsidRPr="00BB0F65">
        <w:rPr>
          <w:rFonts w:ascii="Times New Roman" w:hAnsi="Times New Roman" w:cs="Times New Roman"/>
          <w:sz w:val="24"/>
          <w:szCs w:val="24"/>
        </w:rPr>
        <w:t>score sheet</w:t>
      </w:r>
      <w:r w:rsidR="00BB0F65">
        <w:rPr>
          <w:rFonts w:ascii="Times New Roman" w:hAnsi="Times New Roman" w:cs="Times New Roman"/>
          <w:sz w:val="24"/>
          <w:szCs w:val="24"/>
        </w:rPr>
        <w:t>,</w:t>
      </w:r>
    </w:p>
    <w:p w:rsidR="00BB0F65" w:rsidRPr="00BB0F65" w:rsidRDefault="00BB0F65" w:rsidP="00BB0F65">
      <w:pPr>
        <w:pStyle w:val="ListParagraph"/>
        <w:rPr>
          <w:rFonts w:ascii="Times New Roman" w:hAnsi="Times New Roman" w:cs="Times New Roman"/>
          <w:color w:val="000000"/>
          <w:sz w:val="24"/>
          <w:szCs w:val="24"/>
          <w:lang w:val="en-GB"/>
        </w:rPr>
      </w:pPr>
    </w:p>
    <w:p w:rsidR="0057326C" w:rsidRPr="00BB0F65" w:rsidRDefault="00DC685C" w:rsidP="00BB0F65">
      <w:pPr>
        <w:pStyle w:val="ListParagraph"/>
        <w:numPr>
          <w:ilvl w:val="0"/>
          <w:numId w:val="18"/>
        </w:numPr>
        <w:rPr>
          <w:rFonts w:ascii="Times New Roman" w:hAnsi="Times New Roman" w:cs="Times New Roman"/>
          <w:color w:val="000000"/>
          <w:sz w:val="24"/>
          <w:szCs w:val="24"/>
          <w:lang w:val="en-GB"/>
        </w:rPr>
      </w:pPr>
      <w:r w:rsidRPr="00BB0F65">
        <w:rPr>
          <w:rFonts w:ascii="Times New Roman" w:hAnsi="Times New Roman" w:cs="Times New Roman"/>
          <w:color w:val="000000"/>
          <w:sz w:val="24"/>
          <w:szCs w:val="24"/>
          <w:lang w:val="en-GB"/>
        </w:rPr>
        <w:t xml:space="preserve">the </w:t>
      </w:r>
      <w:r w:rsidR="00942976">
        <w:rPr>
          <w:rFonts w:ascii="Times New Roman" w:hAnsi="Times New Roman" w:cs="Times New Roman"/>
          <w:color w:val="000000"/>
          <w:sz w:val="24"/>
          <w:szCs w:val="24"/>
          <w:lang w:val="en-GB"/>
        </w:rPr>
        <w:t xml:space="preserve">Commission is satisfied that the </w:t>
      </w:r>
      <w:r w:rsidRPr="00216A5E">
        <w:rPr>
          <w:rFonts w:ascii="Times New Roman" w:hAnsi="Times New Roman" w:cs="Times New Roman"/>
          <w:color w:val="000000"/>
          <w:sz w:val="24"/>
          <w:szCs w:val="24"/>
          <w:lang w:val="en-GB"/>
        </w:rPr>
        <w:t>injury</w:t>
      </w:r>
      <w:r w:rsidRPr="00E879DF">
        <w:rPr>
          <w:rFonts w:ascii="Times New Roman" w:hAnsi="Times New Roman" w:cs="Times New Roman"/>
          <w:color w:val="000000"/>
          <w:sz w:val="24"/>
          <w:szCs w:val="24"/>
          <w:lang w:val="en-GB"/>
        </w:rPr>
        <w:t xml:space="preserve"> </w:t>
      </w:r>
      <w:r w:rsidRPr="00BB0F65">
        <w:rPr>
          <w:rFonts w:ascii="Times New Roman" w:hAnsi="Times New Roman" w:cs="Times New Roman"/>
          <w:color w:val="000000"/>
          <w:sz w:val="24"/>
          <w:szCs w:val="24"/>
          <w:lang w:val="en-GB"/>
        </w:rPr>
        <w:t>is</w:t>
      </w:r>
      <w:r w:rsidR="00505167" w:rsidRPr="00BB0F65">
        <w:rPr>
          <w:rFonts w:ascii="Times New Roman" w:hAnsi="Times New Roman" w:cs="Times New Roman"/>
          <w:color w:val="000000"/>
          <w:sz w:val="24"/>
          <w:szCs w:val="24"/>
          <w:lang w:val="en-GB"/>
        </w:rPr>
        <w:t xml:space="preserve"> </w:t>
      </w:r>
      <w:r w:rsidR="0057326C" w:rsidRPr="00BB0F65">
        <w:rPr>
          <w:rFonts w:ascii="Times New Roman" w:eastAsia="Calibri" w:hAnsi="Times New Roman" w:cs="Times New Roman"/>
          <w:sz w:val="24"/>
          <w:szCs w:val="24"/>
        </w:rPr>
        <w:t>one or more of the following:</w:t>
      </w:r>
    </w:p>
    <w:p w:rsidR="00BB0F65" w:rsidRPr="00BB0F65" w:rsidRDefault="00505167" w:rsidP="00BB0F65">
      <w:pPr>
        <w:pStyle w:val="ListParagraph"/>
        <w:numPr>
          <w:ilvl w:val="0"/>
          <w:numId w:val="4"/>
        </w:numPr>
        <w:spacing w:after="220" w:line="240" w:lineRule="auto"/>
        <w:ind w:left="1134"/>
        <w:rPr>
          <w:rFonts w:ascii="Times New Roman" w:eastAsia="Calibri" w:hAnsi="Times New Roman" w:cs="Times New Roman"/>
          <w:sz w:val="24"/>
          <w:szCs w:val="24"/>
        </w:rPr>
      </w:pPr>
      <w:r>
        <w:rPr>
          <w:rFonts w:ascii="Times New Roman" w:hAnsi="Times New Roman" w:cs="Times New Roman"/>
          <w:sz w:val="24"/>
          <w:szCs w:val="24"/>
        </w:rPr>
        <w:t>a</w:t>
      </w:r>
      <w:r w:rsidR="00AF69D8">
        <w:rPr>
          <w:rFonts w:ascii="Times New Roman" w:hAnsi="Times New Roman" w:cs="Times New Roman"/>
          <w:sz w:val="24"/>
          <w:szCs w:val="24"/>
        </w:rPr>
        <w:t xml:space="preserve"> </w:t>
      </w:r>
      <w:r>
        <w:rPr>
          <w:rFonts w:ascii="Times New Roman" w:hAnsi="Times New Roman" w:cs="Times New Roman"/>
          <w:sz w:val="24"/>
          <w:szCs w:val="24"/>
        </w:rPr>
        <w:t>catastrophic ne</w:t>
      </w:r>
      <w:r w:rsidR="006E410B">
        <w:rPr>
          <w:rFonts w:ascii="Times New Roman" w:hAnsi="Times New Roman" w:cs="Times New Roman"/>
          <w:sz w:val="24"/>
          <w:szCs w:val="24"/>
        </w:rPr>
        <w:t>rve</w:t>
      </w:r>
      <w:r w:rsidR="00AF69D8">
        <w:rPr>
          <w:rFonts w:ascii="Times New Roman" w:hAnsi="Times New Roman" w:cs="Times New Roman"/>
          <w:sz w:val="24"/>
          <w:szCs w:val="24"/>
        </w:rPr>
        <w:t xml:space="preserve"> injury</w:t>
      </w:r>
    </w:p>
    <w:p w:rsidR="00BB0F65" w:rsidRDefault="0057326C" w:rsidP="00BB0F65">
      <w:pPr>
        <w:pStyle w:val="ListParagraph"/>
        <w:numPr>
          <w:ilvl w:val="0"/>
          <w:numId w:val="4"/>
        </w:numPr>
        <w:spacing w:after="220" w:line="240" w:lineRule="auto"/>
        <w:ind w:left="1134"/>
        <w:rPr>
          <w:rFonts w:ascii="Times New Roman" w:eastAsia="Calibri" w:hAnsi="Times New Roman" w:cs="Times New Roman"/>
          <w:sz w:val="24"/>
          <w:szCs w:val="24"/>
        </w:rPr>
      </w:pPr>
      <w:r w:rsidRPr="00BB0F65">
        <w:rPr>
          <w:rFonts w:ascii="Times New Roman" w:eastAsia="Calibri" w:hAnsi="Times New Roman" w:cs="Times New Roman"/>
          <w:sz w:val="24"/>
          <w:szCs w:val="24"/>
        </w:rPr>
        <w:t xml:space="preserve">a </w:t>
      </w:r>
      <w:r w:rsidR="00AF69D8">
        <w:rPr>
          <w:rFonts w:ascii="Times New Roman" w:eastAsia="Calibri" w:hAnsi="Times New Roman" w:cs="Times New Roman"/>
          <w:sz w:val="24"/>
          <w:szCs w:val="24"/>
        </w:rPr>
        <w:t>catastrophic brain injury</w:t>
      </w:r>
    </w:p>
    <w:p w:rsidR="00BB0F65" w:rsidRDefault="0057326C" w:rsidP="00BB0F65">
      <w:pPr>
        <w:pStyle w:val="ListParagraph"/>
        <w:numPr>
          <w:ilvl w:val="0"/>
          <w:numId w:val="4"/>
        </w:numPr>
        <w:spacing w:after="220" w:line="240" w:lineRule="auto"/>
        <w:ind w:left="1134"/>
        <w:rPr>
          <w:rFonts w:ascii="Times New Roman" w:eastAsia="Calibri" w:hAnsi="Times New Roman" w:cs="Times New Roman"/>
          <w:sz w:val="24"/>
          <w:szCs w:val="24"/>
        </w:rPr>
      </w:pPr>
      <w:r w:rsidRPr="00BB0F65">
        <w:rPr>
          <w:rFonts w:ascii="Times New Roman" w:eastAsia="Calibri" w:hAnsi="Times New Roman" w:cs="Times New Roman"/>
          <w:sz w:val="24"/>
          <w:szCs w:val="24"/>
        </w:rPr>
        <w:t xml:space="preserve">a </w:t>
      </w:r>
      <w:r w:rsidR="00AF69D8">
        <w:rPr>
          <w:rFonts w:ascii="Times New Roman" w:eastAsia="Calibri" w:hAnsi="Times New Roman" w:cs="Times New Roman"/>
          <w:sz w:val="24"/>
          <w:szCs w:val="24"/>
        </w:rPr>
        <w:t>catastrophic amputation injury</w:t>
      </w:r>
    </w:p>
    <w:p w:rsidR="00BB0F65" w:rsidRDefault="00AF69D8" w:rsidP="00BB0F65">
      <w:pPr>
        <w:pStyle w:val="ListParagraph"/>
        <w:numPr>
          <w:ilvl w:val="0"/>
          <w:numId w:val="4"/>
        </w:numPr>
        <w:spacing w:after="220" w:line="240"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a catastrophic burn injury</w:t>
      </w:r>
    </w:p>
    <w:p w:rsidR="0057326C" w:rsidRPr="00BB0F65" w:rsidRDefault="0057326C" w:rsidP="00BB0F65">
      <w:pPr>
        <w:pStyle w:val="ListParagraph"/>
        <w:numPr>
          <w:ilvl w:val="0"/>
          <w:numId w:val="4"/>
        </w:numPr>
        <w:spacing w:after="220" w:line="240" w:lineRule="auto"/>
        <w:ind w:left="1134"/>
        <w:rPr>
          <w:rFonts w:ascii="Times New Roman" w:eastAsia="Calibri" w:hAnsi="Times New Roman" w:cs="Times New Roman"/>
          <w:sz w:val="24"/>
          <w:szCs w:val="24"/>
        </w:rPr>
      </w:pPr>
      <w:r w:rsidRPr="00BB0F65">
        <w:rPr>
          <w:rFonts w:ascii="Times New Roman" w:eastAsia="Calibri" w:hAnsi="Times New Roman" w:cs="Times New Roman"/>
          <w:sz w:val="24"/>
          <w:szCs w:val="24"/>
        </w:rPr>
        <w:t>a</w:t>
      </w:r>
      <w:r w:rsidR="00AF69D8">
        <w:rPr>
          <w:rFonts w:ascii="Times New Roman" w:eastAsia="Calibri" w:hAnsi="Times New Roman" w:cs="Times New Roman"/>
          <w:sz w:val="24"/>
          <w:szCs w:val="24"/>
        </w:rPr>
        <w:t xml:space="preserve"> catastrophic blindness injury</w:t>
      </w:r>
      <w:r w:rsidRPr="00BB0F65">
        <w:rPr>
          <w:rFonts w:ascii="Times New Roman" w:eastAsia="Calibri" w:hAnsi="Times New Roman" w:cs="Times New Roman"/>
          <w:sz w:val="24"/>
          <w:szCs w:val="24"/>
        </w:rPr>
        <w:t xml:space="preserve">. </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Each of these terms is defined in this instrument.</w:t>
      </w:r>
    </w:p>
    <w:p w:rsidR="0057326C"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If an employee’s compensable injury improves or resolves so that compensation is no longer payable under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xml:space="preserve"> in respect of the injury, or the injury no longer meets the definition of a ‘catastrophic injury’, then the employee will no longer have a ‘catastrophic injury’ for the purposes of the </w:t>
      </w:r>
      <w:r>
        <w:rPr>
          <w:rFonts w:ascii="Times New Roman" w:eastAsia="Calibri" w:hAnsi="Times New Roman" w:cs="Times New Roman"/>
          <w:sz w:val="24"/>
          <w:szCs w:val="24"/>
        </w:rPr>
        <w:t>DRCA</w:t>
      </w:r>
      <w:r w:rsidRPr="00BA0B4F">
        <w:rPr>
          <w:rFonts w:ascii="Times New Roman" w:eastAsia="Calibri" w:hAnsi="Times New Roman" w:cs="Times New Roman"/>
          <w:sz w:val="24"/>
          <w:szCs w:val="24"/>
        </w:rPr>
        <w:t xml:space="preserve">. </w:t>
      </w:r>
    </w:p>
    <w:p w:rsidR="00C57644" w:rsidRDefault="00C57644" w:rsidP="00C57644">
      <w:pPr>
        <w:spacing w:after="0" w:line="240" w:lineRule="auto"/>
        <w:rPr>
          <w:rFonts w:ascii="Times New Roman" w:hAnsi="Times New Roman" w:cs="Times New Roman"/>
          <w:i/>
          <w:sz w:val="24"/>
          <w:szCs w:val="24"/>
        </w:rPr>
      </w:pPr>
      <w:r>
        <w:rPr>
          <w:rFonts w:ascii="Times New Roman" w:hAnsi="Times New Roman" w:cs="Times New Roman"/>
          <w:i/>
          <w:sz w:val="24"/>
          <w:szCs w:val="24"/>
        </w:rPr>
        <w:t>Example</w:t>
      </w:r>
    </w:p>
    <w:p w:rsidR="002A239F" w:rsidRDefault="00C57644" w:rsidP="00C57644">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2A239F">
        <w:rPr>
          <w:rFonts w:ascii="Times New Roman" w:eastAsia="Calibri" w:hAnsi="Times New Roman" w:cs="Times New Roman"/>
          <w:sz w:val="24"/>
          <w:szCs w:val="24"/>
        </w:rPr>
        <w:t>n employee</w:t>
      </w:r>
      <w:r w:rsidR="002A239F" w:rsidRPr="00BA0B4F">
        <w:rPr>
          <w:rFonts w:ascii="Times New Roman" w:eastAsia="Calibri" w:hAnsi="Times New Roman" w:cs="Times New Roman"/>
          <w:sz w:val="24"/>
          <w:szCs w:val="24"/>
        </w:rPr>
        <w:t xml:space="preserve">’s compensable </w:t>
      </w:r>
      <w:r w:rsidR="002A239F">
        <w:rPr>
          <w:rFonts w:ascii="Times New Roman" w:eastAsia="Calibri" w:hAnsi="Times New Roman" w:cs="Times New Roman"/>
          <w:sz w:val="24"/>
          <w:szCs w:val="24"/>
        </w:rPr>
        <w:t>injury</w:t>
      </w:r>
      <w:r w:rsidR="002A239F" w:rsidRPr="00BA0B4F">
        <w:rPr>
          <w:rFonts w:ascii="Times New Roman" w:eastAsia="Calibri" w:hAnsi="Times New Roman" w:cs="Times New Roman"/>
          <w:sz w:val="24"/>
          <w:szCs w:val="24"/>
        </w:rPr>
        <w:t>, which is full thickness burns to the face, improves or resolves so that it no longer results in impairment assessed at a score of 5 or less on any items on the FIM</w:t>
      </w:r>
      <w:r w:rsidR="002A239F" w:rsidRPr="00BA0B4F">
        <w:rPr>
          <w:rFonts w:ascii="Times New Roman" w:eastAsia="Calibri" w:hAnsi="Times New Roman" w:cs="Times New Roman"/>
          <w:sz w:val="24"/>
          <w:szCs w:val="24"/>
          <w:vertAlign w:val="superscript"/>
        </w:rPr>
        <w:t>TM</w:t>
      </w:r>
      <w:r w:rsidR="002A239F">
        <w:rPr>
          <w:rFonts w:ascii="Times New Roman" w:eastAsia="Calibri" w:hAnsi="Times New Roman" w:cs="Times New Roman"/>
          <w:sz w:val="24"/>
          <w:szCs w:val="24"/>
        </w:rPr>
        <w:t xml:space="preserve"> score</w:t>
      </w:r>
      <w:r w:rsidR="002A239F" w:rsidRPr="00BA0B4F">
        <w:rPr>
          <w:rFonts w:ascii="Times New Roman" w:eastAsia="Calibri" w:hAnsi="Times New Roman" w:cs="Times New Roman"/>
          <w:sz w:val="24"/>
          <w:szCs w:val="24"/>
        </w:rPr>
        <w:t xml:space="preserve"> sheet. The </w:t>
      </w:r>
      <w:r w:rsidR="002A239F">
        <w:rPr>
          <w:rFonts w:ascii="Times New Roman" w:eastAsia="Calibri" w:hAnsi="Times New Roman" w:cs="Times New Roman"/>
          <w:sz w:val="24"/>
          <w:szCs w:val="24"/>
        </w:rPr>
        <w:t>employee</w:t>
      </w:r>
      <w:r w:rsidR="002A239F" w:rsidRPr="00BA0B4F">
        <w:rPr>
          <w:rFonts w:ascii="Times New Roman" w:eastAsia="Calibri" w:hAnsi="Times New Roman" w:cs="Times New Roman"/>
          <w:sz w:val="24"/>
          <w:szCs w:val="24"/>
        </w:rPr>
        <w:t xml:space="preserve">’s compensable </w:t>
      </w:r>
      <w:r w:rsidR="002A239F">
        <w:rPr>
          <w:rFonts w:ascii="Times New Roman" w:eastAsia="Calibri" w:hAnsi="Times New Roman" w:cs="Times New Roman"/>
          <w:sz w:val="24"/>
          <w:szCs w:val="24"/>
        </w:rPr>
        <w:t>injury</w:t>
      </w:r>
      <w:r w:rsidR="002A239F" w:rsidRPr="00BA0B4F">
        <w:rPr>
          <w:rFonts w:ascii="Times New Roman" w:eastAsia="Calibri" w:hAnsi="Times New Roman" w:cs="Times New Roman"/>
          <w:sz w:val="24"/>
          <w:szCs w:val="24"/>
        </w:rPr>
        <w:t xml:space="preserve"> is no longer a ‘catastrophic </w:t>
      </w:r>
      <w:r w:rsidR="002A239F">
        <w:rPr>
          <w:rFonts w:ascii="Times New Roman" w:eastAsia="Calibri" w:hAnsi="Times New Roman" w:cs="Times New Roman"/>
          <w:sz w:val="24"/>
          <w:szCs w:val="24"/>
        </w:rPr>
        <w:t>injury</w:t>
      </w:r>
      <w:r w:rsidR="002A239F" w:rsidRPr="00BA0B4F">
        <w:rPr>
          <w:rFonts w:ascii="Times New Roman" w:eastAsia="Calibri" w:hAnsi="Times New Roman" w:cs="Times New Roman"/>
          <w:sz w:val="24"/>
          <w:szCs w:val="24"/>
        </w:rPr>
        <w:t xml:space="preserve">’ for the purposes of the </w:t>
      </w:r>
      <w:r w:rsidR="002A239F">
        <w:rPr>
          <w:rFonts w:ascii="Times New Roman" w:eastAsia="Calibri" w:hAnsi="Times New Roman" w:cs="Times New Roman"/>
          <w:sz w:val="24"/>
          <w:szCs w:val="24"/>
        </w:rPr>
        <w:t>DRCA</w:t>
      </w:r>
      <w:r w:rsidR="002A239F" w:rsidRPr="00BA0B4F">
        <w:rPr>
          <w:rFonts w:ascii="Times New Roman" w:eastAsia="Calibri" w:hAnsi="Times New Roman" w:cs="Times New Roman"/>
          <w:sz w:val="24"/>
          <w:szCs w:val="24"/>
        </w:rPr>
        <w:t>.</w:t>
      </w:r>
    </w:p>
    <w:p w:rsidR="0057326C" w:rsidRPr="00490F1C" w:rsidRDefault="0057326C" w:rsidP="0057326C">
      <w:pPr>
        <w:spacing w:before="220" w:after="220" w:line="240" w:lineRule="auto"/>
        <w:rPr>
          <w:rFonts w:ascii="Times New Roman" w:eastAsia="Calibri" w:hAnsi="Times New Roman" w:cs="Times New Roman"/>
          <w:sz w:val="24"/>
          <w:szCs w:val="24"/>
          <w:u w:val="single"/>
        </w:rPr>
      </w:pPr>
      <w:r w:rsidRPr="00490F1C">
        <w:rPr>
          <w:rFonts w:ascii="Times New Roman" w:eastAsia="Calibri" w:hAnsi="Times New Roman" w:cs="Times New Roman"/>
          <w:sz w:val="24"/>
          <w:szCs w:val="24"/>
          <w:u w:val="single"/>
        </w:rPr>
        <w:t>Sect</w:t>
      </w:r>
      <w:r w:rsidR="00505167" w:rsidRPr="00490F1C">
        <w:rPr>
          <w:rFonts w:ascii="Times New Roman" w:eastAsia="Calibri" w:hAnsi="Times New Roman" w:cs="Times New Roman"/>
          <w:sz w:val="24"/>
          <w:szCs w:val="24"/>
          <w:u w:val="single"/>
        </w:rPr>
        <w:t>ion 7 – Catastrophic ne</w:t>
      </w:r>
      <w:r w:rsidR="002A2F6C">
        <w:rPr>
          <w:rFonts w:ascii="Times New Roman" w:eastAsia="Calibri" w:hAnsi="Times New Roman" w:cs="Times New Roman"/>
          <w:sz w:val="24"/>
          <w:szCs w:val="24"/>
          <w:u w:val="single"/>
        </w:rPr>
        <w:t>rve</w:t>
      </w:r>
      <w:r w:rsidRPr="00490F1C">
        <w:rPr>
          <w:rFonts w:ascii="Times New Roman" w:eastAsia="Calibri" w:hAnsi="Times New Roman" w:cs="Times New Roman"/>
          <w:sz w:val="24"/>
          <w:szCs w:val="24"/>
          <w:u w:val="single"/>
        </w:rPr>
        <w:t xml:space="preserve"> injury</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Section 7 of this instrument is based on the NIIS minimum benchmark for </w:t>
      </w:r>
      <w:r w:rsidR="00505167">
        <w:rPr>
          <w:rFonts w:ascii="Times New Roman" w:eastAsia="Calibri" w:hAnsi="Times New Roman" w:cs="Times New Roman"/>
          <w:sz w:val="24"/>
          <w:szCs w:val="24"/>
        </w:rPr>
        <w:t>spinal cord</w:t>
      </w:r>
      <w:r w:rsidRPr="00BA0B4F">
        <w:rPr>
          <w:rFonts w:ascii="Times New Roman" w:eastAsia="Calibri" w:hAnsi="Times New Roman" w:cs="Times New Roman"/>
          <w:sz w:val="24"/>
          <w:szCs w:val="24"/>
        </w:rPr>
        <w:t xml:space="preserve"> injury. The NIIS minimum benchmark for </w:t>
      </w:r>
      <w:r w:rsidR="00505167">
        <w:rPr>
          <w:rFonts w:ascii="Times New Roman" w:eastAsia="Calibri" w:hAnsi="Times New Roman" w:cs="Times New Roman"/>
          <w:sz w:val="24"/>
          <w:szCs w:val="24"/>
        </w:rPr>
        <w:t>spinal cord</w:t>
      </w:r>
      <w:r w:rsidRPr="00BA0B4F">
        <w:rPr>
          <w:rFonts w:ascii="Times New Roman" w:eastAsia="Calibri" w:hAnsi="Times New Roman" w:cs="Times New Roman"/>
          <w:sz w:val="24"/>
          <w:szCs w:val="24"/>
        </w:rPr>
        <w:t xml:space="preserve"> injury requires ‘evidence of a permanent neurological deficit (principally paraplegia and quadriplegia)’. </w:t>
      </w:r>
      <w:r w:rsidR="00C57644">
        <w:rPr>
          <w:rFonts w:ascii="Times New Roman" w:eastAsia="Calibri" w:hAnsi="Times New Roman" w:cs="Times New Roman"/>
          <w:sz w:val="24"/>
          <w:szCs w:val="24"/>
        </w:rPr>
        <w:t>S</w:t>
      </w:r>
      <w:r w:rsidRPr="00BA0B4F">
        <w:rPr>
          <w:rFonts w:ascii="Times New Roman" w:eastAsia="Calibri" w:hAnsi="Times New Roman" w:cs="Times New Roman"/>
          <w:sz w:val="24"/>
          <w:szCs w:val="24"/>
        </w:rPr>
        <w:t xml:space="preserve">ection 7 is </w:t>
      </w:r>
      <w:r w:rsidR="00303C9D">
        <w:rPr>
          <w:rFonts w:ascii="Times New Roman" w:eastAsia="Calibri" w:hAnsi="Times New Roman" w:cs="Times New Roman"/>
          <w:sz w:val="24"/>
          <w:szCs w:val="24"/>
        </w:rPr>
        <w:t>largely</w:t>
      </w:r>
      <w:r w:rsidR="006756F9">
        <w:rPr>
          <w:rFonts w:ascii="Times New Roman" w:eastAsia="Calibri" w:hAnsi="Times New Roman" w:cs="Times New Roman"/>
          <w:sz w:val="24"/>
          <w:szCs w:val="24"/>
        </w:rPr>
        <w:t xml:space="preserve"> </w:t>
      </w:r>
      <w:r w:rsidRPr="00BA0B4F">
        <w:rPr>
          <w:rFonts w:ascii="Times New Roman" w:eastAsia="Calibri" w:hAnsi="Times New Roman" w:cs="Times New Roman"/>
          <w:sz w:val="24"/>
          <w:szCs w:val="24"/>
        </w:rPr>
        <w:t xml:space="preserve">equivalent to the NIIS minimum benchmark for </w:t>
      </w:r>
      <w:r w:rsidR="00505167">
        <w:rPr>
          <w:rFonts w:ascii="Times New Roman" w:eastAsia="Calibri" w:hAnsi="Times New Roman" w:cs="Times New Roman"/>
          <w:sz w:val="24"/>
          <w:szCs w:val="24"/>
        </w:rPr>
        <w:t>neurological</w:t>
      </w:r>
      <w:r w:rsidRPr="00BA0B4F">
        <w:rPr>
          <w:rFonts w:ascii="Times New Roman" w:eastAsia="Calibri" w:hAnsi="Times New Roman" w:cs="Times New Roman"/>
          <w:sz w:val="24"/>
          <w:szCs w:val="24"/>
        </w:rPr>
        <w:t xml:space="preserve"> injury</w:t>
      </w:r>
      <w:r w:rsidR="00C57644">
        <w:rPr>
          <w:rFonts w:ascii="Times New Roman" w:eastAsia="Calibri" w:hAnsi="Times New Roman" w:cs="Times New Roman"/>
          <w:sz w:val="24"/>
          <w:szCs w:val="24"/>
        </w:rPr>
        <w:t xml:space="preserve"> with the exception that there is no requirement for permanence</w:t>
      </w:r>
      <w:r w:rsidRPr="00BA0B4F">
        <w:rPr>
          <w:rFonts w:ascii="Times New Roman" w:eastAsia="Calibri" w:hAnsi="Times New Roman" w:cs="Times New Roman"/>
          <w:sz w:val="24"/>
          <w:szCs w:val="24"/>
        </w:rPr>
        <w:t xml:space="preserve">. </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For the purposes of section 7, a compensable injury will be a ‘catastrophic </w:t>
      </w:r>
      <w:r w:rsidR="00505167">
        <w:rPr>
          <w:rFonts w:ascii="Times New Roman" w:eastAsia="Calibri" w:hAnsi="Times New Roman" w:cs="Times New Roman"/>
          <w:sz w:val="24"/>
          <w:szCs w:val="24"/>
        </w:rPr>
        <w:t>ne</w:t>
      </w:r>
      <w:r w:rsidR="002A2F6C">
        <w:rPr>
          <w:rFonts w:ascii="Times New Roman" w:eastAsia="Calibri" w:hAnsi="Times New Roman" w:cs="Times New Roman"/>
          <w:sz w:val="24"/>
          <w:szCs w:val="24"/>
        </w:rPr>
        <w:t>rve</w:t>
      </w:r>
      <w:r w:rsidRPr="00BA0B4F">
        <w:rPr>
          <w:rFonts w:ascii="Times New Roman" w:eastAsia="Calibri" w:hAnsi="Times New Roman" w:cs="Times New Roman"/>
          <w:sz w:val="24"/>
          <w:szCs w:val="24"/>
        </w:rPr>
        <w:t xml:space="preserve"> injury’</w:t>
      </w:r>
      <w:r w:rsidRPr="00A90480">
        <w:rPr>
          <w:rFonts w:ascii="Times New Roman" w:eastAsia="Calibri" w:hAnsi="Times New Roman" w:cs="Times New Roman"/>
          <w:sz w:val="24"/>
          <w:szCs w:val="24"/>
        </w:rPr>
        <w:t xml:space="preserve"> </w:t>
      </w:r>
      <w:r w:rsidR="006756F9" w:rsidRPr="00A90480">
        <w:rPr>
          <w:rFonts w:ascii="Times New Roman" w:eastAsia="Calibri" w:hAnsi="Times New Roman" w:cs="Times New Roman"/>
          <w:sz w:val="24"/>
          <w:szCs w:val="24"/>
        </w:rPr>
        <w:t xml:space="preserve">if </w:t>
      </w:r>
      <w:r w:rsidRPr="00BA0B4F">
        <w:rPr>
          <w:rFonts w:ascii="Times New Roman" w:eastAsia="Calibri" w:hAnsi="Times New Roman" w:cs="Times New Roman"/>
          <w:sz w:val="24"/>
          <w:szCs w:val="24"/>
        </w:rPr>
        <w:t xml:space="preserve">it is a lesion of the </w:t>
      </w:r>
      <w:r w:rsidR="00AF69D8" w:rsidRPr="00AF69D8">
        <w:rPr>
          <w:rFonts w:ascii="Times New Roman" w:hAnsi="Times New Roman" w:cs="Times New Roman"/>
          <w:sz w:val="24"/>
          <w:szCs w:val="24"/>
        </w:rPr>
        <w:t xml:space="preserve">spinal cord, cauda </w:t>
      </w:r>
      <w:proofErr w:type="spellStart"/>
      <w:r w:rsidR="00AF69D8" w:rsidRPr="00AF69D8">
        <w:rPr>
          <w:rFonts w:ascii="Times New Roman" w:hAnsi="Times New Roman" w:cs="Times New Roman"/>
          <w:sz w:val="24"/>
          <w:szCs w:val="24"/>
        </w:rPr>
        <w:t>equina</w:t>
      </w:r>
      <w:proofErr w:type="spellEnd"/>
      <w:r w:rsidR="00AF69D8" w:rsidRPr="00AF69D8">
        <w:rPr>
          <w:rFonts w:ascii="Times New Roman" w:hAnsi="Times New Roman" w:cs="Times New Roman"/>
          <w:sz w:val="24"/>
          <w:szCs w:val="24"/>
        </w:rPr>
        <w:t>, brachial plexus</w:t>
      </w:r>
      <w:r w:rsidR="002A2F6C">
        <w:rPr>
          <w:rFonts w:ascii="Times New Roman" w:hAnsi="Times New Roman" w:cs="Times New Roman"/>
          <w:sz w:val="24"/>
          <w:szCs w:val="24"/>
        </w:rPr>
        <w:t xml:space="preserve">, </w:t>
      </w:r>
      <w:r w:rsidR="00AF69D8" w:rsidRPr="00AF69D8">
        <w:rPr>
          <w:rFonts w:ascii="Times New Roman" w:hAnsi="Times New Roman" w:cs="Times New Roman"/>
          <w:sz w:val="24"/>
          <w:szCs w:val="24"/>
        </w:rPr>
        <w:t>lumbosacral plexus</w:t>
      </w:r>
      <w:r w:rsidR="002A2F6C">
        <w:rPr>
          <w:rFonts w:ascii="Times New Roman" w:hAnsi="Times New Roman" w:cs="Times New Roman"/>
          <w:sz w:val="24"/>
          <w:szCs w:val="24"/>
        </w:rPr>
        <w:t>, cervical plexus or coccygeal plexus</w:t>
      </w:r>
      <w:r w:rsidR="00AF69D8" w:rsidRPr="00AF69D8">
        <w:rPr>
          <w:rFonts w:ascii="Times New Roman" w:hAnsi="Times New Roman" w:cs="Times New Roman"/>
          <w:sz w:val="24"/>
          <w:szCs w:val="24"/>
        </w:rPr>
        <w:t xml:space="preserve"> </w:t>
      </w:r>
      <w:r w:rsidRPr="00BA0B4F">
        <w:rPr>
          <w:rFonts w:ascii="Times New Roman" w:eastAsia="Calibri" w:hAnsi="Times New Roman" w:cs="Times New Roman"/>
          <w:sz w:val="24"/>
          <w:szCs w:val="24"/>
        </w:rPr>
        <w:t xml:space="preserve">which results in sensory deficit, motor deficit, bladder dysfunction or bowel dysfunction. </w:t>
      </w:r>
    </w:p>
    <w:p w:rsidR="0057326C" w:rsidRDefault="0057326C" w:rsidP="0057326C">
      <w:pPr>
        <w:spacing w:after="220" w:line="240" w:lineRule="auto"/>
        <w:rPr>
          <w:rFonts w:ascii="Times New Roman" w:eastAsia="Calibri" w:hAnsi="Times New Roman" w:cs="Times New Roman"/>
          <w:sz w:val="24"/>
          <w:szCs w:val="24"/>
        </w:rPr>
      </w:pPr>
      <w:r w:rsidRPr="00BA0B4F">
        <w:rPr>
          <w:rFonts w:ascii="Times New Roman" w:hAnsi="Times New Roman" w:cs="Times New Roman"/>
          <w:color w:val="000000"/>
          <w:sz w:val="24"/>
          <w:szCs w:val="24"/>
        </w:rPr>
        <w:t>The term lesion has its ordinary meaning. A lesion can include an </w:t>
      </w:r>
      <w:r w:rsidRPr="00BA0B4F">
        <w:rPr>
          <w:rFonts w:ascii="Times New Roman" w:hAnsi="Times New Roman" w:cs="Times New Roman"/>
          <w:color w:val="000000"/>
          <w:sz w:val="24"/>
          <w:szCs w:val="24"/>
          <w:shd w:val="clear" w:color="auto" w:fill="FFFFFF"/>
        </w:rPr>
        <w:t xml:space="preserve">abnormal change in an organ or tissue. </w:t>
      </w:r>
      <w:r w:rsidRPr="00BA0B4F">
        <w:rPr>
          <w:rFonts w:ascii="Times New Roman" w:eastAsia="Calibri" w:hAnsi="Times New Roman" w:cs="Times New Roman"/>
          <w:sz w:val="24"/>
          <w:szCs w:val="24"/>
        </w:rPr>
        <w:t>For the purposes of section 7, there is no requirement that the lesion be caused by trauma, or that the deficit or dysfunction be permanent. However, an in</w:t>
      </w:r>
      <w:r w:rsidR="00063D08">
        <w:rPr>
          <w:rFonts w:ascii="Times New Roman" w:eastAsia="Calibri" w:hAnsi="Times New Roman" w:cs="Times New Roman"/>
          <w:sz w:val="24"/>
          <w:szCs w:val="24"/>
        </w:rPr>
        <w:t xml:space="preserve">jury other than a lesion of </w:t>
      </w:r>
      <w:r w:rsidR="00063D08" w:rsidRPr="00BA0B4F">
        <w:rPr>
          <w:rFonts w:ascii="Times New Roman" w:eastAsia="Calibri" w:hAnsi="Times New Roman" w:cs="Times New Roman"/>
          <w:sz w:val="24"/>
          <w:szCs w:val="24"/>
        </w:rPr>
        <w:t xml:space="preserve">the </w:t>
      </w:r>
      <w:r w:rsidR="00063D08" w:rsidRPr="00AF69D8">
        <w:rPr>
          <w:rFonts w:ascii="Times New Roman" w:hAnsi="Times New Roman" w:cs="Times New Roman"/>
          <w:sz w:val="24"/>
          <w:szCs w:val="24"/>
        </w:rPr>
        <w:t xml:space="preserve">spinal cord, cauda </w:t>
      </w:r>
      <w:proofErr w:type="spellStart"/>
      <w:r w:rsidR="00063D08" w:rsidRPr="00AF69D8">
        <w:rPr>
          <w:rFonts w:ascii="Times New Roman" w:hAnsi="Times New Roman" w:cs="Times New Roman"/>
          <w:sz w:val="24"/>
          <w:szCs w:val="24"/>
        </w:rPr>
        <w:t>equina</w:t>
      </w:r>
      <w:proofErr w:type="spellEnd"/>
      <w:r w:rsidR="00063D08" w:rsidRPr="00AF69D8">
        <w:rPr>
          <w:rFonts w:ascii="Times New Roman" w:hAnsi="Times New Roman" w:cs="Times New Roman"/>
          <w:sz w:val="24"/>
          <w:szCs w:val="24"/>
        </w:rPr>
        <w:t>, brachial plexus</w:t>
      </w:r>
      <w:r w:rsidR="002A2F6C">
        <w:rPr>
          <w:rFonts w:ascii="Times New Roman" w:hAnsi="Times New Roman" w:cs="Times New Roman"/>
          <w:sz w:val="24"/>
          <w:szCs w:val="24"/>
        </w:rPr>
        <w:t xml:space="preserve">, </w:t>
      </w:r>
      <w:r w:rsidR="00063D08" w:rsidRPr="00AF69D8">
        <w:rPr>
          <w:rFonts w:ascii="Times New Roman" w:hAnsi="Times New Roman" w:cs="Times New Roman"/>
          <w:sz w:val="24"/>
          <w:szCs w:val="24"/>
        </w:rPr>
        <w:t>lumbosacral plexus</w:t>
      </w:r>
      <w:r w:rsidR="002A2F6C">
        <w:rPr>
          <w:rFonts w:ascii="Times New Roman" w:hAnsi="Times New Roman" w:cs="Times New Roman"/>
          <w:sz w:val="24"/>
          <w:szCs w:val="24"/>
        </w:rPr>
        <w:t>,</w:t>
      </w:r>
      <w:r w:rsidR="002A2F6C" w:rsidRPr="002A2F6C">
        <w:rPr>
          <w:rFonts w:ascii="Times New Roman" w:hAnsi="Times New Roman" w:cs="Times New Roman"/>
          <w:sz w:val="24"/>
          <w:szCs w:val="24"/>
        </w:rPr>
        <w:t xml:space="preserve"> </w:t>
      </w:r>
      <w:r w:rsidR="002A2F6C">
        <w:rPr>
          <w:rFonts w:ascii="Times New Roman" w:hAnsi="Times New Roman" w:cs="Times New Roman"/>
          <w:sz w:val="24"/>
          <w:szCs w:val="24"/>
        </w:rPr>
        <w:t xml:space="preserve">cervical </w:t>
      </w:r>
      <w:r w:rsidR="002A2F6C">
        <w:rPr>
          <w:rFonts w:ascii="Times New Roman" w:hAnsi="Times New Roman" w:cs="Times New Roman"/>
          <w:sz w:val="24"/>
          <w:szCs w:val="24"/>
        </w:rPr>
        <w:lastRenderedPageBreak/>
        <w:t>plexus or coccygeal plexus</w:t>
      </w:r>
      <w:r w:rsidR="00063D08" w:rsidRPr="00AF69D8">
        <w:rPr>
          <w:rFonts w:ascii="Times New Roman" w:hAnsi="Times New Roman" w:cs="Times New Roman"/>
          <w:sz w:val="24"/>
          <w:szCs w:val="24"/>
        </w:rPr>
        <w:t xml:space="preserve"> </w:t>
      </w:r>
      <w:r w:rsidRPr="00BA0B4F">
        <w:rPr>
          <w:rFonts w:ascii="Times New Roman" w:eastAsia="Calibri" w:hAnsi="Times New Roman" w:cs="Times New Roman"/>
          <w:sz w:val="24"/>
          <w:szCs w:val="24"/>
        </w:rPr>
        <w:t xml:space="preserve">will not be a ‘catastrophic </w:t>
      </w:r>
      <w:r w:rsidR="00505167">
        <w:rPr>
          <w:rFonts w:ascii="Times New Roman" w:eastAsia="Calibri" w:hAnsi="Times New Roman" w:cs="Times New Roman"/>
          <w:sz w:val="24"/>
          <w:szCs w:val="24"/>
        </w:rPr>
        <w:t>ne</w:t>
      </w:r>
      <w:r w:rsidR="002A2F6C">
        <w:rPr>
          <w:rFonts w:ascii="Times New Roman" w:eastAsia="Calibri" w:hAnsi="Times New Roman" w:cs="Times New Roman"/>
          <w:sz w:val="24"/>
          <w:szCs w:val="24"/>
        </w:rPr>
        <w:t>rve</w:t>
      </w:r>
      <w:r w:rsidRPr="00BA0B4F">
        <w:rPr>
          <w:rFonts w:ascii="Times New Roman" w:eastAsia="Calibri" w:hAnsi="Times New Roman" w:cs="Times New Roman"/>
          <w:sz w:val="24"/>
          <w:szCs w:val="24"/>
        </w:rPr>
        <w:t xml:space="preserve"> injury’, even if it results in sensory deficit, motor deficit, bladder dysfunction or bowel dysfunction.</w:t>
      </w:r>
    </w:p>
    <w:p w:rsidR="00C57644" w:rsidRDefault="00C57644" w:rsidP="00C57644">
      <w:pPr>
        <w:spacing w:after="0" w:line="240" w:lineRule="auto"/>
        <w:rPr>
          <w:rFonts w:ascii="Times New Roman" w:hAnsi="Times New Roman" w:cs="Times New Roman"/>
          <w:i/>
          <w:sz w:val="24"/>
          <w:szCs w:val="24"/>
        </w:rPr>
      </w:pPr>
      <w:r>
        <w:rPr>
          <w:rFonts w:ascii="Times New Roman" w:hAnsi="Times New Roman" w:cs="Times New Roman"/>
          <w:i/>
          <w:sz w:val="24"/>
          <w:szCs w:val="24"/>
        </w:rPr>
        <w:t>Example</w:t>
      </w:r>
    </w:p>
    <w:p w:rsidR="002A239F" w:rsidRPr="005821B8" w:rsidRDefault="00C57644" w:rsidP="0089313F">
      <w:pPr>
        <w:spacing w:after="220" w:line="240" w:lineRule="auto"/>
        <w:rPr>
          <w:rFonts w:ascii="Times New Roman" w:hAnsi="Times New Roman" w:cs="Times New Roman"/>
          <w:sz w:val="24"/>
          <w:szCs w:val="24"/>
        </w:rPr>
      </w:pPr>
      <w:r>
        <w:rPr>
          <w:rFonts w:ascii="Times New Roman" w:hAnsi="Times New Roman" w:cs="Times New Roman"/>
          <w:sz w:val="24"/>
          <w:szCs w:val="24"/>
        </w:rPr>
        <w:t>A</w:t>
      </w:r>
      <w:r w:rsidR="002A239F">
        <w:rPr>
          <w:rFonts w:ascii="Times New Roman" w:hAnsi="Times New Roman" w:cs="Times New Roman"/>
          <w:sz w:val="24"/>
          <w:szCs w:val="24"/>
        </w:rPr>
        <w:t xml:space="preserve">n employee’s compensable injury </w:t>
      </w:r>
      <w:r w:rsidR="002A239F" w:rsidRPr="005821B8">
        <w:rPr>
          <w:rFonts w:ascii="Times New Roman" w:hAnsi="Times New Roman" w:cs="Times New Roman"/>
          <w:sz w:val="24"/>
          <w:szCs w:val="24"/>
        </w:rPr>
        <w:t xml:space="preserve">results in damage to the femoral nerve in the upper thigh. Although the femoral nerve emerges from the lower spine and via </w:t>
      </w:r>
      <w:r w:rsidR="002A239F">
        <w:rPr>
          <w:rFonts w:ascii="Times New Roman" w:hAnsi="Times New Roman" w:cs="Times New Roman"/>
          <w:sz w:val="24"/>
          <w:szCs w:val="24"/>
        </w:rPr>
        <w:t xml:space="preserve">the </w:t>
      </w:r>
      <w:r w:rsidR="002A239F" w:rsidRPr="005821B8">
        <w:rPr>
          <w:rFonts w:ascii="Times New Roman" w:hAnsi="Times New Roman" w:cs="Times New Roman"/>
          <w:sz w:val="24"/>
          <w:szCs w:val="24"/>
        </w:rPr>
        <w:t>lumbosacral plexus, it does not constitute part of these s</w:t>
      </w:r>
      <w:r w:rsidR="002A239F">
        <w:rPr>
          <w:rFonts w:ascii="Times New Roman" w:hAnsi="Times New Roman" w:cs="Times New Roman"/>
          <w:sz w:val="24"/>
          <w:szCs w:val="24"/>
        </w:rPr>
        <w:t xml:space="preserve">tructures. Therefore, the employee’s compensable injury </w:t>
      </w:r>
      <w:r w:rsidR="002A239F" w:rsidRPr="005821B8">
        <w:rPr>
          <w:rFonts w:ascii="Times New Roman" w:hAnsi="Times New Roman" w:cs="Times New Roman"/>
          <w:sz w:val="24"/>
          <w:szCs w:val="24"/>
        </w:rPr>
        <w:t>is not a ‘catastrophic nerve injury’.</w:t>
      </w:r>
    </w:p>
    <w:p w:rsidR="0057326C" w:rsidRPr="00490F1C" w:rsidRDefault="0057326C" w:rsidP="0057326C">
      <w:pPr>
        <w:keepNext/>
        <w:spacing w:before="220" w:after="220" w:line="240" w:lineRule="auto"/>
        <w:rPr>
          <w:rFonts w:ascii="Times New Roman" w:eastAsia="Calibri" w:hAnsi="Times New Roman" w:cs="Times New Roman"/>
          <w:sz w:val="24"/>
          <w:szCs w:val="24"/>
          <w:u w:val="single"/>
        </w:rPr>
      </w:pPr>
      <w:r w:rsidRPr="00490F1C">
        <w:rPr>
          <w:rFonts w:ascii="Times New Roman" w:eastAsia="Calibri" w:hAnsi="Times New Roman" w:cs="Times New Roman"/>
          <w:sz w:val="24"/>
          <w:szCs w:val="24"/>
          <w:u w:val="single"/>
        </w:rPr>
        <w:t>Section 8 – Catastrophic brain injury</w:t>
      </w:r>
    </w:p>
    <w:p w:rsidR="0057326C" w:rsidRPr="00BA0B4F" w:rsidRDefault="0057326C" w:rsidP="0057326C">
      <w:pPr>
        <w:shd w:val="clear" w:color="auto" w:fill="FFFFFF"/>
        <w:spacing w:after="220" w:line="240" w:lineRule="auto"/>
        <w:textAlignment w:val="baseline"/>
        <w:rPr>
          <w:rFonts w:ascii="Times New Roman" w:hAnsi="Times New Roman" w:cs="Times New Roman"/>
          <w:color w:val="000000"/>
          <w:sz w:val="24"/>
          <w:szCs w:val="24"/>
        </w:rPr>
      </w:pPr>
      <w:r w:rsidRPr="00BA0B4F">
        <w:rPr>
          <w:rFonts w:ascii="Times New Roman" w:eastAsia="Calibri" w:hAnsi="Times New Roman" w:cs="Times New Roman"/>
          <w:sz w:val="24"/>
          <w:szCs w:val="24"/>
        </w:rPr>
        <w:t xml:space="preserve">Section 8 of this instrument is based on the NIIS minimum benchmark for </w:t>
      </w:r>
      <w:r w:rsidRPr="00BA0B4F">
        <w:rPr>
          <w:rFonts w:ascii="Times New Roman" w:hAnsi="Times New Roman" w:cs="Times New Roman"/>
          <w:color w:val="000000"/>
          <w:sz w:val="24"/>
          <w:szCs w:val="24"/>
        </w:rPr>
        <w:t>traumatic brain injury.</w:t>
      </w:r>
    </w:p>
    <w:p w:rsidR="00063D08" w:rsidRDefault="0057326C" w:rsidP="006756F9">
      <w:pPr>
        <w:rPr>
          <w:rFonts w:ascii="Times New Roman" w:hAnsi="Times New Roman" w:cs="Times New Roman"/>
          <w:sz w:val="24"/>
          <w:szCs w:val="24"/>
        </w:rPr>
      </w:pPr>
      <w:r w:rsidRPr="00BA0B4F">
        <w:rPr>
          <w:rFonts w:ascii="Times New Roman" w:hAnsi="Times New Roman" w:cs="Times New Roman"/>
          <w:color w:val="000000"/>
          <w:sz w:val="24"/>
          <w:szCs w:val="24"/>
        </w:rPr>
        <w:t>For the purposes of section 8, there is no requirement that the brain injury be a</w:t>
      </w:r>
      <w:r w:rsidR="00063D08">
        <w:rPr>
          <w:rFonts w:ascii="Times New Roman" w:hAnsi="Times New Roman" w:cs="Times New Roman"/>
          <w:color w:val="000000"/>
          <w:sz w:val="24"/>
          <w:szCs w:val="24"/>
        </w:rPr>
        <w:t xml:space="preserve"> traumatic brain injury. However, </w:t>
      </w:r>
      <w:r w:rsidRPr="00BA0B4F">
        <w:rPr>
          <w:rFonts w:ascii="Times New Roman" w:hAnsi="Times New Roman" w:cs="Times New Roman"/>
          <w:color w:val="000000"/>
          <w:sz w:val="24"/>
          <w:szCs w:val="24"/>
        </w:rPr>
        <w:t xml:space="preserve">what is required </w:t>
      </w:r>
      <w:r w:rsidRPr="004E76A3">
        <w:rPr>
          <w:rFonts w:ascii="Times New Roman" w:hAnsi="Times New Roman" w:cs="Times New Roman"/>
          <w:color w:val="000000"/>
          <w:sz w:val="24"/>
          <w:szCs w:val="24"/>
        </w:rPr>
        <w:t xml:space="preserve">for a ‘catastrophic brain injury’ is </w:t>
      </w:r>
      <w:r w:rsidR="004E76A3">
        <w:rPr>
          <w:rFonts w:ascii="Times New Roman" w:hAnsi="Times New Roman" w:cs="Times New Roman"/>
          <w:sz w:val="24"/>
          <w:szCs w:val="24"/>
        </w:rPr>
        <w:t>that the injury</w:t>
      </w:r>
      <w:r w:rsidR="004E76A3" w:rsidRPr="004E76A3">
        <w:rPr>
          <w:rFonts w:ascii="Times New Roman" w:hAnsi="Times New Roman" w:cs="Times New Roman"/>
          <w:sz w:val="24"/>
          <w:szCs w:val="24"/>
        </w:rPr>
        <w:t xml:space="preserve"> </w:t>
      </w:r>
      <w:r w:rsidR="00063D08">
        <w:rPr>
          <w:rFonts w:ascii="Times New Roman" w:hAnsi="Times New Roman" w:cs="Times New Roman"/>
          <w:color w:val="000000"/>
          <w:sz w:val="24"/>
          <w:szCs w:val="24"/>
          <w:lang w:val="en-GB"/>
        </w:rPr>
        <w:t xml:space="preserve">results in </w:t>
      </w:r>
      <w:r w:rsidR="004E76A3" w:rsidRPr="004E76A3">
        <w:rPr>
          <w:rFonts w:ascii="Times New Roman" w:hAnsi="Times New Roman" w:cs="Times New Roman"/>
          <w:sz w:val="24"/>
          <w:szCs w:val="24"/>
        </w:rPr>
        <w:t>an impairment of cognitive, physical or psychosocial functions</w:t>
      </w:r>
      <w:r w:rsidR="00063D08">
        <w:rPr>
          <w:rFonts w:ascii="Times New Roman" w:hAnsi="Times New Roman" w:cs="Times New Roman"/>
          <w:sz w:val="24"/>
          <w:szCs w:val="24"/>
        </w:rPr>
        <w:t xml:space="preserve"> and </w:t>
      </w:r>
    </w:p>
    <w:p w:rsidR="004E76A3" w:rsidRPr="00063D08" w:rsidRDefault="004E76A3" w:rsidP="00063D08">
      <w:pPr>
        <w:pStyle w:val="ListParagraph"/>
        <w:numPr>
          <w:ilvl w:val="0"/>
          <w:numId w:val="19"/>
        </w:numPr>
        <w:rPr>
          <w:rFonts w:ascii="Times New Roman" w:hAnsi="Times New Roman" w:cs="Times New Roman"/>
          <w:sz w:val="24"/>
          <w:szCs w:val="24"/>
        </w:rPr>
      </w:pPr>
      <w:r w:rsidRPr="00063D08">
        <w:rPr>
          <w:rFonts w:ascii="Times New Roman" w:hAnsi="Times New Roman" w:cs="Times New Roman"/>
          <w:sz w:val="24"/>
          <w:szCs w:val="24"/>
        </w:rPr>
        <w:t>one of the following:</w:t>
      </w:r>
    </w:p>
    <w:p w:rsidR="00063D08" w:rsidRDefault="004E76A3" w:rsidP="00063D08">
      <w:pPr>
        <w:pStyle w:val="ListParagraph"/>
        <w:numPr>
          <w:ilvl w:val="0"/>
          <w:numId w:val="17"/>
        </w:numPr>
        <w:tabs>
          <w:tab w:val="left" w:pos="993"/>
        </w:tabs>
        <w:spacing w:before="120" w:after="0" w:line="240" w:lineRule="auto"/>
        <w:ind w:left="426" w:firstLine="283"/>
        <w:rPr>
          <w:rFonts w:ascii="Times New Roman" w:hAnsi="Times New Roman" w:cs="Times New Roman"/>
          <w:sz w:val="24"/>
          <w:szCs w:val="24"/>
        </w:rPr>
      </w:pPr>
      <w:r w:rsidRPr="004E76A3">
        <w:rPr>
          <w:rFonts w:ascii="Times New Roman" w:hAnsi="Times New Roman" w:cs="Times New Roman"/>
          <w:sz w:val="24"/>
          <w:szCs w:val="24"/>
        </w:rPr>
        <w:t>a period of post traum</w:t>
      </w:r>
      <w:r w:rsidR="006756F9">
        <w:rPr>
          <w:rFonts w:ascii="Times New Roman" w:hAnsi="Times New Roman" w:cs="Times New Roman"/>
          <w:sz w:val="24"/>
          <w:szCs w:val="24"/>
        </w:rPr>
        <w:t>atic amnesia of at least 7 days,</w:t>
      </w:r>
    </w:p>
    <w:p w:rsidR="00063D08" w:rsidRDefault="004E76A3" w:rsidP="00063D08">
      <w:pPr>
        <w:pStyle w:val="ListParagraph"/>
        <w:numPr>
          <w:ilvl w:val="0"/>
          <w:numId w:val="17"/>
        </w:numPr>
        <w:tabs>
          <w:tab w:val="left" w:pos="993"/>
        </w:tabs>
        <w:spacing w:before="120" w:after="0" w:line="240" w:lineRule="auto"/>
        <w:ind w:left="426" w:firstLine="283"/>
        <w:rPr>
          <w:rFonts w:ascii="Times New Roman" w:hAnsi="Times New Roman" w:cs="Times New Roman"/>
          <w:sz w:val="24"/>
          <w:szCs w:val="24"/>
        </w:rPr>
      </w:pPr>
      <w:r w:rsidRPr="00063D08">
        <w:rPr>
          <w:rFonts w:ascii="Times New Roman" w:hAnsi="Times New Roman" w:cs="Times New Roman"/>
          <w:sz w:val="24"/>
          <w:szCs w:val="24"/>
        </w:rPr>
        <w:t>a signif</w:t>
      </w:r>
      <w:r w:rsidR="006756F9" w:rsidRPr="00063D08">
        <w:rPr>
          <w:rFonts w:ascii="Times New Roman" w:hAnsi="Times New Roman" w:cs="Times New Roman"/>
          <w:sz w:val="24"/>
          <w:szCs w:val="24"/>
        </w:rPr>
        <w:t>icant brain imaging abnormality,</w:t>
      </w:r>
    </w:p>
    <w:p w:rsidR="004E76A3" w:rsidRPr="00063D08" w:rsidRDefault="004E76A3" w:rsidP="00402F00">
      <w:pPr>
        <w:pStyle w:val="ListParagraph"/>
        <w:numPr>
          <w:ilvl w:val="0"/>
          <w:numId w:val="17"/>
        </w:numPr>
        <w:tabs>
          <w:tab w:val="left" w:pos="993"/>
        </w:tabs>
        <w:spacing w:before="120" w:after="0" w:line="240" w:lineRule="auto"/>
        <w:ind w:left="993" w:hanging="284"/>
        <w:rPr>
          <w:rFonts w:ascii="Times New Roman" w:hAnsi="Times New Roman" w:cs="Times New Roman"/>
          <w:sz w:val="24"/>
          <w:szCs w:val="24"/>
        </w:rPr>
      </w:pPr>
      <w:r w:rsidRPr="00063D08">
        <w:rPr>
          <w:rFonts w:ascii="Times New Roman" w:hAnsi="Times New Roman" w:cs="Times New Roman"/>
          <w:sz w:val="24"/>
          <w:szCs w:val="24"/>
        </w:rPr>
        <w:t>a score for the Standardised Mini</w:t>
      </w:r>
      <w:r w:rsidR="00EE1232">
        <w:rPr>
          <w:rFonts w:ascii="Times New Roman" w:hAnsi="Times New Roman" w:cs="Times New Roman"/>
          <w:sz w:val="24"/>
          <w:szCs w:val="24"/>
        </w:rPr>
        <w:t>-</w:t>
      </w:r>
      <w:r w:rsidRPr="00063D08">
        <w:rPr>
          <w:rFonts w:ascii="Times New Roman" w:hAnsi="Times New Roman" w:cs="Times New Roman"/>
          <w:sz w:val="24"/>
          <w:szCs w:val="24"/>
        </w:rPr>
        <w:t xml:space="preserve">Mental State Examination </w:t>
      </w:r>
      <w:r w:rsidR="00402F00">
        <w:rPr>
          <w:rFonts w:ascii="Times New Roman" w:hAnsi="Times New Roman" w:cs="Times New Roman"/>
          <w:sz w:val="24"/>
          <w:szCs w:val="24"/>
        </w:rPr>
        <w:t xml:space="preserve">(SMMSE) </w:t>
      </w:r>
      <w:r w:rsidR="00063D08">
        <w:rPr>
          <w:rFonts w:ascii="Times New Roman" w:hAnsi="Times New Roman" w:cs="Times New Roman"/>
          <w:sz w:val="24"/>
          <w:szCs w:val="24"/>
        </w:rPr>
        <w:t xml:space="preserve">tool </w:t>
      </w:r>
      <w:r w:rsidRPr="00063D08">
        <w:rPr>
          <w:rFonts w:ascii="Times New Roman" w:hAnsi="Times New Roman" w:cs="Times New Roman"/>
          <w:sz w:val="24"/>
          <w:szCs w:val="24"/>
        </w:rPr>
        <w:t>of less than 25</w:t>
      </w:r>
      <w:r w:rsidR="006756F9" w:rsidRPr="00063D08">
        <w:rPr>
          <w:rFonts w:ascii="Times New Roman" w:hAnsi="Times New Roman" w:cs="Times New Roman"/>
          <w:sz w:val="24"/>
          <w:szCs w:val="24"/>
        </w:rPr>
        <w:t>,</w:t>
      </w:r>
      <w:r w:rsidR="00063D08">
        <w:rPr>
          <w:rFonts w:ascii="Times New Roman" w:hAnsi="Times New Roman" w:cs="Times New Roman"/>
          <w:sz w:val="24"/>
          <w:szCs w:val="24"/>
        </w:rPr>
        <w:t xml:space="preserve"> or</w:t>
      </w:r>
    </w:p>
    <w:p w:rsidR="004E76A3" w:rsidRDefault="004E76A3" w:rsidP="004E76A3">
      <w:pPr>
        <w:spacing w:after="0" w:line="240" w:lineRule="auto"/>
        <w:rPr>
          <w:rFonts w:ascii="Times New Roman" w:hAnsi="Times New Roman" w:cs="Times New Roman"/>
          <w:sz w:val="24"/>
          <w:szCs w:val="24"/>
        </w:rPr>
      </w:pPr>
    </w:p>
    <w:p w:rsidR="004E76A3" w:rsidRDefault="004E76A3" w:rsidP="00063D08">
      <w:pPr>
        <w:pStyle w:val="ListParagraph"/>
        <w:numPr>
          <w:ilvl w:val="0"/>
          <w:numId w:val="19"/>
        </w:numPr>
        <w:spacing w:after="0" w:line="240" w:lineRule="auto"/>
        <w:rPr>
          <w:rFonts w:ascii="Times New Roman" w:hAnsi="Times New Roman" w:cs="Times New Roman"/>
          <w:sz w:val="24"/>
          <w:szCs w:val="24"/>
        </w:rPr>
      </w:pPr>
      <w:r w:rsidRPr="00063D08">
        <w:rPr>
          <w:rFonts w:ascii="Times New Roman" w:hAnsi="Times New Roman" w:cs="Times New Roman"/>
          <w:sz w:val="24"/>
          <w:szCs w:val="24"/>
        </w:rPr>
        <w:t xml:space="preserve">damage to the brain similar in effect and severity to </w:t>
      </w:r>
      <w:r w:rsidR="002600F7">
        <w:rPr>
          <w:rFonts w:ascii="Times New Roman" w:hAnsi="Times New Roman" w:cs="Times New Roman"/>
          <w:sz w:val="24"/>
          <w:szCs w:val="24"/>
        </w:rPr>
        <w:t>that set out in one of the</w:t>
      </w:r>
      <w:r w:rsidRPr="00063D08">
        <w:rPr>
          <w:rFonts w:ascii="Times New Roman" w:hAnsi="Times New Roman" w:cs="Times New Roman"/>
          <w:sz w:val="24"/>
          <w:szCs w:val="24"/>
        </w:rPr>
        <w:t xml:space="preserve"> </w:t>
      </w:r>
      <w:r w:rsidR="00550E4A">
        <w:rPr>
          <w:rFonts w:ascii="Times New Roman" w:hAnsi="Times New Roman" w:cs="Times New Roman"/>
          <w:sz w:val="24"/>
          <w:szCs w:val="24"/>
        </w:rPr>
        <w:t xml:space="preserve">dot </w:t>
      </w:r>
      <w:r w:rsidR="00402F00">
        <w:rPr>
          <w:rFonts w:ascii="Times New Roman" w:hAnsi="Times New Roman" w:cs="Times New Roman"/>
          <w:sz w:val="24"/>
          <w:szCs w:val="24"/>
        </w:rPr>
        <w:t>points in a)</w:t>
      </w:r>
      <w:r w:rsidR="002600F7">
        <w:rPr>
          <w:rFonts w:ascii="Times New Roman" w:hAnsi="Times New Roman" w:cs="Times New Roman"/>
          <w:sz w:val="24"/>
          <w:szCs w:val="24"/>
        </w:rPr>
        <w:t xml:space="preserve"> above</w:t>
      </w:r>
      <w:r w:rsidRPr="00063D08">
        <w:rPr>
          <w:rFonts w:ascii="Times New Roman" w:hAnsi="Times New Roman" w:cs="Times New Roman"/>
          <w:sz w:val="24"/>
          <w:szCs w:val="24"/>
        </w:rPr>
        <w:t>.</w:t>
      </w:r>
    </w:p>
    <w:p w:rsidR="00402F00" w:rsidRPr="0089313F" w:rsidRDefault="00402F00" w:rsidP="0089313F">
      <w:pPr>
        <w:spacing w:after="0" w:line="240" w:lineRule="auto"/>
        <w:rPr>
          <w:rFonts w:ascii="Times New Roman" w:hAnsi="Times New Roman" w:cs="Times New Roman"/>
          <w:sz w:val="24"/>
          <w:szCs w:val="24"/>
        </w:rPr>
      </w:pPr>
    </w:p>
    <w:p w:rsidR="0057326C" w:rsidRPr="00BA0B4F" w:rsidRDefault="0057326C" w:rsidP="0057326C">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 xml:space="preserve">The specified period of post traumatic amnesia is at least 7 days because this is the duration of post traumatic amnesia that is associated with increased long-term loss of functioning. </w:t>
      </w:r>
    </w:p>
    <w:p w:rsidR="0057326C" w:rsidRDefault="0057326C" w:rsidP="0057326C">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Some serious brain injuries, such as penetration injuries, may not result in a period of post traumatic amnesia of at least 7 days. However, these injuries will result in a significant brain imaging abnormality.</w:t>
      </w:r>
    </w:p>
    <w:p w:rsidR="00EE1232" w:rsidRDefault="00EE1232" w:rsidP="00EE1232">
      <w:pPr>
        <w:spacing w:after="220" w:line="240" w:lineRule="auto"/>
        <w:rPr>
          <w:rFonts w:ascii="Times New Roman" w:hAnsi="Times New Roman" w:cs="Times New Roman"/>
          <w:i/>
          <w:sz w:val="24"/>
          <w:szCs w:val="24"/>
        </w:rPr>
      </w:pPr>
      <w:r>
        <w:rPr>
          <w:rFonts w:ascii="Times New Roman" w:eastAsia="Calibri" w:hAnsi="Times New Roman" w:cs="Times New Roman"/>
          <w:sz w:val="24"/>
          <w:szCs w:val="24"/>
        </w:rPr>
        <w:t xml:space="preserve">The threshold score of less than 25 </w:t>
      </w:r>
      <w:r w:rsidR="0092167E">
        <w:rPr>
          <w:rFonts w:ascii="Times New Roman" w:hAnsi="Times New Roman" w:cs="Times New Roman"/>
          <w:sz w:val="24"/>
          <w:szCs w:val="24"/>
        </w:rPr>
        <w:t>for the Standardised Mini-</w:t>
      </w:r>
      <w:r w:rsidRPr="00063D08">
        <w:rPr>
          <w:rFonts w:ascii="Times New Roman" w:hAnsi="Times New Roman" w:cs="Times New Roman"/>
          <w:sz w:val="24"/>
          <w:szCs w:val="24"/>
        </w:rPr>
        <w:t xml:space="preserve">Mental State Examination </w:t>
      </w:r>
      <w:r w:rsidR="00402F00">
        <w:rPr>
          <w:rFonts w:ascii="Times New Roman" w:hAnsi="Times New Roman" w:cs="Times New Roman"/>
          <w:sz w:val="24"/>
          <w:szCs w:val="24"/>
        </w:rPr>
        <w:t xml:space="preserve">(SMMSE) </w:t>
      </w:r>
      <w:r>
        <w:rPr>
          <w:rFonts w:ascii="Times New Roman" w:hAnsi="Times New Roman" w:cs="Times New Roman"/>
          <w:sz w:val="24"/>
          <w:szCs w:val="24"/>
        </w:rPr>
        <w:t xml:space="preserve">tool </w:t>
      </w:r>
      <w:r>
        <w:rPr>
          <w:rFonts w:ascii="Times New Roman" w:eastAsia="Calibri" w:hAnsi="Times New Roman" w:cs="Times New Roman"/>
          <w:sz w:val="24"/>
          <w:szCs w:val="24"/>
        </w:rPr>
        <w:t xml:space="preserve">is used for </w:t>
      </w:r>
      <w:r w:rsidR="0092167E">
        <w:rPr>
          <w:rFonts w:ascii="Times New Roman" w:eastAsia="Calibri" w:hAnsi="Times New Roman" w:cs="Times New Roman"/>
          <w:sz w:val="24"/>
          <w:szCs w:val="24"/>
        </w:rPr>
        <w:t xml:space="preserve">the </w:t>
      </w:r>
      <w:r>
        <w:rPr>
          <w:rFonts w:ascii="Times New Roman" w:eastAsia="Calibri" w:hAnsi="Times New Roman" w:cs="Times New Roman"/>
          <w:sz w:val="24"/>
          <w:szCs w:val="24"/>
        </w:rPr>
        <w:t>Pharmaceutical Benefits Scheme approval of access to some medications for dementia and is correlated with poorer psycho-social functioning.</w:t>
      </w:r>
    </w:p>
    <w:p w:rsidR="002A239F" w:rsidRPr="00CC61D3" w:rsidRDefault="002A239F" w:rsidP="002A239F">
      <w:pPr>
        <w:keepNext/>
        <w:spacing w:after="220" w:line="240" w:lineRule="auto"/>
        <w:rPr>
          <w:rFonts w:ascii="Times New Roman" w:hAnsi="Times New Roman" w:cs="Times New Roman"/>
          <w:sz w:val="24"/>
          <w:szCs w:val="24"/>
          <w:u w:val="single"/>
        </w:rPr>
      </w:pPr>
      <w:r w:rsidRPr="00CC61D3">
        <w:rPr>
          <w:rFonts w:ascii="Times New Roman" w:hAnsi="Times New Roman" w:cs="Times New Roman"/>
          <w:sz w:val="24"/>
          <w:szCs w:val="24"/>
          <w:u w:val="single"/>
        </w:rPr>
        <w:t xml:space="preserve">Section 9 – Catastrophic amputation </w:t>
      </w:r>
      <w:r>
        <w:rPr>
          <w:rFonts w:ascii="Times New Roman" w:hAnsi="Times New Roman" w:cs="Times New Roman"/>
          <w:sz w:val="24"/>
          <w:szCs w:val="24"/>
          <w:u w:val="single"/>
        </w:rPr>
        <w:t>injury</w:t>
      </w:r>
    </w:p>
    <w:p w:rsidR="00830D41" w:rsidRPr="00BA0B4F" w:rsidRDefault="00830D41" w:rsidP="00830D41">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Paragraph 9</w:t>
      </w:r>
      <w:r w:rsidRPr="00BA0B4F">
        <w:rPr>
          <w:rFonts w:ascii="Times New Roman" w:eastAsia="Times New Roman" w:hAnsi="Times New Roman" w:cs="Times New Roman"/>
          <w:color w:val="000000"/>
          <w:sz w:val="24"/>
          <w:szCs w:val="24"/>
          <w:lang w:eastAsia="en-AU"/>
        </w:rPr>
        <w:t>(a) sets out t</w:t>
      </w:r>
      <w:r>
        <w:rPr>
          <w:rFonts w:ascii="Times New Roman" w:eastAsia="Times New Roman" w:hAnsi="Times New Roman" w:cs="Times New Roman"/>
          <w:color w:val="000000"/>
          <w:sz w:val="24"/>
          <w:szCs w:val="24"/>
          <w:lang w:eastAsia="en-AU"/>
        </w:rPr>
        <w:t xml:space="preserve">he conditions for when an </w:t>
      </w:r>
      <w:r w:rsidRPr="00BA0B4F">
        <w:rPr>
          <w:rFonts w:ascii="Times New Roman" w:eastAsia="Times New Roman" w:hAnsi="Times New Roman" w:cs="Times New Roman"/>
          <w:color w:val="000000"/>
          <w:sz w:val="24"/>
          <w:szCs w:val="24"/>
          <w:lang w:eastAsia="en-AU"/>
        </w:rPr>
        <w:t>injury which results in a specified amputation</w:t>
      </w:r>
      <w:r>
        <w:rPr>
          <w:rFonts w:ascii="Times New Roman" w:eastAsia="Times New Roman" w:hAnsi="Times New Roman" w:cs="Times New Roman"/>
          <w:color w:val="000000"/>
          <w:sz w:val="24"/>
          <w:szCs w:val="24"/>
          <w:lang w:eastAsia="en-AU"/>
        </w:rPr>
        <w:t xml:space="preserve"> </w:t>
      </w:r>
      <w:r w:rsidRPr="00BA0B4F">
        <w:rPr>
          <w:rFonts w:ascii="Times New Roman" w:eastAsia="Times New Roman" w:hAnsi="Times New Roman" w:cs="Times New Roman"/>
          <w:color w:val="000000"/>
          <w:sz w:val="24"/>
          <w:szCs w:val="24"/>
          <w:lang w:eastAsia="en-AU"/>
        </w:rPr>
        <w:t>will be a ‘catastrophic amputation injury’.</w:t>
      </w:r>
      <w:r>
        <w:rPr>
          <w:rFonts w:ascii="Times New Roman" w:eastAsia="Times New Roman" w:hAnsi="Times New Roman" w:cs="Times New Roman"/>
          <w:color w:val="000000"/>
          <w:sz w:val="24"/>
          <w:szCs w:val="24"/>
          <w:lang w:eastAsia="en-AU"/>
        </w:rPr>
        <w:t xml:space="preserve"> Under that paragraph</w:t>
      </w:r>
      <w:r w:rsidRPr="00BA0B4F">
        <w:rPr>
          <w:rFonts w:ascii="Times New Roman" w:eastAsia="Times New Roman" w:hAnsi="Times New Roman" w:cs="Times New Roman"/>
          <w:color w:val="000000"/>
          <w:sz w:val="24"/>
          <w:szCs w:val="24"/>
          <w:lang w:eastAsia="en-AU"/>
        </w:rPr>
        <w:t xml:space="preserve">, a ‘catastrophic amputation injury’ is a compensable injury which </w:t>
      </w:r>
      <w:r>
        <w:rPr>
          <w:rFonts w:ascii="Times New Roman" w:eastAsia="Times New Roman" w:hAnsi="Times New Roman" w:cs="Times New Roman"/>
          <w:color w:val="000000"/>
          <w:sz w:val="24"/>
          <w:szCs w:val="24"/>
          <w:lang w:eastAsia="en-AU"/>
        </w:rPr>
        <w:t>results in one or more</w:t>
      </w:r>
      <w:r w:rsidRPr="00BA0B4F">
        <w:rPr>
          <w:rFonts w:ascii="Times New Roman" w:eastAsia="Times New Roman" w:hAnsi="Times New Roman" w:cs="Times New Roman"/>
          <w:color w:val="000000"/>
          <w:sz w:val="24"/>
          <w:szCs w:val="24"/>
          <w:lang w:eastAsia="en-AU"/>
        </w:rPr>
        <w:t xml:space="preserve"> of the following: </w:t>
      </w:r>
    </w:p>
    <w:p w:rsidR="00830D41" w:rsidRPr="00BA0B4F" w:rsidRDefault="00830D41" w:rsidP="00830D41">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forequarter amputation</w:t>
      </w:r>
    </w:p>
    <w:p w:rsidR="00830D41" w:rsidRPr="00BA0B4F" w:rsidRDefault="00830D41" w:rsidP="00830D41">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shoulder disarticulation (that is, amputation of an upper limb through the shoulder joint)</w:t>
      </w:r>
    </w:p>
    <w:p w:rsidR="00830D41" w:rsidRPr="00BA0B4F" w:rsidRDefault="00830D41" w:rsidP="00830D41">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hindquarter amputation</w:t>
      </w:r>
    </w:p>
    <w:p w:rsidR="00830D41" w:rsidRPr="00BA0B4F" w:rsidRDefault="00830D41" w:rsidP="00830D41">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hip disarticulation (that is, amputation of a lower limb through the hip joint)</w:t>
      </w:r>
    </w:p>
    <w:p w:rsidR="00830D41" w:rsidRPr="00BA0B4F" w:rsidRDefault="00830D41" w:rsidP="00830D41">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 xml:space="preserve">an amputation involving the loss of 65% or more of the length of the femur. </w:t>
      </w:r>
    </w:p>
    <w:p w:rsidR="00830D41" w:rsidRPr="00BA0B4F" w:rsidRDefault="00830D41" w:rsidP="00830D41">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Paragraph 9</w:t>
      </w:r>
      <w:r w:rsidRPr="00BA0B4F">
        <w:rPr>
          <w:rFonts w:ascii="Times New Roman" w:eastAsia="Times New Roman" w:hAnsi="Times New Roman" w:cs="Times New Roman"/>
          <w:color w:val="000000"/>
          <w:sz w:val="24"/>
          <w:szCs w:val="24"/>
          <w:lang w:eastAsia="en-AU"/>
        </w:rPr>
        <w:t>(b) sets out t</w:t>
      </w:r>
      <w:r>
        <w:rPr>
          <w:rFonts w:ascii="Times New Roman" w:eastAsia="Times New Roman" w:hAnsi="Times New Roman" w:cs="Times New Roman"/>
          <w:color w:val="000000"/>
          <w:sz w:val="24"/>
          <w:szCs w:val="24"/>
          <w:lang w:eastAsia="en-AU"/>
        </w:rPr>
        <w:t xml:space="preserve">he conditions for when an </w:t>
      </w:r>
      <w:r w:rsidRPr="00BA0B4F">
        <w:rPr>
          <w:rFonts w:ascii="Times New Roman" w:eastAsia="Times New Roman" w:hAnsi="Times New Roman" w:cs="Times New Roman"/>
          <w:color w:val="000000"/>
          <w:sz w:val="24"/>
          <w:szCs w:val="24"/>
          <w:lang w:eastAsia="en-AU"/>
        </w:rPr>
        <w:t>injury which results in two or more specified losses will be a ‘catastrophic amputation injury’.</w:t>
      </w:r>
      <w:r>
        <w:rPr>
          <w:rFonts w:ascii="Times New Roman" w:eastAsia="Times New Roman" w:hAnsi="Times New Roman" w:cs="Times New Roman"/>
          <w:color w:val="000000"/>
          <w:sz w:val="24"/>
          <w:szCs w:val="24"/>
          <w:lang w:eastAsia="en-AU"/>
        </w:rPr>
        <w:t xml:space="preserve"> </w:t>
      </w:r>
      <w:r w:rsidRPr="00BA0B4F">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 xml:space="preserve">that </w:t>
      </w:r>
      <w:r w:rsidRPr="00BA0B4F">
        <w:rPr>
          <w:rFonts w:ascii="Times New Roman" w:eastAsia="Times New Roman" w:hAnsi="Times New Roman" w:cs="Times New Roman"/>
          <w:color w:val="000000"/>
          <w:sz w:val="24"/>
          <w:szCs w:val="24"/>
          <w:lang w:eastAsia="en-AU"/>
        </w:rPr>
        <w:t xml:space="preserve">paragraph, a ‘catastrophic amputation injury’ is a compensable injury which </w:t>
      </w:r>
      <w:r>
        <w:rPr>
          <w:rFonts w:ascii="Times New Roman" w:eastAsia="Times New Roman" w:hAnsi="Times New Roman" w:cs="Times New Roman"/>
          <w:color w:val="000000"/>
          <w:sz w:val="24"/>
          <w:szCs w:val="24"/>
          <w:lang w:eastAsia="en-AU"/>
        </w:rPr>
        <w:t>results in the</w:t>
      </w:r>
      <w:r w:rsidRPr="00BA0B4F">
        <w:rPr>
          <w:rFonts w:ascii="Times New Roman" w:eastAsia="Times New Roman" w:hAnsi="Times New Roman" w:cs="Times New Roman"/>
          <w:color w:val="000000"/>
          <w:sz w:val="24"/>
          <w:szCs w:val="24"/>
          <w:lang w:eastAsia="en-AU"/>
        </w:rPr>
        <w:t xml:space="preserve"> loss of</w:t>
      </w:r>
      <w:r w:rsidR="00FF3661">
        <w:rPr>
          <w:rFonts w:ascii="Times New Roman" w:eastAsia="Times New Roman" w:hAnsi="Times New Roman" w:cs="Times New Roman"/>
          <w:color w:val="000000"/>
          <w:sz w:val="24"/>
          <w:szCs w:val="24"/>
          <w:lang w:eastAsia="en-AU"/>
        </w:rPr>
        <w:t xml:space="preserve"> at least two of the following:</w:t>
      </w:r>
    </w:p>
    <w:p w:rsidR="00830D41" w:rsidRPr="00BA0B4F" w:rsidRDefault="00830D41" w:rsidP="00830D41">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 xml:space="preserve">50% or more of the length of the tibia of the left leg </w:t>
      </w:r>
    </w:p>
    <w:p w:rsidR="00830D41" w:rsidRPr="00BA0B4F" w:rsidRDefault="00830D41" w:rsidP="00830D41">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50% or more of the length of the tibia of the right leg</w:t>
      </w:r>
    </w:p>
    <w:p w:rsidR="00830D41" w:rsidRPr="00BA0B4F" w:rsidRDefault="00830D41" w:rsidP="00830D41">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the thumb of the left hand at or above the first metacarpophalangeal joint</w:t>
      </w:r>
    </w:p>
    <w:p w:rsidR="00830D41" w:rsidRPr="00BA0B4F" w:rsidRDefault="00830D41" w:rsidP="00830D41">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the thumb of the right hand at or above the first metacarpophalangeal joint.</w:t>
      </w:r>
    </w:p>
    <w:p w:rsidR="00FF3661" w:rsidRPr="00BA0B4F" w:rsidRDefault="00FF3661" w:rsidP="00830D41">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w:t>
      </w:r>
      <w:r w:rsidR="000E7679">
        <w:rPr>
          <w:rFonts w:ascii="Times New Roman" w:eastAsia="Times New Roman" w:hAnsi="Times New Roman" w:cs="Times New Roman"/>
          <w:color w:val="000000"/>
          <w:sz w:val="24"/>
          <w:szCs w:val="24"/>
          <w:lang w:eastAsia="en-AU"/>
        </w:rPr>
        <w:t>o distinction is made in paragraphs</w:t>
      </w:r>
      <w:r>
        <w:rPr>
          <w:rFonts w:ascii="Times New Roman" w:eastAsia="Times New Roman" w:hAnsi="Times New Roman" w:cs="Times New Roman"/>
          <w:color w:val="000000"/>
          <w:sz w:val="24"/>
          <w:szCs w:val="24"/>
          <w:lang w:eastAsia="en-AU"/>
        </w:rPr>
        <w:t xml:space="preserve"> 9</w:t>
      </w:r>
      <w:r w:rsidR="000E7679">
        <w:rPr>
          <w:rFonts w:ascii="Times New Roman" w:eastAsia="Times New Roman" w:hAnsi="Times New Roman" w:cs="Times New Roman"/>
          <w:color w:val="000000"/>
          <w:sz w:val="24"/>
          <w:szCs w:val="24"/>
          <w:lang w:eastAsia="en-AU"/>
        </w:rPr>
        <w:t>(a) and (b)</w:t>
      </w:r>
      <w:r>
        <w:rPr>
          <w:rFonts w:ascii="Times New Roman" w:eastAsia="Times New Roman" w:hAnsi="Times New Roman" w:cs="Times New Roman"/>
          <w:color w:val="000000"/>
          <w:sz w:val="24"/>
          <w:szCs w:val="24"/>
          <w:lang w:eastAsia="en-AU"/>
        </w:rPr>
        <w:t xml:space="preserve"> between single and multiple injuries. </w:t>
      </w:r>
    </w:p>
    <w:p w:rsidR="00C57644" w:rsidRDefault="00C57644" w:rsidP="00C57644">
      <w:pPr>
        <w:spacing w:after="0" w:line="240" w:lineRule="auto"/>
        <w:rPr>
          <w:rFonts w:ascii="Times New Roman" w:hAnsi="Times New Roman" w:cs="Times New Roman"/>
          <w:i/>
          <w:sz w:val="24"/>
          <w:szCs w:val="24"/>
        </w:rPr>
      </w:pPr>
      <w:r>
        <w:rPr>
          <w:rFonts w:ascii="Times New Roman" w:hAnsi="Times New Roman" w:cs="Times New Roman"/>
          <w:i/>
          <w:sz w:val="24"/>
          <w:szCs w:val="24"/>
        </w:rPr>
        <w:t>Example</w:t>
      </w:r>
    </w:p>
    <w:p w:rsidR="002A239F" w:rsidRDefault="00C57644" w:rsidP="002A239F">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w:t>
      </w:r>
      <w:r w:rsidR="002A239F">
        <w:rPr>
          <w:rFonts w:ascii="Times New Roman" w:eastAsia="Times New Roman" w:hAnsi="Times New Roman" w:cs="Times New Roman"/>
          <w:color w:val="000000"/>
          <w:sz w:val="24"/>
          <w:szCs w:val="24"/>
          <w:lang w:eastAsia="en-AU"/>
        </w:rPr>
        <w:t>n employee</w:t>
      </w:r>
      <w:r w:rsidR="002A239F" w:rsidRPr="00BA0B4F">
        <w:rPr>
          <w:rFonts w:ascii="Times New Roman" w:eastAsia="Times New Roman" w:hAnsi="Times New Roman" w:cs="Times New Roman"/>
          <w:color w:val="000000"/>
          <w:sz w:val="24"/>
          <w:szCs w:val="24"/>
          <w:lang w:eastAsia="en-AU"/>
        </w:rPr>
        <w:t xml:space="preserve">’s compensable </w:t>
      </w:r>
      <w:r w:rsidR="002A239F">
        <w:rPr>
          <w:rFonts w:ascii="Times New Roman" w:eastAsia="Times New Roman" w:hAnsi="Times New Roman" w:cs="Times New Roman"/>
          <w:color w:val="000000"/>
          <w:sz w:val="24"/>
          <w:szCs w:val="24"/>
          <w:lang w:eastAsia="en-AU"/>
        </w:rPr>
        <w:t>injury</w:t>
      </w:r>
      <w:r w:rsidR="002A239F" w:rsidRPr="00BA0B4F">
        <w:rPr>
          <w:rFonts w:ascii="Times New Roman" w:eastAsia="Times New Roman" w:hAnsi="Times New Roman" w:cs="Times New Roman"/>
          <w:color w:val="000000"/>
          <w:sz w:val="24"/>
          <w:szCs w:val="24"/>
          <w:lang w:eastAsia="en-AU"/>
        </w:rPr>
        <w:t xml:space="preserve"> is necrotising fasciitis</w:t>
      </w:r>
      <w:r w:rsidR="000C32F2">
        <w:rPr>
          <w:rFonts w:ascii="Times New Roman" w:eastAsia="Times New Roman" w:hAnsi="Times New Roman" w:cs="Times New Roman"/>
          <w:color w:val="000000"/>
          <w:sz w:val="24"/>
          <w:szCs w:val="24"/>
          <w:lang w:eastAsia="en-AU"/>
        </w:rPr>
        <w:t xml:space="preserve">. </w:t>
      </w:r>
      <w:r w:rsidR="002A239F" w:rsidRPr="00BA0B4F">
        <w:rPr>
          <w:rFonts w:ascii="Times New Roman" w:eastAsia="Times New Roman" w:hAnsi="Times New Roman" w:cs="Times New Roman"/>
          <w:color w:val="000000"/>
          <w:sz w:val="24"/>
          <w:szCs w:val="24"/>
          <w:lang w:eastAsia="en-AU"/>
        </w:rPr>
        <w:t xml:space="preserve">As a result of the </w:t>
      </w:r>
      <w:r w:rsidR="002A239F">
        <w:rPr>
          <w:rFonts w:ascii="Times New Roman" w:eastAsia="Times New Roman" w:hAnsi="Times New Roman" w:cs="Times New Roman"/>
          <w:color w:val="000000"/>
          <w:sz w:val="24"/>
          <w:szCs w:val="24"/>
          <w:lang w:eastAsia="en-AU"/>
        </w:rPr>
        <w:t>injury</w:t>
      </w:r>
      <w:r w:rsidR="002A239F" w:rsidRPr="00BA0B4F">
        <w:rPr>
          <w:rFonts w:ascii="Times New Roman" w:eastAsia="Times New Roman" w:hAnsi="Times New Roman" w:cs="Times New Roman"/>
          <w:color w:val="000000"/>
          <w:sz w:val="24"/>
          <w:szCs w:val="24"/>
          <w:lang w:eastAsia="en-AU"/>
        </w:rPr>
        <w:t xml:space="preserve">, the </w:t>
      </w:r>
      <w:r w:rsidR="002A239F">
        <w:rPr>
          <w:rFonts w:ascii="Times New Roman" w:eastAsia="Times New Roman" w:hAnsi="Times New Roman" w:cs="Times New Roman"/>
          <w:color w:val="000000"/>
          <w:sz w:val="24"/>
          <w:szCs w:val="24"/>
          <w:lang w:eastAsia="en-AU"/>
        </w:rPr>
        <w:t>employee</w:t>
      </w:r>
      <w:r w:rsidR="002A239F" w:rsidRPr="00BA0B4F">
        <w:rPr>
          <w:rFonts w:ascii="Times New Roman" w:eastAsia="Times New Roman" w:hAnsi="Times New Roman" w:cs="Times New Roman"/>
          <w:color w:val="000000"/>
          <w:sz w:val="24"/>
          <w:szCs w:val="24"/>
          <w:lang w:eastAsia="en-AU"/>
        </w:rPr>
        <w:t>’s left leg is amputated at the knee</w:t>
      </w:r>
      <w:r w:rsidR="002A239F">
        <w:rPr>
          <w:rFonts w:ascii="Times New Roman" w:eastAsia="Times New Roman" w:hAnsi="Times New Roman" w:cs="Times New Roman"/>
          <w:color w:val="000000"/>
          <w:sz w:val="24"/>
          <w:szCs w:val="24"/>
          <w:lang w:eastAsia="en-AU"/>
        </w:rPr>
        <w:t>. T</w:t>
      </w:r>
      <w:r w:rsidR="002A239F" w:rsidRPr="00BA0B4F">
        <w:rPr>
          <w:rFonts w:ascii="Times New Roman" w:eastAsia="Times New Roman" w:hAnsi="Times New Roman" w:cs="Times New Roman"/>
          <w:color w:val="000000"/>
          <w:sz w:val="24"/>
          <w:szCs w:val="24"/>
          <w:lang w:eastAsia="en-AU"/>
        </w:rPr>
        <w:t xml:space="preserve">he necrotising fasciitis is a ‘catastrophic amputation </w:t>
      </w:r>
      <w:r w:rsidR="00402F00">
        <w:rPr>
          <w:rFonts w:ascii="Times New Roman" w:eastAsia="Times New Roman" w:hAnsi="Times New Roman" w:cs="Times New Roman"/>
          <w:color w:val="000000"/>
          <w:sz w:val="24"/>
          <w:szCs w:val="24"/>
          <w:lang w:eastAsia="en-AU"/>
        </w:rPr>
        <w:t>injury</w:t>
      </w:r>
      <w:r w:rsidR="002A239F" w:rsidRPr="00BA0B4F">
        <w:rPr>
          <w:rFonts w:ascii="Times New Roman" w:eastAsia="Times New Roman" w:hAnsi="Times New Roman" w:cs="Times New Roman"/>
          <w:color w:val="000000"/>
          <w:sz w:val="24"/>
          <w:szCs w:val="24"/>
          <w:lang w:eastAsia="en-AU"/>
        </w:rPr>
        <w:t xml:space="preserve">’ for the purposes of the </w:t>
      </w:r>
      <w:r w:rsidR="002A239F">
        <w:rPr>
          <w:rFonts w:ascii="Times New Roman" w:eastAsia="Times New Roman" w:hAnsi="Times New Roman" w:cs="Times New Roman"/>
          <w:color w:val="000000"/>
          <w:sz w:val="24"/>
          <w:szCs w:val="24"/>
          <w:lang w:eastAsia="en-AU"/>
        </w:rPr>
        <w:t>MRCA.</w:t>
      </w:r>
    </w:p>
    <w:p w:rsidR="0057326C" w:rsidRPr="00490F1C"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u w:val="single"/>
          <w:lang w:eastAsia="en-AU"/>
        </w:rPr>
      </w:pPr>
      <w:r w:rsidRPr="00490F1C">
        <w:rPr>
          <w:rFonts w:ascii="Times New Roman" w:eastAsia="Times New Roman" w:hAnsi="Times New Roman" w:cs="Times New Roman"/>
          <w:color w:val="000000"/>
          <w:sz w:val="24"/>
          <w:szCs w:val="24"/>
          <w:u w:val="single"/>
          <w:lang w:eastAsia="en-AU"/>
        </w:rPr>
        <w:t>Section 10 – Catastrophic burn injury</w:t>
      </w:r>
    </w:p>
    <w:p w:rsidR="0057326C" w:rsidRPr="00BA0B4F" w:rsidRDefault="0057326C" w:rsidP="0057326C">
      <w:pPr>
        <w:shd w:val="clear" w:color="auto" w:fill="FFFFFF"/>
        <w:spacing w:after="220" w:line="240" w:lineRule="auto"/>
        <w:textAlignment w:val="baseline"/>
        <w:rPr>
          <w:rFonts w:ascii="Times New Roman" w:hAnsi="Times New Roman" w:cs="Times New Roman"/>
          <w:sz w:val="24"/>
          <w:szCs w:val="24"/>
        </w:rPr>
      </w:pPr>
      <w:r w:rsidRPr="00BA0B4F">
        <w:rPr>
          <w:rFonts w:ascii="Times New Roman" w:eastAsia="Times New Roman" w:hAnsi="Times New Roman" w:cs="Times New Roman"/>
          <w:color w:val="000000"/>
          <w:sz w:val="24"/>
          <w:szCs w:val="24"/>
          <w:lang w:eastAsia="en-AU"/>
        </w:rPr>
        <w:t>Section 10 of this instrument is based on the NIIS minimum benchmark for burns, but t</w:t>
      </w:r>
      <w:r w:rsidRPr="00BA0B4F">
        <w:rPr>
          <w:rFonts w:ascii="Times New Roman" w:hAnsi="Times New Roman" w:cs="Times New Roman"/>
          <w:sz w:val="24"/>
          <w:szCs w:val="24"/>
        </w:rPr>
        <w:t>here is no requirement that respiratory impairment from an inhalation burn be long term or permanent.</w:t>
      </w:r>
    </w:p>
    <w:p w:rsidR="0057326C" w:rsidRPr="00BA0B4F" w:rsidRDefault="00C57644" w:rsidP="0057326C">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Under </w:t>
      </w:r>
      <w:r w:rsidR="003E1F3E">
        <w:rPr>
          <w:rFonts w:ascii="Times New Roman" w:eastAsia="Calibri" w:hAnsi="Times New Roman" w:cs="Times New Roman"/>
          <w:sz w:val="24"/>
          <w:szCs w:val="24"/>
        </w:rPr>
        <w:t xml:space="preserve">paragraph </w:t>
      </w:r>
      <w:r w:rsidR="0057326C" w:rsidRPr="00BA0B4F">
        <w:rPr>
          <w:rFonts w:ascii="Times New Roman" w:eastAsia="Calibri" w:hAnsi="Times New Roman" w:cs="Times New Roman"/>
          <w:sz w:val="24"/>
          <w:szCs w:val="24"/>
        </w:rPr>
        <w:t xml:space="preserve">10(a), a compensable injury will be a ‘catastrophic burn injury’ if the injury is any of the following full thickness burns: </w:t>
      </w:r>
    </w:p>
    <w:p w:rsidR="0057326C" w:rsidRPr="00BA0B4F" w:rsidRDefault="0057326C" w:rsidP="0057326C">
      <w:pPr>
        <w:pStyle w:val="ListParagraph"/>
        <w:numPr>
          <w:ilvl w:val="0"/>
          <w:numId w:val="8"/>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greater than 40% of the total body surface area (for an employee aged 16 years or above at the time of the injury)</w:t>
      </w:r>
    </w:p>
    <w:p w:rsidR="0057326C" w:rsidRPr="00BA0B4F" w:rsidRDefault="0057326C" w:rsidP="0057326C">
      <w:pPr>
        <w:pStyle w:val="ListParagraph"/>
        <w:numPr>
          <w:ilvl w:val="0"/>
          <w:numId w:val="8"/>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greater than 30% of the total body surface area (for an employee aged under 16 years at the time of the injury)</w:t>
      </w:r>
    </w:p>
    <w:p w:rsidR="0057326C" w:rsidRPr="00BA0B4F" w:rsidRDefault="0057326C" w:rsidP="0057326C">
      <w:pPr>
        <w:pStyle w:val="ListParagraph"/>
        <w:numPr>
          <w:ilvl w:val="0"/>
          <w:numId w:val="8"/>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to the hands, face or genital area.</w:t>
      </w:r>
    </w:p>
    <w:p w:rsidR="0057326C" w:rsidRPr="00BA0B4F" w:rsidRDefault="00C57644" w:rsidP="0057326C">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Under </w:t>
      </w:r>
      <w:r w:rsidR="003E1F3E">
        <w:rPr>
          <w:rFonts w:ascii="Times New Roman" w:eastAsia="Calibri" w:hAnsi="Times New Roman" w:cs="Times New Roman"/>
          <w:sz w:val="24"/>
          <w:szCs w:val="24"/>
        </w:rPr>
        <w:t xml:space="preserve">paragraph </w:t>
      </w:r>
      <w:r w:rsidR="0057326C" w:rsidRPr="00BA0B4F">
        <w:rPr>
          <w:rFonts w:ascii="Times New Roman" w:eastAsia="Calibri" w:hAnsi="Times New Roman" w:cs="Times New Roman"/>
          <w:sz w:val="24"/>
          <w:szCs w:val="24"/>
        </w:rPr>
        <w:t>10(b), a compensable injury will be a ‘catastrophic burn injury’ if the injury is inhalation burns resulting in vital capacity or forced expiratory volume in one second which is less than 50% of that predicted for the employee’s age, height and ethnicity.</w:t>
      </w:r>
    </w:p>
    <w:p w:rsidR="0057326C" w:rsidRPr="00490F1C"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u w:val="single"/>
          <w:lang w:eastAsia="en-AU"/>
        </w:rPr>
      </w:pPr>
      <w:r w:rsidRPr="00490F1C">
        <w:rPr>
          <w:rFonts w:ascii="Times New Roman" w:eastAsia="Times New Roman" w:hAnsi="Times New Roman" w:cs="Times New Roman"/>
          <w:color w:val="000000"/>
          <w:sz w:val="24"/>
          <w:szCs w:val="24"/>
          <w:u w:val="single"/>
          <w:lang w:eastAsia="en-AU"/>
        </w:rPr>
        <w:t>Section 11 – Catastrophic blindness injury</w:t>
      </w:r>
    </w:p>
    <w:p w:rsidR="0057326C" w:rsidRPr="00BA0B4F"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 xml:space="preserve">Section 11 of this instrument is based on the NIIS minimum benchmark for legal blindness, but does not require the blindness to be permanent, or to have been the result of trauma. </w:t>
      </w:r>
    </w:p>
    <w:p w:rsidR="0057326C" w:rsidRPr="00BA0B4F" w:rsidRDefault="00C57644"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Under </w:t>
      </w:r>
      <w:r w:rsidR="0057326C" w:rsidRPr="00BA0B4F">
        <w:rPr>
          <w:rFonts w:ascii="Times New Roman" w:eastAsia="Times New Roman" w:hAnsi="Times New Roman" w:cs="Times New Roman"/>
          <w:color w:val="000000"/>
          <w:sz w:val="24"/>
          <w:szCs w:val="24"/>
          <w:lang w:eastAsia="en-AU"/>
        </w:rPr>
        <w:t>section 11, a compensable injury is a ‘ca</w:t>
      </w:r>
      <w:r w:rsidR="003426E9">
        <w:rPr>
          <w:rFonts w:ascii="Times New Roman" w:eastAsia="Times New Roman" w:hAnsi="Times New Roman" w:cs="Times New Roman"/>
          <w:color w:val="000000"/>
          <w:sz w:val="24"/>
          <w:szCs w:val="24"/>
          <w:lang w:eastAsia="en-AU"/>
        </w:rPr>
        <w:t>tastrophic blindness injury’ if</w:t>
      </w:r>
      <w:r w:rsidR="003426E9" w:rsidRPr="00BA0B4F">
        <w:rPr>
          <w:rFonts w:ascii="Times New Roman" w:eastAsia="Times New Roman" w:hAnsi="Times New Roman" w:cs="Times New Roman"/>
          <w:color w:val="000000"/>
          <w:sz w:val="24"/>
          <w:szCs w:val="24"/>
          <w:lang w:eastAsia="en-AU"/>
        </w:rPr>
        <w:t xml:space="preserve"> </w:t>
      </w:r>
      <w:r w:rsidR="0057326C" w:rsidRPr="00BA0B4F">
        <w:rPr>
          <w:rFonts w:ascii="Times New Roman" w:eastAsia="Times New Roman" w:hAnsi="Times New Roman" w:cs="Times New Roman"/>
          <w:color w:val="000000"/>
          <w:sz w:val="24"/>
          <w:szCs w:val="24"/>
          <w:lang w:eastAsia="en-AU"/>
        </w:rPr>
        <w:t xml:space="preserve">it results in one or more of the following: </w:t>
      </w:r>
    </w:p>
    <w:p w:rsidR="0057326C" w:rsidRDefault="0057326C" w:rsidP="0089313F">
      <w:pPr>
        <w:pStyle w:val="ListParagraph"/>
        <w:numPr>
          <w:ilvl w:val="0"/>
          <w:numId w:val="21"/>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89313F">
        <w:rPr>
          <w:rFonts w:ascii="Times New Roman" w:eastAsia="Times New Roman" w:hAnsi="Times New Roman" w:cs="Times New Roman"/>
          <w:color w:val="000000"/>
          <w:sz w:val="24"/>
          <w:szCs w:val="24"/>
          <w:lang w:eastAsia="en-AU"/>
        </w:rPr>
        <w:t>visual acuity after correction by suitable lenses of less than 6/60 in both eyes</w:t>
      </w:r>
    </w:p>
    <w:p w:rsidR="00402F00" w:rsidRPr="0089313F" w:rsidRDefault="00402F00" w:rsidP="0089313F">
      <w:pPr>
        <w:pStyle w:val="ListParagraph"/>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p>
    <w:p w:rsidR="00402F00" w:rsidRDefault="0057326C" w:rsidP="0089313F">
      <w:pPr>
        <w:pStyle w:val="ListParagraph"/>
        <w:numPr>
          <w:ilvl w:val="0"/>
          <w:numId w:val="21"/>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89313F">
        <w:rPr>
          <w:rFonts w:ascii="Times New Roman" w:eastAsia="Times New Roman" w:hAnsi="Times New Roman" w:cs="Times New Roman"/>
          <w:color w:val="000000"/>
          <w:sz w:val="24"/>
          <w:szCs w:val="24"/>
          <w:lang w:eastAsia="en-AU"/>
        </w:rPr>
        <w:t>constriction to within 10 degrees of fixation in the better eye irrespective of corrected visual acuit</w:t>
      </w:r>
      <w:r w:rsidR="00402F00">
        <w:rPr>
          <w:rFonts w:ascii="Times New Roman" w:eastAsia="Times New Roman" w:hAnsi="Times New Roman" w:cs="Times New Roman"/>
          <w:color w:val="000000"/>
          <w:sz w:val="24"/>
          <w:szCs w:val="24"/>
          <w:lang w:eastAsia="en-AU"/>
        </w:rPr>
        <w:t>y</w:t>
      </w:r>
    </w:p>
    <w:p w:rsidR="00402F00" w:rsidRPr="0089313F" w:rsidRDefault="00402F00" w:rsidP="0089313F">
      <w:pPr>
        <w:pStyle w:val="ListParagraph"/>
        <w:rPr>
          <w:rFonts w:ascii="Times New Roman" w:eastAsia="Times New Roman" w:hAnsi="Times New Roman" w:cs="Times New Roman"/>
          <w:color w:val="000000"/>
          <w:sz w:val="24"/>
          <w:szCs w:val="24"/>
          <w:lang w:eastAsia="en-AU"/>
        </w:rPr>
      </w:pPr>
    </w:p>
    <w:p w:rsidR="0057326C" w:rsidRPr="0089313F" w:rsidRDefault="0057326C" w:rsidP="0089313F">
      <w:pPr>
        <w:pStyle w:val="ListParagraph"/>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p>
    <w:p w:rsidR="0057326C" w:rsidRPr="0089313F" w:rsidRDefault="0057326C" w:rsidP="0089313F">
      <w:pPr>
        <w:pStyle w:val="ListParagraph"/>
        <w:numPr>
          <w:ilvl w:val="0"/>
          <w:numId w:val="21"/>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89313F">
        <w:rPr>
          <w:rFonts w:ascii="Times New Roman" w:eastAsia="Times New Roman" w:hAnsi="Times New Roman" w:cs="Times New Roman"/>
          <w:color w:val="000000"/>
          <w:sz w:val="24"/>
          <w:szCs w:val="24"/>
          <w:lang w:eastAsia="en-AU"/>
        </w:rPr>
        <w:t xml:space="preserve">a combination of visual defects resulting in the same degree of visual impairment as that specified in </w:t>
      </w:r>
      <w:r w:rsidR="00402F00">
        <w:rPr>
          <w:rFonts w:ascii="Times New Roman" w:eastAsia="Times New Roman" w:hAnsi="Times New Roman" w:cs="Times New Roman"/>
          <w:color w:val="000000"/>
          <w:sz w:val="24"/>
          <w:szCs w:val="24"/>
          <w:lang w:eastAsia="en-AU"/>
        </w:rPr>
        <w:t>a) or b)</w:t>
      </w:r>
      <w:r w:rsidR="002600F7">
        <w:rPr>
          <w:rFonts w:ascii="Times New Roman" w:eastAsia="Times New Roman" w:hAnsi="Times New Roman" w:cs="Times New Roman"/>
          <w:color w:val="000000"/>
          <w:sz w:val="24"/>
          <w:szCs w:val="24"/>
          <w:lang w:eastAsia="en-AU"/>
        </w:rPr>
        <w:t xml:space="preserve"> above</w:t>
      </w:r>
      <w:r w:rsidRPr="0089313F">
        <w:rPr>
          <w:rFonts w:ascii="Times New Roman" w:eastAsia="Times New Roman" w:hAnsi="Times New Roman" w:cs="Times New Roman"/>
          <w:color w:val="000000"/>
          <w:sz w:val="24"/>
          <w:szCs w:val="24"/>
          <w:lang w:eastAsia="en-AU"/>
        </w:rPr>
        <w:t>.</w:t>
      </w:r>
    </w:p>
    <w:p w:rsidR="0057326C" w:rsidRPr="00BA0B4F"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lastRenderedPageBreak/>
        <w:t xml:space="preserve">The definition of ‘catastrophic blindness injury’ is based on the criteria for legal blindness for the purposes of the </w:t>
      </w:r>
      <w:r w:rsidRPr="00BA0B4F">
        <w:rPr>
          <w:rFonts w:ascii="Times New Roman" w:eastAsia="Times New Roman" w:hAnsi="Times New Roman" w:cs="Times New Roman"/>
          <w:i/>
          <w:color w:val="000000"/>
          <w:sz w:val="24"/>
          <w:szCs w:val="24"/>
          <w:lang w:eastAsia="en-AU"/>
        </w:rPr>
        <w:t>Social Security Act 1991</w:t>
      </w:r>
      <w:r w:rsidRPr="00BA0B4F">
        <w:rPr>
          <w:rFonts w:ascii="Times New Roman" w:eastAsia="Times New Roman" w:hAnsi="Times New Roman" w:cs="Times New Roman"/>
          <w:color w:val="000000"/>
          <w:sz w:val="24"/>
          <w:szCs w:val="24"/>
          <w:lang w:eastAsia="en-AU"/>
        </w:rPr>
        <w:t xml:space="preserve">. </w:t>
      </w:r>
    </w:p>
    <w:p w:rsidR="0057326C" w:rsidRPr="00BA0B4F"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hAnsi="Times New Roman" w:cs="Times New Roman"/>
          <w:sz w:val="24"/>
          <w:szCs w:val="24"/>
        </w:rPr>
        <w:t>An employee would have visual acuity of 6/60 if the employee is only able to see at a distance of 6 metres a symbol which a person with normal vision could see at a distance of 60 metres. A widely used method of measuring visual acuity is t</w:t>
      </w:r>
      <w:r w:rsidRPr="00BA0B4F">
        <w:rPr>
          <w:rFonts w:ascii="Times New Roman" w:eastAsia="Times New Roman" w:hAnsi="Times New Roman" w:cs="Times New Roman"/>
          <w:color w:val="000000"/>
          <w:sz w:val="24"/>
          <w:szCs w:val="24"/>
          <w:lang w:eastAsia="en-AU"/>
        </w:rPr>
        <w:t xml:space="preserve">he Snellen Scale (also known as the Snellen Chart), which depicts letters or symbols in decreasing size. </w:t>
      </w:r>
    </w:p>
    <w:p w:rsidR="00394452" w:rsidRPr="00394452" w:rsidRDefault="00394452" w:rsidP="00164336">
      <w:pPr>
        <w:spacing w:after="220" w:line="240" w:lineRule="auto"/>
        <w:rPr>
          <w:rFonts w:ascii="Times New Roman" w:hAnsi="Times New Roman" w:cs="Times New Roman"/>
          <w:sz w:val="24"/>
          <w:szCs w:val="24"/>
        </w:rPr>
      </w:pPr>
      <w:bookmarkStart w:id="0" w:name="_GoBack"/>
      <w:bookmarkEnd w:id="0"/>
    </w:p>
    <w:sectPr w:rsidR="00394452" w:rsidRPr="00394452" w:rsidSect="0059350C">
      <w:footerReference w:type="defaul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36" w:rsidRDefault="00164336" w:rsidP="00164336">
      <w:pPr>
        <w:spacing w:after="0" w:line="240" w:lineRule="auto"/>
      </w:pPr>
      <w:r>
        <w:separator/>
      </w:r>
    </w:p>
  </w:endnote>
  <w:endnote w:type="continuationSeparator" w:id="0">
    <w:p w:rsidR="00164336" w:rsidRDefault="00164336" w:rsidP="0016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662715"/>
      <w:docPartObj>
        <w:docPartGallery w:val="Page Numbers (Bottom of Page)"/>
        <w:docPartUnique/>
      </w:docPartObj>
    </w:sdtPr>
    <w:sdtEndPr>
      <w:rPr>
        <w:noProof/>
      </w:rPr>
    </w:sdtEndPr>
    <w:sdtContent>
      <w:p w:rsidR="0059350C" w:rsidRDefault="0059350C">
        <w:pPr>
          <w:pStyle w:val="Footer"/>
          <w:jc w:val="right"/>
        </w:pPr>
        <w:r>
          <w:fldChar w:fldCharType="begin"/>
        </w:r>
        <w:r>
          <w:instrText xml:space="preserve"> PAGE   \* MERGEFORMAT </w:instrText>
        </w:r>
        <w:r>
          <w:fldChar w:fldCharType="separate"/>
        </w:r>
        <w:r w:rsidR="00C55063">
          <w:rPr>
            <w:noProof/>
          </w:rPr>
          <w:t>10</w:t>
        </w:r>
        <w:r>
          <w:rPr>
            <w:noProof/>
          </w:rPr>
          <w:fldChar w:fldCharType="end"/>
        </w:r>
      </w:p>
    </w:sdtContent>
  </w:sdt>
  <w:p w:rsidR="0059350C" w:rsidRDefault="00593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19828"/>
      <w:docPartObj>
        <w:docPartGallery w:val="Page Numbers (Bottom of Page)"/>
        <w:docPartUnique/>
      </w:docPartObj>
    </w:sdtPr>
    <w:sdtEndPr>
      <w:rPr>
        <w:noProof/>
      </w:rPr>
    </w:sdtEndPr>
    <w:sdtContent>
      <w:p w:rsidR="005D5397" w:rsidRDefault="005D5397">
        <w:pPr>
          <w:pStyle w:val="Footer"/>
          <w:jc w:val="right"/>
        </w:pPr>
        <w:r>
          <w:fldChar w:fldCharType="begin"/>
        </w:r>
        <w:r>
          <w:instrText xml:space="preserve"> PAGE   \* MERGEFORMAT </w:instrText>
        </w:r>
        <w:r>
          <w:fldChar w:fldCharType="separate"/>
        </w:r>
        <w:r w:rsidR="00C55063">
          <w:rPr>
            <w:noProof/>
          </w:rPr>
          <w:t>1</w:t>
        </w:r>
        <w:r>
          <w:rPr>
            <w:noProof/>
          </w:rPr>
          <w:fldChar w:fldCharType="end"/>
        </w:r>
      </w:p>
    </w:sdtContent>
  </w:sdt>
  <w:p w:rsidR="005D5397" w:rsidRDefault="005D5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36" w:rsidRDefault="00164336" w:rsidP="00164336">
      <w:pPr>
        <w:spacing w:after="0" w:line="240" w:lineRule="auto"/>
      </w:pPr>
      <w:r>
        <w:separator/>
      </w:r>
    </w:p>
  </w:footnote>
  <w:footnote w:type="continuationSeparator" w:id="0">
    <w:p w:rsidR="00164336" w:rsidRDefault="00164336" w:rsidP="00164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A92"/>
    <w:multiLevelType w:val="hybridMultilevel"/>
    <w:tmpl w:val="F86E4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F832DE"/>
    <w:multiLevelType w:val="hybridMultilevel"/>
    <w:tmpl w:val="8516034A"/>
    <w:lvl w:ilvl="0" w:tplc="FE803D3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31175D"/>
    <w:multiLevelType w:val="hybridMultilevel"/>
    <w:tmpl w:val="B238BAA4"/>
    <w:lvl w:ilvl="0" w:tplc="0C090017">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7B3312"/>
    <w:multiLevelType w:val="hybridMultilevel"/>
    <w:tmpl w:val="9FACEF88"/>
    <w:lvl w:ilvl="0" w:tplc="52B0B45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252C37C6"/>
    <w:multiLevelType w:val="hybridMultilevel"/>
    <w:tmpl w:val="B8869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E2762C"/>
    <w:multiLevelType w:val="hybridMultilevel"/>
    <w:tmpl w:val="B98236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1D4F3B"/>
    <w:multiLevelType w:val="hybridMultilevel"/>
    <w:tmpl w:val="C5747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1E7564"/>
    <w:multiLevelType w:val="hybridMultilevel"/>
    <w:tmpl w:val="7696B8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431E14"/>
    <w:multiLevelType w:val="hybridMultilevel"/>
    <w:tmpl w:val="522CD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F0212E"/>
    <w:multiLevelType w:val="hybridMultilevel"/>
    <w:tmpl w:val="4F5AA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992DAD"/>
    <w:multiLevelType w:val="hybridMultilevel"/>
    <w:tmpl w:val="AEE2BA40"/>
    <w:lvl w:ilvl="0" w:tplc="21480EBC">
      <w:start w:val="1"/>
      <w:numFmt w:val="lowerLetter"/>
      <w:lvlText w:val="(%1)"/>
      <w:lvlJc w:val="left"/>
      <w:pPr>
        <w:ind w:left="1215" w:hanging="360"/>
      </w:pPr>
      <w:rPr>
        <w:rFonts w:cs="Times New Roman" w:hint="default"/>
      </w:rPr>
    </w:lvl>
    <w:lvl w:ilvl="1" w:tplc="0C090019" w:tentative="1">
      <w:start w:val="1"/>
      <w:numFmt w:val="lowerLetter"/>
      <w:lvlText w:val="%2."/>
      <w:lvlJc w:val="left"/>
      <w:pPr>
        <w:ind w:left="1935" w:hanging="360"/>
      </w:pPr>
      <w:rPr>
        <w:rFonts w:cs="Times New Roman"/>
      </w:rPr>
    </w:lvl>
    <w:lvl w:ilvl="2" w:tplc="0C09001B" w:tentative="1">
      <w:start w:val="1"/>
      <w:numFmt w:val="lowerRoman"/>
      <w:lvlText w:val="%3."/>
      <w:lvlJc w:val="right"/>
      <w:pPr>
        <w:ind w:left="2655" w:hanging="180"/>
      </w:pPr>
      <w:rPr>
        <w:rFonts w:cs="Times New Roman"/>
      </w:rPr>
    </w:lvl>
    <w:lvl w:ilvl="3" w:tplc="0C09000F" w:tentative="1">
      <w:start w:val="1"/>
      <w:numFmt w:val="decimal"/>
      <w:lvlText w:val="%4."/>
      <w:lvlJc w:val="left"/>
      <w:pPr>
        <w:ind w:left="3375" w:hanging="360"/>
      </w:pPr>
      <w:rPr>
        <w:rFonts w:cs="Times New Roman"/>
      </w:rPr>
    </w:lvl>
    <w:lvl w:ilvl="4" w:tplc="0C090019" w:tentative="1">
      <w:start w:val="1"/>
      <w:numFmt w:val="lowerLetter"/>
      <w:lvlText w:val="%5."/>
      <w:lvlJc w:val="left"/>
      <w:pPr>
        <w:ind w:left="4095" w:hanging="360"/>
      </w:pPr>
      <w:rPr>
        <w:rFonts w:cs="Times New Roman"/>
      </w:rPr>
    </w:lvl>
    <w:lvl w:ilvl="5" w:tplc="0C09001B" w:tentative="1">
      <w:start w:val="1"/>
      <w:numFmt w:val="lowerRoman"/>
      <w:lvlText w:val="%6."/>
      <w:lvlJc w:val="right"/>
      <w:pPr>
        <w:ind w:left="4815" w:hanging="180"/>
      </w:pPr>
      <w:rPr>
        <w:rFonts w:cs="Times New Roman"/>
      </w:rPr>
    </w:lvl>
    <w:lvl w:ilvl="6" w:tplc="0C09000F" w:tentative="1">
      <w:start w:val="1"/>
      <w:numFmt w:val="decimal"/>
      <w:lvlText w:val="%7."/>
      <w:lvlJc w:val="left"/>
      <w:pPr>
        <w:ind w:left="5535" w:hanging="360"/>
      </w:pPr>
      <w:rPr>
        <w:rFonts w:cs="Times New Roman"/>
      </w:rPr>
    </w:lvl>
    <w:lvl w:ilvl="7" w:tplc="0C090019" w:tentative="1">
      <w:start w:val="1"/>
      <w:numFmt w:val="lowerLetter"/>
      <w:lvlText w:val="%8."/>
      <w:lvlJc w:val="left"/>
      <w:pPr>
        <w:ind w:left="6255" w:hanging="360"/>
      </w:pPr>
      <w:rPr>
        <w:rFonts w:cs="Times New Roman"/>
      </w:rPr>
    </w:lvl>
    <w:lvl w:ilvl="8" w:tplc="0C09001B" w:tentative="1">
      <w:start w:val="1"/>
      <w:numFmt w:val="lowerRoman"/>
      <w:lvlText w:val="%9."/>
      <w:lvlJc w:val="right"/>
      <w:pPr>
        <w:ind w:left="6975" w:hanging="180"/>
      </w:pPr>
      <w:rPr>
        <w:rFonts w:cs="Times New Roman"/>
      </w:rPr>
    </w:lvl>
  </w:abstractNum>
  <w:abstractNum w:abstractNumId="11" w15:restartNumberingAfterBreak="0">
    <w:nsid w:val="49FA5346"/>
    <w:multiLevelType w:val="hybridMultilevel"/>
    <w:tmpl w:val="C7F23A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373366"/>
    <w:multiLevelType w:val="hybridMultilevel"/>
    <w:tmpl w:val="19982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BB3A84"/>
    <w:multiLevelType w:val="hybridMultilevel"/>
    <w:tmpl w:val="39443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8520000"/>
    <w:multiLevelType w:val="hybridMultilevel"/>
    <w:tmpl w:val="70306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D87218"/>
    <w:multiLevelType w:val="hybridMultilevel"/>
    <w:tmpl w:val="8FEE2FA0"/>
    <w:lvl w:ilvl="0" w:tplc="BC9A0ADE">
      <w:start w:val="1"/>
      <w:numFmt w:val="lowerRoman"/>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6" w15:restartNumberingAfterBreak="0">
    <w:nsid w:val="5EE94F51"/>
    <w:multiLevelType w:val="hybridMultilevel"/>
    <w:tmpl w:val="4624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4F7996"/>
    <w:multiLevelType w:val="hybridMultilevel"/>
    <w:tmpl w:val="6CCA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A362B3"/>
    <w:multiLevelType w:val="hybridMultilevel"/>
    <w:tmpl w:val="6FDE0C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D946EEE"/>
    <w:multiLevelType w:val="hybridMultilevel"/>
    <w:tmpl w:val="E0969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83110A"/>
    <w:multiLevelType w:val="hybridMultilevel"/>
    <w:tmpl w:val="E014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9"/>
  </w:num>
  <w:num w:numId="5">
    <w:abstractNumId w:val="4"/>
  </w:num>
  <w:num w:numId="6">
    <w:abstractNumId w:val="6"/>
  </w:num>
  <w:num w:numId="7">
    <w:abstractNumId w:val="11"/>
  </w:num>
  <w:num w:numId="8">
    <w:abstractNumId w:val="8"/>
  </w:num>
  <w:num w:numId="9">
    <w:abstractNumId w:val="14"/>
  </w:num>
  <w:num w:numId="10">
    <w:abstractNumId w:val="12"/>
  </w:num>
  <w:num w:numId="11">
    <w:abstractNumId w:val="17"/>
  </w:num>
  <w:num w:numId="12">
    <w:abstractNumId w:val="16"/>
  </w:num>
  <w:num w:numId="13">
    <w:abstractNumId w:val="20"/>
  </w:num>
  <w:num w:numId="14">
    <w:abstractNumId w:val="3"/>
  </w:num>
  <w:num w:numId="15">
    <w:abstractNumId w:val="15"/>
  </w:num>
  <w:num w:numId="16">
    <w:abstractNumId w:val="10"/>
  </w:num>
  <w:num w:numId="17">
    <w:abstractNumId w:val="18"/>
  </w:num>
  <w:num w:numId="18">
    <w:abstractNumId w:val="2"/>
  </w:num>
  <w:num w:numId="19">
    <w:abstractNumId w:val="5"/>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05"/>
    <w:rsid w:val="00005205"/>
    <w:rsid w:val="00017C47"/>
    <w:rsid w:val="00017D19"/>
    <w:rsid w:val="00021D47"/>
    <w:rsid w:val="00035B88"/>
    <w:rsid w:val="00054273"/>
    <w:rsid w:val="00063D08"/>
    <w:rsid w:val="00067502"/>
    <w:rsid w:val="000C32F2"/>
    <w:rsid w:val="000D1170"/>
    <w:rsid w:val="000E7679"/>
    <w:rsid w:val="001123C3"/>
    <w:rsid w:val="001449E1"/>
    <w:rsid w:val="00145188"/>
    <w:rsid w:val="00164336"/>
    <w:rsid w:val="0018471C"/>
    <w:rsid w:val="001D4AE6"/>
    <w:rsid w:val="00216A5E"/>
    <w:rsid w:val="00220AB0"/>
    <w:rsid w:val="002541D9"/>
    <w:rsid w:val="002600F7"/>
    <w:rsid w:val="00280490"/>
    <w:rsid w:val="00282D5F"/>
    <w:rsid w:val="00283E05"/>
    <w:rsid w:val="002A239F"/>
    <w:rsid w:val="002A2F6C"/>
    <w:rsid w:val="002C3B89"/>
    <w:rsid w:val="002D423D"/>
    <w:rsid w:val="00303C9D"/>
    <w:rsid w:val="00320B19"/>
    <w:rsid w:val="00337797"/>
    <w:rsid w:val="003426E9"/>
    <w:rsid w:val="00394452"/>
    <w:rsid w:val="003E0F8D"/>
    <w:rsid w:val="003E1F3E"/>
    <w:rsid w:val="00402F00"/>
    <w:rsid w:val="00417D5F"/>
    <w:rsid w:val="00490F1C"/>
    <w:rsid w:val="004C737E"/>
    <w:rsid w:val="004E76A3"/>
    <w:rsid w:val="00505167"/>
    <w:rsid w:val="00530D44"/>
    <w:rsid w:val="005356FD"/>
    <w:rsid w:val="00550E4A"/>
    <w:rsid w:val="0057326C"/>
    <w:rsid w:val="005862A6"/>
    <w:rsid w:val="0059350C"/>
    <w:rsid w:val="005C355B"/>
    <w:rsid w:val="005D5397"/>
    <w:rsid w:val="00607C0C"/>
    <w:rsid w:val="00621B37"/>
    <w:rsid w:val="00633305"/>
    <w:rsid w:val="006756F9"/>
    <w:rsid w:val="006932E5"/>
    <w:rsid w:val="006A79C9"/>
    <w:rsid w:val="006B729F"/>
    <w:rsid w:val="006C3837"/>
    <w:rsid w:val="006C4DBE"/>
    <w:rsid w:val="006E410B"/>
    <w:rsid w:val="00715B3B"/>
    <w:rsid w:val="00760123"/>
    <w:rsid w:val="007C775E"/>
    <w:rsid w:val="007E1D57"/>
    <w:rsid w:val="008303FD"/>
    <w:rsid w:val="00830D41"/>
    <w:rsid w:val="00885D09"/>
    <w:rsid w:val="0089313F"/>
    <w:rsid w:val="008E1DCD"/>
    <w:rsid w:val="0092167E"/>
    <w:rsid w:val="00933EA5"/>
    <w:rsid w:val="00942976"/>
    <w:rsid w:val="00967C21"/>
    <w:rsid w:val="009B4886"/>
    <w:rsid w:val="009C23C0"/>
    <w:rsid w:val="009D4B56"/>
    <w:rsid w:val="00A11926"/>
    <w:rsid w:val="00A27555"/>
    <w:rsid w:val="00A4716C"/>
    <w:rsid w:val="00A51424"/>
    <w:rsid w:val="00A81C8B"/>
    <w:rsid w:val="00A90480"/>
    <w:rsid w:val="00AD1E55"/>
    <w:rsid w:val="00AD7F52"/>
    <w:rsid w:val="00AF69D8"/>
    <w:rsid w:val="00B0009A"/>
    <w:rsid w:val="00B00797"/>
    <w:rsid w:val="00B34C2F"/>
    <w:rsid w:val="00B3686D"/>
    <w:rsid w:val="00B500B8"/>
    <w:rsid w:val="00B76D84"/>
    <w:rsid w:val="00BB0F65"/>
    <w:rsid w:val="00BD56AF"/>
    <w:rsid w:val="00C55063"/>
    <w:rsid w:val="00C57644"/>
    <w:rsid w:val="00C600D9"/>
    <w:rsid w:val="00C82057"/>
    <w:rsid w:val="00D75BDD"/>
    <w:rsid w:val="00D84339"/>
    <w:rsid w:val="00DC685C"/>
    <w:rsid w:val="00DD5C02"/>
    <w:rsid w:val="00E54237"/>
    <w:rsid w:val="00E7419D"/>
    <w:rsid w:val="00E879DF"/>
    <w:rsid w:val="00EB3A09"/>
    <w:rsid w:val="00EE1232"/>
    <w:rsid w:val="00EE786A"/>
    <w:rsid w:val="00EF5EB3"/>
    <w:rsid w:val="00F23CCF"/>
    <w:rsid w:val="00F879AB"/>
    <w:rsid w:val="00FA02A5"/>
    <w:rsid w:val="00FB79A0"/>
    <w:rsid w:val="00FF3661"/>
    <w:rsid w:val="00FF7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0688D-0436-45C6-B379-371B3C9E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52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CG Times" w:eastAsia="Times New Roman" w:hAnsi="CG Times" w:cs="Times New Roman"/>
      <w:sz w:val="28"/>
      <w:szCs w:val="20"/>
      <w:lang w:val="en-GB" w:eastAsia="en-AU"/>
    </w:rPr>
  </w:style>
  <w:style w:type="character" w:customStyle="1" w:styleId="BodyTextChar">
    <w:name w:val="Body Text Char"/>
    <w:basedOn w:val="DefaultParagraphFont"/>
    <w:link w:val="BodyText"/>
    <w:uiPriority w:val="99"/>
    <w:rsid w:val="00005205"/>
    <w:rPr>
      <w:rFonts w:ascii="CG Times" w:eastAsia="Times New Roman" w:hAnsi="CG Times" w:cs="Times New Roman"/>
      <w:sz w:val="28"/>
      <w:szCs w:val="20"/>
      <w:lang w:val="en-GB" w:eastAsia="en-AU"/>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005205"/>
    <w:pPr>
      <w:ind w:left="720"/>
      <w:contextualSpacing/>
    </w:p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005205"/>
  </w:style>
  <w:style w:type="paragraph" w:styleId="FootnoteText">
    <w:name w:val="footnote text"/>
    <w:basedOn w:val="Normal"/>
    <w:link w:val="FootnoteTextChar"/>
    <w:semiHidden/>
    <w:unhideWhenUsed/>
    <w:rsid w:val="0016433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64336"/>
    <w:rPr>
      <w:rFonts w:ascii="Times New Roman" w:eastAsia="Times New Roman" w:hAnsi="Times New Roman" w:cs="Times New Roman"/>
      <w:sz w:val="20"/>
      <w:szCs w:val="20"/>
      <w:lang w:eastAsia="en-AU"/>
    </w:rPr>
  </w:style>
  <w:style w:type="character" w:styleId="FootnoteReference">
    <w:name w:val="footnote reference"/>
    <w:semiHidden/>
    <w:unhideWhenUsed/>
    <w:rsid w:val="00164336"/>
    <w:rPr>
      <w:vertAlign w:val="superscript"/>
    </w:rPr>
  </w:style>
  <w:style w:type="paragraph" w:styleId="Header">
    <w:name w:val="header"/>
    <w:basedOn w:val="Normal"/>
    <w:link w:val="HeaderChar"/>
    <w:uiPriority w:val="99"/>
    <w:unhideWhenUsed/>
    <w:rsid w:val="00394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452"/>
  </w:style>
  <w:style w:type="paragraph" w:styleId="Footer">
    <w:name w:val="footer"/>
    <w:basedOn w:val="Normal"/>
    <w:link w:val="FooterChar"/>
    <w:uiPriority w:val="99"/>
    <w:unhideWhenUsed/>
    <w:rsid w:val="0039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452"/>
  </w:style>
  <w:style w:type="paragraph" w:customStyle="1" w:styleId="Default">
    <w:name w:val="Default"/>
    <w:rsid w:val="0039445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styleId="TableGrid">
    <w:name w:val="Table Grid"/>
    <w:basedOn w:val="TableNormal"/>
    <w:uiPriority w:val="59"/>
    <w:rsid w:val="0057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D5397"/>
    <w:rPr>
      <w:rFonts w:cs="Times New Roman"/>
      <w:color w:val="0000FF"/>
      <w:u w:val="single"/>
    </w:rPr>
  </w:style>
  <w:style w:type="paragraph" w:styleId="BalloonText">
    <w:name w:val="Balloon Text"/>
    <w:basedOn w:val="Normal"/>
    <w:link w:val="BalloonTextChar"/>
    <w:uiPriority w:val="99"/>
    <w:semiHidden/>
    <w:unhideWhenUsed/>
    <w:rsid w:val="00EF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B3"/>
    <w:rPr>
      <w:rFonts w:ascii="Segoe UI" w:hAnsi="Segoe UI" w:cs="Segoe UI"/>
      <w:sz w:val="18"/>
      <w:szCs w:val="18"/>
    </w:rPr>
  </w:style>
  <w:style w:type="paragraph" w:styleId="HTMLPreformatted">
    <w:name w:val="HTML Preformatted"/>
    <w:basedOn w:val="Normal"/>
    <w:link w:val="HTMLPreformattedChar"/>
    <w:uiPriority w:val="99"/>
    <w:unhideWhenUsed/>
    <w:rsid w:val="00D84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84339"/>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235488">
      <w:bodyDiv w:val="1"/>
      <w:marLeft w:val="0"/>
      <w:marRight w:val="0"/>
      <w:marTop w:val="0"/>
      <w:marBottom w:val="0"/>
      <w:divBdr>
        <w:top w:val="none" w:sz="0" w:space="0" w:color="auto"/>
        <w:left w:val="none" w:sz="0" w:space="0" w:color="auto"/>
        <w:bottom w:val="none" w:sz="0" w:space="0" w:color="auto"/>
        <w:right w:val="none" w:sz="0" w:space="0" w:color="auto"/>
      </w:divBdr>
    </w:div>
    <w:div w:id="16955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sri.uow.edu.au/aroc/whatisfim/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hsri.uow.edu.au/aroc/training/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pa.gov.au/what-we-do/standardised-mini-mental-state-examination-smm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hsri.uow.edu.au/aroc/whatisfim/index.html" TargetMode="External"/><Relationship Id="rId4" Type="http://schemas.openxmlformats.org/officeDocument/2006/relationships/webSettings" Target="webSettings.xml"/><Relationship Id="rId9" Type="http://schemas.openxmlformats.org/officeDocument/2006/relationships/hyperlink" Target="https://www.ihpa.gov.au/what-we-do/standardised-mini-mental-state-examination-smm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Michael</dc:creator>
  <cp:keywords/>
  <dc:description/>
  <cp:lastModifiedBy>Wright, Michael</cp:lastModifiedBy>
  <cp:revision>19</cp:revision>
  <cp:lastPrinted>2018-08-14T02:14:00Z</cp:lastPrinted>
  <dcterms:created xsi:type="dcterms:W3CDTF">2018-08-14T01:26:00Z</dcterms:created>
  <dcterms:modified xsi:type="dcterms:W3CDTF">2018-10-10T03:27:00Z</dcterms:modified>
</cp:coreProperties>
</file>