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452" w:rsidRDefault="00B47452" w:rsidP="00937E87">
      <w:pPr>
        <w:jc w:val="center"/>
        <w:rPr>
          <w:rFonts w:ascii="Arial" w:hAnsi="Arial" w:cs="Arial"/>
          <w:u w:val="single"/>
        </w:rPr>
      </w:pPr>
    </w:p>
    <w:p w:rsidR="001D6195" w:rsidRDefault="001D6195" w:rsidP="00937E87">
      <w:pPr>
        <w:jc w:val="center"/>
        <w:rPr>
          <w:rFonts w:ascii="Arial" w:hAnsi="Arial" w:cs="Arial"/>
          <w:u w:val="single"/>
        </w:rPr>
      </w:pPr>
    </w:p>
    <w:p w:rsidR="0030195D" w:rsidRDefault="00315A92" w:rsidP="00D16791">
      <w:pPr>
        <w:jc w:val="center"/>
        <w:rPr>
          <w:rFonts w:ascii="Arial" w:hAnsi="Arial" w:cs="Arial"/>
          <w:u w:val="single"/>
        </w:rPr>
      </w:pPr>
      <w:r w:rsidRPr="00315A92">
        <w:rPr>
          <w:rFonts w:ascii="Arial" w:hAnsi="Arial" w:cs="Arial"/>
          <w:u w:val="single"/>
        </w:rPr>
        <w:t xml:space="preserve">HIGH COURT </w:t>
      </w:r>
      <w:r w:rsidR="00205BED">
        <w:rPr>
          <w:rFonts w:ascii="Arial" w:hAnsi="Arial" w:cs="Arial"/>
          <w:u w:val="single"/>
        </w:rPr>
        <w:t xml:space="preserve">AMENDMENT </w:t>
      </w:r>
      <w:r w:rsidR="0012618D">
        <w:rPr>
          <w:rFonts w:ascii="Arial" w:hAnsi="Arial" w:cs="Arial"/>
          <w:u w:val="single"/>
        </w:rPr>
        <w:t>(</w:t>
      </w:r>
      <w:r w:rsidR="0030195D">
        <w:rPr>
          <w:rFonts w:ascii="Arial" w:hAnsi="Arial" w:cs="Arial"/>
          <w:u w:val="single"/>
        </w:rPr>
        <w:t xml:space="preserve">CONSTITUTIONAL WRITS </w:t>
      </w:r>
    </w:p>
    <w:p w:rsidR="00315A92" w:rsidRPr="00315A92" w:rsidRDefault="00B148E5" w:rsidP="00D16791">
      <w:pPr>
        <w:jc w:val="center"/>
        <w:rPr>
          <w:rFonts w:ascii="Arial" w:hAnsi="Arial" w:cs="Arial"/>
          <w:u w:val="single"/>
        </w:rPr>
      </w:pPr>
      <w:r>
        <w:rPr>
          <w:rFonts w:ascii="Arial" w:hAnsi="Arial" w:cs="Arial"/>
          <w:u w:val="single"/>
        </w:rPr>
        <w:t>AND OTHER MATTERS</w:t>
      </w:r>
      <w:r w:rsidR="0012618D">
        <w:rPr>
          <w:rFonts w:ascii="Arial" w:hAnsi="Arial" w:cs="Arial"/>
          <w:u w:val="single"/>
        </w:rPr>
        <w:t xml:space="preserve">) </w:t>
      </w:r>
      <w:r w:rsidR="00315A92" w:rsidRPr="00315A92">
        <w:rPr>
          <w:rFonts w:ascii="Arial" w:hAnsi="Arial" w:cs="Arial"/>
          <w:u w:val="single"/>
        </w:rPr>
        <w:t>RULE</w:t>
      </w:r>
      <w:r w:rsidR="00205BED">
        <w:rPr>
          <w:rFonts w:ascii="Arial" w:hAnsi="Arial" w:cs="Arial"/>
          <w:u w:val="single"/>
        </w:rPr>
        <w:t>S</w:t>
      </w:r>
      <w:r w:rsidR="009726D2">
        <w:rPr>
          <w:rFonts w:ascii="Arial" w:hAnsi="Arial" w:cs="Arial"/>
          <w:u w:val="single"/>
        </w:rPr>
        <w:t xml:space="preserve"> 201</w:t>
      </w:r>
      <w:r w:rsidR="0030195D">
        <w:rPr>
          <w:rFonts w:ascii="Arial" w:hAnsi="Arial" w:cs="Arial"/>
          <w:u w:val="single"/>
        </w:rPr>
        <w:t>8</w:t>
      </w:r>
    </w:p>
    <w:p w:rsidR="00315A92" w:rsidRPr="00315A92" w:rsidRDefault="001C3784" w:rsidP="00937E87">
      <w:pPr>
        <w:jc w:val="center"/>
        <w:rPr>
          <w:rFonts w:ascii="Arial" w:hAnsi="Arial" w:cs="Arial"/>
          <w:u w:val="single"/>
        </w:rPr>
      </w:pPr>
      <w:r>
        <w:rPr>
          <w:rFonts w:ascii="Arial" w:hAnsi="Arial" w:cs="Arial"/>
          <w:b/>
          <w:u w:val="single"/>
        </w:rPr>
        <w:t>9 OCTOBER 2018</w:t>
      </w:r>
      <w:r w:rsidR="00315A92" w:rsidRPr="00315A92">
        <w:rPr>
          <w:rFonts w:ascii="Arial" w:hAnsi="Arial" w:cs="Arial"/>
          <w:u w:val="single"/>
        </w:rPr>
        <w:br/>
        <w:t>EXPLANATORY STATEMENT</w:t>
      </w:r>
    </w:p>
    <w:p w:rsidR="00315A92" w:rsidRDefault="00315A92" w:rsidP="00937E87">
      <w:pPr>
        <w:jc w:val="both"/>
        <w:rPr>
          <w:rFonts w:ascii="Arial" w:hAnsi="Arial" w:cs="Arial"/>
        </w:rPr>
      </w:pPr>
    </w:p>
    <w:p w:rsidR="00FA0A9B" w:rsidRPr="00315A92" w:rsidRDefault="00FA0A9B" w:rsidP="00937E87">
      <w:pPr>
        <w:jc w:val="both"/>
        <w:rPr>
          <w:rFonts w:ascii="Arial" w:hAnsi="Arial" w:cs="Arial"/>
        </w:rPr>
      </w:pPr>
    </w:p>
    <w:p w:rsidR="00315A92" w:rsidRDefault="00315A92" w:rsidP="00937E87">
      <w:pPr>
        <w:jc w:val="both"/>
        <w:rPr>
          <w:rFonts w:ascii="Arial" w:hAnsi="Arial" w:cs="Arial"/>
        </w:rPr>
      </w:pPr>
      <w:r>
        <w:rPr>
          <w:rFonts w:ascii="Arial" w:hAnsi="Arial" w:cs="Arial"/>
        </w:rPr>
        <w:t xml:space="preserve">These </w:t>
      </w:r>
      <w:r w:rsidR="00205BED">
        <w:rPr>
          <w:rFonts w:ascii="Arial" w:hAnsi="Arial" w:cs="Arial"/>
        </w:rPr>
        <w:t xml:space="preserve">Amendment </w:t>
      </w:r>
      <w:r>
        <w:rPr>
          <w:rFonts w:ascii="Arial" w:hAnsi="Arial" w:cs="Arial"/>
        </w:rPr>
        <w:t>Rules of Court</w:t>
      </w:r>
      <w:r w:rsidR="00205BED">
        <w:rPr>
          <w:rFonts w:ascii="Arial" w:hAnsi="Arial" w:cs="Arial"/>
        </w:rPr>
        <w:t>,</w:t>
      </w:r>
      <w:r>
        <w:rPr>
          <w:rFonts w:ascii="Arial" w:hAnsi="Arial" w:cs="Arial"/>
        </w:rPr>
        <w:t xml:space="preserve"> </w:t>
      </w:r>
      <w:r w:rsidR="00205BED">
        <w:rPr>
          <w:rFonts w:ascii="Arial" w:hAnsi="Arial" w:cs="Arial"/>
        </w:rPr>
        <w:t>signed by the Justices</w:t>
      </w:r>
      <w:r w:rsidR="0076254B">
        <w:rPr>
          <w:rFonts w:ascii="Arial" w:hAnsi="Arial" w:cs="Arial"/>
        </w:rPr>
        <w:t xml:space="preserve"> of the High Court of Australia </w:t>
      </w:r>
      <w:r w:rsidR="001C3784">
        <w:rPr>
          <w:rFonts w:ascii="Arial" w:hAnsi="Arial" w:cs="Arial"/>
        </w:rPr>
        <w:t>on 9 October 2018</w:t>
      </w:r>
      <w:bookmarkStart w:id="0" w:name="_GoBack"/>
      <w:bookmarkEnd w:id="0"/>
      <w:r w:rsidR="00205BED">
        <w:rPr>
          <w:rFonts w:ascii="Arial" w:hAnsi="Arial" w:cs="Arial"/>
        </w:rPr>
        <w:t xml:space="preserve">, </w:t>
      </w:r>
      <w:r>
        <w:rPr>
          <w:rFonts w:ascii="Arial" w:hAnsi="Arial" w:cs="Arial"/>
        </w:rPr>
        <w:t xml:space="preserve">are made by the </w:t>
      </w:r>
      <w:r w:rsidRPr="003453E1">
        <w:rPr>
          <w:rFonts w:ascii="Arial" w:hAnsi="Arial" w:cs="Arial"/>
        </w:rPr>
        <w:t xml:space="preserve">Justices under the </w:t>
      </w:r>
      <w:r w:rsidRPr="003453E1">
        <w:rPr>
          <w:rFonts w:ascii="Arial" w:hAnsi="Arial" w:cs="Arial"/>
          <w:i/>
        </w:rPr>
        <w:t xml:space="preserve">Judiciary </w:t>
      </w:r>
      <w:r w:rsidRPr="008E6835">
        <w:rPr>
          <w:rFonts w:ascii="Arial" w:hAnsi="Arial" w:cs="Arial"/>
          <w:i/>
        </w:rPr>
        <w:t>Act 1903</w:t>
      </w:r>
      <w:r w:rsidR="004822BC" w:rsidRPr="003453E1">
        <w:rPr>
          <w:rFonts w:ascii="Arial" w:hAnsi="Arial" w:cs="Arial"/>
        </w:rPr>
        <w:t xml:space="preserve">, the </w:t>
      </w:r>
      <w:r w:rsidR="004822BC" w:rsidRPr="003453E1">
        <w:rPr>
          <w:rFonts w:ascii="Arial" w:hAnsi="Arial" w:cs="Arial"/>
          <w:i/>
        </w:rPr>
        <w:t xml:space="preserve">Commonwealth </w:t>
      </w:r>
      <w:r w:rsidR="004822BC" w:rsidRPr="008E6835">
        <w:rPr>
          <w:rFonts w:ascii="Arial" w:hAnsi="Arial" w:cs="Arial"/>
          <w:i/>
        </w:rPr>
        <w:t>Electoral Act 1918</w:t>
      </w:r>
      <w:r w:rsidR="004822BC" w:rsidRPr="003453E1">
        <w:rPr>
          <w:rFonts w:ascii="Arial" w:hAnsi="Arial" w:cs="Arial"/>
        </w:rPr>
        <w:t xml:space="preserve">, the </w:t>
      </w:r>
      <w:r w:rsidR="004822BC" w:rsidRPr="003453E1">
        <w:rPr>
          <w:rFonts w:ascii="Arial" w:hAnsi="Arial" w:cs="Arial"/>
          <w:i/>
        </w:rPr>
        <w:t xml:space="preserve">Nauru (High Court Appeals) </w:t>
      </w:r>
      <w:r w:rsidR="004822BC" w:rsidRPr="008E6835">
        <w:rPr>
          <w:rFonts w:ascii="Arial" w:hAnsi="Arial" w:cs="Arial"/>
          <w:i/>
        </w:rPr>
        <w:t>Act 1976</w:t>
      </w:r>
      <w:r w:rsidR="004822BC" w:rsidRPr="003453E1">
        <w:rPr>
          <w:rFonts w:ascii="Arial" w:hAnsi="Arial" w:cs="Arial"/>
          <w:i/>
        </w:rPr>
        <w:t xml:space="preserve"> </w:t>
      </w:r>
      <w:r w:rsidR="004822BC" w:rsidRPr="003453E1">
        <w:rPr>
          <w:rFonts w:ascii="Arial" w:hAnsi="Arial" w:cs="Arial"/>
        </w:rPr>
        <w:t>and the</w:t>
      </w:r>
      <w:r w:rsidR="004822BC" w:rsidRPr="003453E1">
        <w:rPr>
          <w:rFonts w:ascii="Arial" w:hAnsi="Arial" w:cs="Arial"/>
          <w:i/>
        </w:rPr>
        <w:t xml:space="preserve"> High Court of Australia </w:t>
      </w:r>
      <w:r w:rsidR="004822BC" w:rsidRPr="008E6835">
        <w:rPr>
          <w:rFonts w:ascii="Arial" w:hAnsi="Arial" w:cs="Arial"/>
          <w:i/>
        </w:rPr>
        <w:t>Act 1979</w:t>
      </w:r>
      <w:r w:rsidR="004822BC">
        <w:rPr>
          <w:rFonts w:ascii="Arial" w:hAnsi="Arial" w:cs="Arial"/>
        </w:rPr>
        <w:t>.</w:t>
      </w:r>
    </w:p>
    <w:p w:rsidR="0034590A" w:rsidRDefault="0034590A" w:rsidP="00937E87">
      <w:pPr>
        <w:jc w:val="both"/>
        <w:rPr>
          <w:rFonts w:ascii="Arial" w:hAnsi="Arial" w:cs="Arial"/>
        </w:rPr>
      </w:pPr>
    </w:p>
    <w:p w:rsidR="0034590A" w:rsidRPr="008E6835" w:rsidRDefault="00F826A7" w:rsidP="0034590A">
      <w:pPr>
        <w:jc w:val="both"/>
        <w:rPr>
          <w:rFonts w:ascii="Arial" w:hAnsi="Arial" w:cs="Arial"/>
          <w:b/>
        </w:rPr>
      </w:pPr>
      <w:r w:rsidRPr="008E6835">
        <w:rPr>
          <w:rFonts w:ascii="Arial" w:hAnsi="Arial" w:cs="Arial"/>
          <w:b/>
        </w:rPr>
        <w:t>Applications for constitutional and other writs</w:t>
      </w:r>
    </w:p>
    <w:p w:rsidR="00122342" w:rsidRDefault="00122342" w:rsidP="00122342">
      <w:pPr>
        <w:jc w:val="both"/>
        <w:rPr>
          <w:rFonts w:ascii="Arial" w:hAnsi="Arial" w:cs="Arial"/>
          <w:szCs w:val="22"/>
        </w:rPr>
      </w:pPr>
      <w:r w:rsidRPr="00122342">
        <w:rPr>
          <w:rFonts w:ascii="Arial" w:hAnsi="Arial" w:cs="Arial"/>
          <w:szCs w:val="22"/>
        </w:rPr>
        <w:t xml:space="preserve">Following a review of the provisions in the </w:t>
      </w:r>
      <w:r w:rsidRPr="00122342">
        <w:rPr>
          <w:rFonts w:ascii="Arial" w:hAnsi="Arial" w:cs="Arial"/>
          <w:i/>
          <w:szCs w:val="22"/>
        </w:rPr>
        <w:t>High Court Rules</w:t>
      </w:r>
      <w:r w:rsidRPr="00122342">
        <w:rPr>
          <w:rFonts w:ascii="Arial" w:hAnsi="Arial" w:cs="Arial"/>
          <w:szCs w:val="22"/>
        </w:rPr>
        <w:t xml:space="preserve"> 2004 relating to applications for writs of mandamus, prohibition, certiorari, habeas corpus and quo </w:t>
      </w:r>
      <w:proofErr w:type="spellStart"/>
      <w:r w:rsidRPr="00122342">
        <w:rPr>
          <w:rFonts w:ascii="Arial" w:hAnsi="Arial" w:cs="Arial"/>
          <w:szCs w:val="22"/>
        </w:rPr>
        <w:t>warranto</w:t>
      </w:r>
      <w:proofErr w:type="spellEnd"/>
      <w:r w:rsidRPr="00122342">
        <w:rPr>
          <w:rFonts w:ascii="Arial" w:hAnsi="Arial" w:cs="Arial"/>
          <w:szCs w:val="22"/>
        </w:rPr>
        <w:t>, the Justices of the High Court propose a number of amendments to Part 25 of the Rules to provide a more streamlined procedure for the filing and consideration of applications.</w:t>
      </w:r>
    </w:p>
    <w:p w:rsidR="00122342" w:rsidRDefault="00122342" w:rsidP="00122342">
      <w:pPr>
        <w:ind w:right="-46"/>
        <w:jc w:val="both"/>
        <w:rPr>
          <w:rFonts w:ascii="Arial" w:hAnsi="Arial" w:cs="Arial"/>
          <w:b/>
          <w:szCs w:val="24"/>
        </w:rPr>
      </w:pPr>
    </w:p>
    <w:p w:rsidR="00122342" w:rsidRPr="00FA0A9B" w:rsidRDefault="00122342" w:rsidP="00122342">
      <w:pPr>
        <w:ind w:right="-46"/>
        <w:jc w:val="both"/>
        <w:rPr>
          <w:rFonts w:ascii="Arial" w:hAnsi="Arial" w:cs="Arial"/>
          <w:b/>
          <w:sz w:val="22"/>
          <w:szCs w:val="22"/>
        </w:rPr>
      </w:pPr>
      <w:r w:rsidRPr="00FA0A9B">
        <w:rPr>
          <w:rFonts w:ascii="Arial" w:hAnsi="Arial" w:cs="Arial"/>
          <w:b/>
          <w:sz w:val="22"/>
          <w:szCs w:val="22"/>
        </w:rPr>
        <w:t>Part 25 Chapter 2</w:t>
      </w:r>
    </w:p>
    <w:p w:rsidR="00122342" w:rsidRPr="00FA0A9B" w:rsidRDefault="00122342" w:rsidP="00122342">
      <w:pPr>
        <w:pStyle w:val="Default"/>
        <w:jc w:val="both"/>
        <w:rPr>
          <w:i/>
          <w:sz w:val="22"/>
          <w:szCs w:val="22"/>
        </w:rPr>
      </w:pPr>
      <w:r w:rsidRPr="00FA0A9B">
        <w:rPr>
          <w:i/>
          <w:sz w:val="22"/>
          <w:szCs w:val="22"/>
        </w:rPr>
        <w:t>Title of the application</w:t>
      </w:r>
    </w:p>
    <w:p w:rsidR="00122342" w:rsidRPr="00FA0A9B" w:rsidRDefault="00122342" w:rsidP="00122342">
      <w:pPr>
        <w:pStyle w:val="Default"/>
        <w:jc w:val="both"/>
        <w:rPr>
          <w:sz w:val="22"/>
          <w:szCs w:val="22"/>
        </w:rPr>
      </w:pPr>
      <w:r w:rsidRPr="00FA0A9B">
        <w:rPr>
          <w:sz w:val="22"/>
          <w:szCs w:val="22"/>
        </w:rPr>
        <w:t xml:space="preserve">The Court proposes to move away from using the phrase </w:t>
      </w:r>
      <w:r w:rsidRPr="00FA0A9B">
        <w:rPr>
          <w:i/>
          <w:sz w:val="22"/>
          <w:szCs w:val="22"/>
        </w:rPr>
        <w:t>“application for an order to show cause”</w:t>
      </w:r>
      <w:r w:rsidRPr="00FA0A9B">
        <w:rPr>
          <w:sz w:val="22"/>
          <w:szCs w:val="22"/>
        </w:rPr>
        <w:t>, which was more appropriate in the pre-2004 rules of court which provided for a two</w:t>
      </w:r>
      <w:r w:rsidRPr="00FA0A9B">
        <w:rPr>
          <w:sz w:val="22"/>
          <w:szCs w:val="22"/>
        </w:rPr>
        <w:noBreakHyphen/>
        <w:t xml:space="preserve">step (initially ex parte) process for such applications.  The Rules have been amended to reflect this change in terminology by substituting the words </w:t>
      </w:r>
      <w:r w:rsidRPr="00FA0A9B">
        <w:rPr>
          <w:i/>
          <w:sz w:val="22"/>
          <w:szCs w:val="22"/>
        </w:rPr>
        <w:t>“application for a constitutional or other writ”</w:t>
      </w:r>
      <w:r w:rsidRPr="00FA0A9B">
        <w:rPr>
          <w:sz w:val="22"/>
          <w:szCs w:val="22"/>
        </w:rPr>
        <w:t>.</w:t>
      </w:r>
    </w:p>
    <w:p w:rsidR="00122342" w:rsidRPr="00FA0A9B" w:rsidRDefault="00122342" w:rsidP="00122342">
      <w:pPr>
        <w:pStyle w:val="Default"/>
        <w:jc w:val="both"/>
        <w:rPr>
          <w:sz w:val="22"/>
          <w:szCs w:val="22"/>
        </w:rPr>
      </w:pPr>
    </w:p>
    <w:p w:rsidR="00122342" w:rsidRPr="00FA0A9B" w:rsidRDefault="00122342" w:rsidP="00122342">
      <w:pPr>
        <w:rPr>
          <w:rFonts w:ascii="Arial" w:hAnsi="Arial" w:cs="Arial"/>
          <w:i/>
          <w:sz w:val="22"/>
          <w:szCs w:val="22"/>
        </w:rPr>
      </w:pPr>
      <w:r w:rsidRPr="00FA0A9B">
        <w:rPr>
          <w:rFonts w:ascii="Arial" w:hAnsi="Arial" w:cs="Arial"/>
          <w:i/>
          <w:sz w:val="22"/>
          <w:szCs w:val="22"/>
        </w:rPr>
        <w:t>Time for service</w:t>
      </w:r>
    </w:p>
    <w:p w:rsidR="00122342" w:rsidRPr="00FA0A9B" w:rsidRDefault="00122342" w:rsidP="00122342">
      <w:pPr>
        <w:pStyle w:val="Default"/>
        <w:jc w:val="both"/>
        <w:rPr>
          <w:sz w:val="22"/>
          <w:szCs w:val="22"/>
        </w:rPr>
      </w:pPr>
      <w:r w:rsidRPr="00FA0A9B">
        <w:rPr>
          <w:sz w:val="22"/>
          <w:szCs w:val="22"/>
        </w:rPr>
        <w:t>The time for service of an application is reduced from the present 90 days to 7 days.</w:t>
      </w:r>
    </w:p>
    <w:p w:rsidR="00122342" w:rsidRPr="00FA0A9B" w:rsidRDefault="00122342" w:rsidP="00122342">
      <w:pPr>
        <w:pStyle w:val="Default"/>
        <w:jc w:val="both"/>
        <w:rPr>
          <w:sz w:val="22"/>
          <w:szCs w:val="22"/>
        </w:rPr>
      </w:pPr>
    </w:p>
    <w:p w:rsidR="00122342" w:rsidRPr="00FA0A9B" w:rsidRDefault="00122342" w:rsidP="00122342">
      <w:pPr>
        <w:jc w:val="both"/>
        <w:rPr>
          <w:rFonts w:ascii="Arial" w:hAnsi="Arial" w:cs="Arial"/>
          <w:i/>
          <w:sz w:val="22"/>
          <w:szCs w:val="22"/>
        </w:rPr>
      </w:pPr>
      <w:r w:rsidRPr="00FA0A9B">
        <w:rPr>
          <w:rFonts w:ascii="Arial" w:hAnsi="Arial" w:cs="Arial"/>
          <w:i/>
          <w:sz w:val="22"/>
          <w:szCs w:val="22"/>
        </w:rPr>
        <w:t>Written response</w:t>
      </w:r>
    </w:p>
    <w:p w:rsidR="00122342" w:rsidRPr="00FA0A9B" w:rsidRDefault="00122342" w:rsidP="00122342">
      <w:pPr>
        <w:jc w:val="both"/>
        <w:rPr>
          <w:rFonts w:ascii="Arial" w:hAnsi="Arial" w:cs="Arial"/>
          <w:sz w:val="22"/>
          <w:szCs w:val="22"/>
        </w:rPr>
      </w:pPr>
      <w:r w:rsidRPr="00FA0A9B">
        <w:rPr>
          <w:rFonts w:ascii="Arial" w:hAnsi="Arial" w:cs="Arial"/>
          <w:sz w:val="22"/>
          <w:szCs w:val="22"/>
        </w:rPr>
        <w:t>To ensure the issues between the parties are identified at an early stage of the proceedings the Justices propose to include a requirement for the filing of a response by the defendant to an application (proposed rule 25.07) and a reply by the applicant (proposed rule 25.08), along the lines of the procedures adopted for applications for removal and applications for special leave to appeal.</w:t>
      </w:r>
    </w:p>
    <w:p w:rsidR="00122342" w:rsidRPr="00FA0A9B" w:rsidRDefault="00122342" w:rsidP="00122342">
      <w:pPr>
        <w:jc w:val="both"/>
        <w:rPr>
          <w:rFonts w:ascii="Arial" w:hAnsi="Arial" w:cs="Arial"/>
          <w:sz w:val="22"/>
          <w:szCs w:val="22"/>
        </w:rPr>
      </w:pPr>
    </w:p>
    <w:p w:rsidR="00122342" w:rsidRPr="00FA0A9B" w:rsidRDefault="00122342" w:rsidP="00122342">
      <w:pPr>
        <w:jc w:val="both"/>
        <w:rPr>
          <w:rFonts w:ascii="Arial" w:hAnsi="Arial" w:cs="Arial"/>
          <w:i/>
          <w:sz w:val="22"/>
          <w:szCs w:val="22"/>
        </w:rPr>
      </w:pPr>
      <w:r w:rsidRPr="00FA0A9B">
        <w:rPr>
          <w:rFonts w:ascii="Arial" w:hAnsi="Arial" w:cs="Arial"/>
          <w:i/>
          <w:sz w:val="22"/>
          <w:szCs w:val="22"/>
        </w:rPr>
        <w:t>Consideration and determination of an application</w:t>
      </w:r>
    </w:p>
    <w:p w:rsidR="00122342" w:rsidRPr="00FA0A9B" w:rsidRDefault="00122342" w:rsidP="00122342">
      <w:pPr>
        <w:jc w:val="both"/>
        <w:rPr>
          <w:rFonts w:ascii="Arial" w:hAnsi="Arial" w:cs="Arial"/>
          <w:sz w:val="22"/>
          <w:szCs w:val="22"/>
        </w:rPr>
      </w:pPr>
      <w:r w:rsidRPr="00FA0A9B">
        <w:rPr>
          <w:rFonts w:ascii="Arial" w:hAnsi="Arial" w:cs="Arial"/>
          <w:sz w:val="22"/>
          <w:szCs w:val="22"/>
        </w:rPr>
        <w:t xml:space="preserve">In light of the new requirement for the defendant to respond in writing to the application, the revised Rules will make clear that an application may be finally determined on the first occasion it comes before the Court, without the need for a preliminary directions hearing.  </w:t>
      </w:r>
    </w:p>
    <w:p w:rsidR="00122342" w:rsidRPr="00FA0A9B" w:rsidRDefault="00122342" w:rsidP="00122342">
      <w:pPr>
        <w:jc w:val="both"/>
        <w:rPr>
          <w:rFonts w:ascii="Arial" w:hAnsi="Arial" w:cs="Arial"/>
          <w:sz w:val="22"/>
          <w:szCs w:val="22"/>
        </w:rPr>
      </w:pPr>
    </w:p>
    <w:p w:rsidR="00122342" w:rsidRPr="00FA0A9B" w:rsidRDefault="00122342" w:rsidP="00122342">
      <w:pPr>
        <w:jc w:val="both"/>
        <w:rPr>
          <w:rFonts w:ascii="Arial" w:hAnsi="Arial" w:cs="Arial"/>
          <w:sz w:val="22"/>
          <w:szCs w:val="22"/>
        </w:rPr>
      </w:pPr>
      <w:r w:rsidRPr="00FA0A9B">
        <w:rPr>
          <w:rFonts w:ascii="Arial" w:hAnsi="Arial" w:cs="Arial"/>
          <w:sz w:val="22"/>
          <w:szCs w:val="22"/>
        </w:rPr>
        <w:t>Rule 25.09 provides for the manner of determination of an application, including that the Court or a Justice may dismiss an application, without listing it for hearing, on the ground that the application does not disclose an arguable basis for the relief sought or is an abuse of the process of the Court.</w:t>
      </w:r>
    </w:p>
    <w:p w:rsidR="00122342" w:rsidRPr="00FA0A9B" w:rsidRDefault="00122342" w:rsidP="00122342">
      <w:pPr>
        <w:jc w:val="both"/>
        <w:rPr>
          <w:rFonts w:ascii="Arial" w:hAnsi="Arial" w:cs="Arial"/>
          <w:sz w:val="22"/>
          <w:szCs w:val="22"/>
        </w:rPr>
      </w:pPr>
    </w:p>
    <w:p w:rsidR="00122342" w:rsidRPr="00FA0A9B" w:rsidRDefault="00122342" w:rsidP="00122342">
      <w:pPr>
        <w:jc w:val="both"/>
        <w:rPr>
          <w:rFonts w:ascii="Arial" w:hAnsi="Arial" w:cs="Arial"/>
          <w:i/>
          <w:sz w:val="22"/>
          <w:szCs w:val="22"/>
        </w:rPr>
      </w:pPr>
      <w:r w:rsidRPr="00FA0A9B">
        <w:rPr>
          <w:rFonts w:ascii="Arial" w:hAnsi="Arial" w:cs="Arial"/>
          <w:i/>
          <w:sz w:val="22"/>
          <w:szCs w:val="22"/>
        </w:rPr>
        <w:lastRenderedPageBreak/>
        <w:t>Schedule 1 Form of Application, Response and Writs</w:t>
      </w:r>
    </w:p>
    <w:p w:rsidR="00122342" w:rsidRPr="00FA0A9B" w:rsidRDefault="00122342" w:rsidP="00122342">
      <w:pPr>
        <w:jc w:val="both"/>
        <w:rPr>
          <w:rFonts w:ascii="Arial" w:hAnsi="Arial" w:cs="Arial"/>
          <w:sz w:val="22"/>
          <w:szCs w:val="22"/>
        </w:rPr>
      </w:pPr>
      <w:r w:rsidRPr="00FA0A9B">
        <w:rPr>
          <w:rFonts w:ascii="Arial" w:hAnsi="Arial" w:cs="Arial"/>
          <w:sz w:val="22"/>
          <w:szCs w:val="22"/>
        </w:rPr>
        <w:t>The Application (Form 12) has been amended to require in paragraph 1 reference to any extension of time sought in relation to the application.</w:t>
      </w:r>
    </w:p>
    <w:p w:rsidR="00122342" w:rsidRPr="00FA0A9B" w:rsidRDefault="00122342" w:rsidP="00122342">
      <w:pPr>
        <w:jc w:val="both"/>
        <w:rPr>
          <w:rFonts w:ascii="Arial" w:hAnsi="Arial" w:cs="Arial"/>
          <w:sz w:val="22"/>
          <w:szCs w:val="22"/>
        </w:rPr>
      </w:pPr>
    </w:p>
    <w:p w:rsidR="00122342" w:rsidRPr="00FA0A9B" w:rsidRDefault="00122342" w:rsidP="00122342">
      <w:pPr>
        <w:jc w:val="both"/>
        <w:rPr>
          <w:rFonts w:ascii="Arial" w:hAnsi="Arial" w:cs="Arial"/>
          <w:sz w:val="22"/>
          <w:szCs w:val="22"/>
        </w:rPr>
      </w:pPr>
      <w:r w:rsidRPr="00FA0A9B">
        <w:rPr>
          <w:rFonts w:ascii="Arial" w:hAnsi="Arial" w:cs="Arial"/>
          <w:sz w:val="22"/>
          <w:szCs w:val="22"/>
        </w:rPr>
        <w:t>A new form (Form 12A) – Response to Application for a Constitutional or Other Writ has been added to Schedule 1.</w:t>
      </w:r>
    </w:p>
    <w:p w:rsidR="00122342" w:rsidRPr="00FA0A9B" w:rsidRDefault="00122342" w:rsidP="00122342">
      <w:pPr>
        <w:jc w:val="both"/>
        <w:rPr>
          <w:rFonts w:ascii="Arial" w:hAnsi="Arial" w:cs="Arial"/>
          <w:sz w:val="22"/>
          <w:szCs w:val="22"/>
        </w:rPr>
      </w:pPr>
    </w:p>
    <w:p w:rsidR="00122342" w:rsidRPr="00FA0A9B" w:rsidRDefault="00122342" w:rsidP="00122342">
      <w:pPr>
        <w:jc w:val="both"/>
        <w:rPr>
          <w:rFonts w:ascii="Arial" w:hAnsi="Arial" w:cs="Arial"/>
          <w:sz w:val="22"/>
          <w:szCs w:val="22"/>
        </w:rPr>
      </w:pPr>
      <w:r w:rsidRPr="00FA0A9B">
        <w:rPr>
          <w:rFonts w:ascii="Arial" w:hAnsi="Arial" w:cs="Arial"/>
          <w:sz w:val="22"/>
          <w:szCs w:val="22"/>
        </w:rPr>
        <w:t>The rules pertaining to particular writs have been simplified and the language of the forms of a Writ of mandamus (Form 13) and a Writ of Habeas Corpus (Form 16) modified accordingly.</w:t>
      </w:r>
    </w:p>
    <w:p w:rsidR="00122342" w:rsidRPr="00FA0A9B" w:rsidRDefault="00122342" w:rsidP="00122342">
      <w:pPr>
        <w:rPr>
          <w:rFonts w:ascii="Arial" w:hAnsi="Arial" w:cs="Arial"/>
          <w:sz w:val="22"/>
          <w:szCs w:val="22"/>
        </w:rPr>
      </w:pPr>
    </w:p>
    <w:p w:rsidR="00122342" w:rsidRPr="00FA0A9B" w:rsidRDefault="00122342" w:rsidP="00122342">
      <w:pPr>
        <w:jc w:val="both"/>
        <w:rPr>
          <w:rFonts w:ascii="Arial" w:hAnsi="Arial" w:cs="Arial"/>
          <w:b/>
          <w:sz w:val="22"/>
          <w:szCs w:val="22"/>
        </w:rPr>
      </w:pPr>
      <w:r w:rsidRPr="00FA0A9B">
        <w:rPr>
          <w:rFonts w:ascii="Arial" w:hAnsi="Arial" w:cs="Arial"/>
          <w:b/>
          <w:sz w:val="22"/>
          <w:szCs w:val="22"/>
        </w:rPr>
        <w:t>Additional amendments to the Rules</w:t>
      </w:r>
    </w:p>
    <w:p w:rsidR="00122342" w:rsidRPr="00FA0A9B" w:rsidRDefault="00122342" w:rsidP="00122342">
      <w:pPr>
        <w:jc w:val="both"/>
        <w:rPr>
          <w:rFonts w:ascii="Arial" w:hAnsi="Arial" w:cs="Arial"/>
          <w:sz w:val="22"/>
          <w:szCs w:val="22"/>
        </w:rPr>
      </w:pPr>
      <w:r w:rsidRPr="00FA0A9B">
        <w:rPr>
          <w:rFonts w:ascii="Arial" w:hAnsi="Arial" w:cs="Arial"/>
          <w:sz w:val="22"/>
          <w:szCs w:val="22"/>
        </w:rPr>
        <w:t>The Court has taken the opportunity to update and clarify the following additional provisions in the Rules:</w:t>
      </w:r>
    </w:p>
    <w:p w:rsidR="00122342" w:rsidRPr="00FA0A9B" w:rsidRDefault="00122342" w:rsidP="00122342">
      <w:pPr>
        <w:jc w:val="both"/>
        <w:rPr>
          <w:rFonts w:ascii="Arial" w:hAnsi="Arial" w:cs="Arial"/>
          <w:sz w:val="22"/>
          <w:szCs w:val="22"/>
        </w:rPr>
      </w:pPr>
    </w:p>
    <w:p w:rsidR="00122342" w:rsidRPr="00FA0A9B" w:rsidRDefault="00122342" w:rsidP="00122342">
      <w:pPr>
        <w:jc w:val="both"/>
        <w:rPr>
          <w:rFonts w:ascii="Arial" w:hAnsi="Arial" w:cs="Arial"/>
          <w:i/>
          <w:sz w:val="22"/>
          <w:szCs w:val="22"/>
        </w:rPr>
      </w:pPr>
      <w:r w:rsidRPr="00FA0A9B">
        <w:rPr>
          <w:rFonts w:ascii="Arial" w:hAnsi="Arial" w:cs="Arial"/>
          <w:i/>
          <w:sz w:val="22"/>
          <w:szCs w:val="22"/>
        </w:rPr>
        <w:t>Part 27 – Writ of Summons</w:t>
      </w:r>
    </w:p>
    <w:p w:rsidR="00122342" w:rsidRPr="00FA0A9B" w:rsidRDefault="00122342" w:rsidP="00122342">
      <w:pPr>
        <w:jc w:val="both"/>
        <w:rPr>
          <w:rFonts w:ascii="Arial" w:hAnsi="Arial" w:cs="Arial"/>
          <w:sz w:val="22"/>
          <w:szCs w:val="22"/>
        </w:rPr>
      </w:pPr>
      <w:r w:rsidRPr="00FA0A9B">
        <w:rPr>
          <w:rFonts w:ascii="Arial" w:hAnsi="Arial" w:cs="Arial"/>
          <w:sz w:val="22"/>
          <w:szCs w:val="22"/>
        </w:rPr>
        <w:t>Rule 27.08.1 has been amended to provide that the referral to the Full Court of the parties’ agreed special case is “by leave of the Court or a Justice”.</w:t>
      </w:r>
    </w:p>
    <w:p w:rsidR="00122342" w:rsidRPr="00FA0A9B" w:rsidRDefault="00122342" w:rsidP="00122342">
      <w:pPr>
        <w:jc w:val="both"/>
        <w:rPr>
          <w:rFonts w:ascii="Arial" w:hAnsi="Arial" w:cs="Arial"/>
          <w:sz w:val="22"/>
          <w:szCs w:val="22"/>
          <w:highlight w:val="yellow"/>
        </w:rPr>
      </w:pPr>
    </w:p>
    <w:p w:rsidR="00122342" w:rsidRPr="00FA0A9B" w:rsidRDefault="00122342" w:rsidP="00122342">
      <w:pPr>
        <w:jc w:val="both"/>
        <w:rPr>
          <w:rFonts w:ascii="Arial" w:hAnsi="Arial" w:cs="Arial"/>
          <w:i/>
          <w:sz w:val="22"/>
          <w:szCs w:val="22"/>
        </w:rPr>
      </w:pPr>
      <w:r w:rsidRPr="00FA0A9B">
        <w:rPr>
          <w:rFonts w:ascii="Arial" w:hAnsi="Arial" w:cs="Arial"/>
          <w:i/>
          <w:sz w:val="22"/>
          <w:szCs w:val="22"/>
        </w:rPr>
        <w:t>Part 28 – Summary dismissal and other orders</w:t>
      </w:r>
    </w:p>
    <w:p w:rsidR="00122342" w:rsidRPr="00FA0A9B" w:rsidRDefault="00122342" w:rsidP="00122342">
      <w:pPr>
        <w:jc w:val="both"/>
        <w:rPr>
          <w:rFonts w:ascii="Arial" w:hAnsi="Arial" w:cs="Arial"/>
          <w:sz w:val="22"/>
          <w:szCs w:val="22"/>
        </w:rPr>
      </w:pPr>
      <w:r w:rsidRPr="00FA0A9B">
        <w:rPr>
          <w:rFonts w:ascii="Arial" w:hAnsi="Arial" w:cs="Arial"/>
          <w:sz w:val="22"/>
          <w:szCs w:val="22"/>
        </w:rPr>
        <w:t>This new part relates to all proceedings filed in the Court’s original jurisdiction.</w:t>
      </w:r>
    </w:p>
    <w:p w:rsidR="00122342" w:rsidRPr="00FA0A9B" w:rsidRDefault="00122342" w:rsidP="00122342">
      <w:pPr>
        <w:jc w:val="both"/>
        <w:rPr>
          <w:rFonts w:ascii="Arial" w:hAnsi="Arial" w:cs="Arial"/>
          <w:sz w:val="22"/>
          <w:szCs w:val="22"/>
        </w:rPr>
      </w:pPr>
      <w:r w:rsidRPr="00FA0A9B">
        <w:rPr>
          <w:rFonts w:ascii="Arial" w:hAnsi="Arial" w:cs="Arial"/>
          <w:sz w:val="22"/>
          <w:szCs w:val="22"/>
        </w:rPr>
        <w:t xml:space="preserve"> </w:t>
      </w:r>
    </w:p>
    <w:p w:rsidR="00122342" w:rsidRPr="00FA0A9B" w:rsidRDefault="00122342" w:rsidP="00122342">
      <w:pPr>
        <w:jc w:val="both"/>
        <w:rPr>
          <w:rFonts w:ascii="Arial" w:hAnsi="Arial" w:cs="Arial"/>
          <w:sz w:val="22"/>
          <w:szCs w:val="22"/>
        </w:rPr>
      </w:pPr>
      <w:r w:rsidRPr="00FA0A9B">
        <w:rPr>
          <w:rFonts w:ascii="Arial" w:hAnsi="Arial" w:cs="Arial"/>
          <w:sz w:val="22"/>
          <w:szCs w:val="22"/>
        </w:rPr>
        <w:t>Rule 28.01.1 provides that where a proceeding is not prosecuted with due diligence the Court or a Justice may make orders including dismissing a proceeding or fixing a time for the doing of an act in the proceeding.</w:t>
      </w:r>
    </w:p>
    <w:p w:rsidR="00122342" w:rsidRPr="00FA0A9B" w:rsidRDefault="00122342" w:rsidP="00122342">
      <w:pPr>
        <w:jc w:val="both"/>
        <w:rPr>
          <w:rFonts w:ascii="Arial" w:hAnsi="Arial" w:cs="Arial"/>
          <w:sz w:val="22"/>
          <w:szCs w:val="22"/>
          <w:highlight w:val="yellow"/>
        </w:rPr>
      </w:pPr>
      <w:r w:rsidRPr="00FA0A9B">
        <w:rPr>
          <w:rFonts w:ascii="Arial" w:hAnsi="Arial" w:cs="Arial"/>
          <w:sz w:val="22"/>
          <w:szCs w:val="22"/>
          <w:highlight w:val="yellow"/>
        </w:rPr>
        <w:t xml:space="preserve"> </w:t>
      </w:r>
    </w:p>
    <w:p w:rsidR="00122342" w:rsidRPr="00FA0A9B" w:rsidRDefault="00122342" w:rsidP="00122342">
      <w:pPr>
        <w:jc w:val="both"/>
        <w:rPr>
          <w:rFonts w:ascii="Arial" w:hAnsi="Arial" w:cs="Arial"/>
          <w:sz w:val="22"/>
          <w:szCs w:val="22"/>
        </w:rPr>
      </w:pPr>
      <w:r w:rsidRPr="00FA0A9B">
        <w:rPr>
          <w:rFonts w:ascii="Arial" w:hAnsi="Arial" w:cs="Arial"/>
          <w:sz w:val="22"/>
          <w:szCs w:val="22"/>
        </w:rPr>
        <w:t>If a proceeding or claim does not disclose a cause of action, is scandalous, frivolous or vexatious, is an abuse of process, or has no reasonable prospect of success the Court or a Justice may stay the proceeding or give judgment in the proceeding (Rule 28.01.2).</w:t>
      </w:r>
    </w:p>
    <w:p w:rsidR="00122342" w:rsidRPr="00FA0A9B" w:rsidRDefault="00122342" w:rsidP="00122342">
      <w:pPr>
        <w:jc w:val="both"/>
        <w:rPr>
          <w:rFonts w:ascii="Arial" w:hAnsi="Arial" w:cs="Arial"/>
          <w:sz w:val="22"/>
          <w:szCs w:val="22"/>
        </w:rPr>
      </w:pPr>
    </w:p>
    <w:p w:rsidR="00122342" w:rsidRPr="00FA0A9B" w:rsidRDefault="00122342" w:rsidP="00122342">
      <w:pPr>
        <w:jc w:val="both"/>
        <w:rPr>
          <w:rFonts w:ascii="Arial" w:hAnsi="Arial" w:cs="Arial"/>
          <w:sz w:val="22"/>
          <w:szCs w:val="22"/>
        </w:rPr>
      </w:pPr>
      <w:r w:rsidRPr="00FA0A9B">
        <w:rPr>
          <w:rFonts w:ascii="Arial" w:hAnsi="Arial" w:cs="Arial"/>
          <w:sz w:val="22"/>
          <w:szCs w:val="22"/>
        </w:rPr>
        <w:t>In both instances the Court or a Justice may make an order on the application of a party or of the Court’s or the Justice’s own motion (Rule 28.01.3).</w:t>
      </w:r>
    </w:p>
    <w:p w:rsidR="00122342" w:rsidRDefault="00122342" w:rsidP="00122342">
      <w:pPr>
        <w:jc w:val="both"/>
        <w:rPr>
          <w:rFonts w:ascii="Arial" w:hAnsi="Arial" w:cs="Arial"/>
          <w:szCs w:val="22"/>
        </w:rPr>
      </w:pPr>
    </w:p>
    <w:p w:rsidR="004C056A" w:rsidRPr="00F61CE6" w:rsidRDefault="004C056A" w:rsidP="00937E87">
      <w:pPr>
        <w:jc w:val="both"/>
        <w:rPr>
          <w:rFonts w:ascii="Arial" w:hAnsi="Arial" w:cs="Arial"/>
          <w:b/>
        </w:rPr>
      </w:pPr>
      <w:r w:rsidRPr="00F61CE6">
        <w:rPr>
          <w:rFonts w:ascii="Arial" w:hAnsi="Arial" w:cs="Arial"/>
          <w:b/>
        </w:rPr>
        <w:t>Commencement</w:t>
      </w:r>
    </w:p>
    <w:p w:rsidR="004C056A" w:rsidRDefault="004C056A" w:rsidP="00937E87">
      <w:pPr>
        <w:jc w:val="both"/>
        <w:rPr>
          <w:rFonts w:ascii="Arial" w:hAnsi="Arial" w:cs="Arial"/>
        </w:rPr>
      </w:pPr>
      <w:r w:rsidRPr="00122342">
        <w:rPr>
          <w:rFonts w:ascii="Arial" w:hAnsi="Arial" w:cs="Arial"/>
        </w:rPr>
        <w:t xml:space="preserve">The </w:t>
      </w:r>
      <w:r w:rsidR="00E429CD" w:rsidRPr="00122342">
        <w:rPr>
          <w:rFonts w:ascii="Arial" w:hAnsi="Arial" w:cs="Arial"/>
        </w:rPr>
        <w:t xml:space="preserve">amendment </w:t>
      </w:r>
      <w:r w:rsidRPr="00122342">
        <w:rPr>
          <w:rFonts w:ascii="Arial" w:hAnsi="Arial" w:cs="Arial"/>
        </w:rPr>
        <w:t xml:space="preserve">provisions commence on </w:t>
      </w:r>
      <w:r w:rsidR="00B148E5" w:rsidRPr="00122342">
        <w:rPr>
          <w:rFonts w:ascii="Arial" w:hAnsi="Arial" w:cs="Arial"/>
        </w:rPr>
        <w:t xml:space="preserve">1 </w:t>
      </w:r>
      <w:r w:rsidR="00122342" w:rsidRPr="00122342">
        <w:rPr>
          <w:rFonts w:ascii="Arial" w:hAnsi="Arial" w:cs="Arial"/>
        </w:rPr>
        <w:t xml:space="preserve">November </w:t>
      </w:r>
      <w:r w:rsidR="00DF26E6" w:rsidRPr="00122342">
        <w:rPr>
          <w:rFonts w:ascii="Arial" w:hAnsi="Arial" w:cs="Arial"/>
        </w:rPr>
        <w:t>2018.</w:t>
      </w:r>
    </w:p>
    <w:p w:rsidR="001D6195" w:rsidRPr="006C3CE7" w:rsidRDefault="001D6195" w:rsidP="00937E87">
      <w:pPr>
        <w:jc w:val="both"/>
        <w:rPr>
          <w:rFonts w:ascii="Arial" w:hAnsi="Arial" w:cs="Arial"/>
        </w:rPr>
      </w:pPr>
    </w:p>
    <w:p w:rsidR="00704AC5" w:rsidRPr="00F61CE6" w:rsidRDefault="00B05A9E" w:rsidP="00937E87">
      <w:pPr>
        <w:jc w:val="both"/>
        <w:rPr>
          <w:rFonts w:ascii="Arial" w:hAnsi="Arial" w:cs="Arial"/>
          <w:b/>
        </w:rPr>
      </w:pPr>
      <w:r w:rsidRPr="00F61CE6">
        <w:rPr>
          <w:rFonts w:ascii="Arial" w:hAnsi="Arial" w:cs="Arial"/>
          <w:b/>
        </w:rPr>
        <w:t>Consultation</w:t>
      </w:r>
    </w:p>
    <w:p w:rsidR="006441E7" w:rsidRPr="0012618D" w:rsidRDefault="006441E7" w:rsidP="00937E87">
      <w:pPr>
        <w:jc w:val="both"/>
        <w:rPr>
          <w:rFonts w:ascii="Arial" w:hAnsi="Arial" w:cs="Arial"/>
        </w:rPr>
      </w:pPr>
      <w:r w:rsidRPr="0012618D">
        <w:rPr>
          <w:rFonts w:ascii="Arial" w:hAnsi="Arial" w:cs="Arial"/>
        </w:rPr>
        <w:t>Consultations on the changes have taken place with relevant professional organisations</w:t>
      </w:r>
      <w:r w:rsidR="00B05A9E">
        <w:rPr>
          <w:rFonts w:ascii="Arial" w:hAnsi="Arial" w:cs="Arial"/>
        </w:rPr>
        <w:t xml:space="preserve"> and the Special Co</w:t>
      </w:r>
      <w:r w:rsidR="004C056A">
        <w:rPr>
          <w:rFonts w:ascii="Arial" w:hAnsi="Arial" w:cs="Arial"/>
        </w:rPr>
        <w:t xml:space="preserve">mmittee </w:t>
      </w:r>
      <w:r w:rsidR="00B05A9E">
        <w:rPr>
          <w:rFonts w:ascii="Arial" w:hAnsi="Arial" w:cs="Arial"/>
        </w:rPr>
        <w:t>of Solicitors-General</w:t>
      </w:r>
      <w:r w:rsidR="00C20E29" w:rsidRPr="006F7655">
        <w:rPr>
          <w:rFonts w:ascii="Arial" w:hAnsi="Arial" w:cs="Arial"/>
        </w:rPr>
        <w:t>.</w:t>
      </w:r>
    </w:p>
    <w:p w:rsidR="00FE7BB8" w:rsidRDefault="00FE7BB8" w:rsidP="00937E87">
      <w:pPr>
        <w:jc w:val="both"/>
        <w:rPr>
          <w:rFonts w:ascii="Arial" w:hAnsi="Arial" w:cs="Arial"/>
        </w:rPr>
      </w:pPr>
    </w:p>
    <w:p w:rsidR="00C20E29" w:rsidRPr="00F61CE6" w:rsidRDefault="00C20E29" w:rsidP="00937E87">
      <w:pPr>
        <w:jc w:val="both"/>
        <w:rPr>
          <w:rFonts w:ascii="Arial" w:hAnsi="Arial" w:cs="Arial"/>
          <w:b/>
        </w:rPr>
      </w:pPr>
      <w:r w:rsidRPr="00F61CE6">
        <w:rPr>
          <w:rFonts w:ascii="Arial" w:hAnsi="Arial" w:cs="Arial"/>
          <w:b/>
        </w:rPr>
        <w:t>Statement of Comp</w:t>
      </w:r>
      <w:r w:rsidR="008B14BA" w:rsidRPr="00F61CE6">
        <w:rPr>
          <w:rFonts w:ascii="Arial" w:hAnsi="Arial" w:cs="Arial"/>
          <w:b/>
        </w:rPr>
        <w:t>ati</w:t>
      </w:r>
      <w:r w:rsidRPr="00F61CE6">
        <w:rPr>
          <w:rFonts w:ascii="Arial" w:hAnsi="Arial" w:cs="Arial"/>
          <w:b/>
        </w:rPr>
        <w:t>bility</w:t>
      </w:r>
    </w:p>
    <w:p w:rsidR="000E3197" w:rsidRPr="000E3197" w:rsidRDefault="000E3197" w:rsidP="00937E87">
      <w:pPr>
        <w:jc w:val="both"/>
        <w:rPr>
          <w:rFonts w:ascii="Arial" w:hAnsi="Arial" w:cs="Arial"/>
        </w:rPr>
      </w:pPr>
      <w:r w:rsidRPr="000E3197">
        <w:rPr>
          <w:rFonts w:ascii="Arial" w:hAnsi="Arial" w:cs="Arial"/>
        </w:rPr>
        <w:t xml:space="preserve">Rules of court are not legislative instruments (see paragraph 8(8)(d) of the </w:t>
      </w:r>
      <w:r w:rsidRPr="000E3197">
        <w:rPr>
          <w:rFonts w:ascii="Arial" w:hAnsi="Arial" w:cs="Arial"/>
          <w:i/>
        </w:rPr>
        <w:t>Legislation Act</w:t>
      </w:r>
      <w:r w:rsidRPr="000E3197">
        <w:rPr>
          <w:rFonts w:ascii="Arial" w:hAnsi="Arial" w:cs="Arial"/>
        </w:rPr>
        <w:t xml:space="preserve"> 2003). Accordingly, section 9 of the </w:t>
      </w:r>
      <w:r w:rsidRPr="000E3197">
        <w:rPr>
          <w:rFonts w:ascii="Arial" w:hAnsi="Arial" w:cs="Arial"/>
          <w:i/>
        </w:rPr>
        <w:t>Human Rights (Parliamentary Scrutiny) Act</w:t>
      </w:r>
      <w:r w:rsidRPr="000E3197">
        <w:rPr>
          <w:rFonts w:ascii="Arial" w:hAnsi="Arial" w:cs="Arial"/>
        </w:rPr>
        <w:t xml:space="preserve"> 2011 does not require a statement of compatibility to be prepared in respect of rules of court made by the High Court, and no statement of compatibility for the purposes of that latter Act is included in the Explanatory Statement.</w:t>
      </w:r>
    </w:p>
    <w:p w:rsidR="000E3197" w:rsidRPr="0012618D" w:rsidRDefault="000E3197" w:rsidP="00FE7BB8">
      <w:pPr>
        <w:jc w:val="both"/>
        <w:rPr>
          <w:rFonts w:ascii="Arial" w:hAnsi="Arial" w:cs="Arial"/>
        </w:rPr>
      </w:pPr>
    </w:p>
    <w:sectPr w:rsidR="000E3197" w:rsidRPr="0012618D" w:rsidSect="00B47452">
      <w:headerReference w:type="even" r:id="rId8"/>
      <w:headerReference w:type="default" r:id="rId9"/>
      <w:footerReference w:type="even" r:id="rId10"/>
      <w:footerReference w:type="default" r:id="rId11"/>
      <w:headerReference w:type="first" r:id="rId12"/>
      <w:footerReference w:type="first" r:id="rId13"/>
      <w:pgSz w:w="11909" w:h="16834" w:code="9"/>
      <w:pgMar w:top="1440" w:right="1800" w:bottom="1418" w:left="180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E6" w:rsidRDefault="00DF26E6">
      <w:r>
        <w:separator/>
      </w:r>
    </w:p>
  </w:endnote>
  <w:endnote w:type="continuationSeparator" w:id="0">
    <w:p w:rsidR="00DF26E6" w:rsidRDefault="00DF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27" w:rsidRDefault="004542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27" w:rsidRDefault="004542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27" w:rsidRDefault="004542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E6" w:rsidRDefault="00DF26E6">
      <w:r>
        <w:continuationSeparator/>
      </w:r>
    </w:p>
  </w:footnote>
  <w:footnote w:type="continuationSeparator" w:id="0">
    <w:p w:rsidR="00DF26E6" w:rsidRDefault="00DF26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E6" w:rsidRDefault="00DF26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DF26E6" w:rsidRDefault="00DF26E6">
    <w:pPr>
      <w:pStyle w:val="Header"/>
      <w:rPr>
        <w:sz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E6" w:rsidRDefault="00DF26E6">
    <w:pPr>
      <w:pStyle w:val="Header"/>
      <w:pBdr>
        <w:bottom w:val="single" w:sz="4" w:space="1" w:color="auto"/>
      </w:pBdr>
      <w:tabs>
        <w:tab w:val="right" w:pos="3969"/>
        <w:tab w:val="right" w:pos="8222"/>
      </w:tabs>
      <w:jc w:val="left"/>
      <w:rPr>
        <w:rFonts w:ascii="Arial" w:hAnsi="Arial"/>
        <w:smallCaps/>
        <w:sz w:val="18"/>
      </w:rPr>
    </w:pPr>
    <w:r>
      <w:rPr>
        <w:rFonts w:ascii="Arial" w:hAnsi="Arial"/>
      </w:rPr>
      <w:object w:dxaOrig="747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3.25pt" fillcolor="window">
          <v:imagedata r:id="rId1" o:title=""/>
        </v:shape>
        <o:OLEObject Type="Embed" ProgID="PBrush" ShapeID="_x0000_i1025" DrawAspect="Content" ObjectID="_1601118742" r:id="rId2"/>
      </w:object>
    </w:r>
    <w:r>
      <w:rPr>
        <w:rFonts w:ascii="Arial" w:hAnsi="Arial"/>
        <w:smallCaps/>
      </w:rPr>
      <w:t xml:space="preserve"> </w:t>
    </w:r>
    <w:r>
      <w:rPr>
        <w:rFonts w:ascii="Arial" w:hAnsi="Arial"/>
        <w:smallCaps/>
        <w:sz w:val="18"/>
      </w:rPr>
      <w:t>High Court of Australia</w:t>
    </w:r>
    <w:r>
      <w:rPr>
        <w:rFonts w:ascii="Arial" w:hAnsi="Arial"/>
        <w:smallCaps/>
        <w:sz w:val="18"/>
      </w:rPr>
      <w:tab/>
    </w:r>
    <w:r>
      <w:rPr>
        <w:rFonts w:ascii="Arial" w:hAnsi="Arial"/>
        <w:smallCaps/>
        <w:sz w:val="18"/>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AF5B98">
      <w:rPr>
        <w:rStyle w:val="PageNumber"/>
        <w:rFonts w:ascii="Arial" w:hAnsi="Arial"/>
        <w:noProof/>
        <w:sz w:val="18"/>
      </w:rPr>
      <w:t>2</w:t>
    </w:r>
    <w:r>
      <w:rPr>
        <w:rStyle w:val="PageNumber"/>
        <w:rFonts w:ascii="Arial" w:hAnsi="Arial"/>
        <w:sz w:val="1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E6" w:rsidRDefault="00DF26E6">
    <w:pPr>
      <w:jc w:val="center"/>
    </w:pPr>
    <w:r>
      <w:object w:dxaOrig="7470" w:dyaOrig="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54.75pt">
          <v:imagedata r:id="rId1" o:title=""/>
        </v:shape>
        <o:OLEObject Type="Embed" ProgID="PBrush" ShapeID="_x0000_i1026" DrawAspect="Content" ObjectID="_1601118743" r:id="rId2"/>
      </w:object>
    </w:r>
  </w:p>
  <w:p w:rsidR="00DF26E6" w:rsidRDefault="00DF26E6">
    <w:pPr>
      <w:spacing w:before="200" w:after="200"/>
      <w:jc w:val="center"/>
      <w:rPr>
        <w:rFonts w:ascii="Arial" w:hAnsi="Arial"/>
        <w:spacing w:val="40"/>
        <w:sz w:val="28"/>
      </w:rPr>
    </w:pPr>
    <w:r>
      <w:rPr>
        <w:rFonts w:ascii="Arial" w:hAnsi="Arial"/>
        <w:spacing w:val="40"/>
        <w:sz w:val="28"/>
      </w:rPr>
      <w:t>HIGH COURT OF AUSTRALIA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1540"/>
    <w:multiLevelType w:val="hybridMultilevel"/>
    <w:tmpl w:val="80B65068"/>
    <w:lvl w:ilvl="0" w:tplc="9692C746">
      <w:start w:val="1"/>
      <w:numFmt w:val="decimal"/>
      <w:lvlText w:val="%1)"/>
      <w:lvlJc w:val="left"/>
      <w:pPr>
        <w:ind w:left="900" w:hanging="840"/>
      </w:pPr>
    </w:lvl>
    <w:lvl w:ilvl="1" w:tplc="0C090019">
      <w:start w:val="1"/>
      <w:numFmt w:val="lowerLetter"/>
      <w:lvlText w:val="%2."/>
      <w:lvlJc w:val="left"/>
      <w:pPr>
        <w:ind w:left="1140" w:hanging="360"/>
      </w:pPr>
    </w:lvl>
    <w:lvl w:ilvl="2" w:tplc="0C09001B">
      <w:start w:val="1"/>
      <w:numFmt w:val="lowerRoman"/>
      <w:lvlText w:val="%3."/>
      <w:lvlJc w:val="right"/>
      <w:pPr>
        <w:ind w:left="1860" w:hanging="180"/>
      </w:pPr>
    </w:lvl>
    <w:lvl w:ilvl="3" w:tplc="0C09000F">
      <w:start w:val="1"/>
      <w:numFmt w:val="decimal"/>
      <w:lvlText w:val="%4."/>
      <w:lvlJc w:val="left"/>
      <w:pPr>
        <w:ind w:left="2580" w:hanging="360"/>
      </w:pPr>
    </w:lvl>
    <w:lvl w:ilvl="4" w:tplc="0C090019">
      <w:start w:val="1"/>
      <w:numFmt w:val="lowerLetter"/>
      <w:lvlText w:val="%5."/>
      <w:lvlJc w:val="left"/>
      <w:pPr>
        <w:ind w:left="3300" w:hanging="360"/>
      </w:pPr>
    </w:lvl>
    <w:lvl w:ilvl="5" w:tplc="0C09001B">
      <w:start w:val="1"/>
      <w:numFmt w:val="lowerRoman"/>
      <w:lvlText w:val="%6."/>
      <w:lvlJc w:val="right"/>
      <w:pPr>
        <w:ind w:left="4020" w:hanging="180"/>
      </w:pPr>
    </w:lvl>
    <w:lvl w:ilvl="6" w:tplc="0C09000F">
      <w:start w:val="1"/>
      <w:numFmt w:val="decimal"/>
      <w:lvlText w:val="%7."/>
      <w:lvlJc w:val="left"/>
      <w:pPr>
        <w:ind w:left="4740" w:hanging="360"/>
      </w:pPr>
    </w:lvl>
    <w:lvl w:ilvl="7" w:tplc="0C090019">
      <w:start w:val="1"/>
      <w:numFmt w:val="lowerLetter"/>
      <w:lvlText w:val="%8."/>
      <w:lvlJc w:val="left"/>
      <w:pPr>
        <w:ind w:left="5460" w:hanging="360"/>
      </w:pPr>
    </w:lvl>
    <w:lvl w:ilvl="8" w:tplc="0C09001B">
      <w:start w:val="1"/>
      <w:numFmt w:val="lowerRoman"/>
      <w:lvlText w:val="%9."/>
      <w:lvlJc w:val="right"/>
      <w:pPr>
        <w:ind w:left="6180" w:hanging="180"/>
      </w:pPr>
    </w:lvl>
  </w:abstractNum>
  <w:abstractNum w:abstractNumId="1" w15:restartNumberingAfterBreak="0">
    <w:nsid w:val="4DAE547C"/>
    <w:multiLevelType w:val="hybridMultilevel"/>
    <w:tmpl w:val="A8C89B6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053027"/>
    <w:multiLevelType w:val="hybridMultilevel"/>
    <w:tmpl w:val="F78C6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4307955"/>
    <w:multiLevelType w:val="hybridMultilevel"/>
    <w:tmpl w:val="82161DD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72FC6F4E"/>
    <w:multiLevelType w:val="hybridMultilevel"/>
    <w:tmpl w:val="98EC3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9444A1"/>
    <w:multiLevelType w:val="hybridMultilevel"/>
    <w:tmpl w:val="19BA7E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974C67"/>
    <w:multiLevelType w:val="hybridMultilevel"/>
    <w:tmpl w:val="80B65068"/>
    <w:lvl w:ilvl="0" w:tplc="9692C746">
      <w:start w:val="1"/>
      <w:numFmt w:val="decimal"/>
      <w:lvlText w:val="%1)"/>
      <w:lvlJc w:val="left"/>
      <w:pPr>
        <w:ind w:left="900" w:hanging="840"/>
      </w:pPr>
    </w:lvl>
    <w:lvl w:ilvl="1" w:tplc="0C090019">
      <w:start w:val="1"/>
      <w:numFmt w:val="lowerLetter"/>
      <w:lvlText w:val="%2."/>
      <w:lvlJc w:val="left"/>
      <w:pPr>
        <w:ind w:left="1140" w:hanging="360"/>
      </w:pPr>
    </w:lvl>
    <w:lvl w:ilvl="2" w:tplc="0C09001B">
      <w:start w:val="1"/>
      <w:numFmt w:val="lowerRoman"/>
      <w:lvlText w:val="%3."/>
      <w:lvlJc w:val="right"/>
      <w:pPr>
        <w:ind w:left="1860" w:hanging="180"/>
      </w:pPr>
    </w:lvl>
    <w:lvl w:ilvl="3" w:tplc="0C09000F">
      <w:start w:val="1"/>
      <w:numFmt w:val="decimal"/>
      <w:lvlText w:val="%4."/>
      <w:lvlJc w:val="left"/>
      <w:pPr>
        <w:ind w:left="2580" w:hanging="360"/>
      </w:pPr>
    </w:lvl>
    <w:lvl w:ilvl="4" w:tplc="0C090019">
      <w:start w:val="1"/>
      <w:numFmt w:val="lowerLetter"/>
      <w:lvlText w:val="%5."/>
      <w:lvlJc w:val="left"/>
      <w:pPr>
        <w:ind w:left="3300" w:hanging="360"/>
      </w:pPr>
    </w:lvl>
    <w:lvl w:ilvl="5" w:tplc="0C09001B">
      <w:start w:val="1"/>
      <w:numFmt w:val="lowerRoman"/>
      <w:lvlText w:val="%6."/>
      <w:lvlJc w:val="right"/>
      <w:pPr>
        <w:ind w:left="4020" w:hanging="180"/>
      </w:pPr>
    </w:lvl>
    <w:lvl w:ilvl="6" w:tplc="0C09000F">
      <w:start w:val="1"/>
      <w:numFmt w:val="decimal"/>
      <w:lvlText w:val="%7."/>
      <w:lvlJc w:val="left"/>
      <w:pPr>
        <w:ind w:left="4740" w:hanging="360"/>
      </w:pPr>
    </w:lvl>
    <w:lvl w:ilvl="7" w:tplc="0C090019">
      <w:start w:val="1"/>
      <w:numFmt w:val="lowerLetter"/>
      <w:lvlText w:val="%8."/>
      <w:lvlJc w:val="left"/>
      <w:pPr>
        <w:ind w:left="5460" w:hanging="360"/>
      </w:pPr>
    </w:lvl>
    <w:lvl w:ilvl="8" w:tplc="0C09001B">
      <w:start w:val="1"/>
      <w:numFmt w:val="lowerRoman"/>
      <w:lvlText w:val="%9."/>
      <w:lvlJc w:val="right"/>
      <w:pPr>
        <w:ind w:left="6180" w:hanging="180"/>
      </w:pPr>
    </w:lvl>
  </w:abstractNum>
  <w:abstractNum w:abstractNumId="7" w15:restartNumberingAfterBreak="0">
    <w:nsid w:val="7F510B24"/>
    <w:multiLevelType w:val="hybridMultilevel"/>
    <w:tmpl w:val="80B65068"/>
    <w:lvl w:ilvl="0" w:tplc="9692C746">
      <w:start w:val="1"/>
      <w:numFmt w:val="decimal"/>
      <w:lvlText w:val="%1)"/>
      <w:lvlJc w:val="left"/>
      <w:pPr>
        <w:ind w:left="900" w:hanging="840"/>
      </w:pPr>
    </w:lvl>
    <w:lvl w:ilvl="1" w:tplc="0C090019">
      <w:start w:val="1"/>
      <w:numFmt w:val="lowerLetter"/>
      <w:lvlText w:val="%2."/>
      <w:lvlJc w:val="left"/>
      <w:pPr>
        <w:ind w:left="1140" w:hanging="360"/>
      </w:pPr>
    </w:lvl>
    <w:lvl w:ilvl="2" w:tplc="0C09001B">
      <w:start w:val="1"/>
      <w:numFmt w:val="lowerRoman"/>
      <w:lvlText w:val="%3."/>
      <w:lvlJc w:val="right"/>
      <w:pPr>
        <w:ind w:left="1860" w:hanging="180"/>
      </w:pPr>
    </w:lvl>
    <w:lvl w:ilvl="3" w:tplc="0C09000F">
      <w:start w:val="1"/>
      <w:numFmt w:val="decimal"/>
      <w:lvlText w:val="%4."/>
      <w:lvlJc w:val="left"/>
      <w:pPr>
        <w:ind w:left="2580" w:hanging="360"/>
      </w:pPr>
    </w:lvl>
    <w:lvl w:ilvl="4" w:tplc="0C090019">
      <w:start w:val="1"/>
      <w:numFmt w:val="lowerLetter"/>
      <w:lvlText w:val="%5."/>
      <w:lvlJc w:val="left"/>
      <w:pPr>
        <w:ind w:left="3300" w:hanging="360"/>
      </w:pPr>
    </w:lvl>
    <w:lvl w:ilvl="5" w:tplc="0C09001B">
      <w:start w:val="1"/>
      <w:numFmt w:val="lowerRoman"/>
      <w:lvlText w:val="%6."/>
      <w:lvlJc w:val="right"/>
      <w:pPr>
        <w:ind w:left="4020" w:hanging="180"/>
      </w:pPr>
    </w:lvl>
    <w:lvl w:ilvl="6" w:tplc="0C09000F">
      <w:start w:val="1"/>
      <w:numFmt w:val="decimal"/>
      <w:lvlText w:val="%7."/>
      <w:lvlJc w:val="left"/>
      <w:pPr>
        <w:ind w:left="4740" w:hanging="360"/>
      </w:pPr>
    </w:lvl>
    <w:lvl w:ilvl="7" w:tplc="0C090019">
      <w:start w:val="1"/>
      <w:numFmt w:val="lowerLetter"/>
      <w:lvlText w:val="%8."/>
      <w:lvlJc w:val="left"/>
      <w:pPr>
        <w:ind w:left="5460" w:hanging="360"/>
      </w:pPr>
    </w:lvl>
    <w:lvl w:ilvl="8" w:tplc="0C09001B">
      <w:start w:val="1"/>
      <w:numFmt w:val="lowerRoman"/>
      <w:lvlText w:val="%9."/>
      <w:lvlJc w:val="right"/>
      <w:pPr>
        <w:ind w:left="6180" w:hanging="180"/>
      </w:pPr>
    </w:lvl>
  </w:abstractNum>
  <w:num w:numId="1">
    <w:abstractNumId w:val="3"/>
  </w:num>
  <w:num w:numId="2">
    <w:abstractNumId w:val="1"/>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isplayHorizontalDrawingGridEvery w:val="0"/>
  <w:displayVerticalDrawingGridEvery w:val="0"/>
  <w:doNotUseMarginsForDrawingGridOrigin/>
  <w:noPunctuationKerning/>
  <w:characterSpacingControl w:val="doNotCompress"/>
  <w:hdrShapeDefaults>
    <o:shapedefaults v:ext="edit" spidmax="542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90"/>
    <w:rsid w:val="0000772F"/>
    <w:rsid w:val="000147F1"/>
    <w:rsid w:val="00015D36"/>
    <w:rsid w:val="0002419A"/>
    <w:rsid w:val="00027AC3"/>
    <w:rsid w:val="00040EC3"/>
    <w:rsid w:val="00047ADB"/>
    <w:rsid w:val="00054C03"/>
    <w:rsid w:val="0006610F"/>
    <w:rsid w:val="000810B9"/>
    <w:rsid w:val="000C621D"/>
    <w:rsid w:val="000D7ED9"/>
    <w:rsid w:val="000E3197"/>
    <w:rsid w:val="000F333B"/>
    <w:rsid w:val="001162D0"/>
    <w:rsid w:val="00122342"/>
    <w:rsid w:val="0012618D"/>
    <w:rsid w:val="00134D19"/>
    <w:rsid w:val="001351C4"/>
    <w:rsid w:val="0016015E"/>
    <w:rsid w:val="00165D8A"/>
    <w:rsid w:val="001670FA"/>
    <w:rsid w:val="00176692"/>
    <w:rsid w:val="00197E2B"/>
    <w:rsid w:val="001A6453"/>
    <w:rsid w:val="001A7161"/>
    <w:rsid w:val="001B14EF"/>
    <w:rsid w:val="001C3784"/>
    <w:rsid w:val="001C496F"/>
    <w:rsid w:val="001D1A37"/>
    <w:rsid w:val="001D6195"/>
    <w:rsid w:val="00205BED"/>
    <w:rsid w:val="00210007"/>
    <w:rsid w:val="00227494"/>
    <w:rsid w:val="00234881"/>
    <w:rsid w:val="00240819"/>
    <w:rsid w:val="00257599"/>
    <w:rsid w:val="002700D4"/>
    <w:rsid w:val="00287423"/>
    <w:rsid w:val="002B6209"/>
    <w:rsid w:val="002E49F0"/>
    <w:rsid w:val="002F56B5"/>
    <w:rsid w:val="002F6EAA"/>
    <w:rsid w:val="0030195D"/>
    <w:rsid w:val="00315A92"/>
    <w:rsid w:val="00330751"/>
    <w:rsid w:val="003453E1"/>
    <w:rsid w:val="0034590A"/>
    <w:rsid w:val="003519D5"/>
    <w:rsid w:val="003A4400"/>
    <w:rsid w:val="003B5379"/>
    <w:rsid w:val="003E37EA"/>
    <w:rsid w:val="004119C3"/>
    <w:rsid w:val="00426927"/>
    <w:rsid w:val="00431479"/>
    <w:rsid w:val="00452FEE"/>
    <w:rsid w:val="00453107"/>
    <w:rsid w:val="00454227"/>
    <w:rsid w:val="00471CD9"/>
    <w:rsid w:val="004822BC"/>
    <w:rsid w:val="004C056A"/>
    <w:rsid w:val="004F5A9A"/>
    <w:rsid w:val="00504FBC"/>
    <w:rsid w:val="00594290"/>
    <w:rsid w:val="005B7B52"/>
    <w:rsid w:val="005D6A98"/>
    <w:rsid w:val="005E1F64"/>
    <w:rsid w:val="005E5702"/>
    <w:rsid w:val="005E7DFF"/>
    <w:rsid w:val="005F4CE2"/>
    <w:rsid w:val="006040D4"/>
    <w:rsid w:val="00610881"/>
    <w:rsid w:val="006441E7"/>
    <w:rsid w:val="00651A3B"/>
    <w:rsid w:val="00676A57"/>
    <w:rsid w:val="006A2AFB"/>
    <w:rsid w:val="006A6414"/>
    <w:rsid w:val="006B5020"/>
    <w:rsid w:val="006C3CE7"/>
    <w:rsid w:val="006C5746"/>
    <w:rsid w:val="006F7655"/>
    <w:rsid w:val="00704AC5"/>
    <w:rsid w:val="0070688B"/>
    <w:rsid w:val="00724778"/>
    <w:rsid w:val="00753456"/>
    <w:rsid w:val="0076254B"/>
    <w:rsid w:val="00785C4D"/>
    <w:rsid w:val="007A4815"/>
    <w:rsid w:val="007A5EC9"/>
    <w:rsid w:val="007B3CC5"/>
    <w:rsid w:val="007B6A9C"/>
    <w:rsid w:val="007F2717"/>
    <w:rsid w:val="008017DC"/>
    <w:rsid w:val="008030CE"/>
    <w:rsid w:val="008101DA"/>
    <w:rsid w:val="00822492"/>
    <w:rsid w:val="0084021B"/>
    <w:rsid w:val="00840B1F"/>
    <w:rsid w:val="008521AE"/>
    <w:rsid w:val="00855B8A"/>
    <w:rsid w:val="00860C7F"/>
    <w:rsid w:val="0088159F"/>
    <w:rsid w:val="00884247"/>
    <w:rsid w:val="008A2A4A"/>
    <w:rsid w:val="008B14BA"/>
    <w:rsid w:val="008E6835"/>
    <w:rsid w:val="008F5A81"/>
    <w:rsid w:val="0092522F"/>
    <w:rsid w:val="0092697E"/>
    <w:rsid w:val="00933662"/>
    <w:rsid w:val="00937E87"/>
    <w:rsid w:val="00966DB9"/>
    <w:rsid w:val="009679BE"/>
    <w:rsid w:val="009726D2"/>
    <w:rsid w:val="009C593C"/>
    <w:rsid w:val="009D6AD5"/>
    <w:rsid w:val="009E021C"/>
    <w:rsid w:val="00A01018"/>
    <w:rsid w:val="00A12AF0"/>
    <w:rsid w:val="00A42C9D"/>
    <w:rsid w:val="00AA76C1"/>
    <w:rsid w:val="00AB589F"/>
    <w:rsid w:val="00AE5227"/>
    <w:rsid w:val="00AF5B98"/>
    <w:rsid w:val="00B05A9E"/>
    <w:rsid w:val="00B1084E"/>
    <w:rsid w:val="00B148E5"/>
    <w:rsid w:val="00B202B4"/>
    <w:rsid w:val="00B32451"/>
    <w:rsid w:val="00B44CF4"/>
    <w:rsid w:val="00B47411"/>
    <w:rsid w:val="00B47452"/>
    <w:rsid w:val="00B5218C"/>
    <w:rsid w:val="00B61889"/>
    <w:rsid w:val="00B63D62"/>
    <w:rsid w:val="00B80C28"/>
    <w:rsid w:val="00B95AB8"/>
    <w:rsid w:val="00BA1D54"/>
    <w:rsid w:val="00BA6917"/>
    <w:rsid w:val="00BA7CFF"/>
    <w:rsid w:val="00BD540C"/>
    <w:rsid w:val="00BF3F4D"/>
    <w:rsid w:val="00BF6DF2"/>
    <w:rsid w:val="00C02EE1"/>
    <w:rsid w:val="00C20E29"/>
    <w:rsid w:val="00C243AC"/>
    <w:rsid w:val="00C5039D"/>
    <w:rsid w:val="00C64A98"/>
    <w:rsid w:val="00C80BC4"/>
    <w:rsid w:val="00C81706"/>
    <w:rsid w:val="00C81D9D"/>
    <w:rsid w:val="00C829E2"/>
    <w:rsid w:val="00CB579D"/>
    <w:rsid w:val="00CB7EFE"/>
    <w:rsid w:val="00CD5AAB"/>
    <w:rsid w:val="00CF0582"/>
    <w:rsid w:val="00D16791"/>
    <w:rsid w:val="00D32302"/>
    <w:rsid w:val="00D35ABF"/>
    <w:rsid w:val="00D35E59"/>
    <w:rsid w:val="00D42570"/>
    <w:rsid w:val="00D572B0"/>
    <w:rsid w:val="00D9194B"/>
    <w:rsid w:val="00DA2A0D"/>
    <w:rsid w:val="00DA343C"/>
    <w:rsid w:val="00DB2A76"/>
    <w:rsid w:val="00DE4550"/>
    <w:rsid w:val="00DF0B29"/>
    <w:rsid w:val="00DF26E6"/>
    <w:rsid w:val="00E108DC"/>
    <w:rsid w:val="00E429CD"/>
    <w:rsid w:val="00EA1578"/>
    <w:rsid w:val="00EE3C52"/>
    <w:rsid w:val="00F61CE6"/>
    <w:rsid w:val="00F64AE3"/>
    <w:rsid w:val="00F71D1C"/>
    <w:rsid w:val="00F826A7"/>
    <w:rsid w:val="00F876CD"/>
    <w:rsid w:val="00F8787D"/>
    <w:rsid w:val="00F92066"/>
    <w:rsid w:val="00F92652"/>
    <w:rsid w:val="00FA0A9B"/>
    <w:rsid w:val="00FA327A"/>
    <w:rsid w:val="00FA5BA2"/>
    <w:rsid w:val="00FB29BC"/>
    <w:rsid w:val="00FB76AC"/>
    <w:rsid w:val="00FE0354"/>
    <w:rsid w:val="00FE7B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80"/>
    <o:shapelayout v:ext="edit">
      <o:idmap v:ext="edit" data="1"/>
    </o:shapelayout>
  </w:shapeDefaults>
  <w:decimalSymbol w:val="."/>
  <w:listSeparator w:val=","/>
  <w14:docId w14:val="34917A0C"/>
  <w15:docId w15:val="{8662958A-3CFB-4487-9046-E7491146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rPr>
  </w:style>
  <w:style w:type="paragraph" w:styleId="Heading1">
    <w:name w:val="heading 1"/>
    <w:basedOn w:val="Normal"/>
    <w:next w:val="NoIndent"/>
    <w:qFormat/>
    <w:pPr>
      <w:keepNext/>
      <w:spacing w:before="240" w:after="60"/>
      <w:outlineLvl w:val="0"/>
    </w:pPr>
    <w:rPr>
      <w:b/>
      <w:sz w:val="28"/>
    </w:rPr>
  </w:style>
  <w:style w:type="paragraph" w:styleId="Heading2">
    <w:name w:val="heading 2"/>
    <w:basedOn w:val="Normal"/>
    <w:next w:val="NoIndent"/>
    <w:qFormat/>
    <w:pPr>
      <w:keepNext/>
      <w:spacing w:before="240" w:after="60"/>
      <w:outlineLvl w:val="1"/>
    </w:pPr>
    <w:rPr>
      <w:b/>
      <w:i/>
    </w:rPr>
  </w:style>
  <w:style w:type="paragraph" w:styleId="Heading3">
    <w:name w:val="heading 3"/>
    <w:basedOn w:val="Normal"/>
    <w:next w:val="NoIndent"/>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3519D5"/>
    <w:rPr>
      <w:rFonts w:ascii="Tahoma" w:hAnsi="Tahoma" w:cs="Tahoma"/>
      <w:sz w:val="16"/>
      <w:szCs w:val="16"/>
    </w:rPr>
  </w:style>
  <w:style w:type="character" w:customStyle="1" w:styleId="BalloonTextChar">
    <w:name w:val="Balloon Text Char"/>
    <w:link w:val="BalloonText"/>
    <w:uiPriority w:val="99"/>
    <w:semiHidden/>
    <w:rsid w:val="003519D5"/>
    <w:rPr>
      <w:rFonts w:ascii="Tahoma" w:hAnsi="Tahoma" w:cs="Tahoma"/>
      <w:sz w:val="16"/>
      <w:szCs w:val="16"/>
      <w:lang w:val="en-GB"/>
    </w:rPr>
  </w:style>
  <w:style w:type="paragraph" w:styleId="Header">
    <w:name w:val="header"/>
    <w:basedOn w:val="Normal"/>
    <w:pPr>
      <w:jc w:val="center"/>
    </w:pPr>
  </w:style>
  <w:style w:type="character" w:styleId="PageNumber">
    <w:name w:val="page number"/>
    <w:basedOn w:val="DefaultParagraphFont"/>
  </w:style>
  <w:style w:type="paragraph" w:customStyle="1" w:styleId="Bullet">
    <w:name w:val="Bullet"/>
    <w:basedOn w:val="Normal"/>
    <w:pPr>
      <w:ind w:left="566" w:hanging="283"/>
    </w:pPr>
  </w:style>
  <w:style w:type="paragraph" w:styleId="FootnoteText">
    <w:name w:val="footnote text"/>
    <w:basedOn w:val="Normal"/>
    <w:semiHidden/>
    <w:pPr>
      <w:ind w:firstLine="284"/>
    </w:pPr>
    <w:rPr>
      <w:lang w:val="en-AU"/>
    </w:rPr>
  </w:style>
  <w:style w:type="paragraph" w:customStyle="1" w:styleId="Quotation">
    <w:name w:val="Quotation"/>
    <w:basedOn w:val="Normal"/>
    <w:next w:val="NoIndent"/>
    <w:pPr>
      <w:spacing w:before="120" w:after="120"/>
      <w:ind w:left="567" w:right="510"/>
    </w:pPr>
    <w:rPr>
      <w:lang w:val="en-AU"/>
    </w:rPr>
  </w:style>
  <w:style w:type="paragraph" w:styleId="Footer">
    <w:name w:val="footer"/>
    <w:basedOn w:val="Normal"/>
    <w:link w:val="FooterChar"/>
    <w:uiPriority w:val="99"/>
    <w:pPr>
      <w:jc w:val="center"/>
    </w:pPr>
  </w:style>
  <w:style w:type="paragraph" w:customStyle="1" w:styleId="Indent">
    <w:name w:val="Indent"/>
    <w:basedOn w:val="Normal"/>
    <w:pPr>
      <w:ind w:firstLine="284"/>
    </w:pPr>
  </w:style>
  <w:style w:type="paragraph" w:customStyle="1" w:styleId="NoIndent">
    <w:name w:val="No Indent"/>
    <w:basedOn w:val="Normal"/>
    <w:next w:val="Indent"/>
  </w:style>
  <w:style w:type="paragraph" w:customStyle="1" w:styleId="NoBullet">
    <w:name w:val="No Bullet"/>
    <w:basedOn w:val="Bullet"/>
    <w:next w:val="Bullet"/>
    <w:pPr>
      <w:ind w:left="567" w:firstLine="0"/>
    </w:pPr>
  </w:style>
  <w:style w:type="character" w:customStyle="1" w:styleId="FooterChar">
    <w:name w:val="Footer Char"/>
    <w:link w:val="Footer"/>
    <w:uiPriority w:val="99"/>
    <w:rsid w:val="005B7B52"/>
    <w:rPr>
      <w:sz w:val="24"/>
      <w:lang w:val="en-GB"/>
    </w:rPr>
  </w:style>
  <w:style w:type="paragraph" w:styleId="NoSpacing">
    <w:name w:val="No Spacing"/>
    <w:uiPriority w:val="1"/>
    <w:qFormat/>
    <w:rsid w:val="009726D2"/>
    <w:pPr>
      <w:spacing w:line="276" w:lineRule="auto"/>
      <w:ind w:left="357"/>
    </w:pPr>
    <w:rPr>
      <w:rFonts w:ascii="Calibri" w:eastAsia="Calibri" w:hAnsi="Calibri"/>
      <w:sz w:val="22"/>
      <w:szCs w:val="22"/>
      <w:lang w:eastAsia="en-US"/>
    </w:rPr>
  </w:style>
  <w:style w:type="paragraph" w:styleId="ListParagraph">
    <w:name w:val="List Paragraph"/>
    <w:basedOn w:val="Normal"/>
    <w:uiPriority w:val="34"/>
    <w:qFormat/>
    <w:rsid w:val="009726D2"/>
    <w:pPr>
      <w:spacing w:line="276" w:lineRule="auto"/>
      <w:ind w:left="720"/>
      <w:contextualSpacing/>
    </w:pPr>
    <w:rPr>
      <w:rFonts w:ascii="Calibri" w:eastAsia="Calibri" w:hAnsi="Calibri"/>
      <w:sz w:val="22"/>
      <w:szCs w:val="22"/>
      <w:lang w:val="en-AU" w:eastAsia="en-US"/>
    </w:rPr>
  </w:style>
  <w:style w:type="paragraph" w:customStyle="1" w:styleId="ActHead5">
    <w:name w:val="ActHead 5"/>
    <w:aliases w:val="s"/>
    <w:basedOn w:val="Normal"/>
    <w:next w:val="subsection"/>
    <w:qFormat/>
    <w:rsid w:val="003A4400"/>
    <w:pPr>
      <w:keepNext/>
      <w:keepLines/>
      <w:spacing w:before="280"/>
      <w:ind w:left="1134" w:hanging="1134"/>
      <w:outlineLvl w:val="4"/>
    </w:pPr>
    <w:rPr>
      <w:b/>
      <w:kern w:val="28"/>
      <w:lang w:val="en-AU"/>
    </w:rPr>
  </w:style>
  <w:style w:type="paragraph" w:customStyle="1" w:styleId="subsection">
    <w:name w:val="subsection"/>
    <w:aliases w:val="ss"/>
    <w:basedOn w:val="Normal"/>
    <w:link w:val="subsectionChar"/>
    <w:rsid w:val="003A4400"/>
    <w:pPr>
      <w:tabs>
        <w:tab w:val="right" w:pos="1021"/>
      </w:tabs>
      <w:spacing w:before="180"/>
      <w:ind w:left="1134" w:hanging="1134"/>
    </w:pPr>
    <w:rPr>
      <w:sz w:val="22"/>
      <w:lang w:val="en-AU"/>
    </w:rPr>
  </w:style>
  <w:style w:type="paragraph" w:customStyle="1" w:styleId="paragraph">
    <w:name w:val="paragraph"/>
    <w:aliases w:val="a"/>
    <w:basedOn w:val="Normal"/>
    <w:rsid w:val="003A4400"/>
    <w:pPr>
      <w:tabs>
        <w:tab w:val="right" w:pos="1531"/>
      </w:tabs>
      <w:spacing w:before="40"/>
      <w:ind w:left="1644" w:hanging="1644"/>
    </w:pPr>
    <w:rPr>
      <w:sz w:val="22"/>
      <w:lang w:val="en-AU"/>
    </w:rPr>
  </w:style>
  <w:style w:type="character" w:customStyle="1" w:styleId="CharSectno">
    <w:name w:val="CharSectno"/>
    <w:basedOn w:val="DefaultParagraphFont"/>
    <w:qFormat/>
    <w:rsid w:val="003A4400"/>
  </w:style>
  <w:style w:type="paragraph" w:customStyle="1" w:styleId="paragraphsub">
    <w:name w:val="paragraph(sub)"/>
    <w:aliases w:val="aa"/>
    <w:basedOn w:val="Normal"/>
    <w:rsid w:val="003A4400"/>
    <w:pPr>
      <w:tabs>
        <w:tab w:val="right" w:pos="1985"/>
      </w:tabs>
      <w:spacing w:before="40"/>
      <w:ind w:left="2098" w:hanging="2098"/>
    </w:pPr>
    <w:rPr>
      <w:sz w:val="22"/>
      <w:lang w:val="en-AU"/>
    </w:rPr>
  </w:style>
  <w:style w:type="character" w:customStyle="1" w:styleId="subsectionChar">
    <w:name w:val="subsection Char"/>
    <w:aliases w:val="ss Char"/>
    <w:link w:val="subsection"/>
    <w:locked/>
    <w:rsid w:val="003A4400"/>
    <w:rPr>
      <w:sz w:val="22"/>
    </w:rPr>
  </w:style>
  <w:style w:type="paragraph" w:customStyle="1" w:styleId="Default">
    <w:name w:val="Default"/>
    <w:rsid w:val="00B148E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93957">
      <w:bodyDiv w:val="1"/>
      <w:marLeft w:val="0"/>
      <w:marRight w:val="0"/>
      <w:marTop w:val="0"/>
      <w:marBottom w:val="0"/>
      <w:divBdr>
        <w:top w:val="none" w:sz="0" w:space="0" w:color="auto"/>
        <w:left w:val="none" w:sz="0" w:space="0" w:color="auto"/>
        <w:bottom w:val="none" w:sz="0" w:space="0" w:color="auto"/>
        <w:right w:val="none" w:sz="0" w:space="0" w:color="auto"/>
      </w:divBdr>
    </w:div>
    <w:div w:id="211832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CA\Acting%20Senior%20Registra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B871-C3C5-414D-800C-47365B14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Acting Senior Registrar Letterhead.dot</Template>
  <TotalTime>3</TotalTime>
  <Pages>2</Pages>
  <Words>755</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Letter from Senior Registrar</vt:lpstr>
    </vt:vector>
  </TitlesOfParts>
  <Company>High Court of Australia</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Senior Registrar</dc:title>
  <dc:creator>HCA</dc:creator>
  <cp:lastModifiedBy>High Court of Australia</cp:lastModifiedBy>
  <cp:revision>3</cp:revision>
  <cp:lastPrinted>2018-09-28T06:48:00Z</cp:lastPrinted>
  <dcterms:created xsi:type="dcterms:W3CDTF">2018-10-15T03:25:00Z</dcterms:created>
  <dcterms:modified xsi:type="dcterms:W3CDTF">2018-10-15T03:26:00Z</dcterms:modified>
</cp:coreProperties>
</file>