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ED" w:rsidRDefault="00A46CED" w:rsidP="00A65BE4">
      <w:pPr>
        <w:pStyle w:val="Heading5"/>
        <w:ind w:left="0" w:firstLine="0"/>
        <w:jc w:val="center"/>
      </w:pPr>
      <w:r>
        <w:t>EXPLANATORY STATEMENT</w:t>
      </w:r>
    </w:p>
    <w:p w:rsidR="000B41AE" w:rsidRDefault="000B41AE" w:rsidP="00654B0D">
      <w:pPr>
        <w:rPr>
          <w:bCs/>
          <w:color w:val="000000"/>
          <w:sz w:val="28"/>
          <w:szCs w:val="28"/>
        </w:rPr>
      </w:pPr>
    </w:p>
    <w:p w:rsidR="000B41AE" w:rsidRPr="00E30F50" w:rsidRDefault="000B41AE" w:rsidP="000B41AE">
      <w:pPr>
        <w:rPr>
          <w:b/>
          <w:bCs/>
          <w:color w:val="000000"/>
          <w:sz w:val="28"/>
          <w:szCs w:val="28"/>
        </w:rPr>
      </w:pPr>
      <w:r w:rsidRPr="004C5C1D">
        <w:rPr>
          <w:b/>
          <w:bCs/>
          <w:color w:val="000000"/>
          <w:sz w:val="28"/>
          <w:szCs w:val="28"/>
        </w:rPr>
        <w:t>Safety, Rehabilit</w:t>
      </w:r>
      <w:r w:rsidR="004C5C1D" w:rsidRPr="004C5C1D">
        <w:rPr>
          <w:b/>
          <w:bCs/>
          <w:color w:val="000000"/>
          <w:sz w:val="28"/>
          <w:szCs w:val="28"/>
        </w:rPr>
        <w:t>ation and Compensation (Defence</w:t>
      </w:r>
      <w:r w:rsidR="004C5C1D" w:rsidRPr="004C5C1D">
        <w:rPr>
          <w:b/>
          <w:sz w:val="24"/>
          <w:szCs w:val="24"/>
        </w:rPr>
        <w:noBreakHyphen/>
      </w:r>
      <w:r w:rsidRPr="004C5C1D">
        <w:rPr>
          <w:b/>
          <w:bCs/>
          <w:color w:val="000000"/>
          <w:sz w:val="28"/>
          <w:szCs w:val="28"/>
        </w:rPr>
        <w:t>related Claim</w:t>
      </w:r>
      <w:r w:rsidR="004C5C1D" w:rsidRPr="004C5C1D">
        <w:rPr>
          <w:b/>
          <w:bCs/>
          <w:color w:val="000000"/>
          <w:sz w:val="28"/>
          <w:szCs w:val="28"/>
        </w:rPr>
        <w:t>s) (Full</w:t>
      </w:r>
      <w:r w:rsidR="004C5C1D" w:rsidRPr="004C5C1D">
        <w:rPr>
          <w:b/>
          <w:sz w:val="24"/>
          <w:szCs w:val="24"/>
        </w:rPr>
        <w:noBreakHyphen/>
      </w:r>
      <w:r w:rsidR="008440A4" w:rsidRPr="004C5C1D">
        <w:rPr>
          <w:b/>
          <w:bCs/>
          <w:color w:val="000000"/>
          <w:sz w:val="28"/>
          <w:szCs w:val="28"/>
        </w:rPr>
        <w:t>time Study) Instrument</w:t>
      </w:r>
      <w:r w:rsidRPr="004C5C1D">
        <w:rPr>
          <w:b/>
          <w:bCs/>
          <w:color w:val="000000"/>
          <w:sz w:val="28"/>
          <w:szCs w:val="28"/>
        </w:rPr>
        <w:t xml:space="preserve"> 2018</w:t>
      </w:r>
      <w:r>
        <w:rPr>
          <w:b/>
          <w:bCs/>
          <w:color w:val="000000"/>
          <w:sz w:val="28"/>
          <w:szCs w:val="28"/>
        </w:rPr>
        <w:t xml:space="preserve"> </w:t>
      </w:r>
      <w:r w:rsidRPr="00E30F50">
        <w:rPr>
          <w:bCs/>
          <w:color w:val="000000"/>
          <w:sz w:val="28"/>
          <w:szCs w:val="28"/>
        </w:rPr>
        <w:t>(</w:t>
      </w:r>
      <w:r w:rsidR="007368F5">
        <w:rPr>
          <w:color w:val="000000"/>
          <w:sz w:val="24"/>
          <w:szCs w:val="24"/>
        </w:rPr>
        <w:t>Instrument 2018 No. MRCC</w:t>
      </w:r>
      <w:r w:rsidR="00D651E4">
        <w:rPr>
          <w:color w:val="000000"/>
          <w:sz w:val="24"/>
          <w:szCs w:val="24"/>
        </w:rPr>
        <w:t xml:space="preserve"> </w:t>
      </w:r>
      <w:r w:rsidR="007368F5">
        <w:rPr>
          <w:color w:val="000000"/>
          <w:sz w:val="24"/>
          <w:szCs w:val="24"/>
        </w:rPr>
        <w:t>76</w:t>
      </w:r>
      <w:r w:rsidRPr="00E30F50">
        <w:rPr>
          <w:color w:val="000000"/>
          <w:sz w:val="24"/>
          <w:szCs w:val="24"/>
        </w:rPr>
        <w:t>)</w:t>
      </w:r>
    </w:p>
    <w:p w:rsidR="000B41AE" w:rsidRPr="00654B0D" w:rsidRDefault="000B41AE" w:rsidP="00654B0D">
      <w:pPr>
        <w:rPr>
          <w:b/>
          <w:bCs/>
          <w:color w:val="000000"/>
          <w:sz w:val="28"/>
          <w:szCs w:val="28"/>
        </w:rPr>
      </w:pPr>
    </w:p>
    <w:p w:rsidR="00A46CED" w:rsidRPr="000A51A1" w:rsidRDefault="00A46CED">
      <w:pPr>
        <w:rPr>
          <w:b/>
          <w:color w:val="000000"/>
          <w:sz w:val="24"/>
          <w:szCs w:val="24"/>
        </w:rPr>
      </w:pPr>
      <w:r w:rsidRPr="000A51A1">
        <w:rPr>
          <w:b/>
          <w:color w:val="000000"/>
          <w:sz w:val="24"/>
          <w:szCs w:val="24"/>
        </w:rPr>
        <w:t>EMPOWERING PROVISION</w:t>
      </w:r>
    </w:p>
    <w:p w:rsidR="00A46CED" w:rsidRPr="000A51A1" w:rsidRDefault="00A46CED">
      <w:pPr>
        <w:rPr>
          <w:color w:val="000000"/>
          <w:sz w:val="24"/>
          <w:szCs w:val="24"/>
        </w:rPr>
      </w:pPr>
    </w:p>
    <w:p w:rsidR="00A46CED" w:rsidRPr="000A51A1" w:rsidRDefault="00190C67">
      <w:pPr>
        <w:rPr>
          <w:i/>
          <w:color w:val="000000"/>
          <w:sz w:val="24"/>
          <w:szCs w:val="24"/>
        </w:rPr>
      </w:pPr>
      <w:r>
        <w:rPr>
          <w:color w:val="000000"/>
          <w:sz w:val="24"/>
          <w:szCs w:val="24"/>
        </w:rPr>
        <w:t>Subsection</w:t>
      </w:r>
      <w:r w:rsidR="008440A4">
        <w:rPr>
          <w:color w:val="000000"/>
          <w:sz w:val="24"/>
          <w:szCs w:val="24"/>
        </w:rPr>
        <w:t> 19(3AC)</w:t>
      </w:r>
      <w:r w:rsidR="00181BC8">
        <w:rPr>
          <w:color w:val="000000"/>
          <w:sz w:val="24"/>
          <w:szCs w:val="24"/>
        </w:rPr>
        <w:t xml:space="preserve"> </w:t>
      </w:r>
      <w:r w:rsidR="00A46CED" w:rsidRPr="000C3472">
        <w:rPr>
          <w:color w:val="000000"/>
          <w:sz w:val="24"/>
          <w:szCs w:val="24"/>
        </w:rPr>
        <w:t>of</w:t>
      </w:r>
      <w:r w:rsidR="00A46CED" w:rsidRPr="000A51A1">
        <w:rPr>
          <w:color w:val="000000"/>
          <w:sz w:val="24"/>
          <w:szCs w:val="24"/>
        </w:rPr>
        <w:t xml:space="preserve"> the</w:t>
      </w:r>
      <w:r w:rsidR="00B34CC0">
        <w:rPr>
          <w:color w:val="000000"/>
          <w:sz w:val="24"/>
          <w:szCs w:val="24"/>
        </w:rPr>
        <w:t xml:space="preserve"> </w:t>
      </w:r>
      <w:r w:rsidR="00B34CC0" w:rsidRPr="00B34CC0">
        <w:rPr>
          <w:i/>
          <w:color w:val="000000"/>
          <w:sz w:val="24"/>
          <w:szCs w:val="24"/>
        </w:rPr>
        <w:t>Safety,</w:t>
      </w:r>
      <w:r w:rsidR="00A46CED" w:rsidRPr="00B34CC0">
        <w:rPr>
          <w:i/>
          <w:color w:val="000000"/>
          <w:sz w:val="24"/>
          <w:szCs w:val="24"/>
        </w:rPr>
        <w:t xml:space="preserve"> </w:t>
      </w:r>
      <w:r w:rsidR="00B74973" w:rsidRPr="00B34CC0">
        <w:rPr>
          <w:i/>
          <w:color w:val="000000"/>
          <w:sz w:val="24"/>
          <w:szCs w:val="24"/>
        </w:rPr>
        <w:t>Rehabilitation and Compensation</w:t>
      </w:r>
      <w:r w:rsidR="00A46CED" w:rsidRPr="00B34CC0">
        <w:rPr>
          <w:i/>
          <w:color w:val="000000"/>
          <w:sz w:val="24"/>
          <w:szCs w:val="24"/>
        </w:rPr>
        <w:t xml:space="preserve"> </w:t>
      </w:r>
      <w:r w:rsidR="00B34CC0" w:rsidRPr="00B34CC0">
        <w:rPr>
          <w:i/>
          <w:color w:val="000000"/>
          <w:sz w:val="24"/>
          <w:szCs w:val="24"/>
        </w:rPr>
        <w:t xml:space="preserve">(Defence-related Claims) Act 1988 </w:t>
      </w:r>
      <w:r w:rsidR="00A46CED" w:rsidRPr="000A51A1">
        <w:rPr>
          <w:color w:val="000000"/>
          <w:sz w:val="24"/>
          <w:szCs w:val="24"/>
        </w:rPr>
        <w:t>(</w:t>
      </w:r>
      <w:r w:rsidR="00181BC8">
        <w:rPr>
          <w:color w:val="000000"/>
          <w:sz w:val="24"/>
          <w:szCs w:val="24"/>
        </w:rPr>
        <w:t>DRC</w:t>
      </w:r>
      <w:r w:rsidR="001A0406">
        <w:rPr>
          <w:color w:val="000000"/>
          <w:sz w:val="24"/>
          <w:szCs w:val="24"/>
        </w:rPr>
        <w:t>A)</w:t>
      </w:r>
      <w:r w:rsidR="00A46CED" w:rsidRPr="000A51A1">
        <w:rPr>
          <w:i/>
          <w:color w:val="000000"/>
          <w:sz w:val="24"/>
          <w:szCs w:val="24"/>
        </w:rPr>
        <w:t>.</w:t>
      </w:r>
    </w:p>
    <w:p w:rsidR="00A46CED" w:rsidRPr="000A51A1" w:rsidRDefault="00A46CED">
      <w:pPr>
        <w:rPr>
          <w:b/>
          <w:i/>
          <w:color w:val="000000"/>
          <w:sz w:val="24"/>
          <w:szCs w:val="24"/>
        </w:rPr>
      </w:pPr>
    </w:p>
    <w:p w:rsidR="00A46CED" w:rsidRDefault="00A46CED">
      <w:pPr>
        <w:rPr>
          <w:b/>
          <w:color w:val="000000"/>
          <w:sz w:val="24"/>
          <w:szCs w:val="24"/>
        </w:rPr>
      </w:pPr>
      <w:r w:rsidRPr="000A51A1">
        <w:rPr>
          <w:b/>
          <w:color w:val="000000"/>
          <w:sz w:val="24"/>
          <w:szCs w:val="24"/>
        </w:rPr>
        <w:t>PURPOSE</w:t>
      </w:r>
    </w:p>
    <w:p w:rsidR="004022B7" w:rsidRDefault="004022B7">
      <w:pPr>
        <w:rPr>
          <w:b/>
          <w:color w:val="000000"/>
          <w:sz w:val="24"/>
          <w:szCs w:val="24"/>
        </w:rPr>
      </w:pPr>
    </w:p>
    <w:p w:rsidR="000D5F20" w:rsidRDefault="00B34CC0" w:rsidP="00EA29E4">
      <w:pPr>
        <w:rPr>
          <w:i/>
          <w:color w:val="000000"/>
          <w:sz w:val="24"/>
          <w:szCs w:val="24"/>
        </w:rPr>
      </w:pPr>
      <w:r>
        <w:rPr>
          <w:color w:val="000000"/>
          <w:sz w:val="24"/>
          <w:szCs w:val="24"/>
        </w:rPr>
        <w:t>The atta</w:t>
      </w:r>
      <w:r w:rsidR="001E7FBB">
        <w:rPr>
          <w:color w:val="000000"/>
          <w:sz w:val="24"/>
          <w:szCs w:val="24"/>
        </w:rPr>
        <w:t>ched in</w:t>
      </w:r>
      <w:r w:rsidR="000B41AE">
        <w:rPr>
          <w:color w:val="000000"/>
          <w:sz w:val="24"/>
          <w:szCs w:val="24"/>
        </w:rPr>
        <w:t xml:space="preserve">strument </w:t>
      </w:r>
      <w:r w:rsidR="001E7FBB" w:rsidRPr="00181BC8">
        <w:rPr>
          <w:color w:val="000000"/>
          <w:sz w:val="24"/>
          <w:szCs w:val="24"/>
        </w:rPr>
        <w:t xml:space="preserve">specifies the </w:t>
      </w:r>
      <w:r w:rsidR="008440A4">
        <w:rPr>
          <w:color w:val="000000"/>
          <w:sz w:val="24"/>
          <w:szCs w:val="24"/>
        </w:rPr>
        <w:t xml:space="preserve">circumstances </w:t>
      </w:r>
      <w:r w:rsidR="00D775CF">
        <w:rPr>
          <w:color w:val="000000"/>
          <w:sz w:val="24"/>
          <w:szCs w:val="24"/>
        </w:rPr>
        <w:t>f</w:t>
      </w:r>
      <w:r w:rsidR="001E7FBB" w:rsidRPr="00181BC8">
        <w:rPr>
          <w:color w:val="000000"/>
          <w:sz w:val="24"/>
          <w:szCs w:val="24"/>
        </w:rPr>
        <w:t xml:space="preserve">or </w:t>
      </w:r>
      <w:r w:rsidR="008440A4">
        <w:rPr>
          <w:color w:val="000000"/>
          <w:sz w:val="24"/>
          <w:szCs w:val="24"/>
        </w:rPr>
        <w:t>determining wheth</w:t>
      </w:r>
      <w:r w:rsidR="004C5C1D">
        <w:rPr>
          <w:color w:val="000000"/>
          <w:sz w:val="24"/>
          <w:szCs w:val="24"/>
        </w:rPr>
        <w:t>er a person is undertaking full</w:t>
      </w:r>
      <w:r w:rsidR="004C5C1D" w:rsidRPr="00B012E2">
        <w:rPr>
          <w:sz w:val="24"/>
          <w:szCs w:val="24"/>
        </w:rPr>
        <w:noBreakHyphen/>
      </w:r>
      <w:r w:rsidR="008440A4">
        <w:rPr>
          <w:color w:val="000000"/>
          <w:sz w:val="24"/>
          <w:szCs w:val="24"/>
        </w:rPr>
        <w:t>time study for the purposes of subsection 19(3AB)</w:t>
      </w:r>
      <w:r w:rsidR="00D775CF">
        <w:rPr>
          <w:color w:val="000000"/>
          <w:sz w:val="24"/>
          <w:szCs w:val="24"/>
        </w:rPr>
        <w:t xml:space="preserve"> of </w:t>
      </w:r>
      <w:r w:rsidR="001E7FBB" w:rsidRPr="00181BC8">
        <w:rPr>
          <w:color w:val="000000"/>
          <w:sz w:val="24"/>
          <w:szCs w:val="24"/>
        </w:rPr>
        <w:t xml:space="preserve">the </w:t>
      </w:r>
      <w:r w:rsidR="002460A1">
        <w:rPr>
          <w:color w:val="000000"/>
          <w:sz w:val="24"/>
          <w:szCs w:val="24"/>
        </w:rPr>
        <w:t>DRCA</w:t>
      </w:r>
      <w:r w:rsidR="002227E6" w:rsidRPr="000A51A1">
        <w:rPr>
          <w:i/>
          <w:color w:val="000000"/>
          <w:sz w:val="24"/>
          <w:szCs w:val="24"/>
        </w:rPr>
        <w:t>.</w:t>
      </w:r>
    </w:p>
    <w:p w:rsidR="001313FB" w:rsidRDefault="001313FB" w:rsidP="00EA29E4">
      <w:pPr>
        <w:rPr>
          <w:i/>
          <w:color w:val="000000"/>
          <w:sz w:val="24"/>
          <w:szCs w:val="24"/>
        </w:rPr>
      </w:pPr>
    </w:p>
    <w:p w:rsidR="002460A1" w:rsidRPr="0051644F" w:rsidRDefault="00AD1952" w:rsidP="002460A1">
      <w:pPr>
        <w:rPr>
          <w:sz w:val="24"/>
          <w:szCs w:val="24"/>
        </w:rPr>
      </w:pPr>
      <w:r w:rsidRPr="00AD1952">
        <w:rPr>
          <w:i/>
          <w:sz w:val="24"/>
        </w:rPr>
        <w:t>The Veterans’ Affairs Legislation Amendme</w:t>
      </w:r>
      <w:r>
        <w:rPr>
          <w:i/>
          <w:sz w:val="24"/>
        </w:rPr>
        <w:t>nt (Veteran-centric Reforms No.2</w:t>
      </w:r>
      <w:r w:rsidRPr="00AD1952">
        <w:rPr>
          <w:i/>
          <w:sz w:val="24"/>
        </w:rPr>
        <w:t xml:space="preserve">) Act 2018 </w:t>
      </w:r>
      <w:r w:rsidR="00A34150" w:rsidRPr="001A6E6F">
        <w:rPr>
          <w:sz w:val="24"/>
          <w:szCs w:val="24"/>
        </w:rPr>
        <w:t xml:space="preserve">amended the </w:t>
      </w:r>
      <w:r w:rsidR="001A600E">
        <w:rPr>
          <w:sz w:val="24"/>
          <w:szCs w:val="24"/>
        </w:rPr>
        <w:t>DRCA</w:t>
      </w:r>
      <w:r w:rsidR="00B012E2">
        <w:rPr>
          <w:sz w:val="24"/>
          <w:szCs w:val="24"/>
        </w:rPr>
        <w:t xml:space="preserve"> </w:t>
      </w:r>
      <w:r w:rsidR="00340D63">
        <w:rPr>
          <w:sz w:val="24"/>
          <w:szCs w:val="24"/>
        </w:rPr>
        <w:t xml:space="preserve">(and </w:t>
      </w:r>
      <w:r w:rsidR="00340D63" w:rsidRPr="00181BC8">
        <w:rPr>
          <w:color w:val="000000"/>
          <w:sz w:val="24"/>
          <w:szCs w:val="24"/>
        </w:rPr>
        <w:t xml:space="preserve">the </w:t>
      </w:r>
      <w:r w:rsidR="00340D63">
        <w:rPr>
          <w:i/>
          <w:sz w:val="24"/>
          <w:szCs w:val="24"/>
        </w:rPr>
        <w:t>Military</w:t>
      </w:r>
      <w:r w:rsidR="00340D63" w:rsidRPr="00F32981">
        <w:rPr>
          <w:i/>
          <w:sz w:val="24"/>
          <w:szCs w:val="24"/>
        </w:rPr>
        <w:t xml:space="preserve"> Rehabilitation and Compensation Act </w:t>
      </w:r>
      <w:r w:rsidR="00340D63" w:rsidRPr="00340D63">
        <w:rPr>
          <w:sz w:val="24"/>
          <w:szCs w:val="24"/>
        </w:rPr>
        <w:t>2004</w:t>
      </w:r>
      <w:r w:rsidR="00340D63">
        <w:rPr>
          <w:sz w:val="24"/>
          <w:szCs w:val="24"/>
        </w:rPr>
        <w:t xml:space="preserve">) </w:t>
      </w:r>
      <w:r w:rsidR="00A34150" w:rsidRPr="00340D63">
        <w:rPr>
          <w:sz w:val="24"/>
          <w:szCs w:val="24"/>
        </w:rPr>
        <w:t>to</w:t>
      </w:r>
      <w:r w:rsidR="00A34150" w:rsidRPr="001A6E6F">
        <w:rPr>
          <w:sz w:val="24"/>
          <w:szCs w:val="24"/>
        </w:rPr>
        <w:t xml:space="preserve"> provide all former members of the Australian</w:t>
      </w:r>
      <w:r w:rsidR="0051644F">
        <w:rPr>
          <w:sz w:val="24"/>
          <w:szCs w:val="24"/>
        </w:rPr>
        <w:t xml:space="preserve"> </w:t>
      </w:r>
      <w:r w:rsidR="00A34150" w:rsidRPr="001A6E6F">
        <w:rPr>
          <w:sz w:val="24"/>
          <w:szCs w:val="24"/>
        </w:rPr>
        <w:t>Defence Force (ADF) with incapacity payments at 100% of their normal weekly earnings where they</w:t>
      </w:r>
      <w:r w:rsidR="0051644F">
        <w:rPr>
          <w:sz w:val="24"/>
          <w:szCs w:val="24"/>
        </w:rPr>
        <w:t xml:space="preserve"> </w:t>
      </w:r>
      <w:r w:rsidR="004C5C1D">
        <w:rPr>
          <w:sz w:val="24"/>
          <w:szCs w:val="24"/>
        </w:rPr>
        <w:t>are studying full</w:t>
      </w:r>
      <w:r w:rsidR="004C5C1D" w:rsidRPr="00B012E2">
        <w:rPr>
          <w:sz w:val="24"/>
          <w:szCs w:val="24"/>
        </w:rPr>
        <w:noBreakHyphen/>
      </w:r>
      <w:r w:rsidR="00A34150" w:rsidRPr="001A6E6F">
        <w:rPr>
          <w:sz w:val="24"/>
          <w:szCs w:val="24"/>
        </w:rPr>
        <w:t>tim</w:t>
      </w:r>
      <w:r w:rsidR="00D71C6F">
        <w:rPr>
          <w:sz w:val="24"/>
          <w:szCs w:val="24"/>
        </w:rPr>
        <w:t xml:space="preserve">e as part of their approved Department of Veterans’ Affairs (DVA) </w:t>
      </w:r>
      <w:r w:rsidR="00A34150" w:rsidRPr="001A6E6F">
        <w:rPr>
          <w:sz w:val="24"/>
          <w:szCs w:val="24"/>
        </w:rPr>
        <w:t xml:space="preserve">rehabilitation plan. </w:t>
      </w:r>
      <w:r w:rsidR="002460A1" w:rsidRPr="0051644F">
        <w:rPr>
          <w:sz w:val="24"/>
          <w:szCs w:val="24"/>
        </w:rPr>
        <w:t>Incapacity payments are compensation payments paid for a loss of normal earnings suffered</w:t>
      </w:r>
      <w:r w:rsidR="002460A1">
        <w:rPr>
          <w:sz w:val="24"/>
          <w:szCs w:val="24"/>
        </w:rPr>
        <w:t xml:space="preserve"> </w:t>
      </w:r>
      <w:r w:rsidR="002460A1" w:rsidRPr="0051644F">
        <w:rPr>
          <w:sz w:val="24"/>
          <w:szCs w:val="24"/>
        </w:rPr>
        <w:t xml:space="preserve">as </w:t>
      </w:r>
      <w:r w:rsidR="004C5C1D">
        <w:rPr>
          <w:sz w:val="24"/>
          <w:szCs w:val="24"/>
        </w:rPr>
        <w:t>a result of a service</w:t>
      </w:r>
      <w:r w:rsidR="004C5C1D" w:rsidRPr="00B012E2">
        <w:rPr>
          <w:sz w:val="24"/>
          <w:szCs w:val="24"/>
        </w:rPr>
        <w:noBreakHyphen/>
      </w:r>
      <w:r w:rsidR="002460A1" w:rsidRPr="0051644F">
        <w:rPr>
          <w:sz w:val="24"/>
          <w:szCs w:val="24"/>
        </w:rPr>
        <w:t>related physical</w:t>
      </w:r>
      <w:r w:rsidR="001A0406">
        <w:rPr>
          <w:sz w:val="24"/>
          <w:szCs w:val="24"/>
        </w:rPr>
        <w:t xml:space="preserve"> or</w:t>
      </w:r>
      <w:r w:rsidR="002460A1" w:rsidRPr="0051644F">
        <w:rPr>
          <w:sz w:val="24"/>
          <w:szCs w:val="24"/>
        </w:rPr>
        <w:t xml:space="preserve"> mental health condition. </w:t>
      </w:r>
      <w:r w:rsidR="002460A1">
        <w:rPr>
          <w:sz w:val="24"/>
          <w:szCs w:val="24"/>
        </w:rPr>
        <w:t xml:space="preserve">Normally </w:t>
      </w:r>
      <w:r w:rsidR="002460A1" w:rsidRPr="0051644F">
        <w:rPr>
          <w:sz w:val="24"/>
          <w:szCs w:val="24"/>
        </w:rPr>
        <w:t xml:space="preserve">incapacity payments "stepdown" to 75 per cent (or a higher percentage </w:t>
      </w:r>
      <w:r w:rsidR="002460A1">
        <w:rPr>
          <w:sz w:val="24"/>
          <w:szCs w:val="24"/>
        </w:rPr>
        <w:t xml:space="preserve">depending </w:t>
      </w:r>
      <w:r w:rsidR="002460A1" w:rsidRPr="0051644F">
        <w:rPr>
          <w:sz w:val="24"/>
          <w:szCs w:val="24"/>
        </w:rPr>
        <w:t>on weekly hours worked) of normal earnings after a period of 45 weeks.</w:t>
      </w:r>
      <w:r w:rsidR="002460A1">
        <w:rPr>
          <w:sz w:val="24"/>
          <w:szCs w:val="24"/>
        </w:rPr>
        <w:t xml:space="preserve">  </w:t>
      </w:r>
    </w:p>
    <w:p w:rsidR="002460A1" w:rsidRDefault="002460A1" w:rsidP="0058781A">
      <w:pPr>
        <w:tabs>
          <w:tab w:val="right" w:pos="1985"/>
          <w:tab w:val="left" w:pos="2098"/>
          <w:tab w:val="left" w:pos="2160"/>
          <w:tab w:val="left" w:pos="2880"/>
          <w:tab w:val="left" w:pos="3600"/>
          <w:tab w:val="left" w:pos="4320"/>
          <w:tab w:val="left" w:pos="5040"/>
          <w:tab w:val="left" w:pos="5760"/>
          <w:tab w:val="left" w:pos="6480"/>
        </w:tabs>
        <w:autoSpaceDE w:val="0"/>
        <w:autoSpaceDN w:val="0"/>
        <w:adjustRightInd w:val="0"/>
        <w:spacing w:before="40"/>
        <w:rPr>
          <w:sz w:val="24"/>
          <w:szCs w:val="24"/>
        </w:rPr>
      </w:pPr>
    </w:p>
    <w:p w:rsidR="00340D63" w:rsidRPr="00D71C6F" w:rsidRDefault="00B012E2" w:rsidP="00340D63">
      <w:r w:rsidRPr="00B012E2">
        <w:rPr>
          <w:sz w:val="24"/>
          <w:szCs w:val="24"/>
        </w:rPr>
        <w:t xml:space="preserve">The 2018-19 Budget included a measure to exempt former </w:t>
      </w:r>
      <w:r w:rsidR="002460A1">
        <w:rPr>
          <w:sz w:val="24"/>
          <w:szCs w:val="24"/>
        </w:rPr>
        <w:t xml:space="preserve">ADF </w:t>
      </w:r>
      <w:r w:rsidRPr="00B012E2">
        <w:rPr>
          <w:sz w:val="24"/>
          <w:szCs w:val="24"/>
        </w:rPr>
        <w:t>members who are undertaking approved full</w:t>
      </w:r>
      <w:r w:rsidRPr="00B012E2">
        <w:rPr>
          <w:sz w:val="24"/>
          <w:szCs w:val="24"/>
        </w:rPr>
        <w:noBreakHyphen/>
        <w:t>time study as part of their DVA rehabilitation program from the stepdown. Many rehabilitation plans have a return to work focus and some include participation in an approved study program, such as vocational or tertiary level study. The basis for the s</w:t>
      </w:r>
      <w:r>
        <w:rPr>
          <w:sz w:val="24"/>
          <w:szCs w:val="24"/>
        </w:rPr>
        <w:t xml:space="preserve">tudy program is to equip former </w:t>
      </w:r>
      <w:r w:rsidRPr="00B012E2">
        <w:rPr>
          <w:sz w:val="24"/>
          <w:szCs w:val="24"/>
        </w:rPr>
        <w:t>members with the skills and attributes necessary, or enhanc</w:t>
      </w:r>
      <w:r>
        <w:rPr>
          <w:sz w:val="24"/>
          <w:szCs w:val="24"/>
        </w:rPr>
        <w:t xml:space="preserve">e those already held, to assist </w:t>
      </w:r>
      <w:r w:rsidRPr="00B012E2">
        <w:rPr>
          <w:sz w:val="24"/>
          <w:szCs w:val="24"/>
        </w:rPr>
        <w:t>them in securing ongoing sustainable employment after their ADF service.</w:t>
      </w:r>
      <w:r w:rsidR="00D71C6F">
        <w:rPr>
          <w:sz w:val="24"/>
          <w:szCs w:val="24"/>
        </w:rPr>
        <w:t xml:space="preserve"> </w:t>
      </w:r>
      <w:r w:rsidR="002460A1">
        <w:rPr>
          <w:sz w:val="24"/>
          <w:szCs w:val="24"/>
        </w:rPr>
        <w:t xml:space="preserve">This measure </w:t>
      </w:r>
      <w:r w:rsidRPr="00B012E2">
        <w:rPr>
          <w:sz w:val="24"/>
          <w:szCs w:val="24"/>
        </w:rPr>
        <w:t>ensure</w:t>
      </w:r>
      <w:r w:rsidR="002460A1">
        <w:rPr>
          <w:sz w:val="24"/>
          <w:szCs w:val="24"/>
        </w:rPr>
        <w:t>s</w:t>
      </w:r>
      <w:r w:rsidRPr="00B012E2">
        <w:rPr>
          <w:sz w:val="24"/>
          <w:szCs w:val="24"/>
        </w:rPr>
        <w:t xml:space="preserve"> that former </w:t>
      </w:r>
      <w:r w:rsidR="002460A1">
        <w:rPr>
          <w:sz w:val="24"/>
          <w:szCs w:val="24"/>
        </w:rPr>
        <w:t xml:space="preserve">ADF </w:t>
      </w:r>
      <w:r w:rsidRPr="00B012E2">
        <w:rPr>
          <w:sz w:val="24"/>
          <w:szCs w:val="24"/>
        </w:rPr>
        <w:t>members can focus on their s</w:t>
      </w:r>
      <w:r>
        <w:rPr>
          <w:sz w:val="24"/>
          <w:szCs w:val="24"/>
        </w:rPr>
        <w:t xml:space="preserve">tudy and not be concerned about </w:t>
      </w:r>
      <w:r w:rsidRPr="00B012E2">
        <w:rPr>
          <w:sz w:val="24"/>
          <w:szCs w:val="24"/>
        </w:rPr>
        <w:t xml:space="preserve">financial </w:t>
      </w:r>
      <w:r w:rsidR="002460A1">
        <w:rPr>
          <w:sz w:val="24"/>
          <w:szCs w:val="24"/>
        </w:rPr>
        <w:t xml:space="preserve">matters </w:t>
      </w:r>
      <w:r w:rsidRPr="00B012E2">
        <w:rPr>
          <w:sz w:val="24"/>
          <w:szCs w:val="24"/>
        </w:rPr>
        <w:t xml:space="preserve">while they study. </w:t>
      </w:r>
      <w:r w:rsidR="00340D63">
        <w:rPr>
          <w:sz w:val="24"/>
          <w:szCs w:val="24"/>
        </w:rPr>
        <w:t>It will cease to have effect on 1 July 2022.</w:t>
      </w:r>
    </w:p>
    <w:p w:rsidR="00B012E2" w:rsidRDefault="00B012E2" w:rsidP="001A6E6F"/>
    <w:p w:rsidR="00976C83" w:rsidRDefault="001A6E6F" w:rsidP="00787DA5">
      <w:pPr>
        <w:rPr>
          <w:sz w:val="24"/>
          <w:szCs w:val="24"/>
        </w:rPr>
      </w:pPr>
      <w:r w:rsidRPr="00D71C6F">
        <w:rPr>
          <w:sz w:val="24"/>
          <w:szCs w:val="24"/>
        </w:rPr>
        <w:t xml:space="preserve">The attached instrument determines the circumstances in which a person </w:t>
      </w:r>
      <w:r w:rsidR="001F7C01" w:rsidRPr="00D71C6F">
        <w:rPr>
          <w:sz w:val="24"/>
          <w:szCs w:val="24"/>
        </w:rPr>
        <w:t xml:space="preserve">will be considered to be </w:t>
      </w:r>
      <w:r w:rsidR="00D71C6F">
        <w:rPr>
          <w:sz w:val="24"/>
          <w:szCs w:val="24"/>
        </w:rPr>
        <w:t>undertaking full</w:t>
      </w:r>
      <w:r w:rsidR="00D71C6F" w:rsidRPr="00B012E2">
        <w:rPr>
          <w:sz w:val="24"/>
          <w:szCs w:val="24"/>
        </w:rPr>
        <w:noBreakHyphen/>
      </w:r>
      <w:r w:rsidR="00A349AF">
        <w:rPr>
          <w:sz w:val="24"/>
          <w:szCs w:val="24"/>
        </w:rPr>
        <w:t>time study.</w:t>
      </w:r>
      <w:r w:rsidR="001F7C01" w:rsidRPr="00D71C6F">
        <w:rPr>
          <w:sz w:val="24"/>
          <w:szCs w:val="24"/>
        </w:rPr>
        <w:t xml:space="preserve"> </w:t>
      </w:r>
      <w:r w:rsidR="00787DA5">
        <w:rPr>
          <w:sz w:val="24"/>
          <w:szCs w:val="24"/>
        </w:rPr>
        <w:t>A person must be undertaking a course of study that leads to the award of any of the following types of qualifications</w:t>
      </w:r>
      <w:r w:rsidR="00976C83">
        <w:rPr>
          <w:sz w:val="24"/>
          <w:szCs w:val="24"/>
        </w:rPr>
        <w:t>:</w:t>
      </w:r>
    </w:p>
    <w:p w:rsidR="00787DA5" w:rsidRDefault="00787DA5" w:rsidP="00787DA5">
      <w:pPr>
        <w:rPr>
          <w:sz w:val="24"/>
          <w:szCs w:val="24"/>
        </w:rPr>
      </w:pPr>
    </w:p>
    <w:p w:rsidR="00976C83" w:rsidRPr="00254B98" w:rsidRDefault="00976C83" w:rsidP="00254B98">
      <w:pPr>
        <w:numPr>
          <w:ilvl w:val="0"/>
          <w:numId w:val="8"/>
        </w:numPr>
        <w:rPr>
          <w:sz w:val="24"/>
          <w:szCs w:val="24"/>
        </w:rPr>
      </w:pPr>
      <w:r w:rsidRPr="00254B98">
        <w:rPr>
          <w:sz w:val="24"/>
          <w:szCs w:val="24"/>
        </w:rPr>
        <w:t>the Senior Secondary Certificate of Education in the Australian Qualifications Framework or a qualification that is equivalent to it; or</w:t>
      </w:r>
    </w:p>
    <w:p w:rsidR="00976C83" w:rsidRPr="00254B98" w:rsidRDefault="00976C83" w:rsidP="00254B98">
      <w:pPr>
        <w:rPr>
          <w:sz w:val="24"/>
          <w:szCs w:val="24"/>
        </w:rPr>
      </w:pPr>
    </w:p>
    <w:p w:rsidR="00976C83" w:rsidRPr="00254B98" w:rsidRDefault="00976C83" w:rsidP="00254B98">
      <w:pPr>
        <w:numPr>
          <w:ilvl w:val="0"/>
          <w:numId w:val="8"/>
        </w:numPr>
        <w:rPr>
          <w:sz w:val="24"/>
          <w:szCs w:val="24"/>
        </w:rPr>
      </w:pPr>
      <w:r w:rsidRPr="00254B98">
        <w:rPr>
          <w:sz w:val="24"/>
          <w:szCs w:val="24"/>
        </w:rPr>
        <w:t>a qualification accredited at any of the following levels in the Australian Qualifications Framework:</w:t>
      </w:r>
    </w:p>
    <w:p w:rsidR="00976C83" w:rsidRPr="00254B98" w:rsidRDefault="00976C83" w:rsidP="00254B98">
      <w:pPr>
        <w:numPr>
          <w:ilvl w:val="0"/>
          <w:numId w:val="9"/>
        </w:numPr>
        <w:rPr>
          <w:sz w:val="24"/>
          <w:szCs w:val="24"/>
        </w:rPr>
      </w:pPr>
      <w:r w:rsidRPr="00254B98">
        <w:rPr>
          <w:sz w:val="24"/>
          <w:szCs w:val="24"/>
        </w:rPr>
        <w:t>Certificate I, II, III or IV;</w:t>
      </w:r>
    </w:p>
    <w:p w:rsidR="00976C83" w:rsidRPr="00254B98" w:rsidRDefault="00976C83" w:rsidP="00254B98">
      <w:pPr>
        <w:numPr>
          <w:ilvl w:val="0"/>
          <w:numId w:val="9"/>
        </w:numPr>
        <w:rPr>
          <w:sz w:val="24"/>
          <w:szCs w:val="24"/>
        </w:rPr>
      </w:pPr>
      <w:r w:rsidRPr="00254B98">
        <w:rPr>
          <w:sz w:val="24"/>
          <w:szCs w:val="24"/>
        </w:rPr>
        <w:t>diploma;</w:t>
      </w:r>
    </w:p>
    <w:p w:rsidR="00976C83" w:rsidRPr="00254B98" w:rsidRDefault="00976C83" w:rsidP="00254B98">
      <w:pPr>
        <w:numPr>
          <w:ilvl w:val="0"/>
          <w:numId w:val="9"/>
        </w:numPr>
        <w:rPr>
          <w:sz w:val="24"/>
          <w:szCs w:val="24"/>
        </w:rPr>
      </w:pPr>
      <w:r w:rsidRPr="00254B98">
        <w:rPr>
          <w:sz w:val="24"/>
          <w:szCs w:val="24"/>
        </w:rPr>
        <w:t>advanced diploma or associate degree;</w:t>
      </w:r>
    </w:p>
    <w:p w:rsidR="00976C83" w:rsidRPr="00254B98" w:rsidRDefault="00976C83" w:rsidP="00254B98">
      <w:pPr>
        <w:numPr>
          <w:ilvl w:val="0"/>
          <w:numId w:val="9"/>
        </w:numPr>
        <w:rPr>
          <w:sz w:val="24"/>
          <w:szCs w:val="24"/>
        </w:rPr>
      </w:pPr>
      <w:r w:rsidRPr="00254B98">
        <w:rPr>
          <w:sz w:val="24"/>
          <w:szCs w:val="24"/>
        </w:rPr>
        <w:t>bachelor degree;</w:t>
      </w:r>
    </w:p>
    <w:p w:rsidR="00976C83" w:rsidRPr="00254B98" w:rsidRDefault="00976C83" w:rsidP="00254B98">
      <w:pPr>
        <w:numPr>
          <w:ilvl w:val="0"/>
          <w:numId w:val="9"/>
        </w:numPr>
        <w:rPr>
          <w:sz w:val="24"/>
          <w:szCs w:val="24"/>
        </w:rPr>
      </w:pPr>
      <w:r w:rsidRPr="00254B98">
        <w:rPr>
          <w:sz w:val="24"/>
          <w:szCs w:val="24"/>
        </w:rPr>
        <w:t>bachelor honours degree, graduate certificate or graduate diploma.</w:t>
      </w:r>
    </w:p>
    <w:p w:rsidR="00976C83" w:rsidRDefault="00976C83" w:rsidP="00976C83">
      <w:pPr>
        <w:ind w:left="426"/>
        <w:rPr>
          <w:sz w:val="24"/>
          <w:szCs w:val="24"/>
        </w:rPr>
      </w:pPr>
    </w:p>
    <w:p w:rsidR="00787DA5" w:rsidRDefault="00787DA5" w:rsidP="00787DA5">
      <w:pPr>
        <w:rPr>
          <w:sz w:val="24"/>
          <w:szCs w:val="24"/>
        </w:rPr>
      </w:pPr>
      <w:r>
        <w:rPr>
          <w:sz w:val="24"/>
          <w:szCs w:val="24"/>
        </w:rPr>
        <w:t xml:space="preserve">Alternatively, a person must be undertaking a course of study or instruction (a bridging or preparatory course) that is necessary to complete in order to meet the requirements for entry into a course of study or instruction leading to the award of the qualification types mentioned above. </w:t>
      </w:r>
    </w:p>
    <w:p w:rsidR="00787DA5" w:rsidRDefault="00787DA5" w:rsidP="00787DA5">
      <w:pPr>
        <w:rPr>
          <w:sz w:val="24"/>
          <w:szCs w:val="24"/>
        </w:rPr>
      </w:pPr>
    </w:p>
    <w:p w:rsidR="00787DA5" w:rsidRDefault="00787DA5" w:rsidP="00787DA5">
      <w:pPr>
        <w:rPr>
          <w:sz w:val="24"/>
          <w:szCs w:val="24"/>
        </w:rPr>
      </w:pPr>
      <w:r>
        <w:rPr>
          <w:sz w:val="24"/>
          <w:szCs w:val="24"/>
        </w:rPr>
        <w:t>A person must be undertaking at least three</w:t>
      </w:r>
      <w:r>
        <w:rPr>
          <w:sz w:val="24"/>
          <w:szCs w:val="24"/>
        </w:rPr>
        <w:noBreakHyphen/>
        <w:t>quarters of a full</w:t>
      </w:r>
      <w:r>
        <w:rPr>
          <w:sz w:val="24"/>
          <w:szCs w:val="24"/>
        </w:rPr>
        <w:noBreakHyphen/>
        <w:t>time study load for a course as determined by the institution or body conducting the course. In the opinion of the Commission, a person must be making satisfactory progress towards completing the course.</w:t>
      </w:r>
    </w:p>
    <w:p w:rsidR="00787DA5" w:rsidRDefault="00787DA5" w:rsidP="00787DA5">
      <w:pPr>
        <w:rPr>
          <w:sz w:val="24"/>
          <w:szCs w:val="24"/>
        </w:rPr>
      </w:pPr>
    </w:p>
    <w:p w:rsidR="001A6E6F" w:rsidRPr="00FD0A62" w:rsidRDefault="00B16CF7" w:rsidP="00FD0A62">
      <w:pPr>
        <w:rPr>
          <w:sz w:val="24"/>
          <w:szCs w:val="24"/>
        </w:rPr>
      </w:pPr>
      <w:r w:rsidRPr="00FD0A62">
        <w:rPr>
          <w:rFonts w:eastAsia="Calibri"/>
          <w:sz w:val="24"/>
          <w:szCs w:val="24"/>
        </w:rPr>
        <w:t xml:space="preserve">Course providers for the qualification types mentioned above include </w:t>
      </w:r>
      <w:r w:rsidRPr="00FD0A62">
        <w:rPr>
          <w:sz w:val="24"/>
          <w:szCs w:val="24"/>
        </w:rPr>
        <w:t xml:space="preserve">technical and further education (TAFE) colleges, higher education institutions (for example, universities) and registered training organisations. The </w:t>
      </w:r>
      <w:r w:rsidR="001F7C01" w:rsidRPr="00FD0A62">
        <w:rPr>
          <w:sz w:val="24"/>
          <w:szCs w:val="24"/>
        </w:rPr>
        <w:t>Australian Qualifications Framework (AQF)</w:t>
      </w:r>
      <w:r w:rsidRPr="00FD0A62">
        <w:rPr>
          <w:sz w:val="24"/>
          <w:szCs w:val="24"/>
        </w:rPr>
        <w:t xml:space="preserve"> </w:t>
      </w:r>
      <w:r w:rsidR="009223D3" w:rsidRPr="00FD0A62">
        <w:rPr>
          <w:sz w:val="24"/>
          <w:szCs w:val="24"/>
        </w:rPr>
        <w:t xml:space="preserve">is </w:t>
      </w:r>
      <w:r w:rsidR="009223D3" w:rsidRPr="00FD0A62">
        <w:rPr>
          <w:rFonts w:eastAsia="Calibri"/>
          <w:sz w:val="24"/>
          <w:szCs w:val="24"/>
        </w:rPr>
        <w:t>the national policy for regula</w:t>
      </w:r>
      <w:r w:rsidRPr="00FD0A62">
        <w:rPr>
          <w:rFonts w:eastAsia="Calibri"/>
          <w:sz w:val="24"/>
          <w:szCs w:val="24"/>
        </w:rPr>
        <w:t>ted qualifications in Australian</w:t>
      </w:r>
      <w:r w:rsidR="009223D3" w:rsidRPr="00FD0A62">
        <w:rPr>
          <w:rFonts w:eastAsia="Calibri"/>
          <w:sz w:val="24"/>
          <w:szCs w:val="24"/>
        </w:rPr>
        <w:t xml:space="preserve"> education and training</w:t>
      </w:r>
      <w:r w:rsidR="00AB0E22" w:rsidRPr="00FD0A62">
        <w:rPr>
          <w:rFonts w:eastAsia="Calibri"/>
          <w:sz w:val="24"/>
          <w:szCs w:val="24"/>
        </w:rPr>
        <w:t xml:space="preserve">, and it </w:t>
      </w:r>
      <w:r w:rsidR="00D714D5" w:rsidRPr="00FD0A62">
        <w:rPr>
          <w:rFonts w:eastAsia="Calibri"/>
          <w:sz w:val="24"/>
          <w:szCs w:val="24"/>
        </w:rPr>
        <w:t>incorporates different types of qualifications from each education an</w:t>
      </w:r>
      <w:r w:rsidR="00AB0E22" w:rsidRPr="00FD0A62">
        <w:rPr>
          <w:rFonts w:eastAsia="Calibri"/>
          <w:sz w:val="24"/>
          <w:szCs w:val="24"/>
        </w:rPr>
        <w:t>d training sector. I</w:t>
      </w:r>
      <w:r w:rsidR="00D714D5" w:rsidRPr="00FD0A62">
        <w:rPr>
          <w:rFonts w:eastAsia="Calibri"/>
          <w:sz w:val="24"/>
          <w:szCs w:val="24"/>
        </w:rPr>
        <w:t>ntroduced in 1995</w:t>
      </w:r>
      <w:r w:rsidR="00AB0E22" w:rsidRPr="00FD0A62">
        <w:rPr>
          <w:rFonts w:eastAsia="Calibri"/>
          <w:sz w:val="24"/>
          <w:szCs w:val="24"/>
        </w:rPr>
        <w:t xml:space="preserve">, the </w:t>
      </w:r>
      <w:r w:rsidR="00A9540E" w:rsidRPr="00FD0A62">
        <w:rPr>
          <w:rFonts w:eastAsia="Calibri"/>
          <w:sz w:val="24"/>
          <w:szCs w:val="24"/>
        </w:rPr>
        <w:t>AQF underpins</w:t>
      </w:r>
      <w:r w:rsidR="00D714D5" w:rsidRPr="00FD0A62">
        <w:rPr>
          <w:rFonts w:eastAsia="Calibri"/>
          <w:sz w:val="24"/>
          <w:szCs w:val="24"/>
        </w:rPr>
        <w:t xml:space="preserve"> the national system of qualifications </w:t>
      </w:r>
      <w:r w:rsidR="004B5483" w:rsidRPr="00FD0A62">
        <w:rPr>
          <w:rFonts w:eastAsia="Calibri"/>
          <w:sz w:val="24"/>
          <w:szCs w:val="24"/>
        </w:rPr>
        <w:t xml:space="preserve">encompassing </w:t>
      </w:r>
      <w:r w:rsidR="00976C83">
        <w:rPr>
          <w:rFonts w:eastAsia="Calibri"/>
          <w:sz w:val="24"/>
          <w:szCs w:val="24"/>
        </w:rPr>
        <w:t xml:space="preserve">the </w:t>
      </w:r>
      <w:r w:rsidR="004B5483" w:rsidRPr="00FD0A62">
        <w:rPr>
          <w:rFonts w:eastAsia="Calibri"/>
          <w:sz w:val="24"/>
          <w:szCs w:val="24"/>
        </w:rPr>
        <w:t>higher education</w:t>
      </w:r>
      <w:r w:rsidR="00976C83">
        <w:rPr>
          <w:rFonts w:eastAsia="Calibri"/>
          <w:sz w:val="24"/>
          <w:szCs w:val="24"/>
        </w:rPr>
        <w:t xml:space="preserve"> sector</w:t>
      </w:r>
      <w:r w:rsidR="004B5483" w:rsidRPr="00FD0A62">
        <w:rPr>
          <w:rFonts w:eastAsia="Calibri"/>
          <w:sz w:val="24"/>
          <w:szCs w:val="24"/>
        </w:rPr>
        <w:t xml:space="preserve">, </w:t>
      </w:r>
      <w:r w:rsidR="00976C83">
        <w:rPr>
          <w:rFonts w:eastAsia="Calibri"/>
          <w:sz w:val="24"/>
          <w:szCs w:val="24"/>
        </w:rPr>
        <w:t xml:space="preserve">the </w:t>
      </w:r>
      <w:r w:rsidR="004B5483" w:rsidRPr="00FD0A62">
        <w:rPr>
          <w:rFonts w:eastAsia="Calibri"/>
          <w:sz w:val="24"/>
          <w:szCs w:val="24"/>
        </w:rPr>
        <w:t>vocational education and training</w:t>
      </w:r>
      <w:r w:rsidR="00976C83">
        <w:rPr>
          <w:rFonts w:eastAsia="Calibri"/>
          <w:sz w:val="24"/>
          <w:szCs w:val="24"/>
        </w:rPr>
        <w:t xml:space="preserve"> sector,</w:t>
      </w:r>
      <w:r w:rsidR="004B5483" w:rsidRPr="00FD0A62">
        <w:rPr>
          <w:rFonts w:eastAsia="Calibri"/>
          <w:sz w:val="24"/>
          <w:szCs w:val="24"/>
        </w:rPr>
        <w:t xml:space="preserve"> and </w:t>
      </w:r>
      <w:r w:rsidR="00976C83">
        <w:rPr>
          <w:rFonts w:eastAsia="Calibri"/>
          <w:sz w:val="24"/>
          <w:szCs w:val="24"/>
        </w:rPr>
        <w:t xml:space="preserve">the </w:t>
      </w:r>
      <w:r w:rsidR="004B5483" w:rsidRPr="00FD0A62">
        <w:rPr>
          <w:rFonts w:eastAsia="Calibri"/>
          <w:sz w:val="24"/>
          <w:szCs w:val="24"/>
        </w:rPr>
        <w:t>schools</w:t>
      </w:r>
      <w:r w:rsidR="00976C83">
        <w:rPr>
          <w:rFonts w:eastAsia="Calibri"/>
          <w:sz w:val="24"/>
          <w:szCs w:val="24"/>
        </w:rPr>
        <w:t xml:space="preserve"> sector</w:t>
      </w:r>
      <w:r w:rsidR="004B5483" w:rsidRPr="00FD0A62">
        <w:rPr>
          <w:rFonts w:eastAsia="Calibri"/>
          <w:sz w:val="24"/>
          <w:szCs w:val="24"/>
        </w:rPr>
        <w:t xml:space="preserve">. </w:t>
      </w:r>
      <w:r w:rsidR="00976C83">
        <w:rPr>
          <w:rFonts w:eastAsia="Calibri"/>
          <w:sz w:val="24"/>
          <w:szCs w:val="24"/>
        </w:rPr>
        <w:t xml:space="preserve">The AQF regulates all Australian qualifications in those sectors and officially defines the level of education that each qualification title represents. </w:t>
      </w:r>
    </w:p>
    <w:p w:rsidR="001A0406" w:rsidRDefault="001A0406" w:rsidP="001A0406">
      <w:pPr>
        <w:rPr>
          <w:sz w:val="24"/>
          <w:szCs w:val="24"/>
        </w:rPr>
      </w:pPr>
    </w:p>
    <w:p w:rsidR="00F62677" w:rsidRPr="009223D3" w:rsidRDefault="001A0406" w:rsidP="00F62677">
      <w:pPr>
        <w:rPr>
          <w:i/>
          <w:sz w:val="24"/>
          <w:szCs w:val="24"/>
        </w:rPr>
      </w:pPr>
      <w:r>
        <w:rPr>
          <w:sz w:val="24"/>
          <w:szCs w:val="24"/>
        </w:rPr>
        <w:t>Full</w:t>
      </w:r>
      <w:r w:rsidRPr="00B012E2">
        <w:rPr>
          <w:sz w:val="24"/>
          <w:szCs w:val="24"/>
        </w:rPr>
        <w:noBreakHyphen/>
      </w:r>
      <w:r>
        <w:rPr>
          <w:sz w:val="24"/>
          <w:szCs w:val="24"/>
        </w:rPr>
        <w:t xml:space="preserve">time study </w:t>
      </w:r>
      <w:r w:rsidRPr="009223D3">
        <w:rPr>
          <w:sz w:val="24"/>
          <w:szCs w:val="24"/>
        </w:rPr>
        <w:t>include</w:t>
      </w:r>
      <w:r>
        <w:rPr>
          <w:sz w:val="24"/>
          <w:szCs w:val="24"/>
        </w:rPr>
        <w:t>s</w:t>
      </w:r>
      <w:r w:rsidRPr="009223D3">
        <w:rPr>
          <w:sz w:val="24"/>
          <w:szCs w:val="24"/>
        </w:rPr>
        <w:t xml:space="preserve"> semester breaks and other breaks betwe</w:t>
      </w:r>
      <w:r>
        <w:rPr>
          <w:sz w:val="24"/>
          <w:szCs w:val="24"/>
        </w:rPr>
        <w:t>en an ongoing course of study. O</w:t>
      </w:r>
      <w:r w:rsidRPr="004C5C1D">
        <w:rPr>
          <w:sz w:val="24"/>
          <w:szCs w:val="24"/>
        </w:rPr>
        <w:t>ver the break between study periods, a person would not stepdown their level of incapacity payments from 100% to 75% (or another adjusted amount).</w:t>
      </w:r>
      <w:r>
        <w:rPr>
          <w:i/>
          <w:sz w:val="24"/>
          <w:szCs w:val="24"/>
        </w:rPr>
        <w:t xml:space="preserve"> </w:t>
      </w:r>
      <w:r w:rsidR="00F62677">
        <w:rPr>
          <w:sz w:val="24"/>
          <w:szCs w:val="24"/>
        </w:rPr>
        <w:t>However, a person who takes an additional break from their studies, for example, defers their studies for a term or semester,</w:t>
      </w:r>
      <w:r w:rsidR="00F62677" w:rsidRPr="009223D3">
        <w:rPr>
          <w:sz w:val="24"/>
          <w:szCs w:val="24"/>
        </w:rPr>
        <w:t xml:space="preserve"> would </w:t>
      </w:r>
      <w:r w:rsidR="00F62677">
        <w:rPr>
          <w:sz w:val="24"/>
          <w:szCs w:val="24"/>
        </w:rPr>
        <w:t>not be considered to be in full</w:t>
      </w:r>
      <w:r w:rsidR="00F62677" w:rsidRPr="00B012E2">
        <w:rPr>
          <w:sz w:val="24"/>
          <w:szCs w:val="24"/>
        </w:rPr>
        <w:noBreakHyphen/>
      </w:r>
      <w:r w:rsidR="00F62677" w:rsidRPr="009223D3">
        <w:rPr>
          <w:sz w:val="24"/>
          <w:szCs w:val="24"/>
        </w:rPr>
        <w:t>time study and the stepdown will apply for the duration of their break.</w:t>
      </w:r>
    </w:p>
    <w:p w:rsidR="004B5483" w:rsidRPr="005358D3" w:rsidRDefault="004B5483" w:rsidP="005358D3">
      <w:pPr>
        <w:rPr>
          <w:sz w:val="24"/>
          <w:szCs w:val="24"/>
        </w:rPr>
      </w:pPr>
    </w:p>
    <w:p w:rsidR="00C463C6" w:rsidRPr="005358D3" w:rsidRDefault="00C463C6" w:rsidP="005358D3">
      <w:pPr>
        <w:rPr>
          <w:b/>
        </w:rPr>
      </w:pPr>
      <w:r w:rsidRPr="005358D3">
        <w:rPr>
          <w:b/>
        </w:rPr>
        <w:t>CONSULTATION</w:t>
      </w:r>
    </w:p>
    <w:p w:rsidR="005358D3" w:rsidRPr="005358D3" w:rsidRDefault="005358D3" w:rsidP="005358D3">
      <w:pPr>
        <w:rPr>
          <w:sz w:val="24"/>
          <w:szCs w:val="24"/>
        </w:rPr>
      </w:pPr>
    </w:p>
    <w:p w:rsidR="00654B0D" w:rsidRPr="005358D3" w:rsidRDefault="00654B0D" w:rsidP="005358D3">
      <w:pPr>
        <w:rPr>
          <w:sz w:val="24"/>
          <w:szCs w:val="24"/>
        </w:rPr>
      </w:pPr>
      <w:r w:rsidRPr="005358D3">
        <w:rPr>
          <w:sz w:val="24"/>
          <w:szCs w:val="24"/>
        </w:rPr>
        <w:t xml:space="preserve">Section 17 of the Legislation Act 2003 requires the rule-maker to be satisfied that any consultation that is considered appropriate and reasonably practicable to undertake, has been undertaken. </w:t>
      </w:r>
    </w:p>
    <w:p w:rsidR="001E7FBB" w:rsidRDefault="001E7FBB" w:rsidP="00654B0D">
      <w:pPr>
        <w:rPr>
          <w:sz w:val="24"/>
          <w:szCs w:val="24"/>
        </w:rPr>
      </w:pPr>
    </w:p>
    <w:p w:rsidR="00697719" w:rsidRDefault="00192DB7" w:rsidP="00192DB7">
      <w:pPr>
        <w:rPr>
          <w:sz w:val="24"/>
          <w:szCs w:val="24"/>
        </w:rPr>
      </w:pPr>
      <w:r w:rsidRPr="00192DB7">
        <w:rPr>
          <w:sz w:val="24"/>
          <w:szCs w:val="24"/>
        </w:rPr>
        <w:t>No external consultation has been undertaken on this instrument specifically.  However, client feedback provided over a number of years in relation to this matter has been considered in the overall policy design.</w:t>
      </w:r>
      <w:r w:rsidR="00F62677" w:rsidRPr="00F62677">
        <w:rPr>
          <w:sz w:val="24"/>
          <w:szCs w:val="24"/>
        </w:rPr>
        <w:t xml:space="preserve"> </w:t>
      </w:r>
      <w:r w:rsidR="00F62677">
        <w:rPr>
          <w:sz w:val="24"/>
          <w:szCs w:val="24"/>
        </w:rPr>
        <w:t>The instrument allows the implementation of a measure that is beneficial to clients and consistent with the aim of rehabilitation which is to assist individuals to obtain suitable and sustainable employment.</w:t>
      </w:r>
      <w:r w:rsidR="00B23CBB">
        <w:rPr>
          <w:sz w:val="24"/>
          <w:szCs w:val="24"/>
        </w:rPr>
        <w:t xml:space="preserve"> </w:t>
      </w:r>
    </w:p>
    <w:p w:rsidR="00697719" w:rsidRDefault="00697719" w:rsidP="00697719">
      <w:pPr>
        <w:pStyle w:val="PlainText"/>
        <w:rPr>
          <w:rFonts w:ascii="Times New Roman" w:hAnsi="Times New Roman" w:cs="Times New Roman"/>
          <w:sz w:val="24"/>
          <w:szCs w:val="24"/>
        </w:rPr>
      </w:pP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color w:val="000000"/>
          <w:sz w:val="24"/>
          <w:szCs w:val="24"/>
        </w:rPr>
        <w:t xml:space="preserve">Consultation within DVA has been </w:t>
      </w:r>
      <w:r w:rsidRPr="006D0084">
        <w:rPr>
          <w:rFonts w:ascii="Times New Roman" w:hAnsi="Times New Roman" w:cs="Times New Roman"/>
          <w:sz w:val="24"/>
          <w:szCs w:val="24"/>
        </w:rPr>
        <w:t>undertaken with:</w:t>
      </w: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sz w:val="24"/>
          <w:szCs w:val="24"/>
        </w:rPr>
        <w:t>* Incapacity and Permanent Impairment Payments Branch;</w:t>
      </w: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sz w:val="24"/>
          <w:szCs w:val="24"/>
        </w:rPr>
        <w:t>* Employment and Rehabilitation Policy Branch;</w:t>
      </w: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sz w:val="24"/>
          <w:szCs w:val="24"/>
        </w:rPr>
        <w:t>* Eligibility and Payments Policy Branch;</w:t>
      </w: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sz w:val="24"/>
          <w:szCs w:val="24"/>
        </w:rPr>
        <w:t>* Client Access and Rehabilitation Branch; and</w:t>
      </w:r>
    </w:p>
    <w:p w:rsidR="00697719" w:rsidRPr="006D0084" w:rsidRDefault="00697719" w:rsidP="00697719">
      <w:pPr>
        <w:pStyle w:val="PlainText"/>
        <w:rPr>
          <w:rFonts w:ascii="Times New Roman" w:hAnsi="Times New Roman" w:cs="Times New Roman"/>
          <w:sz w:val="24"/>
          <w:szCs w:val="24"/>
        </w:rPr>
      </w:pPr>
      <w:r w:rsidRPr="006D0084">
        <w:rPr>
          <w:rFonts w:ascii="Times New Roman" w:hAnsi="Times New Roman" w:cs="Times New Roman"/>
          <w:sz w:val="24"/>
          <w:szCs w:val="24"/>
        </w:rPr>
        <w:t>* Business Improvement and Support Branch.</w:t>
      </w:r>
    </w:p>
    <w:p w:rsidR="00192DB7" w:rsidRDefault="00192DB7" w:rsidP="00654B0D">
      <w:pPr>
        <w:rPr>
          <w:sz w:val="24"/>
          <w:szCs w:val="24"/>
        </w:rPr>
      </w:pPr>
    </w:p>
    <w:p w:rsidR="00B16CF7" w:rsidRPr="00E879CA" w:rsidRDefault="00B16CF7" w:rsidP="00B16CF7">
      <w:pPr>
        <w:rPr>
          <w:sz w:val="24"/>
          <w:szCs w:val="24"/>
        </w:rPr>
      </w:pPr>
      <w:r w:rsidRPr="00E879CA">
        <w:rPr>
          <w:sz w:val="24"/>
          <w:szCs w:val="24"/>
        </w:rPr>
        <w:t>Further consultation was not considered necessary as the proposal is beneficial in nature in terms of its impact on clients and does not have regulatory impacts on businesses, community organisations or individuals.</w:t>
      </w:r>
    </w:p>
    <w:p w:rsidR="00B16CF7" w:rsidRDefault="00B16CF7" w:rsidP="00B16CF7"/>
    <w:p w:rsidR="00654B0D" w:rsidRPr="005358D3" w:rsidRDefault="00654B0D" w:rsidP="005358D3">
      <w:pPr>
        <w:rPr>
          <w:sz w:val="24"/>
          <w:szCs w:val="24"/>
        </w:rPr>
      </w:pPr>
      <w:r w:rsidRPr="005358D3">
        <w:rPr>
          <w:sz w:val="24"/>
          <w:szCs w:val="24"/>
        </w:rPr>
        <w:lastRenderedPageBreak/>
        <w:t>In these circumstances it is considered that the requirements of section 17 of the Legislation</w:t>
      </w:r>
      <w:r w:rsidR="000B23AF" w:rsidRPr="005358D3">
        <w:rPr>
          <w:sz w:val="24"/>
          <w:szCs w:val="24"/>
        </w:rPr>
        <w:t xml:space="preserve"> Act 2003 </w:t>
      </w:r>
      <w:r w:rsidRPr="005358D3">
        <w:rPr>
          <w:sz w:val="24"/>
          <w:szCs w:val="24"/>
        </w:rPr>
        <w:t>have been met.</w:t>
      </w:r>
    </w:p>
    <w:p w:rsidR="00697719" w:rsidRPr="005358D3" w:rsidRDefault="00697719" w:rsidP="005358D3"/>
    <w:p w:rsidR="00C463C6" w:rsidRPr="005358D3" w:rsidRDefault="00C463C6" w:rsidP="005358D3">
      <w:pPr>
        <w:rPr>
          <w:b/>
          <w:sz w:val="24"/>
          <w:szCs w:val="24"/>
        </w:rPr>
      </w:pPr>
      <w:r w:rsidRPr="005358D3">
        <w:rPr>
          <w:b/>
          <w:sz w:val="24"/>
          <w:szCs w:val="24"/>
        </w:rPr>
        <w:t>RETROSPECTIVITY</w:t>
      </w:r>
    </w:p>
    <w:p w:rsidR="00165110" w:rsidRPr="005358D3" w:rsidRDefault="00165110" w:rsidP="00C463C6">
      <w:pPr>
        <w:rPr>
          <w:color w:val="000000"/>
          <w:sz w:val="24"/>
          <w:szCs w:val="24"/>
        </w:rPr>
      </w:pPr>
    </w:p>
    <w:p w:rsidR="00C463C6" w:rsidRDefault="00165110" w:rsidP="00213C94">
      <w:pPr>
        <w:pStyle w:val="BodyTextIndent2"/>
        <w:ind w:left="0" w:firstLine="0"/>
        <w:rPr>
          <w:color w:val="000000"/>
          <w:szCs w:val="24"/>
        </w:rPr>
      </w:pPr>
      <w:r>
        <w:rPr>
          <w:color w:val="000000"/>
          <w:szCs w:val="24"/>
        </w:rPr>
        <w:t>None</w:t>
      </w:r>
      <w:r w:rsidR="00213C94">
        <w:rPr>
          <w:color w:val="000000"/>
          <w:szCs w:val="24"/>
        </w:rPr>
        <w:t>.</w:t>
      </w:r>
    </w:p>
    <w:p w:rsidR="00213C94" w:rsidRDefault="00213C94" w:rsidP="00213C94">
      <w:pPr>
        <w:pStyle w:val="BodyTextIndent2"/>
        <w:ind w:left="0" w:firstLine="0"/>
        <w:rPr>
          <w:color w:val="000000"/>
          <w:szCs w:val="24"/>
        </w:rPr>
      </w:pPr>
    </w:p>
    <w:p w:rsidR="00C463C6" w:rsidRDefault="00AB0E22" w:rsidP="00C463C6">
      <w:pPr>
        <w:rPr>
          <w:b/>
          <w:color w:val="000000"/>
          <w:sz w:val="24"/>
          <w:szCs w:val="24"/>
        </w:rPr>
      </w:pPr>
      <w:r>
        <w:rPr>
          <w:b/>
          <w:color w:val="000000"/>
          <w:sz w:val="24"/>
          <w:szCs w:val="24"/>
        </w:rPr>
        <w:t xml:space="preserve">DOCUMENTS INCORPORATED BY </w:t>
      </w:r>
      <w:r w:rsidR="00C463C6" w:rsidRPr="000A51A1">
        <w:rPr>
          <w:b/>
          <w:color w:val="000000"/>
          <w:sz w:val="24"/>
          <w:szCs w:val="24"/>
        </w:rPr>
        <w:t>REFERENCE</w:t>
      </w:r>
    </w:p>
    <w:p w:rsidR="00A35C72" w:rsidRDefault="00A35C72" w:rsidP="00C463C6">
      <w:pPr>
        <w:rPr>
          <w:b/>
          <w:color w:val="000000"/>
          <w:sz w:val="24"/>
          <w:szCs w:val="24"/>
        </w:rPr>
      </w:pPr>
    </w:p>
    <w:p w:rsidR="00976C83" w:rsidRDefault="007109A9" w:rsidP="00254B98">
      <w:pPr>
        <w:rPr>
          <w:sz w:val="24"/>
          <w:szCs w:val="24"/>
        </w:rPr>
      </w:pPr>
      <w:r w:rsidRPr="007109A9">
        <w:rPr>
          <w:sz w:val="24"/>
          <w:szCs w:val="24"/>
        </w:rPr>
        <w:t xml:space="preserve">This instrument incorporates, by reference, the Australian Qualifications Framework. The </w:t>
      </w:r>
      <w:r w:rsidRPr="00976C83">
        <w:rPr>
          <w:sz w:val="24"/>
          <w:szCs w:val="24"/>
        </w:rPr>
        <w:t xml:space="preserve">Australian Qualifications Framework that is incorporated by reference is the </w:t>
      </w:r>
      <w:r w:rsidRPr="00737AA8">
        <w:rPr>
          <w:sz w:val="24"/>
          <w:szCs w:val="24"/>
        </w:rPr>
        <w:t xml:space="preserve">version of the </w:t>
      </w:r>
      <w:r w:rsidRPr="00F46C18">
        <w:rPr>
          <w:sz w:val="24"/>
          <w:szCs w:val="24"/>
        </w:rPr>
        <w:t>framework as in force on the day of commencement of this instrument</w:t>
      </w:r>
      <w:r w:rsidR="00976C83">
        <w:rPr>
          <w:sz w:val="24"/>
          <w:szCs w:val="24"/>
        </w:rPr>
        <w:t>. This version is the Second Edition January 2013</w:t>
      </w:r>
      <w:r w:rsidRPr="00737AA8">
        <w:rPr>
          <w:sz w:val="24"/>
          <w:szCs w:val="24"/>
        </w:rPr>
        <w:t xml:space="preserve">. </w:t>
      </w:r>
    </w:p>
    <w:p w:rsidR="00976C83" w:rsidRDefault="00976C83" w:rsidP="00254B98">
      <w:pPr>
        <w:rPr>
          <w:sz w:val="24"/>
          <w:szCs w:val="24"/>
        </w:rPr>
      </w:pPr>
    </w:p>
    <w:p w:rsidR="007109A9" w:rsidRPr="00254B98" w:rsidRDefault="007109A9" w:rsidP="00254B98">
      <w:pPr>
        <w:rPr>
          <w:sz w:val="24"/>
          <w:szCs w:val="24"/>
        </w:rPr>
      </w:pPr>
      <w:r w:rsidRPr="00737AA8">
        <w:rPr>
          <w:sz w:val="24"/>
          <w:szCs w:val="24"/>
        </w:rPr>
        <w:t>The Australian Qualifications Framework is freely available online</w:t>
      </w:r>
      <w:r w:rsidR="00976C83">
        <w:rPr>
          <w:sz w:val="24"/>
          <w:szCs w:val="24"/>
        </w:rPr>
        <w:t xml:space="preserve"> at: </w:t>
      </w:r>
      <w:hyperlink r:id="rId8" w:history="1">
        <w:r w:rsidRPr="00254B98">
          <w:rPr>
            <w:rStyle w:val="Hyperlink"/>
            <w:sz w:val="24"/>
            <w:szCs w:val="24"/>
          </w:rPr>
          <w:t>https://www.aqf.edu.au/sites/aqf/files/aqf-2nd-edition-january-2013.pdf</w:t>
        </w:r>
      </w:hyperlink>
    </w:p>
    <w:p w:rsidR="00A35C72" w:rsidRDefault="00A35C72" w:rsidP="00A35C72">
      <w:pPr>
        <w:rPr>
          <w:color w:val="000000"/>
          <w:sz w:val="24"/>
          <w:szCs w:val="24"/>
        </w:rPr>
      </w:pPr>
    </w:p>
    <w:p w:rsidR="006C48C8" w:rsidRDefault="006C48C8" w:rsidP="00A35C72">
      <w:pPr>
        <w:rPr>
          <w:color w:val="000000"/>
          <w:sz w:val="24"/>
          <w:szCs w:val="24"/>
        </w:rPr>
      </w:pPr>
      <w:r>
        <w:rPr>
          <w:color w:val="000000"/>
          <w:sz w:val="24"/>
          <w:szCs w:val="24"/>
        </w:rPr>
        <w:t>There is no power in the DRCA to incorporate the framework as in force from time to time.</w:t>
      </w:r>
    </w:p>
    <w:p w:rsidR="006C48C8" w:rsidRDefault="006C48C8" w:rsidP="00A35C72">
      <w:pPr>
        <w:rPr>
          <w:color w:val="000000"/>
          <w:sz w:val="24"/>
          <w:szCs w:val="24"/>
        </w:rPr>
      </w:pPr>
    </w:p>
    <w:p w:rsidR="00EE12FC" w:rsidRDefault="00252833" w:rsidP="00C463C6">
      <w:pPr>
        <w:rPr>
          <w:b/>
          <w:color w:val="000000"/>
          <w:sz w:val="24"/>
          <w:szCs w:val="24"/>
        </w:rPr>
      </w:pPr>
      <w:r>
        <w:rPr>
          <w:b/>
          <w:color w:val="000000"/>
          <w:sz w:val="24"/>
          <w:szCs w:val="24"/>
        </w:rPr>
        <w:t>REGULATORY IMPACT</w:t>
      </w:r>
      <w:r w:rsidR="0094492A">
        <w:rPr>
          <w:b/>
          <w:color w:val="000000"/>
          <w:sz w:val="24"/>
          <w:szCs w:val="24"/>
        </w:rPr>
        <w:t xml:space="preserve">  </w:t>
      </w:r>
    </w:p>
    <w:p w:rsidR="00EE12FC" w:rsidRDefault="00EE12FC" w:rsidP="00C463C6">
      <w:pPr>
        <w:rPr>
          <w:b/>
          <w:color w:val="000000"/>
          <w:sz w:val="24"/>
          <w:szCs w:val="24"/>
        </w:rPr>
      </w:pPr>
    </w:p>
    <w:p w:rsidR="000B23AF" w:rsidRDefault="009E03FD" w:rsidP="00C463C6">
      <w:pPr>
        <w:rPr>
          <w:i/>
          <w:color w:val="000000"/>
          <w:sz w:val="24"/>
          <w:szCs w:val="24"/>
        </w:rPr>
      </w:pPr>
      <w:r w:rsidRPr="00840C08">
        <w:rPr>
          <w:color w:val="000000"/>
          <w:sz w:val="24"/>
          <w:szCs w:val="24"/>
        </w:rPr>
        <w:t>None</w:t>
      </w:r>
      <w:r w:rsidR="000B23AF">
        <w:rPr>
          <w:color w:val="000000"/>
          <w:sz w:val="24"/>
          <w:szCs w:val="24"/>
        </w:rPr>
        <w:t>.</w:t>
      </w:r>
      <w:r w:rsidR="001E7FBB">
        <w:rPr>
          <w:color w:val="000000"/>
          <w:sz w:val="24"/>
          <w:szCs w:val="24"/>
        </w:rPr>
        <w:t xml:space="preserve"> </w:t>
      </w:r>
    </w:p>
    <w:p w:rsidR="00AD5AEB" w:rsidRDefault="00AD5AEB" w:rsidP="00C463C6">
      <w:pPr>
        <w:rPr>
          <w:color w:val="000000"/>
          <w:sz w:val="24"/>
          <w:szCs w:val="24"/>
        </w:rPr>
      </w:pPr>
    </w:p>
    <w:p w:rsidR="00C463C6" w:rsidRPr="00234E3F" w:rsidRDefault="00C463C6" w:rsidP="00C463C6">
      <w:pPr>
        <w:rPr>
          <w:color w:val="000000"/>
          <w:sz w:val="24"/>
          <w:szCs w:val="24"/>
        </w:rPr>
      </w:pPr>
      <w:r w:rsidRPr="000A51A1">
        <w:rPr>
          <w:b/>
          <w:color w:val="000000"/>
          <w:sz w:val="24"/>
          <w:szCs w:val="24"/>
        </w:rPr>
        <w:t>HUMAN RIGHTS STATEMENT</w:t>
      </w:r>
    </w:p>
    <w:p w:rsidR="00C463C6" w:rsidRPr="000A51A1" w:rsidRDefault="00C463C6" w:rsidP="00C463C6">
      <w:pPr>
        <w:rPr>
          <w:color w:val="000000"/>
          <w:sz w:val="24"/>
          <w:szCs w:val="24"/>
        </w:rPr>
      </w:pPr>
    </w:p>
    <w:p w:rsidR="006564DE" w:rsidRDefault="00C463C6" w:rsidP="006564DE">
      <w:pPr>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sidR="006564DE">
        <w:rPr>
          <w:sz w:val="24"/>
          <w:szCs w:val="24"/>
        </w:rPr>
        <w:t xml:space="preserve">  </w:t>
      </w:r>
    </w:p>
    <w:p w:rsidR="006564DE" w:rsidRDefault="006564DE" w:rsidP="006564DE">
      <w:pPr>
        <w:jc w:val="both"/>
        <w:rPr>
          <w:sz w:val="24"/>
          <w:szCs w:val="24"/>
        </w:rPr>
      </w:pPr>
    </w:p>
    <w:p w:rsidR="000F14AF" w:rsidRPr="00697719" w:rsidRDefault="000F14AF" w:rsidP="00697719">
      <w:pPr>
        <w:rPr>
          <w:b/>
          <w:sz w:val="24"/>
          <w:szCs w:val="24"/>
        </w:rPr>
      </w:pPr>
      <w:r w:rsidRPr="00697719">
        <w:rPr>
          <w:b/>
          <w:sz w:val="24"/>
          <w:szCs w:val="24"/>
        </w:rPr>
        <w:t>Human rights implications</w:t>
      </w:r>
    </w:p>
    <w:p w:rsidR="00275EBF" w:rsidRPr="00697719" w:rsidRDefault="00B012E2" w:rsidP="00697719">
      <w:pPr>
        <w:rPr>
          <w:sz w:val="24"/>
          <w:szCs w:val="24"/>
        </w:rPr>
      </w:pPr>
      <w:r w:rsidRPr="00697719">
        <w:rPr>
          <w:sz w:val="24"/>
          <w:szCs w:val="24"/>
        </w:rPr>
        <w:t>This instrument</w:t>
      </w:r>
      <w:r w:rsidR="00275EBF" w:rsidRPr="00697719">
        <w:rPr>
          <w:sz w:val="24"/>
          <w:szCs w:val="24"/>
        </w:rPr>
        <w:t xml:space="preserve"> engages the right to social security under Article 9 of the International</w:t>
      </w:r>
    </w:p>
    <w:p w:rsidR="00275EBF" w:rsidRPr="00697719" w:rsidRDefault="00275EBF" w:rsidP="00697719">
      <w:pPr>
        <w:rPr>
          <w:sz w:val="24"/>
          <w:szCs w:val="24"/>
        </w:rPr>
      </w:pPr>
      <w:r w:rsidRPr="00697719">
        <w:rPr>
          <w:sz w:val="24"/>
          <w:szCs w:val="24"/>
        </w:rPr>
        <w:t>Covenant on Economic, Social and Cultural Rights (ICESCR). Article 9 of the ICESCR,</w:t>
      </w:r>
    </w:p>
    <w:p w:rsidR="00275EBF" w:rsidRPr="00697719" w:rsidRDefault="00275EBF" w:rsidP="00697719">
      <w:pPr>
        <w:rPr>
          <w:sz w:val="24"/>
          <w:szCs w:val="24"/>
        </w:rPr>
      </w:pPr>
      <w:r w:rsidRPr="00697719">
        <w:rPr>
          <w:sz w:val="24"/>
          <w:szCs w:val="24"/>
        </w:rPr>
        <w:t>states "States Parties  ...  recognize the right of everyone to social security, including social</w:t>
      </w:r>
    </w:p>
    <w:p w:rsidR="00275EBF" w:rsidRPr="00697719" w:rsidRDefault="00275EBF" w:rsidP="00697719">
      <w:pPr>
        <w:rPr>
          <w:sz w:val="24"/>
          <w:szCs w:val="24"/>
        </w:rPr>
      </w:pPr>
      <w:r w:rsidRPr="00697719">
        <w:rPr>
          <w:sz w:val="24"/>
          <w:szCs w:val="24"/>
        </w:rPr>
        <w:t>insurance". General Comment 19 by the Committee on Economic, Social and Cultural</w:t>
      </w:r>
    </w:p>
    <w:p w:rsidR="00275EBF" w:rsidRPr="00697719" w:rsidRDefault="00275EBF" w:rsidP="00697719">
      <w:pPr>
        <w:rPr>
          <w:sz w:val="24"/>
          <w:szCs w:val="24"/>
        </w:rPr>
      </w:pPr>
      <w:r w:rsidRPr="00697719">
        <w:rPr>
          <w:sz w:val="24"/>
          <w:szCs w:val="24"/>
        </w:rPr>
        <w:t>Rights sets out the essential elements of the right to social security, including "States parties</w:t>
      </w:r>
    </w:p>
    <w:p w:rsidR="00275EBF" w:rsidRPr="00697719" w:rsidRDefault="00275EBF" w:rsidP="00697719">
      <w:r w:rsidRPr="00697719">
        <w:rPr>
          <w:sz w:val="24"/>
          <w:szCs w:val="24"/>
        </w:rPr>
        <w:t>should  ...  ensure the protection of</w:t>
      </w:r>
      <w:r w:rsidRPr="00697719">
        <w:t xml:space="preserve"> workers who are injured in the course of employment or</w:t>
      </w:r>
    </w:p>
    <w:p w:rsidR="00275EBF" w:rsidRPr="00697719" w:rsidRDefault="00275EBF" w:rsidP="00697719">
      <w:r w:rsidRPr="00697719">
        <w:t>other productive work".</w:t>
      </w:r>
    </w:p>
    <w:p w:rsidR="00275EBF" w:rsidRPr="00697719" w:rsidRDefault="00275EBF" w:rsidP="00697719"/>
    <w:p w:rsidR="00275EBF" w:rsidRPr="00B012E2" w:rsidRDefault="00B012E2" w:rsidP="00275EBF">
      <w:pPr>
        <w:rPr>
          <w:sz w:val="24"/>
          <w:szCs w:val="24"/>
        </w:rPr>
      </w:pPr>
      <w:r>
        <w:rPr>
          <w:sz w:val="24"/>
          <w:szCs w:val="24"/>
        </w:rPr>
        <w:t>This instrument</w:t>
      </w:r>
      <w:r w:rsidR="00275EBF" w:rsidRPr="00B012E2">
        <w:rPr>
          <w:sz w:val="24"/>
          <w:szCs w:val="24"/>
        </w:rPr>
        <w:t xml:space="preserve"> also engages the right to education under Article 13 of the ICESCR, which</w:t>
      </w:r>
    </w:p>
    <w:p w:rsidR="00275EBF" w:rsidRPr="00B012E2" w:rsidRDefault="00275EBF" w:rsidP="00275EBF">
      <w:pPr>
        <w:rPr>
          <w:sz w:val="24"/>
          <w:szCs w:val="24"/>
        </w:rPr>
      </w:pPr>
      <w:r w:rsidRPr="00B012E2">
        <w:rPr>
          <w:sz w:val="24"/>
          <w:szCs w:val="24"/>
        </w:rPr>
        <w:t>recognises the right of everyone to education. Relevantly, it recognises that secondary</w:t>
      </w:r>
    </w:p>
    <w:p w:rsidR="00275EBF" w:rsidRPr="00B012E2" w:rsidRDefault="00275EBF" w:rsidP="00275EBF">
      <w:pPr>
        <w:rPr>
          <w:sz w:val="24"/>
          <w:szCs w:val="24"/>
        </w:rPr>
      </w:pPr>
      <w:r w:rsidRPr="00B012E2">
        <w:rPr>
          <w:sz w:val="24"/>
          <w:szCs w:val="24"/>
        </w:rPr>
        <w:t>education, including technical and vocational secondary education, should be made generally</w:t>
      </w:r>
    </w:p>
    <w:p w:rsidR="00275EBF" w:rsidRPr="00B012E2" w:rsidRDefault="00275EBF" w:rsidP="00275EBF">
      <w:pPr>
        <w:rPr>
          <w:sz w:val="24"/>
          <w:szCs w:val="24"/>
        </w:rPr>
      </w:pPr>
      <w:r w:rsidRPr="00B012E2">
        <w:rPr>
          <w:sz w:val="24"/>
          <w:szCs w:val="24"/>
        </w:rPr>
        <w:t>available and accessible to all.</w:t>
      </w:r>
    </w:p>
    <w:p w:rsidR="00275EBF" w:rsidRDefault="00275EBF" w:rsidP="00275EBF">
      <w:pPr>
        <w:rPr>
          <w:sz w:val="24"/>
          <w:szCs w:val="24"/>
        </w:rPr>
      </w:pPr>
    </w:p>
    <w:p w:rsidR="002460A1" w:rsidRPr="00B012E2" w:rsidRDefault="002460A1" w:rsidP="002460A1">
      <w:pPr>
        <w:rPr>
          <w:i/>
          <w:sz w:val="24"/>
          <w:szCs w:val="24"/>
        </w:rPr>
      </w:pPr>
      <w:r>
        <w:rPr>
          <w:i/>
          <w:sz w:val="24"/>
          <w:szCs w:val="24"/>
        </w:rPr>
        <w:t>Overview</w:t>
      </w:r>
    </w:p>
    <w:p w:rsidR="002460A1" w:rsidRDefault="002460A1" w:rsidP="002460A1">
      <w:pPr>
        <w:rPr>
          <w:i/>
          <w:color w:val="000000"/>
          <w:sz w:val="24"/>
          <w:szCs w:val="24"/>
        </w:rPr>
      </w:pPr>
      <w:r w:rsidRPr="003B316F">
        <w:rPr>
          <w:color w:val="000000"/>
          <w:sz w:val="24"/>
          <w:szCs w:val="24"/>
        </w:rPr>
        <w:t xml:space="preserve">The purpose of this legislative instrument is to </w:t>
      </w:r>
      <w:r>
        <w:rPr>
          <w:color w:val="000000"/>
          <w:sz w:val="24"/>
          <w:szCs w:val="24"/>
        </w:rPr>
        <w:t>specify</w:t>
      </w:r>
      <w:r w:rsidRPr="00181BC8">
        <w:rPr>
          <w:color w:val="000000"/>
          <w:sz w:val="24"/>
          <w:szCs w:val="24"/>
        </w:rPr>
        <w:t xml:space="preserve"> the </w:t>
      </w:r>
      <w:r>
        <w:rPr>
          <w:color w:val="000000"/>
          <w:sz w:val="24"/>
          <w:szCs w:val="24"/>
        </w:rPr>
        <w:t>circumstances to be used f</w:t>
      </w:r>
      <w:r w:rsidRPr="00181BC8">
        <w:rPr>
          <w:color w:val="000000"/>
          <w:sz w:val="24"/>
          <w:szCs w:val="24"/>
        </w:rPr>
        <w:t xml:space="preserve">or </w:t>
      </w:r>
      <w:r>
        <w:rPr>
          <w:color w:val="000000"/>
          <w:sz w:val="24"/>
          <w:szCs w:val="24"/>
        </w:rPr>
        <w:t>determining wheth</w:t>
      </w:r>
      <w:r w:rsidR="004C5C1D">
        <w:rPr>
          <w:color w:val="000000"/>
          <w:sz w:val="24"/>
          <w:szCs w:val="24"/>
        </w:rPr>
        <w:t>er a person is undertaking full</w:t>
      </w:r>
      <w:r w:rsidR="004C5C1D" w:rsidRPr="00B012E2">
        <w:rPr>
          <w:sz w:val="24"/>
          <w:szCs w:val="24"/>
        </w:rPr>
        <w:noBreakHyphen/>
      </w:r>
      <w:r>
        <w:rPr>
          <w:color w:val="000000"/>
          <w:sz w:val="24"/>
          <w:szCs w:val="24"/>
        </w:rPr>
        <w:t xml:space="preserve">time study for the purposes of subsection 19(3AB) of </w:t>
      </w:r>
      <w:r w:rsidRPr="00181BC8">
        <w:rPr>
          <w:color w:val="000000"/>
          <w:sz w:val="24"/>
          <w:szCs w:val="24"/>
        </w:rPr>
        <w:t xml:space="preserve">the </w:t>
      </w:r>
      <w:r w:rsidRPr="00EA29E4">
        <w:rPr>
          <w:i/>
          <w:color w:val="000000"/>
          <w:sz w:val="24"/>
          <w:szCs w:val="24"/>
        </w:rPr>
        <w:t>Safety, Rehabilitation and Compensation (Defence-related Claims) Act 1988</w:t>
      </w:r>
      <w:r w:rsidRPr="000A51A1">
        <w:rPr>
          <w:i/>
          <w:color w:val="000000"/>
          <w:sz w:val="24"/>
          <w:szCs w:val="24"/>
        </w:rPr>
        <w:t>.</w:t>
      </w:r>
    </w:p>
    <w:p w:rsidR="002460A1" w:rsidRDefault="002460A1" w:rsidP="00275EBF">
      <w:pPr>
        <w:rPr>
          <w:i/>
          <w:sz w:val="24"/>
          <w:szCs w:val="24"/>
        </w:rPr>
      </w:pPr>
    </w:p>
    <w:p w:rsidR="00275EBF" w:rsidRPr="00FD0A62" w:rsidRDefault="00275EBF" w:rsidP="00FD0A62">
      <w:pPr>
        <w:rPr>
          <w:i/>
          <w:sz w:val="24"/>
          <w:szCs w:val="24"/>
        </w:rPr>
      </w:pPr>
      <w:r w:rsidRPr="00FD0A62">
        <w:rPr>
          <w:i/>
          <w:sz w:val="24"/>
          <w:szCs w:val="24"/>
        </w:rPr>
        <w:t>Conclusion</w:t>
      </w:r>
    </w:p>
    <w:p w:rsidR="00275EBF" w:rsidRPr="00FD0A62" w:rsidRDefault="00275EBF" w:rsidP="00FD0A62">
      <w:pPr>
        <w:rPr>
          <w:sz w:val="24"/>
          <w:szCs w:val="24"/>
        </w:rPr>
      </w:pPr>
      <w:r w:rsidRPr="00FD0A62">
        <w:rPr>
          <w:sz w:val="24"/>
          <w:szCs w:val="24"/>
        </w:rPr>
        <w:t xml:space="preserve">This </w:t>
      </w:r>
      <w:r w:rsidR="002460A1" w:rsidRPr="00FD0A62">
        <w:rPr>
          <w:sz w:val="24"/>
          <w:szCs w:val="24"/>
        </w:rPr>
        <w:t xml:space="preserve">instrument </w:t>
      </w:r>
      <w:r w:rsidRPr="00FD0A62">
        <w:rPr>
          <w:sz w:val="24"/>
          <w:szCs w:val="24"/>
        </w:rPr>
        <w:t>enables</w:t>
      </w:r>
      <w:r w:rsidR="002460A1" w:rsidRPr="00FD0A62">
        <w:rPr>
          <w:sz w:val="24"/>
          <w:szCs w:val="24"/>
        </w:rPr>
        <w:t xml:space="preserve"> </w:t>
      </w:r>
      <w:r w:rsidRPr="00FD0A62">
        <w:rPr>
          <w:sz w:val="24"/>
          <w:szCs w:val="24"/>
        </w:rPr>
        <w:t>eligible veterans to receive full incapacity payments</w:t>
      </w:r>
      <w:r w:rsidR="004C5C1D" w:rsidRPr="00FD0A62">
        <w:rPr>
          <w:sz w:val="24"/>
          <w:szCs w:val="24"/>
        </w:rPr>
        <w:t xml:space="preserve"> while they participate in full</w:t>
      </w:r>
      <w:r w:rsidR="004C5C1D" w:rsidRPr="00FD0A62">
        <w:rPr>
          <w:sz w:val="24"/>
          <w:szCs w:val="24"/>
        </w:rPr>
        <w:noBreakHyphen/>
      </w:r>
      <w:r w:rsidRPr="00FD0A62">
        <w:rPr>
          <w:sz w:val="24"/>
          <w:szCs w:val="24"/>
        </w:rPr>
        <w:t>time study</w:t>
      </w:r>
      <w:r w:rsidR="002460A1" w:rsidRPr="00FD0A62">
        <w:rPr>
          <w:sz w:val="24"/>
          <w:szCs w:val="24"/>
        </w:rPr>
        <w:t xml:space="preserve"> </w:t>
      </w:r>
      <w:r w:rsidR="00EF0E22">
        <w:rPr>
          <w:sz w:val="24"/>
          <w:szCs w:val="24"/>
        </w:rPr>
        <w:t xml:space="preserve">in certain </w:t>
      </w:r>
      <w:r w:rsidRPr="00FD0A62">
        <w:rPr>
          <w:sz w:val="24"/>
          <w:szCs w:val="24"/>
        </w:rPr>
        <w:t>course</w:t>
      </w:r>
      <w:r w:rsidR="00EF0E22">
        <w:rPr>
          <w:sz w:val="24"/>
          <w:szCs w:val="24"/>
        </w:rPr>
        <w:t>s</w:t>
      </w:r>
      <w:r w:rsidRPr="00FD0A62">
        <w:rPr>
          <w:sz w:val="24"/>
          <w:szCs w:val="24"/>
        </w:rPr>
        <w:t xml:space="preserve"> </w:t>
      </w:r>
      <w:r w:rsidR="00382D20" w:rsidRPr="00FD0A62">
        <w:rPr>
          <w:sz w:val="24"/>
          <w:szCs w:val="24"/>
        </w:rPr>
        <w:t xml:space="preserve">identified </w:t>
      </w:r>
      <w:r w:rsidR="00AB0E22" w:rsidRPr="00FD0A62">
        <w:rPr>
          <w:sz w:val="24"/>
          <w:szCs w:val="24"/>
        </w:rPr>
        <w:t>in their DVA rehabilitation plan</w:t>
      </w:r>
      <w:r w:rsidR="003F1995">
        <w:rPr>
          <w:sz w:val="24"/>
          <w:szCs w:val="24"/>
        </w:rPr>
        <w:t xml:space="preserve">. The instrument </w:t>
      </w:r>
      <w:r w:rsidRPr="00FD0A62">
        <w:rPr>
          <w:sz w:val="24"/>
          <w:szCs w:val="24"/>
        </w:rPr>
        <w:t>will lead to greater</w:t>
      </w:r>
      <w:r w:rsidR="002460A1" w:rsidRPr="00FD0A62">
        <w:rPr>
          <w:sz w:val="24"/>
          <w:szCs w:val="24"/>
        </w:rPr>
        <w:t xml:space="preserve"> </w:t>
      </w:r>
      <w:r w:rsidRPr="00FD0A62">
        <w:rPr>
          <w:sz w:val="24"/>
          <w:szCs w:val="24"/>
        </w:rPr>
        <w:t>employment outcomes for the veteran and the community.</w:t>
      </w:r>
    </w:p>
    <w:p w:rsidR="00AB0E22" w:rsidRPr="00FD0A62" w:rsidRDefault="00AB0E22" w:rsidP="00FD0A62">
      <w:pPr>
        <w:rPr>
          <w:sz w:val="24"/>
          <w:szCs w:val="24"/>
        </w:rPr>
      </w:pPr>
    </w:p>
    <w:p w:rsidR="00AD1952" w:rsidRPr="00FD0A62" w:rsidRDefault="00AB0E22" w:rsidP="00FD0A62">
      <w:pPr>
        <w:rPr>
          <w:sz w:val="24"/>
          <w:szCs w:val="24"/>
        </w:rPr>
      </w:pPr>
      <w:r w:rsidRPr="00FD0A62">
        <w:rPr>
          <w:sz w:val="24"/>
          <w:szCs w:val="24"/>
        </w:rPr>
        <w:t>The</w:t>
      </w:r>
      <w:r w:rsidR="00AD1952" w:rsidRPr="00FD0A62">
        <w:rPr>
          <w:sz w:val="24"/>
          <w:szCs w:val="24"/>
        </w:rPr>
        <w:t xml:space="preserve"> attached instrument engages positively with the Right to Social Security</w:t>
      </w:r>
      <w:r w:rsidR="002460A1" w:rsidRPr="00FD0A62">
        <w:rPr>
          <w:sz w:val="24"/>
          <w:szCs w:val="24"/>
        </w:rPr>
        <w:t xml:space="preserve"> and the Right to Education</w:t>
      </w:r>
      <w:r w:rsidR="00AD1952" w:rsidRPr="00FD0A62">
        <w:rPr>
          <w:sz w:val="24"/>
          <w:szCs w:val="24"/>
        </w:rPr>
        <w:t xml:space="preserve">, and is considered to be human rights compatible. </w:t>
      </w:r>
    </w:p>
    <w:p w:rsidR="00213C94" w:rsidRDefault="00213C94" w:rsidP="0078696D">
      <w:pPr>
        <w:pStyle w:val="ListParagraph"/>
        <w:ind w:left="0"/>
        <w:rPr>
          <w:rFonts w:ascii="Times New Roman" w:hAnsi="Times New Roman"/>
          <w:sz w:val="24"/>
          <w:szCs w:val="24"/>
        </w:rPr>
      </w:pPr>
    </w:p>
    <w:p w:rsidR="006564DE" w:rsidRDefault="006564DE" w:rsidP="00C463C6">
      <w:pPr>
        <w:pStyle w:val="Default"/>
        <w:rPr>
          <w:bCs/>
        </w:rPr>
      </w:pPr>
    </w:p>
    <w:p w:rsidR="00181BC8" w:rsidRDefault="008440A4" w:rsidP="00234E3F">
      <w:pPr>
        <w:pStyle w:val="Default"/>
        <w:rPr>
          <w:bCs/>
        </w:rPr>
      </w:pPr>
      <w:r>
        <w:rPr>
          <w:bCs/>
        </w:rPr>
        <w:t>Military Rehabilitation and Compensation Commission</w:t>
      </w:r>
    </w:p>
    <w:p w:rsidR="00234E3F" w:rsidRDefault="00C463C6" w:rsidP="00234E3F">
      <w:pPr>
        <w:pStyle w:val="Default"/>
        <w:rPr>
          <w:bCs/>
        </w:rPr>
      </w:pPr>
      <w:r w:rsidRPr="000A51A1">
        <w:rPr>
          <w:bCs/>
        </w:rPr>
        <w:t>Rule-Maker</w:t>
      </w:r>
    </w:p>
    <w:p w:rsidR="00737AA8" w:rsidRDefault="00737AA8" w:rsidP="00234E3F">
      <w:pPr>
        <w:pStyle w:val="Default"/>
        <w:rPr>
          <w:bCs/>
        </w:rPr>
      </w:pPr>
    </w:p>
    <w:p w:rsidR="00737AA8" w:rsidRDefault="00737AA8" w:rsidP="00737AA8">
      <w:pPr>
        <w:rPr>
          <w:b/>
          <w:color w:val="000000"/>
          <w:sz w:val="24"/>
          <w:szCs w:val="24"/>
        </w:rPr>
      </w:pPr>
    </w:p>
    <w:p w:rsidR="00737AA8" w:rsidRPr="00394452" w:rsidRDefault="00737AA8" w:rsidP="00737AA8">
      <w:pPr>
        <w:rPr>
          <w:b/>
          <w:color w:val="000000"/>
          <w:sz w:val="24"/>
          <w:szCs w:val="24"/>
        </w:rPr>
      </w:pPr>
      <w:r w:rsidRPr="00394452">
        <w:rPr>
          <w:b/>
          <w:color w:val="000000"/>
          <w:sz w:val="24"/>
          <w:szCs w:val="24"/>
        </w:rPr>
        <w:t xml:space="preserve">FURTHER EXPLANATION OF PROVISIONS </w:t>
      </w:r>
    </w:p>
    <w:p w:rsidR="00737AA8" w:rsidRPr="00394452" w:rsidRDefault="00737AA8" w:rsidP="00737AA8">
      <w:pPr>
        <w:pStyle w:val="Default"/>
        <w:autoSpaceDE/>
        <w:adjustRightInd/>
      </w:pPr>
      <w:r w:rsidRPr="00394452">
        <w:t xml:space="preserve">See: </w:t>
      </w:r>
      <w:r w:rsidRPr="00394452">
        <w:rPr>
          <w:u w:val="single"/>
        </w:rPr>
        <w:t>Attachment A</w:t>
      </w:r>
    </w:p>
    <w:p w:rsidR="00737AA8" w:rsidRDefault="00737AA8" w:rsidP="00234E3F">
      <w:pPr>
        <w:pStyle w:val="Default"/>
        <w:rPr>
          <w:bCs/>
        </w:rPr>
      </w:pPr>
    </w:p>
    <w:p w:rsidR="00181BC8" w:rsidRDefault="00737AA8" w:rsidP="00234E3F">
      <w:pPr>
        <w:pStyle w:val="Default"/>
        <w:rPr>
          <w:bCs/>
        </w:rPr>
      </w:pPr>
      <w:r>
        <w:rPr>
          <w:bCs/>
        </w:rPr>
        <w:br w:type="page"/>
      </w:r>
    </w:p>
    <w:p w:rsidR="00252833" w:rsidRPr="00252833" w:rsidRDefault="00252833" w:rsidP="00252833">
      <w:pPr>
        <w:ind w:left="6480"/>
        <w:rPr>
          <w:color w:val="000000"/>
          <w:sz w:val="24"/>
          <w:szCs w:val="24"/>
          <w:u w:val="single"/>
        </w:rPr>
      </w:pPr>
      <w:r w:rsidRPr="00252833">
        <w:rPr>
          <w:color w:val="000000"/>
          <w:sz w:val="24"/>
          <w:szCs w:val="24"/>
          <w:u w:val="single"/>
        </w:rPr>
        <w:lastRenderedPageBreak/>
        <w:t>Attachment A</w:t>
      </w:r>
    </w:p>
    <w:p w:rsidR="00252833" w:rsidRDefault="00252833" w:rsidP="00C463C6">
      <w:pPr>
        <w:rPr>
          <w:b/>
          <w:color w:val="000000"/>
          <w:sz w:val="24"/>
          <w:szCs w:val="24"/>
        </w:rPr>
      </w:pPr>
    </w:p>
    <w:p w:rsidR="00C655EE" w:rsidRDefault="00C655EE" w:rsidP="00C655EE">
      <w:pPr>
        <w:rPr>
          <w:b/>
          <w:color w:val="000000"/>
          <w:sz w:val="24"/>
          <w:szCs w:val="24"/>
        </w:rPr>
      </w:pPr>
      <w:r>
        <w:rPr>
          <w:b/>
          <w:color w:val="000000"/>
          <w:sz w:val="24"/>
          <w:szCs w:val="24"/>
        </w:rPr>
        <w:t xml:space="preserve">FURTHER EXPLANATION OF PROVISIONS  </w:t>
      </w:r>
    </w:p>
    <w:p w:rsidR="00252833" w:rsidRDefault="00252833" w:rsidP="00920538">
      <w:pPr>
        <w:rPr>
          <w:b/>
          <w:color w:val="000000"/>
          <w:sz w:val="24"/>
          <w:szCs w:val="24"/>
        </w:rPr>
      </w:pPr>
    </w:p>
    <w:p w:rsidR="00CC09ED" w:rsidRPr="00C655EE" w:rsidRDefault="00CC09ED" w:rsidP="00C463C6">
      <w:pPr>
        <w:rPr>
          <w:color w:val="000000"/>
          <w:sz w:val="24"/>
          <w:szCs w:val="24"/>
          <w:u w:val="single"/>
        </w:rPr>
      </w:pPr>
      <w:r w:rsidRPr="00C655EE">
        <w:rPr>
          <w:color w:val="000000"/>
          <w:sz w:val="24"/>
          <w:szCs w:val="24"/>
          <w:u w:val="single"/>
        </w:rPr>
        <w:t>Section 1</w:t>
      </w:r>
    </w:p>
    <w:p w:rsidR="00002733" w:rsidRPr="007C7B5A" w:rsidRDefault="00E26562" w:rsidP="007C7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lang w:val="en-GB"/>
        </w:rPr>
      </w:pPr>
      <w:r w:rsidRPr="00E26562">
        <w:rPr>
          <w:color w:val="000000"/>
          <w:sz w:val="24"/>
          <w:szCs w:val="24"/>
          <w:lang w:val="en-US"/>
        </w:rPr>
        <w:t xml:space="preserve">This section </w:t>
      </w:r>
      <w:r w:rsidR="002B51D4">
        <w:rPr>
          <w:color w:val="000000"/>
          <w:sz w:val="24"/>
          <w:szCs w:val="24"/>
          <w:lang w:val="en-US"/>
        </w:rPr>
        <w:t xml:space="preserve">provides that the </w:t>
      </w:r>
      <w:r w:rsidR="006E0168">
        <w:rPr>
          <w:color w:val="000000"/>
          <w:sz w:val="24"/>
          <w:szCs w:val="24"/>
          <w:lang w:val="en-US"/>
        </w:rPr>
        <w:t xml:space="preserve">name </w:t>
      </w:r>
      <w:r w:rsidR="006E0168" w:rsidRPr="00892228">
        <w:rPr>
          <w:color w:val="000000"/>
          <w:sz w:val="24"/>
          <w:szCs w:val="24"/>
        </w:rPr>
        <w:t xml:space="preserve">of </w:t>
      </w:r>
      <w:r w:rsidRPr="00892228">
        <w:rPr>
          <w:color w:val="000000"/>
          <w:sz w:val="24"/>
          <w:szCs w:val="24"/>
        </w:rPr>
        <w:t xml:space="preserve">the </w:t>
      </w:r>
      <w:r w:rsidR="005473B8" w:rsidRPr="00892228">
        <w:rPr>
          <w:color w:val="000000"/>
          <w:sz w:val="24"/>
          <w:szCs w:val="24"/>
        </w:rPr>
        <w:t xml:space="preserve">instrument </w:t>
      </w:r>
      <w:r w:rsidR="002B51D4" w:rsidRPr="00892228">
        <w:rPr>
          <w:color w:val="000000"/>
          <w:sz w:val="24"/>
          <w:szCs w:val="24"/>
        </w:rPr>
        <w:t>is t</w:t>
      </w:r>
      <w:r w:rsidR="00002733">
        <w:rPr>
          <w:color w:val="000000"/>
          <w:sz w:val="24"/>
          <w:szCs w:val="24"/>
          <w:lang w:val="en-GB"/>
        </w:rPr>
        <w:t xml:space="preserve">he </w:t>
      </w:r>
      <w:r w:rsidR="00002733">
        <w:rPr>
          <w:i/>
          <w:color w:val="000000"/>
          <w:sz w:val="24"/>
          <w:szCs w:val="24"/>
          <w:lang w:val="en-GB"/>
        </w:rPr>
        <w:t>Safety, Rehabilit</w:t>
      </w:r>
      <w:r w:rsidR="00C96D40">
        <w:rPr>
          <w:i/>
          <w:color w:val="000000"/>
          <w:sz w:val="24"/>
          <w:szCs w:val="24"/>
          <w:lang w:val="en-GB"/>
        </w:rPr>
        <w:t>ation and Compensation (Defence</w:t>
      </w:r>
      <w:r w:rsidR="00C96D40" w:rsidRPr="00B012E2">
        <w:rPr>
          <w:sz w:val="24"/>
          <w:szCs w:val="24"/>
        </w:rPr>
        <w:noBreakHyphen/>
      </w:r>
      <w:r w:rsidR="00002733">
        <w:rPr>
          <w:i/>
          <w:color w:val="000000"/>
          <w:sz w:val="24"/>
          <w:szCs w:val="24"/>
          <w:lang w:val="en-GB"/>
        </w:rPr>
        <w:t>related Claims) (</w:t>
      </w:r>
      <w:r w:rsidR="00C96D40">
        <w:rPr>
          <w:i/>
          <w:color w:val="000000"/>
          <w:sz w:val="24"/>
          <w:szCs w:val="24"/>
          <w:lang w:val="en-GB"/>
        </w:rPr>
        <w:t>Full</w:t>
      </w:r>
      <w:r w:rsidR="00C96D40" w:rsidRPr="00B012E2">
        <w:rPr>
          <w:sz w:val="24"/>
          <w:szCs w:val="24"/>
        </w:rPr>
        <w:noBreakHyphen/>
      </w:r>
      <w:r w:rsidR="008440A4">
        <w:rPr>
          <w:i/>
          <w:color w:val="000000"/>
          <w:sz w:val="24"/>
          <w:szCs w:val="24"/>
          <w:lang w:val="en-GB"/>
        </w:rPr>
        <w:t>time Study) Instrument</w:t>
      </w:r>
      <w:r w:rsidR="00002733">
        <w:rPr>
          <w:i/>
          <w:color w:val="000000"/>
          <w:sz w:val="24"/>
          <w:szCs w:val="24"/>
          <w:lang w:val="en-GB"/>
        </w:rPr>
        <w:t xml:space="preserve"> 2018.</w:t>
      </w:r>
    </w:p>
    <w:p w:rsidR="002F5C84" w:rsidRDefault="002F5C84" w:rsidP="00C463C6">
      <w:pPr>
        <w:rPr>
          <w:b/>
          <w:color w:val="000000"/>
          <w:sz w:val="24"/>
          <w:szCs w:val="24"/>
        </w:rPr>
      </w:pPr>
    </w:p>
    <w:p w:rsidR="00CC09ED" w:rsidRPr="00C655EE" w:rsidRDefault="00E26562" w:rsidP="00C463C6">
      <w:pPr>
        <w:rPr>
          <w:color w:val="000000"/>
          <w:sz w:val="24"/>
          <w:szCs w:val="24"/>
          <w:u w:val="single"/>
        </w:rPr>
      </w:pPr>
      <w:r w:rsidRPr="00C655EE">
        <w:rPr>
          <w:color w:val="000000"/>
          <w:sz w:val="24"/>
          <w:szCs w:val="24"/>
          <w:u w:val="single"/>
        </w:rPr>
        <w:t>Section 2</w:t>
      </w:r>
    </w:p>
    <w:p w:rsidR="007C7B5A" w:rsidRDefault="00225896" w:rsidP="007C7B5A">
      <w:pPr>
        <w:rPr>
          <w:color w:val="000000"/>
          <w:sz w:val="24"/>
          <w:szCs w:val="24"/>
          <w:lang w:val="en-GB"/>
        </w:rPr>
      </w:pPr>
      <w:r w:rsidRPr="006E0168">
        <w:rPr>
          <w:color w:val="000000"/>
          <w:sz w:val="24"/>
          <w:szCs w:val="24"/>
          <w:lang w:val="en-US"/>
        </w:rPr>
        <w:t xml:space="preserve">This </w:t>
      </w:r>
      <w:r w:rsidR="006E0168">
        <w:rPr>
          <w:color w:val="000000"/>
          <w:sz w:val="24"/>
          <w:szCs w:val="24"/>
          <w:lang w:val="en-US"/>
        </w:rPr>
        <w:t xml:space="preserve">section provides that the </w:t>
      </w:r>
      <w:r w:rsidR="00313B04">
        <w:rPr>
          <w:color w:val="000000"/>
          <w:sz w:val="24"/>
          <w:szCs w:val="24"/>
          <w:lang w:val="en-GB"/>
        </w:rPr>
        <w:t>i</w:t>
      </w:r>
      <w:r w:rsidR="00313B04" w:rsidRPr="00AF4A81">
        <w:rPr>
          <w:color w:val="000000"/>
          <w:sz w:val="24"/>
          <w:szCs w:val="24"/>
          <w:lang w:val="en-GB"/>
        </w:rPr>
        <w:t xml:space="preserve">nstrument </w:t>
      </w:r>
      <w:r w:rsidR="00CD7462">
        <w:rPr>
          <w:color w:val="000000"/>
          <w:sz w:val="24"/>
          <w:szCs w:val="24"/>
          <w:lang w:val="en-GB"/>
        </w:rPr>
        <w:t xml:space="preserve">is to commence on </w:t>
      </w:r>
      <w:r w:rsidR="008440A4">
        <w:rPr>
          <w:color w:val="000000"/>
          <w:sz w:val="24"/>
          <w:szCs w:val="24"/>
          <w:lang w:val="en-GB"/>
        </w:rPr>
        <w:t>1 November </w:t>
      </w:r>
      <w:r w:rsidR="007C7B5A">
        <w:rPr>
          <w:color w:val="000000"/>
          <w:sz w:val="24"/>
          <w:szCs w:val="24"/>
          <w:lang w:val="en-GB"/>
        </w:rPr>
        <w:t>2018.</w:t>
      </w:r>
    </w:p>
    <w:p w:rsidR="00313B04" w:rsidRPr="00313B04" w:rsidRDefault="00313B04" w:rsidP="00CD7462">
      <w:pPr>
        <w:rPr>
          <w:color w:val="000000"/>
          <w:sz w:val="24"/>
          <w:szCs w:val="24"/>
          <w:lang w:val="en-US"/>
        </w:rPr>
      </w:pPr>
    </w:p>
    <w:p w:rsidR="00E26562" w:rsidRPr="00B10FD1" w:rsidRDefault="00E26562" w:rsidP="00C463C6">
      <w:pPr>
        <w:rPr>
          <w:color w:val="000000"/>
          <w:sz w:val="24"/>
          <w:szCs w:val="24"/>
          <w:u w:val="single"/>
        </w:rPr>
      </w:pPr>
      <w:r w:rsidRPr="00B10FD1">
        <w:rPr>
          <w:color w:val="000000"/>
          <w:sz w:val="24"/>
          <w:szCs w:val="24"/>
          <w:u w:val="single"/>
        </w:rPr>
        <w:t xml:space="preserve">Section </w:t>
      </w:r>
      <w:r w:rsidR="0084545A">
        <w:rPr>
          <w:color w:val="000000"/>
          <w:sz w:val="24"/>
          <w:szCs w:val="24"/>
          <w:u w:val="single"/>
        </w:rPr>
        <w:t>3</w:t>
      </w:r>
    </w:p>
    <w:p w:rsidR="007C7B5A" w:rsidRPr="00A65BE4" w:rsidRDefault="00B10FD1" w:rsidP="007C7B5A">
      <w:pPr>
        <w:rPr>
          <w:i/>
          <w:color w:val="000000"/>
          <w:sz w:val="24"/>
          <w:szCs w:val="24"/>
        </w:rPr>
      </w:pPr>
      <w:r w:rsidRPr="00B10FD1">
        <w:rPr>
          <w:sz w:val="24"/>
          <w:szCs w:val="24"/>
        </w:rPr>
        <w:t>This section sets out the primary legislation that authorises the making of the instrument, namely</w:t>
      </w:r>
      <w:r w:rsidR="002227E6">
        <w:rPr>
          <w:sz w:val="24"/>
          <w:szCs w:val="24"/>
        </w:rPr>
        <w:t>,</w:t>
      </w:r>
      <w:r w:rsidRPr="00B10FD1">
        <w:rPr>
          <w:sz w:val="24"/>
          <w:szCs w:val="24"/>
        </w:rPr>
        <w:t xml:space="preserve"> </w:t>
      </w:r>
      <w:r w:rsidR="008440A4">
        <w:rPr>
          <w:sz w:val="24"/>
          <w:szCs w:val="24"/>
        </w:rPr>
        <w:t>subsection 19(3AC</w:t>
      </w:r>
      <w:r w:rsidR="007F2F7E">
        <w:rPr>
          <w:sz w:val="24"/>
          <w:szCs w:val="24"/>
        </w:rPr>
        <w:t xml:space="preserve">) of the </w:t>
      </w:r>
      <w:r w:rsidR="00A65BE4" w:rsidRPr="00B34CC0">
        <w:rPr>
          <w:i/>
          <w:color w:val="000000"/>
          <w:sz w:val="24"/>
          <w:szCs w:val="24"/>
        </w:rPr>
        <w:t xml:space="preserve">Safety, Rehabilitation and Compensation (Defence-related Claims) Act 1988 </w:t>
      </w:r>
      <w:r w:rsidR="00A65BE4" w:rsidRPr="000A51A1">
        <w:rPr>
          <w:color w:val="000000"/>
          <w:sz w:val="24"/>
          <w:szCs w:val="24"/>
        </w:rPr>
        <w:t>(</w:t>
      </w:r>
      <w:r w:rsidR="00A65BE4">
        <w:rPr>
          <w:color w:val="000000"/>
          <w:sz w:val="24"/>
          <w:szCs w:val="24"/>
        </w:rPr>
        <w:t>DRCA</w:t>
      </w:r>
      <w:r w:rsidR="00A65BE4" w:rsidRPr="000A51A1">
        <w:rPr>
          <w:color w:val="000000"/>
          <w:sz w:val="24"/>
          <w:szCs w:val="24"/>
        </w:rPr>
        <w:t>)</w:t>
      </w:r>
      <w:r w:rsidR="00A65BE4" w:rsidRPr="000A51A1">
        <w:rPr>
          <w:i/>
          <w:color w:val="000000"/>
          <w:sz w:val="24"/>
          <w:szCs w:val="24"/>
        </w:rPr>
        <w:t>.</w:t>
      </w:r>
    </w:p>
    <w:p w:rsidR="00BA4776" w:rsidRDefault="00BA4776" w:rsidP="00657137"/>
    <w:p w:rsidR="005B7319" w:rsidRPr="0058747E" w:rsidRDefault="00884F6F" w:rsidP="005B7319">
      <w:pPr>
        <w:rPr>
          <w:sz w:val="24"/>
        </w:rPr>
      </w:pPr>
      <w:r>
        <w:rPr>
          <w:sz w:val="24"/>
          <w:szCs w:val="24"/>
        </w:rPr>
        <w:t xml:space="preserve">Subsection 19(3AC) of the </w:t>
      </w:r>
      <w:r>
        <w:rPr>
          <w:color w:val="000000"/>
          <w:sz w:val="24"/>
          <w:szCs w:val="24"/>
        </w:rPr>
        <w:t xml:space="preserve">DRCA was inserted by Schedule 1 of </w:t>
      </w:r>
      <w:r w:rsidR="005B7319">
        <w:rPr>
          <w:color w:val="000000"/>
          <w:sz w:val="24"/>
          <w:szCs w:val="24"/>
        </w:rPr>
        <w:t xml:space="preserve">the </w:t>
      </w:r>
      <w:r w:rsidR="005B7319" w:rsidRPr="003F6885">
        <w:rPr>
          <w:i/>
          <w:sz w:val="24"/>
        </w:rPr>
        <w:t>Veterans’ Affairs Legislation Amendment (Veteran-centric Reforms No.2) Act 2018</w:t>
      </w:r>
      <w:r w:rsidR="005B7319">
        <w:rPr>
          <w:sz w:val="24"/>
        </w:rPr>
        <w:t>. Schedule 1</w:t>
      </w:r>
      <w:r w:rsidR="005B7319" w:rsidRPr="00265AFE">
        <w:rPr>
          <w:sz w:val="24"/>
        </w:rPr>
        <w:t xml:space="preserve"> </w:t>
      </w:r>
      <w:r w:rsidR="005B7319">
        <w:rPr>
          <w:sz w:val="24"/>
        </w:rPr>
        <w:t>commences on the later of 1 November</w:t>
      </w:r>
      <w:r w:rsidR="005B7319" w:rsidRPr="00265AFE">
        <w:rPr>
          <w:sz w:val="24"/>
        </w:rPr>
        <w:t> 2018</w:t>
      </w:r>
      <w:r w:rsidR="005B7319">
        <w:rPr>
          <w:sz w:val="24"/>
        </w:rPr>
        <w:t xml:space="preserve"> </w:t>
      </w:r>
      <w:r w:rsidR="005B7319" w:rsidRPr="00265AFE">
        <w:rPr>
          <w:sz w:val="24"/>
        </w:rPr>
        <w:t>or the seventh day after the Act receives the Royal Assent.</w:t>
      </w:r>
      <w:r w:rsidR="005B7319">
        <w:rPr>
          <w:sz w:val="24"/>
        </w:rPr>
        <w:t xml:space="preserve"> </w:t>
      </w:r>
      <w:r w:rsidR="005B7319">
        <w:rPr>
          <w:color w:val="000000"/>
          <w:sz w:val="24"/>
          <w:szCs w:val="24"/>
          <w:lang w:val="en-US"/>
        </w:rPr>
        <w:t xml:space="preserve">The </w:t>
      </w:r>
      <w:r w:rsidR="005B7319" w:rsidRPr="003F6885">
        <w:rPr>
          <w:i/>
          <w:sz w:val="24"/>
        </w:rPr>
        <w:t xml:space="preserve">Veterans’ Affairs Legislation Amendment (Veteran-centric Reforms No.2) Act 2018 </w:t>
      </w:r>
      <w:r w:rsidR="005B7319">
        <w:rPr>
          <w:sz w:val="24"/>
        </w:rPr>
        <w:t xml:space="preserve">received the Royal Assent on 29 June 2018. </w:t>
      </w:r>
      <w:r w:rsidR="00A97A53">
        <w:rPr>
          <w:color w:val="000000"/>
          <w:sz w:val="24"/>
          <w:szCs w:val="24"/>
          <w:lang w:val="en-US"/>
        </w:rPr>
        <w:t xml:space="preserve">This means </w:t>
      </w:r>
      <w:r w:rsidR="005B7319">
        <w:rPr>
          <w:color w:val="000000"/>
          <w:sz w:val="24"/>
          <w:szCs w:val="24"/>
          <w:lang w:val="en-US"/>
        </w:rPr>
        <w:t>that, a</w:t>
      </w:r>
      <w:r w:rsidR="005B7319" w:rsidRPr="00265AFE">
        <w:rPr>
          <w:color w:val="000000"/>
          <w:sz w:val="24"/>
          <w:szCs w:val="24"/>
          <w:lang w:val="en-US"/>
        </w:rPr>
        <w:t xml:space="preserve">t the time of </w:t>
      </w:r>
      <w:r w:rsidR="005B7319">
        <w:rPr>
          <w:color w:val="000000"/>
          <w:sz w:val="24"/>
          <w:szCs w:val="24"/>
          <w:lang w:val="en-US"/>
        </w:rPr>
        <w:t xml:space="preserve">the Commission </w:t>
      </w:r>
      <w:r w:rsidR="005B7319" w:rsidRPr="0058747E">
        <w:rPr>
          <w:color w:val="000000"/>
          <w:sz w:val="24"/>
          <w:szCs w:val="24"/>
          <w:lang w:val="en-US"/>
        </w:rPr>
        <w:t>making</w:t>
      </w:r>
      <w:r w:rsidR="005B7319" w:rsidRPr="00265AFE">
        <w:rPr>
          <w:color w:val="000000"/>
          <w:sz w:val="24"/>
          <w:szCs w:val="24"/>
          <w:lang w:val="en-US"/>
        </w:rPr>
        <w:t xml:space="preserve"> the instrument</w:t>
      </w:r>
      <w:r w:rsidR="005B7319">
        <w:rPr>
          <w:color w:val="000000"/>
          <w:sz w:val="24"/>
          <w:szCs w:val="24"/>
          <w:lang w:val="en-US"/>
        </w:rPr>
        <w:t xml:space="preserve">, </w:t>
      </w:r>
      <w:r w:rsidR="005B7319">
        <w:rPr>
          <w:sz w:val="24"/>
          <w:szCs w:val="24"/>
        </w:rPr>
        <w:t xml:space="preserve">subsection 19(3AC) </w:t>
      </w:r>
      <w:r w:rsidR="005B7319" w:rsidRPr="00265AFE">
        <w:rPr>
          <w:color w:val="000000"/>
          <w:sz w:val="24"/>
          <w:szCs w:val="24"/>
        </w:rPr>
        <w:t>h</w:t>
      </w:r>
      <w:r w:rsidR="005B7319" w:rsidRPr="00265AFE">
        <w:rPr>
          <w:color w:val="000000"/>
          <w:sz w:val="24"/>
          <w:szCs w:val="24"/>
          <w:lang w:val="en-US"/>
        </w:rPr>
        <w:t xml:space="preserve">ad not commenced. </w:t>
      </w:r>
      <w:r w:rsidR="005B7319" w:rsidRPr="003A60C7">
        <w:rPr>
          <w:sz w:val="24"/>
          <w:szCs w:val="24"/>
          <w:lang w:val="en-US"/>
        </w:rPr>
        <w:t xml:space="preserve">Accordingly, the instrument is made in reliance on section 4 of the </w:t>
      </w:r>
      <w:r w:rsidR="005B7319" w:rsidRPr="003A60C7">
        <w:rPr>
          <w:i/>
          <w:sz w:val="24"/>
          <w:szCs w:val="24"/>
          <w:lang w:val="en-US"/>
        </w:rPr>
        <w:t>Acts Interpretation Act 1901</w:t>
      </w:r>
      <w:r w:rsidR="005B7319" w:rsidRPr="003A60C7">
        <w:rPr>
          <w:sz w:val="24"/>
          <w:szCs w:val="24"/>
          <w:lang w:val="en-US"/>
        </w:rPr>
        <w:t xml:space="preserve"> which provides for the exercise of the instrument-making power as if the relevant commencement of the empowering provision had occurred.</w:t>
      </w:r>
    </w:p>
    <w:p w:rsidR="00884F6F" w:rsidRPr="005B7319" w:rsidRDefault="00884F6F" w:rsidP="00884F6F">
      <w:pPr>
        <w:rPr>
          <w:color w:val="000000"/>
          <w:sz w:val="24"/>
          <w:szCs w:val="24"/>
        </w:rPr>
      </w:pPr>
    </w:p>
    <w:p w:rsidR="00657137" w:rsidRPr="0057326C" w:rsidRDefault="00657137" w:rsidP="00657137">
      <w:pPr>
        <w:rPr>
          <w:color w:val="000000"/>
          <w:sz w:val="24"/>
          <w:szCs w:val="24"/>
          <w:u w:val="single"/>
          <w:lang w:val="en-GB" w:eastAsia="ja-JP"/>
        </w:rPr>
      </w:pPr>
      <w:r w:rsidRPr="0057326C">
        <w:rPr>
          <w:color w:val="000000"/>
          <w:sz w:val="24"/>
          <w:szCs w:val="24"/>
          <w:u w:val="single"/>
          <w:lang w:val="en-GB" w:eastAsia="ja-JP"/>
        </w:rPr>
        <w:t>Section 4</w:t>
      </w:r>
    </w:p>
    <w:p w:rsidR="00657137" w:rsidRPr="00C96D40" w:rsidRDefault="00657137" w:rsidP="00657137">
      <w:pPr>
        <w:rPr>
          <w:color w:val="000000"/>
          <w:sz w:val="24"/>
          <w:szCs w:val="24"/>
        </w:rPr>
      </w:pPr>
      <w:r w:rsidRPr="0057326C">
        <w:rPr>
          <w:sz w:val="24"/>
          <w:szCs w:val="24"/>
          <w:lang w:val="en-GB" w:eastAsia="ja-JP"/>
        </w:rPr>
        <w:t xml:space="preserve">This section is a purpose provision. </w:t>
      </w:r>
      <w:r>
        <w:rPr>
          <w:sz w:val="24"/>
          <w:szCs w:val="24"/>
          <w:lang w:val="en-GB" w:eastAsia="ja-JP"/>
        </w:rPr>
        <w:t xml:space="preserve">The purpose of the instrument is to determine </w:t>
      </w:r>
      <w:r w:rsidRPr="00181BC8">
        <w:rPr>
          <w:color w:val="000000"/>
          <w:sz w:val="24"/>
          <w:szCs w:val="24"/>
        </w:rPr>
        <w:t xml:space="preserve">the </w:t>
      </w:r>
      <w:r>
        <w:rPr>
          <w:color w:val="000000"/>
          <w:sz w:val="24"/>
          <w:szCs w:val="24"/>
        </w:rPr>
        <w:t>circumstances when a person will be co</w:t>
      </w:r>
      <w:r w:rsidR="004C5C1D">
        <w:rPr>
          <w:color w:val="000000"/>
          <w:sz w:val="24"/>
          <w:szCs w:val="24"/>
        </w:rPr>
        <w:t>nsidered to be undertaking full</w:t>
      </w:r>
      <w:r w:rsidR="004C5C1D" w:rsidRPr="00B012E2">
        <w:rPr>
          <w:sz w:val="24"/>
          <w:szCs w:val="24"/>
        </w:rPr>
        <w:noBreakHyphen/>
      </w:r>
      <w:r>
        <w:rPr>
          <w:color w:val="000000"/>
          <w:sz w:val="24"/>
          <w:szCs w:val="24"/>
        </w:rPr>
        <w:t xml:space="preserve">time study for the purposes of subsection 19(3AB) of </w:t>
      </w:r>
      <w:r w:rsidRPr="00181BC8">
        <w:rPr>
          <w:color w:val="000000"/>
          <w:sz w:val="24"/>
          <w:szCs w:val="24"/>
        </w:rPr>
        <w:t>the</w:t>
      </w:r>
      <w:r>
        <w:rPr>
          <w:color w:val="000000"/>
          <w:sz w:val="24"/>
          <w:szCs w:val="24"/>
        </w:rPr>
        <w:t xml:space="preserve"> DRCA. </w:t>
      </w:r>
    </w:p>
    <w:p w:rsidR="007C7B5A" w:rsidRDefault="007C7B5A" w:rsidP="00EB1781">
      <w:pPr>
        <w:rPr>
          <w:color w:val="000000"/>
          <w:sz w:val="24"/>
          <w:szCs w:val="24"/>
          <w:u w:val="single"/>
        </w:rPr>
      </w:pPr>
    </w:p>
    <w:p w:rsidR="009B5D59" w:rsidRDefault="009B5D59" w:rsidP="009B5D59">
      <w:pPr>
        <w:rPr>
          <w:color w:val="000000"/>
          <w:sz w:val="24"/>
          <w:szCs w:val="24"/>
          <w:u w:val="single"/>
        </w:rPr>
      </w:pPr>
      <w:r w:rsidRPr="00C655EE">
        <w:rPr>
          <w:color w:val="000000"/>
          <w:sz w:val="24"/>
          <w:szCs w:val="24"/>
          <w:u w:val="single"/>
        </w:rPr>
        <w:t xml:space="preserve">Section </w:t>
      </w:r>
      <w:r w:rsidR="00657137">
        <w:rPr>
          <w:color w:val="000000"/>
          <w:sz w:val="24"/>
          <w:szCs w:val="24"/>
          <w:u w:val="single"/>
        </w:rPr>
        <w:t>5</w:t>
      </w:r>
    </w:p>
    <w:p w:rsidR="0034008D" w:rsidRDefault="009B5D59" w:rsidP="009B5D59">
      <w:pPr>
        <w:rPr>
          <w:rFonts w:eastAsia="Calibri"/>
          <w:i/>
          <w:color w:val="000000"/>
          <w:sz w:val="24"/>
          <w:szCs w:val="24"/>
          <w:lang w:eastAsia="en-US"/>
        </w:rPr>
      </w:pPr>
      <w:r w:rsidRPr="00E51904">
        <w:rPr>
          <w:rFonts w:eastAsia="Calibri"/>
          <w:color w:val="000000"/>
          <w:sz w:val="24"/>
          <w:szCs w:val="24"/>
          <w:lang w:val="en-GB" w:eastAsia="en-US"/>
        </w:rPr>
        <w:t xml:space="preserve">This section specifies </w:t>
      </w:r>
      <w:r w:rsidRPr="00E51904">
        <w:rPr>
          <w:rFonts w:eastAsia="Calibri"/>
          <w:color w:val="000000"/>
          <w:sz w:val="24"/>
          <w:szCs w:val="24"/>
          <w:lang w:eastAsia="en-US"/>
        </w:rPr>
        <w:t xml:space="preserve">the </w:t>
      </w:r>
      <w:r w:rsidR="00657137" w:rsidRPr="00E51904">
        <w:rPr>
          <w:rFonts w:eastAsia="Calibri"/>
          <w:color w:val="000000"/>
          <w:sz w:val="24"/>
          <w:szCs w:val="24"/>
          <w:lang w:eastAsia="en-US"/>
        </w:rPr>
        <w:t xml:space="preserve">circumstances </w:t>
      </w:r>
      <w:r w:rsidRPr="00E51904">
        <w:rPr>
          <w:rFonts w:eastAsia="Calibri"/>
          <w:color w:val="000000"/>
          <w:sz w:val="24"/>
          <w:szCs w:val="24"/>
          <w:lang w:eastAsia="en-US"/>
        </w:rPr>
        <w:t>for determining whether a person is undertaking full-time study</w:t>
      </w:r>
      <w:r w:rsidRPr="00E51904">
        <w:rPr>
          <w:rFonts w:eastAsia="Calibri"/>
          <w:i/>
          <w:color w:val="000000"/>
          <w:sz w:val="24"/>
          <w:szCs w:val="24"/>
          <w:lang w:eastAsia="en-US"/>
        </w:rPr>
        <w:t>.</w:t>
      </w:r>
      <w:r w:rsidR="0034008D">
        <w:rPr>
          <w:i/>
          <w:color w:val="000000"/>
          <w:sz w:val="24"/>
          <w:szCs w:val="24"/>
        </w:rPr>
        <w:t xml:space="preserve"> </w:t>
      </w:r>
    </w:p>
    <w:p w:rsidR="0034008D" w:rsidRPr="0034008D" w:rsidRDefault="0034008D" w:rsidP="009B5D59">
      <w:pPr>
        <w:rPr>
          <w:i/>
          <w:color w:val="000000"/>
          <w:sz w:val="24"/>
          <w:szCs w:val="24"/>
        </w:rPr>
      </w:pPr>
    </w:p>
    <w:p w:rsidR="00976C83" w:rsidRPr="00AF2414" w:rsidRDefault="004C5C1D" w:rsidP="00E51904">
      <w:pPr>
        <w:pStyle w:val="ListParagraph"/>
        <w:ind w:left="0"/>
        <w:rPr>
          <w:sz w:val="24"/>
          <w:szCs w:val="24"/>
        </w:rPr>
      </w:pPr>
      <w:r w:rsidRPr="0034008D">
        <w:rPr>
          <w:sz w:val="24"/>
          <w:szCs w:val="24"/>
        </w:rPr>
        <w:t>A person is undertaking full</w:t>
      </w:r>
      <w:r w:rsidRPr="00E51904">
        <w:rPr>
          <w:rFonts w:ascii="Times New Roman" w:hAnsi="Times New Roman"/>
          <w:sz w:val="24"/>
          <w:szCs w:val="24"/>
        </w:rPr>
        <w:noBreakHyphen/>
      </w:r>
      <w:r w:rsidR="00077EE8" w:rsidRPr="0034008D">
        <w:rPr>
          <w:sz w:val="24"/>
          <w:szCs w:val="24"/>
        </w:rPr>
        <w:t xml:space="preserve">time study if the person </w:t>
      </w:r>
      <w:r w:rsidR="00976C83" w:rsidRPr="00E51904">
        <w:rPr>
          <w:rFonts w:ascii="Times New Roman" w:hAnsi="Times New Roman"/>
          <w:sz w:val="24"/>
          <w:szCs w:val="24"/>
        </w:rPr>
        <w:t>is enrolled in a course of study or instruction that leads to the award of any of the following types of qualifications:</w:t>
      </w:r>
    </w:p>
    <w:p w:rsidR="00976C83" w:rsidRDefault="00976C83" w:rsidP="00976C83">
      <w:pPr>
        <w:rPr>
          <w:sz w:val="24"/>
          <w:szCs w:val="24"/>
        </w:rPr>
      </w:pPr>
    </w:p>
    <w:p w:rsidR="00976C83" w:rsidRPr="00896923" w:rsidRDefault="00976C83" w:rsidP="00254B98">
      <w:pPr>
        <w:numPr>
          <w:ilvl w:val="0"/>
          <w:numId w:val="10"/>
        </w:numPr>
        <w:rPr>
          <w:sz w:val="24"/>
          <w:szCs w:val="24"/>
        </w:rPr>
      </w:pPr>
      <w:r w:rsidRPr="00896923">
        <w:rPr>
          <w:sz w:val="24"/>
          <w:szCs w:val="24"/>
        </w:rPr>
        <w:t>the Senior Secondary Certificate of Education in the Australian Qualifications Framework or a qualification that is equivalent to it; or</w:t>
      </w:r>
    </w:p>
    <w:p w:rsidR="00976C83" w:rsidRPr="00896923" w:rsidRDefault="00976C83" w:rsidP="00976C83">
      <w:pPr>
        <w:rPr>
          <w:sz w:val="24"/>
          <w:szCs w:val="24"/>
        </w:rPr>
      </w:pPr>
    </w:p>
    <w:p w:rsidR="00976C83" w:rsidRPr="00896923" w:rsidRDefault="00976C83" w:rsidP="00254B98">
      <w:pPr>
        <w:numPr>
          <w:ilvl w:val="0"/>
          <w:numId w:val="10"/>
        </w:numPr>
        <w:rPr>
          <w:sz w:val="24"/>
          <w:szCs w:val="24"/>
        </w:rPr>
      </w:pPr>
      <w:r w:rsidRPr="00896923">
        <w:rPr>
          <w:sz w:val="24"/>
          <w:szCs w:val="24"/>
        </w:rPr>
        <w:t>a qualification accredited at any of the following levels in the Australian Qualifications Framework:</w:t>
      </w:r>
    </w:p>
    <w:p w:rsidR="00976C83" w:rsidRPr="00896923" w:rsidRDefault="00976C83" w:rsidP="005A7238">
      <w:pPr>
        <w:numPr>
          <w:ilvl w:val="0"/>
          <w:numId w:val="9"/>
        </w:numPr>
        <w:ind w:firstLine="54"/>
        <w:rPr>
          <w:sz w:val="24"/>
          <w:szCs w:val="24"/>
        </w:rPr>
      </w:pPr>
      <w:r w:rsidRPr="00896923">
        <w:rPr>
          <w:sz w:val="24"/>
          <w:szCs w:val="24"/>
        </w:rPr>
        <w:t>Certificate I, II, III or IV;</w:t>
      </w:r>
    </w:p>
    <w:p w:rsidR="00976C83" w:rsidRPr="00896923" w:rsidRDefault="00976C83" w:rsidP="005A7238">
      <w:pPr>
        <w:numPr>
          <w:ilvl w:val="0"/>
          <w:numId w:val="9"/>
        </w:numPr>
        <w:ind w:firstLine="54"/>
        <w:rPr>
          <w:sz w:val="24"/>
          <w:szCs w:val="24"/>
        </w:rPr>
      </w:pPr>
      <w:r w:rsidRPr="00896923">
        <w:rPr>
          <w:sz w:val="24"/>
          <w:szCs w:val="24"/>
        </w:rPr>
        <w:t>diploma;</w:t>
      </w:r>
    </w:p>
    <w:p w:rsidR="00976C83" w:rsidRPr="00896923" w:rsidRDefault="00976C83" w:rsidP="005A7238">
      <w:pPr>
        <w:numPr>
          <w:ilvl w:val="0"/>
          <w:numId w:val="9"/>
        </w:numPr>
        <w:ind w:firstLine="54"/>
        <w:rPr>
          <w:sz w:val="24"/>
          <w:szCs w:val="24"/>
        </w:rPr>
      </w:pPr>
      <w:r w:rsidRPr="00896923">
        <w:rPr>
          <w:sz w:val="24"/>
          <w:szCs w:val="24"/>
        </w:rPr>
        <w:t>advanced diploma or associate degree;</w:t>
      </w:r>
    </w:p>
    <w:p w:rsidR="00976C83" w:rsidRPr="00896923" w:rsidRDefault="00976C83" w:rsidP="005A7238">
      <w:pPr>
        <w:numPr>
          <w:ilvl w:val="0"/>
          <w:numId w:val="9"/>
        </w:numPr>
        <w:ind w:firstLine="54"/>
        <w:rPr>
          <w:sz w:val="24"/>
          <w:szCs w:val="24"/>
        </w:rPr>
      </w:pPr>
      <w:r w:rsidRPr="00896923">
        <w:rPr>
          <w:sz w:val="24"/>
          <w:szCs w:val="24"/>
        </w:rPr>
        <w:t>bachelor degree;</w:t>
      </w:r>
    </w:p>
    <w:p w:rsidR="00976C83" w:rsidRPr="00896923" w:rsidRDefault="00976C83" w:rsidP="005A7238">
      <w:pPr>
        <w:numPr>
          <w:ilvl w:val="0"/>
          <w:numId w:val="9"/>
        </w:numPr>
        <w:ind w:firstLine="54"/>
        <w:rPr>
          <w:sz w:val="24"/>
          <w:szCs w:val="24"/>
        </w:rPr>
      </w:pPr>
      <w:r w:rsidRPr="00896923">
        <w:rPr>
          <w:sz w:val="24"/>
          <w:szCs w:val="24"/>
        </w:rPr>
        <w:t>bachelor honours degree, graduate certificate or graduate diploma.</w:t>
      </w:r>
    </w:p>
    <w:p w:rsidR="00A349AF" w:rsidRPr="00AF2414" w:rsidRDefault="00A349AF" w:rsidP="00A349AF">
      <w:pPr>
        <w:ind w:firstLine="720"/>
        <w:rPr>
          <w:sz w:val="24"/>
          <w:szCs w:val="24"/>
        </w:rPr>
      </w:pPr>
    </w:p>
    <w:p w:rsidR="00A349AF" w:rsidRDefault="00A349AF" w:rsidP="00E51904">
      <w:pPr>
        <w:rPr>
          <w:sz w:val="24"/>
          <w:szCs w:val="24"/>
        </w:rPr>
      </w:pPr>
      <w:r>
        <w:rPr>
          <w:sz w:val="24"/>
          <w:szCs w:val="24"/>
        </w:rPr>
        <w:lastRenderedPageBreak/>
        <w:t xml:space="preserve">Alternatively, a person can be enrolled in a course of study or instruction that </w:t>
      </w:r>
      <w:r w:rsidRPr="003324D0">
        <w:rPr>
          <w:sz w:val="24"/>
          <w:szCs w:val="24"/>
        </w:rPr>
        <w:t xml:space="preserve">is necessary to complete in order to meet the requirements for entry into a course of study or instruction </w:t>
      </w:r>
      <w:r>
        <w:rPr>
          <w:sz w:val="24"/>
          <w:szCs w:val="24"/>
        </w:rPr>
        <w:t xml:space="preserve">that leads to the award of any of the above qualification types. </w:t>
      </w:r>
    </w:p>
    <w:p w:rsidR="00A349AF" w:rsidRPr="003324D0" w:rsidRDefault="00A349AF" w:rsidP="00A349AF">
      <w:pPr>
        <w:rPr>
          <w:sz w:val="24"/>
          <w:szCs w:val="24"/>
        </w:rPr>
      </w:pPr>
    </w:p>
    <w:p w:rsidR="00657137" w:rsidRPr="00657137" w:rsidRDefault="0034008D" w:rsidP="00E51904">
      <w:pPr>
        <w:pStyle w:val="ListParagraph"/>
        <w:ind w:left="0"/>
        <w:rPr>
          <w:rFonts w:ascii="Times New Roman" w:hAnsi="Times New Roman"/>
          <w:sz w:val="24"/>
          <w:szCs w:val="24"/>
        </w:rPr>
      </w:pPr>
      <w:r>
        <w:rPr>
          <w:rFonts w:ascii="Times New Roman" w:hAnsi="Times New Roman"/>
          <w:sz w:val="24"/>
          <w:szCs w:val="24"/>
        </w:rPr>
        <w:t>T</w:t>
      </w:r>
      <w:r w:rsidR="00657137" w:rsidRPr="00657137">
        <w:rPr>
          <w:rFonts w:ascii="Times New Roman" w:hAnsi="Times New Roman"/>
          <w:sz w:val="24"/>
          <w:szCs w:val="24"/>
        </w:rPr>
        <w:t xml:space="preserve">he person </w:t>
      </w:r>
      <w:r>
        <w:rPr>
          <w:rFonts w:ascii="Times New Roman" w:hAnsi="Times New Roman"/>
          <w:sz w:val="24"/>
          <w:szCs w:val="24"/>
        </w:rPr>
        <w:t xml:space="preserve">must be </w:t>
      </w:r>
      <w:r w:rsidR="00657137" w:rsidRPr="00657137">
        <w:rPr>
          <w:rFonts w:ascii="Times New Roman" w:hAnsi="Times New Roman"/>
          <w:sz w:val="24"/>
          <w:szCs w:val="24"/>
        </w:rPr>
        <w:t>undertaking in the p</w:t>
      </w:r>
      <w:r w:rsidR="00382D20">
        <w:rPr>
          <w:rFonts w:ascii="Times New Roman" w:hAnsi="Times New Roman"/>
          <w:sz w:val="24"/>
          <w:szCs w:val="24"/>
        </w:rPr>
        <w:t>articular study period (</w:t>
      </w:r>
      <w:r w:rsidR="00657137" w:rsidRPr="00657137">
        <w:rPr>
          <w:rFonts w:ascii="Times New Roman" w:hAnsi="Times New Roman"/>
          <w:sz w:val="24"/>
          <w:szCs w:val="24"/>
        </w:rPr>
        <w:t>for example, a semester) for which he or she is enrolled in the course at least three-quarters of the normal amount of full-time study in respect of</w:t>
      </w:r>
      <w:r w:rsidR="00340D63">
        <w:rPr>
          <w:rFonts w:ascii="Times New Roman" w:hAnsi="Times New Roman"/>
          <w:sz w:val="24"/>
          <w:szCs w:val="24"/>
        </w:rPr>
        <w:t xml:space="preserve"> the course for that period.</w:t>
      </w:r>
      <w:r>
        <w:rPr>
          <w:rFonts w:ascii="Times New Roman" w:hAnsi="Times New Roman"/>
          <w:sz w:val="24"/>
          <w:szCs w:val="24"/>
        </w:rPr>
        <w:t xml:space="preserve"> I</w:t>
      </w:r>
      <w:r w:rsidR="00657137" w:rsidRPr="00657137">
        <w:rPr>
          <w:rFonts w:ascii="Times New Roman" w:hAnsi="Times New Roman"/>
          <w:sz w:val="24"/>
          <w:szCs w:val="24"/>
        </w:rPr>
        <w:t xml:space="preserve">n the Commission’s opinion, the person </w:t>
      </w:r>
      <w:r>
        <w:rPr>
          <w:rFonts w:ascii="Times New Roman" w:hAnsi="Times New Roman"/>
          <w:sz w:val="24"/>
          <w:szCs w:val="24"/>
        </w:rPr>
        <w:t>must be</w:t>
      </w:r>
      <w:r w:rsidR="00657137" w:rsidRPr="00657137">
        <w:rPr>
          <w:rFonts w:ascii="Times New Roman" w:hAnsi="Times New Roman"/>
          <w:sz w:val="24"/>
          <w:szCs w:val="24"/>
        </w:rPr>
        <w:t xml:space="preserve"> making satisfactory progress towards completing the course.</w:t>
      </w:r>
    </w:p>
    <w:p w:rsidR="00657137" w:rsidRPr="00657137" w:rsidRDefault="00657137" w:rsidP="00657137">
      <w:pPr>
        <w:rPr>
          <w:sz w:val="24"/>
          <w:szCs w:val="24"/>
        </w:rPr>
      </w:pPr>
    </w:p>
    <w:p w:rsidR="00657137" w:rsidRDefault="00657137" w:rsidP="00657137">
      <w:pPr>
        <w:pStyle w:val="ListParagraph"/>
        <w:ind w:left="0"/>
        <w:rPr>
          <w:rFonts w:ascii="Times New Roman" w:hAnsi="Times New Roman"/>
          <w:sz w:val="24"/>
          <w:szCs w:val="24"/>
        </w:rPr>
      </w:pPr>
      <w:r>
        <w:rPr>
          <w:rFonts w:ascii="Times New Roman" w:hAnsi="Times New Roman"/>
          <w:sz w:val="24"/>
          <w:szCs w:val="24"/>
        </w:rPr>
        <w:t>T</w:t>
      </w:r>
      <w:r w:rsidRPr="00657137">
        <w:rPr>
          <w:rFonts w:ascii="Times New Roman" w:hAnsi="Times New Roman"/>
          <w:sz w:val="24"/>
          <w:szCs w:val="24"/>
        </w:rPr>
        <w:t>he normal amount of full-time study in respect o</w:t>
      </w:r>
      <w:r>
        <w:rPr>
          <w:rFonts w:ascii="Times New Roman" w:hAnsi="Times New Roman"/>
          <w:sz w:val="24"/>
          <w:szCs w:val="24"/>
        </w:rPr>
        <w:t>f a course is the amount defined by</w:t>
      </w:r>
      <w:r w:rsidRPr="00657137">
        <w:rPr>
          <w:rFonts w:ascii="Times New Roman" w:hAnsi="Times New Roman"/>
          <w:sz w:val="24"/>
          <w:szCs w:val="24"/>
        </w:rPr>
        <w:t xml:space="preserve"> the </w:t>
      </w:r>
      <w:r w:rsidR="003F1995">
        <w:rPr>
          <w:rFonts w:ascii="Times New Roman" w:hAnsi="Times New Roman"/>
          <w:sz w:val="24"/>
          <w:szCs w:val="24"/>
        </w:rPr>
        <w:t>institution or body</w:t>
      </w:r>
      <w:r w:rsidR="00C96D40">
        <w:rPr>
          <w:rFonts w:ascii="Times New Roman" w:hAnsi="Times New Roman"/>
          <w:sz w:val="24"/>
          <w:szCs w:val="24"/>
        </w:rPr>
        <w:t xml:space="preserve"> </w:t>
      </w:r>
      <w:r w:rsidRPr="00657137">
        <w:rPr>
          <w:rFonts w:ascii="Times New Roman" w:hAnsi="Times New Roman"/>
          <w:sz w:val="24"/>
          <w:szCs w:val="24"/>
        </w:rPr>
        <w:t>co</w:t>
      </w:r>
      <w:r w:rsidR="004C5C1D">
        <w:rPr>
          <w:rFonts w:ascii="Times New Roman" w:hAnsi="Times New Roman"/>
          <w:sz w:val="24"/>
          <w:szCs w:val="24"/>
        </w:rPr>
        <w:t>nducting the course that a full</w:t>
      </w:r>
      <w:r w:rsidR="004C5C1D" w:rsidRPr="00B012E2">
        <w:rPr>
          <w:sz w:val="24"/>
          <w:szCs w:val="24"/>
        </w:rPr>
        <w:noBreakHyphen/>
      </w:r>
      <w:r w:rsidRPr="00657137">
        <w:rPr>
          <w:rFonts w:ascii="Times New Roman" w:hAnsi="Times New Roman"/>
          <w:sz w:val="24"/>
          <w:szCs w:val="24"/>
        </w:rPr>
        <w:t>time student should typically under</w:t>
      </w:r>
      <w:r>
        <w:rPr>
          <w:rFonts w:ascii="Times New Roman" w:hAnsi="Times New Roman"/>
          <w:sz w:val="24"/>
          <w:szCs w:val="24"/>
        </w:rPr>
        <w:t>take in respect of the course</w:t>
      </w:r>
      <w:bookmarkStart w:id="0" w:name="paragraph"/>
      <w:bookmarkEnd w:id="0"/>
      <w:r>
        <w:rPr>
          <w:rFonts w:ascii="Times New Roman" w:hAnsi="Times New Roman"/>
          <w:sz w:val="24"/>
          <w:szCs w:val="24"/>
        </w:rPr>
        <w:t>. If the defined amount is not available</w:t>
      </w:r>
      <w:r w:rsidR="00FE2866">
        <w:rPr>
          <w:rFonts w:ascii="Times New Roman" w:hAnsi="Times New Roman"/>
          <w:sz w:val="24"/>
          <w:szCs w:val="24"/>
        </w:rPr>
        <w:t xml:space="preserve">, then </w:t>
      </w:r>
      <w:r w:rsidR="004C5C1D">
        <w:rPr>
          <w:rFonts w:ascii="Times New Roman" w:hAnsi="Times New Roman"/>
          <w:sz w:val="24"/>
          <w:szCs w:val="24"/>
        </w:rPr>
        <w:t>the normal amount of full</w:t>
      </w:r>
      <w:r w:rsidR="004C5C1D" w:rsidRPr="00B012E2">
        <w:rPr>
          <w:sz w:val="24"/>
          <w:szCs w:val="24"/>
        </w:rPr>
        <w:noBreakHyphen/>
      </w:r>
      <w:r w:rsidR="00E9790F">
        <w:rPr>
          <w:rFonts w:ascii="Times New Roman" w:hAnsi="Times New Roman"/>
          <w:sz w:val="24"/>
          <w:szCs w:val="24"/>
        </w:rPr>
        <w:t xml:space="preserve">time study is the </w:t>
      </w:r>
      <w:r w:rsidR="004C5C1D">
        <w:rPr>
          <w:rFonts w:ascii="Times New Roman" w:hAnsi="Times New Roman"/>
          <w:sz w:val="24"/>
          <w:szCs w:val="24"/>
        </w:rPr>
        <w:t>average amount of full</w:t>
      </w:r>
      <w:r w:rsidR="004C5C1D" w:rsidRPr="00B012E2">
        <w:rPr>
          <w:sz w:val="24"/>
          <w:szCs w:val="24"/>
        </w:rPr>
        <w:noBreakHyphen/>
      </w:r>
      <w:r w:rsidRPr="00657137">
        <w:rPr>
          <w:rFonts w:ascii="Times New Roman" w:hAnsi="Times New Roman"/>
          <w:sz w:val="24"/>
          <w:szCs w:val="24"/>
        </w:rPr>
        <w:t xml:space="preserve">time study that a person would have to undertake for the duration of the course in order to complete the course in the minimum amount of time needed to complete it. </w:t>
      </w:r>
    </w:p>
    <w:p w:rsidR="00976C83" w:rsidRDefault="00976C83" w:rsidP="00657137">
      <w:pPr>
        <w:pStyle w:val="ListParagraph"/>
        <w:ind w:left="0"/>
        <w:rPr>
          <w:rFonts w:ascii="Times New Roman" w:hAnsi="Times New Roman"/>
          <w:sz w:val="24"/>
          <w:szCs w:val="24"/>
        </w:rPr>
      </w:pPr>
    </w:p>
    <w:p w:rsidR="00976C83" w:rsidRPr="00254B98" w:rsidRDefault="00976C83" w:rsidP="00737AA8">
      <w:pPr>
        <w:rPr>
          <w:sz w:val="24"/>
          <w:szCs w:val="24"/>
        </w:rPr>
      </w:pPr>
      <w:r w:rsidRPr="00737AA8">
        <w:rPr>
          <w:sz w:val="24"/>
          <w:szCs w:val="24"/>
        </w:rPr>
        <w:t xml:space="preserve">The </w:t>
      </w:r>
      <w:r w:rsidRPr="00254B98">
        <w:rPr>
          <w:sz w:val="24"/>
          <w:szCs w:val="24"/>
        </w:rPr>
        <w:t>Australian Qualifications Framework</w:t>
      </w:r>
      <w:r w:rsidRPr="00737AA8">
        <w:rPr>
          <w:sz w:val="24"/>
          <w:szCs w:val="24"/>
        </w:rPr>
        <w:t xml:space="preserve"> is defined, and </w:t>
      </w:r>
      <w:r>
        <w:rPr>
          <w:sz w:val="24"/>
          <w:szCs w:val="24"/>
        </w:rPr>
        <w:t xml:space="preserve">the definition refers to the version of the framework </w:t>
      </w:r>
      <w:bookmarkStart w:id="1" w:name="subsection2"/>
      <w:bookmarkEnd w:id="1"/>
      <w:r w:rsidRPr="00737AA8">
        <w:rPr>
          <w:sz w:val="24"/>
          <w:szCs w:val="24"/>
        </w:rPr>
        <w:t>as in force on the day of commencement of this instrument</w:t>
      </w:r>
      <w:r w:rsidRPr="00F46C18">
        <w:rPr>
          <w:sz w:val="24"/>
          <w:szCs w:val="24"/>
        </w:rPr>
        <w:t xml:space="preserve">. </w:t>
      </w:r>
      <w:r w:rsidR="00F46C18" w:rsidRPr="00254B98">
        <w:rPr>
          <w:sz w:val="24"/>
          <w:szCs w:val="24"/>
        </w:rPr>
        <w:t>The version of the Australian Qualifications Framework</w:t>
      </w:r>
      <w:r w:rsidR="00F46C18" w:rsidRPr="00254B98">
        <w:rPr>
          <w:i/>
          <w:sz w:val="24"/>
          <w:szCs w:val="24"/>
        </w:rPr>
        <w:t xml:space="preserve"> </w:t>
      </w:r>
      <w:r w:rsidR="00F46C18" w:rsidRPr="00254B98">
        <w:rPr>
          <w:sz w:val="24"/>
          <w:szCs w:val="24"/>
        </w:rPr>
        <w:t>that is in force on the day of commencement of this instrument is the Second Edition January 2013.</w:t>
      </w:r>
      <w:r w:rsidR="00F46C18" w:rsidRPr="00351CD6">
        <w:t xml:space="preserve"> </w:t>
      </w:r>
      <w:r w:rsidRPr="00254B98">
        <w:rPr>
          <w:sz w:val="24"/>
          <w:szCs w:val="24"/>
        </w:rPr>
        <w:t xml:space="preserve">The </w:t>
      </w:r>
      <w:r w:rsidR="00737AA8" w:rsidRPr="00896923">
        <w:rPr>
          <w:sz w:val="24"/>
          <w:szCs w:val="24"/>
        </w:rPr>
        <w:t xml:space="preserve">Australian Qualifications Framework </w:t>
      </w:r>
      <w:r w:rsidRPr="00254B98">
        <w:rPr>
          <w:sz w:val="24"/>
          <w:szCs w:val="24"/>
        </w:rPr>
        <w:t xml:space="preserve">is available at: </w:t>
      </w:r>
      <w:hyperlink r:id="rId9" w:history="1">
        <w:r w:rsidRPr="00254B98">
          <w:rPr>
            <w:rStyle w:val="Hyperlink"/>
            <w:sz w:val="24"/>
            <w:szCs w:val="24"/>
          </w:rPr>
          <w:t>https://www.aqf.edu.au/sites/aqf/files/aqf-2nd-edition-january-2013.pdf</w:t>
        </w:r>
      </w:hyperlink>
    </w:p>
    <w:p w:rsidR="00976C83" w:rsidRPr="00254B98" w:rsidRDefault="00976C83" w:rsidP="00F46C18">
      <w:pPr>
        <w:rPr>
          <w:sz w:val="24"/>
          <w:szCs w:val="24"/>
        </w:rPr>
      </w:pPr>
    </w:p>
    <w:p w:rsidR="00976C83" w:rsidRPr="00737AA8" w:rsidRDefault="00976C83" w:rsidP="00254B98">
      <w:pPr>
        <w:rPr>
          <w:sz w:val="24"/>
          <w:szCs w:val="24"/>
        </w:rPr>
      </w:pPr>
      <w:bookmarkStart w:id="2" w:name="_GoBack"/>
      <w:bookmarkEnd w:id="2"/>
    </w:p>
    <w:sectPr w:rsidR="00976C83" w:rsidRPr="00737AA8" w:rsidSect="00F117DD">
      <w:headerReference w:type="even" r:id="rId10"/>
      <w:headerReference w:type="default" r:id="rId11"/>
      <w:footerReference w:type="default" r:id="rId12"/>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0D" w:rsidRDefault="00DB200D">
      <w:r>
        <w:separator/>
      </w:r>
    </w:p>
  </w:endnote>
  <w:endnote w:type="continuationSeparator" w:id="0">
    <w:p w:rsidR="00DB200D" w:rsidRDefault="00D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DD" w:rsidRDefault="00F117DD">
    <w:pPr>
      <w:pStyle w:val="Footer"/>
      <w:jc w:val="right"/>
    </w:pPr>
    <w:r>
      <w:fldChar w:fldCharType="begin"/>
    </w:r>
    <w:r>
      <w:instrText xml:space="preserve"> PAGE   \* MERGEFORMAT </w:instrText>
    </w:r>
    <w:r>
      <w:fldChar w:fldCharType="separate"/>
    </w:r>
    <w:r w:rsidR="00E51904">
      <w:rPr>
        <w:noProof/>
      </w:rPr>
      <w:t>6</w:t>
    </w:r>
    <w:r>
      <w:rPr>
        <w:noProof/>
      </w:rPr>
      <w:fldChar w:fldCharType="end"/>
    </w:r>
  </w:p>
  <w:p w:rsidR="00F117DD" w:rsidRDefault="00F1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0D" w:rsidRDefault="00DB200D">
      <w:r>
        <w:separator/>
      </w:r>
    </w:p>
  </w:footnote>
  <w:footnote w:type="continuationSeparator" w:id="0">
    <w:p w:rsidR="00DB200D" w:rsidRDefault="00DB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40A" w:rsidRDefault="00860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0A" w:rsidRDefault="0086040A">
    <w:pPr>
      <w:pStyle w:val="Header"/>
      <w:framePr w:wrap="around" w:vAnchor="text" w:hAnchor="margin" w:xAlign="right" w:y="1"/>
      <w:rPr>
        <w:rStyle w:val="PageNumber"/>
      </w:rPr>
    </w:pPr>
  </w:p>
  <w:p w:rsidR="0086040A" w:rsidRDefault="00860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63E"/>
    <w:multiLevelType w:val="hybridMultilevel"/>
    <w:tmpl w:val="9A401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6120F4"/>
    <w:multiLevelType w:val="hybridMultilevel"/>
    <w:tmpl w:val="638672EE"/>
    <w:lvl w:ilvl="0" w:tplc="C1AA23BC">
      <w:start w:val="1"/>
      <w:numFmt w:val="lowerLetter"/>
      <w:lvlText w:val="(%1)"/>
      <w:lvlJc w:val="left"/>
      <w:pPr>
        <w:ind w:left="144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1CF4186"/>
    <w:multiLevelType w:val="hybridMultilevel"/>
    <w:tmpl w:val="C0169410"/>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9332ACA"/>
    <w:multiLevelType w:val="hybridMultilevel"/>
    <w:tmpl w:val="EF96F93A"/>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37D47E1"/>
    <w:multiLevelType w:val="hybridMultilevel"/>
    <w:tmpl w:val="A9DAC4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2028E0"/>
    <w:multiLevelType w:val="hybridMultilevel"/>
    <w:tmpl w:val="DBB8C4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4000FE5"/>
    <w:multiLevelType w:val="hybridMultilevel"/>
    <w:tmpl w:val="D2F0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A35C14"/>
    <w:multiLevelType w:val="hybridMultilevel"/>
    <w:tmpl w:val="295C2F6C"/>
    <w:lvl w:ilvl="0" w:tplc="CA940B4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614228"/>
    <w:multiLevelType w:val="hybridMultilevel"/>
    <w:tmpl w:val="65E2E618"/>
    <w:lvl w:ilvl="0" w:tplc="7262B712">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8"/>
  </w:num>
  <w:num w:numId="3">
    <w:abstractNumId w:val="1"/>
  </w:num>
  <w:num w:numId="4">
    <w:abstractNumId w:val="0"/>
  </w:num>
  <w:num w:numId="5">
    <w:abstractNumId w:val="3"/>
  </w:num>
  <w:num w:numId="6">
    <w:abstractNumId w:val="10"/>
  </w:num>
  <w:num w:numId="7">
    <w:abstractNumId w:val="0"/>
  </w:num>
  <w:num w:numId="8">
    <w:abstractNumId w:val="6"/>
  </w:num>
  <w:num w:numId="9">
    <w:abstractNumId w:val="4"/>
  </w:num>
  <w:num w:numId="10">
    <w:abstractNumId w:val="7"/>
  </w:num>
  <w:num w:numId="11">
    <w:abstractNumId w:val="9"/>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2733"/>
    <w:rsid w:val="00003071"/>
    <w:rsid w:val="000040AD"/>
    <w:rsid w:val="0000547E"/>
    <w:rsid w:val="00006423"/>
    <w:rsid w:val="0001186B"/>
    <w:rsid w:val="00011DDE"/>
    <w:rsid w:val="00012639"/>
    <w:rsid w:val="00013226"/>
    <w:rsid w:val="000158AF"/>
    <w:rsid w:val="00016800"/>
    <w:rsid w:val="000205CC"/>
    <w:rsid w:val="00020DEC"/>
    <w:rsid w:val="00022087"/>
    <w:rsid w:val="000243EA"/>
    <w:rsid w:val="00024CF9"/>
    <w:rsid w:val="00026F8A"/>
    <w:rsid w:val="00027354"/>
    <w:rsid w:val="0003109C"/>
    <w:rsid w:val="00031AD3"/>
    <w:rsid w:val="00031CB8"/>
    <w:rsid w:val="000366B4"/>
    <w:rsid w:val="000401EC"/>
    <w:rsid w:val="00040D79"/>
    <w:rsid w:val="000432EB"/>
    <w:rsid w:val="0004373B"/>
    <w:rsid w:val="0004464A"/>
    <w:rsid w:val="0004659E"/>
    <w:rsid w:val="00047158"/>
    <w:rsid w:val="00047B5B"/>
    <w:rsid w:val="000511F7"/>
    <w:rsid w:val="00052CD8"/>
    <w:rsid w:val="00054856"/>
    <w:rsid w:val="000558E0"/>
    <w:rsid w:val="000574F4"/>
    <w:rsid w:val="00057DC0"/>
    <w:rsid w:val="00057F41"/>
    <w:rsid w:val="000610D8"/>
    <w:rsid w:val="00062BA6"/>
    <w:rsid w:val="00063C64"/>
    <w:rsid w:val="00063E97"/>
    <w:rsid w:val="00064780"/>
    <w:rsid w:val="000654EA"/>
    <w:rsid w:val="00065ED7"/>
    <w:rsid w:val="00066861"/>
    <w:rsid w:val="00066DD9"/>
    <w:rsid w:val="000709DE"/>
    <w:rsid w:val="00070A7F"/>
    <w:rsid w:val="00072229"/>
    <w:rsid w:val="00072489"/>
    <w:rsid w:val="00072A88"/>
    <w:rsid w:val="0007316C"/>
    <w:rsid w:val="000733D6"/>
    <w:rsid w:val="00074815"/>
    <w:rsid w:val="00077226"/>
    <w:rsid w:val="000774EF"/>
    <w:rsid w:val="00077EE8"/>
    <w:rsid w:val="000805C9"/>
    <w:rsid w:val="0008108C"/>
    <w:rsid w:val="00081245"/>
    <w:rsid w:val="0008163A"/>
    <w:rsid w:val="00084603"/>
    <w:rsid w:val="00084727"/>
    <w:rsid w:val="00087775"/>
    <w:rsid w:val="00090DAB"/>
    <w:rsid w:val="00095359"/>
    <w:rsid w:val="00095A60"/>
    <w:rsid w:val="00096ABB"/>
    <w:rsid w:val="000A16F1"/>
    <w:rsid w:val="000A47BF"/>
    <w:rsid w:val="000A51A1"/>
    <w:rsid w:val="000B23AF"/>
    <w:rsid w:val="000B3138"/>
    <w:rsid w:val="000B41AE"/>
    <w:rsid w:val="000B5FC1"/>
    <w:rsid w:val="000B6741"/>
    <w:rsid w:val="000C0274"/>
    <w:rsid w:val="000C036A"/>
    <w:rsid w:val="000C3472"/>
    <w:rsid w:val="000C57B3"/>
    <w:rsid w:val="000C641F"/>
    <w:rsid w:val="000C73EC"/>
    <w:rsid w:val="000C7517"/>
    <w:rsid w:val="000C79C9"/>
    <w:rsid w:val="000D19DD"/>
    <w:rsid w:val="000D5F20"/>
    <w:rsid w:val="000D6659"/>
    <w:rsid w:val="000D75AE"/>
    <w:rsid w:val="000D79E4"/>
    <w:rsid w:val="000E38B3"/>
    <w:rsid w:val="000E3B0F"/>
    <w:rsid w:val="000E534A"/>
    <w:rsid w:val="000E5597"/>
    <w:rsid w:val="000E654D"/>
    <w:rsid w:val="000E7301"/>
    <w:rsid w:val="000F14AF"/>
    <w:rsid w:val="000F2361"/>
    <w:rsid w:val="000F5A6D"/>
    <w:rsid w:val="00100A0E"/>
    <w:rsid w:val="001016B5"/>
    <w:rsid w:val="00103736"/>
    <w:rsid w:val="00104087"/>
    <w:rsid w:val="00105D3B"/>
    <w:rsid w:val="00106761"/>
    <w:rsid w:val="00106F87"/>
    <w:rsid w:val="001074D3"/>
    <w:rsid w:val="00110368"/>
    <w:rsid w:val="0011715D"/>
    <w:rsid w:val="00121FE8"/>
    <w:rsid w:val="00122C91"/>
    <w:rsid w:val="00125221"/>
    <w:rsid w:val="00125D76"/>
    <w:rsid w:val="00130A65"/>
    <w:rsid w:val="001313FB"/>
    <w:rsid w:val="00132A77"/>
    <w:rsid w:val="00133275"/>
    <w:rsid w:val="001341EF"/>
    <w:rsid w:val="001354D6"/>
    <w:rsid w:val="0013646D"/>
    <w:rsid w:val="00136C1B"/>
    <w:rsid w:val="00136ED6"/>
    <w:rsid w:val="00136FCC"/>
    <w:rsid w:val="00137D82"/>
    <w:rsid w:val="00137FF7"/>
    <w:rsid w:val="00140EA8"/>
    <w:rsid w:val="00140FD6"/>
    <w:rsid w:val="00143F97"/>
    <w:rsid w:val="001479C0"/>
    <w:rsid w:val="001515CB"/>
    <w:rsid w:val="0015394B"/>
    <w:rsid w:val="00154563"/>
    <w:rsid w:val="00154F4C"/>
    <w:rsid w:val="00156582"/>
    <w:rsid w:val="001565F4"/>
    <w:rsid w:val="00160CAE"/>
    <w:rsid w:val="00163448"/>
    <w:rsid w:val="001636D6"/>
    <w:rsid w:val="00165110"/>
    <w:rsid w:val="001656A5"/>
    <w:rsid w:val="00165A52"/>
    <w:rsid w:val="00166059"/>
    <w:rsid w:val="0017161B"/>
    <w:rsid w:val="00171F90"/>
    <w:rsid w:val="0017299C"/>
    <w:rsid w:val="00174743"/>
    <w:rsid w:val="00175B17"/>
    <w:rsid w:val="00176453"/>
    <w:rsid w:val="00181BC8"/>
    <w:rsid w:val="00185B49"/>
    <w:rsid w:val="00186477"/>
    <w:rsid w:val="00186B51"/>
    <w:rsid w:val="00190C67"/>
    <w:rsid w:val="00191665"/>
    <w:rsid w:val="00192C84"/>
    <w:rsid w:val="00192DB7"/>
    <w:rsid w:val="00193318"/>
    <w:rsid w:val="00193AB5"/>
    <w:rsid w:val="00197294"/>
    <w:rsid w:val="001A0406"/>
    <w:rsid w:val="001A1EFE"/>
    <w:rsid w:val="001A5AC2"/>
    <w:rsid w:val="001A600E"/>
    <w:rsid w:val="001A6348"/>
    <w:rsid w:val="001A6E6F"/>
    <w:rsid w:val="001A7E8B"/>
    <w:rsid w:val="001B0E1C"/>
    <w:rsid w:val="001B1F6E"/>
    <w:rsid w:val="001B655F"/>
    <w:rsid w:val="001C1BBF"/>
    <w:rsid w:val="001C48E6"/>
    <w:rsid w:val="001C77FF"/>
    <w:rsid w:val="001C7A3D"/>
    <w:rsid w:val="001D1DE9"/>
    <w:rsid w:val="001D217D"/>
    <w:rsid w:val="001D24F8"/>
    <w:rsid w:val="001D3597"/>
    <w:rsid w:val="001D50DC"/>
    <w:rsid w:val="001D59D5"/>
    <w:rsid w:val="001E2E41"/>
    <w:rsid w:val="001E2EE6"/>
    <w:rsid w:val="001E48FA"/>
    <w:rsid w:val="001E6E9E"/>
    <w:rsid w:val="001E7FBB"/>
    <w:rsid w:val="001F17EA"/>
    <w:rsid w:val="001F1906"/>
    <w:rsid w:val="001F597C"/>
    <w:rsid w:val="001F7913"/>
    <w:rsid w:val="001F7C01"/>
    <w:rsid w:val="00201CDD"/>
    <w:rsid w:val="002045CB"/>
    <w:rsid w:val="002052B5"/>
    <w:rsid w:val="00211CCB"/>
    <w:rsid w:val="00213C94"/>
    <w:rsid w:val="00213D0B"/>
    <w:rsid w:val="002152FA"/>
    <w:rsid w:val="002176BD"/>
    <w:rsid w:val="002209DB"/>
    <w:rsid w:val="002227E6"/>
    <w:rsid w:val="00223183"/>
    <w:rsid w:val="0022426C"/>
    <w:rsid w:val="00225896"/>
    <w:rsid w:val="00226671"/>
    <w:rsid w:val="00230544"/>
    <w:rsid w:val="002306E2"/>
    <w:rsid w:val="00231D8E"/>
    <w:rsid w:val="00234E3F"/>
    <w:rsid w:val="00235686"/>
    <w:rsid w:val="00240148"/>
    <w:rsid w:val="00240DD4"/>
    <w:rsid w:val="00241F5B"/>
    <w:rsid w:val="00243ED5"/>
    <w:rsid w:val="002460A1"/>
    <w:rsid w:val="00246A36"/>
    <w:rsid w:val="00247817"/>
    <w:rsid w:val="00247B03"/>
    <w:rsid w:val="00251233"/>
    <w:rsid w:val="00251242"/>
    <w:rsid w:val="00251A9D"/>
    <w:rsid w:val="00252833"/>
    <w:rsid w:val="002547BF"/>
    <w:rsid w:val="00254B98"/>
    <w:rsid w:val="00256423"/>
    <w:rsid w:val="00257688"/>
    <w:rsid w:val="002627BD"/>
    <w:rsid w:val="00266585"/>
    <w:rsid w:val="00267D03"/>
    <w:rsid w:val="00271030"/>
    <w:rsid w:val="0027123B"/>
    <w:rsid w:val="00271D16"/>
    <w:rsid w:val="00272369"/>
    <w:rsid w:val="00275194"/>
    <w:rsid w:val="00275C89"/>
    <w:rsid w:val="00275EBF"/>
    <w:rsid w:val="002764FA"/>
    <w:rsid w:val="00276A27"/>
    <w:rsid w:val="00280121"/>
    <w:rsid w:val="0028231F"/>
    <w:rsid w:val="002830B1"/>
    <w:rsid w:val="002836E5"/>
    <w:rsid w:val="00283AFE"/>
    <w:rsid w:val="0028521F"/>
    <w:rsid w:val="0028583E"/>
    <w:rsid w:val="0028631D"/>
    <w:rsid w:val="00286B26"/>
    <w:rsid w:val="00292B01"/>
    <w:rsid w:val="00293884"/>
    <w:rsid w:val="0029448B"/>
    <w:rsid w:val="00294EC6"/>
    <w:rsid w:val="002964D5"/>
    <w:rsid w:val="00296C41"/>
    <w:rsid w:val="002A0F6D"/>
    <w:rsid w:val="002A1E3E"/>
    <w:rsid w:val="002A26F7"/>
    <w:rsid w:val="002A421C"/>
    <w:rsid w:val="002B2270"/>
    <w:rsid w:val="002B412A"/>
    <w:rsid w:val="002B44CF"/>
    <w:rsid w:val="002B4D20"/>
    <w:rsid w:val="002B51D4"/>
    <w:rsid w:val="002B6886"/>
    <w:rsid w:val="002C1164"/>
    <w:rsid w:val="002C42B2"/>
    <w:rsid w:val="002C6150"/>
    <w:rsid w:val="002C6EAF"/>
    <w:rsid w:val="002D24FD"/>
    <w:rsid w:val="002D425F"/>
    <w:rsid w:val="002D68BB"/>
    <w:rsid w:val="002E2061"/>
    <w:rsid w:val="002E3F46"/>
    <w:rsid w:val="002E5DF6"/>
    <w:rsid w:val="002F142C"/>
    <w:rsid w:val="002F21D8"/>
    <w:rsid w:val="002F3C8A"/>
    <w:rsid w:val="002F5C84"/>
    <w:rsid w:val="002F7590"/>
    <w:rsid w:val="002F77F9"/>
    <w:rsid w:val="00300A2A"/>
    <w:rsid w:val="00303F1C"/>
    <w:rsid w:val="00306BCB"/>
    <w:rsid w:val="00307276"/>
    <w:rsid w:val="003103A1"/>
    <w:rsid w:val="00312A75"/>
    <w:rsid w:val="00312F0F"/>
    <w:rsid w:val="00313B04"/>
    <w:rsid w:val="00315603"/>
    <w:rsid w:val="003246D8"/>
    <w:rsid w:val="00325513"/>
    <w:rsid w:val="00327866"/>
    <w:rsid w:val="003310F6"/>
    <w:rsid w:val="003313FE"/>
    <w:rsid w:val="003324D0"/>
    <w:rsid w:val="00332B93"/>
    <w:rsid w:val="00333CC9"/>
    <w:rsid w:val="00334EC5"/>
    <w:rsid w:val="00337797"/>
    <w:rsid w:val="0034008D"/>
    <w:rsid w:val="00340723"/>
    <w:rsid w:val="00340D63"/>
    <w:rsid w:val="0034243A"/>
    <w:rsid w:val="00343524"/>
    <w:rsid w:val="0034499E"/>
    <w:rsid w:val="0034541F"/>
    <w:rsid w:val="00346F27"/>
    <w:rsid w:val="003471F6"/>
    <w:rsid w:val="0035256D"/>
    <w:rsid w:val="00353F13"/>
    <w:rsid w:val="00354733"/>
    <w:rsid w:val="00355E84"/>
    <w:rsid w:val="00364E8E"/>
    <w:rsid w:val="0036527B"/>
    <w:rsid w:val="0036568B"/>
    <w:rsid w:val="003657A8"/>
    <w:rsid w:val="00372073"/>
    <w:rsid w:val="00373E65"/>
    <w:rsid w:val="00376C26"/>
    <w:rsid w:val="00380F92"/>
    <w:rsid w:val="00382A82"/>
    <w:rsid w:val="00382D20"/>
    <w:rsid w:val="00383540"/>
    <w:rsid w:val="00383947"/>
    <w:rsid w:val="0038413A"/>
    <w:rsid w:val="00392CC4"/>
    <w:rsid w:val="00395767"/>
    <w:rsid w:val="00396EED"/>
    <w:rsid w:val="003974B5"/>
    <w:rsid w:val="0039797F"/>
    <w:rsid w:val="003A129D"/>
    <w:rsid w:val="003A5090"/>
    <w:rsid w:val="003A5A70"/>
    <w:rsid w:val="003A697B"/>
    <w:rsid w:val="003A75BB"/>
    <w:rsid w:val="003B316F"/>
    <w:rsid w:val="003B38E4"/>
    <w:rsid w:val="003B6020"/>
    <w:rsid w:val="003C1913"/>
    <w:rsid w:val="003C31D1"/>
    <w:rsid w:val="003C610B"/>
    <w:rsid w:val="003D096E"/>
    <w:rsid w:val="003D2BDB"/>
    <w:rsid w:val="003D3203"/>
    <w:rsid w:val="003D4773"/>
    <w:rsid w:val="003D7FC7"/>
    <w:rsid w:val="003E4B49"/>
    <w:rsid w:val="003E4EBD"/>
    <w:rsid w:val="003E7674"/>
    <w:rsid w:val="003F1995"/>
    <w:rsid w:val="003F27D5"/>
    <w:rsid w:val="003F524F"/>
    <w:rsid w:val="003F58C1"/>
    <w:rsid w:val="003F6014"/>
    <w:rsid w:val="003F7BDC"/>
    <w:rsid w:val="00401EED"/>
    <w:rsid w:val="00402131"/>
    <w:rsid w:val="004022B7"/>
    <w:rsid w:val="00402957"/>
    <w:rsid w:val="004059FE"/>
    <w:rsid w:val="00405D66"/>
    <w:rsid w:val="00405E1F"/>
    <w:rsid w:val="0040678B"/>
    <w:rsid w:val="00407C33"/>
    <w:rsid w:val="004105F3"/>
    <w:rsid w:val="004122C9"/>
    <w:rsid w:val="00412C4B"/>
    <w:rsid w:val="00413A19"/>
    <w:rsid w:val="00413CAD"/>
    <w:rsid w:val="00415464"/>
    <w:rsid w:val="004163F1"/>
    <w:rsid w:val="00416C24"/>
    <w:rsid w:val="004173D1"/>
    <w:rsid w:val="00420F81"/>
    <w:rsid w:val="00422D43"/>
    <w:rsid w:val="0042338C"/>
    <w:rsid w:val="00425DB9"/>
    <w:rsid w:val="004273B5"/>
    <w:rsid w:val="0043252A"/>
    <w:rsid w:val="00432B1B"/>
    <w:rsid w:val="00433117"/>
    <w:rsid w:val="00433AF7"/>
    <w:rsid w:val="00434C6C"/>
    <w:rsid w:val="00435CF7"/>
    <w:rsid w:val="00435D9C"/>
    <w:rsid w:val="00441BDA"/>
    <w:rsid w:val="004435EB"/>
    <w:rsid w:val="004455BA"/>
    <w:rsid w:val="00446192"/>
    <w:rsid w:val="00446EEB"/>
    <w:rsid w:val="00452DE5"/>
    <w:rsid w:val="004541A9"/>
    <w:rsid w:val="00454B09"/>
    <w:rsid w:val="00455F01"/>
    <w:rsid w:val="0045771D"/>
    <w:rsid w:val="00460414"/>
    <w:rsid w:val="00462BA0"/>
    <w:rsid w:val="00470EF4"/>
    <w:rsid w:val="0047316E"/>
    <w:rsid w:val="004812ED"/>
    <w:rsid w:val="00485511"/>
    <w:rsid w:val="00486B36"/>
    <w:rsid w:val="00490DD8"/>
    <w:rsid w:val="00492924"/>
    <w:rsid w:val="004931B4"/>
    <w:rsid w:val="0049323A"/>
    <w:rsid w:val="004935DE"/>
    <w:rsid w:val="0049372D"/>
    <w:rsid w:val="00494DC0"/>
    <w:rsid w:val="00495825"/>
    <w:rsid w:val="0049621C"/>
    <w:rsid w:val="004969B4"/>
    <w:rsid w:val="004A0327"/>
    <w:rsid w:val="004A10D0"/>
    <w:rsid w:val="004A1C4D"/>
    <w:rsid w:val="004A1E56"/>
    <w:rsid w:val="004A4058"/>
    <w:rsid w:val="004A5029"/>
    <w:rsid w:val="004A555F"/>
    <w:rsid w:val="004B15E5"/>
    <w:rsid w:val="004B18C9"/>
    <w:rsid w:val="004B5483"/>
    <w:rsid w:val="004B5617"/>
    <w:rsid w:val="004B590C"/>
    <w:rsid w:val="004B6F13"/>
    <w:rsid w:val="004C00A8"/>
    <w:rsid w:val="004C0B2B"/>
    <w:rsid w:val="004C0C2B"/>
    <w:rsid w:val="004C13F2"/>
    <w:rsid w:val="004C28E8"/>
    <w:rsid w:val="004C486C"/>
    <w:rsid w:val="004C4D8C"/>
    <w:rsid w:val="004C567F"/>
    <w:rsid w:val="004C5C1D"/>
    <w:rsid w:val="004D17C1"/>
    <w:rsid w:val="004D202E"/>
    <w:rsid w:val="004D29BD"/>
    <w:rsid w:val="004D31A1"/>
    <w:rsid w:val="004D37E2"/>
    <w:rsid w:val="004D4026"/>
    <w:rsid w:val="004D4631"/>
    <w:rsid w:val="004E1605"/>
    <w:rsid w:val="004E1938"/>
    <w:rsid w:val="004E1954"/>
    <w:rsid w:val="004E2C3D"/>
    <w:rsid w:val="004E2E48"/>
    <w:rsid w:val="004E4EF9"/>
    <w:rsid w:val="004E520C"/>
    <w:rsid w:val="004E5D5C"/>
    <w:rsid w:val="004E7829"/>
    <w:rsid w:val="004F08DF"/>
    <w:rsid w:val="004F16E1"/>
    <w:rsid w:val="004F2131"/>
    <w:rsid w:val="004F5152"/>
    <w:rsid w:val="004F5F77"/>
    <w:rsid w:val="004F5F9F"/>
    <w:rsid w:val="004F6DDB"/>
    <w:rsid w:val="004F7198"/>
    <w:rsid w:val="00501537"/>
    <w:rsid w:val="0050454C"/>
    <w:rsid w:val="005108A4"/>
    <w:rsid w:val="005112F3"/>
    <w:rsid w:val="005117B7"/>
    <w:rsid w:val="005135F7"/>
    <w:rsid w:val="00514970"/>
    <w:rsid w:val="0051550C"/>
    <w:rsid w:val="0051644F"/>
    <w:rsid w:val="00516F63"/>
    <w:rsid w:val="005221D6"/>
    <w:rsid w:val="00524297"/>
    <w:rsid w:val="0052566A"/>
    <w:rsid w:val="0052754C"/>
    <w:rsid w:val="00527B26"/>
    <w:rsid w:val="00530351"/>
    <w:rsid w:val="005304D3"/>
    <w:rsid w:val="0053232C"/>
    <w:rsid w:val="005358D3"/>
    <w:rsid w:val="00535C9A"/>
    <w:rsid w:val="00535DCD"/>
    <w:rsid w:val="005449D1"/>
    <w:rsid w:val="00544B00"/>
    <w:rsid w:val="00546FF2"/>
    <w:rsid w:val="005473B8"/>
    <w:rsid w:val="00547C56"/>
    <w:rsid w:val="00550C1E"/>
    <w:rsid w:val="0055210C"/>
    <w:rsid w:val="0055300E"/>
    <w:rsid w:val="00555358"/>
    <w:rsid w:val="00555D49"/>
    <w:rsid w:val="0055602D"/>
    <w:rsid w:val="005567C7"/>
    <w:rsid w:val="00560818"/>
    <w:rsid w:val="0056106C"/>
    <w:rsid w:val="005636D1"/>
    <w:rsid w:val="005655B1"/>
    <w:rsid w:val="0057058A"/>
    <w:rsid w:val="00570C9E"/>
    <w:rsid w:val="00573C0A"/>
    <w:rsid w:val="005756A3"/>
    <w:rsid w:val="005759DB"/>
    <w:rsid w:val="00576651"/>
    <w:rsid w:val="00583420"/>
    <w:rsid w:val="00586163"/>
    <w:rsid w:val="00586BF3"/>
    <w:rsid w:val="0058781A"/>
    <w:rsid w:val="00590EDA"/>
    <w:rsid w:val="00591EAA"/>
    <w:rsid w:val="005924B5"/>
    <w:rsid w:val="00592574"/>
    <w:rsid w:val="0059340C"/>
    <w:rsid w:val="00594B29"/>
    <w:rsid w:val="005A176E"/>
    <w:rsid w:val="005A4E8E"/>
    <w:rsid w:val="005A546D"/>
    <w:rsid w:val="005A7238"/>
    <w:rsid w:val="005A7347"/>
    <w:rsid w:val="005A749D"/>
    <w:rsid w:val="005A787E"/>
    <w:rsid w:val="005B01E4"/>
    <w:rsid w:val="005B185A"/>
    <w:rsid w:val="005B2166"/>
    <w:rsid w:val="005B23B8"/>
    <w:rsid w:val="005B3751"/>
    <w:rsid w:val="005B51BF"/>
    <w:rsid w:val="005B5513"/>
    <w:rsid w:val="005B7319"/>
    <w:rsid w:val="005B7930"/>
    <w:rsid w:val="005C0777"/>
    <w:rsid w:val="005C422F"/>
    <w:rsid w:val="005C42D7"/>
    <w:rsid w:val="005C5B89"/>
    <w:rsid w:val="005C64A2"/>
    <w:rsid w:val="005C681A"/>
    <w:rsid w:val="005C6D27"/>
    <w:rsid w:val="005C7326"/>
    <w:rsid w:val="005C7F9A"/>
    <w:rsid w:val="005D0247"/>
    <w:rsid w:val="005D76C7"/>
    <w:rsid w:val="005D7B4C"/>
    <w:rsid w:val="005E0C01"/>
    <w:rsid w:val="005E112C"/>
    <w:rsid w:val="005E65E1"/>
    <w:rsid w:val="005E68AC"/>
    <w:rsid w:val="005E6D76"/>
    <w:rsid w:val="005F316F"/>
    <w:rsid w:val="005F61FC"/>
    <w:rsid w:val="005F69BA"/>
    <w:rsid w:val="005F7AFE"/>
    <w:rsid w:val="00600C8F"/>
    <w:rsid w:val="006013E0"/>
    <w:rsid w:val="00602DFC"/>
    <w:rsid w:val="00603D2D"/>
    <w:rsid w:val="00606447"/>
    <w:rsid w:val="006101A2"/>
    <w:rsid w:val="00610304"/>
    <w:rsid w:val="006122DD"/>
    <w:rsid w:val="00612455"/>
    <w:rsid w:val="00613DD3"/>
    <w:rsid w:val="0062345C"/>
    <w:rsid w:val="006241B9"/>
    <w:rsid w:val="006253BF"/>
    <w:rsid w:val="006303F9"/>
    <w:rsid w:val="00630FB7"/>
    <w:rsid w:val="00632B62"/>
    <w:rsid w:val="00633915"/>
    <w:rsid w:val="00634E10"/>
    <w:rsid w:val="00640AF3"/>
    <w:rsid w:val="00642E88"/>
    <w:rsid w:val="006430F9"/>
    <w:rsid w:val="0064322D"/>
    <w:rsid w:val="00643829"/>
    <w:rsid w:val="00644BEB"/>
    <w:rsid w:val="006463E6"/>
    <w:rsid w:val="00647262"/>
    <w:rsid w:val="00647825"/>
    <w:rsid w:val="0064784E"/>
    <w:rsid w:val="00651C29"/>
    <w:rsid w:val="0065342B"/>
    <w:rsid w:val="00654B0D"/>
    <w:rsid w:val="006564DE"/>
    <w:rsid w:val="00657137"/>
    <w:rsid w:val="00660115"/>
    <w:rsid w:val="0066013F"/>
    <w:rsid w:val="00660301"/>
    <w:rsid w:val="0066186E"/>
    <w:rsid w:val="00663F48"/>
    <w:rsid w:val="00666B60"/>
    <w:rsid w:val="006670D9"/>
    <w:rsid w:val="00670853"/>
    <w:rsid w:val="006746CC"/>
    <w:rsid w:val="00676248"/>
    <w:rsid w:val="006765A6"/>
    <w:rsid w:val="00676D15"/>
    <w:rsid w:val="00677DC4"/>
    <w:rsid w:val="00681C63"/>
    <w:rsid w:val="00681F75"/>
    <w:rsid w:val="00682AE1"/>
    <w:rsid w:val="006849C9"/>
    <w:rsid w:val="00684CF9"/>
    <w:rsid w:val="00691AE3"/>
    <w:rsid w:val="0069218A"/>
    <w:rsid w:val="00693959"/>
    <w:rsid w:val="00696E2E"/>
    <w:rsid w:val="00697719"/>
    <w:rsid w:val="006A024E"/>
    <w:rsid w:val="006A0DE7"/>
    <w:rsid w:val="006A425C"/>
    <w:rsid w:val="006A458F"/>
    <w:rsid w:val="006B225B"/>
    <w:rsid w:val="006B2392"/>
    <w:rsid w:val="006B5581"/>
    <w:rsid w:val="006B5ADF"/>
    <w:rsid w:val="006B6757"/>
    <w:rsid w:val="006C0CD9"/>
    <w:rsid w:val="006C346E"/>
    <w:rsid w:val="006C4624"/>
    <w:rsid w:val="006C48C8"/>
    <w:rsid w:val="006C5691"/>
    <w:rsid w:val="006C5FD8"/>
    <w:rsid w:val="006C76E6"/>
    <w:rsid w:val="006D078D"/>
    <w:rsid w:val="006D196A"/>
    <w:rsid w:val="006D1E1A"/>
    <w:rsid w:val="006D3080"/>
    <w:rsid w:val="006D67D3"/>
    <w:rsid w:val="006D73D4"/>
    <w:rsid w:val="006E0168"/>
    <w:rsid w:val="006E1048"/>
    <w:rsid w:val="006E2B64"/>
    <w:rsid w:val="006E325B"/>
    <w:rsid w:val="006E36C4"/>
    <w:rsid w:val="006E6C05"/>
    <w:rsid w:val="006F0F38"/>
    <w:rsid w:val="006F11F2"/>
    <w:rsid w:val="006F28EE"/>
    <w:rsid w:val="006F3AFF"/>
    <w:rsid w:val="006F6DD8"/>
    <w:rsid w:val="0070122A"/>
    <w:rsid w:val="00703CF6"/>
    <w:rsid w:val="00704C77"/>
    <w:rsid w:val="007055D3"/>
    <w:rsid w:val="0071077A"/>
    <w:rsid w:val="007109A9"/>
    <w:rsid w:val="00711233"/>
    <w:rsid w:val="0071139A"/>
    <w:rsid w:val="00711F0C"/>
    <w:rsid w:val="00714705"/>
    <w:rsid w:val="00714B4E"/>
    <w:rsid w:val="00717DE5"/>
    <w:rsid w:val="00723EE2"/>
    <w:rsid w:val="007250CB"/>
    <w:rsid w:val="007250FB"/>
    <w:rsid w:val="00727931"/>
    <w:rsid w:val="00727DE6"/>
    <w:rsid w:val="00730365"/>
    <w:rsid w:val="00731096"/>
    <w:rsid w:val="007343E1"/>
    <w:rsid w:val="00734B6F"/>
    <w:rsid w:val="00735829"/>
    <w:rsid w:val="00735B58"/>
    <w:rsid w:val="007368F5"/>
    <w:rsid w:val="00736CE4"/>
    <w:rsid w:val="00737AA8"/>
    <w:rsid w:val="00737E1E"/>
    <w:rsid w:val="0074173E"/>
    <w:rsid w:val="007424A8"/>
    <w:rsid w:val="00742793"/>
    <w:rsid w:val="00743B01"/>
    <w:rsid w:val="0075004F"/>
    <w:rsid w:val="00750C7C"/>
    <w:rsid w:val="00750D8C"/>
    <w:rsid w:val="00752449"/>
    <w:rsid w:val="007533ED"/>
    <w:rsid w:val="00753CEA"/>
    <w:rsid w:val="00755776"/>
    <w:rsid w:val="0076028C"/>
    <w:rsid w:val="00760851"/>
    <w:rsid w:val="007630A5"/>
    <w:rsid w:val="0076327B"/>
    <w:rsid w:val="0076567B"/>
    <w:rsid w:val="00770B1A"/>
    <w:rsid w:val="00770D5F"/>
    <w:rsid w:val="00773B66"/>
    <w:rsid w:val="0077506E"/>
    <w:rsid w:val="007750BE"/>
    <w:rsid w:val="00777955"/>
    <w:rsid w:val="00777E89"/>
    <w:rsid w:val="0078010C"/>
    <w:rsid w:val="0078071A"/>
    <w:rsid w:val="00780DA0"/>
    <w:rsid w:val="00781A8A"/>
    <w:rsid w:val="007832AE"/>
    <w:rsid w:val="00783D26"/>
    <w:rsid w:val="0078696D"/>
    <w:rsid w:val="00787DA5"/>
    <w:rsid w:val="0079477E"/>
    <w:rsid w:val="00795C37"/>
    <w:rsid w:val="00797977"/>
    <w:rsid w:val="007A34BB"/>
    <w:rsid w:val="007A3A67"/>
    <w:rsid w:val="007A4FCA"/>
    <w:rsid w:val="007A7D6B"/>
    <w:rsid w:val="007A7F9D"/>
    <w:rsid w:val="007B04F4"/>
    <w:rsid w:val="007B0DF2"/>
    <w:rsid w:val="007B461F"/>
    <w:rsid w:val="007B58AA"/>
    <w:rsid w:val="007B7D6D"/>
    <w:rsid w:val="007C151D"/>
    <w:rsid w:val="007C4DA5"/>
    <w:rsid w:val="007C6E83"/>
    <w:rsid w:val="007C7B5A"/>
    <w:rsid w:val="007D037B"/>
    <w:rsid w:val="007D0792"/>
    <w:rsid w:val="007D34F0"/>
    <w:rsid w:val="007D4192"/>
    <w:rsid w:val="007D494D"/>
    <w:rsid w:val="007D690A"/>
    <w:rsid w:val="007E0588"/>
    <w:rsid w:val="007E19B1"/>
    <w:rsid w:val="007E32B5"/>
    <w:rsid w:val="007E564A"/>
    <w:rsid w:val="007F01EF"/>
    <w:rsid w:val="007F0AD4"/>
    <w:rsid w:val="007F0F6E"/>
    <w:rsid w:val="007F2393"/>
    <w:rsid w:val="007F2F7E"/>
    <w:rsid w:val="007F5D11"/>
    <w:rsid w:val="0080057F"/>
    <w:rsid w:val="00801491"/>
    <w:rsid w:val="00801DCC"/>
    <w:rsid w:val="008058EB"/>
    <w:rsid w:val="00805AD7"/>
    <w:rsid w:val="00807155"/>
    <w:rsid w:val="00810FD9"/>
    <w:rsid w:val="00813C8C"/>
    <w:rsid w:val="00813CA1"/>
    <w:rsid w:val="00814B99"/>
    <w:rsid w:val="008153A0"/>
    <w:rsid w:val="00815B01"/>
    <w:rsid w:val="00815D9E"/>
    <w:rsid w:val="00821188"/>
    <w:rsid w:val="0082276A"/>
    <w:rsid w:val="00825D39"/>
    <w:rsid w:val="00830CA0"/>
    <w:rsid w:val="0083175F"/>
    <w:rsid w:val="008322B5"/>
    <w:rsid w:val="0083258A"/>
    <w:rsid w:val="008335DE"/>
    <w:rsid w:val="00834C09"/>
    <w:rsid w:val="00840C08"/>
    <w:rsid w:val="00841355"/>
    <w:rsid w:val="00841864"/>
    <w:rsid w:val="008440A4"/>
    <w:rsid w:val="008451B8"/>
    <w:rsid w:val="0084545A"/>
    <w:rsid w:val="008464ED"/>
    <w:rsid w:val="008466A6"/>
    <w:rsid w:val="00847503"/>
    <w:rsid w:val="008475F1"/>
    <w:rsid w:val="008500CC"/>
    <w:rsid w:val="00853ADC"/>
    <w:rsid w:val="00853E7C"/>
    <w:rsid w:val="008549D9"/>
    <w:rsid w:val="00854A8C"/>
    <w:rsid w:val="00855474"/>
    <w:rsid w:val="00856B4D"/>
    <w:rsid w:val="00856FFA"/>
    <w:rsid w:val="0086040A"/>
    <w:rsid w:val="00860C4E"/>
    <w:rsid w:val="0086187F"/>
    <w:rsid w:val="00861CB1"/>
    <w:rsid w:val="00862099"/>
    <w:rsid w:val="00863F49"/>
    <w:rsid w:val="00864B6E"/>
    <w:rsid w:val="008675CA"/>
    <w:rsid w:val="00867920"/>
    <w:rsid w:val="00870E18"/>
    <w:rsid w:val="00873F0E"/>
    <w:rsid w:val="0087419B"/>
    <w:rsid w:val="00874667"/>
    <w:rsid w:val="00875A82"/>
    <w:rsid w:val="008761CE"/>
    <w:rsid w:val="00880B5F"/>
    <w:rsid w:val="00882025"/>
    <w:rsid w:val="00882255"/>
    <w:rsid w:val="00884184"/>
    <w:rsid w:val="00884F6F"/>
    <w:rsid w:val="0089070F"/>
    <w:rsid w:val="0089111A"/>
    <w:rsid w:val="00891413"/>
    <w:rsid w:val="00891FFC"/>
    <w:rsid w:val="00892228"/>
    <w:rsid w:val="008924A5"/>
    <w:rsid w:val="00893D67"/>
    <w:rsid w:val="008A0B60"/>
    <w:rsid w:val="008A2816"/>
    <w:rsid w:val="008A2C96"/>
    <w:rsid w:val="008A2E5F"/>
    <w:rsid w:val="008A453B"/>
    <w:rsid w:val="008A5181"/>
    <w:rsid w:val="008A52D5"/>
    <w:rsid w:val="008A64F8"/>
    <w:rsid w:val="008A6BA2"/>
    <w:rsid w:val="008B0A11"/>
    <w:rsid w:val="008B15D7"/>
    <w:rsid w:val="008B2D34"/>
    <w:rsid w:val="008B36CD"/>
    <w:rsid w:val="008B5A5F"/>
    <w:rsid w:val="008B6AA8"/>
    <w:rsid w:val="008B75CA"/>
    <w:rsid w:val="008C03B0"/>
    <w:rsid w:val="008D03AA"/>
    <w:rsid w:val="008D16A0"/>
    <w:rsid w:val="008D2A55"/>
    <w:rsid w:val="008D2FA9"/>
    <w:rsid w:val="008D4396"/>
    <w:rsid w:val="008D49D1"/>
    <w:rsid w:val="008D57A0"/>
    <w:rsid w:val="008E2875"/>
    <w:rsid w:val="008E2A7E"/>
    <w:rsid w:val="008E2D4B"/>
    <w:rsid w:val="008E367F"/>
    <w:rsid w:val="008E417A"/>
    <w:rsid w:val="008E51CD"/>
    <w:rsid w:val="008E5A48"/>
    <w:rsid w:val="008E6F7B"/>
    <w:rsid w:val="008E7E5F"/>
    <w:rsid w:val="008F12C6"/>
    <w:rsid w:val="008F20CD"/>
    <w:rsid w:val="008F216A"/>
    <w:rsid w:val="008F235B"/>
    <w:rsid w:val="008F326E"/>
    <w:rsid w:val="008F726F"/>
    <w:rsid w:val="00901747"/>
    <w:rsid w:val="009040DA"/>
    <w:rsid w:val="0091184D"/>
    <w:rsid w:val="009129D1"/>
    <w:rsid w:val="00912C76"/>
    <w:rsid w:val="00912D5B"/>
    <w:rsid w:val="0091314C"/>
    <w:rsid w:val="00913741"/>
    <w:rsid w:val="00916127"/>
    <w:rsid w:val="0091666C"/>
    <w:rsid w:val="00920538"/>
    <w:rsid w:val="00920F6B"/>
    <w:rsid w:val="00921F1E"/>
    <w:rsid w:val="009223D3"/>
    <w:rsid w:val="00923959"/>
    <w:rsid w:val="00923BEF"/>
    <w:rsid w:val="00925724"/>
    <w:rsid w:val="00926682"/>
    <w:rsid w:val="009302A9"/>
    <w:rsid w:val="00931C78"/>
    <w:rsid w:val="00933698"/>
    <w:rsid w:val="0094113F"/>
    <w:rsid w:val="00942EC3"/>
    <w:rsid w:val="0094492A"/>
    <w:rsid w:val="00944AC4"/>
    <w:rsid w:val="00945A09"/>
    <w:rsid w:val="00947502"/>
    <w:rsid w:val="00947DBA"/>
    <w:rsid w:val="009510D5"/>
    <w:rsid w:val="00951386"/>
    <w:rsid w:val="009519F0"/>
    <w:rsid w:val="00951DCF"/>
    <w:rsid w:val="009534ED"/>
    <w:rsid w:val="0095508A"/>
    <w:rsid w:val="009570D1"/>
    <w:rsid w:val="009600C6"/>
    <w:rsid w:val="00962766"/>
    <w:rsid w:val="00962901"/>
    <w:rsid w:val="0096354E"/>
    <w:rsid w:val="009651A8"/>
    <w:rsid w:val="009658C8"/>
    <w:rsid w:val="0096789E"/>
    <w:rsid w:val="00971E04"/>
    <w:rsid w:val="009722D3"/>
    <w:rsid w:val="00972A10"/>
    <w:rsid w:val="00972A76"/>
    <w:rsid w:val="00975341"/>
    <w:rsid w:val="00976C83"/>
    <w:rsid w:val="0097753D"/>
    <w:rsid w:val="00987A8C"/>
    <w:rsid w:val="00987AAD"/>
    <w:rsid w:val="0099096E"/>
    <w:rsid w:val="0099382A"/>
    <w:rsid w:val="009A2377"/>
    <w:rsid w:val="009A41E8"/>
    <w:rsid w:val="009A443D"/>
    <w:rsid w:val="009A5F6C"/>
    <w:rsid w:val="009A6967"/>
    <w:rsid w:val="009A71A5"/>
    <w:rsid w:val="009B0510"/>
    <w:rsid w:val="009B2293"/>
    <w:rsid w:val="009B2411"/>
    <w:rsid w:val="009B25DA"/>
    <w:rsid w:val="009B25FC"/>
    <w:rsid w:val="009B3894"/>
    <w:rsid w:val="009B4303"/>
    <w:rsid w:val="009B438C"/>
    <w:rsid w:val="009B4E23"/>
    <w:rsid w:val="009B5D59"/>
    <w:rsid w:val="009B7CBB"/>
    <w:rsid w:val="009C0796"/>
    <w:rsid w:val="009C1972"/>
    <w:rsid w:val="009D419D"/>
    <w:rsid w:val="009D4374"/>
    <w:rsid w:val="009D594D"/>
    <w:rsid w:val="009D5A0A"/>
    <w:rsid w:val="009D7791"/>
    <w:rsid w:val="009E01F3"/>
    <w:rsid w:val="009E03FD"/>
    <w:rsid w:val="009E1CA6"/>
    <w:rsid w:val="009E216C"/>
    <w:rsid w:val="009E5038"/>
    <w:rsid w:val="009E6212"/>
    <w:rsid w:val="009E7B94"/>
    <w:rsid w:val="009F10A2"/>
    <w:rsid w:val="009F2599"/>
    <w:rsid w:val="009F377D"/>
    <w:rsid w:val="009F452D"/>
    <w:rsid w:val="009F6B11"/>
    <w:rsid w:val="009F71BA"/>
    <w:rsid w:val="009F746B"/>
    <w:rsid w:val="009F7B95"/>
    <w:rsid w:val="00A05D10"/>
    <w:rsid w:val="00A11575"/>
    <w:rsid w:val="00A1652A"/>
    <w:rsid w:val="00A16A98"/>
    <w:rsid w:val="00A20DB5"/>
    <w:rsid w:val="00A258A9"/>
    <w:rsid w:val="00A260AC"/>
    <w:rsid w:val="00A26552"/>
    <w:rsid w:val="00A27643"/>
    <w:rsid w:val="00A27C3C"/>
    <w:rsid w:val="00A3097B"/>
    <w:rsid w:val="00A314CF"/>
    <w:rsid w:val="00A3364B"/>
    <w:rsid w:val="00A33F10"/>
    <w:rsid w:val="00A34150"/>
    <w:rsid w:val="00A349AF"/>
    <w:rsid w:val="00A35C72"/>
    <w:rsid w:val="00A44D2E"/>
    <w:rsid w:val="00A46CED"/>
    <w:rsid w:val="00A47A31"/>
    <w:rsid w:val="00A50CD7"/>
    <w:rsid w:val="00A50E82"/>
    <w:rsid w:val="00A516FC"/>
    <w:rsid w:val="00A52153"/>
    <w:rsid w:val="00A602A0"/>
    <w:rsid w:val="00A61E18"/>
    <w:rsid w:val="00A64DCF"/>
    <w:rsid w:val="00A65BE4"/>
    <w:rsid w:val="00A665D8"/>
    <w:rsid w:val="00A70E85"/>
    <w:rsid w:val="00A73022"/>
    <w:rsid w:val="00A733F6"/>
    <w:rsid w:val="00A7572E"/>
    <w:rsid w:val="00A75BE3"/>
    <w:rsid w:val="00A770F4"/>
    <w:rsid w:val="00A81EE2"/>
    <w:rsid w:val="00A84CC0"/>
    <w:rsid w:val="00A84E5B"/>
    <w:rsid w:val="00A85B8A"/>
    <w:rsid w:val="00A86F11"/>
    <w:rsid w:val="00A875E2"/>
    <w:rsid w:val="00A92F12"/>
    <w:rsid w:val="00A94293"/>
    <w:rsid w:val="00A952F0"/>
    <w:rsid w:val="00A9540E"/>
    <w:rsid w:val="00A954F7"/>
    <w:rsid w:val="00A956D3"/>
    <w:rsid w:val="00A96AF3"/>
    <w:rsid w:val="00A96CB6"/>
    <w:rsid w:val="00A96FBD"/>
    <w:rsid w:val="00A97A53"/>
    <w:rsid w:val="00AA09DF"/>
    <w:rsid w:val="00AA206C"/>
    <w:rsid w:val="00AA27E1"/>
    <w:rsid w:val="00AA3C9D"/>
    <w:rsid w:val="00AA5D3C"/>
    <w:rsid w:val="00AA68CB"/>
    <w:rsid w:val="00AB0E22"/>
    <w:rsid w:val="00AB15D2"/>
    <w:rsid w:val="00AB171C"/>
    <w:rsid w:val="00AB2E8E"/>
    <w:rsid w:val="00AB319B"/>
    <w:rsid w:val="00AB6126"/>
    <w:rsid w:val="00AC5257"/>
    <w:rsid w:val="00AC7574"/>
    <w:rsid w:val="00AD1952"/>
    <w:rsid w:val="00AD2762"/>
    <w:rsid w:val="00AD33A2"/>
    <w:rsid w:val="00AD368C"/>
    <w:rsid w:val="00AD5AEB"/>
    <w:rsid w:val="00AD5C1D"/>
    <w:rsid w:val="00AD6960"/>
    <w:rsid w:val="00AE3181"/>
    <w:rsid w:val="00AE4BE8"/>
    <w:rsid w:val="00AE69CA"/>
    <w:rsid w:val="00AE6E8C"/>
    <w:rsid w:val="00AF116A"/>
    <w:rsid w:val="00AF4157"/>
    <w:rsid w:val="00B012E2"/>
    <w:rsid w:val="00B03617"/>
    <w:rsid w:val="00B03962"/>
    <w:rsid w:val="00B0702A"/>
    <w:rsid w:val="00B10066"/>
    <w:rsid w:val="00B10FD1"/>
    <w:rsid w:val="00B12B69"/>
    <w:rsid w:val="00B1547C"/>
    <w:rsid w:val="00B16CF7"/>
    <w:rsid w:val="00B202E2"/>
    <w:rsid w:val="00B23CBB"/>
    <w:rsid w:val="00B27063"/>
    <w:rsid w:val="00B323FD"/>
    <w:rsid w:val="00B32B31"/>
    <w:rsid w:val="00B32CCD"/>
    <w:rsid w:val="00B32D56"/>
    <w:rsid w:val="00B34CC0"/>
    <w:rsid w:val="00B34E0F"/>
    <w:rsid w:val="00B35ABA"/>
    <w:rsid w:val="00B376E4"/>
    <w:rsid w:val="00B40E29"/>
    <w:rsid w:val="00B42A85"/>
    <w:rsid w:val="00B42CB9"/>
    <w:rsid w:val="00B433C2"/>
    <w:rsid w:val="00B43ECD"/>
    <w:rsid w:val="00B44765"/>
    <w:rsid w:val="00B50444"/>
    <w:rsid w:val="00B52F44"/>
    <w:rsid w:val="00B539DB"/>
    <w:rsid w:val="00B642C0"/>
    <w:rsid w:val="00B64409"/>
    <w:rsid w:val="00B64AEB"/>
    <w:rsid w:val="00B652F6"/>
    <w:rsid w:val="00B65F16"/>
    <w:rsid w:val="00B71ECD"/>
    <w:rsid w:val="00B7346F"/>
    <w:rsid w:val="00B74973"/>
    <w:rsid w:val="00B756DD"/>
    <w:rsid w:val="00B80734"/>
    <w:rsid w:val="00B80AA0"/>
    <w:rsid w:val="00B80F66"/>
    <w:rsid w:val="00B834A3"/>
    <w:rsid w:val="00B83780"/>
    <w:rsid w:val="00B91592"/>
    <w:rsid w:val="00B94ABF"/>
    <w:rsid w:val="00B954E3"/>
    <w:rsid w:val="00B96635"/>
    <w:rsid w:val="00B977C0"/>
    <w:rsid w:val="00BA03A7"/>
    <w:rsid w:val="00BA3394"/>
    <w:rsid w:val="00BA33C7"/>
    <w:rsid w:val="00BA3E5E"/>
    <w:rsid w:val="00BA4776"/>
    <w:rsid w:val="00BA4E53"/>
    <w:rsid w:val="00BA7EB4"/>
    <w:rsid w:val="00BB1CE8"/>
    <w:rsid w:val="00BB39FF"/>
    <w:rsid w:val="00BB54DD"/>
    <w:rsid w:val="00BB65EA"/>
    <w:rsid w:val="00BB68FB"/>
    <w:rsid w:val="00BB6AC0"/>
    <w:rsid w:val="00BB7F8A"/>
    <w:rsid w:val="00BC3CE0"/>
    <w:rsid w:val="00BC4984"/>
    <w:rsid w:val="00BC4CB1"/>
    <w:rsid w:val="00BC4E3B"/>
    <w:rsid w:val="00BC6951"/>
    <w:rsid w:val="00BC724D"/>
    <w:rsid w:val="00BC7B6E"/>
    <w:rsid w:val="00BD0A3E"/>
    <w:rsid w:val="00BD1502"/>
    <w:rsid w:val="00BD296D"/>
    <w:rsid w:val="00BD2E9B"/>
    <w:rsid w:val="00BD3900"/>
    <w:rsid w:val="00BD6529"/>
    <w:rsid w:val="00BD7C52"/>
    <w:rsid w:val="00BE2412"/>
    <w:rsid w:val="00BE2FE2"/>
    <w:rsid w:val="00BE37DD"/>
    <w:rsid w:val="00BE6F9A"/>
    <w:rsid w:val="00BF2148"/>
    <w:rsid w:val="00BF5861"/>
    <w:rsid w:val="00BF6E32"/>
    <w:rsid w:val="00C004A9"/>
    <w:rsid w:val="00C012B0"/>
    <w:rsid w:val="00C017DF"/>
    <w:rsid w:val="00C04CEF"/>
    <w:rsid w:val="00C05D6B"/>
    <w:rsid w:val="00C06C75"/>
    <w:rsid w:val="00C070F9"/>
    <w:rsid w:val="00C10806"/>
    <w:rsid w:val="00C10D99"/>
    <w:rsid w:val="00C14130"/>
    <w:rsid w:val="00C162D7"/>
    <w:rsid w:val="00C162EC"/>
    <w:rsid w:val="00C17972"/>
    <w:rsid w:val="00C23129"/>
    <w:rsid w:val="00C238D1"/>
    <w:rsid w:val="00C23B1E"/>
    <w:rsid w:val="00C259A3"/>
    <w:rsid w:val="00C30D4E"/>
    <w:rsid w:val="00C4163E"/>
    <w:rsid w:val="00C4196B"/>
    <w:rsid w:val="00C421C3"/>
    <w:rsid w:val="00C4513E"/>
    <w:rsid w:val="00C4527C"/>
    <w:rsid w:val="00C463C6"/>
    <w:rsid w:val="00C50C7A"/>
    <w:rsid w:val="00C51B43"/>
    <w:rsid w:val="00C53B8A"/>
    <w:rsid w:val="00C5441F"/>
    <w:rsid w:val="00C5588C"/>
    <w:rsid w:val="00C55A85"/>
    <w:rsid w:val="00C567C5"/>
    <w:rsid w:val="00C578E6"/>
    <w:rsid w:val="00C60038"/>
    <w:rsid w:val="00C601E7"/>
    <w:rsid w:val="00C6052B"/>
    <w:rsid w:val="00C60879"/>
    <w:rsid w:val="00C60CE4"/>
    <w:rsid w:val="00C632DE"/>
    <w:rsid w:val="00C63BAC"/>
    <w:rsid w:val="00C63C5D"/>
    <w:rsid w:val="00C63CAA"/>
    <w:rsid w:val="00C63DD8"/>
    <w:rsid w:val="00C650B0"/>
    <w:rsid w:val="00C65175"/>
    <w:rsid w:val="00C655EE"/>
    <w:rsid w:val="00C65D99"/>
    <w:rsid w:val="00C66973"/>
    <w:rsid w:val="00C7142F"/>
    <w:rsid w:val="00C74362"/>
    <w:rsid w:val="00C81200"/>
    <w:rsid w:val="00C81DFE"/>
    <w:rsid w:val="00C84145"/>
    <w:rsid w:val="00C96D40"/>
    <w:rsid w:val="00C97C9A"/>
    <w:rsid w:val="00CA1BD0"/>
    <w:rsid w:val="00CA24F9"/>
    <w:rsid w:val="00CA58A1"/>
    <w:rsid w:val="00CA6051"/>
    <w:rsid w:val="00CB033A"/>
    <w:rsid w:val="00CB1040"/>
    <w:rsid w:val="00CB1769"/>
    <w:rsid w:val="00CB1BF5"/>
    <w:rsid w:val="00CB2589"/>
    <w:rsid w:val="00CB4D92"/>
    <w:rsid w:val="00CB4E40"/>
    <w:rsid w:val="00CB4FE3"/>
    <w:rsid w:val="00CB5933"/>
    <w:rsid w:val="00CB67FE"/>
    <w:rsid w:val="00CB6CA3"/>
    <w:rsid w:val="00CB77B3"/>
    <w:rsid w:val="00CB7E85"/>
    <w:rsid w:val="00CC09ED"/>
    <w:rsid w:val="00CC19A8"/>
    <w:rsid w:val="00CC32EA"/>
    <w:rsid w:val="00CC3F6A"/>
    <w:rsid w:val="00CC4D93"/>
    <w:rsid w:val="00CC7CB5"/>
    <w:rsid w:val="00CD22BE"/>
    <w:rsid w:val="00CD3AF8"/>
    <w:rsid w:val="00CD5596"/>
    <w:rsid w:val="00CD5EF3"/>
    <w:rsid w:val="00CD678F"/>
    <w:rsid w:val="00CD7462"/>
    <w:rsid w:val="00CE3161"/>
    <w:rsid w:val="00CE7B32"/>
    <w:rsid w:val="00CE7F0A"/>
    <w:rsid w:val="00CF02A9"/>
    <w:rsid w:val="00CF1961"/>
    <w:rsid w:val="00CF1CD2"/>
    <w:rsid w:val="00CF21A2"/>
    <w:rsid w:val="00CF30B5"/>
    <w:rsid w:val="00CF53B7"/>
    <w:rsid w:val="00CF62BA"/>
    <w:rsid w:val="00CF726E"/>
    <w:rsid w:val="00CF7D3F"/>
    <w:rsid w:val="00D02D8D"/>
    <w:rsid w:val="00D04048"/>
    <w:rsid w:val="00D048FD"/>
    <w:rsid w:val="00D04B2A"/>
    <w:rsid w:val="00D07CC4"/>
    <w:rsid w:val="00D11AEA"/>
    <w:rsid w:val="00D14D2E"/>
    <w:rsid w:val="00D15129"/>
    <w:rsid w:val="00D1521E"/>
    <w:rsid w:val="00D157F3"/>
    <w:rsid w:val="00D15E47"/>
    <w:rsid w:val="00D160C9"/>
    <w:rsid w:val="00D166E0"/>
    <w:rsid w:val="00D177C1"/>
    <w:rsid w:val="00D209C8"/>
    <w:rsid w:val="00D21402"/>
    <w:rsid w:val="00D21C8A"/>
    <w:rsid w:val="00D220F4"/>
    <w:rsid w:val="00D25944"/>
    <w:rsid w:val="00D30965"/>
    <w:rsid w:val="00D31D3A"/>
    <w:rsid w:val="00D3288C"/>
    <w:rsid w:val="00D33CE3"/>
    <w:rsid w:val="00D41E54"/>
    <w:rsid w:val="00D4304A"/>
    <w:rsid w:val="00D446AF"/>
    <w:rsid w:val="00D46762"/>
    <w:rsid w:val="00D50096"/>
    <w:rsid w:val="00D5098D"/>
    <w:rsid w:val="00D50DAD"/>
    <w:rsid w:val="00D51D27"/>
    <w:rsid w:val="00D51E27"/>
    <w:rsid w:val="00D60891"/>
    <w:rsid w:val="00D63E32"/>
    <w:rsid w:val="00D651E4"/>
    <w:rsid w:val="00D65C17"/>
    <w:rsid w:val="00D714D5"/>
    <w:rsid w:val="00D71C6F"/>
    <w:rsid w:val="00D74EDA"/>
    <w:rsid w:val="00D76577"/>
    <w:rsid w:val="00D775CF"/>
    <w:rsid w:val="00D8013F"/>
    <w:rsid w:val="00D80DC3"/>
    <w:rsid w:val="00D83DD3"/>
    <w:rsid w:val="00D852B3"/>
    <w:rsid w:val="00D85705"/>
    <w:rsid w:val="00D8579B"/>
    <w:rsid w:val="00D8653E"/>
    <w:rsid w:val="00D902CD"/>
    <w:rsid w:val="00D9120E"/>
    <w:rsid w:val="00D91B8F"/>
    <w:rsid w:val="00D92F0E"/>
    <w:rsid w:val="00D9498C"/>
    <w:rsid w:val="00D97456"/>
    <w:rsid w:val="00DA37BE"/>
    <w:rsid w:val="00DA441E"/>
    <w:rsid w:val="00DA5ECF"/>
    <w:rsid w:val="00DB200D"/>
    <w:rsid w:val="00DB2EBA"/>
    <w:rsid w:val="00DB3594"/>
    <w:rsid w:val="00DB46E0"/>
    <w:rsid w:val="00DB5299"/>
    <w:rsid w:val="00DB52D8"/>
    <w:rsid w:val="00DB7F33"/>
    <w:rsid w:val="00DC13E9"/>
    <w:rsid w:val="00DC5837"/>
    <w:rsid w:val="00DC60EC"/>
    <w:rsid w:val="00DC66A6"/>
    <w:rsid w:val="00DD0405"/>
    <w:rsid w:val="00DD15BC"/>
    <w:rsid w:val="00DD1A79"/>
    <w:rsid w:val="00DD47BD"/>
    <w:rsid w:val="00DD648E"/>
    <w:rsid w:val="00DE2271"/>
    <w:rsid w:val="00DE27AC"/>
    <w:rsid w:val="00DE7730"/>
    <w:rsid w:val="00DF1A7A"/>
    <w:rsid w:val="00DF5F2D"/>
    <w:rsid w:val="00DF7F53"/>
    <w:rsid w:val="00E02E58"/>
    <w:rsid w:val="00E03F21"/>
    <w:rsid w:val="00E0427B"/>
    <w:rsid w:val="00E04B22"/>
    <w:rsid w:val="00E05534"/>
    <w:rsid w:val="00E11028"/>
    <w:rsid w:val="00E1467D"/>
    <w:rsid w:val="00E20694"/>
    <w:rsid w:val="00E207FB"/>
    <w:rsid w:val="00E22223"/>
    <w:rsid w:val="00E22FF7"/>
    <w:rsid w:val="00E24697"/>
    <w:rsid w:val="00E25590"/>
    <w:rsid w:val="00E25892"/>
    <w:rsid w:val="00E26562"/>
    <w:rsid w:val="00E27377"/>
    <w:rsid w:val="00E30754"/>
    <w:rsid w:val="00E30F50"/>
    <w:rsid w:val="00E31404"/>
    <w:rsid w:val="00E31DFE"/>
    <w:rsid w:val="00E3289D"/>
    <w:rsid w:val="00E374BF"/>
    <w:rsid w:val="00E40888"/>
    <w:rsid w:val="00E41757"/>
    <w:rsid w:val="00E41850"/>
    <w:rsid w:val="00E43693"/>
    <w:rsid w:val="00E44D5A"/>
    <w:rsid w:val="00E45DE4"/>
    <w:rsid w:val="00E508D8"/>
    <w:rsid w:val="00E508D9"/>
    <w:rsid w:val="00E51904"/>
    <w:rsid w:val="00E529D3"/>
    <w:rsid w:val="00E52E5E"/>
    <w:rsid w:val="00E53777"/>
    <w:rsid w:val="00E53DAE"/>
    <w:rsid w:val="00E57819"/>
    <w:rsid w:val="00E627FC"/>
    <w:rsid w:val="00E6348B"/>
    <w:rsid w:val="00E64EE3"/>
    <w:rsid w:val="00E65278"/>
    <w:rsid w:val="00E67599"/>
    <w:rsid w:val="00E72B8B"/>
    <w:rsid w:val="00E731EE"/>
    <w:rsid w:val="00E740E6"/>
    <w:rsid w:val="00E75DF4"/>
    <w:rsid w:val="00E80335"/>
    <w:rsid w:val="00E8210B"/>
    <w:rsid w:val="00E85771"/>
    <w:rsid w:val="00E8693C"/>
    <w:rsid w:val="00E9062D"/>
    <w:rsid w:val="00E90ADB"/>
    <w:rsid w:val="00E911C7"/>
    <w:rsid w:val="00E91270"/>
    <w:rsid w:val="00E91D05"/>
    <w:rsid w:val="00E94F01"/>
    <w:rsid w:val="00E96BBE"/>
    <w:rsid w:val="00E9790F"/>
    <w:rsid w:val="00EA29E4"/>
    <w:rsid w:val="00EA394B"/>
    <w:rsid w:val="00EA39E7"/>
    <w:rsid w:val="00EA74D0"/>
    <w:rsid w:val="00EB00D2"/>
    <w:rsid w:val="00EB0976"/>
    <w:rsid w:val="00EB0EA7"/>
    <w:rsid w:val="00EB1781"/>
    <w:rsid w:val="00EB63A4"/>
    <w:rsid w:val="00EB72A8"/>
    <w:rsid w:val="00EC0307"/>
    <w:rsid w:val="00EC14DA"/>
    <w:rsid w:val="00EC1A36"/>
    <w:rsid w:val="00ED058A"/>
    <w:rsid w:val="00ED150E"/>
    <w:rsid w:val="00ED182C"/>
    <w:rsid w:val="00ED1E5D"/>
    <w:rsid w:val="00ED4324"/>
    <w:rsid w:val="00ED543E"/>
    <w:rsid w:val="00ED703E"/>
    <w:rsid w:val="00EE12FC"/>
    <w:rsid w:val="00EE23CD"/>
    <w:rsid w:val="00EE2E95"/>
    <w:rsid w:val="00EE3D15"/>
    <w:rsid w:val="00EE4ECD"/>
    <w:rsid w:val="00EF0E22"/>
    <w:rsid w:val="00EF6107"/>
    <w:rsid w:val="00EF7633"/>
    <w:rsid w:val="00F01781"/>
    <w:rsid w:val="00F01F79"/>
    <w:rsid w:val="00F02E9E"/>
    <w:rsid w:val="00F03C8E"/>
    <w:rsid w:val="00F04F5D"/>
    <w:rsid w:val="00F06A12"/>
    <w:rsid w:val="00F117DD"/>
    <w:rsid w:val="00F11BA0"/>
    <w:rsid w:val="00F12C24"/>
    <w:rsid w:val="00F12EE9"/>
    <w:rsid w:val="00F13833"/>
    <w:rsid w:val="00F14D88"/>
    <w:rsid w:val="00F15D60"/>
    <w:rsid w:val="00F173AF"/>
    <w:rsid w:val="00F176FE"/>
    <w:rsid w:val="00F20CAE"/>
    <w:rsid w:val="00F21CB9"/>
    <w:rsid w:val="00F222D2"/>
    <w:rsid w:val="00F22659"/>
    <w:rsid w:val="00F23C73"/>
    <w:rsid w:val="00F24377"/>
    <w:rsid w:val="00F25B1E"/>
    <w:rsid w:val="00F262CF"/>
    <w:rsid w:val="00F3149B"/>
    <w:rsid w:val="00F31569"/>
    <w:rsid w:val="00F31B64"/>
    <w:rsid w:val="00F31E0A"/>
    <w:rsid w:val="00F32CCD"/>
    <w:rsid w:val="00F3516A"/>
    <w:rsid w:val="00F37302"/>
    <w:rsid w:val="00F41C03"/>
    <w:rsid w:val="00F43798"/>
    <w:rsid w:val="00F46C18"/>
    <w:rsid w:val="00F5143A"/>
    <w:rsid w:val="00F52B43"/>
    <w:rsid w:val="00F52CA7"/>
    <w:rsid w:val="00F575D4"/>
    <w:rsid w:val="00F62677"/>
    <w:rsid w:val="00F6350C"/>
    <w:rsid w:val="00F6564D"/>
    <w:rsid w:val="00F70854"/>
    <w:rsid w:val="00F742D4"/>
    <w:rsid w:val="00F75BDD"/>
    <w:rsid w:val="00F763BB"/>
    <w:rsid w:val="00F81597"/>
    <w:rsid w:val="00F91865"/>
    <w:rsid w:val="00F96712"/>
    <w:rsid w:val="00F96A52"/>
    <w:rsid w:val="00F96B20"/>
    <w:rsid w:val="00F97A14"/>
    <w:rsid w:val="00FA2188"/>
    <w:rsid w:val="00FA4307"/>
    <w:rsid w:val="00FA749F"/>
    <w:rsid w:val="00FB1E1C"/>
    <w:rsid w:val="00FB1E84"/>
    <w:rsid w:val="00FB330D"/>
    <w:rsid w:val="00FB4B09"/>
    <w:rsid w:val="00FC354B"/>
    <w:rsid w:val="00FC79A8"/>
    <w:rsid w:val="00FD0A62"/>
    <w:rsid w:val="00FD0B9F"/>
    <w:rsid w:val="00FD0CFB"/>
    <w:rsid w:val="00FD29A9"/>
    <w:rsid w:val="00FD5590"/>
    <w:rsid w:val="00FD5F33"/>
    <w:rsid w:val="00FD6499"/>
    <w:rsid w:val="00FD697F"/>
    <w:rsid w:val="00FE2866"/>
    <w:rsid w:val="00FE35AA"/>
    <w:rsid w:val="00FF0340"/>
    <w:rsid w:val="00FF5107"/>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1A54C-2AFA-4B18-84C8-7FFE840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basedOn w:val="Normal"/>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styleId="Footer">
    <w:name w:val="footer"/>
    <w:basedOn w:val="Normal"/>
    <w:link w:val="FooterChar"/>
    <w:uiPriority w:val="99"/>
    <w:rsid w:val="00F117DD"/>
    <w:pPr>
      <w:tabs>
        <w:tab w:val="center" w:pos="4513"/>
        <w:tab w:val="right" w:pos="9026"/>
      </w:tabs>
    </w:pPr>
  </w:style>
  <w:style w:type="character" w:customStyle="1" w:styleId="FooterChar">
    <w:name w:val="Footer Char"/>
    <w:basedOn w:val="DefaultParagraphFont"/>
    <w:link w:val="Footer"/>
    <w:uiPriority w:val="99"/>
    <w:rsid w:val="00F117DD"/>
  </w:style>
  <w:style w:type="paragraph" w:styleId="FootnoteText">
    <w:name w:val="footnote text"/>
    <w:basedOn w:val="Normal"/>
    <w:link w:val="FootnoteTextChar"/>
    <w:unhideWhenUsed/>
    <w:rsid w:val="001E7FBB"/>
  </w:style>
  <w:style w:type="character" w:customStyle="1" w:styleId="FootnoteTextChar">
    <w:name w:val="Footnote Text Char"/>
    <w:basedOn w:val="DefaultParagraphFont"/>
    <w:link w:val="FootnoteText"/>
    <w:rsid w:val="001E7FBB"/>
  </w:style>
  <w:style w:type="character" w:styleId="FootnoteReference">
    <w:name w:val="footnote reference"/>
    <w:unhideWhenUsed/>
    <w:rsid w:val="001E7FBB"/>
    <w:rPr>
      <w:vertAlign w:val="superscript"/>
    </w:rPr>
  </w:style>
  <w:style w:type="character" w:customStyle="1" w:styleId="legsubtitle1">
    <w:name w:val="legsubtitle1"/>
    <w:rsid w:val="00433AF7"/>
    <w:rPr>
      <w:b/>
      <w:bCs/>
    </w:rPr>
  </w:style>
  <w:style w:type="character" w:customStyle="1" w:styleId="HeaderChar">
    <w:name w:val="Header Char"/>
    <w:link w:val="Header"/>
    <w:uiPriority w:val="99"/>
    <w:rsid w:val="00AD1952"/>
  </w:style>
  <w:style w:type="paragraph" w:styleId="PlainText">
    <w:name w:val="Plain Text"/>
    <w:basedOn w:val="Normal"/>
    <w:link w:val="PlainTextChar"/>
    <w:uiPriority w:val="99"/>
    <w:unhideWhenUsed/>
    <w:rsid w:val="00697719"/>
    <w:rPr>
      <w:rFonts w:ascii="Calibri" w:eastAsia="Calibri" w:hAnsi="Calibri" w:cs="Consolas"/>
      <w:sz w:val="22"/>
      <w:szCs w:val="21"/>
      <w:lang w:eastAsia="en-US"/>
    </w:rPr>
  </w:style>
  <w:style w:type="character" w:customStyle="1" w:styleId="PlainTextChar">
    <w:name w:val="Plain Text Char"/>
    <w:link w:val="PlainText"/>
    <w:uiPriority w:val="99"/>
    <w:rsid w:val="00697719"/>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129369878">
      <w:bodyDiv w:val="1"/>
      <w:marLeft w:val="0"/>
      <w:marRight w:val="0"/>
      <w:marTop w:val="0"/>
      <w:marBottom w:val="0"/>
      <w:divBdr>
        <w:top w:val="none" w:sz="0" w:space="0" w:color="auto"/>
        <w:left w:val="none" w:sz="0" w:space="0" w:color="auto"/>
        <w:bottom w:val="none" w:sz="0" w:space="0" w:color="auto"/>
        <w:right w:val="none" w:sz="0" w:space="0" w:color="auto"/>
      </w:divBdr>
    </w:div>
    <w:div w:id="146476316">
      <w:bodyDiv w:val="1"/>
      <w:marLeft w:val="0"/>
      <w:marRight w:val="0"/>
      <w:marTop w:val="0"/>
      <w:marBottom w:val="0"/>
      <w:divBdr>
        <w:top w:val="none" w:sz="0" w:space="0" w:color="auto"/>
        <w:left w:val="none" w:sz="0" w:space="0" w:color="auto"/>
        <w:bottom w:val="none" w:sz="0" w:space="0" w:color="auto"/>
        <w:right w:val="none" w:sz="0" w:space="0" w:color="auto"/>
      </w:divBdr>
      <w:divsChild>
        <w:div w:id="738406263">
          <w:marLeft w:val="0"/>
          <w:marRight w:val="0"/>
          <w:marTop w:val="0"/>
          <w:marBottom w:val="0"/>
          <w:divBdr>
            <w:top w:val="none" w:sz="0" w:space="0" w:color="auto"/>
            <w:left w:val="none" w:sz="0" w:space="0" w:color="auto"/>
            <w:bottom w:val="none" w:sz="0" w:space="0" w:color="auto"/>
            <w:right w:val="none" w:sz="0" w:space="0" w:color="auto"/>
          </w:divBdr>
          <w:divsChild>
            <w:div w:id="18446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6275">
      <w:bodyDiv w:val="1"/>
      <w:marLeft w:val="0"/>
      <w:marRight w:val="0"/>
      <w:marTop w:val="0"/>
      <w:marBottom w:val="0"/>
      <w:divBdr>
        <w:top w:val="none" w:sz="0" w:space="0" w:color="auto"/>
        <w:left w:val="none" w:sz="0" w:space="0" w:color="auto"/>
        <w:bottom w:val="none" w:sz="0" w:space="0" w:color="auto"/>
        <w:right w:val="none" w:sz="0" w:space="0" w:color="auto"/>
      </w:divBdr>
      <w:divsChild>
        <w:div w:id="1461606883">
          <w:marLeft w:val="0"/>
          <w:marRight w:val="0"/>
          <w:marTop w:val="0"/>
          <w:marBottom w:val="0"/>
          <w:divBdr>
            <w:top w:val="none" w:sz="0" w:space="0" w:color="auto"/>
            <w:left w:val="none" w:sz="0" w:space="0" w:color="auto"/>
            <w:bottom w:val="none" w:sz="0" w:space="0" w:color="auto"/>
            <w:right w:val="none" w:sz="0" w:space="0" w:color="auto"/>
          </w:divBdr>
          <w:divsChild>
            <w:div w:id="854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268">
      <w:bodyDiv w:val="1"/>
      <w:marLeft w:val="0"/>
      <w:marRight w:val="0"/>
      <w:marTop w:val="0"/>
      <w:marBottom w:val="0"/>
      <w:divBdr>
        <w:top w:val="none" w:sz="0" w:space="0" w:color="auto"/>
        <w:left w:val="none" w:sz="0" w:space="0" w:color="auto"/>
        <w:bottom w:val="none" w:sz="0" w:space="0" w:color="auto"/>
        <w:right w:val="none" w:sz="0" w:space="0" w:color="auto"/>
      </w:divBdr>
    </w:div>
    <w:div w:id="309408657">
      <w:bodyDiv w:val="1"/>
      <w:marLeft w:val="0"/>
      <w:marRight w:val="0"/>
      <w:marTop w:val="0"/>
      <w:marBottom w:val="0"/>
      <w:divBdr>
        <w:top w:val="none" w:sz="0" w:space="0" w:color="auto"/>
        <w:left w:val="none" w:sz="0" w:space="0" w:color="auto"/>
        <w:bottom w:val="none" w:sz="0" w:space="0" w:color="auto"/>
        <w:right w:val="none" w:sz="0" w:space="0" w:color="auto"/>
      </w:divBdr>
    </w:div>
    <w:div w:id="316885569">
      <w:bodyDiv w:val="1"/>
      <w:marLeft w:val="0"/>
      <w:marRight w:val="0"/>
      <w:marTop w:val="0"/>
      <w:marBottom w:val="0"/>
      <w:divBdr>
        <w:top w:val="none" w:sz="0" w:space="0" w:color="auto"/>
        <w:left w:val="none" w:sz="0" w:space="0" w:color="auto"/>
        <w:bottom w:val="none" w:sz="0" w:space="0" w:color="auto"/>
        <w:right w:val="none" w:sz="0" w:space="0" w:color="auto"/>
      </w:divBdr>
    </w:div>
    <w:div w:id="330571502">
      <w:bodyDiv w:val="1"/>
      <w:marLeft w:val="0"/>
      <w:marRight w:val="0"/>
      <w:marTop w:val="0"/>
      <w:marBottom w:val="0"/>
      <w:divBdr>
        <w:top w:val="none" w:sz="0" w:space="0" w:color="auto"/>
        <w:left w:val="none" w:sz="0" w:space="0" w:color="auto"/>
        <w:bottom w:val="none" w:sz="0" w:space="0" w:color="auto"/>
        <w:right w:val="none" w:sz="0" w:space="0" w:color="auto"/>
      </w:divBdr>
    </w:div>
    <w:div w:id="445808492">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784807618">
      <w:bodyDiv w:val="1"/>
      <w:marLeft w:val="0"/>
      <w:marRight w:val="0"/>
      <w:marTop w:val="0"/>
      <w:marBottom w:val="0"/>
      <w:divBdr>
        <w:top w:val="none" w:sz="0" w:space="0" w:color="auto"/>
        <w:left w:val="none" w:sz="0" w:space="0" w:color="auto"/>
        <w:bottom w:val="none" w:sz="0" w:space="0" w:color="auto"/>
        <w:right w:val="none" w:sz="0" w:space="0" w:color="auto"/>
      </w:divBdr>
      <w:divsChild>
        <w:div w:id="1224026887">
          <w:marLeft w:val="0"/>
          <w:marRight w:val="0"/>
          <w:marTop w:val="0"/>
          <w:marBottom w:val="0"/>
          <w:divBdr>
            <w:top w:val="none" w:sz="0" w:space="0" w:color="auto"/>
            <w:left w:val="none" w:sz="0" w:space="0" w:color="auto"/>
            <w:bottom w:val="none" w:sz="0" w:space="0" w:color="auto"/>
            <w:right w:val="none" w:sz="0" w:space="0" w:color="auto"/>
          </w:divBdr>
          <w:divsChild>
            <w:div w:id="1901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1469">
      <w:bodyDiv w:val="1"/>
      <w:marLeft w:val="0"/>
      <w:marRight w:val="0"/>
      <w:marTop w:val="0"/>
      <w:marBottom w:val="0"/>
      <w:divBdr>
        <w:top w:val="none" w:sz="0" w:space="0" w:color="auto"/>
        <w:left w:val="none" w:sz="0" w:space="0" w:color="auto"/>
        <w:bottom w:val="none" w:sz="0" w:space="0" w:color="auto"/>
        <w:right w:val="none" w:sz="0" w:space="0" w:color="auto"/>
      </w:divBdr>
    </w:div>
    <w:div w:id="1117682814">
      <w:bodyDiv w:val="1"/>
      <w:marLeft w:val="0"/>
      <w:marRight w:val="0"/>
      <w:marTop w:val="0"/>
      <w:marBottom w:val="0"/>
      <w:divBdr>
        <w:top w:val="none" w:sz="0" w:space="0" w:color="auto"/>
        <w:left w:val="none" w:sz="0" w:space="0" w:color="auto"/>
        <w:bottom w:val="none" w:sz="0" w:space="0" w:color="auto"/>
        <w:right w:val="none" w:sz="0" w:space="0" w:color="auto"/>
      </w:divBdr>
      <w:divsChild>
        <w:div w:id="1748651232">
          <w:marLeft w:val="0"/>
          <w:marRight w:val="0"/>
          <w:marTop w:val="0"/>
          <w:marBottom w:val="0"/>
          <w:divBdr>
            <w:top w:val="none" w:sz="0" w:space="0" w:color="auto"/>
            <w:left w:val="none" w:sz="0" w:space="0" w:color="auto"/>
            <w:bottom w:val="none" w:sz="0" w:space="0" w:color="auto"/>
            <w:right w:val="none" w:sz="0" w:space="0" w:color="auto"/>
          </w:divBdr>
          <w:divsChild>
            <w:div w:id="10095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644845213">
      <w:bodyDiv w:val="1"/>
      <w:marLeft w:val="0"/>
      <w:marRight w:val="0"/>
      <w:marTop w:val="0"/>
      <w:marBottom w:val="0"/>
      <w:divBdr>
        <w:top w:val="none" w:sz="0" w:space="0" w:color="auto"/>
        <w:left w:val="none" w:sz="0" w:space="0" w:color="auto"/>
        <w:bottom w:val="none" w:sz="0" w:space="0" w:color="auto"/>
        <w:right w:val="none" w:sz="0" w:space="0" w:color="auto"/>
      </w:divBdr>
      <w:divsChild>
        <w:div w:id="1974166674">
          <w:marLeft w:val="0"/>
          <w:marRight w:val="0"/>
          <w:marTop w:val="0"/>
          <w:marBottom w:val="0"/>
          <w:divBdr>
            <w:top w:val="none" w:sz="0" w:space="0" w:color="auto"/>
            <w:left w:val="none" w:sz="0" w:space="0" w:color="auto"/>
            <w:bottom w:val="none" w:sz="0" w:space="0" w:color="auto"/>
            <w:right w:val="none" w:sz="0" w:space="0" w:color="auto"/>
          </w:divBdr>
          <w:divsChild>
            <w:div w:id="1759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911">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070758664">
      <w:bodyDiv w:val="1"/>
      <w:marLeft w:val="0"/>
      <w:marRight w:val="0"/>
      <w:marTop w:val="0"/>
      <w:marBottom w:val="0"/>
      <w:divBdr>
        <w:top w:val="none" w:sz="0" w:space="0" w:color="auto"/>
        <w:left w:val="none" w:sz="0" w:space="0" w:color="auto"/>
        <w:bottom w:val="none" w:sz="0" w:space="0" w:color="auto"/>
        <w:right w:val="none" w:sz="0" w:space="0" w:color="auto"/>
      </w:divBdr>
    </w:div>
    <w:div w:id="2100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f.edu.au/sites/aqf/files/aqf-2nd-edition-january-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qf.edu.au/sites/aqf/files/aqf-2nd-edition-january-201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43D3-62B0-42BC-B3A3-4DB0FDC4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12029</CharactersWithSpaces>
  <SharedDoc>false</SharedDoc>
  <HLinks>
    <vt:vector size="12" baseType="variant">
      <vt:variant>
        <vt:i4>2949170</vt:i4>
      </vt:variant>
      <vt:variant>
        <vt:i4>3</vt:i4>
      </vt:variant>
      <vt:variant>
        <vt:i4>0</vt:i4>
      </vt:variant>
      <vt:variant>
        <vt:i4>5</vt:i4>
      </vt:variant>
      <vt:variant>
        <vt:lpwstr>https://www.aqf.edu.au/sites/aqf/files/aqf-2nd-edition-january-2013.pdf</vt:lpwstr>
      </vt:variant>
      <vt:variant>
        <vt:lpwstr/>
      </vt:variant>
      <vt:variant>
        <vt:i4>2949170</vt:i4>
      </vt:variant>
      <vt:variant>
        <vt:i4>0</vt:i4>
      </vt:variant>
      <vt:variant>
        <vt:i4>0</vt:i4>
      </vt:variant>
      <vt:variant>
        <vt:i4>5</vt:i4>
      </vt:variant>
      <vt:variant>
        <vt:lpwstr>https://www.aqf.edu.au/sites/aqf/files/aqf-2nd-edition-january-2013.pdf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3</cp:revision>
  <cp:lastPrinted>2018-09-17T23:32:00Z</cp:lastPrinted>
  <dcterms:created xsi:type="dcterms:W3CDTF">2018-09-19T01:24:00Z</dcterms:created>
  <dcterms:modified xsi:type="dcterms:W3CDTF">2018-09-25T22:24:00Z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