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2D11F" w14:textId="48ADD764" w:rsidR="00FA6784" w:rsidRPr="00C85162" w:rsidRDefault="004A6EAE" w:rsidP="00FA6784">
      <w:pPr>
        <w:pStyle w:val="H3"/>
        <w:jc w:val="center"/>
        <w:rPr>
          <w:sz w:val="24"/>
          <w:szCs w:val="24"/>
        </w:rPr>
      </w:pPr>
      <w:r>
        <w:rPr>
          <w:sz w:val="24"/>
          <w:szCs w:val="24"/>
        </w:rPr>
        <w:t xml:space="preserve"> </w:t>
      </w:r>
      <w:r w:rsidR="00FA6784"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2838A7B4" w14:textId="77C6BB8C" w:rsidR="00FD602D" w:rsidRPr="00EB601D" w:rsidRDefault="00C63C37" w:rsidP="00C63C37">
      <w:pPr>
        <w:ind w:right="-483"/>
        <w:jc w:val="center"/>
        <w:rPr>
          <w:szCs w:val="24"/>
          <w:highlight w:val="yellow"/>
        </w:rPr>
      </w:pPr>
      <w:r w:rsidRPr="00C63C37">
        <w:rPr>
          <w:i/>
          <w:szCs w:val="24"/>
        </w:rPr>
        <w:t>Health Insurance (Section 3C General Medical Services – Vigilance Testing) Determination 2018</w:t>
      </w:r>
    </w:p>
    <w:p w14:paraId="1E15D708" w14:textId="77777777" w:rsidR="00C63C37" w:rsidRDefault="00C63C37" w:rsidP="000B41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1D56638D" w14:textId="77777777" w:rsidR="000B411C" w:rsidRPr="00EB601D" w:rsidRDefault="000B411C" w:rsidP="000B41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highlight w:val="yellow"/>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provides that the Minister may, by legislative instrument, determine that a health service not specified in an item in the </w:t>
      </w:r>
      <w:r>
        <w:rPr>
          <w:color w:val="000000"/>
          <w:shd w:val="clear" w:color="auto" w:fill="FFFFFF"/>
        </w:rPr>
        <w:t>general medical</w:t>
      </w:r>
      <w:r w:rsidRPr="00D87426">
        <w:rPr>
          <w:color w:val="000000"/>
          <w:shd w:val="clear" w:color="auto" w:fill="FFFFFF"/>
        </w:rPr>
        <w:t xml:space="preserve"> services table shall, in specified circumstances and for specified statutory provisions, be treated as if it were specified in the </w:t>
      </w:r>
      <w:r>
        <w:rPr>
          <w:color w:val="000000"/>
          <w:shd w:val="clear" w:color="auto" w:fill="FFFFFF"/>
        </w:rPr>
        <w:t xml:space="preserve">general medical </w:t>
      </w:r>
      <w:r w:rsidRPr="00D87426">
        <w:rPr>
          <w:color w:val="000000"/>
          <w:shd w:val="clear" w:color="auto" w:fill="FFFFFF"/>
        </w:rPr>
        <w:t xml:space="preserve">services table.  </w:t>
      </w:r>
    </w:p>
    <w:p w14:paraId="1635EBB3" w14:textId="77777777" w:rsidR="000B411C" w:rsidRPr="00D87426" w:rsidRDefault="000B411C" w:rsidP="000B41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60AF3332" w14:textId="57EB822D" w:rsidR="000B2A3E" w:rsidRPr="00D87426" w:rsidRDefault="000B411C" w:rsidP="000B2A3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5274F">
        <w:t>The general medical services table is set out in the regulations made under subsection 4(1) of the Act</w:t>
      </w:r>
      <w:r w:rsidR="000B2A3E" w:rsidRPr="00D87426">
        <w:t xml:space="preserve">, </w:t>
      </w:r>
      <w:r w:rsidR="000B2A3E">
        <w:t>and is repealed and remade</w:t>
      </w:r>
      <w:r w:rsidR="000B2A3E" w:rsidRPr="00D87426">
        <w:t xml:space="preserve"> each year. </w:t>
      </w:r>
    </w:p>
    <w:p w14:paraId="69E6BB06" w14:textId="496E703A" w:rsidR="000B411C" w:rsidRDefault="000B411C" w:rsidP="000B41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CE2163">
        <w:t xml:space="preserve"> </w:t>
      </w:r>
    </w:p>
    <w:p w14:paraId="2412D12A" w14:textId="77777777" w:rsidR="00BB00BA" w:rsidRPr="00CD4A21" w:rsidRDefault="00A1739A" w:rsidP="00BB00BA">
      <w:pPr>
        <w:rPr>
          <w:b/>
          <w:szCs w:val="24"/>
          <w:lang w:val="en-US" w:eastAsia="en-US"/>
        </w:rPr>
      </w:pPr>
      <w:r w:rsidRPr="00CD4A21">
        <w:rPr>
          <w:b/>
          <w:szCs w:val="24"/>
          <w:lang w:val="en-US" w:eastAsia="en-US"/>
        </w:rPr>
        <w:t>Purpose</w:t>
      </w:r>
    </w:p>
    <w:p w14:paraId="39F70D95" w14:textId="75306F87" w:rsidR="008A6B20" w:rsidRDefault="00742413" w:rsidP="00742413">
      <w:pPr>
        <w:rPr>
          <w:szCs w:val="24"/>
        </w:rPr>
      </w:pPr>
      <w:r>
        <w:rPr>
          <w:szCs w:val="24"/>
        </w:rPr>
        <w:t xml:space="preserve">Six new items will be introduced </w:t>
      </w:r>
      <w:r w:rsidR="00A47581">
        <w:rPr>
          <w:szCs w:val="24"/>
        </w:rPr>
        <w:t xml:space="preserve">to provide ongoing </w:t>
      </w:r>
      <w:r w:rsidR="004A6EAE">
        <w:rPr>
          <w:szCs w:val="24"/>
        </w:rPr>
        <w:t>benefits</w:t>
      </w:r>
      <w:r w:rsidR="00A47581">
        <w:rPr>
          <w:szCs w:val="24"/>
        </w:rPr>
        <w:t xml:space="preserve"> </w:t>
      </w:r>
      <w:r>
        <w:rPr>
          <w:szCs w:val="24"/>
        </w:rPr>
        <w:t xml:space="preserve">for </w:t>
      </w:r>
      <w:r w:rsidR="00353B1B">
        <w:rPr>
          <w:szCs w:val="24"/>
        </w:rPr>
        <w:t xml:space="preserve">vigilance testing </w:t>
      </w:r>
      <w:r w:rsidRPr="00742413">
        <w:rPr>
          <w:szCs w:val="24"/>
        </w:rPr>
        <w:t>for the assessment of excessive daytime sleepiness</w:t>
      </w:r>
      <w:r w:rsidR="008A6B20">
        <w:rPr>
          <w:szCs w:val="24"/>
        </w:rPr>
        <w:t>, for adults and children</w:t>
      </w:r>
      <w:r w:rsidR="00892B45">
        <w:rPr>
          <w:szCs w:val="24"/>
        </w:rPr>
        <w:t>, from</w:t>
      </w:r>
      <w:r w:rsidR="004A6EAE">
        <w:rPr>
          <w:szCs w:val="24"/>
        </w:rPr>
        <w:t xml:space="preserve"> </w:t>
      </w:r>
      <w:r w:rsidR="004A6EAE">
        <w:rPr>
          <w:szCs w:val="24"/>
        </w:rPr>
        <w:br/>
      </w:r>
      <w:r w:rsidR="00892B45" w:rsidRPr="00B31043">
        <w:rPr>
          <w:szCs w:val="24"/>
        </w:rPr>
        <w:t>1 November 2018</w:t>
      </w:r>
      <w:r w:rsidRPr="00B31043">
        <w:rPr>
          <w:szCs w:val="24"/>
        </w:rPr>
        <w:t>.</w:t>
      </w:r>
      <w:r w:rsidRPr="004A6EAE">
        <w:rPr>
          <w:szCs w:val="24"/>
        </w:rPr>
        <w:t xml:space="preserve"> </w:t>
      </w:r>
      <w:r w:rsidR="008A6B20" w:rsidRPr="00B31043">
        <w:rPr>
          <w:bCs/>
          <w:iCs/>
          <w:szCs w:val="24"/>
        </w:rPr>
        <w:t>Vigilance</w:t>
      </w:r>
      <w:r w:rsidR="008A6B20" w:rsidRPr="008A6B20">
        <w:rPr>
          <w:bCs/>
          <w:iCs/>
          <w:szCs w:val="24"/>
        </w:rPr>
        <w:t xml:space="preserve"> testing is primarily </w:t>
      </w:r>
      <w:r w:rsidR="00A47581">
        <w:rPr>
          <w:bCs/>
          <w:iCs/>
          <w:szCs w:val="24"/>
        </w:rPr>
        <w:t xml:space="preserve">required </w:t>
      </w:r>
      <w:r w:rsidR="008A6B20" w:rsidRPr="008A6B20">
        <w:rPr>
          <w:bCs/>
          <w:iCs/>
          <w:szCs w:val="24"/>
        </w:rPr>
        <w:t>to assess patient eligibility for certain medicines for narcolepsy</w:t>
      </w:r>
      <w:r w:rsidR="008A6B20">
        <w:rPr>
          <w:bCs/>
          <w:iCs/>
          <w:szCs w:val="24"/>
        </w:rPr>
        <w:t xml:space="preserve"> listed on the P</w:t>
      </w:r>
      <w:r w:rsidR="008A6B20" w:rsidRPr="008A6B20">
        <w:rPr>
          <w:bCs/>
          <w:iCs/>
          <w:szCs w:val="24"/>
        </w:rPr>
        <w:t>harmaceutical Benefits Scheme</w:t>
      </w:r>
      <w:r w:rsidR="008A6B20">
        <w:rPr>
          <w:bCs/>
          <w:iCs/>
          <w:szCs w:val="24"/>
        </w:rPr>
        <w:t xml:space="preserve"> (PBS).</w:t>
      </w:r>
    </w:p>
    <w:p w14:paraId="4670D559" w14:textId="77777777" w:rsidR="008A6B20" w:rsidRDefault="008A6B20" w:rsidP="00742413">
      <w:pPr>
        <w:rPr>
          <w:szCs w:val="24"/>
        </w:rPr>
      </w:pPr>
    </w:p>
    <w:p w14:paraId="1D6406A6" w14:textId="5E337D76" w:rsidR="006072B0" w:rsidRDefault="000961C0" w:rsidP="00742413">
      <w:r>
        <w:t>Currently, v</w:t>
      </w:r>
      <w:r w:rsidR="006072B0">
        <w:t xml:space="preserve">igilance testing is performed by </w:t>
      </w:r>
      <w:r w:rsidR="004A6EAE">
        <w:t>claiming</w:t>
      </w:r>
      <w:r w:rsidR="004A6EAE">
        <w:t xml:space="preserve"> </w:t>
      </w:r>
      <w:r>
        <w:t>a combination of items for the daytime and night-time component of the service</w:t>
      </w:r>
      <w:r w:rsidR="006072B0">
        <w:t>:</w:t>
      </w:r>
    </w:p>
    <w:p w14:paraId="72902EBC" w14:textId="02E9D556" w:rsidR="006072B0" w:rsidRPr="006072B0" w:rsidRDefault="006072B0" w:rsidP="006072B0">
      <w:pPr>
        <w:numPr>
          <w:ilvl w:val="0"/>
          <w:numId w:val="26"/>
        </w:numPr>
        <w:rPr>
          <w:bCs/>
        </w:rPr>
      </w:pPr>
      <w:r w:rsidRPr="006072B0">
        <w:rPr>
          <w:bCs/>
        </w:rPr>
        <w:t>12203 (overnight adult sleep study) followed by 11003 (</w:t>
      </w:r>
      <w:r w:rsidR="00CB073F">
        <w:rPr>
          <w:bCs/>
        </w:rPr>
        <w:t xml:space="preserve">daytime </w:t>
      </w:r>
      <w:r w:rsidRPr="006072B0">
        <w:rPr>
          <w:bCs/>
        </w:rPr>
        <w:t>electroencephalography</w:t>
      </w:r>
      <w:r w:rsidR="00CB073F">
        <w:rPr>
          <w:bCs/>
        </w:rPr>
        <w:t xml:space="preserve"> component</w:t>
      </w:r>
      <w:r w:rsidRPr="006072B0">
        <w:rPr>
          <w:bCs/>
        </w:rPr>
        <w:t xml:space="preserve">) </w:t>
      </w:r>
      <w:r w:rsidR="000961C0">
        <w:rPr>
          <w:bCs/>
        </w:rPr>
        <w:t>for</w:t>
      </w:r>
      <w:r w:rsidRPr="006072B0">
        <w:rPr>
          <w:bCs/>
        </w:rPr>
        <w:t xml:space="preserve"> adults;</w:t>
      </w:r>
      <w:r>
        <w:rPr>
          <w:bCs/>
        </w:rPr>
        <w:t xml:space="preserve"> or</w:t>
      </w:r>
    </w:p>
    <w:p w14:paraId="205DDF34" w14:textId="5FED2486" w:rsidR="006072B0" w:rsidRPr="006072B0" w:rsidRDefault="006072B0" w:rsidP="006072B0">
      <w:pPr>
        <w:numPr>
          <w:ilvl w:val="0"/>
          <w:numId w:val="26"/>
        </w:numPr>
        <w:rPr>
          <w:bCs/>
        </w:rPr>
      </w:pPr>
      <w:r w:rsidRPr="006072B0">
        <w:rPr>
          <w:bCs/>
        </w:rPr>
        <w:t xml:space="preserve">12210 or 12213 (overnight paediatric sleep studies) followed by 11003 </w:t>
      </w:r>
      <w:r w:rsidR="000961C0">
        <w:rPr>
          <w:bCs/>
        </w:rPr>
        <w:t>for</w:t>
      </w:r>
      <w:r w:rsidRPr="006072B0">
        <w:rPr>
          <w:bCs/>
        </w:rPr>
        <w:t xml:space="preserve"> children.  </w:t>
      </w:r>
    </w:p>
    <w:p w14:paraId="30780BAD" w14:textId="77777777" w:rsidR="006072B0" w:rsidRDefault="006072B0" w:rsidP="00742413"/>
    <w:p w14:paraId="499FBB00" w14:textId="77777777" w:rsidR="004A6EAE" w:rsidRDefault="000961C0" w:rsidP="004A6EAE">
      <w:r>
        <w:t xml:space="preserve">The six new items provide a service for both the daytime and the night-time component of vigilance testing. </w:t>
      </w:r>
      <w:r w:rsidR="004A6EAE">
        <w:t>Services provided under the new items are for a m</w:t>
      </w:r>
      <w:r w:rsidR="004A6EAE" w:rsidRPr="00CB073F">
        <w:t>ultiple sleep latency test for the assessment of unexplained hypersomnolence</w:t>
      </w:r>
      <w:r w:rsidR="004A6EAE">
        <w:t xml:space="preserve">, and for the maintenance of wakefulness test </w:t>
      </w:r>
      <w:r w:rsidR="004A6EAE" w:rsidRPr="00CB073F">
        <w:t>for the assessment of the ability to maintain wakefulness</w:t>
      </w:r>
      <w:r w:rsidR="004A6EAE">
        <w:t>, for three age cohorts:</w:t>
      </w:r>
    </w:p>
    <w:p w14:paraId="0FD5D3DB" w14:textId="77777777" w:rsidR="004A6EAE" w:rsidRDefault="004A6EAE" w:rsidP="004A6EAE">
      <w:pPr>
        <w:pStyle w:val="ListParagraph"/>
        <w:numPr>
          <w:ilvl w:val="0"/>
          <w:numId w:val="28"/>
        </w:numPr>
      </w:pPr>
      <w:r>
        <w:t xml:space="preserve">adults (patients aged 18 years or more); </w:t>
      </w:r>
    </w:p>
    <w:p w14:paraId="192D3EC5" w14:textId="77777777" w:rsidR="004A6EAE" w:rsidRDefault="004A6EAE" w:rsidP="004A6EAE">
      <w:pPr>
        <w:pStyle w:val="ListParagraph"/>
        <w:numPr>
          <w:ilvl w:val="0"/>
          <w:numId w:val="28"/>
        </w:numPr>
      </w:pPr>
      <w:r>
        <w:t>patients aged at least 12 years but less than 18 years; and</w:t>
      </w:r>
    </w:p>
    <w:p w14:paraId="67BD24F1" w14:textId="54B453AF" w:rsidR="004A6EAE" w:rsidRDefault="004A6EAE" w:rsidP="00B31043">
      <w:pPr>
        <w:pStyle w:val="ListParagraph"/>
        <w:numPr>
          <w:ilvl w:val="0"/>
          <w:numId w:val="28"/>
        </w:numPr>
      </w:pPr>
      <w:r>
        <w:t xml:space="preserve">children (patients aged less than 12 </w:t>
      </w:r>
      <w:r w:rsidR="0003453C">
        <w:t>years)</w:t>
      </w:r>
      <w:r>
        <w:t>.</w:t>
      </w:r>
    </w:p>
    <w:p w14:paraId="38EBD038" w14:textId="77777777" w:rsidR="004A6EAE" w:rsidRDefault="004A6EAE" w:rsidP="00CB073F"/>
    <w:p w14:paraId="4CF2F77C" w14:textId="7860F599" w:rsidR="00CB073F" w:rsidRPr="00CB073F" w:rsidRDefault="00CB073F" w:rsidP="00CB073F">
      <w:r w:rsidRPr="00CB073F">
        <w:t>The daytime component includes monitoring of the patient, during which there is continuous recording of electro-encephalogram (EEG), electro-myogram (EMG), electro-oculogram (EOG) and electro-cardiogram (ECG).</w:t>
      </w:r>
    </w:p>
    <w:p w14:paraId="10684AC0" w14:textId="77777777" w:rsidR="00CB073F" w:rsidRDefault="00CB073F" w:rsidP="00742413"/>
    <w:p w14:paraId="69292ABC" w14:textId="583D2EB0" w:rsidR="000961C0" w:rsidRDefault="00755B3B" w:rsidP="000961C0">
      <w:pPr>
        <w:rPr>
          <w:szCs w:val="24"/>
        </w:rPr>
      </w:pPr>
      <w:r>
        <w:rPr>
          <w:color w:val="000000"/>
        </w:rPr>
        <w:t>The new items for vigilance testing</w:t>
      </w:r>
      <w:r w:rsidR="000B2A3E">
        <w:rPr>
          <w:color w:val="000000"/>
        </w:rPr>
        <w:t>,</w:t>
      </w:r>
      <w:r>
        <w:rPr>
          <w:color w:val="000000"/>
        </w:rPr>
        <w:t xml:space="preserve"> which have fees equivalent to the sum of the existing combination of items</w:t>
      </w:r>
      <w:r w:rsidR="004A6EAE">
        <w:rPr>
          <w:color w:val="000000"/>
        </w:rPr>
        <w:t>,</w:t>
      </w:r>
      <w:r>
        <w:rPr>
          <w:color w:val="000000"/>
        </w:rPr>
        <w:t xml:space="preserve"> have been assessed and recommended </w:t>
      </w:r>
      <w:r w:rsidR="004A6EAE">
        <w:rPr>
          <w:color w:val="000000"/>
        </w:rPr>
        <w:t xml:space="preserve">by the </w:t>
      </w:r>
      <w:r>
        <w:rPr>
          <w:color w:val="000000"/>
        </w:rPr>
        <w:t xml:space="preserve">Medical Services Advisory Committee. </w:t>
      </w:r>
      <w:r>
        <w:t> </w:t>
      </w:r>
    </w:p>
    <w:p w14:paraId="6C6F6A4B" w14:textId="607B2D3B" w:rsidR="000961C0" w:rsidRDefault="00892B45" w:rsidP="00742413">
      <w:pPr>
        <w:rPr>
          <w:szCs w:val="24"/>
        </w:rPr>
      </w:pPr>
      <w:r w:rsidRPr="00CD4A21">
        <w:rPr>
          <w:szCs w:val="24"/>
        </w:rPr>
        <w:lastRenderedPageBreak/>
        <w:t xml:space="preserve">The </w:t>
      </w:r>
      <w:r>
        <w:rPr>
          <w:szCs w:val="24"/>
        </w:rPr>
        <w:t xml:space="preserve">purpose of the </w:t>
      </w:r>
      <w:r w:rsidRPr="00892B45">
        <w:rPr>
          <w:i/>
          <w:szCs w:val="24"/>
        </w:rPr>
        <w:t>Health Insurance (Section 3C General Medical Services – Vigilance Testing) Determination 2018</w:t>
      </w:r>
      <w:r>
        <w:rPr>
          <w:i/>
          <w:szCs w:val="24"/>
        </w:rPr>
        <w:t xml:space="preserve"> </w:t>
      </w:r>
      <w:r>
        <w:rPr>
          <w:szCs w:val="24"/>
        </w:rPr>
        <w:t xml:space="preserve">(the Determination) is to implement </w:t>
      </w:r>
      <w:r w:rsidR="004A6EAE">
        <w:rPr>
          <w:szCs w:val="24"/>
        </w:rPr>
        <w:t xml:space="preserve">these </w:t>
      </w:r>
      <w:r>
        <w:rPr>
          <w:szCs w:val="24"/>
        </w:rPr>
        <w:t xml:space="preserve">six new items </w:t>
      </w:r>
      <w:r w:rsidR="004A6EAE">
        <w:rPr>
          <w:szCs w:val="24"/>
        </w:rPr>
        <w:t>(</w:t>
      </w:r>
      <w:r>
        <w:rPr>
          <w:szCs w:val="24"/>
        </w:rPr>
        <w:t>12254, 12258, 12261, 12265, 12268 and 12272</w:t>
      </w:r>
      <w:r w:rsidR="004A6EAE">
        <w:rPr>
          <w:szCs w:val="24"/>
        </w:rPr>
        <w:t>)</w:t>
      </w:r>
      <w:r w:rsidR="000961C0">
        <w:rPr>
          <w:szCs w:val="24"/>
        </w:rPr>
        <w:t>.</w:t>
      </w:r>
    </w:p>
    <w:p w14:paraId="0457EBBE" w14:textId="77777777" w:rsidR="000961C0" w:rsidRDefault="000961C0" w:rsidP="00742413">
      <w:pPr>
        <w:rPr>
          <w:szCs w:val="24"/>
        </w:rPr>
      </w:pPr>
    </w:p>
    <w:p w14:paraId="2412D131" w14:textId="77777777" w:rsidR="001865F8" w:rsidRPr="00A853D1" w:rsidRDefault="00A1739A" w:rsidP="00E04B6F">
      <w:pPr>
        <w:rPr>
          <w:b/>
        </w:rPr>
      </w:pPr>
      <w:r w:rsidRPr="00A853D1">
        <w:rPr>
          <w:b/>
        </w:rPr>
        <w:t>Consultation</w:t>
      </w:r>
    </w:p>
    <w:p w14:paraId="4BD930F0" w14:textId="68A34932" w:rsidR="00293030" w:rsidRPr="00293030" w:rsidRDefault="00293030" w:rsidP="00293030">
      <w:pPr>
        <w:rPr>
          <w:color w:val="000000"/>
          <w:szCs w:val="24"/>
        </w:rPr>
      </w:pPr>
      <w:r w:rsidRPr="00293030">
        <w:rPr>
          <w:color w:val="000000"/>
          <w:szCs w:val="24"/>
        </w:rPr>
        <w:t>MSAC</w:t>
      </w:r>
      <w:r w:rsidR="00CB2CB0">
        <w:rPr>
          <w:color w:val="000000"/>
          <w:szCs w:val="24"/>
        </w:rPr>
        <w:t xml:space="preserve"> </w:t>
      </w:r>
      <w:r w:rsidR="007F7EBE">
        <w:rPr>
          <w:color w:val="000000"/>
          <w:szCs w:val="24"/>
        </w:rPr>
        <w:t xml:space="preserve">and its Executive </w:t>
      </w:r>
      <w:r w:rsidRPr="00293030">
        <w:rPr>
          <w:color w:val="000000"/>
          <w:szCs w:val="24"/>
        </w:rPr>
        <w:t xml:space="preserve">reviews new or existing medical services or technology, and the circumstances under which public funding should be supported. This includes the listing of new items, or amendments to existing items on the </w:t>
      </w:r>
      <w:r w:rsidR="007F7EBE">
        <w:rPr>
          <w:color w:val="000000"/>
          <w:szCs w:val="24"/>
        </w:rPr>
        <w:t>Medicare Benefits Schedule</w:t>
      </w:r>
      <w:r w:rsidRPr="00293030">
        <w:rPr>
          <w:color w:val="000000"/>
          <w:szCs w:val="24"/>
        </w:rPr>
        <w:t>.</w:t>
      </w:r>
    </w:p>
    <w:p w14:paraId="6637510F" w14:textId="77777777" w:rsidR="00293030" w:rsidRPr="00293030" w:rsidRDefault="00293030" w:rsidP="00293030">
      <w:pPr>
        <w:rPr>
          <w:color w:val="000000"/>
          <w:szCs w:val="24"/>
        </w:rPr>
      </w:pPr>
    </w:p>
    <w:p w14:paraId="38122059" w14:textId="40B00AF6" w:rsidR="00821660" w:rsidRDefault="00293030" w:rsidP="00293030">
      <w:pPr>
        <w:rPr>
          <w:color w:val="000000"/>
          <w:szCs w:val="24"/>
        </w:rPr>
      </w:pPr>
      <w:r w:rsidRPr="00293030">
        <w:rPr>
          <w:color w:val="000000"/>
          <w:szCs w:val="24"/>
        </w:rPr>
        <w:t xml:space="preserve">As part of the MSAC process, </w:t>
      </w:r>
      <w:r w:rsidR="00802258">
        <w:rPr>
          <w:color w:val="000000"/>
          <w:szCs w:val="24"/>
        </w:rPr>
        <w:t>targeted</w:t>
      </w:r>
      <w:r w:rsidRPr="00293030">
        <w:rPr>
          <w:color w:val="000000"/>
          <w:szCs w:val="24"/>
        </w:rPr>
        <w:t xml:space="preserve"> consultation was undertaken</w:t>
      </w:r>
      <w:r w:rsidR="00802258">
        <w:rPr>
          <w:color w:val="000000"/>
          <w:szCs w:val="24"/>
        </w:rPr>
        <w:t xml:space="preserve"> with:</w:t>
      </w:r>
    </w:p>
    <w:p w14:paraId="4F0850A6" w14:textId="66E4C71C" w:rsidR="00802258" w:rsidRPr="00802258" w:rsidRDefault="00802258" w:rsidP="00802258">
      <w:pPr>
        <w:pStyle w:val="ListParagraph"/>
        <w:numPr>
          <w:ilvl w:val="0"/>
          <w:numId w:val="27"/>
        </w:numPr>
        <w:rPr>
          <w:color w:val="000000"/>
          <w:szCs w:val="24"/>
        </w:rPr>
      </w:pPr>
      <w:r w:rsidRPr="00802258">
        <w:rPr>
          <w:color w:val="000000"/>
          <w:szCs w:val="24"/>
        </w:rPr>
        <w:t xml:space="preserve">Thoracic Society of Australia and New Zealand </w:t>
      </w:r>
    </w:p>
    <w:p w14:paraId="0D0AE100" w14:textId="2221994C" w:rsidR="00802258" w:rsidRPr="00802258" w:rsidRDefault="00802258" w:rsidP="00802258">
      <w:pPr>
        <w:pStyle w:val="ListParagraph"/>
        <w:numPr>
          <w:ilvl w:val="0"/>
          <w:numId w:val="27"/>
        </w:numPr>
        <w:rPr>
          <w:color w:val="000000"/>
          <w:szCs w:val="24"/>
        </w:rPr>
      </w:pPr>
      <w:r w:rsidRPr="00802258">
        <w:rPr>
          <w:color w:val="000000"/>
          <w:szCs w:val="24"/>
        </w:rPr>
        <w:t>Royal Australasian College of Physicians</w:t>
      </w:r>
    </w:p>
    <w:p w14:paraId="756677AA" w14:textId="4B1CF0CC" w:rsidR="00802258" w:rsidRPr="00802258" w:rsidRDefault="00802258" w:rsidP="00802258">
      <w:pPr>
        <w:pStyle w:val="ListParagraph"/>
        <w:numPr>
          <w:ilvl w:val="0"/>
          <w:numId w:val="27"/>
        </w:numPr>
        <w:rPr>
          <w:color w:val="000000"/>
          <w:szCs w:val="24"/>
        </w:rPr>
      </w:pPr>
      <w:r w:rsidRPr="00802258">
        <w:rPr>
          <w:color w:val="000000"/>
          <w:szCs w:val="24"/>
        </w:rPr>
        <w:t>Sleep Health Foundation</w:t>
      </w:r>
    </w:p>
    <w:p w14:paraId="7709BD93" w14:textId="5300C81A" w:rsidR="00802258" w:rsidRPr="00802258" w:rsidRDefault="00802258" w:rsidP="00802258">
      <w:pPr>
        <w:pStyle w:val="ListParagraph"/>
        <w:numPr>
          <w:ilvl w:val="0"/>
          <w:numId w:val="27"/>
        </w:numPr>
        <w:rPr>
          <w:color w:val="000000"/>
          <w:szCs w:val="24"/>
        </w:rPr>
      </w:pPr>
      <w:r w:rsidRPr="00802258">
        <w:rPr>
          <w:color w:val="000000"/>
          <w:szCs w:val="24"/>
        </w:rPr>
        <w:t xml:space="preserve">Hypersomnolence Australia and Sleep Disorders Australia </w:t>
      </w:r>
    </w:p>
    <w:p w14:paraId="3CA1534A" w14:textId="676403CE" w:rsidR="00802258" w:rsidRPr="00802258" w:rsidRDefault="00802258" w:rsidP="00802258">
      <w:pPr>
        <w:pStyle w:val="ListParagraph"/>
        <w:numPr>
          <w:ilvl w:val="0"/>
          <w:numId w:val="27"/>
        </w:numPr>
        <w:rPr>
          <w:color w:val="000000"/>
          <w:szCs w:val="24"/>
        </w:rPr>
      </w:pPr>
      <w:r w:rsidRPr="00802258">
        <w:rPr>
          <w:color w:val="000000"/>
          <w:szCs w:val="24"/>
        </w:rPr>
        <w:t>CRC Alertness, Safety and Productivity</w:t>
      </w:r>
    </w:p>
    <w:p w14:paraId="25711F40" w14:textId="77777777" w:rsidR="00293030" w:rsidRDefault="00293030" w:rsidP="00293030">
      <w:pPr>
        <w:rPr>
          <w:szCs w:val="24"/>
        </w:rPr>
      </w:pPr>
    </w:p>
    <w:p w14:paraId="2412D134" w14:textId="77777777" w:rsidR="00967E51" w:rsidRPr="00A853D1" w:rsidRDefault="00A1739A" w:rsidP="000337CB">
      <w:pPr>
        <w:rPr>
          <w:szCs w:val="24"/>
        </w:rPr>
      </w:pPr>
      <w:r w:rsidRPr="00A853D1">
        <w:rPr>
          <w:szCs w:val="24"/>
        </w:rPr>
        <w:t xml:space="preserve">Details of the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2412D135" w14:textId="58123867" w:rsidR="006C138D" w:rsidRPr="00A853D1" w:rsidRDefault="00297AD0" w:rsidP="006C138D">
      <w:pPr>
        <w:tabs>
          <w:tab w:val="left" w:pos="567"/>
        </w:tabs>
        <w:spacing w:before="240"/>
        <w:rPr>
          <w:szCs w:val="24"/>
        </w:rPr>
      </w:pPr>
      <w:r w:rsidRPr="00A853D1">
        <w:rPr>
          <w:szCs w:val="24"/>
        </w:rPr>
        <w:t xml:space="preserve">The </w:t>
      </w:r>
      <w:r w:rsidR="00967E51" w:rsidRPr="00A853D1">
        <w:rPr>
          <w:szCs w:val="24"/>
        </w:rPr>
        <w:t>Determination</w:t>
      </w:r>
      <w:r w:rsidRPr="00A853D1">
        <w:rPr>
          <w:szCs w:val="24"/>
        </w:rPr>
        <w:t xml:space="preserve"> </w:t>
      </w:r>
      <w:r w:rsidR="007524B0" w:rsidRPr="00A853D1">
        <w:rPr>
          <w:szCs w:val="24"/>
        </w:rPr>
        <w:t xml:space="preserve">commences </w:t>
      </w:r>
      <w:r w:rsidR="00802258">
        <w:rPr>
          <w:szCs w:val="24"/>
        </w:rPr>
        <w:t>on 1 November 2018.</w:t>
      </w:r>
    </w:p>
    <w:p w14:paraId="2412D136" w14:textId="77777777" w:rsidR="00236DF2" w:rsidRPr="00A853D1" w:rsidRDefault="00236DF2" w:rsidP="00574E71">
      <w:pPr>
        <w:rPr>
          <w:szCs w:val="24"/>
        </w:rPr>
      </w:pPr>
    </w:p>
    <w:p w14:paraId="2412D138" w14:textId="243DCBD5" w:rsidR="00574E71" w:rsidRPr="00A853D1" w:rsidRDefault="0002728B" w:rsidP="00DE07E4">
      <w:pPr>
        <w:spacing w:after="200" w:line="276" w:lineRule="auto"/>
        <w:rPr>
          <w:szCs w:val="24"/>
        </w:rPr>
      </w:pPr>
      <w:r>
        <w:rPr>
          <w:szCs w:val="24"/>
        </w:rPr>
        <w:t>T</w:t>
      </w:r>
      <w:r w:rsidR="00574E71" w:rsidRPr="00A853D1">
        <w:rPr>
          <w:szCs w:val="24"/>
        </w:rPr>
        <w:t xml:space="preserve">he Determination is </w:t>
      </w:r>
      <w:r w:rsidR="004417A2" w:rsidRPr="00A853D1">
        <w:rPr>
          <w:szCs w:val="24"/>
        </w:rPr>
        <w:t xml:space="preserve">a </w:t>
      </w:r>
      <w:r w:rsidR="00574E71" w:rsidRPr="00A853D1">
        <w:rPr>
          <w:szCs w:val="24"/>
        </w:rPr>
        <w:t xml:space="preserve">legislative instrument for the purposes of the </w:t>
      </w:r>
      <w:r w:rsidR="00574E71" w:rsidRPr="00A853D1">
        <w:rPr>
          <w:szCs w:val="24"/>
        </w:rPr>
        <w:br/>
      </w:r>
      <w:r w:rsidR="00574E71" w:rsidRPr="00A853D1">
        <w:rPr>
          <w:i/>
        </w:rPr>
        <w:t>Legislation Act 2003</w:t>
      </w:r>
      <w:r w:rsidR="00574E71" w:rsidRPr="00A853D1">
        <w:rPr>
          <w:szCs w:val="24"/>
        </w:rPr>
        <w:t>.</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r w:rsidR="00967E51" w:rsidRPr="00A853D1">
        <w:rPr>
          <w:szCs w:val="24"/>
        </w:rPr>
        <w:t>C</w:t>
      </w:r>
      <w:r w:rsidRPr="00A853D1">
        <w:rPr>
          <w:szCs w:val="24"/>
        </w:rPr>
        <w:t xml:space="preserve">(1) of the </w:t>
      </w:r>
    </w:p>
    <w:p w14:paraId="2412D13B" w14:textId="0596CD30" w:rsidR="00A1739A" w:rsidRPr="00A853D1" w:rsidRDefault="00A1739A" w:rsidP="000337CB">
      <w:pPr>
        <w:tabs>
          <w:tab w:val="left" w:pos="4820"/>
        </w:tabs>
        <w:rPr>
          <w:szCs w:val="24"/>
        </w:rPr>
        <w:sectPr w:rsidR="00A1739A" w:rsidRPr="00A853D1" w:rsidSect="00CC62CC">
          <w:headerReference w:type="default" r:id="rId12"/>
          <w:pgSz w:w="11906" w:h="16838"/>
          <w:pgMar w:top="1440" w:right="1800" w:bottom="1440" w:left="1800" w:header="708" w:footer="708" w:gutter="0"/>
          <w:pgNumType w:start="1"/>
          <w:cols w:space="708"/>
          <w:docGrid w:linePitch="360"/>
        </w:sectPr>
      </w:pPr>
      <w:r w:rsidRPr="00A853D1">
        <w:rPr>
          <w:i/>
          <w:szCs w:val="24"/>
        </w:rPr>
        <w:tab/>
        <w:t>Health Insurance Act 1973</w:t>
      </w:r>
    </w:p>
    <w:p w14:paraId="2412D13C" w14:textId="77777777" w:rsidR="00242974" w:rsidRPr="00EB601D" w:rsidRDefault="00242974" w:rsidP="000337CB">
      <w:pPr>
        <w:tabs>
          <w:tab w:val="left" w:pos="4536"/>
        </w:tabs>
        <w:rPr>
          <w:b/>
          <w:szCs w:val="24"/>
          <w:highlight w:val="yellow"/>
        </w:rPr>
      </w:pPr>
    </w:p>
    <w:p w14:paraId="2412D13D" w14:textId="77777777" w:rsidR="006D5816" w:rsidRPr="00215191" w:rsidRDefault="006D5816" w:rsidP="000337CB">
      <w:pPr>
        <w:pStyle w:val="BodyText"/>
        <w:jc w:val="right"/>
        <w:rPr>
          <w:szCs w:val="24"/>
        </w:rPr>
      </w:pPr>
      <w:r w:rsidRPr="00215191">
        <w:rPr>
          <w:szCs w:val="24"/>
        </w:rPr>
        <w:t>ATTACHMENT</w:t>
      </w:r>
    </w:p>
    <w:p w14:paraId="2412D13E" w14:textId="77777777" w:rsidR="006D5816" w:rsidRPr="00215191" w:rsidRDefault="006D5816" w:rsidP="000337CB">
      <w:pPr>
        <w:pStyle w:val="BodyText"/>
        <w:rPr>
          <w:szCs w:val="24"/>
          <w:u w:val="single"/>
        </w:rPr>
      </w:pPr>
    </w:p>
    <w:p w14:paraId="0C6EF044" w14:textId="15FA509B" w:rsidR="00BE3BD2" w:rsidRPr="00BE3BD2" w:rsidRDefault="00A41364" w:rsidP="00BE3BD2">
      <w:pPr>
        <w:pStyle w:val="BodyText"/>
        <w:rPr>
          <w:i/>
          <w:iCs/>
        </w:rPr>
      </w:pPr>
      <w:r w:rsidRPr="00215191">
        <w:rPr>
          <w:szCs w:val="24"/>
        </w:rPr>
        <w:t xml:space="preserve">Details of the </w:t>
      </w:r>
      <w:r w:rsidR="00802258" w:rsidRPr="00802258">
        <w:rPr>
          <w:bCs/>
          <w:i/>
          <w:iCs/>
        </w:rPr>
        <w:t>Health Insurance (Section 3C General Medical Services – Vigilance Testing) Determination 2018</w:t>
      </w:r>
    </w:p>
    <w:p w14:paraId="5B0C808A" w14:textId="4F79BDB0" w:rsidR="00215191" w:rsidRPr="00215191" w:rsidRDefault="00215191" w:rsidP="00215191">
      <w:pPr>
        <w:pStyle w:val="BodyText"/>
        <w:rPr>
          <w:i/>
          <w:szCs w:val="24"/>
        </w:rPr>
      </w:pPr>
    </w:p>
    <w:p w14:paraId="2412D141" w14:textId="610C8CA7" w:rsidR="00FE02C2" w:rsidRPr="00215191" w:rsidRDefault="001B0111" w:rsidP="000337CB">
      <w:pPr>
        <w:pStyle w:val="BodyText"/>
        <w:rPr>
          <w:b w:val="0"/>
          <w:szCs w:val="24"/>
          <w:u w:val="single"/>
        </w:rPr>
      </w:pPr>
      <w:r w:rsidRPr="00215191">
        <w:rPr>
          <w:b w:val="0"/>
          <w:szCs w:val="24"/>
          <w:u w:val="single"/>
        </w:rPr>
        <w:t>Section 1 – Name</w:t>
      </w:r>
      <w:r w:rsidR="00967E51" w:rsidRPr="00215191">
        <w:rPr>
          <w:b w:val="0"/>
          <w:szCs w:val="24"/>
          <w:u w:val="single"/>
        </w:rPr>
        <w:t xml:space="preserve"> </w:t>
      </w:r>
    </w:p>
    <w:p w14:paraId="2412D142" w14:textId="77777777" w:rsidR="00FE02C2" w:rsidRPr="00215191" w:rsidRDefault="00FE02C2" w:rsidP="000337CB">
      <w:pPr>
        <w:pStyle w:val="BodyText"/>
        <w:rPr>
          <w:b w:val="0"/>
          <w:szCs w:val="24"/>
          <w:u w:val="single"/>
        </w:rPr>
      </w:pPr>
    </w:p>
    <w:p w14:paraId="2412D144" w14:textId="6333A66D" w:rsidR="00F83B6F" w:rsidRPr="00FD602D" w:rsidRDefault="00BC7397" w:rsidP="00FD602D">
      <w:pPr>
        <w:pStyle w:val="Heading1"/>
        <w:jc w:val="left"/>
        <w:rPr>
          <w:b w:val="0"/>
          <w:i/>
          <w:iCs/>
          <w:u w:val="none"/>
        </w:rPr>
      </w:pPr>
      <w:r w:rsidRPr="00215191">
        <w:rPr>
          <w:b w:val="0"/>
          <w:szCs w:val="24"/>
          <w:u w:val="none"/>
        </w:rPr>
        <w:t>S</w:t>
      </w:r>
      <w:r w:rsidR="00FE02C2" w:rsidRPr="00215191">
        <w:rPr>
          <w:b w:val="0"/>
          <w:szCs w:val="24"/>
          <w:u w:val="none"/>
        </w:rPr>
        <w:t xml:space="preserve">ection </w:t>
      </w:r>
      <w:r w:rsidRPr="00215191">
        <w:rPr>
          <w:b w:val="0"/>
          <w:szCs w:val="24"/>
          <w:u w:val="none"/>
        </w:rPr>
        <w:t xml:space="preserve">1 </w:t>
      </w:r>
      <w:r w:rsidR="00FE02C2" w:rsidRPr="00215191">
        <w:rPr>
          <w:b w:val="0"/>
          <w:szCs w:val="24"/>
          <w:u w:val="none"/>
        </w:rPr>
        <w:t>provides</w:t>
      </w:r>
      <w:r w:rsidR="008B683E" w:rsidRPr="00215191">
        <w:rPr>
          <w:b w:val="0"/>
          <w:szCs w:val="24"/>
          <w:u w:val="none"/>
        </w:rPr>
        <w:t xml:space="preserve"> for the </w:t>
      </w:r>
      <w:r w:rsidR="00967E51" w:rsidRPr="00215191">
        <w:rPr>
          <w:b w:val="0"/>
          <w:szCs w:val="24"/>
          <w:u w:val="none"/>
        </w:rPr>
        <w:t>Determination</w:t>
      </w:r>
      <w:r w:rsidR="00FE02C2" w:rsidRPr="00215191">
        <w:rPr>
          <w:b w:val="0"/>
          <w:szCs w:val="24"/>
          <w:u w:val="none"/>
        </w:rPr>
        <w:t xml:space="preserve"> to be referred to as the </w:t>
      </w:r>
      <w:r w:rsidR="00802258" w:rsidRPr="00802258">
        <w:rPr>
          <w:b w:val="0"/>
          <w:bCs/>
          <w:i/>
          <w:iCs/>
          <w:u w:val="none"/>
        </w:rPr>
        <w:t>Health Insurance (Section 3C General Medical Services – Vigilance Testing) Determination 2018</w:t>
      </w:r>
      <w:r w:rsidR="00BE3BD2">
        <w:rPr>
          <w:b w:val="0"/>
          <w:i/>
          <w:iCs/>
          <w:u w:val="none"/>
        </w:rPr>
        <w:t>.</w:t>
      </w:r>
    </w:p>
    <w:p w14:paraId="68DAA207" w14:textId="77777777" w:rsidR="00FD602D" w:rsidRPr="00FD602D" w:rsidRDefault="00FD602D" w:rsidP="00FD602D"/>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3BAECCB4" w14:textId="59952F80" w:rsidR="00BE3BD2" w:rsidRPr="00BE3BD2" w:rsidRDefault="00510A4F" w:rsidP="00BE3BD2">
      <w:pPr>
        <w:pStyle w:val="BodyText"/>
        <w:rPr>
          <w:b w:val="0"/>
          <w:szCs w:val="24"/>
        </w:rPr>
      </w:pPr>
      <w:r w:rsidRPr="00215191">
        <w:rPr>
          <w:b w:val="0"/>
          <w:szCs w:val="24"/>
        </w:rPr>
        <w:t xml:space="preserve">Section 2 </w:t>
      </w:r>
      <w:r w:rsidR="00404F11" w:rsidRPr="00215191">
        <w:rPr>
          <w:b w:val="0"/>
          <w:szCs w:val="24"/>
        </w:rPr>
        <w:t xml:space="preserve">provides that the Determination </w:t>
      </w:r>
      <w:r w:rsidR="00404F11" w:rsidRPr="00BE3BD2">
        <w:rPr>
          <w:b w:val="0"/>
          <w:szCs w:val="24"/>
        </w:rPr>
        <w:t xml:space="preserve">commences </w:t>
      </w:r>
      <w:r w:rsidR="00802258" w:rsidRPr="00B31043">
        <w:rPr>
          <w:b w:val="0"/>
          <w:szCs w:val="24"/>
        </w:rPr>
        <w:t>on 1 November 2018</w:t>
      </w:r>
      <w:r w:rsidR="00BE3BD2" w:rsidRPr="00B31043">
        <w:rPr>
          <w:b w:val="0"/>
          <w:szCs w:val="24"/>
        </w:rPr>
        <w:t>.</w:t>
      </w:r>
    </w:p>
    <w:p w14:paraId="16C03200" w14:textId="77777777" w:rsidR="007E0017" w:rsidRPr="00215191" w:rsidRDefault="007E0017" w:rsidP="000337CB">
      <w:pPr>
        <w:pStyle w:val="BodyText"/>
        <w:rPr>
          <w:b w:val="0"/>
          <w:szCs w:val="24"/>
        </w:rPr>
      </w:pPr>
    </w:p>
    <w:p w14:paraId="005D5660" w14:textId="77777777" w:rsidR="007A4089" w:rsidRPr="00215191" w:rsidRDefault="00FE02C2" w:rsidP="000337CB">
      <w:pPr>
        <w:pStyle w:val="BodyText"/>
        <w:rPr>
          <w:b w:val="0"/>
          <w:szCs w:val="24"/>
          <w:u w:val="single"/>
        </w:rPr>
      </w:pPr>
      <w:r w:rsidRPr="00215191">
        <w:rPr>
          <w:b w:val="0"/>
          <w:szCs w:val="24"/>
          <w:u w:val="single"/>
        </w:rPr>
        <w:t xml:space="preserve">Section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2E51365D" w:rsidR="00FE02C2" w:rsidRPr="00215191" w:rsidRDefault="00F83B6F" w:rsidP="000337CB">
      <w:pPr>
        <w:pStyle w:val="BodyText"/>
        <w:rPr>
          <w:b w:val="0"/>
        </w:rPr>
      </w:pPr>
      <w:r w:rsidRPr="00215191">
        <w:rPr>
          <w:b w:val="0"/>
        </w:rPr>
        <w:t xml:space="preserve">Section 3 provides that the Determination </w:t>
      </w:r>
      <w:r w:rsidR="00E5798A" w:rsidRPr="00215191">
        <w:rPr>
          <w:b w:val="0"/>
        </w:rPr>
        <w:t xml:space="preserve">is made under </w:t>
      </w:r>
      <w:r w:rsidR="00367440" w:rsidRPr="00215191">
        <w:rPr>
          <w:b w:val="0"/>
        </w:rPr>
        <w:t xml:space="preserve">subsection </w:t>
      </w:r>
      <w:r w:rsidR="00E5798A" w:rsidRPr="00215191">
        <w:rPr>
          <w:b w:val="0"/>
        </w:rPr>
        <w:t xml:space="preserve">3C(1) of the </w:t>
      </w:r>
      <w:r w:rsidR="00E5798A" w:rsidRPr="00215191">
        <w:rPr>
          <w:b w:val="0"/>
          <w:i/>
        </w:rPr>
        <w:t>Health Insurance Act 1973</w:t>
      </w:r>
      <w:r w:rsidR="00E5798A" w:rsidRPr="00215191">
        <w:rPr>
          <w:b w:val="0"/>
        </w:rPr>
        <w:t>.</w:t>
      </w:r>
    </w:p>
    <w:p w14:paraId="0DBF1241" w14:textId="77777777" w:rsidR="00E70355" w:rsidRPr="00215191" w:rsidRDefault="00E70355" w:rsidP="000337CB">
      <w:pPr>
        <w:pStyle w:val="BodyText"/>
        <w:rPr>
          <w:b w:val="0"/>
        </w:rPr>
      </w:pPr>
    </w:p>
    <w:p w14:paraId="26AE9415" w14:textId="37344023" w:rsidR="00E70355" w:rsidRPr="00215191" w:rsidRDefault="00E70355" w:rsidP="00E70355">
      <w:pPr>
        <w:pStyle w:val="BodyText"/>
        <w:rPr>
          <w:b w:val="0"/>
          <w:szCs w:val="24"/>
          <w:u w:val="single"/>
        </w:rPr>
      </w:pPr>
      <w:r w:rsidRPr="00215191">
        <w:rPr>
          <w:b w:val="0"/>
          <w:szCs w:val="24"/>
          <w:u w:val="single"/>
        </w:rPr>
        <w:t xml:space="preserve">Section 4 – </w:t>
      </w:r>
      <w:r w:rsidR="007E0017" w:rsidRPr="00215191">
        <w:rPr>
          <w:b w:val="0"/>
          <w:szCs w:val="24"/>
          <w:u w:val="single"/>
        </w:rPr>
        <w:t>Definitions</w:t>
      </w:r>
    </w:p>
    <w:p w14:paraId="2911957A" w14:textId="77777777" w:rsidR="00E70355" w:rsidRPr="00215191" w:rsidRDefault="00E70355" w:rsidP="00E70355">
      <w:pPr>
        <w:pStyle w:val="BodyText"/>
        <w:rPr>
          <w:b w:val="0"/>
          <w:szCs w:val="24"/>
          <w:u w:val="single"/>
        </w:rPr>
      </w:pPr>
    </w:p>
    <w:p w14:paraId="0733D3AE" w14:textId="566AE67A" w:rsidR="00404F11" w:rsidRPr="00215191" w:rsidRDefault="00CC0405" w:rsidP="00404F11">
      <w:pPr>
        <w:pStyle w:val="BodyText"/>
        <w:rPr>
          <w:b w:val="0"/>
          <w:szCs w:val="24"/>
        </w:rPr>
      </w:pPr>
      <w:r>
        <w:rPr>
          <w:b w:val="0"/>
          <w:szCs w:val="24"/>
        </w:rPr>
        <w:t>Section 4</w:t>
      </w:r>
      <w:r w:rsidR="007E0017" w:rsidRPr="00215191">
        <w:rPr>
          <w:b w:val="0"/>
          <w:szCs w:val="24"/>
        </w:rPr>
        <w:t xml:space="preserve"> defines terms used in the Determination. </w:t>
      </w:r>
    </w:p>
    <w:p w14:paraId="17D2CF69" w14:textId="77777777" w:rsidR="007E0017" w:rsidRPr="00EB601D" w:rsidRDefault="007E0017" w:rsidP="00404F11">
      <w:pPr>
        <w:pStyle w:val="BodyText"/>
        <w:rPr>
          <w:b w:val="0"/>
          <w:szCs w:val="24"/>
          <w:highlight w:val="yellow"/>
        </w:rPr>
      </w:pPr>
    </w:p>
    <w:p w14:paraId="2E2357BD" w14:textId="77777777" w:rsidR="007E0017" w:rsidRPr="00215191" w:rsidRDefault="007E0017" w:rsidP="007E0017">
      <w:pPr>
        <w:pStyle w:val="BodyText"/>
        <w:rPr>
          <w:b w:val="0"/>
          <w:szCs w:val="24"/>
          <w:u w:val="single"/>
        </w:rPr>
      </w:pPr>
      <w:r w:rsidRPr="00215191">
        <w:rPr>
          <w:b w:val="0"/>
          <w:szCs w:val="24"/>
          <w:u w:val="single"/>
        </w:rPr>
        <w:t>Section 5 – Treatment of relevant services</w:t>
      </w:r>
    </w:p>
    <w:p w14:paraId="1CE9B080" w14:textId="77777777" w:rsidR="007E0017" w:rsidRPr="00215191" w:rsidRDefault="007E0017" w:rsidP="007E0017">
      <w:pPr>
        <w:pStyle w:val="BodyText"/>
        <w:shd w:val="clear" w:color="auto" w:fill="FFFFFF"/>
        <w:rPr>
          <w:b w:val="0"/>
          <w:szCs w:val="24"/>
        </w:rPr>
      </w:pPr>
      <w:r w:rsidRPr="00215191">
        <w:rPr>
          <w:b w:val="0"/>
          <w:szCs w:val="24"/>
        </w:rPr>
        <w:t> </w:t>
      </w:r>
    </w:p>
    <w:p w14:paraId="4C24D2E0" w14:textId="1D9BAB52" w:rsidR="007E0017" w:rsidRDefault="007E0017" w:rsidP="007E0017">
      <w:pPr>
        <w:pStyle w:val="BodyText"/>
        <w:shd w:val="clear" w:color="auto" w:fill="FFFFFF"/>
        <w:rPr>
          <w:b w:val="0"/>
          <w:szCs w:val="24"/>
        </w:rPr>
      </w:pPr>
      <w:r w:rsidRPr="00215191">
        <w:rPr>
          <w:b w:val="0"/>
          <w:szCs w:val="24"/>
        </w:rPr>
        <w:t xml:space="preserve">Section 5 provides that a clinically relevant service provided in accordance with the Determination shall be treated, for relevant provisions of the </w:t>
      </w:r>
      <w:r w:rsidRPr="00215191">
        <w:rPr>
          <w:b w:val="0"/>
          <w:i/>
          <w:szCs w:val="24"/>
        </w:rPr>
        <w:t>Health Insurance Act 1973</w:t>
      </w:r>
      <w:r w:rsidRPr="00215191">
        <w:rPr>
          <w:b w:val="0"/>
          <w:szCs w:val="24"/>
        </w:rPr>
        <w:t xml:space="preserve"> and </w:t>
      </w:r>
      <w:r w:rsidRPr="00215191">
        <w:rPr>
          <w:b w:val="0"/>
          <w:i/>
          <w:szCs w:val="24"/>
        </w:rPr>
        <w:t>National Health Act 1953</w:t>
      </w:r>
      <w:r w:rsidRPr="00215191">
        <w:rPr>
          <w:b w:val="0"/>
          <w:szCs w:val="24"/>
        </w:rPr>
        <w:t xml:space="preserve">, and regulations made under those Acts, as if it were both a professional service and a medical service and as if there were an item specified in the </w:t>
      </w:r>
      <w:r w:rsidR="007F7EBE">
        <w:rPr>
          <w:b w:val="0"/>
          <w:szCs w:val="24"/>
        </w:rPr>
        <w:t>general medical</w:t>
      </w:r>
      <w:r w:rsidR="007F7EBE" w:rsidRPr="00215191">
        <w:rPr>
          <w:b w:val="0"/>
          <w:szCs w:val="24"/>
        </w:rPr>
        <w:t xml:space="preserve"> </w:t>
      </w:r>
      <w:r w:rsidRPr="00215191">
        <w:rPr>
          <w:b w:val="0"/>
          <w:szCs w:val="24"/>
        </w:rPr>
        <w:t xml:space="preserve">services table for the service. </w:t>
      </w:r>
    </w:p>
    <w:p w14:paraId="0AD3FDD4" w14:textId="77777777" w:rsidR="00447E92" w:rsidRPr="00215191" w:rsidRDefault="00447E92" w:rsidP="007E0017">
      <w:pPr>
        <w:pStyle w:val="BodyText"/>
        <w:shd w:val="clear" w:color="auto" w:fill="FFFFFF"/>
        <w:rPr>
          <w:b w:val="0"/>
          <w:szCs w:val="24"/>
        </w:rPr>
      </w:pPr>
    </w:p>
    <w:p w14:paraId="0F5A2E1B" w14:textId="5F2A41D5" w:rsidR="00802258" w:rsidRDefault="00802258" w:rsidP="00404F11">
      <w:pPr>
        <w:pStyle w:val="Header"/>
        <w:tabs>
          <w:tab w:val="num" w:pos="1080"/>
        </w:tabs>
        <w:rPr>
          <w:szCs w:val="24"/>
          <w:u w:val="single"/>
        </w:rPr>
      </w:pPr>
      <w:r>
        <w:rPr>
          <w:szCs w:val="24"/>
          <w:u w:val="single"/>
        </w:rPr>
        <w:t>Section 6 – Application of provisions of the general medical services table</w:t>
      </w:r>
    </w:p>
    <w:p w14:paraId="4BA6F5A3" w14:textId="77777777" w:rsidR="00802258" w:rsidRDefault="00802258" w:rsidP="00404F11">
      <w:pPr>
        <w:pStyle w:val="Header"/>
        <w:tabs>
          <w:tab w:val="num" w:pos="1080"/>
        </w:tabs>
        <w:rPr>
          <w:szCs w:val="24"/>
          <w:u w:val="single"/>
        </w:rPr>
      </w:pPr>
    </w:p>
    <w:p w14:paraId="732C7D7D" w14:textId="6F618343" w:rsidR="00802258" w:rsidRPr="005B0BE3" w:rsidRDefault="0084489F" w:rsidP="00404F11">
      <w:pPr>
        <w:pStyle w:val="Header"/>
        <w:tabs>
          <w:tab w:val="num" w:pos="1080"/>
        </w:tabs>
        <w:rPr>
          <w:szCs w:val="24"/>
        </w:rPr>
      </w:pPr>
      <w:r>
        <w:rPr>
          <w:szCs w:val="24"/>
        </w:rPr>
        <w:t>Subs</w:t>
      </w:r>
      <w:r w:rsidR="005B0BE3" w:rsidRPr="005B0BE3">
        <w:rPr>
          <w:szCs w:val="24"/>
        </w:rPr>
        <w:t>ection 6(1) provides that items 12254, 12258, 12261, 12265, 12268 and 12272 may be provided by a person other than a medical practitioner.</w:t>
      </w:r>
    </w:p>
    <w:p w14:paraId="6FA1E756" w14:textId="77777777" w:rsidR="005B0BE3" w:rsidRPr="005B0BE3" w:rsidRDefault="005B0BE3" w:rsidP="00404F11">
      <w:pPr>
        <w:pStyle w:val="Header"/>
        <w:tabs>
          <w:tab w:val="num" w:pos="1080"/>
        </w:tabs>
        <w:rPr>
          <w:szCs w:val="24"/>
        </w:rPr>
      </w:pPr>
    </w:p>
    <w:p w14:paraId="047D1D55" w14:textId="095D849D" w:rsidR="005B0BE3" w:rsidRPr="005B0BE3" w:rsidRDefault="0084489F" w:rsidP="005B0BE3">
      <w:pPr>
        <w:pStyle w:val="Header"/>
        <w:tabs>
          <w:tab w:val="num" w:pos="1080"/>
        </w:tabs>
        <w:rPr>
          <w:szCs w:val="24"/>
        </w:rPr>
      </w:pPr>
      <w:r>
        <w:rPr>
          <w:szCs w:val="24"/>
        </w:rPr>
        <w:t>Subsection</w:t>
      </w:r>
      <w:r w:rsidR="005B0BE3" w:rsidRPr="005B0BE3">
        <w:rPr>
          <w:szCs w:val="24"/>
        </w:rPr>
        <w:t xml:space="preserve"> 6(2) provides that for items 12261 and 12265, a </w:t>
      </w:r>
      <w:r w:rsidR="005B0BE3" w:rsidRPr="005B0BE3">
        <w:rPr>
          <w:bCs/>
          <w:iCs/>
          <w:color w:val="000000"/>
          <w:szCs w:val="24"/>
          <w:shd w:val="clear" w:color="auto" w:fill="FFFFFF"/>
        </w:rPr>
        <w:t>qualified sleep medicine practitioner </w:t>
      </w:r>
      <w:r w:rsidR="005B0BE3" w:rsidRPr="005B0BE3">
        <w:rPr>
          <w:color w:val="000000"/>
          <w:szCs w:val="24"/>
          <w:shd w:val="clear" w:color="auto" w:fill="FFFFFF"/>
        </w:rPr>
        <w:t>means a qualified adult sleep medicine practitioner or a qualified paediatric sleep medicine practitioner.</w:t>
      </w:r>
    </w:p>
    <w:p w14:paraId="4157ECD6" w14:textId="77777777" w:rsidR="005B0BE3" w:rsidRDefault="005B0BE3" w:rsidP="005B0BE3">
      <w:pPr>
        <w:pStyle w:val="Header"/>
        <w:tabs>
          <w:tab w:val="num" w:pos="1080"/>
        </w:tabs>
        <w:rPr>
          <w:szCs w:val="24"/>
        </w:rPr>
      </w:pPr>
    </w:p>
    <w:p w14:paraId="4EDB96CD" w14:textId="63B52A17" w:rsidR="005B0BE3" w:rsidRDefault="0084489F" w:rsidP="005B0BE3">
      <w:pPr>
        <w:pStyle w:val="Header"/>
        <w:tabs>
          <w:tab w:val="num" w:pos="1080"/>
        </w:tabs>
        <w:rPr>
          <w:szCs w:val="24"/>
        </w:rPr>
      </w:pPr>
      <w:r>
        <w:rPr>
          <w:szCs w:val="24"/>
        </w:rPr>
        <w:t>Subsection</w:t>
      </w:r>
      <w:r w:rsidR="005B0BE3">
        <w:rPr>
          <w:szCs w:val="24"/>
        </w:rPr>
        <w:t xml:space="preserve"> 6(3) provides that for items 12268 and 12272, a qualified sleep medicine practitioner means a qualified </w:t>
      </w:r>
      <w:r w:rsidR="005B0BE3" w:rsidRPr="005B0BE3">
        <w:rPr>
          <w:szCs w:val="24"/>
        </w:rPr>
        <w:t>paediatric sleep medi</w:t>
      </w:r>
      <w:r w:rsidR="005B0BE3">
        <w:rPr>
          <w:szCs w:val="24"/>
        </w:rPr>
        <w:t>cine practitioner. It d</w:t>
      </w:r>
      <w:r w:rsidR="005B0BE3" w:rsidRPr="005B0BE3">
        <w:rPr>
          <w:szCs w:val="24"/>
        </w:rPr>
        <w:t>oes not include a qualified adult sleep medicine practitioner.</w:t>
      </w:r>
    </w:p>
    <w:p w14:paraId="70674A0C" w14:textId="77777777" w:rsidR="005B0BE3" w:rsidRDefault="005B0BE3" w:rsidP="005B0BE3">
      <w:pPr>
        <w:pStyle w:val="Header"/>
        <w:tabs>
          <w:tab w:val="num" w:pos="1080"/>
        </w:tabs>
        <w:rPr>
          <w:szCs w:val="24"/>
        </w:rPr>
      </w:pPr>
    </w:p>
    <w:p w14:paraId="791E6FE5" w14:textId="1EBFAE7E" w:rsidR="005B0BE3" w:rsidRPr="005B0BE3" w:rsidRDefault="005B0BE3" w:rsidP="005B0BE3">
      <w:pPr>
        <w:pStyle w:val="Header"/>
        <w:tabs>
          <w:tab w:val="num" w:pos="1080"/>
        </w:tabs>
        <w:rPr>
          <w:szCs w:val="24"/>
        </w:rPr>
      </w:pPr>
      <w:r>
        <w:rPr>
          <w:szCs w:val="24"/>
        </w:rPr>
        <w:t>S</w:t>
      </w:r>
      <w:r w:rsidR="0084489F">
        <w:rPr>
          <w:szCs w:val="24"/>
        </w:rPr>
        <w:t>ubs</w:t>
      </w:r>
      <w:r>
        <w:rPr>
          <w:szCs w:val="24"/>
        </w:rPr>
        <w:t xml:space="preserve">ection 6(4) provides that for items 12254 and 12258, a </w:t>
      </w:r>
      <w:r w:rsidRPr="005B0BE3">
        <w:rPr>
          <w:bCs/>
          <w:iCs/>
          <w:szCs w:val="24"/>
        </w:rPr>
        <w:t xml:space="preserve">qualified sleep medicine </w:t>
      </w:r>
      <w:r w:rsidR="00072DAB" w:rsidRPr="005B0BE3">
        <w:rPr>
          <w:bCs/>
          <w:iCs/>
          <w:szCs w:val="24"/>
        </w:rPr>
        <w:t>practitioner</w:t>
      </w:r>
      <w:r w:rsidR="00072DAB">
        <w:rPr>
          <w:bCs/>
          <w:iCs/>
          <w:szCs w:val="24"/>
        </w:rPr>
        <w:t xml:space="preserve"> </w:t>
      </w:r>
      <w:r w:rsidR="00072DAB" w:rsidRPr="005B0BE3">
        <w:rPr>
          <w:szCs w:val="24"/>
        </w:rPr>
        <w:t>means</w:t>
      </w:r>
      <w:r w:rsidRPr="005B0BE3">
        <w:rPr>
          <w:szCs w:val="24"/>
        </w:rPr>
        <w:t xml:space="preserve"> a qualified adult sleep medicine practitioner</w:t>
      </w:r>
      <w:r w:rsidR="00072DAB">
        <w:rPr>
          <w:szCs w:val="24"/>
        </w:rPr>
        <w:t xml:space="preserve">. It does not </w:t>
      </w:r>
      <w:r w:rsidR="00072DAB">
        <w:rPr>
          <w:szCs w:val="24"/>
        </w:rPr>
        <w:tab/>
        <w:t xml:space="preserve">include </w:t>
      </w:r>
      <w:r w:rsidR="00072DAB" w:rsidRPr="00072DAB">
        <w:rPr>
          <w:szCs w:val="24"/>
        </w:rPr>
        <w:t>a qualified paediatric sleep medicine practitioner.</w:t>
      </w:r>
    </w:p>
    <w:p w14:paraId="45909A55" w14:textId="7ECFA87B" w:rsidR="005B0BE3" w:rsidRPr="00802258" w:rsidRDefault="005B0BE3" w:rsidP="005B0BE3">
      <w:pPr>
        <w:pStyle w:val="Header"/>
        <w:tabs>
          <w:tab w:val="num" w:pos="1080"/>
        </w:tabs>
        <w:rPr>
          <w:szCs w:val="24"/>
        </w:rPr>
      </w:pPr>
    </w:p>
    <w:p w14:paraId="11A78D1D" w14:textId="77777777" w:rsidR="00802258" w:rsidRDefault="00802258" w:rsidP="00404F11">
      <w:pPr>
        <w:pStyle w:val="Header"/>
        <w:tabs>
          <w:tab w:val="num" w:pos="1080"/>
        </w:tabs>
        <w:rPr>
          <w:szCs w:val="24"/>
          <w:u w:val="single"/>
        </w:rPr>
      </w:pPr>
    </w:p>
    <w:p w14:paraId="10FC0BE8" w14:textId="3DED2205" w:rsidR="00404F11" w:rsidRPr="00215191" w:rsidRDefault="00C62733" w:rsidP="00404F11">
      <w:pPr>
        <w:pStyle w:val="Header"/>
        <w:tabs>
          <w:tab w:val="num" w:pos="1080"/>
        </w:tabs>
        <w:rPr>
          <w:szCs w:val="24"/>
          <w:u w:val="single"/>
        </w:rPr>
      </w:pPr>
      <w:r w:rsidRPr="00215191">
        <w:rPr>
          <w:szCs w:val="24"/>
          <w:u w:val="single"/>
        </w:rPr>
        <w:lastRenderedPageBreak/>
        <w:t>Schedule –</w:t>
      </w:r>
      <w:r w:rsidR="007E0017" w:rsidRPr="00215191">
        <w:rPr>
          <w:szCs w:val="24"/>
          <w:u w:val="single"/>
        </w:rPr>
        <w:t xml:space="preserve"> Relevant services</w:t>
      </w:r>
    </w:p>
    <w:p w14:paraId="30617928" w14:textId="77777777" w:rsidR="00404F11" w:rsidRPr="00215191" w:rsidRDefault="00404F11" w:rsidP="00404F11">
      <w:pPr>
        <w:pStyle w:val="Header"/>
        <w:tabs>
          <w:tab w:val="num" w:pos="1080"/>
        </w:tabs>
        <w:rPr>
          <w:szCs w:val="24"/>
        </w:rPr>
      </w:pPr>
    </w:p>
    <w:p w14:paraId="2412D14D" w14:textId="29F78431" w:rsidR="00F83B6F" w:rsidRPr="00215191" w:rsidRDefault="006E527B" w:rsidP="00A34D89">
      <w:pPr>
        <w:pStyle w:val="Header"/>
        <w:tabs>
          <w:tab w:val="num" w:pos="1080"/>
        </w:tabs>
      </w:pPr>
      <w:r>
        <w:rPr>
          <w:szCs w:val="24"/>
        </w:rPr>
        <w:t xml:space="preserve">The </w:t>
      </w:r>
      <w:r w:rsidR="007E0017" w:rsidRPr="00215191">
        <w:rPr>
          <w:szCs w:val="24"/>
        </w:rPr>
        <w:t xml:space="preserve">Schedule </w:t>
      </w:r>
      <w:r w:rsidR="000E1EB3">
        <w:rPr>
          <w:szCs w:val="24"/>
        </w:rPr>
        <w:t>lists</w:t>
      </w:r>
      <w:r w:rsidR="007E0017" w:rsidRPr="00215191">
        <w:rPr>
          <w:szCs w:val="24"/>
        </w:rPr>
        <w:t xml:space="preserve"> item</w:t>
      </w:r>
      <w:r w:rsidR="00802258">
        <w:rPr>
          <w:szCs w:val="24"/>
        </w:rPr>
        <w:t>s</w:t>
      </w:r>
      <w:r w:rsidR="005A1B2B">
        <w:rPr>
          <w:szCs w:val="24"/>
        </w:rPr>
        <w:t xml:space="preserve"> </w:t>
      </w:r>
      <w:r w:rsidR="00802258">
        <w:rPr>
          <w:szCs w:val="24"/>
        </w:rPr>
        <w:t>12254, 12258, 12261, 12265, 12268 and 12272</w:t>
      </w:r>
      <w:r w:rsidR="005A1B2B">
        <w:rPr>
          <w:szCs w:val="24"/>
        </w:rPr>
        <w:t>.</w:t>
      </w:r>
      <w:r w:rsidR="00F83B6F" w:rsidRPr="00215191">
        <w:rPr>
          <w:b/>
          <w:sz w:val="28"/>
          <w:szCs w:val="28"/>
        </w:rPr>
        <w:br w:type="page"/>
      </w:r>
    </w:p>
    <w:p w14:paraId="2412D14E" w14:textId="77777777" w:rsidR="00A17F2C" w:rsidRPr="00B86A9F" w:rsidRDefault="00A17F2C" w:rsidP="000337CB">
      <w:pPr>
        <w:spacing w:before="360" w:after="120"/>
        <w:jc w:val="center"/>
        <w:rPr>
          <w:b/>
          <w:sz w:val="28"/>
          <w:szCs w:val="28"/>
        </w:rPr>
      </w:pPr>
      <w:r w:rsidRPr="00B86A9F">
        <w:rPr>
          <w:b/>
          <w:sz w:val="28"/>
          <w:szCs w:val="28"/>
        </w:rPr>
        <w:lastRenderedPageBreak/>
        <w:t>Statement of Compatibility with Human Rights</w:t>
      </w:r>
    </w:p>
    <w:p w14:paraId="2412D14F" w14:textId="77777777" w:rsidR="00A17F2C" w:rsidRPr="00B86A9F" w:rsidRDefault="00A17F2C" w:rsidP="000337CB">
      <w:pPr>
        <w:spacing w:before="120" w:after="120"/>
        <w:jc w:val="center"/>
        <w:rPr>
          <w:szCs w:val="24"/>
        </w:rPr>
      </w:pPr>
      <w:r w:rsidRPr="00B86A9F">
        <w:rPr>
          <w:i/>
          <w:szCs w:val="24"/>
        </w:rPr>
        <w:t>Prepared in accordance with Part 3 of the Human Rights (Parliamentary Scrutiny) Act 2011</w:t>
      </w:r>
    </w:p>
    <w:p w14:paraId="2412D150" w14:textId="77777777" w:rsidR="00A17F2C" w:rsidRPr="00B86A9F" w:rsidRDefault="00A17F2C" w:rsidP="000337CB">
      <w:pPr>
        <w:spacing w:before="120" w:after="120"/>
        <w:jc w:val="center"/>
        <w:rPr>
          <w:szCs w:val="24"/>
        </w:rPr>
      </w:pPr>
    </w:p>
    <w:p w14:paraId="3A52A4B2" w14:textId="2324A51D" w:rsidR="00C6094D" w:rsidRPr="00FD602D" w:rsidRDefault="00072DAB" w:rsidP="00447E92">
      <w:pPr>
        <w:jc w:val="center"/>
        <w:rPr>
          <w:b/>
          <w:i/>
          <w:szCs w:val="24"/>
        </w:rPr>
      </w:pPr>
      <w:r w:rsidRPr="00802258">
        <w:rPr>
          <w:bCs/>
          <w:i/>
          <w:iCs/>
        </w:rPr>
        <w:t>Health Insurance (Section 3C General Medical Services – Vigilance Testing) Determination 2018</w:t>
      </w:r>
      <w:r w:rsidR="00A34D89" w:rsidRPr="00FD602D">
        <w:rPr>
          <w:b/>
          <w:i/>
          <w:szCs w:val="24"/>
        </w:rPr>
        <w:br/>
      </w:r>
    </w:p>
    <w:p w14:paraId="2412D153" w14:textId="1B242C70" w:rsidR="00A17F2C" w:rsidRPr="00B86A9F" w:rsidRDefault="00A17F2C" w:rsidP="000337CB">
      <w:pPr>
        <w:jc w:val="center"/>
        <w:rPr>
          <w:szCs w:val="24"/>
        </w:rPr>
      </w:pPr>
      <w:r w:rsidRPr="00B86A9F">
        <w:rPr>
          <w:szCs w:val="24"/>
        </w:rPr>
        <w:t xml:space="preserve">This </w:t>
      </w:r>
      <w:r w:rsidR="00A90EE0" w:rsidRPr="00B86A9F">
        <w:rPr>
          <w:szCs w:val="24"/>
        </w:rPr>
        <w:t>Determination</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2412D154" w14:textId="77777777" w:rsidR="00A17F2C" w:rsidRPr="00EB601D" w:rsidRDefault="00A17F2C" w:rsidP="000337CB">
      <w:pPr>
        <w:jc w:val="center"/>
        <w:rPr>
          <w:szCs w:val="24"/>
          <w:highlight w:val="yellow"/>
        </w:rPr>
      </w:pPr>
    </w:p>
    <w:p w14:paraId="7EDA9098" w14:textId="306A78E1" w:rsidR="006E6BBF" w:rsidRPr="00B86A9F" w:rsidRDefault="006E6BBF" w:rsidP="008734F5">
      <w:pPr>
        <w:spacing w:before="120" w:after="120"/>
        <w:rPr>
          <w:b/>
          <w:szCs w:val="24"/>
        </w:rPr>
      </w:pPr>
      <w:r w:rsidRPr="00B86A9F">
        <w:rPr>
          <w:b/>
          <w:szCs w:val="24"/>
        </w:rPr>
        <w:t xml:space="preserve">Overview of the </w:t>
      </w:r>
      <w:r w:rsidR="00B86A9F" w:rsidRPr="00B86A9F">
        <w:rPr>
          <w:b/>
          <w:szCs w:val="24"/>
        </w:rPr>
        <w:t>Determination</w:t>
      </w:r>
    </w:p>
    <w:p w14:paraId="2CE82BF7" w14:textId="77777777" w:rsidR="000B2A3E" w:rsidRDefault="000B2A3E" w:rsidP="000B2A3E">
      <w:pPr>
        <w:rPr>
          <w:szCs w:val="24"/>
        </w:rPr>
      </w:pPr>
      <w:r>
        <w:rPr>
          <w:szCs w:val="24"/>
        </w:rPr>
        <w:t xml:space="preserve">Six new items will be introduced to provide ongoing benefits for vigilance testing </w:t>
      </w:r>
      <w:r w:rsidRPr="00742413">
        <w:rPr>
          <w:szCs w:val="24"/>
        </w:rPr>
        <w:t>for the assessment of excessive daytime sleepiness</w:t>
      </w:r>
      <w:r>
        <w:rPr>
          <w:szCs w:val="24"/>
        </w:rPr>
        <w:t xml:space="preserve">, for adults and children, from </w:t>
      </w:r>
      <w:r>
        <w:rPr>
          <w:szCs w:val="24"/>
        </w:rPr>
        <w:br/>
      </w:r>
      <w:r w:rsidRPr="00B31043">
        <w:rPr>
          <w:szCs w:val="24"/>
        </w:rPr>
        <w:t>1 November 2018.</w:t>
      </w:r>
      <w:r w:rsidRPr="004A6EAE">
        <w:rPr>
          <w:szCs w:val="24"/>
        </w:rPr>
        <w:t xml:space="preserve"> </w:t>
      </w:r>
      <w:r w:rsidRPr="00B31043">
        <w:rPr>
          <w:bCs/>
          <w:iCs/>
          <w:szCs w:val="24"/>
        </w:rPr>
        <w:t>Vigilance</w:t>
      </w:r>
      <w:r w:rsidRPr="008A6B20">
        <w:rPr>
          <w:bCs/>
          <w:iCs/>
          <w:szCs w:val="24"/>
        </w:rPr>
        <w:t xml:space="preserve"> testing is primarily </w:t>
      </w:r>
      <w:r>
        <w:rPr>
          <w:bCs/>
          <w:iCs/>
          <w:szCs w:val="24"/>
        </w:rPr>
        <w:t xml:space="preserve">required </w:t>
      </w:r>
      <w:r w:rsidRPr="008A6B20">
        <w:rPr>
          <w:bCs/>
          <w:iCs/>
          <w:szCs w:val="24"/>
        </w:rPr>
        <w:t>to assess patient eligibility for certain medicines for narcolepsy</w:t>
      </w:r>
      <w:r>
        <w:rPr>
          <w:bCs/>
          <w:iCs/>
          <w:szCs w:val="24"/>
        </w:rPr>
        <w:t xml:space="preserve"> listed on the P</w:t>
      </w:r>
      <w:r w:rsidRPr="008A6B20">
        <w:rPr>
          <w:bCs/>
          <w:iCs/>
          <w:szCs w:val="24"/>
        </w:rPr>
        <w:t>harmaceutical Benefits Scheme</w:t>
      </w:r>
      <w:r>
        <w:rPr>
          <w:bCs/>
          <w:iCs/>
          <w:szCs w:val="24"/>
        </w:rPr>
        <w:t xml:space="preserve"> (PBS).</w:t>
      </w:r>
    </w:p>
    <w:p w14:paraId="61EB7F57" w14:textId="77777777" w:rsidR="000B2A3E" w:rsidRDefault="000B2A3E" w:rsidP="000B2A3E">
      <w:pPr>
        <w:rPr>
          <w:szCs w:val="24"/>
        </w:rPr>
      </w:pPr>
    </w:p>
    <w:p w14:paraId="228119EE" w14:textId="77777777" w:rsidR="000B2A3E" w:rsidRDefault="000B2A3E" w:rsidP="000B2A3E">
      <w:r>
        <w:t>Currently, vigilance testing is performed by claiming</w:t>
      </w:r>
      <w:r>
        <w:t xml:space="preserve"> </w:t>
      </w:r>
      <w:r>
        <w:t>a combination of items for the daytime and night-time component of the service:</w:t>
      </w:r>
    </w:p>
    <w:p w14:paraId="4DCC7376" w14:textId="77777777" w:rsidR="000B2A3E" w:rsidRPr="006072B0" w:rsidRDefault="000B2A3E" w:rsidP="000B2A3E">
      <w:pPr>
        <w:numPr>
          <w:ilvl w:val="0"/>
          <w:numId w:val="26"/>
        </w:numPr>
        <w:rPr>
          <w:bCs/>
        </w:rPr>
      </w:pPr>
      <w:r w:rsidRPr="006072B0">
        <w:rPr>
          <w:bCs/>
        </w:rPr>
        <w:t>12203 (overnight adult sleep study) followed by 11003 (</w:t>
      </w:r>
      <w:r>
        <w:rPr>
          <w:bCs/>
        </w:rPr>
        <w:t xml:space="preserve">daytime </w:t>
      </w:r>
      <w:r w:rsidRPr="006072B0">
        <w:rPr>
          <w:bCs/>
        </w:rPr>
        <w:t>electroencephalography</w:t>
      </w:r>
      <w:r>
        <w:rPr>
          <w:bCs/>
        </w:rPr>
        <w:t xml:space="preserve"> component</w:t>
      </w:r>
      <w:r w:rsidRPr="006072B0">
        <w:rPr>
          <w:bCs/>
        </w:rPr>
        <w:t xml:space="preserve">) </w:t>
      </w:r>
      <w:r>
        <w:rPr>
          <w:bCs/>
        </w:rPr>
        <w:t>for</w:t>
      </w:r>
      <w:r w:rsidRPr="006072B0">
        <w:rPr>
          <w:bCs/>
        </w:rPr>
        <w:t xml:space="preserve"> adults;</w:t>
      </w:r>
      <w:r>
        <w:rPr>
          <w:bCs/>
        </w:rPr>
        <w:t xml:space="preserve"> or</w:t>
      </w:r>
    </w:p>
    <w:p w14:paraId="377651F4" w14:textId="77777777" w:rsidR="000B2A3E" w:rsidRPr="006072B0" w:rsidRDefault="000B2A3E" w:rsidP="000B2A3E">
      <w:pPr>
        <w:numPr>
          <w:ilvl w:val="0"/>
          <w:numId w:val="26"/>
        </w:numPr>
        <w:rPr>
          <w:bCs/>
        </w:rPr>
      </w:pPr>
      <w:r w:rsidRPr="006072B0">
        <w:rPr>
          <w:bCs/>
        </w:rPr>
        <w:t xml:space="preserve">12210 or 12213 (overnight paediatric sleep studies) followed by 11003 </w:t>
      </w:r>
      <w:r>
        <w:rPr>
          <w:bCs/>
        </w:rPr>
        <w:t>for</w:t>
      </w:r>
      <w:r w:rsidRPr="006072B0">
        <w:rPr>
          <w:bCs/>
        </w:rPr>
        <w:t xml:space="preserve"> children.  </w:t>
      </w:r>
    </w:p>
    <w:p w14:paraId="5132E08C" w14:textId="77777777" w:rsidR="000B2A3E" w:rsidRDefault="000B2A3E" w:rsidP="000B2A3E"/>
    <w:p w14:paraId="27DD2BB5" w14:textId="77777777" w:rsidR="000B2A3E" w:rsidRDefault="000B2A3E" w:rsidP="000B2A3E">
      <w:r>
        <w:t>The six new items provide a service for both the daytime and the night-time component of vigilance testing. Services provided under the new items are for a m</w:t>
      </w:r>
      <w:r w:rsidRPr="00CB073F">
        <w:t>ultiple sleep latency test for the assessment of unexplained hypersomnolence</w:t>
      </w:r>
      <w:r>
        <w:t xml:space="preserve">, and for the maintenance of wakefulness test </w:t>
      </w:r>
      <w:r w:rsidRPr="00CB073F">
        <w:t>for the assessment of the ability to maintain wakefulness</w:t>
      </w:r>
      <w:r>
        <w:t>, for three age cohorts:</w:t>
      </w:r>
    </w:p>
    <w:p w14:paraId="6AE29837" w14:textId="77777777" w:rsidR="000B2A3E" w:rsidRDefault="000B2A3E" w:rsidP="000B2A3E">
      <w:pPr>
        <w:pStyle w:val="ListParagraph"/>
        <w:numPr>
          <w:ilvl w:val="0"/>
          <w:numId w:val="28"/>
        </w:numPr>
      </w:pPr>
      <w:r>
        <w:t xml:space="preserve">adults (patients aged 18 years or more); </w:t>
      </w:r>
    </w:p>
    <w:p w14:paraId="11F6718A" w14:textId="77777777" w:rsidR="000B2A3E" w:rsidRDefault="000B2A3E" w:rsidP="000B2A3E">
      <w:pPr>
        <w:pStyle w:val="ListParagraph"/>
        <w:numPr>
          <w:ilvl w:val="0"/>
          <w:numId w:val="28"/>
        </w:numPr>
      </w:pPr>
      <w:r>
        <w:t>patients aged at least 12 years but less than 18 years; and</w:t>
      </w:r>
    </w:p>
    <w:p w14:paraId="366E82D7" w14:textId="540B510B" w:rsidR="000B2A3E" w:rsidRDefault="000B2A3E" w:rsidP="000B2A3E">
      <w:pPr>
        <w:pStyle w:val="ListParagraph"/>
        <w:numPr>
          <w:ilvl w:val="0"/>
          <w:numId w:val="28"/>
        </w:numPr>
      </w:pPr>
      <w:r>
        <w:t xml:space="preserve">children (patients aged less than 12 </w:t>
      </w:r>
      <w:r w:rsidR="0003453C">
        <w:t>years)</w:t>
      </w:r>
      <w:r>
        <w:t>.</w:t>
      </w:r>
    </w:p>
    <w:p w14:paraId="489E456D" w14:textId="77777777" w:rsidR="000B2A3E" w:rsidRDefault="000B2A3E" w:rsidP="000B2A3E"/>
    <w:p w14:paraId="7ADA3FD6" w14:textId="77777777" w:rsidR="000B2A3E" w:rsidRPr="00CB073F" w:rsidRDefault="000B2A3E" w:rsidP="000B2A3E">
      <w:r w:rsidRPr="00CB073F">
        <w:t>The daytime component includes monitoring of the patient, during which there is continuous recording of electro-encephalogram (EEG), electro-myogram (EMG), electro-oculogram (EOG) and electro-cardiogram (ECG).</w:t>
      </w:r>
    </w:p>
    <w:p w14:paraId="21CFDB65" w14:textId="77777777" w:rsidR="000B2A3E" w:rsidRDefault="000B2A3E" w:rsidP="000B2A3E"/>
    <w:p w14:paraId="3E2085B0" w14:textId="77777777" w:rsidR="000B2A3E" w:rsidRDefault="000B2A3E" w:rsidP="000B2A3E">
      <w:r>
        <w:rPr>
          <w:color w:val="000000"/>
        </w:rPr>
        <w:t xml:space="preserve">The new items for vigilance testing, which have fees equivalent to the sum of the existing combination of items, have been assessed and recommended by the Medical Services Advisory Committee. </w:t>
      </w:r>
      <w:r>
        <w:t> </w:t>
      </w:r>
    </w:p>
    <w:p w14:paraId="4D693F2F" w14:textId="77777777" w:rsidR="000B2A3E" w:rsidRDefault="000B2A3E" w:rsidP="000B2A3E">
      <w:pPr>
        <w:rPr>
          <w:szCs w:val="24"/>
        </w:rPr>
      </w:pPr>
    </w:p>
    <w:p w14:paraId="00B57C2B" w14:textId="77777777" w:rsidR="000B2A3E" w:rsidRDefault="000B2A3E" w:rsidP="000B2A3E">
      <w:pPr>
        <w:rPr>
          <w:szCs w:val="24"/>
        </w:rPr>
      </w:pPr>
      <w:r w:rsidRPr="00CD4A21">
        <w:rPr>
          <w:szCs w:val="24"/>
        </w:rPr>
        <w:t xml:space="preserve">The </w:t>
      </w:r>
      <w:r>
        <w:rPr>
          <w:szCs w:val="24"/>
        </w:rPr>
        <w:t xml:space="preserve">purpose of the </w:t>
      </w:r>
      <w:r w:rsidRPr="00892B45">
        <w:rPr>
          <w:i/>
          <w:szCs w:val="24"/>
        </w:rPr>
        <w:t>Health Insurance (Section 3C General Medical Services – Vigilance Testing) Determination 2018</w:t>
      </w:r>
      <w:r>
        <w:rPr>
          <w:i/>
          <w:szCs w:val="24"/>
        </w:rPr>
        <w:t xml:space="preserve"> </w:t>
      </w:r>
      <w:r>
        <w:rPr>
          <w:szCs w:val="24"/>
        </w:rPr>
        <w:t>(the Determination) is to implement these six new items (12254, 12258, 12261, 12265, 12268 and 12272).</w:t>
      </w:r>
    </w:p>
    <w:p w14:paraId="2412D15C" w14:textId="258F961E" w:rsidR="00A17F2C" w:rsidRPr="00B86A9F" w:rsidRDefault="00A17F2C" w:rsidP="008734F5">
      <w:pPr>
        <w:spacing w:before="120" w:after="120"/>
        <w:rPr>
          <w:b/>
          <w:szCs w:val="24"/>
        </w:rPr>
      </w:pPr>
      <w:r w:rsidRPr="00B86A9F">
        <w:rPr>
          <w:b/>
          <w:szCs w:val="24"/>
        </w:rPr>
        <w:t>Human rights implications</w:t>
      </w:r>
    </w:p>
    <w:p w14:paraId="2412D15D" w14:textId="71E7135C" w:rsidR="00A17F2C" w:rsidRPr="00B86A9F" w:rsidRDefault="008B683E" w:rsidP="000337CB">
      <w:pPr>
        <w:spacing w:before="120" w:after="120"/>
        <w:rPr>
          <w:szCs w:val="24"/>
        </w:rPr>
      </w:pPr>
      <w:r w:rsidRPr="00B86A9F">
        <w:rPr>
          <w:szCs w:val="24"/>
        </w:rPr>
        <w:t>Th</w:t>
      </w:r>
      <w:r w:rsidR="00C743D2">
        <w:rPr>
          <w:szCs w:val="24"/>
        </w:rPr>
        <w:t>is</w:t>
      </w:r>
      <w:r w:rsidRPr="00B86A9F">
        <w:rPr>
          <w:szCs w:val="24"/>
        </w:rPr>
        <w:t xml:space="preserve"> </w:t>
      </w:r>
      <w:r w:rsidR="006E6BBF" w:rsidRPr="00B86A9F">
        <w:rPr>
          <w:szCs w:val="24"/>
        </w:rPr>
        <w:t>Determination</w:t>
      </w:r>
      <w:r w:rsidR="00A17F2C" w:rsidRPr="00B86A9F">
        <w:rPr>
          <w:szCs w:val="24"/>
        </w:rPr>
        <w:t xml:space="preserve"> engage</w:t>
      </w:r>
      <w:r w:rsidR="006E6BBF" w:rsidRPr="00B86A9F">
        <w:rPr>
          <w:szCs w:val="24"/>
        </w:rPr>
        <w:t>s</w:t>
      </w:r>
      <w:r w:rsidR="00A17F2C" w:rsidRPr="00B86A9F">
        <w:rPr>
          <w:szCs w:val="24"/>
        </w:rPr>
        <w:t xml:space="preserve"> Articles </w:t>
      </w:r>
      <w:r w:rsidR="002B7177" w:rsidRPr="00B86A9F">
        <w:rPr>
          <w:szCs w:val="24"/>
        </w:rPr>
        <w:t xml:space="preserve">9 </w:t>
      </w:r>
      <w:r w:rsidR="00A17F2C" w:rsidRPr="00B86A9F">
        <w:rPr>
          <w:szCs w:val="24"/>
        </w:rPr>
        <w:t xml:space="preserve">and 12 of the International Covenant on Economic Social and Cultural Rights (ICESCR), specifically the rights to health and social security. </w:t>
      </w:r>
    </w:p>
    <w:p w14:paraId="2412D15E" w14:textId="05832345" w:rsidR="00A17F2C" w:rsidRPr="00B86A9F" w:rsidRDefault="00A17F2C" w:rsidP="000337CB">
      <w:pPr>
        <w:spacing w:before="120" w:after="120"/>
        <w:rPr>
          <w:i/>
          <w:szCs w:val="24"/>
        </w:rPr>
      </w:pPr>
      <w:r w:rsidRPr="00B86A9F">
        <w:rPr>
          <w:i/>
          <w:szCs w:val="24"/>
        </w:rPr>
        <w:lastRenderedPageBreak/>
        <w:t>The Right to Health</w:t>
      </w:r>
    </w:p>
    <w:p w14:paraId="2412D15F" w14:textId="77777777" w:rsidR="00A17F2C" w:rsidRPr="00B86A9F" w:rsidRDefault="00A17F2C" w:rsidP="000337CB">
      <w:pPr>
        <w:spacing w:before="120" w:after="120"/>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B86A9F" w:rsidRDefault="00A17F2C" w:rsidP="000337CB">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77777777" w:rsidR="00A17F2C" w:rsidRPr="00B86A9F" w:rsidRDefault="00A17F2C" w:rsidP="000337CB">
      <w:pPr>
        <w:spacing w:before="120" w:after="120"/>
        <w:rPr>
          <w:i/>
          <w:szCs w:val="24"/>
        </w:rPr>
      </w:pPr>
      <w:r w:rsidRPr="00B86A9F">
        <w:rPr>
          <w:i/>
          <w:szCs w:val="24"/>
        </w:rPr>
        <w:t xml:space="preserve">The Right to Social Security </w:t>
      </w:r>
    </w:p>
    <w:p w14:paraId="2412D162" w14:textId="77777777" w:rsidR="00A17F2C" w:rsidRPr="00B86A9F" w:rsidRDefault="00A17F2C" w:rsidP="000337CB">
      <w:pPr>
        <w:spacing w:before="120" w:after="120"/>
        <w:rPr>
          <w:szCs w:val="24"/>
        </w:rPr>
      </w:pPr>
      <w:r w:rsidRPr="00B86A9F">
        <w:rPr>
          <w:szCs w:val="24"/>
        </w:rPr>
        <w:t>The right to social security is contained in Article 9 of the ICESCR. It requires that a country must, within its maximum available resources, ensure access to a social security scheme that</w:t>
      </w:r>
      <w:r w:rsidR="00BA69CB" w:rsidRPr="00B86A9F">
        <w:rPr>
          <w:szCs w:val="24"/>
        </w:rPr>
        <w:t xml:space="preserve"> </w:t>
      </w:r>
      <w:r w:rsidRPr="00B86A9F">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B86A9F" w:rsidRDefault="00A17F2C" w:rsidP="000337CB">
      <w:pPr>
        <w:spacing w:before="120" w:after="120"/>
        <w:rPr>
          <w:szCs w:val="24"/>
        </w:rPr>
      </w:pPr>
      <w:r w:rsidRPr="00B86A9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4B566F87" w:rsidR="00A17F2C" w:rsidRPr="00B86A9F" w:rsidRDefault="00A17F2C" w:rsidP="000337CB">
      <w:pPr>
        <w:spacing w:before="120" w:after="120"/>
        <w:rPr>
          <w:szCs w:val="24"/>
          <w:u w:val="single"/>
        </w:rPr>
      </w:pPr>
      <w:r w:rsidRPr="00B86A9F">
        <w:rPr>
          <w:szCs w:val="24"/>
          <w:u w:val="single"/>
        </w:rPr>
        <w:t xml:space="preserve">Analysis </w:t>
      </w:r>
    </w:p>
    <w:p w14:paraId="72B0BBE7" w14:textId="7AAD6FD5" w:rsidR="00E21297" w:rsidRDefault="009F0715" w:rsidP="00302F5C">
      <w:pPr>
        <w:rPr>
          <w:szCs w:val="24"/>
        </w:rPr>
      </w:pPr>
      <w:r w:rsidRPr="00B86A9F">
        <w:rPr>
          <w:szCs w:val="24"/>
        </w:rPr>
        <w:t>This Determination will maintain</w:t>
      </w:r>
      <w:r w:rsidR="00B62400">
        <w:rPr>
          <w:szCs w:val="24"/>
        </w:rPr>
        <w:t xml:space="preserve"> and advance</w:t>
      </w:r>
      <w:r w:rsidRPr="00B86A9F">
        <w:rPr>
          <w:szCs w:val="24"/>
        </w:rPr>
        <w:t xml:space="preserve"> rights to health and social security by ensuring access to publicly subsidised health services which are clinically effective</w:t>
      </w:r>
      <w:r w:rsidR="00E17001" w:rsidRPr="00B86A9F">
        <w:rPr>
          <w:szCs w:val="24"/>
        </w:rPr>
        <w:t>, safe</w:t>
      </w:r>
      <w:r w:rsidRPr="00B86A9F">
        <w:rPr>
          <w:szCs w:val="24"/>
        </w:rPr>
        <w:t xml:space="preserve"> and cost-effective.</w:t>
      </w:r>
      <w:r w:rsidR="00910EF6">
        <w:rPr>
          <w:szCs w:val="24"/>
        </w:rPr>
        <w:t xml:space="preserve"> </w:t>
      </w:r>
    </w:p>
    <w:p w14:paraId="2412D166" w14:textId="1973400E" w:rsidR="00A17F2C" w:rsidRPr="00B86A9F" w:rsidRDefault="00A17F2C" w:rsidP="004B7CB9">
      <w:pPr>
        <w:spacing w:before="120" w:after="120" w:line="276" w:lineRule="auto"/>
        <w:rPr>
          <w:rFonts w:eastAsia="Calibri"/>
          <w:b/>
          <w:szCs w:val="24"/>
          <w:lang w:eastAsia="en-US"/>
        </w:rPr>
      </w:pPr>
      <w:r w:rsidRPr="00B86A9F">
        <w:rPr>
          <w:rFonts w:eastAsia="Calibri"/>
          <w:b/>
          <w:szCs w:val="24"/>
          <w:lang w:eastAsia="en-US"/>
        </w:rPr>
        <w:t xml:space="preserve">Conclusion </w:t>
      </w:r>
    </w:p>
    <w:p w14:paraId="2412D167" w14:textId="0A313D60" w:rsidR="00A17F2C" w:rsidRPr="00B86A9F" w:rsidRDefault="006E6BBF" w:rsidP="000337CB">
      <w:pPr>
        <w:rPr>
          <w:szCs w:val="24"/>
        </w:rPr>
      </w:pPr>
      <w:r w:rsidRPr="00B86A9F">
        <w:rPr>
          <w:szCs w:val="24"/>
        </w:rPr>
        <w:t xml:space="preserve">This </w:t>
      </w:r>
      <w:r w:rsidR="00B86A9F">
        <w:rPr>
          <w:szCs w:val="24"/>
        </w:rPr>
        <w:t>Determination</w:t>
      </w:r>
      <w:r w:rsidRPr="00B86A9F">
        <w:rPr>
          <w:szCs w:val="24"/>
        </w:rPr>
        <w:t xml:space="preserve"> </w:t>
      </w:r>
      <w:r w:rsidR="00F15284" w:rsidRPr="00B86A9F">
        <w:rPr>
          <w:szCs w:val="24"/>
        </w:rPr>
        <w:t xml:space="preserve">is compatible with human rights as it has a positive effect on </w:t>
      </w:r>
      <w:r w:rsidR="00910EF6">
        <w:rPr>
          <w:szCs w:val="24"/>
        </w:rPr>
        <w:t xml:space="preserve">the right to health and the right to social security. </w:t>
      </w:r>
    </w:p>
    <w:p w14:paraId="2412D168" w14:textId="77777777" w:rsidR="00F15284" w:rsidRPr="00B86A9F" w:rsidRDefault="00F15284" w:rsidP="000337CB">
      <w:pPr>
        <w:rPr>
          <w:rFonts w:eastAsia="Calibri"/>
          <w:szCs w:val="24"/>
          <w:lang w:eastAsia="en-US"/>
        </w:rPr>
      </w:pPr>
    </w:p>
    <w:p w14:paraId="50A0EE21" w14:textId="77777777" w:rsidR="007503F2" w:rsidRPr="007503F2" w:rsidRDefault="007503F2" w:rsidP="007503F2">
      <w:pPr>
        <w:tabs>
          <w:tab w:val="left" w:pos="540"/>
          <w:tab w:val="left" w:pos="3240"/>
        </w:tabs>
        <w:autoSpaceDE w:val="0"/>
        <w:autoSpaceDN w:val="0"/>
        <w:spacing w:line="240" w:lineRule="atLeast"/>
        <w:ind w:right="397"/>
        <w:jc w:val="center"/>
        <w:rPr>
          <w:b/>
          <w:szCs w:val="24"/>
          <w:lang w:eastAsia="en-US"/>
        </w:rPr>
      </w:pPr>
      <w:r w:rsidRPr="007503F2">
        <w:rPr>
          <w:b/>
          <w:szCs w:val="24"/>
          <w:lang w:eastAsia="en-US"/>
        </w:rPr>
        <w:t>Michael Ryan</w:t>
      </w:r>
    </w:p>
    <w:p w14:paraId="48DC4367" w14:textId="141AF32E" w:rsidR="007503F2" w:rsidRPr="007503F2" w:rsidRDefault="007503F2" w:rsidP="007503F2">
      <w:pPr>
        <w:tabs>
          <w:tab w:val="left" w:pos="540"/>
          <w:tab w:val="left" w:pos="3240"/>
        </w:tabs>
        <w:autoSpaceDE w:val="0"/>
        <w:autoSpaceDN w:val="0"/>
        <w:spacing w:line="240" w:lineRule="atLeast"/>
        <w:ind w:right="397"/>
        <w:jc w:val="center"/>
        <w:rPr>
          <w:b/>
          <w:szCs w:val="24"/>
          <w:lang w:eastAsia="en-US"/>
        </w:rPr>
      </w:pPr>
      <w:r w:rsidRPr="007503F2">
        <w:rPr>
          <w:b/>
          <w:szCs w:val="24"/>
          <w:lang w:eastAsia="en-US"/>
        </w:rPr>
        <w:t>Acting Assistant Secretary</w:t>
      </w:r>
    </w:p>
    <w:p w14:paraId="451290F9" w14:textId="77777777" w:rsidR="007503F2" w:rsidRPr="007503F2" w:rsidRDefault="007503F2" w:rsidP="007503F2">
      <w:pPr>
        <w:tabs>
          <w:tab w:val="left" w:pos="540"/>
          <w:tab w:val="left" w:pos="3240"/>
        </w:tabs>
        <w:autoSpaceDE w:val="0"/>
        <w:autoSpaceDN w:val="0"/>
        <w:spacing w:line="240" w:lineRule="atLeast"/>
        <w:ind w:right="397"/>
        <w:jc w:val="center"/>
        <w:rPr>
          <w:b/>
          <w:szCs w:val="24"/>
          <w:lang w:eastAsia="en-US"/>
        </w:rPr>
      </w:pPr>
      <w:r w:rsidRPr="007503F2">
        <w:rPr>
          <w:b/>
          <w:szCs w:val="24"/>
          <w:lang w:eastAsia="en-US"/>
        </w:rPr>
        <w:t>MBS Policy and Specialist Services Branch</w:t>
      </w:r>
    </w:p>
    <w:p w14:paraId="74507007" w14:textId="77777777" w:rsidR="007503F2" w:rsidRPr="007503F2" w:rsidRDefault="007503F2" w:rsidP="007503F2">
      <w:pPr>
        <w:tabs>
          <w:tab w:val="left" w:pos="540"/>
          <w:tab w:val="left" w:pos="3240"/>
        </w:tabs>
        <w:autoSpaceDE w:val="0"/>
        <w:autoSpaceDN w:val="0"/>
        <w:spacing w:line="240" w:lineRule="atLeast"/>
        <w:ind w:right="397"/>
        <w:jc w:val="center"/>
        <w:rPr>
          <w:b/>
          <w:szCs w:val="24"/>
          <w:lang w:eastAsia="en-US"/>
        </w:rPr>
      </w:pPr>
      <w:r w:rsidRPr="007503F2">
        <w:rPr>
          <w:b/>
          <w:szCs w:val="24"/>
          <w:lang w:eastAsia="en-US"/>
        </w:rPr>
        <w:t>Medical Benefits Division</w:t>
      </w:r>
    </w:p>
    <w:p w14:paraId="4A540399" w14:textId="77777777" w:rsidR="007503F2" w:rsidRPr="007503F2" w:rsidRDefault="007503F2" w:rsidP="007503F2">
      <w:pPr>
        <w:tabs>
          <w:tab w:val="left" w:pos="540"/>
          <w:tab w:val="left" w:pos="3240"/>
        </w:tabs>
        <w:autoSpaceDE w:val="0"/>
        <w:autoSpaceDN w:val="0"/>
        <w:spacing w:line="240" w:lineRule="atLeast"/>
        <w:ind w:right="397"/>
        <w:jc w:val="center"/>
        <w:rPr>
          <w:b/>
          <w:szCs w:val="24"/>
          <w:lang w:eastAsia="en-US"/>
        </w:rPr>
      </w:pPr>
      <w:bookmarkStart w:id="0" w:name="_GoBack"/>
      <w:bookmarkEnd w:id="0"/>
      <w:r w:rsidRPr="007503F2">
        <w:rPr>
          <w:b/>
          <w:szCs w:val="24"/>
          <w:lang w:eastAsia="en-US"/>
        </w:rPr>
        <w:t>Department of Health</w:t>
      </w:r>
    </w:p>
    <w:p w14:paraId="2412D16E" w14:textId="77777777" w:rsidR="00636C51" w:rsidRPr="0020245D" w:rsidRDefault="00636C51" w:rsidP="009A26CA">
      <w:pPr>
        <w:spacing w:before="120" w:after="120" w:line="276" w:lineRule="auto"/>
        <w:rPr>
          <w:rFonts w:eastAsia="Calibri"/>
          <w:szCs w:val="24"/>
          <w:lang w:eastAsia="en-US"/>
        </w:rPr>
      </w:pPr>
    </w:p>
    <w:sectPr w:rsidR="00636C51" w:rsidRPr="0020245D" w:rsidSect="00D664A9">
      <w:headerReference w:type="even" r:id="rId13"/>
      <w:headerReference w:type="default" r:id="rId14"/>
      <w:headerReference w:type="first" r:id="rId15"/>
      <w:pgSz w:w="11906" w:h="16838"/>
      <w:pgMar w:top="1440"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176" w14:textId="77777777" w:rsidR="00A1739A" w:rsidRDefault="00A1739A" w:rsidP="00BD6F5F">
    <w:pPr>
      <w:pStyle w:val="Header"/>
      <w:jc w:val="center"/>
    </w:pPr>
    <w:r>
      <w:fldChar w:fldCharType="begin"/>
    </w:r>
    <w:r>
      <w:instrText xml:space="preserve"> PAGE  \* Arabic  \* MERGEFORMAT </w:instrText>
    </w:r>
    <w:r>
      <w:fldChar w:fldCharType="separate"/>
    </w:r>
    <w:r w:rsidR="002460A5">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14:paraId="2412D17A" w14:textId="77777777" w:rsidR="00E23B6B" w:rsidRDefault="00E23B6B">
        <w:pPr>
          <w:pStyle w:val="Header"/>
          <w:jc w:val="center"/>
        </w:pPr>
        <w:r>
          <w:fldChar w:fldCharType="begin"/>
        </w:r>
        <w:r>
          <w:instrText xml:space="preserve"> PAGE   \* MERGEFORMAT </w:instrText>
        </w:r>
        <w:r>
          <w:fldChar w:fldCharType="separate"/>
        </w:r>
        <w:r w:rsidR="002460A5">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89212"/>
      <w:docPartObj>
        <w:docPartGallery w:val="Page Numbers (Top of Page)"/>
        <w:docPartUnique/>
      </w:docPartObj>
    </w:sdtPr>
    <w:sdtEndPr>
      <w:rPr>
        <w:noProof/>
      </w:rPr>
    </w:sdtEndPr>
    <w:sdtContent>
      <w:p w14:paraId="2412D17C" w14:textId="77777777" w:rsidR="00E23B6B" w:rsidRDefault="00E23B6B">
        <w:pPr>
          <w:pStyle w:val="Header"/>
          <w:jc w:val="center"/>
        </w:pPr>
        <w:r>
          <w:fldChar w:fldCharType="begin"/>
        </w:r>
        <w:r>
          <w:instrText xml:space="preserve"> PAGE   \* MERGEFORMAT </w:instrText>
        </w:r>
        <w:r>
          <w:fldChar w:fldCharType="separate"/>
        </w:r>
        <w:r w:rsidR="002460A5">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5410CCB"/>
    <w:multiLevelType w:val="hybridMultilevel"/>
    <w:tmpl w:val="10026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0E3A67"/>
    <w:multiLevelType w:val="hybridMultilevel"/>
    <w:tmpl w:val="641A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7">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3">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7C34FD2"/>
    <w:multiLevelType w:val="hybridMultilevel"/>
    <w:tmpl w:val="DE1EA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
  </w:num>
  <w:num w:numId="4">
    <w:abstractNumId w:val="12"/>
  </w:num>
  <w:num w:numId="5">
    <w:abstractNumId w:val="15"/>
  </w:num>
  <w:num w:numId="6">
    <w:abstractNumId w:val="10"/>
  </w:num>
  <w:num w:numId="7">
    <w:abstractNumId w:val="24"/>
  </w:num>
  <w:num w:numId="8">
    <w:abstractNumId w:val="6"/>
  </w:num>
  <w:num w:numId="9">
    <w:abstractNumId w:val="5"/>
  </w:num>
  <w:num w:numId="10">
    <w:abstractNumId w:val="26"/>
  </w:num>
  <w:num w:numId="11">
    <w:abstractNumId w:val="23"/>
  </w:num>
  <w:num w:numId="12">
    <w:abstractNumId w:val="13"/>
  </w:num>
  <w:num w:numId="13">
    <w:abstractNumId w:val="14"/>
  </w:num>
  <w:num w:numId="14">
    <w:abstractNumId w:val="22"/>
  </w:num>
  <w:num w:numId="15">
    <w:abstractNumId w:val="7"/>
  </w:num>
  <w:num w:numId="16">
    <w:abstractNumId w:val="17"/>
  </w:num>
  <w:num w:numId="17">
    <w:abstractNumId w:val="20"/>
  </w:num>
  <w:num w:numId="18">
    <w:abstractNumId w:val="18"/>
  </w:num>
  <w:num w:numId="19">
    <w:abstractNumId w:val="4"/>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9"/>
  </w:num>
  <w:num w:numId="25">
    <w:abstractNumId w:val="9"/>
  </w:num>
  <w:num w:numId="26">
    <w:abstractNumId w:val="3"/>
  </w:num>
  <w:num w:numId="27">
    <w:abstractNumId w:val="8"/>
  </w:num>
  <w:num w:numId="2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CCE"/>
    <w:rsid w:val="00003D66"/>
    <w:rsid w:val="0000441D"/>
    <w:rsid w:val="00004E17"/>
    <w:rsid w:val="00005906"/>
    <w:rsid w:val="00007B65"/>
    <w:rsid w:val="00014639"/>
    <w:rsid w:val="000149C7"/>
    <w:rsid w:val="00014B38"/>
    <w:rsid w:val="00014E40"/>
    <w:rsid w:val="00016774"/>
    <w:rsid w:val="000203B4"/>
    <w:rsid w:val="00021EFA"/>
    <w:rsid w:val="00024158"/>
    <w:rsid w:val="00025F64"/>
    <w:rsid w:val="0002704E"/>
    <w:rsid w:val="0002728B"/>
    <w:rsid w:val="00027830"/>
    <w:rsid w:val="000319EF"/>
    <w:rsid w:val="00033034"/>
    <w:rsid w:val="000337CB"/>
    <w:rsid w:val="0003453C"/>
    <w:rsid w:val="00034C9E"/>
    <w:rsid w:val="0003591F"/>
    <w:rsid w:val="00041849"/>
    <w:rsid w:val="0004426E"/>
    <w:rsid w:val="00044A2A"/>
    <w:rsid w:val="000509BA"/>
    <w:rsid w:val="0005224B"/>
    <w:rsid w:val="0005533C"/>
    <w:rsid w:val="000625E4"/>
    <w:rsid w:val="00063242"/>
    <w:rsid w:val="000640CF"/>
    <w:rsid w:val="00064BA4"/>
    <w:rsid w:val="00067F59"/>
    <w:rsid w:val="000710DD"/>
    <w:rsid w:val="0007187A"/>
    <w:rsid w:val="000727E0"/>
    <w:rsid w:val="00072DAB"/>
    <w:rsid w:val="00073983"/>
    <w:rsid w:val="00073BC9"/>
    <w:rsid w:val="00076C34"/>
    <w:rsid w:val="00076FE3"/>
    <w:rsid w:val="00080116"/>
    <w:rsid w:val="00081188"/>
    <w:rsid w:val="0008151A"/>
    <w:rsid w:val="00081C37"/>
    <w:rsid w:val="0009514A"/>
    <w:rsid w:val="000961C0"/>
    <w:rsid w:val="000969EF"/>
    <w:rsid w:val="000A199B"/>
    <w:rsid w:val="000A31F2"/>
    <w:rsid w:val="000A45BE"/>
    <w:rsid w:val="000A467F"/>
    <w:rsid w:val="000A6FB3"/>
    <w:rsid w:val="000A7B9B"/>
    <w:rsid w:val="000B2A3E"/>
    <w:rsid w:val="000B3299"/>
    <w:rsid w:val="000B3452"/>
    <w:rsid w:val="000B411C"/>
    <w:rsid w:val="000C1226"/>
    <w:rsid w:val="000C12EE"/>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1000CE"/>
    <w:rsid w:val="00104751"/>
    <w:rsid w:val="0010617D"/>
    <w:rsid w:val="00106763"/>
    <w:rsid w:val="00107F36"/>
    <w:rsid w:val="0011066E"/>
    <w:rsid w:val="00113B2E"/>
    <w:rsid w:val="00120766"/>
    <w:rsid w:val="00121189"/>
    <w:rsid w:val="00121A66"/>
    <w:rsid w:val="00121D47"/>
    <w:rsid w:val="00132087"/>
    <w:rsid w:val="00134B27"/>
    <w:rsid w:val="00135D0D"/>
    <w:rsid w:val="001400C4"/>
    <w:rsid w:val="00141323"/>
    <w:rsid w:val="00141E8C"/>
    <w:rsid w:val="00143943"/>
    <w:rsid w:val="00145918"/>
    <w:rsid w:val="00145D25"/>
    <w:rsid w:val="00145DED"/>
    <w:rsid w:val="001519E4"/>
    <w:rsid w:val="00154FC4"/>
    <w:rsid w:val="0015521F"/>
    <w:rsid w:val="001641C0"/>
    <w:rsid w:val="0016646C"/>
    <w:rsid w:val="00167DA1"/>
    <w:rsid w:val="0017187F"/>
    <w:rsid w:val="00174E96"/>
    <w:rsid w:val="001770D9"/>
    <w:rsid w:val="0017759F"/>
    <w:rsid w:val="0018012F"/>
    <w:rsid w:val="00180742"/>
    <w:rsid w:val="00181B3E"/>
    <w:rsid w:val="00181F74"/>
    <w:rsid w:val="00183C10"/>
    <w:rsid w:val="0018451D"/>
    <w:rsid w:val="001865F8"/>
    <w:rsid w:val="001867EA"/>
    <w:rsid w:val="00187EE5"/>
    <w:rsid w:val="00190FC9"/>
    <w:rsid w:val="0019289B"/>
    <w:rsid w:val="001929C3"/>
    <w:rsid w:val="0019464A"/>
    <w:rsid w:val="00195A6A"/>
    <w:rsid w:val="001965DA"/>
    <w:rsid w:val="0019711F"/>
    <w:rsid w:val="001978CE"/>
    <w:rsid w:val="001A4BE2"/>
    <w:rsid w:val="001A5BC0"/>
    <w:rsid w:val="001A7249"/>
    <w:rsid w:val="001A7EF8"/>
    <w:rsid w:val="001B0111"/>
    <w:rsid w:val="001B3714"/>
    <w:rsid w:val="001B5ED9"/>
    <w:rsid w:val="001B66AF"/>
    <w:rsid w:val="001B7092"/>
    <w:rsid w:val="001C1B86"/>
    <w:rsid w:val="001C35BC"/>
    <w:rsid w:val="001C5FC1"/>
    <w:rsid w:val="001C6713"/>
    <w:rsid w:val="001D6B46"/>
    <w:rsid w:val="001D778A"/>
    <w:rsid w:val="001D7D62"/>
    <w:rsid w:val="001E014D"/>
    <w:rsid w:val="001E2D6D"/>
    <w:rsid w:val="001E3B02"/>
    <w:rsid w:val="001E5391"/>
    <w:rsid w:val="001E5787"/>
    <w:rsid w:val="001E57BC"/>
    <w:rsid w:val="001E5DE7"/>
    <w:rsid w:val="001E63F3"/>
    <w:rsid w:val="001E7C25"/>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6DF2"/>
    <w:rsid w:val="0024152E"/>
    <w:rsid w:val="00242974"/>
    <w:rsid w:val="00244D84"/>
    <w:rsid w:val="002460A5"/>
    <w:rsid w:val="00250061"/>
    <w:rsid w:val="00250642"/>
    <w:rsid w:val="00251E4A"/>
    <w:rsid w:val="00251F50"/>
    <w:rsid w:val="00253E30"/>
    <w:rsid w:val="0025493F"/>
    <w:rsid w:val="00257E4D"/>
    <w:rsid w:val="00261010"/>
    <w:rsid w:val="00262865"/>
    <w:rsid w:val="00263279"/>
    <w:rsid w:val="002643FC"/>
    <w:rsid w:val="00274073"/>
    <w:rsid w:val="002748F8"/>
    <w:rsid w:val="0027545F"/>
    <w:rsid w:val="0027610D"/>
    <w:rsid w:val="00281918"/>
    <w:rsid w:val="00283D05"/>
    <w:rsid w:val="00284483"/>
    <w:rsid w:val="00285256"/>
    <w:rsid w:val="002852B2"/>
    <w:rsid w:val="00287AEF"/>
    <w:rsid w:val="00287B08"/>
    <w:rsid w:val="00290B98"/>
    <w:rsid w:val="00293030"/>
    <w:rsid w:val="002944D4"/>
    <w:rsid w:val="00296763"/>
    <w:rsid w:val="0029737E"/>
    <w:rsid w:val="00297AD0"/>
    <w:rsid w:val="002A0CC8"/>
    <w:rsid w:val="002A3243"/>
    <w:rsid w:val="002A5CDF"/>
    <w:rsid w:val="002A68B3"/>
    <w:rsid w:val="002B2AC5"/>
    <w:rsid w:val="002B2E78"/>
    <w:rsid w:val="002B49DE"/>
    <w:rsid w:val="002B4E4D"/>
    <w:rsid w:val="002B4ED1"/>
    <w:rsid w:val="002B53D3"/>
    <w:rsid w:val="002B7177"/>
    <w:rsid w:val="002C4F5B"/>
    <w:rsid w:val="002C54A1"/>
    <w:rsid w:val="002C5DCD"/>
    <w:rsid w:val="002D03AB"/>
    <w:rsid w:val="002D2A4E"/>
    <w:rsid w:val="002D5294"/>
    <w:rsid w:val="002D5DFC"/>
    <w:rsid w:val="002D5E92"/>
    <w:rsid w:val="002D6269"/>
    <w:rsid w:val="002D629A"/>
    <w:rsid w:val="002E12C3"/>
    <w:rsid w:val="002E3493"/>
    <w:rsid w:val="002E35BF"/>
    <w:rsid w:val="002E5F5C"/>
    <w:rsid w:val="002E6FD5"/>
    <w:rsid w:val="002E7D88"/>
    <w:rsid w:val="002F0434"/>
    <w:rsid w:val="002F1707"/>
    <w:rsid w:val="002F2F33"/>
    <w:rsid w:val="002F3A26"/>
    <w:rsid w:val="002F449C"/>
    <w:rsid w:val="002F4CD2"/>
    <w:rsid w:val="002F6069"/>
    <w:rsid w:val="002F7549"/>
    <w:rsid w:val="00301D49"/>
    <w:rsid w:val="003025C7"/>
    <w:rsid w:val="00302F5C"/>
    <w:rsid w:val="00304080"/>
    <w:rsid w:val="0031124D"/>
    <w:rsid w:val="00312ED1"/>
    <w:rsid w:val="00313554"/>
    <w:rsid w:val="00317B55"/>
    <w:rsid w:val="0032155B"/>
    <w:rsid w:val="003239D0"/>
    <w:rsid w:val="00324908"/>
    <w:rsid w:val="0033493D"/>
    <w:rsid w:val="00335F82"/>
    <w:rsid w:val="00337DE1"/>
    <w:rsid w:val="00340BDB"/>
    <w:rsid w:val="00340E39"/>
    <w:rsid w:val="00341145"/>
    <w:rsid w:val="003412CB"/>
    <w:rsid w:val="0035214B"/>
    <w:rsid w:val="003527D6"/>
    <w:rsid w:val="00353351"/>
    <w:rsid w:val="00353622"/>
    <w:rsid w:val="00353B1B"/>
    <w:rsid w:val="00357CD8"/>
    <w:rsid w:val="0036105C"/>
    <w:rsid w:val="00361ADE"/>
    <w:rsid w:val="00363306"/>
    <w:rsid w:val="0036495A"/>
    <w:rsid w:val="00366C2C"/>
    <w:rsid w:val="00367440"/>
    <w:rsid w:val="00370BE6"/>
    <w:rsid w:val="00371F67"/>
    <w:rsid w:val="00375E39"/>
    <w:rsid w:val="003760ED"/>
    <w:rsid w:val="003775D7"/>
    <w:rsid w:val="00380CBA"/>
    <w:rsid w:val="00381278"/>
    <w:rsid w:val="0038127E"/>
    <w:rsid w:val="00384080"/>
    <w:rsid w:val="00386C22"/>
    <w:rsid w:val="003876E6"/>
    <w:rsid w:val="00391AFA"/>
    <w:rsid w:val="003937EF"/>
    <w:rsid w:val="00393E9B"/>
    <w:rsid w:val="00396AE5"/>
    <w:rsid w:val="00397A97"/>
    <w:rsid w:val="003A280D"/>
    <w:rsid w:val="003A5A70"/>
    <w:rsid w:val="003A6230"/>
    <w:rsid w:val="003A6299"/>
    <w:rsid w:val="003B197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57F6"/>
    <w:rsid w:val="003E77CB"/>
    <w:rsid w:val="003F0999"/>
    <w:rsid w:val="003F47FD"/>
    <w:rsid w:val="003F4B52"/>
    <w:rsid w:val="003F73BA"/>
    <w:rsid w:val="003F73F0"/>
    <w:rsid w:val="00401423"/>
    <w:rsid w:val="00403105"/>
    <w:rsid w:val="00404F11"/>
    <w:rsid w:val="00405890"/>
    <w:rsid w:val="00405EF4"/>
    <w:rsid w:val="00411365"/>
    <w:rsid w:val="0041237F"/>
    <w:rsid w:val="00412B6C"/>
    <w:rsid w:val="00414613"/>
    <w:rsid w:val="00415B19"/>
    <w:rsid w:val="0041767B"/>
    <w:rsid w:val="00420205"/>
    <w:rsid w:val="00421D5F"/>
    <w:rsid w:val="00422831"/>
    <w:rsid w:val="00424197"/>
    <w:rsid w:val="00425F40"/>
    <w:rsid w:val="004265AA"/>
    <w:rsid w:val="00426A8D"/>
    <w:rsid w:val="00430861"/>
    <w:rsid w:val="00432D4D"/>
    <w:rsid w:val="00433DCE"/>
    <w:rsid w:val="00437B1B"/>
    <w:rsid w:val="004405B8"/>
    <w:rsid w:val="004417A2"/>
    <w:rsid w:val="00442F9D"/>
    <w:rsid w:val="00444EDF"/>
    <w:rsid w:val="004456A4"/>
    <w:rsid w:val="00445A6D"/>
    <w:rsid w:val="00446A6B"/>
    <w:rsid w:val="00447E92"/>
    <w:rsid w:val="0045189C"/>
    <w:rsid w:val="004636B4"/>
    <w:rsid w:val="004641DC"/>
    <w:rsid w:val="00464AC7"/>
    <w:rsid w:val="004669A4"/>
    <w:rsid w:val="00466A5B"/>
    <w:rsid w:val="0046799A"/>
    <w:rsid w:val="0047494B"/>
    <w:rsid w:val="00475A85"/>
    <w:rsid w:val="00476F13"/>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A6EAE"/>
    <w:rsid w:val="004B1ECE"/>
    <w:rsid w:val="004B38C8"/>
    <w:rsid w:val="004B5C2E"/>
    <w:rsid w:val="004B7CB9"/>
    <w:rsid w:val="004C10BA"/>
    <w:rsid w:val="004C27EB"/>
    <w:rsid w:val="004C3532"/>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7682"/>
    <w:rsid w:val="005012BC"/>
    <w:rsid w:val="00502156"/>
    <w:rsid w:val="00502277"/>
    <w:rsid w:val="005042B5"/>
    <w:rsid w:val="00505C67"/>
    <w:rsid w:val="00510A4F"/>
    <w:rsid w:val="005119E9"/>
    <w:rsid w:val="00512A65"/>
    <w:rsid w:val="005130BE"/>
    <w:rsid w:val="005140F2"/>
    <w:rsid w:val="0051709B"/>
    <w:rsid w:val="0052165A"/>
    <w:rsid w:val="00521802"/>
    <w:rsid w:val="0052430B"/>
    <w:rsid w:val="00525D51"/>
    <w:rsid w:val="00532CD3"/>
    <w:rsid w:val="005345A9"/>
    <w:rsid w:val="00534D8A"/>
    <w:rsid w:val="0054004F"/>
    <w:rsid w:val="00542913"/>
    <w:rsid w:val="005440E4"/>
    <w:rsid w:val="005452CD"/>
    <w:rsid w:val="00546DB4"/>
    <w:rsid w:val="005474A5"/>
    <w:rsid w:val="00547D82"/>
    <w:rsid w:val="005504B4"/>
    <w:rsid w:val="00550DAB"/>
    <w:rsid w:val="00552105"/>
    <w:rsid w:val="0055354D"/>
    <w:rsid w:val="00554543"/>
    <w:rsid w:val="005555B8"/>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1B2B"/>
    <w:rsid w:val="005A3D73"/>
    <w:rsid w:val="005A3D8D"/>
    <w:rsid w:val="005A445D"/>
    <w:rsid w:val="005B0BE3"/>
    <w:rsid w:val="005B0EA3"/>
    <w:rsid w:val="005B1B0A"/>
    <w:rsid w:val="005B5062"/>
    <w:rsid w:val="005B6234"/>
    <w:rsid w:val="005B7596"/>
    <w:rsid w:val="005C4A91"/>
    <w:rsid w:val="005C5824"/>
    <w:rsid w:val="005C6118"/>
    <w:rsid w:val="005D3523"/>
    <w:rsid w:val="005D3575"/>
    <w:rsid w:val="005D3CED"/>
    <w:rsid w:val="005D538F"/>
    <w:rsid w:val="005D63D9"/>
    <w:rsid w:val="005D68D1"/>
    <w:rsid w:val="005E293A"/>
    <w:rsid w:val="005E49E7"/>
    <w:rsid w:val="005E56FE"/>
    <w:rsid w:val="005E62D6"/>
    <w:rsid w:val="005E6A82"/>
    <w:rsid w:val="005E7398"/>
    <w:rsid w:val="005F04DC"/>
    <w:rsid w:val="005F0F6C"/>
    <w:rsid w:val="005F1A7F"/>
    <w:rsid w:val="005F4981"/>
    <w:rsid w:val="00601165"/>
    <w:rsid w:val="006072B0"/>
    <w:rsid w:val="00607971"/>
    <w:rsid w:val="00611A4E"/>
    <w:rsid w:val="006122C0"/>
    <w:rsid w:val="0061281D"/>
    <w:rsid w:val="00613C46"/>
    <w:rsid w:val="00614AAD"/>
    <w:rsid w:val="00616889"/>
    <w:rsid w:val="00617F77"/>
    <w:rsid w:val="00623004"/>
    <w:rsid w:val="00627C91"/>
    <w:rsid w:val="00635031"/>
    <w:rsid w:val="0063522D"/>
    <w:rsid w:val="006369D4"/>
    <w:rsid w:val="00636C51"/>
    <w:rsid w:val="006407FA"/>
    <w:rsid w:val="006427B2"/>
    <w:rsid w:val="00642BEB"/>
    <w:rsid w:val="00647426"/>
    <w:rsid w:val="00647590"/>
    <w:rsid w:val="006526F5"/>
    <w:rsid w:val="00657702"/>
    <w:rsid w:val="006619F5"/>
    <w:rsid w:val="006629F9"/>
    <w:rsid w:val="006639F0"/>
    <w:rsid w:val="0066562D"/>
    <w:rsid w:val="00670998"/>
    <w:rsid w:val="00672050"/>
    <w:rsid w:val="00672AAB"/>
    <w:rsid w:val="00673872"/>
    <w:rsid w:val="00674A34"/>
    <w:rsid w:val="00685515"/>
    <w:rsid w:val="0068642A"/>
    <w:rsid w:val="00692404"/>
    <w:rsid w:val="00694C76"/>
    <w:rsid w:val="00694F4A"/>
    <w:rsid w:val="006A029B"/>
    <w:rsid w:val="006A15BE"/>
    <w:rsid w:val="006A17A1"/>
    <w:rsid w:val="006A61C5"/>
    <w:rsid w:val="006B0F31"/>
    <w:rsid w:val="006B13BC"/>
    <w:rsid w:val="006B32FE"/>
    <w:rsid w:val="006B3959"/>
    <w:rsid w:val="006B4B58"/>
    <w:rsid w:val="006B6925"/>
    <w:rsid w:val="006C026A"/>
    <w:rsid w:val="006C138D"/>
    <w:rsid w:val="006C3807"/>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17DBC"/>
    <w:rsid w:val="007202C4"/>
    <w:rsid w:val="0072331C"/>
    <w:rsid w:val="00726CFA"/>
    <w:rsid w:val="0072758A"/>
    <w:rsid w:val="007304D5"/>
    <w:rsid w:val="00730965"/>
    <w:rsid w:val="00733599"/>
    <w:rsid w:val="00735753"/>
    <w:rsid w:val="00735CCC"/>
    <w:rsid w:val="007368DC"/>
    <w:rsid w:val="00736AC9"/>
    <w:rsid w:val="00741A4E"/>
    <w:rsid w:val="00742413"/>
    <w:rsid w:val="00742E97"/>
    <w:rsid w:val="007452E0"/>
    <w:rsid w:val="00745BD4"/>
    <w:rsid w:val="00750378"/>
    <w:rsid w:val="007503F2"/>
    <w:rsid w:val="007505FB"/>
    <w:rsid w:val="007524B0"/>
    <w:rsid w:val="00752997"/>
    <w:rsid w:val="007533EC"/>
    <w:rsid w:val="00755B3B"/>
    <w:rsid w:val="00757618"/>
    <w:rsid w:val="00762606"/>
    <w:rsid w:val="00762B45"/>
    <w:rsid w:val="0076544A"/>
    <w:rsid w:val="00767402"/>
    <w:rsid w:val="0077044D"/>
    <w:rsid w:val="00770E61"/>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B7975"/>
    <w:rsid w:val="007C20FA"/>
    <w:rsid w:val="007C27D3"/>
    <w:rsid w:val="007C2C95"/>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7F7EBE"/>
    <w:rsid w:val="0080144C"/>
    <w:rsid w:val="00802258"/>
    <w:rsid w:val="00804A98"/>
    <w:rsid w:val="00805C3A"/>
    <w:rsid w:val="008061B8"/>
    <w:rsid w:val="008129B1"/>
    <w:rsid w:val="00817A12"/>
    <w:rsid w:val="00821660"/>
    <w:rsid w:val="008237F5"/>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489F"/>
    <w:rsid w:val="00845708"/>
    <w:rsid w:val="00846239"/>
    <w:rsid w:val="00846484"/>
    <w:rsid w:val="008478EE"/>
    <w:rsid w:val="00852FB1"/>
    <w:rsid w:val="0085475F"/>
    <w:rsid w:val="00855C39"/>
    <w:rsid w:val="00856225"/>
    <w:rsid w:val="0085681C"/>
    <w:rsid w:val="008604B1"/>
    <w:rsid w:val="008609B1"/>
    <w:rsid w:val="008645C4"/>
    <w:rsid w:val="00867610"/>
    <w:rsid w:val="00867884"/>
    <w:rsid w:val="008734F5"/>
    <w:rsid w:val="00875104"/>
    <w:rsid w:val="008774D2"/>
    <w:rsid w:val="00880E40"/>
    <w:rsid w:val="00883771"/>
    <w:rsid w:val="00883C9D"/>
    <w:rsid w:val="00883EFE"/>
    <w:rsid w:val="008869CA"/>
    <w:rsid w:val="008905BA"/>
    <w:rsid w:val="00892B45"/>
    <w:rsid w:val="00893694"/>
    <w:rsid w:val="0089513F"/>
    <w:rsid w:val="00895699"/>
    <w:rsid w:val="008A153F"/>
    <w:rsid w:val="008A54A9"/>
    <w:rsid w:val="008A6188"/>
    <w:rsid w:val="008A6B20"/>
    <w:rsid w:val="008A79C6"/>
    <w:rsid w:val="008B28F2"/>
    <w:rsid w:val="008B444F"/>
    <w:rsid w:val="008B683E"/>
    <w:rsid w:val="008C0EF7"/>
    <w:rsid w:val="008C11A2"/>
    <w:rsid w:val="008C20F7"/>
    <w:rsid w:val="008C5F1C"/>
    <w:rsid w:val="008D06D8"/>
    <w:rsid w:val="008D1B01"/>
    <w:rsid w:val="008D25D7"/>
    <w:rsid w:val="008D2A83"/>
    <w:rsid w:val="008D2D7B"/>
    <w:rsid w:val="008D2D98"/>
    <w:rsid w:val="008D44EB"/>
    <w:rsid w:val="008E3E1A"/>
    <w:rsid w:val="008E4039"/>
    <w:rsid w:val="008F0D28"/>
    <w:rsid w:val="008F1AA9"/>
    <w:rsid w:val="008F7C5B"/>
    <w:rsid w:val="009049C0"/>
    <w:rsid w:val="00906257"/>
    <w:rsid w:val="009069D6"/>
    <w:rsid w:val="00910EF6"/>
    <w:rsid w:val="00912380"/>
    <w:rsid w:val="009124F6"/>
    <w:rsid w:val="00912BC1"/>
    <w:rsid w:val="00913B67"/>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62263"/>
    <w:rsid w:val="009648F3"/>
    <w:rsid w:val="00964D68"/>
    <w:rsid w:val="00965025"/>
    <w:rsid w:val="009654C8"/>
    <w:rsid w:val="00967E51"/>
    <w:rsid w:val="00971039"/>
    <w:rsid w:val="00971B7B"/>
    <w:rsid w:val="00971D3B"/>
    <w:rsid w:val="00972D48"/>
    <w:rsid w:val="00975E68"/>
    <w:rsid w:val="00977A95"/>
    <w:rsid w:val="00982585"/>
    <w:rsid w:val="00985DC9"/>
    <w:rsid w:val="00985FA9"/>
    <w:rsid w:val="00987A99"/>
    <w:rsid w:val="009902F7"/>
    <w:rsid w:val="0099448D"/>
    <w:rsid w:val="00995A06"/>
    <w:rsid w:val="009A222A"/>
    <w:rsid w:val="009A26CA"/>
    <w:rsid w:val="009A6FE7"/>
    <w:rsid w:val="009B1FD2"/>
    <w:rsid w:val="009B2D35"/>
    <w:rsid w:val="009B3AEB"/>
    <w:rsid w:val="009B7AE2"/>
    <w:rsid w:val="009C3EB5"/>
    <w:rsid w:val="009C42BD"/>
    <w:rsid w:val="009C444B"/>
    <w:rsid w:val="009D3773"/>
    <w:rsid w:val="009D499D"/>
    <w:rsid w:val="009D4F96"/>
    <w:rsid w:val="009D72AA"/>
    <w:rsid w:val="009D7484"/>
    <w:rsid w:val="009E2AEA"/>
    <w:rsid w:val="009E3183"/>
    <w:rsid w:val="009E36E1"/>
    <w:rsid w:val="009E3783"/>
    <w:rsid w:val="009E3EA3"/>
    <w:rsid w:val="009E3ED4"/>
    <w:rsid w:val="009F0715"/>
    <w:rsid w:val="009F1615"/>
    <w:rsid w:val="009F45FE"/>
    <w:rsid w:val="009F6717"/>
    <w:rsid w:val="00A001CF"/>
    <w:rsid w:val="00A01F6A"/>
    <w:rsid w:val="00A0321B"/>
    <w:rsid w:val="00A045CA"/>
    <w:rsid w:val="00A04DC3"/>
    <w:rsid w:val="00A0597B"/>
    <w:rsid w:val="00A05DAD"/>
    <w:rsid w:val="00A06FB4"/>
    <w:rsid w:val="00A14878"/>
    <w:rsid w:val="00A155F1"/>
    <w:rsid w:val="00A1707B"/>
    <w:rsid w:val="00A1739A"/>
    <w:rsid w:val="00A17694"/>
    <w:rsid w:val="00A17F2C"/>
    <w:rsid w:val="00A232B9"/>
    <w:rsid w:val="00A33893"/>
    <w:rsid w:val="00A34C9A"/>
    <w:rsid w:val="00A34D89"/>
    <w:rsid w:val="00A41364"/>
    <w:rsid w:val="00A41F72"/>
    <w:rsid w:val="00A44157"/>
    <w:rsid w:val="00A44A25"/>
    <w:rsid w:val="00A47581"/>
    <w:rsid w:val="00A54891"/>
    <w:rsid w:val="00A54CA1"/>
    <w:rsid w:val="00A56516"/>
    <w:rsid w:val="00A62031"/>
    <w:rsid w:val="00A65D80"/>
    <w:rsid w:val="00A672A7"/>
    <w:rsid w:val="00A714DD"/>
    <w:rsid w:val="00A73044"/>
    <w:rsid w:val="00A7379C"/>
    <w:rsid w:val="00A73CF1"/>
    <w:rsid w:val="00A75C9A"/>
    <w:rsid w:val="00A835D4"/>
    <w:rsid w:val="00A853D1"/>
    <w:rsid w:val="00A85AA3"/>
    <w:rsid w:val="00A86302"/>
    <w:rsid w:val="00A90EE0"/>
    <w:rsid w:val="00A9123D"/>
    <w:rsid w:val="00A918D2"/>
    <w:rsid w:val="00A91DC0"/>
    <w:rsid w:val="00A91EEC"/>
    <w:rsid w:val="00A92534"/>
    <w:rsid w:val="00A927C4"/>
    <w:rsid w:val="00A92BCA"/>
    <w:rsid w:val="00A93B9E"/>
    <w:rsid w:val="00AA0908"/>
    <w:rsid w:val="00AA0F9E"/>
    <w:rsid w:val="00AA2734"/>
    <w:rsid w:val="00AA3015"/>
    <w:rsid w:val="00AA3E46"/>
    <w:rsid w:val="00AA4399"/>
    <w:rsid w:val="00AA4D97"/>
    <w:rsid w:val="00AA59AF"/>
    <w:rsid w:val="00AB05D5"/>
    <w:rsid w:val="00AB2611"/>
    <w:rsid w:val="00AB35DC"/>
    <w:rsid w:val="00AB419D"/>
    <w:rsid w:val="00AB4CC6"/>
    <w:rsid w:val="00AB52D0"/>
    <w:rsid w:val="00AC046B"/>
    <w:rsid w:val="00AC1E16"/>
    <w:rsid w:val="00AC1EDB"/>
    <w:rsid w:val="00AC3582"/>
    <w:rsid w:val="00AC3A0C"/>
    <w:rsid w:val="00AC3EEC"/>
    <w:rsid w:val="00AC50EE"/>
    <w:rsid w:val="00AC53C8"/>
    <w:rsid w:val="00AC54F8"/>
    <w:rsid w:val="00AC57A5"/>
    <w:rsid w:val="00AC681D"/>
    <w:rsid w:val="00AC6FF1"/>
    <w:rsid w:val="00AD0F67"/>
    <w:rsid w:val="00AD1A30"/>
    <w:rsid w:val="00AD7E8E"/>
    <w:rsid w:val="00AE0F81"/>
    <w:rsid w:val="00AE330D"/>
    <w:rsid w:val="00AF134A"/>
    <w:rsid w:val="00AF3563"/>
    <w:rsid w:val="00AF3BCE"/>
    <w:rsid w:val="00AF421C"/>
    <w:rsid w:val="00AF5C05"/>
    <w:rsid w:val="00AF7622"/>
    <w:rsid w:val="00B00238"/>
    <w:rsid w:val="00B019A9"/>
    <w:rsid w:val="00B03218"/>
    <w:rsid w:val="00B03273"/>
    <w:rsid w:val="00B039EC"/>
    <w:rsid w:val="00B07EFF"/>
    <w:rsid w:val="00B10984"/>
    <w:rsid w:val="00B110B5"/>
    <w:rsid w:val="00B14C3A"/>
    <w:rsid w:val="00B167A2"/>
    <w:rsid w:val="00B174E3"/>
    <w:rsid w:val="00B2772E"/>
    <w:rsid w:val="00B27A5B"/>
    <w:rsid w:val="00B31043"/>
    <w:rsid w:val="00B316E7"/>
    <w:rsid w:val="00B3398C"/>
    <w:rsid w:val="00B34BDE"/>
    <w:rsid w:val="00B34EF9"/>
    <w:rsid w:val="00B3578F"/>
    <w:rsid w:val="00B35DAD"/>
    <w:rsid w:val="00B36EB3"/>
    <w:rsid w:val="00B41AE8"/>
    <w:rsid w:val="00B445D0"/>
    <w:rsid w:val="00B45C4D"/>
    <w:rsid w:val="00B47DAD"/>
    <w:rsid w:val="00B53FF2"/>
    <w:rsid w:val="00B54620"/>
    <w:rsid w:val="00B55CDD"/>
    <w:rsid w:val="00B56E4F"/>
    <w:rsid w:val="00B62400"/>
    <w:rsid w:val="00B63345"/>
    <w:rsid w:val="00B63A7A"/>
    <w:rsid w:val="00B652B0"/>
    <w:rsid w:val="00B70D13"/>
    <w:rsid w:val="00B7119B"/>
    <w:rsid w:val="00B71CF1"/>
    <w:rsid w:val="00B72847"/>
    <w:rsid w:val="00B73A3D"/>
    <w:rsid w:val="00B74168"/>
    <w:rsid w:val="00B746F1"/>
    <w:rsid w:val="00B748AE"/>
    <w:rsid w:val="00B75DB2"/>
    <w:rsid w:val="00B7681E"/>
    <w:rsid w:val="00B81EB1"/>
    <w:rsid w:val="00B832A3"/>
    <w:rsid w:val="00B83AFF"/>
    <w:rsid w:val="00B84886"/>
    <w:rsid w:val="00B84958"/>
    <w:rsid w:val="00B86A9F"/>
    <w:rsid w:val="00B910E8"/>
    <w:rsid w:val="00B93137"/>
    <w:rsid w:val="00B9328C"/>
    <w:rsid w:val="00B94CD8"/>
    <w:rsid w:val="00B96F16"/>
    <w:rsid w:val="00B97A54"/>
    <w:rsid w:val="00BA0974"/>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0628"/>
    <w:rsid w:val="00BD304A"/>
    <w:rsid w:val="00BD7FD9"/>
    <w:rsid w:val="00BE1022"/>
    <w:rsid w:val="00BE226A"/>
    <w:rsid w:val="00BE283F"/>
    <w:rsid w:val="00BE2ECA"/>
    <w:rsid w:val="00BE2EFA"/>
    <w:rsid w:val="00BE3BD2"/>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2082B"/>
    <w:rsid w:val="00C20DBA"/>
    <w:rsid w:val="00C22C86"/>
    <w:rsid w:val="00C33771"/>
    <w:rsid w:val="00C3411B"/>
    <w:rsid w:val="00C34230"/>
    <w:rsid w:val="00C3661B"/>
    <w:rsid w:val="00C42112"/>
    <w:rsid w:val="00C435EB"/>
    <w:rsid w:val="00C45768"/>
    <w:rsid w:val="00C4692B"/>
    <w:rsid w:val="00C46A0C"/>
    <w:rsid w:val="00C46DFD"/>
    <w:rsid w:val="00C473F7"/>
    <w:rsid w:val="00C501E5"/>
    <w:rsid w:val="00C5100A"/>
    <w:rsid w:val="00C51884"/>
    <w:rsid w:val="00C549BC"/>
    <w:rsid w:val="00C56251"/>
    <w:rsid w:val="00C5667B"/>
    <w:rsid w:val="00C56A65"/>
    <w:rsid w:val="00C56FE0"/>
    <w:rsid w:val="00C6072B"/>
    <w:rsid w:val="00C6094D"/>
    <w:rsid w:val="00C62733"/>
    <w:rsid w:val="00C62FDC"/>
    <w:rsid w:val="00C63C3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073F"/>
    <w:rsid w:val="00CB2CB0"/>
    <w:rsid w:val="00CB4161"/>
    <w:rsid w:val="00CB43A2"/>
    <w:rsid w:val="00CB6DE1"/>
    <w:rsid w:val="00CB7730"/>
    <w:rsid w:val="00CC0405"/>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5CAA"/>
    <w:rsid w:val="00D06129"/>
    <w:rsid w:val="00D114E6"/>
    <w:rsid w:val="00D1198D"/>
    <w:rsid w:val="00D15F17"/>
    <w:rsid w:val="00D161BE"/>
    <w:rsid w:val="00D162D9"/>
    <w:rsid w:val="00D30F03"/>
    <w:rsid w:val="00D33180"/>
    <w:rsid w:val="00D34E5E"/>
    <w:rsid w:val="00D4044B"/>
    <w:rsid w:val="00D4046C"/>
    <w:rsid w:val="00D41D2D"/>
    <w:rsid w:val="00D42638"/>
    <w:rsid w:val="00D44316"/>
    <w:rsid w:val="00D448E6"/>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F51CA"/>
    <w:rsid w:val="00DF5581"/>
    <w:rsid w:val="00DF7501"/>
    <w:rsid w:val="00DF7936"/>
    <w:rsid w:val="00E04B6F"/>
    <w:rsid w:val="00E13833"/>
    <w:rsid w:val="00E17001"/>
    <w:rsid w:val="00E17406"/>
    <w:rsid w:val="00E20AE5"/>
    <w:rsid w:val="00E20F00"/>
    <w:rsid w:val="00E21297"/>
    <w:rsid w:val="00E23A38"/>
    <w:rsid w:val="00E23B6B"/>
    <w:rsid w:val="00E265A0"/>
    <w:rsid w:val="00E266DE"/>
    <w:rsid w:val="00E311F5"/>
    <w:rsid w:val="00E33C6E"/>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377F"/>
    <w:rsid w:val="00E74710"/>
    <w:rsid w:val="00E74C1D"/>
    <w:rsid w:val="00E81B2F"/>
    <w:rsid w:val="00E844ED"/>
    <w:rsid w:val="00E85810"/>
    <w:rsid w:val="00E85B0A"/>
    <w:rsid w:val="00E90558"/>
    <w:rsid w:val="00E909CD"/>
    <w:rsid w:val="00E92248"/>
    <w:rsid w:val="00E92BD1"/>
    <w:rsid w:val="00E935A1"/>
    <w:rsid w:val="00E93FB6"/>
    <w:rsid w:val="00EA1715"/>
    <w:rsid w:val="00EA31FD"/>
    <w:rsid w:val="00EA4349"/>
    <w:rsid w:val="00EA4EE4"/>
    <w:rsid w:val="00EA5A32"/>
    <w:rsid w:val="00EB2F51"/>
    <w:rsid w:val="00EB3BF0"/>
    <w:rsid w:val="00EB601D"/>
    <w:rsid w:val="00EB6CCD"/>
    <w:rsid w:val="00EC0258"/>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AB8"/>
    <w:rsid w:val="00EF7C6E"/>
    <w:rsid w:val="00F012F4"/>
    <w:rsid w:val="00F01632"/>
    <w:rsid w:val="00F05146"/>
    <w:rsid w:val="00F0546E"/>
    <w:rsid w:val="00F05E2D"/>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3ACB"/>
    <w:rsid w:val="00F93C4F"/>
    <w:rsid w:val="00F95994"/>
    <w:rsid w:val="00FA240B"/>
    <w:rsid w:val="00FA2524"/>
    <w:rsid w:val="00FA49C5"/>
    <w:rsid w:val="00FA5BD2"/>
    <w:rsid w:val="00FA6175"/>
    <w:rsid w:val="00FA6784"/>
    <w:rsid w:val="00FA7E00"/>
    <w:rsid w:val="00FB1780"/>
    <w:rsid w:val="00FB35C6"/>
    <w:rsid w:val="00FB4C5A"/>
    <w:rsid w:val="00FB5BFA"/>
    <w:rsid w:val="00FB6F79"/>
    <w:rsid w:val="00FC10F6"/>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241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93101161">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757698">
      <w:bodyDiv w:val="1"/>
      <w:marLeft w:val="0"/>
      <w:marRight w:val="0"/>
      <w:marTop w:val="0"/>
      <w:marBottom w:val="0"/>
      <w:divBdr>
        <w:top w:val="none" w:sz="0" w:space="0" w:color="auto"/>
        <w:left w:val="none" w:sz="0" w:space="0" w:color="auto"/>
        <w:bottom w:val="none" w:sz="0" w:space="0" w:color="auto"/>
        <w:right w:val="none" w:sz="0" w:space="0" w:color="auto"/>
      </w:divBdr>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21BB8-B791-49CF-9093-A6B22DD9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Volgyesi Krystle</cp:lastModifiedBy>
  <cp:revision>52</cp:revision>
  <cp:lastPrinted>2018-02-02T03:19:00Z</cp:lastPrinted>
  <dcterms:created xsi:type="dcterms:W3CDTF">2018-10-12T03:05:00Z</dcterms:created>
  <dcterms:modified xsi:type="dcterms:W3CDTF">2018-10-18T02:31:00Z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