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73B8B" w14:textId="6E1421A4" w:rsidR="00C01112" w:rsidRPr="00054A46" w:rsidRDefault="00C01112" w:rsidP="00CB34CB">
      <w:pPr>
        <w:spacing w:line="288" w:lineRule="auto"/>
        <w:rPr>
          <w:rFonts w:ascii="Times New Roman" w:hAnsi="Times New Roman"/>
        </w:rPr>
      </w:pPr>
      <w:bookmarkStart w:id="0" w:name="_GoBack"/>
      <w:bookmarkEnd w:id="0"/>
    </w:p>
    <w:p w14:paraId="20286A65" w14:textId="5581262C" w:rsidR="00C01112" w:rsidRPr="00054A46" w:rsidRDefault="00054A46" w:rsidP="00CB34CB">
      <w:pPr>
        <w:shd w:val="clear" w:color="auto" w:fill="FFFFFF"/>
        <w:spacing w:before="63" w:after="100" w:afterAutospacing="1" w:line="288" w:lineRule="auto"/>
        <w:jc w:val="center"/>
        <w:rPr>
          <w:rFonts w:ascii="Times New Roman" w:hAnsi="Times New Roman"/>
          <w:sz w:val="19"/>
          <w:szCs w:val="19"/>
          <w:lang w:val="en-US" w:eastAsia="en-A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AU"/>
        </w:rPr>
        <w:t>Explanatory Statement</w:t>
      </w:r>
      <w:r w:rsidR="00C01112" w:rsidRPr="00054A4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en-AU"/>
        </w:rPr>
        <w:t xml:space="preserve"> for </w:t>
      </w:r>
      <w:r w:rsidR="00C01112" w:rsidRPr="00054A4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en-AU"/>
        </w:rPr>
        <w:br/>
      </w:r>
      <w:r w:rsidR="00C01112" w:rsidRPr="00054A46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lang w:eastAsia="en-AU"/>
        </w:rPr>
        <w:t>ASIC Corporations and Credit (Amendment) Instrument 2018</w:t>
      </w:r>
      <w:r w:rsidR="00C261A6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lang w:eastAsia="en-AU"/>
        </w:rPr>
        <w:t>/ 937</w:t>
      </w:r>
    </w:p>
    <w:p w14:paraId="498677A3" w14:textId="77777777" w:rsidR="00C01112" w:rsidRPr="00054A46" w:rsidRDefault="00C01112" w:rsidP="00CB34CB">
      <w:pPr>
        <w:shd w:val="clear" w:color="auto" w:fill="FFFFFF"/>
        <w:spacing w:before="100" w:beforeAutospacing="1" w:after="100" w:afterAutospacing="1" w:line="288" w:lineRule="auto"/>
        <w:jc w:val="center"/>
        <w:rPr>
          <w:rFonts w:ascii="Times New Roman" w:hAnsi="Times New Roman"/>
          <w:sz w:val="24"/>
          <w:szCs w:val="24"/>
          <w:lang w:val="en-US" w:eastAsia="en-AU"/>
        </w:rPr>
      </w:pPr>
      <w:r w:rsidRPr="00054A46">
        <w:rPr>
          <w:rFonts w:ascii="Times New Roman" w:hAnsi="Times New Roman"/>
          <w:sz w:val="24"/>
          <w:szCs w:val="24"/>
          <w:lang w:eastAsia="en-AU"/>
        </w:rPr>
        <w:t>Prepared by the Australian Securities and Investments Commission</w:t>
      </w:r>
    </w:p>
    <w:p w14:paraId="4522C771" w14:textId="77777777" w:rsidR="00C261A6" w:rsidRDefault="00C01112" w:rsidP="00C261A6">
      <w:pPr>
        <w:shd w:val="clear" w:color="auto" w:fill="FFFFFF"/>
        <w:spacing w:after="120" w:line="288" w:lineRule="auto"/>
        <w:jc w:val="center"/>
        <w:rPr>
          <w:rFonts w:ascii="Times New Roman" w:hAnsi="Times New Roman"/>
          <w:i/>
          <w:iCs/>
          <w:sz w:val="24"/>
          <w:szCs w:val="24"/>
          <w:lang w:eastAsia="en-AU"/>
        </w:rPr>
      </w:pPr>
      <w:r w:rsidRPr="00054A46">
        <w:rPr>
          <w:rFonts w:ascii="Times New Roman" w:hAnsi="Times New Roman"/>
          <w:i/>
          <w:iCs/>
          <w:sz w:val="24"/>
          <w:szCs w:val="24"/>
          <w:lang w:eastAsia="en-AU"/>
        </w:rPr>
        <w:t>Corporations Act 2001</w:t>
      </w:r>
    </w:p>
    <w:p w14:paraId="01263744" w14:textId="77777777" w:rsidR="00C261A6" w:rsidRDefault="003B541C" w:rsidP="00C261A6">
      <w:pPr>
        <w:shd w:val="clear" w:color="auto" w:fill="FFFFFF"/>
        <w:spacing w:after="120" w:line="288" w:lineRule="auto"/>
        <w:jc w:val="center"/>
        <w:rPr>
          <w:rFonts w:ascii="Times New Roman" w:hAnsi="Times New Roman"/>
          <w:i/>
          <w:iCs/>
          <w:sz w:val="24"/>
          <w:szCs w:val="24"/>
          <w:lang w:eastAsia="en-AU"/>
        </w:rPr>
      </w:pPr>
      <w:r>
        <w:rPr>
          <w:rFonts w:ascii="Times New Roman" w:hAnsi="Times New Roman"/>
          <w:i/>
          <w:iCs/>
          <w:sz w:val="24"/>
          <w:szCs w:val="24"/>
          <w:lang w:eastAsia="en-AU"/>
        </w:rPr>
        <w:t xml:space="preserve"> National Consumer Credit Protection Act 2</w:t>
      </w:r>
      <w:r w:rsidR="00C261A6">
        <w:rPr>
          <w:rFonts w:ascii="Times New Roman" w:hAnsi="Times New Roman"/>
          <w:i/>
          <w:iCs/>
          <w:sz w:val="24"/>
          <w:szCs w:val="24"/>
          <w:lang w:eastAsia="en-AU"/>
        </w:rPr>
        <w:t>009</w:t>
      </w:r>
    </w:p>
    <w:p w14:paraId="717D1311" w14:textId="77777777" w:rsidR="00C261A6" w:rsidRDefault="003B541C" w:rsidP="00C261A6">
      <w:pPr>
        <w:shd w:val="clear" w:color="auto" w:fill="FFFFFF"/>
        <w:spacing w:after="120" w:line="288" w:lineRule="auto"/>
        <w:jc w:val="center"/>
        <w:rPr>
          <w:rFonts w:ascii="Times New Roman" w:hAnsi="Times New Roman"/>
          <w:i/>
          <w:iCs/>
          <w:sz w:val="24"/>
          <w:szCs w:val="24"/>
          <w:lang w:eastAsia="en-AU"/>
        </w:rPr>
      </w:pPr>
      <w:r>
        <w:rPr>
          <w:rFonts w:ascii="Times New Roman" w:hAnsi="Times New Roman"/>
          <w:i/>
          <w:iCs/>
          <w:sz w:val="24"/>
          <w:szCs w:val="24"/>
          <w:lang w:eastAsia="en-AU"/>
        </w:rPr>
        <w:t>National Consumer Cred</w:t>
      </w:r>
      <w:r w:rsidR="00C261A6">
        <w:rPr>
          <w:rFonts w:ascii="Times New Roman" w:hAnsi="Times New Roman"/>
          <w:i/>
          <w:iCs/>
          <w:sz w:val="24"/>
          <w:szCs w:val="24"/>
          <w:lang w:eastAsia="en-AU"/>
        </w:rPr>
        <w:t>it Protection Regulations 2010</w:t>
      </w:r>
    </w:p>
    <w:p w14:paraId="46A884FA" w14:textId="7A46C3E6" w:rsidR="00C01112" w:rsidRDefault="003B541C" w:rsidP="00C261A6">
      <w:pPr>
        <w:shd w:val="clear" w:color="auto" w:fill="FFFFFF"/>
        <w:spacing w:after="120" w:line="288" w:lineRule="auto"/>
        <w:jc w:val="center"/>
        <w:rPr>
          <w:rFonts w:ascii="Times New Roman" w:hAnsi="Times New Roman"/>
          <w:i/>
          <w:iCs/>
          <w:sz w:val="24"/>
          <w:szCs w:val="24"/>
          <w:lang w:eastAsia="en-AU"/>
        </w:rPr>
      </w:pPr>
      <w:r>
        <w:rPr>
          <w:rFonts w:ascii="Times New Roman" w:hAnsi="Times New Roman"/>
          <w:i/>
          <w:iCs/>
          <w:sz w:val="24"/>
          <w:szCs w:val="24"/>
          <w:lang w:eastAsia="en-AU"/>
        </w:rPr>
        <w:t>National Consumer Credit Protection (Transitional and Consequential Provisions) Act 2009</w:t>
      </w:r>
    </w:p>
    <w:p w14:paraId="07D6362F" w14:textId="77777777" w:rsidR="00C261A6" w:rsidRPr="00054A46" w:rsidRDefault="00C261A6" w:rsidP="00C261A6">
      <w:pPr>
        <w:shd w:val="clear" w:color="auto" w:fill="FFFFFF"/>
        <w:spacing w:after="120" w:line="288" w:lineRule="auto"/>
        <w:jc w:val="center"/>
        <w:rPr>
          <w:rFonts w:ascii="Times New Roman" w:hAnsi="Times New Roman"/>
          <w:sz w:val="19"/>
          <w:szCs w:val="19"/>
          <w:lang w:val="en-US" w:eastAsia="en-AU"/>
        </w:rPr>
      </w:pPr>
    </w:p>
    <w:p w14:paraId="4A023FB7" w14:textId="5AB2BF60" w:rsidR="00C01112" w:rsidRPr="00054A46" w:rsidRDefault="00C01112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z w:val="24"/>
          <w:szCs w:val="24"/>
          <w:lang w:eastAsia="en-AU"/>
        </w:rPr>
        <w:t xml:space="preserve">The Australian Securities and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Investments</w:t>
      </w:r>
      <w:r w:rsidRPr="00054A46">
        <w:rPr>
          <w:rFonts w:ascii="Times New Roman" w:hAnsi="Times New Roman"/>
          <w:sz w:val="24"/>
          <w:szCs w:val="24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Commission</w:t>
      </w:r>
      <w:r w:rsidRPr="00054A46">
        <w:rPr>
          <w:rFonts w:ascii="Times New Roman" w:hAnsi="Times New Roman"/>
          <w:sz w:val="24"/>
          <w:szCs w:val="24"/>
          <w:lang w:eastAsia="en-AU"/>
        </w:rPr>
        <w:t xml:space="preserve"> (ASIC)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makes ASIC Corporations</w:t>
      </w:r>
      <w:r w:rsid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 and Credit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(Amendment) Instrument 2018</w:t>
      </w:r>
      <w:r w:rsidR="00C261A6">
        <w:rPr>
          <w:rFonts w:ascii="Times New Roman" w:hAnsi="Times New Roman"/>
          <w:spacing w:val="-1"/>
          <w:sz w:val="24"/>
          <w:szCs w:val="24"/>
          <w:lang w:eastAsia="en-AU"/>
        </w:rPr>
        <w:t>/937</w:t>
      </w:r>
      <w:r w:rsidR="00B66CE6" w:rsidRPr="00B66CE6">
        <w:rPr>
          <w:rFonts w:ascii="Times New Roman" w:hAnsi="Times New Roman"/>
          <w:spacing w:val="-1"/>
          <w:sz w:val="24"/>
          <w:szCs w:val="24"/>
          <w:shd w:val="clear" w:color="auto" w:fill="FFE599" w:themeFill="accent4" w:themeFillTint="66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(</w:t>
      </w:r>
      <w:r w:rsidRPr="00054A46">
        <w:rPr>
          <w:rFonts w:ascii="Times New Roman" w:hAnsi="Times New Roman"/>
          <w:bCs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). </w:t>
      </w:r>
    </w:p>
    <w:p w14:paraId="5353219A" w14:textId="4D82A81B" w:rsidR="00C01112" w:rsidRPr="00054A46" w:rsidRDefault="00C01112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This Instrument is made under </w:t>
      </w:r>
      <w:r w:rsidR="00DF4A81" w:rsidRPr="00054A46">
        <w:rPr>
          <w:rFonts w:ascii="Times New Roman" w:hAnsi="Times New Roman"/>
          <w:spacing w:val="-1"/>
          <w:sz w:val="24"/>
          <w:szCs w:val="24"/>
          <w:lang w:eastAsia="en-AU"/>
        </w:rPr>
        <w:t>subsection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="00B42C93" w:rsidRPr="00054A46">
        <w:rPr>
          <w:rFonts w:ascii="Times New Roman" w:hAnsi="Times New Roman"/>
          <w:spacing w:val="-1"/>
          <w:sz w:val="24"/>
          <w:szCs w:val="24"/>
          <w:lang w:eastAsia="en-AU"/>
        </w:rPr>
        <w:t>926A(2)</w:t>
      </w:r>
      <w:r w:rsidR="006E39B9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of the </w:t>
      </w: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Corporations Act 2001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(Corporations Act), for the purposes of subparagraph 47(1)(e)(i) of the </w:t>
      </w: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 xml:space="preserve">National Consumer Credit Protection Act 2009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(Credit Act) (as notionally inserted by regulation 25E and Schedule 2 to the </w:t>
      </w: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National Consumer Cre</w:t>
      </w:r>
      <w:r w:rsidR="00AB63A1"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dit Protection Regulations</w:t>
      </w:r>
      <w:r w:rsidR="00AB63A1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2010</w:t>
      </w:r>
      <w:r w:rsidR="003013BB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(Credit Regulations)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, subparagraph 47(1)(h)(i) </w:t>
      </w:r>
      <w:r w:rsidR="00B42C93" w:rsidRPr="00054A46">
        <w:rPr>
          <w:rFonts w:ascii="Times New Roman" w:hAnsi="Times New Roman"/>
          <w:spacing w:val="-1"/>
          <w:sz w:val="24"/>
          <w:szCs w:val="24"/>
          <w:lang w:eastAsia="en-AU"/>
        </w:rPr>
        <w:t>and paragraph 109(3)(a) of the</w:t>
      </w:r>
      <w:r w:rsidR="00AB63A1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Credit Act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and under item 41 of </w:t>
      </w: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Schedule 2 to the National Consumer Credit Protection (Transitional and Consequential Provisions) Act 2009</w:t>
      </w:r>
      <w:r w:rsidR="00550AD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(Transitional and Consequential Provisions Act)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4E36823A" w14:textId="651DF79E" w:rsidR="00403858" w:rsidRPr="00054A46" w:rsidRDefault="00403858" w:rsidP="00CB34CB">
      <w:pPr>
        <w:pStyle w:val="ListParagraph"/>
        <w:numPr>
          <w:ilvl w:val="0"/>
          <w:numId w:val="6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z w:val="24"/>
          <w:szCs w:val="24"/>
          <w:lang w:eastAsia="en-AU"/>
        </w:rPr>
        <w:t>Section 926A(2) of the Corporations Act provides that ASIC may exempt a class of persons from all or specified provisions of Part 7.6 of the Corporations Act, other than Divisions 4 and 8 of Part 7.6</w:t>
      </w:r>
      <w:r w:rsidR="00D061EB" w:rsidRPr="00054A46">
        <w:rPr>
          <w:rFonts w:ascii="Times New Roman" w:hAnsi="Times New Roman"/>
          <w:sz w:val="24"/>
          <w:szCs w:val="24"/>
          <w:lang w:eastAsia="en-AU"/>
        </w:rPr>
        <w:t>.</w:t>
      </w:r>
    </w:p>
    <w:p w14:paraId="79AC518E" w14:textId="04F38EFD" w:rsidR="003013BB" w:rsidRPr="00054A46" w:rsidRDefault="003013BB" w:rsidP="00CB34CB">
      <w:pPr>
        <w:pStyle w:val="ListParagraph"/>
        <w:numPr>
          <w:ilvl w:val="0"/>
          <w:numId w:val="6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Subparagraph 47(1)(e)(i) of </w:t>
      </w:r>
      <w:r w:rsidR="00B42C9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Credit Act (as notionally inserted by regulation 25E and Schedule 2 to the Credit Regulations) provides that </w:t>
      </w:r>
      <w:r w:rsidR="00BC2C97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an unlicensed carried over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="00BC2C97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lender must have an internal dispute resolution procedure that complies with standards and requirements made or approved by ASIC in accordance with section 48</w:t>
      </w:r>
      <w:r w:rsidR="00086C78">
        <w:rPr>
          <w:rFonts w:ascii="Times New Roman" w:hAnsi="Times New Roman"/>
          <w:spacing w:val="-1"/>
          <w:sz w:val="24"/>
          <w:szCs w:val="24"/>
          <w:lang w:eastAsia="en-AU"/>
        </w:rPr>
        <w:t xml:space="preserve"> of the Credit Act</w:t>
      </w:r>
      <w:r w:rsidR="00BC2C97"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721D13FB" w14:textId="38D777C1" w:rsidR="00B42C93" w:rsidRPr="00054A46" w:rsidRDefault="00B42C93" w:rsidP="00CB34CB">
      <w:pPr>
        <w:pStyle w:val="ListParagraph"/>
        <w:numPr>
          <w:ilvl w:val="0"/>
          <w:numId w:val="6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lastRenderedPageBreak/>
        <w:t>Paragraph 109(3)(a) of the Credit Act provides that ASIC may exempt a class of persons from all or specified provisions of Part 2.6 of the Credit Act</w:t>
      </w:r>
      <w:r w:rsidR="00E0725E"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064EB90C" w14:textId="2BAF6679" w:rsidR="003013BB" w:rsidRPr="00054A46" w:rsidRDefault="003013BB" w:rsidP="00CB34CB">
      <w:pPr>
        <w:pStyle w:val="ListParagraph"/>
        <w:numPr>
          <w:ilvl w:val="0"/>
          <w:numId w:val="6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Subparagraph 47(1)(h)(i) of the Credit Act provides that</w:t>
      </w:r>
      <w:r w:rsidR="0040385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 licensee must</w:t>
      </w:r>
      <w:r w:rsidR="00403858" w:rsidRPr="00054A46">
        <w:rPr>
          <w:rFonts w:ascii="Times New Roman" w:hAnsi="Times New Roman"/>
          <w:spacing w:val="-1"/>
          <w:sz w:val="24"/>
          <w:szCs w:val="24"/>
          <w:lang w:val="en" w:eastAsia="en-AU"/>
        </w:rPr>
        <w:t xml:space="preserve"> have an internal dispute resolution procedure that</w:t>
      </w:r>
      <w:bookmarkStart w:id="1" w:name="paragraphsub"/>
      <w:bookmarkEnd w:id="1"/>
      <w:r w:rsidR="00403858" w:rsidRPr="00054A46">
        <w:rPr>
          <w:rFonts w:ascii="Times New Roman" w:hAnsi="Times New Roman"/>
          <w:spacing w:val="-1"/>
          <w:sz w:val="24"/>
          <w:szCs w:val="24"/>
          <w:lang w:val="en" w:eastAsia="en-AU"/>
        </w:rPr>
        <w:t xml:space="preserve"> complies with standards and requirements made or approved by ASIC in accordance with the regulations.</w:t>
      </w:r>
    </w:p>
    <w:p w14:paraId="4873A5AA" w14:textId="38E6F6AD" w:rsidR="003013BB" w:rsidRPr="00054A46" w:rsidRDefault="003013BB" w:rsidP="00CB34CB">
      <w:pPr>
        <w:pStyle w:val="ListParagraph"/>
        <w:numPr>
          <w:ilvl w:val="0"/>
          <w:numId w:val="6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Item 41 of Schedule 2 to the Transitional and Consequential Provisions Act provides that</w:t>
      </w:r>
      <w:r w:rsidR="002D1B99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ASIC may declare that provisions to which Part 3 of the Schedule applies, apply in relation to a credit activity, or a class or persons or credit activities, as if specified provisions were omitted, modified or varied.</w:t>
      </w:r>
    </w:p>
    <w:p w14:paraId="0E92A500" w14:textId="55E8BCA2" w:rsidR="001E77B1" w:rsidRPr="00054A46" w:rsidRDefault="001E77B1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This Instrument amends:</w:t>
      </w:r>
    </w:p>
    <w:p w14:paraId="2AD0A201" w14:textId="464E8E59" w:rsidR="001E77B1" w:rsidRPr="00054A46" w:rsidRDefault="001E77B1" w:rsidP="00CB34CB">
      <w:pPr>
        <w:pStyle w:val="ListParagraph"/>
        <w:numPr>
          <w:ilvl w:val="0"/>
          <w:numId w:val="1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ASIC Class Order 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 xml:space="preserve">[CO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10/250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>]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which approves standards and requirements for credit licensees in relation to internal dispute resolution procedure.</w:t>
      </w:r>
    </w:p>
    <w:p w14:paraId="20E3D243" w14:textId="6910E079" w:rsidR="001E77B1" w:rsidRPr="00054A46" w:rsidRDefault="001E77B1" w:rsidP="00CB34CB">
      <w:pPr>
        <w:pStyle w:val="ListParagraph"/>
        <w:numPr>
          <w:ilvl w:val="0"/>
          <w:numId w:val="1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ASIC Class Order 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 xml:space="preserve">[CO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10/517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>]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which approves standards and requirements for unlicensed carried over </w:t>
      </w:r>
      <w:r w:rsidR="00C261A6">
        <w:rPr>
          <w:rFonts w:ascii="Times New Roman" w:hAnsi="Times New Roman"/>
          <w:spacing w:val="-1"/>
          <w:sz w:val="24"/>
          <w:szCs w:val="24"/>
          <w:lang w:eastAsia="en-AU"/>
        </w:rPr>
        <w:t>i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lenders in relation to internal dispute resolution procedure.</w:t>
      </w:r>
    </w:p>
    <w:p w14:paraId="5F061C45" w14:textId="50A178C6" w:rsidR="001E77B1" w:rsidRPr="00054A46" w:rsidRDefault="001E77B1" w:rsidP="00CB34CB">
      <w:pPr>
        <w:pStyle w:val="ListParagraph"/>
        <w:numPr>
          <w:ilvl w:val="0"/>
          <w:numId w:val="1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ASIC Class Order 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 xml:space="preserve">[CO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10/381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>]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which inserts an obligation</w:t>
      </w:r>
      <w:r w:rsidR="00C261A6">
        <w:rPr>
          <w:rFonts w:ascii="Times New Roman" w:hAnsi="Times New Roman"/>
          <w:spacing w:val="-1"/>
          <w:sz w:val="24"/>
          <w:szCs w:val="24"/>
          <w:lang w:eastAsia="en-AU"/>
        </w:rPr>
        <w:t xml:space="preserve"> into Part 3 of Schedule 2 of the Transitional and Consequential Provisions Act. The obligation, for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 person who is a credit provider or lessor in relation to a carried over </w:t>
      </w:r>
      <w:r w:rsidR="003B541C">
        <w:rPr>
          <w:rFonts w:ascii="Times New Roman" w:hAnsi="Times New Roman"/>
          <w:spacing w:val="-1"/>
          <w:sz w:val="24"/>
          <w:szCs w:val="24"/>
          <w:lang w:eastAsia="en-AU"/>
        </w:rPr>
        <w:t>i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, and who meets other criteria</w:t>
      </w:r>
      <w:r w:rsidR="00C261A6">
        <w:rPr>
          <w:rFonts w:ascii="Times New Roman" w:hAnsi="Times New Roman"/>
          <w:spacing w:val="-1"/>
          <w:sz w:val="24"/>
          <w:szCs w:val="24"/>
          <w:lang w:eastAsia="en-AU"/>
        </w:rPr>
        <w:t>, is to provide ASIC with a notice that contains certain information, including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about membership of an external dispute resolution scheme. </w:t>
      </w:r>
    </w:p>
    <w:p w14:paraId="08776B4C" w14:textId="77777777" w:rsidR="001E77B1" w:rsidRPr="00054A46" w:rsidRDefault="001E77B1" w:rsidP="00CB34CB">
      <w:pPr>
        <w:pStyle w:val="ListParagraph"/>
        <w:numPr>
          <w:ilvl w:val="0"/>
          <w:numId w:val="1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ASIC Corporations (Concept Validation Licensing Exemption) Instrument 2016/1175 which provides a licensing exemption for an eligible person in relation to the provision of testing services, with conditions including membership of an approved external dispute resolution scheme.</w:t>
      </w:r>
    </w:p>
    <w:p w14:paraId="685BE91F" w14:textId="77777777" w:rsidR="001E77B1" w:rsidRPr="00054A46" w:rsidRDefault="001E77B1" w:rsidP="00CB34CB">
      <w:pPr>
        <w:pStyle w:val="ListParagraph"/>
        <w:numPr>
          <w:ilvl w:val="0"/>
          <w:numId w:val="1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ASIC Credit (Concept Validation Licensing Exemption) Instrument 2016/1176 which provides a licensing exemption for an eligible person in relation to the testing credit services, with conditions including membership of an approved external dispute resolution scheme. </w:t>
      </w:r>
    </w:p>
    <w:p w14:paraId="2A3E1F02" w14:textId="0D11F800" w:rsidR="00C01112" w:rsidRPr="00054A46" w:rsidRDefault="00C01112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val="en-US"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Under subsection 33(3) of the </w:t>
      </w:r>
      <w:r w:rsidRPr="00054A46">
        <w:rPr>
          <w:rFonts w:ascii="Times New Roman" w:hAnsi="Times New Roman"/>
          <w:i/>
          <w:iCs/>
          <w:spacing w:val="-1"/>
          <w:sz w:val="24"/>
          <w:szCs w:val="24"/>
          <w:lang w:eastAsia="en-AU"/>
        </w:rPr>
        <w:t>Acts Interpretation Act 1901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(as in force as at 1 January 2005 and as applicable to the </w:t>
      </w:r>
      <w:r w:rsidR="00C261A6">
        <w:rPr>
          <w:rFonts w:ascii="Times New Roman" w:hAnsi="Times New Roman"/>
          <w:spacing w:val="-1"/>
          <w:sz w:val="24"/>
          <w:szCs w:val="24"/>
          <w:lang w:eastAsia="en-AU"/>
        </w:rPr>
        <w:t xml:space="preserve">Corporations Act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because of section 5C of the Corporations Act), where an Act confers a power to make, grant or issue any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(including rules, regulations or by-laws), the power shall be construed as including a power exercisable in the like manner and subject to the like conditions (if any) to repeal, rescind, revoke, amend, or vary any such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2C384BBF" w14:textId="0C02706D" w:rsidR="00C01112" w:rsidRPr="00054A46" w:rsidRDefault="00C01112" w:rsidP="00CB34CB">
      <w:pPr>
        <w:pStyle w:val="ListParagraph"/>
        <w:numPr>
          <w:ilvl w:val="0"/>
          <w:numId w:val="4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lastRenderedPageBreak/>
        <w:t xml:space="preserve">Background </w:t>
      </w:r>
    </w:p>
    <w:p w14:paraId="6DEA7BA6" w14:textId="0880336A" w:rsidR="00B84463" w:rsidRPr="00054A46" w:rsidRDefault="00C01112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</w:t>
      </w: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Treasury Laws Amendment (Putting Consumers First – Establishment of the Australian Financial Complaints Authority Act) 2018</w:t>
      </w:r>
      <w:r w:rsidR="00026184"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 xml:space="preserve"> </w:t>
      </w:r>
      <w:r w:rsidR="00026184" w:rsidRPr="00054A46">
        <w:rPr>
          <w:rFonts w:ascii="Times New Roman" w:hAnsi="Times New Roman"/>
          <w:spacing w:val="-1"/>
          <w:sz w:val="24"/>
          <w:szCs w:val="24"/>
          <w:lang w:eastAsia="en-AU"/>
        </w:rPr>
        <w:t>(AFCA Act)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establishes a single financial services external dispute resolution scheme: the Australian Financial Complaints Authority (AFCA). AFCA will replace the two existing ASIC-approved external dispute resolution (EDR) schemes: the Financial Ombudsman Service and the Credit and Investments Ombudsman; and the statutory Superannuation Complaints Tribunal. The AFCA scheme wi</w:t>
      </w:r>
      <w:r w:rsidR="004F5D7E" w:rsidRPr="00054A46">
        <w:rPr>
          <w:rFonts w:ascii="Times New Roman" w:hAnsi="Times New Roman"/>
          <w:spacing w:val="-1"/>
          <w:sz w:val="24"/>
          <w:szCs w:val="24"/>
          <w:lang w:eastAsia="en-AU"/>
        </w:rPr>
        <w:t>l</w:t>
      </w:r>
      <w:r w:rsidR="00F7513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l commence on </w:t>
      </w:r>
      <w:r w:rsidR="00054A46" w:rsidRPr="00054A46">
        <w:rPr>
          <w:rFonts w:ascii="Times New Roman" w:hAnsi="Times New Roman"/>
          <w:spacing w:val="-1"/>
          <w:sz w:val="24"/>
          <w:szCs w:val="24"/>
          <w:lang w:eastAsia="en-AU"/>
        </w:rPr>
        <w:t>1 November 2018 and</w:t>
      </w:r>
      <w:r w:rsidR="00F7513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will determine all</w:t>
      </w:r>
      <w:r w:rsidR="001E77B1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complaints</w:t>
      </w:r>
      <w:r w:rsidR="00F7513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made </w:t>
      </w:r>
      <w:r w:rsidR="00CC05C7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on or </w:t>
      </w:r>
      <w:r w:rsidR="00F75138" w:rsidRPr="00054A46">
        <w:rPr>
          <w:rFonts w:ascii="Times New Roman" w:hAnsi="Times New Roman"/>
          <w:spacing w:val="-1"/>
          <w:sz w:val="24"/>
          <w:szCs w:val="24"/>
          <w:lang w:eastAsia="en-AU"/>
        </w:rPr>
        <w:t>after this date.</w:t>
      </w:r>
    </w:p>
    <w:p w14:paraId="5FA5A40F" w14:textId="30218D70" w:rsidR="00B84463" w:rsidRPr="00054A46" w:rsidRDefault="00B77AD4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A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s a result of the AFCA Act, </w:t>
      </w:r>
      <w:r w:rsidR="00F75138" w:rsidRPr="00054A46">
        <w:rPr>
          <w:rFonts w:ascii="Times New Roman" w:hAnsi="Times New Roman"/>
          <w:spacing w:val="-1"/>
          <w:sz w:val="24"/>
          <w:szCs w:val="24"/>
          <w:lang w:eastAsia="en-AU"/>
        </w:rPr>
        <w:t>and associated regulations:</w:t>
      </w:r>
    </w:p>
    <w:p w14:paraId="259CEB1C" w14:textId="5EF28217" w:rsidR="00B84463" w:rsidRPr="00054A46" w:rsidRDefault="00F75138" w:rsidP="00CB34CB">
      <w:pPr>
        <w:pStyle w:val="ListParagraph"/>
        <w:numPr>
          <w:ilvl w:val="0"/>
          <w:numId w:val="8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From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21 September 2018, those who are currently required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to be a member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of an ASIC-approved external dispute resolution scheme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must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be a member of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the AFCA Scheme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,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as well as</w:t>
      </w:r>
      <w:r w:rsidR="00B24C7A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to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be a member of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their ASIC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-approved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external dispute resolution scheme.</w:t>
      </w:r>
    </w:p>
    <w:p w14:paraId="18759435" w14:textId="68D8C823" w:rsidR="00CC05C7" w:rsidRPr="00054A46" w:rsidRDefault="00CC05C7" w:rsidP="00CB34CB">
      <w:pPr>
        <w:pStyle w:val="ListParagraph"/>
        <w:numPr>
          <w:ilvl w:val="0"/>
          <w:numId w:val="8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Form 1 November 2018, the AFCA scheme commences</w:t>
      </w:r>
      <w:r w:rsidR="00ED1EFC" w:rsidRPr="00054A46">
        <w:rPr>
          <w:rFonts w:ascii="Times New Roman" w:hAnsi="Times New Roman"/>
          <w:spacing w:val="-1"/>
          <w:sz w:val="24"/>
          <w:szCs w:val="24"/>
          <w:lang w:eastAsia="en-AU"/>
        </w:rPr>
        <w:t>,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and will determine all complaints made on or after this date.</w:t>
      </w:r>
    </w:p>
    <w:p w14:paraId="3B967988" w14:textId="5A383515" w:rsidR="00B24C7A" w:rsidRPr="00054A46" w:rsidRDefault="00B24C7A" w:rsidP="00CB34CB">
      <w:pPr>
        <w:pStyle w:val="ListParagraph"/>
        <w:numPr>
          <w:ilvl w:val="0"/>
          <w:numId w:val="8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requirement to be a member of an ASIC-approved external dispute resolution will be repealed </w:t>
      </w:r>
      <w:r w:rsidR="00F90FB5" w:rsidRPr="00054A46">
        <w:rPr>
          <w:rFonts w:ascii="Times New Roman" w:hAnsi="Times New Roman"/>
          <w:spacing w:val="-1"/>
          <w:sz w:val="24"/>
          <w:szCs w:val="24"/>
          <w:lang w:eastAsia="en-AU"/>
        </w:rPr>
        <w:t>no later than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1 November 2019</w:t>
      </w:r>
      <w:r w:rsidR="00F90FB5" w:rsidRPr="00054A46">
        <w:rPr>
          <w:rFonts w:ascii="Times New Roman" w:hAnsi="Times New Roman"/>
          <w:spacing w:val="-1"/>
          <w:sz w:val="24"/>
          <w:szCs w:val="24"/>
          <w:lang w:eastAsia="en-AU"/>
        </w:rPr>
        <w:t>, or before that day if the Minister specifies by notifiable instrument an earlier date pursuant to Item 72 of Schedule 1 of the AFCA Act.</w:t>
      </w:r>
      <w:r w:rsidR="00CB34CB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After this requirement is repealed, those who are currently required to be a member of an ASIC-approved external dispute scheme will be required to be a member of the AFCA scheme only.</w:t>
      </w:r>
    </w:p>
    <w:p w14:paraId="2BC5AB66" w14:textId="77777777" w:rsidR="00B77AD4" w:rsidRPr="00054A46" w:rsidRDefault="00B77AD4" w:rsidP="00CB34CB">
      <w:pPr>
        <w:pStyle w:val="ListParagraph"/>
        <w:shd w:val="clear" w:color="auto" w:fill="FFFFFF"/>
        <w:spacing w:before="3" w:after="100" w:afterAutospacing="1" w:line="288" w:lineRule="auto"/>
        <w:rPr>
          <w:rFonts w:ascii="Times New Roman" w:hAnsi="Times New Roman"/>
          <w:spacing w:val="-1"/>
          <w:sz w:val="24"/>
          <w:szCs w:val="24"/>
          <w:lang w:eastAsia="en-AU"/>
        </w:rPr>
      </w:pPr>
    </w:p>
    <w:p w14:paraId="2E787478" w14:textId="40413F36" w:rsidR="00D36A37" w:rsidRPr="00054A46" w:rsidRDefault="001E77B1" w:rsidP="00CB34CB">
      <w:pPr>
        <w:pStyle w:val="ListParagraph"/>
        <w:numPr>
          <w:ilvl w:val="0"/>
          <w:numId w:val="4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Purpose of the I</w:t>
      </w:r>
      <w:r w:rsidR="00D66932"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 xml:space="preserve">nstrument </w:t>
      </w:r>
    </w:p>
    <w:p w14:paraId="1E149925" w14:textId="688B0554" w:rsidR="00E912FF" w:rsidRPr="00054A46" w:rsidRDefault="00D36A37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ASIC Corporations and Credit (Amendment) Instrument 2018/</w:t>
      </w:r>
      <w:r w:rsidR="00D1422C">
        <w:rPr>
          <w:rFonts w:ascii="Times New Roman" w:hAnsi="Times New Roman"/>
          <w:i/>
          <w:spacing w:val="-1"/>
          <w:sz w:val="24"/>
          <w:szCs w:val="24"/>
          <w:lang w:eastAsia="en-AU"/>
        </w:rPr>
        <w:t>937</w:t>
      </w:r>
      <w:r w:rsidR="00E912FF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is intended to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make technical amendments </w:t>
      </w:r>
      <w:r w:rsidR="00A9484E">
        <w:rPr>
          <w:rFonts w:ascii="Times New Roman" w:hAnsi="Times New Roman"/>
          <w:spacing w:val="-1"/>
          <w:sz w:val="24"/>
          <w:szCs w:val="24"/>
          <w:lang w:eastAsia="en-AU"/>
        </w:rPr>
        <w:t xml:space="preserve">to various ASIC legislative instruments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arising from the passage of the </w:t>
      </w:r>
      <w:r w:rsidR="009B0A5C" w:rsidRPr="00054A46">
        <w:rPr>
          <w:rFonts w:ascii="Times New Roman" w:hAnsi="Times New Roman"/>
          <w:spacing w:val="-1"/>
          <w:sz w:val="24"/>
          <w:szCs w:val="24"/>
          <w:lang w:eastAsia="en-AU"/>
        </w:rPr>
        <w:t>AFCA Act.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="00AE1ED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purpose of the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="00AE1ED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is to amend ASIC Class Orders that include references to dispute resolution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to refl</w:t>
      </w:r>
      <w:r w:rsidR="00AE1ED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ect the </w:t>
      </w:r>
      <w:r w:rsidR="0053646B" w:rsidRPr="00054A46">
        <w:rPr>
          <w:rFonts w:ascii="Times New Roman" w:hAnsi="Times New Roman"/>
          <w:spacing w:val="-1"/>
          <w:sz w:val="24"/>
          <w:szCs w:val="24"/>
          <w:lang w:eastAsia="en-AU"/>
        </w:rPr>
        <w:t>commencement</w:t>
      </w:r>
      <w:r w:rsidR="00AE1ED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of AFCA, </w:t>
      </w:r>
      <w:r w:rsidR="009B0A5C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and the requirement to be a member of the AFCA Scheme from 1 November 2018. The Instrument also </w:t>
      </w:r>
      <w:r w:rsidR="00AE1ED8" w:rsidRPr="00054A46">
        <w:rPr>
          <w:rFonts w:ascii="Times New Roman" w:hAnsi="Times New Roman"/>
          <w:spacing w:val="-1"/>
          <w:sz w:val="24"/>
          <w:szCs w:val="24"/>
          <w:lang w:eastAsia="en-AU"/>
        </w:rPr>
        <w:t>remove</w:t>
      </w:r>
      <w:r w:rsidR="009B0A5C" w:rsidRPr="00054A46">
        <w:rPr>
          <w:rFonts w:ascii="Times New Roman" w:hAnsi="Times New Roman"/>
          <w:spacing w:val="-1"/>
          <w:sz w:val="24"/>
          <w:szCs w:val="24"/>
          <w:lang w:eastAsia="en-AU"/>
        </w:rPr>
        <w:t>s</w:t>
      </w:r>
      <w:r w:rsidR="00AE1ED8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references to ASIC-approved external dispute resolution schemes.</w:t>
      </w:r>
      <w:r w:rsidR="00B8446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</w:p>
    <w:p w14:paraId="0087BCA8" w14:textId="12932676" w:rsidR="00D66932" w:rsidRPr="00054A46" w:rsidRDefault="001E77B1" w:rsidP="00CB34CB">
      <w:pPr>
        <w:pStyle w:val="ListParagraph"/>
        <w:numPr>
          <w:ilvl w:val="0"/>
          <w:numId w:val="4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Operation of the I</w:t>
      </w:r>
      <w:r w:rsidR="00D66932"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nstrument</w:t>
      </w:r>
    </w:p>
    <w:p w14:paraId="55F4FDE3" w14:textId="4AE378DA" w:rsidR="00D91219" w:rsidRPr="00054A46" w:rsidRDefault="001E77B1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lastRenderedPageBreak/>
        <w:t xml:space="preserve">This Instrument amends </w:t>
      </w:r>
      <w:r w:rsidR="00832A03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ASIC Class Order 10/250, </w:t>
      </w:r>
      <w:r w:rsidR="00655207" w:rsidRPr="00054A46">
        <w:rPr>
          <w:rFonts w:ascii="Times New Roman" w:hAnsi="Times New Roman"/>
          <w:spacing w:val="-1"/>
          <w:sz w:val="24"/>
          <w:szCs w:val="24"/>
          <w:lang w:eastAsia="en-AU"/>
        </w:rPr>
        <w:t>ASIC Class Order 10/517,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="00832A03" w:rsidRPr="00054A46">
        <w:rPr>
          <w:rFonts w:ascii="Times New Roman" w:hAnsi="Times New Roman"/>
          <w:spacing w:val="-1"/>
          <w:sz w:val="24"/>
          <w:szCs w:val="24"/>
          <w:lang w:eastAsia="en-AU"/>
        </w:rPr>
        <w:t>ASIC Class Order 10/381, ASIC Corporations (Concept Validation Licensing Exemption) Instrument 2016/1175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and </w:t>
      </w:r>
      <w:r w:rsidR="00832A03" w:rsidRPr="00054A46">
        <w:rPr>
          <w:rFonts w:ascii="Times New Roman" w:hAnsi="Times New Roman"/>
          <w:spacing w:val="-1"/>
          <w:sz w:val="24"/>
          <w:szCs w:val="24"/>
          <w:lang w:eastAsia="en-AU"/>
        </w:rPr>
        <w:t>ASIC Credit (Concept Validation Licensing Exemption) Instrument 2016/1176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49DAA2A6" w14:textId="301EE347" w:rsidR="00832A03" w:rsidRPr="00054A46" w:rsidRDefault="00832A03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amendments found in Schedule 1 to this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are </w:t>
      </w:r>
      <w:r w:rsidR="005479DB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consequential amendments and are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technical in nature. The amendments</w:t>
      </w:r>
      <w:r w:rsidR="00B77AD4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make changes to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these Class Orders, so that </w:t>
      </w:r>
      <w:r w:rsidR="00D91219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dispute resolution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obligations found in those Class Orders reflect the commencement of</w:t>
      </w:r>
      <w:r w:rsidR="00D91219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the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AFCA Scheme</w:t>
      </w:r>
      <w:r w:rsidR="00D91219" w:rsidRPr="00054A46">
        <w:rPr>
          <w:rFonts w:ascii="Times New Roman" w:hAnsi="Times New Roman"/>
          <w:spacing w:val="-1"/>
          <w:sz w:val="24"/>
          <w:szCs w:val="24"/>
          <w:lang w:eastAsia="en-AU"/>
        </w:rPr>
        <w:t>, and the requirement to be a member of that Scheme from 1 November 2018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  <w:r w:rsidR="00D91219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These changes apply on </w:t>
      </w:r>
      <w:r w:rsidR="00D91219" w:rsidRPr="00054A46">
        <w:rPr>
          <w:rFonts w:ascii="Times New Roman" w:hAnsi="Times New Roman"/>
          <w:spacing w:val="-1"/>
          <w:sz w:val="24"/>
          <w:szCs w:val="24"/>
          <w:lang w:eastAsia="en-AU"/>
        </w:rPr>
        <w:t>and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after 1 November 2018</w:t>
      </w:r>
      <w:r w:rsidR="00B90DF0"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6379516A" w14:textId="3570886A" w:rsidR="00C22A88" w:rsidRPr="00054A46" w:rsidRDefault="00832A03" w:rsidP="00CB34CB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The amendments found in Schedule 2 to this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are</w:t>
      </w:r>
      <w:r w:rsidR="005479DB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consequential amendments </w:t>
      </w:r>
      <w:r w:rsidR="005479DB" w:rsidRP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and are </w:t>
      </w:r>
      <w:r w:rsidRP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technical in nature. The amendments </w:t>
      </w:r>
      <w:bookmarkStart w:id="2" w:name="_Toc508112160"/>
      <w:r w:rsidR="00D91219" w:rsidRPr="003B541C">
        <w:rPr>
          <w:rStyle w:val="charamparttext"/>
          <w:rFonts w:ascii="Times New Roman" w:hAnsi="Times New Roman"/>
          <w:sz w:val="24"/>
          <w:szCs w:val="24"/>
        </w:rPr>
        <w:t>relate to no longer requiring membership of existing external dispute resolution schemes</w:t>
      </w:r>
      <w:bookmarkEnd w:id="2"/>
      <w:r w:rsidR="00D91219" w:rsidRPr="003B541C">
        <w:rPr>
          <w:rStyle w:val="charamparttext"/>
          <w:rFonts w:ascii="Times New Roman" w:hAnsi="Times New Roman"/>
          <w:sz w:val="24"/>
          <w:szCs w:val="24"/>
        </w:rPr>
        <w:t xml:space="preserve">. The amendments </w:t>
      </w:r>
      <w:r w:rsidRPr="003B541C">
        <w:rPr>
          <w:rFonts w:ascii="Times New Roman" w:hAnsi="Times New Roman"/>
          <w:spacing w:val="-1"/>
          <w:sz w:val="24"/>
          <w:szCs w:val="24"/>
          <w:lang w:eastAsia="en-AU"/>
        </w:rPr>
        <w:t>remove the references</w:t>
      </w:r>
      <w:r w:rsidR="0040306D" w:rsidRP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 found in these Class Orders to </w:t>
      </w:r>
      <w:r w:rsidRP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“approved external dispute resolution scheme”. These changes will apply </w:t>
      </w:r>
      <w:r w:rsidR="00F90FB5" w:rsidRPr="003B541C">
        <w:rPr>
          <w:rFonts w:ascii="Times New Roman" w:hAnsi="Times New Roman"/>
          <w:spacing w:val="-1"/>
          <w:sz w:val="24"/>
          <w:szCs w:val="24"/>
          <w:lang w:eastAsia="en-AU"/>
        </w:rPr>
        <w:t>on and after</w:t>
      </w:r>
      <w:r w:rsidRP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 1 November 2019</w:t>
      </w:r>
      <w:r w:rsidR="00F90FB5" w:rsidRPr="003B541C">
        <w:rPr>
          <w:rFonts w:ascii="Times New Roman" w:hAnsi="Times New Roman"/>
          <w:spacing w:val="-1"/>
          <w:sz w:val="24"/>
          <w:szCs w:val="24"/>
          <w:lang w:eastAsia="en-AU"/>
        </w:rPr>
        <w:t>,</w:t>
      </w:r>
      <w:r w:rsidR="00D91219" w:rsidRPr="003B541C">
        <w:rPr>
          <w:rFonts w:ascii="Times New Roman" w:hAnsi="Times New Roman"/>
          <w:spacing w:val="-1"/>
          <w:sz w:val="24"/>
          <w:szCs w:val="24"/>
          <w:lang w:eastAsia="en-AU"/>
        </w:rPr>
        <w:t xml:space="preserve"> or</w:t>
      </w:r>
      <w:r w:rsidR="00D91219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</w:t>
      </w:r>
      <w:r w:rsidR="00F90FB5" w:rsidRPr="00054A46">
        <w:rPr>
          <w:rFonts w:ascii="Times New Roman" w:hAnsi="Times New Roman"/>
          <w:spacing w:val="-1"/>
          <w:sz w:val="24"/>
          <w:szCs w:val="24"/>
          <w:lang w:eastAsia="en-AU"/>
        </w:rPr>
        <w:t>before that day if the Minister specifies by notifiable instrument an earlier date pursuant to Item 72 of Schedule 1 of the AFCA Act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. </w:t>
      </w:r>
    </w:p>
    <w:p w14:paraId="2A4DC501" w14:textId="7FA24A1B" w:rsidR="00D66932" w:rsidRPr="00054A46" w:rsidRDefault="00D66932" w:rsidP="00CB34CB">
      <w:pPr>
        <w:pStyle w:val="ListParagraph"/>
        <w:numPr>
          <w:ilvl w:val="0"/>
          <w:numId w:val="4"/>
        </w:numPr>
        <w:shd w:val="clear" w:color="auto" w:fill="FFFFFF"/>
        <w:spacing w:before="3" w:after="100" w:afterAutospacing="1" w:line="288" w:lineRule="auto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 xml:space="preserve">Consultation </w:t>
      </w:r>
    </w:p>
    <w:p w14:paraId="49611B53" w14:textId="392E07CD" w:rsidR="00ED1EFC" w:rsidRPr="00054A46" w:rsidRDefault="00A032A3" w:rsidP="00ED1EFC">
      <w:pP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Given the minor and consequential nature of these amendments, ASIC considered that no consultation was necessary. Nevertheless</w:t>
      </w:r>
      <w:r w:rsidR="00054A46" w:rsidRPr="00054A46">
        <w:rPr>
          <w:rFonts w:ascii="Times New Roman" w:hAnsi="Times New Roman"/>
          <w:spacing w:val="-1"/>
          <w:sz w:val="24"/>
          <w:szCs w:val="24"/>
          <w:lang w:eastAsia="en-AU"/>
        </w:rPr>
        <w:t>,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ASIC has contacted the persons who are relying on the exemptions in ASIC Corporations (Concept Validation Licensing Exemption) Instrument 2016/1175 and ASIC Credit (Concept Validation Licensing Exemption) Instrument 2016/1176 to inform them of the minor and consequential changes, and the ensure they were aware of the obligations arising from the AFCA Act 2018.</w:t>
      </w:r>
    </w:p>
    <w:p w14:paraId="001A3E3B" w14:textId="77777777" w:rsidR="00D66932" w:rsidRPr="00054A46" w:rsidRDefault="00ED1EFC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rPr>
          <w:rFonts w:ascii="Times New Roman" w:hAnsi="Times New Roman"/>
          <w:spacing w:val="-1"/>
          <w:sz w:val="19"/>
          <w:szCs w:val="19"/>
          <w:lang w:eastAsia="en-AU"/>
        </w:rPr>
      </w:pPr>
      <w:r w:rsidRPr="00054A46">
        <w:rPr>
          <w:rFonts w:ascii="Times New Roman" w:hAnsi="Times New Roman"/>
          <w:spacing w:val="-1"/>
          <w:sz w:val="19"/>
          <w:szCs w:val="19"/>
          <w:lang w:eastAsia="en-AU"/>
        </w:rPr>
        <w:br w:type="column"/>
      </w:r>
    </w:p>
    <w:p w14:paraId="07DC45D6" w14:textId="05FDB93B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Statement of Compatibility with Human Rights</w:t>
      </w:r>
    </w:p>
    <w:p w14:paraId="286FD82C" w14:textId="71B7D33D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i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Prepared in accordance with Part 3 of the Human Rights (Parliamentary Scrutiny) Act 2011</w:t>
      </w:r>
    </w:p>
    <w:p w14:paraId="5294C323" w14:textId="342FBDF4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ASIC Corporations and Credit (Amendment) Instrument 2018/Number</w:t>
      </w:r>
    </w:p>
    <w:p w14:paraId="492BF452" w14:textId="2C0BA714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ASIC Corporations and Credit (Amendment) Instrument 2018/</w:t>
      </w:r>
      <w:r w:rsidR="00D1422C">
        <w:rPr>
          <w:rFonts w:ascii="Times New Roman" w:hAnsi="Times New Roman"/>
          <w:i/>
          <w:spacing w:val="-1"/>
          <w:sz w:val="24"/>
          <w:szCs w:val="24"/>
          <w:lang w:eastAsia="en-AU"/>
        </w:rPr>
        <w:t>937</w:t>
      </w:r>
      <w:r w:rsidR="00B66CE6">
        <w:rPr>
          <w:rFonts w:ascii="Times New Roman" w:hAnsi="Times New Roman"/>
          <w:i/>
          <w:spacing w:val="-1"/>
          <w:sz w:val="24"/>
          <w:szCs w:val="24"/>
          <w:lang w:eastAsia="en-AU"/>
        </w:rPr>
        <w:t xml:space="preserve"> 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is compatible with the human rights and freedoms recognised or declared in the international </w:t>
      </w:r>
      <w:r w:rsidR="00ED1EFC" w:rsidRPr="00054A46">
        <w:rPr>
          <w:rFonts w:ascii="Times New Roman" w:hAnsi="Times New Roman"/>
          <w:spacing w:val="-1"/>
          <w:sz w:val="24"/>
          <w:szCs w:val="24"/>
          <w:lang w:eastAsia="en-AU"/>
        </w:rPr>
        <w:t>I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s listed in section 3 of the </w:t>
      </w: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Human Rights (Parliamentary Scrutiny) Act 2011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3648DB2F" w14:textId="08A5D778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Overview</w:t>
      </w:r>
    </w:p>
    <w:p w14:paraId="240D7B68" w14:textId="561564DC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ASIC Corporations and Credit (Amendment) Instrument 2018/</w:t>
      </w:r>
      <w:r w:rsidR="00D1422C">
        <w:rPr>
          <w:rFonts w:ascii="Times New Roman" w:hAnsi="Times New Roman"/>
          <w:i/>
          <w:spacing w:val="-1"/>
          <w:sz w:val="24"/>
          <w:szCs w:val="24"/>
          <w:lang w:eastAsia="en-AU"/>
        </w:rPr>
        <w:t>937</w:t>
      </w:r>
      <w:r w:rsidR="00B66CE6">
        <w:rPr>
          <w:rFonts w:ascii="Times New Roman" w:hAnsi="Times New Roman"/>
          <w:i/>
          <w:spacing w:val="-1"/>
          <w:sz w:val="24"/>
          <w:szCs w:val="24"/>
          <w:lang w:eastAsia="en-AU"/>
        </w:rPr>
        <w:t xml:space="preserve"> 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>make</w:t>
      </w:r>
      <w:r w:rsidR="00B90DF0" w:rsidRPr="00054A46">
        <w:rPr>
          <w:rFonts w:ascii="Times New Roman" w:hAnsi="Times New Roman"/>
          <w:spacing w:val="-1"/>
          <w:sz w:val="24"/>
          <w:szCs w:val="24"/>
          <w:lang w:eastAsia="en-AU"/>
        </w:rPr>
        <w:t>s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technical amendments arising from the passage of the </w:t>
      </w:r>
      <w:r w:rsidR="00AB56F0" w:rsidRPr="00054A46">
        <w:rPr>
          <w:rFonts w:ascii="Times New Roman" w:hAnsi="Times New Roman"/>
          <w:i/>
          <w:spacing w:val="-1"/>
          <w:sz w:val="24"/>
          <w:szCs w:val="24"/>
          <w:lang w:eastAsia="en-AU"/>
        </w:rPr>
        <w:t>Treasury Laws Amendment (Putting Consumers First – Establishment of the Australian Financial Complaints Authority Act) 2018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. The purpose of the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is to amend ASIC Class Orders that </w:t>
      </w:r>
      <w:r w:rsidR="00B90DF0" w:rsidRPr="00054A46">
        <w:rPr>
          <w:rFonts w:ascii="Times New Roman" w:hAnsi="Times New Roman"/>
          <w:spacing w:val="-1"/>
          <w:sz w:val="24"/>
          <w:szCs w:val="24"/>
          <w:lang w:eastAsia="en-AU"/>
        </w:rPr>
        <w:t>make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references to dispute resolution to reflect the </w:t>
      </w:r>
      <w:r w:rsidR="00B90DF0" w:rsidRPr="00054A46">
        <w:rPr>
          <w:rFonts w:ascii="Times New Roman" w:hAnsi="Times New Roman"/>
          <w:spacing w:val="-1"/>
          <w:sz w:val="24"/>
          <w:szCs w:val="24"/>
          <w:lang w:eastAsia="en-AU"/>
        </w:rPr>
        <w:t>commencement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of AFCA, and to remove references to ASIC-approved external dispute resolution schemes</w:t>
      </w:r>
      <w:r w:rsidR="00B90DF0"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from these Class Orders</w:t>
      </w:r>
      <w:r w:rsidR="00AB56F0" w:rsidRPr="00054A46">
        <w:rPr>
          <w:rFonts w:ascii="Times New Roman" w:hAnsi="Times New Roman"/>
          <w:spacing w:val="-1"/>
          <w:sz w:val="24"/>
          <w:szCs w:val="24"/>
          <w:lang w:eastAsia="en-AU"/>
        </w:rPr>
        <w:t>.</w:t>
      </w:r>
    </w:p>
    <w:p w14:paraId="34441CC0" w14:textId="25D52993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Human rights implications</w:t>
      </w:r>
    </w:p>
    <w:p w14:paraId="340FAEAB" w14:textId="7DA8BDD9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This legislative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does not engage any of the applicable rights or freedoms.</w:t>
      </w:r>
    </w:p>
    <w:p w14:paraId="58ACA372" w14:textId="4D8818AE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Conclusion</w:t>
      </w:r>
    </w:p>
    <w:p w14:paraId="720737A2" w14:textId="7927A5F2" w:rsidR="00D66932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spacing w:val="-1"/>
          <w:sz w:val="24"/>
          <w:szCs w:val="24"/>
          <w:lang w:eastAsia="en-AU"/>
        </w:rPr>
      </w:pP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This legislative </w:t>
      </w:r>
      <w:r w:rsidR="0040306D" w:rsidRPr="00054A46">
        <w:rPr>
          <w:rFonts w:ascii="Times New Roman" w:hAnsi="Times New Roman"/>
          <w:spacing w:val="-1"/>
          <w:sz w:val="24"/>
          <w:szCs w:val="24"/>
          <w:lang w:eastAsia="en-AU"/>
        </w:rPr>
        <w:t>Instrument</w:t>
      </w:r>
      <w:r w:rsidRPr="00054A46">
        <w:rPr>
          <w:rFonts w:ascii="Times New Roman" w:hAnsi="Times New Roman"/>
          <w:spacing w:val="-1"/>
          <w:sz w:val="24"/>
          <w:szCs w:val="24"/>
          <w:lang w:eastAsia="en-AU"/>
        </w:rPr>
        <w:t xml:space="preserve"> is compatible with human rights as it does not raise any human rights issues.</w:t>
      </w:r>
    </w:p>
    <w:p w14:paraId="01B30277" w14:textId="7F0399F8" w:rsidR="00054A46" w:rsidRPr="00054A46" w:rsidRDefault="00D66932" w:rsidP="00ED1E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3" w:after="100" w:afterAutospacing="1" w:line="288" w:lineRule="auto"/>
        <w:ind w:left="360"/>
        <w:jc w:val="center"/>
        <w:rPr>
          <w:rFonts w:ascii="Times New Roman" w:hAnsi="Times New Roman"/>
          <w:b/>
          <w:spacing w:val="-1"/>
          <w:sz w:val="19"/>
          <w:szCs w:val="19"/>
          <w:lang w:eastAsia="en-AU"/>
        </w:rPr>
      </w:pPr>
      <w:r w:rsidRPr="00054A46">
        <w:rPr>
          <w:rFonts w:ascii="Times New Roman" w:hAnsi="Times New Roman"/>
          <w:b/>
          <w:spacing w:val="-1"/>
          <w:sz w:val="24"/>
          <w:szCs w:val="24"/>
          <w:lang w:eastAsia="en-AU"/>
        </w:rPr>
        <w:t>Australian Securities and Investments Commission</w:t>
      </w:r>
    </w:p>
    <w:sectPr w:rsidR="00054A46" w:rsidRPr="00054A46" w:rsidSect="00091C9D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3A89A" w14:textId="77777777" w:rsidR="00054A46" w:rsidRDefault="00054A46" w:rsidP="00054A46">
      <w:r>
        <w:separator/>
      </w:r>
    </w:p>
  </w:endnote>
  <w:endnote w:type="continuationSeparator" w:id="0">
    <w:p w14:paraId="29B3ED0B" w14:textId="77777777" w:rsidR="00054A46" w:rsidRDefault="00054A46" w:rsidP="000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185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43DA1" w14:textId="03AE245D" w:rsidR="00054A46" w:rsidRDefault="00054A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72C3B" w14:textId="77777777" w:rsidR="00054A46" w:rsidRDefault="00054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D273" w14:textId="77777777" w:rsidR="00054A46" w:rsidRDefault="00054A46" w:rsidP="00054A46">
      <w:r>
        <w:separator/>
      </w:r>
    </w:p>
  </w:footnote>
  <w:footnote w:type="continuationSeparator" w:id="0">
    <w:p w14:paraId="65A5F641" w14:textId="77777777" w:rsidR="00054A46" w:rsidRDefault="00054A46" w:rsidP="0005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C51"/>
    <w:multiLevelType w:val="hybridMultilevel"/>
    <w:tmpl w:val="ECDAF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B08B8"/>
    <w:multiLevelType w:val="hybridMultilevel"/>
    <w:tmpl w:val="55F2A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37DF"/>
    <w:multiLevelType w:val="hybridMultilevel"/>
    <w:tmpl w:val="62D4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D0F4D"/>
    <w:multiLevelType w:val="hybridMultilevel"/>
    <w:tmpl w:val="3B6E3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01DF3"/>
    <w:multiLevelType w:val="hybridMultilevel"/>
    <w:tmpl w:val="9684D6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26D03"/>
    <w:multiLevelType w:val="hybridMultilevel"/>
    <w:tmpl w:val="A300C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B33F1"/>
    <w:multiLevelType w:val="hybridMultilevel"/>
    <w:tmpl w:val="A21C97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01DD7"/>
    <w:multiLevelType w:val="hybridMultilevel"/>
    <w:tmpl w:val="122C6D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9D"/>
    <w:rsid w:val="00004967"/>
    <w:rsid w:val="00026184"/>
    <w:rsid w:val="00035B75"/>
    <w:rsid w:val="00042386"/>
    <w:rsid w:val="00054A46"/>
    <w:rsid w:val="00086C78"/>
    <w:rsid w:val="00091C9D"/>
    <w:rsid w:val="000D2C00"/>
    <w:rsid w:val="00175C04"/>
    <w:rsid w:val="001C3F5F"/>
    <w:rsid w:val="001C5C14"/>
    <w:rsid w:val="001E77B1"/>
    <w:rsid w:val="002536AF"/>
    <w:rsid w:val="00253B36"/>
    <w:rsid w:val="002D1B99"/>
    <w:rsid w:val="002F29C1"/>
    <w:rsid w:val="003013BB"/>
    <w:rsid w:val="003B541C"/>
    <w:rsid w:val="0040306D"/>
    <w:rsid w:val="00403858"/>
    <w:rsid w:val="004822C4"/>
    <w:rsid w:val="004B2F45"/>
    <w:rsid w:val="004F545C"/>
    <w:rsid w:val="004F5D7E"/>
    <w:rsid w:val="005301B7"/>
    <w:rsid w:val="00533302"/>
    <w:rsid w:val="00534BEB"/>
    <w:rsid w:val="0053646B"/>
    <w:rsid w:val="005479DB"/>
    <w:rsid w:val="00550AD3"/>
    <w:rsid w:val="00581CF1"/>
    <w:rsid w:val="005942B6"/>
    <w:rsid w:val="00607117"/>
    <w:rsid w:val="00655207"/>
    <w:rsid w:val="006A0BA7"/>
    <w:rsid w:val="006E39B9"/>
    <w:rsid w:val="008003C6"/>
    <w:rsid w:val="008007EF"/>
    <w:rsid w:val="008255A9"/>
    <w:rsid w:val="00832A03"/>
    <w:rsid w:val="008461F5"/>
    <w:rsid w:val="008E1F2E"/>
    <w:rsid w:val="00983243"/>
    <w:rsid w:val="009B0A5C"/>
    <w:rsid w:val="009D33F2"/>
    <w:rsid w:val="00A032A3"/>
    <w:rsid w:val="00A73A95"/>
    <w:rsid w:val="00A934FA"/>
    <w:rsid w:val="00A9484E"/>
    <w:rsid w:val="00AA677A"/>
    <w:rsid w:val="00AB56F0"/>
    <w:rsid w:val="00AB63A1"/>
    <w:rsid w:val="00AB797A"/>
    <w:rsid w:val="00AE130E"/>
    <w:rsid w:val="00AE1ED8"/>
    <w:rsid w:val="00B03683"/>
    <w:rsid w:val="00B24C7A"/>
    <w:rsid w:val="00B27A04"/>
    <w:rsid w:val="00B42C93"/>
    <w:rsid w:val="00B63A13"/>
    <w:rsid w:val="00B66CE6"/>
    <w:rsid w:val="00B77AD4"/>
    <w:rsid w:val="00B84463"/>
    <w:rsid w:val="00B90DF0"/>
    <w:rsid w:val="00BC2C97"/>
    <w:rsid w:val="00BD1B39"/>
    <w:rsid w:val="00C01112"/>
    <w:rsid w:val="00C22A88"/>
    <w:rsid w:val="00C261A6"/>
    <w:rsid w:val="00CB34CB"/>
    <w:rsid w:val="00CC05C7"/>
    <w:rsid w:val="00D061EB"/>
    <w:rsid w:val="00D1422C"/>
    <w:rsid w:val="00D24359"/>
    <w:rsid w:val="00D36A37"/>
    <w:rsid w:val="00D57946"/>
    <w:rsid w:val="00D64DF0"/>
    <w:rsid w:val="00D66932"/>
    <w:rsid w:val="00D86100"/>
    <w:rsid w:val="00D91219"/>
    <w:rsid w:val="00DB4FDE"/>
    <w:rsid w:val="00DF4A81"/>
    <w:rsid w:val="00E0725E"/>
    <w:rsid w:val="00E24137"/>
    <w:rsid w:val="00E41BF7"/>
    <w:rsid w:val="00E912FF"/>
    <w:rsid w:val="00E951AB"/>
    <w:rsid w:val="00EA006F"/>
    <w:rsid w:val="00EC1D90"/>
    <w:rsid w:val="00EC2A78"/>
    <w:rsid w:val="00ED1EFC"/>
    <w:rsid w:val="00EE0F16"/>
    <w:rsid w:val="00F36B48"/>
    <w:rsid w:val="00F75138"/>
    <w:rsid w:val="00F90FB5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CB37"/>
  <w15:chartTrackingRefBased/>
  <w15:docId w15:val="{F20C7363-73B4-48EA-A988-8DDDDE31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C9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C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1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D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D90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3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A1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423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temhead">
    <w:name w:val="itemhead"/>
    <w:basedOn w:val="Normal"/>
    <w:rsid w:val="00EC2A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subitem">
    <w:name w:val="subitem"/>
    <w:basedOn w:val="Normal"/>
    <w:rsid w:val="00EC2A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EC2A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notemargin">
    <w:name w:val="notemargin"/>
    <w:basedOn w:val="Normal"/>
    <w:rsid w:val="00EC2A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charamparttext">
    <w:name w:val="charamparttext"/>
    <w:basedOn w:val="DefaultParagraphFont"/>
    <w:rsid w:val="00D91219"/>
  </w:style>
  <w:style w:type="paragraph" w:styleId="Header">
    <w:name w:val="header"/>
    <w:basedOn w:val="Normal"/>
    <w:link w:val="HeaderChar"/>
    <w:uiPriority w:val="99"/>
    <w:unhideWhenUsed/>
    <w:rsid w:val="00054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A4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4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A4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1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9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2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96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1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66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29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0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8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6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1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6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0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8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33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8C0D9C1C1F4C084B873DB75BAB3C7637" ma:contentTypeVersion="4" ma:contentTypeDescription="" ma:contentTypeScope="" ma:versionID="f2c5add555cefed89339bbd382c0ddaf">
  <xsd:schema xmlns:xsd="http://www.w3.org/2001/XMLSchema" xmlns:xs="http://www.w3.org/2001/XMLSchema" xmlns:p="http://schemas.microsoft.com/office/2006/metadata/properties" xmlns:ns2="da7a9ac0-bc47-4684-84e6-3a8e9ac80c12" xmlns:ns3="af5193de-32c0-4b6a-970c-55043beee9d4" xmlns:ns4="17f478ab-373e-4295-9ff0-9b833ad01319" targetNamespace="http://schemas.microsoft.com/office/2006/metadata/properties" ma:root="true" ma:fieldsID="34ac87e9341ec2c0aec17ab6685f5875" ns2:_="" ns3:_="" ns4:_="">
    <xsd:import namespace="da7a9ac0-bc47-4684-84e6-3a8e9ac80c12"/>
    <xsd:import namespace="af5193de-32c0-4b6a-970c-55043beee9d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NotesLinks" minOccurs="0"/>
                <xsd:element ref="ns4:Reviewers" minOccurs="0"/>
                <xsd:element ref="ns2:Approvers" minOccurs="0"/>
                <xsd:element ref="ns3:c5d73460c19b45db9cc3a37bc643c36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7" nillable="true" ma:displayName="Notes &amp; Links" ma:description="Use this field to enter relevant document/site hyperlinks and/or notes." ma:internalName="NotesLinks">
      <xsd:simpleType>
        <xsd:restriction base="dms:Note"/>
      </xsd:simpleType>
    </xsd:element>
    <xsd:element name="Approvers" ma:index="1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193de-32c0-4b6a-970c-55043beee9d4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a0c927f-3b52-4504-b981-28cb03166a07}" ma:internalName="TaxCatchAll" ma:showField="CatchAllData" ma:web="af5193de-32c0-4b6a-970c-55043bee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a0c927f-3b52-4504-b981-28cb03166a07}" ma:internalName="TaxCatchAllLabel" ma:readOnly="true" ma:showField="CatchAllDataLabel" ma:web="af5193de-32c0-4b6a-970c-55043bee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d73460c19b45db9cc3a37bc643c36a" ma:index="20" ma:taxonomy="true" ma:internalName="c5d73460c19b45db9cc3a37bc643c36a" ma:taxonomyFieldName="SecurityClassification" ma:displayName="Security Classification" ma:default="6;#Sensitive|19fd2cb8-3e97-4464-ae71-8c2c2095d028" ma:fieldId="{c5d73460-c19b-45db-9cc3-a37bc643c3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8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R20180001272054</RecordNumber>
    <ObjectiveID xmlns="da7a9ac0-bc47-4684-84e6-3a8e9ac80c12" xsi:nil="true"/>
    <SignificantFlag xmlns="da7a9ac0-bc47-4684-84e6-3a8e9ac80c12">false</SignificantFlag>
    <TaxCatchAll xmlns="af5193de-32c0-4b6a-970c-55043beee9d4">
      <Value>6</Value>
    </TaxCatchAll>
    <SenateOrder12 xmlns="da7a9ac0-bc47-4684-84e6-3a8e9ac80c12">false</SenateOrder12>
    <ded95d7ab059406991d558011d18c177 xmlns="da7a9ac0-bc47-4684-84e6-3a8e9ac80c12" xsi:nil="true"/>
    <Reviewers xmlns="17f478ab-373e-4295-9ff0-9b833ad01319">
      <UserInfo>
        <DisplayName/>
        <AccountId xsi:nil="true"/>
        <AccountType/>
      </UserInfo>
    </Reviewers>
    <Approvers xmlns="da7a9ac0-bc47-4684-84e6-3a8e9ac80c12">
      <UserInfo>
        <DisplayName/>
        <AccountId xsi:nil="true"/>
        <AccountType/>
      </UserInfo>
    </Approvers>
    <SignificantReason xmlns="da7a9ac0-bc47-4684-84e6-3a8e9ac80c12" xsi:nil="true"/>
    <c5d73460c19b45db9cc3a37bc643c36a xmlns="af5193de-32c0-4b6a-970c-55043beee9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c5d73460c19b45db9cc3a37bc643c36a>
    <NotesLinks xmlns="da7a9ac0-bc47-4684-84e6-3a8e9ac80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2E13-9C62-481A-B1FA-1A9D65F84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af5193de-32c0-4b6a-970c-55043beee9d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D859A-F8C7-4CD5-B178-3C29F0BBB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18738-9EE3-4364-A524-C31BECA1D29B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7f478ab-373e-4295-9ff0-9b833ad01319"/>
    <ds:schemaRef ds:uri="http://schemas.microsoft.com/office/infopath/2007/PartnerControls"/>
    <ds:schemaRef ds:uri="http://www.w3.org/XML/1998/namespace"/>
    <ds:schemaRef ds:uri="af5193de-32c0-4b6a-970c-55043beee9d4"/>
    <ds:schemaRef ds:uri="http://schemas.microsoft.com/office/2006/metadata/properties"/>
    <ds:schemaRef ds:uri="da7a9ac0-bc47-4684-84e6-3a8e9ac80c1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51CA83-EFD1-487A-8449-AA6F3332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8BF0FB.dotm</Template>
  <TotalTime>0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Binnington</dc:creator>
  <cp:keywords/>
  <dc:description/>
  <cp:lastModifiedBy>Lucy Chadszinow</cp:lastModifiedBy>
  <cp:revision>2</cp:revision>
  <cp:lastPrinted>2018-10-24T03:20:00Z</cp:lastPrinted>
  <dcterms:created xsi:type="dcterms:W3CDTF">2018-10-24T04:15:00Z</dcterms:created>
  <dcterms:modified xsi:type="dcterms:W3CDTF">2018-10-24T04:15:00Z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0x010100B5F685A1365F544391EF8C813B164F3A008C0D9C1C1F4C084B873DB75BAB3C7637</vt:lpwstr>
  </property>
  <property fmtid="{D5CDD505-2E9C-101B-9397-08002B2CF9AE}" pid="3" name="RecordPoint_ActiveItemUniqueId">
    <vt:lpwstr>{8e58ba76-55fd-4b80-bf28-8931d26c66ae}</vt:lpwstr>
  </property>
  <property fmtid="{D5CDD505-2E9C-101B-9397-08002B2CF9AE}" pid="4" name="RecordPoint_SubmissionCompleted">
    <vt:lpwstr>2018-10-22T10:12:28.5040395+11:00</vt:lpwstr>
  </property>
  <property fmtid="{D5CDD505-2E9C-101B-9397-08002B2CF9AE}" pid="5" name="SecurityClassification">
    <vt:lpwstr>6;#Sensitive|19fd2cb8-3e97-4464-ae71-8c2c2095d028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WebId">
    <vt:lpwstr>{af5193de-32c0-4b6a-970c-55043beee9d4}</vt:lpwstr>
  </property>
  <property fmtid="{D5CDD505-2E9C-101B-9397-08002B2CF9AE}" pid="8" name="RecordPoint_ActiveItemSiteId">
    <vt:lpwstr>{2e96a6a4-153e-4124-aa54-164d1613095d}</vt:lpwstr>
  </property>
  <property fmtid="{D5CDD505-2E9C-101B-9397-08002B2CF9AE}" pid="9" name="RecordPoint_ActiveItemListId">
    <vt:lpwstr>{0267db82-3a25-4af0-ae30-0ab85cd48512}</vt:lpwstr>
  </property>
  <property fmtid="{D5CDD505-2E9C-101B-9397-08002B2CF9AE}" pid="10" name="RecordPoint_RecordNumberSubmitted">
    <vt:lpwstr>R20180001272054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