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9D7" w:rsidRPr="00F61976" w:rsidRDefault="00A669D7" w:rsidP="00A669D7">
      <w:pPr>
        <w:keepNext/>
        <w:keepLines/>
        <w:spacing w:before="0"/>
        <w:ind w:right="91"/>
        <w:jc w:val="center"/>
      </w:pPr>
      <w:bookmarkStart w:id="0" w:name="_GoBack"/>
      <w:bookmarkEnd w:id="0"/>
      <w:r w:rsidRPr="00F61976">
        <w:rPr>
          <w:b/>
          <w:u w:val="single"/>
        </w:rPr>
        <w:t xml:space="preserve">EXPLANATORY </w:t>
      </w:r>
      <w:r w:rsidR="00583221" w:rsidRPr="00F61976">
        <w:rPr>
          <w:b/>
          <w:u w:val="single"/>
        </w:rPr>
        <w:t>STATEMENT</w:t>
      </w:r>
    </w:p>
    <w:p w:rsidR="00A669D7" w:rsidRPr="00F61976" w:rsidRDefault="00A669D7" w:rsidP="00A669D7">
      <w:pPr>
        <w:pStyle w:val="Heading6"/>
        <w:keepLines/>
        <w:spacing w:before="0"/>
        <w:jc w:val="center"/>
        <w:rPr>
          <w:u w:val="none"/>
        </w:rPr>
      </w:pPr>
    </w:p>
    <w:p w:rsidR="00583221" w:rsidRPr="00F61976" w:rsidRDefault="00583221" w:rsidP="00583221">
      <w:pPr>
        <w:spacing w:before="0"/>
        <w:ind w:right="40"/>
        <w:jc w:val="center"/>
        <w:rPr>
          <w:szCs w:val="24"/>
        </w:rPr>
      </w:pPr>
      <w:r w:rsidRPr="00F61976">
        <w:rPr>
          <w:szCs w:val="24"/>
        </w:rPr>
        <w:t xml:space="preserve">Issued by the Minister for </w:t>
      </w:r>
      <w:r w:rsidR="00F141D2">
        <w:rPr>
          <w:szCs w:val="24"/>
        </w:rPr>
        <w:t xml:space="preserve">Immigration, </w:t>
      </w:r>
      <w:r w:rsidRPr="00F61976">
        <w:rPr>
          <w:szCs w:val="24"/>
        </w:rPr>
        <w:t>Citizenship and Multicultural Affairs</w:t>
      </w:r>
    </w:p>
    <w:p w:rsidR="00583221" w:rsidRPr="00F61976" w:rsidRDefault="00583221" w:rsidP="00583221">
      <w:pPr>
        <w:spacing w:before="0"/>
        <w:ind w:right="40"/>
        <w:jc w:val="center"/>
        <w:rPr>
          <w:szCs w:val="24"/>
        </w:rPr>
      </w:pPr>
    </w:p>
    <w:p w:rsidR="00583221" w:rsidRPr="00F61976" w:rsidRDefault="00583221" w:rsidP="00583221">
      <w:pPr>
        <w:spacing w:before="0"/>
        <w:ind w:right="40"/>
        <w:jc w:val="center"/>
        <w:rPr>
          <w:i/>
          <w:szCs w:val="24"/>
        </w:rPr>
      </w:pPr>
      <w:r w:rsidRPr="00F61976">
        <w:rPr>
          <w:i/>
          <w:szCs w:val="24"/>
        </w:rPr>
        <w:t>Migration Act 1958</w:t>
      </w:r>
    </w:p>
    <w:p w:rsidR="00A669D7" w:rsidRPr="00F61976" w:rsidRDefault="00A669D7" w:rsidP="00583221">
      <w:pPr>
        <w:spacing w:before="0"/>
        <w:ind w:right="91"/>
        <w:jc w:val="center"/>
        <w:rPr>
          <w:i/>
        </w:rPr>
      </w:pPr>
      <w:r w:rsidRPr="00F61976">
        <w:rPr>
          <w:i/>
        </w:rPr>
        <w:t>Migration Amendment (</w:t>
      </w:r>
      <w:r w:rsidR="00F141D2">
        <w:rPr>
          <w:i/>
        </w:rPr>
        <w:t>Pathway to Permanent Residence for Retirees</w:t>
      </w:r>
      <w:r w:rsidR="00210413" w:rsidRPr="00F61976">
        <w:rPr>
          <w:i/>
        </w:rPr>
        <w:t>) Regulations 2018</w:t>
      </w:r>
    </w:p>
    <w:p w:rsidR="00A669D7" w:rsidRPr="00F61976" w:rsidRDefault="00A669D7" w:rsidP="00A669D7">
      <w:pPr>
        <w:keepNext/>
        <w:keepLines/>
        <w:spacing w:before="0"/>
        <w:ind w:right="91"/>
      </w:pPr>
    </w:p>
    <w:p w:rsidR="006C1271" w:rsidRPr="00F61976" w:rsidRDefault="006C1271" w:rsidP="00F141D2">
      <w:pPr>
        <w:keepNext/>
        <w:keepLines/>
        <w:spacing w:before="0"/>
        <w:ind w:right="91"/>
      </w:pPr>
      <w:r w:rsidRPr="00F61976">
        <w:t xml:space="preserve">The </w:t>
      </w:r>
      <w:r w:rsidRPr="00F61976">
        <w:rPr>
          <w:i/>
        </w:rPr>
        <w:t>Migration Act 1958</w:t>
      </w:r>
      <w:r w:rsidRPr="00F61976">
        <w:t xml:space="preserve"> (the Migration Act) is an Act relating to the entry into, and presence in, Australia of aliens, and the departure or deportation from Australia of aliens and certain other persons.</w:t>
      </w:r>
    </w:p>
    <w:p w:rsidR="00976F47" w:rsidRPr="00F61976" w:rsidRDefault="00976F47" w:rsidP="00F141D2">
      <w:pPr>
        <w:keepNext/>
        <w:keepLines/>
        <w:spacing w:before="0"/>
        <w:ind w:right="91"/>
      </w:pPr>
    </w:p>
    <w:p w:rsidR="006C1271" w:rsidRPr="00F61976" w:rsidRDefault="006C1271" w:rsidP="00F141D2">
      <w:pPr>
        <w:keepNext/>
        <w:keepLines/>
        <w:spacing w:before="0"/>
        <w:ind w:right="91"/>
      </w:pPr>
      <w:r w:rsidRPr="00F61976">
        <w:t xml:space="preserve">Subsection 504(1) of </w:t>
      </w:r>
      <w:r w:rsidRPr="00F61976">
        <w:rPr>
          <w:iCs/>
        </w:rPr>
        <w:t xml:space="preserve">the </w:t>
      </w:r>
      <w:r w:rsidRPr="00F61976">
        <w:t>Migration Act</w:t>
      </w:r>
      <w:r w:rsidRPr="00F61976">
        <w:rPr>
          <w:i/>
        </w:rPr>
        <w:t xml:space="preserve"> </w:t>
      </w:r>
      <w:r w:rsidRPr="00F61976">
        <w:t xml:space="preserve">provides that the Governor-General may make regulations, not inconsistent with the Migration Act, prescribing matters required or permitted to be prescribed, or necessary or convenient to be prescribed, for carrying out or giving effect to the Migration Act.  </w:t>
      </w:r>
    </w:p>
    <w:p w:rsidR="006C1271" w:rsidRPr="00F61976" w:rsidRDefault="006C1271" w:rsidP="00F141D2">
      <w:pPr>
        <w:keepNext/>
        <w:keepLines/>
        <w:spacing w:before="0"/>
        <w:ind w:right="91"/>
      </w:pPr>
    </w:p>
    <w:p w:rsidR="007F0DAD" w:rsidRPr="00F61976" w:rsidRDefault="007F0DAD" w:rsidP="00F141D2">
      <w:pPr>
        <w:spacing w:before="0"/>
        <w:ind w:right="91"/>
      </w:pPr>
      <w:r w:rsidRPr="00F61976">
        <w:rPr>
          <w:szCs w:val="24"/>
        </w:rPr>
        <w:t xml:space="preserve">In addition, regulations may be made pursuant to the provisions listed in </w:t>
      </w:r>
      <w:r w:rsidRPr="00F61976">
        <w:rPr>
          <w:szCs w:val="24"/>
          <w:u w:val="single"/>
        </w:rPr>
        <w:t>Attachment A</w:t>
      </w:r>
      <w:r w:rsidRPr="00F61976">
        <w:t xml:space="preserve">. </w:t>
      </w:r>
    </w:p>
    <w:p w:rsidR="008649C8" w:rsidRPr="00F61976" w:rsidRDefault="008649C8" w:rsidP="00F141D2">
      <w:pPr>
        <w:keepNext/>
        <w:keepLines/>
        <w:spacing w:before="0"/>
        <w:ind w:right="91"/>
        <w:rPr>
          <w:lang w:val="en"/>
        </w:rPr>
      </w:pPr>
    </w:p>
    <w:p w:rsidR="00F141D2" w:rsidRPr="00F61976" w:rsidRDefault="009E66DF" w:rsidP="00324E39">
      <w:pPr>
        <w:spacing w:before="0"/>
        <w:ind w:right="91"/>
        <w:rPr>
          <w:i/>
        </w:rPr>
      </w:pPr>
      <w:r w:rsidRPr="00F61976">
        <w:rPr>
          <w:lang w:val="en"/>
        </w:rPr>
        <w:t xml:space="preserve">The </w:t>
      </w:r>
      <w:r w:rsidR="00F141D2" w:rsidRPr="00F61976">
        <w:rPr>
          <w:i/>
        </w:rPr>
        <w:t>Migration Amendment (</w:t>
      </w:r>
      <w:r w:rsidR="00F141D2">
        <w:rPr>
          <w:i/>
        </w:rPr>
        <w:t>Pathway to Permanent Residence for Retirees</w:t>
      </w:r>
      <w:r w:rsidR="00F141D2" w:rsidRPr="00F61976">
        <w:rPr>
          <w:i/>
        </w:rPr>
        <w:t>) Regulations 2018</w:t>
      </w:r>
    </w:p>
    <w:p w:rsidR="00324E39" w:rsidRDefault="00F141D2" w:rsidP="00B97AC9">
      <w:pPr>
        <w:spacing w:before="0"/>
        <w:ind w:right="91"/>
        <w:rPr>
          <w:iCs/>
        </w:rPr>
      </w:pPr>
      <w:r>
        <w:t>(</w:t>
      </w:r>
      <w:r w:rsidR="003D193A" w:rsidRPr="00F61976">
        <w:t xml:space="preserve">the Regulations) </w:t>
      </w:r>
      <w:r w:rsidR="00EE03F8" w:rsidRPr="00F61976">
        <w:t xml:space="preserve">amend the </w:t>
      </w:r>
      <w:r w:rsidR="00EE03F8" w:rsidRPr="00F61976">
        <w:rPr>
          <w:i/>
        </w:rPr>
        <w:t>Migration Regulations 1994</w:t>
      </w:r>
      <w:r w:rsidR="00EE03F8" w:rsidRPr="00F61976">
        <w:t xml:space="preserve"> </w:t>
      </w:r>
      <w:r w:rsidR="00ED06BF" w:rsidRPr="00F61976">
        <w:t xml:space="preserve">(the Migration Regulations) to strengthen and update immigration policy and administrative practice. </w:t>
      </w:r>
      <w:r w:rsidR="00976F47" w:rsidRPr="00F61976">
        <w:t xml:space="preserve">In particular, the Regulations amend the Migration Regulations to </w:t>
      </w:r>
      <w:r w:rsidR="00324E39" w:rsidRPr="00B97AC9">
        <w:rPr>
          <w:iCs/>
        </w:rPr>
        <w:t xml:space="preserve">provide a pathway to permanent residence for </w:t>
      </w:r>
      <w:r w:rsidR="00324E39">
        <w:rPr>
          <w:iCs/>
        </w:rPr>
        <w:t xml:space="preserve">certain non-citizens </w:t>
      </w:r>
      <w:r w:rsidR="00324E39" w:rsidRPr="00B97AC9">
        <w:rPr>
          <w:iCs/>
        </w:rPr>
        <w:t xml:space="preserve">who are </w:t>
      </w:r>
      <w:r w:rsidR="00324E39">
        <w:rPr>
          <w:iCs/>
        </w:rPr>
        <w:t xml:space="preserve">temporary </w:t>
      </w:r>
      <w:r w:rsidR="00324E39" w:rsidRPr="00B97AC9">
        <w:rPr>
          <w:iCs/>
        </w:rPr>
        <w:t xml:space="preserve">residents of Australia </w:t>
      </w:r>
      <w:r w:rsidR="00324E39">
        <w:rPr>
          <w:iCs/>
        </w:rPr>
        <w:t>and</w:t>
      </w:r>
      <w:r w:rsidR="00324E39" w:rsidRPr="00B97AC9">
        <w:rPr>
          <w:iCs/>
        </w:rPr>
        <w:t xml:space="preserve"> who have not previously had </w:t>
      </w:r>
      <w:r w:rsidR="00324E39">
        <w:rPr>
          <w:iCs/>
        </w:rPr>
        <w:t>a</w:t>
      </w:r>
      <w:r w:rsidR="00B7681B">
        <w:rPr>
          <w:iCs/>
        </w:rPr>
        <w:t xml:space="preserve"> suitable visa </w:t>
      </w:r>
      <w:r w:rsidR="00324E39">
        <w:rPr>
          <w:iCs/>
        </w:rPr>
        <w:t xml:space="preserve">option to progress to </w:t>
      </w:r>
      <w:r w:rsidR="00324E39" w:rsidRPr="00B97AC9">
        <w:rPr>
          <w:iCs/>
        </w:rPr>
        <w:t>permanent residence</w:t>
      </w:r>
      <w:r w:rsidR="003171FD">
        <w:rPr>
          <w:iCs/>
        </w:rPr>
        <w:t>.</w:t>
      </w:r>
      <w:r w:rsidR="00324E39">
        <w:rPr>
          <w:iCs/>
        </w:rPr>
        <w:t xml:space="preserve"> </w:t>
      </w:r>
    </w:p>
    <w:p w:rsidR="00324E39" w:rsidRDefault="00324E39" w:rsidP="00B97AC9">
      <w:pPr>
        <w:spacing w:before="0"/>
        <w:ind w:right="91"/>
        <w:rPr>
          <w:iCs/>
        </w:rPr>
      </w:pPr>
    </w:p>
    <w:p w:rsidR="00B97AC9" w:rsidRPr="00324E39" w:rsidRDefault="00324E39" w:rsidP="00324E39">
      <w:pPr>
        <w:pStyle w:val="ListParagraph"/>
        <w:numPr>
          <w:ilvl w:val="0"/>
          <w:numId w:val="3"/>
        </w:numPr>
        <w:spacing w:before="0"/>
        <w:ind w:right="91"/>
        <w:rPr>
          <w:iCs/>
        </w:rPr>
      </w:pPr>
      <w:r w:rsidRPr="00324E39">
        <w:rPr>
          <w:iCs/>
        </w:rPr>
        <w:t>The Regu</w:t>
      </w:r>
      <w:r>
        <w:rPr>
          <w:iCs/>
        </w:rPr>
        <w:t xml:space="preserve">lations </w:t>
      </w:r>
      <w:r w:rsidR="00F141D2">
        <w:t xml:space="preserve">provide that certain holders or former holders of temporary retirement visas </w:t>
      </w:r>
      <w:r>
        <w:t xml:space="preserve">(retirees) </w:t>
      </w:r>
      <w:r w:rsidR="00F141D2">
        <w:t xml:space="preserve">are </w:t>
      </w:r>
      <w:r w:rsidR="00E96F99">
        <w:t xml:space="preserve">able </w:t>
      </w:r>
      <w:r w:rsidR="00F141D2">
        <w:t xml:space="preserve">to </w:t>
      </w:r>
      <w:r w:rsidR="00E96F99">
        <w:t xml:space="preserve">obtain </w:t>
      </w:r>
      <w:r w:rsidR="00F141D2">
        <w:t xml:space="preserve">permanent residence by meeting criteria in specified </w:t>
      </w:r>
      <w:r w:rsidR="00C7252B">
        <w:t xml:space="preserve">permanent </w:t>
      </w:r>
      <w:r w:rsidR="00F141D2">
        <w:t>visas</w:t>
      </w:r>
      <w:r w:rsidR="003171FD">
        <w:t>.</w:t>
      </w:r>
      <w:r w:rsidR="00B97AC9">
        <w:t xml:space="preserve"> </w:t>
      </w:r>
      <w:r w:rsidR="003171FD">
        <w:t xml:space="preserve">This change responds to concerns about the difficulties faced by </w:t>
      </w:r>
      <w:r w:rsidR="00272D5D">
        <w:t>r</w:t>
      </w:r>
      <w:r w:rsidR="003171FD">
        <w:t xml:space="preserve">etirees, including </w:t>
      </w:r>
      <w:r w:rsidR="00272D5D">
        <w:t xml:space="preserve">lack of access to </w:t>
      </w:r>
      <w:r w:rsidR="003171FD">
        <w:t xml:space="preserve">health and </w:t>
      </w:r>
      <w:r w:rsidR="00272D5D">
        <w:t xml:space="preserve">other Government and </w:t>
      </w:r>
      <w:r w:rsidR="003171FD">
        <w:t xml:space="preserve">community services, </w:t>
      </w:r>
      <w:r w:rsidR="00272D5D">
        <w:t xml:space="preserve">and disadvantage in relation to </w:t>
      </w:r>
      <w:r w:rsidR="003171FD">
        <w:t>taxation and property</w:t>
      </w:r>
      <w:r w:rsidR="00272D5D">
        <w:t xml:space="preserve"> issues</w:t>
      </w:r>
      <w:r w:rsidR="003171FD">
        <w:t>.</w:t>
      </w:r>
    </w:p>
    <w:p w:rsidR="00F141D2" w:rsidRDefault="00F141D2" w:rsidP="00976F47">
      <w:pPr>
        <w:spacing w:before="0"/>
        <w:ind w:right="91"/>
      </w:pPr>
    </w:p>
    <w:p w:rsidR="00976F47" w:rsidRPr="00B7681B" w:rsidRDefault="0034343C" w:rsidP="00324E39">
      <w:pPr>
        <w:pStyle w:val="ListParagraph"/>
        <w:numPr>
          <w:ilvl w:val="0"/>
          <w:numId w:val="3"/>
        </w:numPr>
        <w:spacing w:before="0"/>
        <w:ind w:right="91"/>
        <w:rPr>
          <w:color w:val="000000"/>
          <w:szCs w:val="24"/>
          <w:lang w:val="en"/>
        </w:rPr>
      </w:pPr>
      <w:r>
        <w:t xml:space="preserve">The </w:t>
      </w:r>
      <w:r w:rsidR="00133BAB">
        <w:t xml:space="preserve">Regulations target </w:t>
      </w:r>
      <w:r>
        <w:t>r</w:t>
      </w:r>
      <w:r w:rsidR="00AE3B3A">
        <w:t xml:space="preserve">etirees </w:t>
      </w:r>
      <w:r w:rsidR="00B7681B">
        <w:t>who,</w:t>
      </w:r>
      <w:r w:rsidR="00AE3B3A">
        <w:t xml:space="preserve"> at the time </w:t>
      </w:r>
      <w:r w:rsidR="00B7681B">
        <w:t xml:space="preserve">this change </w:t>
      </w:r>
      <w:r w:rsidR="00AE3B3A">
        <w:t xml:space="preserve">was announced </w:t>
      </w:r>
      <w:r w:rsidR="009F4E8C">
        <w:t>in the</w:t>
      </w:r>
      <w:r w:rsidR="00AE3B3A">
        <w:t xml:space="preserve"> Federal Budget</w:t>
      </w:r>
      <w:r w:rsidR="009F4E8C" w:rsidRPr="009F4E8C">
        <w:t xml:space="preserve"> </w:t>
      </w:r>
      <w:r w:rsidR="009F4E8C">
        <w:t>on 8 May 2018</w:t>
      </w:r>
      <w:r w:rsidR="00AE3B3A">
        <w:t xml:space="preserve">, </w:t>
      </w:r>
      <w:r w:rsidR="00F141D2">
        <w:t xml:space="preserve">held a Subclass 405 (Investor Retirement) visa or </w:t>
      </w:r>
      <w:r w:rsidR="00E96F99">
        <w:t xml:space="preserve">a </w:t>
      </w:r>
      <w:r w:rsidR="00F141D2">
        <w:t>Subclass 410 (Retirement) visa</w:t>
      </w:r>
      <w:r w:rsidR="00B7681B">
        <w:t>,</w:t>
      </w:r>
      <w:r w:rsidR="00E96F99">
        <w:t xml:space="preserve"> </w:t>
      </w:r>
      <w:r w:rsidR="00AE3B3A">
        <w:t xml:space="preserve">or </w:t>
      </w:r>
      <w:r>
        <w:t xml:space="preserve">who </w:t>
      </w:r>
      <w:r w:rsidR="00AE3B3A">
        <w:t xml:space="preserve">did not hold a substantive visa </w:t>
      </w:r>
      <w:r>
        <w:t xml:space="preserve">on that date </w:t>
      </w:r>
      <w:r w:rsidR="00AE3B3A">
        <w:t xml:space="preserve">and the </w:t>
      </w:r>
      <w:r w:rsidR="00B7681B">
        <w:t xml:space="preserve">last </w:t>
      </w:r>
      <w:r w:rsidR="00AE3B3A">
        <w:t xml:space="preserve">substantive visa </w:t>
      </w:r>
      <w:r w:rsidR="00B7681B">
        <w:t xml:space="preserve">held </w:t>
      </w:r>
      <w:r w:rsidR="00AE3B3A">
        <w:t>was one of those visas. In addition, the</w:t>
      </w:r>
      <w:r>
        <w:t xml:space="preserve"> retiree</w:t>
      </w:r>
      <w:r w:rsidR="00B7681B">
        <w:t xml:space="preserve"> </w:t>
      </w:r>
      <w:r w:rsidR="00AE3B3A">
        <w:t xml:space="preserve">must not have </w:t>
      </w:r>
      <w:r w:rsidR="00E96F99">
        <w:t>held a substantive visa</w:t>
      </w:r>
      <w:r w:rsidR="003171FD">
        <w:t>,</w:t>
      </w:r>
      <w:r w:rsidR="00E96F99">
        <w:t xml:space="preserve"> other than one of those visas</w:t>
      </w:r>
      <w:r w:rsidR="003171FD">
        <w:t>,</w:t>
      </w:r>
      <w:r w:rsidR="00AE3B3A">
        <w:t xml:space="preserve"> since 8 May 2018</w:t>
      </w:r>
      <w:r w:rsidR="003171FD">
        <w:t>.</w:t>
      </w:r>
    </w:p>
    <w:p w:rsidR="00B7681B" w:rsidRPr="00B7681B" w:rsidRDefault="00B7681B" w:rsidP="00B7681B">
      <w:pPr>
        <w:pStyle w:val="ListParagraph"/>
        <w:rPr>
          <w:color w:val="000000"/>
          <w:szCs w:val="24"/>
          <w:lang w:val="en"/>
        </w:rPr>
      </w:pPr>
    </w:p>
    <w:p w:rsidR="00976F47" w:rsidRPr="00B7681B" w:rsidRDefault="00B97AC9" w:rsidP="00B7681B">
      <w:pPr>
        <w:pStyle w:val="ListParagraph"/>
        <w:numPr>
          <w:ilvl w:val="0"/>
          <w:numId w:val="3"/>
        </w:numPr>
        <w:spacing w:before="0"/>
        <w:ind w:right="91"/>
        <w:rPr>
          <w:iCs/>
        </w:rPr>
      </w:pPr>
      <w:r w:rsidRPr="00B7681B">
        <w:rPr>
          <w:iCs/>
        </w:rPr>
        <w:t xml:space="preserve">The </w:t>
      </w:r>
      <w:r w:rsidR="00AE3B3A" w:rsidRPr="00B7681B">
        <w:rPr>
          <w:iCs/>
        </w:rPr>
        <w:t>retirees</w:t>
      </w:r>
      <w:r w:rsidRPr="00B7681B">
        <w:rPr>
          <w:iCs/>
        </w:rPr>
        <w:t xml:space="preserve"> may apply for a Subclass 103 (Parent) visa or a Subclass 143 (Contributory Parent) visa</w:t>
      </w:r>
      <w:r w:rsidR="00B7681B">
        <w:rPr>
          <w:iCs/>
        </w:rPr>
        <w:t xml:space="preserve">. </w:t>
      </w:r>
      <w:r w:rsidR="006D0517">
        <w:rPr>
          <w:iCs/>
        </w:rPr>
        <w:t xml:space="preserve">Retirees must apply </w:t>
      </w:r>
      <w:r w:rsidR="00B7681B">
        <w:rPr>
          <w:iCs/>
        </w:rPr>
        <w:t>in Australia</w:t>
      </w:r>
      <w:r w:rsidR="006D0517">
        <w:rPr>
          <w:iCs/>
        </w:rPr>
        <w:t xml:space="preserve">, </w:t>
      </w:r>
      <w:r w:rsidR="00C7252B">
        <w:rPr>
          <w:iCs/>
        </w:rPr>
        <w:t>maintain adequate health insurance until the permanent visa is granted</w:t>
      </w:r>
      <w:r w:rsidR="006D0517">
        <w:rPr>
          <w:iCs/>
        </w:rPr>
        <w:t xml:space="preserve">, and </w:t>
      </w:r>
      <w:r w:rsidR="00B7681B">
        <w:rPr>
          <w:iCs/>
        </w:rPr>
        <w:t xml:space="preserve">meet </w:t>
      </w:r>
      <w:r w:rsidR="00C7252B">
        <w:rPr>
          <w:iCs/>
        </w:rPr>
        <w:t xml:space="preserve">the </w:t>
      </w:r>
      <w:r w:rsidR="00B7681B">
        <w:rPr>
          <w:iCs/>
        </w:rPr>
        <w:t>r</w:t>
      </w:r>
      <w:r w:rsidRPr="00B7681B">
        <w:rPr>
          <w:iCs/>
        </w:rPr>
        <w:t xml:space="preserve">elevant </w:t>
      </w:r>
      <w:r w:rsidR="0034343C" w:rsidRPr="00B7681B">
        <w:rPr>
          <w:iCs/>
        </w:rPr>
        <w:t xml:space="preserve">health, character and other </w:t>
      </w:r>
      <w:r w:rsidRPr="00B7681B">
        <w:rPr>
          <w:iCs/>
        </w:rPr>
        <w:t xml:space="preserve">public </w:t>
      </w:r>
      <w:r w:rsidR="0034343C" w:rsidRPr="00B7681B">
        <w:rPr>
          <w:iCs/>
        </w:rPr>
        <w:t>interest criteria</w:t>
      </w:r>
      <w:r w:rsidR="00C7252B">
        <w:rPr>
          <w:iCs/>
        </w:rPr>
        <w:t xml:space="preserve"> for the grant of the permanent visa.</w:t>
      </w:r>
    </w:p>
    <w:p w:rsidR="001B40E8" w:rsidRPr="00F61976" w:rsidRDefault="001B40E8" w:rsidP="00303169">
      <w:pPr>
        <w:spacing w:before="0"/>
        <w:ind w:right="91"/>
        <w:rPr>
          <w:szCs w:val="24"/>
        </w:rPr>
      </w:pPr>
    </w:p>
    <w:p w:rsidR="0034343C" w:rsidRDefault="0034343C" w:rsidP="00303169">
      <w:pPr>
        <w:spacing w:before="0"/>
        <w:ind w:right="91"/>
        <w:rPr>
          <w:szCs w:val="24"/>
        </w:rPr>
      </w:pPr>
      <w:r>
        <w:rPr>
          <w:szCs w:val="24"/>
        </w:rPr>
        <w:t xml:space="preserve">The changes </w:t>
      </w:r>
      <w:r w:rsidR="006D0517">
        <w:rPr>
          <w:szCs w:val="24"/>
        </w:rPr>
        <w:t>address concerns raised by r</w:t>
      </w:r>
      <w:r w:rsidR="00C7252B">
        <w:rPr>
          <w:szCs w:val="24"/>
        </w:rPr>
        <w:t xml:space="preserve">etiree advocacy groups </w:t>
      </w:r>
      <w:r>
        <w:rPr>
          <w:szCs w:val="24"/>
        </w:rPr>
        <w:t xml:space="preserve">and were developed in consultation with the Departments of Health, Human Services, Social Services, Treasury and Finance.  </w:t>
      </w:r>
    </w:p>
    <w:p w:rsidR="0034343C" w:rsidRDefault="0034343C" w:rsidP="00303169">
      <w:pPr>
        <w:spacing w:before="0"/>
        <w:ind w:right="91"/>
        <w:rPr>
          <w:szCs w:val="24"/>
        </w:rPr>
      </w:pPr>
    </w:p>
    <w:p w:rsidR="007F0DAD" w:rsidRPr="00F61976" w:rsidRDefault="007F0DAD" w:rsidP="00303169">
      <w:pPr>
        <w:spacing w:before="0"/>
        <w:ind w:right="91"/>
        <w:rPr>
          <w:szCs w:val="24"/>
        </w:rPr>
      </w:pPr>
      <w:r w:rsidRPr="00F61976">
        <w:rPr>
          <w:szCs w:val="24"/>
        </w:rPr>
        <w:t xml:space="preserve">A Statement of Compatibility with Human Rights (the Statement) has been completed in accordance with the </w:t>
      </w:r>
      <w:r w:rsidRPr="00F61976">
        <w:rPr>
          <w:i/>
          <w:iCs/>
          <w:szCs w:val="24"/>
        </w:rPr>
        <w:t>Human Rights (Parliamentary Scrutiny) Act 2011</w:t>
      </w:r>
      <w:r w:rsidRPr="00F61976">
        <w:rPr>
          <w:szCs w:val="24"/>
        </w:rPr>
        <w:t xml:space="preserve">. The overall assessment is that the Regulations are compatible with human rights. A copy of the Statement is at </w:t>
      </w:r>
      <w:r w:rsidRPr="00F61976">
        <w:rPr>
          <w:szCs w:val="24"/>
          <w:u w:val="single"/>
        </w:rPr>
        <w:t>Attachment B</w:t>
      </w:r>
      <w:r w:rsidRPr="00F61976">
        <w:rPr>
          <w:szCs w:val="24"/>
        </w:rPr>
        <w:t>.</w:t>
      </w:r>
    </w:p>
    <w:p w:rsidR="00BA3235" w:rsidRPr="00F61976" w:rsidRDefault="00BA3235" w:rsidP="00303169">
      <w:pPr>
        <w:spacing w:before="0"/>
        <w:ind w:right="91"/>
        <w:rPr>
          <w:szCs w:val="24"/>
        </w:rPr>
      </w:pPr>
    </w:p>
    <w:p w:rsidR="008A615E" w:rsidRDefault="00BA3235" w:rsidP="008A615E">
      <w:pPr>
        <w:spacing w:before="0"/>
        <w:ind w:right="91"/>
      </w:pPr>
      <w:r w:rsidRPr="00F61976">
        <w:t xml:space="preserve">Details of the Regulations are set out in </w:t>
      </w:r>
      <w:r w:rsidRPr="00F61976">
        <w:rPr>
          <w:u w:val="single"/>
        </w:rPr>
        <w:t>Attachment C</w:t>
      </w:r>
      <w:r w:rsidRPr="00F61976">
        <w:t xml:space="preserve">. </w:t>
      </w:r>
    </w:p>
    <w:p w:rsidR="008A615E" w:rsidRDefault="008A615E" w:rsidP="008A615E">
      <w:pPr>
        <w:spacing w:before="0"/>
        <w:ind w:right="91"/>
      </w:pPr>
    </w:p>
    <w:p w:rsidR="008A615E" w:rsidRPr="00F61976" w:rsidRDefault="008A615E" w:rsidP="008A615E">
      <w:pPr>
        <w:spacing w:before="0"/>
        <w:ind w:right="91"/>
        <w:rPr>
          <w:szCs w:val="24"/>
        </w:rPr>
      </w:pPr>
      <w:r w:rsidRPr="00F61976">
        <w:rPr>
          <w:szCs w:val="24"/>
        </w:rPr>
        <w:t>The Office of Best Practice Regulation (the OBPR) has been consulted in relation to the amendments made by the Regulations</w:t>
      </w:r>
      <w:r w:rsidR="0034343C">
        <w:rPr>
          <w:szCs w:val="24"/>
        </w:rPr>
        <w:t xml:space="preserve">. </w:t>
      </w:r>
      <w:r w:rsidRPr="00F61976">
        <w:rPr>
          <w:szCs w:val="24"/>
        </w:rPr>
        <w:t>The OBPR reference is 2</w:t>
      </w:r>
      <w:r w:rsidR="0034343C">
        <w:rPr>
          <w:szCs w:val="24"/>
        </w:rPr>
        <w:t>3128</w:t>
      </w:r>
      <w:r w:rsidRPr="00F61976">
        <w:rPr>
          <w:szCs w:val="24"/>
        </w:rPr>
        <w:t>.</w:t>
      </w:r>
      <w:r>
        <w:rPr>
          <w:szCs w:val="24"/>
        </w:rPr>
        <w:t xml:space="preserve">  </w:t>
      </w:r>
    </w:p>
    <w:p w:rsidR="00BA3235" w:rsidRPr="00F61976" w:rsidRDefault="00BA3235" w:rsidP="00BA3235">
      <w:pPr>
        <w:spacing w:before="0"/>
        <w:ind w:right="91"/>
      </w:pPr>
    </w:p>
    <w:p w:rsidR="004B2DD2" w:rsidRPr="00F61976" w:rsidRDefault="00A669D7" w:rsidP="004B2DD2">
      <w:pPr>
        <w:tabs>
          <w:tab w:val="left" w:pos="6521"/>
        </w:tabs>
        <w:spacing w:before="0"/>
        <w:ind w:right="521"/>
        <w:rPr>
          <w:szCs w:val="24"/>
        </w:rPr>
      </w:pPr>
      <w:r w:rsidRPr="00F61976">
        <w:rPr>
          <w:szCs w:val="24"/>
        </w:rPr>
        <w:t>The Regulation</w:t>
      </w:r>
      <w:r w:rsidR="00A7789C" w:rsidRPr="00F61976">
        <w:rPr>
          <w:szCs w:val="24"/>
        </w:rPr>
        <w:t>s</w:t>
      </w:r>
      <w:r w:rsidRPr="00F61976">
        <w:rPr>
          <w:szCs w:val="24"/>
        </w:rPr>
        <w:t xml:space="preserve"> </w:t>
      </w:r>
      <w:r w:rsidR="007F0DAD" w:rsidRPr="00F61976">
        <w:rPr>
          <w:szCs w:val="24"/>
        </w:rPr>
        <w:t>are</w:t>
      </w:r>
      <w:r w:rsidRPr="00F61976">
        <w:rPr>
          <w:szCs w:val="24"/>
        </w:rPr>
        <w:t xml:space="preserve"> a legislative instrument for the purposes of the </w:t>
      </w:r>
      <w:r w:rsidR="00A7789C" w:rsidRPr="00F61976">
        <w:rPr>
          <w:i/>
        </w:rPr>
        <w:t>Legislation Act</w:t>
      </w:r>
      <w:r w:rsidR="00C33F3A" w:rsidRPr="00F61976">
        <w:rPr>
          <w:i/>
        </w:rPr>
        <w:t xml:space="preserve"> 2003</w:t>
      </w:r>
      <w:r w:rsidR="00C816BC" w:rsidRPr="00F61976">
        <w:rPr>
          <w:i/>
        </w:rPr>
        <w:t xml:space="preserve">. </w:t>
      </w:r>
    </w:p>
    <w:p w:rsidR="00A669D7" w:rsidRPr="00F61976" w:rsidRDefault="00A669D7" w:rsidP="00A669D7">
      <w:pPr>
        <w:tabs>
          <w:tab w:val="left" w:pos="6521"/>
        </w:tabs>
        <w:spacing w:before="0"/>
        <w:ind w:right="521"/>
        <w:rPr>
          <w:szCs w:val="24"/>
        </w:rPr>
      </w:pPr>
    </w:p>
    <w:p w:rsidR="004F75B9" w:rsidRDefault="00A669D7" w:rsidP="004F75B9">
      <w:pPr>
        <w:tabs>
          <w:tab w:val="left" w:pos="6521"/>
        </w:tabs>
        <w:spacing w:before="0"/>
        <w:ind w:right="521"/>
        <w:rPr>
          <w:szCs w:val="24"/>
        </w:rPr>
      </w:pPr>
      <w:r w:rsidRPr="00F61976">
        <w:rPr>
          <w:szCs w:val="24"/>
        </w:rPr>
        <w:t>The</w:t>
      </w:r>
      <w:r w:rsidR="00C33F3A" w:rsidRPr="00F61976">
        <w:rPr>
          <w:szCs w:val="24"/>
        </w:rPr>
        <w:t xml:space="preserve"> </w:t>
      </w:r>
      <w:r w:rsidRPr="00F61976">
        <w:rPr>
          <w:szCs w:val="24"/>
        </w:rPr>
        <w:t xml:space="preserve">Regulations commence </w:t>
      </w:r>
      <w:r w:rsidR="00210413" w:rsidRPr="00F61976">
        <w:rPr>
          <w:szCs w:val="24"/>
        </w:rPr>
        <w:t xml:space="preserve">on </w:t>
      </w:r>
      <w:r w:rsidR="0034343C">
        <w:rPr>
          <w:szCs w:val="24"/>
        </w:rPr>
        <w:t>17 November</w:t>
      </w:r>
      <w:r w:rsidR="004B2DD2" w:rsidRPr="00F61976">
        <w:rPr>
          <w:szCs w:val="24"/>
        </w:rPr>
        <w:t xml:space="preserve"> 2018.</w:t>
      </w:r>
    </w:p>
    <w:p w:rsidR="004F75B9" w:rsidRDefault="004F75B9">
      <w:pPr>
        <w:spacing w:before="0" w:after="200" w:line="276" w:lineRule="auto"/>
        <w:rPr>
          <w:szCs w:val="24"/>
        </w:rPr>
      </w:pPr>
      <w:r>
        <w:rPr>
          <w:szCs w:val="24"/>
        </w:rPr>
        <w:br w:type="page"/>
      </w:r>
    </w:p>
    <w:p w:rsidR="004B2DD2" w:rsidRPr="00F61976" w:rsidRDefault="004B2DD2" w:rsidP="004F75B9">
      <w:pPr>
        <w:tabs>
          <w:tab w:val="left" w:pos="6521"/>
        </w:tabs>
        <w:spacing w:before="0"/>
        <w:ind w:right="521"/>
        <w:rPr>
          <w:szCs w:val="24"/>
        </w:rPr>
      </w:pPr>
    </w:p>
    <w:p w:rsidR="007F0DAD" w:rsidRPr="00F61976" w:rsidRDefault="007F0DAD" w:rsidP="00DD3620">
      <w:pPr>
        <w:tabs>
          <w:tab w:val="left" w:pos="6521"/>
        </w:tabs>
        <w:spacing w:before="0"/>
        <w:ind w:right="521"/>
        <w:rPr>
          <w:szCs w:val="24"/>
        </w:rPr>
      </w:pPr>
    </w:p>
    <w:p w:rsidR="00A669D7" w:rsidRPr="00F61976" w:rsidRDefault="00A669D7" w:rsidP="00A669D7">
      <w:pPr>
        <w:spacing w:before="0"/>
        <w:ind w:right="42"/>
        <w:jc w:val="right"/>
        <w:rPr>
          <w:szCs w:val="24"/>
          <w:u w:val="single"/>
        </w:rPr>
      </w:pPr>
      <w:r w:rsidRPr="00F61976">
        <w:rPr>
          <w:b/>
          <w:szCs w:val="24"/>
          <w:u w:val="single"/>
        </w:rPr>
        <w:t>ATTACHMENT</w:t>
      </w:r>
      <w:r w:rsidR="007F0DAD" w:rsidRPr="00F61976">
        <w:rPr>
          <w:b/>
          <w:szCs w:val="24"/>
          <w:u w:val="single"/>
        </w:rPr>
        <w:t xml:space="preserve"> A</w:t>
      </w:r>
    </w:p>
    <w:p w:rsidR="00A669D7" w:rsidRPr="00F61976" w:rsidRDefault="00A669D7" w:rsidP="00A669D7">
      <w:pPr>
        <w:spacing w:before="0"/>
        <w:rPr>
          <w:szCs w:val="24"/>
        </w:rPr>
      </w:pPr>
    </w:p>
    <w:p w:rsidR="007F0DAD" w:rsidRPr="00F61976" w:rsidRDefault="007F0DAD" w:rsidP="007F0DAD">
      <w:pPr>
        <w:ind w:right="42"/>
        <w:jc w:val="center"/>
        <w:rPr>
          <w:b/>
          <w:bCs/>
        </w:rPr>
      </w:pPr>
      <w:r w:rsidRPr="00F61976">
        <w:rPr>
          <w:b/>
          <w:bCs/>
        </w:rPr>
        <w:t>AUTHORISING PROVISIONS</w:t>
      </w:r>
    </w:p>
    <w:p w:rsidR="007F0DAD" w:rsidRPr="00F61976" w:rsidRDefault="007F0DAD" w:rsidP="007F0DAD">
      <w:pPr>
        <w:ind w:right="42"/>
        <w:jc w:val="center"/>
        <w:rPr>
          <w:b/>
          <w:bCs/>
        </w:rPr>
      </w:pPr>
    </w:p>
    <w:p w:rsidR="00A669D7" w:rsidRPr="00F61976" w:rsidRDefault="002578DD" w:rsidP="00A669D7">
      <w:pPr>
        <w:spacing w:before="0"/>
        <w:ind w:right="42"/>
        <w:rPr>
          <w:szCs w:val="24"/>
        </w:rPr>
      </w:pPr>
      <w:r>
        <w:rPr>
          <w:szCs w:val="24"/>
        </w:rPr>
        <w:t>S</w:t>
      </w:r>
      <w:r w:rsidR="00A669D7" w:rsidRPr="00F61976">
        <w:rPr>
          <w:szCs w:val="24"/>
        </w:rPr>
        <w:t xml:space="preserve">ubsection 504(1) of the </w:t>
      </w:r>
      <w:r w:rsidR="00A669D7" w:rsidRPr="00F61976">
        <w:rPr>
          <w:i/>
          <w:szCs w:val="24"/>
        </w:rPr>
        <w:t>Migration Act 1958</w:t>
      </w:r>
      <w:r w:rsidR="00A669D7" w:rsidRPr="00F61976">
        <w:rPr>
          <w:szCs w:val="24"/>
        </w:rPr>
        <w:t xml:space="preserve"> (the Migration Act) relevantly provides that the Governor</w:t>
      </w:r>
      <w:r w:rsidR="00A669D7" w:rsidRPr="00F61976">
        <w:rPr>
          <w:szCs w:val="24"/>
        </w:rPr>
        <w:noBreakHyphen/>
        <w:t xml:space="preserve">General may make regulations, not inconsistent with the Migration Act, prescribing all matters which by the Migration Act are required or permitted to be prescribed or which are necessary or convenient to be prescribed for carrying out or giving effect to the Migration Act. </w:t>
      </w:r>
    </w:p>
    <w:p w:rsidR="00A669D7" w:rsidRPr="00F61976" w:rsidRDefault="00A669D7" w:rsidP="00A669D7">
      <w:pPr>
        <w:spacing w:before="0"/>
        <w:ind w:right="43"/>
        <w:rPr>
          <w:szCs w:val="24"/>
        </w:rPr>
      </w:pPr>
    </w:p>
    <w:p w:rsidR="00A669D7" w:rsidRPr="00F61976" w:rsidRDefault="00A669D7" w:rsidP="000E51C3">
      <w:pPr>
        <w:spacing w:before="0"/>
        <w:ind w:right="43"/>
        <w:rPr>
          <w:szCs w:val="24"/>
        </w:rPr>
      </w:pPr>
      <w:r w:rsidRPr="00F61976">
        <w:rPr>
          <w:szCs w:val="24"/>
        </w:rPr>
        <w:t>In ad</w:t>
      </w:r>
      <w:r w:rsidR="000E51C3" w:rsidRPr="00F61976">
        <w:rPr>
          <w:szCs w:val="24"/>
        </w:rPr>
        <w:t>dition, the following provision</w:t>
      </w:r>
      <w:r w:rsidR="00A51FE9" w:rsidRPr="00F61976">
        <w:rPr>
          <w:szCs w:val="24"/>
        </w:rPr>
        <w:t>s</w:t>
      </w:r>
      <w:r w:rsidRPr="00F61976">
        <w:rPr>
          <w:szCs w:val="24"/>
        </w:rPr>
        <w:t xml:space="preserve"> of the Migration Act may apply:</w:t>
      </w:r>
    </w:p>
    <w:p w:rsidR="00265E5F" w:rsidRPr="00F61976" w:rsidRDefault="00265E5F" w:rsidP="00265E5F">
      <w:pPr>
        <w:pStyle w:val="ListParagraph"/>
        <w:numPr>
          <w:ilvl w:val="0"/>
          <w:numId w:val="1"/>
        </w:numPr>
        <w:rPr>
          <w:szCs w:val="24"/>
        </w:rPr>
      </w:pPr>
      <w:r w:rsidRPr="00F61976">
        <w:rPr>
          <w:szCs w:val="24"/>
        </w:rPr>
        <w:t>subsection 31(3), which provides that the regulations may prescribe criteria for a visa or visas of a specified class;</w:t>
      </w:r>
    </w:p>
    <w:p w:rsidR="00E51F29" w:rsidRPr="00F61976" w:rsidRDefault="00E51F29" w:rsidP="00E51F29">
      <w:pPr>
        <w:pStyle w:val="ListParagraph"/>
        <w:rPr>
          <w:szCs w:val="24"/>
        </w:rPr>
      </w:pPr>
    </w:p>
    <w:p w:rsidR="00E51F29" w:rsidRPr="00F61976" w:rsidRDefault="00265E5F" w:rsidP="00E51F29">
      <w:pPr>
        <w:pStyle w:val="ListParagraph"/>
        <w:numPr>
          <w:ilvl w:val="0"/>
          <w:numId w:val="1"/>
        </w:numPr>
        <w:rPr>
          <w:szCs w:val="24"/>
        </w:rPr>
      </w:pPr>
      <w:r w:rsidRPr="00F61976">
        <w:rPr>
          <w:szCs w:val="24"/>
        </w:rPr>
        <w:t>subsection 40(1), which provides that the regulations may provide that visas or visas of a specified class may only be granted in specified circumstances;</w:t>
      </w:r>
    </w:p>
    <w:p w:rsidR="00E51F29" w:rsidRPr="00F61976" w:rsidRDefault="00E51F29" w:rsidP="00E51F29">
      <w:pPr>
        <w:pStyle w:val="ListParagraph"/>
        <w:rPr>
          <w:szCs w:val="24"/>
        </w:rPr>
      </w:pPr>
    </w:p>
    <w:p w:rsidR="00E51F29" w:rsidRPr="00F61976" w:rsidRDefault="00E51F29" w:rsidP="00E51F29">
      <w:pPr>
        <w:pStyle w:val="ListParagraph"/>
        <w:numPr>
          <w:ilvl w:val="0"/>
          <w:numId w:val="1"/>
        </w:numPr>
        <w:rPr>
          <w:szCs w:val="24"/>
        </w:rPr>
      </w:pPr>
      <w:r w:rsidRPr="00F61976">
        <w:rPr>
          <w:szCs w:val="24"/>
        </w:rPr>
        <w:t>subsection 41(1), which provides that the regulations may provide that visas, or visas of a specified class, are subject to specified conditions;</w:t>
      </w:r>
      <w:r w:rsidR="002578DD">
        <w:rPr>
          <w:szCs w:val="24"/>
        </w:rPr>
        <w:t xml:space="preserve"> </w:t>
      </w:r>
      <w:r w:rsidR="006D19BB">
        <w:rPr>
          <w:szCs w:val="24"/>
        </w:rPr>
        <w:t>and</w:t>
      </w:r>
    </w:p>
    <w:p w:rsidR="00E51F29" w:rsidRPr="00F61976" w:rsidRDefault="00E51F29" w:rsidP="00E51F29">
      <w:pPr>
        <w:pStyle w:val="ListParagraph"/>
        <w:rPr>
          <w:szCs w:val="24"/>
        </w:rPr>
      </w:pPr>
    </w:p>
    <w:p w:rsidR="00465859" w:rsidRDefault="00461442" w:rsidP="00465859">
      <w:pPr>
        <w:pStyle w:val="ListParagraph"/>
        <w:numPr>
          <w:ilvl w:val="0"/>
          <w:numId w:val="1"/>
        </w:numPr>
        <w:tabs>
          <w:tab w:val="left" w:pos="720"/>
        </w:tabs>
        <w:rPr>
          <w:szCs w:val="24"/>
        </w:rPr>
      </w:pPr>
      <w:r w:rsidRPr="00F61976">
        <w:rPr>
          <w:szCs w:val="24"/>
        </w:rPr>
        <w:t>subsection 46(3)</w:t>
      </w:r>
      <w:r w:rsidR="00265E5F" w:rsidRPr="00F61976">
        <w:rPr>
          <w:szCs w:val="24"/>
        </w:rPr>
        <w:t>, which provides that the regulations may prescribe criteria that must be satisfied for an application for a visa of a specified class to be a valid</w:t>
      </w:r>
      <w:r w:rsidR="006D19BB">
        <w:rPr>
          <w:szCs w:val="24"/>
        </w:rPr>
        <w:t xml:space="preserve"> application.</w:t>
      </w:r>
    </w:p>
    <w:p w:rsidR="002578DD" w:rsidRPr="002578DD" w:rsidRDefault="002578DD" w:rsidP="002578DD">
      <w:pPr>
        <w:pStyle w:val="ListParagraph"/>
        <w:rPr>
          <w:szCs w:val="24"/>
        </w:rPr>
      </w:pPr>
    </w:p>
    <w:p w:rsidR="00465859" w:rsidRPr="00F61976" w:rsidRDefault="00465859" w:rsidP="00465859">
      <w:pPr>
        <w:pStyle w:val="ListParagraph"/>
        <w:rPr>
          <w:szCs w:val="24"/>
        </w:rPr>
      </w:pPr>
    </w:p>
    <w:p w:rsidR="00461442" w:rsidRPr="00F61976" w:rsidRDefault="00461442" w:rsidP="00461442">
      <w:pPr>
        <w:pStyle w:val="ListParagraph"/>
        <w:rPr>
          <w:szCs w:val="24"/>
        </w:rPr>
      </w:pPr>
    </w:p>
    <w:p w:rsidR="00E51F29" w:rsidRPr="00F61976" w:rsidRDefault="00E51F29" w:rsidP="00E51F29">
      <w:pPr>
        <w:pStyle w:val="DINumberedParagraph"/>
        <w:numPr>
          <w:ilvl w:val="0"/>
          <w:numId w:val="0"/>
        </w:numPr>
        <w:tabs>
          <w:tab w:val="clear" w:pos="567"/>
          <w:tab w:val="left" w:pos="720"/>
        </w:tabs>
        <w:spacing w:after="0"/>
        <w:rPr>
          <w:rFonts w:ascii="Times New Roman" w:eastAsia="Times New Roman" w:hAnsi="Times New Roman" w:cs="Times New Roman"/>
          <w:szCs w:val="24"/>
          <w:lang w:eastAsia="en-AU"/>
        </w:rPr>
      </w:pPr>
    </w:p>
    <w:p w:rsidR="00DD3620" w:rsidRPr="00F61976" w:rsidRDefault="00DD3620">
      <w:pPr>
        <w:spacing w:before="0" w:after="200" w:line="276" w:lineRule="auto"/>
        <w:rPr>
          <w:b/>
          <w:szCs w:val="24"/>
          <w:u w:val="single"/>
        </w:rPr>
      </w:pPr>
      <w:r w:rsidRPr="00F61976">
        <w:rPr>
          <w:b/>
          <w:szCs w:val="24"/>
          <w:u w:val="single"/>
        </w:rPr>
        <w:br w:type="page"/>
      </w:r>
    </w:p>
    <w:p w:rsidR="007F0DAD" w:rsidRPr="00F61976" w:rsidRDefault="007F0DAD" w:rsidP="007F0DAD">
      <w:pPr>
        <w:tabs>
          <w:tab w:val="left" w:pos="345"/>
        </w:tabs>
        <w:spacing w:before="0"/>
        <w:ind w:right="43"/>
        <w:contextualSpacing/>
        <w:jc w:val="right"/>
        <w:rPr>
          <w:b/>
          <w:szCs w:val="24"/>
          <w:u w:val="single"/>
        </w:rPr>
      </w:pPr>
      <w:r w:rsidRPr="00F61976">
        <w:rPr>
          <w:b/>
          <w:szCs w:val="24"/>
          <w:u w:val="single"/>
        </w:rPr>
        <w:lastRenderedPageBreak/>
        <w:t>ATTACHMENT B</w:t>
      </w:r>
    </w:p>
    <w:p w:rsidR="007F0DAD" w:rsidRPr="00F61976" w:rsidRDefault="007F0DAD" w:rsidP="007F0DAD">
      <w:pPr>
        <w:tabs>
          <w:tab w:val="left" w:pos="345"/>
        </w:tabs>
        <w:spacing w:before="0"/>
        <w:ind w:right="43"/>
        <w:contextualSpacing/>
        <w:jc w:val="right"/>
        <w:rPr>
          <w:b/>
          <w:szCs w:val="24"/>
          <w:u w:val="single"/>
        </w:rPr>
      </w:pPr>
    </w:p>
    <w:p w:rsidR="00194351" w:rsidRPr="00194351" w:rsidRDefault="00194351" w:rsidP="00194351">
      <w:pPr>
        <w:pStyle w:val="Heading2"/>
        <w:jc w:val="center"/>
        <w:rPr>
          <w:b/>
          <w:color w:val="auto"/>
        </w:rPr>
      </w:pPr>
      <w:r w:rsidRPr="00194351">
        <w:rPr>
          <w:b/>
          <w:color w:val="auto"/>
        </w:rPr>
        <w:t>Statement of Compatibility with Human Rights</w:t>
      </w:r>
    </w:p>
    <w:p w:rsidR="00194351" w:rsidRDefault="00194351" w:rsidP="00194351">
      <w:pPr>
        <w:spacing w:before="120" w:after="120"/>
        <w:jc w:val="center"/>
        <w:rPr>
          <w:szCs w:val="24"/>
        </w:rPr>
      </w:pPr>
      <w:r>
        <w:rPr>
          <w:i/>
          <w:szCs w:val="24"/>
        </w:rPr>
        <w:t>Prepared in accordance with Part 3 of the Human Rights (Parliamentary Scrutiny) Act 2011</w:t>
      </w:r>
    </w:p>
    <w:p w:rsidR="00194351" w:rsidRDefault="00194351" w:rsidP="00194351">
      <w:pPr>
        <w:spacing w:before="120" w:after="120"/>
        <w:jc w:val="center"/>
        <w:rPr>
          <w:szCs w:val="24"/>
        </w:rPr>
      </w:pPr>
    </w:p>
    <w:p w:rsidR="00194351" w:rsidRPr="00194351" w:rsidRDefault="00194351" w:rsidP="00194351">
      <w:pPr>
        <w:spacing w:before="0"/>
        <w:ind w:right="91"/>
        <w:jc w:val="center"/>
        <w:rPr>
          <w:b/>
          <w:i/>
        </w:rPr>
      </w:pPr>
      <w:r w:rsidRPr="00194351">
        <w:rPr>
          <w:b/>
          <w:i/>
        </w:rPr>
        <w:t>Migration Amendment (Pathway to Permanent Residence for Retirees) Regulations 2018</w:t>
      </w:r>
    </w:p>
    <w:p w:rsidR="00194351" w:rsidRDefault="00194351" w:rsidP="00194351">
      <w:pPr>
        <w:spacing w:before="120" w:after="120"/>
        <w:jc w:val="center"/>
        <w:rPr>
          <w:szCs w:val="24"/>
        </w:rPr>
      </w:pPr>
    </w:p>
    <w:p w:rsidR="00194351" w:rsidRDefault="00194351" w:rsidP="00194351">
      <w:pPr>
        <w:spacing w:before="120" w:after="120"/>
        <w:jc w:val="center"/>
        <w:rPr>
          <w:szCs w:val="24"/>
        </w:rPr>
      </w:pPr>
      <w:r>
        <w:rPr>
          <w:szCs w:val="24"/>
        </w:rPr>
        <w:t xml:space="preserve">This Disallowable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194351" w:rsidRDefault="00194351" w:rsidP="00194351">
      <w:pPr>
        <w:pStyle w:val="Heading3"/>
      </w:pPr>
    </w:p>
    <w:p w:rsidR="00194351" w:rsidRPr="00194351" w:rsidRDefault="00194351" w:rsidP="00194351">
      <w:pPr>
        <w:pStyle w:val="Heading3"/>
        <w:rPr>
          <w:b/>
          <w:color w:val="auto"/>
        </w:rPr>
      </w:pPr>
      <w:r w:rsidRPr="00194351">
        <w:rPr>
          <w:b/>
          <w:color w:val="auto"/>
        </w:rPr>
        <w:t>Overview of the Disallowable Legislative Instrument</w:t>
      </w:r>
    </w:p>
    <w:p w:rsidR="00194351" w:rsidRPr="00D33DFC" w:rsidRDefault="00194351" w:rsidP="00194351">
      <w:pPr>
        <w:spacing w:before="120" w:after="120"/>
        <w:rPr>
          <w:szCs w:val="24"/>
        </w:rPr>
      </w:pPr>
      <w:r>
        <w:rPr>
          <w:szCs w:val="24"/>
        </w:rPr>
        <w:t xml:space="preserve">This amendment establishes a pathway to </w:t>
      </w:r>
      <w:r w:rsidRPr="00D33DFC">
        <w:rPr>
          <w:szCs w:val="24"/>
        </w:rPr>
        <w:t>permanently regularise the status of ageing and increasingly vulnerable long-term temporary residents, holders of Retirement (subclass 410) and Investor Retirement (subclass 405) visas (Retirees)</w:t>
      </w:r>
      <w:r>
        <w:rPr>
          <w:szCs w:val="24"/>
        </w:rPr>
        <w:t>,</w:t>
      </w:r>
      <w:r w:rsidRPr="00D33DFC">
        <w:rPr>
          <w:szCs w:val="24"/>
        </w:rPr>
        <w:t xml:space="preserve"> </w:t>
      </w:r>
      <w:r>
        <w:rPr>
          <w:szCs w:val="24"/>
        </w:rPr>
        <w:t>by</w:t>
      </w:r>
      <w:r w:rsidRPr="00D33DFC">
        <w:rPr>
          <w:szCs w:val="24"/>
        </w:rPr>
        <w:t xml:space="preserve"> </w:t>
      </w:r>
      <w:r>
        <w:rPr>
          <w:szCs w:val="24"/>
        </w:rPr>
        <w:t>providing them with a pathway to obtain a permanent visa</w:t>
      </w:r>
      <w:r w:rsidRPr="00D33DFC">
        <w:rPr>
          <w:szCs w:val="24"/>
        </w:rPr>
        <w:t xml:space="preserve">. </w:t>
      </w:r>
    </w:p>
    <w:p w:rsidR="00194351" w:rsidRDefault="00194351" w:rsidP="00194351">
      <w:pPr>
        <w:spacing w:before="120" w:after="120"/>
        <w:rPr>
          <w:szCs w:val="24"/>
        </w:rPr>
      </w:pPr>
      <w:r w:rsidRPr="00740261">
        <w:rPr>
          <w:szCs w:val="24"/>
        </w:rPr>
        <w:t xml:space="preserve">The Retirement visa was introduced more than 35 years ago to encourage self-supporting </w:t>
      </w:r>
      <w:r>
        <w:rPr>
          <w:szCs w:val="24"/>
        </w:rPr>
        <w:t>R</w:t>
      </w:r>
      <w:r w:rsidRPr="00740261">
        <w:rPr>
          <w:szCs w:val="24"/>
        </w:rPr>
        <w:t xml:space="preserve">etirees to bring overseas funds into the Australian economy and spend time in Australia as temporary residents at no cost to Australia’s social and welfare system. </w:t>
      </w:r>
    </w:p>
    <w:p w:rsidR="00194351" w:rsidRDefault="00194351" w:rsidP="00194351">
      <w:pPr>
        <w:spacing w:before="120" w:after="120"/>
        <w:rPr>
          <w:szCs w:val="24"/>
        </w:rPr>
      </w:pPr>
      <w:r w:rsidRPr="00A85727">
        <w:rPr>
          <w:szCs w:val="24"/>
        </w:rPr>
        <w:t xml:space="preserve">While these arrangements </w:t>
      </w:r>
      <w:r>
        <w:rPr>
          <w:szCs w:val="24"/>
        </w:rPr>
        <w:t>resulted in</w:t>
      </w:r>
      <w:r w:rsidRPr="00A85727">
        <w:rPr>
          <w:szCs w:val="24"/>
        </w:rPr>
        <w:t xml:space="preserve"> the</w:t>
      </w:r>
      <w:r>
        <w:rPr>
          <w:szCs w:val="24"/>
        </w:rPr>
        <w:t xml:space="preserve"> temporary</w:t>
      </w:r>
      <w:r w:rsidRPr="00A85727">
        <w:rPr>
          <w:szCs w:val="24"/>
        </w:rPr>
        <w:t xml:space="preserve"> entry of financially independent Retirees, this is no longer the case for many Retirees particularly since the global financial crisis and</w:t>
      </w:r>
      <w:r>
        <w:rPr>
          <w:szCs w:val="24"/>
        </w:rPr>
        <w:t xml:space="preserve"> due to</w:t>
      </w:r>
      <w:r w:rsidRPr="00A85727">
        <w:rPr>
          <w:szCs w:val="24"/>
        </w:rPr>
        <w:t xml:space="preserve"> the ageing nature of the cohort.</w:t>
      </w:r>
      <w:r>
        <w:rPr>
          <w:szCs w:val="24"/>
        </w:rPr>
        <w:t xml:space="preserve"> W</w:t>
      </w:r>
      <w:r w:rsidRPr="00A85727">
        <w:rPr>
          <w:szCs w:val="24"/>
        </w:rPr>
        <w:t xml:space="preserve">hile the majority of Retirees are from countries with Reciprocal Health Care Agreements (RHCA) with Australia, those </w:t>
      </w:r>
      <w:r>
        <w:rPr>
          <w:szCs w:val="24"/>
        </w:rPr>
        <w:t xml:space="preserve">who </w:t>
      </w:r>
      <w:r w:rsidRPr="00412D1E">
        <w:rPr>
          <w:szCs w:val="24"/>
        </w:rPr>
        <w:t xml:space="preserve">applied for their </w:t>
      </w:r>
      <w:r>
        <w:rPr>
          <w:szCs w:val="24"/>
        </w:rPr>
        <w:t xml:space="preserve">Retirement </w:t>
      </w:r>
      <w:r w:rsidRPr="00412D1E">
        <w:rPr>
          <w:szCs w:val="24"/>
        </w:rPr>
        <w:t>visa after</w:t>
      </w:r>
      <w:r>
        <w:rPr>
          <w:szCs w:val="24"/>
        </w:rPr>
        <w:t xml:space="preserve"> 1 December 1998 are </w:t>
      </w:r>
      <w:r w:rsidRPr="00412D1E">
        <w:rPr>
          <w:szCs w:val="24"/>
        </w:rPr>
        <w:t>ineligi</w:t>
      </w:r>
      <w:r>
        <w:rPr>
          <w:szCs w:val="24"/>
        </w:rPr>
        <w:t>ble for Medicare under the RHCA.</w:t>
      </w:r>
    </w:p>
    <w:p w:rsidR="00194351" w:rsidRDefault="00194351" w:rsidP="00194351">
      <w:pPr>
        <w:spacing w:before="120" w:after="120"/>
        <w:rPr>
          <w:szCs w:val="24"/>
        </w:rPr>
      </w:pPr>
      <w:r>
        <w:rPr>
          <w:szCs w:val="24"/>
        </w:rPr>
        <w:t xml:space="preserve">The majority of Retirees have resided in Australia for a significant period with no eligibility for a permanent visa. The intent of this amendment is </w:t>
      </w:r>
      <w:r w:rsidRPr="00A85727">
        <w:rPr>
          <w:szCs w:val="24"/>
        </w:rPr>
        <w:t>to address</w:t>
      </w:r>
      <w:r>
        <w:rPr>
          <w:szCs w:val="24"/>
        </w:rPr>
        <w:t xml:space="preserve"> the issues associated with their</w:t>
      </w:r>
      <w:r w:rsidRPr="00A85727">
        <w:rPr>
          <w:szCs w:val="24"/>
        </w:rPr>
        <w:t xml:space="preserve"> temporary resident status. These include concerns about the lack of government-funded</w:t>
      </w:r>
      <w:r>
        <w:rPr>
          <w:szCs w:val="24"/>
        </w:rPr>
        <w:t xml:space="preserve"> health</w:t>
      </w:r>
      <w:r w:rsidR="005A4C76">
        <w:rPr>
          <w:szCs w:val="24"/>
        </w:rPr>
        <w:t xml:space="preserve"> </w:t>
      </w:r>
      <w:r>
        <w:rPr>
          <w:szCs w:val="24"/>
        </w:rPr>
        <w:t xml:space="preserve">care and social services, </w:t>
      </w:r>
      <w:r w:rsidRPr="00A85727">
        <w:rPr>
          <w:szCs w:val="24"/>
        </w:rPr>
        <w:t>additional tax and duties imposed on foreigners purchasing properties and uncertaint</w:t>
      </w:r>
      <w:r>
        <w:rPr>
          <w:szCs w:val="24"/>
        </w:rPr>
        <w:t xml:space="preserve">y about </w:t>
      </w:r>
      <w:r w:rsidRPr="00A85727">
        <w:rPr>
          <w:szCs w:val="24"/>
        </w:rPr>
        <w:t xml:space="preserve">their </w:t>
      </w:r>
      <w:r>
        <w:rPr>
          <w:szCs w:val="24"/>
        </w:rPr>
        <w:t>future</w:t>
      </w:r>
      <w:r w:rsidRPr="00A85727">
        <w:rPr>
          <w:szCs w:val="24"/>
        </w:rPr>
        <w:t>.</w:t>
      </w:r>
    </w:p>
    <w:p w:rsidR="00194351" w:rsidRDefault="00194351" w:rsidP="00A07B58">
      <w:pPr>
        <w:spacing w:before="120" w:after="120"/>
      </w:pPr>
      <w:r w:rsidRPr="00A85727">
        <w:rPr>
          <w:szCs w:val="24"/>
        </w:rPr>
        <w:t xml:space="preserve">This measure will quarantine a portion of projected Parent migration places for Retirees. </w:t>
      </w:r>
      <w:r>
        <w:rPr>
          <w:szCs w:val="24"/>
        </w:rPr>
        <w:t xml:space="preserve">The amendment </w:t>
      </w:r>
      <w:r w:rsidRPr="00A85727">
        <w:rPr>
          <w:szCs w:val="24"/>
        </w:rPr>
        <w:t>will allow Retirees to apply for a permanent visa while in Australia through the Parent (subclass 103) or Contributory Parent (subclass 143) visa. Retirem</w:t>
      </w:r>
      <w:r>
        <w:rPr>
          <w:szCs w:val="24"/>
        </w:rPr>
        <w:t>ent visa holders will be exempt</w:t>
      </w:r>
      <w:r w:rsidRPr="00A85727">
        <w:rPr>
          <w:szCs w:val="24"/>
        </w:rPr>
        <w:t xml:space="preserve"> from </w:t>
      </w:r>
      <w:r>
        <w:rPr>
          <w:szCs w:val="24"/>
        </w:rPr>
        <w:t>certain</w:t>
      </w:r>
      <w:r w:rsidRPr="00A85727">
        <w:rPr>
          <w:szCs w:val="24"/>
        </w:rPr>
        <w:t xml:space="preserve"> parent visa requirements that they would typically be unable to meet, such as having a family sponsor and the requirement to maintain an Assurance of Support</w:t>
      </w:r>
      <w:r>
        <w:rPr>
          <w:szCs w:val="24"/>
        </w:rPr>
        <w:t>, however must meet other requirements including health and character</w:t>
      </w:r>
      <w:r w:rsidRPr="00A85727">
        <w:rPr>
          <w:szCs w:val="24"/>
        </w:rPr>
        <w:t xml:space="preserve">. </w:t>
      </w:r>
    </w:p>
    <w:p w:rsidR="00A07B58" w:rsidRDefault="00A07B58" w:rsidP="00194351">
      <w:pPr>
        <w:pStyle w:val="Heading3"/>
        <w:rPr>
          <w:b/>
          <w:color w:val="auto"/>
        </w:rPr>
      </w:pPr>
    </w:p>
    <w:p w:rsidR="00194351" w:rsidRPr="00194351" w:rsidRDefault="00194351" w:rsidP="00194351">
      <w:pPr>
        <w:pStyle w:val="Heading3"/>
        <w:rPr>
          <w:b/>
          <w:color w:val="auto"/>
        </w:rPr>
      </w:pPr>
      <w:r w:rsidRPr="00194351">
        <w:rPr>
          <w:b/>
          <w:color w:val="auto"/>
        </w:rPr>
        <w:t>Human rights implications</w:t>
      </w:r>
    </w:p>
    <w:p w:rsidR="00194351" w:rsidRDefault="00194351" w:rsidP="00194351">
      <w:pPr>
        <w:spacing w:before="120" w:after="120"/>
        <w:rPr>
          <w:szCs w:val="24"/>
        </w:rPr>
      </w:pPr>
      <w:r>
        <w:rPr>
          <w:szCs w:val="24"/>
        </w:rPr>
        <w:t>This Disallowable Legislative Instrument positively engages applicable rights or freedoms, and where it limits rights, this limitation is reasonable and proportionate.</w:t>
      </w:r>
    </w:p>
    <w:p w:rsidR="00194351" w:rsidRDefault="00194351" w:rsidP="00194351">
      <w:pPr>
        <w:spacing w:before="120" w:after="120"/>
        <w:rPr>
          <w:szCs w:val="24"/>
        </w:rPr>
      </w:pPr>
      <w:r>
        <w:rPr>
          <w:szCs w:val="24"/>
        </w:rPr>
        <w:t xml:space="preserve">Article 12 of the International Covenant on Economic, Social and Cultural Rights (ICESCR) provides the right of everyone to the enjoyment of the highest attainable standard of physical and mental health. The amendment positively affects the right to health as, if granted </w:t>
      </w:r>
      <w:r>
        <w:rPr>
          <w:szCs w:val="24"/>
        </w:rPr>
        <w:lastRenderedPageBreak/>
        <w:t xml:space="preserve">permanent residence through the Pathway, Retirees will be eligible for Medicare which, as holders of Retirement or Investor Retirement visa, they are not currently eligible for.  </w:t>
      </w:r>
    </w:p>
    <w:p w:rsidR="00194351" w:rsidRDefault="00194351" w:rsidP="00194351">
      <w:pPr>
        <w:spacing w:before="120" w:after="120"/>
        <w:rPr>
          <w:szCs w:val="24"/>
        </w:rPr>
      </w:pPr>
      <w:r>
        <w:rPr>
          <w:szCs w:val="24"/>
        </w:rPr>
        <w:t>Article 9 of the ICESCR recognises the right of everyone to social security, including social insurance. The amendment positively affects the right to social security as, if granted permanent residence through the Pathway, Retirees may be eligible for benefits that are not available to temporary residents.</w:t>
      </w:r>
    </w:p>
    <w:p w:rsidR="00194351" w:rsidRDefault="00194351" w:rsidP="00194351">
      <w:pPr>
        <w:spacing w:before="120" w:after="120"/>
        <w:rPr>
          <w:szCs w:val="24"/>
        </w:rPr>
      </w:pPr>
      <w:r w:rsidRPr="0023090D">
        <w:rPr>
          <w:szCs w:val="24"/>
        </w:rPr>
        <w:t>Under the new arrangements, parents of Australian citizens and permanent residents will continue to have access to permanent residenc</w:t>
      </w:r>
      <w:r>
        <w:rPr>
          <w:szCs w:val="24"/>
        </w:rPr>
        <w:t>e</w:t>
      </w:r>
      <w:r w:rsidRPr="0023090D">
        <w:rPr>
          <w:szCs w:val="24"/>
        </w:rPr>
        <w:t xml:space="preserve"> under the Parent</w:t>
      </w:r>
      <w:r>
        <w:rPr>
          <w:szCs w:val="24"/>
        </w:rPr>
        <w:t xml:space="preserve"> and Contributory Parent</w:t>
      </w:r>
      <w:r w:rsidRPr="0023090D">
        <w:rPr>
          <w:szCs w:val="24"/>
        </w:rPr>
        <w:t xml:space="preserve"> visa program</w:t>
      </w:r>
      <w:r>
        <w:rPr>
          <w:szCs w:val="24"/>
        </w:rPr>
        <w:t xml:space="preserve">s. The amendment means that a small number of existing Parent visa applicants will wait slightly longer to be granted permanent residence as some places are provided annually to Retirees. This is lawful as the Australian Government has the authority to grant visas and determine appropriate processing arrangements as a matter of domestic law. It is a reasonable and proportionate measure as the amendment targets vulnerable individuals who cannot currently meet the criteria for grant of a permanent visa, and may not have the ability to depart Australia and resettle in their home country, to regularise their immigration status.  </w:t>
      </w:r>
    </w:p>
    <w:p w:rsidR="00194351" w:rsidRPr="00194351" w:rsidRDefault="00194351" w:rsidP="00194351">
      <w:pPr>
        <w:pStyle w:val="Heading3"/>
        <w:rPr>
          <w:b/>
          <w:color w:val="auto"/>
        </w:rPr>
      </w:pPr>
      <w:r w:rsidRPr="00194351">
        <w:rPr>
          <w:b/>
          <w:color w:val="auto"/>
        </w:rPr>
        <w:t>Conclusion</w:t>
      </w:r>
    </w:p>
    <w:p w:rsidR="00194351" w:rsidRDefault="00194351" w:rsidP="00194351">
      <w:pPr>
        <w:spacing w:before="120" w:after="120"/>
        <w:rPr>
          <w:szCs w:val="24"/>
        </w:rPr>
      </w:pPr>
      <w:r>
        <w:rPr>
          <w:szCs w:val="24"/>
        </w:rPr>
        <w:t>This Disallowable Legislative Instrument is compatible with human rights as it promotes human rights, and because to the extent that it may limit human rights, those limitations are reasonable, necessary and proportionate.</w:t>
      </w:r>
    </w:p>
    <w:p w:rsidR="000760C7" w:rsidRDefault="000760C7" w:rsidP="005A4C76">
      <w:pPr>
        <w:keepNext/>
        <w:keepLines/>
        <w:spacing w:before="0"/>
        <w:jc w:val="center"/>
        <w:rPr>
          <w:rFonts w:eastAsiaTheme="minorHAnsi"/>
          <w:b/>
          <w:szCs w:val="24"/>
          <w:lang w:eastAsia="en-US"/>
        </w:rPr>
      </w:pPr>
    </w:p>
    <w:p w:rsidR="005A4C76" w:rsidRPr="000C71D6" w:rsidRDefault="005A4C76" w:rsidP="005A4C76">
      <w:pPr>
        <w:keepNext/>
        <w:keepLines/>
        <w:spacing w:before="0"/>
        <w:jc w:val="center"/>
        <w:rPr>
          <w:rFonts w:eastAsiaTheme="minorHAnsi"/>
          <w:b/>
          <w:szCs w:val="24"/>
          <w:lang w:eastAsia="en-US"/>
        </w:rPr>
      </w:pPr>
      <w:r w:rsidRPr="000C71D6">
        <w:rPr>
          <w:rFonts w:eastAsiaTheme="minorHAnsi"/>
          <w:b/>
          <w:szCs w:val="24"/>
          <w:lang w:eastAsia="en-US"/>
        </w:rPr>
        <w:t xml:space="preserve">The Hon </w:t>
      </w:r>
      <w:r>
        <w:rPr>
          <w:rFonts w:eastAsiaTheme="minorHAnsi"/>
          <w:b/>
          <w:szCs w:val="24"/>
          <w:lang w:eastAsia="en-US"/>
        </w:rPr>
        <w:t>David Coleman</w:t>
      </w:r>
      <w:r w:rsidRPr="000C71D6">
        <w:rPr>
          <w:rFonts w:eastAsiaTheme="minorHAnsi"/>
          <w:b/>
          <w:szCs w:val="24"/>
          <w:lang w:eastAsia="en-US"/>
        </w:rPr>
        <w:t xml:space="preserve"> MP</w:t>
      </w:r>
    </w:p>
    <w:p w:rsidR="005A4C76" w:rsidRPr="001B28A8" w:rsidRDefault="005A4C76" w:rsidP="005A4C76">
      <w:pPr>
        <w:keepNext/>
        <w:keepLines/>
        <w:spacing w:before="0"/>
        <w:jc w:val="center"/>
        <w:rPr>
          <w:rFonts w:eastAsiaTheme="minorHAnsi"/>
          <w:b/>
          <w:szCs w:val="24"/>
          <w:lang w:eastAsia="en-US"/>
        </w:rPr>
      </w:pPr>
      <w:r w:rsidRPr="001B28A8">
        <w:rPr>
          <w:b/>
          <w:szCs w:val="22"/>
        </w:rPr>
        <w:t>Minister for Immigration, Citizenship and Multicultural Affairs</w:t>
      </w:r>
    </w:p>
    <w:p w:rsidR="005A4C76" w:rsidRDefault="005A4C76" w:rsidP="005A4C76">
      <w:pPr>
        <w:spacing w:before="0"/>
      </w:pPr>
    </w:p>
    <w:p w:rsidR="005A4C76" w:rsidRDefault="005A4C76" w:rsidP="00194351">
      <w:pPr>
        <w:spacing w:before="120" w:after="120"/>
        <w:rPr>
          <w:szCs w:val="24"/>
        </w:rPr>
      </w:pPr>
    </w:p>
    <w:p w:rsidR="007F0DAD" w:rsidRDefault="007F0DAD">
      <w:pPr>
        <w:spacing w:before="0" w:after="200" w:line="276" w:lineRule="auto"/>
        <w:rPr>
          <w:szCs w:val="24"/>
        </w:rPr>
      </w:pPr>
      <w:r w:rsidRPr="00F61976">
        <w:rPr>
          <w:szCs w:val="24"/>
        </w:rPr>
        <w:br w:type="page"/>
      </w:r>
    </w:p>
    <w:p w:rsidR="005A4C76" w:rsidRPr="00F61976" w:rsidRDefault="005A4C76">
      <w:pPr>
        <w:spacing w:before="0" w:after="200" w:line="276" w:lineRule="auto"/>
        <w:rPr>
          <w:szCs w:val="24"/>
        </w:rPr>
      </w:pPr>
    </w:p>
    <w:p w:rsidR="007F0DAD" w:rsidRPr="00F61976" w:rsidRDefault="007F0DAD" w:rsidP="007F0DAD">
      <w:pPr>
        <w:tabs>
          <w:tab w:val="left" w:pos="345"/>
        </w:tabs>
        <w:spacing w:before="100" w:beforeAutospacing="1"/>
        <w:ind w:right="43"/>
        <w:contextualSpacing/>
        <w:jc w:val="right"/>
        <w:rPr>
          <w:b/>
          <w:szCs w:val="24"/>
          <w:u w:val="single"/>
        </w:rPr>
      </w:pPr>
      <w:r w:rsidRPr="00F61976">
        <w:rPr>
          <w:b/>
          <w:szCs w:val="24"/>
          <w:u w:val="single"/>
        </w:rPr>
        <w:t>ATTACHMENT C</w:t>
      </w:r>
    </w:p>
    <w:p w:rsidR="007F0DAD" w:rsidRPr="00F61976" w:rsidRDefault="007F0DAD" w:rsidP="007F0DAD">
      <w:pPr>
        <w:tabs>
          <w:tab w:val="left" w:pos="345"/>
        </w:tabs>
        <w:spacing w:before="100" w:beforeAutospacing="1"/>
        <w:ind w:right="43"/>
        <w:contextualSpacing/>
        <w:jc w:val="right"/>
        <w:rPr>
          <w:b/>
          <w:szCs w:val="24"/>
          <w:u w:val="single"/>
        </w:rPr>
      </w:pPr>
    </w:p>
    <w:p w:rsidR="0069146D" w:rsidRPr="0069146D" w:rsidRDefault="007F0DAD" w:rsidP="0069146D">
      <w:pPr>
        <w:spacing w:before="0"/>
        <w:ind w:right="91"/>
        <w:jc w:val="center"/>
        <w:rPr>
          <w:b/>
          <w:i/>
          <w:u w:val="single"/>
        </w:rPr>
      </w:pPr>
      <w:r w:rsidRPr="0069146D">
        <w:rPr>
          <w:b/>
          <w:u w:val="single"/>
        </w:rPr>
        <w:t xml:space="preserve">Details of the </w:t>
      </w:r>
      <w:r w:rsidR="0069146D" w:rsidRPr="0069146D">
        <w:rPr>
          <w:b/>
          <w:i/>
          <w:u w:val="single"/>
        </w:rPr>
        <w:t>Migration Amendment (Pathway to Permanent Residence for Retirees) Regulations 2018</w:t>
      </w:r>
    </w:p>
    <w:p w:rsidR="002B5618" w:rsidRPr="00F61976" w:rsidRDefault="002B5618" w:rsidP="002B5618">
      <w:pPr>
        <w:pStyle w:val="ItemHead"/>
        <w:keepNext w:val="0"/>
        <w:keepLines w:val="0"/>
        <w:widowControl w:val="0"/>
        <w:rPr>
          <w:rFonts w:ascii="Times New Roman" w:hAnsi="Times New Roman"/>
          <w:b w:val="0"/>
          <w:szCs w:val="24"/>
          <w:u w:val="single"/>
        </w:rPr>
      </w:pPr>
      <w:bookmarkStart w:id="1" w:name="_Toc505262124"/>
      <w:bookmarkStart w:id="2" w:name="opcAmSched"/>
      <w:bookmarkStart w:id="3" w:name="opcCurrentFind"/>
      <w:r w:rsidRPr="00F61976">
        <w:rPr>
          <w:rFonts w:ascii="Times New Roman" w:hAnsi="Times New Roman"/>
          <w:b w:val="0"/>
          <w:szCs w:val="24"/>
          <w:u w:val="single"/>
        </w:rPr>
        <w:t>Item 1 – Name</w:t>
      </w:r>
    </w:p>
    <w:p w:rsidR="00A77925" w:rsidRPr="00F61976" w:rsidRDefault="00A77925" w:rsidP="00A77925">
      <w:pPr>
        <w:spacing w:before="0"/>
        <w:ind w:right="91"/>
      </w:pPr>
    </w:p>
    <w:p w:rsidR="0069146D" w:rsidRPr="0069146D" w:rsidRDefault="002B5618" w:rsidP="0069146D">
      <w:pPr>
        <w:spacing w:before="0"/>
        <w:ind w:right="91"/>
        <w:rPr>
          <w:i/>
        </w:rPr>
      </w:pPr>
      <w:r w:rsidRPr="00F61976">
        <w:t xml:space="preserve">This item </w:t>
      </w:r>
      <w:r w:rsidR="00A77925" w:rsidRPr="00F61976">
        <w:t xml:space="preserve">provides that the name of the instrument is the </w:t>
      </w:r>
      <w:r w:rsidR="0069146D" w:rsidRPr="0069146D">
        <w:rPr>
          <w:i/>
        </w:rPr>
        <w:t>Migration Amendment (Pathway to Permanent Residence for Retirees) Regulations 2018</w:t>
      </w:r>
      <w:r w:rsidR="00644EE9">
        <w:rPr>
          <w:i/>
        </w:rPr>
        <w:t>.</w:t>
      </w:r>
    </w:p>
    <w:p w:rsidR="002B5618" w:rsidRPr="00F61976" w:rsidRDefault="002B5618" w:rsidP="00A77925">
      <w:pPr>
        <w:rPr>
          <w:b/>
          <w:szCs w:val="24"/>
          <w:u w:val="single"/>
        </w:rPr>
      </w:pPr>
      <w:r w:rsidRPr="00F61976">
        <w:rPr>
          <w:szCs w:val="24"/>
          <w:u w:val="single"/>
        </w:rPr>
        <w:t>Item 2 – Commencement</w:t>
      </w:r>
    </w:p>
    <w:p w:rsidR="00A77925" w:rsidRPr="00F61976" w:rsidRDefault="002B5618" w:rsidP="00A77925">
      <w:r w:rsidRPr="00F61976">
        <w:t xml:space="preserve">This item </w:t>
      </w:r>
      <w:r w:rsidR="00A77925" w:rsidRPr="00F61976">
        <w:t xml:space="preserve">provides that the instrument commences on </w:t>
      </w:r>
      <w:r w:rsidR="001A7D8A">
        <w:t>17 November</w:t>
      </w:r>
      <w:r w:rsidR="00A77925" w:rsidRPr="00F61976">
        <w:t xml:space="preserve"> 2018.</w:t>
      </w:r>
    </w:p>
    <w:p w:rsidR="002B5618" w:rsidRPr="00F61976" w:rsidRDefault="002B5618" w:rsidP="00A77925">
      <w:pPr>
        <w:rPr>
          <w:b/>
          <w:szCs w:val="24"/>
          <w:u w:val="single"/>
        </w:rPr>
      </w:pPr>
      <w:r w:rsidRPr="00F61976">
        <w:rPr>
          <w:szCs w:val="24"/>
          <w:u w:val="single"/>
        </w:rPr>
        <w:t>Item 3 – Authority</w:t>
      </w:r>
    </w:p>
    <w:p w:rsidR="00A77925" w:rsidRPr="00F61976" w:rsidRDefault="002B5618" w:rsidP="00A77925">
      <w:r w:rsidRPr="00F61976">
        <w:t xml:space="preserve">This item </w:t>
      </w:r>
      <w:r w:rsidR="00A77925" w:rsidRPr="00F61976">
        <w:t xml:space="preserve">provides that the instrument is made under the </w:t>
      </w:r>
      <w:r w:rsidR="00A77925" w:rsidRPr="00F61976">
        <w:rPr>
          <w:i/>
        </w:rPr>
        <w:t>Migration Act 1958</w:t>
      </w:r>
      <w:r w:rsidR="00EB253F">
        <w:rPr>
          <w:i/>
        </w:rPr>
        <w:t xml:space="preserve"> </w:t>
      </w:r>
      <w:r w:rsidR="00EB253F">
        <w:t>(the Migration Act)</w:t>
      </w:r>
      <w:r w:rsidR="00A77925" w:rsidRPr="00F61976">
        <w:t>.</w:t>
      </w:r>
    </w:p>
    <w:p w:rsidR="002B5618" w:rsidRPr="00F61976" w:rsidRDefault="002B5618" w:rsidP="00A77925">
      <w:pPr>
        <w:rPr>
          <w:b/>
          <w:szCs w:val="24"/>
          <w:u w:val="single"/>
        </w:rPr>
      </w:pPr>
      <w:r w:rsidRPr="00F61976">
        <w:rPr>
          <w:szCs w:val="24"/>
          <w:u w:val="single"/>
        </w:rPr>
        <w:t>Item 4 – Schedules</w:t>
      </w:r>
    </w:p>
    <w:p w:rsidR="00505BBD" w:rsidRPr="00F61976" w:rsidRDefault="002B5618" w:rsidP="00A77925">
      <w:r w:rsidRPr="00F61976">
        <w:t xml:space="preserve">This item </w:t>
      </w:r>
      <w:r w:rsidR="00A77925" w:rsidRPr="00F61976">
        <w:t>provides for the effect of the Schedules to the instrument.</w:t>
      </w:r>
    </w:p>
    <w:p w:rsidR="00A77925" w:rsidRPr="00F61976" w:rsidRDefault="00A77925" w:rsidP="001B40E8">
      <w:pPr>
        <w:pStyle w:val="ActHead6"/>
        <w:keepNext w:val="0"/>
        <w:keepLines w:val="0"/>
        <w:widowControl w:val="0"/>
        <w:ind w:left="0" w:firstLine="0"/>
        <w:outlineLvl w:val="9"/>
        <w:rPr>
          <w:rStyle w:val="CharAmSchNo"/>
          <w:rFonts w:ascii="Times New Roman" w:hAnsi="Times New Roman"/>
          <w:sz w:val="28"/>
          <w:szCs w:val="28"/>
        </w:rPr>
      </w:pPr>
    </w:p>
    <w:p w:rsidR="007F0DAD" w:rsidRPr="00F61976" w:rsidRDefault="007F0DAD" w:rsidP="001B40E8">
      <w:pPr>
        <w:pStyle w:val="ActHead6"/>
        <w:keepNext w:val="0"/>
        <w:keepLines w:val="0"/>
        <w:widowControl w:val="0"/>
        <w:ind w:left="0" w:firstLine="0"/>
        <w:outlineLvl w:val="9"/>
        <w:rPr>
          <w:rFonts w:ascii="Times New Roman" w:hAnsi="Times New Roman"/>
          <w:sz w:val="28"/>
          <w:szCs w:val="28"/>
        </w:rPr>
      </w:pPr>
      <w:r w:rsidRPr="00F61976">
        <w:rPr>
          <w:rStyle w:val="CharAmSchNo"/>
          <w:rFonts w:ascii="Times New Roman" w:hAnsi="Times New Roman"/>
          <w:sz w:val="28"/>
          <w:szCs w:val="28"/>
        </w:rPr>
        <w:t>Schedule</w:t>
      </w:r>
      <w:bookmarkStart w:id="4" w:name="BK_S3P2L1C9"/>
      <w:bookmarkEnd w:id="4"/>
      <w:r w:rsidRPr="00F61976">
        <w:rPr>
          <w:rStyle w:val="CharAmSchNo"/>
          <w:rFonts w:ascii="Times New Roman" w:hAnsi="Times New Roman"/>
          <w:sz w:val="28"/>
          <w:szCs w:val="28"/>
        </w:rPr>
        <w:t> 1</w:t>
      </w:r>
      <w:r w:rsidRPr="00F61976">
        <w:rPr>
          <w:rFonts w:ascii="Times New Roman" w:hAnsi="Times New Roman"/>
          <w:sz w:val="28"/>
          <w:szCs w:val="28"/>
        </w:rPr>
        <w:t>—</w:t>
      </w:r>
      <w:r w:rsidRPr="00F61976">
        <w:rPr>
          <w:rStyle w:val="CharAmSchText"/>
          <w:rFonts w:ascii="Times New Roman" w:hAnsi="Times New Roman"/>
          <w:sz w:val="28"/>
          <w:szCs w:val="28"/>
        </w:rPr>
        <w:t>Amendments</w:t>
      </w:r>
      <w:bookmarkEnd w:id="1"/>
    </w:p>
    <w:p w:rsidR="007F0DAD" w:rsidRPr="00F61976" w:rsidRDefault="007F0DAD" w:rsidP="001B40E8">
      <w:pPr>
        <w:pStyle w:val="ActHead9"/>
        <w:keepNext w:val="0"/>
        <w:keepLines w:val="0"/>
        <w:widowControl w:val="0"/>
        <w:rPr>
          <w:sz w:val="24"/>
          <w:szCs w:val="24"/>
        </w:rPr>
      </w:pPr>
      <w:bookmarkStart w:id="5" w:name="_Toc505262126"/>
      <w:bookmarkEnd w:id="2"/>
      <w:bookmarkEnd w:id="3"/>
      <w:r w:rsidRPr="00F61976">
        <w:rPr>
          <w:sz w:val="24"/>
          <w:szCs w:val="24"/>
        </w:rPr>
        <w:t>Migration Regulations 1994</w:t>
      </w:r>
      <w:bookmarkEnd w:id="5"/>
    </w:p>
    <w:p w:rsidR="00A07B58" w:rsidRDefault="002B5618"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Item</w:t>
      </w:r>
      <w:r w:rsidR="00A07B58">
        <w:rPr>
          <w:rFonts w:ascii="Times New Roman" w:hAnsi="Times New Roman"/>
          <w:b w:val="0"/>
          <w:szCs w:val="24"/>
          <w:u w:val="single"/>
        </w:rPr>
        <w:t xml:space="preserve">s </w:t>
      </w:r>
      <w:r w:rsidRPr="00F61976">
        <w:rPr>
          <w:rFonts w:ascii="Times New Roman" w:hAnsi="Times New Roman"/>
          <w:b w:val="0"/>
          <w:szCs w:val="24"/>
          <w:u w:val="single"/>
        </w:rPr>
        <w:t xml:space="preserve">1 </w:t>
      </w:r>
      <w:r w:rsidR="00A07B58">
        <w:rPr>
          <w:rFonts w:ascii="Times New Roman" w:hAnsi="Times New Roman"/>
          <w:b w:val="0"/>
          <w:szCs w:val="24"/>
          <w:u w:val="single"/>
        </w:rPr>
        <w:t>and 2</w:t>
      </w:r>
      <w:r w:rsidR="00EB253F">
        <w:rPr>
          <w:rFonts w:ascii="Times New Roman" w:hAnsi="Times New Roman"/>
          <w:b w:val="0"/>
          <w:szCs w:val="24"/>
          <w:u w:val="single"/>
        </w:rPr>
        <w:t xml:space="preserve"> – visas prescribed for the purpose of section 48 of the Act</w:t>
      </w:r>
    </w:p>
    <w:p w:rsidR="00A07B58" w:rsidRDefault="00A07B58" w:rsidP="00B31003">
      <w:r>
        <w:t xml:space="preserve">These items amend regulation 2.12 of the </w:t>
      </w:r>
      <w:r w:rsidRPr="00272D5D">
        <w:rPr>
          <w:i/>
        </w:rPr>
        <w:t>Migration Regulations</w:t>
      </w:r>
      <w:r w:rsidR="00272D5D" w:rsidRPr="00272D5D">
        <w:rPr>
          <w:i/>
        </w:rPr>
        <w:t xml:space="preserve"> 1994</w:t>
      </w:r>
      <w:r w:rsidR="00272D5D">
        <w:t xml:space="preserve"> (the Migration Regulations)</w:t>
      </w:r>
      <w:r>
        <w:t xml:space="preserve">. For the purpose of section 48 of the </w:t>
      </w:r>
      <w:r w:rsidR="00272D5D">
        <w:t xml:space="preserve">Migration </w:t>
      </w:r>
      <w:r>
        <w:t>Act, regulation 2.12 prescribes the visas that may be applied for by a non-citizen in Australia who does not hold a substantive visa and who has had a visa refused or cancelled</w:t>
      </w:r>
      <w:r w:rsidR="00A73516">
        <w:t xml:space="preserve"> since last entering Australia</w:t>
      </w:r>
      <w:r>
        <w:t>. The purpose of section 48 is to prevent non-citizens from remaining indefinitely in Australia by continuing to apply for further visas.</w:t>
      </w:r>
    </w:p>
    <w:p w:rsidR="00B31003" w:rsidRDefault="00F20D61" w:rsidP="00B31003">
      <w:r>
        <w:t xml:space="preserve">Item 2 </w:t>
      </w:r>
      <w:r w:rsidR="00644EE9">
        <w:t xml:space="preserve">includes </w:t>
      </w:r>
      <w:r>
        <w:t xml:space="preserve">the Retirement (Temporary) (Class TQ) visa </w:t>
      </w:r>
      <w:r w:rsidR="00E359C0">
        <w:t>(Subclass 4</w:t>
      </w:r>
      <w:r w:rsidR="00042670">
        <w:t>10</w:t>
      </w:r>
      <w:r w:rsidR="00E359C0">
        <w:t xml:space="preserve"> (Retirement)) </w:t>
      </w:r>
      <w:r>
        <w:t xml:space="preserve">and the Investor Retirement (Class UY) visa </w:t>
      </w:r>
      <w:r w:rsidR="00E359C0">
        <w:t>(Subclass 4</w:t>
      </w:r>
      <w:r w:rsidR="00042670">
        <w:t>05</w:t>
      </w:r>
      <w:r w:rsidR="00E359C0">
        <w:t xml:space="preserve"> (Investor Retirement)</w:t>
      </w:r>
      <w:r w:rsidR="00272D5D">
        <w:t>)</w:t>
      </w:r>
      <w:r w:rsidR="00E359C0">
        <w:t xml:space="preserve"> </w:t>
      </w:r>
      <w:r>
        <w:t>in regulation 2.12. Th</w:t>
      </w:r>
      <w:r w:rsidR="00A73516">
        <w:t>is will allow f</w:t>
      </w:r>
      <w:r>
        <w:t>ormer holders of these visas</w:t>
      </w:r>
      <w:r w:rsidR="00A07B58">
        <w:t xml:space="preserve"> </w:t>
      </w:r>
      <w:r w:rsidRPr="00272D5D">
        <w:t>(</w:t>
      </w:r>
      <w:r>
        <w:t>retirees)</w:t>
      </w:r>
      <w:r w:rsidR="00A07B58">
        <w:t xml:space="preserve"> </w:t>
      </w:r>
      <w:r>
        <w:t>to apply for another retirement visa despite the refusal of a parent visa application. This regulation is providing a pathway to permanent residence for retirees via the Subclass 103 (Parent) visa or the Subclass 143 (Contributory Parent) visa</w:t>
      </w:r>
      <w:r w:rsidR="00E359C0">
        <w:t>.</w:t>
      </w:r>
      <w:r>
        <w:t xml:space="preserve"> </w:t>
      </w:r>
      <w:r w:rsidR="00644EE9">
        <w:t xml:space="preserve">Applications </w:t>
      </w:r>
      <w:r w:rsidR="00A27700">
        <w:t xml:space="preserve">for parent visas </w:t>
      </w:r>
      <w:r w:rsidR="00644EE9">
        <w:t xml:space="preserve">by some retirees may be refused. For example, the health criteria for the parent visas are more restrictive than the health criteria for the retirement visas. Without this amendment, </w:t>
      </w:r>
      <w:r w:rsidR="00A73516">
        <w:t xml:space="preserve">the refusal of the parent visa application would mean that the </w:t>
      </w:r>
      <w:r w:rsidR="00644EE9">
        <w:t xml:space="preserve">retiree would not be able to apply for another retirement visa. The amendment ensures that retirees </w:t>
      </w:r>
      <w:r w:rsidR="00A73516">
        <w:t xml:space="preserve">have the option of </w:t>
      </w:r>
      <w:r w:rsidR="00644EE9">
        <w:t>continu</w:t>
      </w:r>
      <w:r w:rsidR="00A73516">
        <w:t xml:space="preserve">ing </w:t>
      </w:r>
      <w:r w:rsidR="00644EE9">
        <w:t xml:space="preserve">to live in Australia </w:t>
      </w:r>
      <w:r w:rsidR="00A73516">
        <w:t xml:space="preserve">on a retirement visa </w:t>
      </w:r>
      <w:r w:rsidR="00644EE9">
        <w:t>even if they are not able to proceed to permanent residence.</w:t>
      </w:r>
    </w:p>
    <w:p w:rsidR="00E359C0" w:rsidRPr="00F61976" w:rsidRDefault="00E359C0" w:rsidP="00B31003">
      <w:r>
        <w:lastRenderedPageBreak/>
        <w:t xml:space="preserve">The inclusion of the retirement visas in regulation 2.12 does not mean that non-citizens who are not retirees can apply for a retirement visa. The retirement visas are closed to applicants other than current holders and former holders who have not held another substantive visa since the cessation of the retirement visa. The only </w:t>
      </w:r>
      <w:r w:rsidR="00042670">
        <w:t xml:space="preserve">remaining </w:t>
      </w:r>
      <w:r>
        <w:t>exception</w:t>
      </w:r>
      <w:r w:rsidR="00390759">
        <w:t xml:space="preserve">, </w:t>
      </w:r>
      <w:r>
        <w:t xml:space="preserve">for spouses </w:t>
      </w:r>
      <w:r w:rsidR="00390759">
        <w:t xml:space="preserve">and de facto partners </w:t>
      </w:r>
      <w:r>
        <w:t xml:space="preserve">of retirees who hold or held a </w:t>
      </w:r>
      <w:r w:rsidR="00042670">
        <w:t>Subclass 410 (Retirement) visa</w:t>
      </w:r>
      <w:r w:rsidR="00390759">
        <w:t xml:space="preserve">, </w:t>
      </w:r>
      <w:r w:rsidR="00042670">
        <w:t xml:space="preserve">is removed by items 7 to 9 below.  </w:t>
      </w:r>
    </w:p>
    <w:p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Item</w:t>
      </w:r>
      <w:r w:rsidR="00005F5C">
        <w:rPr>
          <w:rFonts w:ascii="Times New Roman" w:hAnsi="Times New Roman"/>
          <w:b w:val="0"/>
          <w:szCs w:val="24"/>
          <w:u w:val="single"/>
        </w:rPr>
        <w:t xml:space="preserve">s </w:t>
      </w:r>
      <w:r w:rsidR="002B5618" w:rsidRPr="00F61976">
        <w:rPr>
          <w:rFonts w:ascii="Times New Roman" w:hAnsi="Times New Roman"/>
          <w:b w:val="0"/>
          <w:szCs w:val="24"/>
          <w:u w:val="single"/>
        </w:rPr>
        <w:t>3</w:t>
      </w:r>
      <w:r w:rsidRPr="00F61976">
        <w:rPr>
          <w:rFonts w:ascii="Times New Roman" w:hAnsi="Times New Roman"/>
          <w:b w:val="0"/>
          <w:szCs w:val="24"/>
          <w:u w:val="single"/>
        </w:rPr>
        <w:t xml:space="preserve"> </w:t>
      </w:r>
      <w:r w:rsidR="00005F5C">
        <w:rPr>
          <w:rFonts w:ascii="Times New Roman" w:hAnsi="Times New Roman"/>
          <w:b w:val="0"/>
          <w:szCs w:val="24"/>
          <w:u w:val="single"/>
        </w:rPr>
        <w:t xml:space="preserve">to 4 </w:t>
      </w:r>
      <w:r w:rsidR="00EB253F">
        <w:rPr>
          <w:rFonts w:ascii="Times New Roman" w:hAnsi="Times New Roman"/>
          <w:b w:val="0"/>
          <w:szCs w:val="24"/>
          <w:u w:val="single"/>
        </w:rPr>
        <w:t>– requirements to make a valid application for a Subclass 103 (Parent) visa</w:t>
      </w:r>
    </w:p>
    <w:p w:rsidR="000D49CB" w:rsidRDefault="000D49CB" w:rsidP="000D49CB">
      <w:r w:rsidRPr="00F61976">
        <w:t>Th</w:t>
      </w:r>
      <w:r w:rsidR="00005F5C">
        <w:t>ese</w:t>
      </w:r>
      <w:r w:rsidRPr="00F61976">
        <w:t xml:space="preserve"> item</w:t>
      </w:r>
      <w:r w:rsidR="00005F5C">
        <w:t>s insert additional criteria into item 1124 of Schedule 1</w:t>
      </w:r>
      <w:r w:rsidR="0094721E">
        <w:t xml:space="preserve"> to the Migration Regulations</w:t>
      </w:r>
      <w:r w:rsidR="00005F5C">
        <w:t xml:space="preserve">, which sets out requirements for making a valid application for a Subclass 103 (Parent) visa. The additional </w:t>
      </w:r>
      <w:r w:rsidR="00AC05BC">
        <w:t xml:space="preserve">criteria </w:t>
      </w:r>
      <w:r w:rsidR="00005F5C">
        <w:t xml:space="preserve">apply to applicants who are seeking to satisfy the </w:t>
      </w:r>
      <w:r w:rsidR="00AC05BC">
        <w:t>retiree pathway</w:t>
      </w:r>
      <w:r w:rsidR="003A4480">
        <w:t xml:space="preserve"> as a primary applicant or as a spouse or de</w:t>
      </w:r>
      <w:r w:rsidR="005A4C76">
        <w:t xml:space="preserve"> </w:t>
      </w:r>
      <w:r w:rsidR="003A4480">
        <w:t>facto partner of the primary applicant</w:t>
      </w:r>
      <w:r w:rsidR="000C4ABE">
        <w:t>.</w:t>
      </w:r>
    </w:p>
    <w:p w:rsidR="00005F5C" w:rsidRDefault="00005F5C" w:rsidP="000D49CB">
      <w:r>
        <w:t>The effect of the amendments is that appli</w:t>
      </w:r>
      <w:r w:rsidR="000C4ABE">
        <w:t>c</w:t>
      </w:r>
      <w:r>
        <w:t>ants:</w:t>
      </w:r>
    </w:p>
    <w:p w:rsidR="000C4ABE" w:rsidRDefault="00005F5C" w:rsidP="00005F5C">
      <w:pPr>
        <w:pStyle w:val="ListParagraph"/>
        <w:numPr>
          <w:ilvl w:val="0"/>
          <w:numId w:val="1"/>
        </w:numPr>
      </w:pPr>
      <w:r>
        <w:t>must be in Australia (but not in immigration clearance) to apply</w:t>
      </w:r>
      <w:r w:rsidR="00AC05BC">
        <w:t>. T</w:t>
      </w:r>
      <w:r>
        <w:t xml:space="preserve">he amendments </w:t>
      </w:r>
      <w:r w:rsidR="00B06C4F">
        <w:t>are intended to assist</w:t>
      </w:r>
      <w:r>
        <w:t xml:space="preserve"> retirees who are living in Australia and are </w:t>
      </w:r>
      <w:r w:rsidR="00AC05BC">
        <w:t xml:space="preserve">adversely affected by </w:t>
      </w:r>
      <w:r>
        <w:t>lack of access to permanent residence</w:t>
      </w:r>
      <w:r w:rsidR="000C4ABE">
        <w:t>. If eligible retirees are living outside Australia they will need to return to Australia to apply;</w:t>
      </w:r>
      <w:r w:rsidR="00B06C4F">
        <w:t xml:space="preserve"> </w:t>
      </w:r>
    </w:p>
    <w:p w:rsidR="00AC05BC" w:rsidRDefault="00AC05BC" w:rsidP="00AC05BC">
      <w:pPr>
        <w:pStyle w:val="ListParagraph"/>
      </w:pPr>
    </w:p>
    <w:p w:rsidR="00005F5C" w:rsidRDefault="00B06C4F" w:rsidP="00005F5C">
      <w:pPr>
        <w:pStyle w:val="ListParagraph"/>
        <w:numPr>
          <w:ilvl w:val="0"/>
          <w:numId w:val="1"/>
        </w:numPr>
      </w:pPr>
      <w:r>
        <w:t>must have held a Subclass 405 (Investor Retirement) visa or a Subclass 410 (Retirement) visa on 8 May 2018</w:t>
      </w:r>
      <w:r w:rsidR="0006707B">
        <w:t>,</w:t>
      </w:r>
      <w:r>
        <w:t xml:space="preserve"> or not have held any substantive visa on that date </w:t>
      </w:r>
      <w:r w:rsidR="0006707B">
        <w:t xml:space="preserve">and </w:t>
      </w:r>
      <w:r>
        <w:t xml:space="preserve">the last substantive visa held </w:t>
      </w:r>
      <w:r w:rsidR="00AC05BC">
        <w:t xml:space="preserve">prior to that date </w:t>
      </w:r>
      <w:r>
        <w:t xml:space="preserve">was </w:t>
      </w:r>
      <w:r w:rsidR="00AC05BC">
        <w:t>one of those visas</w:t>
      </w:r>
      <w:r>
        <w:t>; and</w:t>
      </w:r>
    </w:p>
    <w:p w:rsidR="00AC05BC" w:rsidRDefault="00AC05BC" w:rsidP="00AC05BC">
      <w:pPr>
        <w:pStyle w:val="ListParagraph"/>
      </w:pPr>
    </w:p>
    <w:p w:rsidR="00B06C4F" w:rsidRDefault="00B06C4F" w:rsidP="00005F5C">
      <w:pPr>
        <w:pStyle w:val="ListParagraph"/>
        <w:numPr>
          <w:ilvl w:val="0"/>
          <w:numId w:val="1"/>
        </w:numPr>
      </w:pPr>
      <w:r>
        <w:t xml:space="preserve">must not have held any substantive visa, other than a Subclass 405 (Investor Retirement) visa or a Subclass 410 (Retirement) visa, </w:t>
      </w:r>
      <w:r w:rsidR="00AC05BC">
        <w:t xml:space="preserve">from </w:t>
      </w:r>
      <w:r>
        <w:t xml:space="preserve">8 May 2018 </w:t>
      </w:r>
      <w:r w:rsidR="00AC05BC">
        <w:t>to the date of the parent visa application</w:t>
      </w:r>
      <w:r>
        <w:t>.</w:t>
      </w:r>
    </w:p>
    <w:p w:rsidR="00B06C4F" w:rsidRDefault="00332018" w:rsidP="00B06C4F">
      <w:r>
        <w:t xml:space="preserve">The date </w:t>
      </w:r>
      <w:r w:rsidR="00B06C4F">
        <w:t xml:space="preserve">8 May 2018 was the date of the Federal Budget, </w:t>
      </w:r>
      <w:r>
        <w:t xml:space="preserve">which announced the pathway for retirees. </w:t>
      </w:r>
      <w:r w:rsidR="00B06C4F">
        <w:t xml:space="preserve">The intention is to </w:t>
      </w:r>
      <w:r w:rsidR="00F02355">
        <w:t>assist</w:t>
      </w:r>
      <w:r w:rsidR="00B06C4F">
        <w:t xml:space="preserve"> persons who </w:t>
      </w:r>
      <w:r>
        <w:t xml:space="preserve">held retirement visas at that time. </w:t>
      </w:r>
      <w:r w:rsidR="00F02355">
        <w:t>Persons granted an initial retirement visa after 8 May 2018 do not require assistance</w:t>
      </w:r>
      <w:r w:rsidR="009D77BB">
        <w:t xml:space="preserve"> and need to make their own assessment about whether long term temporary residence in Australia on a retirement visa is a viable option</w:t>
      </w:r>
      <w:r w:rsidR="00F02355">
        <w:t xml:space="preserve">. The Subclass 405 (Investor Retirement) visa was closed to new applicants on 1 June 2018. The Subclass 410 (Retirement) visa has been closed to new applicants, other than spouses </w:t>
      </w:r>
      <w:r>
        <w:t xml:space="preserve">and de facto partners </w:t>
      </w:r>
      <w:r w:rsidR="00F02355">
        <w:t xml:space="preserve">of existing holders, since </w:t>
      </w:r>
      <w:r w:rsidR="0006707B">
        <w:t xml:space="preserve">1 July 2005. The visa will be closed to </w:t>
      </w:r>
      <w:r>
        <w:t xml:space="preserve">all new applicants </w:t>
      </w:r>
      <w:r w:rsidR="0006707B">
        <w:t>on 1</w:t>
      </w:r>
      <w:r w:rsidR="005A4C76">
        <w:t>7</w:t>
      </w:r>
      <w:r w:rsidR="0006707B">
        <w:t xml:space="preserve"> November 2018 (item 7 below). </w:t>
      </w:r>
    </w:p>
    <w:p w:rsidR="0006707B" w:rsidRPr="00F61976" w:rsidRDefault="0006707B" w:rsidP="00B06C4F">
      <w:r>
        <w:t xml:space="preserve">The inclusion of these criteria in Schedule 1 to the Migration Regulations will prevent retirees from making futile visa applications. If the core requirements listed above are not met, the visa application will not be valid and the Department will advise the applicant </w:t>
      </w:r>
      <w:r w:rsidR="00CA11D2">
        <w:t xml:space="preserve">accordingly </w:t>
      </w:r>
      <w:r>
        <w:t>and return the visa application charge</w:t>
      </w:r>
      <w:r w:rsidR="0003193F">
        <w:t xml:space="preserve"> (VAC)</w:t>
      </w:r>
      <w:r>
        <w:t xml:space="preserve">. </w:t>
      </w:r>
    </w:p>
    <w:p w:rsidR="007F0DAD" w:rsidRPr="00F61976" w:rsidRDefault="007F0DAD" w:rsidP="00EB253F">
      <w:pPr>
        <w:pStyle w:val="ItemHead"/>
        <w:keepNext w:val="0"/>
        <w:keepLines w:val="0"/>
        <w:widowControl w:val="0"/>
        <w:ind w:left="0" w:firstLine="0"/>
        <w:rPr>
          <w:rFonts w:ascii="Times New Roman" w:hAnsi="Times New Roman"/>
          <w:b w:val="0"/>
          <w:szCs w:val="24"/>
          <w:u w:val="single"/>
        </w:rPr>
      </w:pPr>
      <w:r w:rsidRPr="00F61976">
        <w:rPr>
          <w:rFonts w:ascii="Times New Roman" w:hAnsi="Times New Roman"/>
          <w:b w:val="0"/>
          <w:szCs w:val="24"/>
          <w:u w:val="single"/>
        </w:rPr>
        <w:t>Item</w:t>
      </w:r>
      <w:r w:rsidR="0006707B">
        <w:rPr>
          <w:rFonts w:ascii="Times New Roman" w:hAnsi="Times New Roman"/>
          <w:b w:val="0"/>
          <w:szCs w:val="24"/>
          <w:u w:val="single"/>
        </w:rPr>
        <w:t>s</w:t>
      </w:r>
      <w:r w:rsidRPr="00F61976">
        <w:rPr>
          <w:rFonts w:ascii="Times New Roman" w:hAnsi="Times New Roman"/>
          <w:b w:val="0"/>
          <w:szCs w:val="24"/>
          <w:u w:val="single"/>
        </w:rPr>
        <w:t xml:space="preserve"> </w:t>
      </w:r>
      <w:r w:rsidR="000B5185">
        <w:rPr>
          <w:rFonts w:ascii="Times New Roman" w:hAnsi="Times New Roman"/>
          <w:b w:val="0"/>
          <w:szCs w:val="24"/>
          <w:u w:val="single"/>
        </w:rPr>
        <w:t>5</w:t>
      </w:r>
      <w:r w:rsidRPr="00F61976">
        <w:rPr>
          <w:rFonts w:ascii="Times New Roman" w:hAnsi="Times New Roman"/>
          <w:b w:val="0"/>
          <w:szCs w:val="24"/>
          <w:u w:val="single"/>
        </w:rPr>
        <w:t xml:space="preserve"> </w:t>
      </w:r>
      <w:r w:rsidR="0006707B">
        <w:rPr>
          <w:rFonts w:ascii="Times New Roman" w:hAnsi="Times New Roman"/>
          <w:b w:val="0"/>
          <w:szCs w:val="24"/>
          <w:u w:val="single"/>
        </w:rPr>
        <w:t>to 6</w:t>
      </w:r>
      <w:r w:rsidRPr="00F61976">
        <w:rPr>
          <w:rFonts w:ascii="Times New Roman" w:hAnsi="Times New Roman"/>
          <w:b w:val="0"/>
          <w:szCs w:val="24"/>
          <w:u w:val="single"/>
        </w:rPr>
        <w:t xml:space="preserve"> </w:t>
      </w:r>
      <w:r w:rsidR="00EB253F">
        <w:rPr>
          <w:rFonts w:ascii="Times New Roman" w:hAnsi="Times New Roman"/>
          <w:b w:val="0"/>
          <w:szCs w:val="24"/>
          <w:u w:val="single"/>
        </w:rPr>
        <w:t>– requirements to make a valid application for a Subclass 143 (Contributory Parent) visa</w:t>
      </w:r>
    </w:p>
    <w:p w:rsidR="0003193F" w:rsidRDefault="00A250E5" w:rsidP="00A250E5">
      <w:r w:rsidRPr="00F61976">
        <w:t>Th</w:t>
      </w:r>
      <w:r>
        <w:t>ese</w:t>
      </w:r>
      <w:r w:rsidRPr="00F61976">
        <w:t xml:space="preserve"> item</w:t>
      </w:r>
      <w:r>
        <w:t>s insert additional criteria into item 1130 of Schedule 1</w:t>
      </w:r>
      <w:r w:rsidR="005A4C76">
        <w:t xml:space="preserve"> </w:t>
      </w:r>
      <w:r w:rsidR="0094721E">
        <w:t>to the Migration Regulations</w:t>
      </w:r>
      <w:r>
        <w:t xml:space="preserve">, which sets out the requirements for making a valid application for a Subclass 143 (Contributory Parent) visa. </w:t>
      </w:r>
      <w:r w:rsidR="00572628" w:rsidRPr="00F61976">
        <w:t>Th</w:t>
      </w:r>
      <w:r w:rsidR="00FB2BB3">
        <w:t xml:space="preserve">e items mirror </w:t>
      </w:r>
      <w:r w:rsidR="0003193F">
        <w:t xml:space="preserve">the effect of </w:t>
      </w:r>
      <w:r w:rsidR="00FB2BB3">
        <w:t>items 3 and 4</w:t>
      </w:r>
      <w:r w:rsidR="0003193F">
        <w:t xml:space="preserve"> as described above</w:t>
      </w:r>
      <w:r w:rsidR="00FB2BB3">
        <w:t xml:space="preserve">. </w:t>
      </w:r>
    </w:p>
    <w:p w:rsidR="00896202" w:rsidRDefault="00FB2BB3" w:rsidP="00A250E5">
      <w:r>
        <w:lastRenderedPageBreak/>
        <w:t xml:space="preserve">The distinction between the Subclass 103 (Parent) visa and the Subclass 143 (Contributory Parent) visa is that </w:t>
      </w:r>
      <w:r w:rsidR="00896202">
        <w:t xml:space="preserve">the </w:t>
      </w:r>
      <w:r w:rsidR="0003193F">
        <w:t xml:space="preserve">Subclass 143 </w:t>
      </w:r>
      <w:r w:rsidR="00896202">
        <w:t xml:space="preserve">visa </w:t>
      </w:r>
      <w:r w:rsidR="0003193F">
        <w:t xml:space="preserve">has </w:t>
      </w:r>
      <w:r w:rsidR="000B5185">
        <w:t xml:space="preserve">a </w:t>
      </w:r>
      <w:r>
        <w:t>higher</w:t>
      </w:r>
      <w:r w:rsidR="000B5185">
        <w:t xml:space="preserve"> </w:t>
      </w:r>
      <w:r w:rsidR="0003193F">
        <w:t>VAC</w:t>
      </w:r>
      <w:r>
        <w:t>. Th</w:t>
      </w:r>
      <w:r w:rsidR="0003193F">
        <w:t>e higher VAC</w:t>
      </w:r>
      <w:r>
        <w:t xml:space="preserve"> </w:t>
      </w:r>
      <w:r w:rsidR="00896202">
        <w:t xml:space="preserve">offsets part of </w:t>
      </w:r>
      <w:r w:rsidR="0003193F">
        <w:t xml:space="preserve">the </w:t>
      </w:r>
      <w:r w:rsidR="00A250E5">
        <w:t xml:space="preserve">future </w:t>
      </w:r>
      <w:r>
        <w:t xml:space="preserve">cost of </w:t>
      </w:r>
      <w:r w:rsidR="00A250E5">
        <w:t xml:space="preserve">health care and other </w:t>
      </w:r>
      <w:r>
        <w:t>services. The benefit to visa applicant</w:t>
      </w:r>
      <w:r w:rsidR="00A250E5">
        <w:t>s</w:t>
      </w:r>
      <w:r w:rsidR="00896202">
        <w:t xml:space="preserve"> </w:t>
      </w:r>
      <w:r>
        <w:t xml:space="preserve">is that the waiting time for the grant of </w:t>
      </w:r>
      <w:r w:rsidR="00896202">
        <w:t xml:space="preserve">the Subclass 143 </w:t>
      </w:r>
      <w:r>
        <w:t xml:space="preserve">visa </w:t>
      </w:r>
      <w:r w:rsidR="0094721E">
        <w:t xml:space="preserve">is substantially less than the waiting time for the </w:t>
      </w:r>
      <w:r w:rsidR="00896202">
        <w:t>Subclass 103 visa. T</w:t>
      </w:r>
      <w:r>
        <w:t>here is high demand for parent visas and grants are capped annually under section 85 of the Migration Act.</w:t>
      </w:r>
      <w:r w:rsidR="00A250E5">
        <w:t xml:space="preserve"> </w:t>
      </w:r>
    </w:p>
    <w:p w:rsidR="00572628" w:rsidRPr="00F61976" w:rsidRDefault="00A250E5" w:rsidP="00A250E5">
      <w:r>
        <w:t xml:space="preserve">Retirees </w:t>
      </w:r>
      <w:r w:rsidR="0094721E">
        <w:t xml:space="preserve">have a choice about </w:t>
      </w:r>
      <w:r>
        <w:t xml:space="preserve">whether to apply for the Subclass 103 (Parent) visa </w:t>
      </w:r>
      <w:r w:rsidR="00203DBF">
        <w:t xml:space="preserve">or </w:t>
      </w:r>
      <w:r>
        <w:t>the Subclass 143 (Contributory Parent) visa</w:t>
      </w:r>
      <w:r w:rsidR="0094721E">
        <w:t>, or alternatively, continue living in Australia as a temporary resident on a retirement visa without applying for permanent residence.</w:t>
      </w:r>
    </w:p>
    <w:p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Item</w:t>
      </w:r>
      <w:r w:rsidR="000B5185">
        <w:rPr>
          <w:rFonts w:ascii="Times New Roman" w:hAnsi="Times New Roman"/>
          <w:b w:val="0"/>
          <w:szCs w:val="24"/>
          <w:u w:val="single"/>
        </w:rPr>
        <w:t>s</w:t>
      </w:r>
      <w:r w:rsidRPr="00F61976">
        <w:rPr>
          <w:rFonts w:ascii="Times New Roman" w:hAnsi="Times New Roman"/>
          <w:b w:val="0"/>
          <w:szCs w:val="24"/>
          <w:u w:val="single"/>
        </w:rPr>
        <w:t xml:space="preserve"> </w:t>
      </w:r>
      <w:r w:rsidR="000B5185">
        <w:rPr>
          <w:rFonts w:ascii="Times New Roman" w:hAnsi="Times New Roman"/>
          <w:b w:val="0"/>
          <w:szCs w:val="24"/>
          <w:u w:val="single"/>
        </w:rPr>
        <w:t>7</w:t>
      </w:r>
      <w:r w:rsidRPr="00F61976">
        <w:rPr>
          <w:rFonts w:ascii="Times New Roman" w:hAnsi="Times New Roman"/>
          <w:b w:val="0"/>
          <w:szCs w:val="24"/>
          <w:u w:val="single"/>
        </w:rPr>
        <w:t xml:space="preserve"> </w:t>
      </w:r>
      <w:r w:rsidR="000B5185">
        <w:rPr>
          <w:rFonts w:ascii="Times New Roman" w:hAnsi="Times New Roman"/>
          <w:b w:val="0"/>
          <w:szCs w:val="24"/>
          <w:u w:val="single"/>
        </w:rPr>
        <w:t>to 9</w:t>
      </w:r>
      <w:r w:rsidR="00EB253F">
        <w:rPr>
          <w:rFonts w:ascii="Times New Roman" w:hAnsi="Times New Roman"/>
          <w:b w:val="0"/>
          <w:szCs w:val="24"/>
          <w:u w:val="single"/>
        </w:rPr>
        <w:t xml:space="preserve"> – closure of the Subclass 410 (Retirement) visa to new applicants</w:t>
      </w:r>
    </w:p>
    <w:p w:rsidR="003107F2" w:rsidRPr="00F61976" w:rsidRDefault="0066293F" w:rsidP="003107F2">
      <w:r w:rsidRPr="00F61976">
        <w:t>Th</w:t>
      </w:r>
      <w:r w:rsidR="000B5185">
        <w:t>ese</w:t>
      </w:r>
      <w:r w:rsidRPr="00F61976">
        <w:t xml:space="preserve"> item</w:t>
      </w:r>
      <w:r w:rsidR="000B5185">
        <w:t>s</w:t>
      </w:r>
      <w:r w:rsidRPr="00F61976">
        <w:t xml:space="preserve"> </w:t>
      </w:r>
      <w:r w:rsidR="000B5185">
        <w:t xml:space="preserve">amend subitem 1217(3) of Schedule 1 </w:t>
      </w:r>
      <w:r w:rsidR="0094721E">
        <w:t xml:space="preserve">to the Migration Regulations, </w:t>
      </w:r>
      <w:r w:rsidR="000B5185">
        <w:t xml:space="preserve">to close the Subclass 410 (Retirement) visa to new applicants with effect from 17 November 2018. From that date, the only persons who will be able to apply for a Subclass 410 visa are persons who already hold </w:t>
      </w:r>
      <w:r w:rsidR="00A23738">
        <w:t xml:space="preserve">a Subclass 410 </w:t>
      </w:r>
      <w:r w:rsidR="000B5185">
        <w:t xml:space="preserve">visa or whose last substantive visa since last entering Australia was </w:t>
      </w:r>
      <w:r w:rsidR="00A23738">
        <w:t xml:space="preserve">a Subclass 410 visa. </w:t>
      </w:r>
      <w:r w:rsidR="00AC666C">
        <w:t>This is already the position with the Subclass 405 (Investor Retirement) visa, which closed to new applicants on 1 June 2018.</w:t>
      </w:r>
    </w:p>
    <w:p w:rsidR="0066293F" w:rsidRDefault="00A23738" w:rsidP="0066293F">
      <w:r>
        <w:t>Th</w:t>
      </w:r>
      <w:r w:rsidR="007B44A0">
        <w:t>e</w:t>
      </w:r>
      <w:r>
        <w:t xml:space="preserve"> </w:t>
      </w:r>
      <w:r w:rsidR="007B44A0">
        <w:t xml:space="preserve">closure of Subclass 410 to new applicants </w:t>
      </w:r>
      <w:r>
        <w:t xml:space="preserve">will have </w:t>
      </w:r>
      <w:r w:rsidR="003107F2">
        <w:t xml:space="preserve">minimal </w:t>
      </w:r>
      <w:r w:rsidR="002B16F9">
        <w:t>impact</w:t>
      </w:r>
      <w:r>
        <w:t xml:space="preserve">, as the </w:t>
      </w:r>
      <w:r w:rsidR="002B16F9">
        <w:t xml:space="preserve">only new applicants permitted since </w:t>
      </w:r>
      <w:r>
        <w:t xml:space="preserve">1 July 2005 </w:t>
      </w:r>
      <w:r w:rsidR="00121DE4">
        <w:t xml:space="preserve">have been </w:t>
      </w:r>
      <w:r>
        <w:t>spouses and de</w:t>
      </w:r>
      <w:r w:rsidR="00CC01E2">
        <w:t xml:space="preserve"> </w:t>
      </w:r>
      <w:r>
        <w:t>facto partners</w:t>
      </w:r>
      <w:r w:rsidR="005A4C76">
        <w:t xml:space="preserve"> of Subclass 410 holders</w:t>
      </w:r>
      <w:r>
        <w:t xml:space="preserve">. </w:t>
      </w:r>
      <w:r w:rsidR="00CC01E2">
        <w:t>If a Subclass 410 holder or former holder obtains permanent residence,</w:t>
      </w:r>
      <w:r w:rsidR="005A4C76">
        <w:t xml:space="preserve"> their spouse or de facto partner may be able to apply for and be granted a partner visa</w:t>
      </w:r>
      <w:r>
        <w:t xml:space="preserve">. </w:t>
      </w:r>
    </w:p>
    <w:p w:rsidR="007B44A0" w:rsidRPr="00F61976" w:rsidRDefault="007B44A0" w:rsidP="007B44A0">
      <w:r>
        <w:t xml:space="preserve">The </w:t>
      </w:r>
      <w:r w:rsidR="002B16F9">
        <w:t xml:space="preserve">closure of </w:t>
      </w:r>
      <w:r w:rsidR="00D13801">
        <w:t xml:space="preserve">the </w:t>
      </w:r>
      <w:r w:rsidR="002B16F9">
        <w:t xml:space="preserve">Subclass 410 </w:t>
      </w:r>
      <w:r w:rsidR="00D13801">
        <w:t xml:space="preserve">visa </w:t>
      </w:r>
      <w:r w:rsidR="002B16F9">
        <w:t xml:space="preserve">to new applicants </w:t>
      </w:r>
      <w:r>
        <w:t>is necessary because of the change made by item</w:t>
      </w:r>
      <w:r w:rsidR="00D13801">
        <w:t>s</w:t>
      </w:r>
      <w:r>
        <w:t xml:space="preserve"> 1 </w:t>
      </w:r>
      <w:r w:rsidR="00D13801">
        <w:t xml:space="preserve">to 2 </w:t>
      </w:r>
      <w:r>
        <w:t xml:space="preserve">above. The closure of </w:t>
      </w:r>
      <w:r w:rsidR="00D13801">
        <w:t xml:space="preserve">the visa to </w:t>
      </w:r>
      <w:r>
        <w:t>new applicants ensures that th</w:t>
      </w:r>
      <w:r w:rsidR="00121DE4">
        <w:t>e</w:t>
      </w:r>
      <w:r w:rsidR="00AC666C">
        <w:t xml:space="preserve"> capacity to make repeat applications for </w:t>
      </w:r>
      <w:r w:rsidR="002B16F9">
        <w:t>retirement visa</w:t>
      </w:r>
      <w:r w:rsidR="00AC666C">
        <w:t>s</w:t>
      </w:r>
      <w:r w:rsidR="002B16F9">
        <w:t xml:space="preserve"> cannot be abused </w:t>
      </w:r>
      <w:r>
        <w:t xml:space="preserve">by other persons seeking to </w:t>
      </w:r>
      <w:r w:rsidR="00121DE4">
        <w:t xml:space="preserve">delay removal from </w:t>
      </w:r>
      <w:r>
        <w:t>Australia.</w:t>
      </w:r>
      <w:r w:rsidR="00D13801">
        <w:t xml:space="preserve"> </w:t>
      </w:r>
      <w:r>
        <w:t xml:space="preserve"> </w:t>
      </w:r>
    </w:p>
    <w:p w:rsidR="007B44A0" w:rsidRDefault="007B44A0" w:rsidP="001B40E8">
      <w:pPr>
        <w:pStyle w:val="DINumberedParagraph"/>
        <w:widowControl w:val="0"/>
        <w:numPr>
          <w:ilvl w:val="0"/>
          <w:numId w:val="0"/>
        </w:numPr>
        <w:tabs>
          <w:tab w:val="clear" w:pos="567"/>
          <w:tab w:val="left" w:pos="720"/>
        </w:tabs>
        <w:spacing w:after="0"/>
        <w:rPr>
          <w:rFonts w:ascii="Times New Roman" w:eastAsia="Times New Roman" w:hAnsi="Times New Roman" w:cs="Times New Roman"/>
          <w:szCs w:val="24"/>
          <w:lang w:eastAsia="en-AU"/>
        </w:rPr>
      </w:pPr>
    </w:p>
    <w:p w:rsidR="0094721E" w:rsidRDefault="0094721E" w:rsidP="001B40E8">
      <w:pPr>
        <w:pStyle w:val="DINumberedParagraph"/>
        <w:widowControl w:val="0"/>
        <w:numPr>
          <w:ilvl w:val="0"/>
          <w:numId w:val="0"/>
        </w:numPr>
        <w:tabs>
          <w:tab w:val="clear" w:pos="567"/>
          <w:tab w:val="left" w:pos="720"/>
        </w:tabs>
        <w:spacing w:after="0"/>
        <w:rPr>
          <w:rFonts w:ascii="Times New Roman" w:eastAsia="Times New Roman" w:hAnsi="Times New Roman" w:cs="Times New Roman"/>
          <w:szCs w:val="24"/>
          <w:u w:val="single"/>
          <w:lang w:eastAsia="en-AU"/>
        </w:rPr>
      </w:pPr>
      <w:r w:rsidRPr="0094721E">
        <w:rPr>
          <w:rFonts w:ascii="Times New Roman" w:eastAsia="Times New Roman" w:hAnsi="Times New Roman" w:cs="Times New Roman"/>
          <w:szCs w:val="24"/>
          <w:u w:val="single"/>
          <w:lang w:eastAsia="en-AU"/>
        </w:rPr>
        <w:t>Items 10 to 15</w:t>
      </w:r>
      <w:r w:rsidR="00A705CC">
        <w:rPr>
          <w:rFonts w:ascii="Times New Roman" w:eastAsia="Times New Roman" w:hAnsi="Times New Roman" w:cs="Times New Roman"/>
          <w:szCs w:val="24"/>
          <w:u w:val="single"/>
          <w:lang w:eastAsia="en-AU"/>
        </w:rPr>
        <w:t xml:space="preserve"> – conditions on bridging visas</w:t>
      </w:r>
    </w:p>
    <w:p w:rsidR="0094721E" w:rsidRDefault="0094721E" w:rsidP="001B40E8">
      <w:pPr>
        <w:pStyle w:val="DINumberedParagraph"/>
        <w:widowControl w:val="0"/>
        <w:numPr>
          <w:ilvl w:val="0"/>
          <w:numId w:val="0"/>
        </w:numPr>
        <w:tabs>
          <w:tab w:val="clear" w:pos="567"/>
          <w:tab w:val="left" w:pos="720"/>
        </w:tabs>
        <w:spacing w:after="0"/>
        <w:rPr>
          <w:rFonts w:ascii="Times New Roman" w:eastAsia="Times New Roman" w:hAnsi="Times New Roman" w:cs="Times New Roman"/>
          <w:szCs w:val="24"/>
          <w:u w:val="single"/>
          <w:lang w:eastAsia="en-AU"/>
        </w:rPr>
      </w:pPr>
    </w:p>
    <w:p w:rsidR="00A705CC" w:rsidRDefault="0094721E" w:rsidP="0094721E">
      <w:pPr>
        <w:pStyle w:val="DINumberedParagraph"/>
        <w:widowControl w:val="0"/>
        <w:numPr>
          <w:ilvl w:val="0"/>
          <w:numId w:val="0"/>
        </w:numPr>
        <w:tabs>
          <w:tab w:val="clear" w:pos="567"/>
          <w:tab w:val="left" w:pos="720"/>
        </w:tabs>
        <w:spacing w:after="0"/>
        <w:rPr>
          <w:rFonts w:ascii="Times New Roman" w:eastAsia="Times New Roman" w:hAnsi="Times New Roman" w:cs="Times New Roman"/>
          <w:szCs w:val="24"/>
          <w:lang w:eastAsia="en-AU"/>
        </w:rPr>
      </w:pPr>
      <w:r w:rsidRPr="0094721E">
        <w:rPr>
          <w:rFonts w:ascii="Times New Roman" w:eastAsia="Times New Roman" w:hAnsi="Times New Roman" w:cs="Times New Roman"/>
          <w:szCs w:val="24"/>
          <w:lang w:eastAsia="en-AU"/>
        </w:rPr>
        <w:t xml:space="preserve">These items amend Schedule 2 to the Migration Regulations to specify the visa conditions that </w:t>
      </w:r>
      <w:r w:rsidR="00A705CC">
        <w:rPr>
          <w:rFonts w:ascii="Times New Roman" w:eastAsia="Times New Roman" w:hAnsi="Times New Roman" w:cs="Times New Roman"/>
          <w:szCs w:val="24"/>
          <w:lang w:eastAsia="en-AU"/>
        </w:rPr>
        <w:t xml:space="preserve">apply to </w:t>
      </w:r>
      <w:r w:rsidRPr="0094721E">
        <w:rPr>
          <w:rFonts w:ascii="Times New Roman" w:eastAsia="Times New Roman" w:hAnsi="Times New Roman" w:cs="Times New Roman"/>
          <w:szCs w:val="24"/>
          <w:lang w:eastAsia="en-AU"/>
        </w:rPr>
        <w:t xml:space="preserve">bridging visas granted to retirees who are applicants for parent visas. </w:t>
      </w:r>
    </w:p>
    <w:p w:rsidR="00A705CC" w:rsidRDefault="00A705CC" w:rsidP="0094721E">
      <w:pPr>
        <w:pStyle w:val="DINumberedParagraph"/>
        <w:widowControl w:val="0"/>
        <w:numPr>
          <w:ilvl w:val="0"/>
          <w:numId w:val="0"/>
        </w:numPr>
        <w:tabs>
          <w:tab w:val="clear" w:pos="567"/>
          <w:tab w:val="left" w:pos="720"/>
        </w:tabs>
        <w:spacing w:after="0"/>
        <w:rPr>
          <w:rFonts w:ascii="Times New Roman" w:eastAsia="Times New Roman" w:hAnsi="Times New Roman" w:cs="Times New Roman"/>
          <w:szCs w:val="24"/>
          <w:lang w:eastAsia="en-AU"/>
        </w:rPr>
      </w:pPr>
    </w:p>
    <w:p w:rsidR="00460085" w:rsidRDefault="00460085" w:rsidP="0094721E">
      <w:pPr>
        <w:pStyle w:val="DINumberedParagraph"/>
        <w:widowControl w:val="0"/>
        <w:numPr>
          <w:ilvl w:val="0"/>
          <w:numId w:val="0"/>
        </w:numPr>
        <w:tabs>
          <w:tab w:val="clear" w:pos="567"/>
          <w:tab w:val="left" w:pos="720"/>
        </w:tabs>
        <w:spacing w:after="0"/>
        <w:rPr>
          <w:rFonts w:ascii="Times New Roman" w:hAnsi="Times New Roman" w:cs="Times New Roman"/>
        </w:rPr>
      </w:pPr>
      <w:r>
        <w:rPr>
          <w:rFonts w:ascii="Times New Roman" w:eastAsia="Times New Roman" w:hAnsi="Times New Roman" w:cs="Times New Roman"/>
          <w:szCs w:val="24"/>
          <w:lang w:eastAsia="en-AU"/>
        </w:rPr>
        <w:t xml:space="preserve">Retirees </w:t>
      </w:r>
      <w:r w:rsidR="0094721E">
        <w:rPr>
          <w:rFonts w:ascii="Times New Roman" w:hAnsi="Times New Roman" w:cs="Times New Roman"/>
        </w:rPr>
        <w:t>who are able to make a valid application for a Subclass 103 (Parent) visa or a Subclass 143 (Contributory Parent) visa</w:t>
      </w:r>
      <w:r w:rsidR="00535D03">
        <w:rPr>
          <w:rFonts w:ascii="Times New Roman" w:hAnsi="Times New Roman" w:cs="Times New Roman"/>
        </w:rPr>
        <w:t xml:space="preserve"> will have access to a bridging visa to maintain </w:t>
      </w:r>
      <w:r w:rsidR="005A4C76">
        <w:rPr>
          <w:rFonts w:ascii="Times New Roman" w:hAnsi="Times New Roman" w:cs="Times New Roman"/>
        </w:rPr>
        <w:t xml:space="preserve">their </w:t>
      </w:r>
      <w:r w:rsidR="00535D03">
        <w:rPr>
          <w:rFonts w:ascii="Times New Roman" w:hAnsi="Times New Roman" w:cs="Times New Roman"/>
        </w:rPr>
        <w:t xml:space="preserve">lawful status during the </w:t>
      </w:r>
      <w:r w:rsidR="00D13801">
        <w:rPr>
          <w:rFonts w:ascii="Times New Roman" w:hAnsi="Times New Roman" w:cs="Times New Roman"/>
        </w:rPr>
        <w:t xml:space="preserve">processing of the </w:t>
      </w:r>
      <w:r w:rsidR="00535D03">
        <w:rPr>
          <w:rFonts w:ascii="Times New Roman" w:hAnsi="Times New Roman" w:cs="Times New Roman"/>
        </w:rPr>
        <w:t>parent visa application. There are four bridging visas that are potentially relevant</w:t>
      </w:r>
      <w:r>
        <w:rPr>
          <w:rFonts w:ascii="Times New Roman" w:hAnsi="Times New Roman" w:cs="Times New Roman"/>
        </w:rPr>
        <w:t>:</w:t>
      </w:r>
      <w:r w:rsidR="00535D03">
        <w:rPr>
          <w:rFonts w:ascii="Times New Roman" w:hAnsi="Times New Roman" w:cs="Times New Roman"/>
        </w:rPr>
        <w:t xml:space="preserve"> Bridging visa A</w:t>
      </w:r>
      <w:r w:rsidR="00190AF3">
        <w:rPr>
          <w:rFonts w:ascii="Times New Roman" w:hAnsi="Times New Roman" w:cs="Times New Roman"/>
        </w:rPr>
        <w:t xml:space="preserve"> (item 10)</w:t>
      </w:r>
      <w:r w:rsidR="00535D03">
        <w:rPr>
          <w:rFonts w:ascii="Times New Roman" w:hAnsi="Times New Roman" w:cs="Times New Roman"/>
        </w:rPr>
        <w:t>, B</w:t>
      </w:r>
      <w:r w:rsidR="00190AF3">
        <w:rPr>
          <w:rFonts w:ascii="Times New Roman" w:hAnsi="Times New Roman" w:cs="Times New Roman"/>
        </w:rPr>
        <w:t xml:space="preserve"> (item 11)</w:t>
      </w:r>
      <w:r w:rsidR="00535D03">
        <w:rPr>
          <w:rFonts w:ascii="Times New Roman" w:hAnsi="Times New Roman" w:cs="Times New Roman"/>
        </w:rPr>
        <w:t>, C</w:t>
      </w:r>
      <w:r w:rsidR="00190AF3">
        <w:rPr>
          <w:rFonts w:ascii="Times New Roman" w:hAnsi="Times New Roman" w:cs="Times New Roman"/>
        </w:rPr>
        <w:t xml:space="preserve"> (items 12 to 14)</w:t>
      </w:r>
      <w:r w:rsidR="00535D03">
        <w:rPr>
          <w:rFonts w:ascii="Times New Roman" w:hAnsi="Times New Roman" w:cs="Times New Roman"/>
        </w:rPr>
        <w:t>, and E</w:t>
      </w:r>
      <w:r w:rsidR="00190AF3">
        <w:rPr>
          <w:rFonts w:ascii="Times New Roman" w:hAnsi="Times New Roman" w:cs="Times New Roman"/>
        </w:rPr>
        <w:t xml:space="preserve"> (item 15)</w:t>
      </w:r>
      <w:r w:rsidR="00535D03">
        <w:rPr>
          <w:rFonts w:ascii="Times New Roman" w:hAnsi="Times New Roman" w:cs="Times New Roman"/>
        </w:rPr>
        <w:t xml:space="preserve">. </w:t>
      </w:r>
    </w:p>
    <w:p w:rsidR="00460085" w:rsidRDefault="00460085" w:rsidP="0094721E">
      <w:pPr>
        <w:pStyle w:val="DINumberedParagraph"/>
        <w:widowControl w:val="0"/>
        <w:numPr>
          <w:ilvl w:val="0"/>
          <w:numId w:val="0"/>
        </w:numPr>
        <w:tabs>
          <w:tab w:val="clear" w:pos="567"/>
          <w:tab w:val="left" w:pos="720"/>
        </w:tabs>
        <w:spacing w:after="0"/>
        <w:rPr>
          <w:rFonts w:ascii="Times New Roman" w:hAnsi="Times New Roman" w:cs="Times New Roman"/>
        </w:rPr>
      </w:pPr>
    </w:p>
    <w:p w:rsidR="005A4C76" w:rsidRDefault="00460085" w:rsidP="0094721E">
      <w:pPr>
        <w:pStyle w:val="DINumberedParagraph"/>
        <w:widowControl w:val="0"/>
        <w:numPr>
          <w:ilvl w:val="0"/>
          <w:numId w:val="0"/>
        </w:numPr>
        <w:tabs>
          <w:tab w:val="clear" w:pos="567"/>
          <w:tab w:val="left" w:pos="720"/>
        </w:tabs>
        <w:spacing w:after="0"/>
        <w:rPr>
          <w:rFonts w:ascii="Times New Roman" w:hAnsi="Times New Roman" w:cs="Times New Roman"/>
        </w:rPr>
      </w:pPr>
      <w:r>
        <w:rPr>
          <w:rFonts w:ascii="Times New Roman" w:hAnsi="Times New Roman" w:cs="Times New Roman"/>
        </w:rPr>
        <w:t>R</w:t>
      </w:r>
      <w:r w:rsidR="00190AF3">
        <w:rPr>
          <w:rFonts w:ascii="Times New Roman" w:hAnsi="Times New Roman" w:cs="Times New Roman"/>
        </w:rPr>
        <w:t xml:space="preserve">etirees </w:t>
      </w:r>
      <w:r>
        <w:rPr>
          <w:rFonts w:ascii="Times New Roman" w:hAnsi="Times New Roman" w:cs="Times New Roman"/>
        </w:rPr>
        <w:t xml:space="preserve">must </w:t>
      </w:r>
      <w:r w:rsidR="00190AF3">
        <w:rPr>
          <w:rFonts w:ascii="Times New Roman" w:hAnsi="Times New Roman" w:cs="Times New Roman"/>
        </w:rPr>
        <w:t xml:space="preserve">maintain adequate health insurance in Australia </w:t>
      </w:r>
      <w:r w:rsidR="0006708B">
        <w:rPr>
          <w:rFonts w:ascii="Times New Roman" w:hAnsi="Times New Roman" w:cs="Times New Roman"/>
        </w:rPr>
        <w:t>until permanent residence</w:t>
      </w:r>
      <w:r>
        <w:rPr>
          <w:rFonts w:ascii="Times New Roman" w:hAnsi="Times New Roman" w:cs="Times New Roman"/>
        </w:rPr>
        <w:t xml:space="preserve"> i</w:t>
      </w:r>
      <w:r w:rsidR="005A4C76">
        <w:rPr>
          <w:rFonts w:ascii="Times New Roman" w:hAnsi="Times New Roman" w:cs="Times New Roman"/>
        </w:rPr>
        <w:t>s</w:t>
      </w:r>
      <w:r>
        <w:rPr>
          <w:rFonts w:ascii="Times New Roman" w:hAnsi="Times New Roman" w:cs="Times New Roman"/>
        </w:rPr>
        <w:t xml:space="preserve"> granted (condition 8501)</w:t>
      </w:r>
      <w:r w:rsidR="00190AF3">
        <w:rPr>
          <w:rFonts w:ascii="Times New Roman" w:hAnsi="Times New Roman" w:cs="Times New Roman"/>
        </w:rPr>
        <w:t xml:space="preserve">. This condition is mandatory except </w:t>
      </w:r>
      <w:r>
        <w:rPr>
          <w:rFonts w:ascii="Times New Roman" w:hAnsi="Times New Roman" w:cs="Times New Roman"/>
        </w:rPr>
        <w:t>o</w:t>
      </w:r>
      <w:r w:rsidR="00190AF3">
        <w:rPr>
          <w:rFonts w:ascii="Times New Roman" w:hAnsi="Times New Roman" w:cs="Times New Roman"/>
        </w:rPr>
        <w:t xml:space="preserve">n </w:t>
      </w:r>
      <w:r>
        <w:rPr>
          <w:rFonts w:ascii="Times New Roman" w:hAnsi="Times New Roman" w:cs="Times New Roman"/>
        </w:rPr>
        <w:t xml:space="preserve">the </w:t>
      </w:r>
      <w:r w:rsidR="00190AF3">
        <w:rPr>
          <w:rFonts w:ascii="Times New Roman" w:hAnsi="Times New Roman" w:cs="Times New Roman"/>
        </w:rPr>
        <w:t xml:space="preserve">Bridging E </w:t>
      </w:r>
      <w:r>
        <w:rPr>
          <w:rFonts w:ascii="Times New Roman" w:hAnsi="Times New Roman" w:cs="Times New Roman"/>
        </w:rPr>
        <w:t xml:space="preserve">visa, </w:t>
      </w:r>
      <w:r w:rsidR="00190AF3">
        <w:rPr>
          <w:rFonts w:ascii="Times New Roman" w:hAnsi="Times New Roman" w:cs="Times New Roman"/>
        </w:rPr>
        <w:t xml:space="preserve">where </w:t>
      </w:r>
      <w:r>
        <w:rPr>
          <w:rFonts w:ascii="Times New Roman" w:hAnsi="Times New Roman" w:cs="Times New Roman"/>
        </w:rPr>
        <w:t>imposition of the condition i</w:t>
      </w:r>
      <w:r w:rsidR="00190AF3">
        <w:rPr>
          <w:rFonts w:ascii="Times New Roman" w:hAnsi="Times New Roman" w:cs="Times New Roman"/>
        </w:rPr>
        <w:t xml:space="preserve">s discretionary to </w:t>
      </w:r>
      <w:r>
        <w:rPr>
          <w:rFonts w:ascii="Times New Roman" w:hAnsi="Times New Roman" w:cs="Times New Roman"/>
        </w:rPr>
        <w:t xml:space="preserve">cater for </w:t>
      </w:r>
      <w:r w:rsidR="00190AF3">
        <w:rPr>
          <w:rFonts w:ascii="Times New Roman" w:hAnsi="Times New Roman" w:cs="Times New Roman"/>
        </w:rPr>
        <w:t xml:space="preserve">situations where the applicant </w:t>
      </w:r>
      <w:r>
        <w:rPr>
          <w:rFonts w:ascii="Times New Roman" w:hAnsi="Times New Roman" w:cs="Times New Roman"/>
        </w:rPr>
        <w:t xml:space="preserve">cannot </w:t>
      </w:r>
      <w:r w:rsidR="00190AF3">
        <w:rPr>
          <w:rFonts w:ascii="Times New Roman" w:hAnsi="Times New Roman" w:cs="Times New Roman"/>
        </w:rPr>
        <w:t xml:space="preserve">obtain health insurance. </w:t>
      </w:r>
    </w:p>
    <w:p w:rsidR="005A4C76" w:rsidRDefault="005A4C76" w:rsidP="0094721E">
      <w:pPr>
        <w:pStyle w:val="DINumberedParagraph"/>
        <w:widowControl w:val="0"/>
        <w:numPr>
          <w:ilvl w:val="0"/>
          <w:numId w:val="0"/>
        </w:numPr>
        <w:tabs>
          <w:tab w:val="clear" w:pos="567"/>
          <w:tab w:val="left" w:pos="720"/>
        </w:tabs>
        <w:spacing w:after="0"/>
        <w:rPr>
          <w:rFonts w:ascii="Times New Roman" w:hAnsi="Times New Roman" w:cs="Times New Roman"/>
        </w:rPr>
      </w:pPr>
    </w:p>
    <w:p w:rsidR="005A4C76" w:rsidRDefault="00190AF3" w:rsidP="0094721E">
      <w:pPr>
        <w:pStyle w:val="DINumberedParagraph"/>
        <w:widowControl w:val="0"/>
        <w:numPr>
          <w:ilvl w:val="0"/>
          <w:numId w:val="0"/>
        </w:numPr>
        <w:tabs>
          <w:tab w:val="clear" w:pos="567"/>
          <w:tab w:val="left" w:pos="720"/>
        </w:tabs>
        <w:spacing w:after="0"/>
        <w:rPr>
          <w:rFonts w:ascii="Times New Roman" w:hAnsi="Times New Roman" w:cs="Times New Roman"/>
        </w:rPr>
      </w:pPr>
      <w:r>
        <w:rPr>
          <w:rFonts w:ascii="Times New Roman" w:hAnsi="Times New Roman" w:cs="Times New Roman"/>
        </w:rPr>
        <w:t xml:space="preserve">Bridging visas will also be subject to condition 8303 </w:t>
      </w:r>
      <w:r w:rsidR="0006708B">
        <w:rPr>
          <w:rFonts w:ascii="Times New Roman" w:hAnsi="Times New Roman" w:cs="Times New Roman"/>
        </w:rPr>
        <w:t xml:space="preserve">if that condition applied to the retirement visa. Condition 8303 requires the visa holder to avoid involvement in activities disruptive to, or violence threatening harm to, the Australian community or a group within the Australian community. </w:t>
      </w:r>
    </w:p>
    <w:p w:rsidR="00A534AD" w:rsidRDefault="00A534AD" w:rsidP="0094721E">
      <w:pPr>
        <w:pStyle w:val="DINumberedParagraph"/>
        <w:widowControl w:val="0"/>
        <w:numPr>
          <w:ilvl w:val="0"/>
          <w:numId w:val="0"/>
        </w:numPr>
        <w:tabs>
          <w:tab w:val="clear" w:pos="567"/>
          <w:tab w:val="left" w:pos="720"/>
        </w:tabs>
        <w:spacing w:after="0"/>
        <w:rPr>
          <w:rFonts w:ascii="Times New Roman" w:hAnsi="Times New Roman" w:cs="Times New Roman"/>
        </w:rPr>
      </w:pPr>
    </w:p>
    <w:p w:rsidR="00535D03" w:rsidRDefault="0006708B" w:rsidP="0094721E">
      <w:pPr>
        <w:pStyle w:val="DINumberedParagraph"/>
        <w:widowControl w:val="0"/>
        <w:numPr>
          <w:ilvl w:val="0"/>
          <w:numId w:val="0"/>
        </w:numPr>
        <w:tabs>
          <w:tab w:val="clear" w:pos="567"/>
          <w:tab w:val="left" w:pos="720"/>
        </w:tabs>
        <w:spacing w:after="0"/>
        <w:rPr>
          <w:rFonts w:ascii="Times New Roman" w:hAnsi="Times New Roman" w:cs="Times New Roman"/>
        </w:rPr>
      </w:pPr>
      <w:r>
        <w:rPr>
          <w:rFonts w:ascii="Times New Roman" w:hAnsi="Times New Roman" w:cs="Times New Roman"/>
        </w:rPr>
        <w:lastRenderedPageBreak/>
        <w:t xml:space="preserve">Other visa conditions deal with work rights. Holders of </w:t>
      </w:r>
      <w:r w:rsidR="0018560D">
        <w:rPr>
          <w:rFonts w:ascii="Times New Roman" w:hAnsi="Times New Roman" w:cs="Times New Roman"/>
        </w:rPr>
        <w:t>B</w:t>
      </w:r>
      <w:r>
        <w:rPr>
          <w:rFonts w:ascii="Times New Roman" w:hAnsi="Times New Roman" w:cs="Times New Roman"/>
        </w:rPr>
        <w:t xml:space="preserve">ridging A and </w:t>
      </w:r>
      <w:r w:rsidR="0018560D">
        <w:rPr>
          <w:rFonts w:ascii="Times New Roman" w:hAnsi="Times New Roman" w:cs="Times New Roman"/>
        </w:rPr>
        <w:t>B</w:t>
      </w:r>
      <w:r>
        <w:rPr>
          <w:rFonts w:ascii="Times New Roman" w:hAnsi="Times New Roman" w:cs="Times New Roman"/>
        </w:rPr>
        <w:t xml:space="preserve">ridging B </w:t>
      </w:r>
      <w:r w:rsidR="00460085">
        <w:rPr>
          <w:rFonts w:ascii="Times New Roman" w:hAnsi="Times New Roman" w:cs="Times New Roman"/>
        </w:rPr>
        <w:t xml:space="preserve">visas </w:t>
      </w:r>
      <w:r>
        <w:rPr>
          <w:rFonts w:ascii="Times New Roman" w:hAnsi="Times New Roman" w:cs="Times New Roman"/>
        </w:rPr>
        <w:t xml:space="preserve">have the same work rights </w:t>
      </w:r>
      <w:r w:rsidR="00460085">
        <w:rPr>
          <w:rFonts w:ascii="Times New Roman" w:hAnsi="Times New Roman" w:cs="Times New Roman"/>
        </w:rPr>
        <w:t xml:space="preserve">that applied </w:t>
      </w:r>
      <w:r>
        <w:rPr>
          <w:rFonts w:ascii="Times New Roman" w:hAnsi="Times New Roman" w:cs="Times New Roman"/>
        </w:rPr>
        <w:t>to the retirement visa</w:t>
      </w:r>
      <w:r w:rsidR="00460085">
        <w:rPr>
          <w:rFonts w:ascii="Times New Roman" w:hAnsi="Times New Roman" w:cs="Times New Roman"/>
        </w:rPr>
        <w:t>.</w:t>
      </w:r>
      <w:r>
        <w:rPr>
          <w:rFonts w:ascii="Times New Roman" w:hAnsi="Times New Roman" w:cs="Times New Roman"/>
        </w:rPr>
        <w:t xml:space="preserve"> </w:t>
      </w:r>
      <w:r w:rsidR="00460085">
        <w:rPr>
          <w:rFonts w:ascii="Times New Roman" w:hAnsi="Times New Roman" w:cs="Times New Roman"/>
        </w:rPr>
        <w:t>B</w:t>
      </w:r>
      <w:r>
        <w:rPr>
          <w:rFonts w:ascii="Times New Roman" w:hAnsi="Times New Roman" w:cs="Times New Roman"/>
        </w:rPr>
        <w:t xml:space="preserve">ridging C and </w:t>
      </w:r>
      <w:r w:rsidR="0018560D">
        <w:rPr>
          <w:rFonts w:ascii="Times New Roman" w:hAnsi="Times New Roman" w:cs="Times New Roman"/>
        </w:rPr>
        <w:t>B</w:t>
      </w:r>
      <w:r>
        <w:rPr>
          <w:rFonts w:ascii="Times New Roman" w:hAnsi="Times New Roman" w:cs="Times New Roman"/>
        </w:rPr>
        <w:t xml:space="preserve">ridging E </w:t>
      </w:r>
      <w:r w:rsidR="00460085">
        <w:rPr>
          <w:rFonts w:ascii="Times New Roman" w:hAnsi="Times New Roman" w:cs="Times New Roman"/>
        </w:rPr>
        <w:t xml:space="preserve">visas </w:t>
      </w:r>
      <w:r w:rsidR="00024EF9">
        <w:rPr>
          <w:rFonts w:ascii="Times New Roman" w:hAnsi="Times New Roman" w:cs="Times New Roman"/>
        </w:rPr>
        <w:t xml:space="preserve">generally </w:t>
      </w:r>
      <w:r w:rsidR="00460085">
        <w:rPr>
          <w:rFonts w:ascii="Times New Roman" w:hAnsi="Times New Roman" w:cs="Times New Roman"/>
        </w:rPr>
        <w:t xml:space="preserve">do </w:t>
      </w:r>
      <w:r>
        <w:rPr>
          <w:rFonts w:ascii="Times New Roman" w:hAnsi="Times New Roman" w:cs="Times New Roman"/>
        </w:rPr>
        <w:t>not permit</w:t>
      </w:r>
      <w:r w:rsidR="00460085">
        <w:rPr>
          <w:rFonts w:ascii="Times New Roman" w:hAnsi="Times New Roman" w:cs="Times New Roman"/>
        </w:rPr>
        <w:t xml:space="preserve"> the holder to </w:t>
      </w:r>
      <w:r>
        <w:rPr>
          <w:rFonts w:ascii="Times New Roman" w:hAnsi="Times New Roman" w:cs="Times New Roman"/>
        </w:rPr>
        <w:t>work</w:t>
      </w:r>
      <w:r w:rsidR="0018560D">
        <w:rPr>
          <w:rFonts w:ascii="Times New Roman" w:hAnsi="Times New Roman" w:cs="Times New Roman"/>
        </w:rPr>
        <w:t>, although the</w:t>
      </w:r>
      <w:r w:rsidR="0008363D">
        <w:rPr>
          <w:rFonts w:ascii="Times New Roman" w:hAnsi="Times New Roman" w:cs="Times New Roman"/>
        </w:rPr>
        <w:t>re</w:t>
      </w:r>
      <w:r w:rsidR="0018560D">
        <w:rPr>
          <w:rFonts w:ascii="Times New Roman" w:hAnsi="Times New Roman" w:cs="Times New Roman"/>
        </w:rPr>
        <w:t xml:space="preserve"> is some flexibility. </w:t>
      </w:r>
    </w:p>
    <w:p w:rsidR="00535D03" w:rsidRDefault="00535D03" w:rsidP="0094721E">
      <w:pPr>
        <w:pStyle w:val="DINumberedParagraph"/>
        <w:widowControl w:val="0"/>
        <w:numPr>
          <w:ilvl w:val="0"/>
          <w:numId w:val="0"/>
        </w:numPr>
        <w:tabs>
          <w:tab w:val="clear" w:pos="567"/>
          <w:tab w:val="left" w:pos="720"/>
        </w:tabs>
        <w:spacing w:after="0"/>
        <w:rPr>
          <w:rFonts w:ascii="Times New Roman" w:hAnsi="Times New Roman" w:cs="Times New Roman"/>
        </w:rPr>
      </w:pPr>
    </w:p>
    <w:p w:rsidR="00A705CC" w:rsidRPr="005A4C76" w:rsidRDefault="00A705CC" w:rsidP="005A4C76">
      <w:pPr>
        <w:spacing w:before="0" w:after="200" w:line="276" w:lineRule="auto"/>
        <w:rPr>
          <w:szCs w:val="24"/>
          <w:u w:val="single"/>
        </w:rPr>
      </w:pPr>
      <w:r w:rsidRPr="0094721E">
        <w:rPr>
          <w:szCs w:val="24"/>
          <w:u w:val="single"/>
        </w:rPr>
        <w:t xml:space="preserve">Items </w:t>
      </w:r>
      <w:r>
        <w:rPr>
          <w:szCs w:val="24"/>
          <w:u w:val="single"/>
        </w:rPr>
        <w:t>16</w:t>
      </w:r>
      <w:r w:rsidRPr="0094721E">
        <w:rPr>
          <w:szCs w:val="24"/>
          <w:u w:val="single"/>
        </w:rPr>
        <w:t xml:space="preserve"> to </w:t>
      </w:r>
      <w:r>
        <w:rPr>
          <w:szCs w:val="24"/>
          <w:u w:val="single"/>
        </w:rPr>
        <w:t>39 – amendments to the Subclass 103 (Parent</w:t>
      </w:r>
      <w:r w:rsidR="00DC7393">
        <w:rPr>
          <w:szCs w:val="24"/>
          <w:u w:val="single"/>
        </w:rPr>
        <w:t>)</w:t>
      </w:r>
      <w:r>
        <w:rPr>
          <w:szCs w:val="24"/>
          <w:u w:val="single"/>
        </w:rPr>
        <w:t xml:space="preserve"> visa</w:t>
      </w:r>
    </w:p>
    <w:p w:rsidR="00A705CC" w:rsidRDefault="00A705CC" w:rsidP="0094721E">
      <w:pPr>
        <w:pStyle w:val="DINumberedParagraph"/>
        <w:widowControl w:val="0"/>
        <w:numPr>
          <w:ilvl w:val="0"/>
          <w:numId w:val="0"/>
        </w:numPr>
        <w:tabs>
          <w:tab w:val="clear" w:pos="567"/>
          <w:tab w:val="left" w:pos="720"/>
        </w:tabs>
        <w:spacing w:after="0"/>
        <w:rPr>
          <w:rFonts w:ascii="Times New Roman" w:hAnsi="Times New Roman" w:cs="Times New Roman"/>
        </w:rPr>
      </w:pPr>
      <w:r>
        <w:rPr>
          <w:rFonts w:ascii="Times New Roman" w:hAnsi="Times New Roman" w:cs="Times New Roman"/>
        </w:rPr>
        <w:t>These items amend Part 103 of Schedule 2 to the Migration Regulations to confer eligibility for a Subclass 103 (Parent) visa on retirees who meet the prescribed criteria.  The effect of the amendments is as follows:</w:t>
      </w:r>
    </w:p>
    <w:p w:rsidR="00A705CC" w:rsidRDefault="00A705CC" w:rsidP="0094721E">
      <w:pPr>
        <w:pStyle w:val="DINumberedParagraph"/>
        <w:widowControl w:val="0"/>
        <w:numPr>
          <w:ilvl w:val="0"/>
          <w:numId w:val="0"/>
        </w:numPr>
        <w:tabs>
          <w:tab w:val="clear" w:pos="567"/>
          <w:tab w:val="left" w:pos="720"/>
        </w:tabs>
        <w:spacing w:after="0"/>
        <w:rPr>
          <w:rFonts w:ascii="Times New Roman" w:hAnsi="Times New Roman" w:cs="Times New Roman"/>
        </w:rPr>
      </w:pPr>
    </w:p>
    <w:p w:rsidR="00A705CC" w:rsidRDefault="00A705CC" w:rsidP="00A705CC">
      <w:pPr>
        <w:pStyle w:val="DINumberedParagraph"/>
        <w:widowControl w:val="0"/>
        <w:numPr>
          <w:ilvl w:val="0"/>
          <w:numId w:val="20"/>
        </w:numPr>
        <w:tabs>
          <w:tab w:val="clear" w:pos="567"/>
          <w:tab w:val="left" w:pos="720"/>
        </w:tabs>
        <w:spacing w:after="0"/>
        <w:rPr>
          <w:rFonts w:ascii="Times New Roman" w:hAnsi="Times New Roman" w:cs="Times New Roman"/>
        </w:rPr>
      </w:pPr>
      <w:r>
        <w:rPr>
          <w:rFonts w:ascii="Times New Roman" w:hAnsi="Times New Roman" w:cs="Times New Roman"/>
        </w:rPr>
        <w:t>items 16 to 20</w:t>
      </w:r>
      <w:r w:rsidR="009836FC">
        <w:rPr>
          <w:rFonts w:ascii="Times New Roman" w:hAnsi="Times New Roman" w:cs="Times New Roman"/>
        </w:rPr>
        <w:t>; items 22 to 31; and items 33 to 36</w:t>
      </w:r>
      <w:r w:rsidR="00C3336E">
        <w:rPr>
          <w:rFonts w:ascii="Times New Roman" w:hAnsi="Times New Roman" w:cs="Times New Roman"/>
        </w:rPr>
        <w:t xml:space="preserve">: </w:t>
      </w:r>
      <w:r>
        <w:rPr>
          <w:rFonts w:ascii="Times New Roman" w:hAnsi="Times New Roman" w:cs="Times New Roman"/>
        </w:rPr>
        <w:t xml:space="preserve">these items </w:t>
      </w:r>
      <w:r w:rsidR="009836FC">
        <w:rPr>
          <w:rFonts w:ascii="Times New Roman" w:hAnsi="Times New Roman" w:cs="Times New Roman"/>
        </w:rPr>
        <w:t xml:space="preserve">quarantine existing </w:t>
      </w:r>
      <w:r>
        <w:rPr>
          <w:rFonts w:ascii="Times New Roman" w:hAnsi="Times New Roman" w:cs="Times New Roman"/>
        </w:rPr>
        <w:t xml:space="preserve">criteria that apply to </w:t>
      </w:r>
      <w:r w:rsidR="00C3336E">
        <w:rPr>
          <w:rFonts w:ascii="Times New Roman" w:hAnsi="Times New Roman" w:cs="Times New Roman"/>
        </w:rPr>
        <w:t>parents</w:t>
      </w:r>
      <w:r>
        <w:rPr>
          <w:rFonts w:ascii="Times New Roman" w:hAnsi="Times New Roman" w:cs="Times New Roman"/>
        </w:rPr>
        <w:t xml:space="preserve">. </w:t>
      </w:r>
      <w:r w:rsidR="003A4480">
        <w:rPr>
          <w:rFonts w:ascii="Times New Roman" w:hAnsi="Times New Roman" w:cs="Times New Roman"/>
        </w:rPr>
        <w:t>T</w:t>
      </w:r>
      <w:r w:rsidR="009836FC">
        <w:rPr>
          <w:rFonts w:ascii="Times New Roman" w:hAnsi="Times New Roman" w:cs="Times New Roman"/>
        </w:rPr>
        <w:t xml:space="preserve">hose criteria </w:t>
      </w:r>
      <w:r w:rsidR="00EE02C4">
        <w:rPr>
          <w:rFonts w:ascii="Times New Roman" w:hAnsi="Times New Roman" w:cs="Times New Roman"/>
        </w:rPr>
        <w:t xml:space="preserve">remain </w:t>
      </w:r>
      <w:r w:rsidR="009836FC">
        <w:rPr>
          <w:rFonts w:ascii="Times New Roman" w:hAnsi="Times New Roman" w:cs="Times New Roman"/>
        </w:rPr>
        <w:t>separate from the retiree criteria;</w:t>
      </w:r>
    </w:p>
    <w:p w:rsidR="009836FC" w:rsidRDefault="009836FC" w:rsidP="009836FC">
      <w:pPr>
        <w:pStyle w:val="DINumberedParagraph"/>
        <w:widowControl w:val="0"/>
        <w:numPr>
          <w:ilvl w:val="0"/>
          <w:numId w:val="0"/>
        </w:numPr>
        <w:tabs>
          <w:tab w:val="clear" w:pos="567"/>
          <w:tab w:val="left" w:pos="720"/>
        </w:tabs>
        <w:spacing w:after="0"/>
        <w:ind w:left="720"/>
        <w:rPr>
          <w:rFonts w:ascii="Times New Roman" w:hAnsi="Times New Roman" w:cs="Times New Roman"/>
        </w:rPr>
      </w:pPr>
    </w:p>
    <w:p w:rsidR="009836FC" w:rsidRDefault="009836FC" w:rsidP="00A705CC">
      <w:pPr>
        <w:pStyle w:val="DINumberedParagraph"/>
        <w:widowControl w:val="0"/>
        <w:numPr>
          <w:ilvl w:val="0"/>
          <w:numId w:val="20"/>
        </w:numPr>
        <w:tabs>
          <w:tab w:val="clear" w:pos="567"/>
          <w:tab w:val="left" w:pos="720"/>
        </w:tabs>
        <w:spacing w:after="0"/>
        <w:rPr>
          <w:rFonts w:ascii="Times New Roman" w:hAnsi="Times New Roman" w:cs="Times New Roman"/>
        </w:rPr>
      </w:pPr>
      <w:r>
        <w:rPr>
          <w:rFonts w:ascii="Times New Roman" w:hAnsi="Times New Roman" w:cs="Times New Roman"/>
        </w:rPr>
        <w:t xml:space="preserve">item 21 inserts </w:t>
      </w:r>
      <w:r w:rsidR="00AB680B">
        <w:rPr>
          <w:rFonts w:ascii="Times New Roman" w:hAnsi="Times New Roman" w:cs="Times New Roman"/>
        </w:rPr>
        <w:t xml:space="preserve">the primary criteria for retirees, which are the same as the criteria for making a valid application as described </w:t>
      </w:r>
      <w:r w:rsidR="003A4480">
        <w:rPr>
          <w:rFonts w:ascii="Times New Roman" w:hAnsi="Times New Roman" w:cs="Times New Roman"/>
        </w:rPr>
        <w:t xml:space="preserve">at </w:t>
      </w:r>
      <w:r w:rsidR="00AB680B">
        <w:rPr>
          <w:rFonts w:ascii="Times New Roman" w:hAnsi="Times New Roman" w:cs="Times New Roman"/>
        </w:rPr>
        <w:t xml:space="preserve">items </w:t>
      </w:r>
      <w:r w:rsidR="00DC7393">
        <w:rPr>
          <w:rFonts w:ascii="Times New Roman" w:hAnsi="Times New Roman" w:cs="Times New Roman"/>
        </w:rPr>
        <w:t>3</w:t>
      </w:r>
      <w:r w:rsidR="00AB680B">
        <w:rPr>
          <w:rFonts w:ascii="Times New Roman" w:hAnsi="Times New Roman" w:cs="Times New Roman"/>
        </w:rPr>
        <w:t xml:space="preserve"> to 4 above;</w:t>
      </w:r>
    </w:p>
    <w:p w:rsidR="00AB680B" w:rsidRDefault="00AB680B" w:rsidP="00AB680B">
      <w:pPr>
        <w:pStyle w:val="DINumberedParagraph"/>
        <w:widowControl w:val="0"/>
        <w:numPr>
          <w:ilvl w:val="0"/>
          <w:numId w:val="0"/>
        </w:numPr>
        <w:tabs>
          <w:tab w:val="clear" w:pos="567"/>
          <w:tab w:val="left" w:pos="720"/>
        </w:tabs>
        <w:spacing w:after="0"/>
        <w:ind w:left="720"/>
        <w:rPr>
          <w:rFonts w:ascii="Times New Roman" w:hAnsi="Times New Roman" w:cs="Times New Roman"/>
        </w:rPr>
      </w:pPr>
    </w:p>
    <w:p w:rsidR="00AB680B" w:rsidRDefault="00AB680B" w:rsidP="00AB680B">
      <w:pPr>
        <w:pStyle w:val="DINumberedParagraph"/>
        <w:widowControl w:val="0"/>
        <w:numPr>
          <w:ilvl w:val="0"/>
          <w:numId w:val="20"/>
        </w:numPr>
        <w:tabs>
          <w:tab w:val="clear" w:pos="567"/>
          <w:tab w:val="left" w:pos="720"/>
        </w:tabs>
        <w:spacing w:after="0"/>
        <w:rPr>
          <w:rFonts w:ascii="Times New Roman" w:hAnsi="Times New Roman" w:cs="Times New Roman"/>
        </w:rPr>
      </w:pPr>
      <w:r>
        <w:rPr>
          <w:rFonts w:ascii="Times New Roman" w:hAnsi="Times New Roman" w:cs="Times New Roman"/>
        </w:rPr>
        <w:t xml:space="preserve">item 32 inserts </w:t>
      </w:r>
      <w:r w:rsidR="003A4480">
        <w:rPr>
          <w:rFonts w:ascii="Times New Roman" w:hAnsi="Times New Roman" w:cs="Times New Roman"/>
        </w:rPr>
        <w:t>t</w:t>
      </w:r>
      <w:r>
        <w:rPr>
          <w:rFonts w:ascii="Times New Roman" w:hAnsi="Times New Roman" w:cs="Times New Roman"/>
        </w:rPr>
        <w:t xml:space="preserve">he secondary criteria </w:t>
      </w:r>
      <w:r w:rsidR="00785D0E">
        <w:rPr>
          <w:rFonts w:ascii="Times New Roman" w:hAnsi="Times New Roman" w:cs="Times New Roman"/>
        </w:rPr>
        <w:t>for spouses and de facto partners</w:t>
      </w:r>
      <w:r w:rsidR="003A4480">
        <w:rPr>
          <w:rFonts w:ascii="Times New Roman" w:hAnsi="Times New Roman" w:cs="Times New Roman"/>
        </w:rPr>
        <w:t xml:space="preserve"> of retirees who satisfy the primary</w:t>
      </w:r>
      <w:r>
        <w:rPr>
          <w:rFonts w:ascii="Times New Roman" w:hAnsi="Times New Roman" w:cs="Times New Roman"/>
        </w:rPr>
        <w:t xml:space="preserve"> criteria. </w:t>
      </w:r>
      <w:r w:rsidR="003A4480">
        <w:rPr>
          <w:rFonts w:ascii="Times New Roman" w:hAnsi="Times New Roman" w:cs="Times New Roman"/>
        </w:rPr>
        <w:t xml:space="preserve">A </w:t>
      </w:r>
      <w:r w:rsidR="00785D0E">
        <w:rPr>
          <w:rFonts w:ascii="Times New Roman" w:hAnsi="Times New Roman" w:cs="Times New Roman"/>
        </w:rPr>
        <w:t xml:space="preserve">spouse or de facto partner can be included in a combined visa application, which reduces the </w:t>
      </w:r>
      <w:r w:rsidR="00E35BD7">
        <w:rPr>
          <w:rFonts w:ascii="Times New Roman" w:hAnsi="Times New Roman" w:cs="Times New Roman"/>
        </w:rPr>
        <w:t xml:space="preserve">amount of the </w:t>
      </w:r>
      <w:r w:rsidR="005A4C76">
        <w:rPr>
          <w:rFonts w:ascii="Times New Roman" w:hAnsi="Times New Roman" w:cs="Times New Roman"/>
        </w:rPr>
        <w:t>VAC</w:t>
      </w:r>
      <w:r w:rsidR="003A4480">
        <w:rPr>
          <w:rFonts w:ascii="Times New Roman" w:hAnsi="Times New Roman" w:cs="Times New Roman"/>
        </w:rPr>
        <w:t>. However, p</w:t>
      </w:r>
      <w:r w:rsidR="00785D0E">
        <w:rPr>
          <w:rFonts w:ascii="Times New Roman" w:hAnsi="Times New Roman" w:cs="Times New Roman"/>
        </w:rPr>
        <w:t xml:space="preserve">rimary and secondary applicants must meet the same requirements in relation to </w:t>
      </w:r>
      <w:r w:rsidR="003A4480">
        <w:rPr>
          <w:rFonts w:ascii="Times New Roman" w:hAnsi="Times New Roman" w:cs="Times New Roman"/>
        </w:rPr>
        <w:t xml:space="preserve">holding a </w:t>
      </w:r>
      <w:r w:rsidR="00785D0E">
        <w:rPr>
          <w:rFonts w:ascii="Times New Roman" w:hAnsi="Times New Roman" w:cs="Times New Roman"/>
        </w:rPr>
        <w:t>retirement visa</w:t>
      </w:r>
      <w:r w:rsidR="003A4480">
        <w:rPr>
          <w:rFonts w:ascii="Times New Roman" w:hAnsi="Times New Roman" w:cs="Times New Roman"/>
        </w:rPr>
        <w:t xml:space="preserve"> (as described at items 3 to 4 above).</w:t>
      </w:r>
      <w:r w:rsidR="00AA01B5">
        <w:rPr>
          <w:rFonts w:ascii="Times New Roman" w:hAnsi="Times New Roman" w:cs="Times New Roman"/>
        </w:rPr>
        <w:t xml:space="preserve"> This also means that no other member of a family unit can be included in the Subclass 103 application, as the only family members who </w:t>
      </w:r>
      <w:r w:rsidR="00E35BD7">
        <w:rPr>
          <w:rFonts w:ascii="Times New Roman" w:hAnsi="Times New Roman" w:cs="Times New Roman"/>
        </w:rPr>
        <w:t xml:space="preserve">were eligible for </w:t>
      </w:r>
      <w:r w:rsidR="00AA01B5">
        <w:rPr>
          <w:rFonts w:ascii="Times New Roman" w:hAnsi="Times New Roman" w:cs="Times New Roman"/>
        </w:rPr>
        <w:t>retirement visa</w:t>
      </w:r>
      <w:r w:rsidR="00E35BD7">
        <w:rPr>
          <w:rFonts w:ascii="Times New Roman" w:hAnsi="Times New Roman" w:cs="Times New Roman"/>
        </w:rPr>
        <w:t>s</w:t>
      </w:r>
      <w:r w:rsidR="00AA01B5">
        <w:rPr>
          <w:rFonts w:ascii="Times New Roman" w:hAnsi="Times New Roman" w:cs="Times New Roman"/>
        </w:rPr>
        <w:t xml:space="preserve"> were spouses and de facto partners</w:t>
      </w:r>
      <w:r w:rsidR="00935EC3">
        <w:rPr>
          <w:rFonts w:ascii="Times New Roman" w:hAnsi="Times New Roman" w:cs="Times New Roman"/>
        </w:rPr>
        <w:t>;</w:t>
      </w:r>
    </w:p>
    <w:p w:rsidR="003A4480" w:rsidRDefault="003A4480" w:rsidP="003A4480">
      <w:pPr>
        <w:pStyle w:val="DINumberedParagraph"/>
        <w:widowControl w:val="0"/>
        <w:numPr>
          <w:ilvl w:val="0"/>
          <w:numId w:val="0"/>
        </w:numPr>
        <w:tabs>
          <w:tab w:val="clear" w:pos="567"/>
          <w:tab w:val="left" w:pos="720"/>
        </w:tabs>
        <w:spacing w:after="0"/>
        <w:ind w:left="720"/>
        <w:rPr>
          <w:rFonts w:ascii="Times New Roman" w:hAnsi="Times New Roman" w:cs="Times New Roman"/>
        </w:rPr>
      </w:pPr>
    </w:p>
    <w:p w:rsidR="00935EC3" w:rsidRDefault="007E4F3C" w:rsidP="00AB680B">
      <w:pPr>
        <w:pStyle w:val="DINumberedParagraph"/>
        <w:widowControl w:val="0"/>
        <w:numPr>
          <w:ilvl w:val="0"/>
          <w:numId w:val="20"/>
        </w:numPr>
        <w:tabs>
          <w:tab w:val="clear" w:pos="567"/>
          <w:tab w:val="left" w:pos="720"/>
        </w:tabs>
        <w:spacing w:after="0"/>
        <w:rPr>
          <w:rFonts w:ascii="Times New Roman" w:hAnsi="Times New Roman" w:cs="Times New Roman"/>
        </w:rPr>
      </w:pPr>
      <w:r>
        <w:rPr>
          <w:rFonts w:ascii="Times New Roman" w:hAnsi="Times New Roman" w:cs="Times New Roman"/>
        </w:rPr>
        <w:t>items 37 to 38 amend clause 103.411</w:t>
      </w:r>
      <w:r w:rsidR="003A4480">
        <w:rPr>
          <w:rFonts w:ascii="Times New Roman" w:hAnsi="Times New Roman" w:cs="Times New Roman"/>
        </w:rPr>
        <w:t>,</w:t>
      </w:r>
      <w:r>
        <w:rPr>
          <w:rFonts w:ascii="Times New Roman" w:hAnsi="Times New Roman" w:cs="Times New Roman"/>
        </w:rPr>
        <w:t xml:space="preserve"> which deals with </w:t>
      </w:r>
      <w:r w:rsidR="00205D1F">
        <w:rPr>
          <w:rFonts w:ascii="Times New Roman" w:hAnsi="Times New Roman" w:cs="Times New Roman"/>
        </w:rPr>
        <w:t>the location of the applic</w:t>
      </w:r>
      <w:r>
        <w:rPr>
          <w:rFonts w:ascii="Times New Roman" w:hAnsi="Times New Roman" w:cs="Times New Roman"/>
        </w:rPr>
        <w:t xml:space="preserve">ant when the Subclass 103 visa is granted. </w:t>
      </w:r>
      <w:r w:rsidR="003A4480">
        <w:rPr>
          <w:rFonts w:ascii="Times New Roman" w:hAnsi="Times New Roman" w:cs="Times New Roman"/>
        </w:rPr>
        <w:t>A</w:t>
      </w:r>
      <w:r>
        <w:rPr>
          <w:rFonts w:ascii="Times New Roman" w:hAnsi="Times New Roman" w:cs="Times New Roman"/>
        </w:rPr>
        <w:t xml:space="preserve">pplicants who </w:t>
      </w:r>
      <w:r w:rsidR="003A4480">
        <w:rPr>
          <w:rFonts w:ascii="Times New Roman" w:hAnsi="Times New Roman" w:cs="Times New Roman"/>
        </w:rPr>
        <w:t xml:space="preserve">satisfy </w:t>
      </w:r>
      <w:r>
        <w:rPr>
          <w:rFonts w:ascii="Times New Roman" w:hAnsi="Times New Roman" w:cs="Times New Roman"/>
        </w:rPr>
        <w:t>the retiree criteria</w:t>
      </w:r>
      <w:r w:rsidR="003A4480">
        <w:rPr>
          <w:rFonts w:ascii="Times New Roman" w:hAnsi="Times New Roman" w:cs="Times New Roman"/>
        </w:rPr>
        <w:t>, including spouses and de facto partners,</w:t>
      </w:r>
      <w:r>
        <w:rPr>
          <w:rFonts w:ascii="Times New Roman" w:hAnsi="Times New Roman" w:cs="Times New Roman"/>
        </w:rPr>
        <w:t xml:space="preserve"> </w:t>
      </w:r>
      <w:r w:rsidR="00205D1F">
        <w:rPr>
          <w:rFonts w:ascii="Times New Roman" w:hAnsi="Times New Roman" w:cs="Times New Roman"/>
        </w:rPr>
        <w:t xml:space="preserve">may </w:t>
      </w:r>
      <w:r>
        <w:rPr>
          <w:rFonts w:ascii="Times New Roman" w:hAnsi="Times New Roman" w:cs="Times New Roman"/>
        </w:rPr>
        <w:t xml:space="preserve">be in Australia or outside Australia, but must not be in immigration clearance. Although </w:t>
      </w:r>
      <w:r w:rsidR="004349DB">
        <w:rPr>
          <w:rFonts w:ascii="Times New Roman" w:hAnsi="Times New Roman" w:cs="Times New Roman"/>
        </w:rPr>
        <w:t xml:space="preserve">they must be </w:t>
      </w:r>
      <w:r>
        <w:rPr>
          <w:rFonts w:ascii="Times New Roman" w:hAnsi="Times New Roman" w:cs="Times New Roman"/>
        </w:rPr>
        <w:t xml:space="preserve">in Australia to apply for the Subclass </w:t>
      </w:r>
      <w:r w:rsidR="00205D1F">
        <w:rPr>
          <w:rFonts w:ascii="Times New Roman" w:hAnsi="Times New Roman" w:cs="Times New Roman"/>
        </w:rPr>
        <w:t xml:space="preserve">103 </w:t>
      </w:r>
      <w:r>
        <w:rPr>
          <w:rFonts w:ascii="Times New Roman" w:hAnsi="Times New Roman" w:cs="Times New Roman"/>
        </w:rPr>
        <w:t xml:space="preserve">visa (see items 3 to 4 above), additional flexibility is allowed at the </w:t>
      </w:r>
      <w:r w:rsidR="005A4C76">
        <w:rPr>
          <w:rFonts w:ascii="Times New Roman" w:hAnsi="Times New Roman" w:cs="Times New Roman"/>
        </w:rPr>
        <w:t xml:space="preserve">visa </w:t>
      </w:r>
      <w:r>
        <w:rPr>
          <w:rFonts w:ascii="Times New Roman" w:hAnsi="Times New Roman" w:cs="Times New Roman"/>
        </w:rPr>
        <w:t xml:space="preserve">grant stage. This </w:t>
      </w:r>
      <w:r w:rsidR="004349DB">
        <w:rPr>
          <w:rFonts w:ascii="Times New Roman" w:hAnsi="Times New Roman" w:cs="Times New Roman"/>
        </w:rPr>
        <w:t xml:space="preserve">assists </w:t>
      </w:r>
      <w:r>
        <w:rPr>
          <w:rFonts w:ascii="Times New Roman" w:hAnsi="Times New Roman" w:cs="Times New Roman"/>
        </w:rPr>
        <w:t xml:space="preserve">applicants and streamlines decision-making by avoiding the need to delay finalising an application </w:t>
      </w:r>
      <w:r w:rsidR="005A4C76">
        <w:rPr>
          <w:rFonts w:ascii="Times New Roman" w:hAnsi="Times New Roman" w:cs="Times New Roman"/>
        </w:rPr>
        <w:t xml:space="preserve">until </w:t>
      </w:r>
      <w:r>
        <w:rPr>
          <w:rFonts w:ascii="Times New Roman" w:hAnsi="Times New Roman" w:cs="Times New Roman"/>
        </w:rPr>
        <w:t>an applicant return</w:t>
      </w:r>
      <w:r w:rsidR="00205D1F">
        <w:rPr>
          <w:rFonts w:ascii="Times New Roman" w:hAnsi="Times New Roman" w:cs="Times New Roman"/>
        </w:rPr>
        <w:t>s to Australia;</w:t>
      </w:r>
    </w:p>
    <w:p w:rsidR="004349DB" w:rsidRDefault="004349DB" w:rsidP="004349DB">
      <w:pPr>
        <w:pStyle w:val="DINumberedParagraph"/>
        <w:widowControl w:val="0"/>
        <w:numPr>
          <w:ilvl w:val="0"/>
          <w:numId w:val="0"/>
        </w:numPr>
        <w:tabs>
          <w:tab w:val="clear" w:pos="567"/>
          <w:tab w:val="left" w:pos="720"/>
        </w:tabs>
        <w:spacing w:after="0"/>
        <w:ind w:left="720"/>
        <w:rPr>
          <w:rFonts w:ascii="Times New Roman" w:hAnsi="Times New Roman" w:cs="Times New Roman"/>
        </w:rPr>
      </w:pPr>
    </w:p>
    <w:p w:rsidR="00E971F4" w:rsidRDefault="00205D1F" w:rsidP="00DC7393">
      <w:pPr>
        <w:pStyle w:val="DINumberedParagraph"/>
        <w:widowControl w:val="0"/>
        <w:numPr>
          <w:ilvl w:val="0"/>
          <w:numId w:val="20"/>
        </w:numPr>
        <w:tabs>
          <w:tab w:val="clear" w:pos="567"/>
          <w:tab w:val="left" w:pos="720"/>
        </w:tabs>
        <w:spacing w:after="0"/>
        <w:rPr>
          <w:rFonts w:ascii="Times New Roman" w:hAnsi="Times New Roman" w:cs="Times New Roman"/>
        </w:rPr>
      </w:pPr>
      <w:r>
        <w:rPr>
          <w:rFonts w:ascii="Times New Roman" w:hAnsi="Times New Roman" w:cs="Times New Roman"/>
        </w:rPr>
        <w:t xml:space="preserve">item 39 amends clause 103.611 to provide that the visa condition requiring first entry to Australia by a specified date only applies if the person is outside Australia when the visa is granted. The amendment </w:t>
      </w:r>
      <w:r w:rsidR="00B30A15">
        <w:rPr>
          <w:rFonts w:ascii="Times New Roman" w:hAnsi="Times New Roman" w:cs="Times New Roman"/>
        </w:rPr>
        <w:t xml:space="preserve">is necessary because most </w:t>
      </w:r>
      <w:r>
        <w:rPr>
          <w:rFonts w:ascii="Times New Roman" w:hAnsi="Times New Roman" w:cs="Times New Roman"/>
        </w:rPr>
        <w:t xml:space="preserve">retirees </w:t>
      </w:r>
      <w:r w:rsidR="00B30A15">
        <w:rPr>
          <w:rFonts w:ascii="Times New Roman" w:hAnsi="Times New Roman" w:cs="Times New Roman"/>
        </w:rPr>
        <w:t xml:space="preserve">will be in Australia </w:t>
      </w:r>
      <w:r>
        <w:rPr>
          <w:rFonts w:ascii="Times New Roman" w:hAnsi="Times New Roman" w:cs="Times New Roman"/>
        </w:rPr>
        <w:t>when t</w:t>
      </w:r>
      <w:r w:rsidR="00DC7393">
        <w:rPr>
          <w:rFonts w:ascii="Times New Roman" w:hAnsi="Times New Roman" w:cs="Times New Roman"/>
        </w:rPr>
        <w:t>he visa is granted.</w:t>
      </w:r>
      <w:r w:rsidR="00DC7393">
        <w:t xml:space="preserve"> </w:t>
      </w:r>
    </w:p>
    <w:p w:rsidR="00E971F4" w:rsidRDefault="00E971F4" w:rsidP="00DC7393">
      <w:pPr>
        <w:pStyle w:val="DINumberedParagraph"/>
        <w:widowControl w:val="0"/>
        <w:numPr>
          <w:ilvl w:val="0"/>
          <w:numId w:val="0"/>
        </w:numPr>
        <w:tabs>
          <w:tab w:val="clear" w:pos="567"/>
          <w:tab w:val="left" w:pos="720"/>
        </w:tabs>
        <w:spacing w:after="0"/>
        <w:rPr>
          <w:rFonts w:ascii="Times New Roman" w:hAnsi="Times New Roman" w:cs="Times New Roman"/>
        </w:rPr>
      </w:pPr>
    </w:p>
    <w:p w:rsidR="00DC7393" w:rsidRDefault="00DC7393" w:rsidP="00DC7393">
      <w:pPr>
        <w:pStyle w:val="DINumberedParagraph"/>
        <w:widowControl w:val="0"/>
        <w:numPr>
          <w:ilvl w:val="0"/>
          <w:numId w:val="0"/>
        </w:numPr>
        <w:tabs>
          <w:tab w:val="clear" w:pos="567"/>
          <w:tab w:val="left" w:pos="720"/>
        </w:tabs>
        <w:spacing w:after="0"/>
        <w:rPr>
          <w:rFonts w:ascii="Times New Roman" w:eastAsia="Times New Roman" w:hAnsi="Times New Roman" w:cs="Times New Roman"/>
          <w:szCs w:val="24"/>
          <w:u w:val="single"/>
          <w:lang w:eastAsia="en-AU"/>
        </w:rPr>
      </w:pPr>
      <w:r w:rsidRPr="0094721E">
        <w:rPr>
          <w:rFonts w:ascii="Times New Roman" w:eastAsia="Times New Roman" w:hAnsi="Times New Roman" w:cs="Times New Roman"/>
          <w:szCs w:val="24"/>
          <w:u w:val="single"/>
          <w:lang w:eastAsia="en-AU"/>
        </w:rPr>
        <w:t xml:space="preserve">Items </w:t>
      </w:r>
      <w:r>
        <w:rPr>
          <w:rFonts w:ascii="Times New Roman" w:eastAsia="Times New Roman" w:hAnsi="Times New Roman" w:cs="Times New Roman"/>
          <w:szCs w:val="24"/>
          <w:u w:val="single"/>
          <w:lang w:eastAsia="en-AU"/>
        </w:rPr>
        <w:t>40</w:t>
      </w:r>
      <w:r w:rsidRPr="0094721E">
        <w:rPr>
          <w:rFonts w:ascii="Times New Roman" w:eastAsia="Times New Roman" w:hAnsi="Times New Roman" w:cs="Times New Roman"/>
          <w:szCs w:val="24"/>
          <w:u w:val="single"/>
          <w:lang w:eastAsia="en-AU"/>
        </w:rPr>
        <w:t xml:space="preserve"> to </w:t>
      </w:r>
      <w:r>
        <w:rPr>
          <w:rFonts w:ascii="Times New Roman" w:eastAsia="Times New Roman" w:hAnsi="Times New Roman" w:cs="Times New Roman"/>
          <w:szCs w:val="24"/>
          <w:u w:val="single"/>
          <w:lang w:eastAsia="en-AU"/>
        </w:rPr>
        <w:t>76 – amendments to the Subclass 143 (Contributory Parent) visa</w:t>
      </w:r>
    </w:p>
    <w:p w:rsidR="00DC7393" w:rsidRDefault="00DC7393" w:rsidP="00DC7393">
      <w:pPr>
        <w:pStyle w:val="DINumberedParagraph"/>
        <w:widowControl w:val="0"/>
        <w:numPr>
          <w:ilvl w:val="0"/>
          <w:numId w:val="0"/>
        </w:numPr>
        <w:tabs>
          <w:tab w:val="clear" w:pos="567"/>
          <w:tab w:val="left" w:pos="720"/>
        </w:tabs>
        <w:spacing w:after="0"/>
        <w:rPr>
          <w:rFonts w:ascii="Times New Roman" w:hAnsi="Times New Roman" w:cs="Times New Roman"/>
        </w:rPr>
      </w:pPr>
    </w:p>
    <w:p w:rsidR="00DC7393" w:rsidRDefault="00DC7393" w:rsidP="00DC7393">
      <w:pPr>
        <w:pStyle w:val="DINumberedParagraph"/>
        <w:widowControl w:val="0"/>
        <w:numPr>
          <w:ilvl w:val="0"/>
          <w:numId w:val="0"/>
        </w:numPr>
        <w:tabs>
          <w:tab w:val="clear" w:pos="567"/>
          <w:tab w:val="left" w:pos="720"/>
        </w:tabs>
        <w:spacing w:after="0"/>
        <w:rPr>
          <w:rFonts w:ascii="Times New Roman" w:hAnsi="Times New Roman" w:cs="Times New Roman"/>
        </w:rPr>
      </w:pPr>
      <w:r>
        <w:rPr>
          <w:rFonts w:ascii="Times New Roman" w:hAnsi="Times New Roman" w:cs="Times New Roman"/>
        </w:rPr>
        <w:t>These items amend Part 143 of Schedule 2 to the Migration Regulations to confer eligibility for a Subclass 143 (Contributory Parent) visa on retirees who meet the prescribed criteria.  The effect of the amendments is as follows:</w:t>
      </w:r>
    </w:p>
    <w:p w:rsidR="00DC7393" w:rsidRDefault="00DC7393" w:rsidP="00DC7393">
      <w:pPr>
        <w:pStyle w:val="DINumberedParagraph"/>
        <w:widowControl w:val="0"/>
        <w:numPr>
          <w:ilvl w:val="0"/>
          <w:numId w:val="0"/>
        </w:numPr>
        <w:tabs>
          <w:tab w:val="clear" w:pos="567"/>
          <w:tab w:val="left" w:pos="720"/>
        </w:tabs>
        <w:spacing w:after="0"/>
        <w:rPr>
          <w:rFonts w:ascii="Times New Roman" w:hAnsi="Times New Roman" w:cs="Times New Roman"/>
        </w:rPr>
      </w:pPr>
    </w:p>
    <w:p w:rsidR="00645833" w:rsidRDefault="00DC7393" w:rsidP="00645833">
      <w:pPr>
        <w:pStyle w:val="DINumberedParagraph"/>
        <w:widowControl w:val="0"/>
        <w:numPr>
          <w:ilvl w:val="0"/>
          <w:numId w:val="20"/>
        </w:numPr>
        <w:tabs>
          <w:tab w:val="clear" w:pos="567"/>
          <w:tab w:val="left" w:pos="720"/>
        </w:tabs>
        <w:spacing w:after="0"/>
        <w:rPr>
          <w:rFonts w:ascii="Times New Roman" w:hAnsi="Times New Roman" w:cs="Times New Roman"/>
        </w:rPr>
      </w:pPr>
      <w:r>
        <w:rPr>
          <w:rFonts w:ascii="Times New Roman" w:hAnsi="Times New Roman" w:cs="Times New Roman"/>
        </w:rPr>
        <w:t>items 40 to 43; items 45 to 52; items 54 to 55, items 57 to 64; items 66 to 71; and items 73 to 74</w:t>
      </w:r>
      <w:r w:rsidR="00645833">
        <w:rPr>
          <w:rFonts w:ascii="Times New Roman" w:hAnsi="Times New Roman" w:cs="Times New Roman"/>
        </w:rPr>
        <w:t>:</w:t>
      </w:r>
      <w:r>
        <w:rPr>
          <w:rFonts w:ascii="Times New Roman" w:hAnsi="Times New Roman" w:cs="Times New Roman"/>
        </w:rPr>
        <w:t xml:space="preserve"> </w:t>
      </w:r>
      <w:r w:rsidR="00645833">
        <w:rPr>
          <w:rFonts w:ascii="Times New Roman" w:hAnsi="Times New Roman" w:cs="Times New Roman"/>
        </w:rPr>
        <w:t>these items quarantine existing criteria that apply to parents. Those criteria remain separate from the retiree criteria;</w:t>
      </w:r>
    </w:p>
    <w:p w:rsidR="00DC7393" w:rsidRDefault="00DC7393" w:rsidP="00DC7393">
      <w:pPr>
        <w:pStyle w:val="DINumberedParagraph"/>
        <w:widowControl w:val="0"/>
        <w:numPr>
          <w:ilvl w:val="0"/>
          <w:numId w:val="0"/>
        </w:numPr>
        <w:tabs>
          <w:tab w:val="clear" w:pos="567"/>
          <w:tab w:val="left" w:pos="720"/>
        </w:tabs>
        <w:spacing w:after="0"/>
        <w:ind w:left="720"/>
        <w:rPr>
          <w:rFonts w:ascii="Times New Roman" w:hAnsi="Times New Roman" w:cs="Times New Roman"/>
        </w:rPr>
      </w:pPr>
    </w:p>
    <w:p w:rsidR="00645833" w:rsidRDefault="00DC7393" w:rsidP="00645833">
      <w:pPr>
        <w:pStyle w:val="DINumberedParagraph"/>
        <w:widowControl w:val="0"/>
        <w:numPr>
          <w:ilvl w:val="0"/>
          <w:numId w:val="20"/>
        </w:numPr>
        <w:tabs>
          <w:tab w:val="clear" w:pos="567"/>
          <w:tab w:val="left" w:pos="720"/>
        </w:tabs>
        <w:spacing w:after="0"/>
        <w:rPr>
          <w:rFonts w:ascii="Times New Roman" w:hAnsi="Times New Roman" w:cs="Times New Roman"/>
        </w:rPr>
      </w:pPr>
      <w:r>
        <w:rPr>
          <w:rFonts w:ascii="Times New Roman" w:hAnsi="Times New Roman" w:cs="Times New Roman"/>
        </w:rPr>
        <w:t xml:space="preserve">item 44 </w:t>
      </w:r>
      <w:r w:rsidR="00645833">
        <w:rPr>
          <w:rFonts w:ascii="Times New Roman" w:hAnsi="Times New Roman" w:cs="Times New Roman"/>
        </w:rPr>
        <w:t>inserts the primary criteria for retirees, which are the same as the criteria for making a valid application as described at items 3 to 4 above;</w:t>
      </w:r>
    </w:p>
    <w:p w:rsidR="00BF1D5D" w:rsidRDefault="00BF1D5D" w:rsidP="00BF1D5D">
      <w:pPr>
        <w:pStyle w:val="DINumberedParagraph"/>
        <w:widowControl w:val="0"/>
        <w:numPr>
          <w:ilvl w:val="0"/>
          <w:numId w:val="0"/>
        </w:numPr>
        <w:tabs>
          <w:tab w:val="clear" w:pos="567"/>
          <w:tab w:val="left" w:pos="720"/>
        </w:tabs>
        <w:spacing w:after="0"/>
        <w:ind w:left="720"/>
        <w:rPr>
          <w:rFonts w:ascii="Times New Roman" w:hAnsi="Times New Roman" w:cs="Times New Roman"/>
        </w:rPr>
      </w:pPr>
    </w:p>
    <w:p w:rsidR="005A4C76" w:rsidRDefault="00BF1D5D" w:rsidP="005A4C76">
      <w:pPr>
        <w:pStyle w:val="DINumberedParagraph"/>
        <w:widowControl w:val="0"/>
        <w:numPr>
          <w:ilvl w:val="0"/>
          <w:numId w:val="20"/>
        </w:numPr>
        <w:tabs>
          <w:tab w:val="clear" w:pos="567"/>
          <w:tab w:val="left" w:pos="720"/>
        </w:tabs>
        <w:spacing w:after="0"/>
        <w:rPr>
          <w:rFonts w:ascii="Times New Roman" w:hAnsi="Times New Roman" w:cs="Times New Roman"/>
        </w:rPr>
      </w:pPr>
      <w:r w:rsidRPr="00BF1D5D">
        <w:rPr>
          <w:rFonts w:ascii="Times New Roman" w:hAnsi="Times New Roman" w:cs="Times New Roman"/>
        </w:rPr>
        <w:t xml:space="preserve">item 53 inserts clause 143.225AA setting out public interest criteria that apply to applicants seeking to meet the primary criteria for retirees. </w:t>
      </w:r>
      <w:r w:rsidR="003B533A">
        <w:rPr>
          <w:rFonts w:ascii="Times New Roman" w:hAnsi="Times New Roman" w:cs="Times New Roman"/>
        </w:rPr>
        <w:t xml:space="preserve">These are </w:t>
      </w:r>
      <w:r w:rsidR="00645833">
        <w:rPr>
          <w:rFonts w:ascii="Times New Roman" w:hAnsi="Times New Roman" w:cs="Times New Roman"/>
        </w:rPr>
        <w:t xml:space="preserve">the same as the exiting public interest criteria for parents. </w:t>
      </w:r>
      <w:r w:rsidRPr="00BF1D5D">
        <w:rPr>
          <w:rFonts w:ascii="Times New Roman" w:hAnsi="Times New Roman" w:cs="Times New Roman"/>
        </w:rPr>
        <w:t xml:space="preserve">The criteria are </w:t>
      </w:r>
      <w:r w:rsidR="00645833">
        <w:rPr>
          <w:rFonts w:ascii="Times New Roman" w:hAnsi="Times New Roman" w:cs="Times New Roman"/>
        </w:rPr>
        <w:t xml:space="preserve">also </w:t>
      </w:r>
      <w:r w:rsidRPr="00BF1D5D">
        <w:rPr>
          <w:rFonts w:ascii="Times New Roman" w:hAnsi="Times New Roman" w:cs="Times New Roman"/>
        </w:rPr>
        <w:t>the same as the criteria in Subclass 103</w:t>
      </w:r>
      <w:r w:rsidR="009D7BA8" w:rsidRPr="00BF1D5D">
        <w:rPr>
          <w:rFonts w:ascii="Times New Roman" w:hAnsi="Times New Roman" w:cs="Times New Roman"/>
        </w:rPr>
        <w:t>;</w:t>
      </w:r>
    </w:p>
    <w:p w:rsidR="005A4C76" w:rsidRPr="005A4C76" w:rsidRDefault="005A4C76" w:rsidP="005A4C76">
      <w:pPr>
        <w:pStyle w:val="DINumberedParagraph"/>
        <w:widowControl w:val="0"/>
        <w:numPr>
          <w:ilvl w:val="0"/>
          <w:numId w:val="0"/>
        </w:numPr>
        <w:tabs>
          <w:tab w:val="clear" w:pos="567"/>
          <w:tab w:val="left" w:pos="720"/>
        </w:tabs>
        <w:spacing w:after="0"/>
        <w:rPr>
          <w:rFonts w:ascii="Times New Roman" w:hAnsi="Times New Roman" w:cs="Times New Roman"/>
        </w:rPr>
      </w:pPr>
    </w:p>
    <w:p w:rsidR="00BF1D5D" w:rsidRPr="005A4C76" w:rsidRDefault="00BF1D5D" w:rsidP="005A4C76">
      <w:pPr>
        <w:pStyle w:val="DINumberedParagraph"/>
        <w:widowControl w:val="0"/>
        <w:numPr>
          <w:ilvl w:val="0"/>
          <w:numId w:val="20"/>
        </w:numPr>
        <w:tabs>
          <w:tab w:val="clear" w:pos="567"/>
          <w:tab w:val="left" w:pos="720"/>
        </w:tabs>
        <w:spacing w:after="0"/>
        <w:rPr>
          <w:rFonts w:ascii="Times New Roman" w:hAnsi="Times New Roman" w:cs="Times New Roman"/>
        </w:rPr>
      </w:pPr>
      <w:r w:rsidRPr="005A4C76">
        <w:rPr>
          <w:rFonts w:ascii="Times New Roman" w:hAnsi="Times New Roman" w:cs="Times New Roman"/>
        </w:rPr>
        <w:t xml:space="preserve">item 56 inserts clause 143.225B, the effect of which is that </w:t>
      </w:r>
      <w:r w:rsidR="003B533A" w:rsidRPr="005A4C76">
        <w:rPr>
          <w:rFonts w:ascii="Times New Roman" w:hAnsi="Times New Roman" w:cs="Times New Roman"/>
        </w:rPr>
        <w:t xml:space="preserve">a primary applicant seeking to satisfy the </w:t>
      </w:r>
      <w:r w:rsidRPr="005A4C76">
        <w:rPr>
          <w:rFonts w:ascii="Times New Roman" w:hAnsi="Times New Roman" w:cs="Times New Roman"/>
        </w:rPr>
        <w:t xml:space="preserve">primary criteria for retirees </w:t>
      </w:r>
      <w:r w:rsidR="003B533A" w:rsidRPr="005A4C76">
        <w:rPr>
          <w:rFonts w:ascii="Times New Roman" w:hAnsi="Times New Roman" w:cs="Times New Roman"/>
        </w:rPr>
        <w:t xml:space="preserve">cannot be approved if a spouse or de facto partner </w:t>
      </w:r>
      <w:r w:rsidR="009D7BA8" w:rsidRPr="005A4C76">
        <w:rPr>
          <w:rFonts w:ascii="Times New Roman" w:hAnsi="Times New Roman" w:cs="Times New Roman"/>
        </w:rPr>
        <w:t xml:space="preserve">who </w:t>
      </w:r>
      <w:r w:rsidR="003B533A" w:rsidRPr="005A4C76">
        <w:rPr>
          <w:rFonts w:ascii="Times New Roman" w:hAnsi="Times New Roman" w:cs="Times New Roman"/>
        </w:rPr>
        <w:t>is also an applicant does not meet specified public interest criteria and special return criteria</w:t>
      </w:r>
      <w:r w:rsidRPr="005A4C76">
        <w:rPr>
          <w:rFonts w:ascii="Times New Roman" w:hAnsi="Times New Roman" w:cs="Times New Roman"/>
        </w:rPr>
        <w:t>.</w:t>
      </w:r>
      <w:r w:rsidR="003B533A" w:rsidRPr="005A4C76">
        <w:rPr>
          <w:rFonts w:ascii="Times New Roman" w:hAnsi="Times New Roman" w:cs="Times New Roman"/>
        </w:rPr>
        <w:t xml:space="preserve"> </w:t>
      </w:r>
      <w:r w:rsidRPr="005A4C76">
        <w:rPr>
          <w:rFonts w:ascii="Times New Roman" w:hAnsi="Times New Roman" w:cs="Times New Roman"/>
        </w:rPr>
        <w:t xml:space="preserve"> </w:t>
      </w:r>
      <w:r w:rsidR="003B533A" w:rsidRPr="005A4C76">
        <w:rPr>
          <w:rFonts w:ascii="Times New Roman" w:hAnsi="Times New Roman" w:cs="Times New Roman"/>
        </w:rPr>
        <w:t xml:space="preserve">As with item 53, these are standard </w:t>
      </w:r>
      <w:r w:rsidRPr="005A4C76">
        <w:rPr>
          <w:rFonts w:ascii="Times New Roman" w:hAnsi="Times New Roman" w:cs="Times New Roman"/>
        </w:rPr>
        <w:t>criteria</w:t>
      </w:r>
      <w:r w:rsidR="009D7BA8" w:rsidRPr="005A4C76">
        <w:rPr>
          <w:rFonts w:ascii="Times New Roman" w:hAnsi="Times New Roman" w:cs="Times New Roman"/>
        </w:rPr>
        <w:t>;</w:t>
      </w:r>
    </w:p>
    <w:p w:rsidR="00DC7393" w:rsidRDefault="00DC7393" w:rsidP="00DC7393">
      <w:pPr>
        <w:pStyle w:val="DINumberedParagraph"/>
        <w:widowControl w:val="0"/>
        <w:numPr>
          <w:ilvl w:val="0"/>
          <w:numId w:val="0"/>
        </w:numPr>
        <w:tabs>
          <w:tab w:val="clear" w:pos="567"/>
          <w:tab w:val="left" w:pos="720"/>
        </w:tabs>
        <w:spacing w:after="0"/>
        <w:ind w:left="720"/>
        <w:rPr>
          <w:rFonts w:ascii="Times New Roman" w:hAnsi="Times New Roman" w:cs="Times New Roman"/>
        </w:rPr>
      </w:pPr>
    </w:p>
    <w:p w:rsidR="009D7BA8" w:rsidRDefault="00DC7393" w:rsidP="009D7BA8">
      <w:pPr>
        <w:pStyle w:val="DINumberedParagraph"/>
        <w:widowControl w:val="0"/>
        <w:numPr>
          <w:ilvl w:val="0"/>
          <w:numId w:val="20"/>
        </w:numPr>
        <w:tabs>
          <w:tab w:val="clear" w:pos="567"/>
          <w:tab w:val="left" w:pos="720"/>
        </w:tabs>
        <w:spacing w:after="0"/>
        <w:rPr>
          <w:rFonts w:ascii="Times New Roman" w:hAnsi="Times New Roman" w:cs="Times New Roman"/>
        </w:rPr>
      </w:pPr>
      <w:r>
        <w:rPr>
          <w:rFonts w:ascii="Times New Roman" w:hAnsi="Times New Roman" w:cs="Times New Roman"/>
        </w:rPr>
        <w:t xml:space="preserve">item </w:t>
      </w:r>
      <w:r w:rsidR="003B533A">
        <w:rPr>
          <w:rFonts w:ascii="Times New Roman" w:hAnsi="Times New Roman" w:cs="Times New Roman"/>
        </w:rPr>
        <w:t>65</w:t>
      </w:r>
      <w:r>
        <w:rPr>
          <w:rFonts w:ascii="Times New Roman" w:hAnsi="Times New Roman" w:cs="Times New Roman"/>
        </w:rPr>
        <w:t xml:space="preserve"> </w:t>
      </w:r>
      <w:r w:rsidR="009D7BA8">
        <w:rPr>
          <w:rFonts w:ascii="Times New Roman" w:hAnsi="Times New Roman" w:cs="Times New Roman"/>
        </w:rPr>
        <w:t>inserts the secondary criteria for spouses and de facto partners of retirees who satisfy the primary criteria. The effect is as noted for item 32 above;</w:t>
      </w:r>
    </w:p>
    <w:p w:rsidR="003B533A" w:rsidRDefault="009D7BA8" w:rsidP="009D7BA8">
      <w:pPr>
        <w:pStyle w:val="DINumberedParagraph"/>
        <w:widowControl w:val="0"/>
        <w:numPr>
          <w:ilvl w:val="0"/>
          <w:numId w:val="0"/>
        </w:numPr>
        <w:tabs>
          <w:tab w:val="clear" w:pos="567"/>
          <w:tab w:val="left" w:pos="720"/>
        </w:tabs>
        <w:spacing w:after="0"/>
        <w:ind w:left="720"/>
        <w:rPr>
          <w:rFonts w:ascii="Times New Roman" w:hAnsi="Times New Roman" w:cs="Times New Roman"/>
        </w:rPr>
      </w:pPr>
      <w:r>
        <w:rPr>
          <w:rFonts w:ascii="Times New Roman" w:hAnsi="Times New Roman" w:cs="Times New Roman"/>
        </w:rPr>
        <w:t xml:space="preserve"> </w:t>
      </w:r>
    </w:p>
    <w:p w:rsidR="00CB7922" w:rsidRPr="00BF1D5D" w:rsidRDefault="003B533A" w:rsidP="00CB7922">
      <w:pPr>
        <w:pStyle w:val="DINumberedParagraph"/>
        <w:widowControl w:val="0"/>
        <w:numPr>
          <w:ilvl w:val="0"/>
          <w:numId w:val="20"/>
        </w:numPr>
        <w:tabs>
          <w:tab w:val="clear" w:pos="567"/>
          <w:tab w:val="left" w:pos="720"/>
        </w:tabs>
        <w:spacing w:after="0"/>
        <w:rPr>
          <w:rFonts w:ascii="Times New Roman" w:hAnsi="Times New Roman" w:cs="Times New Roman"/>
        </w:rPr>
      </w:pPr>
      <w:r>
        <w:rPr>
          <w:rFonts w:ascii="Times New Roman" w:hAnsi="Times New Roman" w:cs="Times New Roman"/>
        </w:rPr>
        <w:t xml:space="preserve">item 72 </w:t>
      </w:r>
      <w:r w:rsidR="00CB7922" w:rsidRPr="00BF1D5D">
        <w:rPr>
          <w:rFonts w:ascii="Times New Roman" w:hAnsi="Times New Roman" w:cs="Times New Roman"/>
        </w:rPr>
        <w:t>inserts new clause 143.</w:t>
      </w:r>
      <w:r w:rsidR="00CB7922">
        <w:rPr>
          <w:rFonts w:ascii="Times New Roman" w:hAnsi="Times New Roman" w:cs="Times New Roman"/>
        </w:rPr>
        <w:t>324A, the effect of which is that an applicant seeking to satisfy the secondary criteria as the spouse or de facto partner of a primary applicant who meets the retiree criteria must satisfy specified public interest criteria</w:t>
      </w:r>
      <w:r w:rsidR="00CB7922" w:rsidRPr="00BF1D5D">
        <w:rPr>
          <w:rFonts w:ascii="Times New Roman" w:hAnsi="Times New Roman" w:cs="Times New Roman"/>
        </w:rPr>
        <w:t>.</w:t>
      </w:r>
      <w:r w:rsidR="00CB7922">
        <w:rPr>
          <w:rFonts w:ascii="Times New Roman" w:hAnsi="Times New Roman" w:cs="Times New Roman"/>
        </w:rPr>
        <w:t xml:space="preserve"> </w:t>
      </w:r>
      <w:r w:rsidR="00CB7922" w:rsidRPr="00BF1D5D">
        <w:rPr>
          <w:rFonts w:ascii="Times New Roman" w:hAnsi="Times New Roman" w:cs="Times New Roman"/>
        </w:rPr>
        <w:t xml:space="preserve"> </w:t>
      </w:r>
      <w:r w:rsidR="00CB7922">
        <w:rPr>
          <w:rFonts w:ascii="Times New Roman" w:hAnsi="Times New Roman" w:cs="Times New Roman"/>
        </w:rPr>
        <w:t xml:space="preserve">As with items 53 and 56, these are standard </w:t>
      </w:r>
      <w:r w:rsidR="00CB7922" w:rsidRPr="00BF1D5D">
        <w:rPr>
          <w:rFonts w:ascii="Times New Roman" w:hAnsi="Times New Roman" w:cs="Times New Roman"/>
        </w:rPr>
        <w:t>criteria;</w:t>
      </w:r>
    </w:p>
    <w:p w:rsidR="009D7BA8" w:rsidRDefault="009D7BA8" w:rsidP="009D7BA8">
      <w:pPr>
        <w:pStyle w:val="DINumberedParagraph"/>
        <w:widowControl w:val="0"/>
        <w:numPr>
          <w:ilvl w:val="0"/>
          <w:numId w:val="0"/>
        </w:numPr>
        <w:tabs>
          <w:tab w:val="clear" w:pos="567"/>
          <w:tab w:val="left" w:pos="720"/>
        </w:tabs>
        <w:spacing w:after="0"/>
        <w:ind w:left="720"/>
        <w:rPr>
          <w:rFonts w:ascii="Times New Roman" w:hAnsi="Times New Roman" w:cs="Times New Roman"/>
        </w:rPr>
      </w:pPr>
    </w:p>
    <w:p w:rsidR="00133BAB" w:rsidRPr="00133BAB" w:rsidRDefault="00DC7393" w:rsidP="0017573A">
      <w:pPr>
        <w:pStyle w:val="DINumberedParagraph"/>
        <w:widowControl w:val="0"/>
        <w:numPr>
          <w:ilvl w:val="0"/>
          <w:numId w:val="20"/>
        </w:numPr>
        <w:tabs>
          <w:tab w:val="clear" w:pos="567"/>
          <w:tab w:val="left" w:pos="720"/>
        </w:tabs>
        <w:spacing w:after="0"/>
        <w:rPr>
          <w:u w:val="single"/>
        </w:rPr>
      </w:pPr>
      <w:r>
        <w:rPr>
          <w:rFonts w:ascii="Times New Roman" w:hAnsi="Times New Roman" w:cs="Times New Roman"/>
        </w:rPr>
        <w:t xml:space="preserve">items </w:t>
      </w:r>
      <w:r w:rsidR="00CB7922">
        <w:rPr>
          <w:rFonts w:ascii="Times New Roman" w:hAnsi="Times New Roman" w:cs="Times New Roman"/>
        </w:rPr>
        <w:t>75</w:t>
      </w:r>
      <w:r>
        <w:rPr>
          <w:rFonts w:ascii="Times New Roman" w:hAnsi="Times New Roman" w:cs="Times New Roman"/>
        </w:rPr>
        <w:t xml:space="preserve"> to </w:t>
      </w:r>
      <w:r w:rsidR="00CB7922">
        <w:rPr>
          <w:rFonts w:ascii="Times New Roman" w:hAnsi="Times New Roman" w:cs="Times New Roman"/>
        </w:rPr>
        <w:t>76</w:t>
      </w:r>
      <w:r>
        <w:rPr>
          <w:rFonts w:ascii="Times New Roman" w:hAnsi="Times New Roman" w:cs="Times New Roman"/>
        </w:rPr>
        <w:t xml:space="preserve"> amend clause 1</w:t>
      </w:r>
      <w:r w:rsidR="00CB7922">
        <w:rPr>
          <w:rFonts w:ascii="Times New Roman" w:hAnsi="Times New Roman" w:cs="Times New Roman"/>
        </w:rPr>
        <w:t>4</w:t>
      </w:r>
      <w:r>
        <w:rPr>
          <w:rFonts w:ascii="Times New Roman" w:hAnsi="Times New Roman" w:cs="Times New Roman"/>
        </w:rPr>
        <w:t xml:space="preserve">3.411 which deals with the location of the applicant when the visa is granted. The </w:t>
      </w:r>
      <w:r w:rsidR="00133BAB">
        <w:rPr>
          <w:rFonts w:ascii="Times New Roman" w:hAnsi="Times New Roman" w:cs="Times New Roman"/>
        </w:rPr>
        <w:t>position is as des</w:t>
      </w:r>
      <w:r w:rsidR="0050144C">
        <w:rPr>
          <w:rFonts w:ascii="Times New Roman" w:hAnsi="Times New Roman" w:cs="Times New Roman"/>
        </w:rPr>
        <w:t>cribed above for items 37 to 38.</w:t>
      </w:r>
      <w:r w:rsidR="00133BAB">
        <w:rPr>
          <w:rFonts w:ascii="Times New Roman" w:hAnsi="Times New Roman" w:cs="Times New Roman"/>
        </w:rPr>
        <w:t xml:space="preserve"> </w:t>
      </w:r>
    </w:p>
    <w:p w:rsidR="00133BAB" w:rsidRDefault="00133BAB" w:rsidP="00133BAB">
      <w:pPr>
        <w:pStyle w:val="ListParagraph"/>
        <w:rPr>
          <w:u w:val="single"/>
        </w:rPr>
      </w:pPr>
    </w:p>
    <w:p w:rsidR="00DC7393" w:rsidRPr="00133BAB" w:rsidRDefault="00E46DBD" w:rsidP="00133BAB">
      <w:pPr>
        <w:pStyle w:val="DINumberedParagraph"/>
        <w:widowControl w:val="0"/>
        <w:numPr>
          <w:ilvl w:val="0"/>
          <w:numId w:val="0"/>
        </w:numPr>
        <w:tabs>
          <w:tab w:val="clear" w:pos="567"/>
          <w:tab w:val="left" w:pos="720"/>
        </w:tabs>
        <w:spacing w:after="0"/>
        <w:rPr>
          <w:rFonts w:ascii="Times New Roman" w:hAnsi="Times New Roman" w:cs="Times New Roman"/>
          <w:u w:val="single"/>
        </w:rPr>
      </w:pPr>
      <w:r w:rsidRPr="00133BAB">
        <w:rPr>
          <w:rFonts w:ascii="Times New Roman" w:hAnsi="Times New Roman" w:cs="Times New Roman"/>
          <w:u w:val="single"/>
        </w:rPr>
        <w:t>Item 77 – Operation of the amendments made by this regulation</w:t>
      </w:r>
    </w:p>
    <w:p w:rsidR="00E46DBD" w:rsidRPr="00E46DBD" w:rsidRDefault="00E46DBD" w:rsidP="00E46DBD">
      <w:pPr>
        <w:rPr>
          <w:u w:val="single"/>
        </w:rPr>
      </w:pPr>
      <w:r w:rsidRPr="00E46DBD">
        <w:t xml:space="preserve">This item </w:t>
      </w:r>
      <w:r>
        <w:t>inserts Part 78 into Schedule 13 to the Migration Regulations. Schedule 13 contains application and transitional provisions for amendments to the Migration Regulations. The effect of Part 78 is that the criteria for retirees apply to visa applications made</w:t>
      </w:r>
      <w:r w:rsidR="005A4C76">
        <w:t xml:space="preserve"> on or after 17 </w:t>
      </w:r>
      <w:r>
        <w:t xml:space="preserve">November 2018, which is the commencement date of the </w:t>
      </w:r>
      <w:r w:rsidR="00133BAB">
        <w:t>R</w:t>
      </w:r>
      <w:r>
        <w:t>egulations.</w:t>
      </w:r>
    </w:p>
    <w:sectPr w:rsidR="00E46DBD" w:rsidRPr="00E46DBD" w:rsidSect="0028118F">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AF6" w:rsidRDefault="00C97AF6" w:rsidP="00A84375">
      <w:pPr>
        <w:spacing w:before="0"/>
      </w:pPr>
      <w:r>
        <w:separator/>
      </w:r>
    </w:p>
  </w:endnote>
  <w:endnote w:type="continuationSeparator" w:id="0">
    <w:p w:rsidR="00C97AF6" w:rsidRDefault="00C97AF6" w:rsidP="00A843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vantGarde">
    <w:altName w:val="Century Gothic"/>
    <w:panose1 w:val="00000000000000000000"/>
    <w:charset w:val="00"/>
    <w:family w:val="swiss"/>
    <w:notTrueType/>
    <w:pitch w:val="default"/>
    <w:sig w:usb0="00000003" w:usb1="00000000" w:usb2="00000000" w:usb3="00000000" w:csb0="00000001" w:csb1="00000000"/>
  </w:font>
  <w:font w:name="TimesNewRomanPSMT">
    <w:altName w:val="Yu Gothic UI"/>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AF6" w:rsidRDefault="00C97AF6" w:rsidP="00A84375">
      <w:pPr>
        <w:spacing w:before="0"/>
      </w:pPr>
      <w:r>
        <w:separator/>
      </w:r>
    </w:p>
  </w:footnote>
  <w:footnote w:type="continuationSeparator" w:id="0">
    <w:p w:rsidR="00C97AF6" w:rsidRDefault="00C97AF6" w:rsidP="00A8437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505E"/>
    <w:multiLevelType w:val="hybridMultilevel"/>
    <w:tmpl w:val="EDF6AA8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FD06D8"/>
    <w:multiLevelType w:val="hybridMultilevel"/>
    <w:tmpl w:val="6CB62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4" w15:restartNumberingAfterBreak="0">
    <w:nsid w:val="2B07792E"/>
    <w:multiLevelType w:val="hybridMultilevel"/>
    <w:tmpl w:val="39F8712E"/>
    <w:lvl w:ilvl="0" w:tplc="7E32BD7E">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7372D7"/>
    <w:multiLevelType w:val="hybridMultilevel"/>
    <w:tmpl w:val="072803DC"/>
    <w:lvl w:ilvl="0" w:tplc="8B70C3BA">
      <w:start w:val="1"/>
      <w:numFmt w:val="bullet"/>
      <w:pStyle w:val="Bullet2"/>
      <w:lvlText w:val="–"/>
      <w:lvlJc w:val="left"/>
      <w:pPr>
        <w:ind w:left="644"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512F3"/>
    <w:multiLevelType w:val="hybridMultilevel"/>
    <w:tmpl w:val="7632D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4C18D8"/>
    <w:multiLevelType w:val="hybridMultilevel"/>
    <w:tmpl w:val="720A7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6F2A3A"/>
    <w:multiLevelType w:val="hybridMultilevel"/>
    <w:tmpl w:val="67ACA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F03BCE"/>
    <w:multiLevelType w:val="hybridMultilevel"/>
    <w:tmpl w:val="A8869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D3DBD"/>
    <w:multiLevelType w:val="hybridMultilevel"/>
    <w:tmpl w:val="66F07B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D8E7D39"/>
    <w:multiLevelType w:val="hybridMultilevel"/>
    <w:tmpl w:val="C7300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A3798D"/>
    <w:multiLevelType w:val="hybridMultilevel"/>
    <w:tmpl w:val="9E3AAC1E"/>
    <w:lvl w:ilvl="0" w:tplc="8E002262">
      <w:start w:val="1"/>
      <w:numFmt w:val="decimal"/>
      <w:suff w:val="nothing"/>
      <w:lvlText w:val="%1."/>
      <w:lvlJc w:val="left"/>
      <w:pPr>
        <w:ind w:left="360" w:hanging="360"/>
      </w:pPr>
      <w:rPr>
        <w:rFonts w:asciiTheme="minorHAnsi" w:hAnsiTheme="minorHAnsi" w:hint="default"/>
        <w:b w:val="0"/>
        <w:i w:val="0"/>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AE726E7"/>
    <w:multiLevelType w:val="hybridMultilevel"/>
    <w:tmpl w:val="FF3A1AC4"/>
    <w:lvl w:ilvl="0" w:tplc="A0E6030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0F6477"/>
    <w:multiLevelType w:val="hybridMultilevel"/>
    <w:tmpl w:val="DC4E3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472134"/>
    <w:multiLevelType w:val="hybridMultilevel"/>
    <w:tmpl w:val="9C34209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68233FE"/>
    <w:multiLevelType w:val="hybridMultilevel"/>
    <w:tmpl w:val="8BB4F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CD6139"/>
    <w:multiLevelType w:val="hybridMultilevel"/>
    <w:tmpl w:val="3476F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
    <w:lvlOverride w:ilvl="0">
      <w:startOverride w:val="2"/>
    </w:lvlOverride>
  </w:num>
  <w:num w:numId="3">
    <w:abstractNumId w:val="9"/>
  </w:num>
  <w:num w:numId="4">
    <w:abstractNumId w:val="14"/>
  </w:num>
  <w:num w:numId="5">
    <w:abstractNumId w:val="6"/>
  </w:num>
  <w:num w:numId="6">
    <w:abstractNumId w:val="15"/>
  </w:num>
  <w:num w:numId="7">
    <w:abstractNumId w:val="8"/>
  </w:num>
  <w:num w:numId="8">
    <w:abstractNumId w:val="17"/>
  </w:num>
  <w:num w:numId="9">
    <w:abstractNumId w:val="18"/>
  </w:num>
  <w:num w:numId="10">
    <w:abstractNumId w:val="11"/>
  </w:num>
  <w:num w:numId="11">
    <w:abstractNumId w:val="1"/>
  </w:num>
  <w:num w:numId="12">
    <w:abstractNumId w:val="7"/>
  </w:num>
  <w:num w:numId="13">
    <w:abstractNumId w:val="2"/>
  </w:num>
  <w:num w:numId="14">
    <w:abstractNumId w:val="5"/>
  </w:num>
  <w:num w:numId="15">
    <w:abstractNumId w:val="13"/>
  </w:num>
  <w:num w:numId="16">
    <w:abstractNumId w:val="0"/>
  </w:num>
  <w:num w:numId="17">
    <w:abstractNumId w:val="16"/>
  </w:num>
  <w:num w:numId="18">
    <w:abstractNumId w:val="10"/>
  </w:num>
  <w:num w:numId="19">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D7"/>
    <w:rsid w:val="00005F5C"/>
    <w:rsid w:val="00024EF9"/>
    <w:rsid w:val="00030D45"/>
    <w:rsid w:val="0003193F"/>
    <w:rsid w:val="0003632D"/>
    <w:rsid w:val="00036EE5"/>
    <w:rsid w:val="00042670"/>
    <w:rsid w:val="0004530D"/>
    <w:rsid w:val="000602DD"/>
    <w:rsid w:val="0006246A"/>
    <w:rsid w:val="000652FB"/>
    <w:rsid w:val="00066356"/>
    <w:rsid w:val="0006707B"/>
    <w:rsid w:val="0006708B"/>
    <w:rsid w:val="0007342E"/>
    <w:rsid w:val="000743B2"/>
    <w:rsid w:val="000744C7"/>
    <w:rsid w:val="00074887"/>
    <w:rsid w:val="00075BA4"/>
    <w:rsid w:val="000760C7"/>
    <w:rsid w:val="0008363D"/>
    <w:rsid w:val="000857C3"/>
    <w:rsid w:val="00091086"/>
    <w:rsid w:val="00093390"/>
    <w:rsid w:val="000A4262"/>
    <w:rsid w:val="000A7C41"/>
    <w:rsid w:val="000B0AC4"/>
    <w:rsid w:val="000B4E5B"/>
    <w:rsid w:val="000B5185"/>
    <w:rsid w:val="000B652A"/>
    <w:rsid w:val="000B7BB9"/>
    <w:rsid w:val="000C0130"/>
    <w:rsid w:val="000C0781"/>
    <w:rsid w:val="000C4ABE"/>
    <w:rsid w:val="000D08C9"/>
    <w:rsid w:val="000D1B33"/>
    <w:rsid w:val="000D3A9D"/>
    <w:rsid w:val="000D3F31"/>
    <w:rsid w:val="000D49CB"/>
    <w:rsid w:val="000D7E6D"/>
    <w:rsid w:val="000E0843"/>
    <w:rsid w:val="000E2943"/>
    <w:rsid w:val="000E51C3"/>
    <w:rsid w:val="000F3023"/>
    <w:rsid w:val="000F3A01"/>
    <w:rsid w:val="000F4908"/>
    <w:rsid w:val="000F5F4A"/>
    <w:rsid w:val="0010771C"/>
    <w:rsid w:val="00107A74"/>
    <w:rsid w:val="00117A08"/>
    <w:rsid w:val="00121DE4"/>
    <w:rsid w:val="00126517"/>
    <w:rsid w:val="00131BBB"/>
    <w:rsid w:val="00133BAB"/>
    <w:rsid w:val="00134F0B"/>
    <w:rsid w:val="00135828"/>
    <w:rsid w:val="00135E79"/>
    <w:rsid w:val="00136379"/>
    <w:rsid w:val="00150D9F"/>
    <w:rsid w:val="00151BE6"/>
    <w:rsid w:val="00170996"/>
    <w:rsid w:val="00172815"/>
    <w:rsid w:val="00174092"/>
    <w:rsid w:val="001748F1"/>
    <w:rsid w:val="0017612C"/>
    <w:rsid w:val="001773EB"/>
    <w:rsid w:val="001817DF"/>
    <w:rsid w:val="00185101"/>
    <w:rsid w:val="0018560D"/>
    <w:rsid w:val="0018579E"/>
    <w:rsid w:val="001864C2"/>
    <w:rsid w:val="00187B7F"/>
    <w:rsid w:val="00190AF3"/>
    <w:rsid w:val="00192705"/>
    <w:rsid w:val="00194351"/>
    <w:rsid w:val="00194AED"/>
    <w:rsid w:val="00194BDF"/>
    <w:rsid w:val="001A2C3E"/>
    <w:rsid w:val="001A595F"/>
    <w:rsid w:val="001A7D8A"/>
    <w:rsid w:val="001B3453"/>
    <w:rsid w:val="001B40E8"/>
    <w:rsid w:val="001B5AFB"/>
    <w:rsid w:val="001B5B9C"/>
    <w:rsid w:val="001B721E"/>
    <w:rsid w:val="001C28DC"/>
    <w:rsid w:val="001C2D3A"/>
    <w:rsid w:val="001C45CC"/>
    <w:rsid w:val="001C5FE0"/>
    <w:rsid w:val="001D4905"/>
    <w:rsid w:val="001D7372"/>
    <w:rsid w:val="001E0177"/>
    <w:rsid w:val="001E2240"/>
    <w:rsid w:val="001E312E"/>
    <w:rsid w:val="001E3C73"/>
    <w:rsid w:val="001E763A"/>
    <w:rsid w:val="001E79D4"/>
    <w:rsid w:val="001E7DF1"/>
    <w:rsid w:val="002008E2"/>
    <w:rsid w:val="0020327B"/>
    <w:rsid w:val="00203DBF"/>
    <w:rsid w:val="00204FAC"/>
    <w:rsid w:val="00205D1F"/>
    <w:rsid w:val="00205D5D"/>
    <w:rsid w:val="002075CA"/>
    <w:rsid w:val="0021038D"/>
    <w:rsid w:val="00210413"/>
    <w:rsid w:val="00223455"/>
    <w:rsid w:val="00226FA9"/>
    <w:rsid w:val="00227964"/>
    <w:rsid w:val="00230A59"/>
    <w:rsid w:val="00233744"/>
    <w:rsid w:val="0024393E"/>
    <w:rsid w:val="00243955"/>
    <w:rsid w:val="002441D6"/>
    <w:rsid w:val="00245691"/>
    <w:rsid w:val="00245B50"/>
    <w:rsid w:val="002473F5"/>
    <w:rsid w:val="002518F9"/>
    <w:rsid w:val="002578DD"/>
    <w:rsid w:val="0026098A"/>
    <w:rsid w:val="00261EF0"/>
    <w:rsid w:val="00265E5F"/>
    <w:rsid w:val="002678EF"/>
    <w:rsid w:val="00272683"/>
    <w:rsid w:val="00272D5D"/>
    <w:rsid w:val="0027380D"/>
    <w:rsid w:val="00273E2D"/>
    <w:rsid w:val="00274324"/>
    <w:rsid w:val="0028090C"/>
    <w:rsid w:val="0028118F"/>
    <w:rsid w:val="00282A53"/>
    <w:rsid w:val="00292D14"/>
    <w:rsid w:val="002A141E"/>
    <w:rsid w:val="002A2D29"/>
    <w:rsid w:val="002A43EA"/>
    <w:rsid w:val="002A5272"/>
    <w:rsid w:val="002A55E1"/>
    <w:rsid w:val="002B16F9"/>
    <w:rsid w:val="002B5618"/>
    <w:rsid w:val="002B5FEE"/>
    <w:rsid w:val="002B6DED"/>
    <w:rsid w:val="002D5DB8"/>
    <w:rsid w:val="002D743C"/>
    <w:rsid w:val="002E1F0E"/>
    <w:rsid w:val="002E38EA"/>
    <w:rsid w:val="002E4DAA"/>
    <w:rsid w:val="002F24E1"/>
    <w:rsid w:val="002F2B56"/>
    <w:rsid w:val="002F68E3"/>
    <w:rsid w:val="002F7437"/>
    <w:rsid w:val="0030170E"/>
    <w:rsid w:val="00301956"/>
    <w:rsid w:val="0030209B"/>
    <w:rsid w:val="00303169"/>
    <w:rsid w:val="003107F2"/>
    <w:rsid w:val="00314826"/>
    <w:rsid w:val="00316AEA"/>
    <w:rsid w:val="003171FD"/>
    <w:rsid w:val="0032054F"/>
    <w:rsid w:val="003212A7"/>
    <w:rsid w:val="00324E39"/>
    <w:rsid w:val="00332018"/>
    <w:rsid w:val="0033702A"/>
    <w:rsid w:val="00341C0A"/>
    <w:rsid w:val="0034343C"/>
    <w:rsid w:val="00362BBB"/>
    <w:rsid w:val="00363EC8"/>
    <w:rsid w:val="00375B01"/>
    <w:rsid w:val="003771ED"/>
    <w:rsid w:val="0038289D"/>
    <w:rsid w:val="00386174"/>
    <w:rsid w:val="00390759"/>
    <w:rsid w:val="00390E3D"/>
    <w:rsid w:val="00391F5C"/>
    <w:rsid w:val="00396CC4"/>
    <w:rsid w:val="003A1054"/>
    <w:rsid w:val="003A2A66"/>
    <w:rsid w:val="003A4480"/>
    <w:rsid w:val="003A45AD"/>
    <w:rsid w:val="003A55D8"/>
    <w:rsid w:val="003A6667"/>
    <w:rsid w:val="003B01CC"/>
    <w:rsid w:val="003B533A"/>
    <w:rsid w:val="003C08DC"/>
    <w:rsid w:val="003D00B1"/>
    <w:rsid w:val="003D1117"/>
    <w:rsid w:val="003D193A"/>
    <w:rsid w:val="003D1ED8"/>
    <w:rsid w:val="003D2C24"/>
    <w:rsid w:val="003D4533"/>
    <w:rsid w:val="003D50F0"/>
    <w:rsid w:val="003E37C2"/>
    <w:rsid w:val="003E60AF"/>
    <w:rsid w:val="003F163F"/>
    <w:rsid w:val="0041198E"/>
    <w:rsid w:val="00415D39"/>
    <w:rsid w:val="00421898"/>
    <w:rsid w:val="00424808"/>
    <w:rsid w:val="00425D70"/>
    <w:rsid w:val="004349DB"/>
    <w:rsid w:val="00442E4F"/>
    <w:rsid w:val="0044536A"/>
    <w:rsid w:val="004574F6"/>
    <w:rsid w:val="00457980"/>
    <w:rsid w:val="00460085"/>
    <w:rsid w:val="00461442"/>
    <w:rsid w:val="00465859"/>
    <w:rsid w:val="004737BC"/>
    <w:rsid w:val="0047497F"/>
    <w:rsid w:val="00475C1E"/>
    <w:rsid w:val="00476349"/>
    <w:rsid w:val="00477D5D"/>
    <w:rsid w:val="00480826"/>
    <w:rsid w:val="004818D4"/>
    <w:rsid w:val="00487C4D"/>
    <w:rsid w:val="00487FDA"/>
    <w:rsid w:val="00495D86"/>
    <w:rsid w:val="004A1876"/>
    <w:rsid w:val="004A3DFC"/>
    <w:rsid w:val="004A6E64"/>
    <w:rsid w:val="004B2DD2"/>
    <w:rsid w:val="004D1D97"/>
    <w:rsid w:val="004D493D"/>
    <w:rsid w:val="004F6619"/>
    <w:rsid w:val="004F75B9"/>
    <w:rsid w:val="0050144C"/>
    <w:rsid w:val="00504900"/>
    <w:rsid w:val="00505B4B"/>
    <w:rsid w:val="00505BBD"/>
    <w:rsid w:val="005070EE"/>
    <w:rsid w:val="00510C41"/>
    <w:rsid w:val="0051149D"/>
    <w:rsid w:val="00516509"/>
    <w:rsid w:val="00533D47"/>
    <w:rsid w:val="00535D03"/>
    <w:rsid w:val="00537A7C"/>
    <w:rsid w:val="00556492"/>
    <w:rsid w:val="00560CE1"/>
    <w:rsid w:val="00563487"/>
    <w:rsid w:val="00571659"/>
    <w:rsid w:val="00572628"/>
    <w:rsid w:val="00577E7E"/>
    <w:rsid w:val="00583221"/>
    <w:rsid w:val="00583E48"/>
    <w:rsid w:val="00584635"/>
    <w:rsid w:val="00586FCF"/>
    <w:rsid w:val="00590F54"/>
    <w:rsid w:val="00591259"/>
    <w:rsid w:val="00595596"/>
    <w:rsid w:val="00597E6C"/>
    <w:rsid w:val="005A4C76"/>
    <w:rsid w:val="005A64D4"/>
    <w:rsid w:val="005A673D"/>
    <w:rsid w:val="005B0132"/>
    <w:rsid w:val="005B15D6"/>
    <w:rsid w:val="005B30EF"/>
    <w:rsid w:val="005B43B0"/>
    <w:rsid w:val="005B4477"/>
    <w:rsid w:val="005C137B"/>
    <w:rsid w:val="005C359C"/>
    <w:rsid w:val="005D0032"/>
    <w:rsid w:val="005D4D88"/>
    <w:rsid w:val="005E53BB"/>
    <w:rsid w:val="005E6373"/>
    <w:rsid w:val="005E7337"/>
    <w:rsid w:val="005F34D0"/>
    <w:rsid w:val="005F40FC"/>
    <w:rsid w:val="005F4E25"/>
    <w:rsid w:val="005F5244"/>
    <w:rsid w:val="00606966"/>
    <w:rsid w:val="00616527"/>
    <w:rsid w:val="006211DB"/>
    <w:rsid w:val="00634327"/>
    <w:rsid w:val="00634AEE"/>
    <w:rsid w:val="00644C7D"/>
    <w:rsid w:val="00644EE9"/>
    <w:rsid w:val="00645833"/>
    <w:rsid w:val="00647D06"/>
    <w:rsid w:val="00651F1A"/>
    <w:rsid w:val="0065257D"/>
    <w:rsid w:val="006525A1"/>
    <w:rsid w:val="0065370E"/>
    <w:rsid w:val="0065601E"/>
    <w:rsid w:val="006576CF"/>
    <w:rsid w:val="00660E44"/>
    <w:rsid w:val="0066293F"/>
    <w:rsid w:val="00663D83"/>
    <w:rsid w:val="00663EFC"/>
    <w:rsid w:val="0067012C"/>
    <w:rsid w:val="00671BF5"/>
    <w:rsid w:val="0067657C"/>
    <w:rsid w:val="006768C7"/>
    <w:rsid w:val="00677A7F"/>
    <w:rsid w:val="006816F8"/>
    <w:rsid w:val="00682B33"/>
    <w:rsid w:val="00682D15"/>
    <w:rsid w:val="00686807"/>
    <w:rsid w:val="0069146D"/>
    <w:rsid w:val="00692A41"/>
    <w:rsid w:val="006937DE"/>
    <w:rsid w:val="006B225E"/>
    <w:rsid w:val="006C1271"/>
    <w:rsid w:val="006C71D6"/>
    <w:rsid w:val="006D0517"/>
    <w:rsid w:val="006D05F0"/>
    <w:rsid w:val="006D10BC"/>
    <w:rsid w:val="006D11C6"/>
    <w:rsid w:val="006D131E"/>
    <w:rsid w:val="006D19BB"/>
    <w:rsid w:val="006D2C2E"/>
    <w:rsid w:val="006D6FB7"/>
    <w:rsid w:val="006E6EE4"/>
    <w:rsid w:val="006F0506"/>
    <w:rsid w:val="006F3989"/>
    <w:rsid w:val="006F5341"/>
    <w:rsid w:val="00701EB2"/>
    <w:rsid w:val="00706BFF"/>
    <w:rsid w:val="00712271"/>
    <w:rsid w:val="0071394A"/>
    <w:rsid w:val="00715646"/>
    <w:rsid w:val="007206DD"/>
    <w:rsid w:val="007242F1"/>
    <w:rsid w:val="00727B2F"/>
    <w:rsid w:val="00727FA6"/>
    <w:rsid w:val="00730495"/>
    <w:rsid w:val="00730EAB"/>
    <w:rsid w:val="007529EA"/>
    <w:rsid w:val="00754845"/>
    <w:rsid w:val="00756EA6"/>
    <w:rsid w:val="00763FA2"/>
    <w:rsid w:val="00770503"/>
    <w:rsid w:val="00770541"/>
    <w:rsid w:val="00770F72"/>
    <w:rsid w:val="00771617"/>
    <w:rsid w:val="00772911"/>
    <w:rsid w:val="00785D0E"/>
    <w:rsid w:val="0078695E"/>
    <w:rsid w:val="0078735F"/>
    <w:rsid w:val="007921DA"/>
    <w:rsid w:val="007A0275"/>
    <w:rsid w:val="007A5624"/>
    <w:rsid w:val="007A5F63"/>
    <w:rsid w:val="007B1939"/>
    <w:rsid w:val="007B44A0"/>
    <w:rsid w:val="007B627D"/>
    <w:rsid w:val="007C0378"/>
    <w:rsid w:val="007D0FC7"/>
    <w:rsid w:val="007D479C"/>
    <w:rsid w:val="007E3C22"/>
    <w:rsid w:val="007E4F3C"/>
    <w:rsid w:val="007E5ED1"/>
    <w:rsid w:val="007F0DAD"/>
    <w:rsid w:val="007F1FD2"/>
    <w:rsid w:val="007F2099"/>
    <w:rsid w:val="00812AF8"/>
    <w:rsid w:val="008146D8"/>
    <w:rsid w:val="008210EB"/>
    <w:rsid w:val="00823A27"/>
    <w:rsid w:val="0082754D"/>
    <w:rsid w:val="008338CC"/>
    <w:rsid w:val="00833EB3"/>
    <w:rsid w:val="00835F7F"/>
    <w:rsid w:val="0084040E"/>
    <w:rsid w:val="008426AA"/>
    <w:rsid w:val="00842A4D"/>
    <w:rsid w:val="00842EB3"/>
    <w:rsid w:val="008540AC"/>
    <w:rsid w:val="00857A78"/>
    <w:rsid w:val="008649C8"/>
    <w:rsid w:val="008800A1"/>
    <w:rsid w:val="00881574"/>
    <w:rsid w:val="00887F1D"/>
    <w:rsid w:val="00891DD8"/>
    <w:rsid w:val="0089267F"/>
    <w:rsid w:val="00894894"/>
    <w:rsid w:val="00896202"/>
    <w:rsid w:val="008A1A06"/>
    <w:rsid w:val="008A2A17"/>
    <w:rsid w:val="008A405D"/>
    <w:rsid w:val="008A52A4"/>
    <w:rsid w:val="008A602C"/>
    <w:rsid w:val="008A615E"/>
    <w:rsid w:val="008B0011"/>
    <w:rsid w:val="008B7E1D"/>
    <w:rsid w:val="008D10B9"/>
    <w:rsid w:val="008D3799"/>
    <w:rsid w:val="008D4C6F"/>
    <w:rsid w:val="008D6773"/>
    <w:rsid w:val="008E0848"/>
    <w:rsid w:val="008E24E9"/>
    <w:rsid w:val="008E2B23"/>
    <w:rsid w:val="008E2C24"/>
    <w:rsid w:val="008E709C"/>
    <w:rsid w:val="008F0202"/>
    <w:rsid w:val="008F0393"/>
    <w:rsid w:val="008F04F7"/>
    <w:rsid w:val="008F0A55"/>
    <w:rsid w:val="008F53B6"/>
    <w:rsid w:val="008F718E"/>
    <w:rsid w:val="0090785F"/>
    <w:rsid w:val="00910DA4"/>
    <w:rsid w:val="009156BF"/>
    <w:rsid w:val="009173DD"/>
    <w:rsid w:val="00921B9F"/>
    <w:rsid w:val="009229C4"/>
    <w:rsid w:val="00923798"/>
    <w:rsid w:val="009347A8"/>
    <w:rsid w:val="00934D77"/>
    <w:rsid w:val="00935EC3"/>
    <w:rsid w:val="00936C08"/>
    <w:rsid w:val="0094460B"/>
    <w:rsid w:val="00944EA8"/>
    <w:rsid w:val="009452F1"/>
    <w:rsid w:val="00945FB8"/>
    <w:rsid w:val="0094721E"/>
    <w:rsid w:val="0096614D"/>
    <w:rsid w:val="00967EAE"/>
    <w:rsid w:val="00971B2C"/>
    <w:rsid w:val="00976F47"/>
    <w:rsid w:val="00981F92"/>
    <w:rsid w:val="009836FC"/>
    <w:rsid w:val="00986F6C"/>
    <w:rsid w:val="00990373"/>
    <w:rsid w:val="009A1F51"/>
    <w:rsid w:val="009B18CC"/>
    <w:rsid w:val="009B4574"/>
    <w:rsid w:val="009C2015"/>
    <w:rsid w:val="009C34EC"/>
    <w:rsid w:val="009C55B6"/>
    <w:rsid w:val="009C7CE7"/>
    <w:rsid w:val="009D0160"/>
    <w:rsid w:val="009D06FA"/>
    <w:rsid w:val="009D1EE7"/>
    <w:rsid w:val="009D445C"/>
    <w:rsid w:val="009D5438"/>
    <w:rsid w:val="009D77BB"/>
    <w:rsid w:val="009D7BA8"/>
    <w:rsid w:val="009E2473"/>
    <w:rsid w:val="009E66DF"/>
    <w:rsid w:val="009E6CEE"/>
    <w:rsid w:val="009F36FE"/>
    <w:rsid w:val="009F47DC"/>
    <w:rsid w:val="009F4E8C"/>
    <w:rsid w:val="00A02A66"/>
    <w:rsid w:val="00A03E6D"/>
    <w:rsid w:val="00A05B6C"/>
    <w:rsid w:val="00A07B58"/>
    <w:rsid w:val="00A15220"/>
    <w:rsid w:val="00A21E2C"/>
    <w:rsid w:val="00A23738"/>
    <w:rsid w:val="00A250E5"/>
    <w:rsid w:val="00A25CBB"/>
    <w:rsid w:val="00A26200"/>
    <w:rsid w:val="00A27700"/>
    <w:rsid w:val="00A27A0B"/>
    <w:rsid w:val="00A31671"/>
    <w:rsid w:val="00A41A18"/>
    <w:rsid w:val="00A503D9"/>
    <w:rsid w:val="00A50F04"/>
    <w:rsid w:val="00A51FE9"/>
    <w:rsid w:val="00A534AD"/>
    <w:rsid w:val="00A55B9D"/>
    <w:rsid w:val="00A669D7"/>
    <w:rsid w:val="00A705CC"/>
    <w:rsid w:val="00A73516"/>
    <w:rsid w:val="00A74DD7"/>
    <w:rsid w:val="00A76EA3"/>
    <w:rsid w:val="00A7789C"/>
    <w:rsid w:val="00A77925"/>
    <w:rsid w:val="00A77E47"/>
    <w:rsid w:val="00A8063E"/>
    <w:rsid w:val="00A809A9"/>
    <w:rsid w:val="00A8207A"/>
    <w:rsid w:val="00A821C7"/>
    <w:rsid w:val="00A84375"/>
    <w:rsid w:val="00A84799"/>
    <w:rsid w:val="00A90015"/>
    <w:rsid w:val="00A94F6F"/>
    <w:rsid w:val="00A97A5D"/>
    <w:rsid w:val="00AA01B5"/>
    <w:rsid w:val="00AA0F87"/>
    <w:rsid w:val="00AA122D"/>
    <w:rsid w:val="00AA3AC6"/>
    <w:rsid w:val="00AA3B3E"/>
    <w:rsid w:val="00AA476B"/>
    <w:rsid w:val="00AA5ADF"/>
    <w:rsid w:val="00AA664F"/>
    <w:rsid w:val="00AA676F"/>
    <w:rsid w:val="00AA6D8E"/>
    <w:rsid w:val="00AA7050"/>
    <w:rsid w:val="00AB24B1"/>
    <w:rsid w:val="00AB3FB1"/>
    <w:rsid w:val="00AB680B"/>
    <w:rsid w:val="00AB71E6"/>
    <w:rsid w:val="00AC05BC"/>
    <w:rsid w:val="00AC0600"/>
    <w:rsid w:val="00AC14EB"/>
    <w:rsid w:val="00AC330C"/>
    <w:rsid w:val="00AC666C"/>
    <w:rsid w:val="00AD4252"/>
    <w:rsid w:val="00AE1535"/>
    <w:rsid w:val="00AE3B3A"/>
    <w:rsid w:val="00AE5979"/>
    <w:rsid w:val="00AE7662"/>
    <w:rsid w:val="00AF2355"/>
    <w:rsid w:val="00AF27B2"/>
    <w:rsid w:val="00AF35EA"/>
    <w:rsid w:val="00AF4E59"/>
    <w:rsid w:val="00AF6767"/>
    <w:rsid w:val="00B02FA4"/>
    <w:rsid w:val="00B06C4F"/>
    <w:rsid w:val="00B11560"/>
    <w:rsid w:val="00B1217E"/>
    <w:rsid w:val="00B12E3C"/>
    <w:rsid w:val="00B17022"/>
    <w:rsid w:val="00B206BB"/>
    <w:rsid w:val="00B25216"/>
    <w:rsid w:val="00B30318"/>
    <w:rsid w:val="00B30A15"/>
    <w:rsid w:val="00B30DDA"/>
    <w:rsid w:val="00B31003"/>
    <w:rsid w:val="00B33FD7"/>
    <w:rsid w:val="00B34BC1"/>
    <w:rsid w:val="00B34EB2"/>
    <w:rsid w:val="00B34FE6"/>
    <w:rsid w:val="00B42494"/>
    <w:rsid w:val="00B51E72"/>
    <w:rsid w:val="00B535AB"/>
    <w:rsid w:val="00B53C50"/>
    <w:rsid w:val="00B65BF6"/>
    <w:rsid w:val="00B70219"/>
    <w:rsid w:val="00B74FFB"/>
    <w:rsid w:val="00B7681B"/>
    <w:rsid w:val="00B81FF9"/>
    <w:rsid w:val="00B83925"/>
    <w:rsid w:val="00B84448"/>
    <w:rsid w:val="00B85689"/>
    <w:rsid w:val="00B94D67"/>
    <w:rsid w:val="00B97AC9"/>
    <w:rsid w:val="00BA3235"/>
    <w:rsid w:val="00BA52E5"/>
    <w:rsid w:val="00BB675F"/>
    <w:rsid w:val="00BC0159"/>
    <w:rsid w:val="00BC0D86"/>
    <w:rsid w:val="00BC277D"/>
    <w:rsid w:val="00BC61A3"/>
    <w:rsid w:val="00BC6848"/>
    <w:rsid w:val="00BC7C0C"/>
    <w:rsid w:val="00BD0620"/>
    <w:rsid w:val="00BD55B6"/>
    <w:rsid w:val="00BE02D2"/>
    <w:rsid w:val="00BE6976"/>
    <w:rsid w:val="00BF1D5D"/>
    <w:rsid w:val="00BF35E7"/>
    <w:rsid w:val="00BF6A13"/>
    <w:rsid w:val="00BF78AF"/>
    <w:rsid w:val="00C00748"/>
    <w:rsid w:val="00C02524"/>
    <w:rsid w:val="00C06304"/>
    <w:rsid w:val="00C14D5D"/>
    <w:rsid w:val="00C32E6E"/>
    <w:rsid w:val="00C3336E"/>
    <w:rsid w:val="00C33F3A"/>
    <w:rsid w:val="00C46679"/>
    <w:rsid w:val="00C501C4"/>
    <w:rsid w:val="00C53C91"/>
    <w:rsid w:val="00C5505A"/>
    <w:rsid w:val="00C55FE8"/>
    <w:rsid w:val="00C649C8"/>
    <w:rsid w:val="00C7252B"/>
    <w:rsid w:val="00C7516C"/>
    <w:rsid w:val="00C76966"/>
    <w:rsid w:val="00C77B68"/>
    <w:rsid w:val="00C816BC"/>
    <w:rsid w:val="00C8247E"/>
    <w:rsid w:val="00C860DA"/>
    <w:rsid w:val="00C906CE"/>
    <w:rsid w:val="00C918A5"/>
    <w:rsid w:val="00C96D25"/>
    <w:rsid w:val="00C97AF6"/>
    <w:rsid w:val="00CA03DB"/>
    <w:rsid w:val="00CA0571"/>
    <w:rsid w:val="00CA06FC"/>
    <w:rsid w:val="00CA11D2"/>
    <w:rsid w:val="00CA1D2B"/>
    <w:rsid w:val="00CA5108"/>
    <w:rsid w:val="00CA53D4"/>
    <w:rsid w:val="00CB1190"/>
    <w:rsid w:val="00CB1D12"/>
    <w:rsid w:val="00CB7922"/>
    <w:rsid w:val="00CC01E2"/>
    <w:rsid w:val="00CC4C16"/>
    <w:rsid w:val="00CC57CB"/>
    <w:rsid w:val="00CC5D96"/>
    <w:rsid w:val="00CD186D"/>
    <w:rsid w:val="00CD3875"/>
    <w:rsid w:val="00CE036F"/>
    <w:rsid w:val="00CE1DFB"/>
    <w:rsid w:val="00CE1FAD"/>
    <w:rsid w:val="00CE7645"/>
    <w:rsid w:val="00D02886"/>
    <w:rsid w:val="00D02AC7"/>
    <w:rsid w:val="00D0521D"/>
    <w:rsid w:val="00D06262"/>
    <w:rsid w:val="00D10B94"/>
    <w:rsid w:val="00D129D7"/>
    <w:rsid w:val="00D13801"/>
    <w:rsid w:val="00D1467E"/>
    <w:rsid w:val="00D147E3"/>
    <w:rsid w:val="00D21277"/>
    <w:rsid w:val="00D2598D"/>
    <w:rsid w:val="00D27653"/>
    <w:rsid w:val="00D31AD8"/>
    <w:rsid w:val="00D3394A"/>
    <w:rsid w:val="00D41FD5"/>
    <w:rsid w:val="00D455BA"/>
    <w:rsid w:val="00D56116"/>
    <w:rsid w:val="00D63C2D"/>
    <w:rsid w:val="00D648DC"/>
    <w:rsid w:val="00D71582"/>
    <w:rsid w:val="00D7300F"/>
    <w:rsid w:val="00D73DBE"/>
    <w:rsid w:val="00D74221"/>
    <w:rsid w:val="00D749C2"/>
    <w:rsid w:val="00D750C4"/>
    <w:rsid w:val="00D753FE"/>
    <w:rsid w:val="00D760B8"/>
    <w:rsid w:val="00D80B13"/>
    <w:rsid w:val="00D8177E"/>
    <w:rsid w:val="00D820D2"/>
    <w:rsid w:val="00D83FE1"/>
    <w:rsid w:val="00D842A4"/>
    <w:rsid w:val="00DA31F7"/>
    <w:rsid w:val="00DA4298"/>
    <w:rsid w:val="00DB165D"/>
    <w:rsid w:val="00DB16D8"/>
    <w:rsid w:val="00DB77F0"/>
    <w:rsid w:val="00DC4964"/>
    <w:rsid w:val="00DC7393"/>
    <w:rsid w:val="00DC79C5"/>
    <w:rsid w:val="00DD2138"/>
    <w:rsid w:val="00DD3620"/>
    <w:rsid w:val="00DE37FD"/>
    <w:rsid w:val="00DF08A4"/>
    <w:rsid w:val="00DF2A8E"/>
    <w:rsid w:val="00DF387F"/>
    <w:rsid w:val="00DF561D"/>
    <w:rsid w:val="00E00059"/>
    <w:rsid w:val="00E04D7E"/>
    <w:rsid w:val="00E06708"/>
    <w:rsid w:val="00E1080E"/>
    <w:rsid w:val="00E10EE4"/>
    <w:rsid w:val="00E15504"/>
    <w:rsid w:val="00E15F3A"/>
    <w:rsid w:val="00E22C83"/>
    <w:rsid w:val="00E25309"/>
    <w:rsid w:val="00E27FC4"/>
    <w:rsid w:val="00E35087"/>
    <w:rsid w:val="00E359C0"/>
    <w:rsid w:val="00E35BD7"/>
    <w:rsid w:val="00E46DBD"/>
    <w:rsid w:val="00E51F29"/>
    <w:rsid w:val="00E57651"/>
    <w:rsid w:val="00E57DDC"/>
    <w:rsid w:val="00E659F2"/>
    <w:rsid w:val="00E6689A"/>
    <w:rsid w:val="00E66AB2"/>
    <w:rsid w:val="00E67E71"/>
    <w:rsid w:val="00E73187"/>
    <w:rsid w:val="00E82291"/>
    <w:rsid w:val="00E84A6B"/>
    <w:rsid w:val="00E931A5"/>
    <w:rsid w:val="00E96F99"/>
    <w:rsid w:val="00E971F4"/>
    <w:rsid w:val="00EA7A35"/>
    <w:rsid w:val="00EB050E"/>
    <w:rsid w:val="00EB253F"/>
    <w:rsid w:val="00EB5A9B"/>
    <w:rsid w:val="00ED06BF"/>
    <w:rsid w:val="00ED111A"/>
    <w:rsid w:val="00ED74C2"/>
    <w:rsid w:val="00EE02C4"/>
    <w:rsid w:val="00EE03F8"/>
    <w:rsid w:val="00EE0BC7"/>
    <w:rsid w:val="00EE479D"/>
    <w:rsid w:val="00EE4B54"/>
    <w:rsid w:val="00EE4BC8"/>
    <w:rsid w:val="00EF4FA3"/>
    <w:rsid w:val="00EF7D79"/>
    <w:rsid w:val="00F02355"/>
    <w:rsid w:val="00F07242"/>
    <w:rsid w:val="00F10230"/>
    <w:rsid w:val="00F1268E"/>
    <w:rsid w:val="00F141D2"/>
    <w:rsid w:val="00F1687B"/>
    <w:rsid w:val="00F16963"/>
    <w:rsid w:val="00F20D61"/>
    <w:rsid w:val="00F22960"/>
    <w:rsid w:val="00F24ECB"/>
    <w:rsid w:val="00F25D6E"/>
    <w:rsid w:val="00F2738A"/>
    <w:rsid w:val="00F313AC"/>
    <w:rsid w:val="00F3343E"/>
    <w:rsid w:val="00F400F0"/>
    <w:rsid w:val="00F40AE7"/>
    <w:rsid w:val="00F54074"/>
    <w:rsid w:val="00F5527D"/>
    <w:rsid w:val="00F57060"/>
    <w:rsid w:val="00F61976"/>
    <w:rsid w:val="00F73251"/>
    <w:rsid w:val="00F7473C"/>
    <w:rsid w:val="00F77337"/>
    <w:rsid w:val="00F8068B"/>
    <w:rsid w:val="00F811F7"/>
    <w:rsid w:val="00F87BCC"/>
    <w:rsid w:val="00F915B2"/>
    <w:rsid w:val="00F938CA"/>
    <w:rsid w:val="00F9612C"/>
    <w:rsid w:val="00FA3357"/>
    <w:rsid w:val="00FA633A"/>
    <w:rsid w:val="00FB0717"/>
    <w:rsid w:val="00FB0979"/>
    <w:rsid w:val="00FB2BB3"/>
    <w:rsid w:val="00FB6BDC"/>
    <w:rsid w:val="00FB6E3F"/>
    <w:rsid w:val="00FB72D1"/>
    <w:rsid w:val="00FC165E"/>
    <w:rsid w:val="00FC530C"/>
    <w:rsid w:val="00FD0DEA"/>
    <w:rsid w:val="00FD22F2"/>
    <w:rsid w:val="00FD2F91"/>
    <w:rsid w:val="00FD5BEE"/>
    <w:rsid w:val="00FE1077"/>
    <w:rsid w:val="00FE3ABC"/>
    <w:rsid w:val="00FF4083"/>
    <w:rsid w:val="00FF5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D9773-9196-48EC-ABA0-BDAAE99E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D7"/>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A84375"/>
    <w:pPr>
      <w:keepNext/>
      <w:keepLines/>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43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437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A8437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84375"/>
    <w:pPr>
      <w:keepNext/>
      <w:keepLines/>
      <w:spacing w:before="40" w:line="276" w:lineRule="auto"/>
      <w:outlineLvl w:val="4"/>
    </w:pPr>
    <w:rPr>
      <w:rFonts w:asciiTheme="majorHAnsi" w:eastAsiaTheme="majorEastAsia" w:hAnsiTheme="majorHAnsi" w:cstheme="majorBidi"/>
      <w:color w:val="365F91" w:themeColor="accent1" w:themeShade="BF"/>
      <w:szCs w:val="22"/>
      <w:lang w:eastAsia="en-US"/>
    </w:rPr>
  </w:style>
  <w:style w:type="paragraph" w:styleId="Heading6">
    <w:name w:val="heading 6"/>
    <w:basedOn w:val="Normal"/>
    <w:next w:val="Normal"/>
    <w:link w:val="Heading6Char"/>
    <w:qFormat/>
    <w:rsid w:val="00A669D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69D7"/>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A669D7"/>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A669D7"/>
    <w:rPr>
      <w:rFonts w:ascii="Times New Roman" w:eastAsia="Times New Roman" w:hAnsi="Times New Roman" w:cs="Times New Roman"/>
      <w:sz w:val="24"/>
      <w:szCs w:val="20"/>
      <w:lang w:eastAsia="en-AU"/>
    </w:rPr>
  </w:style>
  <w:style w:type="character" w:customStyle="1" w:styleId="DINumberedParagraphChar">
    <w:name w:val="DI Numbered Paragraph Char"/>
    <w:link w:val="DINumberedParagraph"/>
    <w:locked/>
    <w:rsid w:val="00A669D7"/>
    <w:rPr>
      <w:sz w:val="24"/>
    </w:rPr>
  </w:style>
  <w:style w:type="paragraph" w:customStyle="1" w:styleId="DINumberedParagraph">
    <w:name w:val="DI Numbered Paragraph"/>
    <w:basedOn w:val="Normal"/>
    <w:link w:val="DINumberedParagraphChar"/>
    <w:rsid w:val="00A669D7"/>
    <w:pPr>
      <w:numPr>
        <w:numId w:val="2"/>
      </w:numPr>
      <w:tabs>
        <w:tab w:val="left" w:pos="567"/>
      </w:tabs>
      <w:spacing w:before="0" w:after="240"/>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3D00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B1"/>
    <w:rPr>
      <w:rFonts w:ascii="Tahoma" w:eastAsia="Times New Roman" w:hAnsi="Tahoma" w:cs="Tahoma"/>
      <w:sz w:val="16"/>
      <w:szCs w:val="16"/>
      <w:lang w:eastAsia="en-AU"/>
    </w:rPr>
  </w:style>
  <w:style w:type="paragraph" w:customStyle="1" w:styleId="BodyText10">
    <w:name w:val="Body Text1_0"/>
    <w:basedOn w:val="Normal"/>
    <w:rsid w:val="009E66DF"/>
    <w:rPr>
      <w:rFonts w:ascii="Arial" w:hAnsi="Arial" w:cs="Arial"/>
      <w:szCs w:val="24"/>
    </w:rPr>
  </w:style>
  <w:style w:type="character" w:styleId="CommentReference">
    <w:name w:val="annotation reference"/>
    <w:basedOn w:val="DefaultParagraphFont"/>
    <w:uiPriority w:val="99"/>
    <w:semiHidden/>
    <w:unhideWhenUsed/>
    <w:rsid w:val="002E1F0E"/>
    <w:rPr>
      <w:sz w:val="16"/>
      <w:szCs w:val="16"/>
    </w:rPr>
  </w:style>
  <w:style w:type="paragraph" w:styleId="CommentText">
    <w:name w:val="annotation text"/>
    <w:basedOn w:val="Normal"/>
    <w:link w:val="CommentTextChar"/>
    <w:uiPriority w:val="99"/>
    <w:unhideWhenUsed/>
    <w:rsid w:val="002E1F0E"/>
    <w:rPr>
      <w:sz w:val="20"/>
    </w:rPr>
  </w:style>
  <w:style w:type="character" w:customStyle="1" w:styleId="CommentTextChar">
    <w:name w:val="Comment Text Char"/>
    <w:basedOn w:val="DefaultParagraphFont"/>
    <w:link w:val="CommentText"/>
    <w:uiPriority w:val="99"/>
    <w:rsid w:val="002E1F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1F0E"/>
    <w:rPr>
      <w:b/>
      <w:bCs/>
    </w:rPr>
  </w:style>
  <w:style w:type="character" w:customStyle="1" w:styleId="CommentSubjectChar">
    <w:name w:val="Comment Subject Char"/>
    <w:basedOn w:val="CommentTextChar"/>
    <w:link w:val="CommentSubject"/>
    <w:uiPriority w:val="99"/>
    <w:semiHidden/>
    <w:rsid w:val="002E1F0E"/>
    <w:rPr>
      <w:rFonts w:ascii="Times New Roman" w:eastAsia="Times New Roman" w:hAnsi="Times New Roman" w:cs="Times New Roman"/>
      <w:b/>
      <w:bCs/>
      <w:sz w:val="20"/>
      <w:szCs w:val="20"/>
      <w:lang w:eastAsia="en-AU"/>
    </w:rPr>
  </w:style>
  <w:style w:type="paragraph" w:customStyle="1" w:styleId="Default">
    <w:name w:val="Default"/>
    <w:rsid w:val="007F0DA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ActHead5">
    <w:name w:val="ActHead 5"/>
    <w:aliases w:val="s"/>
    <w:basedOn w:val="Normal"/>
    <w:next w:val="Normal"/>
    <w:link w:val="ActHead5Char"/>
    <w:qFormat/>
    <w:rsid w:val="007F0DAD"/>
    <w:pPr>
      <w:keepNext/>
      <w:keepLines/>
      <w:spacing w:before="280"/>
      <w:ind w:left="1134" w:hanging="1134"/>
      <w:outlineLvl w:val="4"/>
    </w:pPr>
    <w:rPr>
      <w:b/>
      <w:kern w:val="28"/>
    </w:rPr>
  </w:style>
  <w:style w:type="paragraph" w:customStyle="1" w:styleId="ActHead6">
    <w:name w:val="ActHead 6"/>
    <w:aliases w:val="as"/>
    <w:basedOn w:val="Normal"/>
    <w:next w:val="ActHead7"/>
    <w:qFormat/>
    <w:rsid w:val="007F0DAD"/>
    <w:pPr>
      <w:keepNext/>
      <w:keepLines/>
      <w:spacing w:before="0"/>
      <w:ind w:left="1134" w:hanging="1134"/>
      <w:outlineLvl w:val="5"/>
    </w:pPr>
    <w:rPr>
      <w:rFonts w:ascii="Arial" w:hAnsi="Arial"/>
      <w:b/>
      <w:kern w:val="28"/>
      <w:sz w:val="32"/>
    </w:rPr>
  </w:style>
  <w:style w:type="paragraph" w:customStyle="1" w:styleId="ActHead7">
    <w:name w:val="ActHead 7"/>
    <w:aliases w:val="ap"/>
    <w:basedOn w:val="Normal"/>
    <w:next w:val="ItemHead"/>
    <w:qFormat/>
    <w:rsid w:val="007F0DAD"/>
    <w:pPr>
      <w:keepNext/>
      <w:keepLines/>
      <w:spacing w:before="280"/>
      <w:ind w:left="1134" w:hanging="1134"/>
      <w:outlineLvl w:val="6"/>
    </w:pPr>
    <w:rPr>
      <w:rFonts w:ascii="Arial" w:hAnsi="Arial"/>
      <w:b/>
      <w:kern w:val="28"/>
      <w:sz w:val="28"/>
    </w:rPr>
  </w:style>
  <w:style w:type="paragraph" w:customStyle="1" w:styleId="ActHead9">
    <w:name w:val="ActHead 9"/>
    <w:aliases w:val="aat"/>
    <w:basedOn w:val="Normal"/>
    <w:next w:val="ItemHead"/>
    <w:qFormat/>
    <w:rsid w:val="007F0DAD"/>
    <w:pPr>
      <w:keepNext/>
      <w:keepLines/>
      <w:spacing w:before="280"/>
      <w:ind w:left="1134" w:hanging="1134"/>
      <w:outlineLvl w:val="8"/>
    </w:pPr>
    <w:rPr>
      <w:b/>
      <w:i/>
      <w:kern w:val="28"/>
      <w:sz w:val="28"/>
    </w:rPr>
  </w:style>
  <w:style w:type="character" w:customStyle="1" w:styleId="CharAmPartNo">
    <w:name w:val="CharAmPartNo"/>
    <w:basedOn w:val="DefaultParagraphFont"/>
    <w:qFormat/>
    <w:rsid w:val="007F0DAD"/>
  </w:style>
  <w:style w:type="character" w:customStyle="1" w:styleId="CharAmPartText">
    <w:name w:val="CharAmPartText"/>
    <w:basedOn w:val="DefaultParagraphFont"/>
    <w:qFormat/>
    <w:rsid w:val="007F0DAD"/>
  </w:style>
  <w:style w:type="character" w:customStyle="1" w:styleId="CharAmSchNo">
    <w:name w:val="CharAmSchNo"/>
    <w:basedOn w:val="DefaultParagraphFont"/>
    <w:qFormat/>
    <w:rsid w:val="007F0DAD"/>
  </w:style>
  <w:style w:type="character" w:customStyle="1" w:styleId="CharAmSchText">
    <w:name w:val="CharAmSchText"/>
    <w:basedOn w:val="DefaultParagraphFont"/>
    <w:qFormat/>
    <w:rsid w:val="007F0DAD"/>
  </w:style>
  <w:style w:type="paragraph" w:customStyle="1" w:styleId="ItemHead">
    <w:name w:val="ItemHead"/>
    <w:aliases w:val="ih"/>
    <w:basedOn w:val="Normal"/>
    <w:next w:val="Normal"/>
    <w:rsid w:val="007F0DAD"/>
    <w:pPr>
      <w:keepNext/>
      <w:keepLines/>
      <w:spacing w:before="220"/>
      <w:ind w:left="709" w:hanging="709"/>
    </w:pPr>
    <w:rPr>
      <w:rFonts w:ascii="Arial" w:hAnsi="Arial"/>
      <w:b/>
      <w:kern w:val="28"/>
    </w:rPr>
  </w:style>
  <w:style w:type="character" w:customStyle="1" w:styleId="ActHead5Char">
    <w:name w:val="ActHead 5 Char"/>
    <w:aliases w:val="s Char"/>
    <w:link w:val="ActHead5"/>
    <w:rsid w:val="007F0DAD"/>
    <w:rPr>
      <w:rFonts w:ascii="Times New Roman" w:eastAsia="Times New Roman" w:hAnsi="Times New Roman" w:cs="Times New Roman"/>
      <w:b/>
      <w:kern w:val="28"/>
      <w:sz w:val="24"/>
      <w:szCs w:val="20"/>
      <w:lang w:eastAsia="en-AU"/>
    </w:rPr>
  </w:style>
  <w:style w:type="character" w:styleId="Hyperlink">
    <w:name w:val="Hyperlink"/>
    <w:basedOn w:val="DefaultParagraphFont"/>
    <w:uiPriority w:val="99"/>
    <w:unhideWhenUsed/>
    <w:rsid w:val="009D445C"/>
    <w:rPr>
      <w:strike w:val="0"/>
      <w:dstrike w:val="0"/>
      <w:color w:val="007AC3"/>
      <w:u w:val="none"/>
      <w:effect w:val="none"/>
    </w:rPr>
  </w:style>
  <w:style w:type="paragraph" w:customStyle="1" w:styleId="contentelement-indenttwo1">
    <w:name w:val="contentelement-indenttwo1"/>
    <w:basedOn w:val="Normal"/>
    <w:rsid w:val="002A2D29"/>
    <w:pPr>
      <w:spacing w:after="240"/>
      <w:ind w:left="936"/>
    </w:pPr>
    <w:rPr>
      <w:szCs w:val="24"/>
    </w:rPr>
  </w:style>
  <w:style w:type="paragraph" w:customStyle="1" w:styleId="paragraph">
    <w:name w:val="paragraph"/>
    <w:aliases w:val="a"/>
    <w:basedOn w:val="Normal"/>
    <w:rsid w:val="00DD3620"/>
    <w:pPr>
      <w:tabs>
        <w:tab w:val="right" w:pos="1531"/>
      </w:tabs>
      <w:spacing w:before="40"/>
      <w:ind w:left="1644" w:hanging="1644"/>
    </w:pPr>
    <w:rPr>
      <w:sz w:val="22"/>
    </w:rPr>
  </w:style>
  <w:style w:type="paragraph" w:styleId="NormalWeb">
    <w:name w:val="Normal (Web)"/>
    <w:basedOn w:val="Normal"/>
    <w:uiPriority w:val="99"/>
    <w:semiHidden/>
    <w:unhideWhenUsed/>
    <w:rsid w:val="001A595F"/>
    <w:pPr>
      <w:spacing w:before="100" w:beforeAutospacing="1" w:after="100" w:afterAutospacing="1"/>
    </w:pPr>
    <w:rPr>
      <w:szCs w:val="24"/>
    </w:rPr>
  </w:style>
  <w:style w:type="paragraph" w:customStyle="1" w:styleId="subsection">
    <w:name w:val="subsection"/>
    <w:basedOn w:val="Normal"/>
    <w:rsid w:val="003F163F"/>
    <w:pPr>
      <w:spacing w:before="100" w:beforeAutospacing="1" w:after="100" w:afterAutospacing="1"/>
    </w:pPr>
    <w:rPr>
      <w:szCs w:val="24"/>
    </w:rPr>
  </w:style>
  <w:style w:type="character" w:customStyle="1" w:styleId="Heading1Char">
    <w:name w:val="Heading 1 Char"/>
    <w:basedOn w:val="DefaultParagraphFont"/>
    <w:link w:val="Heading1"/>
    <w:uiPriority w:val="9"/>
    <w:rsid w:val="00A84375"/>
    <w:rPr>
      <w:rFonts w:asciiTheme="majorHAnsi" w:eastAsiaTheme="majorEastAsia" w:hAnsiTheme="majorHAnsi" w:cstheme="majorBidi"/>
      <w:color w:val="365F91" w:themeColor="accent1" w:themeShade="BF"/>
      <w:sz w:val="32"/>
      <w:szCs w:val="32"/>
      <w:lang w:eastAsia="en-AU"/>
    </w:rPr>
  </w:style>
  <w:style w:type="character" w:customStyle="1" w:styleId="Heading2Char">
    <w:name w:val="Heading 2 Char"/>
    <w:basedOn w:val="DefaultParagraphFont"/>
    <w:link w:val="Heading2"/>
    <w:uiPriority w:val="9"/>
    <w:rsid w:val="00A84375"/>
    <w:rPr>
      <w:rFonts w:asciiTheme="majorHAnsi" w:eastAsiaTheme="majorEastAsia" w:hAnsiTheme="majorHAnsi" w:cstheme="majorBidi"/>
      <w:color w:val="365F91" w:themeColor="accent1" w:themeShade="BF"/>
      <w:sz w:val="26"/>
      <w:szCs w:val="26"/>
      <w:lang w:eastAsia="en-AU"/>
    </w:rPr>
  </w:style>
  <w:style w:type="character" w:customStyle="1" w:styleId="Heading3Char">
    <w:name w:val="Heading 3 Char"/>
    <w:basedOn w:val="DefaultParagraphFont"/>
    <w:link w:val="Heading3"/>
    <w:uiPriority w:val="9"/>
    <w:rsid w:val="00A84375"/>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uiPriority w:val="9"/>
    <w:rsid w:val="00A84375"/>
    <w:rPr>
      <w:rFonts w:asciiTheme="majorHAnsi" w:eastAsiaTheme="majorEastAsia" w:hAnsiTheme="majorHAnsi" w:cstheme="majorBidi"/>
      <w:i/>
      <w:iCs/>
      <w:color w:val="365F91" w:themeColor="accent1" w:themeShade="BF"/>
      <w:sz w:val="24"/>
      <w:szCs w:val="20"/>
      <w:lang w:eastAsia="en-AU"/>
    </w:rPr>
  </w:style>
  <w:style w:type="character" w:customStyle="1" w:styleId="Heading5Char">
    <w:name w:val="Heading 5 Char"/>
    <w:basedOn w:val="DefaultParagraphFont"/>
    <w:link w:val="Heading5"/>
    <w:uiPriority w:val="9"/>
    <w:rsid w:val="00A84375"/>
    <w:rPr>
      <w:rFonts w:asciiTheme="majorHAnsi" w:eastAsiaTheme="majorEastAsia" w:hAnsiTheme="majorHAnsi" w:cstheme="majorBidi"/>
      <w:color w:val="365F91" w:themeColor="accent1" w:themeShade="BF"/>
      <w:sz w:val="24"/>
    </w:rPr>
  </w:style>
  <w:style w:type="paragraph" w:customStyle="1" w:styleId="Pa22">
    <w:name w:val="Pa22"/>
    <w:basedOn w:val="Default"/>
    <w:next w:val="Default"/>
    <w:uiPriority w:val="99"/>
    <w:rsid w:val="00A84375"/>
    <w:pPr>
      <w:spacing w:line="191" w:lineRule="atLeast"/>
    </w:pPr>
    <w:rPr>
      <w:rFonts w:ascii="AvantGarde" w:eastAsiaTheme="minorHAnsi" w:hAnsi="AvantGarde" w:cstheme="minorBidi"/>
      <w:color w:val="auto"/>
      <w:lang w:eastAsia="en-US"/>
    </w:rPr>
  </w:style>
  <w:style w:type="paragraph" w:styleId="BodyText">
    <w:name w:val="Body Text"/>
    <w:aliases w:val="Body Text Cab,CAB - Body Text"/>
    <w:link w:val="BodyTextChar"/>
    <w:rsid w:val="00A84375"/>
    <w:pPr>
      <w:spacing w:before="120" w:after="120" w:line="240" w:lineRule="auto"/>
    </w:pPr>
    <w:rPr>
      <w:rFonts w:ascii="Arial" w:hAnsi="Arial"/>
    </w:rPr>
  </w:style>
  <w:style w:type="character" w:customStyle="1" w:styleId="BodyTextChar">
    <w:name w:val="Body Text Char"/>
    <w:aliases w:val="Body Text Cab Char,CAB - Body Text Char"/>
    <w:basedOn w:val="DefaultParagraphFont"/>
    <w:link w:val="BodyText"/>
    <w:rsid w:val="00A84375"/>
    <w:rPr>
      <w:rFonts w:ascii="Arial" w:hAnsi="Arial"/>
    </w:rPr>
  </w:style>
  <w:style w:type="paragraph" w:customStyle="1" w:styleId="CABNETParagraph">
    <w:name w:val="CABNET Paragraph."/>
    <w:basedOn w:val="Normal"/>
    <w:link w:val="CABNETParagraphChar"/>
    <w:uiPriority w:val="98"/>
    <w:qFormat/>
    <w:rsid w:val="00A84375"/>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A84375"/>
    <w:rPr>
      <w:rFonts w:ascii="Arial" w:hAnsi="Arial" w:cstheme="minorHAnsi"/>
    </w:rPr>
  </w:style>
  <w:style w:type="paragraph" w:customStyle="1" w:styleId="BulletList">
    <w:name w:val="Bullet List"/>
    <w:qFormat/>
    <w:rsid w:val="00A84375"/>
    <w:pPr>
      <w:numPr>
        <w:numId w:val="13"/>
      </w:numPr>
      <w:spacing w:after="0" w:line="240" w:lineRule="auto"/>
    </w:pPr>
    <w:rPr>
      <w:rFonts w:ascii="Times New Roman" w:eastAsia="TimesNewRomanPSMT" w:hAnsi="Times New Roman" w:cs="TimesNewRomanPSMT"/>
      <w:color w:val="000000"/>
      <w:sz w:val="24"/>
      <w:szCs w:val="19"/>
      <w:lang w:val="en-GB"/>
    </w:rPr>
  </w:style>
  <w:style w:type="paragraph" w:customStyle="1" w:styleId="Bullet1">
    <w:name w:val="Bullet 1"/>
    <w:basedOn w:val="BulletList"/>
    <w:qFormat/>
    <w:rsid w:val="00A84375"/>
    <w:pPr>
      <w:spacing w:after="200"/>
      <w:ind w:left="284" w:hanging="284"/>
    </w:pPr>
    <w:rPr>
      <w:lang w:val="en-AU"/>
    </w:rPr>
  </w:style>
  <w:style w:type="paragraph" w:customStyle="1" w:styleId="Bullet2">
    <w:name w:val="Bullet 2"/>
    <w:basedOn w:val="Normal"/>
    <w:qFormat/>
    <w:rsid w:val="00A84375"/>
    <w:pPr>
      <w:numPr>
        <w:numId w:val="14"/>
      </w:numPr>
      <w:spacing w:before="0" w:after="200"/>
      <w:ind w:left="567" w:hanging="283"/>
    </w:pPr>
    <w:rPr>
      <w:rFonts w:eastAsiaTheme="minorEastAsia" w:cstheme="minorBidi"/>
      <w:szCs w:val="24"/>
      <w:lang w:eastAsia="en-US"/>
    </w:rPr>
  </w:style>
  <w:style w:type="paragraph" w:styleId="Header">
    <w:name w:val="header"/>
    <w:basedOn w:val="Normal"/>
    <w:link w:val="HeaderChar"/>
    <w:uiPriority w:val="99"/>
    <w:unhideWhenUsed/>
    <w:rsid w:val="00A84375"/>
    <w:pPr>
      <w:tabs>
        <w:tab w:val="center" w:pos="4513"/>
        <w:tab w:val="right" w:pos="9026"/>
      </w:tabs>
      <w:spacing w:before="0"/>
    </w:pPr>
    <w:rPr>
      <w:rFonts w:eastAsiaTheme="minorHAnsi" w:cstheme="minorBidi"/>
      <w:szCs w:val="22"/>
      <w:lang w:eastAsia="en-US"/>
    </w:rPr>
  </w:style>
  <w:style w:type="character" w:customStyle="1" w:styleId="HeaderChar">
    <w:name w:val="Header Char"/>
    <w:basedOn w:val="DefaultParagraphFont"/>
    <w:link w:val="Header"/>
    <w:uiPriority w:val="99"/>
    <w:rsid w:val="00A84375"/>
    <w:rPr>
      <w:rFonts w:ascii="Times New Roman" w:hAnsi="Times New Roman"/>
      <w:sz w:val="24"/>
    </w:rPr>
  </w:style>
  <w:style w:type="paragraph" w:styleId="Footer">
    <w:name w:val="footer"/>
    <w:basedOn w:val="Normal"/>
    <w:link w:val="FooterChar"/>
    <w:uiPriority w:val="99"/>
    <w:unhideWhenUsed/>
    <w:rsid w:val="00A84375"/>
    <w:pPr>
      <w:tabs>
        <w:tab w:val="center" w:pos="4513"/>
        <w:tab w:val="right" w:pos="9026"/>
      </w:tabs>
      <w:spacing w:before="0"/>
    </w:pPr>
    <w:rPr>
      <w:rFonts w:eastAsiaTheme="minorHAnsi" w:cstheme="minorBidi"/>
      <w:szCs w:val="22"/>
      <w:lang w:eastAsia="en-US"/>
    </w:rPr>
  </w:style>
  <w:style w:type="character" w:customStyle="1" w:styleId="FooterChar">
    <w:name w:val="Footer Char"/>
    <w:basedOn w:val="DefaultParagraphFont"/>
    <w:link w:val="Footer"/>
    <w:uiPriority w:val="99"/>
    <w:rsid w:val="00A84375"/>
    <w:rPr>
      <w:rFonts w:ascii="Times New Roman" w:hAnsi="Times New Roman"/>
      <w:sz w:val="24"/>
    </w:rPr>
  </w:style>
  <w:style w:type="character" w:styleId="Strong">
    <w:name w:val="Strong"/>
    <w:basedOn w:val="DefaultParagraphFont"/>
    <w:uiPriority w:val="22"/>
    <w:qFormat/>
    <w:rsid w:val="00A84375"/>
    <w:rPr>
      <w:b/>
      <w:bCs/>
    </w:rPr>
  </w:style>
  <w:style w:type="paragraph" w:styleId="FootnoteText">
    <w:name w:val="footnote text"/>
    <w:basedOn w:val="Normal"/>
    <w:link w:val="FootnoteTextChar"/>
    <w:uiPriority w:val="99"/>
    <w:semiHidden/>
    <w:unhideWhenUsed/>
    <w:rsid w:val="00A84375"/>
    <w:pPr>
      <w:spacing w:before="0"/>
    </w:pPr>
    <w:rPr>
      <w:rFonts w:eastAsiaTheme="minorHAnsi" w:cstheme="minorBidi"/>
      <w:sz w:val="20"/>
      <w:lang w:eastAsia="en-US"/>
    </w:rPr>
  </w:style>
  <w:style w:type="character" w:customStyle="1" w:styleId="FootnoteTextChar">
    <w:name w:val="Footnote Text Char"/>
    <w:basedOn w:val="DefaultParagraphFont"/>
    <w:link w:val="FootnoteText"/>
    <w:uiPriority w:val="99"/>
    <w:semiHidden/>
    <w:rsid w:val="00A84375"/>
    <w:rPr>
      <w:rFonts w:ascii="Times New Roman" w:hAnsi="Times New Roman"/>
      <w:sz w:val="20"/>
      <w:szCs w:val="20"/>
    </w:rPr>
  </w:style>
  <w:style w:type="character" w:styleId="FootnoteReference">
    <w:name w:val="footnote reference"/>
    <w:basedOn w:val="DefaultParagraphFont"/>
    <w:uiPriority w:val="99"/>
    <w:semiHidden/>
    <w:unhideWhenUsed/>
    <w:rsid w:val="00A84375"/>
    <w:rPr>
      <w:vertAlign w:val="superscript"/>
    </w:rPr>
  </w:style>
  <w:style w:type="table" w:styleId="TableGrid">
    <w:name w:val="Table Grid"/>
    <w:basedOn w:val="TableNormal"/>
    <w:uiPriority w:val="59"/>
    <w:rsid w:val="00A84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84375"/>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A84375"/>
    <w:pPr>
      <w:spacing w:before="0" w:after="100" w:line="276" w:lineRule="auto"/>
    </w:pPr>
    <w:rPr>
      <w:rFonts w:eastAsiaTheme="minorHAnsi" w:cstheme="minorBidi"/>
      <w:szCs w:val="22"/>
      <w:lang w:eastAsia="en-US"/>
    </w:rPr>
  </w:style>
  <w:style w:type="paragraph" w:styleId="TOC2">
    <w:name w:val="toc 2"/>
    <w:basedOn w:val="Normal"/>
    <w:next w:val="Normal"/>
    <w:autoRedefine/>
    <w:uiPriority w:val="39"/>
    <w:unhideWhenUsed/>
    <w:rsid w:val="00A84375"/>
    <w:pPr>
      <w:spacing w:before="0" w:after="100" w:line="276" w:lineRule="auto"/>
      <w:ind w:left="240"/>
    </w:pPr>
    <w:rPr>
      <w:rFonts w:eastAsiaTheme="minorHAnsi" w:cstheme="minorBidi"/>
      <w:szCs w:val="22"/>
      <w:lang w:eastAsia="en-US"/>
    </w:rPr>
  </w:style>
  <w:style w:type="paragraph" w:styleId="TOC3">
    <w:name w:val="toc 3"/>
    <w:basedOn w:val="Normal"/>
    <w:next w:val="Normal"/>
    <w:autoRedefine/>
    <w:uiPriority w:val="39"/>
    <w:unhideWhenUsed/>
    <w:rsid w:val="00A84375"/>
    <w:pPr>
      <w:spacing w:before="0" w:after="100" w:line="276" w:lineRule="auto"/>
      <w:ind w:left="480"/>
    </w:pPr>
    <w:rPr>
      <w:rFonts w:eastAsiaTheme="minorHAnsi" w:cstheme="minorBidi"/>
      <w:szCs w:val="22"/>
      <w:lang w:eastAsia="en-US"/>
    </w:rPr>
  </w:style>
  <w:style w:type="paragraph" w:styleId="Revision">
    <w:name w:val="Revision"/>
    <w:hidden/>
    <w:uiPriority w:val="99"/>
    <w:semiHidden/>
    <w:rsid w:val="00A8437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9842">
      <w:bodyDiv w:val="1"/>
      <w:marLeft w:val="0"/>
      <w:marRight w:val="0"/>
      <w:marTop w:val="0"/>
      <w:marBottom w:val="0"/>
      <w:divBdr>
        <w:top w:val="none" w:sz="0" w:space="0" w:color="auto"/>
        <w:left w:val="none" w:sz="0" w:space="0" w:color="auto"/>
        <w:bottom w:val="none" w:sz="0" w:space="0" w:color="auto"/>
        <w:right w:val="none" w:sz="0" w:space="0" w:color="auto"/>
      </w:divBdr>
    </w:div>
    <w:div w:id="760102273">
      <w:bodyDiv w:val="1"/>
      <w:marLeft w:val="0"/>
      <w:marRight w:val="0"/>
      <w:marTop w:val="0"/>
      <w:marBottom w:val="0"/>
      <w:divBdr>
        <w:top w:val="none" w:sz="0" w:space="0" w:color="auto"/>
        <w:left w:val="none" w:sz="0" w:space="0" w:color="auto"/>
        <w:bottom w:val="none" w:sz="0" w:space="0" w:color="auto"/>
        <w:right w:val="none" w:sz="0" w:space="0" w:color="auto"/>
      </w:divBdr>
    </w:div>
    <w:div w:id="810709453">
      <w:bodyDiv w:val="1"/>
      <w:marLeft w:val="0"/>
      <w:marRight w:val="0"/>
      <w:marTop w:val="0"/>
      <w:marBottom w:val="0"/>
      <w:divBdr>
        <w:top w:val="none" w:sz="0" w:space="0" w:color="auto"/>
        <w:left w:val="none" w:sz="0" w:space="0" w:color="auto"/>
        <w:bottom w:val="none" w:sz="0" w:space="0" w:color="auto"/>
        <w:right w:val="none" w:sz="0" w:space="0" w:color="auto"/>
      </w:divBdr>
      <w:divsChild>
        <w:div w:id="1862090624">
          <w:marLeft w:val="0"/>
          <w:marRight w:val="0"/>
          <w:marTop w:val="0"/>
          <w:marBottom w:val="0"/>
          <w:divBdr>
            <w:top w:val="none" w:sz="0" w:space="0" w:color="auto"/>
            <w:left w:val="none" w:sz="0" w:space="0" w:color="auto"/>
            <w:bottom w:val="none" w:sz="0" w:space="0" w:color="auto"/>
            <w:right w:val="none" w:sz="0" w:space="0" w:color="auto"/>
          </w:divBdr>
          <w:divsChild>
            <w:div w:id="1833717238">
              <w:marLeft w:val="0"/>
              <w:marRight w:val="0"/>
              <w:marTop w:val="0"/>
              <w:marBottom w:val="0"/>
              <w:divBdr>
                <w:top w:val="none" w:sz="0" w:space="0" w:color="auto"/>
                <w:left w:val="none" w:sz="0" w:space="0" w:color="auto"/>
                <w:bottom w:val="none" w:sz="0" w:space="0" w:color="auto"/>
                <w:right w:val="none" w:sz="0" w:space="0" w:color="auto"/>
              </w:divBdr>
              <w:divsChild>
                <w:div w:id="2006131070">
                  <w:marLeft w:val="0"/>
                  <w:marRight w:val="0"/>
                  <w:marTop w:val="0"/>
                  <w:marBottom w:val="0"/>
                  <w:divBdr>
                    <w:top w:val="none" w:sz="0" w:space="0" w:color="auto"/>
                    <w:left w:val="none" w:sz="0" w:space="0" w:color="auto"/>
                    <w:bottom w:val="none" w:sz="0" w:space="0" w:color="auto"/>
                    <w:right w:val="none" w:sz="0" w:space="0" w:color="auto"/>
                  </w:divBdr>
                  <w:divsChild>
                    <w:div w:id="1149324723">
                      <w:marLeft w:val="0"/>
                      <w:marRight w:val="0"/>
                      <w:marTop w:val="0"/>
                      <w:marBottom w:val="0"/>
                      <w:divBdr>
                        <w:top w:val="none" w:sz="0" w:space="0" w:color="auto"/>
                        <w:left w:val="none" w:sz="0" w:space="0" w:color="auto"/>
                        <w:bottom w:val="none" w:sz="0" w:space="0" w:color="auto"/>
                        <w:right w:val="none" w:sz="0" w:space="0" w:color="auto"/>
                      </w:divBdr>
                      <w:divsChild>
                        <w:div w:id="1415782824">
                          <w:marLeft w:val="0"/>
                          <w:marRight w:val="0"/>
                          <w:marTop w:val="0"/>
                          <w:marBottom w:val="0"/>
                          <w:divBdr>
                            <w:top w:val="none" w:sz="0" w:space="0" w:color="auto"/>
                            <w:left w:val="none" w:sz="0" w:space="0" w:color="auto"/>
                            <w:bottom w:val="none" w:sz="0" w:space="0" w:color="auto"/>
                            <w:right w:val="none" w:sz="0" w:space="0" w:color="auto"/>
                          </w:divBdr>
                          <w:divsChild>
                            <w:div w:id="291256683">
                              <w:marLeft w:val="0"/>
                              <w:marRight w:val="0"/>
                              <w:marTop w:val="0"/>
                              <w:marBottom w:val="0"/>
                              <w:divBdr>
                                <w:top w:val="none" w:sz="0" w:space="0" w:color="auto"/>
                                <w:left w:val="none" w:sz="0" w:space="0" w:color="auto"/>
                                <w:bottom w:val="none" w:sz="0" w:space="0" w:color="auto"/>
                                <w:right w:val="none" w:sz="0" w:space="0" w:color="auto"/>
                              </w:divBdr>
                              <w:divsChild>
                                <w:div w:id="668936">
                                  <w:marLeft w:val="0"/>
                                  <w:marRight w:val="0"/>
                                  <w:marTop w:val="0"/>
                                  <w:marBottom w:val="0"/>
                                  <w:divBdr>
                                    <w:top w:val="none" w:sz="0" w:space="0" w:color="auto"/>
                                    <w:left w:val="none" w:sz="0" w:space="0" w:color="auto"/>
                                    <w:bottom w:val="none" w:sz="0" w:space="0" w:color="auto"/>
                                    <w:right w:val="none" w:sz="0" w:space="0" w:color="auto"/>
                                  </w:divBdr>
                                  <w:divsChild>
                                    <w:div w:id="1635477758">
                                      <w:marLeft w:val="0"/>
                                      <w:marRight w:val="0"/>
                                      <w:marTop w:val="240"/>
                                      <w:marBottom w:val="0"/>
                                      <w:divBdr>
                                        <w:top w:val="none" w:sz="0" w:space="0" w:color="auto"/>
                                        <w:left w:val="none" w:sz="0" w:space="0" w:color="auto"/>
                                        <w:bottom w:val="none" w:sz="0" w:space="0" w:color="auto"/>
                                        <w:right w:val="none" w:sz="0" w:space="0" w:color="auto"/>
                                      </w:divBdr>
                                      <w:divsChild>
                                        <w:div w:id="226496105">
                                          <w:marLeft w:val="0"/>
                                          <w:marRight w:val="0"/>
                                          <w:marTop w:val="0"/>
                                          <w:marBottom w:val="0"/>
                                          <w:divBdr>
                                            <w:top w:val="none" w:sz="0" w:space="0" w:color="auto"/>
                                            <w:left w:val="none" w:sz="0" w:space="0" w:color="auto"/>
                                            <w:bottom w:val="none" w:sz="0" w:space="0" w:color="auto"/>
                                            <w:right w:val="none" w:sz="0" w:space="0" w:color="auto"/>
                                          </w:divBdr>
                                          <w:divsChild>
                                            <w:div w:id="2342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883271">
      <w:bodyDiv w:val="1"/>
      <w:marLeft w:val="0"/>
      <w:marRight w:val="0"/>
      <w:marTop w:val="0"/>
      <w:marBottom w:val="0"/>
      <w:divBdr>
        <w:top w:val="none" w:sz="0" w:space="0" w:color="auto"/>
        <w:left w:val="none" w:sz="0" w:space="0" w:color="auto"/>
        <w:bottom w:val="none" w:sz="0" w:space="0" w:color="auto"/>
        <w:right w:val="none" w:sz="0" w:space="0" w:color="auto"/>
      </w:divBdr>
    </w:div>
    <w:div w:id="1085032304">
      <w:bodyDiv w:val="1"/>
      <w:marLeft w:val="0"/>
      <w:marRight w:val="0"/>
      <w:marTop w:val="0"/>
      <w:marBottom w:val="0"/>
      <w:divBdr>
        <w:top w:val="none" w:sz="0" w:space="0" w:color="auto"/>
        <w:left w:val="none" w:sz="0" w:space="0" w:color="auto"/>
        <w:bottom w:val="none" w:sz="0" w:space="0" w:color="auto"/>
        <w:right w:val="none" w:sz="0" w:space="0" w:color="auto"/>
      </w:divBdr>
      <w:divsChild>
        <w:div w:id="1725641406">
          <w:marLeft w:val="0"/>
          <w:marRight w:val="0"/>
          <w:marTop w:val="0"/>
          <w:marBottom w:val="0"/>
          <w:divBdr>
            <w:top w:val="none" w:sz="0" w:space="0" w:color="auto"/>
            <w:left w:val="none" w:sz="0" w:space="0" w:color="auto"/>
            <w:bottom w:val="none" w:sz="0" w:space="0" w:color="auto"/>
            <w:right w:val="none" w:sz="0" w:space="0" w:color="auto"/>
          </w:divBdr>
          <w:divsChild>
            <w:div w:id="1742143911">
              <w:marLeft w:val="0"/>
              <w:marRight w:val="0"/>
              <w:marTop w:val="0"/>
              <w:marBottom w:val="0"/>
              <w:divBdr>
                <w:top w:val="none" w:sz="0" w:space="0" w:color="auto"/>
                <w:left w:val="none" w:sz="0" w:space="0" w:color="auto"/>
                <w:bottom w:val="none" w:sz="0" w:space="0" w:color="auto"/>
                <w:right w:val="none" w:sz="0" w:space="0" w:color="auto"/>
              </w:divBdr>
              <w:divsChild>
                <w:div w:id="1532303631">
                  <w:marLeft w:val="0"/>
                  <w:marRight w:val="0"/>
                  <w:marTop w:val="0"/>
                  <w:marBottom w:val="0"/>
                  <w:divBdr>
                    <w:top w:val="none" w:sz="0" w:space="0" w:color="auto"/>
                    <w:left w:val="none" w:sz="0" w:space="0" w:color="auto"/>
                    <w:bottom w:val="none" w:sz="0" w:space="0" w:color="auto"/>
                    <w:right w:val="none" w:sz="0" w:space="0" w:color="auto"/>
                  </w:divBdr>
                  <w:divsChild>
                    <w:div w:id="626358840">
                      <w:marLeft w:val="0"/>
                      <w:marRight w:val="0"/>
                      <w:marTop w:val="0"/>
                      <w:marBottom w:val="0"/>
                      <w:divBdr>
                        <w:top w:val="none" w:sz="0" w:space="0" w:color="auto"/>
                        <w:left w:val="none" w:sz="0" w:space="0" w:color="auto"/>
                        <w:bottom w:val="none" w:sz="0" w:space="0" w:color="auto"/>
                        <w:right w:val="none" w:sz="0" w:space="0" w:color="auto"/>
                      </w:divBdr>
                      <w:divsChild>
                        <w:div w:id="931206296">
                          <w:marLeft w:val="0"/>
                          <w:marRight w:val="0"/>
                          <w:marTop w:val="0"/>
                          <w:marBottom w:val="0"/>
                          <w:divBdr>
                            <w:top w:val="none" w:sz="0" w:space="0" w:color="auto"/>
                            <w:left w:val="none" w:sz="0" w:space="0" w:color="auto"/>
                            <w:bottom w:val="none" w:sz="0" w:space="0" w:color="auto"/>
                            <w:right w:val="none" w:sz="0" w:space="0" w:color="auto"/>
                          </w:divBdr>
                          <w:divsChild>
                            <w:div w:id="1515146750">
                              <w:marLeft w:val="0"/>
                              <w:marRight w:val="0"/>
                              <w:marTop w:val="0"/>
                              <w:marBottom w:val="0"/>
                              <w:divBdr>
                                <w:top w:val="none" w:sz="0" w:space="0" w:color="auto"/>
                                <w:left w:val="none" w:sz="0" w:space="0" w:color="auto"/>
                                <w:bottom w:val="none" w:sz="0" w:space="0" w:color="auto"/>
                                <w:right w:val="none" w:sz="0" w:space="0" w:color="auto"/>
                              </w:divBdr>
                              <w:divsChild>
                                <w:div w:id="1514682044">
                                  <w:marLeft w:val="0"/>
                                  <w:marRight w:val="0"/>
                                  <w:marTop w:val="0"/>
                                  <w:marBottom w:val="0"/>
                                  <w:divBdr>
                                    <w:top w:val="none" w:sz="0" w:space="0" w:color="auto"/>
                                    <w:left w:val="none" w:sz="0" w:space="0" w:color="auto"/>
                                    <w:bottom w:val="none" w:sz="0" w:space="0" w:color="auto"/>
                                    <w:right w:val="none" w:sz="0" w:space="0" w:color="auto"/>
                                  </w:divBdr>
                                  <w:divsChild>
                                    <w:div w:id="899709546">
                                      <w:marLeft w:val="0"/>
                                      <w:marRight w:val="0"/>
                                      <w:marTop w:val="0"/>
                                      <w:marBottom w:val="0"/>
                                      <w:divBdr>
                                        <w:top w:val="none" w:sz="0" w:space="0" w:color="auto"/>
                                        <w:left w:val="none" w:sz="0" w:space="0" w:color="auto"/>
                                        <w:bottom w:val="none" w:sz="0" w:space="0" w:color="auto"/>
                                        <w:right w:val="none" w:sz="0" w:space="0" w:color="auto"/>
                                      </w:divBdr>
                                      <w:divsChild>
                                        <w:div w:id="631058503">
                                          <w:marLeft w:val="0"/>
                                          <w:marRight w:val="0"/>
                                          <w:marTop w:val="0"/>
                                          <w:marBottom w:val="0"/>
                                          <w:divBdr>
                                            <w:top w:val="none" w:sz="0" w:space="0" w:color="auto"/>
                                            <w:left w:val="none" w:sz="0" w:space="0" w:color="auto"/>
                                            <w:bottom w:val="none" w:sz="0" w:space="0" w:color="auto"/>
                                            <w:right w:val="none" w:sz="0" w:space="0" w:color="auto"/>
                                          </w:divBdr>
                                          <w:divsChild>
                                            <w:div w:id="407118067">
                                              <w:marLeft w:val="0"/>
                                              <w:marRight w:val="0"/>
                                              <w:marTop w:val="0"/>
                                              <w:marBottom w:val="0"/>
                                              <w:divBdr>
                                                <w:top w:val="none" w:sz="0" w:space="0" w:color="auto"/>
                                                <w:left w:val="none" w:sz="0" w:space="0" w:color="auto"/>
                                                <w:bottom w:val="none" w:sz="0" w:space="0" w:color="auto"/>
                                                <w:right w:val="none" w:sz="0" w:space="0" w:color="auto"/>
                                              </w:divBdr>
                                              <w:divsChild>
                                                <w:div w:id="483743931">
                                                  <w:marLeft w:val="0"/>
                                                  <w:marRight w:val="0"/>
                                                  <w:marTop w:val="0"/>
                                                  <w:marBottom w:val="0"/>
                                                  <w:divBdr>
                                                    <w:top w:val="none" w:sz="0" w:space="0" w:color="auto"/>
                                                    <w:left w:val="none" w:sz="0" w:space="0" w:color="auto"/>
                                                    <w:bottom w:val="none" w:sz="0" w:space="0" w:color="auto"/>
                                                    <w:right w:val="none" w:sz="0" w:space="0" w:color="auto"/>
                                                  </w:divBdr>
                                                  <w:divsChild>
                                                    <w:div w:id="1047073367">
                                                      <w:marLeft w:val="0"/>
                                                      <w:marRight w:val="0"/>
                                                      <w:marTop w:val="0"/>
                                                      <w:marBottom w:val="0"/>
                                                      <w:divBdr>
                                                        <w:top w:val="none" w:sz="0" w:space="0" w:color="auto"/>
                                                        <w:left w:val="none" w:sz="0" w:space="0" w:color="auto"/>
                                                        <w:bottom w:val="none" w:sz="0" w:space="0" w:color="auto"/>
                                                        <w:right w:val="none" w:sz="0" w:space="0" w:color="auto"/>
                                                      </w:divBdr>
                                                      <w:divsChild>
                                                        <w:div w:id="11814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0519850">
      <w:bodyDiv w:val="1"/>
      <w:marLeft w:val="0"/>
      <w:marRight w:val="0"/>
      <w:marTop w:val="0"/>
      <w:marBottom w:val="0"/>
      <w:divBdr>
        <w:top w:val="none" w:sz="0" w:space="0" w:color="auto"/>
        <w:left w:val="none" w:sz="0" w:space="0" w:color="auto"/>
        <w:bottom w:val="none" w:sz="0" w:space="0" w:color="auto"/>
        <w:right w:val="none" w:sz="0" w:space="0" w:color="auto"/>
      </w:divBdr>
      <w:divsChild>
        <w:div w:id="377163796">
          <w:marLeft w:val="0"/>
          <w:marRight w:val="0"/>
          <w:marTop w:val="0"/>
          <w:marBottom w:val="0"/>
          <w:divBdr>
            <w:top w:val="none" w:sz="0" w:space="0" w:color="auto"/>
            <w:left w:val="none" w:sz="0" w:space="0" w:color="auto"/>
            <w:bottom w:val="none" w:sz="0" w:space="0" w:color="auto"/>
            <w:right w:val="none" w:sz="0" w:space="0" w:color="auto"/>
          </w:divBdr>
        </w:div>
      </w:divsChild>
    </w:div>
    <w:div w:id="1810437291">
      <w:bodyDiv w:val="1"/>
      <w:marLeft w:val="0"/>
      <w:marRight w:val="0"/>
      <w:marTop w:val="0"/>
      <w:marBottom w:val="0"/>
      <w:divBdr>
        <w:top w:val="none" w:sz="0" w:space="0" w:color="auto"/>
        <w:left w:val="none" w:sz="0" w:space="0" w:color="auto"/>
        <w:bottom w:val="none" w:sz="0" w:space="0" w:color="auto"/>
        <w:right w:val="none" w:sz="0" w:space="0" w:color="auto"/>
      </w:divBdr>
    </w:div>
    <w:div w:id="19648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5203F9288B12B42B3BE6D35CD67DC56" ma:contentTypeVersion="" ma:contentTypeDescription="PDMS Documentation Content Type" ma:contentTypeScope="" ma:versionID="0b78aa492d0a37abccccd3600ec4f6fd">
  <xsd:schema xmlns:xsd="http://www.w3.org/2001/XMLSchema" xmlns:xs="http://www.w3.org/2001/XMLSchema" xmlns:p="http://schemas.microsoft.com/office/2006/metadata/properties" xmlns:ns2="3994B818-CC68-4D31-ACC2-CB4A5944D5F1" targetNamespace="http://schemas.microsoft.com/office/2006/metadata/properties" ma:root="true" ma:fieldsID="feee29a46c776ce582ba0a6d9d645a5f" ns2:_="">
    <xsd:import namespace="3994B818-CC68-4D31-ACC2-CB4A5944D5F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4B818-CC68-4D31-ACC2-CB4A5944D5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DocumentType xmlns="3994B818-CC68-4D31-ACC2-CB4A5944D5F1" xsi:nil="true"/>
    <pdms_SecurityClassification xmlns="3994B818-CC68-4D31-ACC2-CB4A5944D5F1" xsi:nil="true"/>
    <pdms_AttachedBy xmlns="3994B818-CC68-4D31-ACC2-CB4A5944D5F1" xsi:nil="true"/>
    <pdms_Reason xmlns="3994B818-CC68-4D31-ACC2-CB4A5944D5F1" xsi:nil="true"/>
    <SecurityClassification xmlns="3994B818-CC68-4D31-ACC2-CB4A5944D5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83727-80CE-4CDE-AB32-3FD0745A6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4B818-CC68-4D31-ACC2-CB4A5944D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32A34-560E-4E10-A7C0-6C45FDEB2B04}">
  <ds:schemaRefs>
    <ds:schemaRef ds:uri="3994B818-CC68-4D31-ACC2-CB4A5944D5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99F6F68-7BF4-4506-9C7A-B67A75F238C0}">
  <ds:schemaRefs>
    <ds:schemaRef ds:uri="http://schemas.microsoft.com/sharepoint/v3/contenttype/forms"/>
  </ds:schemaRefs>
</ds:datastoreItem>
</file>

<file path=customXml/itemProps4.xml><?xml version="1.0" encoding="utf-8"?>
<ds:datastoreItem xmlns:ds="http://schemas.openxmlformats.org/officeDocument/2006/customXml" ds:itemID="{CA29996B-996D-4572-8C64-06F5003B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3320</Words>
  <Characters>18930</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STAKER</dc:creator>
  <cp:lastModifiedBy>Louise STAKER</cp:lastModifiedBy>
  <cp:revision>2</cp:revision>
  <cp:lastPrinted>2018-10-03T04:30:00Z</cp:lastPrinted>
  <dcterms:created xsi:type="dcterms:W3CDTF">2018-10-14T23:47:00Z</dcterms:created>
  <dcterms:modified xsi:type="dcterms:W3CDTF">2018-10-14T23:47:00Z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y fmtid="{D5CDD505-2E9C-101B-9397-08002B2CF9AE}" pid="3" name="ContentTypeId">
    <vt:lpwstr>0x010100266966F133664895A6EE3632470D45F5010035203F9288B12B42B3BE6D35CD67DC56</vt:lpwstr>
  </property>
</Properties>
</file>