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12292104"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426D1D">
        <w:rPr>
          <w:rFonts w:cs="Arial"/>
          <w:spacing w:val="-6"/>
        </w:rPr>
        <w:t>42/05</w:t>
      </w:r>
      <w:r w:rsidRPr="00F1614C">
        <w:rPr>
          <w:rFonts w:cs="Arial"/>
          <w:spacing w:val="-6"/>
        </w:rPr>
        <w:t xml:space="preserve"> –</w:t>
      </w:r>
      <w:r w:rsidR="00FA26E4">
        <w:rPr>
          <w:rFonts w:cs="Arial"/>
          <w:spacing w:val="-6"/>
        </w:rPr>
        <w:t xml:space="preserve"> </w:t>
      </w:r>
      <w:r w:rsidR="00426D1D">
        <w:rPr>
          <w:rFonts w:cs="Arial"/>
          <w:spacing w:val="-6"/>
        </w:rPr>
        <w:t>General Safety Requirements</w:t>
      </w:r>
      <w:r w:rsidRPr="00F1614C">
        <w:rPr>
          <w:rFonts w:cs="Arial"/>
          <w:bCs/>
          <w:spacing w:val="-6"/>
        </w:rPr>
        <w:t>) 20</w:t>
      </w:r>
      <w:bookmarkEnd w:id="0"/>
      <w:r w:rsidR="0032288B">
        <w:rPr>
          <w:rFonts w:cs="Arial"/>
          <w:bCs/>
          <w:spacing w:val="-6"/>
        </w:rPr>
        <w:t>18</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7777777" w:rsidR="00FA26E4" w:rsidRPr="00FA26E4" w:rsidRDefault="00FA26E4" w:rsidP="00DC3814">
      <w:pPr>
        <w:pStyle w:val="Title"/>
      </w:pPr>
      <w:r w:rsidRPr="00FA26E4">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43CFC581" w:rsidR="00FA26E4" w:rsidRPr="00FA26E4" w:rsidRDefault="00FA26E4" w:rsidP="007E0985">
      <w:pPr>
        <w:jc w:val="center"/>
      </w:pPr>
      <w:r w:rsidRPr="007E0985">
        <w:t xml:space="preserve">Issued by the authority of the </w:t>
      </w:r>
      <w:r w:rsidR="009736A4" w:rsidRPr="009736A4">
        <w:t>Assistant Minister to the Deputy Prime Minister</w:t>
      </w:r>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1E282656" w:rsidR="00AD6C3C" w:rsidRPr="00070368" w:rsidRDefault="00622697" w:rsidP="00AD6C3C">
      <w:pPr>
        <w:pStyle w:val="Title"/>
      </w:pPr>
      <w:r>
        <w:t>Octo</w:t>
      </w:r>
      <w:r w:rsidR="00AD6C3C" w:rsidRPr="007E0985">
        <w:t>ber 2018</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BA1A36"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77777777" w:rsidR="00541EF4" w:rsidRPr="00D272E0" w:rsidRDefault="00E86965" w:rsidP="00D272E0">
      <w:pPr>
        <w:pStyle w:val="Contents"/>
        <w:rPr>
          <w:b w:val="0"/>
        </w:rPr>
      </w:pPr>
      <w:bookmarkStart w:id="2" w:name="_Toc167864611"/>
      <w:bookmarkStart w:id="3" w:name="_Toc390430612"/>
      <w:bookmarkStart w:id="4" w:name="_Toc409446963"/>
      <w:r w:rsidRPr="00D272E0">
        <w:rPr>
          <w:b w:val="0"/>
        </w:rPr>
        <w:lastRenderedPageBreak/>
        <w:t>Contents</w:t>
      </w:r>
    </w:p>
    <w:p w14:paraId="129D0B87" w14:textId="77777777" w:rsidR="00BF517E" w:rsidRPr="00BF517E" w:rsidRDefault="00BF517E" w:rsidP="00266B0F">
      <w:pPr>
        <w:pStyle w:val="TOC1"/>
      </w:pPr>
    </w:p>
    <w:p w14:paraId="65D2D658" w14:textId="6B944922" w:rsidR="00622697" w:rsidRDefault="00622697">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6475EA33" w14:textId="39258B0B" w:rsidR="00622697" w:rsidRDefault="00622697">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42/05 – GENERAL SAFETY REQUIREMENTS</w:t>
      </w:r>
      <w:r>
        <w:rPr>
          <w:noProof/>
        </w:rPr>
        <w:tab/>
        <w:t>3</w:t>
      </w:r>
    </w:p>
    <w:p w14:paraId="1AA68683" w14:textId="1B7F21AB" w:rsidR="00622697" w:rsidRDefault="00622697">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01831D38" w14:textId="6C07CF0A" w:rsidR="00622697" w:rsidRDefault="00622697">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1E04A7B7" w14:textId="4C345CDC" w:rsidR="00622697" w:rsidRDefault="00622697">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4</w:t>
      </w:r>
    </w:p>
    <w:p w14:paraId="33A2DE11" w14:textId="542A8B7B" w:rsidR="00622697" w:rsidRDefault="00622697">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5</w:t>
      </w:r>
    </w:p>
    <w:p w14:paraId="0A2DF534" w14:textId="1FC4B3BF" w:rsidR="00622697" w:rsidRDefault="00622697">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5</w:t>
      </w:r>
    </w:p>
    <w:p w14:paraId="20247E82" w14:textId="63C58981" w:rsidR="00622697" w:rsidRDefault="00622697">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5</w:t>
      </w:r>
    </w:p>
    <w:p w14:paraId="3315FC4F" w14:textId="73345ABF" w:rsidR="00622697" w:rsidRDefault="00622697">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6</w:t>
      </w:r>
    </w:p>
    <w:p w14:paraId="6D7D31EF" w14:textId="231A6BD2" w:rsidR="00622697" w:rsidRDefault="00622697">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14:paraId="76F18E1A" w14:textId="081304F3" w:rsidR="00622697" w:rsidRDefault="00622697">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14:paraId="2BE56FCF" w14:textId="07359368" w:rsidR="00622697" w:rsidRDefault="00622697">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14:paraId="1BFF357D" w14:textId="19C176A1" w:rsidR="00622697" w:rsidRDefault="00622697">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14:paraId="6F4AB132" w14:textId="0C13B85C" w:rsidR="00622697" w:rsidRDefault="00622697" w:rsidP="008E277C">
      <w:pPr>
        <w:rPr>
          <w:noProof/>
        </w:rPr>
      </w:pPr>
    </w:p>
    <w:p w14:paraId="233F7845" w14:textId="675CD455" w:rsidR="00070368" w:rsidRDefault="00E86965" w:rsidP="008E277C">
      <w:r>
        <w:br w:type="page"/>
      </w:r>
    </w:p>
    <w:p w14:paraId="233F7846" w14:textId="650F861C" w:rsidR="00BA4F48" w:rsidRPr="00070368" w:rsidRDefault="002E4A72" w:rsidP="000F20D6">
      <w:pPr>
        <w:pStyle w:val="Heading1"/>
      </w:pPr>
      <w:bookmarkStart w:id="5" w:name="_Toc256000000"/>
      <w:bookmarkStart w:id="6" w:name="_Toc433288572"/>
      <w:bookmarkStart w:id="7" w:name="_Toc510516726"/>
      <w:bookmarkStart w:id="8" w:name="_Toc525663578"/>
      <w:bookmarkStart w:id="9" w:name="_Toc525826790"/>
      <w:r>
        <w:lastRenderedPageBreak/>
        <w:t>LEGISLATIVE CONTEXT</w:t>
      </w:r>
      <w:bookmarkEnd w:id="2"/>
      <w:bookmarkEnd w:id="3"/>
      <w:bookmarkEnd w:id="4"/>
      <w:bookmarkEnd w:id="5"/>
      <w:bookmarkEnd w:id="6"/>
      <w:bookmarkEnd w:id="7"/>
      <w:bookmarkEnd w:id="8"/>
      <w:bookmarkEnd w:id="9"/>
    </w:p>
    <w:p w14:paraId="233F7847" w14:textId="73E28912" w:rsidR="003F01D5" w:rsidRPr="00942B88" w:rsidRDefault="00266B0F" w:rsidP="009178B7">
      <w:r>
        <w:t xml:space="preserve">The </w:t>
      </w:r>
      <w:r w:rsidR="00E86965" w:rsidRPr="00BF517E">
        <w:t xml:space="preserve">Vehicle Standard (Australian Design Rule </w:t>
      </w:r>
      <w:r w:rsidR="00333EC2">
        <w:t>42/05</w:t>
      </w:r>
      <w:r w:rsidR="00644133" w:rsidRPr="00BF517E">
        <w:t xml:space="preserve"> </w:t>
      </w:r>
      <w:r w:rsidR="00E86965" w:rsidRPr="00BF517E">
        <w:t xml:space="preserve">– </w:t>
      </w:r>
      <w:r w:rsidR="00333EC2">
        <w:t>General Safety Requirements</w:t>
      </w:r>
      <w:r w:rsidR="00E86965" w:rsidRPr="00BF517E">
        <w:t>) 20</w:t>
      </w:r>
      <w:r w:rsidR="0032288B">
        <w:t>18</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23D3A830" w:rsidR="00EE2C80" w:rsidRDefault="00E86965" w:rsidP="009178B7">
      <w:r w:rsidRPr="00CA7971">
        <w:t xml:space="preserve">The making of vehicle </w:t>
      </w:r>
      <w:r w:rsidR="008E277C">
        <w:t>standards necessary for the Act’</w:t>
      </w:r>
      <w:r w:rsidRPr="00CA7971">
        <w:t>s effective operation is provided for in section 7</w:t>
      </w:r>
      <w:r w:rsidR="00C07031">
        <w:t>,</w:t>
      </w:r>
      <w:r w:rsidRPr="00CA7971">
        <w:t xml:space="preserve"> which empo</w:t>
      </w:r>
      <w:r w:rsidR="008E277C">
        <w:t>wers the Minister to “</w:t>
      </w:r>
      <w:r w:rsidRPr="00CA7971">
        <w:t>determine vehicle standards for road</w:t>
      </w:r>
      <w:r w:rsidR="008E277C">
        <w:t xml:space="preserve"> vehicles or vehicle components”</w:t>
      </w:r>
      <w:r w:rsidRPr="00CA7971">
        <w:t>.</w:t>
      </w:r>
    </w:p>
    <w:p w14:paraId="50FF2DAC" w14:textId="59CB24C0" w:rsidR="008B3AE3" w:rsidRPr="0069365C" w:rsidRDefault="00AF30D8" w:rsidP="008B3AE3">
      <w:pPr>
        <w:rPr>
          <w:rFonts w:cs="Arial"/>
        </w:rPr>
      </w:pPr>
      <w:r>
        <w:t xml:space="preserve">The </w:t>
      </w:r>
      <w:r w:rsidRPr="00EC6915">
        <w:t>Vehicle Standa</w:t>
      </w:r>
      <w:r>
        <w:t xml:space="preserve">rd (Australian Design Rule </w:t>
      </w:r>
      <w:r w:rsidR="00333EC2">
        <w:t>42/05</w:t>
      </w:r>
      <w:r w:rsidRPr="00EC6915">
        <w:t xml:space="preserve"> – </w:t>
      </w:r>
      <w:r w:rsidR="00333EC2">
        <w:t>General Safety Requirements</w:t>
      </w:r>
      <w:r>
        <w:t>) 2018</w:t>
      </w:r>
      <w:r w:rsidRPr="00EC6915">
        <w:t xml:space="preserve"> (</w:t>
      </w:r>
      <w:r>
        <w:t xml:space="preserve">ADR </w:t>
      </w:r>
      <w:r w:rsidR="00333EC2">
        <w:t>42/05</w:t>
      </w:r>
      <w:r w:rsidRPr="0069365C">
        <w:t xml:space="preserve">) </w:t>
      </w:r>
      <w:r>
        <w:t xml:space="preserve">is </w:t>
      </w:r>
      <w:r w:rsidR="00606912">
        <w:t xml:space="preserve">made </w:t>
      </w:r>
      <w:r>
        <w:t>to replace</w:t>
      </w:r>
      <w:r>
        <w:rPr>
          <w:rFonts w:cs="Arial"/>
        </w:rPr>
        <w:t xml:space="preserve"> the </w:t>
      </w:r>
      <w:r w:rsidRPr="00EC6915">
        <w:t>Vehicle Standa</w:t>
      </w:r>
      <w:r>
        <w:t xml:space="preserve">rd (Australian Design Rule </w:t>
      </w:r>
      <w:r w:rsidR="00333EC2">
        <w:t>42/04</w:t>
      </w:r>
      <w:r w:rsidRPr="00EC6915">
        <w:t xml:space="preserve"> – </w:t>
      </w:r>
      <w:r w:rsidR="00333EC2">
        <w:t>General Safety Requirements</w:t>
      </w:r>
      <w:r>
        <w:t>) 20</w:t>
      </w:r>
      <w:r w:rsidR="00D13B6E">
        <w:t>0</w:t>
      </w:r>
      <w:r w:rsidR="0086595D">
        <w:t>5</w:t>
      </w:r>
      <w:r w:rsidRPr="00EC6915">
        <w:t xml:space="preserve"> </w:t>
      </w:r>
      <w:r>
        <w:t xml:space="preserve">(ADR </w:t>
      </w:r>
      <w:r w:rsidR="00333EC2">
        <w:t>42/04</w:t>
      </w:r>
      <w:r w:rsidRPr="0069365C">
        <w:t>)</w:t>
      </w:r>
      <w:r>
        <w:t>,</w:t>
      </w:r>
      <w:r w:rsidRPr="0069365C">
        <w:t xml:space="preserve"> </w:t>
      </w:r>
      <w:r>
        <w:t xml:space="preserve">which </w:t>
      </w:r>
      <w:r w:rsidRPr="0069365C">
        <w:t>w</w:t>
      </w:r>
      <w:r>
        <w:t>as originally determined in 20</w:t>
      </w:r>
      <w:r w:rsidR="00D13B6E">
        <w:t>0</w:t>
      </w:r>
      <w:r w:rsidR="0086595D">
        <w:t>5</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DF1C1F">
        <w:t>six</w:t>
      </w:r>
      <w:r w:rsidR="00AF162A">
        <w:t xml:space="preserve"> subsequent determination</w:t>
      </w:r>
      <w:r w:rsidR="00DF1C1F">
        <w:t>s</w:t>
      </w:r>
      <w:r w:rsidRPr="0069365C">
        <w:t>.</w:t>
      </w:r>
      <w:r w:rsidR="006D5266">
        <w:t xml:space="preserve">  </w:t>
      </w:r>
      <w:r w:rsidR="00606912">
        <w:rPr>
          <w:rFonts w:cs="Arial"/>
        </w:rPr>
        <w:t xml:space="preserve">It is </w:t>
      </w:r>
      <w:r w:rsidR="00B32320">
        <w:rPr>
          <w:rFonts w:cs="Arial"/>
        </w:rPr>
        <w:t>made</w:t>
      </w:r>
      <w:r w:rsidR="008B3AE3" w:rsidRPr="0063768F">
        <w:rPr>
          <w:rFonts w:cs="Arial"/>
        </w:rPr>
        <w:t xml:space="preserve"> as part of a </w:t>
      </w:r>
      <w:r w:rsidR="004A1441">
        <w:rPr>
          <w:rFonts w:cs="Arial"/>
        </w:rPr>
        <w:t>restructure of the</w:t>
      </w:r>
      <w:r w:rsidR="008B3AE3">
        <w:rPr>
          <w:rFonts w:cs="Arial"/>
        </w:rPr>
        <w:t xml:space="preserve"> </w:t>
      </w:r>
      <w:r w:rsidR="004A1441">
        <w:rPr>
          <w:rFonts w:cs="Arial"/>
        </w:rPr>
        <w:t>ADR</w:t>
      </w:r>
      <w:r w:rsidR="008B3AE3">
        <w:rPr>
          <w:rFonts w:cs="Arial"/>
        </w:rPr>
        <w:t xml:space="preserve"> requirements </w:t>
      </w:r>
      <w:r w:rsidR="004A1441">
        <w:rPr>
          <w:rFonts w:cs="Arial"/>
        </w:rPr>
        <w:t>for steering systems, rear underrun impact protection, external projections, forward field of view, audible warning</w:t>
      </w:r>
      <w:r w:rsidR="00FD4C03">
        <w:rPr>
          <w:rFonts w:cs="Arial"/>
        </w:rPr>
        <w:t xml:space="preserve">, </w:t>
      </w:r>
      <w:r w:rsidR="00CA385C">
        <w:rPr>
          <w:rFonts w:cs="Arial"/>
        </w:rPr>
        <w:t xml:space="preserve">and </w:t>
      </w:r>
      <w:r w:rsidR="004A1441">
        <w:rPr>
          <w:rFonts w:cs="Arial"/>
        </w:rPr>
        <w:t>tyres</w:t>
      </w:r>
      <w:r w:rsidR="00606912">
        <w:rPr>
          <w:rFonts w:cs="Arial"/>
        </w:rPr>
        <w:t>,</w:t>
      </w:r>
      <w:r w:rsidR="004A1441">
        <w:rPr>
          <w:rFonts w:cs="Arial"/>
        </w:rPr>
        <w:t xml:space="preserve"> </w:t>
      </w:r>
      <w:r w:rsidR="004A1441">
        <w:t xml:space="preserve">to allow for certification to the </w:t>
      </w:r>
      <w:r w:rsidR="004A1441">
        <w:rPr>
          <w:rFonts w:cs="Arial"/>
        </w:rPr>
        <w:t>international standards (UN Regulations) o</w:t>
      </w:r>
      <w:bookmarkStart w:id="10" w:name="_GoBack"/>
      <w:bookmarkEnd w:id="10"/>
      <w:r w:rsidR="004A1441">
        <w:rPr>
          <w:rFonts w:cs="Arial"/>
        </w:rPr>
        <w:t>n each of these topics.</w:t>
      </w:r>
    </w:p>
    <w:p w14:paraId="01E4D4F3" w14:textId="423F742B" w:rsidR="002E4A72" w:rsidRPr="002E4A72" w:rsidRDefault="00A82946" w:rsidP="002E4A72">
      <w:pPr>
        <w:pStyle w:val="Heading1"/>
      </w:pPr>
      <w:bookmarkStart w:id="11" w:name="_Toc167864612"/>
      <w:bookmarkStart w:id="12" w:name="_Toc390430613"/>
      <w:bookmarkStart w:id="13" w:name="_Toc409446964"/>
      <w:bookmarkStart w:id="14" w:name="_Toc256000001"/>
      <w:bookmarkStart w:id="15" w:name="_Toc433288573"/>
      <w:bookmarkStart w:id="16" w:name="_Toc510516727"/>
      <w:bookmarkStart w:id="17" w:name="_Toc525663579"/>
      <w:bookmarkStart w:id="18" w:name="_Toc525826791"/>
      <w:r>
        <w:t>CONTENT AND EFFECT OF</w:t>
      </w:r>
      <w:r w:rsidR="00E86965" w:rsidRPr="00942B88">
        <w:t xml:space="preserve"> </w:t>
      </w:r>
      <w:bookmarkStart w:id="19" w:name="_Toc167864613"/>
      <w:bookmarkStart w:id="20" w:name="_Toc390430614"/>
      <w:bookmarkStart w:id="21" w:name="_Toc409446965"/>
      <w:bookmarkEnd w:id="11"/>
      <w:bookmarkEnd w:id="12"/>
      <w:bookmarkEnd w:id="13"/>
      <w:r w:rsidR="00747017">
        <w:t>ADR</w:t>
      </w:r>
      <w:r w:rsidR="00747C06">
        <w:t xml:space="preserve"> </w:t>
      </w:r>
      <w:bookmarkEnd w:id="14"/>
      <w:bookmarkEnd w:id="15"/>
      <w:bookmarkEnd w:id="19"/>
      <w:bookmarkEnd w:id="20"/>
      <w:bookmarkEnd w:id="21"/>
      <w:r w:rsidR="00333EC2">
        <w:t>42/05</w:t>
      </w:r>
      <w:r w:rsidR="00290D2F">
        <w:t xml:space="preserve"> </w:t>
      </w:r>
      <w:bookmarkEnd w:id="16"/>
      <w:r w:rsidR="002E4A72">
        <w:t xml:space="preserve">– </w:t>
      </w:r>
      <w:r w:rsidR="00333EC2">
        <w:t>GENERAL SAFETY REQUIREMENTS</w:t>
      </w:r>
      <w:bookmarkEnd w:id="17"/>
      <w:bookmarkEnd w:id="18"/>
    </w:p>
    <w:p w14:paraId="233F784B" w14:textId="77777777" w:rsidR="006776F9" w:rsidRDefault="00E86965" w:rsidP="000F20D6">
      <w:pPr>
        <w:pStyle w:val="Heading2"/>
      </w:pPr>
      <w:bookmarkStart w:id="22" w:name="_Toc256000002"/>
      <w:bookmarkStart w:id="23" w:name="_Toc433288574"/>
      <w:bookmarkStart w:id="24" w:name="_Toc510516728"/>
      <w:bookmarkStart w:id="25" w:name="_Toc525663580"/>
      <w:bookmarkStart w:id="26" w:name="_Toc525826792"/>
      <w:r>
        <w:t>Overview of the ADR</w:t>
      </w:r>
      <w:bookmarkEnd w:id="22"/>
      <w:bookmarkEnd w:id="23"/>
      <w:bookmarkEnd w:id="24"/>
      <w:bookmarkEnd w:id="25"/>
      <w:bookmarkEnd w:id="26"/>
    </w:p>
    <w:p w14:paraId="2AD83A30" w14:textId="0E9D7EBB" w:rsidR="000034AE" w:rsidRPr="00CA7971" w:rsidRDefault="005358EC" w:rsidP="000034AE">
      <w:bookmarkStart w:id="27" w:name="_Toc417639703"/>
      <w:bookmarkStart w:id="28" w:name="_Toc167864614"/>
      <w:bookmarkStart w:id="29" w:name="_Toc390430615"/>
      <w:bookmarkStart w:id="30" w:name="_Toc256000003"/>
      <w:bookmarkStart w:id="31" w:name="_Toc409446966"/>
      <w:bookmarkStart w:id="32" w:name="_Toc433288575"/>
      <w:bookmarkStart w:id="33" w:name="_Toc510516729"/>
      <w:bookmarkEnd w:id="27"/>
      <w:r>
        <w:t xml:space="preserve">This </w:t>
      </w:r>
      <w:r w:rsidRPr="00A86F9B">
        <w:t xml:space="preserve">vehicle standard prescribes </w:t>
      </w:r>
      <w:r>
        <w:rPr>
          <w:rFonts w:eastAsiaTheme="minorHAnsi"/>
        </w:rPr>
        <w:t xml:space="preserve">general </w:t>
      </w:r>
      <w:r w:rsidRPr="001A7CC5">
        <w:rPr>
          <w:rFonts w:eastAsiaTheme="minorHAnsi"/>
        </w:rPr>
        <w:t>design and construction requirements to ensure safe operation of vehicles</w:t>
      </w:r>
      <w:r w:rsidR="000034AE" w:rsidRPr="004D70AE">
        <w:t>.</w:t>
      </w:r>
    </w:p>
    <w:p w14:paraId="233F784D" w14:textId="2A91ADE6" w:rsidR="003F01D5" w:rsidRPr="00107419" w:rsidRDefault="00E86965" w:rsidP="000F20D6">
      <w:pPr>
        <w:pStyle w:val="Heading2"/>
      </w:pPr>
      <w:bookmarkStart w:id="34" w:name="_Toc525663581"/>
      <w:bookmarkStart w:id="35" w:name="_Toc525826793"/>
      <w:r w:rsidRPr="00107419">
        <w:t>Effect of the</w:t>
      </w:r>
      <w:r w:rsidR="00107419" w:rsidRPr="00107419">
        <w:t xml:space="preserve"> </w:t>
      </w:r>
      <w:r w:rsidRPr="00107419">
        <w:t>ADR</w:t>
      </w:r>
      <w:bookmarkEnd w:id="28"/>
      <w:bookmarkEnd w:id="29"/>
      <w:bookmarkEnd w:id="30"/>
      <w:bookmarkEnd w:id="31"/>
      <w:bookmarkEnd w:id="32"/>
      <w:bookmarkEnd w:id="33"/>
      <w:bookmarkEnd w:id="34"/>
      <w:bookmarkEnd w:id="35"/>
    </w:p>
    <w:p w14:paraId="4091B388" w14:textId="2AE61C46" w:rsidR="0009214E" w:rsidRDefault="0009214E" w:rsidP="00A8668A">
      <w:pPr>
        <w:rPr>
          <w:highlight w:val="yellow"/>
        </w:rPr>
      </w:pPr>
      <w:bookmarkStart w:id="36" w:name="_Toc167864615"/>
      <w:r w:rsidRPr="0009214E">
        <w:t xml:space="preserve">The standard will apply to </w:t>
      </w:r>
      <w:r w:rsidR="00806DA6">
        <w:t>all categories of vehicles</w:t>
      </w:r>
      <w:r w:rsidRPr="0009214E">
        <w:t xml:space="preserve">.  New model vehicles will need to be certified to this standard from 1 July 2019.  </w:t>
      </w:r>
      <w:r w:rsidR="00806DA6" w:rsidRPr="00766E97">
        <w:t xml:space="preserve">There is no mandatory application date for all other vehicles. </w:t>
      </w:r>
      <w:r w:rsidR="00806DA6">
        <w:t xml:space="preserve"> </w:t>
      </w:r>
      <w:r w:rsidR="00806DA6" w:rsidRPr="00766E97">
        <w:t>They may comply with this vehicle standard, or continue to comply with</w:t>
      </w:r>
      <w:r w:rsidR="00806DA6">
        <w:t xml:space="preserve"> ADR 42/04</w:t>
      </w:r>
      <w:r w:rsidRPr="0009214E">
        <w:t>.</w:t>
      </w:r>
    </w:p>
    <w:p w14:paraId="6816C015" w14:textId="3A4E0EE2" w:rsidR="008C074A" w:rsidRDefault="004F6A11" w:rsidP="008E277C">
      <w:r>
        <w:t>V</w:t>
      </w:r>
      <w:r w:rsidRPr="004F6A11">
        <w:t xml:space="preserve">ehicles certified to this standard </w:t>
      </w:r>
      <w:r w:rsidR="00E65C4E">
        <w:t xml:space="preserve">will </w:t>
      </w:r>
      <w:r w:rsidRPr="004F6A11">
        <w:t xml:space="preserve">also need to be certified to </w:t>
      </w:r>
      <w:r w:rsidR="005B72C6">
        <w:t xml:space="preserve">a number of </w:t>
      </w:r>
      <w:r>
        <w:t xml:space="preserve">other </w:t>
      </w:r>
      <w:r w:rsidR="00FD4A8D">
        <w:t>new</w:t>
      </w:r>
      <w:r w:rsidR="005B72C6">
        <w:t xml:space="preserve"> </w:t>
      </w:r>
      <w:r>
        <w:t xml:space="preserve">ADRs, as set out by </w:t>
      </w:r>
      <w:r w:rsidR="005E307C">
        <w:t>ADR</w:t>
      </w:r>
      <w:r>
        <w:t xml:space="preserve"> </w:t>
      </w:r>
      <w:r w:rsidR="005E307C">
        <w:t xml:space="preserve">vehicle </w:t>
      </w:r>
      <w:r>
        <w:t xml:space="preserve">category in the tables under clause 3.9 of this standard.  </w:t>
      </w:r>
      <w:r w:rsidRPr="004F6A11">
        <w:t xml:space="preserve">Complementary explanatory statements are available for </w:t>
      </w:r>
      <w:r w:rsidR="005B72C6">
        <w:t xml:space="preserve">these associated </w:t>
      </w:r>
      <w:r w:rsidR="00FD4A8D">
        <w:t xml:space="preserve">new </w:t>
      </w:r>
      <w:r w:rsidRPr="004F6A11">
        <w:t xml:space="preserve">ADRs </w:t>
      </w:r>
      <w:r>
        <w:t>23/03</w:t>
      </w:r>
      <w:r w:rsidR="00FD4A8D">
        <w:t xml:space="preserve"> (Passenger Car Tyres)</w:t>
      </w:r>
      <w:r>
        <w:t>, 90</w:t>
      </w:r>
      <w:r w:rsidR="005B72C6">
        <w:t>/00</w:t>
      </w:r>
      <w:r w:rsidR="00FD4A8D">
        <w:t xml:space="preserve"> (Steering System)</w:t>
      </w:r>
      <w:r w:rsidR="005B72C6">
        <w:t xml:space="preserve">, </w:t>
      </w:r>
      <w:r>
        <w:t>91</w:t>
      </w:r>
      <w:r w:rsidRPr="004F6A11">
        <w:t>/00</w:t>
      </w:r>
      <w:r w:rsidR="00FD4A8D">
        <w:t xml:space="preserve"> (Rear Underrun Impact Protection)</w:t>
      </w:r>
      <w:r>
        <w:t>, 92/00</w:t>
      </w:r>
      <w:r w:rsidR="00FD4A8D">
        <w:t xml:space="preserve"> (External Projections)</w:t>
      </w:r>
      <w:r>
        <w:t>, 93/00</w:t>
      </w:r>
      <w:r w:rsidR="00FD4A8D">
        <w:t xml:space="preserve"> (Forward Field of View)</w:t>
      </w:r>
      <w:r>
        <w:t>, 94/00</w:t>
      </w:r>
      <w:r w:rsidR="00FD4A8D">
        <w:t xml:space="preserve"> (Audible Warning)</w:t>
      </w:r>
      <w:r>
        <w:t>, 95/00</w:t>
      </w:r>
      <w:r w:rsidR="00FD4A8D">
        <w:t xml:space="preserve"> (Installation of Tyres)</w:t>
      </w:r>
      <w:r>
        <w:t xml:space="preserve"> and 96/00</w:t>
      </w:r>
      <w:r w:rsidR="00FD4A8D">
        <w:t xml:space="preserve"> (Commercial Vehicle Tyres)</w:t>
      </w:r>
      <w:r w:rsidRPr="004F6A11">
        <w:t>.</w:t>
      </w:r>
    </w:p>
    <w:p w14:paraId="299DCA57" w14:textId="2AB062C0" w:rsidR="00FD4A8D" w:rsidRPr="002539EC" w:rsidRDefault="00F04B66" w:rsidP="008E277C">
      <w:r>
        <w:t>T</w:t>
      </w:r>
      <w:r w:rsidR="00FD4A8D">
        <w:t xml:space="preserve">his standard includes updates to standards incorporated by reference </w:t>
      </w:r>
      <w:r w:rsidR="00A53164">
        <w:t xml:space="preserve">for brake hose and brake tubing, </w:t>
      </w:r>
      <w:r w:rsidR="00441E02">
        <w:t xml:space="preserve">power-operated windows, passenger car tyre rims, electrical connectors </w:t>
      </w:r>
      <w:r w:rsidR="00441E02" w:rsidRPr="001B5A99">
        <w:t>for the purpose of operating prescribed trailer lighting and light signalling devices</w:t>
      </w:r>
      <w:r w:rsidR="00441E02">
        <w:t>, and electrical installations for connection to a power system other than that of a drawing vehicle.</w:t>
      </w:r>
    </w:p>
    <w:p w14:paraId="5A64E675" w14:textId="361FF048" w:rsidR="003107DA" w:rsidRDefault="003107DA" w:rsidP="00E01FE9">
      <w:pPr>
        <w:pStyle w:val="Heading2"/>
        <w:keepNext/>
      </w:pPr>
      <w:bookmarkStart w:id="37" w:name="_Toc503965070"/>
      <w:bookmarkStart w:id="38" w:name="_Toc496218095"/>
      <w:bookmarkStart w:id="39" w:name="_Toc499045494"/>
      <w:bookmarkStart w:id="40" w:name="_Toc510516730"/>
      <w:bookmarkStart w:id="41" w:name="_Toc525663582"/>
      <w:bookmarkStart w:id="42" w:name="_Toc525826794"/>
      <w:bookmarkEnd w:id="37"/>
      <w:r w:rsidRPr="001B029B">
        <w:lastRenderedPageBreak/>
        <w:t>Incorporated Documents</w:t>
      </w:r>
      <w:bookmarkEnd w:id="38"/>
      <w:bookmarkEnd w:id="39"/>
      <w:bookmarkEnd w:id="40"/>
      <w:bookmarkEnd w:id="41"/>
      <w:bookmarkEnd w:id="42"/>
    </w:p>
    <w:p w14:paraId="52337F2D" w14:textId="4D144133" w:rsidR="00A116FE" w:rsidRDefault="002B4236" w:rsidP="00E01FE9">
      <w:pPr>
        <w:keepNext/>
        <w:keepLines/>
      </w:pPr>
      <w:r>
        <w:t xml:space="preserve">Clause </w:t>
      </w:r>
      <w:r w:rsidR="009F2E5D">
        <w:t>14</w:t>
      </w:r>
      <w:r>
        <w:t xml:space="preserve"> of this standard incorporates </w:t>
      </w:r>
      <w:r w:rsidR="009F2E5D">
        <w:t>a reference</w:t>
      </w:r>
      <w:r>
        <w:t xml:space="preserve"> to </w:t>
      </w:r>
      <w:r w:rsidR="009F2E5D">
        <w:t>the United States Federal Motor Vehicle Safety Standard No. 118 (FMVSS 118) – 10-1-17 edition.</w:t>
      </w:r>
      <w:r w:rsidR="00E01FE9">
        <w:t xml:space="preserve">  This standard specifies requirements for power operated window, partition, and roof panel systems to minimize the likelihood of death or injury from their accidental operation.</w:t>
      </w:r>
    </w:p>
    <w:p w14:paraId="2222599D" w14:textId="13FDB632" w:rsidR="009F2E5D" w:rsidRDefault="009F2E5D" w:rsidP="008E277C">
      <w:r>
        <w:t xml:space="preserve">Clause 19 of this standard incorporates references to </w:t>
      </w:r>
      <w:r w:rsidR="0073727A">
        <w:t xml:space="preserve">ISO 4000-1:2015, the Tyre and Rim Association of Australia Standards Manual – </w:t>
      </w:r>
      <w:r w:rsidR="0073727A" w:rsidRPr="001B5A99">
        <w:t>2018 edition</w:t>
      </w:r>
      <w:r w:rsidR="0073727A">
        <w:t xml:space="preserve">, the </w:t>
      </w:r>
      <w:r w:rsidR="0073727A" w:rsidRPr="00966D2F">
        <w:t>European Tyre a</w:t>
      </w:r>
      <w:r w:rsidR="0073727A">
        <w:t xml:space="preserve">nd Rim Technical Organisation </w:t>
      </w:r>
      <w:r w:rsidR="0073727A" w:rsidRPr="00966D2F">
        <w:t xml:space="preserve">Standards Manual – </w:t>
      </w:r>
      <w:r w:rsidR="0073727A" w:rsidRPr="001B5A99">
        <w:t>2018 edition</w:t>
      </w:r>
      <w:r w:rsidR="0073727A">
        <w:t xml:space="preserve">, the </w:t>
      </w:r>
      <w:r w:rsidR="0073727A" w:rsidRPr="00702CC9">
        <w:t>Japan Automobile Tyre Manufacturers Association, Inc.</w:t>
      </w:r>
      <w:r w:rsidR="0073727A">
        <w:t xml:space="preserve"> Year Book – </w:t>
      </w:r>
      <w:r w:rsidR="0073727A" w:rsidRPr="001B5A99">
        <w:t>2018 edition</w:t>
      </w:r>
      <w:r w:rsidR="0073727A">
        <w:t xml:space="preserve">, and the US Tyre and Rim Association, Inc. Year Book – </w:t>
      </w:r>
      <w:r w:rsidR="0073727A" w:rsidRPr="001B5A99">
        <w:t>2018 edition</w:t>
      </w:r>
      <w:r w:rsidR="00484A49">
        <w:t>.</w:t>
      </w:r>
      <w:r w:rsidR="00127299">
        <w:t xml:space="preserve">  These standards </w:t>
      </w:r>
      <w:r w:rsidR="00127299" w:rsidRPr="00CD5EBF">
        <w:t>specif</w:t>
      </w:r>
      <w:r w:rsidR="00127299">
        <w:t>y</w:t>
      </w:r>
      <w:r w:rsidR="00127299" w:rsidRPr="00CD5EBF">
        <w:t xml:space="preserve"> dimensions</w:t>
      </w:r>
      <w:r w:rsidR="00127299">
        <w:t>, maximum inflation pressure, load</w:t>
      </w:r>
      <w:r w:rsidR="00127299">
        <w:noBreakHyphen/>
      </w:r>
      <w:r w:rsidR="00127299" w:rsidRPr="00CD5EBF">
        <w:t>carrying capacit</w:t>
      </w:r>
      <w:r w:rsidR="00127299">
        <w:t>y and rims for tyres by size designation.</w:t>
      </w:r>
    </w:p>
    <w:p w14:paraId="67BE8EAF" w14:textId="6D9E4322" w:rsidR="00367493" w:rsidRDefault="00367493" w:rsidP="00B74E12">
      <w:r>
        <w:t xml:space="preserve">Clause 21 of this standard incorporates references to AS 4177.5 – 2004, ISO 1185:2003, SAE J560 – </w:t>
      </w:r>
      <w:r w:rsidRPr="001B5A99">
        <w:t>2016-04-01 version</w:t>
      </w:r>
      <w:r>
        <w:t xml:space="preserve">, </w:t>
      </w:r>
      <w:r w:rsidRPr="001B5A99">
        <w:t>AS 4735 – 2003</w:t>
      </w:r>
      <w:r>
        <w:t xml:space="preserve">, and </w:t>
      </w:r>
      <w:r w:rsidRPr="001B5A99">
        <w:t>AS/NZS</w:t>
      </w:r>
      <w:r>
        <w:t> </w:t>
      </w:r>
      <w:r w:rsidRPr="001B5A99">
        <w:t>3001:2008</w:t>
      </w:r>
      <w:r>
        <w:t>.</w:t>
      </w:r>
      <w:r w:rsidR="00D46B40">
        <w:t xml:space="preserve">  AS 4177.5 – 2004, ISO 1185:2003, SAE J560 and AS 4735 – </w:t>
      </w:r>
      <w:r w:rsidR="00D46B40" w:rsidRPr="001B5A99">
        <w:t>2003</w:t>
      </w:r>
      <w:r w:rsidR="00D46B40">
        <w:t xml:space="preserve"> </w:t>
      </w:r>
      <w:r w:rsidR="000E1C0C">
        <w:t xml:space="preserve">are standards for electrical connectors used to power/operate prescribed lighting and light signalling devices on towed trailers.  </w:t>
      </w:r>
      <w:r w:rsidR="00B74E12" w:rsidRPr="001B5A99">
        <w:t>AS/NZS</w:t>
      </w:r>
      <w:r w:rsidR="00B74E12">
        <w:t> </w:t>
      </w:r>
      <w:r w:rsidR="00B74E12" w:rsidRPr="001B5A99">
        <w:t>3001:2008</w:t>
      </w:r>
      <w:r w:rsidR="00B74E12">
        <w:t xml:space="preserve"> specifies requirements for </w:t>
      </w:r>
      <w:r w:rsidR="00820D04">
        <w:t xml:space="preserve">electrical installations intended to provide a power supply for transportable structures </w:t>
      </w:r>
      <w:r w:rsidR="00D97218">
        <w:t xml:space="preserve">(e.g. caravans, motorhomes) </w:t>
      </w:r>
      <w:r w:rsidR="00820D04">
        <w:t xml:space="preserve">by a socket-outlet and plug arrangement as well as </w:t>
      </w:r>
      <w:r w:rsidR="00B74E12">
        <w:t>the internal electrical wiring of transportable structures.</w:t>
      </w:r>
    </w:p>
    <w:p w14:paraId="11E27A76" w14:textId="59F7A784" w:rsidR="00912241" w:rsidRDefault="00912241" w:rsidP="00912241">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t>each of the above standards incorporated by reference</w:t>
      </w:r>
      <w:r w:rsidR="00DC5135">
        <w:t>,</w:t>
      </w:r>
      <w:r>
        <w:t xml:space="preserve"> is</w:t>
      </w:r>
      <w:r w:rsidRPr="005B0C81">
        <w:t xml:space="preserve"> incorporated as in force at the commencement of the Determination.</w:t>
      </w:r>
    </w:p>
    <w:p w14:paraId="36467F09" w14:textId="38CB7A4E" w:rsidR="00312C38" w:rsidRDefault="00312C38" w:rsidP="00AD5092">
      <w:r>
        <w:t xml:space="preserve">Clause 10 of this standard incorporates a reference to any edition of </w:t>
      </w:r>
      <w:r w:rsidRPr="00BD5076">
        <w:t xml:space="preserve">the </w:t>
      </w:r>
      <w:r>
        <w:t xml:space="preserve">United States Federal Motor Vehicle Safety Standard No. 106 (FMVSS 106) </w:t>
      </w:r>
      <w:r w:rsidRPr="008E78C8">
        <w:t>in force between 1 October 2010 and the commencement of this rule</w:t>
      </w:r>
      <w:r>
        <w:t>.</w:t>
      </w:r>
      <w:r w:rsidR="00AD5092">
        <w:t xml:space="preserve">  This standard specifies labelling and performance requirements for motor vehicle brake hose, brake hose assemblies, and brake hose end fittings.</w:t>
      </w:r>
    </w:p>
    <w:p w14:paraId="7C406512" w14:textId="70DC6A50" w:rsidR="00912241" w:rsidRDefault="00912241" w:rsidP="008E277C">
      <w:r>
        <w:t xml:space="preserve">Clause 22 of this standard incorporates a reference to the Canadian Motor Vehicle Safety Standard (CMVSS) No. 505 </w:t>
      </w:r>
      <w:r w:rsidR="003F329D">
        <w:t xml:space="preserve">as </w:t>
      </w:r>
      <w:r>
        <w:t>in force as of 1 October 2007.</w:t>
      </w:r>
      <w:r w:rsidR="002F06F1">
        <w:t xml:space="preserve">  This standard specifies static stability requirements for three-wheeled vehicles (motor tricycles).</w:t>
      </w:r>
    </w:p>
    <w:p w14:paraId="6C4AB8F3" w14:textId="6E5F7CE5" w:rsidR="009F2E5D" w:rsidRDefault="009F2E5D" w:rsidP="009F2E5D">
      <w:r>
        <w:t xml:space="preserve">FMVSS </w:t>
      </w:r>
      <w:r w:rsidR="00A53164">
        <w:t xml:space="preserve">106 and FMVSS </w:t>
      </w:r>
      <w:r>
        <w:t xml:space="preserve">118 </w:t>
      </w:r>
      <w:r w:rsidRPr="009867AF">
        <w:t>may be freely</w:t>
      </w:r>
      <w:r>
        <w:t xml:space="preserve"> accessed online through the US Government Publishing Office</w:t>
      </w:r>
      <w:r w:rsidR="00E5622C">
        <w:t>’s</w:t>
      </w:r>
      <w:r>
        <w:t xml:space="preserve"> Federal Digital System.  The website is </w:t>
      </w:r>
      <w:r w:rsidRPr="002C36F6">
        <w:rPr>
          <w:b/>
        </w:rPr>
        <w:t>www.gpo.gov/fdsys/</w:t>
      </w:r>
      <w:r>
        <w:t xml:space="preserve"> (note: to retrieve the 10-1-17 edition of FMVSS 118 by citation, users should input ‘Code of Federal Regulations’ for the collection, ‘2017’ for </w:t>
      </w:r>
      <w:r w:rsidR="0026424E">
        <w:t xml:space="preserve">the </w:t>
      </w:r>
      <w:r>
        <w:t>year, ‘49’ for the title number, ‘571’ for the part</w:t>
      </w:r>
      <w:r w:rsidR="001A195B">
        <w:t>,</w:t>
      </w:r>
      <w:r>
        <w:t xml:space="preserve"> and </w:t>
      </w:r>
      <w:r w:rsidR="009326A4">
        <w:t>118</w:t>
      </w:r>
      <w:r>
        <w:t xml:space="preserve"> for the section).</w:t>
      </w:r>
    </w:p>
    <w:p w14:paraId="32D5FCE1" w14:textId="42169B87" w:rsidR="00165D6E" w:rsidRPr="00601B0E" w:rsidRDefault="00165D6E" w:rsidP="00165D6E">
      <w:r>
        <w:t xml:space="preserve">ISO 1185:2003 and ISO 4000-1:2015 </w:t>
      </w:r>
      <w:r w:rsidRPr="00601B0E">
        <w:t>are available for purchase only through the International Organization for Standardization (ISO) and various associated national standards bodies.  Vehicle manufacturers</w:t>
      </w:r>
      <w:r w:rsidR="00C1710C">
        <w:t>, component suppliers</w:t>
      </w:r>
      <w:r w:rsidRPr="00601B0E">
        <w:t xml:space="preserve"> and test facilities </w:t>
      </w:r>
      <w:r>
        <w:t xml:space="preserve">routinely </w:t>
      </w:r>
      <w:r w:rsidRPr="00601B0E">
        <w:t>access these standards as part of their professional library.</w:t>
      </w:r>
    </w:p>
    <w:p w14:paraId="6FECE6DB" w14:textId="32EAEFCE" w:rsidR="00165D6E" w:rsidRDefault="00C1710C" w:rsidP="00C1710C">
      <w:r>
        <w:t xml:space="preserve">The tyre </w:t>
      </w:r>
      <w:r w:rsidR="0032755D">
        <w:t xml:space="preserve">and rim </w:t>
      </w:r>
      <w:r>
        <w:t xml:space="preserve">standards manuals/year books referenced in clause 19 of this standard </w:t>
      </w:r>
      <w:r w:rsidRPr="00601B0E">
        <w:t>are available for purchase only through</w:t>
      </w:r>
      <w:r>
        <w:t xml:space="preserve"> each respective regional or national tyre association.  </w:t>
      </w:r>
      <w:r w:rsidRPr="00601B0E">
        <w:t>Vehicle manufacturers</w:t>
      </w:r>
      <w:r>
        <w:t xml:space="preserve">, tyre </w:t>
      </w:r>
      <w:r w:rsidR="00BB3E7F">
        <w:t>manufacturers</w:t>
      </w:r>
      <w:r w:rsidRPr="00601B0E">
        <w:t xml:space="preserve"> and test facilities access these standards </w:t>
      </w:r>
      <w:r w:rsidR="0032755D">
        <w:t xml:space="preserve">manuals </w:t>
      </w:r>
      <w:r w:rsidRPr="00601B0E">
        <w:t>as part of their professional library.</w:t>
      </w:r>
    </w:p>
    <w:p w14:paraId="19CA8C9C" w14:textId="51EB4223" w:rsidR="00C1710C" w:rsidRDefault="00C1710C" w:rsidP="00C1710C">
      <w:r>
        <w:lastRenderedPageBreak/>
        <w:t xml:space="preserve">AS 4177.5 – 2004, </w:t>
      </w:r>
      <w:r w:rsidRPr="001B5A99">
        <w:t>AS 4735 – 2003</w:t>
      </w:r>
      <w:r>
        <w:t xml:space="preserve"> and </w:t>
      </w:r>
      <w:r w:rsidRPr="001B5A99">
        <w:t>AS/NZS</w:t>
      </w:r>
      <w:r>
        <w:t> </w:t>
      </w:r>
      <w:r w:rsidRPr="001B5A99">
        <w:t>3001:2008</w:t>
      </w:r>
      <w:r>
        <w:t xml:space="preserve"> are </w:t>
      </w:r>
      <w:r w:rsidRPr="00724D6D">
        <w:t>available for purchase only through SAI Global.  Vehicle manufacturers</w:t>
      </w:r>
      <w:r>
        <w:t>, component suppliers</w:t>
      </w:r>
      <w:r w:rsidRPr="00724D6D">
        <w:t xml:space="preserve"> and test facilities access th</w:t>
      </w:r>
      <w:r>
        <w:t>ese</w:t>
      </w:r>
      <w:r w:rsidRPr="00724D6D">
        <w:t xml:space="preserve"> standard</w:t>
      </w:r>
      <w:r>
        <w:t>s</w:t>
      </w:r>
      <w:r w:rsidRPr="00724D6D">
        <w:t xml:space="preserve"> as part of their professional library</w:t>
      </w:r>
      <w:r>
        <w:t>.</w:t>
      </w:r>
    </w:p>
    <w:p w14:paraId="7BCC4B85" w14:textId="3ED40C9B" w:rsidR="00197FAB" w:rsidRDefault="0032755D" w:rsidP="00197FAB">
      <w:r>
        <w:t xml:space="preserve">SAE J560 – </w:t>
      </w:r>
      <w:r w:rsidRPr="001B5A99">
        <w:t>2016-04-01 version</w:t>
      </w:r>
      <w:r>
        <w:t xml:space="preserve"> </w:t>
      </w:r>
      <w:r w:rsidR="00197FAB">
        <w:t xml:space="preserve">is </w:t>
      </w:r>
      <w:r w:rsidR="00197FAB" w:rsidRPr="00724D6D">
        <w:t>available for purchase only through</w:t>
      </w:r>
      <w:r w:rsidR="00197FAB">
        <w:t xml:space="preserve"> SAE International.  </w:t>
      </w:r>
      <w:r w:rsidR="00197FAB" w:rsidRPr="00724D6D">
        <w:t>Vehicle manufacturers</w:t>
      </w:r>
      <w:r w:rsidR="00197FAB">
        <w:t>, component suppliers</w:t>
      </w:r>
      <w:r w:rsidR="00197FAB" w:rsidRPr="00724D6D">
        <w:t xml:space="preserve"> and test facilities access th</w:t>
      </w:r>
      <w:r w:rsidR="00197FAB">
        <w:t>is</w:t>
      </w:r>
      <w:r w:rsidR="00197FAB" w:rsidRPr="00724D6D">
        <w:t xml:space="preserve"> standard as part of their professional library</w:t>
      </w:r>
      <w:r w:rsidR="00197FAB">
        <w:t>.</w:t>
      </w:r>
    </w:p>
    <w:p w14:paraId="57F310A6" w14:textId="5DB75C90" w:rsidR="00C1710C" w:rsidRDefault="008F3663" w:rsidP="00C1710C">
      <w:r>
        <w:t xml:space="preserve">CMVSS 505 </w:t>
      </w:r>
      <w:r w:rsidR="00984BCF">
        <w:t xml:space="preserve">as </w:t>
      </w:r>
      <w:r w:rsidR="00463F3B">
        <w:t xml:space="preserve">in force as of 1 October 2007 </w:t>
      </w:r>
      <w:r w:rsidRPr="009867AF">
        <w:t>may be freely</w:t>
      </w:r>
      <w:r>
        <w:t xml:space="preserve"> accessed online through </w:t>
      </w:r>
      <w:r w:rsidR="00463F3B">
        <w:t xml:space="preserve">Transport Canada at </w:t>
      </w:r>
      <w:r w:rsidR="00463F3B" w:rsidRPr="00463F3B">
        <w:rPr>
          <w:b/>
        </w:rPr>
        <w:t>www.tc.gc.ca/eng/acts-regulations/menu.htm</w:t>
      </w:r>
      <w:r w:rsidR="00463F3B">
        <w:t>.</w:t>
      </w:r>
    </w:p>
    <w:p w14:paraId="233F7850" w14:textId="50288CEC" w:rsidR="00ED4DF9" w:rsidRPr="005D21F5" w:rsidRDefault="00A82946" w:rsidP="00F04B66">
      <w:pPr>
        <w:pStyle w:val="Heading1"/>
        <w:keepNext/>
      </w:pPr>
      <w:bookmarkStart w:id="43" w:name="_Toc503965072"/>
      <w:bookmarkStart w:id="44" w:name="_Toc256000004"/>
      <w:bookmarkStart w:id="45" w:name="_Toc317158947"/>
      <w:bookmarkStart w:id="46" w:name="_Toc317171386"/>
      <w:bookmarkStart w:id="47" w:name="_Toc317171512"/>
      <w:bookmarkStart w:id="48" w:name="_Toc377388629"/>
      <w:bookmarkStart w:id="49" w:name="_Toc393194583"/>
      <w:bookmarkStart w:id="50" w:name="_Toc409446967"/>
      <w:bookmarkStart w:id="51" w:name="_Toc433288576"/>
      <w:bookmarkStart w:id="52" w:name="_Toc510516731"/>
      <w:bookmarkStart w:id="53" w:name="_Toc525663583"/>
      <w:bookmarkStart w:id="54" w:name="_Toc525826795"/>
      <w:bookmarkStart w:id="55" w:name="_Toc167864618"/>
      <w:bookmarkStart w:id="56" w:name="_Toc390430618"/>
      <w:bookmarkStart w:id="57" w:name="_Toc318271645"/>
      <w:bookmarkStart w:id="58" w:name="_Toc317171517"/>
      <w:bookmarkStart w:id="59" w:name="_Toc317171391"/>
      <w:bookmarkStart w:id="60" w:name="_Toc317158948"/>
      <w:bookmarkStart w:id="61" w:name="_Toc318272904"/>
      <w:bookmarkStart w:id="62" w:name="_Toc319402529"/>
      <w:bookmarkStart w:id="63" w:name="_Toc390430619"/>
      <w:bookmarkEnd w:id="36"/>
      <w:bookmarkEnd w:id="43"/>
      <w:r>
        <w:t>BEST PRACTICE REGULATION</w:t>
      </w:r>
      <w:bookmarkEnd w:id="44"/>
      <w:bookmarkEnd w:id="45"/>
      <w:bookmarkEnd w:id="46"/>
      <w:bookmarkEnd w:id="47"/>
      <w:bookmarkEnd w:id="48"/>
      <w:bookmarkEnd w:id="49"/>
      <w:bookmarkEnd w:id="50"/>
      <w:bookmarkEnd w:id="51"/>
      <w:bookmarkEnd w:id="52"/>
      <w:bookmarkEnd w:id="53"/>
      <w:bookmarkEnd w:id="54"/>
    </w:p>
    <w:p w14:paraId="233F7851" w14:textId="1D8EF35B" w:rsidR="00ED4DF9" w:rsidRPr="00C554E3" w:rsidRDefault="00E95CC6" w:rsidP="006D0E3C">
      <w:pPr>
        <w:pStyle w:val="Heading2"/>
        <w:keepNext/>
      </w:pPr>
      <w:bookmarkStart w:id="64" w:name="_Toc525663584"/>
      <w:bookmarkStart w:id="65" w:name="_Toc525826796"/>
      <w:r>
        <w:t>Benefits and Costs</w:t>
      </w:r>
      <w:bookmarkEnd w:id="64"/>
      <w:bookmarkEnd w:id="65"/>
    </w:p>
    <w:p w14:paraId="58ABCCAA" w14:textId="70796DF6" w:rsidR="00C554E3" w:rsidRPr="00AA3C7B" w:rsidRDefault="008E277C" w:rsidP="00F04B66">
      <w:r w:rsidRPr="000B0E91">
        <w:t xml:space="preserve">This vehicle standard will have </w:t>
      </w:r>
      <w:r w:rsidR="00A60CC1">
        <w:t>a neutral</w:t>
      </w:r>
      <w:r w:rsidRPr="000B0E91">
        <w:t xml:space="preserve"> regulatory impact, including in terms of both the benefits and costs of regulation.</w:t>
      </w:r>
    </w:p>
    <w:p w14:paraId="233F7853" w14:textId="0D809559" w:rsidR="00ED4DF9" w:rsidRDefault="00E86965" w:rsidP="000F20D6">
      <w:pPr>
        <w:pStyle w:val="Heading2"/>
      </w:pPr>
      <w:bookmarkStart w:id="66" w:name="_Toc256000006"/>
      <w:bookmarkStart w:id="67" w:name="_Toc167864617"/>
      <w:bookmarkStart w:id="68" w:name="_Toc317171388"/>
      <w:bookmarkStart w:id="69" w:name="_Toc317171514"/>
      <w:bookmarkStart w:id="70" w:name="_Toc377388631"/>
      <w:bookmarkStart w:id="71" w:name="_Toc393194585"/>
      <w:bookmarkStart w:id="72" w:name="_Toc409446969"/>
      <w:bookmarkStart w:id="73" w:name="_Toc433288578"/>
      <w:bookmarkStart w:id="74" w:name="_Toc510516733"/>
      <w:bookmarkStart w:id="75" w:name="_Toc525663585"/>
      <w:bookmarkStart w:id="76" w:name="_Toc525826797"/>
      <w:r>
        <w:t>General Consultation Arrangements</w:t>
      </w:r>
      <w:bookmarkEnd w:id="66"/>
      <w:bookmarkEnd w:id="67"/>
      <w:bookmarkEnd w:id="68"/>
      <w:bookmarkEnd w:id="69"/>
      <w:bookmarkEnd w:id="70"/>
      <w:bookmarkEnd w:id="71"/>
      <w:bookmarkEnd w:id="72"/>
      <w:bookmarkEnd w:id="73"/>
      <w:bookmarkEnd w:id="74"/>
      <w:bookmarkEnd w:id="75"/>
      <w:bookmarkEnd w:id="76"/>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4F4B70">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7C2114" w:rsidRDefault="008E277C" w:rsidP="007C2114">
      <w:pPr>
        <w:pStyle w:val="BulletLis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7C2114" w:rsidRDefault="008E277C" w:rsidP="007C2114">
      <w:pPr>
        <w:pStyle w:val="BulletLis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7C2114" w:rsidRDefault="008E277C" w:rsidP="007C2114">
      <w:pPr>
        <w:pStyle w:val="BulletList"/>
      </w:pPr>
      <w:r w:rsidRPr="007C2114">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7C2114" w:rsidRDefault="008E277C" w:rsidP="007C2114">
      <w:pPr>
        <w:pStyle w:val="BulletList"/>
      </w:pPr>
      <w:r w:rsidRPr="007C2114">
        <w:t>The Council consists of the Australian, state/territory and New Zealand Ministers with responsibility for transport and infrastructure issues.</w:t>
      </w:r>
    </w:p>
    <w:p w14:paraId="054024C5" w14:textId="77777777" w:rsidR="008E277C" w:rsidRPr="00933AA9" w:rsidRDefault="008E277C" w:rsidP="008E277C">
      <w:r w:rsidRPr="00933AA9">
        <w:lastRenderedPageBreak/>
        <w:t xml:space="preserve">Editorial changes and changes to correct errors are processed by the </w:t>
      </w:r>
      <w:r>
        <w:t>Department of Infrastructure, Regional Development and Cities (the Department)</w:t>
      </w:r>
      <w:r w:rsidRPr="00933AA9">
        <w:t xml:space="preserve">. </w:t>
      </w:r>
      <w:r>
        <w:t xml:space="preserve"> </w:t>
      </w:r>
      <w:r w:rsidRPr="00933AA9">
        <w:t>This approach is only used where the amendments do not vary the intent of the vehicle standard.</w:t>
      </w:r>
    </w:p>
    <w:p w14:paraId="18EE23FE" w14:textId="4E2CF78B" w:rsidR="008E277C" w:rsidRPr="008E277C" w:rsidRDefault="008E277C" w:rsidP="008E277C">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77" w:name="_Toc256000007"/>
      <w:bookmarkStart w:id="78" w:name="_Toc317171389"/>
      <w:bookmarkStart w:id="79" w:name="_Toc317171515"/>
      <w:bookmarkStart w:id="80" w:name="_Toc377388632"/>
      <w:bookmarkStart w:id="81" w:name="_Toc393194586"/>
      <w:bookmarkStart w:id="82" w:name="_Toc409446970"/>
      <w:bookmarkStart w:id="83" w:name="_Toc433288579"/>
      <w:bookmarkStart w:id="84" w:name="_Toc510516734"/>
      <w:bookmarkStart w:id="85" w:name="_Toc525663586"/>
      <w:bookmarkStart w:id="86" w:name="_Toc525826798"/>
      <w:r w:rsidRPr="00875240">
        <w:t>Specific Consultation Arrangements for this Vehicle Standard</w:t>
      </w:r>
      <w:bookmarkEnd w:id="77"/>
      <w:bookmarkEnd w:id="78"/>
      <w:bookmarkEnd w:id="79"/>
      <w:bookmarkEnd w:id="80"/>
      <w:bookmarkEnd w:id="81"/>
      <w:bookmarkEnd w:id="82"/>
      <w:bookmarkEnd w:id="83"/>
      <w:bookmarkEnd w:id="84"/>
      <w:bookmarkEnd w:id="85"/>
      <w:bookmarkEnd w:id="86"/>
    </w:p>
    <w:p w14:paraId="48F4678F" w14:textId="793A8942" w:rsidR="008E277C" w:rsidRDefault="0086595D" w:rsidP="008E277C">
      <w:r w:rsidRPr="00346F62">
        <w:t xml:space="preserve">This standard was proposed, discussed and supported </w:t>
      </w:r>
      <w:r>
        <w:t>over the period 2015-18</w:t>
      </w:r>
      <w:r w:rsidRPr="00346F62">
        <w:t xml:space="preserve"> at meetings of </w:t>
      </w:r>
      <w:r>
        <w:t xml:space="preserve">the </w:t>
      </w:r>
      <w:r w:rsidRPr="00346F62">
        <w:t>AMVCB, TLG and SVSEG.</w:t>
      </w:r>
      <w:r w:rsidR="008E277C">
        <w:t xml:space="preserve">  It was acknowledged that these groups are at the appropriate level to consider this type of change.  A draft ADR was also provided in Ju</w:t>
      </w:r>
      <w:r>
        <w:t>ly</w:t>
      </w:r>
      <w:r w:rsidR="008E277C">
        <w:t xml:space="preserve"> 2018 as part of the consultation process to the AMVCB and the TLG.</w:t>
      </w:r>
    </w:p>
    <w:p w14:paraId="7F29331D" w14:textId="6D9EAD85" w:rsidR="008E277C" w:rsidRDefault="008E277C" w:rsidP="008E277C">
      <w:pPr>
        <w:rPr>
          <w:highlight w:val="yellow"/>
        </w:rPr>
      </w:pPr>
      <w:r>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w:t>
      </w:r>
      <w:r w:rsidR="00A60CC1">
        <w:t>a neutral</w:t>
      </w:r>
      <w:r>
        <w:t xml:space="preserve"> regulatory impact.  The OBPR reference number is </w:t>
      </w:r>
      <w:r w:rsidR="00022196">
        <w:t>24176</w:t>
      </w:r>
      <w:r>
        <w:t>.</w:t>
      </w:r>
    </w:p>
    <w:p w14:paraId="233F7863" w14:textId="62B70E94" w:rsidR="00586887" w:rsidRPr="00CA7971" w:rsidRDefault="00A82946" w:rsidP="000F20D6">
      <w:pPr>
        <w:pStyle w:val="Heading1"/>
      </w:pPr>
      <w:bookmarkStart w:id="87" w:name="_Toc256000009"/>
      <w:bookmarkStart w:id="88" w:name="_Toc409446972"/>
      <w:bookmarkStart w:id="89" w:name="_Toc433288581"/>
      <w:bookmarkStart w:id="90" w:name="_Toc510516736"/>
      <w:bookmarkStart w:id="91" w:name="_Toc523932298"/>
      <w:bookmarkStart w:id="92" w:name="_Toc525663587"/>
      <w:bookmarkStart w:id="93" w:name="_Toc525826799"/>
      <w:bookmarkEnd w:id="55"/>
      <w:bookmarkEnd w:id="56"/>
      <w:r w:rsidRPr="00CA7971">
        <w:t>STATEMENT OF COMPATIBILITY WITH HUMAN RIGHTS</w:t>
      </w:r>
      <w:bookmarkEnd w:id="57"/>
      <w:bookmarkEnd w:id="58"/>
      <w:bookmarkEnd w:id="59"/>
      <w:bookmarkEnd w:id="60"/>
      <w:bookmarkEnd w:id="61"/>
      <w:bookmarkEnd w:id="62"/>
      <w:bookmarkEnd w:id="63"/>
      <w:bookmarkEnd w:id="87"/>
      <w:bookmarkEnd w:id="88"/>
      <w:bookmarkEnd w:id="89"/>
      <w:bookmarkEnd w:id="90"/>
      <w:bookmarkEnd w:id="91"/>
      <w:bookmarkEnd w:id="92"/>
      <w:bookmarkEnd w:id="93"/>
    </w:p>
    <w:p w14:paraId="233F7864" w14:textId="161B5A05" w:rsidR="00586887" w:rsidRPr="00CA7971" w:rsidRDefault="00E86965" w:rsidP="008E277C">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0F20D6">
      <w:pPr>
        <w:pStyle w:val="Heading2"/>
      </w:pPr>
      <w:bookmarkStart w:id="94" w:name="_Toc256000010"/>
      <w:bookmarkStart w:id="95" w:name="_Toc318271646"/>
      <w:bookmarkStart w:id="96" w:name="_Toc317171518"/>
      <w:bookmarkStart w:id="97" w:name="_Toc317171392"/>
      <w:bookmarkStart w:id="98" w:name="_Toc318272905"/>
      <w:bookmarkStart w:id="99" w:name="_Toc319402530"/>
      <w:bookmarkStart w:id="100" w:name="_Toc390430620"/>
      <w:bookmarkStart w:id="101" w:name="_Toc409446973"/>
      <w:bookmarkStart w:id="102" w:name="_Toc433288582"/>
      <w:bookmarkStart w:id="103" w:name="_Toc510516737"/>
      <w:bookmarkStart w:id="104" w:name="_Toc525663588"/>
      <w:bookmarkStart w:id="105" w:name="_Toc525826800"/>
      <w:r w:rsidRPr="00CA7971">
        <w:t>Overview of the Legislative Instrument</w:t>
      </w:r>
      <w:bookmarkEnd w:id="94"/>
      <w:bookmarkEnd w:id="95"/>
      <w:bookmarkEnd w:id="96"/>
      <w:bookmarkEnd w:id="97"/>
      <w:bookmarkEnd w:id="98"/>
      <w:bookmarkEnd w:id="99"/>
      <w:bookmarkEnd w:id="100"/>
      <w:bookmarkEnd w:id="101"/>
      <w:bookmarkEnd w:id="102"/>
      <w:bookmarkEnd w:id="103"/>
      <w:bookmarkEnd w:id="104"/>
      <w:bookmarkEnd w:id="105"/>
    </w:p>
    <w:p w14:paraId="233F7866" w14:textId="7022F645" w:rsidR="00586887" w:rsidRPr="00CA7971" w:rsidRDefault="00A86F9B" w:rsidP="00A86F9B">
      <w:r>
        <w:t xml:space="preserve">This </w:t>
      </w:r>
      <w:r w:rsidRPr="00A86F9B">
        <w:t xml:space="preserve">vehicle standard prescribes </w:t>
      </w:r>
      <w:r w:rsidR="00B92ED4">
        <w:rPr>
          <w:rFonts w:eastAsiaTheme="minorHAnsi"/>
        </w:rPr>
        <w:t xml:space="preserve">general </w:t>
      </w:r>
      <w:r w:rsidR="00B92ED4" w:rsidRPr="001A7CC5">
        <w:rPr>
          <w:rFonts w:eastAsiaTheme="minorHAnsi"/>
        </w:rPr>
        <w:t>design and construction requirements to ensure safe operation of vehicles</w:t>
      </w:r>
      <w:r w:rsidRPr="00A86F9B">
        <w:t>.</w:t>
      </w:r>
    </w:p>
    <w:p w14:paraId="233F7867" w14:textId="36ED1240" w:rsidR="00586887" w:rsidRPr="00CA7971" w:rsidRDefault="00E86965" w:rsidP="000F20D6">
      <w:pPr>
        <w:pStyle w:val="Heading2"/>
      </w:pPr>
      <w:bookmarkStart w:id="106" w:name="_Toc256000011"/>
      <w:bookmarkStart w:id="107" w:name="_Toc318271647"/>
      <w:bookmarkStart w:id="108" w:name="_Toc317171519"/>
      <w:bookmarkStart w:id="109" w:name="_Toc317171393"/>
      <w:bookmarkStart w:id="110" w:name="_Toc318272906"/>
      <w:bookmarkStart w:id="111" w:name="_Toc319402531"/>
      <w:bookmarkStart w:id="112" w:name="_Toc390430621"/>
      <w:bookmarkStart w:id="113" w:name="_Toc409446974"/>
      <w:bookmarkStart w:id="114" w:name="_Toc433288583"/>
      <w:bookmarkStart w:id="115" w:name="_Toc510516738"/>
      <w:bookmarkStart w:id="116" w:name="_Toc525663589"/>
      <w:bookmarkStart w:id="117" w:name="_Toc525826801"/>
      <w:r w:rsidRPr="00CA7971">
        <w:t>Human Rights Implications</w:t>
      </w:r>
      <w:bookmarkEnd w:id="106"/>
      <w:bookmarkEnd w:id="107"/>
      <w:bookmarkEnd w:id="108"/>
      <w:bookmarkEnd w:id="109"/>
      <w:bookmarkEnd w:id="110"/>
      <w:bookmarkEnd w:id="111"/>
      <w:bookmarkEnd w:id="112"/>
      <w:bookmarkEnd w:id="113"/>
      <w:bookmarkEnd w:id="114"/>
      <w:bookmarkEnd w:id="115"/>
      <w:bookmarkEnd w:id="116"/>
      <w:bookmarkEnd w:id="117"/>
    </w:p>
    <w:p w14:paraId="233F7868" w14:textId="263A7FF0" w:rsidR="007C7E7E" w:rsidRPr="00C554E3" w:rsidRDefault="00250798" w:rsidP="00250798">
      <w:bookmarkStart w:id="118" w:name="_Toc319402532"/>
      <w:r w:rsidRPr="00250798">
        <w:t xml:space="preserve">ADR </w:t>
      </w:r>
      <w:r w:rsidR="00333EC2">
        <w:t>42/05</w:t>
      </w:r>
      <w:r w:rsidRPr="00250798">
        <w:t xml:space="preserve"> does not engage any of the human rights and freedoms recognised or declared in the international instruments listed in section 3 of the </w:t>
      </w:r>
      <w:r w:rsidRPr="00250798">
        <w:rPr>
          <w:i/>
        </w:rPr>
        <w:t>Human Rights (Parliamentary Scrutiny) Act 2011</w:t>
      </w:r>
      <w:r w:rsidRPr="00250798">
        <w:t>.</w:t>
      </w:r>
    </w:p>
    <w:p w14:paraId="233F7869" w14:textId="77777777" w:rsidR="00586887" w:rsidRPr="00C554E3" w:rsidRDefault="00E86965" w:rsidP="000F20D6">
      <w:pPr>
        <w:pStyle w:val="Heading2"/>
      </w:pPr>
      <w:bookmarkStart w:id="119" w:name="_Toc256000012"/>
      <w:bookmarkStart w:id="120" w:name="_Toc409446975"/>
      <w:bookmarkStart w:id="121" w:name="_Toc433288584"/>
      <w:bookmarkStart w:id="122" w:name="_Toc510516739"/>
      <w:bookmarkStart w:id="123" w:name="_Toc525663590"/>
      <w:bookmarkStart w:id="124" w:name="_Toc525826802"/>
      <w:r w:rsidRPr="00C554E3">
        <w:t>Conclusion</w:t>
      </w:r>
      <w:bookmarkEnd w:id="118"/>
      <w:bookmarkEnd w:id="119"/>
      <w:bookmarkEnd w:id="120"/>
      <w:bookmarkEnd w:id="121"/>
      <w:bookmarkEnd w:id="122"/>
      <w:bookmarkEnd w:id="123"/>
      <w:bookmarkEnd w:id="124"/>
    </w:p>
    <w:p w14:paraId="233F786A" w14:textId="5D650425" w:rsidR="002D7277" w:rsidRPr="007A3BB4" w:rsidRDefault="00250798" w:rsidP="008E277C">
      <w:r w:rsidRPr="00250798">
        <w:t xml:space="preserve">ADR </w:t>
      </w:r>
      <w:r w:rsidR="00333EC2">
        <w:t>42/05</w:t>
      </w:r>
      <w:r w:rsidRPr="00250798">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BA1A36" w:rsidP="008E277C">
    <w:pPr>
      <w:pStyle w:val="Footer"/>
    </w:pPr>
  </w:p>
  <w:p w14:paraId="233F7874" w14:textId="77777777" w:rsidR="00444B70" w:rsidRDefault="00BA1A36"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1E3DDC9" w:rsidR="006B2A4B" w:rsidRDefault="00E86965" w:rsidP="008E277C">
    <w:pPr>
      <w:pStyle w:val="Header"/>
    </w:pPr>
    <w:r>
      <w:fldChar w:fldCharType="begin"/>
    </w:r>
    <w:r>
      <w:instrText xml:space="preserve"> PAGE   \* MERGEFORMAT </w:instrText>
    </w:r>
    <w:r>
      <w:fldChar w:fldCharType="separate"/>
    </w:r>
    <w:r w:rsidR="00E33EFF">
      <w:rPr>
        <w:noProof/>
      </w:rPr>
      <w:t>6</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BA1A36"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DC3814" w:rsidRPr="008E277C" w14:paraId="7533FEDE" w14:textId="77777777" w:rsidTr="005D006E">
      <w:trPr>
        <w:trHeight w:val="432"/>
      </w:trPr>
      <w:tc>
        <w:tcPr>
          <w:tcW w:w="7996" w:type="dxa"/>
          <w:shd w:val="clear" w:color="auto" w:fill="auto"/>
          <w:vAlign w:val="center"/>
        </w:tcPr>
        <w:p w14:paraId="1A1336FD" w14:textId="77777777" w:rsidR="00DC3814" w:rsidRPr="008E277C" w:rsidRDefault="00DC3814" w:rsidP="008E277C">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6E31526D" w14:textId="72475D62" w:rsidR="00DC3814" w:rsidRPr="008E277C" w:rsidRDefault="00DC3814" w:rsidP="008E277C">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BA1A36">
            <w:rPr>
              <w:noProof/>
              <w:sz w:val="20"/>
              <w:szCs w:val="20"/>
            </w:rPr>
            <w:t>6</w:t>
          </w:r>
          <w:r w:rsidRPr="008E277C">
            <w:rPr>
              <w:sz w:val="20"/>
              <w:szCs w:val="20"/>
            </w:rPr>
            <w:fldChar w:fldCharType="end"/>
          </w:r>
        </w:p>
      </w:tc>
    </w:tr>
    <w:tr w:rsidR="00DC3814" w:rsidRPr="008E277C" w14:paraId="78A3664D" w14:textId="77777777" w:rsidTr="008E277C">
      <w:trPr>
        <w:trHeight w:val="240"/>
      </w:trPr>
      <w:tc>
        <w:tcPr>
          <w:tcW w:w="7996" w:type="dxa"/>
          <w:shd w:val="clear" w:color="auto" w:fill="auto"/>
          <w:vAlign w:val="center"/>
        </w:tcPr>
        <w:p w14:paraId="66C57605" w14:textId="78E214EC" w:rsidR="00DC3814" w:rsidRPr="008E277C" w:rsidRDefault="00DC3814" w:rsidP="008E277C">
          <w:pPr>
            <w:spacing w:before="0" w:after="0"/>
            <w:rPr>
              <w:sz w:val="20"/>
              <w:szCs w:val="20"/>
            </w:rPr>
          </w:pPr>
          <w:r w:rsidRPr="008E277C">
            <w:rPr>
              <w:sz w:val="20"/>
              <w:szCs w:val="20"/>
              <w:lang w:val="en-US"/>
            </w:rPr>
            <w:t>Vehicle Standard (</w:t>
          </w:r>
          <w:r w:rsidRPr="008E277C">
            <w:rPr>
              <w:sz w:val="20"/>
              <w:szCs w:val="20"/>
            </w:rPr>
            <w:t xml:space="preserve">Australian Design Rule </w:t>
          </w:r>
          <w:r w:rsidR="00333EC2">
            <w:rPr>
              <w:sz w:val="20"/>
              <w:szCs w:val="20"/>
              <w:lang w:val="en-US"/>
            </w:rPr>
            <w:t>42/05</w:t>
          </w:r>
          <w:r w:rsidRPr="008E277C">
            <w:rPr>
              <w:sz w:val="20"/>
              <w:szCs w:val="20"/>
            </w:rPr>
            <w:t xml:space="preserve"> </w:t>
          </w:r>
          <w:r w:rsidRPr="008E277C">
            <w:rPr>
              <w:sz w:val="20"/>
              <w:szCs w:val="20"/>
              <w:lang w:val="en-US"/>
            </w:rPr>
            <w:t xml:space="preserve">– </w:t>
          </w:r>
          <w:r w:rsidR="00333EC2">
            <w:rPr>
              <w:sz w:val="20"/>
              <w:szCs w:val="20"/>
              <w:lang w:val="en-US"/>
            </w:rPr>
            <w:t>General Safety Requirements</w:t>
          </w:r>
          <w:r w:rsidRPr="008E277C">
            <w:rPr>
              <w:sz w:val="20"/>
              <w:szCs w:val="20"/>
              <w:lang w:val="en-US"/>
            </w:rPr>
            <w:t>) 2018</w:t>
          </w:r>
        </w:p>
      </w:tc>
      <w:tc>
        <w:tcPr>
          <w:tcW w:w="316" w:type="dxa"/>
          <w:vMerge/>
          <w:shd w:val="clear" w:color="auto" w:fill="auto"/>
          <w:vAlign w:val="center"/>
        </w:tcPr>
        <w:p w14:paraId="404D82E5" w14:textId="77777777" w:rsidR="00DC3814" w:rsidRPr="008E277C" w:rsidRDefault="00DC3814" w:rsidP="008E277C">
          <w:pPr>
            <w:rPr>
              <w:sz w:val="20"/>
              <w:szCs w:val="20"/>
            </w:rPr>
          </w:pPr>
        </w:p>
      </w:tc>
    </w:tr>
  </w:tbl>
  <w:p w14:paraId="233F7876" w14:textId="0A331D41" w:rsidR="00541EF4" w:rsidRPr="008E277C" w:rsidRDefault="00BA1A36" w:rsidP="008E277C">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BA1A36"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77C8D704"/>
    <w:lvl w:ilvl="0" w:tplc="439C22B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lvlText w:val="%2."/>
      <w:lvlJc w:val="left"/>
      <w:pPr>
        <w:ind w:left="1666" w:hanging="1419"/>
      </w:pPr>
      <w:rPr>
        <w:rFonts w:ascii="Times New Roman" w:eastAsia="Times New Roman" w:hAnsi="Times New Roman" w:hint="default"/>
        <w:b/>
        <w:bCs/>
        <w:sz w:val="24"/>
        <w:szCs w:val="24"/>
      </w:rPr>
    </w:lvl>
    <w:lvl w:ilvl="2">
      <w:start w:val="1"/>
      <w:numFmt w:val="decimal"/>
      <w:lvlText w:val="%2.%3."/>
      <w:lvlJc w:val="left"/>
      <w:pPr>
        <w:ind w:left="1687" w:hanging="1440"/>
      </w:pPr>
      <w:rPr>
        <w:rFonts w:ascii="Times New Roman" w:eastAsia="Times New Roman" w:hAnsi="Times New Roman" w:hint="default"/>
        <w:b w:val="0"/>
        <w:sz w:val="24"/>
        <w:szCs w:val="24"/>
      </w:rPr>
    </w:lvl>
    <w:lvl w:ilvl="3">
      <w:start w:val="1"/>
      <w:numFmt w:val="decimal"/>
      <w:lvlText w:val="%2.%3.%4."/>
      <w:lvlJc w:val="left"/>
      <w:pPr>
        <w:ind w:left="1666" w:hanging="1419"/>
      </w:pPr>
      <w:rPr>
        <w:rFonts w:ascii="Times New Roman" w:eastAsia="Times New Roman" w:hAnsi="Times New Roman" w:hint="default"/>
        <w:sz w:val="24"/>
        <w:szCs w:val="24"/>
      </w:rPr>
    </w:lvl>
    <w:lvl w:ilvl="4">
      <w:start w:val="1"/>
      <w:numFmt w:val="decimal"/>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205"/>
    <w:rsid w:val="00016A2A"/>
    <w:rsid w:val="00022196"/>
    <w:rsid w:val="0003311E"/>
    <w:rsid w:val="000346C8"/>
    <w:rsid w:val="00050715"/>
    <w:rsid w:val="000568F2"/>
    <w:rsid w:val="00057B24"/>
    <w:rsid w:val="00063E09"/>
    <w:rsid w:val="0009214E"/>
    <w:rsid w:val="000A4306"/>
    <w:rsid w:val="000D0B95"/>
    <w:rsid w:val="000D5560"/>
    <w:rsid w:val="000E03C3"/>
    <w:rsid w:val="000E1C0C"/>
    <w:rsid w:val="000F20D6"/>
    <w:rsid w:val="000F3192"/>
    <w:rsid w:val="001070BA"/>
    <w:rsid w:val="00107419"/>
    <w:rsid w:val="00122C36"/>
    <w:rsid w:val="00127299"/>
    <w:rsid w:val="00140B77"/>
    <w:rsid w:val="0014579D"/>
    <w:rsid w:val="00147221"/>
    <w:rsid w:val="00151199"/>
    <w:rsid w:val="001621AE"/>
    <w:rsid w:val="00165D6E"/>
    <w:rsid w:val="00172BCC"/>
    <w:rsid w:val="00174634"/>
    <w:rsid w:val="00181972"/>
    <w:rsid w:val="00197FAB"/>
    <w:rsid w:val="001A195B"/>
    <w:rsid w:val="001A1961"/>
    <w:rsid w:val="001C170A"/>
    <w:rsid w:val="001C4A8F"/>
    <w:rsid w:val="001C4BD1"/>
    <w:rsid w:val="00205463"/>
    <w:rsid w:val="00214FE3"/>
    <w:rsid w:val="002264A7"/>
    <w:rsid w:val="00241F41"/>
    <w:rsid w:val="00247E68"/>
    <w:rsid w:val="00250798"/>
    <w:rsid w:val="002539EC"/>
    <w:rsid w:val="00262763"/>
    <w:rsid w:val="0026424E"/>
    <w:rsid w:val="00266B0F"/>
    <w:rsid w:val="002759DB"/>
    <w:rsid w:val="00281223"/>
    <w:rsid w:val="0028219D"/>
    <w:rsid w:val="00290BF6"/>
    <w:rsid w:val="00290D2F"/>
    <w:rsid w:val="002B36AC"/>
    <w:rsid w:val="002B4236"/>
    <w:rsid w:val="002C36F6"/>
    <w:rsid w:val="002D1FEA"/>
    <w:rsid w:val="002E4A72"/>
    <w:rsid w:val="002F06F1"/>
    <w:rsid w:val="0030740A"/>
    <w:rsid w:val="003107DA"/>
    <w:rsid w:val="00311F2F"/>
    <w:rsid w:val="00312C38"/>
    <w:rsid w:val="00316972"/>
    <w:rsid w:val="0032288B"/>
    <w:rsid w:val="0032755D"/>
    <w:rsid w:val="00333EC2"/>
    <w:rsid w:val="00362A00"/>
    <w:rsid w:val="00367493"/>
    <w:rsid w:val="0038464F"/>
    <w:rsid w:val="003908DD"/>
    <w:rsid w:val="003A4A5D"/>
    <w:rsid w:val="003B67BD"/>
    <w:rsid w:val="003C1F9A"/>
    <w:rsid w:val="003E6E24"/>
    <w:rsid w:val="003F329D"/>
    <w:rsid w:val="004015B3"/>
    <w:rsid w:val="0041395E"/>
    <w:rsid w:val="00421960"/>
    <w:rsid w:val="00426D1D"/>
    <w:rsid w:val="00437E71"/>
    <w:rsid w:val="00441E02"/>
    <w:rsid w:val="00461EB2"/>
    <w:rsid w:val="00463F3B"/>
    <w:rsid w:val="00484A49"/>
    <w:rsid w:val="004A1441"/>
    <w:rsid w:val="004A7B95"/>
    <w:rsid w:val="004C3003"/>
    <w:rsid w:val="004C7F6B"/>
    <w:rsid w:val="004F4B70"/>
    <w:rsid w:val="004F6A11"/>
    <w:rsid w:val="00516DBF"/>
    <w:rsid w:val="005244EB"/>
    <w:rsid w:val="00525783"/>
    <w:rsid w:val="005358EC"/>
    <w:rsid w:val="00554E91"/>
    <w:rsid w:val="00560227"/>
    <w:rsid w:val="00562465"/>
    <w:rsid w:val="005726BE"/>
    <w:rsid w:val="005A5C3E"/>
    <w:rsid w:val="005B72C6"/>
    <w:rsid w:val="005B7564"/>
    <w:rsid w:val="005C1259"/>
    <w:rsid w:val="005D2EFC"/>
    <w:rsid w:val="005E307C"/>
    <w:rsid w:val="005E3521"/>
    <w:rsid w:val="005E614D"/>
    <w:rsid w:val="00606912"/>
    <w:rsid w:val="00622697"/>
    <w:rsid w:val="00644133"/>
    <w:rsid w:val="00685316"/>
    <w:rsid w:val="0069386A"/>
    <w:rsid w:val="00697260"/>
    <w:rsid w:val="006A2FBB"/>
    <w:rsid w:val="006A3F8D"/>
    <w:rsid w:val="006B4790"/>
    <w:rsid w:val="006C2184"/>
    <w:rsid w:val="006C6CBB"/>
    <w:rsid w:val="006D0E3C"/>
    <w:rsid w:val="006D4D5A"/>
    <w:rsid w:val="006D5266"/>
    <w:rsid w:val="006E7901"/>
    <w:rsid w:val="00705B8C"/>
    <w:rsid w:val="00716BCB"/>
    <w:rsid w:val="007179D4"/>
    <w:rsid w:val="00724D6D"/>
    <w:rsid w:val="0073727A"/>
    <w:rsid w:val="00747017"/>
    <w:rsid w:val="00747C06"/>
    <w:rsid w:val="0075609C"/>
    <w:rsid w:val="00771F7B"/>
    <w:rsid w:val="00776FDC"/>
    <w:rsid w:val="00792147"/>
    <w:rsid w:val="007C2114"/>
    <w:rsid w:val="007E0985"/>
    <w:rsid w:val="007E3BEA"/>
    <w:rsid w:val="00806DA6"/>
    <w:rsid w:val="00820D04"/>
    <w:rsid w:val="00821CE3"/>
    <w:rsid w:val="00822CAB"/>
    <w:rsid w:val="00826AE7"/>
    <w:rsid w:val="00833B1A"/>
    <w:rsid w:val="00840C2B"/>
    <w:rsid w:val="008542F5"/>
    <w:rsid w:val="0086595D"/>
    <w:rsid w:val="00885218"/>
    <w:rsid w:val="008B2F4B"/>
    <w:rsid w:val="008B3AE3"/>
    <w:rsid w:val="008B47D9"/>
    <w:rsid w:val="008C074A"/>
    <w:rsid w:val="008C72FB"/>
    <w:rsid w:val="008D0EAB"/>
    <w:rsid w:val="008D3950"/>
    <w:rsid w:val="008E277C"/>
    <w:rsid w:val="008F3663"/>
    <w:rsid w:val="00906328"/>
    <w:rsid w:val="00912241"/>
    <w:rsid w:val="009178B7"/>
    <w:rsid w:val="009326A4"/>
    <w:rsid w:val="00936F85"/>
    <w:rsid w:val="009415D1"/>
    <w:rsid w:val="00943ADD"/>
    <w:rsid w:val="0094474A"/>
    <w:rsid w:val="00944CE3"/>
    <w:rsid w:val="00955692"/>
    <w:rsid w:val="009736A4"/>
    <w:rsid w:val="009758A7"/>
    <w:rsid w:val="00984BCF"/>
    <w:rsid w:val="00986706"/>
    <w:rsid w:val="00996FBB"/>
    <w:rsid w:val="009B2CC2"/>
    <w:rsid w:val="009C7DB4"/>
    <w:rsid w:val="009D4400"/>
    <w:rsid w:val="009F2E5D"/>
    <w:rsid w:val="00A116FE"/>
    <w:rsid w:val="00A11DEB"/>
    <w:rsid w:val="00A15CF3"/>
    <w:rsid w:val="00A37E34"/>
    <w:rsid w:val="00A53164"/>
    <w:rsid w:val="00A60CC1"/>
    <w:rsid w:val="00A71A65"/>
    <w:rsid w:val="00A82845"/>
    <w:rsid w:val="00A82946"/>
    <w:rsid w:val="00A8668A"/>
    <w:rsid w:val="00A86F9B"/>
    <w:rsid w:val="00A870B0"/>
    <w:rsid w:val="00A96093"/>
    <w:rsid w:val="00AA4C7F"/>
    <w:rsid w:val="00AC43AC"/>
    <w:rsid w:val="00AD49ED"/>
    <w:rsid w:val="00AD5092"/>
    <w:rsid w:val="00AD6C3C"/>
    <w:rsid w:val="00AE187D"/>
    <w:rsid w:val="00AF162A"/>
    <w:rsid w:val="00AF1B55"/>
    <w:rsid w:val="00AF2CCA"/>
    <w:rsid w:val="00AF30D8"/>
    <w:rsid w:val="00B32320"/>
    <w:rsid w:val="00B704B4"/>
    <w:rsid w:val="00B71B00"/>
    <w:rsid w:val="00B74040"/>
    <w:rsid w:val="00B74E12"/>
    <w:rsid w:val="00B82FCB"/>
    <w:rsid w:val="00B92ED4"/>
    <w:rsid w:val="00BA1A36"/>
    <w:rsid w:val="00BA35F1"/>
    <w:rsid w:val="00BB138F"/>
    <w:rsid w:val="00BB1C52"/>
    <w:rsid w:val="00BB3E7F"/>
    <w:rsid w:val="00BC1584"/>
    <w:rsid w:val="00BD6A14"/>
    <w:rsid w:val="00BE6272"/>
    <w:rsid w:val="00BF517E"/>
    <w:rsid w:val="00BF5EDA"/>
    <w:rsid w:val="00C07031"/>
    <w:rsid w:val="00C1049D"/>
    <w:rsid w:val="00C1366B"/>
    <w:rsid w:val="00C14D8C"/>
    <w:rsid w:val="00C1710C"/>
    <w:rsid w:val="00C22426"/>
    <w:rsid w:val="00C32A4A"/>
    <w:rsid w:val="00C53A15"/>
    <w:rsid w:val="00C54949"/>
    <w:rsid w:val="00C554E3"/>
    <w:rsid w:val="00C72FF1"/>
    <w:rsid w:val="00C76A91"/>
    <w:rsid w:val="00C8063A"/>
    <w:rsid w:val="00C81014"/>
    <w:rsid w:val="00CA385C"/>
    <w:rsid w:val="00CA5B8E"/>
    <w:rsid w:val="00CD1D54"/>
    <w:rsid w:val="00CD6DE0"/>
    <w:rsid w:val="00D13B6E"/>
    <w:rsid w:val="00D24A75"/>
    <w:rsid w:val="00D25024"/>
    <w:rsid w:val="00D272E0"/>
    <w:rsid w:val="00D35FDB"/>
    <w:rsid w:val="00D4641D"/>
    <w:rsid w:val="00D46B40"/>
    <w:rsid w:val="00D55862"/>
    <w:rsid w:val="00D560DC"/>
    <w:rsid w:val="00D82FC0"/>
    <w:rsid w:val="00D97218"/>
    <w:rsid w:val="00DC3814"/>
    <w:rsid w:val="00DC5135"/>
    <w:rsid w:val="00DE5803"/>
    <w:rsid w:val="00DE5E10"/>
    <w:rsid w:val="00DF0BC3"/>
    <w:rsid w:val="00DF1C1F"/>
    <w:rsid w:val="00DF47CF"/>
    <w:rsid w:val="00E01D3D"/>
    <w:rsid w:val="00E01FE9"/>
    <w:rsid w:val="00E03D77"/>
    <w:rsid w:val="00E26F86"/>
    <w:rsid w:val="00E33EFF"/>
    <w:rsid w:val="00E3500C"/>
    <w:rsid w:val="00E4386A"/>
    <w:rsid w:val="00E45E3C"/>
    <w:rsid w:val="00E53BE1"/>
    <w:rsid w:val="00E5622C"/>
    <w:rsid w:val="00E636B0"/>
    <w:rsid w:val="00E65C4E"/>
    <w:rsid w:val="00E86965"/>
    <w:rsid w:val="00E95CC6"/>
    <w:rsid w:val="00E966D6"/>
    <w:rsid w:val="00E96F33"/>
    <w:rsid w:val="00EE2FEB"/>
    <w:rsid w:val="00EF6AA1"/>
    <w:rsid w:val="00F03471"/>
    <w:rsid w:val="00F04B66"/>
    <w:rsid w:val="00F13878"/>
    <w:rsid w:val="00F176EB"/>
    <w:rsid w:val="00F31E10"/>
    <w:rsid w:val="00F32D38"/>
    <w:rsid w:val="00F3488A"/>
    <w:rsid w:val="00F563E7"/>
    <w:rsid w:val="00F6279A"/>
    <w:rsid w:val="00F65E3A"/>
    <w:rsid w:val="00F80F4B"/>
    <w:rsid w:val="00F97C49"/>
    <w:rsid w:val="00FA26E4"/>
    <w:rsid w:val="00FB6BD7"/>
    <w:rsid w:val="00FD0C35"/>
    <w:rsid w:val="00FD4A6D"/>
    <w:rsid w:val="00FD4A8D"/>
    <w:rsid w:val="00FD4C03"/>
    <w:rsid w:val="00FE2C99"/>
    <w:rsid w:val="00FE66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7C2114"/>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7C2114"/>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1F0870-6367-43E4-8288-09DC5FB414CD"/>
    <ds:schemaRef ds:uri="http://www.w3.org/XML/1998/namespace"/>
    <ds:schemaRef ds:uri="http://purl.org/dc/dcmitype/"/>
  </ds:schemaRefs>
</ds:datastoreItem>
</file>

<file path=customXml/itemProps3.xml><?xml version="1.0" encoding="utf-8"?>
<ds:datastoreItem xmlns:ds="http://schemas.openxmlformats.org/officeDocument/2006/customXml" ds:itemID="{97D71AA4-5D8F-4362-A7D4-03CE067BB9B1}"/>
</file>

<file path=customXml/itemProps4.xml><?xml version="1.0" encoding="utf-8"?>
<ds:datastoreItem xmlns:ds="http://schemas.openxmlformats.org/officeDocument/2006/customXml" ds:itemID="{581F48A0-48BA-4821-9281-FF2521B2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2018-03-29T00:23:00Z</dcterms:created>
  <dcterms:modified xsi:type="dcterms:W3CDTF">2018-10-16T06:01:00Z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