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15" w:rsidRDefault="00AE458C" w:rsidP="00293615">
      <w:pPr>
        <w:rPr>
          <w:rFonts w:cs="Arial"/>
        </w:rPr>
      </w:pPr>
      <w:r w:rsidRPr="00E7495D">
        <w:rPr>
          <w:noProof/>
        </w:rPr>
        <w:drawing>
          <wp:inline distT="0" distB="0" distL="0" distR="0">
            <wp:extent cx="1455387" cy="1080000"/>
            <wp:effectExtent l="0" t="0" r="0" b="635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rsidR="00707BFC" w:rsidRPr="0091469F" w:rsidRDefault="00707BFC" w:rsidP="00293615">
      <w:pPr>
        <w:rPr>
          <w:rFonts w:cs="Arial"/>
        </w:rPr>
      </w:pPr>
    </w:p>
    <w:p w:rsidR="00293615" w:rsidRPr="0091469F" w:rsidRDefault="00293615" w:rsidP="00293615">
      <w:pPr>
        <w:rPr>
          <w:rFonts w:cs="Arial"/>
        </w:rPr>
      </w:pPr>
    </w:p>
    <w:p w:rsidR="00293615" w:rsidRPr="0091469F" w:rsidRDefault="00293615" w:rsidP="00293615">
      <w:pPr>
        <w:rPr>
          <w:rFonts w:cs="Arial"/>
        </w:rPr>
      </w:pPr>
    </w:p>
    <w:p w:rsidR="0022267C" w:rsidRPr="0091469F" w:rsidRDefault="0022267C" w:rsidP="00AC11FE">
      <w:pPr>
        <w:pStyle w:val="ADRTitle"/>
        <w:rPr>
          <w:rFonts w:cs="Arial"/>
        </w:rPr>
      </w:pPr>
      <w:r w:rsidRPr="0091469F">
        <w:rPr>
          <w:rFonts w:cs="Arial"/>
        </w:rPr>
        <w:t>Vehi</w:t>
      </w:r>
      <w:r w:rsidR="009A4FBB">
        <w:rPr>
          <w:rFonts w:cs="Arial"/>
        </w:rPr>
        <w:t xml:space="preserve">cle Standard (Australian Design </w:t>
      </w:r>
      <w:r w:rsidR="00667467">
        <w:rPr>
          <w:rFonts w:cs="Arial"/>
        </w:rPr>
        <w:t xml:space="preserve">Rule </w:t>
      </w:r>
      <w:r w:rsidR="003C667E">
        <w:rPr>
          <w:rFonts w:cs="Arial"/>
        </w:rPr>
        <w:t>42</w:t>
      </w:r>
      <w:r w:rsidR="00667467">
        <w:rPr>
          <w:rFonts w:cs="Arial"/>
        </w:rPr>
        <w:t>/0</w:t>
      </w:r>
      <w:r w:rsidR="003C667E">
        <w:rPr>
          <w:rFonts w:cs="Arial"/>
        </w:rPr>
        <w:t>5</w:t>
      </w:r>
      <w:r w:rsidR="00667467">
        <w:rPr>
          <w:rFonts w:cs="Arial"/>
        </w:rPr>
        <w:t xml:space="preserve"> – </w:t>
      </w:r>
      <w:r w:rsidR="003C667E">
        <w:rPr>
          <w:rFonts w:cs="Arial"/>
        </w:rPr>
        <w:t>General Safety Requirements</w:t>
      </w:r>
      <w:r w:rsidRPr="0091469F">
        <w:rPr>
          <w:rFonts w:cs="Arial"/>
        </w:rPr>
        <w:t xml:space="preserve">) </w:t>
      </w:r>
      <w:r>
        <w:rPr>
          <w:rFonts w:cs="Arial"/>
        </w:rPr>
        <w:t>201</w:t>
      </w:r>
      <w:r w:rsidR="00015195">
        <w:rPr>
          <w:rFonts w:cs="Arial"/>
        </w:rPr>
        <w:t>8</w:t>
      </w:r>
    </w:p>
    <w:p w:rsidR="0084657A" w:rsidRDefault="0084657A" w:rsidP="0084657A">
      <w:r>
        <w:t xml:space="preserve">I, </w:t>
      </w:r>
      <w:r w:rsidR="00CA42F1">
        <w:t>ANDREW BROAD</w:t>
      </w:r>
      <w:r>
        <w:t xml:space="preserve">, </w:t>
      </w:r>
      <w:r w:rsidR="001D7B8D" w:rsidRPr="001D7B8D">
        <w:t>Assistant Minister to the Deputy Prime Minister</w:t>
      </w:r>
      <w:r>
        <w:t xml:space="preserve">, determine this vehicle standard under section 7 of the </w:t>
      </w:r>
      <w:r w:rsidR="00B15631">
        <w:rPr>
          <w:i/>
          <w:iCs/>
        </w:rPr>
        <w:t xml:space="preserve">Motor Vehicle </w:t>
      </w:r>
      <w:r>
        <w:rPr>
          <w:i/>
          <w:iCs/>
        </w:rPr>
        <w:t>Standards Act 1989</w:t>
      </w:r>
      <w:r>
        <w:t>.</w:t>
      </w:r>
    </w:p>
    <w:p w:rsidR="0084657A" w:rsidRDefault="0084657A" w:rsidP="0084657A">
      <w:pPr>
        <w:tabs>
          <w:tab w:val="left" w:pos="2160"/>
        </w:tabs>
      </w:pPr>
    </w:p>
    <w:p w:rsidR="0084657A" w:rsidRDefault="0084657A" w:rsidP="0084657A">
      <w:pPr>
        <w:tabs>
          <w:tab w:val="left" w:pos="2160"/>
        </w:tabs>
      </w:pPr>
    </w:p>
    <w:p w:rsidR="0084657A" w:rsidRDefault="0084657A" w:rsidP="0084657A">
      <w:pPr>
        <w:tabs>
          <w:tab w:val="left" w:pos="2160"/>
        </w:tabs>
      </w:pPr>
    </w:p>
    <w:p w:rsidR="0084657A" w:rsidRDefault="0084657A" w:rsidP="0084657A">
      <w:pPr>
        <w:tabs>
          <w:tab w:val="left" w:pos="2160"/>
        </w:tabs>
      </w:pPr>
    </w:p>
    <w:p w:rsidR="0084657A" w:rsidRDefault="0084657A" w:rsidP="0084657A">
      <w:pPr>
        <w:tabs>
          <w:tab w:val="left" w:pos="2160"/>
        </w:tabs>
      </w:pPr>
    </w:p>
    <w:p w:rsidR="00235882" w:rsidRPr="00CF5C2D" w:rsidRDefault="00235882" w:rsidP="00235882">
      <w:r w:rsidRPr="00CF5C2D">
        <w:t>Dated</w:t>
      </w:r>
      <w:r>
        <w:tab/>
      </w:r>
      <w:r w:rsidR="003E2D78">
        <w:t xml:space="preserve">25 October </w:t>
      </w:r>
      <w:bookmarkStart w:id="0" w:name="_GoBack"/>
      <w:bookmarkEnd w:id="0"/>
      <w:r>
        <w:t>2018</w:t>
      </w:r>
    </w:p>
    <w:p w:rsidR="0084657A" w:rsidRDefault="0084657A" w:rsidP="0084657A">
      <w:pPr>
        <w:tabs>
          <w:tab w:val="left" w:pos="2160"/>
        </w:tabs>
        <w:ind w:left="2160" w:hanging="2160"/>
      </w:pPr>
    </w:p>
    <w:p w:rsidR="0084657A" w:rsidRDefault="0084657A" w:rsidP="0084657A"/>
    <w:p w:rsidR="0084657A" w:rsidRDefault="0084657A" w:rsidP="0084657A"/>
    <w:p w:rsidR="0084657A" w:rsidRDefault="0084657A" w:rsidP="0084657A"/>
    <w:p w:rsidR="0084657A" w:rsidRDefault="0084657A" w:rsidP="0084657A"/>
    <w:p w:rsidR="00DB4A5B" w:rsidRDefault="00DB4A5B" w:rsidP="0084657A"/>
    <w:p w:rsidR="00DB4A5B" w:rsidRDefault="00DB4A5B" w:rsidP="0084657A"/>
    <w:p w:rsidR="00DB4A5B" w:rsidRDefault="00DB4A5B" w:rsidP="0084657A"/>
    <w:p w:rsidR="00DB4A5B" w:rsidRDefault="00DB4A5B" w:rsidP="0084657A"/>
    <w:p w:rsidR="00DB4A5B" w:rsidRDefault="00DB4A5B" w:rsidP="0084657A"/>
    <w:p w:rsidR="00DB4A5B" w:rsidRDefault="00DB4A5B" w:rsidP="0084657A"/>
    <w:p w:rsidR="0084657A" w:rsidRDefault="0084657A" w:rsidP="0084657A"/>
    <w:p w:rsidR="0084657A" w:rsidRDefault="003E2D78" w:rsidP="0084657A">
      <w:r>
        <w:t>[SIGNED]</w:t>
      </w:r>
    </w:p>
    <w:p w:rsidR="000E14E2" w:rsidRPr="00B22A10" w:rsidRDefault="00CA42F1" w:rsidP="000E14E2">
      <w:pPr>
        <w:spacing w:before="100" w:beforeAutospacing="1" w:after="100" w:afterAutospacing="1"/>
      </w:pPr>
      <w:r>
        <w:t>Andrew Broad</w:t>
      </w:r>
    </w:p>
    <w:p w:rsidR="000E14E2" w:rsidRDefault="001D7B8D" w:rsidP="000E14E2">
      <w:r w:rsidRPr="001D7B8D">
        <w:t>Assistant Minister to the Deputy Prime Minister</w:t>
      </w:r>
    </w:p>
    <w:p w:rsidR="00C50A89" w:rsidRDefault="00C50A89" w:rsidP="0084657A"/>
    <w:p w:rsidR="00C405D3" w:rsidRDefault="00C405D3" w:rsidP="00934513">
      <w:pPr>
        <w:sectPr w:rsidR="00C405D3" w:rsidSect="00A06831">
          <w:headerReference w:type="default" r:id="rId12"/>
          <w:headerReference w:type="first" r:id="rId13"/>
          <w:pgSz w:w="11906" w:h="16838"/>
          <w:pgMar w:top="1440" w:right="1701" w:bottom="1440" w:left="1701" w:header="709" w:footer="709" w:gutter="0"/>
          <w:cols w:space="708"/>
          <w:titlePg/>
          <w:docGrid w:linePitch="360"/>
        </w:sectPr>
      </w:pPr>
    </w:p>
    <w:p w:rsidR="00293615" w:rsidRDefault="00293615" w:rsidP="00293615">
      <w:pPr>
        <w:jc w:val="center"/>
        <w:rPr>
          <w:rFonts w:cs="Arial"/>
          <w:b/>
        </w:rPr>
      </w:pPr>
      <w:r w:rsidRPr="0091469F">
        <w:rPr>
          <w:rFonts w:cs="Arial"/>
          <w:b/>
        </w:rPr>
        <w:lastRenderedPageBreak/>
        <w:t>CONTENTS</w:t>
      </w:r>
    </w:p>
    <w:p w:rsidR="00C778D0" w:rsidRDefault="00C778D0" w:rsidP="00C778D0">
      <w:pPr>
        <w:rPr>
          <w:rFonts w:cs="Arial"/>
          <w:b/>
        </w:rPr>
      </w:pPr>
    </w:p>
    <w:p w:rsidR="00937BB2" w:rsidRDefault="00937BB2">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PROVISIONS</w:t>
      </w:r>
      <w:r>
        <w:rPr>
          <w:noProof/>
        </w:rPr>
        <w:tab/>
        <w:t>3</w:t>
      </w:r>
    </w:p>
    <w:p w:rsidR="00937BB2" w:rsidRDefault="00937BB2">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FUNCTION</w:t>
      </w:r>
      <w:r>
        <w:rPr>
          <w:noProof/>
        </w:rPr>
        <w:tab/>
        <w:t>3</w:t>
      </w:r>
    </w:p>
    <w:p w:rsidR="00937BB2" w:rsidRDefault="00937BB2">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APPLICABILITY</w:t>
      </w:r>
      <w:r>
        <w:rPr>
          <w:noProof/>
        </w:rPr>
        <w:tab/>
        <w:t>3</w:t>
      </w:r>
    </w:p>
    <w:p w:rsidR="00937BB2" w:rsidRDefault="00937BB2">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DEFINITIONS</w:t>
      </w:r>
      <w:r>
        <w:rPr>
          <w:noProof/>
        </w:rPr>
        <w:tab/>
        <w:t>6</w:t>
      </w:r>
    </w:p>
    <w:p w:rsidR="00937BB2" w:rsidRDefault="00937BB2">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Steering CONTROL</w:t>
      </w:r>
      <w:r>
        <w:rPr>
          <w:noProof/>
        </w:rPr>
        <w:tab/>
        <w:t>6</w:t>
      </w:r>
    </w:p>
    <w:p w:rsidR="00937BB2" w:rsidRDefault="00937BB2">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Controls for Diesel and/OR Automatic Vehicles</w:t>
      </w:r>
      <w:r>
        <w:rPr>
          <w:noProof/>
        </w:rPr>
        <w:tab/>
        <w:t>6</w:t>
      </w:r>
    </w:p>
    <w:p w:rsidR="00937BB2" w:rsidRDefault="00937BB2">
      <w:pPr>
        <w:pStyle w:val="TOC1"/>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Bonnet latching</w:t>
      </w:r>
      <w:r>
        <w:rPr>
          <w:noProof/>
        </w:rPr>
        <w:tab/>
        <w:t>6</w:t>
      </w:r>
    </w:p>
    <w:p w:rsidR="00937BB2" w:rsidRDefault="00937BB2">
      <w:pPr>
        <w:pStyle w:val="TOC1"/>
        <w:rPr>
          <w:rFonts w:asciiTheme="minorHAnsi" w:eastAsiaTheme="minorEastAsia" w:hAnsiTheme="minorHAnsi" w:cstheme="minorBidi"/>
          <w:caps w:val="0"/>
          <w:noProof/>
          <w:sz w:val="22"/>
          <w:szCs w:val="22"/>
        </w:rPr>
      </w:pPr>
      <w:r>
        <w:rPr>
          <w:noProof/>
        </w:rPr>
        <w:t>8.</w:t>
      </w:r>
      <w:r>
        <w:rPr>
          <w:rFonts w:asciiTheme="minorHAnsi" w:eastAsiaTheme="minorEastAsia" w:hAnsiTheme="minorHAnsi" w:cstheme="minorBidi"/>
          <w:caps w:val="0"/>
          <w:noProof/>
          <w:sz w:val="22"/>
          <w:szCs w:val="22"/>
        </w:rPr>
        <w:tab/>
      </w:r>
      <w:r>
        <w:rPr>
          <w:noProof/>
        </w:rPr>
        <w:t>Windscreen wipers and washers</w:t>
      </w:r>
      <w:r>
        <w:rPr>
          <w:noProof/>
        </w:rPr>
        <w:tab/>
        <w:t>6</w:t>
      </w:r>
    </w:p>
    <w:p w:rsidR="00937BB2" w:rsidRDefault="00937BB2">
      <w:pPr>
        <w:pStyle w:val="TOC1"/>
        <w:rPr>
          <w:rFonts w:asciiTheme="minorHAnsi" w:eastAsiaTheme="minorEastAsia" w:hAnsiTheme="minorHAnsi" w:cstheme="minorBidi"/>
          <w:caps w:val="0"/>
          <w:noProof/>
          <w:sz w:val="22"/>
          <w:szCs w:val="22"/>
        </w:rPr>
      </w:pPr>
      <w:r>
        <w:rPr>
          <w:noProof/>
        </w:rPr>
        <w:t>9.</w:t>
      </w:r>
      <w:r>
        <w:rPr>
          <w:rFonts w:asciiTheme="minorHAnsi" w:eastAsiaTheme="minorEastAsia" w:hAnsiTheme="minorHAnsi" w:cstheme="minorBidi"/>
          <w:caps w:val="0"/>
          <w:noProof/>
          <w:sz w:val="22"/>
          <w:szCs w:val="22"/>
        </w:rPr>
        <w:tab/>
      </w:r>
      <w:r>
        <w:rPr>
          <w:noProof/>
        </w:rPr>
        <w:t>Demisting of windscreens</w:t>
      </w:r>
      <w:r>
        <w:rPr>
          <w:noProof/>
        </w:rPr>
        <w:tab/>
        <w:t>7</w:t>
      </w:r>
    </w:p>
    <w:p w:rsidR="00937BB2" w:rsidRDefault="00937BB2">
      <w:pPr>
        <w:pStyle w:val="TOC1"/>
        <w:rPr>
          <w:rFonts w:asciiTheme="minorHAnsi" w:eastAsiaTheme="minorEastAsia" w:hAnsiTheme="minorHAnsi" w:cstheme="minorBidi"/>
          <w:caps w:val="0"/>
          <w:noProof/>
          <w:sz w:val="22"/>
          <w:szCs w:val="22"/>
        </w:rPr>
      </w:pPr>
      <w:r>
        <w:rPr>
          <w:noProof/>
        </w:rPr>
        <w:t>10.</w:t>
      </w:r>
      <w:r>
        <w:rPr>
          <w:rFonts w:asciiTheme="minorHAnsi" w:eastAsiaTheme="minorEastAsia" w:hAnsiTheme="minorHAnsi" w:cstheme="minorBidi"/>
          <w:caps w:val="0"/>
          <w:noProof/>
          <w:sz w:val="22"/>
          <w:szCs w:val="22"/>
        </w:rPr>
        <w:tab/>
      </w:r>
      <w:r>
        <w:rPr>
          <w:noProof/>
        </w:rPr>
        <w:t>Brake Hose and brake Tubing</w:t>
      </w:r>
      <w:r>
        <w:rPr>
          <w:noProof/>
        </w:rPr>
        <w:tab/>
        <w:t>7</w:t>
      </w:r>
    </w:p>
    <w:p w:rsidR="00937BB2" w:rsidRDefault="00937BB2">
      <w:pPr>
        <w:pStyle w:val="TOC1"/>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Provision of Reverse gear</w:t>
      </w:r>
      <w:r>
        <w:rPr>
          <w:noProof/>
        </w:rPr>
        <w:tab/>
        <w:t>7</w:t>
      </w:r>
    </w:p>
    <w:p w:rsidR="00937BB2" w:rsidRDefault="00937BB2">
      <w:pPr>
        <w:pStyle w:val="TOC1"/>
        <w:rPr>
          <w:rFonts w:asciiTheme="minorHAnsi" w:eastAsiaTheme="minorEastAsia" w:hAnsiTheme="minorHAnsi" w:cstheme="minorBidi"/>
          <w:caps w:val="0"/>
          <w:noProof/>
          <w:sz w:val="22"/>
          <w:szCs w:val="22"/>
        </w:rPr>
      </w:pPr>
      <w:r>
        <w:rPr>
          <w:noProof/>
        </w:rPr>
        <w:t>12.</w:t>
      </w:r>
      <w:r>
        <w:rPr>
          <w:rFonts w:asciiTheme="minorHAnsi" w:eastAsiaTheme="minorEastAsia" w:hAnsiTheme="minorHAnsi" w:cstheme="minorBidi"/>
          <w:caps w:val="0"/>
          <w:noProof/>
          <w:sz w:val="22"/>
          <w:szCs w:val="22"/>
        </w:rPr>
        <w:tab/>
      </w:r>
      <w:r>
        <w:rPr>
          <w:noProof/>
        </w:rPr>
        <w:t>Internal protrusions</w:t>
      </w:r>
      <w:r>
        <w:rPr>
          <w:noProof/>
        </w:rPr>
        <w:tab/>
        <w:t>7</w:t>
      </w:r>
    </w:p>
    <w:p w:rsidR="00937BB2" w:rsidRDefault="00937BB2">
      <w:pPr>
        <w:pStyle w:val="TOC1"/>
        <w:rPr>
          <w:rFonts w:asciiTheme="minorHAnsi" w:eastAsiaTheme="minorEastAsia" w:hAnsiTheme="minorHAnsi" w:cstheme="minorBidi"/>
          <w:caps w:val="0"/>
          <w:noProof/>
          <w:sz w:val="22"/>
          <w:szCs w:val="22"/>
        </w:rPr>
      </w:pPr>
      <w:r>
        <w:rPr>
          <w:noProof/>
        </w:rPr>
        <w:t>13.</w:t>
      </w:r>
      <w:r>
        <w:rPr>
          <w:rFonts w:asciiTheme="minorHAnsi" w:eastAsiaTheme="minorEastAsia" w:hAnsiTheme="minorHAnsi" w:cstheme="minorBidi"/>
          <w:caps w:val="0"/>
          <w:noProof/>
          <w:sz w:val="22"/>
          <w:szCs w:val="22"/>
        </w:rPr>
        <w:tab/>
      </w:r>
      <w:r>
        <w:rPr>
          <w:noProof/>
        </w:rPr>
        <w:t>Television and visual display units</w:t>
      </w:r>
      <w:r>
        <w:rPr>
          <w:noProof/>
        </w:rPr>
        <w:tab/>
        <w:t>8</w:t>
      </w:r>
    </w:p>
    <w:p w:rsidR="00937BB2" w:rsidRDefault="00937BB2">
      <w:pPr>
        <w:pStyle w:val="TOC1"/>
        <w:rPr>
          <w:rFonts w:asciiTheme="minorHAnsi" w:eastAsiaTheme="minorEastAsia" w:hAnsiTheme="minorHAnsi" w:cstheme="minorBidi"/>
          <w:caps w:val="0"/>
          <w:noProof/>
          <w:sz w:val="22"/>
          <w:szCs w:val="22"/>
        </w:rPr>
      </w:pPr>
      <w:r>
        <w:rPr>
          <w:noProof/>
        </w:rPr>
        <w:t>14.</w:t>
      </w:r>
      <w:r>
        <w:rPr>
          <w:rFonts w:asciiTheme="minorHAnsi" w:eastAsiaTheme="minorEastAsia" w:hAnsiTheme="minorHAnsi" w:cstheme="minorBidi"/>
          <w:caps w:val="0"/>
          <w:noProof/>
          <w:sz w:val="22"/>
          <w:szCs w:val="22"/>
        </w:rPr>
        <w:tab/>
      </w:r>
      <w:r>
        <w:rPr>
          <w:noProof/>
        </w:rPr>
        <w:t>Power Operated Window Systems</w:t>
      </w:r>
      <w:r>
        <w:rPr>
          <w:noProof/>
        </w:rPr>
        <w:tab/>
        <w:t>8</w:t>
      </w:r>
    </w:p>
    <w:p w:rsidR="00937BB2" w:rsidRDefault="00937BB2">
      <w:pPr>
        <w:pStyle w:val="TOC1"/>
        <w:rPr>
          <w:rFonts w:asciiTheme="minorHAnsi" w:eastAsiaTheme="minorEastAsia" w:hAnsiTheme="minorHAnsi" w:cstheme="minorBidi"/>
          <w:caps w:val="0"/>
          <w:noProof/>
          <w:sz w:val="22"/>
          <w:szCs w:val="22"/>
        </w:rPr>
      </w:pPr>
      <w:r>
        <w:rPr>
          <w:noProof/>
        </w:rPr>
        <w:t>15.</w:t>
      </w:r>
      <w:r>
        <w:rPr>
          <w:rFonts w:asciiTheme="minorHAnsi" w:eastAsiaTheme="minorEastAsia" w:hAnsiTheme="minorHAnsi" w:cstheme="minorBidi"/>
          <w:caps w:val="0"/>
          <w:noProof/>
          <w:sz w:val="22"/>
          <w:szCs w:val="22"/>
        </w:rPr>
        <w:tab/>
      </w:r>
      <w:r>
        <w:rPr>
          <w:noProof/>
        </w:rPr>
        <w:t>Ventilation</w:t>
      </w:r>
      <w:r>
        <w:rPr>
          <w:noProof/>
        </w:rPr>
        <w:tab/>
        <w:t>10</w:t>
      </w:r>
    </w:p>
    <w:p w:rsidR="00937BB2" w:rsidRDefault="00937BB2">
      <w:pPr>
        <w:pStyle w:val="TOC1"/>
        <w:rPr>
          <w:rFonts w:asciiTheme="minorHAnsi" w:eastAsiaTheme="minorEastAsia" w:hAnsiTheme="minorHAnsi" w:cstheme="minorBidi"/>
          <w:caps w:val="0"/>
          <w:noProof/>
          <w:sz w:val="22"/>
          <w:szCs w:val="22"/>
        </w:rPr>
      </w:pPr>
      <w:r>
        <w:rPr>
          <w:noProof/>
        </w:rPr>
        <w:t>16.</w:t>
      </w:r>
      <w:r>
        <w:rPr>
          <w:rFonts w:asciiTheme="minorHAnsi" w:eastAsiaTheme="minorEastAsia" w:hAnsiTheme="minorHAnsi" w:cstheme="minorBidi"/>
          <w:caps w:val="0"/>
          <w:noProof/>
          <w:sz w:val="22"/>
          <w:szCs w:val="22"/>
        </w:rPr>
        <w:tab/>
      </w:r>
      <w:r>
        <w:rPr>
          <w:noProof/>
        </w:rPr>
        <w:t>SLEEPER BERTHS for Category NB OR NC vehicles</w:t>
      </w:r>
      <w:r>
        <w:rPr>
          <w:noProof/>
        </w:rPr>
        <w:tab/>
        <w:t>10</w:t>
      </w:r>
    </w:p>
    <w:p w:rsidR="00937BB2" w:rsidRDefault="00937BB2">
      <w:pPr>
        <w:pStyle w:val="TOC1"/>
        <w:rPr>
          <w:rFonts w:asciiTheme="minorHAnsi" w:eastAsiaTheme="minorEastAsia" w:hAnsiTheme="minorHAnsi" w:cstheme="minorBidi"/>
          <w:caps w:val="0"/>
          <w:noProof/>
          <w:sz w:val="22"/>
          <w:szCs w:val="22"/>
        </w:rPr>
      </w:pPr>
      <w:r>
        <w:rPr>
          <w:noProof/>
        </w:rPr>
        <w:t>17.</w:t>
      </w:r>
      <w:r>
        <w:rPr>
          <w:rFonts w:asciiTheme="minorHAnsi" w:eastAsiaTheme="minorEastAsia" w:hAnsiTheme="minorHAnsi" w:cstheme="minorBidi"/>
          <w:caps w:val="0"/>
          <w:noProof/>
          <w:sz w:val="22"/>
          <w:szCs w:val="22"/>
        </w:rPr>
        <w:tab/>
      </w:r>
      <w:r w:rsidRPr="00820F2C">
        <w:rPr>
          <w:i/>
          <w:noProof/>
        </w:rPr>
        <w:t>‘WHEEL GUARDS’</w:t>
      </w:r>
      <w:r>
        <w:rPr>
          <w:noProof/>
        </w:rPr>
        <w:t xml:space="preserve"> (</w:t>
      </w:r>
      <w:r w:rsidRPr="00820F2C">
        <w:rPr>
          <w:i/>
          <w:noProof/>
        </w:rPr>
        <w:t>‘MUDGUARDS’</w:t>
      </w:r>
      <w:r>
        <w:rPr>
          <w:noProof/>
        </w:rPr>
        <w:t>)</w:t>
      </w:r>
      <w:r>
        <w:rPr>
          <w:noProof/>
        </w:rPr>
        <w:tab/>
        <w:t>11</w:t>
      </w:r>
    </w:p>
    <w:p w:rsidR="00937BB2" w:rsidRDefault="00937BB2">
      <w:pPr>
        <w:pStyle w:val="TOC1"/>
        <w:rPr>
          <w:rFonts w:asciiTheme="minorHAnsi" w:eastAsiaTheme="minorEastAsia" w:hAnsiTheme="minorHAnsi" w:cstheme="minorBidi"/>
          <w:caps w:val="0"/>
          <w:noProof/>
          <w:sz w:val="22"/>
          <w:szCs w:val="22"/>
        </w:rPr>
      </w:pPr>
      <w:r>
        <w:rPr>
          <w:noProof/>
        </w:rPr>
        <w:t>18.</w:t>
      </w:r>
      <w:r>
        <w:rPr>
          <w:rFonts w:asciiTheme="minorHAnsi" w:eastAsiaTheme="minorEastAsia" w:hAnsiTheme="minorHAnsi" w:cstheme="minorBidi"/>
          <w:caps w:val="0"/>
          <w:noProof/>
          <w:sz w:val="22"/>
          <w:szCs w:val="22"/>
        </w:rPr>
        <w:tab/>
      </w:r>
      <w:r>
        <w:rPr>
          <w:noProof/>
        </w:rPr>
        <w:t>Retractable Axles</w:t>
      </w:r>
      <w:r>
        <w:rPr>
          <w:noProof/>
        </w:rPr>
        <w:tab/>
        <w:t>14</w:t>
      </w:r>
    </w:p>
    <w:p w:rsidR="00937BB2" w:rsidRDefault="00937BB2">
      <w:pPr>
        <w:pStyle w:val="TOC1"/>
        <w:rPr>
          <w:rFonts w:asciiTheme="minorHAnsi" w:eastAsiaTheme="minorEastAsia" w:hAnsiTheme="minorHAnsi" w:cstheme="minorBidi"/>
          <w:caps w:val="0"/>
          <w:noProof/>
          <w:sz w:val="22"/>
          <w:szCs w:val="22"/>
        </w:rPr>
      </w:pPr>
      <w:r>
        <w:rPr>
          <w:noProof/>
        </w:rPr>
        <w:t>19.</w:t>
      </w:r>
      <w:r>
        <w:rPr>
          <w:rFonts w:asciiTheme="minorHAnsi" w:eastAsiaTheme="minorEastAsia" w:hAnsiTheme="minorHAnsi" w:cstheme="minorBidi"/>
          <w:caps w:val="0"/>
          <w:noProof/>
          <w:sz w:val="22"/>
          <w:szCs w:val="22"/>
        </w:rPr>
        <w:tab/>
      </w:r>
      <w:r>
        <w:rPr>
          <w:noProof/>
        </w:rPr>
        <w:t>RIM selection</w:t>
      </w:r>
      <w:r>
        <w:rPr>
          <w:noProof/>
        </w:rPr>
        <w:tab/>
        <w:t>15</w:t>
      </w:r>
    </w:p>
    <w:p w:rsidR="00937BB2" w:rsidRDefault="00937BB2">
      <w:pPr>
        <w:pStyle w:val="TOC1"/>
        <w:rPr>
          <w:rFonts w:asciiTheme="minorHAnsi" w:eastAsiaTheme="minorEastAsia" w:hAnsiTheme="minorHAnsi" w:cstheme="minorBidi"/>
          <w:caps w:val="0"/>
          <w:noProof/>
          <w:sz w:val="22"/>
          <w:szCs w:val="22"/>
        </w:rPr>
      </w:pPr>
      <w:r>
        <w:rPr>
          <w:noProof/>
        </w:rPr>
        <w:t>20.</w:t>
      </w:r>
      <w:r>
        <w:rPr>
          <w:rFonts w:asciiTheme="minorHAnsi" w:eastAsiaTheme="minorEastAsia" w:hAnsiTheme="minorHAnsi" w:cstheme="minorBidi"/>
          <w:caps w:val="0"/>
          <w:noProof/>
          <w:sz w:val="22"/>
          <w:szCs w:val="22"/>
        </w:rPr>
        <w:tab/>
      </w:r>
      <w:r>
        <w:rPr>
          <w:noProof/>
        </w:rPr>
        <w:t>Tyre Placard</w:t>
      </w:r>
      <w:r>
        <w:rPr>
          <w:noProof/>
        </w:rPr>
        <w:tab/>
        <w:t>15</w:t>
      </w:r>
    </w:p>
    <w:p w:rsidR="00937BB2" w:rsidRDefault="00937BB2">
      <w:pPr>
        <w:pStyle w:val="TOC1"/>
        <w:rPr>
          <w:rFonts w:asciiTheme="minorHAnsi" w:eastAsiaTheme="minorEastAsia" w:hAnsiTheme="minorHAnsi" w:cstheme="minorBidi"/>
          <w:caps w:val="0"/>
          <w:noProof/>
          <w:sz w:val="22"/>
          <w:szCs w:val="22"/>
        </w:rPr>
      </w:pPr>
      <w:r>
        <w:rPr>
          <w:noProof/>
        </w:rPr>
        <w:t>21.</w:t>
      </w:r>
      <w:r>
        <w:rPr>
          <w:rFonts w:asciiTheme="minorHAnsi" w:eastAsiaTheme="minorEastAsia" w:hAnsiTheme="minorHAnsi" w:cstheme="minorBidi"/>
          <w:caps w:val="0"/>
          <w:noProof/>
          <w:sz w:val="22"/>
          <w:szCs w:val="22"/>
        </w:rPr>
        <w:tab/>
      </w:r>
      <w:r>
        <w:rPr>
          <w:noProof/>
        </w:rPr>
        <w:t>ELECTRICAL WIRING, CONNECTIONS &amp; INSTALLATIONS</w:t>
      </w:r>
      <w:r>
        <w:rPr>
          <w:noProof/>
        </w:rPr>
        <w:tab/>
        <w:t>16</w:t>
      </w:r>
    </w:p>
    <w:p w:rsidR="00937BB2" w:rsidRDefault="00937BB2">
      <w:pPr>
        <w:pStyle w:val="TOC1"/>
        <w:rPr>
          <w:rFonts w:asciiTheme="minorHAnsi" w:eastAsiaTheme="minorEastAsia" w:hAnsiTheme="minorHAnsi" w:cstheme="minorBidi"/>
          <w:caps w:val="0"/>
          <w:noProof/>
          <w:sz w:val="22"/>
          <w:szCs w:val="22"/>
        </w:rPr>
      </w:pPr>
      <w:r>
        <w:rPr>
          <w:noProof/>
        </w:rPr>
        <w:t>22.</w:t>
      </w:r>
      <w:r>
        <w:rPr>
          <w:rFonts w:asciiTheme="minorHAnsi" w:eastAsiaTheme="minorEastAsia" w:hAnsiTheme="minorHAnsi" w:cstheme="minorBidi"/>
          <w:caps w:val="0"/>
          <w:noProof/>
          <w:sz w:val="22"/>
          <w:szCs w:val="22"/>
        </w:rPr>
        <w:tab/>
      </w:r>
      <w:r>
        <w:rPr>
          <w:noProof/>
        </w:rPr>
        <w:t>Stability of Category LE Vehicles</w:t>
      </w:r>
      <w:r>
        <w:rPr>
          <w:noProof/>
        </w:rPr>
        <w:tab/>
        <w:t>17</w:t>
      </w:r>
    </w:p>
    <w:p w:rsidR="00937BB2" w:rsidRDefault="00937BB2">
      <w:pPr>
        <w:pStyle w:val="TOC1"/>
        <w:rPr>
          <w:rFonts w:asciiTheme="minorHAnsi" w:eastAsiaTheme="minorEastAsia" w:hAnsiTheme="minorHAnsi" w:cstheme="minorBidi"/>
          <w:caps w:val="0"/>
          <w:noProof/>
          <w:sz w:val="22"/>
          <w:szCs w:val="22"/>
        </w:rPr>
      </w:pPr>
      <w:r>
        <w:rPr>
          <w:noProof/>
        </w:rPr>
        <w:t>23.</w:t>
      </w:r>
      <w:r>
        <w:rPr>
          <w:rFonts w:asciiTheme="minorHAnsi" w:eastAsiaTheme="minorEastAsia" w:hAnsiTheme="minorHAnsi" w:cstheme="minorBidi"/>
          <w:caps w:val="0"/>
          <w:noProof/>
          <w:sz w:val="22"/>
          <w:szCs w:val="22"/>
        </w:rPr>
        <w:tab/>
      </w:r>
      <w:r>
        <w:rPr>
          <w:noProof/>
        </w:rPr>
        <w:t>Audible Devices</w:t>
      </w:r>
      <w:r>
        <w:rPr>
          <w:noProof/>
        </w:rPr>
        <w:tab/>
        <w:t>17</w:t>
      </w:r>
    </w:p>
    <w:p w:rsidR="00937BB2" w:rsidRDefault="00937BB2">
      <w:pPr>
        <w:pStyle w:val="TOC1"/>
        <w:rPr>
          <w:rFonts w:asciiTheme="minorHAnsi" w:eastAsiaTheme="minorEastAsia" w:hAnsiTheme="minorHAnsi" w:cstheme="minorBidi"/>
          <w:caps w:val="0"/>
          <w:noProof/>
          <w:sz w:val="22"/>
          <w:szCs w:val="22"/>
        </w:rPr>
      </w:pPr>
      <w:r>
        <w:rPr>
          <w:noProof/>
        </w:rPr>
        <w:t>24.</w:t>
      </w:r>
      <w:r>
        <w:rPr>
          <w:rFonts w:asciiTheme="minorHAnsi" w:eastAsiaTheme="minorEastAsia" w:hAnsiTheme="minorHAnsi" w:cstheme="minorBidi"/>
          <w:caps w:val="0"/>
          <w:noProof/>
          <w:sz w:val="22"/>
          <w:szCs w:val="22"/>
        </w:rPr>
        <w:tab/>
      </w:r>
      <w:r>
        <w:rPr>
          <w:noProof/>
        </w:rPr>
        <w:t>EXHAUST OUTLETS</w:t>
      </w:r>
      <w:r>
        <w:rPr>
          <w:noProof/>
        </w:rPr>
        <w:tab/>
        <w:t>18</w:t>
      </w:r>
    </w:p>
    <w:p w:rsidR="00937BB2" w:rsidRDefault="00937BB2">
      <w:pPr>
        <w:pStyle w:val="TOC1"/>
        <w:rPr>
          <w:rFonts w:asciiTheme="minorHAnsi" w:eastAsiaTheme="minorEastAsia" w:hAnsiTheme="minorHAnsi" w:cstheme="minorBidi"/>
          <w:caps w:val="0"/>
          <w:noProof/>
          <w:sz w:val="22"/>
          <w:szCs w:val="22"/>
        </w:rPr>
      </w:pPr>
      <w:r>
        <w:rPr>
          <w:noProof/>
        </w:rPr>
        <w:t>25.</w:t>
      </w:r>
      <w:r>
        <w:rPr>
          <w:rFonts w:asciiTheme="minorHAnsi" w:eastAsiaTheme="minorEastAsia" w:hAnsiTheme="minorHAnsi" w:cstheme="minorBidi"/>
          <w:caps w:val="0"/>
          <w:noProof/>
          <w:sz w:val="22"/>
          <w:szCs w:val="22"/>
        </w:rPr>
        <w:tab/>
      </w:r>
      <w:r>
        <w:rPr>
          <w:noProof/>
        </w:rPr>
        <w:t>TOILETS, URINALS, BASINS AND SINKS</w:t>
      </w:r>
      <w:r>
        <w:rPr>
          <w:noProof/>
        </w:rPr>
        <w:tab/>
        <w:t>20</w:t>
      </w:r>
    </w:p>
    <w:p w:rsidR="00937BB2" w:rsidRDefault="00937BB2">
      <w:pPr>
        <w:pStyle w:val="TOC1"/>
        <w:rPr>
          <w:rFonts w:asciiTheme="minorHAnsi" w:eastAsiaTheme="minorEastAsia" w:hAnsiTheme="minorHAnsi" w:cstheme="minorBidi"/>
          <w:caps w:val="0"/>
          <w:noProof/>
          <w:sz w:val="22"/>
          <w:szCs w:val="22"/>
        </w:rPr>
      </w:pPr>
      <w:r>
        <w:rPr>
          <w:noProof/>
        </w:rPr>
        <w:t>APPENDIX 1</w:t>
      </w:r>
      <w:r>
        <w:rPr>
          <w:noProof/>
        </w:rPr>
        <w:tab/>
        <w:t>21</w:t>
      </w:r>
    </w:p>
    <w:p w:rsidR="00C778D0" w:rsidRDefault="00C778D0" w:rsidP="00C778D0">
      <w:pPr>
        <w:rPr>
          <w:rFonts w:cs="Arial"/>
          <w:b/>
        </w:rPr>
      </w:pPr>
    </w:p>
    <w:p w:rsidR="00C778D0" w:rsidRDefault="00C778D0" w:rsidP="00C778D0">
      <w:pPr>
        <w:rPr>
          <w:rFonts w:cs="Arial"/>
          <w:b/>
        </w:rPr>
        <w:sectPr w:rsidR="00C778D0" w:rsidSect="00A06831">
          <w:pgSz w:w="11906" w:h="16838"/>
          <w:pgMar w:top="1440" w:right="1701" w:bottom="1440" w:left="1701" w:header="709" w:footer="709" w:gutter="0"/>
          <w:cols w:space="708"/>
          <w:titlePg/>
          <w:docGrid w:linePitch="360"/>
        </w:sectPr>
      </w:pPr>
    </w:p>
    <w:p w:rsidR="00293615" w:rsidRPr="00EB09C5" w:rsidRDefault="00EB09C5" w:rsidP="00426B61">
      <w:pPr>
        <w:pStyle w:val="Clauseheading"/>
      </w:pPr>
      <w:bookmarkStart w:id="1" w:name="_Toc517180952"/>
      <w:bookmarkStart w:id="2" w:name="_Toc525916096"/>
      <w:r w:rsidRPr="008E14F0">
        <w:lastRenderedPageBreak/>
        <w:t>LEGISLATIVE PROVISIONS</w:t>
      </w:r>
      <w:bookmarkEnd w:id="1"/>
      <w:bookmarkEnd w:id="2"/>
    </w:p>
    <w:p w:rsidR="00AE458C" w:rsidRPr="00004C82" w:rsidRDefault="00AE458C" w:rsidP="00AE458C">
      <w:pPr>
        <w:pStyle w:val="Subclause"/>
      </w:pPr>
      <w:r w:rsidRPr="00004C82">
        <w:t>Name of Standard</w:t>
      </w:r>
    </w:p>
    <w:p w:rsidR="00AE458C" w:rsidRPr="00264542" w:rsidRDefault="00AE458C" w:rsidP="00AE458C">
      <w:pPr>
        <w:pStyle w:val="Subsubclause"/>
      </w:pPr>
      <w:r w:rsidRPr="00264542">
        <w:t xml:space="preserve">This Standard is the Vehicle Standard (Australian Design Rule </w:t>
      </w:r>
      <w:r w:rsidR="00C2253F" w:rsidRPr="00C2253F">
        <w:t>42/05 – General Safety Requirements</w:t>
      </w:r>
      <w:r w:rsidRPr="00264542">
        <w:t>) 2018.</w:t>
      </w:r>
    </w:p>
    <w:p w:rsidR="00AE458C" w:rsidRPr="0091469F" w:rsidRDefault="00AE458C" w:rsidP="00AE458C">
      <w:pPr>
        <w:pStyle w:val="Subsubclause"/>
      </w:pPr>
      <w:r w:rsidRPr="0091469F">
        <w:t xml:space="preserve">This Standard may also be cited as Australian Design Rule </w:t>
      </w:r>
      <w:r w:rsidR="00C2253F" w:rsidRPr="00C2253F">
        <w:t>42/05 – General Safety Requirements</w:t>
      </w:r>
      <w:r w:rsidRPr="00002A3B">
        <w:t>.</w:t>
      </w:r>
    </w:p>
    <w:p w:rsidR="00AE458C" w:rsidRPr="00C96E70" w:rsidRDefault="00AE458C" w:rsidP="00AE458C">
      <w:pPr>
        <w:pStyle w:val="Subclause"/>
      </w:pPr>
      <w:r w:rsidRPr="00C96E70">
        <w:t>Commencement</w:t>
      </w:r>
    </w:p>
    <w:p w:rsidR="00AE458C" w:rsidRPr="0091469F" w:rsidRDefault="00AE458C" w:rsidP="00AE458C">
      <w:pPr>
        <w:pStyle w:val="Subsubclause"/>
      </w:pPr>
      <w:r w:rsidRPr="0091469F">
        <w:t>This Standard commences on the day after it is registered.</w:t>
      </w:r>
    </w:p>
    <w:p w:rsidR="00293615" w:rsidRPr="00EB09C5" w:rsidRDefault="00AE458C" w:rsidP="00426B61">
      <w:pPr>
        <w:pStyle w:val="Clauseheading"/>
      </w:pPr>
      <w:bookmarkStart w:id="3" w:name="_Toc517180953"/>
      <w:bookmarkStart w:id="4" w:name="_Toc525916097"/>
      <w:r>
        <w:t>F</w:t>
      </w:r>
      <w:r w:rsidR="00DC1E83">
        <w:t>UNCTION</w:t>
      </w:r>
      <w:bookmarkEnd w:id="3"/>
      <w:bookmarkEnd w:id="4"/>
    </w:p>
    <w:p w:rsidR="00293615" w:rsidRDefault="001A7CC5" w:rsidP="008E14F0">
      <w:pPr>
        <w:pStyle w:val="Subclause"/>
        <w:rPr>
          <w:rFonts w:cs="Arial"/>
        </w:rPr>
      </w:pPr>
      <w:r>
        <w:rPr>
          <w:rFonts w:eastAsiaTheme="minorHAnsi"/>
        </w:rPr>
        <w:t>The function of this vehicle s</w:t>
      </w:r>
      <w:r w:rsidRPr="001A7CC5">
        <w:rPr>
          <w:rFonts w:eastAsiaTheme="minorHAnsi"/>
        </w:rPr>
        <w:t xml:space="preserve">tandard is to specify </w:t>
      </w:r>
      <w:r w:rsidR="00182A2B">
        <w:rPr>
          <w:rFonts w:eastAsiaTheme="minorHAnsi"/>
        </w:rPr>
        <w:t xml:space="preserve">general </w:t>
      </w:r>
      <w:r w:rsidRPr="001A7CC5">
        <w:rPr>
          <w:rFonts w:eastAsiaTheme="minorHAnsi"/>
        </w:rPr>
        <w:t>design and construction requirements to ensure safe operation of vehicles</w:t>
      </w:r>
      <w:r w:rsidR="00293615">
        <w:rPr>
          <w:rFonts w:cs="Arial"/>
        </w:rPr>
        <w:t>.</w:t>
      </w:r>
    </w:p>
    <w:p w:rsidR="00293615" w:rsidRPr="00EB09C5" w:rsidRDefault="00EB09C5" w:rsidP="00426B61">
      <w:pPr>
        <w:pStyle w:val="Clauseheading"/>
      </w:pPr>
      <w:bookmarkStart w:id="5" w:name="_Toc517180954"/>
      <w:bookmarkStart w:id="6" w:name="_Toc525916098"/>
      <w:r w:rsidRPr="00EB09C5">
        <w:t>APPLICABILITY</w:t>
      </w:r>
      <w:bookmarkEnd w:id="5"/>
      <w:bookmarkEnd w:id="6"/>
    </w:p>
    <w:p w:rsidR="00AE458C" w:rsidRPr="0091469F" w:rsidRDefault="00AE458C" w:rsidP="00AE458C">
      <w:pPr>
        <w:pStyle w:val="Subclause"/>
      </w:pPr>
      <w:r w:rsidRPr="0091469F">
        <w:t xml:space="preserve">This </w:t>
      </w:r>
      <w:r>
        <w:t>vehicle</w:t>
      </w:r>
      <w:r w:rsidRPr="0091469F">
        <w:t xml:space="preserve"> standard applies to </w:t>
      </w:r>
      <w:r w:rsidR="001A7CC5">
        <w:t xml:space="preserve">all </w:t>
      </w:r>
      <w:r>
        <w:t>categor</w:t>
      </w:r>
      <w:r w:rsidR="001A7CC5">
        <w:t>ies</w:t>
      </w:r>
      <w:r>
        <w:t xml:space="preserve"> </w:t>
      </w:r>
      <w:r w:rsidR="001A7CC5">
        <w:t>of</w:t>
      </w:r>
      <w:r w:rsidRPr="0091469F">
        <w:t xml:space="preserve"> vehicles </w:t>
      </w:r>
      <w:r>
        <w:t>from the dates</w:t>
      </w:r>
      <w:r w:rsidRPr="0091469F">
        <w:t xml:space="preserve"> set out in </w:t>
      </w:r>
      <w:r>
        <w:t xml:space="preserve">clauses 3.1.1 to 3.1.2 and </w:t>
      </w:r>
      <w:r w:rsidRPr="0091469F">
        <w:t xml:space="preserve">the </w:t>
      </w:r>
      <w:r>
        <w:t xml:space="preserve">applicability </w:t>
      </w:r>
      <w:r w:rsidRPr="0091469F">
        <w:t xml:space="preserve">table </w:t>
      </w:r>
      <w:r>
        <w:t xml:space="preserve">under </w:t>
      </w:r>
      <w:r w:rsidR="004715C1">
        <w:t>c</w:t>
      </w:r>
      <w:r w:rsidR="00E86228">
        <w:t>lause </w:t>
      </w:r>
      <w:r>
        <w:t>3.</w:t>
      </w:r>
      <w:r w:rsidR="00E86228">
        <w:t>8</w:t>
      </w:r>
      <w:r>
        <w:t xml:space="preserve"> </w:t>
      </w:r>
      <w:r w:rsidRPr="0091469F">
        <w:t>below.</w:t>
      </w:r>
    </w:p>
    <w:p w:rsidR="00AE458C" w:rsidRPr="00766E97" w:rsidRDefault="004715C1" w:rsidP="00AE458C">
      <w:pPr>
        <w:pStyle w:val="Subsubclause"/>
      </w:pPr>
      <w:r>
        <w:t>1 July 2019</w:t>
      </w:r>
      <w:r w:rsidR="00AE458C" w:rsidRPr="00766E97">
        <w:t xml:space="preserve"> for all new model vehicles.</w:t>
      </w:r>
    </w:p>
    <w:p w:rsidR="00AE458C" w:rsidRPr="00766E97" w:rsidRDefault="00AE458C" w:rsidP="00737150">
      <w:pPr>
        <w:pStyle w:val="Subsubclause"/>
      </w:pPr>
      <w:r w:rsidRPr="00766E97">
        <w:t xml:space="preserve">There is no mandatory application date for all other vehicles. </w:t>
      </w:r>
      <w:r w:rsidR="006F02AA">
        <w:t xml:space="preserve"> </w:t>
      </w:r>
      <w:r w:rsidRPr="00766E97">
        <w:t xml:space="preserve">They may comply with this vehicle standard, or continue to comply with </w:t>
      </w:r>
      <w:r w:rsidR="00D91428">
        <w:t xml:space="preserve">the </w:t>
      </w:r>
      <w:r w:rsidR="00737150">
        <w:t>Australian </w:t>
      </w:r>
      <w:r w:rsidR="00737150" w:rsidRPr="00737150">
        <w:t>Design Rule 42/04 – General Safety Requirements</w:t>
      </w:r>
      <w:r w:rsidRPr="00766E97">
        <w:t>.</w:t>
      </w:r>
    </w:p>
    <w:p w:rsidR="0053166D" w:rsidRDefault="00B57C34" w:rsidP="0053166D">
      <w:pPr>
        <w:pStyle w:val="Subclause"/>
      </w:pPr>
      <w:r w:rsidRPr="00932E41">
        <w:rPr>
          <w:lang w:val="en-GB"/>
        </w:rPr>
        <w:t xml:space="preserve">For the purposes of clause 3.1.1, a “new model” is a vehicle model first produced with a </w:t>
      </w:r>
      <w:r w:rsidRPr="00932E41">
        <w:rPr>
          <w:i/>
          <w:lang w:val="en-GB"/>
        </w:rPr>
        <w:t xml:space="preserve">‘Date of manufacture’ </w:t>
      </w:r>
      <w:r w:rsidRPr="00932E41">
        <w:rPr>
          <w:lang w:val="en-GB"/>
        </w:rPr>
        <w:t>on</w:t>
      </w:r>
      <w:r w:rsidRPr="00932E41">
        <w:rPr>
          <w:i/>
          <w:lang w:val="en-GB"/>
        </w:rPr>
        <w:t xml:space="preserve"> </w:t>
      </w:r>
      <w:r w:rsidRPr="00932E41">
        <w:rPr>
          <w:lang w:val="en-GB"/>
        </w:rPr>
        <w:t xml:space="preserve">or after </w:t>
      </w:r>
      <w:r w:rsidRPr="00932E41">
        <w:t>the agreed date in that clause</w:t>
      </w:r>
      <w:r w:rsidR="00AE458C" w:rsidRPr="00FE0155">
        <w:t>.</w:t>
      </w:r>
    </w:p>
    <w:p w:rsidR="003C5ABB" w:rsidRPr="003C5ABB" w:rsidRDefault="003C5ABB" w:rsidP="003C5ABB">
      <w:pPr>
        <w:pStyle w:val="Subclause"/>
      </w:pPr>
      <w:r w:rsidRPr="003C5ABB">
        <w:t xml:space="preserve">Category </w:t>
      </w:r>
      <w:r>
        <w:t>LA</w:t>
      </w:r>
      <w:r w:rsidR="00C77DAB">
        <w:t xml:space="preserve">, LB, LC, LD, </w:t>
      </w:r>
      <w:r w:rsidR="00E224CF">
        <w:t>and LE</w:t>
      </w:r>
      <w:r w:rsidR="00C77DAB">
        <w:t xml:space="preserve"> </w:t>
      </w:r>
      <w:r w:rsidRPr="003C5ABB">
        <w:t xml:space="preserve">vehicles </w:t>
      </w:r>
      <w:r w:rsidR="00C77DAB">
        <w:t>(L</w:t>
      </w:r>
      <w:r w:rsidR="00C77DAB">
        <w:noBreakHyphen/>
        <w:t xml:space="preserve">Group vehicles) </w:t>
      </w:r>
      <w:r w:rsidRPr="003C5ABB">
        <w:t xml:space="preserve">certified to this </w:t>
      </w:r>
      <w:r w:rsidR="001145A8">
        <w:t>standard</w:t>
      </w:r>
      <w:r w:rsidRPr="003C5ABB">
        <w:t xml:space="preserve"> must also be certified to </w:t>
      </w:r>
      <w:r w:rsidR="00C77DAB">
        <w:t>each of the applicable Australian Design Rules specified in Table 1 under clause 3.9 below</w:t>
      </w:r>
      <w:r>
        <w:t>.</w:t>
      </w:r>
    </w:p>
    <w:p w:rsidR="00C77DAB" w:rsidRPr="003C5ABB" w:rsidRDefault="003C5ABB" w:rsidP="00C77DAB">
      <w:pPr>
        <w:pStyle w:val="Subclause"/>
      </w:pPr>
      <w:r w:rsidRPr="003C5ABB">
        <w:t xml:space="preserve">Category </w:t>
      </w:r>
      <w:r>
        <w:t xml:space="preserve">MA, </w:t>
      </w:r>
      <w:r w:rsidRPr="003C5ABB">
        <w:t>MB, MC</w:t>
      </w:r>
      <w:r>
        <w:t xml:space="preserve">, </w:t>
      </w:r>
      <w:r w:rsidR="00E224CF">
        <w:t>MD</w:t>
      </w:r>
      <w:r>
        <w:t xml:space="preserve"> </w:t>
      </w:r>
      <w:r w:rsidR="00C77DAB">
        <w:t xml:space="preserve">and </w:t>
      </w:r>
      <w:r>
        <w:t>ME</w:t>
      </w:r>
      <w:r w:rsidRPr="003C5ABB">
        <w:t xml:space="preserve"> vehicles </w:t>
      </w:r>
      <w:r w:rsidR="00C77DAB">
        <w:t>(M</w:t>
      </w:r>
      <w:r w:rsidR="00C77DAB">
        <w:noBreakHyphen/>
        <w:t xml:space="preserve">Group vehicles) </w:t>
      </w:r>
      <w:r w:rsidR="00C77DAB" w:rsidRPr="003C5ABB">
        <w:t xml:space="preserve">certified to this </w:t>
      </w:r>
      <w:r w:rsidR="001145A8">
        <w:t>standard</w:t>
      </w:r>
      <w:r w:rsidR="00C77DAB" w:rsidRPr="003C5ABB">
        <w:t xml:space="preserve"> must also be certified to </w:t>
      </w:r>
      <w:r w:rsidR="00C77DAB">
        <w:t>each of the applicable Australian Design Rules specified in Table 2 under clause 3.9 below.</w:t>
      </w:r>
    </w:p>
    <w:p w:rsidR="00C77DAB" w:rsidRPr="003C5ABB" w:rsidRDefault="00C77DAB" w:rsidP="00C77DAB">
      <w:pPr>
        <w:pStyle w:val="Subclause"/>
      </w:pPr>
      <w:r w:rsidRPr="003C5ABB">
        <w:t xml:space="preserve">Category </w:t>
      </w:r>
      <w:r>
        <w:t xml:space="preserve">NA, </w:t>
      </w:r>
      <w:r w:rsidR="00E224CF">
        <w:t>NB</w:t>
      </w:r>
      <w:r>
        <w:t xml:space="preserve"> and NC</w:t>
      </w:r>
      <w:r w:rsidRPr="003C5ABB">
        <w:t xml:space="preserve"> vehicles </w:t>
      </w:r>
      <w:r>
        <w:t>(N</w:t>
      </w:r>
      <w:r>
        <w:noBreakHyphen/>
        <w:t xml:space="preserve">Group vehicles) </w:t>
      </w:r>
      <w:r w:rsidRPr="003C5ABB">
        <w:t xml:space="preserve">certified to this </w:t>
      </w:r>
      <w:r w:rsidR="001145A8">
        <w:t>standard</w:t>
      </w:r>
      <w:r w:rsidRPr="003C5ABB">
        <w:t xml:space="preserve"> must also be certified to </w:t>
      </w:r>
      <w:r>
        <w:t xml:space="preserve">each of the applicable </w:t>
      </w:r>
      <w:r w:rsidR="001145A8">
        <w:t>Australian </w:t>
      </w:r>
      <w:r>
        <w:t>Design Rules specified in Table 3 under clause 3.9 below.</w:t>
      </w:r>
    </w:p>
    <w:p w:rsidR="00B52E19" w:rsidRDefault="00070B0F" w:rsidP="007F4FFD">
      <w:pPr>
        <w:pStyle w:val="Subclause"/>
      </w:pPr>
      <w:r w:rsidRPr="003C5ABB">
        <w:t xml:space="preserve">Category </w:t>
      </w:r>
      <w:r>
        <w:t>TA, TB, TC and TD</w:t>
      </w:r>
      <w:r w:rsidRPr="003C5ABB">
        <w:t xml:space="preserve"> vehicles </w:t>
      </w:r>
      <w:r w:rsidR="00C77DAB">
        <w:t>(T</w:t>
      </w:r>
      <w:r w:rsidR="00C77DAB">
        <w:noBreakHyphen/>
        <w:t xml:space="preserve">Group vehicles) </w:t>
      </w:r>
      <w:r w:rsidR="00C77DAB" w:rsidRPr="003C5ABB">
        <w:t xml:space="preserve">certified to this </w:t>
      </w:r>
      <w:r w:rsidR="001145A8">
        <w:t>standard</w:t>
      </w:r>
      <w:r w:rsidR="00C77DAB" w:rsidRPr="003C5ABB">
        <w:t xml:space="preserve"> must also be certified to </w:t>
      </w:r>
      <w:r w:rsidR="00C77DAB">
        <w:t>each of the applicable Australian Design Rules specified in Table 4 under clause 3.9 below.</w:t>
      </w:r>
    </w:p>
    <w:p w:rsidR="0053166D" w:rsidRPr="00E80D12" w:rsidRDefault="0053166D" w:rsidP="0053166D">
      <w:pPr>
        <w:pStyle w:val="Subclause"/>
      </w:pPr>
      <w:r w:rsidRPr="00E80D12">
        <w:rPr>
          <w:rFonts w:cs="Arial"/>
        </w:rPr>
        <w:t xml:space="preserve">Where the requirements of a particular clause </w:t>
      </w:r>
      <w:r w:rsidR="00DC256A">
        <w:rPr>
          <w:rFonts w:cs="Arial"/>
        </w:rPr>
        <w:t xml:space="preserve">of this standard </w:t>
      </w:r>
      <w:r w:rsidRPr="00E80D12">
        <w:rPr>
          <w:rFonts w:cs="Arial"/>
        </w:rPr>
        <w:t xml:space="preserve">do not apply to all vehicles, the relevant categories are identified in the clause </w:t>
      </w:r>
      <w:r w:rsidR="00F2687F" w:rsidRPr="00E80D12">
        <w:rPr>
          <w:rFonts w:cs="Arial"/>
        </w:rPr>
        <w:t xml:space="preserve">or clause </w:t>
      </w:r>
      <w:r w:rsidRPr="00E80D12">
        <w:rPr>
          <w:rFonts w:cs="Arial"/>
        </w:rPr>
        <w:t>heading.</w:t>
      </w:r>
    </w:p>
    <w:p w:rsidR="00293615" w:rsidRPr="0091469F" w:rsidRDefault="00293615" w:rsidP="00293615">
      <w:pPr>
        <w:pStyle w:val="Subclause"/>
        <w:rPr>
          <w:rFonts w:cs="Arial"/>
        </w:rPr>
      </w:pPr>
      <w:r w:rsidRPr="0091469F">
        <w:rPr>
          <w:rFonts w:cs="Arial"/>
        </w:rPr>
        <w:br w:type="page"/>
      </w:r>
      <w:r w:rsidRPr="0091469F">
        <w:rPr>
          <w:rFonts w:cs="Arial"/>
        </w:rPr>
        <w:lastRenderedPageBreak/>
        <w:t>Applicability Table</w:t>
      </w:r>
    </w:p>
    <w:tbl>
      <w:tblPr>
        <w:tblW w:w="8642" w:type="dxa"/>
        <w:tblBorders>
          <w:insideV w:val="single" w:sz="4" w:space="0" w:color="auto"/>
        </w:tblBorders>
        <w:tblLayout w:type="fixed"/>
        <w:tblLook w:val="01E0" w:firstRow="1" w:lastRow="1" w:firstColumn="1" w:lastColumn="1" w:noHBand="0" w:noVBand="0"/>
      </w:tblPr>
      <w:tblGrid>
        <w:gridCol w:w="288"/>
        <w:gridCol w:w="2797"/>
        <w:gridCol w:w="1163"/>
        <w:gridCol w:w="1134"/>
        <w:gridCol w:w="1701"/>
        <w:gridCol w:w="1559"/>
      </w:tblGrid>
      <w:tr w:rsidR="00AE458C" w:rsidRPr="00E7422F" w:rsidTr="00AE458C">
        <w:tc>
          <w:tcPr>
            <w:tcW w:w="3085" w:type="dxa"/>
            <w:gridSpan w:val="2"/>
            <w:tcBorders>
              <w:top w:val="single" w:sz="4" w:space="0" w:color="auto"/>
              <w:left w:val="single" w:sz="4" w:space="0" w:color="auto"/>
              <w:bottom w:val="single" w:sz="4" w:space="0" w:color="auto"/>
            </w:tcBorders>
            <w:vAlign w:val="bottom"/>
          </w:tcPr>
          <w:p w:rsidR="00AE458C" w:rsidRPr="00AE458C" w:rsidRDefault="00AE458C" w:rsidP="006B30FC">
            <w:pPr>
              <w:spacing w:beforeLines="20" w:before="48" w:afterLines="20" w:after="48"/>
              <w:rPr>
                <w:b/>
                <w:sz w:val="20"/>
                <w:szCs w:val="20"/>
              </w:rPr>
            </w:pPr>
            <w:r w:rsidRPr="00AE458C">
              <w:rPr>
                <w:b/>
                <w:sz w:val="20"/>
                <w:szCs w:val="20"/>
              </w:rPr>
              <w:t>Vehicle Category</w:t>
            </w:r>
          </w:p>
        </w:tc>
        <w:tc>
          <w:tcPr>
            <w:tcW w:w="1163" w:type="dxa"/>
            <w:tcBorders>
              <w:top w:val="single" w:sz="4" w:space="0" w:color="auto"/>
              <w:bottom w:val="single" w:sz="4" w:space="0" w:color="auto"/>
            </w:tcBorders>
            <w:vAlign w:val="bottom"/>
          </w:tcPr>
          <w:p w:rsidR="00AE458C" w:rsidRPr="00AE458C" w:rsidRDefault="00AE458C" w:rsidP="006B30FC">
            <w:pPr>
              <w:spacing w:beforeLines="20" w:before="48" w:afterLines="20" w:after="48"/>
              <w:rPr>
                <w:b/>
                <w:sz w:val="20"/>
                <w:szCs w:val="20"/>
              </w:rPr>
            </w:pPr>
            <w:r w:rsidRPr="00AE458C">
              <w:rPr>
                <w:b/>
                <w:sz w:val="20"/>
                <w:szCs w:val="20"/>
              </w:rPr>
              <w:t>ADR Category Code</w:t>
            </w:r>
          </w:p>
        </w:tc>
        <w:tc>
          <w:tcPr>
            <w:tcW w:w="1134" w:type="dxa"/>
            <w:tcBorders>
              <w:top w:val="single" w:sz="4" w:space="0" w:color="auto"/>
              <w:bottom w:val="single" w:sz="4" w:space="0" w:color="auto"/>
            </w:tcBorders>
            <w:vAlign w:val="bottom"/>
          </w:tcPr>
          <w:p w:rsidR="00AE458C" w:rsidRPr="00AE458C" w:rsidRDefault="00AE458C" w:rsidP="006B30FC">
            <w:pPr>
              <w:spacing w:beforeLines="20" w:before="48" w:afterLines="20" w:after="48"/>
              <w:rPr>
                <w:b/>
                <w:sz w:val="20"/>
                <w:szCs w:val="20"/>
              </w:rPr>
            </w:pPr>
            <w:r w:rsidRPr="00A44416">
              <w:rPr>
                <w:b/>
                <w:sz w:val="20"/>
                <w:szCs w:val="20"/>
              </w:rPr>
              <w:t>UN Category Code</w:t>
            </w:r>
            <w:r w:rsidRPr="00AA5049">
              <w:rPr>
                <w:b/>
                <w:sz w:val="20"/>
                <w:szCs w:val="20"/>
                <w:vertAlign w:val="superscript"/>
              </w:rPr>
              <w:footnoteReference w:customMarkFollows="1" w:id="1"/>
              <w:sym w:font="Symbol" w:char="F02A"/>
            </w:r>
          </w:p>
        </w:tc>
        <w:tc>
          <w:tcPr>
            <w:tcW w:w="1701" w:type="dxa"/>
            <w:tcBorders>
              <w:top w:val="single" w:sz="4" w:space="0" w:color="auto"/>
              <w:bottom w:val="single" w:sz="4" w:space="0" w:color="auto"/>
            </w:tcBorders>
            <w:vAlign w:val="bottom"/>
          </w:tcPr>
          <w:p w:rsidR="00AE458C" w:rsidRPr="00AE458C" w:rsidRDefault="00AE458C" w:rsidP="006B30FC">
            <w:pPr>
              <w:spacing w:beforeLines="20" w:before="48" w:afterLines="20" w:after="48"/>
              <w:rPr>
                <w:b/>
                <w:sz w:val="20"/>
                <w:szCs w:val="20"/>
              </w:rPr>
            </w:pPr>
            <w:r w:rsidRPr="00A44416">
              <w:rPr>
                <w:b/>
                <w:sz w:val="20"/>
                <w:szCs w:val="20"/>
              </w:rPr>
              <w:t>Manufactured on or After</w:t>
            </w:r>
            <w:r w:rsidRPr="00AA5049">
              <w:rPr>
                <w:b/>
                <w:sz w:val="20"/>
                <w:szCs w:val="20"/>
                <w:vertAlign w:val="superscript"/>
              </w:rPr>
              <w:footnoteReference w:customMarkFollows="1" w:id="2"/>
              <w:t>**</w:t>
            </w:r>
          </w:p>
        </w:tc>
        <w:tc>
          <w:tcPr>
            <w:tcW w:w="1559" w:type="dxa"/>
            <w:tcBorders>
              <w:top w:val="single" w:sz="4" w:space="0" w:color="auto"/>
              <w:bottom w:val="single" w:sz="4" w:space="0" w:color="auto"/>
              <w:right w:val="single" w:sz="4" w:space="0" w:color="auto"/>
            </w:tcBorders>
            <w:vAlign w:val="bottom"/>
          </w:tcPr>
          <w:p w:rsidR="00AE458C" w:rsidRPr="00AE458C" w:rsidRDefault="00AE458C" w:rsidP="006B30FC">
            <w:pPr>
              <w:spacing w:beforeLines="20" w:before="48" w:afterLines="20" w:after="48"/>
              <w:rPr>
                <w:b/>
                <w:sz w:val="20"/>
                <w:szCs w:val="20"/>
              </w:rPr>
            </w:pPr>
            <w:r w:rsidRPr="00AE458C">
              <w:rPr>
                <w:b/>
                <w:sz w:val="20"/>
                <w:szCs w:val="20"/>
              </w:rPr>
              <w:t>Acceptable Prior Rules</w:t>
            </w:r>
          </w:p>
        </w:tc>
      </w:tr>
      <w:tr w:rsidR="00371E5F" w:rsidRPr="00E7422F" w:rsidTr="00AE458C">
        <w:tc>
          <w:tcPr>
            <w:tcW w:w="3085" w:type="dxa"/>
            <w:gridSpan w:val="2"/>
            <w:tcBorders>
              <w:top w:val="single" w:sz="4" w:space="0" w:color="auto"/>
              <w:left w:val="single" w:sz="4" w:space="0" w:color="auto"/>
            </w:tcBorders>
          </w:tcPr>
          <w:p w:rsidR="00371E5F" w:rsidRPr="00AE458C" w:rsidRDefault="00371E5F" w:rsidP="006B30FC">
            <w:pPr>
              <w:spacing w:beforeLines="20" w:before="48" w:afterLines="20" w:after="48"/>
              <w:rPr>
                <w:sz w:val="20"/>
                <w:szCs w:val="20"/>
              </w:rPr>
            </w:pPr>
            <w:r w:rsidRPr="00AE458C">
              <w:rPr>
                <w:sz w:val="20"/>
                <w:szCs w:val="20"/>
              </w:rPr>
              <w:t>Moped 2 wheels</w:t>
            </w:r>
          </w:p>
        </w:tc>
        <w:tc>
          <w:tcPr>
            <w:tcW w:w="1163" w:type="dxa"/>
            <w:tcBorders>
              <w:top w:val="single" w:sz="4" w:space="0" w:color="auto"/>
            </w:tcBorders>
          </w:tcPr>
          <w:p w:rsidR="00371E5F" w:rsidRPr="00AE458C" w:rsidRDefault="00371E5F" w:rsidP="006B30FC">
            <w:pPr>
              <w:spacing w:beforeLines="20" w:before="48" w:afterLines="20" w:after="48"/>
              <w:rPr>
                <w:sz w:val="20"/>
                <w:szCs w:val="20"/>
              </w:rPr>
            </w:pPr>
            <w:r w:rsidRPr="00AE458C">
              <w:rPr>
                <w:sz w:val="20"/>
                <w:szCs w:val="20"/>
              </w:rPr>
              <w:t>LA</w:t>
            </w:r>
          </w:p>
        </w:tc>
        <w:tc>
          <w:tcPr>
            <w:tcW w:w="1134" w:type="dxa"/>
            <w:tcBorders>
              <w:top w:val="single" w:sz="4" w:space="0" w:color="auto"/>
            </w:tcBorders>
          </w:tcPr>
          <w:p w:rsidR="00371E5F" w:rsidRPr="00AE458C" w:rsidRDefault="00371E5F" w:rsidP="006B30FC">
            <w:pPr>
              <w:spacing w:beforeLines="20" w:before="48" w:afterLines="20" w:after="48"/>
              <w:rPr>
                <w:sz w:val="20"/>
                <w:szCs w:val="20"/>
              </w:rPr>
            </w:pPr>
            <w:r w:rsidRPr="00AE458C">
              <w:rPr>
                <w:sz w:val="20"/>
                <w:szCs w:val="20"/>
              </w:rPr>
              <w:t>L1</w:t>
            </w:r>
          </w:p>
        </w:tc>
        <w:tc>
          <w:tcPr>
            <w:tcW w:w="1701" w:type="dxa"/>
            <w:tcBorders>
              <w:top w:val="single" w:sz="4" w:space="0" w:color="auto"/>
            </w:tcBorders>
          </w:tcPr>
          <w:p w:rsidR="00371E5F" w:rsidRPr="00AE458C" w:rsidRDefault="00371E5F" w:rsidP="006B30FC">
            <w:pPr>
              <w:spacing w:beforeLines="20" w:before="48" w:afterLines="20" w:after="48"/>
              <w:rPr>
                <w:sz w:val="20"/>
                <w:szCs w:val="20"/>
              </w:rPr>
            </w:pPr>
            <w:r w:rsidRPr="00AE458C">
              <w:rPr>
                <w:sz w:val="20"/>
                <w:szCs w:val="20"/>
              </w:rPr>
              <w:t>1 July 2019</w:t>
            </w:r>
          </w:p>
        </w:tc>
        <w:tc>
          <w:tcPr>
            <w:tcW w:w="1559" w:type="dxa"/>
            <w:tcBorders>
              <w:top w:val="single" w:sz="4" w:space="0" w:color="auto"/>
              <w:right w:val="single" w:sz="4" w:space="0" w:color="auto"/>
            </w:tcBorders>
          </w:tcPr>
          <w:p w:rsidR="00371E5F" w:rsidRPr="00AE458C" w:rsidRDefault="00371E5F" w:rsidP="006B30FC">
            <w:pPr>
              <w:spacing w:beforeLines="20" w:before="48" w:afterLines="20" w:after="48"/>
              <w:rPr>
                <w:sz w:val="20"/>
                <w:szCs w:val="20"/>
              </w:rPr>
            </w:pPr>
            <w:r w:rsidRPr="00FF7FFB">
              <w:rPr>
                <w:sz w:val="20"/>
                <w:szCs w:val="20"/>
              </w:rPr>
              <w:t>See clause 3.1.2</w:t>
            </w:r>
            <w:r>
              <w:rPr>
                <w:sz w:val="20"/>
                <w:szCs w:val="20"/>
              </w:rPr>
              <w:t>.</w:t>
            </w:r>
          </w:p>
        </w:tc>
      </w:tr>
      <w:tr w:rsidR="00293615" w:rsidRPr="00E7422F" w:rsidTr="00AE458C">
        <w:tc>
          <w:tcPr>
            <w:tcW w:w="3085" w:type="dxa"/>
            <w:gridSpan w:val="2"/>
            <w:tcBorders>
              <w:left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Moped 3 wheels</w:t>
            </w:r>
          </w:p>
        </w:tc>
        <w:tc>
          <w:tcPr>
            <w:tcW w:w="1163" w:type="dxa"/>
          </w:tcPr>
          <w:p w:rsidR="00293615" w:rsidRPr="00AE458C" w:rsidRDefault="00293615" w:rsidP="006B30FC">
            <w:pPr>
              <w:spacing w:beforeLines="20" w:before="48" w:afterLines="20" w:after="48"/>
              <w:rPr>
                <w:sz w:val="20"/>
                <w:szCs w:val="20"/>
              </w:rPr>
            </w:pPr>
            <w:r w:rsidRPr="00AE458C">
              <w:rPr>
                <w:sz w:val="20"/>
                <w:szCs w:val="20"/>
              </w:rPr>
              <w:t>LB</w:t>
            </w:r>
          </w:p>
        </w:tc>
        <w:tc>
          <w:tcPr>
            <w:tcW w:w="1134" w:type="dxa"/>
          </w:tcPr>
          <w:p w:rsidR="00293615" w:rsidRPr="00AE458C" w:rsidRDefault="00293615" w:rsidP="006B30FC">
            <w:pPr>
              <w:spacing w:beforeLines="20" w:before="48" w:afterLines="20" w:after="48"/>
              <w:rPr>
                <w:sz w:val="20"/>
                <w:szCs w:val="20"/>
              </w:rPr>
            </w:pPr>
            <w:r w:rsidRPr="00AE458C">
              <w:rPr>
                <w:sz w:val="20"/>
                <w:szCs w:val="20"/>
              </w:rPr>
              <w:t>L2</w:t>
            </w:r>
          </w:p>
        </w:tc>
        <w:tc>
          <w:tcPr>
            <w:tcW w:w="1701" w:type="dxa"/>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293615" w:rsidRPr="00AE458C" w:rsidRDefault="00AE458C" w:rsidP="006B30FC">
            <w:pPr>
              <w:spacing w:beforeLines="20" w:before="48" w:afterLines="20" w:after="48"/>
              <w:rPr>
                <w:sz w:val="20"/>
                <w:szCs w:val="20"/>
              </w:rPr>
            </w:pPr>
            <w:r w:rsidRPr="00AE458C">
              <w:rPr>
                <w:sz w:val="20"/>
                <w:szCs w:val="20"/>
              </w:rPr>
              <w:t>See clause 3.1.2</w:t>
            </w:r>
            <w:r w:rsidR="00F62677">
              <w:rPr>
                <w:sz w:val="20"/>
                <w:szCs w:val="20"/>
              </w:rPr>
              <w:t>.</w:t>
            </w:r>
          </w:p>
        </w:tc>
      </w:tr>
      <w:tr w:rsidR="00371E5F" w:rsidRPr="00E7422F" w:rsidTr="00AE458C">
        <w:tc>
          <w:tcPr>
            <w:tcW w:w="3085" w:type="dxa"/>
            <w:gridSpan w:val="2"/>
            <w:tcBorders>
              <w:left w:val="single" w:sz="4" w:space="0" w:color="auto"/>
            </w:tcBorders>
          </w:tcPr>
          <w:p w:rsidR="00371E5F" w:rsidRPr="00AE458C" w:rsidRDefault="0040119A" w:rsidP="006B30FC">
            <w:pPr>
              <w:spacing w:beforeLines="20" w:before="48" w:afterLines="20" w:after="48"/>
              <w:rPr>
                <w:sz w:val="20"/>
                <w:szCs w:val="20"/>
              </w:rPr>
            </w:pPr>
            <w:r>
              <w:rPr>
                <w:sz w:val="20"/>
                <w:szCs w:val="20"/>
              </w:rPr>
              <w:t>Motor</w:t>
            </w:r>
            <w:r w:rsidR="00371E5F" w:rsidRPr="00AE458C">
              <w:rPr>
                <w:sz w:val="20"/>
                <w:szCs w:val="20"/>
              </w:rPr>
              <w:t>cycle</w:t>
            </w:r>
          </w:p>
        </w:tc>
        <w:tc>
          <w:tcPr>
            <w:tcW w:w="1163" w:type="dxa"/>
          </w:tcPr>
          <w:p w:rsidR="00371E5F" w:rsidRPr="00AE458C" w:rsidRDefault="00371E5F" w:rsidP="006B30FC">
            <w:pPr>
              <w:spacing w:beforeLines="20" w:before="48" w:afterLines="20" w:after="48"/>
              <w:rPr>
                <w:sz w:val="20"/>
                <w:szCs w:val="20"/>
              </w:rPr>
            </w:pPr>
            <w:r w:rsidRPr="00AE458C">
              <w:rPr>
                <w:sz w:val="20"/>
                <w:szCs w:val="20"/>
              </w:rPr>
              <w:t>LC</w:t>
            </w:r>
          </w:p>
        </w:tc>
        <w:tc>
          <w:tcPr>
            <w:tcW w:w="1134" w:type="dxa"/>
          </w:tcPr>
          <w:p w:rsidR="00371E5F" w:rsidRPr="00AE458C" w:rsidRDefault="00371E5F" w:rsidP="006B30FC">
            <w:pPr>
              <w:spacing w:beforeLines="20" w:before="48" w:afterLines="20" w:after="48"/>
              <w:rPr>
                <w:sz w:val="20"/>
                <w:szCs w:val="20"/>
              </w:rPr>
            </w:pPr>
            <w:r w:rsidRPr="00AE458C">
              <w:rPr>
                <w:sz w:val="20"/>
                <w:szCs w:val="20"/>
              </w:rPr>
              <w:t>L3</w:t>
            </w:r>
          </w:p>
        </w:tc>
        <w:tc>
          <w:tcPr>
            <w:tcW w:w="1701" w:type="dxa"/>
          </w:tcPr>
          <w:p w:rsidR="00371E5F" w:rsidRPr="00AE458C" w:rsidRDefault="00371E5F"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371E5F" w:rsidRPr="00AE458C" w:rsidRDefault="00371E5F" w:rsidP="006B30FC">
            <w:pPr>
              <w:spacing w:beforeLines="20" w:before="48" w:afterLines="20" w:after="48"/>
              <w:rPr>
                <w:sz w:val="20"/>
                <w:szCs w:val="20"/>
              </w:rPr>
            </w:pPr>
            <w:r w:rsidRPr="00FF7FFB">
              <w:rPr>
                <w:sz w:val="20"/>
                <w:szCs w:val="20"/>
              </w:rPr>
              <w:t>See clause 3.1.2</w:t>
            </w:r>
            <w:r>
              <w:rPr>
                <w:sz w:val="20"/>
                <w:szCs w:val="20"/>
              </w:rPr>
              <w:t>.</w:t>
            </w:r>
          </w:p>
        </w:tc>
      </w:tr>
      <w:tr w:rsidR="00AE458C" w:rsidRPr="00E7422F" w:rsidTr="00AE458C">
        <w:tc>
          <w:tcPr>
            <w:tcW w:w="3085" w:type="dxa"/>
            <w:gridSpan w:val="2"/>
            <w:tcBorders>
              <w:left w:val="single" w:sz="4" w:space="0" w:color="auto"/>
            </w:tcBorders>
          </w:tcPr>
          <w:p w:rsidR="00AE458C" w:rsidRPr="00AE458C" w:rsidRDefault="0040119A" w:rsidP="006B30FC">
            <w:pPr>
              <w:spacing w:beforeLines="20" w:before="48" w:afterLines="20" w:after="48"/>
              <w:rPr>
                <w:sz w:val="20"/>
                <w:szCs w:val="20"/>
              </w:rPr>
            </w:pPr>
            <w:r>
              <w:rPr>
                <w:sz w:val="20"/>
                <w:szCs w:val="20"/>
              </w:rPr>
              <w:t>Motor</w:t>
            </w:r>
            <w:r w:rsidR="00AE458C" w:rsidRPr="00AE458C">
              <w:rPr>
                <w:sz w:val="20"/>
                <w:szCs w:val="20"/>
              </w:rPr>
              <w:t>cycle and sidecar</w:t>
            </w:r>
          </w:p>
        </w:tc>
        <w:tc>
          <w:tcPr>
            <w:tcW w:w="1163" w:type="dxa"/>
          </w:tcPr>
          <w:p w:rsidR="00AE458C" w:rsidRPr="00AE458C" w:rsidRDefault="00AE458C" w:rsidP="006B30FC">
            <w:pPr>
              <w:spacing w:beforeLines="20" w:before="48" w:afterLines="20" w:after="48"/>
              <w:rPr>
                <w:sz w:val="20"/>
                <w:szCs w:val="20"/>
              </w:rPr>
            </w:pPr>
            <w:r w:rsidRPr="00AE458C">
              <w:rPr>
                <w:sz w:val="20"/>
                <w:szCs w:val="20"/>
              </w:rPr>
              <w:t>LD</w:t>
            </w:r>
          </w:p>
        </w:tc>
        <w:tc>
          <w:tcPr>
            <w:tcW w:w="1134" w:type="dxa"/>
          </w:tcPr>
          <w:p w:rsidR="00AE458C" w:rsidRPr="00AE458C" w:rsidRDefault="00AE458C" w:rsidP="006B30FC">
            <w:pPr>
              <w:spacing w:beforeLines="20" w:before="48" w:afterLines="20" w:after="48"/>
              <w:rPr>
                <w:sz w:val="20"/>
                <w:szCs w:val="20"/>
              </w:rPr>
            </w:pPr>
            <w:r w:rsidRPr="00AE458C">
              <w:rPr>
                <w:sz w:val="20"/>
                <w:szCs w:val="20"/>
              </w:rPr>
              <w:t>L4</w:t>
            </w:r>
          </w:p>
        </w:tc>
        <w:tc>
          <w:tcPr>
            <w:tcW w:w="1701" w:type="dxa"/>
          </w:tcPr>
          <w:p w:rsidR="00AE458C" w:rsidRPr="00AE458C" w:rsidRDefault="00AE458C"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AE458C" w:rsidRPr="00AE458C" w:rsidRDefault="00AE458C" w:rsidP="006B30FC">
            <w:pPr>
              <w:spacing w:beforeLines="20" w:before="48" w:afterLines="20" w:after="48"/>
              <w:rPr>
                <w:sz w:val="20"/>
                <w:szCs w:val="20"/>
              </w:rPr>
            </w:pPr>
            <w:r w:rsidRPr="00FF7FFB">
              <w:rPr>
                <w:sz w:val="20"/>
                <w:szCs w:val="20"/>
              </w:rPr>
              <w:t>See clause 3.1.2</w:t>
            </w:r>
            <w:r w:rsidR="00F62677">
              <w:rPr>
                <w:sz w:val="20"/>
                <w:szCs w:val="20"/>
              </w:rPr>
              <w:t>.</w:t>
            </w:r>
          </w:p>
        </w:tc>
      </w:tr>
      <w:tr w:rsidR="00AE458C" w:rsidRPr="00E7422F" w:rsidTr="00AE458C">
        <w:tc>
          <w:tcPr>
            <w:tcW w:w="3085" w:type="dxa"/>
            <w:gridSpan w:val="2"/>
            <w:tcBorders>
              <w:left w:val="single" w:sz="4" w:space="0" w:color="auto"/>
            </w:tcBorders>
          </w:tcPr>
          <w:p w:rsidR="00AE458C" w:rsidRPr="00AE458C" w:rsidRDefault="00AE458C" w:rsidP="006B30FC">
            <w:pPr>
              <w:spacing w:beforeLines="20" w:before="48" w:afterLines="20" w:after="48"/>
              <w:rPr>
                <w:sz w:val="20"/>
                <w:szCs w:val="20"/>
              </w:rPr>
            </w:pPr>
            <w:r w:rsidRPr="00AE458C">
              <w:rPr>
                <w:sz w:val="20"/>
                <w:szCs w:val="20"/>
              </w:rPr>
              <w:t>Motor tricycle</w:t>
            </w:r>
          </w:p>
        </w:tc>
        <w:tc>
          <w:tcPr>
            <w:tcW w:w="1163" w:type="dxa"/>
          </w:tcPr>
          <w:p w:rsidR="00AE458C" w:rsidRPr="00AE458C" w:rsidRDefault="00AE458C" w:rsidP="006B30FC">
            <w:pPr>
              <w:spacing w:beforeLines="20" w:before="48" w:afterLines="20" w:after="48"/>
              <w:rPr>
                <w:sz w:val="20"/>
                <w:szCs w:val="20"/>
              </w:rPr>
            </w:pPr>
            <w:r w:rsidRPr="00AE458C">
              <w:rPr>
                <w:sz w:val="20"/>
                <w:szCs w:val="20"/>
              </w:rPr>
              <w:t>LE</w:t>
            </w:r>
          </w:p>
        </w:tc>
        <w:tc>
          <w:tcPr>
            <w:tcW w:w="1134" w:type="dxa"/>
          </w:tcPr>
          <w:p w:rsidR="00AE458C" w:rsidRPr="00AE458C" w:rsidRDefault="00AE458C" w:rsidP="006B30FC">
            <w:pPr>
              <w:spacing w:beforeLines="20" w:before="48" w:afterLines="20" w:after="48"/>
              <w:rPr>
                <w:sz w:val="20"/>
                <w:szCs w:val="20"/>
              </w:rPr>
            </w:pPr>
            <w:r w:rsidRPr="00AE458C">
              <w:rPr>
                <w:sz w:val="20"/>
                <w:szCs w:val="20"/>
              </w:rPr>
              <w:t>L5</w:t>
            </w:r>
          </w:p>
        </w:tc>
        <w:tc>
          <w:tcPr>
            <w:tcW w:w="1701" w:type="dxa"/>
          </w:tcPr>
          <w:p w:rsidR="00AE458C" w:rsidRPr="00AE458C" w:rsidRDefault="00AE458C" w:rsidP="006B30FC">
            <w:pPr>
              <w:spacing w:beforeLines="20" w:before="48" w:afterLines="20" w:after="48"/>
              <w:rPr>
                <w:sz w:val="20"/>
                <w:szCs w:val="20"/>
              </w:rPr>
            </w:pPr>
          </w:p>
        </w:tc>
        <w:tc>
          <w:tcPr>
            <w:tcW w:w="1559" w:type="dxa"/>
            <w:tcBorders>
              <w:right w:val="single" w:sz="4" w:space="0" w:color="auto"/>
            </w:tcBorders>
          </w:tcPr>
          <w:p w:rsidR="00AE458C" w:rsidRPr="00AE458C" w:rsidRDefault="00AE458C" w:rsidP="006B30FC">
            <w:pPr>
              <w:spacing w:beforeLines="20" w:before="48" w:afterLines="20" w:after="48"/>
              <w:rPr>
                <w:sz w:val="20"/>
                <w:szCs w:val="20"/>
              </w:rPr>
            </w:pPr>
          </w:p>
        </w:tc>
      </w:tr>
      <w:tr w:rsidR="00293615" w:rsidRPr="00E7422F" w:rsidTr="00AE458C">
        <w:tc>
          <w:tcPr>
            <w:tcW w:w="3085" w:type="dxa"/>
            <w:gridSpan w:val="2"/>
            <w:tcBorders>
              <w:left w:val="single" w:sz="4" w:space="0" w:color="auto"/>
            </w:tcBorders>
          </w:tcPr>
          <w:p w:rsidR="00293615" w:rsidRPr="00AE458C" w:rsidRDefault="00293615" w:rsidP="006B30FC">
            <w:pPr>
              <w:spacing w:beforeLines="20" w:before="48" w:afterLines="20" w:after="48"/>
              <w:rPr>
                <w:sz w:val="20"/>
                <w:szCs w:val="20"/>
              </w:rPr>
            </w:pPr>
          </w:p>
        </w:tc>
        <w:tc>
          <w:tcPr>
            <w:tcW w:w="1163" w:type="dxa"/>
          </w:tcPr>
          <w:p w:rsidR="00293615" w:rsidRPr="00AE458C" w:rsidRDefault="00293615" w:rsidP="006B30FC">
            <w:pPr>
              <w:spacing w:beforeLines="20" w:before="48" w:afterLines="20" w:after="48"/>
              <w:rPr>
                <w:sz w:val="20"/>
                <w:szCs w:val="20"/>
              </w:rPr>
            </w:pPr>
            <w:r w:rsidRPr="00AE458C">
              <w:rPr>
                <w:sz w:val="20"/>
                <w:szCs w:val="20"/>
              </w:rPr>
              <w:t xml:space="preserve">   LEM</w:t>
            </w:r>
          </w:p>
        </w:tc>
        <w:tc>
          <w:tcPr>
            <w:tcW w:w="1134" w:type="dxa"/>
          </w:tcPr>
          <w:p w:rsidR="00293615" w:rsidRPr="00AE458C" w:rsidRDefault="00293615" w:rsidP="006B30FC">
            <w:pPr>
              <w:spacing w:beforeLines="20" w:before="48" w:afterLines="20" w:after="48"/>
              <w:rPr>
                <w:sz w:val="20"/>
                <w:szCs w:val="20"/>
              </w:rPr>
            </w:pPr>
          </w:p>
        </w:tc>
        <w:tc>
          <w:tcPr>
            <w:tcW w:w="1701" w:type="dxa"/>
          </w:tcPr>
          <w:p w:rsidR="00293615" w:rsidRPr="00AE458C" w:rsidRDefault="00AE458C"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293615" w:rsidRPr="00AE458C" w:rsidRDefault="007F2193" w:rsidP="006B30FC">
            <w:pPr>
              <w:spacing w:beforeLines="20" w:before="48" w:afterLines="20" w:after="48"/>
              <w:rPr>
                <w:sz w:val="20"/>
                <w:szCs w:val="20"/>
              </w:rPr>
            </w:pPr>
            <w:r w:rsidRPr="00FF7FFB">
              <w:rPr>
                <w:sz w:val="20"/>
                <w:szCs w:val="20"/>
              </w:rPr>
              <w:t>See clause 3.1.2</w:t>
            </w:r>
            <w:r w:rsidR="00F62677">
              <w:rPr>
                <w:sz w:val="20"/>
                <w:szCs w:val="20"/>
              </w:rPr>
              <w:t>.</w:t>
            </w:r>
          </w:p>
        </w:tc>
      </w:tr>
      <w:tr w:rsidR="00293615" w:rsidRPr="00E7422F" w:rsidTr="00AE458C">
        <w:tc>
          <w:tcPr>
            <w:tcW w:w="3085" w:type="dxa"/>
            <w:gridSpan w:val="2"/>
            <w:tcBorders>
              <w:left w:val="single" w:sz="4" w:space="0" w:color="auto"/>
            </w:tcBorders>
          </w:tcPr>
          <w:p w:rsidR="00293615" w:rsidRPr="00AE458C" w:rsidRDefault="00293615" w:rsidP="006B30FC">
            <w:pPr>
              <w:spacing w:beforeLines="20" w:before="48" w:afterLines="20" w:after="48"/>
              <w:rPr>
                <w:sz w:val="20"/>
                <w:szCs w:val="20"/>
              </w:rPr>
            </w:pPr>
          </w:p>
        </w:tc>
        <w:tc>
          <w:tcPr>
            <w:tcW w:w="1163" w:type="dxa"/>
          </w:tcPr>
          <w:p w:rsidR="00293615" w:rsidRPr="00AE458C" w:rsidRDefault="00293615" w:rsidP="006B30FC">
            <w:pPr>
              <w:spacing w:beforeLines="20" w:before="48" w:afterLines="20" w:after="48"/>
              <w:rPr>
                <w:sz w:val="20"/>
                <w:szCs w:val="20"/>
              </w:rPr>
            </w:pPr>
            <w:r w:rsidRPr="00AE458C">
              <w:rPr>
                <w:sz w:val="20"/>
                <w:szCs w:val="20"/>
              </w:rPr>
              <w:t xml:space="preserve">   LEP</w:t>
            </w:r>
          </w:p>
        </w:tc>
        <w:tc>
          <w:tcPr>
            <w:tcW w:w="1134" w:type="dxa"/>
          </w:tcPr>
          <w:p w:rsidR="00293615" w:rsidRPr="00AE458C" w:rsidRDefault="00293615" w:rsidP="006B30FC">
            <w:pPr>
              <w:spacing w:beforeLines="20" w:before="48" w:afterLines="20" w:after="48"/>
              <w:rPr>
                <w:sz w:val="20"/>
                <w:szCs w:val="20"/>
              </w:rPr>
            </w:pPr>
          </w:p>
        </w:tc>
        <w:tc>
          <w:tcPr>
            <w:tcW w:w="1701" w:type="dxa"/>
          </w:tcPr>
          <w:p w:rsidR="00293615" w:rsidRPr="00AE458C" w:rsidRDefault="00AE458C"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293615" w:rsidRPr="00AE458C" w:rsidRDefault="007F2193" w:rsidP="006B30FC">
            <w:pPr>
              <w:spacing w:beforeLines="20" w:before="48" w:afterLines="20" w:after="48"/>
              <w:rPr>
                <w:sz w:val="20"/>
                <w:szCs w:val="20"/>
              </w:rPr>
            </w:pPr>
            <w:r w:rsidRPr="00FF7FFB">
              <w:rPr>
                <w:sz w:val="20"/>
                <w:szCs w:val="20"/>
              </w:rPr>
              <w:t>See clause 3.1.2</w:t>
            </w:r>
            <w:r w:rsidR="00F62677">
              <w:rPr>
                <w:sz w:val="20"/>
                <w:szCs w:val="20"/>
              </w:rPr>
              <w:t>.</w:t>
            </w:r>
          </w:p>
        </w:tc>
      </w:tr>
      <w:tr w:rsidR="00293615" w:rsidRPr="00E7422F" w:rsidTr="00AE458C">
        <w:tc>
          <w:tcPr>
            <w:tcW w:w="3085" w:type="dxa"/>
            <w:gridSpan w:val="2"/>
            <w:tcBorders>
              <w:left w:val="single" w:sz="4" w:space="0" w:color="auto"/>
              <w:bottom w:val="single" w:sz="4" w:space="0" w:color="auto"/>
            </w:tcBorders>
          </w:tcPr>
          <w:p w:rsidR="00293615" w:rsidRPr="00AE458C" w:rsidRDefault="00293615" w:rsidP="006B30FC">
            <w:pPr>
              <w:spacing w:beforeLines="20" w:before="48" w:afterLines="20" w:after="48"/>
              <w:rPr>
                <w:sz w:val="20"/>
                <w:szCs w:val="20"/>
              </w:rPr>
            </w:pPr>
          </w:p>
        </w:tc>
        <w:tc>
          <w:tcPr>
            <w:tcW w:w="1163" w:type="dxa"/>
            <w:tcBorders>
              <w:bottom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 xml:space="preserve">   LEG</w:t>
            </w:r>
          </w:p>
        </w:tc>
        <w:tc>
          <w:tcPr>
            <w:tcW w:w="1134" w:type="dxa"/>
            <w:tcBorders>
              <w:bottom w:val="single" w:sz="4" w:space="0" w:color="auto"/>
            </w:tcBorders>
          </w:tcPr>
          <w:p w:rsidR="00293615" w:rsidRPr="00AE458C" w:rsidRDefault="00293615" w:rsidP="006B30FC">
            <w:pPr>
              <w:spacing w:beforeLines="20" w:before="48" w:afterLines="20" w:after="48"/>
              <w:rPr>
                <w:sz w:val="20"/>
                <w:szCs w:val="20"/>
              </w:rPr>
            </w:pPr>
          </w:p>
        </w:tc>
        <w:tc>
          <w:tcPr>
            <w:tcW w:w="1701" w:type="dxa"/>
            <w:tcBorders>
              <w:bottom w:val="single" w:sz="4" w:space="0" w:color="auto"/>
            </w:tcBorders>
          </w:tcPr>
          <w:p w:rsidR="00293615" w:rsidRPr="00AE458C" w:rsidRDefault="00AE458C" w:rsidP="006B30FC">
            <w:pPr>
              <w:spacing w:beforeLines="20" w:before="48" w:afterLines="20" w:after="48"/>
              <w:rPr>
                <w:sz w:val="20"/>
                <w:szCs w:val="20"/>
              </w:rPr>
            </w:pPr>
            <w:r w:rsidRPr="00AE458C">
              <w:rPr>
                <w:sz w:val="20"/>
                <w:szCs w:val="20"/>
              </w:rPr>
              <w:t>1 July 2019</w:t>
            </w:r>
          </w:p>
        </w:tc>
        <w:tc>
          <w:tcPr>
            <w:tcW w:w="1559" w:type="dxa"/>
            <w:tcBorders>
              <w:bottom w:val="single" w:sz="4" w:space="0" w:color="auto"/>
              <w:right w:val="single" w:sz="4" w:space="0" w:color="auto"/>
            </w:tcBorders>
          </w:tcPr>
          <w:p w:rsidR="00293615" w:rsidRPr="00AE458C" w:rsidRDefault="007F2193" w:rsidP="006B30FC">
            <w:pPr>
              <w:spacing w:beforeLines="20" w:before="48" w:afterLines="20" w:after="48"/>
              <w:rPr>
                <w:sz w:val="20"/>
                <w:szCs w:val="20"/>
              </w:rPr>
            </w:pPr>
            <w:r w:rsidRPr="00FF7FFB">
              <w:rPr>
                <w:sz w:val="20"/>
                <w:szCs w:val="20"/>
              </w:rPr>
              <w:t>See clause 3.1.2</w:t>
            </w:r>
            <w:r w:rsidR="00F62677">
              <w:rPr>
                <w:sz w:val="20"/>
                <w:szCs w:val="20"/>
              </w:rPr>
              <w:t>.</w:t>
            </w:r>
          </w:p>
        </w:tc>
      </w:tr>
      <w:tr w:rsidR="00AE458C" w:rsidRPr="00E7422F" w:rsidTr="00AE458C">
        <w:tc>
          <w:tcPr>
            <w:tcW w:w="3085" w:type="dxa"/>
            <w:gridSpan w:val="2"/>
            <w:tcBorders>
              <w:top w:val="single" w:sz="4" w:space="0" w:color="auto"/>
              <w:left w:val="single" w:sz="4" w:space="0" w:color="auto"/>
            </w:tcBorders>
          </w:tcPr>
          <w:p w:rsidR="00AE458C" w:rsidRPr="00AE458C" w:rsidRDefault="00AE458C" w:rsidP="006B30FC">
            <w:pPr>
              <w:spacing w:beforeLines="20" w:before="48" w:afterLines="20" w:after="48"/>
              <w:rPr>
                <w:sz w:val="20"/>
                <w:szCs w:val="20"/>
              </w:rPr>
            </w:pPr>
            <w:r w:rsidRPr="00AE458C">
              <w:rPr>
                <w:sz w:val="20"/>
                <w:szCs w:val="20"/>
              </w:rPr>
              <w:t>Passenger car</w:t>
            </w:r>
          </w:p>
        </w:tc>
        <w:tc>
          <w:tcPr>
            <w:tcW w:w="1163" w:type="dxa"/>
            <w:tcBorders>
              <w:top w:val="single" w:sz="4" w:space="0" w:color="auto"/>
            </w:tcBorders>
          </w:tcPr>
          <w:p w:rsidR="00AE458C" w:rsidRPr="00AE458C" w:rsidRDefault="00AE458C" w:rsidP="006B30FC">
            <w:pPr>
              <w:spacing w:beforeLines="20" w:before="48" w:afterLines="20" w:after="48"/>
              <w:rPr>
                <w:sz w:val="20"/>
                <w:szCs w:val="20"/>
              </w:rPr>
            </w:pPr>
            <w:r w:rsidRPr="00AE458C">
              <w:rPr>
                <w:sz w:val="20"/>
                <w:szCs w:val="20"/>
              </w:rPr>
              <w:t>MA</w:t>
            </w:r>
          </w:p>
        </w:tc>
        <w:tc>
          <w:tcPr>
            <w:tcW w:w="1134" w:type="dxa"/>
            <w:tcBorders>
              <w:top w:val="single" w:sz="4" w:space="0" w:color="auto"/>
            </w:tcBorders>
          </w:tcPr>
          <w:p w:rsidR="00AE458C" w:rsidRPr="00AE458C" w:rsidRDefault="00AE458C" w:rsidP="006B30FC">
            <w:pPr>
              <w:spacing w:beforeLines="20" w:before="48" w:afterLines="20" w:after="48"/>
              <w:rPr>
                <w:sz w:val="20"/>
                <w:szCs w:val="20"/>
              </w:rPr>
            </w:pPr>
            <w:r w:rsidRPr="00AE458C">
              <w:rPr>
                <w:sz w:val="20"/>
                <w:szCs w:val="20"/>
              </w:rPr>
              <w:t>M1</w:t>
            </w:r>
          </w:p>
        </w:tc>
        <w:tc>
          <w:tcPr>
            <w:tcW w:w="1701" w:type="dxa"/>
            <w:tcBorders>
              <w:top w:val="single" w:sz="4" w:space="0" w:color="auto"/>
            </w:tcBorders>
          </w:tcPr>
          <w:p w:rsidR="00AE458C" w:rsidRPr="00AE458C" w:rsidRDefault="00AE458C" w:rsidP="006B30FC">
            <w:pPr>
              <w:spacing w:beforeLines="20" w:before="48" w:afterLines="20" w:after="48"/>
              <w:rPr>
                <w:sz w:val="20"/>
                <w:szCs w:val="20"/>
              </w:rPr>
            </w:pPr>
            <w:r w:rsidRPr="00AE458C">
              <w:rPr>
                <w:sz w:val="20"/>
                <w:szCs w:val="20"/>
              </w:rPr>
              <w:t>1 July 2019</w:t>
            </w:r>
          </w:p>
        </w:tc>
        <w:tc>
          <w:tcPr>
            <w:tcW w:w="1559" w:type="dxa"/>
            <w:tcBorders>
              <w:top w:val="single" w:sz="4" w:space="0" w:color="auto"/>
              <w:right w:val="single" w:sz="4" w:space="0" w:color="auto"/>
            </w:tcBorders>
          </w:tcPr>
          <w:p w:rsidR="00AE458C" w:rsidRPr="00AE458C" w:rsidRDefault="00AE458C" w:rsidP="006B30FC">
            <w:pPr>
              <w:spacing w:beforeLines="20" w:before="48" w:afterLines="20" w:after="48"/>
              <w:rPr>
                <w:sz w:val="20"/>
                <w:szCs w:val="20"/>
              </w:rPr>
            </w:pPr>
            <w:r w:rsidRPr="001246E3">
              <w:rPr>
                <w:sz w:val="20"/>
                <w:szCs w:val="20"/>
              </w:rPr>
              <w:t>See clause 3.1.2</w:t>
            </w:r>
            <w:r w:rsidR="00F62677">
              <w:rPr>
                <w:sz w:val="20"/>
                <w:szCs w:val="20"/>
              </w:rPr>
              <w:t>.</w:t>
            </w:r>
          </w:p>
        </w:tc>
      </w:tr>
      <w:tr w:rsidR="00AE458C" w:rsidRPr="00E7422F" w:rsidTr="00AE458C">
        <w:tc>
          <w:tcPr>
            <w:tcW w:w="3085" w:type="dxa"/>
            <w:gridSpan w:val="2"/>
            <w:tcBorders>
              <w:left w:val="single" w:sz="4" w:space="0" w:color="auto"/>
            </w:tcBorders>
          </w:tcPr>
          <w:p w:rsidR="00AE458C" w:rsidRPr="00AE458C" w:rsidRDefault="00AE458C" w:rsidP="006B30FC">
            <w:pPr>
              <w:spacing w:beforeLines="20" w:before="48" w:afterLines="20" w:after="48"/>
              <w:rPr>
                <w:sz w:val="20"/>
                <w:szCs w:val="20"/>
              </w:rPr>
            </w:pPr>
            <w:r w:rsidRPr="00AE458C">
              <w:rPr>
                <w:sz w:val="20"/>
                <w:szCs w:val="20"/>
              </w:rPr>
              <w:t>Forward-control passenger vehicle</w:t>
            </w:r>
          </w:p>
        </w:tc>
        <w:tc>
          <w:tcPr>
            <w:tcW w:w="1163" w:type="dxa"/>
          </w:tcPr>
          <w:p w:rsidR="00AE458C" w:rsidRPr="00AE458C" w:rsidRDefault="00AE458C" w:rsidP="006B30FC">
            <w:pPr>
              <w:spacing w:beforeLines="20" w:before="48" w:afterLines="20" w:after="48"/>
              <w:rPr>
                <w:sz w:val="20"/>
                <w:szCs w:val="20"/>
              </w:rPr>
            </w:pPr>
            <w:r w:rsidRPr="00AE458C">
              <w:rPr>
                <w:sz w:val="20"/>
                <w:szCs w:val="20"/>
              </w:rPr>
              <w:t>MB</w:t>
            </w:r>
          </w:p>
        </w:tc>
        <w:tc>
          <w:tcPr>
            <w:tcW w:w="1134" w:type="dxa"/>
          </w:tcPr>
          <w:p w:rsidR="00AE458C" w:rsidRPr="00AE458C" w:rsidRDefault="00AE458C" w:rsidP="006B30FC">
            <w:pPr>
              <w:spacing w:beforeLines="20" w:before="48" w:afterLines="20" w:after="48"/>
              <w:rPr>
                <w:sz w:val="20"/>
                <w:szCs w:val="20"/>
              </w:rPr>
            </w:pPr>
            <w:r w:rsidRPr="00AE458C">
              <w:rPr>
                <w:sz w:val="20"/>
                <w:szCs w:val="20"/>
              </w:rPr>
              <w:t>M1</w:t>
            </w:r>
          </w:p>
        </w:tc>
        <w:tc>
          <w:tcPr>
            <w:tcW w:w="1701" w:type="dxa"/>
          </w:tcPr>
          <w:p w:rsidR="00AE458C" w:rsidRPr="00AE458C" w:rsidRDefault="00AE458C"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AE458C" w:rsidRPr="00AE458C" w:rsidRDefault="00AE458C" w:rsidP="006B30FC">
            <w:pPr>
              <w:spacing w:beforeLines="20" w:before="48" w:afterLines="20" w:after="48"/>
              <w:rPr>
                <w:sz w:val="20"/>
                <w:szCs w:val="20"/>
              </w:rPr>
            </w:pPr>
            <w:r w:rsidRPr="001246E3">
              <w:rPr>
                <w:sz w:val="20"/>
                <w:szCs w:val="20"/>
              </w:rPr>
              <w:t>See clause 3.1.2</w:t>
            </w:r>
            <w:r w:rsidR="00F62677">
              <w:rPr>
                <w:sz w:val="20"/>
                <w:szCs w:val="20"/>
              </w:rPr>
              <w:t>.</w:t>
            </w:r>
          </w:p>
        </w:tc>
      </w:tr>
      <w:tr w:rsidR="00AE458C" w:rsidRPr="00E7422F" w:rsidTr="00AE458C">
        <w:tc>
          <w:tcPr>
            <w:tcW w:w="3085" w:type="dxa"/>
            <w:gridSpan w:val="2"/>
            <w:tcBorders>
              <w:left w:val="single" w:sz="4" w:space="0" w:color="auto"/>
            </w:tcBorders>
          </w:tcPr>
          <w:p w:rsidR="00AE458C" w:rsidRPr="00AE458C" w:rsidRDefault="00AE458C" w:rsidP="006B30FC">
            <w:pPr>
              <w:spacing w:beforeLines="20" w:before="48" w:afterLines="20" w:after="48"/>
              <w:rPr>
                <w:sz w:val="20"/>
                <w:szCs w:val="20"/>
              </w:rPr>
            </w:pPr>
            <w:r w:rsidRPr="00AE458C">
              <w:rPr>
                <w:sz w:val="20"/>
                <w:szCs w:val="20"/>
              </w:rPr>
              <w:t>Off-road passenger vehicle</w:t>
            </w:r>
          </w:p>
        </w:tc>
        <w:tc>
          <w:tcPr>
            <w:tcW w:w="1163" w:type="dxa"/>
          </w:tcPr>
          <w:p w:rsidR="00AE458C" w:rsidRPr="00AE458C" w:rsidRDefault="00AE458C" w:rsidP="006B30FC">
            <w:pPr>
              <w:spacing w:beforeLines="20" w:before="48" w:afterLines="20" w:after="48"/>
              <w:rPr>
                <w:sz w:val="20"/>
                <w:szCs w:val="20"/>
              </w:rPr>
            </w:pPr>
            <w:r w:rsidRPr="00AE458C">
              <w:rPr>
                <w:sz w:val="20"/>
                <w:szCs w:val="20"/>
              </w:rPr>
              <w:t>MC</w:t>
            </w:r>
          </w:p>
        </w:tc>
        <w:tc>
          <w:tcPr>
            <w:tcW w:w="1134" w:type="dxa"/>
          </w:tcPr>
          <w:p w:rsidR="00AE458C" w:rsidRPr="00AE458C" w:rsidRDefault="00AE458C" w:rsidP="006B30FC">
            <w:pPr>
              <w:spacing w:beforeLines="20" w:before="48" w:afterLines="20" w:after="48"/>
              <w:rPr>
                <w:sz w:val="20"/>
                <w:szCs w:val="20"/>
              </w:rPr>
            </w:pPr>
            <w:r w:rsidRPr="00AE458C">
              <w:rPr>
                <w:sz w:val="20"/>
                <w:szCs w:val="20"/>
              </w:rPr>
              <w:t>M1</w:t>
            </w:r>
          </w:p>
        </w:tc>
        <w:tc>
          <w:tcPr>
            <w:tcW w:w="1701" w:type="dxa"/>
          </w:tcPr>
          <w:p w:rsidR="00AE458C" w:rsidRPr="00AE458C" w:rsidRDefault="00AE458C"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AE458C" w:rsidRPr="00AE458C" w:rsidRDefault="00AE458C" w:rsidP="006B30FC">
            <w:pPr>
              <w:spacing w:beforeLines="20" w:before="48" w:afterLines="20" w:after="48"/>
              <w:rPr>
                <w:sz w:val="20"/>
                <w:szCs w:val="20"/>
              </w:rPr>
            </w:pPr>
            <w:r w:rsidRPr="001246E3">
              <w:rPr>
                <w:sz w:val="20"/>
                <w:szCs w:val="20"/>
              </w:rPr>
              <w:t>See clause 3.1.2</w:t>
            </w:r>
            <w:r w:rsidR="00F62677">
              <w:rPr>
                <w:sz w:val="20"/>
                <w:szCs w:val="20"/>
              </w:rPr>
              <w:t>.</w:t>
            </w:r>
          </w:p>
        </w:tc>
      </w:tr>
      <w:tr w:rsidR="00293615" w:rsidRPr="00E7422F" w:rsidTr="00AE458C">
        <w:tc>
          <w:tcPr>
            <w:tcW w:w="3085" w:type="dxa"/>
            <w:gridSpan w:val="2"/>
            <w:tcBorders>
              <w:left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Light omnibus</w:t>
            </w:r>
          </w:p>
        </w:tc>
        <w:tc>
          <w:tcPr>
            <w:tcW w:w="1163" w:type="dxa"/>
          </w:tcPr>
          <w:p w:rsidR="00293615" w:rsidRPr="00AE458C" w:rsidRDefault="00293615" w:rsidP="006B30FC">
            <w:pPr>
              <w:spacing w:beforeLines="20" w:before="48" w:afterLines="20" w:after="48"/>
              <w:rPr>
                <w:sz w:val="20"/>
                <w:szCs w:val="20"/>
              </w:rPr>
            </w:pPr>
            <w:r w:rsidRPr="00AE458C">
              <w:rPr>
                <w:sz w:val="20"/>
                <w:szCs w:val="20"/>
              </w:rPr>
              <w:t>MD</w:t>
            </w:r>
          </w:p>
        </w:tc>
        <w:tc>
          <w:tcPr>
            <w:tcW w:w="1134" w:type="dxa"/>
          </w:tcPr>
          <w:p w:rsidR="00293615" w:rsidRPr="00AE458C" w:rsidRDefault="00293615" w:rsidP="006B30FC">
            <w:pPr>
              <w:spacing w:beforeLines="20" w:before="48" w:afterLines="20" w:after="48"/>
              <w:rPr>
                <w:sz w:val="20"/>
                <w:szCs w:val="20"/>
              </w:rPr>
            </w:pPr>
            <w:r w:rsidRPr="00AE458C">
              <w:rPr>
                <w:sz w:val="20"/>
                <w:szCs w:val="20"/>
              </w:rPr>
              <w:t>M2</w:t>
            </w:r>
          </w:p>
        </w:tc>
        <w:tc>
          <w:tcPr>
            <w:tcW w:w="1701" w:type="dxa"/>
          </w:tcPr>
          <w:p w:rsidR="00293615" w:rsidRPr="00AE458C" w:rsidRDefault="00293615" w:rsidP="006B30FC">
            <w:pPr>
              <w:spacing w:beforeLines="20" w:before="48" w:afterLines="20" w:after="48"/>
              <w:rPr>
                <w:sz w:val="20"/>
                <w:szCs w:val="20"/>
              </w:rPr>
            </w:pPr>
          </w:p>
        </w:tc>
        <w:tc>
          <w:tcPr>
            <w:tcW w:w="1559" w:type="dxa"/>
            <w:tcBorders>
              <w:right w:val="single" w:sz="4" w:space="0" w:color="auto"/>
            </w:tcBorders>
          </w:tcPr>
          <w:p w:rsidR="00293615" w:rsidRPr="00AE458C" w:rsidRDefault="00293615" w:rsidP="006B30FC">
            <w:pPr>
              <w:spacing w:beforeLines="20" w:before="48" w:afterLines="20" w:after="48"/>
              <w:rPr>
                <w:sz w:val="20"/>
                <w:szCs w:val="20"/>
              </w:rPr>
            </w:pPr>
          </w:p>
        </w:tc>
      </w:tr>
      <w:tr w:rsidR="00293615" w:rsidRPr="00E7422F" w:rsidTr="00AE458C">
        <w:tc>
          <w:tcPr>
            <w:tcW w:w="288" w:type="dxa"/>
            <w:tcBorders>
              <w:left w:val="single" w:sz="4" w:space="0" w:color="auto"/>
              <w:right w:val="nil"/>
            </w:tcBorders>
            <w:shd w:val="clear" w:color="auto" w:fill="auto"/>
          </w:tcPr>
          <w:p w:rsidR="00293615" w:rsidRPr="00AE458C" w:rsidRDefault="00293615" w:rsidP="006B30FC">
            <w:pPr>
              <w:spacing w:beforeLines="20" w:before="48" w:afterLines="20" w:after="48"/>
              <w:rPr>
                <w:sz w:val="20"/>
                <w:szCs w:val="20"/>
              </w:rPr>
            </w:pPr>
          </w:p>
        </w:tc>
        <w:tc>
          <w:tcPr>
            <w:tcW w:w="2797" w:type="dxa"/>
            <w:tcBorders>
              <w:left w:val="nil"/>
            </w:tcBorders>
            <w:shd w:val="clear" w:color="auto" w:fill="auto"/>
          </w:tcPr>
          <w:p w:rsidR="00293615" w:rsidRPr="00AE458C" w:rsidRDefault="00293615" w:rsidP="006B30FC">
            <w:pPr>
              <w:spacing w:beforeLines="20" w:before="48" w:afterLines="20" w:after="48"/>
              <w:rPr>
                <w:sz w:val="20"/>
                <w:szCs w:val="20"/>
              </w:rPr>
            </w:pPr>
            <w:r w:rsidRPr="00AE458C">
              <w:rPr>
                <w:sz w:val="20"/>
                <w:szCs w:val="20"/>
              </w:rPr>
              <w:t>up to 3.5 tonnes ‘</w:t>
            </w:r>
            <w:r w:rsidRPr="00AE458C">
              <w:rPr>
                <w:i/>
                <w:sz w:val="20"/>
                <w:szCs w:val="20"/>
              </w:rPr>
              <w:t>GVM’</w:t>
            </w:r>
            <w:r w:rsidRPr="00AE458C">
              <w:rPr>
                <w:sz w:val="20"/>
                <w:szCs w:val="20"/>
              </w:rPr>
              <w:t xml:space="preserve"> and up to 12 seats</w:t>
            </w:r>
          </w:p>
        </w:tc>
        <w:tc>
          <w:tcPr>
            <w:tcW w:w="1163" w:type="dxa"/>
          </w:tcPr>
          <w:p w:rsidR="00293615" w:rsidRPr="00AE458C" w:rsidRDefault="00293615" w:rsidP="006B30FC">
            <w:pPr>
              <w:spacing w:beforeLines="20" w:before="48" w:afterLines="20" w:after="48"/>
              <w:rPr>
                <w:sz w:val="20"/>
                <w:szCs w:val="20"/>
              </w:rPr>
            </w:pPr>
            <w:r w:rsidRPr="00AE458C">
              <w:rPr>
                <w:sz w:val="20"/>
                <w:szCs w:val="20"/>
              </w:rPr>
              <w:t xml:space="preserve">   MD1</w:t>
            </w:r>
          </w:p>
        </w:tc>
        <w:tc>
          <w:tcPr>
            <w:tcW w:w="1134" w:type="dxa"/>
          </w:tcPr>
          <w:p w:rsidR="00293615" w:rsidRPr="00AE458C" w:rsidRDefault="00293615" w:rsidP="006B30FC">
            <w:pPr>
              <w:spacing w:beforeLines="20" w:before="48" w:afterLines="20" w:after="48"/>
              <w:rPr>
                <w:sz w:val="20"/>
                <w:szCs w:val="20"/>
              </w:rPr>
            </w:pPr>
          </w:p>
        </w:tc>
        <w:tc>
          <w:tcPr>
            <w:tcW w:w="1701" w:type="dxa"/>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293615" w:rsidRPr="00AE458C" w:rsidRDefault="00AE458C" w:rsidP="006B30FC">
            <w:pPr>
              <w:spacing w:beforeLines="20" w:before="48" w:afterLines="20" w:after="48"/>
              <w:rPr>
                <w:sz w:val="20"/>
                <w:szCs w:val="20"/>
              </w:rPr>
            </w:pPr>
            <w:r>
              <w:rPr>
                <w:sz w:val="20"/>
                <w:szCs w:val="20"/>
              </w:rPr>
              <w:t>See clause 3.1.2</w:t>
            </w:r>
            <w:r w:rsidR="00F62677">
              <w:rPr>
                <w:sz w:val="20"/>
                <w:szCs w:val="20"/>
              </w:rPr>
              <w:t>.</w:t>
            </w:r>
          </w:p>
        </w:tc>
      </w:tr>
      <w:tr w:rsidR="00293615" w:rsidRPr="00E7422F" w:rsidTr="00AE458C">
        <w:tc>
          <w:tcPr>
            <w:tcW w:w="288" w:type="dxa"/>
            <w:tcBorders>
              <w:left w:val="single" w:sz="4" w:space="0" w:color="auto"/>
              <w:right w:val="nil"/>
            </w:tcBorders>
            <w:shd w:val="clear" w:color="auto" w:fill="auto"/>
          </w:tcPr>
          <w:p w:rsidR="00293615" w:rsidRPr="00AE458C" w:rsidRDefault="00293615" w:rsidP="006B30FC">
            <w:pPr>
              <w:spacing w:beforeLines="20" w:before="48" w:afterLines="20" w:after="48"/>
              <w:rPr>
                <w:sz w:val="20"/>
                <w:szCs w:val="20"/>
              </w:rPr>
            </w:pPr>
          </w:p>
        </w:tc>
        <w:tc>
          <w:tcPr>
            <w:tcW w:w="2797" w:type="dxa"/>
            <w:tcBorders>
              <w:left w:val="nil"/>
            </w:tcBorders>
            <w:shd w:val="clear" w:color="auto" w:fill="auto"/>
          </w:tcPr>
          <w:p w:rsidR="00293615" w:rsidRPr="00AE458C" w:rsidRDefault="00293615" w:rsidP="006B30FC">
            <w:pPr>
              <w:spacing w:beforeLines="20" w:before="48" w:afterLines="20" w:after="48"/>
              <w:rPr>
                <w:sz w:val="20"/>
                <w:szCs w:val="20"/>
              </w:rPr>
            </w:pPr>
            <w:r w:rsidRPr="00AE458C">
              <w:rPr>
                <w:sz w:val="20"/>
                <w:szCs w:val="20"/>
              </w:rPr>
              <w:t xml:space="preserve">up to 3.5 tonnes </w:t>
            </w:r>
            <w:r w:rsidRPr="00AE458C">
              <w:rPr>
                <w:i/>
                <w:sz w:val="20"/>
                <w:szCs w:val="20"/>
              </w:rPr>
              <w:t>‘GVM’</w:t>
            </w:r>
            <w:r w:rsidRPr="00AE458C">
              <w:rPr>
                <w:sz w:val="20"/>
                <w:szCs w:val="20"/>
              </w:rPr>
              <w:t xml:space="preserve"> and more than 12 seats</w:t>
            </w:r>
          </w:p>
        </w:tc>
        <w:tc>
          <w:tcPr>
            <w:tcW w:w="1163" w:type="dxa"/>
          </w:tcPr>
          <w:p w:rsidR="00293615" w:rsidRPr="00AE458C" w:rsidRDefault="00293615" w:rsidP="006B30FC">
            <w:pPr>
              <w:spacing w:beforeLines="20" w:before="48" w:afterLines="20" w:after="48"/>
              <w:rPr>
                <w:sz w:val="20"/>
                <w:szCs w:val="20"/>
              </w:rPr>
            </w:pPr>
            <w:r w:rsidRPr="00AE458C">
              <w:rPr>
                <w:sz w:val="20"/>
                <w:szCs w:val="20"/>
              </w:rPr>
              <w:t xml:space="preserve">   MD2</w:t>
            </w:r>
          </w:p>
        </w:tc>
        <w:tc>
          <w:tcPr>
            <w:tcW w:w="1134" w:type="dxa"/>
          </w:tcPr>
          <w:p w:rsidR="00293615" w:rsidRPr="00AE458C" w:rsidRDefault="00293615" w:rsidP="006B30FC">
            <w:pPr>
              <w:spacing w:beforeLines="20" w:before="48" w:afterLines="20" w:after="48"/>
              <w:rPr>
                <w:sz w:val="20"/>
                <w:szCs w:val="20"/>
              </w:rPr>
            </w:pPr>
          </w:p>
        </w:tc>
        <w:tc>
          <w:tcPr>
            <w:tcW w:w="1701" w:type="dxa"/>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293615" w:rsidRPr="00AE458C" w:rsidRDefault="00AE458C" w:rsidP="006B30FC">
            <w:pPr>
              <w:spacing w:beforeLines="20" w:before="48" w:afterLines="20" w:after="48"/>
              <w:rPr>
                <w:sz w:val="20"/>
                <w:szCs w:val="20"/>
              </w:rPr>
            </w:pPr>
            <w:r>
              <w:rPr>
                <w:sz w:val="20"/>
                <w:szCs w:val="20"/>
              </w:rPr>
              <w:t>See clause 3.1.2</w:t>
            </w:r>
            <w:r w:rsidR="00F62677">
              <w:rPr>
                <w:sz w:val="20"/>
                <w:szCs w:val="20"/>
              </w:rPr>
              <w:t>.</w:t>
            </w:r>
          </w:p>
        </w:tc>
      </w:tr>
      <w:tr w:rsidR="00293615" w:rsidRPr="00E7422F" w:rsidTr="00AE458C">
        <w:tc>
          <w:tcPr>
            <w:tcW w:w="288" w:type="dxa"/>
            <w:tcBorders>
              <w:left w:val="single" w:sz="4" w:space="0" w:color="auto"/>
              <w:right w:val="nil"/>
            </w:tcBorders>
            <w:shd w:val="clear" w:color="auto" w:fill="auto"/>
          </w:tcPr>
          <w:p w:rsidR="00293615" w:rsidRPr="00AE458C" w:rsidRDefault="00293615" w:rsidP="006B30FC">
            <w:pPr>
              <w:spacing w:beforeLines="20" w:before="48" w:afterLines="20" w:after="48"/>
              <w:rPr>
                <w:sz w:val="20"/>
                <w:szCs w:val="20"/>
              </w:rPr>
            </w:pPr>
          </w:p>
        </w:tc>
        <w:tc>
          <w:tcPr>
            <w:tcW w:w="2797" w:type="dxa"/>
            <w:tcBorders>
              <w:left w:val="nil"/>
            </w:tcBorders>
            <w:shd w:val="clear" w:color="auto" w:fill="auto"/>
          </w:tcPr>
          <w:p w:rsidR="00293615" w:rsidRPr="00AE458C" w:rsidRDefault="00293615" w:rsidP="006B30FC">
            <w:pPr>
              <w:spacing w:beforeLines="20" w:before="48" w:afterLines="20" w:after="48"/>
              <w:rPr>
                <w:sz w:val="20"/>
                <w:szCs w:val="20"/>
              </w:rPr>
            </w:pPr>
            <w:r w:rsidRPr="00AE458C">
              <w:rPr>
                <w:sz w:val="20"/>
                <w:szCs w:val="20"/>
              </w:rPr>
              <w:t xml:space="preserve">over 3.5 tonnes and up to 4.5 tonnes </w:t>
            </w:r>
            <w:r w:rsidRPr="00AE458C">
              <w:rPr>
                <w:i/>
                <w:sz w:val="20"/>
                <w:szCs w:val="20"/>
              </w:rPr>
              <w:t>‘GVM’</w:t>
            </w:r>
          </w:p>
        </w:tc>
        <w:tc>
          <w:tcPr>
            <w:tcW w:w="1163" w:type="dxa"/>
          </w:tcPr>
          <w:p w:rsidR="00293615" w:rsidRPr="00AE458C" w:rsidRDefault="00293615" w:rsidP="006B30FC">
            <w:pPr>
              <w:spacing w:beforeLines="20" w:before="48" w:afterLines="20" w:after="48"/>
              <w:rPr>
                <w:sz w:val="20"/>
                <w:szCs w:val="20"/>
              </w:rPr>
            </w:pPr>
            <w:r w:rsidRPr="00AE458C">
              <w:rPr>
                <w:sz w:val="20"/>
                <w:szCs w:val="20"/>
              </w:rPr>
              <w:t xml:space="preserve">   MD3</w:t>
            </w:r>
          </w:p>
        </w:tc>
        <w:tc>
          <w:tcPr>
            <w:tcW w:w="1134" w:type="dxa"/>
          </w:tcPr>
          <w:p w:rsidR="00293615" w:rsidRPr="00AE458C" w:rsidRDefault="00293615" w:rsidP="006B30FC">
            <w:pPr>
              <w:spacing w:beforeLines="20" w:before="48" w:afterLines="20" w:after="48"/>
              <w:rPr>
                <w:sz w:val="20"/>
                <w:szCs w:val="20"/>
              </w:rPr>
            </w:pPr>
          </w:p>
        </w:tc>
        <w:tc>
          <w:tcPr>
            <w:tcW w:w="1701" w:type="dxa"/>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293615" w:rsidRPr="00AE458C" w:rsidRDefault="00AE458C" w:rsidP="006B30FC">
            <w:pPr>
              <w:spacing w:beforeLines="20" w:before="48" w:afterLines="20" w:after="48"/>
              <w:rPr>
                <w:sz w:val="20"/>
                <w:szCs w:val="20"/>
              </w:rPr>
            </w:pPr>
            <w:r>
              <w:rPr>
                <w:sz w:val="20"/>
                <w:szCs w:val="20"/>
              </w:rPr>
              <w:t>See clause 3.1.2</w:t>
            </w:r>
            <w:r w:rsidR="00F62677">
              <w:rPr>
                <w:sz w:val="20"/>
                <w:szCs w:val="20"/>
              </w:rPr>
              <w:t>.</w:t>
            </w:r>
          </w:p>
        </w:tc>
      </w:tr>
      <w:tr w:rsidR="00293615" w:rsidRPr="00E7422F" w:rsidTr="00AE458C">
        <w:tc>
          <w:tcPr>
            <w:tcW w:w="288" w:type="dxa"/>
            <w:tcBorders>
              <w:left w:val="single" w:sz="4" w:space="0" w:color="auto"/>
              <w:bottom w:val="nil"/>
              <w:right w:val="nil"/>
            </w:tcBorders>
            <w:shd w:val="clear" w:color="auto" w:fill="auto"/>
          </w:tcPr>
          <w:p w:rsidR="00293615" w:rsidRPr="00AE458C" w:rsidRDefault="00293615" w:rsidP="006B30FC">
            <w:pPr>
              <w:spacing w:beforeLines="20" w:before="48" w:afterLines="20" w:after="48"/>
              <w:rPr>
                <w:sz w:val="20"/>
                <w:szCs w:val="20"/>
              </w:rPr>
            </w:pPr>
          </w:p>
        </w:tc>
        <w:tc>
          <w:tcPr>
            <w:tcW w:w="2797" w:type="dxa"/>
            <w:tcBorders>
              <w:left w:val="nil"/>
              <w:bottom w:val="nil"/>
            </w:tcBorders>
            <w:shd w:val="clear" w:color="auto" w:fill="auto"/>
          </w:tcPr>
          <w:p w:rsidR="00293615" w:rsidRPr="00AE458C" w:rsidRDefault="00293615" w:rsidP="006B30FC">
            <w:pPr>
              <w:spacing w:beforeLines="20" w:before="48" w:afterLines="20" w:after="48"/>
              <w:rPr>
                <w:sz w:val="20"/>
                <w:szCs w:val="20"/>
              </w:rPr>
            </w:pPr>
            <w:r w:rsidRPr="00AE458C">
              <w:rPr>
                <w:sz w:val="20"/>
                <w:szCs w:val="20"/>
              </w:rPr>
              <w:t xml:space="preserve">over 4.5 tonnes and up to 5 tonnes </w:t>
            </w:r>
            <w:r w:rsidRPr="00AE458C">
              <w:rPr>
                <w:i/>
                <w:sz w:val="20"/>
                <w:szCs w:val="20"/>
              </w:rPr>
              <w:t>‘GVM’</w:t>
            </w:r>
          </w:p>
        </w:tc>
        <w:tc>
          <w:tcPr>
            <w:tcW w:w="1163" w:type="dxa"/>
            <w:tcBorders>
              <w:bottom w:val="nil"/>
            </w:tcBorders>
          </w:tcPr>
          <w:p w:rsidR="00293615" w:rsidRPr="00AE458C" w:rsidRDefault="00293615" w:rsidP="006B30FC">
            <w:pPr>
              <w:spacing w:beforeLines="20" w:before="48" w:afterLines="20" w:after="48"/>
              <w:rPr>
                <w:sz w:val="20"/>
                <w:szCs w:val="20"/>
              </w:rPr>
            </w:pPr>
            <w:r w:rsidRPr="00AE458C">
              <w:rPr>
                <w:sz w:val="20"/>
                <w:szCs w:val="20"/>
              </w:rPr>
              <w:t xml:space="preserve">   MD4</w:t>
            </w:r>
          </w:p>
        </w:tc>
        <w:tc>
          <w:tcPr>
            <w:tcW w:w="1134" w:type="dxa"/>
            <w:tcBorders>
              <w:bottom w:val="nil"/>
            </w:tcBorders>
          </w:tcPr>
          <w:p w:rsidR="00293615" w:rsidRPr="00AE458C" w:rsidRDefault="00293615" w:rsidP="006B30FC">
            <w:pPr>
              <w:spacing w:beforeLines="20" w:before="48" w:afterLines="20" w:after="48"/>
              <w:rPr>
                <w:sz w:val="20"/>
                <w:szCs w:val="20"/>
              </w:rPr>
            </w:pPr>
          </w:p>
        </w:tc>
        <w:tc>
          <w:tcPr>
            <w:tcW w:w="1701" w:type="dxa"/>
            <w:tcBorders>
              <w:bottom w:val="nil"/>
            </w:tcBorders>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bottom w:val="nil"/>
              <w:right w:val="single" w:sz="4" w:space="0" w:color="auto"/>
            </w:tcBorders>
          </w:tcPr>
          <w:p w:rsidR="00293615" w:rsidRPr="00AE458C" w:rsidRDefault="00AE458C" w:rsidP="006B30FC">
            <w:pPr>
              <w:spacing w:beforeLines="20" w:before="48" w:afterLines="20" w:after="48"/>
              <w:rPr>
                <w:sz w:val="20"/>
                <w:szCs w:val="20"/>
              </w:rPr>
            </w:pPr>
            <w:r>
              <w:rPr>
                <w:sz w:val="20"/>
                <w:szCs w:val="20"/>
              </w:rPr>
              <w:t>See clause 3.1.2</w:t>
            </w:r>
            <w:r w:rsidR="00F62677">
              <w:rPr>
                <w:sz w:val="20"/>
                <w:szCs w:val="20"/>
              </w:rPr>
              <w:t>.</w:t>
            </w:r>
          </w:p>
        </w:tc>
      </w:tr>
      <w:tr w:rsidR="00293615" w:rsidRPr="00E7422F" w:rsidTr="00AE458C">
        <w:tc>
          <w:tcPr>
            <w:tcW w:w="3085" w:type="dxa"/>
            <w:gridSpan w:val="2"/>
            <w:tcBorders>
              <w:left w:val="single" w:sz="4" w:space="0" w:color="auto"/>
              <w:bottom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Heavy omnibus</w:t>
            </w:r>
          </w:p>
        </w:tc>
        <w:tc>
          <w:tcPr>
            <w:tcW w:w="1163" w:type="dxa"/>
            <w:tcBorders>
              <w:bottom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ME</w:t>
            </w:r>
          </w:p>
        </w:tc>
        <w:tc>
          <w:tcPr>
            <w:tcW w:w="1134" w:type="dxa"/>
            <w:tcBorders>
              <w:bottom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M3</w:t>
            </w:r>
          </w:p>
        </w:tc>
        <w:tc>
          <w:tcPr>
            <w:tcW w:w="1701" w:type="dxa"/>
            <w:tcBorders>
              <w:bottom w:val="single" w:sz="4" w:space="0" w:color="auto"/>
            </w:tcBorders>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bottom w:val="single" w:sz="4" w:space="0" w:color="auto"/>
              <w:right w:val="single" w:sz="4" w:space="0" w:color="auto"/>
            </w:tcBorders>
          </w:tcPr>
          <w:p w:rsidR="00293615" w:rsidRPr="00AE458C" w:rsidRDefault="00AE458C" w:rsidP="006B30FC">
            <w:pPr>
              <w:spacing w:beforeLines="20" w:before="48" w:afterLines="20" w:after="48"/>
              <w:rPr>
                <w:sz w:val="20"/>
                <w:szCs w:val="20"/>
              </w:rPr>
            </w:pPr>
            <w:r>
              <w:rPr>
                <w:sz w:val="20"/>
                <w:szCs w:val="20"/>
              </w:rPr>
              <w:t>See clause 3.1.2</w:t>
            </w:r>
            <w:r w:rsidR="00F62677">
              <w:rPr>
                <w:sz w:val="20"/>
                <w:szCs w:val="20"/>
              </w:rPr>
              <w:t>.</w:t>
            </w:r>
          </w:p>
        </w:tc>
      </w:tr>
      <w:tr w:rsidR="00293615" w:rsidRPr="00E7422F" w:rsidTr="00AE458C">
        <w:tc>
          <w:tcPr>
            <w:tcW w:w="3085" w:type="dxa"/>
            <w:gridSpan w:val="2"/>
            <w:tcBorders>
              <w:top w:val="single" w:sz="4" w:space="0" w:color="auto"/>
              <w:left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Light goods vehicle</w:t>
            </w:r>
          </w:p>
        </w:tc>
        <w:tc>
          <w:tcPr>
            <w:tcW w:w="1163" w:type="dxa"/>
            <w:tcBorders>
              <w:top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NA</w:t>
            </w:r>
          </w:p>
        </w:tc>
        <w:tc>
          <w:tcPr>
            <w:tcW w:w="1134" w:type="dxa"/>
            <w:tcBorders>
              <w:top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N1</w:t>
            </w:r>
          </w:p>
        </w:tc>
        <w:tc>
          <w:tcPr>
            <w:tcW w:w="1701" w:type="dxa"/>
            <w:tcBorders>
              <w:top w:val="single" w:sz="4" w:space="0" w:color="auto"/>
            </w:tcBorders>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top w:val="single" w:sz="4" w:space="0" w:color="auto"/>
              <w:right w:val="single" w:sz="4" w:space="0" w:color="auto"/>
            </w:tcBorders>
          </w:tcPr>
          <w:p w:rsidR="00293615" w:rsidRPr="00AE458C" w:rsidRDefault="00AE458C" w:rsidP="006B30FC">
            <w:pPr>
              <w:spacing w:beforeLines="20" w:before="48" w:afterLines="20" w:after="48"/>
              <w:rPr>
                <w:sz w:val="20"/>
                <w:szCs w:val="20"/>
              </w:rPr>
            </w:pPr>
            <w:r>
              <w:rPr>
                <w:sz w:val="20"/>
                <w:szCs w:val="20"/>
              </w:rPr>
              <w:t>See clause 3.1.2</w:t>
            </w:r>
            <w:r w:rsidR="00F62677">
              <w:rPr>
                <w:sz w:val="20"/>
                <w:szCs w:val="20"/>
              </w:rPr>
              <w:t>.</w:t>
            </w:r>
          </w:p>
        </w:tc>
      </w:tr>
      <w:tr w:rsidR="00293615" w:rsidRPr="00E7422F" w:rsidTr="00AE458C">
        <w:tc>
          <w:tcPr>
            <w:tcW w:w="3085" w:type="dxa"/>
            <w:gridSpan w:val="2"/>
            <w:tcBorders>
              <w:left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Medium goods vehicle</w:t>
            </w:r>
          </w:p>
        </w:tc>
        <w:tc>
          <w:tcPr>
            <w:tcW w:w="1163" w:type="dxa"/>
          </w:tcPr>
          <w:p w:rsidR="00293615" w:rsidRPr="00AE458C" w:rsidRDefault="00293615" w:rsidP="006B30FC">
            <w:pPr>
              <w:spacing w:beforeLines="20" w:before="48" w:afterLines="20" w:after="48"/>
              <w:rPr>
                <w:sz w:val="20"/>
                <w:szCs w:val="20"/>
              </w:rPr>
            </w:pPr>
            <w:r w:rsidRPr="00AE458C">
              <w:rPr>
                <w:sz w:val="20"/>
                <w:szCs w:val="20"/>
              </w:rPr>
              <w:t>NB</w:t>
            </w:r>
          </w:p>
        </w:tc>
        <w:tc>
          <w:tcPr>
            <w:tcW w:w="1134" w:type="dxa"/>
          </w:tcPr>
          <w:p w:rsidR="00293615" w:rsidRPr="00AE458C" w:rsidRDefault="00293615" w:rsidP="006B30FC">
            <w:pPr>
              <w:spacing w:beforeLines="20" w:before="48" w:afterLines="20" w:after="48"/>
              <w:rPr>
                <w:sz w:val="20"/>
                <w:szCs w:val="20"/>
              </w:rPr>
            </w:pPr>
            <w:r w:rsidRPr="00AE458C">
              <w:rPr>
                <w:sz w:val="20"/>
                <w:szCs w:val="20"/>
              </w:rPr>
              <w:t>N2</w:t>
            </w:r>
          </w:p>
        </w:tc>
        <w:tc>
          <w:tcPr>
            <w:tcW w:w="1701" w:type="dxa"/>
          </w:tcPr>
          <w:p w:rsidR="00293615" w:rsidRPr="00AE458C" w:rsidRDefault="00293615" w:rsidP="006B30FC">
            <w:pPr>
              <w:spacing w:beforeLines="20" w:before="48" w:afterLines="20" w:after="48"/>
              <w:rPr>
                <w:sz w:val="20"/>
                <w:szCs w:val="20"/>
              </w:rPr>
            </w:pPr>
          </w:p>
        </w:tc>
        <w:tc>
          <w:tcPr>
            <w:tcW w:w="1559" w:type="dxa"/>
            <w:tcBorders>
              <w:right w:val="single" w:sz="4" w:space="0" w:color="auto"/>
            </w:tcBorders>
          </w:tcPr>
          <w:p w:rsidR="00293615" w:rsidRPr="00AE458C" w:rsidRDefault="00293615" w:rsidP="006B30FC">
            <w:pPr>
              <w:spacing w:beforeLines="20" w:before="48" w:afterLines="20" w:after="48"/>
              <w:rPr>
                <w:sz w:val="20"/>
                <w:szCs w:val="20"/>
              </w:rPr>
            </w:pPr>
          </w:p>
        </w:tc>
      </w:tr>
      <w:tr w:rsidR="00293615" w:rsidRPr="00E7422F" w:rsidTr="00AE458C">
        <w:tc>
          <w:tcPr>
            <w:tcW w:w="288" w:type="dxa"/>
            <w:tcBorders>
              <w:left w:val="single" w:sz="4" w:space="0" w:color="auto"/>
              <w:right w:val="nil"/>
            </w:tcBorders>
            <w:shd w:val="clear" w:color="auto" w:fill="auto"/>
          </w:tcPr>
          <w:p w:rsidR="00293615" w:rsidRPr="00AE458C" w:rsidRDefault="00293615" w:rsidP="006B30FC">
            <w:pPr>
              <w:spacing w:beforeLines="20" w:before="48" w:afterLines="20" w:after="48"/>
              <w:rPr>
                <w:sz w:val="20"/>
                <w:szCs w:val="20"/>
              </w:rPr>
            </w:pPr>
          </w:p>
        </w:tc>
        <w:tc>
          <w:tcPr>
            <w:tcW w:w="2797" w:type="dxa"/>
            <w:tcBorders>
              <w:left w:val="nil"/>
            </w:tcBorders>
            <w:shd w:val="clear" w:color="auto" w:fill="auto"/>
          </w:tcPr>
          <w:p w:rsidR="00293615" w:rsidRPr="00AE458C" w:rsidRDefault="00293615" w:rsidP="006B30FC">
            <w:pPr>
              <w:spacing w:beforeLines="20" w:before="48" w:afterLines="20" w:after="48"/>
              <w:rPr>
                <w:sz w:val="20"/>
                <w:szCs w:val="20"/>
              </w:rPr>
            </w:pPr>
            <w:r w:rsidRPr="00AE458C">
              <w:rPr>
                <w:sz w:val="20"/>
                <w:szCs w:val="20"/>
              </w:rPr>
              <w:t xml:space="preserve">over 3.5 tonnes up to 4.5 tonnes </w:t>
            </w:r>
            <w:r w:rsidRPr="00AE458C">
              <w:rPr>
                <w:i/>
                <w:sz w:val="20"/>
                <w:szCs w:val="20"/>
              </w:rPr>
              <w:t>‘GVM’</w:t>
            </w:r>
          </w:p>
        </w:tc>
        <w:tc>
          <w:tcPr>
            <w:tcW w:w="1163" w:type="dxa"/>
          </w:tcPr>
          <w:p w:rsidR="00293615" w:rsidRPr="00AE458C" w:rsidRDefault="00293615" w:rsidP="006B30FC">
            <w:pPr>
              <w:spacing w:beforeLines="20" w:before="48" w:afterLines="20" w:after="48"/>
              <w:rPr>
                <w:sz w:val="20"/>
                <w:szCs w:val="20"/>
              </w:rPr>
            </w:pPr>
            <w:r w:rsidRPr="00AE458C">
              <w:rPr>
                <w:sz w:val="20"/>
                <w:szCs w:val="20"/>
              </w:rPr>
              <w:t xml:space="preserve">   NB1</w:t>
            </w:r>
          </w:p>
        </w:tc>
        <w:tc>
          <w:tcPr>
            <w:tcW w:w="1134" w:type="dxa"/>
          </w:tcPr>
          <w:p w:rsidR="00293615" w:rsidRPr="00AE458C" w:rsidRDefault="00293615" w:rsidP="006B30FC">
            <w:pPr>
              <w:spacing w:beforeLines="20" w:before="48" w:afterLines="20" w:after="48"/>
              <w:rPr>
                <w:sz w:val="20"/>
                <w:szCs w:val="20"/>
              </w:rPr>
            </w:pPr>
          </w:p>
        </w:tc>
        <w:tc>
          <w:tcPr>
            <w:tcW w:w="1701" w:type="dxa"/>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293615" w:rsidRPr="00AE458C" w:rsidRDefault="00AE458C" w:rsidP="006B30FC">
            <w:pPr>
              <w:spacing w:beforeLines="20" w:before="48" w:afterLines="20" w:after="48"/>
              <w:rPr>
                <w:sz w:val="20"/>
                <w:szCs w:val="20"/>
              </w:rPr>
            </w:pPr>
            <w:r>
              <w:rPr>
                <w:sz w:val="20"/>
                <w:szCs w:val="20"/>
              </w:rPr>
              <w:t>See clause 3.1.2</w:t>
            </w:r>
            <w:r w:rsidR="00F62677">
              <w:rPr>
                <w:sz w:val="20"/>
                <w:szCs w:val="20"/>
              </w:rPr>
              <w:t>.</w:t>
            </w:r>
          </w:p>
        </w:tc>
      </w:tr>
      <w:tr w:rsidR="00293615" w:rsidRPr="00E7422F" w:rsidTr="00AE458C">
        <w:tc>
          <w:tcPr>
            <w:tcW w:w="288" w:type="dxa"/>
            <w:tcBorders>
              <w:left w:val="single" w:sz="4" w:space="0" w:color="auto"/>
              <w:right w:val="nil"/>
            </w:tcBorders>
            <w:shd w:val="clear" w:color="auto" w:fill="auto"/>
          </w:tcPr>
          <w:p w:rsidR="00293615" w:rsidRPr="00AE458C" w:rsidRDefault="00293615" w:rsidP="006B30FC">
            <w:pPr>
              <w:spacing w:beforeLines="20" w:before="48" w:afterLines="20" w:after="48"/>
              <w:rPr>
                <w:sz w:val="20"/>
                <w:szCs w:val="20"/>
              </w:rPr>
            </w:pPr>
          </w:p>
        </w:tc>
        <w:tc>
          <w:tcPr>
            <w:tcW w:w="2797" w:type="dxa"/>
            <w:tcBorders>
              <w:left w:val="nil"/>
            </w:tcBorders>
            <w:shd w:val="clear" w:color="auto" w:fill="auto"/>
          </w:tcPr>
          <w:p w:rsidR="00293615" w:rsidRPr="00AE458C" w:rsidRDefault="00293615" w:rsidP="006B30FC">
            <w:pPr>
              <w:spacing w:beforeLines="20" w:before="48" w:afterLines="20" w:after="48"/>
              <w:rPr>
                <w:sz w:val="20"/>
                <w:szCs w:val="20"/>
              </w:rPr>
            </w:pPr>
            <w:r w:rsidRPr="00AE458C">
              <w:rPr>
                <w:sz w:val="20"/>
                <w:szCs w:val="20"/>
              </w:rPr>
              <w:t xml:space="preserve">over 4.5 tonnes up to 12 tonnes </w:t>
            </w:r>
            <w:r w:rsidRPr="00AE458C">
              <w:rPr>
                <w:i/>
                <w:sz w:val="20"/>
                <w:szCs w:val="20"/>
              </w:rPr>
              <w:t>‘GVM’</w:t>
            </w:r>
          </w:p>
        </w:tc>
        <w:tc>
          <w:tcPr>
            <w:tcW w:w="1163" w:type="dxa"/>
          </w:tcPr>
          <w:p w:rsidR="00293615" w:rsidRPr="00AE458C" w:rsidRDefault="00293615" w:rsidP="006B30FC">
            <w:pPr>
              <w:spacing w:beforeLines="20" w:before="48" w:afterLines="20" w:after="48"/>
              <w:rPr>
                <w:sz w:val="20"/>
                <w:szCs w:val="20"/>
              </w:rPr>
            </w:pPr>
            <w:r w:rsidRPr="00AE458C">
              <w:rPr>
                <w:sz w:val="20"/>
                <w:szCs w:val="20"/>
              </w:rPr>
              <w:t xml:space="preserve">   NB2</w:t>
            </w:r>
          </w:p>
        </w:tc>
        <w:tc>
          <w:tcPr>
            <w:tcW w:w="1134" w:type="dxa"/>
          </w:tcPr>
          <w:p w:rsidR="00293615" w:rsidRPr="00AE458C" w:rsidRDefault="00293615" w:rsidP="006B30FC">
            <w:pPr>
              <w:spacing w:beforeLines="20" w:before="48" w:afterLines="20" w:after="48"/>
              <w:rPr>
                <w:sz w:val="20"/>
                <w:szCs w:val="20"/>
              </w:rPr>
            </w:pPr>
          </w:p>
        </w:tc>
        <w:tc>
          <w:tcPr>
            <w:tcW w:w="1701" w:type="dxa"/>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rsidR="00293615" w:rsidRPr="00AE458C" w:rsidRDefault="00AE458C" w:rsidP="006B30FC">
            <w:pPr>
              <w:spacing w:beforeLines="20" w:before="48" w:afterLines="20" w:after="48"/>
              <w:rPr>
                <w:sz w:val="20"/>
                <w:szCs w:val="20"/>
              </w:rPr>
            </w:pPr>
            <w:r>
              <w:rPr>
                <w:sz w:val="20"/>
                <w:szCs w:val="20"/>
              </w:rPr>
              <w:t>See clause 3.1.2</w:t>
            </w:r>
            <w:r w:rsidR="00F62677">
              <w:rPr>
                <w:sz w:val="20"/>
                <w:szCs w:val="20"/>
              </w:rPr>
              <w:t>.</w:t>
            </w:r>
          </w:p>
        </w:tc>
      </w:tr>
      <w:tr w:rsidR="00293615" w:rsidRPr="00E7422F" w:rsidTr="00AE458C">
        <w:tc>
          <w:tcPr>
            <w:tcW w:w="3085" w:type="dxa"/>
            <w:gridSpan w:val="2"/>
            <w:tcBorders>
              <w:left w:val="single" w:sz="4" w:space="0" w:color="auto"/>
              <w:bottom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Heavy goods vehicle</w:t>
            </w:r>
          </w:p>
        </w:tc>
        <w:tc>
          <w:tcPr>
            <w:tcW w:w="1163" w:type="dxa"/>
            <w:tcBorders>
              <w:bottom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NC</w:t>
            </w:r>
          </w:p>
        </w:tc>
        <w:tc>
          <w:tcPr>
            <w:tcW w:w="1134" w:type="dxa"/>
            <w:tcBorders>
              <w:bottom w:val="single" w:sz="4" w:space="0" w:color="auto"/>
            </w:tcBorders>
          </w:tcPr>
          <w:p w:rsidR="00293615" w:rsidRPr="00AE458C" w:rsidRDefault="00293615" w:rsidP="006B30FC">
            <w:pPr>
              <w:spacing w:beforeLines="20" w:before="48" w:afterLines="20" w:after="48"/>
              <w:rPr>
                <w:sz w:val="20"/>
                <w:szCs w:val="20"/>
              </w:rPr>
            </w:pPr>
            <w:r w:rsidRPr="00AE458C">
              <w:rPr>
                <w:sz w:val="20"/>
                <w:szCs w:val="20"/>
              </w:rPr>
              <w:t>N3</w:t>
            </w:r>
          </w:p>
        </w:tc>
        <w:tc>
          <w:tcPr>
            <w:tcW w:w="1701" w:type="dxa"/>
            <w:tcBorders>
              <w:bottom w:val="single" w:sz="4" w:space="0" w:color="auto"/>
            </w:tcBorders>
          </w:tcPr>
          <w:p w:rsidR="00293615" w:rsidRPr="00AE458C" w:rsidRDefault="009C594E" w:rsidP="006B30FC">
            <w:pPr>
              <w:spacing w:beforeLines="20" w:before="48" w:afterLines="20" w:after="48"/>
              <w:rPr>
                <w:sz w:val="20"/>
                <w:szCs w:val="20"/>
              </w:rPr>
            </w:pPr>
            <w:r w:rsidRPr="00AE458C">
              <w:rPr>
                <w:sz w:val="20"/>
                <w:szCs w:val="20"/>
              </w:rPr>
              <w:t>1 July 2019</w:t>
            </w:r>
          </w:p>
        </w:tc>
        <w:tc>
          <w:tcPr>
            <w:tcW w:w="1559" w:type="dxa"/>
            <w:tcBorders>
              <w:bottom w:val="single" w:sz="4" w:space="0" w:color="auto"/>
              <w:right w:val="single" w:sz="4" w:space="0" w:color="auto"/>
            </w:tcBorders>
          </w:tcPr>
          <w:p w:rsidR="00293615" w:rsidRPr="00AE458C" w:rsidRDefault="00AE458C" w:rsidP="006B30FC">
            <w:pPr>
              <w:spacing w:beforeLines="20" w:before="48" w:afterLines="20" w:after="48"/>
              <w:rPr>
                <w:sz w:val="20"/>
                <w:szCs w:val="20"/>
              </w:rPr>
            </w:pPr>
            <w:r>
              <w:rPr>
                <w:sz w:val="20"/>
                <w:szCs w:val="20"/>
              </w:rPr>
              <w:t>See clause 3.1.2</w:t>
            </w:r>
            <w:r w:rsidR="00F62677">
              <w:rPr>
                <w:sz w:val="20"/>
                <w:szCs w:val="20"/>
              </w:rPr>
              <w:t>.</w:t>
            </w:r>
          </w:p>
        </w:tc>
      </w:tr>
      <w:tr w:rsidR="005C7985" w:rsidRPr="00E7422F" w:rsidTr="00AE458C">
        <w:tc>
          <w:tcPr>
            <w:tcW w:w="3085" w:type="dxa"/>
            <w:gridSpan w:val="2"/>
            <w:tcBorders>
              <w:top w:val="single" w:sz="4" w:space="0" w:color="auto"/>
              <w:left w:val="single" w:sz="4" w:space="0" w:color="auto"/>
              <w:bottom w:val="nil"/>
            </w:tcBorders>
          </w:tcPr>
          <w:p w:rsidR="005C7985" w:rsidRPr="00AE458C" w:rsidRDefault="005C7985" w:rsidP="006B30FC">
            <w:pPr>
              <w:spacing w:beforeLines="20" w:before="48" w:afterLines="20" w:after="48"/>
              <w:rPr>
                <w:sz w:val="20"/>
                <w:szCs w:val="20"/>
              </w:rPr>
            </w:pPr>
            <w:r w:rsidRPr="00AE458C">
              <w:rPr>
                <w:sz w:val="20"/>
                <w:szCs w:val="20"/>
              </w:rPr>
              <w:t>Very light trailer</w:t>
            </w:r>
          </w:p>
        </w:tc>
        <w:tc>
          <w:tcPr>
            <w:tcW w:w="1163" w:type="dxa"/>
            <w:tcBorders>
              <w:top w:val="single" w:sz="4" w:space="0" w:color="auto"/>
              <w:bottom w:val="nil"/>
            </w:tcBorders>
          </w:tcPr>
          <w:p w:rsidR="005C7985" w:rsidRPr="00AE458C" w:rsidRDefault="005C7985" w:rsidP="006B30FC">
            <w:pPr>
              <w:spacing w:beforeLines="20" w:before="48" w:afterLines="20" w:after="48"/>
              <w:rPr>
                <w:sz w:val="20"/>
                <w:szCs w:val="20"/>
              </w:rPr>
            </w:pPr>
            <w:r w:rsidRPr="00AE458C">
              <w:rPr>
                <w:sz w:val="20"/>
                <w:szCs w:val="20"/>
              </w:rPr>
              <w:t>TA</w:t>
            </w:r>
          </w:p>
        </w:tc>
        <w:tc>
          <w:tcPr>
            <w:tcW w:w="1134" w:type="dxa"/>
            <w:tcBorders>
              <w:top w:val="single" w:sz="4" w:space="0" w:color="auto"/>
              <w:bottom w:val="nil"/>
            </w:tcBorders>
          </w:tcPr>
          <w:p w:rsidR="005C7985" w:rsidRPr="00AE458C" w:rsidRDefault="005C7985" w:rsidP="006B30FC">
            <w:pPr>
              <w:spacing w:beforeLines="20" w:before="48" w:afterLines="20" w:after="48"/>
              <w:rPr>
                <w:sz w:val="20"/>
                <w:szCs w:val="20"/>
              </w:rPr>
            </w:pPr>
            <w:r w:rsidRPr="00AE458C">
              <w:rPr>
                <w:sz w:val="20"/>
                <w:szCs w:val="20"/>
              </w:rPr>
              <w:t>O1</w:t>
            </w:r>
          </w:p>
        </w:tc>
        <w:tc>
          <w:tcPr>
            <w:tcW w:w="1701" w:type="dxa"/>
            <w:tcBorders>
              <w:top w:val="single" w:sz="4" w:space="0" w:color="auto"/>
              <w:bottom w:val="nil"/>
            </w:tcBorders>
          </w:tcPr>
          <w:p w:rsidR="005C7985" w:rsidRPr="00AE458C" w:rsidRDefault="005C7985" w:rsidP="006B30FC">
            <w:pPr>
              <w:spacing w:beforeLines="20" w:before="48" w:afterLines="20" w:after="48"/>
              <w:rPr>
                <w:sz w:val="20"/>
                <w:szCs w:val="20"/>
              </w:rPr>
            </w:pPr>
            <w:r w:rsidRPr="00AE458C">
              <w:rPr>
                <w:sz w:val="20"/>
                <w:szCs w:val="20"/>
              </w:rPr>
              <w:t>1 July 2019</w:t>
            </w:r>
          </w:p>
        </w:tc>
        <w:tc>
          <w:tcPr>
            <w:tcW w:w="1559" w:type="dxa"/>
            <w:tcBorders>
              <w:top w:val="single" w:sz="4" w:space="0" w:color="auto"/>
              <w:bottom w:val="nil"/>
              <w:right w:val="single" w:sz="4" w:space="0" w:color="auto"/>
            </w:tcBorders>
          </w:tcPr>
          <w:p w:rsidR="005C7985" w:rsidRPr="00AE458C" w:rsidRDefault="005C7985" w:rsidP="006B30FC">
            <w:pPr>
              <w:spacing w:beforeLines="20" w:before="48" w:afterLines="20" w:after="48"/>
              <w:rPr>
                <w:sz w:val="20"/>
                <w:szCs w:val="20"/>
              </w:rPr>
            </w:pPr>
            <w:r>
              <w:rPr>
                <w:sz w:val="20"/>
                <w:szCs w:val="20"/>
              </w:rPr>
              <w:t>See clause 3.1.2.</w:t>
            </w:r>
          </w:p>
        </w:tc>
      </w:tr>
      <w:tr w:rsidR="005C7985" w:rsidRPr="00E7422F" w:rsidTr="00AE458C">
        <w:tc>
          <w:tcPr>
            <w:tcW w:w="3085" w:type="dxa"/>
            <w:gridSpan w:val="2"/>
            <w:tcBorders>
              <w:top w:val="nil"/>
              <w:left w:val="single" w:sz="4" w:space="0" w:color="auto"/>
            </w:tcBorders>
          </w:tcPr>
          <w:p w:rsidR="005C7985" w:rsidRPr="00AE458C" w:rsidRDefault="005C7985" w:rsidP="006B30FC">
            <w:pPr>
              <w:spacing w:beforeLines="20" w:before="48" w:afterLines="20" w:after="48"/>
              <w:rPr>
                <w:sz w:val="20"/>
                <w:szCs w:val="20"/>
              </w:rPr>
            </w:pPr>
            <w:r w:rsidRPr="00AE458C">
              <w:rPr>
                <w:sz w:val="20"/>
                <w:szCs w:val="20"/>
              </w:rPr>
              <w:t>Light trailer</w:t>
            </w:r>
          </w:p>
        </w:tc>
        <w:tc>
          <w:tcPr>
            <w:tcW w:w="1163" w:type="dxa"/>
            <w:tcBorders>
              <w:top w:val="nil"/>
            </w:tcBorders>
          </w:tcPr>
          <w:p w:rsidR="005C7985" w:rsidRPr="00AE458C" w:rsidRDefault="005C7985" w:rsidP="006B30FC">
            <w:pPr>
              <w:spacing w:beforeLines="20" w:before="48" w:afterLines="20" w:after="48"/>
              <w:rPr>
                <w:sz w:val="20"/>
                <w:szCs w:val="20"/>
              </w:rPr>
            </w:pPr>
            <w:r w:rsidRPr="00AE458C">
              <w:rPr>
                <w:sz w:val="20"/>
                <w:szCs w:val="20"/>
              </w:rPr>
              <w:t>TB</w:t>
            </w:r>
          </w:p>
        </w:tc>
        <w:tc>
          <w:tcPr>
            <w:tcW w:w="1134" w:type="dxa"/>
            <w:tcBorders>
              <w:top w:val="nil"/>
            </w:tcBorders>
          </w:tcPr>
          <w:p w:rsidR="005C7985" w:rsidRPr="00AE458C" w:rsidRDefault="005C7985" w:rsidP="006B30FC">
            <w:pPr>
              <w:spacing w:beforeLines="20" w:before="48" w:afterLines="20" w:after="48"/>
              <w:rPr>
                <w:sz w:val="20"/>
                <w:szCs w:val="20"/>
              </w:rPr>
            </w:pPr>
            <w:r w:rsidRPr="00AE458C">
              <w:rPr>
                <w:sz w:val="20"/>
                <w:szCs w:val="20"/>
              </w:rPr>
              <w:t>O2</w:t>
            </w:r>
          </w:p>
        </w:tc>
        <w:tc>
          <w:tcPr>
            <w:tcW w:w="1701" w:type="dxa"/>
            <w:tcBorders>
              <w:top w:val="nil"/>
            </w:tcBorders>
          </w:tcPr>
          <w:p w:rsidR="005C7985" w:rsidRPr="00AE458C" w:rsidRDefault="005C7985" w:rsidP="006B30FC">
            <w:pPr>
              <w:spacing w:beforeLines="20" w:before="48" w:afterLines="20" w:after="48"/>
              <w:rPr>
                <w:sz w:val="20"/>
                <w:szCs w:val="20"/>
              </w:rPr>
            </w:pPr>
            <w:r w:rsidRPr="00AE458C">
              <w:rPr>
                <w:sz w:val="20"/>
                <w:szCs w:val="20"/>
              </w:rPr>
              <w:t>1 July 2019</w:t>
            </w:r>
          </w:p>
        </w:tc>
        <w:tc>
          <w:tcPr>
            <w:tcW w:w="1559" w:type="dxa"/>
            <w:tcBorders>
              <w:top w:val="nil"/>
              <w:right w:val="single" w:sz="4" w:space="0" w:color="auto"/>
            </w:tcBorders>
          </w:tcPr>
          <w:p w:rsidR="005C7985" w:rsidRPr="00AE458C" w:rsidRDefault="005C7985" w:rsidP="006B30FC">
            <w:pPr>
              <w:spacing w:beforeLines="20" w:before="48" w:afterLines="20" w:after="48"/>
              <w:rPr>
                <w:sz w:val="20"/>
                <w:szCs w:val="20"/>
              </w:rPr>
            </w:pPr>
            <w:r>
              <w:rPr>
                <w:sz w:val="20"/>
                <w:szCs w:val="20"/>
              </w:rPr>
              <w:t>See clause 3.1.2.</w:t>
            </w:r>
          </w:p>
        </w:tc>
      </w:tr>
      <w:tr w:rsidR="005C7985" w:rsidRPr="00E7422F" w:rsidTr="00AE458C">
        <w:tc>
          <w:tcPr>
            <w:tcW w:w="3085" w:type="dxa"/>
            <w:gridSpan w:val="2"/>
            <w:tcBorders>
              <w:left w:val="single" w:sz="4" w:space="0" w:color="auto"/>
              <w:bottom w:val="nil"/>
            </w:tcBorders>
          </w:tcPr>
          <w:p w:rsidR="005C7985" w:rsidRPr="00AE458C" w:rsidRDefault="005C7985" w:rsidP="006B30FC">
            <w:pPr>
              <w:spacing w:beforeLines="20" w:before="48" w:afterLines="20" w:after="48"/>
              <w:rPr>
                <w:sz w:val="20"/>
                <w:szCs w:val="20"/>
              </w:rPr>
            </w:pPr>
            <w:r w:rsidRPr="00AE458C">
              <w:rPr>
                <w:sz w:val="20"/>
                <w:szCs w:val="20"/>
              </w:rPr>
              <w:t>Medium trailer</w:t>
            </w:r>
          </w:p>
        </w:tc>
        <w:tc>
          <w:tcPr>
            <w:tcW w:w="1163" w:type="dxa"/>
            <w:tcBorders>
              <w:bottom w:val="nil"/>
            </w:tcBorders>
          </w:tcPr>
          <w:p w:rsidR="005C7985" w:rsidRPr="00AE458C" w:rsidRDefault="005C7985" w:rsidP="006B30FC">
            <w:pPr>
              <w:spacing w:beforeLines="20" w:before="48" w:afterLines="20" w:after="48"/>
              <w:rPr>
                <w:sz w:val="20"/>
                <w:szCs w:val="20"/>
              </w:rPr>
            </w:pPr>
            <w:r w:rsidRPr="00AE458C">
              <w:rPr>
                <w:sz w:val="20"/>
                <w:szCs w:val="20"/>
              </w:rPr>
              <w:t>TC</w:t>
            </w:r>
          </w:p>
        </w:tc>
        <w:tc>
          <w:tcPr>
            <w:tcW w:w="1134" w:type="dxa"/>
            <w:tcBorders>
              <w:bottom w:val="nil"/>
            </w:tcBorders>
          </w:tcPr>
          <w:p w:rsidR="005C7985" w:rsidRPr="00AE458C" w:rsidRDefault="005C7985" w:rsidP="006B30FC">
            <w:pPr>
              <w:spacing w:beforeLines="20" w:before="48" w:afterLines="20" w:after="48"/>
              <w:rPr>
                <w:sz w:val="20"/>
                <w:szCs w:val="20"/>
              </w:rPr>
            </w:pPr>
            <w:r w:rsidRPr="00AE458C">
              <w:rPr>
                <w:sz w:val="20"/>
                <w:szCs w:val="20"/>
              </w:rPr>
              <w:t>O3</w:t>
            </w:r>
          </w:p>
        </w:tc>
        <w:tc>
          <w:tcPr>
            <w:tcW w:w="1701" w:type="dxa"/>
            <w:tcBorders>
              <w:bottom w:val="nil"/>
            </w:tcBorders>
          </w:tcPr>
          <w:p w:rsidR="005C7985" w:rsidRPr="00AE458C" w:rsidRDefault="005C7985" w:rsidP="006B30FC">
            <w:pPr>
              <w:spacing w:beforeLines="20" w:before="48" w:afterLines="20" w:after="48"/>
              <w:rPr>
                <w:sz w:val="20"/>
                <w:szCs w:val="20"/>
              </w:rPr>
            </w:pPr>
            <w:r w:rsidRPr="00AE458C">
              <w:rPr>
                <w:sz w:val="20"/>
                <w:szCs w:val="20"/>
              </w:rPr>
              <w:t>1 July 2019</w:t>
            </w:r>
          </w:p>
        </w:tc>
        <w:tc>
          <w:tcPr>
            <w:tcW w:w="1559" w:type="dxa"/>
            <w:tcBorders>
              <w:bottom w:val="nil"/>
              <w:right w:val="single" w:sz="4" w:space="0" w:color="auto"/>
            </w:tcBorders>
          </w:tcPr>
          <w:p w:rsidR="005C7985" w:rsidRPr="00AE458C" w:rsidRDefault="005C7985" w:rsidP="006B30FC">
            <w:pPr>
              <w:spacing w:beforeLines="20" w:before="48" w:afterLines="20" w:after="48"/>
              <w:rPr>
                <w:sz w:val="20"/>
                <w:szCs w:val="20"/>
              </w:rPr>
            </w:pPr>
            <w:r>
              <w:rPr>
                <w:sz w:val="20"/>
                <w:szCs w:val="20"/>
              </w:rPr>
              <w:t>See clause 3.1.2.</w:t>
            </w:r>
          </w:p>
        </w:tc>
      </w:tr>
      <w:tr w:rsidR="005C7985" w:rsidRPr="00E7422F" w:rsidTr="00AE458C">
        <w:tc>
          <w:tcPr>
            <w:tcW w:w="3085" w:type="dxa"/>
            <w:gridSpan w:val="2"/>
            <w:tcBorders>
              <w:left w:val="single" w:sz="4" w:space="0" w:color="auto"/>
              <w:bottom w:val="single" w:sz="4" w:space="0" w:color="auto"/>
            </w:tcBorders>
          </w:tcPr>
          <w:p w:rsidR="005C7985" w:rsidRPr="00AE458C" w:rsidRDefault="005C7985" w:rsidP="006B30FC">
            <w:pPr>
              <w:spacing w:beforeLines="20" w:before="48" w:afterLines="20" w:after="48"/>
              <w:rPr>
                <w:sz w:val="20"/>
                <w:szCs w:val="20"/>
              </w:rPr>
            </w:pPr>
            <w:r w:rsidRPr="00AE458C">
              <w:rPr>
                <w:sz w:val="20"/>
                <w:szCs w:val="20"/>
              </w:rPr>
              <w:t>Heavy trailer</w:t>
            </w:r>
          </w:p>
        </w:tc>
        <w:tc>
          <w:tcPr>
            <w:tcW w:w="1163" w:type="dxa"/>
            <w:tcBorders>
              <w:bottom w:val="single" w:sz="4" w:space="0" w:color="auto"/>
            </w:tcBorders>
          </w:tcPr>
          <w:p w:rsidR="005C7985" w:rsidRPr="00AE458C" w:rsidRDefault="005C7985" w:rsidP="006B30FC">
            <w:pPr>
              <w:spacing w:beforeLines="20" w:before="48" w:afterLines="20" w:after="48"/>
              <w:rPr>
                <w:sz w:val="20"/>
                <w:szCs w:val="20"/>
              </w:rPr>
            </w:pPr>
            <w:r w:rsidRPr="00AE458C">
              <w:rPr>
                <w:sz w:val="20"/>
                <w:szCs w:val="20"/>
              </w:rPr>
              <w:t>TD</w:t>
            </w:r>
          </w:p>
        </w:tc>
        <w:tc>
          <w:tcPr>
            <w:tcW w:w="1134" w:type="dxa"/>
            <w:tcBorders>
              <w:bottom w:val="single" w:sz="4" w:space="0" w:color="auto"/>
            </w:tcBorders>
          </w:tcPr>
          <w:p w:rsidR="005C7985" w:rsidRPr="00AE458C" w:rsidRDefault="005C7985" w:rsidP="006B30FC">
            <w:pPr>
              <w:spacing w:beforeLines="20" w:before="48" w:afterLines="20" w:after="48"/>
              <w:rPr>
                <w:sz w:val="20"/>
                <w:szCs w:val="20"/>
              </w:rPr>
            </w:pPr>
            <w:r w:rsidRPr="00AE458C">
              <w:rPr>
                <w:sz w:val="20"/>
                <w:szCs w:val="20"/>
              </w:rPr>
              <w:t>O4</w:t>
            </w:r>
          </w:p>
        </w:tc>
        <w:tc>
          <w:tcPr>
            <w:tcW w:w="1701" w:type="dxa"/>
            <w:tcBorders>
              <w:bottom w:val="single" w:sz="4" w:space="0" w:color="auto"/>
            </w:tcBorders>
          </w:tcPr>
          <w:p w:rsidR="005C7985" w:rsidRPr="00AE458C" w:rsidRDefault="005C7985" w:rsidP="006B30FC">
            <w:pPr>
              <w:spacing w:beforeLines="20" w:before="48" w:afterLines="20" w:after="48"/>
              <w:rPr>
                <w:sz w:val="20"/>
                <w:szCs w:val="20"/>
              </w:rPr>
            </w:pPr>
            <w:r w:rsidRPr="00AE458C">
              <w:rPr>
                <w:sz w:val="20"/>
                <w:szCs w:val="20"/>
              </w:rPr>
              <w:t>1 July 2019</w:t>
            </w:r>
          </w:p>
        </w:tc>
        <w:tc>
          <w:tcPr>
            <w:tcW w:w="1559" w:type="dxa"/>
            <w:tcBorders>
              <w:bottom w:val="single" w:sz="4" w:space="0" w:color="auto"/>
              <w:right w:val="single" w:sz="4" w:space="0" w:color="auto"/>
            </w:tcBorders>
          </w:tcPr>
          <w:p w:rsidR="005C7985" w:rsidRPr="00AE458C" w:rsidRDefault="005C7985" w:rsidP="006B30FC">
            <w:pPr>
              <w:spacing w:beforeLines="20" w:before="48" w:afterLines="20" w:after="48"/>
              <w:rPr>
                <w:sz w:val="20"/>
                <w:szCs w:val="20"/>
              </w:rPr>
            </w:pPr>
            <w:r>
              <w:rPr>
                <w:sz w:val="20"/>
                <w:szCs w:val="20"/>
              </w:rPr>
              <w:t>See clause 3.1.2.</w:t>
            </w:r>
          </w:p>
        </w:tc>
      </w:tr>
    </w:tbl>
    <w:p w:rsidR="00BA380C" w:rsidRDefault="00BA380C" w:rsidP="001E274F">
      <w:pPr>
        <w:pStyle w:val="Heading2"/>
        <w:numPr>
          <w:ilvl w:val="0"/>
          <w:numId w:val="0"/>
        </w:numPr>
        <w:ind w:left="1418" w:hanging="1418"/>
      </w:pPr>
    </w:p>
    <w:p w:rsidR="00BA380C" w:rsidRDefault="00BA380C">
      <w:pPr>
        <w:spacing w:after="200" w:line="276" w:lineRule="auto"/>
        <w:rPr>
          <w:b/>
          <w:caps/>
        </w:rPr>
      </w:pPr>
      <w:r>
        <w:br w:type="page"/>
      </w:r>
    </w:p>
    <w:p w:rsidR="006B0C5C" w:rsidRDefault="00015031" w:rsidP="00015031">
      <w:pPr>
        <w:pStyle w:val="Subclause"/>
        <w:spacing w:after="240"/>
      </w:pPr>
      <w:bookmarkStart w:id="7" w:name="_Toc517180955"/>
      <w:r>
        <w:lastRenderedPageBreak/>
        <w:t>Other a</w:t>
      </w:r>
      <w:r w:rsidR="00A43455">
        <w:t xml:space="preserve">pplicable </w:t>
      </w:r>
      <w:r>
        <w:t>Australian Design Rules</w:t>
      </w:r>
      <w:r w:rsidR="00F76DC4">
        <w:t xml:space="preserve"> (ADRs)</w:t>
      </w:r>
    </w:p>
    <w:tbl>
      <w:tblPr>
        <w:tblStyle w:val="TableGrid0"/>
        <w:tblW w:w="7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 w:type="dxa"/>
          <w:right w:w="75" w:type="dxa"/>
        </w:tblCellMar>
        <w:tblLook w:val="04A0" w:firstRow="1" w:lastRow="0" w:firstColumn="1" w:lastColumn="0" w:noHBand="0" w:noVBand="1"/>
      </w:tblPr>
      <w:tblGrid>
        <w:gridCol w:w="3118"/>
        <w:gridCol w:w="675"/>
        <w:gridCol w:w="675"/>
        <w:gridCol w:w="675"/>
        <w:gridCol w:w="675"/>
        <w:gridCol w:w="675"/>
        <w:gridCol w:w="675"/>
        <w:gridCol w:w="675"/>
      </w:tblGrid>
      <w:tr w:rsidR="00BE138C" w:rsidRPr="00A166B5" w:rsidTr="00A43455">
        <w:trPr>
          <w:trHeight w:val="109"/>
          <w:tblHeader/>
        </w:trPr>
        <w:tc>
          <w:tcPr>
            <w:tcW w:w="7843" w:type="dxa"/>
            <w:gridSpan w:val="8"/>
          </w:tcPr>
          <w:p w:rsidR="00BE138C" w:rsidRDefault="00A43455" w:rsidP="00A43455">
            <w:pPr>
              <w:spacing w:line="259" w:lineRule="auto"/>
              <w:jc w:val="center"/>
              <w:rPr>
                <w:rFonts w:eastAsia="Arial"/>
                <w:b/>
                <w:color w:val="000000"/>
                <w:sz w:val="20"/>
                <w:szCs w:val="20"/>
              </w:rPr>
            </w:pPr>
            <w:r w:rsidRPr="00A43455">
              <w:rPr>
                <w:rFonts w:eastAsia="Arial"/>
                <w:b/>
                <w:color w:val="000000"/>
                <w:sz w:val="20"/>
                <w:szCs w:val="20"/>
              </w:rPr>
              <w:t>Table 1:</w:t>
            </w:r>
            <w:r>
              <w:t xml:space="preserve"> </w:t>
            </w:r>
            <w:r w:rsidR="00BE138C">
              <w:rPr>
                <w:rFonts w:eastAsia="Arial"/>
                <w:b/>
                <w:color w:val="000000"/>
                <w:sz w:val="20"/>
                <w:szCs w:val="20"/>
              </w:rPr>
              <w:t>L-Group Vehicles (Two-Wheeled and Three-Wheeled Vehicles)</w:t>
            </w:r>
          </w:p>
        </w:tc>
      </w:tr>
      <w:tr w:rsidR="00BE138C" w:rsidRPr="00A166B5" w:rsidTr="00A43455">
        <w:trPr>
          <w:trHeight w:val="113"/>
          <w:tblHeader/>
        </w:trPr>
        <w:tc>
          <w:tcPr>
            <w:tcW w:w="3118" w:type="dxa"/>
            <w:vMerge w:val="restart"/>
            <w:vAlign w:val="center"/>
          </w:tcPr>
          <w:p w:rsidR="00BE138C" w:rsidRPr="006B0C5C" w:rsidRDefault="0049196D" w:rsidP="003A4EA5">
            <w:pPr>
              <w:spacing w:line="259" w:lineRule="auto"/>
              <w:jc w:val="center"/>
              <w:rPr>
                <w:rFonts w:eastAsia="Arial"/>
                <w:b/>
                <w:color w:val="000000"/>
                <w:sz w:val="20"/>
                <w:szCs w:val="20"/>
              </w:rPr>
            </w:pPr>
            <w:r>
              <w:rPr>
                <w:rFonts w:eastAsia="Arial"/>
                <w:b/>
                <w:color w:val="000000"/>
                <w:sz w:val="20"/>
                <w:szCs w:val="20"/>
              </w:rPr>
              <w:t>Vehicles certified to this standard must also be certified to:</w:t>
            </w:r>
          </w:p>
        </w:tc>
        <w:tc>
          <w:tcPr>
            <w:tcW w:w="4725" w:type="dxa"/>
            <w:gridSpan w:val="7"/>
          </w:tcPr>
          <w:p w:rsidR="00BE138C" w:rsidRDefault="00BE138C" w:rsidP="007F4FFD">
            <w:pPr>
              <w:spacing w:line="259" w:lineRule="auto"/>
              <w:jc w:val="center"/>
              <w:rPr>
                <w:rFonts w:eastAsia="Arial"/>
                <w:b/>
                <w:color w:val="000000"/>
                <w:sz w:val="20"/>
                <w:szCs w:val="20"/>
              </w:rPr>
            </w:pPr>
            <w:r>
              <w:rPr>
                <w:rFonts w:eastAsia="Arial"/>
                <w:b/>
                <w:color w:val="000000"/>
                <w:sz w:val="20"/>
                <w:szCs w:val="20"/>
              </w:rPr>
              <w:t>ADR Category Code</w:t>
            </w:r>
          </w:p>
          <w:p w:rsidR="00BE138C" w:rsidRDefault="00BE138C" w:rsidP="007F4FFD">
            <w:pPr>
              <w:spacing w:line="259" w:lineRule="auto"/>
              <w:jc w:val="center"/>
              <w:rPr>
                <w:rFonts w:eastAsia="Arial"/>
                <w:b/>
                <w:color w:val="000000"/>
                <w:sz w:val="20"/>
                <w:szCs w:val="20"/>
              </w:rPr>
            </w:pPr>
            <w:r>
              <w:rPr>
                <w:rFonts w:eastAsia="Arial"/>
                <w:b/>
                <w:color w:val="000000"/>
                <w:sz w:val="20"/>
                <w:szCs w:val="20"/>
              </w:rPr>
              <w:t>(UN Category Code)</w:t>
            </w:r>
          </w:p>
        </w:tc>
      </w:tr>
      <w:tr w:rsidR="00BE138C" w:rsidRPr="00A166B5" w:rsidTr="00A43455">
        <w:trPr>
          <w:trHeight w:val="395"/>
          <w:tblHeader/>
        </w:trPr>
        <w:tc>
          <w:tcPr>
            <w:tcW w:w="3118" w:type="dxa"/>
            <w:vMerge/>
          </w:tcPr>
          <w:p w:rsidR="00BE138C" w:rsidRPr="006B0C5C" w:rsidRDefault="00BE138C" w:rsidP="007F4FFD">
            <w:pPr>
              <w:spacing w:line="259" w:lineRule="auto"/>
              <w:rPr>
                <w:rFonts w:eastAsia="Arial"/>
                <w:b/>
                <w:color w:val="000000"/>
                <w:sz w:val="20"/>
                <w:szCs w:val="20"/>
              </w:rPr>
            </w:pPr>
          </w:p>
        </w:tc>
        <w:tc>
          <w:tcPr>
            <w:tcW w:w="675" w:type="dxa"/>
          </w:tcPr>
          <w:p w:rsidR="00BE138C" w:rsidRPr="006B0C5C" w:rsidRDefault="00BE138C" w:rsidP="007F4FFD">
            <w:pPr>
              <w:spacing w:line="259" w:lineRule="auto"/>
              <w:jc w:val="center"/>
              <w:rPr>
                <w:rFonts w:eastAsia="Arial"/>
                <w:b/>
                <w:color w:val="000000"/>
                <w:sz w:val="20"/>
                <w:szCs w:val="20"/>
              </w:rPr>
            </w:pPr>
            <w:r>
              <w:rPr>
                <w:rFonts w:eastAsia="Arial"/>
                <w:b/>
                <w:color w:val="000000"/>
                <w:sz w:val="20"/>
                <w:szCs w:val="20"/>
              </w:rPr>
              <w:t>L</w:t>
            </w:r>
            <w:r w:rsidRPr="006B0C5C">
              <w:rPr>
                <w:rFonts w:eastAsia="Arial"/>
                <w:b/>
                <w:color w:val="000000"/>
                <w:sz w:val="20"/>
                <w:szCs w:val="20"/>
              </w:rPr>
              <w:t>A</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w:t>
            </w:r>
            <w:r w:rsidR="009248FD">
              <w:rPr>
                <w:rFonts w:eastAsia="Arial"/>
                <w:b/>
                <w:color w:val="000000"/>
                <w:sz w:val="20"/>
                <w:szCs w:val="20"/>
              </w:rPr>
              <w:t>L</w:t>
            </w:r>
            <w:r w:rsidRPr="006B0C5C">
              <w:rPr>
                <w:rFonts w:eastAsia="Arial"/>
                <w:b/>
                <w:color w:val="000000"/>
                <w:sz w:val="20"/>
                <w:szCs w:val="20"/>
              </w:rPr>
              <w:t>1)</w:t>
            </w:r>
          </w:p>
        </w:tc>
        <w:tc>
          <w:tcPr>
            <w:tcW w:w="675" w:type="dxa"/>
          </w:tcPr>
          <w:p w:rsidR="00BE138C" w:rsidRPr="006B0C5C" w:rsidRDefault="00BE138C" w:rsidP="007F4FFD">
            <w:pPr>
              <w:spacing w:line="259" w:lineRule="auto"/>
              <w:jc w:val="center"/>
              <w:rPr>
                <w:rFonts w:eastAsia="Arial"/>
                <w:b/>
                <w:color w:val="000000"/>
                <w:sz w:val="20"/>
                <w:szCs w:val="20"/>
              </w:rPr>
            </w:pPr>
            <w:r>
              <w:rPr>
                <w:rFonts w:eastAsia="Arial"/>
                <w:b/>
                <w:color w:val="000000"/>
                <w:sz w:val="20"/>
                <w:szCs w:val="20"/>
              </w:rPr>
              <w:t>LB</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L2</w:t>
            </w:r>
            <w:r w:rsidRPr="006B0C5C">
              <w:rPr>
                <w:rFonts w:eastAsia="Arial"/>
                <w:b/>
                <w:color w:val="000000"/>
                <w:sz w:val="20"/>
                <w:szCs w:val="20"/>
              </w:rPr>
              <w:t>)</w:t>
            </w:r>
          </w:p>
        </w:tc>
        <w:tc>
          <w:tcPr>
            <w:tcW w:w="675" w:type="dxa"/>
          </w:tcPr>
          <w:p w:rsidR="00BE138C" w:rsidRPr="006B0C5C" w:rsidRDefault="00BE138C" w:rsidP="007F4FFD">
            <w:pPr>
              <w:spacing w:line="259" w:lineRule="auto"/>
              <w:jc w:val="center"/>
              <w:rPr>
                <w:rFonts w:eastAsia="Arial"/>
                <w:b/>
                <w:color w:val="000000"/>
                <w:sz w:val="20"/>
                <w:szCs w:val="20"/>
              </w:rPr>
            </w:pPr>
            <w:r>
              <w:rPr>
                <w:rFonts w:eastAsia="Arial"/>
                <w:b/>
                <w:color w:val="000000"/>
                <w:sz w:val="20"/>
                <w:szCs w:val="20"/>
              </w:rPr>
              <w:t>LC</w:t>
            </w:r>
          </w:p>
          <w:p w:rsidR="00BE138C" w:rsidRPr="006B0C5C" w:rsidRDefault="00BE138C" w:rsidP="00C42787">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L3</w:t>
            </w:r>
            <w:r w:rsidRPr="006B0C5C">
              <w:rPr>
                <w:rFonts w:eastAsia="Arial"/>
                <w:b/>
                <w:color w:val="000000"/>
                <w:sz w:val="20"/>
                <w:szCs w:val="20"/>
              </w:rPr>
              <w:t>)</w:t>
            </w:r>
          </w:p>
        </w:tc>
        <w:tc>
          <w:tcPr>
            <w:tcW w:w="675" w:type="dxa"/>
          </w:tcPr>
          <w:p w:rsidR="00BE138C" w:rsidRPr="006B0C5C" w:rsidRDefault="00BE138C" w:rsidP="007F4FFD">
            <w:pPr>
              <w:spacing w:line="259" w:lineRule="auto"/>
              <w:jc w:val="center"/>
              <w:rPr>
                <w:rFonts w:eastAsia="Arial"/>
                <w:b/>
                <w:color w:val="000000"/>
                <w:sz w:val="20"/>
                <w:szCs w:val="20"/>
              </w:rPr>
            </w:pPr>
            <w:r>
              <w:rPr>
                <w:rFonts w:eastAsia="Arial"/>
                <w:b/>
                <w:color w:val="000000"/>
                <w:sz w:val="20"/>
                <w:szCs w:val="20"/>
              </w:rPr>
              <w:t>LD</w:t>
            </w:r>
          </w:p>
          <w:p w:rsidR="00BE138C" w:rsidRPr="006B0C5C" w:rsidRDefault="00BE138C" w:rsidP="00C42787">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L4</w:t>
            </w:r>
            <w:r w:rsidRPr="006B0C5C">
              <w:rPr>
                <w:rFonts w:eastAsia="Arial"/>
                <w:b/>
                <w:color w:val="000000"/>
                <w:sz w:val="20"/>
                <w:szCs w:val="20"/>
              </w:rPr>
              <w:t>)</w:t>
            </w:r>
          </w:p>
        </w:tc>
        <w:tc>
          <w:tcPr>
            <w:tcW w:w="675" w:type="dxa"/>
          </w:tcPr>
          <w:p w:rsidR="00BE138C" w:rsidRDefault="00BE138C" w:rsidP="007F4FFD">
            <w:pPr>
              <w:spacing w:line="259" w:lineRule="auto"/>
              <w:jc w:val="center"/>
              <w:rPr>
                <w:rFonts w:eastAsia="Arial"/>
                <w:b/>
                <w:color w:val="000000"/>
                <w:sz w:val="20"/>
                <w:szCs w:val="20"/>
              </w:rPr>
            </w:pPr>
            <w:r>
              <w:rPr>
                <w:rFonts w:eastAsia="Arial"/>
                <w:b/>
                <w:color w:val="000000"/>
                <w:sz w:val="20"/>
                <w:szCs w:val="20"/>
              </w:rPr>
              <w:t>LEM</w:t>
            </w:r>
          </w:p>
          <w:p w:rsidR="00BE138C" w:rsidRDefault="00BE138C" w:rsidP="007F4FFD">
            <w:pPr>
              <w:spacing w:line="259" w:lineRule="auto"/>
              <w:jc w:val="center"/>
              <w:rPr>
                <w:rFonts w:eastAsia="Arial"/>
                <w:b/>
                <w:color w:val="000000"/>
                <w:sz w:val="20"/>
                <w:szCs w:val="20"/>
              </w:rPr>
            </w:pPr>
            <w:r>
              <w:rPr>
                <w:rFonts w:eastAsia="Arial"/>
                <w:b/>
                <w:color w:val="000000"/>
                <w:sz w:val="20"/>
                <w:szCs w:val="20"/>
              </w:rPr>
              <w:t>(L5)</w:t>
            </w:r>
          </w:p>
        </w:tc>
        <w:tc>
          <w:tcPr>
            <w:tcW w:w="675" w:type="dxa"/>
          </w:tcPr>
          <w:p w:rsidR="00BE138C" w:rsidRDefault="00BE138C" w:rsidP="00BE138C">
            <w:pPr>
              <w:spacing w:line="259" w:lineRule="auto"/>
              <w:jc w:val="center"/>
              <w:rPr>
                <w:rFonts w:eastAsia="Arial"/>
                <w:b/>
                <w:color w:val="000000"/>
                <w:sz w:val="20"/>
                <w:szCs w:val="20"/>
              </w:rPr>
            </w:pPr>
            <w:r>
              <w:rPr>
                <w:rFonts w:eastAsia="Arial"/>
                <w:b/>
                <w:color w:val="000000"/>
                <w:sz w:val="20"/>
                <w:szCs w:val="20"/>
              </w:rPr>
              <w:t>LEP</w:t>
            </w:r>
          </w:p>
          <w:p w:rsidR="00BE138C" w:rsidRDefault="00BE138C" w:rsidP="00BE138C">
            <w:pPr>
              <w:spacing w:line="259" w:lineRule="auto"/>
              <w:jc w:val="center"/>
              <w:rPr>
                <w:rFonts w:eastAsia="Arial"/>
                <w:b/>
                <w:color w:val="000000"/>
                <w:sz w:val="20"/>
                <w:szCs w:val="20"/>
              </w:rPr>
            </w:pPr>
            <w:r>
              <w:rPr>
                <w:rFonts w:eastAsia="Arial"/>
                <w:b/>
                <w:color w:val="000000"/>
                <w:sz w:val="20"/>
                <w:szCs w:val="20"/>
              </w:rPr>
              <w:t>(L5)</w:t>
            </w:r>
          </w:p>
        </w:tc>
        <w:tc>
          <w:tcPr>
            <w:tcW w:w="675" w:type="dxa"/>
          </w:tcPr>
          <w:p w:rsidR="00BE138C" w:rsidRDefault="00BE138C" w:rsidP="00BE138C">
            <w:pPr>
              <w:spacing w:line="259" w:lineRule="auto"/>
              <w:jc w:val="center"/>
              <w:rPr>
                <w:rFonts w:eastAsia="Arial"/>
                <w:b/>
                <w:color w:val="000000"/>
                <w:sz w:val="20"/>
                <w:szCs w:val="20"/>
              </w:rPr>
            </w:pPr>
            <w:r>
              <w:rPr>
                <w:rFonts w:eastAsia="Arial"/>
                <w:b/>
                <w:color w:val="000000"/>
                <w:sz w:val="20"/>
                <w:szCs w:val="20"/>
              </w:rPr>
              <w:t>LEG</w:t>
            </w:r>
          </w:p>
          <w:p w:rsidR="00BE138C" w:rsidRDefault="00BE138C" w:rsidP="00BE138C">
            <w:pPr>
              <w:spacing w:line="259" w:lineRule="auto"/>
              <w:jc w:val="center"/>
              <w:rPr>
                <w:rFonts w:eastAsia="Arial"/>
                <w:b/>
                <w:color w:val="000000"/>
                <w:sz w:val="20"/>
                <w:szCs w:val="20"/>
              </w:rPr>
            </w:pPr>
            <w:r>
              <w:rPr>
                <w:rFonts w:eastAsia="Arial"/>
                <w:b/>
                <w:color w:val="000000"/>
                <w:sz w:val="20"/>
                <w:szCs w:val="20"/>
              </w:rPr>
              <w:t>(L5)</w:t>
            </w:r>
          </w:p>
        </w:tc>
      </w:tr>
      <w:tr w:rsidR="00BE138C" w:rsidRPr="00A166B5" w:rsidTr="00A43455">
        <w:trPr>
          <w:trHeight w:val="192"/>
        </w:trPr>
        <w:tc>
          <w:tcPr>
            <w:tcW w:w="3118" w:type="dxa"/>
            <w:vAlign w:val="center"/>
          </w:tcPr>
          <w:p w:rsidR="00BE138C" w:rsidRPr="006B0C5C" w:rsidRDefault="00BE138C" w:rsidP="00C77DAB">
            <w:pPr>
              <w:spacing w:line="259" w:lineRule="auto"/>
              <w:rPr>
                <w:rFonts w:eastAsia="Arial"/>
                <w:color w:val="000000"/>
                <w:sz w:val="20"/>
                <w:szCs w:val="20"/>
              </w:rPr>
            </w:pPr>
            <w:r>
              <w:rPr>
                <w:rFonts w:eastAsia="Arial"/>
                <w:color w:val="000000"/>
                <w:sz w:val="20"/>
                <w:szCs w:val="20"/>
              </w:rPr>
              <w:t>ADR 90/</w:t>
            </w:r>
            <w:r w:rsidR="00C77DAB">
              <w:rPr>
                <w:rFonts w:eastAsia="Arial"/>
                <w:color w:val="000000"/>
                <w:sz w:val="20"/>
                <w:szCs w:val="20"/>
              </w:rPr>
              <w:t>…</w:t>
            </w:r>
            <w:r>
              <w:rPr>
                <w:rFonts w:eastAsia="Arial"/>
                <w:color w:val="000000"/>
                <w:sz w:val="20"/>
                <w:szCs w:val="20"/>
              </w:rPr>
              <w:t xml:space="preserve"> – Steering System</w:t>
            </w:r>
          </w:p>
        </w:tc>
        <w:tc>
          <w:tcPr>
            <w:tcW w:w="675" w:type="dxa"/>
            <w:vAlign w:val="center"/>
          </w:tcPr>
          <w:p w:rsidR="00BE138C" w:rsidRPr="006B0C5C" w:rsidRDefault="00BE138C" w:rsidP="00BE138C">
            <w:pPr>
              <w:spacing w:line="259" w:lineRule="auto"/>
              <w:jc w:val="center"/>
              <w:rPr>
                <w:rFonts w:eastAsia="Arial"/>
                <w:color w:val="000000"/>
                <w:sz w:val="20"/>
                <w:szCs w:val="20"/>
              </w:rPr>
            </w:pPr>
            <w:r>
              <w:rPr>
                <w:rFonts w:eastAsia="Arial"/>
                <w:color w:val="000000"/>
                <w:sz w:val="20"/>
                <w:szCs w:val="20"/>
              </w:rPr>
              <w:t>n/a</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Pr>
                <w:rFonts w:eastAsia="Arial"/>
                <w:color w:val="000000"/>
                <w:sz w:val="20"/>
                <w:szCs w:val="20"/>
              </w:rPr>
              <w:t>n/a</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r>
      <w:tr w:rsidR="00BE138C" w:rsidRPr="00A166B5" w:rsidTr="00A43455">
        <w:trPr>
          <w:trHeight w:val="194"/>
        </w:trPr>
        <w:tc>
          <w:tcPr>
            <w:tcW w:w="3118" w:type="dxa"/>
            <w:vAlign w:val="center"/>
          </w:tcPr>
          <w:p w:rsidR="00BE138C" w:rsidRPr="006B0C5C" w:rsidRDefault="00BE138C" w:rsidP="00C77DAB">
            <w:pPr>
              <w:spacing w:line="259" w:lineRule="auto"/>
              <w:rPr>
                <w:rFonts w:eastAsia="Arial"/>
                <w:color w:val="000000"/>
                <w:sz w:val="20"/>
                <w:szCs w:val="20"/>
              </w:rPr>
            </w:pPr>
            <w:r>
              <w:rPr>
                <w:rFonts w:eastAsia="Arial"/>
                <w:color w:val="000000"/>
                <w:sz w:val="20"/>
                <w:szCs w:val="20"/>
              </w:rPr>
              <w:t>ADR 92/</w:t>
            </w:r>
            <w:r w:rsidR="00C77DAB">
              <w:rPr>
                <w:rFonts w:eastAsia="Arial"/>
                <w:color w:val="000000"/>
                <w:sz w:val="20"/>
                <w:szCs w:val="20"/>
              </w:rPr>
              <w:t>…</w:t>
            </w:r>
            <w:r>
              <w:rPr>
                <w:rFonts w:eastAsia="Arial"/>
                <w:color w:val="000000"/>
                <w:sz w:val="20"/>
                <w:szCs w:val="20"/>
              </w:rPr>
              <w:t xml:space="preserve"> – External Projections</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r>
      <w:tr w:rsidR="00BE138C" w:rsidRPr="00A166B5" w:rsidTr="00A43455">
        <w:trPr>
          <w:trHeight w:val="193"/>
        </w:trPr>
        <w:tc>
          <w:tcPr>
            <w:tcW w:w="3118" w:type="dxa"/>
            <w:vAlign w:val="center"/>
          </w:tcPr>
          <w:p w:rsidR="00BE138C" w:rsidRPr="006B0C5C" w:rsidRDefault="00BE138C" w:rsidP="00BE138C">
            <w:pPr>
              <w:spacing w:line="259" w:lineRule="auto"/>
              <w:rPr>
                <w:rFonts w:eastAsia="Arial"/>
                <w:color w:val="000000"/>
                <w:sz w:val="20"/>
                <w:szCs w:val="20"/>
              </w:rPr>
            </w:pPr>
            <w:r>
              <w:rPr>
                <w:rFonts w:eastAsia="Arial"/>
                <w:color w:val="000000"/>
                <w:sz w:val="20"/>
                <w:szCs w:val="20"/>
              </w:rPr>
              <w:t>ADR 93</w:t>
            </w:r>
            <w:r w:rsidR="00C77DAB">
              <w:rPr>
                <w:rFonts w:eastAsia="Arial"/>
                <w:color w:val="000000"/>
                <w:sz w:val="20"/>
                <w:szCs w:val="20"/>
              </w:rPr>
              <w:t>/…</w:t>
            </w:r>
            <w:r>
              <w:rPr>
                <w:rFonts w:eastAsia="Arial"/>
                <w:color w:val="000000"/>
                <w:sz w:val="20"/>
                <w:szCs w:val="20"/>
              </w:rPr>
              <w:t xml:space="preserve"> – Forward Field of View</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r>
      <w:tr w:rsidR="00BE138C" w:rsidRPr="00A166B5" w:rsidTr="00A43455">
        <w:trPr>
          <w:trHeight w:val="194"/>
        </w:trPr>
        <w:tc>
          <w:tcPr>
            <w:tcW w:w="3118" w:type="dxa"/>
            <w:vAlign w:val="center"/>
          </w:tcPr>
          <w:p w:rsidR="00BE138C" w:rsidRPr="006B0C5C" w:rsidRDefault="00BE138C" w:rsidP="00BE138C">
            <w:pPr>
              <w:spacing w:line="259" w:lineRule="auto"/>
              <w:rPr>
                <w:rFonts w:eastAsia="Arial"/>
                <w:color w:val="000000"/>
                <w:sz w:val="20"/>
                <w:szCs w:val="20"/>
              </w:rPr>
            </w:pPr>
            <w:r>
              <w:rPr>
                <w:rFonts w:eastAsia="Arial"/>
                <w:color w:val="000000"/>
                <w:sz w:val="20"/>
                <w:szCs w:val="20"/>
              </w:rPr>
              <w:t>ADR 94</w:t>
            </w:r>
            <w:r w:rsidR="00C77DAB">
              <w:rPr>
                <w:rFonts w:eastAsia="Arial"/>
                <w:color w:val="000000"/>
                <w:sz w:val="20"/>
                <w:szCs w:val="20"/>
              </w:rPr>
              <w:t>/…</w:t>
            </w:r>
            <w:r>
              <w:rPr>
                <w:rFonts w:eastAsia="Arial"/>
                <w:color w:val="000000"/>
                <w:sz w:val="20"/>
                <w:szCs w:val="20"/>
              </w:rPr>
              <w:t xml:space="preserve"> – Audible Warning</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BE138C" w:rsidRPr="006B0C5C" w:rsidRDefault="00BE138C" w:rsidP="00BE138C">
            <w:pPr>
              <w:spacing w:line="259" w:lineRule="auto"/>
              <w:jc w:val="center"/>
              <w:rPr>
                <w:rFonts w:eastAsia="Arial"/>
                <w:color w:val="000000"/>
                <w:sz w:val="20"/>
                <w:szCs w:val="20"/>
              </w:rPr>
            </w:pPr>
            <w:r w:rsidRPr="006B0C5C">
              <w:rPr>
                <w:rFonts w:eastAsia="Arial"/>
                <w:color w:val="000000"/>
                <w:sz w:val="20"/>
                <w:szCs w:val="20"/>
              </w:rPr>
              <w:t>X</w:t>
            </w:r>
          </w:p>
        </w:tc>
      </w:tr>
      <w:tr w:rsidR="00F072DB" w:rsidRPr="00A166B5" w:rsidTr="00A43455">
        <w:trPr>
          <w:trHeight w:val="194"/>
        </w:trPr>
        <w:tc>
          <w:tcPr>
            <w:tcW w:w="3118" w:type="dxa"/>
            <w:vAlign w:val="center"/>
          </w:tcPr>
          <w:p w:rsidR="00F072DB" w:rsidRDefault="00F072DB" w:rsidP="00F072DB">
            <w:pPr>
              <w:spacing w:line="259" w:lineRule="auto"/>
              <w:rPr>
                <w:rFonts w:eastAsia="Arial"/>
                <w:color w:val="000000"/>
                <w:sz w:val="20"/>
                <w:szCs w:val="20"/>
              </w:rPr>
            </w:pPr>
            <w:r>
              <w:rPr>
                <w:rFonts w:eastAsia="Arial"/>
                <w:color w:val="000000"/>
                <w:sz w:val="20"/>
                <w:szCs w:val="20"/>
              </w:rPr>
              <w:t>ADR 95/… – Installation of Tyres</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r>
    </w:tbl>
    <w:p w:rsidR="00C42787" w:rsidRDefault="00C42787" w:rsidP="00015031"/>
    <w:tbl>
      <w:tblPr>
        <w:tblStyle w:val="TableGrid0"/>
        <w:tblW w:w="85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 w:type="dxa"/>
          <w:right w:w="75" w:type="dxa"/>
        </w:tblCellMar>
        <w:tblLook w:val="04A0" w:firstRow="1" w:lastRow="0" w:firstColumn="1" w:lastColumn="0" w:noHBand="0" w:noVBand="1"/>
      </w:tblPr>
      <w:tblGrid>
        <w:gridCol w:w="3118"/>
        <w:gridCol w:w="673"/>
        <w:gridCol w:w="674"/>
        <w:gridCol w:w="674"/>
        <w:gridCol w:w="674"/>
        <w:gridCol w:w="673"/>
        <w:gridCol w:w="674"/>
        <w:gridCol w:w="674"/>
        <w:gridCol w:w="674"/>
      </w:tblGrid>
      <w:tr w:rsidR="00BE138C" w:rsidRPr="00A166B5" w:rsidTr="007C65A4">
        <w:trPr>
          <w:trHeight w:val="109"/>
          <w:tblHeader/>
          <w:jc w:val="center"/>
        </w:trPr>
        <w:tc>
          <w:tcPr>
            <w:tcW w:w="8508" w:type="dxa"/>
            <w:gridSpan w:val="9"/>
          </w:tcPr>
          <w:p w:rsidR="00BE138C" w:rsidRPr="006B0C5C" w:rsidRDefault="00A43455" w:rsidP="007F4FFD">
            <w:pPr>
              <w:spacing w:line="259" w:lineRule="auto"/>
              <w:jc w:val="center"/>
              <w:rPr>
                <w:rFonts w:eastAsia="Arial"/>
                <w:b/>
                <w:color w:val="000000"/>
                <w:sz w:val="20"/>
                <w:szCs w:val="20"/>
              </w:rPr>
            </w:pPr>
            <w:r>
              <w:rPr>
                <w:rFonts w:eastAsia="Arial"/>
                <w:b/>
                <w:color w:val="000000"/>
                <w:sz w:val="20"/>
                <w:szCs w:val="20"/>
              </w:rPr>
              <w:t xml:space="preserve">Table 2: </w:t>
            </w:r>
            <w:r w:rsidR="00BE138C">
              <w:rPr>
                <w:rFonts w:eastAsia="Arial"/>
                <w:b/>
                <w:color w:val="000000"/>
                <w:sz w:val="20"/>
                <w:szCs w:val="20"/>
              </w:rPr>
              <w:t>M-Group Vehicles (</w:t>
            </w:r>
            <w:r w:rsidR="00BE138C" w:rsidRPr="006B0C5C">
              <w:rPr>
                <w:rFonts w:eastAsia="Arial"/>
                <w:b/>
                <w:color w:val="000000"/>
                <w:sz w:val="20"/>
                <w:szCs w:val="20"/>
              </w:rPr>
              <w:t>Passenger Vehicles</w:t>
            </w:r>
            <w:r w:rsidR="00BE138C">
              <w:rPr>
                <w:rFonts w:eastAsia="Arial"/>
                <w:b/>
                <w:color w:val="000000"/>
                <w:sz w:val="20"/>
                <w:szCs w:val="20"/>
              </w:rPr>
              <w:t xml:space="preserve"> including Omnibuses)</w:t>
            </w:r>
          </w:p>
        </w:tc>
      </w:tr>
      <w:tr w:rsidR="00BE138C" w:rsidRPr="00A166B5" w:rsidTr="007F4FFD">
        <w:trPr>
          <w:trHeight w:val="113"/>
          <w:tblHeader/>
          <w:jc w:val="center"/>
        </w:trPr>
        <w:tc>
          <w:tcPr>
            <w:tcW w:w="3118" w:type="dxa"/>
            <w:vMerge w:val="restart"/>
            <w:vAlign w:val="center"/>
          </w:tcPr>
          <w:p w:rsidR="00BE138C" w:rsidRPr="006B0C5C" w:rsidRDefault="0049196D" w:rsidP="00DF717D">
            <w:pPr>
              <w:spacing w:line="259" w:lineRule="auto"/>
              <w:jc w:val="center"/>
              <w:rPr>
                <w:rFonts w:eastAsia="Arial"/>
                <w:b/>
                <w:color w:val="000000"/>
                <w:sz w:val="20"/>
                <w:szCs w:val="20"/>
              </w:rPr>
            </w:pPr>
            <w:r>
              <w:rPr>
                <w:rFonts w:eastAsia="Arial"/>
                <w:b/>
                <w:color w:val="000000"/>
                <w:sz w:val="20"/>
                <w:szCs w:val="20"/>
              </w:rPr>
              <w:t>Vehicles certified to this standard must also be certified to:</w:t>
            </w:r>
          </w:p>
        </w:tc>
        <w:tc>
          <w:tcPr>
            <w:tcW w:w="5390" w:type="dxa"/>
            <w:gridSpan w:val="8"/>
          </w:tcPr>
          <w:p w:rsidR="00BE138C" w:rsidRDefault="00BE138C" w:rsidP="007F4FFD">
            <w:pPr>
              <w:spacing w:line="259" w:lineRule="auto"/>
              <w:jc w:val="center"/>
              <w:rPr>
                <w:rFonts w:eastAsia="Arial"/>
                <w:b/>
                <w:color w:val="000000"/>
                <w:sz w:val="20"/>
                <w:szCs w:val="20"/>
              </w:rPr>
            </w:pPr>
            <w:r>
              <w:rPr>
                <w:rFonts w:eastAsia="Arial"/>
                <w:b/>
                <w:color w:val="000000"/>
                <w:sz w:val="20"/>
                <w:szCs w:val="20"/>
              </w:rPr>
              <w:t>ADR Category Code</w:t>
            </w:r>
          </w:p>
          <w:p w:rsidR="00BE138C" w:rsidRPr="006B0C5C" w:rsidRDefault="00BE138C" w:rsidP="007F4FFD">
            <w:pPr>
              <w:spacing w:line="259" w:lineRule="auto"/>
              <w:jc w:val="center"/>
              <w:rPr>
                <w:rFonts w:eastAsia="Arial"/>
                <w:b/>
                <w:color w:val="000000"/>
                <w:sz w:val="20"/>
                <w:szCs w:val="20"/>
              </w:rPr>
            </w:pPr>
            <w:r>
              <w:rPr>
                <w:rFonts w:eastAsia="Arial"/>
                <w:b/>
                <w:color w:val="000000"/>
                <w:sz w:val="20"/>
                <w:szCs w:val="20"/>
              </w:rPr>
              <w:t>(UN Category Code)</w:t>
            </w:r>
          </w:p>
        </w:tc>
      </w:tr>
      <w:tr w:rsidR="00BE138C" w:rsidRPr="00A166B5" w:rsidTr="007F4FFD">
        <w:trPr>
          <w:trHeight w:val="395"/>
          <w:tblHeader/>
          <w:jc w:val="center"/>
        </w:trPr>
        <w:tc>
          <w:tcPr>
            <w:tcW w:w="3118" w:type="dxa"/>
            <w:vMerge/>
          </w:tcPr>
          <w:p w:rsidR="00BE138C" w:rsidRPr="006B0C5C" w:rsidRDefault="00BE138C" w:rsidP="007F4FFD">
            <w:pPr>
              <w:spacing w:line="259" w:lineRule="auto"/>
              <w:rPr>
                <w:rFonts w:eastAsia="Arial"/>
                <w:b/>
                <w:color w:val="000000"/>
                <w:sz w:val="20"/>
                <w:szCs w:val="20"/>
              </w:rPr>
            </w:pPr>
          </w:p>
        </w:tc>
        <w:tc>
          <w:tcPr>
            <w:tcW w:w="673" w:type="dxa"/>
          </w:tcPr>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MA</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(M1)</w:t>
            </w:r>
          </w:p>
        </w:tc>
        <w:tc>
          <w:tcPr>
            <w:tcW w:w="674" w:type="dxa"/>
          </w:tcPr>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MB</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(M1)</w:t>
            </w:r>
          </w:p>
        </w:tc>
        <w:tc>
          <w:tcPr>
            <w:tcW w:w="674" w:type="dxa"/>
          </w:tcPr>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MC</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(M1)</w:t>
            </w:r>
          </w:p>
        </w:tc>
        <w:tc>
          <w:tcPr>
            <w:tcW w:w="674" w:type="dxa"/>
          </w:tcPr>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MD1</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(M2)</w:t>
            </w:r>
          </w:p>
        </w:tc>
        <w:tc>
          <w:tcPr>
            <w:tcW w:w="673" w:type="dxa"/>
          </w:tcPr>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MD2</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(M2)</w:t>
            </w:r>
          </w:p>
        </w:tc>
        <w:tc>
          <w:tcPr>
            <w:tcW w:w="674" w:type="dxa"/>
          </w:tcPr>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MD3</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(M2)</w:t>
            </w:r>
          </w:p>
        </w:tc>
        <w:tc>
          <w:tcPr>
            <w:tcW w:w="674" w:type="dxa"/>
          </w:tcPr>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MD4</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(M2)</w:t>
            </w:r>
          </w:p>
        </w:tc>
        <w:tc>
          <w:tcPr>
            <w:tcW w:w="674" w:type="dxa"/>
          </w:tcPr>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ME</w:t>
            </w:r>
          </w:p>
          <w:p w:rsidR="00BE138C" w:rsidRPr="006B0C5C" w:rsidRDefault="00BE138C" w:rsidP="007F4FFD">
            <w:pPr>
              <w:spacing w:line="259" w:lineRule="auto"/>
              <w:jc w:val="center"/>
              <w:rPr>
                <w:rFonts w:eastAsia="Arial"/>
                <w:b/>
                <w:color w:val="000000"/>
                <w:sz w:val="20"/>
                <w:szCs w:val="20"/>
              </w:rPr>
            </w:pPr>
            <w:r w:rsidRPr="006B0C5C">
              <w:rPr>
                <w:rFonts w:eastAsia="Arial"/>
                <w:b/>
                <w:color w:val="000000"/>
                <w:sz w:val="20"/>
                <w:szCs w:val="20"/>
              </w:rPr>
              <w:t>(M3)</w:t>
            </w:r>
          </w:p>
        </w:tc>
      </w:tr>
      <w:tr w:rsidR="007C65A4" w:rsidRPr="00A166B5" w:rsidTr="007F4FFD">
        <w:trPr>
          <w:trHeight w:val="192"/>
          <w:jc w:val="center"/>
        </w:trPr>
        <w:tc>
          <w:tcPr>
            <w:tcW w:w="3118" w:type="dxa"/>
            <w:vAlign w:val="center"/>
          </w:tcPr>
          <w:p w:rsidR="007C65A4" w:rsidRPr="006B0C5C" w:rsidRDefault="007C65A4" w:rsidP="007C65A4">
            <w:pPr>
              <w:spacing w:line="259" w:lineRule="auto"/>
              <w:rPr>
                <w:rFonts w:eastAsia="Arial"/>
                <w:color w:val="000000"/>
                <w:sz w:val="20"/>
                <w:szCs w:val="20"/>
              </w:rPr>
            </w:pPr>
            <w:r>
              <w:rPr>
                <w:rFonts w:eastAsia="Arial"/>
                <w:color w:val="000000"/>
                <w:sz w:val="20"/>
                <w:szCs w:val="20"/>
              </w:rPr>
              <w:t>ADR 90/… – Steering System</w:t>
            </w:r>
          </w:p>
        </w:tc>
        <w:tc>
          <w:tcPr>
            <w:tcW w:w="673"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3"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r>
      <w:tr w:rsidR="007C65A4" w:rsidRPr="00A166B5" w:rsidTr="007F4FFD">
        <w:trPr>
          <w:trHeight w:val="194"/>
          <w:jc w:val="center"/>
        </w:trPr>
        <w:tc>
          <w:tcPr>
            <w:tcW w:w="3118" w:type="dxa"/>
            <w:vAlign w:val="center"/>
          </w:tcPr>
          <w:p w:rsidR="007C65A4" w:rsidRPr="006B0C5C" w:rsidRDefault="007C65A4" w:rsidP="007C65A4">
            <w:pPr>
              <w:spacing w:line="259" w:lineRule="auto"/>
              <w:rPr>
                <w:rFonts w:eastAsia="Arial"/>
                <w:color w:val="000000"/>
                <w:sz w:val="20"/>
                <w:szCs w:val="20"/>
              </w:rPr>
            </w:pPr>
            <w:r>
              <w:rPr>
                <w:rFonts w:eastAsia="Arial"/>
                <w:color w:val="000000"/>
                <w:sz w:val="20"/>
                <w:szCs w:val="20"/>
              </w:rPr>
              <w:t>ADR 92/… – External Projections</w:t>
            </w:r>
          </w:p>
        </w:tc>
        <w:tc>
          <w:tcPr>
            <w:tcW w:w="673"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3"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r>
      <w:tr w:rsidR="007C65A4" w:rsidRPr="00A166B5" w:rsidTr="007F4FFD">
        <w:trPr>
          <w:trHeight w:val="193"/>
          <w:jc w:val="center"/>
        </w:trPr>
        <w:tc>
          <w:tcPr>
            <w:tcW w:w="3118" w:type="dxa"/>
            <w:vAlign w:val="center"/>
          </w:tcPr>
          <w:p w:rsidR="007C65A4" w:rsidRPr="006B0C5C" w:rsidRDefault="007C65A4" w:rsidP="007C65A4">
            <w:pPr>
              <w:spacing w:line="259" w:lineRule="auto"/>
              <w:rPr>
                <w:rFonts w:eastAsia="Arial"/>
                <w:color w:val="000000"/>
                <w:sz w:val="20"/>
                <w:szCs w:val="20"/>
              </w:rPr>
            </w:pPr>
            <w:r>
              <w:rPr>
                <w:rFonts w:eastAsia="Arial"/>
                <w:color w:val="000000"/>
                <w:sz w:val="20"/>
                <w:szCs w:val="20"/>
              </w:rPr>
              <w:t>ADR 93/… – Forward Field of View</w:t>
            </w:r>
          </w:p>
        </w:tc>
        <w:tc>
          <w:tcPr>
            <w:tcW w:w="673"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3"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r>
      <w:tr w:rsidR="007C65A4" w:rsidRPr="00A166B5" w:rsidTr="007F4FFD">
        <w:trPr>
          <w:trHeight w:val="194"/>
          <w:jc w:val="center"/>
        </w:trPr>
        <w:tc>
          <w:tcPr>
            <w:tcW w:w="3118" w:type="dxa"/>
            <w:vAlign w:val="center"/>
          </w:tcPr>
          <w:p w:rsidR="007C65A4" w:rsidRPr="006B0C5C" w:rsidRDefault="007C65A4" w:rsidP="007C65A4">
            <w:pPr>
              <w:spacing w:line="259" w:lineRule="auto"/>
              <w:rPr>
                <w:rFonts w:eastAsia="Arial"/>
                <w:color w:val="000000"/>
                <w:sz w:val="20"/>
                <w:szCs w:val="20"/>
              </w:rPr>
            </w:pPr>
            <w:r>
              <w:rPr>
                <w:rFonts w:eastAsia="Arial"/>
                <w:color w:val="000000"/>
                <w:sz w:val="20"/>
                <w:szCs w:val="20"/>
              </w:rPr>
              <w:t>ADR 94/… – Audible Warning</w:t>
            </w:r>
          </w:p>
        </w:tc>
        <w:tc>
          <w:tcPr>
            <w:tcW w:w="673"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3"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r>
      <w:tr w:rsidR="00F072DB" w:rsidRPr="00A166B5" w:rsidTr="007F4FFD">
        <w:trPr>
          <w:trHeight w:val="194"/>
          <w:jc w:val="center"/>
        </w:trPr>
        <w:tc>
          <w:tcPr>
            <w:tcW w:w="3118" w:type="dxa"/>
            <w:vAlign w:val="center"/>
          </w:tcPr>
          <w:p w:rsidR="00F072DB" w:rsidRDefault="00F072DB" w:rsidP="00F072DB">
            <w:pPr>
              <w:spacing w:line="259" w:lineRule="auto"/>
              <w:rPr>
                <w:rFonts w:eastAsia="Arial"/>
                <w:color w:val="000000"/>
                <w:sz w:val="20"/>
                <w:szCs w:val="20"/>
              </w:rPr>
            </w:pPr>
            <w:r>
              <w:rPr>
                <w:rFonts w:eastAsia="Arial"/>
                <w:color w:val="000000"/>
                <w:sz w:val="20"/>
                <w:szCs w:val="20"/>
              </w:rPr>
              <w:t>ADR 95/… – Installation of Tyres</w:t>
            </w:r>
          </w:p>
        </w:tc>
        <w:tc>
          <w:tcPr>
            <w:tcW w:w="673"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3"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4"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r>
    </w:tbl>
    <w:p w:rsidR="00BE138C" w:rsidRDefault="00BE138C" w:rsidP="00015031"/>
    <w:tbl>
      <w:tblPr>
        <w:tblStyle w:val="TableGrid0"/>
        <w:tblW w:w="58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 w:type="dxa"/>
          <w:right w:w="75" w:type="dxa"/>
        </w:tblCellMar>
        <w:tblLook w:val="04A0" w:firstRow="1" w:lastRow="0" w:firstColumn="1" w:lastColumn="0" w:noHBand="0" w:noVBand="1"/>
      </w:tblPr>
      <w:tblGrid>
        <w:gridCol w:w="3118"/>
        <w:gridCol w:w="675"/>
        <w:gridCol w:w="675"/>
        <w:gridCol w:w="675"/>
        <w:gridCol w:w="675"/>
      </w:tblGrid>
      <w:tr w:rsidR="00843564" w:rsidRPr="00A166B5" w:rsidTr="00A43455">
        <w:trPr>
          <w:trHeight w:val="109"/>
          <w:tblHeader/>
        </w:trPr>
        <w:tc>
          <w:tcPr>
            <w:tcW w:w="5818" w:type="dxa"/>
            <w:gridSpan w:val="5"/>
          </w:tcPr>
          <w:p w:rsidR="00843564" w:rsidRPr="006B0C5C" w:rsidRDefault="00A43455" w:rsidP="00355F8D">
            <w:pPr>
              <w:spacing w:line="259" w:lineRule="auto"/>
              <w:jc w:val="center"/>
              <w:rPr>
                <w:rFonts w:eastAsia="Arial"/>
                <w:b/>
                <w:color w:val="000000"/>
                <w:sz w:val="20"/>
                <w:szCs w:val="20"/>
              </w:rPr>
            </w:pPr>
            <w:r>
              <w:rPr>
                <w:rFonts w:eastAsia="Arial"/>
                <w:b/>
                <w:color w:val="000000"/>
                <w:sz w:val="20"/>
                <w:szCs w:val="20"/>
              </w:rPr>
              <w:t xml:space="preserve">Table 3: </w:t>
            </w:r>
            <w:r w:rsidR="00355F8D">
              <w:rPr>
                <w:rFonts w:eastAsia="Arial"/>
                <w:b/>
                <w:color w:val="000000"/>
                <w:sz w:val="20"/>
                <w:szCs w:val="20"/>
              </w:rPr>
              <w:t>N-Group</w:t>
            </w:r>
            <w:r w:rsidR="00843564">
              <w:rPr>
                <w:rFonts w:eastAsia="Arial"/>
                <w:b/>
                <w:color w:val="000000"/>
                <w:sz w:val="20"/>
                <w:szCs w:val="20"/>
              </w:rPr>
              <w:t xml:space="preserve"> Vehicles (</w:t>
            </w:r>
            <w:r w:rsidR="00355F8D">
              <w:rPr>
                <w:rFonts w:eastAsia="Arial"/>
                <w:b/>
                <w:color w:val="000000"/>
                <w:sz w:val="20"/>
                <w:szCs w:val="20"/>
              </w:rPr>
              <w:t>Goods</w:t>
            </w:r>
            <w:r w:rsidR="00843564" w:rsidRPr="006B0C5C">
              <w:rPr>
                <w:rFonts w:eastAsia="Arial"/>
                <w:b/>
                <w:color w:val="000000"/>
                <w:sz w:val="20"/>
                <w:szCs w:val="20"/>
              </w:rPr>
              <w:t xml:space="preserve"> Vehicles</w:t>
            </w:r>
            <w:r w:rsidR="00843564">
              <w:rPr>
                <w:rFonts w:eastAsia="Arial"/>
                <w:b/>
                <w:color w:val="000000"/>
                <w:sz w:val="20"/>
                <w:szCs w:val="20"/>
              </w:rPr>
              <w:t>)</w:t>
            </w:r>
          </w:p>
        </w:tc>
      </w:tr>
      <w:tr w:rsidR="00355F8D" w:rsidRPr="00A166B5" w:rsidTr="00A43455">
        <w:trPr>
          <w:trHeight w:val="113"/>
          <w:tblHeader/>
        </w:trPr>
        <w:tc>
          <w:tcPr>
            <w:tcW w:w="3118" w:type="dxa"/>
            <w:vMerge w:val="restart"/>
            <w:vAlign w:val="center"/>
          </w:tcPr>
          <w:p w:rsidR="00843564" w:rsidRPr="006B0C5C" w:rsidRDefault="0049196D" w:rsidP="00DF717D">
            <w:pPr>
              <w:spacing w:line="259" w:lineRule="auto"/>
              <w:jc w:val="center"/>
              <w:rPr>
                <w:rFonts w:eastAsia="Arial"/>
                <w:b/>
                <w:color w:val="000000"/>
                <w:sz w:val="20"/>
                <w:szCs w:val="20"/>
              </w:rPr>
            </w:pPr>
            <w:r>
              <w:rPr>
                <w:rFonts w:eastAsia="Arial"/>
                <w:b/>
                <w:color w:val="000000"/>
                <w:sz w:val="20"/>
                <w:szCs w:val="20"/>
              </w:rPr>
              <w:t>Vehicles certified to this standard must also be certified to:</w:t>
            </w:r>
          </w:p>
        </w:tc>
        <w:tc>
          <w:tcPr>
            <w:tcW w:w="2700" w:type="dxa"/>
            <w:gridSpan w:val="4"/>
          </w:tcPr>
          <w:p w:rsidR="00843564" w:rsidRDefault="00843564" w:rsidP="007F4FFD">
            <w:pPr>
              <w:spacing w:line="259" w:lineRule="auto"/>
              <w:jc w:val="center"/>
              <w:rPr>
                <w:rFonts w:eastAsia="Arial"/>
                <w:b/>
                <w:color w:val="000000"/>
                <w:sz w:val="20"/>
                <w:szCs w:val="20"/>
              </w:rPr>
            </w:pPr>
            <w:r>
              <w:rPr>
                <w:rFonts w:eastAsia="Arial"/>
                <w:b/>
                <w:color w:val="000000"/>
                <w:sz w:val="20"/>
                <w:szCs w:val="20"/>
              </w:rPr>
              <w:t>ADR Category Code</w:t>
            </w:r>
          </w:p>
          <w:p w:rsidR="00843564" w:rsidRPr="006B0C5C" w:rsidRDefault="00843564" w:rsidP="007F4FFD">
            <w:pPr>
              <w:spacing w:line="259" w:lineRule="auto"/>
              <w:jc w:val="center"/>
              <w:rPr>
                <w:rFonts w:eastAsia="Arial"/>
                <w:b/>
                <w:color w:val="000000"/>
                <w:sz w:val="20"/>
                <w:szCs w:val="20"/>
              </w:rPr>
            </w:pPr>
            <w:r>
              <w:rPr>
                <w:rFonts w:eastAsia="Arial"/>
                <w:b/>
                <w:color w:val="000000"/>
                <w:sz w:val="20"/>
                <w:szCs w:val="20"/>
              </w:rPr>
              <w:t>(UN Category Code)</w:t>
            </w:r>
          </w:p>
        </w:tc>
      </w:tr>
      <w:tr w:rsidR="00355F8D" w:rsidRPr="00A166B5" w:rsidTr="00A43455">
        <w:trPr>
          <w:trHeight w:val="395"/>
          <w:tblHeader/>
        </w:trPr>
        <w:tc>
          <w:tcPr>
            <w:tcW w:w="3118" w:type="dxa"/>
            <w:vMerge/>
          </w:tcPr>
          <w:p w:rsidR="00843564" w:rsidRPr="006B0C5C" w:rsidRDefault="00843564" w:rsidP="007F4FFD">
            <w:pPr>
              <w:spacing w:line="259" w:lineRule="auto"/>
              <w:rPr>
                <w:rFonts w:eastAsia="Arial"/>
                <w:b/>
                <w:color w:val="000000"/>
                <w:sz w:val="20"/>
                <w:szCs w:val="20"/>
              </w:rPr>
            </w:pPr>
          </w:p>
        </w:tc>
        <w:tc>
          <w:tcPr>
            <w:tcW w:w="675" w:type="dxa"/>
          </w:tcPr>
          <w:p w:rsidR="00843564" w:rsidRPr="006B0C5C" w:rsidRDefault="00843564" w:rsidP="007F4FFD">
            <w:pPr>
              <w:spacing w:line="259" w:lineRule="auto"/>
              <w:jc w:val="center"/>
              <w:rPr>
                <w:rFonts w:eastAsia="Arial"/>
                <w:b/>
                <w:color w:val="000000"/>
                <w:sz w:val="20"/>
                <w:szCs w:val="20"/>
              </w:rPr>
            </w:pPr>
            <w:r>
              <w:rPr>
                <w:rFonts w:eastAsia="Arial"/>
                <w:b/>
                <w:color w:val="000000"/>
                <w:sz w:val="20"/>
                <w:szCs w:val="20"/>
              </w:rPr>
              <w:t>N</w:t>
            </w:r>
            <w:r w:rsidRPr="006B0C5C">
              <w:rPr>
                <w:rFonts w:eastAsia="Arial"/>
                <w:b/>
                <w:color w:val="000000"/>
                <w:sz w:val="20"/>
                <w:szCs w:val="20"/>
              </w:rPr>
              <w:t>A</w:t>
            </w:r>
          </w:p>
          <w:p w:rsidR="00843564" w:rsidRPr="006B0C5C" w:rsidRDefault="00843564" w:rsidP="00843564">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N</w:t>
            </w:r>
            <w:r w:rsidRPr="006B0C5C">
              <w:rPr>
                <w:rFonts w:eastAsia="Arial"/>
                <w:b/>
                <w:color w:val="000000"/>
                <w:sz w:val="20"/>
                <w:szCs w:val="20"/>
              </w:rPr>
              <w:t>1)</w:t>
            </w:r>
          </w:p>
        </w:tc>
        <w:tc>
          <w:tcPr>
            <w:tcW w:w="675" w:type="dxa"/>
          </w:tcPr>
          <w:p w:rsidR="00843564" w:rsidRPr="006B0C5C" w:rsidRDefault="00843564" w:rsidP="007F4FFD">
            <w:pPr>
              <w:spacing w:line="259" w:lineRule="auto"/>
              <w:jc w:val="center"/>
              <w:rPr>
                <w:rFonts w:eastAsia="Arial"/>
                <w:b/>
                <w:color w:val="000000"/>
                <w:sz w:val="20"/>
                <w:szCs w:val="20"/>
              </w:rPr>
            </w:pPr>
            <w:r>
              <w:rPr>
                <w:rFonts w:eastAsia="Arial"/>
                <w:b/>
                <w:color w:val="000000"/>
                <w:sz w:val="20"/>
                <w:szCs w:val="20"/>
              </w:rPr>
              <w:t>N</w:t>
            </w:r>
            <w:r w:rsidRPr="006B0C5C">
              <w:rPr>
                <w:rFonts w:eastAsia="Arial"/>
                <w:b/>
                <w:color w:val="000000"/>
                <w:sz w:val="20"/>
                <w:szCs w:val="20"/>
              </w:rPr>
              <w:t>B</w:t>
            </w:r>
            <w:r>
              <w:rPr>
                <w:rFonts w:eastAsia="Arial"/>
                <w:b/>
                <w:color w:val="000000"/>
                <w:sz w:val="20"/>
                <w:szCs w:val="20"/>
              </w:rPr>
              <w:t>1</w:t>
            </w:r>
          </w:p>
          <w:p w:rsidR="00843564" w:rsidRPr="006B0C5C" w:rsidRDefault="00843564" w:rsidP="00843564">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N2</w:t>
            </w:r>
            <w:r w:rsidRPr="006B0C5C">
              <w:rPr>
                <w:rFonts w:eastAsia="Arial"/>
                <w:b/>
                <w:color w:val="000000"/>
                <w:sz w:val="20"/>
                <w:szCs w:val="20"/>
              </w:rPr>
              <w:t>)</w:t>
            </w:r>
          </w:p>
        </w:tc>
        <w:tc>
          <w:tcPr>
            <w:tcW w:w="675" w:type="dxa"/>
          </w:tcPr>
          <w:p w:rsidR="00843564" w:rsidRPr="006B0C5C" w:rsidRDefault="00843564" w:rsidP="007F4FFD">
            <w:pPr>
              <w:spacing w:line="259" w:lineRule="auto"/>
              <w:jc w:val="center"/>
              <w:rPr>
                <w:rFonts w:eastAsia="Arial"/>
                <w:b/>
                <w:color w:val="000000"/>
                <w:sz w:val="20"/>
                <w:szCs w:val="20"/>
              </w:rPr>
            </w:pPr>
            <w:r>
              <w:rPr>
                <w:rFonts w:eastAsia="Arial"/>
                <w:b/>
                <w:color w:val="000000"/>
                <w:sz w:val="20"/>
                <w:szCs w:val="20"/>
              </w:rPr>
              <w:t>NB2</w:t>
            </w:r>
          </w:p>
          <w:p w:rsidR="00843564" w:rsidRPr="006B0C5C" w:rsidRDefault="00843564" w:rsidP="00843564">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N2</w:t>
            </w:r>
            <w:r w:rsidRPr="006B0C5C">
              <w:rPr>
                <w:rFonts w:eastAsia="Arial"/>
                <w:b/>
                <w:color w:val="000000"/>
                <w:sz w:val="20"/>
                <w:szCs w:val="20"/>
              </w:rPr>
              <w:t>)</w:t>
            </w:r>
          </w:p>
        </w:tc>
        <w:tc>
          <w:tcPr>
            <w:tcW w:w="675" w:type="dxa"/>
          </w:tcPr>
          <w:p w:rsidR="00843564" w:rsidRPr="006B0C5C" w:rsidRDefault="00843564" w:rsidP="007F4FFD">
            <w:pPr>
              <w:spacing w:line="259" w:lineRule="auto"/>
              <w:jc w:val="center"/>
              <w:rPr>
                <w:rFonts w:eastAsia="Arial"/>
                <w:b/>
                <w:color w:val="000000"/>
                <w:sz w:val="20"/>
                <w:szCs w:val="20"/>
              </w:rPr>
            </w:pPr>
            <w:r>
              <w:rPr>
                <w:rFonts w:eastAsia="Arial"/>
                <w:b/>
                <w:color w:val="000000"/>
                <w:sz w:val="20"/>
                <w:szCs w:val="20"/>
              </w:rPr>
              <w:t>NC</w:t>
            </w:r>
          </w:p>
          <w:p w:rsidR="00843564" w:rsidRPr="006B0C5C" w:rsidRDefault="00843564" w:rsidP="00843564">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N3</w:t>
            </w:r>
            <w:r w:rsidRPr="006B0C5C">
              <w:rPr>
                <w:rFonts w:eastAsia="Arial"/>
                <w:b/>
                <w:color w:val="000000"/>
                <w:sz w:val="20"/>
                <w:szCs w:val="20"/>
              </w:rPr>
              <w:t>)</w:t>
            </w:r>
          </w:p>
        </w:tc>
      </w:tr>
      <w:tr w:rsidR="007C65A4" w:rsidRPr="00A166B5" w:rsidTr="00A43455">
        <w:trPr>
          <w:trHeight w:val="192"/>
        </w:trPr>
        <w:tc>
          <w:tcPr>
            <w:tcW w:w="3118" w:type="dxa"/>
            <w:vAlign w:val="center"/>
          </w:tcPr>
          <w:p w:rsidR="007C65A4" w:rsidRPr="006B0C5C" w:rsidRDefault="007C65A4" w:rsidP="007C65A4">
            <w:pPr>
              <w:spacing w:line="259" w:lineRule="auto"/>
              <w:rPr>
                <w:rFonts w:eastAsia="Arial"/>
                <w:color w:val="000000"/>
                <w:sz w:val="20"/>
                <w:szCs w:val="20"/>
              </w:rPr>
            </w:pPr>
            <w:r>
              <w:rPr>
                <w:rFonts w:eastAsia="Arial"/>
                <w:color w:val="000000"/>
                <w:sz w:val="20"/>
                <w:szCs w:val="20"/>
              </w:rPr>
              <w:t>ADR 90/… – Steering System</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r>
      <w:tr w:rsidR="007C65A4" w:rsidRPr="00A166B5" w:rsidTr="00A43455">
        <w:trPr>
          <w:trHeight w:val="194"/>
        </w:trPr>
        <w:tc>
          <w:tcPr>
            <w:tcW w:w="3118" w:type="dxa"/>
            <w:vAlign w:val="center"/>
          </w:tcPr>
          <w:p w:rsidR="007C65A4" w:rsidRPr="006B0C5C" w:rsidRDefault="007C65A4" w:rsidP="007C65A4">
            <w:pPr>
              <w:spacing w:line="259" w:lineRule="auto"/>
              <w:rPr>
                <w:rFonts w:eastAsia="Arial"/>
                <w:color w:val="000000"/>
                <w:sz w:val="20"/>
                <w:szCs w:val="20"/>
              </w:rPr>
            </w:pPr>
            <w:r>
              <w:rPr>
                <w:rFonts w:eastAsia="Arial"/>
                <w:color w:val="000000"/>
                <w:sz w:val="20"/>
                <w:szCs w:val="20"/>
              </w:rPr>
              <w:t>ADR 92/… – External Projections</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r>
      <w:tr w:rsidR="007C65A4" w:rsidRPr="00A166B5" w:rsidTr="00A43455">
        <w:trPr>
          <w:trHeight w:val="193"/>
        </w:trPr>
        <w:tc>
          <w:tcPr>
            <w:tcW w:w="3118" w:type="dxa"/>
            <w:vAlign w:val="center"/>
          </w:tcPr>
          <w:p w:rsidR="007C65A4" w:rsidRPr="006B0C5C" w:rsidRDefault="007C65A4" w:rsidP="007C65A4">
            <w:pPr>
              <w:spacing w:line="259" w:lineRule="auto"/>
              <w:rPr>
                <w:rFonts w:eastAsia="Arial"/>
                <w:color w:val="000000"/>
                <w:sz w:val="20"/>
                <w:szCs w:val="20"/>
              </w:rPr>
            </w:pPr>
            <w:r>
              <w:rPr>
                <w:rFonts w:eastAsia="Arial"/>
                <w:color w:val="000000"/>
                <w:sz w:val="20"/>
                <w:szCs w:val="20"/>
              </w:rPr>
              <w:t>ADR 93/… – Forward Field of View</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r>
      <w:tr w:rsidR="007C65A4" w:rsidRPr="00A166B5" w:rsidTr="00A43455">
        <w:trPr>
          <w:trHeight w:val="194"/>
        </w:trPr>
        <w:tc>
          <w:tcPr>
            <w:tcW w:w="3118" w:type="dxa"/>
            <w:vAlign w:val="center"/>
          </w:tcPr>
          <w:p w:rsidR="007C65A4" w:rsidRPr="006B0C5C" w:rsidRDefault="007C65A4" w:rsidP="007C65A4">
            <w:pPr>
              <w:spacing w:line="259" w:lineRule="auto"/>
              <w:rPr>
                <w:rFonts w:eastAsia="Arial"/>
                <w:color w:val="000000"/>
                <w:sz w:val="20"/>
                <w:szCs w:val="20"/>
              </w:rPr>
            </w:pPr>
            <w:r>
              <w:rPr>
                <w:rFonts w:eastAsia="Arial"/>
                <w:color w:val="000000"/>
                <w:sz w:val="20"/>
                <w:szCs w:val="20"/>
              </w:rPr>
              <w:t>ADR 94/… – Audible Warning</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7C65A4" w:rsidRPr="006B0C5C" w:rsidRDefault="007C65A4" w:rsidP="007C65A4">
            <w:pPr>
              <w:spacing w:line="259" w:lineRule="auto"/>
              <w:jc w:val="center"/>
              <w:rPr>
                <w:rFonts w:eastAsia="Arial"/>
                <w:color w:val="000000"/>
                <w:sz w:val="20"/>
                <w:szCs w:val="20"/>
              </w:rPr>
            </w:pPr>
            <w:r w:rsidRPr="006B0C5C">
              <w:rPr>
                <w:rFonts w:eastAsia="Arial"/>
                <w:color w:val="000000"/>
                <w:sz w:val="20"/>
                <w:szCs w:val="20"/>
              </w:rPr>
              <w:t>X</w:t>
            </w:r>
          </w:p>
        </w:tc>
      </w:tr>
      <w:tr w:rsidR="00F072DB" w:rsidRPr="00A166B5" w:rsidTr="00A43455">
        <w:trPr>
          <w:trHeight w:val="194"/>
        </w:trPr>
        <w:tc>
          <w:tcPr>
            <w:tcW w:w="3118" w:type="dxa"/>
            <w:vAlign w:val="center"/>
          </w:tcPr>
          <w:p w:rsidR="00F072DB" w:rsidRDefault="00F072DB" w:rsidP="00F072DB">
            <w:pPr>
              <w:spacing w:line="259" w:lineRule="auto"/>
              <w:rPr>
                <w:rFonts w:eastAsia="Arial"/>
                <w:color w:val="000000"/>
                <w:sz w:val="20"/>
                <w:szCs w:val="20"/>
              </w:rPr>
            </w:pPr>
            <w:r>
              <w:rPr>
                <w:rFonts w:eastAsia="Arial"/>
                <w:color w:val="000000"/>
                <w:sz w:val="20"/>
                <w:szCs w:val="20"/>
              </w:rPr>
              <w:t>ADR 95/… – Installation of Tyres</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5"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r>
    </w:tbl>
    <w:p w:rsidR="00843564" w:rsidRDefault="00843564" w:rsidP="00015031"/>
    <w:tbl>
      <w:tblPr>
        <w:tblStyle w:val="TableGrid0"/>
        <w:tblW w:w="57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 w:type="dxa"/>
          <w:right w:w="75" w:type="dxa"/>
        </w:tblCellMar>
        <w:tblLook w:val="04A0" w:firstRow="1" w:lastRow="0" w:firstColumn="1" w:lastColumn="0" w:noHBand="0" w:noVBand="1"/>
      </w:tblPr>
      <w:tblGrid>
        <w:gridCol w:w="3089"/>
        <w:gridCol w:w="673"/>
        <w:gridCol w:w="673"/>
        <w:gridCol w:w="678"/>
        <w:gridCol w:w="678"/>
      </w:tblGrid>
      <w:tr w:rsidR="0067315E" w:rsidRPr="00A166B5" w:rsidTr="00A43455">
        <w:trPr>
          <w:trHeight w:val="109"/>
          <w:tblHeader/>
        </w:trPr>
        <w:tc>
          <w:tcPr>
            <w:tcW w:w="5791" w:type="dxa"/>
            <w:gridSpan w:val="5"/>
          </w:tcPr>
          <w:p w:rsidR="0067315E" w:rsidRPr="006B0C5C" w:rsidRDefault="00A43455" w:rsidP="00CB2D6B">
            <w:pPr>
              <w:spacing w:line="259" w:lineRule="auto"/>
              <w:jc w:val="center"/>
              <w:rPr>
                <w:rFonts w:eastAsia="Arial"/>
                <w:b/>
                <w:color w:val="000000"/>
                <w:sz w:val="20"/>
                <w:szCs w:val="20"/>
              </w:rPr>
            </w:pPr>
            <w:r>
              <w:rPr>
                <w:rFonts w:eastAsia="Arial"/>
                <w:b/>
                <w:color w:val="000000"/>
                <w:sz w:val="20"/>
                <w:szCs w:val="20"/>
              </w:rPr>
              <w:t xml:space="preserve">Table 4: </w:t>
            </w:r>
            <w:r w:rsidR="0067315E">
              <w:rPr>
                <w:rFonts w:eastAsia="Arial"/>
                <w:b/>
                <w:color w:val="000000"/>
                <w:sz w:val="20"/>
                <w:szCs w:val="20"/>
              </w:rPr>
              <w:t>T-Group Vehicles (Trailers)</w:t>
            </w:r>
          </w:p>
        </w:tc>
      </w:tr>
      <w:tr w:rsidR="0067315E" w:rsidRPr="00A166B5" w:rsidTr="00A43455">
        <w:trPr>
          <w:trHeight w:val="113"/>
          <w:tblHeader/>
        </w:trPr>
        <w:tc>
          <w:tcPr>
            <w:tcW w:w="3089" w:type="dxa"/>
            <w:vMerge w:val="restart"/>
            <w:vAlign w:val="center"/>
          </w:tcPr>
          <w:p w:rsidR="0067315E" w:rsidRPr="006B0C5C" w:rsidRDefault="0049196D" w:rsidP="00DF717D">
            <w:pPr>
              <w:spacing w:line="259" w:lineRule="auto"/>
              <w:jc w:val="center"/>
              <w:rPr>
                <w:rFonts w:eastAsia="Arial"/>
                <w:b/>
                <w:color w:val="000000"/>
                <w:sz w:val="20"/>
                <w:szCs w:val="20"/>
              </w:rPr>
            </w:pPr>
            <w:r>
              <w:rPr>
                <w:rFonts w:eastAsia="Arial"/>
                <w:b/>
                <w:color w:val="000000"/>
                <w:sz w:val="20"/>
                <w:szCs w:val="20"/>
              </w:rPr>
              <w:t>Vehicles certified to this standard must also be certified to:</w:t>
            </w:r>
          </w:p>
        </w:tc>
        <w:tc>
          <w:tcPr>
            <w:tcW w:w="2702" w:type="dxa"/>
            <w:gridSpan w:val="4"/>
          </w:tcPr>
          <w:p w:rsidR="0067315E" w:rsidRDefault="0067315E" w:rsidP="007F4FFD">
            <w:pPr>
              <w:spacing w:line="259" w:lineRule="auto"/>
              <w:jc w:val="center"/>
              <w:rPr>
                <w:rFonts w:eastAsia="Arial"/>
                <w:b/>
                <w:color w:val="000000"/>
                <w:sz w:val="20"/>
                <w:szCs w:val="20"/>
              </w:rPr>
            </w:pPr>
            <w:r>
              <w:rPr>
                <w:rFonts w:eastAsia="Arial"/>
                <w:b/>
                <w:color w:val="000000"/>
                <w:sz w:val="20"/>
                <w:szCs w:val="20"/>
              </w:rPr>
              <w:t>ADR Category Code</w:t>
            </w:r>
          </w:p>
          <w:p w:rsidR="0067315E" w:rsidRPr="006B0C5C" w:rsidRDefault="0067315E" w:rsidP="007F4FFD">
            <w:pPr>
              <w:spacing w:line="259" w:lineRule="auto"/>
              <w:jc w:val="center"/>
              <w:rPr>
                <w:rFonts w:eastAsia="Arial"/>
                <w:b/>
                <w:color w:val="000000"/>
                <w:sz w:val="20"/>
                <w:szCs w:val="20"/>
              </w:rPr>
            </w:pPr>
            <w:r>
              <w:rPr>
                <w:rFonts w:eastAsia="Arial"/>
                <w:b/>
                <w:color w:val="000000"/>
                <w:sz w:val="20"/>
                <w:szCs w:val="20"/>
              </w:rPr>
              <w:t>(UN Category Code)</w:t>
            </w:r>
          </w:p>
        </w:tc>
      </w:tr>
      <w:tr w:rsidR="0067315E" w:rsidRPr="00A166B5" w:rsidTr="00A43455">
        <w:trPr>
          <w:trHeight w:val="395"/>
          <w:tblHeader/>
        </w:trPr>
        <w:tc>
          <w:tcPr>
            <w:tcW w:w="3089" w:type="dxa"/>
            <w:vMerge/>
          </w:tcPr>
          <w:p w:rsidR="0067315E" w:rsidRPr="006B0C5C" w:rsidRDefault="0067315E" w:rsidP="007F4FFD">
            <w:pPr>
              <w:spacing w:line="259" w:lineRule="auto"/>
              <w:rPr>
                <w:rFonts w:eastAsia="Arial"/>
                <w:b/>
                <w:color w:val="000000"/>
                <w:sz w:val="20"/>
                <w:szCs w:val="20"/>
              </w:rPr>
            </w:pPr>
          </w:p>
        </w:tc>
        <w:tc>
          <w:tcPr>
            <w:tcW w:w="673" w:type="dxa"/>
          </w:tcPr>
          <w:p w:rsidR="0067315E" w:rsidRPr="006B0C5C" w:rsidRDefault="0067315E" w:rsidP="007F4FFD">
            <w:pPr>
              <w:spacing w:line="259" w:lineRule="auto"/>
              <w:jc w:val="center"/>
              <w:rPr>
                <w:rFonts w:eastAsia="Arial"/>
                <w:b/>
                <w:color w:val="000000"/>
                <w:sz w:val="20"/>
                <w:szCs w:val="20"/>
              </w:rPr>
            </w:pPr>
            <w:r>
              <w:rPr>
                <w:rFonts w:eastAsia="Arial"/>
                <w:b/>
                <w:color w:val="000000"/>
                <w:sz w:val="20"/>
                <w:szCs w:val="20"/>
              </w:rPr>
              <w:t>T</w:t>
            </w:r>
            <w:r w:rsidRPr="006B0C5C">
              <w:rPr>
                <w:rFonts w:eastAsia="Arial"/>
                <w:b/>
                <w:color w:val="000000"/>
                <w:sz w:val="20"/>
                <w:szCs w:val="20"/>
              </w:rPr>
              <w:t>A</w:t>
            </w:r>
          </w:p>
          <w:p w:rsidR="0067315E" w:rsidRPr="006B0C5C" w:rsidRDefault="0067315E" w:rsidP="00CB2D6B">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O</w:t>
            </w:r>
            <w:r w:rsidRPr="006B0C5C">
              <w:rPr>
                <w:rFonts w:eastAsia="Arial"/>
                <w:b/>
                <w:color w:val="000000"/>
                <w:sz w:val="20"/>
                <w:szCs w:val="20"/>
              </w:rPr>
              <w:t>1)</w:t>
            </w:r>
          </w:p>
        </w:tc>
        <w:tc>
          <w:tcPr>
            <w:tcW w:w="673" w:type="dxa"/>
          </w:tcPr>
          <w:p w:rsidR="0067315E" w:rsidRPr="006B0C5C" w:rsidRDefault="0067315E" w:rsidP="007F4FFD">
            <w:pPr>
              <w:spacing w:line="259" w:lineRule="auto"/>
              <w:jc w:val="center"/>
              <w:rPr>
                <w:rFonts w:eastAsia="Arial"/>
                <w:b/>
                <w:color w:val="000000"/>
                <w:sz w:val="20"/>
                <w:szCs w:val="20"/>
              </w:rPr>
            </w:pPr>
            <w:r>
              <w:rPr>
                <w:rFonts w:eastAsia="Arial"/>
                <w:b/>
                <w:color w:val="000000"/>
                <w:sz w:val="20"/>
                <w:szCs w:val="20"/>
              </w:rPr>
              <w:t>T</w:t>
            </w:r>
            <w:r w:rsidRPr="006B0C5C">
              <w:rPr>
                <w:rFonts w:eastAsia="Arial"/>
                <w:b/>
                <w:color w:val="000000"/>
                <w:sz w:val="20"/>
                <w:szCs w:val="20"/>
              </w:rPr>
              <w:t>B</w:t>
            </w:r>
          </w:p>
          <w:p w:rsidR="0067315E" w:rsidRPr="006B0C5C" w:rsidRDefault="0067315E" w:rsidP="00CB2D6B">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O2</w:t>
            </w:r>
            <w:r w:rsidRPr="006B0C5C">
              <w:rPr>
                <w:rFonts w:eastAsia="Arial"/>
                <w:b/>
                <w:color w:val="000000"/>
                <w:sz w:val="20"/>
                <w:szCs w:val="20"/>
              </w:rPr>
              <w:t>)</w:t>
            </w:r>
          </w:p>
        </w:tc>
        <w:tc>
          <w:tcPr>
            <w:tcW w:w="678" w:type="dxa"/>
          </w:tcPr>
          <w:p w:rsidR="0067315E" w:rsidRPr="006B0C5C" w:rsidRDefault="0067315E" w:rsidP="007F4FFD">
            <w:pPr>
              <w:spacing w:line="259" w:lineRule="auto"/>
              <w:jc w:val="center"/>
              <w:rPr>
                <w:rFonts w:eastAsia="Arial"/>
                <w:b/>
                <w:color w:val="000000"/>
                <w:sz w:val="20"/>
                <w:szCs w:val="20"/>
              </w:rPr>
            </w:pPr>
            <w:r>
              <w:rPr>
                <w:rFonts w:eastAsia="Arial"/>
                <w:b/>
                <w:color w:val="000000"/>
                <w:sz w:val="20"/>
                <w:szCs w:val="20"/>
              </w:rPr>
              <w:t>TC</w:t>
            </w:r>
          </w:p>
          <w:p w:rsidR="0067315E" w:rsidRPr="006B0C5C" w:rsidRDefault="0067315E" w:rsidP="00CB2D6B">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O3</w:t>
            </w:r>
            <w:r w:rsidRPr="006B0C5C">
              <w:rPr>
                <w:rFonts w:eastAsia="Arial"/>
                <w:b/>
                <w:color w:val="000000"/>
                <w:sz w:val="20"/>
                <w:szCs w:val="20"/>
              </w:rPr>
              <w:t>)</w:t>
            </w:r>
          </w:p>
        </w:tc>
        <w:tc>
          <w:tcPr>
            <w:tcW w:w="678" w:type="dxa"/>
          </w:tcPr>
          <w:p w:rsidR="0067315E" w:rsidRPr="006B0C5C" w:rsidRDefault="0067315E" w:rsidP="007F4FFD">
            <w:pPr>
              <w:spacing w:line="259" w:lineRule="auto"/>
              <w:jc w:val="center"/>
              <w:rPr>
                <w:rFonts w:eastAsia="Arial"/>
                <w:b/>
                <w:color w:val="000000"/>
                <w:sz w:val="20"/>
                <w:szCs w:val="20"/>
              </w:rPr>
            </w:pPr>
            <w:r>
              <w:rPr>
                <w:rFonts w:eastAsia="Arial"/>
                <w:b/>
                <w:color w:val="000000"/>
                <w:sz w:val="20"/>
                <w:szCs w:val="20"/>
              </w:rPr>
              <w:t>TD</w:t>
            </w:r>
          </w:p>
          <w:p w:rsidR="0067315E" w:rsidRPr="006B0C5C" w:rsidRDefault="0067315E" w:rsidP="00406025">
            <w:pPr>
              <w:spacing w:line="259" w:lineRule="auto"/>
              <w:jc w:val="center"/>
              <w:rPr>
                <w:rFonts w:eastAsia="Arial"/>
                <w:b/>
                <w:color w:val="000000"/>
                <w:sz w:val="20"/>
                <w:szCs w:val="20"/>
              </w:rPr>
            </w:pPr>
            <w:r w:rsidRPr="006B0C5C">
              <w:rPr>
                <w:rFonts w:eastAsia="Arial"/>
                <w:b/>
                <w:color w:val="000000"/>
                <w:sz w:val="20"/>
                <w:szCs w:val="20"/>
              </w:rPr>
              <w:t>(</w:t>
            </w:r>
            <w:r>
              <w:rPr>
                <w:rFonts w:eastAsia="Arial"/>
                <w:b/>
                <w:color w:val="000000"/>
                <w:sz w:val="20"/>
                <w:szCs w:val="20"/>
              </w:rPr>
              <w:t>O</w:t>
            </w:r>
            <w:r w:rsidR="00406025">
              <w:rPr>
                <w:rFonts w:eastAsia="Arial"/>
                <w:b/>
                <w:color w:val="000000"/>
                <w:sz w:val="20"/>
                <w:szCs w:val="20"/>
              </w:rPr>
              <w:t>4</w:t>
            </w:r>
            <w:r w:rsidRPr="006B0C5C">
              <w:rPr>
                <w:rFonts w:eastAsia="Arial"/>
                <w:b/>
                <w:color w:val="000000"/>
                <w:sz w:val="20"/>
                <w:szCs w:val="20"/>
              </w:rPr>
              <w:t>)</w:t>
            </w:r>
          </w:p>
        </w:tc>
      </w:tr>
      <w:tr w:rsidR="0067315E" w:rsidRPr="00A166B5" w:rsidTr="00A43455">
        <w:trPr>
          <w:trHeight w:val="192"/>
        </w:trPr>
        <w:tc>
          <w:tcPr>
            <w:tcW w:w="3089" w:type="dxa"/>
            <w:vAlign w:val="center"/>
          </w:tcPr>
          <w:p w:rsidR="0067315E" w:rsidRPr="006B0C5C" w:rsidRDefault="0067315E" w:rsidP="0067315E">
            <w:pPr>
              <w:spacing w:line="259" w:lineRule="auto"/>
              <w:ind w:left="1134" w:hanging="1134"/>
              <w:rPr>
                <w:rFonts w:eastAsia="Arial"/>
                <w:color w:val="000000"/>
                <w:sz w:val="20"/>
                <w:szCs w:val="20"/>
              </w:rPr>
            </w:pPr>
            <w:r>
              <w:rPr>
                <w:rFonts w:eastAsia="Arial"/>
                <w:color w:val="000000"/>
                <w:sz w:val="20"/>
                <w:szCs w:val="20"/>
              </w:rPr>
              <w:t>ADR 91</w:t>
            </w:r>
            <w:r w:rsidR="00C77DAB">
              <w:rPr>
                <w:rFonts w:eastAsia="Arial"/>
                <w:color w:val="000000"/>
                <w:sz w:val="20"/>
                <w:szCs w:val="20"/>
              </w:rPr>
              <w:t>/…</w:t>
            </w:r>
            <w:r>
              <w:rPr>
                <w:rFonts w:eastAsia="Arial"/>
                <w:color w:val="000000"/>
                <w:sz w:val="20"/>
                <w:szCs w:val="20"/>
              </w:rPr>
              <w:t xml:space="preserve"> – Rear Underrun Impact Protection</w:t>
            </w:r>
          </w:p>
        </w:tc>
        <w:tc>
          <w:tcPr>
            <w:tcW w:w="673" w:type="dxa"/>
            <w:vAlign w:val="center"/>
          </w:tcPr>
          <w:p w:rsidR="0067315E" w:rsidRPr="006B0C5C" w:rsidRDefault="00BE138C" w:rsidP="0067315E">
            <w:pPr>
              <w:spacing w:line="259" w:lineRule="auto"/>
              <w:jc w:val="center"/>
              <w:rPr>
                <w:rFonts w:eastAsia="Arial"/>
                <w:color w:val="000000"/>
                <w:sz w:val="20"/>
                <w:szCs w:val="20"/>
              </w:rPr>
            </w:pPr>
            <w:r>
              <w:rPr>
                <w:rFonts w:eastAsia="Arial"/>
                <w:color w:val="000000"/>
                <w:sz w:val="20"/>
                <w:szCs w:val="20"/>
              </w:rPr>
              <w:t>n/a</w:t>
            </w:r>
          </w:p>
        </w:tc>
        <w:tc>
          <w:tcPr>
            <w:tcW w:w="673" w:type="dxa"/>
            <w:vAlign w:val="center"/>
          </w:tcPr>
          <w:p w:rsidR="0067315E" w:rsidRPr="006B0C5C" w:rsidRDefault="00BE138C" w:rsidP="0067315E">
            <w:pPr>
              <w:spacing w:line="259" w:lineRule="auto"/>
              <w:jc w:val="center"/>
              <w:rPr>
                <w:rFonts w:eastAsia="Arial"/>
                <w:color w:val="000000"/>
                <w:sz w:val="20"/>
                <w:szCs w:val="20"/>
              </w:rPr>
            </w:pPr>
            <w:r>
              <w:rPr>
                <w:rFonts w:eastAsia="Arial"/>
                <w:color w:val="000000"/>
                <w:sz w:val="20"/>
                <w:szCs w:val="20"/>
              </w:rPr>
              <w:t>n/a</w:t>
            </w:r>
          </w:p>
        </w:tc>
        <w:tc>
          <w:tcPr>
            <w:tcW w:w="678" w:type="dxa"/>
            <w:vAlign w:val="center"/>
          </w:tcPr>
          <w:p w:rsidR="0067315E" w:rsidRPr="006B0C5C" w:rsidRDefault="00DA3D9B" w:rsidP="0067315E">
            <w:pPr>
              <w:spacing w:line="259" w:lineRule="auto"/>
              <w:jc w:val="center"/>
              <w:rPr>
                <w:rFonts w:eastAsia="Arial"/>
                <w:color w:val="000000"/>
                <w:sz w:val="20"/>
                <w:szCs w:val="20"/>
              </w:rPr>
            </w:pPr>
            <w:r>
              <w:rPr>
                <w:rFonts w:eastAsia="Arial"/>
                <w:color w:val="000000"/>
                <w:sz w:val="20"/>
                <w:szCs w:val="20"/>
              </w:rPr>
              <w:t>X</w:t>
            </w:r>
            <w:r w:rsidR="0067315E" w:rsidRPr="00DA3D9B">
              <w:rPr>
                <w:rFonts w:eastAsia="Arial"/>
                <w:color w:val="000000"/>
                <w:sz w:val="20"/>
                <w:szCs w:val="20"/>
                <w:vertAlign w:val="subscript"/>
              </w:rPr>
              <w:t>S</w:t>
            </w:r>
          </w:p>
        </w:tc>
        <w:tc>
          <w:tcPr>
            <w:tcW w:w="678" w:type="dxa"/>
            <w:vAlign w:val="center"/>
          </w:tcPr>
          <w:p w:rsidR="0067315E" w:rsidRPr="006B0C5C" w:rsidRDefault="00DA3D9B" w:rsidP="0067315E">
            <w:pPr>
              <w:spacing w:line="259" w:lineRule="auto"/>
              <w:jc w:val="center"/>
              <w:rPr>
                <w:rFonts w:eastAsia="Arial"/>
                <w:color w:val="000000"/>
                <w:sz w:val="20"/>
                <w:szCs w:val="20"/>
              </w:rPr>
            </w:pPr>
            <w:r>
              <w:rPr>
                <w:rFonts w:eastAsia="Arial"/>
                <w:color w:val="000000"/>
                <w:sz w:val="20"/>
                <w:szCs w:val="20"/>
              </w:rPr>
              <w:t>X</w:t>
            </w:r>
            <w:r w:rsidR="0067315E" w:rsidRPr="00DA3D9B">
              <w:rPr>
                <w:rFonts w:eastAsia="Arial"/>
                <w:color w:val="000000"/>
                <w:sz w:val="20"/>
                <w:szCs w:val="20"/>
                <w:vertAlign w:val="subscript"/>
              </w:rPr>
              <w:t>S</w:t>
            </w:r>
          </w:p>
        </w:tc>
      </w:tr>
      <w:tr w:rsidR="0067315E" w:rsidRPr="00A166B5" w:rsidTr="00A43455">
        <w:trPr>
          <w:trHeight w:val="194"/>
        </w:trPr>
        <w:tc>
          <w:tcPr>
            <w:tcW w:w="3089" w:type="dxa"/>
            <w:vAlign w:val="center"/>
          </w:tcPr>
          <w:p w:rsidR="0067315E" w:rsidRPr="006B0C5C" w:rsidRDefault="0067315E" w:rsidP="0067315E">
            <w:pPr>
              <w:spacing w:line="259" w:lineRule="auto"/>
              <w:rPr>
                <w:rFonts w:eastAsia="Arial"/>
                <w:color w:val="000000"/>
                <w:sz w:val="20"/>
                <w:szCs w:val="20"/>
              </w:rPr>
            </w:pPr>
            <w:r>
              <w:rPr>
                <w:rFonts w:eastAsia="Arial"/>
                <w:color w:val="000000"/>
                <w:sz w:val="20"/>
                <w:szCs w:val="20"/>
              </w:rPr>
              <w:t>ADR 92</w:t>
            </w:r>
            <w:r w:rsidR="00C77DAB">
              <w:rPr>
                <w:rFonts w:eastAsia="Arial"/>
                <w:color w:val="000000"/>
                <w:sz w:val="20"/>
                <w:szCs w:val="20"/>
              </w:rPr>
              <w:t>/…</w:t>
            </w:r>
            <w:r>
              <w:rPr>
                <w:rFonts w:eastAsia="Arial"/>
                <w:color w:val="000000"/>
                <w:sz w:val="20"/>
                <w:szCs w:val="20"/>
              </w:rPr>
              <w:t xml:space="preserve"> – External Projections</w:t>
            </w:r>
          </w:p>
        </w:tc>
        <w:tc>
          <w:tcPr>
            <w:tcW w:w="673" w:type="dxa"/>
            <w:vAlign w:val="center"/>
          </w:tcPr>
          <w:p w:rsidR="0067315E" w:rsidRPr="006B0C5C" w:rsidRDefault="0067315E" w:rsidP="0067315E">
            <w:pPr>
              <w:spacing w:line="259" w:lineRule="auto"/>
              <w:jc w:val="center"/>
              <w:rPr>
                <w:rFonts w:eastAsia="Arial"/>
                <w:color w:val="000000"/>
                <w:sz w:val="20"/>
                <w:szCs w:val="20"/>
              </w:rPr>
            </w:pPr>
            <w:r w:rsidRPr="006B0C5C">
              <w:rPr>
                <w:rFonts w:eastAsia="Arial"/>
                <w:color w:val="000000"/>
                <w:sz w:val="20"/>
                <w:szCs w:val="20"/>
              </w:rPr>
              <w:t>X</w:t>
            </w:r>
          </w:p>
        </w:tc>
        <w:tc>
          <w:tcPr>
            <w:tcW w:w="673" w:type="dxa"/>
            <w:vAlign w:val="center"/>
          </w:tcPr>
          <w:p w:rsidR="0067315E" w:rsidRPr="006B0C5C" w:rsidRDefault="0067315E" w:rsidP="0067315E">
            <w:pPr>
              <w:spacing w:line="259" w:lineRule="auto"/>
              <w:jc w:val="center"/>
              <w:rPr>
                <w:rFonts w:eastAsia="Arial"/>
                <w:color w:val="000000"/>
                <w:sz w:val="20"/>
                <w:szCs w:val="20"/>
              </w:rPr>
            </w:pPr>
            <w:r w:rsidRPr="006B0C5C">
              <w:rPr>
                <w:rFonts w:eastAsia="Arial"/>
                <w:color w:val="000000"/>
                <w:sz w:val="20"/>
                <w:szCs w:val="20"/>
              </w:rPr>
              <w:t>X</w:t>
            </w:r>
          </w:p>
        </w:tc>
        <w:tc>
          <w:tcPr>
            <w:tcW w:w="678" w:type="dxa"/>
            <w:vAlign w:val="center"/>
          </w:tcPr>
          <w:p w:rsidR="0067315E" w:rsidRPr="006B0C5C" w:rsidRDefault="0067315E" w:rsidP="0067315E">
            <w:pPr>
              <w:spacing w:line="259" w:lineRule="auto"/>
              <w:jc w:val="center"/>
              <w:rPr>
                <w:rFonts w:eastAsia="Arial"/>
                <w:color w:val="000000"/>
                <w:sz w:val="20"/>
                <w:szCs w:val="20"/>
              </w:rPr>
            </w:pPr>
            <w:r w:rsidRPr="006B0C5C">
              <w:rPr>
                <w:rFonts w:eastAsia="Arial"/>
                <w:color w:val="000000"/>
                <w:sz w:val="20"/>
                <w:szCs w:val="20"/>
              </w:rPr>
              <w:t>X</w:t>
            </w:r>
          </w:p>
        </w:tc>
        <w:tc>
          <w:tcPr>
            <w:tcW w:w="678" w:type="dxa"/>
            <w:vAlign w:val="center"/>
          </w:tcPr>
          <w:p w:rsidR="0067315E" w:rsidRPr="006B0C5C" w:rsidRDefault="0067315E" w:rsidP="0067315E">
            <w:pPr>
              <w:spacing w:line="259" w:lineRule="auto"/>
              <w:jc w:val="center"/>
              <w:rPr>
                <w:rFonts w:eastAsia="Arial"/>
                <w:color w:val="000000"/>
                <w:sz w:val="20"/>
                <w:szCs w:val="20"/>
              </w:rPr>
            </w:pPr>
            <w:r>
              <w:rPr>
                <w:rFonts w:eastAsia="Arial"/>
                <w:color w:val="000000"/>
                <w:sz w:val="20"/>
                <w:szCs w:val="20"/>
              </w:rPr>
              <w:t>X</w:t>
            </w:r>
          </w:p>
        </w:tc>
      </w:tr>
      <w:tr w:rsidR="00F072DB" w:rsidRPr="00A166B5" w:rsidTr="00A43455">
        <w:trPr>
          <w:trHeight w:val="194"/>
        </w:trPr>
        <w:tc>
          <w:tcPr>
            <w:tcW w:w="3089" w:type="dxa"/>
            <w:vAlign w:val="center"/>
          </w:tcPr>
          <w:p w:rsidR="00F072DB" w:rsidRDefault="00F072DB" w:rsidP="00F072DB">
            <w:pPr>
              <w:spacing w:line="259" w:lineRule="auto"/>
              <w:rPr>
                <w:rFonts w:eastAsia="Arial"/>
                <w:color w:val="000000"/>
                <w:sz w:val="20"/>
                <w:szCs w:val="20"/>
              </w:rPr>
            </w:pPr>
            <w:r>
              <w:rPr>
                <w:rFonts w:eastAsia="Arial"/>
                <w:color w:val="000000"/>
                <w:sz w:val="20"/>
                <w:szCs w:val="20"/>
              </w:rPr>
              <w:t>ADR 95/… – Installation of Tyres</w:t>
            </w:r>
          </w:p>
        </w:tc>
        <w:tc>
          <w:tcPr>
            <w:tcW w:w="673"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3"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8" w:type="dxa"/>
            <w:vAlign w:val="center"/>
          </w:tcPr>
          <w:p w:rsidR="00F072DB" w:rsidRPr="006B0C5C" w:rsidRDefault="00F072DB" w:rsidP="00F072DB">
            <w:pPr>
              <w:spacing w:line="259" w:lineRule="auto"/>
              <w:jc w:val="center"/>
              <w:rPr>
                <w:rFonts w:eastAsia="Arial"/>
                <w:color w:val="000000"/>
                <w:sz w:val="20"/>
                <w:szCs w:val="20"/>
              </w:rPr>
            </w:pPr>
            <w:r w:rsidRPr="006B0C5C">
              <w:rPr>
                <w:rFonts w:eastAsia="Arial"/>
                <w:color w:val="000000"/>
                <w:sz w:val="20"/>
                <w:szCs w:val="20"/>
              </w:rPr>
              <w:t>X</w:t>
            </w:r>
          </w:p>
        </w:tc>
        <w:tc>
          <w:tcPr>
            <w:tcW w:w="678" w:type="dxa"/>
            <w:vAlign w:val="center"/>
          </w:tcPr>
          <w:p w:rsidR="00F072DB" w:rsidRPr="006B0C5C" w:rsidRDefault="00F072DB" w:rsidP="00F072DB">
            <w:pPr>
              <w:spacing w:line="259" w:lineRule="auto"/>
              <w:jc w:val="center"/>
              <w:rPr>
                <w:rFonts w:eastAsia="Arial"/>
                <w:color w:val="000000"/>
                <w:sz w:val="20"/>
                <w:szCs w:val="20"/>
              </w:rPr>
            </w:pPr>
            <w:r>
              <w:rPr>
                <w:rFonts w:eastAsia="Arial"/>
                <w:color w:val="000000"/>
                <w:sz w:val="20"/>
                <w:szCs w:val="20"/>
              </w:rPr>
              <w:t>X</w:t>
            </w:r>
          </w:p>
        </w:tc>
      </w:tr>
    </w:tbl>
    <w:p w:rsidR="00FA14D8" w:rsidRPr="00FA14D8" w:rsidRDefault="00FA14D8" w:rsidP="00957A33">
      <w:pPr>
        <w:tabs>
          <w:tab w:val="left" w:pos="454"/>
        </w:tabs>
        <w:spacing w:before="120"/>
        <w:rPr>
          <w:sz w:val="20"/>
          <w:szCs w:val="20"/>
        </w:rPr>
      </w:pPr>
      <w:r w:rsidRPr="00FA14D8">
        <w:rPr>
          <w:sz w:val="20"/>
          <w:szCs w:val="20"/>
        </w:rPr>
        <w:t>X</w:t>
      </w:r>
      <w:r w:rsidRPr="00FA14D8">
        <w:rPr>
          <w:sz w:val="20"/>
          <w:szCs w:val="20"/>
        </w:rPr>
        <w:tab/>
        <w:t>means applicable</w:t>
      </w:r>
    </w:p>
    <w:p w:rsidR="00FA14D8" w:rsidRPr="00FA14D8" w:rsidRDefault="00DA3D9B" w:rsidP="00FA14D8">
      <w:pPr>
        <w:tabs>
          <w:tab w:val="left" w:pos="454"/>
        </w:tabs>
        <w:rPr>
          <w:sz w:val="20"/>
          <w:szCs w:val="20"/>
        </w:rPr>
      </w:pPr>
      <w:r>
        <w:rPr>
          <w:sz w:val="20"/>
          <w:szCs w:val="20"/>
        </w:rPr>
        <w:t>X</w:t>
      </w:r>
      <w:r w:rsidR="00FA14D8" w:rsidRPr="00DA3D9B">
        <w:rPr>
          <w:sz w:val="20"/>
          <w:szCs w:val="20"/>
          <w:vertAlign w:val="subscript"/>
        </w:rPr>
        <w:t>S</w:t>
      </w:r>
      <w:r w:rsidR="00FA14D8" w:rsidRPr="00FA14D8">
        <w:rPr>
          <w:sz w:val="20"/>
          <w:szCs w:val="20"/>
        </w:rPr>
        <w:tab/>
        <w:t xml:space="preserve">means applicable for </w:t>
      </w:r>
      <w:r w:rsidR="00FA14D8" w:rsidRPr="00FA14D8">
        <w:rPr>
          <w:i/>
          <w:sz w:val="20"/>
          <w:szCs w:val="20"/>
        </w:rPr>
        <w:t>‘Semi-trailers’</w:t>
      </w:r>
      <w:r w:rsidR="00FA14D8" w:rsidRPr="00FA14D8">
        <w:rPr>
          <w:sz w:val="20"/>
          <w:szCs w:val="20"/>
        </w:rPr>
        <w:t xml:space="preserve"> only</w:t>
      </w:r>
    </w:p>
    <w:p w:rsidR="00C977D6" w:rsidRDefault="00FA14D8" w:rsidP="00EB5A95">
      <w:pPr>
        <w:tabs>
          <w:tab w:val="left" w:pos="454"/>
        </w:tabs>
        <w:rPr>
          <w:sz w:val="20"/>
          <w:szCs w:val="20"/>
        </w:rPr>
      </w:pPr>
      <w:r w:rsidRPr="00FA14D8">
        <w:rPr>
          <w:sz w:val="20"/>
          <w:szCs w:val="20"/>
        </w:rPr>
        <w:t>n/a</w:t>
      </w:r>
      <w:r w:rsidRPr="00FA14D8">
        <w:rPr>
          <w:sz w:val="20"/>
          <w:szCs w:val="20"/>
        </w:rPr>
        <w:tab/>
        <w:t>means not applicable</w:t>
      </w:r>
    </w:p>
    <w:p w:rsidR="006B0C5C" w:rsidRDefault="006B0C5C" w:rsidP="00EB5A95">
      <w:pPr>
        <w:tabs>
          <w:tab w:val="left" w:pos="454"/>
        </w:tabs>
        <w:rPr>
          <w:b/>
          <w:caps/>
        </w:rPr>
      </w:pPr>
      <w:r>
        <w:br w:type="page"/>
      </w:r>
    </w:p>
    <w:p w:rsidR="00293615" w:rsidRPr="00293615" w:rsidRDefault="00EB09C5" w:rsidP="00426B61">
      <w:pPr>
        <w:pStyle w:val="Clauseheading"/>
      </w:pPr>
      <w:bookmarkStart w:id="8" w:name="_Toc525916099"/>
      <w:r>
        <w:lastRenderedPageBreak/>
        <w:t>DEFINITIONS</w:t>
      </w:r>
      <w:bookmarkEnd w:id="7"/>
      <w:bookmarkEnd w:id="8"/>
    </w:p>
    <w:p w:rsidR="004A36E1" w:rsidRDefault="00BC7C40" w:rsidP="00B75277">
      <w:pPr>
        <w:pStyle w:val="Subclause"/>
      </w:pPr>
      <w:r w:rsidRPr="00EC436A">
        <w:t xml:space="preserve">For vehicle categories, definitions and meanings </w:t>
      </w:r>
      <w:r w:rsidR="00B75277">
        <w:t>used in this standard, refer to</w:t>
      </w:r>
      <w:r w:rsidR="004A36E1">
        <w:t>:</w:t>
      </w:r>
    </w:p>
    <w:p w:rsidR="00BC7C40" w:rsidRDefault="00BC7C40" w:rsidP="004A36E1">
      <w:pPr>
        <w:pStyle w:val="Subsubclause"/>
      </w:pPr>
      <w:r w:rsidRPr="00EC436A">
        <w:t>Vehicle Standard (Australian Design Rule Definitions a</w:t>
      </w:r>
      <w:r w:rsidR="004A36E1">
        <w:t>nd Vehicle Categories) 2005; and</w:t>
      </w:r>
    </w:p>
    <w:p w:rsidR="004A36E1" w:rsidRPr="004A36E1" w:rsidRDefault="004A36E1" w:rsidP="004A36E1">
      <w:pPr>
        <w:pStyle w:val="Subsubclause"/>
      </w:pPr>
      <w:r>
        <w:t>Definitions in clause 1 of APPENDIX 1 of this standard.</w:t>
      </w:r>
    </w:p>
    <w:p w:rsidR="00EC3CEC" w:rsidRDefault="00EC3CEC" w:rsidP="00EC3CEC">
      <w:pPr>
        <w:pStyle w:val="Clauseheading"/>
      </w:pPr>
      <w:bookmarkStart w:id="9" w:name="_Toc517180956"/>
      <w:bookmarkStart w:id="10" w:name="_Toc525916100"/>
      <w:r>
        <w:t xml:space="preserve">Steering </w:t>
      </w:r>
      <w:r w:rsidR="00977B64">
        <w:t>CONTROL</w:t>
      </w:r>
      <w:bookmarkEnd w:id="9"/>
      <w:bookmarkEnd w:id="10"/>
    </w:p>
    <w:p w:rsidR="00977B64" w:rsidRPr="00977B64" w:rsidRDefault="00EC3CEC" w:rsidP="00977B64">
      <w:pPr>
        <w:pStyle w:val="Subclause"/>
      </w:pPr>
      <w:r>
        <w:t>The centreline of the steering control must not be located to the left of the centreline of the vehicle.</w:t>
      </w:r>
    </w:p>
    <w:p w:rsidR="009A6384" w:rsidRDefault="001558A7" w:rsidP="00484F89">
      <w:pPr>
        <w:pStyle w:val="Clauseheading"/>
      </w:pPr>
      <w:bookmarkStart w:id="11" w:name="_Toc517180957"/>
      <w:bookmarkStart w:id="12" w:name="_Toc525916101"/>
      <w:r>
        <w:t xml:space="preserve">Controls for </w:t>
      </w:r>
      <w:r w:rsidR="009A6384">
        <w:t>Diesel and</w:t>
      </w:r>
      <w:r w:rsidR="00B5761D">
        <w:t>/OR</w:t>
      </w:r>
      <w:r w:rsidR="009A6384">
        <w:t xml:space="preserve"> Automatic Vehicles</w:t>
      </w:r>
      <w:bookmarkEnd w:id="11"/>
      <w:bookmarkEnd w:id="12"/>
    </w:p>
    <w:p w:rsidR="009A6384" w:rsidRDefault="000712F2" w:rsidP="00BB6922">
      <w:pPr>
        <w:pStyle w:val="Subclause"/>
      </w:pPr>
      <w:r>
        <w:t>In the case of a vehicle with a diesel engine, a</w:t>
      </w:r>
      <w:r w:rsidR="003F3654" w:rsidRPr="003F3654">
        <w:t xml:space="preserve"> locking device </w:t>
      </w:r>
      <w:r w:rsidR="00773F1C">
        <w:t>must be fitted</w:t>
      </w:r>
      <w:r w:rsidR="00773F1C" w:rsidRPr="003F3654">
        <w:t xml:space="preserve"> </w:t>
      </w:r>
      <w:r w:rsidR="003F3654" w:rsidRPr="003F3654">
        <w:t>which prevents the engine from being started by any accidental or inadvertent means.</w:t>
      </w:r>
    </w:p>
    <w:p w:rsidR="003F3654" w:rsidRPr="003F3654" w:rsidRDefault="000712F2" w:rsidP="00D43DB2">
      <w:pPr>
        <w:pStyle w:val="Subclause"/>
      </w:pPr>
      <w:r>
        <w:t xml:space="preserve">In the case of </w:t>
      </w:r>
      <w:r w:rsidR="001B416E">
        <w:t>an M-Group or N-Group</w:t>
      </w:r>
      <w:r>
        <w:t xml:space="preserve"> vehicle with an automatic transmission, </w:t>
      </w:r>
      <w:r w:rsidRPr="000712F2">
        <w:rPr>
          <w:lang w:val="en-US"/>
        </w:rPr>
        <w:t xml:space="preserve">actuation of the </w:t>
      </w:r>
      <w:r w:rsidRPr="000712F2">
        <w:rPr>
          <w:i/>
          <w:lang w:val="en-US"/>
        </w:rPr>
        <w:t>‘Engine start control’</w:t>
      </w:r>
      <w:r w:rsidRPr="000712F2">
        <w:rPr>
          <w:lang w:val="en-US"/>
        </w:rPr>
        <w:t xml:space="preserve"> </w:t>
      </w:r>
      <w:r w:rsidR="00D633CD">
        <w:rPr>
          <w:lang w:val="en-US"/>
        </w:rPr>
        <w:t>must</w:t>
      </w:r>
      <w:r w:rsidRPr="000712F2">
        <w:rPr>
          <w:lang w:val="en-US"/>
        </w:rPr>
        <w:t xml:space="preserve"> not cause the vehicle to move.</w:t>
      </w:r>
    </w:p>
    <w:p w:rsidR="00484F89" w:rsidRDefault="00484F89" w:rsidP="00484F89">
      <w:pPr>
        <w:pStyle w:val="Clauseheading"/>
      </w:pPr>
      <w:bookmarkStart w:id="13" w:name="_Toc517180958"/>
      <w:bookmarkStart w:id="14" w:name="_Toc525916102"/>
      <w:r>
        <w:t>Bonnet latching</w:t>
      </w:r>
      <w:bookmarkEnd w:id="13"/>
      <w:bookmarkEnd w:id="14"/>
    </w:p>
    <w:p w:rsidR="00484F89" w:rsidRDefault="00484F89" w:rsidP="00484F89">
      <w:pPr>
        <w:pStyle w:val="Subclause"/>
      </w:pPr>
      <w:r w:rsidRPr="00AD6E16">
        <w:t>Any movable body panel forward of the windscreen that serves to cover an engine, luggage, storage or battery compartment must b</w:t>
      </w:r>
      <w:r>
        <w:t>e provided with a latch system.</w:t>
      </w:r>
    </w:p>
    <w:p w:rsidR="00484F89" w:rsidRDefault="00484F89" w:rsidP="00484F89">
      <w:pPr>
        <w:pStyle w:val="Subclause"/>
      </w:pPr>
      <w:r w:rsidRPr="00AD6E16">
        <w:t>A panel opening from the front</w:t>
      </w:r>
      <w:r w:rsidR="00475E5F">
        <w:t>,</w:t>
      </w:r>
      <w:r w:rsidRPr="00AD6E16">
        <w:t xml:space="preserve"> which in any open position</w:t>
      </w:r>
      <w:r w:rsidR="00475E5F">
        <w:t>,</w:t>
      </w:r>
      <w:r w:rsidRPr="00AD6E16">
        <w:t xml:space="preserve"> partially or completely obstructs a driver’s forward view through the windscreen</w:t>
      </w:r>
      <w:r w:rsidR="00475E5F">
        <w:t>,</w:t>
      </w:r>
      <w:r w:rsidRPr="00AD6E16">
        <w:t xml:space="preserve"> must be provided with a second latch position on the latch system</w:t>
      </w:r>
      <w:r w:rsidR="00475E5F">
        <w:t>,</w:t>
      </w:r>
      <w:r w:rsidRPr="00AD6E16">
        <w:t xml:space="preserve"> or with a second latch system.</w:t>
      </w:r>
    </w:p>
    <w:p w:rsidR="00484F89" w:rsidRDefault="00484F89" w:rsidP="00484F89">
      <w:pPr>
        <w:pStyle w:val="Clauseheading"/>
      </w:pPr>
      <w:bookmarkStart w:id="15" w:name="_Toc517180959"/>
      <w:bookmarkStart w:id="16" w:name="_Toc525916103"/>
      <w:r>
        <w:t>Windscreen wipers and washers</w:t>
      </w:r>
      <w:bookmarkEnd w:id="15"/>
      <w:bookmarkEnd w:id="16"/>
    </w:p>
    <w:p w:rsidR="00CA7253" w:rsidRDefault="00CA7253" w:rsidP="002E49F2">
      <w:pPr>
        <w:pStyle w:val="Subclausebold"/>
      </w:pPr>
      <w:r>
        <w:t xml:space="preserve">Category LEM, LEP </w:t>
      </w:r>
      <w:r w:rsidR="00370ADD">
        <w:t>and</w:t>
      </w:r>
      <w:r>
        <w:t xml:space="preserve"> LEG vehicles</w:t>
      </w:r>
    </w:p>
    <w:p w:rsidR="004E0349" w:rsidRDefault="004E0349" w:rsidP="004E0349">
      <w:pPr>
        <w:pStyle w:val="Subsubclause"/>
      </w:pPr>
      <w:r>
        <w:t xml:space="preserve">Every enclosed category LEM vehicle with a windscreen and every category LEP </w:t>
      </w:r>
      <w:r w:rsidR="00657F46">
        <w:t>or</w:t>
      </w:r>
      <w:r>
        <w:t xml:space="preserve"> LEG vehicle with a windscreen must be fitted with a power-driven windscreen wiping system.</w:t>
      </w:r>
    </w:p>
    <w:p w:rsidR="004E0349" w:rsidRDefault="004E0349" w:rsidP="004E0349">
      <w:pPr>
        <w:pStyle w:val="Subsubclause"/>
      </w:pPr>
      <w:r>
        <w:t xml:space="preserve">Every vehicle with a windscreen </w:t>
      </w:r>
      <w:r w:rsidR="00EB1E89">
        <w:t xml:space="preserve">wiping system </w:t>
      </w:r>
      <w:r>
        <w:t xml:space="preserve">must have a windscreen washing </w:t>
      </w:r>
      <w:r w:rsidR="005410A4">
        <w:t>system that can direct water on</w:t>
      </w:r>
      <w:r>
        <w:t>to the windscreen within the area swept by the windscreen wiper.</w:t>
      </w:r>
    </w:p>
    <w:p w:rsidR="004E0349" w:rsidRDefault="004E0349" w:rsidP="004E0349">
      <w:pPr>
        <w:pStyle w:val="Subsubsubclause"/>
      </w:pPr>
      <w:r>
        <w:t>The device or devices for operating the wipers and washer must be able to be controlled by the driver in the normal driving position.</w:t>
      </w:r>
    </w:p>
    <w:p w:rsidR="002E49F2" w:rsidRDefault="00D35F3B" w:rsidP="002E49F2">
      <w:pPr>
        <w:pStyle w:val="Subclausebold"/>
      </w:pPr>
      <w:r>
        <w:t>M-Group and N-Group</w:t>
      </w:r>
      <w:r w:rsidR="002E49F2">
        <w:t xml:space="preserve"> vehicles</w:t>
      </w:r>
    </w:p>
    <w:p w:rsidR="00484F89" w:rsidRDefault="00484F89" w:rsidP="00CA7253">
      <w:pPr>
        <w:pStyle w:val="Subsubclause"/>
      </w:pPr>
      <w:r>
        <w:t xml:space="preserve">Every vehicle </w:t>
      </w:r>
      <w:r w:rsidRPr="0058408D">
        <w:t>with a windscreen</w:t>
      </w:r>
      <w:r>
        <w:t xml:space="preserve"> must be fitted with a power-driven windscreen wiping system and must have a windscreen washing </w:t>
      </w:r>
      <w:r w:rsidR="005410A4">
        <w:t>system that can direct water on</w:t>
      </w:r>
      <w:r>
        <w:t>to the windscreen within the area swept by the windscreen wiper.</w:t>
      </w:r>
    </w:p>
    <w:p w:rsidR="00484F89" w:rsidRDefault="00484F89" w:rsidP="00CA7253">
      <w:pPr>
        <w:pStyle w:val="Subsubsubclause"/>
      </w:pPr>
      <w:r>
        <w:lastRenderedPageBreak/>
        <w:t>The device or devices for operating the wipers and washer must be able to be controlled by the driver in the normal driving position.</w:t>
      </w:r>
    </w:p>
    <w:p w:rsidR="00484F89" w:rsidRDefault="00484F89" w:rsidP="00484F89">
      <w:pPr>
        <w:pStyle w:val="Clauseheading"/>
      </w:pPr>
      <w:bookmarkStart w:id="17" w:name="_Toc517180960"/>
      <w:bookmarkStart w:id="18" w:name="_Toc525916104"/>
      <w:r>
        <w:t>Demisting of windscreens</w:t>
      </w:r>
      <w:bookmarkEnd w:id="17"/>
      <w:bookmarkEnd w:id="18"/>
    </w:p>
    <w:p w:rsidR="00AD3300" w:rsidRDefault="00573CEE" w:rsidP="00AD3300">
      <w:pPr>
        <w:pStyle w:val="Subclausebold"/>
      </w:pPr>
      <w:r>
        <w:t xml:space="preserve">Category LEP and </w:t>
      </w:r>
      <w:r w:rsidR="00BA44E6">
        <w:t>LEG</w:t>
      </w:r>
      <w:r>
        <w:t xml:space="preserve"> vehicles</w:t>
      </w:r>
      <w:r w:rsidR="00BA44E6">
        <w:t xml:space="preserve">, </w:t>
      </w:r>
      <w:r w:rsidR="00412134">
        <w:t>and M-Group and N-Group</w:t>
      </w:r>
      <w:r w:rsidR="00AD3300">
        <w:t xml:space="preserve"> vehicles</w:t>
      </w:r>
    </w:p>
    <w:p w:rsidR="00484F89" w:rsidRDefault="00484F89" w:rsidP="00AD3300">
      <w:pPr>
        <w:pStyle w:val="Subsubclause"/>
      </w:pPr>
      <w:r w:rsidRPr="00A413F0">
        <w:t xml:space="preserve">Every vehicle </w:t>
      </w:r>
      <w:r>
        <w:t>with</w:t>
      </w:r>
      <w:r w:rsidRPr="00A413F0">
        <w:t xml:space="preserve"> a windscreen</w:t>
      </w:r>
      <w:r>
        <w:t>,</w:t>
      </w:r>
      <w:r w:rsidRPr="00A413F0">
        <w:t xml:space="preserve"> </w:t>
      </w:r>
      <w:r>
        <w:t xml:space="preserve">and a roof or provision for a roof, </w:t>
      </w:r>
      <w:r w:rsidRPr="00A413F0">
        <w:t>must be fitted with a device capable of removing condensed moisture from the inside of the windscreen.</w:t>
      </w:r>
    </w:p>
    <w:p w:rsidR="009F4236" w:rsidRDefault="009F4236" w:rsidP="009F4236">
      <w:pPr>
        <w:pStyle w:val="Clauseheading"/>
      </w:pPr>
      <w:bookmarkStart w:id="19" w:name="_Toc517180961"/>
      <w:bookmarkStart w:id="20" w:name="_Toc525916105"/>
      <w:r>
        <w:t xml:space="preserve">Brake </w:t>
      </w:r>
      <w:r w:rsidR="005664AF">
        <w:t>Hose</w:t>
      </w:r>
      <w:r>
        <w:t xml:space="preserve"> and brake </w:t>
      </w:r>
      <w:r w:rsidR="005664AF">
        <w:t>Tubing</w:t>
      </w:r>
      <w:bookmarkEnd w:id="19"/>
      <w:bookmarkEnd w:id="20"/>
    </w:p>
    <w:p w:rsidR="006530B9" w:rsidRDefault="006530B9" w:rsidP="009F4236">
      <w:pPr>
        <w:pStyle w:val="Subclause"/>
      </w:pPr>
      <w:r w:rsidRPr="006530B9">
        <w:t xml:space="preserve">Flexible hydraulic brake hoses, air </w:t>
      </w:r>
      <w:r w:rsidR="006543D7">
        <w:t>and</w:t>
      </w:r>
      <w:r w:rsidRPr="006530B9">
        <w:t xml:space="preserve"> vacuum brake tubing</w:t>
      </w:r>
      <w:r>
        <w:t>,</w:t>
      </w:r>
      <w:r w:rsidRPr="006530B9">
        <w:t xml:space="preserve"> air and vacuum hose, </w:t>
      </w:r>
      <w:r>
        <w:t xml:space="preserve">and </w:t>
      </w:r>
      <w:r w:rsidRPr="006530B9">
        <w:t>flexible and hydraulic power hose</w:t>
      </w:r>
      <w:r w:rsidR="006543D7">
        <w:t>,</w:t>
      </w:r>
      <w:r w:rsidRPr="006530B9">
        <w:t xml:space="preserve"> between the </w:t>
      </w:r>
      <w:r w:rsidRPr="006530B9">
        <w:rPr>
          <w:i/>
        </w:rPr>
        <w:t>‘Brake Power Unit 31/00’</w:t>
      </w:r>
      <w:r w:rsidRPr="006530B9">
        <w:t xml:space="preserve"> or </w:t>
      </w:r>
      <w:r w:rsidRPr="006530B9">
        <w:rPr>
          <w:i/>
        </w:rPr>
        <w:t>‘Brake Power Unit 35/...’</w:t>
      </w:r>
      <w:r w:rsidRPr="006530B9">
        <w:t xml:space="preserve"> and the master </w:t>
      </w:r>
      <w:r>
        <w:t>cylinder or its equivalent must:</w:t>
      </w:r>
    </w:p>
    <w:p w:rsidR="006530B9" w:rsidRPr="00BD5076" w:rsidRDefault="005F5BD0" w:rsidP="00DB0DEE">
      <w:pPr>
        <w:pStyle w:val="AlphaList0"/>
        <w:numPr>
          <w:ilvl w:val="4"/>
          <w:numId w:val="14"/>
        </w:numPr>
        <w:tabs>
          <w:tab w:val="clear" w:pos="2523"/>
        </w:tabs>
        <w:spacing w:before="60" w:after="60"/>
        <w:ind w:left="1872" w:hanging="454"/>
      </w:pPr>
      <w:r w:rsidRPr="00BD5076">
        <w:t>conform to</w:t>
      </w:r>
      <w:r w:rsidR="00961FB0" w:rsidRPr="00BD5076">
        <w:t xml:space="preserve"> </w:t>
      </w:r>
      <w:r w:rsidR="009D2E6B">
        <w:t xml:space="preserve">any edition of </w:t>
      </w:r>
      <w:r w:rsidR="00961FB0" w:rsidRPr="00BD5076">
        <w:t>the</w:t>
      </w:r>
      <w:r w:rsidR="006530B9" w:rsidRPr="00BD5076">
        <w:t xml:space="preserve"> </w:t>
      </w:r>
      <w:r w:rsidR="00961FB0" w:rsidRPr="00BD5076">
        <w:t>United States Federal Motor Vehicle Safety Standard (FMVSS) No. 106 (49.CFR.571.106</w:t>
      </w:r>
      <w:r w:rsidR="00E72FDB">
        <w:t xml:space="preserve"> – Brake Ho</w:t>
      </w:r>
      <w:r w:rsidR="00E72FDB" w:rsidRPr="008E78C8">
        <w:t>ses</w:t>
      </w:r>
      <w:r w:rsidR="00961FB0" w:rsidRPr="008E78C8">
        <w:t xml:space="preserve">) </w:t>
      </w:r>
      <w:r w:rsidR="009D2E6B" w:rsidRPr="008E78C8">
        <w:t xml:space="preserve">in force between 1 October </w:t>
      </w:r>
      <w:r w:rsidR="00947B2F" w:rsidRPr="008E78C8">
        <w:t>20</w:t>
      </w:r>
      <w:r w:rsidR="002B42ED" w:rsidRPr="008E78C8">
        <w:t>10</w:t>
      </w:r>
      <w:r w:rsidR="009D2E6B" w:rsidRPr="008E78C8">
        <w:t xml:space="preserve"> and </w:t>
      </w:r>
      <w:r w:rsidR="00285CB3" w:rsidRPr="008E78C8">
        <w:t>the commencement of this rule</w:t>
      </w:r>
      <w:r w:rsidR="00961FB0" w:rsidRPr="008E78C8">
        <w:t xml:space="preserve">, or to </w:t>
      </w:r>
      <w:r w:rsidR="004F36A8" w:rsidRPr="008E78C8">
        <w:t xml:space="preserve">an </w:t>
      </w:r>
      <w:r w:rsidR="00285CB3" w:rsidRPr="008E78C8">
        <w:t xml:space="preserve">applicable </w:t>
      </w:r>
      <w:r w:rsidR="00681662" w:rsidRPr="008E78C8">
        <w:t>SA</w:t>
      </w:r>
      <w:r w:rsidR="006530B9" w:rsidRPr="008E78C8">
        <w:t xml:space="preserve">, SAE, BS, JIS, DIN, ISO </w:t>
      </w:r>
      <w:r w:rsidR="00567679" w:rsidRPr="008E78C8">
        <w:t xml:space="preserve">or UN </w:t>
      </w:r>
      <w:r w:rsidR="00961FB0" w:rsidRPr="008E78C8">
        <w:t>s</w:t>
      </w:r>
      <w:r w:rsidR="004F36A8" w:rsidRPr="008E78C8">
        <w:t>tandard</w:t>
      </w:r>
      <w:r w:rsidR="00961FB0" w:rsidRPr="008E78C8">
        <w:t xml:space="preserve"> </w:t>
      </w:r>
      <w:r w:rsidR="006530B9" w:rsidRPr="008E78C8">
        <w:t xml:space="preserve">for flexible brake </w:t>
      </w:r>
      <w:r w:rsidR="00961FB0" w:rsidRPr="008E78C8">
        <w:t xml:space="preserve">hoses, air brake tubing or hose, </w:t>
      </w:r>
      <w:r w:rsidR="006530B9" w:rsidRPr="008E78C8">
        <w:t>vacuum brake tubing or hose</w:t>
      </w:r>
      <w:r w:rsidR="00961FB0" w:rsidRPr="008E78C8">
        <w:t>,</w:t>
      </w:r>
      <w:r w:rsidR="006530B9" w:rsidRPr="008E78C8">
        <w:t xml:space="preserve"> or hydraulic power tubing or hose</w:t>
      </w:r>
      <w:r w:rsidR="001A0237" w:rsidRPr="008E78C8">
        <w:t xml:space="preserve">, </w:t>
      </w:r>
      <w:r w:rsidR="00966808" w:rsidRPr="008E78C8">
        <w:t>current</w:t>
      </w:r>
      <w:r w:rsidR="001A0237" w:rsidRPr="008E78C8">
        <w:t xml:space="preserve"> </w:t>
      </w:r>
      <w:r w:rsidR="00681E4A" w:rsidRPr="008E78C8">
        <w:t xml:space="preserve">between </w:t>
      </w:r>
      <w:r w:rsidR="00DA03F1" w:rsidRPr="008E78C8">
        <w:t xml:space="preserve">1 </w:t>
      </w:r>
      <w:r w:rsidR="00947B2F" w:rsidRPr="008E78C8">
        <w:t>January 2005</w:t>
      </w:r>
      <w:r w:rsidR="00DA03F1" w:rsidRPr="008E78C8">
        <w:t xml:space="preserve"> and</w:t>
      </w:r>
      <w:r w:rsidR="001A0237" w:rsidRPr="008E78C8">
        <w:t xml:space="preserve"> the commencement of this rule</w:t>
      </w:r>
      <w:r w:rsidR="006530B9" w:rsidRPr="008E78C8">
        <w:t>;</w:t>
      </w:r>
      <w:r w:rsidR="00A95F03" w:rsidRPr="008E78C8">
        <w:rPr>
          <w:rStyle w:val="FootnoteReference"/>
        </w:rPr>
        <w:footnoteReference w:id="3"/>
      </w:r>
      <w:r w:rsidR="00961FB0" w:rsidRPr="00BD5076">
        <w:t xml:space="preserve"> and</w:t>
      </w:r>
    </w:p>
    <w:p w:rsidR="009F4236" w:rsidRPr="00BD5076" w:rsidRDefault="006530B9" w:rsidP="00DB0DEE">
      <w:pPr>
        <w:pStyle w:val="AlphaList0"/>
        <w:numPr>
          <w:ilvl w:val="4"/>
          <w:numId w:val="14"/>
        </w:numPr>
        <w:spacing w:before="60" w:after="60"/>
        <w:ind w:left="1872" w:hanging="454"/>
      </w:pPr>
      <w:r w:rsidRPr="00BD5076">
        <w:t>be fitted/routed so as to prevent chafing, kinking or other mechanical damage under normal motion of the moving vehicle parts.</w:t>
      </w:r>
    </w:p>
    <w:p w:rsidR="009F4236" w:rsidRDefault="00BA5175" w:rsidP="009F4236">
      <w:pPr>
        <w:pStyle w:val="Clauseheading"/>
      </w:pPr>
      <w:bookmarkStart w:id="21" w:name="_Toc517180962"/>
      <w:bookmarkStart w:id="22" w:name="_Toc525916106"/>
      <w:r>
        <w:t xml:space="preserve">Provision of </w:t>
      </w:r>
      <w:r w:rsidR="009F4236">
        <w:t>Reverse gear</w:t>
      </w:r>
      <w:bookmarkEnd w:id="21"/>
      <w:bookmarkEnd w:id="22"/>
    </w:p>
    <w:p w:rsidR="00422691" w:rsidRPr="000A4117" w:rsidRDefault="00422691" w:rsidP="000A4117">
      <w:pPr>
        <w:pStyle w:val="Subclausebold"/>
      </w:pPr>
      <w:r w:rsidRPr="000A4117">
        <w:t>Category LE</w:t>
      </w:r>
      <w:r w:rsidR="007429C9">
        <w:t xml:space="preserve">M, LEP </w:t>
      </w:r>
      <w:r w:rsidR="00370ADD">
        <w:t>and</w:t>
      </w:r>
      <w:r w:rsidR="007429C9">
        <w:t xml:space="preserve"> LEG</w:t>
      </w:r>
      <w:r w:rsidRPr="000A4117">
        <w:t xml:space="preserve"> </w:t>
      </w:r>
      <w:r w:rsidR="0030757E" w:rsidRPr="000A4117">
        <w:t>v</w:t>
      </w:r>
      <w:r w:rsidRPr="000A4117">
        <w:t>ehicles</w:t>
      </w:r>
    </w:p>
    <w:p w:rsidR="00422691" w:rsidRPr="00510CEB" w:rsidRDefault="00422691" w:rsidP="00422691">
      <w:pPr>
        <w:pStyle w:val="Subsubclause"/>
      </w:pPr>
      <w:r w:rsidRPr="00422691">
        <w:t>All vehicles, except</w:t>
      </w:r>
      <w:r>
        <w:t xml:space="preserve"> for</w:t>
      </w:r>
      <w:r w:rsidRPr="00422691">
        <w:t xml:space="preserve"> non-enclosed vehicles with an </w:t>
      </w:r>
      <w:r w:rsidRPr="00422691">
        <w:rPr>
          <w:i/>
        </w:rPr>
        <w:t>‘Unladen Mass’</w:t>
      </w:r>
      <w:r w:rsidRPr="00422691">
        <w:t xml:space="preserve"> less than 450 kg, must be capable of being operated by the driver from the normal seating position </w:t>
      </w:r>
      <w:r>
        <w:t xml:space="preserve">so </w:t>
      </w:r>
      <w:r w:rsidRPr="00422691">
        <w:t xml:space="preserve">that they may be propelled both forwards </w:t>
      </w:r>
      <w:r>
        <w:t xml:space="preserve">and </w:t>
      </w:r>
      <w:r w:rsidRPr="00422691">
        <w:t>backwards.</w:t>
      </w:r>
    </w:p>
    <w:p w:rsidR="00D35F3B" w:rsidRDefault="00D35F3B" w:rsidP="00D35F3B">
      <w:pPr>
        <w:pStyle w:val="Subclausebold"/>
      </w:pPr>
      <w:r>
        <w:t>M-Group and N-Group vehicles</w:t>
      </w:r>
    </w:p>
    <w:p w:rsidR="009F4236" w:rsidRPr="00510CEB" w:rsidRDefault="00422691" w:rsidP="00422691">
      <w:pPr>
        <w:pStyle w:val="Subsubclause"/>
      </w:pPr>
      <w:r w:rsidRPr="00422691">
        <w:t>All vehicles</w:t>
      </w:r>
      <w:r>
        <w:t xml:space="preserve"> </w:t>
      </w:r>
      <w:r w:rsidRPr="00422691">
        <w:t xml:space="preserve">must be capable of being operated by the driver from the normal seating position </w:t>
      </w:r>
      <w:r>
        <w:t xml:space="preserve">so </w:t>
      </w:r>
      <w:r w:rsidRPr="00422691">
        <w:t xml:space="preserve">that they may be propelled both forwards </w:t>
      </w:r>
      <w:r>
        <w:t>and</w:t>
      </w:r>
      <w:r w:rsidRPr="00422691">
        <w:t xml:space="preserve"> backwards.</w:t>
      </w:r>
    </w:p>
    <w:p w:rsidR="009F4236" w:rsidRDefault="009F4236" w:rsidP="009F4236">
      <w:pPr>
        <w:pStyle w:val="Clauseheading"/>
      </w:pPr>
      <w:bookmarkStart w:id="23" w:name="_Toc517180963"/>
      <w:bookmarkStart w:id="24" w:name="_Toc525916107"/>
      <w:r>
        <w:t>Internal protrusions</w:t>
      </w:r>
      <w:bookmarkEnd w:id="23"/>
      <w:bookmarkEnd w:id="24"/>
    </w:p>
    <w:p w:rsidR="009F4236" w:rsidRDefault="009F4236" w:rsidP="009F4236">
      <w:pPr>
        <w:pStyle w:val="Subclause"/>
      </w:pPr>
      <w:r>
        <w:t>Vehicles must not be equipped with any interior object or fitting which, because it is pointed or has a sharp edge, is likely to increase the risk of bodily injury to any person.</w:t>
      </w:r>
    </w:p>
    <w:p w:rsidR="009F4236" w:rsidRDefault="009F4236" w:rsidP="009F4236">
      <w:pPr>
        <w:pStyle w:val="Clauseheading"/>
      </w:pPr>
      <w:bookmarkStart w:id="25" w:name="_Toc517180964"/>
      <w:bookmarkStart w:id="26" w:name="_Toc525916108"/>
      <w:r>
        <w:lastRenderedPageBreak/>
        <w:t xml:space="preserve">Television and </w:t>
      </w:r>
      <w:r>
        <w:rPr>
          <w:rFonts w:hint="eastAsia"/>
        </w:rPr>
        <w:t>visual</w:t>
      </w:r>
      <w:r>
        <w:t xml:space="preserve"> display units</w:t>
      </w:r>
      <w:bookmarkEnd w:id="25"/>
      <w:bookmarkEnd w:id="26"/>
    </w:p>
    <w:p w:rsidR="009F4236" w:rsidRDefault="009F4236" w:rsidP="009F4236">
      <w:pPr>
        <w:pStyle w:val="Subclause"/>
      </w:pPr>
      <w:r w:rsidRPr="00106B25">
        <w:t>A</w:t>
      </w:r>
      <w:r>
        <w:t>ny</w:t>
      </w:r>
      <w:r w:rsidRPr="00106B25">
        <w:t xml:space="preserve"> television receiver</w:t>
      </w:r>
      <w:r>
        <w:t xml:space="preserve">(s), </w:t>
      </w:r>
      <w:r w:rsidRPr="00106B25">
        <w:t>visual display unit</w:t>
      </w:r>
      <w:r>
        <w:t>(s)</w:t>
      </w:r>
      <w:r w:rsidRPr="00106B25">
        <w:t xml:space="preserve"> and associated equipment </w:t>
      </w:r>
      <w:r>
        <w:t xml:space="preserve">thereof, </w:t>
      </w:r>
      <w:r w:rsidRPr="00106B25">
        <w:t>must be securely mounted in a position which:</w:t>
      </w:r>
    </w:p>
    <w:p w:rsidR="009F4236" w:rsidRDefault="009F4236" w:rsidP="00DB0DEE">
      <w:pPr>
        <w:pStyle w:val="AlphaList0"/>
        <w:numPr>
          <w:ilvl w:val="4"/>
          <w:numId w:val="18"/>
        </w:numPr>
        <w:spacing w:before="60" w:after="60"/>
        <w:ind w:left="1872" w:hanging="454"/>
      </w:pPr>
      <w:r w:rsidRPr="00106B25">
        <w:t>does not obscure the driver’s vision;</w:t>
      </w:r>
    </w:p>
    <w:p w:rsidR="009F4236" w:rsidRPr="00106B25" w:rsidRDefault="009F4236" w:rsidP="00DB0DEE">
      <w:pPr>
        <w:pStyle w:val="AlphaList0"/>
        <w:numPr>
          <w:ilvl w:val="4"/>
          <w:numId w:val="14"/>
        </w:numPr>
        <w:spacing w:before="60" w:after="60"/>
        <w:ind w:left="1872" w:hanging="454"/>
      </w:pPr>
      <w:r w:rsidRPr="0091469F">
        <w:t>does not impede driver or passenger movement in the vehicle</w:t>
      </w:r>
      <w:r>
        <w:t>; and</w:t>
      </w:r>
    </w:p>
    <w:p w:rsidR="009F4236" w:rsidRDefault="009F4236" w:rsidP="00DB0DEE">
      <w:pPr>
        <w:pStyle w:val="AlphaList0"/>
        <w:numPr>
          <w:ilvl w:val="4"/>
          <w:numId w:val="14"/>
        </w:numPr>
        <w:spacing w:before="60" w:after="60"/>
        <w:ind w:left="1872" w:hanging="454"/>
      </w:pPr>
      <w:r w:rsidRPr="00106B25">
        <w:t>is unlikely to increase the risk of occupant injury</w:t>
      </w:r>
      <w:r>
        <w:t>.</w:t>
      </w:r>
    </w:p>
    <w:p w:rsidR="009F4236" w:rsidRPr="00E478D3" w:rsidRDefault="009F4236" w:rsidP="009F4236">
      <w:pPr>
        <w:pStyle w:val="Subclause"/>
      </w:pPr>
      <w:r w:rsidRPr="00E478D3">
        <w:t xml:space="preserve">Unless a driver’s aid, any television receiver(s) or visual display unit(s) must </w:t>
      </w:r>
      <w:r w:rsidR="00E478D3">
        <w:t xml:space="preserve">be installed </w:t>
      </w:r>
      <w:r w:rsidR="00E478D3" w:rsidRPr="00E478D3">
        <w:t>such</w:t>
      </w:r>
      <w:r w:rsidRPr="00E478D3">
        <w:t xml:space="preserve"> that no part of the image on the screen is visible to the driver from the normal driving position.</w:t>
      </w:r>
    </w:p>
    <w:p w:rsidR="005F14D6" w:rsidRDefault="005F14D6" w:rsidP="005F14D6">
      <w:pPr>
        <w:pStyle w:val="Clauseheading"/>
      </w:pPr>
      <w:bookmarkStart w:id="27" w:name="_Toc517180965"/>
      <w:bookmarkStart w:id="28" w:name="_Toc525916109"/>
      <w:bookmarkStart w:id="29" w:name="_Toc379164166"/>
      <w:bookmarkStart w:id="30" w:name="_Toc177461831"/>
      <w:bookmarkStart w:id="31" w:name="_Toc379164163"/>
      <w:bookmarkStart w:id="32" w:name="_Toc177461828"/>
      <w:r>
        <w:t>Power Operated Window Systems</w:t>
      </w:r>
      <w:bookmarkEnd w:id="27"/>
      <w:bookmarkEnd w:id="28"/>
    </w:p>
    <w:p w:rsidR="00AB05A3" w:rsidRDefault="00957C5D" w:rsidP="00957C5D">
      <w:pPr>
        <w:pStyle w:val="Subclausebold"/>
      </w:pPr>
      <w:r>
        <w:t xml:space="preserve">Category MA, MB </w:t>
      </w:r>
      <w:r w:rsidR="00370ADD">
        <w:t>and</w:t>
      </w:r>
      <w:r>
        <w:t xml:space="preserve"> MC vehicles</w:t>
      </w:r>
    </w:p>
    <w:p w:rsidR="000C6027" w:rsidRDefault="00482844" w:rsidP="008E3CD8">
      <w:pPr>
        <w:pStyle w:val="Subsubclause"/>
      </w:pPr>
      <w:r>
        <w:t>Except as</w:t>
      </w:r>
      <w:r w:rsidR="00377372">
        <w:t xml:space="preserve"> provided </w:t>
      </w:r>
      <w:r w:rsidR="00BB302A">
        <w:t>by clause</w:t>
      </w:r>
      <w:r w:rsidR="00F8025B">
        <w:t>s</w:t>
      </w:r>
      <w:r w:rsidR="00BB302A">
        <w:t xml:space="preserve"> 14.1.3 </w:t>
      </w:r>
      <w:r w:rsidR="009E5A1D">
        <w:t xml:space="preserve">and 14.1.4 </w:t>
      </w:r>
      <w:r w:rsidR="00377372">
        <w:t>below, the o</w:t>
      </w:r>
      <w:r w:rsidR="00957C5D">
        <w:t xml:space="preserve">peration of </w:t>
      </w:r>
      <w:r w:rsidR="00957C5D" w:rsidRPr="007D7228">
        <w:rPr>
          <w:i/>
        </w:rPr>
        <w:t>‘Power Operated W</w:t>
      </w:r>
      <w:r w:rsidR="00AB05A3" w:rsidRPr="007D7228">
        <w:rPr>
          <w:i/>
        </w:rPr>
        <w:t>indow</w:t>
      </w:r>
      <w:r w:rsidR="00957C5D" w:rsidRPr="007D7228">
        <w:rPr>
          <w:i/>
        </w:rPr>
        <w:t>’</w:t>
      </w:r>
      <w:r w:rsidR="00AB05A3">
        <w:t xml:space="preserve"> systems must only be possible when</w:t>
      </w:r>
      <w:r w:rsidR="000C6027">
        <w:t>:</w:t>
      </w:r>
    </w:p>
    <w:p w:rsidR="00AB05A3" w:rsidRDefault="00AB05A3" w:rsidP="00DB0DEE">
      <w:pPr>
        <w:pStyle w:val="AlphaList0"/>
        <w:numPr>
          <w:ilvl w:val="4"/>
          <w:numId w:val="21"/>
        </w:numPr>
        <w:spacing w:before="60" w:after="60"/>
        <w:ind w:left="1872" w:hanging="454"/>
      </w:pPr>
      <w:r>
        <w:t xml:space="preserve">the </w:t>
      </w:r>
      <w:r w:rsidR="007D7228" w:rsidRPr="007D7228">
        <w:t>key that controls activation</w:t>
      </w:r>
      <w:r w:rsidR="007D7228">
        <w:t xml:space="preserve"> </w:t>
      </w:r>
      <w:r w:rsidR="007D7228" w:rsidRPr="007D7228">
        <w:t>of the vehicle’s engine</w:t>
      </w:r>
      <w:r>
        <w:t xml:space="preserve"> is in </w:t>
      </w:r>
      <w:r w:rsidR="00BB302A">
        <w:t>an</w:t>
      </w:r>
      <w:r>
        <w:t xml:space="preserve"> “ON”, </w:t>
      </w:r>
      <w:r w:rsidR="000C6027">
        <w:t>“START” or “ACCESSORY” position; or</w:t>
      </w:r>
    </w:p>
    <w:p w:rsidR="00AB05A3" w:rsidRDefault="00AB05A3" w:rsidP="00DB0DEE">
      <w:pPr>
        <w:pStyle w:val="AlphaList0"/>
        <w:numPr>
          <w:ilvl w:val="4"/>
          <w:numId w:val="21"/>
        </w:numPr>
        <w:spacing w:before="60" w:after="60"/>
        <w:ind w:left="1872" w:hanging="454"/>
      </w:pPr>
      <w:r>
        <w:t>the ignition switch has been actuated from “ON” to “OFF” position and/or the key has been removed and no front doors on the vehicle have been opened; or</w:t>
      </w:r>
    </w:p>
    <w:p w:rsidR="00AB05A3" w:rsidRDefault="00AB05A3" w:rsidP="00DB0DEE">
      <w:pPr>
        <w:pStyle w:val="AlphaList0"/>
        <w:numPr>
          <w:ilvl w:val="4"/>
          <w:numId w:val="21"/>
        </w:numPr>
        <w:spacing w:before="60" w:after="60"/>
        <w:ind w:left="1872" w:hanging="454"/>
      </w:pPr>
      <w:r>
        <w:t>the key to lock the driver’s door is in the door lock; or</w:t>
      </w:r>
    </w:p>
    <w:p w:rsidR="00AB05A3" w:rsidRDefault="000C6027" w:rsidP="00DB0DEE">
      <w:pPr>
        <w:pStyle w:val="AlphaList0"/>
        <w:numPr>
          <w:ilvl w:val="4"/>
          <w:numId w:val="21"/>
        </w:numPr>
        <w:spacing w:before="60" w:after="60"/>
        <w:ind w:left="1872" w:hanging="454"/>
      </w:pPr>
      <w:r>
        <w:t>u</w:t>
      </w:r>
      <w:r w:rsidR="00AB05A3">
        <w:t xml:space="preserve">pon activation by a key locking system </w:t>
      </w:r>
      <w:r>
        <w:t>on the exterior of the vehicle; or</w:t>
      </w:r>
    </w:p>
    <w:p w:rsidR="009073D4" w:rsidRDefault="009073D4" w:rsidP="00DB0DEE">
      <w:pPr>
        <w:pStyle w:val="AlphaList0"/>
        <w:numPr>
          <w:ilvl w:val="4"/>
          <w:numId w:val="21"/>
        </w:numPr>
        <w:spacing w:before="60" w:after="60"/>
        <w:ind w:left="1872" w:hanging="454"/>
      </w:pPr>
      <w:r>
        <w:t xml:space="preserve">upon </w:t>
      </w:r>
      <w:r w:rsidRPr="009073D4">
        <w:t>continuous operation of a remote actuation device</w:t>
      </w:r>
      <w:r>
        <w:t>,</w:t>
      </w:r>
      <w:r w:rsidRPr="009073D4">
        <w:t xml:space="preserve"> provided that the remote actuation device </w:t>
      </w:r>
      <w:r>
        <w:t>is</w:t>
      </w:r>
      <w:r w:rsidRPr="009073D4">
        <w:t xml:space="preserve"> incapable of opening/closing </w:t>
      </w:r>
      <w:r>
        <w:t>any</w:t>
      </w:r>
      <w:r w:rsidRPr="009073D4">
        <w:t xml:space="preserve"> </w:t>
      </w:r>
      <w:r w:rsidR="00900AB0">
        <w:t>‘</w:t>
      </w:r>
      <w:r w:rsidRPr="009B25CF">
        <w:rPr>
          <w:i/>
        </w:rPr>
        <w:t>Power Operated W</w:t>
      </w:r>
      <w:r>
        <w:rPr>
          <w:i/>
        </w:rPr>
        <w:t>indow</w:t>
      </w:r>
      <w:r w:rsidRPr="009B25CF">
        <w:rPr>
          <w:i/>
        </w:rPr>
        <w:t>’</w:t>
      </w:r>
      <w:r w:rsidRPr="009073D4">
        <w:t xml:space="preserve"> from a distance of more than 11 m</w:t>
      </w:r>
      <w:r w:rsidR="003E6C17">
        <w:t>etres</w:t>
      </w:r>
      <w:r w:rsidRPr="009073D4">
        <w:t xml:space="preserve"> from the vehicle</w:t>
      </w:r>
      <w:r>
        <w:t>; or</w:t>
      </w:r>
    </w:p>
    <w:p w:rsidR="00AB05A3" w:rsidRDefault="000C6027" w:rsidP="00DB0DEE">
      <w:pPr>
        <w:pStyle w:val="AlphaList0"/>
        <w:numPr>
          <w:ilvl w:val="4"/>
          <w:numId w:val="21"/>
        </w:numPr>
        <w:spacing w:before="60" w:after="60"/>
        <w:ind w:left="1872" w:hanging="454"/>
      </w:pPr>
      <w:r>
        <w:t>w</w:t>
      </w:r>
      <w:r w:rsidR="00AB05A3">
        <w:t>hen the ignition key has been removed</w:t>
      </w:r>
      <w:r w:rsidR="00D74D30">
        <w:t>, in which case</w:t>
      </w:r>
      <w:r w:rsidR="00AB05A3">
        <w:t xml:space="preserve"> the </w:t>
      </w:r>
      <w:r w:rsidR="000E5A17" w:rsidRPr="00957C5D">
        <w:rPr>
          <w:i/>
        </w:rPr>
        <w:t>‘Power Operated Window’</w:t>
      </w:r>
      <w:r w:rsidR="00AB05A3">
        <w:t xml:space="preserve"> system may:</w:t>
      </w:r>
    </w:p>
    <w:p w:rsidR="00AB05A3" w:rsidRDefault="00AB05A3" w:rsidP="00DB0DEE">
      <w:pPr>
        <w:pStyle w:val="Clause-smallromannumeralslist"/>
        <w:numPr>
          <w:ilvl w:val="5"/>
          <w:numId w:val="21"/>
        </w:numPr>
        <w:spacing w:before="60" w:after="60"/>
        <w:ind w:left="2325"/>
      </w:pPr>
      <w:r>
        <w:t>remain operational for not more than 45 seconds; and</w:t>
      </w:r>
    </w:p>
    <w:p w:rsidR="00AB05A3" w:rsidRDefault="00AB05A3" w:rsidP="00DB0DEE">
      <w:pPr>
        <w:pStyle w:val="Clause-smallromannumeralslist"/>
        <w:numPr>
          <w:ilvl w:val="5"/>
          <w:numId w:val="21"/>
        </w:numPr>
        <w:spacing w:before="60" w:after="60"/>
        <w:ind w:left="2325"/>
      </w:pPr>
      <w:r>
        <w:t>if the driver’s window i</w:t>
      </w:r>
      <w:r w:rsidR="003E5509">
        <w:t>s operated within the 45 second</w:t>
      </w:r>
      <w:r>
        <w:t xml:space="preserve"> period, the windows can remain operational for an additional period of not more than 45 seconds, after activation of the driver’s window switch; and</w:t>
      </w:r>
    </w:p>
    <w:p w:rsidR="00AB05A3" w:rsidRDefault="001A5FD4" w:rsidP="00DB0DEE">
      <w:pPr>
        <w:pStyle w:val="Clause-smallromannumeralslist"/>
        <w:numPr>
          <w:ilvl w:val="5"/>
          <w:numId w:val="21"/>
        </w:numPr>
        <w:spacing w:before="60" w:after="60"/>
        <w:ind w:left="2325"/>
      </w:pPr>
      <w:r>
        <w:t>i</w:t>
      </w:r>
      <w:r w:rsidR="00AB05A3">
        <w:t>f the driver’s door is opened within the 45 second period, the power operated window system can remain operational for an additional period of not more than 45 seconds, after the opening of the driver’s door.</w:t>
      </w:r>
    </w:p>
    <w:p w:rsidR="00377372" w:rsidRDefault="00482844" w:rsidP="00377372">
      <w:pPr>
        <w:pStyle w:val="Subsubclause"/>
      </w:pPr>
      <w:r>
        <w:t>Except as provided by clause</w:t>
      </w:r>
      <w:r w:rsidR="00F8025B">
        <w:t>s</w:t>
      </w:r>
      <w:r>
        <w:t xml:space="preserve"> 14.1.3 </w:t>
      </w:r>
      <w:r w:rsidR="009E5A1D">
        <w:t xml:space="preserve">and 14.1.4 </w:t>
      </w:r>
      <w:r>
        <w:t>below, o</w:t>
      </w:r>
      <w:r w:rsidR="00377372">
        <w:t xml:space="preserve">nly momentary type switches or valves shall be used for operating mechanisms to close </w:t>
      </w:r>
      <w:r w:rsidR="00346D06">
        <w:t xml:space="preserve">any </w:t>
      </w:r>
      <w:r w:rsidR="00377372" w:rsidRPr="009B25CF">
        <w:rPr>
          <w:i/>
        </w:rPr>
        <w:t>‘Power Operated Windows’</w:t>
      </w:r>
      <w:r w:rsidR="00377372">
        <w:t xml:space="preserve"> </w:t>
      </w:r>
      <w:r w:rsidR="00846DB8">
        <w:t>of</w:t>
      </w:r>
      <w:r w:rsidR="00377372">
        <w:t xml:space="preserve"> </w:t>
      </w:r>
      <w:r w:rsidR="00846DB8">
        <w:t xml:space="preserve">doors </w:t>
      </w:r>
      <w:r w:rsidR="00377372">
        <w:t>other than the driver’s door.</w:t>
      </w:r>
    </w:p>
    <w:p w:rsidR="00876404" w:rsidRDefault="00876404" w:rsidP="00B6401A">
      <w:pPr>
        <w:pStyle w:val="Subsubclause"/>
        <w:keepNext/>
      </w:pPr>
      <w:r>
        <w:lastRenderedPageBreak/>
        <w:t>The requirements of clause</w:t>
      </w:r>
      <w:r w:rsidR="00F8025B">
        <w:t>s</w:t>
      </w:r>
      <w:r>
        <w:t xml:space="preserve"> 14.1.1 and 14.1.2 above shall not apply whenever:</w:t>
      </w:r>
    </w:p>
    <w:p w:rsidR="00876404" w:rsidRDefault="00876404" w:rsidP="00B6401A">
      <w:pPr>
        <w:pStyle w:val="AlphaList0"/>
        <w:keepNext/>
        <w:numPr>
          <w:ilvl w:val="4"/>
          <w:numId w:val="25"/>
        </w:numPr>
        <w:spacing w:before="60" w:after="60"/>
        <w:ind w:left="1872" w:hanging="454"/>
      </w:pPr>
      <w:r>
        <w:t xml:space="preserve">the closing movement of a </w:t>
      </w:r>
      <w:r w:rsidRPr="009B25CF">
        <w:rPr>
          <w:i/>
        </w:rPr>
        <w:t>‘Power Operated W</w:t>
      </w:r>
      <w:r>
        <w:rPr>
          <w:i/>
        </w:rPr>
        <w:t>indow</w:t>
      </w:r>
      <w:r w:rsidRPr="009B25CF">
        <w:rPr>
          <w:i/>
        </w:rPr>
        <w:t>’</w:t>
      </w:r>
      <w:r>
        <w:t xml:space="preserve"> starts at an opening not exceeding 4 mm; or</w:t>
      </w:r>
    </w:p>
    <w:p w:rsidR="00876404" w:rsidRPr="00876404" w:rsidRDefault="00876404" w:rsidP="00DB0DEE">
      <w:pPr>
        <w:pStyle w:val="AlphaList0"/>
        <w:numPr>
          <w:ilvl w:val="4"/>
          <w:numId w:val="25"/>
        </w:numPr>
        <w:spacing w:before="60" w:after="60"/>
        <w:ind w:left="1872" w:hanging="454"/>
      </w:pPr>
      <w:r>
        <w:t xml:space="preserve">the closing of a </w:t>
      </w:r>
      <w:r w:rsidRPr="009B25CF">
        <w:rPr>
          <w:i/>
        </w:rPr>
        <w:t>‘Power Operated W</w:t>
      </w:r>
      <w:r>
        <w:rPr>
          <w:i/>
        </w:rPr>
        <w:t>indow</w:t>
      </w:r>
      <w:r w:rsidRPr="009B25CF">
        <w:rPr>
          <w:i/>
        </w:rPr>
        <w:t>’</w:t>
      </w:r>
      <w:r>
        <w:t xml:space="preserve"> of a vehicle’s door without upper door frame closes from an opening not exceeding 12 mm whenever the pertinent door is closed.</w:t>
      </w:r>
    </w:p>
    <w:p w:rsidR="00AB6800" w:rsidRDefault="00AB6800" w:rsidP="00AB6800">
      <w:pPr>
        <w:pStyle w:val="Subsubclause"/>
      </w:pPr>
      <w:r>
        <w:t xml:space="preserve">A </w:t>
      </w:r>
      <w:r w:rsidRPr="00F307AF">
        <w:rPr>
          <w:i/>
        </w:rPr>
        <w:t>‘Power Operated Window’</w:t>
      </w:r>
      <w:r>
        <w:t xml:space="preserve"> system may also be capable of being closed under any circumstances other than those permitted by clauses 14.1.1 to 14.1.3 above, if:</w:t>
      </w:r>
    </w:p>
    <w:p w:rsidR="00AB6800" w:rsidRDefault="00AB6800" w:rsidP="00DB0DEE">
      <w:pPr>
        <w:pStyle w:val="AlphaList0"/>
        <w:numPr>
          <w:ilvl w:val="4"/>
          <w:numId w:val="22"/>
        </w:numPr>
        <w:spacing w:before="60" w:after="60"/>
        <w:ind w:left="1872" w:hanging="454"/>
      </w:pPr>
      <w:r>
        <w:t>while closing, the window reverses direction before exerting a pinch force of 100 N or more within the range of 200 mm to 4 mm beneath the top edge of the power window frame; and</w:t>
      </w:r>
    </w:p>
    <w:p w:rsidR="00AB6800" w:rsidRDefault="00AB6800" w:rsidP="00DB0DEE">
      <w:pPr>
        <w:pStyle w:val="AlphaList0"/>
        <w:numPr>
          <w:ilvl w:val="4"/>
          <w:numId w:val="22"/>
        </w:numPr>
        <w:spacing w:before="60" w:after="60"/>
        <w:ind w:left="1872" w:hanging="454"/>
      </w:pPr>
      <w:r>
        <w:t>upon such reversal, the window opens to at least one of the following positions:</w:t>
      </w:r>
    </w:p>
    <w:p w:rsidR="00AB6800" w:rsidRDefault="00AB6800" w:rsidP="00DB0DEE">
      <w:pPr>
        <w:pStyle w:val="Clause-smallromannumeralslist"/>
        <w:numPr>
          <w:ilvl w:val="5"/>
          <w:numId w:val="21"/>
        </w:numPr>
        <w:spacing w:before="60" w:after="60"/>
        <w:ind w:left="2325"/>
      </w:pPr>
      <w:r>
        <w:t>a position that is at least as open as the position at the time closing was initiated; or</w:t>
      </w:r>
    </w:p>
    <w:p w:rsidR="00AB6800" w:rsidRDefault="00AB6800" w:rsidP="00DB0DEE">
      <w:pPr>
        <w:pStyle w:val="Clause-smallromannumeralslist"/>
        <w:numPr>
          <w:ilvl w:val="5"/>
          <w:numId w:val="21"/>
        </w:numPr>
        <w:spacing w:before="60" w:after="60"/>
        <w:ind w:left="2325"/>
      </w:pPr>
      <w:r>
        <w:t>a position at least 50 mm more open than the position at the time reversing was initiated; or</w:t>
      </w:r>
    </w:p>
    <w:p w:rsidR="00AB6800" w:rsidRDefault="00AB6800" w:rsidP="00DB0DEE">
      <w:pPr>
        <w:pStyle w:val="Clause-smallromannumeralslist"/>
        <w:numPr>
          <w:ilvl w:val="5"/>
          <w:numId w:val="21"/>
        </w:numPr>
        <w:spacing w:before="60" w:after="60"/>
        <w:ind w:left="2325"/>
      </w:pPr>
      <w:r>
        <w:t>a position that permits a cylindrical rod 200 mm in diameter to be placed through the opening at the top edge of the window.</w:t>
      </w:r>
    </w:p>
    <w:p w:rsidR="00AB6800" w:rsidRDefault="00AB6800" w:rsidP="00AB6800">
      <w:pPr>
        <w:pStyle w:val="Subsubsubclause"/>
      </w:pPr>
      <w:r>
        <w:t xml:space="preserve">To check if a </w:t>
      </w:r>
      <w:r w:rsidRPr="00F307AF">
        <w:rPr>
          <w:i/>
        </w:rPr>
        <w:t>‘Power Operated Window’</w:t>
      </w:r>
      <w:r>
        <w:t xml:space="preserve"> system automatically reverses according to </w:t>
      </w:r>
      <w:r w:rsidR="00501F1C">
        <w:t xml:space="preserve">parts </w:t>
      </w:r>
      <w:r>
        <w:t xml:space="preserve">(a) and (b) </w:t>
      </w:r>
      <w:r w:rsidR="00E103D8">
        <w:t xml:space="preserve">of this </w:t>
      </w:r>
      <w:r w:rsidR="00D9437B">
        <w:t xml:space="preserve">clause </w:t>
      </w:r>
      <w:r w:rsidR="00E103D8">
        <w:t>14.1.4</w:t>
      </w:r>
      <w:r>
        <w:t xml:space="preserve">, a measuring instrument/test rod shall be placed through the window ‘Opening’ such that the cylindrical surface of the rod contacts the structure which forms the boundary of the window.  The force/deflection ratio of the measuring instrument/test rod must be at least 10 N/mm.  </w:t>
      </w:r>
      <w:r w:rsidR="0093628F">
        <w:t xml:space="preserve">Figure </w:t>
      </w:r>
      <w:r w:rsidR="0093628F">
        <w:rPr>
          <w:noProof/>
        </w:rPr>
        <w:t>1</w:t>
      </w:r>
      <w:r>
        <w:t xml:space="preserve"> shows some example placements of the cylindrical test rods.</w:t>
      </w:r>
    </w:p>
    <w:p w:rsidR="001B2B31" w:rsidRDefault="001B2B31" w:rsidP="006971EC">
      <w:pPr>
        <w:pStyle w:val="Subsubclause"/>
      </w:pPr>
      <w:r>
        <w:t xml:space="preserve">For the operation of rear window switches which are not situated in close proximity of the driver, the </w:t>
      </w:r>
      <w:r w:rsidRPr="00F307AF">
        <w:rPr>
          <w:i/>
        </w:rPr>
        <w:t>‘Power Operated Window’</w:t>
      </w:r>
      <w:r w:rsidRPr="00EA4C3D">
        <w:t xml:space="preserve"> </w:t>
      </w:r>
      <w:r>
        <w:t>system must be designed to enable the driver to:</w:t>
      </w:r>
    </w:p>
    <w:p w:rsidR="001B2B31" w:rsidRDefault="001B2B31" w:rsidP="00DB0DEE">
      <w:pPr>
        <w:pStyle w:val="AlphaList0"/>
        <w:numPr>
          <w:ilvl w:val="4"/>
          <w:numId w:val="20"/>
        </w:numPr>
        <w:spacing w:before="60" w:after="60"/>
        <w:ind w:left="1872" w:hanging="454"/>
      </w:pPr>
      <w:r>
        <w:t>turn off the switch(es) of the closing mechanism(s) of the rear window(s); and</w:t>
      </w:r>
    </w:p>
    <w:p w:rsidR="001B2B31" w:rsidRDefault="001B2B31" w:rsidP="00DB0DEE">
      <w:pPr>
        <w:pStyle w:val="AlphaList0"/>
        <w:numPr>
          <w:ilvl w:val="4"/>
          <w:numId w:val="20"/>
        </w:numPr>
        <w:spacing w:before="60" w:after="60"/>
        <w:ind w:left="1872" w:hanging="454"/>
      </w:pPr>
      <w:r>
        <w:t>initiate opening of the rear window(s).</w:t>
      </w:r>
    </w:p>
    <w:p w:rsidR="001B2B31" w:rsidRDefault="001B2B31" w:rsidP="001B2B31">
      <w:pPr>
        <w:pStyle w:val="Subsubsubclause"/>
      </w:pPr>
      <w:r>
        <w:t>The requirement of part (b) of this clause 14.1.5 above need not be met if/when any rear window switch, which is situated out of the driver’s reach, is operated at the same time.</w:t>
      </w:r>
    </w:p>
    <w:p w:rsidR="00AB6800" w:rsidRPr="00366299" w:rsidRDefault="00AB6800" w:rsidP="00AB6800">
      <w:pPr>
        <w:ind w:left="1418"/>
      </w:pPr>
      <w:bookmarkStart w:id="33" w:name="_Toc517168409"/>
      <w:r>
        <w:rPr>
          <w:noProof/>
        </w:rPr>
        <w:lastRenderedPageBreak/>
        <w:drawing>
          <wp:inline distT="0" distB="0" distL="0" distR="0">
            <wp:extent cx="4302517" cy="2961472"/>
            <wp:effectExtent l="0" t="0" r="3175" b="0"/>
            <wp:docPr id="10" name="Picture 10" descr="Illustration of example placements of cylindrical test rods through a window opening." title="Figure 1: Typical cylindrical test rods protruding through window daylight ope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02517" cy="2961472"/>
                    </a:xfrm>
                    <a:prstGeom prst="rect">
                      <a:avLst/>
                    </a:prstGeom>
                    <a:noFill/>
                    <a:ln>
                      <a:noFill/>
                    </a:ln>
                    <a:extLst>
                      <a:ext uri="{53640926-AAD7-44D8-BBD7-CCE9431645EC}">
                        <a14:shadowObscured xmlns:a14="http://schemas.microsoft.com/office/drawing/2010/main"/>
                      </a:ext>
                    </a:extLst>
                  </pic:spPr>
                </pic:pic>
              </a:graphicData>
            </a:graphic>
          </wp:inline>
        </w:drawing>
      </w:r>
      <w:bookmarkEnd w:id="33"/>
    </w:p>
    <w:p w:rsidR="00AB6800" w:rsidRPr="001252F4" w:rsidRDefault="00AB07AB" w:rsidP="00AB07AB">
      <w:pPr>
        <w:pStyle w:val="Caption"/>
      </w:pPr>
      <w:bookmarkStart w:id="34" w:name="_Ref517684306"/>
      <w:bookmarkStart w:id="35" w:name="_Toc517168410"/>
      <w:r>
        <w:t xml:space="preserve">Figure </w:t>
      </w:r>
      <w:r w:rsidR="0093628F">
        <w:rPr>
          <w:noProof/>
        </w:rPr>
        <w:t>1</w:t>
      </w:r>
      <w:bookmarkEnd w:id="34"/>
      <w:r>
        <w:t xml:space="preserve">: </w:t>
      </w:r>
      <w:r w:rsidR="00AB6800">
        <w:t>Typical cylindrical test rods protruding through window daylight o</w:t>
      </w:r>
      <w:r w:rsidR="00AB6800" w:rsidRPr="001252F4">
        <w:t>penings</w:t>
      </w:r>
      <w:bookmarkEnd w:id="35"/>
    </w:p>
    <w:p w:rsidR="005F14D6" w:rsidRPr="00320493" w:rsidRDefault="00AB05A3" w:rsidP="00673FE3">
      <w:pPr>
        <w:pStyle w:val="Subsubclause"/>
      </w:pPr>
      <w:r>
        <w:t xml:space="preserve">The technical requirements of the United States Federal Motor Vehicle Safety Standard (FMVSS) No. 118 </w:t>
      </w:r>
      <w:r w:rsidR="00673FE3">
        <w:t>(49.CFR.571.118 – Power-operated window, partition, and roof panel s</w:t>
      </w:r>
      <w:r w:rsidRPr="00AB05A3">
        <w:t>ystems</w:t>
      </w:r>
      <w:r w:rsidR="00673FE3">
        <w:t>)</w:t>
      </w:r>
      <w:r>
        <w:t xml:space="preserve"> – </w:t>
      </w:r>
      <w:r w:rsidRPr="00A26A89">
        <w:t>10-1-17 edition,</w:t>
      </w:r>
      <w:r>
        <w:t xml:space="preserve"> are deemed to be equivalent to the requirements of this clause 14.</w:t>
      </w:r>
    </w:p>
    <w:p w:rsidR="005F14D6" w:rsidRDefault="005F14D6" w:rsidP="007E7150">
      <w:pPr>
        <w:pStyle w:val="Clauseheading"/>
      </w:pPr>
      <w:bookmarkStart w:id="36" w:name="_Toc517180966"/>
      <w:bookmarkStart w:id="37" w:name="_Toc525916110"/>
      <w:r>
        <w:t>Ventilation</w:t>
      </w:r>
      <w:bookmarkEnd w:id="36"/>
      <w:bookmarkEnd w:id="37"/>
    </w:p>
    <w:p w:rsidR="00183AAF" w:rsidRDefault="007D7425" w:rsidP="007D7425">
      <w:pPr>
        <w:pStyle w:val="Subclause"/>
      </w:pPr>
      <w:r w:rsidRPr="007D7425">
        <w:t xml:space="preserve">At least half the number of windows must be </w:t>
      </w:r>
      <w:r w:rsidR="00112529">
        <w:t>openable</w:t>
      </w:r>
      <w:r w:rsidRPr="007D7425">
        <w:t xml:space="preserve"> or the vehicle must be provided with an alternative method of ventilation.</w:t>
      </w:r>
    </w:p>
    <w:p w:rsidR="007D7425" w:rsidRDefault="007D7425" w:rsidP="007D7425">
      <w:pPr>
        <w:pStyle w:val="Subclause"/>
      </w:pPr>
      <w:r w:rsidRPr="007D7425">
        <w:t>Omnibuses must be provided with a means of ventilation other than by means of windows and door openings.</w:t>
      </w:r>
    </w:p>
    <w:p w:rsidR="007D7425" w:rsidRPr="007D7425" w:rsidRDefault="007D7425" w:rsidP="007D7425">
      <w:pPr>
        <w:pStyle w:val="Subsubclause"/>
      </w:pPr>
      <w:r w:rsidRPr="007D7425">
        <w:t>Except in the case of omnibuses equipped with flow-through ventilation or refrigerated air-conditioning, the provision of an inlet air vent and at least two rotary vents or a hatch in the roof towards the rear of the passenger compartment</w:t>
      </w:r>
      <w:r w:rsidR="008B6D54">
        <w:t>,</w:t>
      </w:r>
      <w:r w:rsidRPr="007D7425">
        <w:t xml:space="preserve"> </w:t>
      </w:r>
      <w:r>
        <w:t>will be</w:t>
      </w:r>
      <w:r w:rsidRPr="007D7425">
        <w:t xml:space="preserve"> deemed to meet this clause</w:t>
      </w:r>
      <w:r>
        <w:t xml:space="preserve"> 15.2</w:t>
      </w:r>
      <w:r w:rsidRPr="007D7425">
        <w:t>.</w:t>
      </w:r>
    </w:p>
    <w:p w:rsidR="007E7150" w:rsidRPr="009A0839" w:rsidRDefault="00750CD9" w:rsidP="007E7150">
      <w:pPr>
        <w:pStyle w:val="Clauseheading"/>
      </w:pPr>
      <w:bookmarkStart w:id="38" w:name="_Toc517180967"/>
      <w:bookmarkStart w:id="39" w:name="_Toc525916111"/>
      <w:r>
        <w:t xml:space="preserve">SLEEPER BERTHS </w:t>
      </w:r>
      <w:r w:rsidR="000A4117">
        <w:t>for</w:t>
      </w:r>
      <w:r>
        <w:t xml:space="preserve"> </w:t>
      </w:r>
      <w:r w:rsidR="007E7150" w:rsidRPr="009A0839">
        <w:t xml:space="preserve">Category NB </w:t>
      </w:r>
      <w:r w:rsidR="00AB4906">
        <w:t>OR</w:t>
      </w:r>
      <w:r w:rsidR="007E7150" w:rsidRPr="009A0839">
        <w:t xml:space="preserve"> NC vehicles</w:t>
      </w:r>
      <w:bookmarkEnd w:id="29"/>
      <w:bookmarkEnd w:id="30"/>
      <w:bookmarkEnd w:id="38"/>
      <w:bookmarkEnd w:id="39"/>
    </w:p>
    <w:p w:rsidR="007E7150" w:rsidRDefault="007E7150" w:rsidP="007E7150">
      <w:pPr>
        <w:pStyle w:val="Subclause"/>
      </w:pPr>
      <w:r w:rsidRPr="00EE57CD">
        <w:t>Every ‘</w:t>
      </w:r>
      <w:r w:rsidRPr="00EE57CD">
        <w:rPr>
          <w:i/>
        </w:rPr>
        <w:t>Sleeper Berth’</w:t>
      </w:r>
      <w:r w:rsidRPr="00EE57CD">
        <w:t xml:space="preserve"> must be located within the cab or immediately adjacent thereto and must be so constructed that </w:t>
      </w:r>
      <w:r>
        <w:t>any</w:t>
      </w:r>
      <w:r w:rsidRPr="00EE57CD">
        <w:t xml:space="preserve"> occupant will not be likely to be thrown out in the event of sudd</w:t>
      </w:r>
      <w:r>
        <w:t>en deceleration of the vehicle.</w:t>
      </w:r>
    </w:p>
    <w:p w:rsidR="007E7150" w:rsidRDefault="007E7150" w:rsidP="007E7150">
      <w:pPr>
        <w:pStyle w:val="Subclause"/>
        <w:numPr>
          <w:ilvl w:val="1"/>
          <w:numId w:val="1"/>
        </w:numPr>
        <w:ind w:left="1440"/>
        <w:rPr>
          <w:rFonts w:cs="Arial"/>
        </w:rPr>
      </w:pPr>
      <w:r>
        <w:rPr>
          <w:rFonts w:cs="Arial"/>
        </w:rPr>
        <w:t xml:space="preserve">A </w:t>
      </w:r>
      <w:r w:rsidRPr="00EE57CD">
        <w:rPr>
          <w:rFonts w:cs="Arial"/>
        </w:rPr>
        <w:t>‘</w:t>
      </w:r>
      <w:r w:rsidRPr="00EE57CD">
        <w:rPr>
          <w:rFonts w:cs="Arial"/>
          <w:i/>
        </w:rPr>
        <w:t>Sleeper Berth’</w:t>
      </w:r>
      <w:r w:rsidRPr="00EE57CD">
        <w:rPr>
          <w:rFonts w:cs="Arial"/>
        </w:rPr>
        <w:t xml:space="preserve"> must not be located within the cargo space unless such berth is completely and securely separated from the remainder of the cargo space.</w:t>
      </w:r>
    </w:p>
    <w:p w:rsidR="007E7150" w:rsidRDefault="007E7150" w:rsidP="00ED2249">
      <w:pPr>
        <w:pStyle w:val="Subclause"/>
        <w:keepNext/>
        <w:numPr>
          <w:ilvl w:val="1"/>
          <w:numId w:val="1"/>
        </w:numPr>
        <w:ind w:left="1441"/>
        <w:rPr>
          <w:rFonts w:cs="Arial"/>
        </w:rPr>
      </w:pPr>
      <w:r w:rsidRPr="00EE57CD">
        <w:rPr>
          <w:rFonts w:cs="Arial"/>
        </w:rPr>
        <w:lastRenderedPageBreak/>
        <w:t>Every ‘</w:t>
      </w:r>
      <w:r w:rsidRPr="00EE57CD">
        <w:rPr>
          <w:rFonts w:cs="Arial"/>
          <w:i/>
        </w:rPr>
        <w:t>Sleeper Berth’</w:t>
      </w:r>
      <w:r w:rsidRPr="00601A6E">
        <w:rPr>
          <w:rFonts w:cs="Arial"/>
        </w:rPr>
        <w:t xml:space="preserve"> must be so constructed as to provide, at least the</w:t>
      </w:r>
      <w:r>
        <w:rPr>
          <w:rFonts w:cs="Arial"/>
        </w:rPr>
        <w:t xml:space="preserve"> following internal dimensions:</w:t>
      </w:r>
    </w:p>
    <w:p w:rsidR="007E7150" w:rsidRDefault="007E7150" w:rsidP="00DB0DEE">
      <w:pPr>
        <w:pStyle w:val="AlphaList0"/>
        <w:keepNext/>
        <w:keepLines/>
        <w:numPr>
          <w:ilvl w:val="4"/>
          <w:numId w:val="15"/>
        </w:numPr>
        <w:spacing w:before="60" w:after="60"/>
        <w:ind w:left="1872" w:hanging="454"/>
      </w:pPr>
      <w:r w:rsidRPr="00601A6E">
        <w:t>1,900 mm long measured on the cent</w:t>
      </w:r>
      <w:r>
        <w:t>reline of the longitudinal axis;</w:t>
      </w:r>
    </w:p>
    <w:p w:rsidR="007E7150" w:rsidRDefault="007E7150" w:rsidP="00DB0DEE">
      <w:pPr>
        <w:pStyle w:val="AlphaList0"/>
        <w:keepNext/>
        <w:keepLines/>
        <w:numPr>
          <w:ilvl w:val="4"/>
          <w:numId w:val="15"/>
        </w:numPr>
        <w:spacing w:before="60" w:after="60"/>
        <w:ind w:left="1872" w:hanging="454"/>
      </w:pPr>
      <w:r w:rsidRPr="00601A6E">
        <w:t>530 mm wide for</w:t>
      </w:r>
      <w:r w:rsidRPr="00AC3D5B">
        <w:rPr>
          <w:b/>
        </w:rPr>
        <w:t xml:space="preserve"> </w:t>
      </w:r>
      <w:r w:rsidRPr="00601A6E">
        <w:t>1,200 mm along the required length and 440 mm wide for the remainder of the required length</w:t>
      </w:r>
      <w:r>
        <w:t>; and</w:t>
      </w:r>
    </w:p>
    <w:p w:rsidR="007E7150" w:rsidRPr="00601A6E" w:rsidRDefault="007E7150" w:rsidP="00DB0DEE">
      <w:pPr>
        <w:pStyle w:val="AlphaList0"/>
        <w:keepNext/>
        <w:keepLines/>
        <w:numPr>
          <w:ilvl w:val="4"/>
          <w:numId w:val="15"/>
        </w:numPr>
        <w:spacing w:before="60" w:after="60"/>
        <w:ind w:left="1872" w:hanging="454"/>
      </w:pPr>
      <w:r w:rsidRPr="00601A6E">
        <w:t>630 mm deep, of generally rectangular shape, except that the horizontal corners and the roof corner may be rounded to radii not exceeding 270 mm.</w:t>
      </w:r>
    </w:p>
    <w:p w:rsidR="007E7150" w:rsidRDefault="007E7150" w:rsidP="007E7150">
      <w:pPr>
        <w:pStyle w:val="Subclause"/>
      </w:pPr>
      <w:r w:rsidRPr="00EE57CD">
        <w:t>E</w:t>
      </w:r>
      <w:r>
        <w:t>xcept as provided by clause 1</w:t>
      </w:r>
      <w:r w:rsidR="00A05491">
        <w:t>6</w:t>
      </w:r>
      <w:r>
        <w:t>.4.1 below, e</w:t>
      </w:r>
      <w:r w:rsidRPr="00EE57CD">
        <w:t>very ‘</w:t>
      </w:r>
      <w:r w:rsidRPr="00EE57CD">
        <w:rPr>
          <w:i/>
        </w:rPr>
        <w:t>Sleeper Berth’</w:t>
      </w:r>
      <w:r w:rsidRPr="00601A6E">
        <w:t xml:space="preserve"> </w:t>
      </w:r>
      <w:r w:rsidRPr="0091469F">
        <w:t xml:space="preserve">must provide the occupant, without the assistance of other persons, with at least </w:t>
      </w:r>
      <w:r>
        <w:t xml:space="preserve">two </w:t>
      </w:r>
      <w:r w:rsidRPr="0091469F">
        <w:t>exits at opposite sides of the vehicle, each being at le</w:t>
      </w:r>
      <w:r>
        <w:t>ast 450 mm high and 530 mm wide.</w:t>
      </w:r>
    </w:p>
    <w:p w:rsidR="007E7150" w:rsidRPr="0091469F" w:rsidRDefault="007E7150" w:rsidP="007E7150">
      <w:pPr>
        <w:pStyle w:val="Subsubclause"/>
      </w:pPr>
      <w:r>
        <w:t>Two exits at opposite sides of the vehicle need not be provided where</w:t>
      </w:r>
      <w:r w:rsidRPr="0091469F">
        <w:t xml:space="preserve"> </w:t>
      </w:r>
      <w:r>
        <w:t>the</w:t>
      </w:r>
      <w:r w:rsidRPr="0091469F">
        <w:t xml:space="preserve"> </w:t>
      </w:r>
      <w:r w:rsidRPr="00EE57CD">
        <w:t>‘</w:t>
      </w:r>
      <w:r w:rsidRPr="00EE57CD">
        <w:rPr>
          <w:i/>
        </w:rPr>
        <w:t>Sleeper Berth’</w:t>
      </w:r>
      <w:r w:rsidRPr="0091469F">
        <w:t xml:space="preserve"> space is part of the </w:t>
      </w:r>
      <w:r>
        <w:t xml:space="preserve">vehicle </w:t>
      </w:r>
      <w:r w:rsidRPr="0091469F">
        <w:t xml:space="preserve">cab and has a </w:t>
      </w:r>
      <w:r>
        <w:t xml:space="preserve">doorway or opening at least 450 mm in one direction and 910 </w:t>
      </w:r>
      <w:r w:rsidRPr="0091469F">
        <w:t>mm in another direction between it and the driv</w:t>
      </w:r>
      <w:r>
        <w:t>er</w:t>
      </w:r>
      <w:r w:rsidRPr="0091469F">
        <w:t xml:space="preserve"> sea</w:t>
      </w:r>
      <w:r>
        <w:t>t</w:t>
      </w:r>
      <w:r w:rsidRPr="0091469F">
        <w:t>.</w:t>
      </w:r>
    </w:p>
    <w:p w:rsidR="007E7150" w:rsidRPr="00426277" w:rsidRDefault="007E7150" w:rsidP="007E7150">
      <w:pPr>
        <w:pStyle w:val="Subclause"/>
      </w:pPr>
      <w:r w:rsidRPr="0091469F">
        <w:t xml:space="preserve">Unless </w:t>
      </w:r>
      <w:r>
        <w:rPr>
          <w:rFonts w:cs="Arial"/>
        </w:rPr>
        <w:t>a</w:t>
      </w:r>
      <w:r w:rsidRPr="00EE57CD">
        <w:rPr>
          <w:rFonts w:cs="Arial"/>
        </w:rPr>
        <w:t xml:space="preserve"> ‘</w:t>
      </w:r>
      <w:r w:rsidRPr="00EE57CD">
        <w:rPr>
          <w:rFonts w:cs="Arial"/>
          <w:i/>
        </w:rPr>
        <w:t>Sleeper Berth’</w:t>
      </w:r>
      <w:r w:rsidRPr="0091469F">
        <w:t xml:space="preserve"> is located within the driver’s cab or is provided with a direct entrance thereto</w:t>
      </w:r>
      <w:r>
        <w:t>,</w:t>
      </w:r>
      <w:r w:rsidRPr="0091469F">
        <w:t xml:space="preserve"> </w:t>
      </w:r>
      <w:r>
        <w:t xml:space="preserve">a </w:t>
      </w:r>
      <w:r w:rsidRPr="0091469F">
        <w:t xml:space="preserve">means must be provided to enable its occupant </w:t>
      </w:r>
      <w:r>
        <w:t xml:space="preserve">to communicate with the driver. </w:t>
      </w:r>
      <w:r w:rsidRPr="0017653E">
        <w:rPr>
          <w:rFonts w:cs="Arial"/>
        </w:rPr>
        <w:t>Such means may include telephones, speaker tubes, buzzers, pull cords, or other mechanical or electrical means.</w:t>
      </w:r>
    </w:p>
    <w:p w:rsidR="007E7150" w:rsidRPr="008C573E" w:rsidRDefault="007E7150" w:rsidP="007E7150">
      <w:pPr>
        <w:pStyle w:val="Subclause"/>
      </w:pPr>
      <w:r>
        <w:rPr>
          <w:rFonts w:cs="Arial"/>
        </w:rPr>
        <w:t>A</w:t>
      </w:r>
      <w:r w:rsidRPr="00EE57CD">
        <w:rPr>
          <w:rFonts w:cs="Arial"/>
        </w:rPr>
        <w:t xml:space="preserve"> ‘</w:t>
      </w:r>
      <w:r w:rsidRPr="00EE57CD">
        <w:rPr>
          <w:rFonts w:cs="Arial"/>
          <w:i/>
        </w:rPr>
        <w:t>Sleeper Berth’</w:t>
      </w:r>
      <w:r w:rsidRPr="00426277">
        <w:rPr>
          <w:rFonts w:cs="Arial"/>
        </w:rPr>
        <w:t xml:space="preserve"> must not be so located as to</w:t>
      </w:r>
      <w:r>
        <w:rPr>
          <w:rFonts w:cs="Arial"/>
        </w:rPr>
        <w:t>:</w:t>
      </w:r>
    </w:p>
    <w:p w:rsidR="007E7150" w:rsidRDefault="007E7150" w:rsidP="00DB0DEE">
      <w:pPr>
        <w:pStyle w:val="Alphalist"/>
        <w:numPr>
          <w:ilvl w:val="4"/>
          <w:numId w:val="11"/>
        </w:numPr>
        <w:spacing w:before="60" w:after="60"/>
        <w:ind w:left="1872" w:hanging="454"/>
      </w:pPr>
      <w:r w:rsidRPr="00426277">
        <w:t>permit the ready entrance of</w:t>
      </w:r>
      <w:r>
        <w:t xml:space="preserve"> gases from the exhaust system; or</w:t>
      </w:r>
    </w:p>
    <w:p w:rsidR="007E7150" w:rsidRPr="005E60F7" w:rsidRDefault="007E7150" w:rsidP="00DB0DEE">
      <w:pPr>
        <w:pStyle w:val="Alphalist"/>
        <w:numPr>
          <w:ilvl w:val="4"/>
          <w:numId w:val="11"/>
        </w:numPr>
        <w:spacing w:before="60" w:after="60"/>
        <w:ind w:left="1872" w:hanging="454"/>
      </w:pPr>
      <w:r w:rsidRPr="008C573E">
        <w:rPr>
          <w:rFonts w:cs="Arial"/>
        </w:rPr>
        <w:t xml:space="preserve">be overheated or damaged by reason of its </w:t>
      </w:r>
      <w:r>
        <w:rPr>
          <w:rFonts w:cs="Arial"/>
        </w:rPr>
        <w:t>proximity to the exhaust system.</w:t>
      </w:r>
    </w:p>
    <w:p w:rsidR="007E7150" w:rsidRPr="00426277" w:rsidRDefault="007E7150" w:rsidP="007E7150">
      <w:pPr>
        <w:pStyle w:val="Subclause"/>
      </w:pPr>
      <w:r>
        <w:rPr>
          <w:rFonts w:cs="Arial"/>
        </w:rPr>
        <w:t>A</w:t>
      </w:r>
      <w:r w:rsidRPr="00EE57CD">
        <w:rPr>
          <w:rFonts w:cs="Arial"/>
        </w:rPr>
        <w:t xml:space="preserve"> ‘</w:t>
      </w:r>
      <w:r w:rsidRPr="00EE57CD">
        <w:rPr>
          <w:rFonts w:cs="Arial"/>
          <w:i/>
        </w:rPr>
        <w:t>Sleeper Berth’</w:t>
      </w:r>
      <w:r w:rsidRPr="00426277">
        <w:rPr>
          <w:rFonts w:cs="Arial"/>
        </w:rPr>
        <w:t xml:space="preserve"> must not be </w:t>
      </w:r>
      <w:r w:rsidRPr="008C573E">
        <w:t>so located that defects in the ‘</w:t>
      </w:r>
      <w:r>
        <w:rPr>
          <w:i/>
        </w:rPr>
        <w:t>Fuel System </w:t>
      </w:r>
      <w:r w:rsidRPr="008C573E">
        <w:rPr>
          <w:i/>
        </w:rPr>
        <w:t>17/00’</w:t>
      </w:r>
      <w:r w:rsidRPr="008C573E">
        <w:t xml:space="preserve"> would result in leakage on or into it.</w:t>
      </w:r>
    </w:p>
    <w:p w:rsidR="007E7150" w:rsidRPr="007E7150" w:rsidRDefault="007E7150" w:rsidP="007E7150">
      <w:pPr>
        <w:pStyle w:val="Subclause"/>
        <w:rPr>
          <w:rFonts w:cs="Arial"/>
        </w:rPr>
      </w:pPr>
      <w:r w:rsidRPr="00EE57CD">
        <w:t>Every ‘</w:t>
      </w:r>
      <w:r w:rsidRPr="00426277">
        <w:rPr>
          <w:i/>
        </w:rPr>
        <w:t>Sleeper Berth’</w:t>
      </w:r>
      <w:r w:rsidRPr="00426277">
        <w:rPr>
          <w:rFonts w:cs="Arial"/>
        </w:rPr>
        <w:t xml:space="preserve"> must be provided with proper ventilation </w:t>
      </w:r>
      <w:r>
        <w:rPr>
          <w:rFonts w:cs="Arial"/>
        </w:rPr>
        <w:t>and</w:t>
      </w:r>
      <w:r w:rsidRPr="00426277">
        <w:rPr>
          <w:rFonts w:cs="Arial"/>
        </w:rPr>
        <w:t xml:space="preserve"> be tight against dust and rain.</w:t>
      </w:r>
    </w:p>
    <w:p w:rsidR="0077017F" w:rsidRPr="0091469F" w:rsidRDefault="00AF6E08" w:rsidP="0077017F">
      <w:pPr>
        <w:pStyle w:val="Clauseheading"/>
      </w:pPr>
      <w:bookmarkStart w:id="40" w:name="_Toc517180968"/>
      <w:bookmarkStart w:id="41" w:name="_Toc525916112"/>
      <w:r w:rsidRPr="00AF6E08">
        <w:rPr>
          <w:i/>
        </w:rPr>
        <w:t>‘</w:t>
      </w:r>
      <w:r w:rsidR="00BF7AB4" w:rsidRPr="00AF6E08">
        <w:rPr>
          <w:i/>
        </w:rPr>
        <w:t>WHEEL</w:t>
      </w:r>
      <w:r w:rsidR="00D1746B" w:rsidRPr="00AF6E08">
        <w:rPr>
          <w:i/>
        </w:rPr>
        <w:t xml:space="preserve"> </w:t>
      </w:r>
      <w:r w:rsidR="0077017F" w:rsidRPr="00AF6E08">
        <w:rPr>
          <w:i/>
        </w:rPr>
        <w:t>GUARDS</w:t>
      </w:r>
      <w:r w:rsidRPr="00AF6E08">
        <w:rPr>
          <w:i/>
        </w:rPr>
        <w:t>’</w:t>
      </w:r>
      <w:r w:rsidR="0077017F" w:rsidRPr="0091469F">
        <w:t xml:space="preserve"> (</w:t>
      </w:r>
      <w:r w:rsidRPr="00AF6E08">
        <w:rPr>
          <w:i/>
        </w:rPr>
        <w:t>‘</w:t>
      </w:r>
      <w:r w:rsidR="0077017F" w:rsidRPr="00AF6E08">
        <w:rPr>
          <w:i/>
        </w:rPr>
        <w:t>MUDGUARDS</w:t>
      </w:r>
      <w:r w:rsidRPr="00AF6E08">
        <w:rPr>
          <w:i/>
        </w:rPr>
        <w:t>’</w:t>
      </w:r>
      <w:r w:rsidR="0077017F" w:rsidRPr="0091469F">
        <w:t>)</w:t>
      </w:r>
      <w:bookmarkEnd w:id="31"/>
      <w:bookmarkEnd w:id="32"/>
      <w:bookmarkEnd w:id="40"/>
      <w:bookmarkEnd w:id="41"/>
    </w:p>
    <w:p w:rsidR="00977B64" w:rsidRDefault="00CE6F11" w:rsidP="002F6DC6">
      <w:pPr>
        <w:pStyle w:val="Subclausebold"/>
      </w:pPr>
      <w:r>
        <w:t>L-Group v</w:t>
      </w:r>
      <w:r w:rsidR="004570E3">
        <w:t>ehicles</w:t>
      </w:r>
    </w:p>
    <w:p w:rsidR="00672ECE" w:rsidRPr="009B0D97" w:rsidRDefault="00B02F93" w:rsidP="00672ECE">
      <w:pPr>
        <w:pStyle w:val="Subsubclause"/>
      </w:pPr>
      <w:r>
        <w:t>The wheels of a vehicle, including any side</w:t>
      </w:r>
      <w:r w:rsidR="00672ECE" w:rsidRPr="009B0D97">
        <w:t>car</w:t>
      </w:r>
      <w:r>
        <w:t>,</w:t>
      </w:r>
      <w:r w:rsidR="00D1746B">
        <w:t xml:space="preserve"> must be fitted with </w:t>
      </w:r>
      <w:r w:rsidR="008013C9" w:rsidRPr="008013C9">
        <w:rPr>
          <w:i/>
        </w:rPr>
        <w:t>‘Wheel Guards’</w:t>
      </w:r>
      <w:r w:rsidR="00672ECE" w:rsidRPr="009B0D97">
        <w:t xml:space="preserve"> of width not less than the ‘</w:t>
      </w:r>
      <w:r w:rsidR="00672ECE" w:rsidRPr="009B0D97">
        <w:rPr>
          <w:i/>
        </w:rPr>
        <w:t>Section Width</w:t>
      </w:r>
      <w:r w:rsidR="00672ECE">
        <w:t>’ of the tyre.</w:t>
      </w:r>
    </w:p>
    <w:p w:rsidR="00672ECE" w:rsidRPr="009B0D97" w:rsidRDefault="00672ECE" w:rsidP="00672ECE">
      <w:pPr>
        <w:pStyle w:val="Subsubclause"/>
      </w:pPr>
      <w:r w:rsidRPr="009B0D97">
        <w:t xml:space="preserve">The </w:t>
      </w:r>
      <w:r w:rsidR="008013C9" w:rsidRPr="008013C9">
        <w:rPr>
          <w:i/>
        </w:rPr>
        <w:t>‘Wheel Guards’</w:t>
      </w:r>
      <w:r w:rsidRPr="009B0D97">
        <w:t xml:space="preserve"> must be so designed as to protect other road users, as far as practicable, against thrown-up stones, mud, ice, snow and water and to reduce for those users the dangers due to contact with the moving wheels.</w:t>
      </w:r>
    </w:p>
    <w:p w:rsidR="00672ECE" w:rsidRPr="00036D96" w:rsidRDefault="00672ECE" w:rsidP="00672ECE">
      <w:pPr>
        <w:pStyle w:val="Subsubclause"/>
      </w:pPr>
      <w:r>
        <w:t>The</w:t>
      </w:r>
      <w:r w:rsidR="00D1746B">
        <w:t xml:space="preserve"> </w:t>
      </w:r>
      <w:r w:rsidR="008013C9" w:rsidRPr="008013C9">
        <w:rPr>
          <w:i/>
        </w:rPr>
        <w:t>‘Wheel Guard</w:t>
      </w:r>
      <w:r w:rsidR="008013C9">
        <w:rPr>
          <w:i/>
        </w:rPr>
        <w:t>(</w:t>
      </w:r>
      <w:r w:rsidR="008013C9" w:rsidRPr="008013C9">
        <w:rPr>
          <w:i/>
        </w:rPr>
        <w:t>s</w:t>
      </w:r>
      <w:r w:rsidR="008013C9">
        <w:rPr>
          <w:i/>
        </w:rPr>
        <w:t>)</w:t>
      </w:r>
      <w:r w:rsidR="008013C9" w:rsidRPr="008013C9">
        <w:rPr>
          <w:i/>
        </w:rPr>
        <w:t>’</w:t>
      </w:r>
      <w:r w:rsidRPr="009B0D97">
        <w:t xml:space="preserve"> provided for the front</w:t>
      </w:r>
      <w:r w:rsidRPr="009B0D97">
        <w:rPr>
          <w:b/>
        </w:rPr>
        <w:t xml:space="preserve"> ‘</w:t>
      </w:r>
      <w:r w:rsidRPr="009B0D97">
        <w:rPr>
          <w:i/>
        </w:rPr>
        <w:t>Axle’</w:t>
      </w:r>
      <w:r w:rsidRPr="009B0D97">
        <w:t>, must extend not less than from a point vertically above the centre of the wheel rearward to a point not higher than the centre of the wheel or to the point where suitable protection is afforded by the frame or other construction of the vehicle when a mass of 45 kg is distributed in the saddle of the vehicle at its ‘</w:t>
      </w:r>
      <w:r w:rsidRPr="009B0D97">
        <w:rPr>
          <w:i/>
        </w:rPr>
        <w:t>Unladen Mass’</w:t>
      </w:r>
      <w:r w:rsidRPr="009B0D97">
        <w:t>.</w:t>
      </w:r>
    </w:p>
    <w:p w:rsidR="00672ECE" w:rsidRPr="00F56A5F" w:rsidRDefault="008013C9" w:rsidP="00672ECE">
      <w:pPr>
        <w:pStyle w:val="Subsubclause"/>
      </w:pPr>
      <w:r w:rsidRPr="008013C9">
        <w:rPr>
          <w:i/>
        </w:rPr>
        <w:lastRenderedPageBreak/>
        <w:t>‘Wheel Guards’</w:t>
      </w:r>
      <w:r w:rsidR="00672ECE" w:rsidRPr="009B0D97">
        <w:t xml:space="preserve"> may consist of either permanent body structure or part structure and other components, including mudflaps, provided the specified protection is retained during vehicle operation.</w:t>
      </w:r>
    </w:p>
    <w:p w:rsidR="004570E3" w:rsidRDefault="003A4AD4" w:rsidP="00C605F8">
      <w:pPr>
        <w:pStyle w:val="Subclausebold"/>
      </w:pPr>
      <w:r>
        <w:t>Other than L</w:t>
      </w:r>
      <w:r w:rsidR="00C605F8">
        <w:t>-Group vehicles</w:t>
      </w:r>
    </w:p>
    <w:p w:rsidR="001333A9" w:rsidRDefault="005D7BC7" w:rsidP="001333A9">
      <w:pPr>
        <w:pStyle w:val="Subsubclause"/>
      </w:pPr>
      <w:r>
        <w:t>All wheels of c</w:t>
      </w:r>
      <w:r w:rsidR="00F65CD1">
        <w:t xml:space="preserve">ategory MA vehicles must be provided </w:t>
      </w:r>
      <w:r w:rsidR="00845C66">
        <w:t xml:space="preserve">with </w:t>
      </w:r>
      <w:r w:rsidR="008013C9" w:rsidRPr="008013C9">
        <w:rPr>
          <w:i/>
        </w:rPr>
        <w:t>‘Wheel Guard</w:t>
      </w:r>
      <w:r w:rsidR="00845C66">
        <w:rPr>
          <w:i/>
        </w:rPr>
        <w:t>s</w:t>
      </w:r>
      <w:r w:rsidR="008013C9" w:rsidRPr="008013C9">
        <w:rPr>
          <w:i/>
        </w:rPr>
        <w:t>’</w:t>
      </w:r>
      <w:r w:rsidR="00F65CD1">
        <w:t xml:space="preserve"> </w:t>
      </w:r>
      <w:r w:rsidR="00C278FA">
        <w:t>that</w:t>
      </w:r>
      <w:r w:rsidR="007872BE">
        <w:t xml:space="preserve"> comply with</w:t>
      </w:r>
      <w:r w:rsidR="00F65CD1">
        <w:t xml:space="preserve"> clause 17.2.</w:t>
      </w:r>
      <w:r w:rsidR="00CC28F1">
        <w:t>4</w:t>
      </w:r>
      <w:r w:rsidR="00F65CD1">
        <w:t xml:space="preserve"> below.</w:t>
      </w:r>
    </w:p>
    <w:p w:rsidR="00F65CD1" w:rsidRDefault="005D7BC7" w:rsidP="00F65CD1">
      <w:pPr>
        <w:pStyle w:val="Subsubclause"/>
      </w:pPr>
      <w:r>
        <w:t>All wheels of c</w:t>
      </w:r>
      <w:r w:rsidR="00F65CD1">
        <w:t>at</w:t>
      </w:r>
      <w:r w:rsidR="00D110A0">
        <w:t xml:space="preserve">egory MB, MC, MD1, MD2, MD3, NA, </w:t>
      </w:r>
      <w:r w:rsidR="00F65CD1">
        <w:t>NB1</w:t>
      </w:r>
      <w:r w:rsidR="00D110A0">
        <w:t xml:space="preserve">, TA </w:t>
      </w:r>
      <w:r w:rsidR="00370ADD">
        <w:t>and</w:t>
      </w:r>
      <w:r w:rsidR="00D110A0">
        <w:t xml:space="preserve"> TB</w:t>
      </w:r>
      <w:r w:rsidR="00F65CD1">
        <w:t xml:space="preserve"> vehicles must be </w:t>
      </w:r>
      <w:r w:rsidR="00445F93">
        <w:t>provided</w:t>
      </w:r>
      <w:r w:rsidR="00F65CD1">
        <w:t xml:space="preserve"> with</w:t>
      </w:r>
      <w:r w:rsidR="00445F93">
        <w:t xml:space="preserve"> </w:t>
      </w:r>
      <w:r w:rsidR="008013C9" w:rsidRPr="008013C9">
        <w:rPr>
          <w:i/>
        </w:rPr>
        <w:t>‘Wheel Guard</w:t>
      </w:r>
      <w:r w:rsidR="00845C66">
        <w:rPr>
          <w:i/>
        </w:rPr>
        <w:t>s</w:t>
      </w:r>
      <w:r w:rsidR="008013C9" w:rsidRPr="008013C9">
        <w:rPr>
          <w:i/>
        </w:rPr>
        <w:t>’</w:t>
      </w:r>
      <w:r w:rsidR="00F65CD1">
        <w:t xml:space="preserve"> </w:t>
      </w:r>
      <w:r w:rsidR="00C278FA">
        <w:t>that</w:t>
      </w:r>
      <w:r w:rsidR="007872BE">
        <w:t xml:space="preserve"> comply</w:t>
      </w:r>
      <w:r w:rsidR="00850C39">
        <w:t xml:space="preserve"> with</w:t>
      </w:r>
      <w:r w:rsidR="00F65CD1">
        <w:t xml:space="preserve"> clause 17.2.4 or </w:t>
      </w:r>
      <w:r w:rsidR="00096BAB">
        <w:t xml:space="preserve">clause </w:t>
      </w:r>
      <w:r w:rsidR="00F65CD1">
        <w:t>17.2.5 below.</w:t>
      </w:r>
    </w:p>
    <w:p w:rsidR="00D110A0" w:rsidRDefault="00445F93" w:rsidP="00D110A0">
      <w:pPr>
        <w:pStyle w:val="Subsubclause"/>
      </w:pPr>
      <w:r>
        <w:t>All</w:t>
      </w:r>
      <w:r w:rsidR="005D7BC7">
        <w:t xml:space="preserve"> wheels of c</w:t>
      </w:r>
      <w:r w:rsidR="00D110A0" w:rsidRPr="00D110A0">
        <w:t>ategory MD</w:t>
      </w:r>
      <w:r w:rsidR="00D110A0">
        <w:t>4</w:t>
      </w:r>
      <w:r w:rsidR="00D110A0" w:rsidRPr="00D110A0">
        <w:t>, M</w:t>
      </w:r>
      <w:r w:rsidR="00D110A0">
        <w:t>E</w:t>
      </w:r>
      <w:r w:rsidR="00D110A0" w:rsidRPr="00D110A0">
        <w:t>, N</w:t>
      </w:r>
      <w:r w:rsidR="00D110A0">
        <w:t>B2, NC, TC</w:t>
      </w:r>
      <w:r w:rsidR="00D110A0" w:rsidRPr="00D110A0">
        <w:t xml:space="preserve"> </w:t>
      </w:r>
      <w:r w:rsidR="00370ADD">
        <w:t>and</w:t>
      </w:r>
      <w:r w:rsidR="00D110A0" w:rsidRPr="00D110A0">
        <w:t xml:space="preserve"> </w:t>
      </w:r>
      <w:r w:rsidR="00D110A0">
        <w:t>TD</w:t>
      </w:r>
      <w:r w:rsidR="00D110A0" w:rsidRPr="00D110A0">
        <w:t xml:space="preserve"> vehicles must be </w:t>
      </w:r>
      <w:r>
        <w:t>provided</w:t>
      </w:r>
      <w:r w:rsidR="008013C9">
        <w:t xml:space="preserve"> with </w:t>
      </w:r>
      <w:r w:rsidR="008013C9" w:rsidRPr="008013C9">
        <w:rPr>
          <w:i/>
        </w:rPr>
        <w:t>‘Wheel G</w:t>
      </w:r>
      <w:r w:rsidR="00D110A0" w:rsidRPr="008013C9">
        <w:rPr>
          <w:i/>
        </w:rPr>
        <w:t>uard</w:t>
      </w:r>
      <w:r w:rsidR="00845C66">
        <w:rPr>
          <w:i/>
        </w:rPr>
        <w:t>s</w:t>
      </w:r>
      <w:r w:rsidR="008013C9" w:rsidRPr="008013C9">
        <w:rPr>
          <w:i/>
        </w:rPr>
        <w:t>’</w:t>
      </w:r>
      <w:r w:rsidR="00D110A0" w:rsidRPr="00D110A0">
        <w:t xml:space="preserve"> </w:t>
      </w:r>
      <w:r w:rsidR="00C278FA">
        <w:t>that</w:t>
      </w:r>
      <w:r w:rsidR="007872BE">
        <w:t xml:space="preserve"> comply</w:t>
      </w:r>
      <w:r w:rsidR="00850C39">
        <w:t xml:space="preserve"> with</w:t>
      </w:r>
      <w:r w:rsidR="00D110A0" w:rsidRPr="00D110A0">
        <w:t xml:space="preserve"> clause 17.2.5 below.</w:t>
      </w:r>
    </w:p>
    <w:p w:rsidR="005D2FF5" w:rsidRDefault="008013C9" w:rsidP="001C2884">
      <w:pPr>
        <w:pStyle w:val="Subsubclause"/>
      </w:pPr>
      <w:r w:rsidRPr="008013C9">
        <w:rPr>
          <w:i/>
        </w:rPr>
        <w:t>‘Wheel G</w:t>
      </w:r>
      <w:r w:rsidR="00D1746B" w:rsidRPr="008013C9">
        <w:rPr>
          <w:i/>
        </w:rPr>
        <w:t>uards</w:t>
      </w:r>
      <w:r w:rsidRPr="008013C9">
        <w:rPr>
          <w:i/>
        </w:rPr>
        <w:t>’</w:t>
      </w:r>
      <w:r w:rsidR="00D1746B">
        <w:t xml:space="preserve"> for </w:t>
      </w:r>
      <w:r w:rsidR="00F65CD1">
        <w:t>passenger cars and other light vehicles</w:t>
      </w:r>
    </w:p>
    <w:p w:rsidR="00D1746B" w:rsidRDefault="008013C9" w:rsidP="00D1746B">
      <w:pPr>
        <w:pStyle w:val="Subsubsubclause"/>
      </w:pPr>
      <w:r>
        <w:t xml:space="preserve">The </w:t>
      </w:r>
      <w:r w:rsidRPr="008013C9">
        <w:rPr>
          <w:i/>
        </w:rPr>
        <w:t>‘Wheel G</w:t>
      </w:r>
      <w:r w:rsidR="00D1746B" w:rsidRPr="008013C9">
        <w:rPr>
          <w:i/>
        </w:rPr>
        <w:t>uards</w:t>
      </w:r>
      <w:r w:rsidRPr="008013C9">
        <w:rPr>
          <w:i/>
        </w:rPr>
        <w:t>’</w:t>
      </w:r>
      <w:r w:rsidR="00D1746B" w:rsidRPr="00D1746B">
        <w:t xml:space="preserve"> (parts of the bodywork, mudguards, etc</w:t>
      </w:r>
      <w:r w:rsidR="00AE13ED">
        <w:t>.</w:t>
      </w:r>
      <w:r w:rsidR="00D1746B" w:rsidRPr="00D1746B">
        <w:t>) must be so designed as to protect other road users, as far as practicable, against thrown-up stones, mud, ice, snow and water and to reduce for those users the dangers due to contact with the moving wheels.</w:t>
      </w:r>
    </w:p>
    <w:p w:rsidR="00AE13ED" w:rsidRDefault="00F12BD5" w:rsidP="00AE13ED">
      <w:pPr>
        <w:pStyle w:val="Subsubsubclause"/>
      </w:pPr>
      <w:r>
        <w:t>W</w:t>
      </w:r>
      <w:r w:rsidR="00AE13ED" w:rsidRPr="00AE13ED">
        <w:t>hen the wheels are in the straight ahead position:</w:t>
      </w:r>
    </w:p>
    <w:p w:rsidR="00AE13ED" w:rsidRDefault="00AE13ED" w:rsidP="00DB0DEE">
      <w:pPr>
        <w:pStyle w:val="Alphalist"/>
        <w:numPr>
          <w:ilvl w:val="4"/>
          <w:numId w:val="23"/>
        </w:numPr>
        <w:spacing w:before="60" w:after="60"/>
        <w:ind w:left="1872" w:hanging="454"/>
      </w:pPr>
      <w:r w:rsidRPr="00AE13ED">
        <w:t xml:space="preserve">in the part formed by radial planes at an angle of 30 degrees to the front and 50 degrees to the rear of the centre of the wheel (see </w:t>
      </w:r>
      <w:r w:rsidR="0093628F">
        <w:t xml:space="preserve">Figure </w:t>
      </w:r>
      <w:r w:rsidR="0093628F">
        <w:rPr>
          <w:noProof/>
        </w:rPr>
        <w:t>2</w:t>
      </w:r>
      <w:r w:rsidRPr="00AE13ED">
        <w:t xml:space="preserve">), the overall width (q) of the </w:t>
      </w:r>
      <w:r w:rsidR="00F26C2A" w:rsidRPr="00F26C2A">
        <w:rPr>
          <w:i/>
        </w:rPr>
        <w:t>‘Wheel G</w:t>
      </w:r>
      <w:r w:rsidRPr="00F26C2A">
        <w:rPr>
          <w:i/>
        </w:rPr>
        <w:t>uards</w:t>
      </w:r>
      <w:r w:rsidR="00F26C2A" w:rsidRPr="00F26C2A">
        <w:rPr>
          <w:i/>
        </w:rPr>
        <w:t>’</w:t>
      </w:r>
      <w:r w:rsidRPr="00AE13ED">
        <w:t xml:space="preserve"> must be at least sufficient to cover the </w:t>
      </w:r>
      <w:r w:rsidRPr="00AE13ED">
        <w:rPr>
          <w:i/>
        </w:rPr>
        <w:t>‘Section Width’</w:t>
      </w:r>
      <w:r w:rsidRPr="00AE13ED">
        <w:t xml:space="preserve"> (b) of the tyres fitted to the vehicle</w:t>
      </w:r>
      <w:r w:rsidR="00D4634F">
        <w:t>,</w:t>
      </w:r>
      <w:r w:rsidRPr="00AE13ED">
        <w:t xml:space="preserve"> taking into account the extremes of tyre/wheel combination as specified by the </w:t>
      </w:r>
      <w:r w:rsidRPr="00AE13ED">
        <w:rPr>
          <w:i/>
        </w:rPr>
        <w:t>‘Manufacturer’</w:t>
      </w:r>
      <w:r w:rsidRPr="00AE13ED">
        <w:t>;</w:t>
      </w:r>
    </w:p>
    <w:p w:rsidR="00631703" w:rsidRDefault="00C6008A" w:rsidP="00DB0DEE">
      <w:pPr>
        <w:pStyle w:val="Alphalist"/>
        <w:numPr>
          <w:ilvl w:val="4"/>
          <w:numId w:val="23"/>
        </w:numPr>
        <w:spacing w:before="60" w:after="60"/>
        <w:ind w:left="1872" w:hanging="454"/>
      </w:pPr>
      <w:r>
        <w:t xml:space="preserve">the rear of the </w:t>
      </w:r>
      <w:r w:rsidRPr="00C6008A">
        <w:rPr>
          <w:i/>
        </w:rPr>
        <w:t>‘Wheel G</w:t>
      </w:r>
      <w:r w:rsidR="00AE13ED" w:rsidRPr="00C6008A">
        <w:rPr>
          <w:i/>
        </w:rPr>
        <w:t>uards</w:t>
      </w:r>
      <w:r w:rsidRPr="00C6008A">
        <w:rPr>
          <w:i/>
        </w:rPr>
        <w:t>’</w:t>
      </w:r>
      <w:r w:rsidR="00AE13ED" w:rsidRPr="00AE13ED">
        <w:t xml:space="preserve"> must not terminate above a horizontal plane 150 mm above the axis of rotation of the wheels (as measured at the wheel centres) and furthermore the i</w:t>
      </w:r>
      <w:r>
        <w:t xml:space="preserve">ntersection of the edge of the </w:t>
      </w:r>
      <w:r w:rsidRPr="00C6008A">
        <w:rPr>
          <w:i/>
        </w:rPr>
        <w:t>‘Wheel G</w:t>
      </w:r>
      <w:r w:rsidR="00AE13ED" w:rsidRPr="00C6008A">
        <w:rPr>
          <w:i/>
        </w:rPr>
        <w:t>uard</w:t>
      </w:r>
      <w:r w:rsidRPr="00C6008A">
        <w:rPr>
          <w:i/>
        </w:rPr>
        <w:t>’</w:t>
      </w:r>
      <w:r w:rsidR="00AE13ED" w:rsidRPr="00AE13ED">
        <w:t xml:space="preserve"> with this plane (point A, </w:t>
      </w:r>
      <w:r w:rsidR="0093628F">
        <w:t xml:space="preserve">Figure </w:t>
      </w:r>
      <w:r w:rsidR="0093628F">
        <w:rPr>
          <w:noProof/>
        </w:rPr>
        <w:t>2</w:t>
      </w:r>
      <w:r w:rsidR="00AE13ED" w:rsidRPr="00AE13ED">
        <w:t>) must lie outside the median</w:t>
      </w:r>
      <w:r w:rsidR="00F12BD5">
        <w:t xml:space="preserve"> longitudinal plane of </w:t>
      </w:r>
      <w:r w:rsidR="00631703">
        <w:t>the tyre; and</w:t>
      </w:r>
    </w:p>
    <w:p w:rsidR="00AE13ED" w:rsidRDefault="00AE13ED" w:rsidP="00DB0DEE">
      <w:pPr>
        <w:pStyle w:val="Alphalist"/>
        <w:numPr>
          <w:ilvl w:val="4"/>
          <w:numId w:val="23"/>
        </w:numPr>
        <w:spacing w:before="60" w:after="60"/>
        <w:ind w:left="1872" w:hanging="454"/>
      </w:pPr>
      <w:r w:rsidRPr="00AE13ED">
        <w:t xml:space="preserve">within the part formed by the radial planes referred to in </w:t>
      </w:r>
      <w:r w:rsidR="00D4634F">
        <w:t>part (a)</w:t>
      </w:r>
      <w:r>
        <w:t xml:space="preserve"> above</w:t>
      </w:r>
      <w:r w:rsidR="00F12BD5">
        <w:t xml:space="preserve">, the </w:t>
      </w:r>
      <w:r w:rsidR="00C6008A">
        <w:t xml:space="preserve">contour and location of the </w:t>
      </w:r>
      <w:r w:rsidR="00C6008A" w:rsidRPr="00C6008A">
        <w:rPr>
          <w:i/>
        </w:rPr>
        <w:t>‘Wheel G</w:t>
      </w:r>
      <w:r w:rsidR="00F12BD5" w:rsidRPr="00C6008A">
        <w:rPr>
          <w:i/>
        </w:rPr>
        <w:t>uards</w:t>
      </w:r>
      <w:r w:rsidR="00C6008A" w:rsidRPr="00C6008A">
        <w:rPr>
          <w:i/>
        </w:rPr>
        <w:t>’</w:t>
      </w:r>
      <w:r w:rsidRPr="00AE13ED">
        <w:t xml:space="preserve"> must satisfy the following requirements:</w:t>
      </w:r>
    </w:p>
    <w:p w:rsidR="00AE13ED" w:rsidRDefault="00AE13ED" w:rsidP="00DB0DEE">
      <w:pPr>
        <w:pStyle w:val="Clause-smallromannumeralslist"/>
        <w:numPr>
          <w:ilvl w:val="5"/>
          <w:numId w:val="25"/>
        </w:numPr>
        <w:spacing w:before="60" w:after="60"/>
        <w:ind w:left="2325"/>
      </w:pPr>
      <w:r w:rsidRPr="00AE13ED">
        <w:t>the projection - situated in the vertical plane of the tyre axis - of the dept</w:t>
      </w:r>
      <w:r w:rsidR="00C6008A">
        <w:t xml:space="preserve">h (p) of the outer edge of the </w:t>
      </w:r>
      <w:r w:rsidR="00C6008A" w:rsidRPr="00C6008A">
        <w:rPr>
          <w:i/>
        </w:rPr>
        <w:t>‘Wheel G</w:t>
      </w:r>
      <w:r w:rsidRPr="00C6008A">
        <w:rPr>
          <w:i/>
        </w:rPr>
        <w:t>uards</w:t>
      </w:r>
      <w:r w:rsidR="00C6008A" w:rsidRPr="00C6008A">
        <w:rPr>
          <w:i/>
        </w:rPr>
        <w:t>’</w:t>
      </w:r>
      <w:r w:rsidRPr="00AE13ED">
        <w:t>, measured in the vertical longitudinal plane passing through the centre of t</w:t>
      </w:r>
      <w:r>
        <w:t>he tyre, must be at least 30 mm; and</w:t>
      </w:r>
    </w:p>
    <w:p w:rsidR="00AE13ED" w:rsidRDefault="00AE13ED" w:rsidP="00DB0DEE">
      <w:pPr>
        <w:pStyle w:val="Clause-smallromannumeralslist"/>
        <w:numPr>
          <w:ilvl w:val="5"/>
          <w:numId w:val="25"/>
        </w:numPr>
        <w:spacing w:before="60" w:after="60"/>
        <w:ind w:left="2325"/>
      </w:pPr>
      <w:r w:rsidRPr="00AE13ED">
        <w:t xml:space="preserve">the distance (c) </w:t>
      </w:r>
      <w:r w:rsidR="00C6008A">
        <w:t xml:space="preserve">between the lower edges of the </w:t>
      </w:r>
      <w:r w:rsidR="00C6008A" w:rsidRPr="00C6008A">
        <w:rPr>
          <w:i/>
        </w:rPr>
        <w:t>‘Wheel G</w:t>
      </w:r>
      <w:r w:rsidRPr="00C6008A">
        <w:rPr>
          <w:i/>
        </w:rPr>
        <w:t>uards</w:t>
      </w:r>
      <w:r w:rsidR="00C6008A" w:rsidRPr="00C6008A">
        <w:rPr>
          <w:i/>
        </w:rPr>
        <w:t>’</w:t>
      </w:r>
      <w:r w:rsidRPr="00AE13ED">
        <w:t xml:space="preserve"> and the axis passing through the centre of the wheels must not exceed 2r, ‘r’ being the </w:t>
      </w:r>
      <w:r w:rsidRPr="001164EF">
        <w:rPr>
          <w:i/>
        </w:rPr>
        <w:t>‘Static Loaded Tyre Radius’</w:t>
      </w:r>
      <w:r>
        <w:t xml:space="preserve"> of the tyre.</w:t>
      </w:r>
    </w:p>
    <w:p w:rsidR="00B57C34" w:rsidRDefault="00B57C34" w:rsidP="00D81FF1">
      <w:pPr>
        <w:pStyle w:val="subx4clause"/>
      </w:pPr>
      <w:r w:rsidRPr="00B57C34">
        <w:t>Th</w:t>
      </w:r>
      <w:r>
        <w:t>e</w:t>
      </w:r>
      <w:r w:rsidRPr="00B57C34">
        <w:t xml:space="preserve"> depth (p) </w:t>
      </w:r>
      <w:r w:rsidR="00631703">
        <w:t xml:space="preserve">referred to in part (c)(i) of this clause 17.2.4.2 </w:t>
      </w:r>
      <w:r w:rsidRPr="00B57C34">
        <w:t xml:space="preserve">may be reduced progressively to zero at the radial planes specified in clause </w:t>
      </w:r>
      <w:r w:rsidRPr="00AE13ED">
        <w:t>1</w:t>
      </w:r>
      <w:r>
        <w:t>7</w:t>
      </w:r>
      <w:r w:rsidRPr="00AE13ED">
        <w:t>.</w:t>
      </w:r>
      <w:r>
        <w:t>2.4.2(a) above.</w:t>
      </w:r>
    </w:p>
    <w:p w:rsidR="00B57C34" w:rsidRDefault="00B57C34" w:rsidP="00D965F1">
      <w:pPr>
        <w:pStyle w:val="Subsubsubclause"/>
      </w:pPr>
      <w:r>
        <w:t>I</w:t>
      </w:r>
      <w:r w:rsidRPr="00B57C34">
        <w:t xml:space="preserve">n the case of vehicles having adjustable suspension height, the above mentioned requirements must be met when the vehicle is in the normal running position specified by the </w:t>
      </w:r>
      <w:r w:rsidRPr="00B57C34">
        <w:rPr>
          <w:i/>
        </w:rPr>
        <w:t>‘Manufacturer’</w:t>
      </w:r>
      <w:r>
        <w:t>.</w:t>
      </w:r>
    </w:p>
    <w:p w:rsidR="00CD76F8" w:rsidRDefault="00CD76F8" w:rsidP="00CF1CC8">
      <w:pPr>
        <w:ind w:left="1418"/>
      </w:pPr>
      <w:r>
        <w:rPr>
          <w:noProof/>
        </w:rPr>
        <w:lastRenderedPageBreak/>
        <w:drawing>
          <wp:inline distT="0" distB="0" distL="0" distR="0">
            <wp:extent cx="4500000" cy="4115301"/>
            <wp:effectExtent l="0" t="0" r="0" b="0"/>
            <wp:docPr id="1" name="Picture 1" descr="Illustration of required wheel guard coverage for wheel guards for passenger cars and other light vehicles." title="Figure 2: ‘Wheel Guard’ coverage (passenger cars and other light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04 fig 1 &amp; 2 - expanded - 1.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00000" cy="4115301"/>
                    </a:xfrm>
                    <a:prstGeom prst="rect">
                      <a:avLst/>
                    </a:prstGeom>
                  </pic:spPr>
                </pic:pic>
              </a:graphicData>
            </a:graphic>
          </wp:inline>
        </w:drawing>
      </w:r>
    </w:p>
    <w:p w:rsidR="001D5E96" w:rsidRDefault="00D3112A" w:rsidP="00D3112A">
      <w:pPr>
        <w:pStyle w:val="Caption"/>
        <w:rPr>
          <w:b w:val="0"/>
        </w:rPr>
      </w:pPr>
      <w:bookmarkStart w:id="42" w:name="_Ref517684443"/>
      <w:r>
        <w:t xml:space="preserve">Figure </w:t>
      </w:r>
      <w:r w:rsidR="0093628F">
        <w:rPr>
          <w:noProof/>
        </w:rPr>
        <w:t>2</w:t>
      </w:r>
      <w:bookmarkEnd w:id="42"/>
      <w:r w:rsidR="001D5E96" w:rsidRPr="001252F4">
        <w:rPr>
          <w:b w:val="0"/>
        </w:rPr>
        <w:t xml:space="preserve">: </w:t>
      </w:r>
      <w:r w:rsidR="008013C9" w:rsidRPr="008013C9">
        <w:rPr>
          <w:b w:val="0"/>
          <w:i/>
        </w:rPr>
        <w:t>‘</w:t>
      </w:r>
      <w:r w:rsidR="00CF1CC8" w:rsidRPr="008013C9">
        <w:rPr>
          <w:b w:val="0"/>
          <w:i/>
        </w:rPr>
        <w:t>Wheel</w:t>
      </w:r>
      <w:r w:rsidR="00D1746B" w:rsidRPr="008013C9">
        <w:rPr>
          <w:b w:val="0"/>
          <w:i/>
        </w:rPr>
        <w:t xml:space="preserve"> </w:t>
      </w:r>
      <w:r w:rsidR="008013C9" w:rsidRPr="008013C9">
        <w:rPr>
          <w:b w:val="0"/>
          <w:i/>
        </w:rPr>
        <w:t>G</w:t>
      </w:r>
      <w:r w:rsidR="00CF1CC8" w:rsidRPr="008013C9">
        <w:rPr>
          <w:b w:val="0"/>
          <w:i/>
        </w:rPr>
        <w:t>uard</w:t>
      </w:r>
      <w:r w:rsidR="008013C9" w:rsidRPr="008013C9">
        <w:rPr>
          <w:b w:val="0"/>
          <w:i/>
        </w:rPr>
        <w:t>’</w:t>
      </w:r>
      <w:r w:rsidR="00CF1CC8">
        <w:rPr>
          <w:b w:val="0"/>
        </w:rPr>
        <w:t xml:space="preserve"> coverage (</w:t>
      </w:r>
      <w:r w:rsidR="008013C9">
        <w:rPr>
          <w:b w:val="0"/>
        </w:rPr>
        <w:t xml:space="preserve">passenger cars and </w:t>
      </w:r>
      <w:r w:rsidR="00F65CD1">
        <w:rPr>
          <w:b w:val="0"/>
        </w:rPr>
        <w:t>other light vehicles)</w:t>
      </w:r>
    </w:p>
    <w:p w:rsidR="00B57C34" w:rsidRDefault="00B33A87" w:rsidP="00A00FF1">
      <w:pPr>
        <w:pStyle w:val="Subsubclause"/>
      </w:pPr>
      <w:r w:rsidRPr="00B33A87">
        <w:rPr>
          <w:i/>
        </w:rPr>
        <w:t>‘</w:t>
      </w:r>
      <w:r w:rsidR="00B57C34" w:rsidRPr="00B33A87">
        <w:rPr>
          <w:i/>
        </w:rPr>
        <w:t>W</w:t>
      </w:r>
      <w:r w:rsidRPr="00B33A87">
        <w:rPr>
          <w:i/>
        </w:rPr>
        <w:t>heel G</w:t>
      </w:r>
      <w:r w:rsidR="00B57C34" w:rsidRPr="00B33A87">
        <w:rPr>
          <w:i/>
        </w:rPr>
        <w:t>uards</w:t>
      </w:r>
      <w:r w:rsidRPr="00B33A87">
        <w:rPr>
          <w:i/>
        </w:rPr>
        <w:t>’</w:t>
      </w:r>
      <w:r w:rsidR="00B57C34">
        <w:t xml:space="preserve"> for off-road and/or commercial vehicles</w:t>
      </w:r>
    </w:p>
    <w:p w:rsidR="00B57C34" w:rsidRDefault="009F30CB" w:rsidP="00B57C34">
      <w:pPr>
        <w:pStyle w:val="Subsubsubclause"/>
      </w:pPr>
      <w:r>
        <w:t>The</w:t>
      </w:r>
      <w:r w:rsidR="00B33A87">
        <w:t xml:space="preserve"> </w:t>
      </w:r>
      <w:r w:rsidR="00B33A87" w:rsidRPr="00B33A87">
        <w:rPr>
          <w:i/>
        </w:rPr>
        <w:t>‘Wheel G</w:t>
      </w:r>
      <w:r w:rsidR="00B57C34" w:rsidRPr="00B33A87">
        <w:rPr>
          <w:i/>
        </w:rPr>
        <w:t>uards</w:t>
      </w:r>
      <w:r w:rsidR="00B33A87" w:rsidRPr="00B33A87">
        <w:rPr>
          <w:i/>
        </w:rPr>
        <w:t>’</w:t>
      </w:r>
      <w:r w:rsidR="00B57C34" w:rsidRPr="00B57C34">
        <w:t xml:space="preserve"> must be so designed as to protect other road users, as far as practicable, against thrown-up stones, mud, ice, snow and water and to reduce for those users the dangers due to contact with the moving wheels.</w:t>
      </w:r>
    </w:p>
    <w:p w:rsidR="00B57C34" w:rsidRDefault="009F30CB" w:rsidP="00B57C34">
      <w:pPr>
        <w:pStyle w:val="Subsubsubclause"/>
      </w:pPr>
      <w:r>
        <w:t>T</w:t>
      </w:r>
      <w:r w:rsidR="00B33A87">
        <w:t xml:space="preserve">he </w:t>
      </w:r>
      <w:r w:rsidR="00B33A87" w:rsidRPr="00B33A87">
        <w:rPr>
          <w:i/>
        </w:rPr>
        <w:t>‘Wheel G</w:t>
      </w:r>
      <w:r w:rsidR="00B57C34" w:rsidRPr="00B33A87">
        <w:rPr>
          <w:i/>
        </w:rPr>
        <w:t>uards</w:t>
      </w:r>
      <w:r w:rsidR="00B33A87" w:rsidRPr="00B33A87">
        <w:rPr>
          <w:i/>
        </w:rPr>
        <w:t>’</w:t>
      </w:r>
      <w:r w:rsidR="00B57C34" w:rsidRPr="00B57C34">
        <w:t xml:space="preserve"> on the rearmost wheels must provide continuous protection between a point in area A and a point in area B in </w:t>
      </w:r>
      <w:r w:rsidR="0093628F">
        <w:t xml:space="preserve">Figure </w:t>
      </w:r>
      <w:r w:rsidR="0093628F">
        <w:rPr>
          <w:noProof/>
        </w:rPr>
        <w:t>3</w:t>
      </w:r>
      <w:r w:rsidR="00B57C34" w:rsidRPr="00B57C34">
        <w:t xml:space="preserve">, and must be provided for the </w:t>
      </w:r>
      <w:r w:rsidR="00B57C34" w:rsidRPr="009F30CB">
        <w:rPr>
          <w:i/>
        </w:rPr>
        <w:t>‘Overall Tyre Width’</w:t>
      </w:r>
      <w:r>
        <w:t xml:space="preserve"> </w:t>
      </w:r>
      <w:r w:rsidRPr="001B5A99">
        <w:t>(excluding the deflected part of the tyre sidewall</w:t>
      </w:r>
      <w:r w:rsidR="001A15C0" w:rsidRPr="001B5A99">
        <w:t>,</w:t>
      </w:r>
      <w:r w:rsidRPr="001B5A99">
        <w:t xml:space="preserve"> between the lowest point of the </w:t>
      </w:r>
      <w:r w:rsidRPr="001B5A99">
        <w:rPr>
          <w:i/>
        </w:rPr>
        <w:t>‘Tyre Rim’</w:t>
      </w:r>
      <w:r w:rsidRPr="001B5A99">
        <w:t xml:space="preserve"> and the ground</w:t>
      </w:r>
      <w:r>
        <w:t xml:space="preserve">) </w:t>
      </w:r>
      <w:r w:rsidR="00B57C34" w:rsidRPr="00B57C34">
        <w:t>of all tyres.</w:t>
      </w:r>
    </w:p>
    <w:p w:rsidR="009F30CB" w:rsidRPr="009F30CB" w:rsidRDefault="009F30CB" w:rsidP="00D81FF1">
      <w:pPr>
        <w:pStyle w:val="subx4clause"/>
      </w:pPr>
      <w:r w:rsidRPr="009F30CB">
        <w:t xml:space="preserve">In the case of steerable wheels, the requirements of </w:t>
      </w:r>
      <w:r w:rsidR="004F20ED">
        <w:t xml:space="preserve">this </w:t>
      </w:r>
      <w:r w:rsidRPr="009F30CB">
        <w:t>clause 1</w:t>
      </w:r>
      <w:r>
        <w:t>7</w:t>
      </w:r>
      <w:r w:rsidRPr="009F30CB">
        <w:t>.2.</w:t>
      </w:r>
      <w:r>
        <w:t>5.</w:t>
      </w:r>
      <w:r w:rsidRPr="009F30CB">
        <w:t xml:space="preserve">2 </w:t>
      </w:r>
      <w:r>
        <w:t>shall</w:t>
      </w:r>
      <w:r w:rsidRPr="009F30CB">
        <w:t xml:space="preserve"> only apply when the wheels are in the straight-ahead posit</w:t>
      </w:r>
      <w:r w:rsidR="004F20ED">
        <w:t>ion.</w:t>
      </w:r>
    </w:p>
    <w:p w:rsidR="009F30CB" w:rsidRDefault="00A56BD0" w:rsidP="004F20ED">
      <w:pPr>
        <w:pStyle w:val="Subsubsubclause"/>
      </w:pPr>
      <w:r w:rsidRPr="00A56BD0">
        <w:rPr>
          <w:i/>
        </w:rPr>
        <w:t>‘Wheel G</w:t>
      </w:r>
      <w:r w:rsidR="004F20ED" w:rsidRPr="00A56BD0">
        <w:rPr>
          <w:i/>
        </w:rPr>
        <w:t>uards</w:t>
      </w:r>
      <w:r w:rsidRPr="00A56BD0">
        <w:rPr>
          <w:i/>
        </w:rPr>
        <w:t>’</w:t>
      </w:r>
      <w:r w:rsidR="004F20ED" w:rsidRPr="004F20ED">
        <w:t xml:space="preserve"> may consist of either permanent body structure or part structure and other components, including mudflaps, provided the specified protection is retained during vehicle operation.</w:t>
      </w:r>
    </w:p>
    <w:p w:rsidR="00EC7082" w:rsidRDefault="00EC7082" w:rsidP="00A00FF1">
      <w:pPr>
        <w:pStyle w:val="Subsubsubclause"/>
      </w:pPr>
      <w:r>
        <w:t xml:space="preserve">Where two (2) or more </w:t>
      </w:r>
      <w:r w:rsidRPr="00EC7082">
        <w:rPr>
          <w:i/>
        </w:rPr>
        <w:t>‘Axles’</w:t>
      </w:r>
      <w:r>
        <w:t xml:space="preserve"> form an </w:t>
      </w:r>
      <w:r w:rsidRPr="00EC7082">
        <w:rPr>
          <w:i/>
        </w:rPr>
        <w:t>‘Axle Group’</w:t>
      </w:r>
      <w:r w:rsidR="007A3D01">
        <w:t xml:space="preserve">, separate </w:t>
      </w:r>
      <w:r w:rsidR="007A3D01" w:rsidRPr="007A3D01">
        <w:rPr>
          <w:i/>
        </w:rPr>
        <w:t>‘Wheel G</w:t>
      </w:r>
      <w:r w:rsidRPr="007A3D01">
        <w:rPr>
          <w:i/>
        </w:rPr>
        <w:t>uards</w:t>
      </w:r>
      <w:r w:rsidR="007A3D01" w:rsidRPr="007A3D01">
        <w:rPr>
          <w:i/>
        </w:rPr>
        <w:t>’</w:t>
      </w:r>
      <w:r w:rsidRPr="007A3D01">
        <w:rPr>
          <w:i/>
        </w:rPr>
        <w:t xml:space="preserve"> </w:t>
      </w:r>
      <w:r>
        <w:t>may be provided for each</w:t>
      </w:r>
      <w:r w:rsidR="00A56BD0">
        <w:t xml:space="preserve"> rear wheel or a single </w:t>
      </w:r>
      <w:r w:rsidR="00A56BD0" w:rsidRPr="00A56BD0">
        <w:rPr>
          <w:i/>
        </w:rPr>
        <w:t>‘Wheel G</w:t>
      </w:r>
      <w:r w:rsidRPr="00A56BD0">
        <w:rPr>
          <w:i/>
        </w:rPr>
        <w:t>uard</w:t>
      </w:r>
      <w:r w:rsidR="00A56BD0" w:rsidRPr="00A56BD0">
        <w:rPr>
          <w:i/>
        </w:rPr>
        <w:t>’</w:t>
      </w:r>
      <w:r>
        <w:t xml:space="preserve"> may be provided which provides continuous protection from area ‘A’ of the foremost wheel to area ‘B’ of the rearmost wheel in </w:t>
      </w:r>
      <w:r w:rsidR="0093628F">
        <w:t xml:space="preserve">Figure </w:t>
      </w:r>
      <w:r w:rsidR="0093628F">
        <w:rPr>
          <w:noProof/>
        </w:rPr>
        <w:t>3</w:t>
      </w:r>
      <w:r>
        <w:t>.</w:t>
      </w:r>
    </w:p>
    <w:p w:rsidR="00547478" w:rsidRPr="0091469F" w:rsidRDefault="00547478" w:rsidP="00547478">
      <w:pPr>
        <w:spacing w:after="120"/>
        <w:ind w:firstLine="1418"/>
      </w:pPr>
      <w:r>
        <w:rPr>
          <w:noProof/>
        </w:rPr>
        <w:lastRenderedPageBreak/>
        <w:drawing>
          <wp:inline distT="0" distB="0" distL="0" distR="0">
            <wp:extent cx="4500000" cy="2600835"/>
            <wp:effectExtent l="0" t="0" r="0" b="9525"/>
            <wp:docPr id="5" name="Picture 5" descr="Illustration of required wheel guard coverage for wheel guards for off-road and commercial vehicles." title="Figure 3: ‘Wheel Guard’ coverage (off-road and commercial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2-04 fig 1 &amp; 2 - expanded - 2 - trim.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00000" cy="2600835"/>
                    </a:xfrm>
                    <a:prstGeom prst="rect">
                      <a:avLst/>
                    </a:prstGeom>
                  </pic:spPr>
                </pic:pic>
              </a:graphicData>
            </a:graphic>
          </wp:inline>
        </w:drawing>
      </w:r>
    </w:p>
    <w:p w:rsidR="00547478" w:rsidRPr="00595A4C" w:rsidRDefault="00D3112A" w:rsidP="00D3112A">
      <w:pPr>
        <w:pStyle w:val="Caption"/>
        <w:rPr>
          <w:b w:val="0"/>
        </w:rPr>
      </w:pPr>
      <w:bookmarkStart w:id="43" w:name="_Ref517684511"/>
      <w:r>
        <w:t xml:space="preserve">Figure </w:t>
      </w:r>
      <w:r w:rsidR="0093628F">
        <w:rPr>
          <w:noProof/>
        </w:rPr>
        <w:t>3</w:t>
      </w:r>
      <w:bookmarkEnd w:id="43"/>
      <w:r w:rsidR="00547478" w:rsidRPr="001252F4">
        <w:rPr>
          <w:b w:val="0"/>
        </w:rPr>
        <w:t xml:space="preserve">: </w:t>
      </w:r>
      <w:r w:rsidR="007A3D01" w:rsidRPr="007A3D01">
        <w:rPr>
          <w:b w:val="0"/>
          <w:i/>
        </w:rPr>
        <w:t>‘Wheel G</w:t>
      </w:r>
      <w:r w:rsidR="00547478" w:rsidRPr="007A3D01">
        <w:rPr>
          <w:b w:val="0"/>
          <w:i/>
        </w:rPr>
        <w:t>uard</w:t>
      </w:r>
      <w:r w:rsidR="007A3D01" w:rsidRPr="007A3D01">
        <w:rPr>
          <w:b w:val="0"/>
          <w:i/>
        </w:rPr>
        <w:t>’</w:t>
      </w:r>
      <w:r w:rsidR="00547478">
        <w:rPr>
          <w:b w:val="0"/>
        </w:rPr>
        <w:t xml:space="preserve"> coverage (off-road and commercial vehicles)</w:t>
      </w:r>
    </w:p>
    <w:p w:rsidR="00AB0FD2" w:rsidRDefault="00AB0FD2" w:rsidP="00AB0FD2">
      <w:pPr>
        <w:pStyle w:val="Subsubsubclause"/>
      </w:pPr>
      <w:r>
        <w:t>Notwithstanding the requirements specified above</w:t>
      </w:r>
      <w:r w:rsidR="002D6334">
        <w:t>,</w:t>
      </w:r>
      <w:r w:rsidR="007A3D01">
        <w:t xml:space="preserve"> the </w:t>
      </w:r>
      <w:r w:rsidR="007A3D01" w:rsidRPr="007A3D01">
        <w:rPr>
          <w:i/>
        </w:rPr>
        <w:t>‘Wheel G</w:t>
      </w:r>
      <w:r w:rsidRPr="007A3D01">
        <w:rPr>
          <w:i/>
        </w:rPr>
        <w:t>uard</w:t>
      </w:r>
      <w:r w:rsidR="007A3D01" w:rsidRPr="007A3D01">
        <w:rPr>
          <w:i/>
        </w:rPr>
        <w:t>’</w:t>
      </w:r>
      <w:r>
        <w:t xml:space="preserve"> including a mudflap (if fitted) need not be less than 230 mm from the ground for other than off-road vehicles, or 300 mm in the case of vehicles designed for off-road operation.</w:t>
      </w:r>
    </w:p>
    <w:p w:rsidR="00AE14CC" w:rsidRDefault="00AE14CC" w:rsidP="00B71EC8">
      <w:pPr>
        <w:pStyle w:val="Subsubclause"/>
      </w:pPr>
      <w:r>
        <w:t xml:space="preserve">Visibility of </w:t>
      </w:r>
      <w:r w:rsidRPr="00AE14CC">
        <w:rPr>
          <w:i/>
        </w:rPr>
        <w:t>‘Wheel Guards’</w:t>
      </w:r>
      <w:r>
        <w:t xml:space="preserve"> </w:t>
      </w:r>
      <w:r w:rsidR="008353CC">
        <w:t>(where applicable)</w:t>
      </w:r>
    </w:p>
    <w:p w:rsidR="008353CC" w:rsidRPr="008353CC" w:rsidRDefault="008353CC" w:rsidP="008353CC">
      <w:pPr>
        <w:pStyle w:val="Subsubsubclause"/>
      </w:pPr>
      <w:r>
        <w:t>Except when ‘</w:t>
      </w:r>
      <w:r>
        <w:rPr>
          <w:i/>
          <w:iCs/>
        </w:rPr>
        <w:t xml:space="preserve">Rear Marking Plates’ </w:t>
      </w:r>
      <w:r>
        <w:t xml:space="preserve">are fitted, for every rear </w:t>
      </w:r>
      <w:r w:rsidRPr="008F366A">
        <w:rPr>
          <w:i/>
        </w:rPr>
        <w:t>‘W</w:t>
      </w:r>
      <w:r w:rsidR="001D2F5D">
        <w:rPr>
          <w:i/>
        </w:rPr>
        <w:t>h</w:t>
      </w:r>
      <w:r w:rsidRPr="008F366A">
        <w:rPr>
          <w:i/>
        </w:rPr>
        <w:t>eel Guard’</w:t>
      </w:r>
      <w:r>
        <w:t xml:space="preserve"> affixed to a motor vehicle, or trailer which is 2.2 m</w:t>
      </w:r>
      <w:r w:rsidR="00B91814">
        <w:t>etres</w:t>
      </w:r>
      <w:r>
        <w:t xml:space="preserve"> or more in ‘</w:t>
      </w:r>
      <w:r>
        <w:rPr>
          <w:i/>
          <w:iCs/>
        </w:rPr>
        <w:t>Overall Width</w:t>
      </w:r>
      <w:r>
        <w:t xml:space="preserve">’ and which has a body of the tray type, that portion of the external surface of such </w:t>
      </w:r>
      <w:r w:rsidRPr="008F366A">
        <w:rPr>
          <w:i/>
        </w:rPr>
        <w:t>‘Wheel Guard’</w:t>
      </w:r>
      <w:r>
        <w:t xml:space="preserve"> which is visible to the rear of such vehicle must be white or silver in colour and clearly visible.</w:t>
      </w:r>
    </w:p>
    <w:p w:rsidR="00672ECE" w:rsidRDefault="00E931A1" w:rsidP="00EF2866">
      <w:pPr>
        <w:pStyle w:val="Clauseheading"/>
      </w:pPr>
      <w:bookmarkStart w:id="44" w:name="_Toc517180969"/>
      <w:bookmarkStart w:id="45" w:name="_Toc525916113"/>
      <w:r>
        <w:t>Retractable Axles</w:t>
      </w:r>
      <w:bookmarkEnd w:id="44"/>
      <w:bookmarkEnd w:id="45"/>
    </w:p>
    <w:p w:rsidR="00EB5888" w:rsidRDefault="00EB5888" w:rsidP="00B71EC8">
      <w:pPr>
        <w:pStyle w:val="Subclause"/>
      </w:pPr>
      <w:r w:rsidRPr="004467AD">
        <w:t xml:space="preserve">A </w:t>
      </w:r>
      <w:r w:rsidRPr="004467AD">
        <w:rPr>
          <w:i/>
        </w:rPr>
        <w:t>‘Control’</w:t>
      </w:r>
      <w:r w:rsidRPr="004467AD">
        <w:t xml:space="preserve"> may be provided to manually move </w:t>
      </w:r>
      <w:r>
        <w:t>a</w:t>
      </w:r>
      <w:r w:rsidRPr="004467AD">
        <w:t xml:space="preserve"> </w:t>
      </w:r>
      <w:r w:rsidRPr="004467AD">
        <w:rPr>
          <w:i/>
        </w:rPr>
        <w:t>‘Retractable Axle’</w:t>
      </w:r>
      <w:r w:rsidRPr="004467AD">
        <w:t xml:space="preserve"> up or down.</w:t>
      </w:r>
    </w:p>
    <w:p w:rsidR="00EB5888" w:rsidRDefault="00EB5888" w:rsidP="00B71EC8">
      <w:pPr>
        <w:pStyle w:val="Subclause"/>
      </w:pPr>
      <w:r w:rsidRPr="004467AD">
        <w:t xml:space="preserve">Where a manual </w:t>
      </w:r>
      <w:r w:rsidRPr="004467AD">
        <w:rPr>
          <w:i/>
        </w:rPr>
        <w:t>‘Control’</w:t>
      </w:r>
      <w:r w:rsidRPr="004467AD">
        <w:t xml:space="preserve"> for lowering of </w:t>
      </w:r>
      <w:r>
        <w:t>a</w:t>
      </w:r>
      <w:r w:rsidRPr="004467AD">
        <w:t xml:space="preserve"> </w:t>
      </w:r>
      <w:r w:rsidRPr="004467AD">
        <w:rPr>
          <w:i/>
        </w:rPr>
        <w:t>‘Retractable Axle’</w:t>
      </w:r>
      <w:r>
        <w:t xml:space="preserve"> is fitted:</w:t>
      </w:r>
    </w:p>
    <w:p w:rsidR="00EB5888" w:rsidRDefault="00EB5888" w:rsidP="00DB0DEE">
      <w:pPr>
        <w:pStyle w:val="Alphalist"/>
        <w:numPr>
          <w:ilvl w:val="4"/>
          <w:numId w:val="12"/>
        </w:numPr>
        <w:spacing w:before="60" w:after="60"/>
        <w:ind w:left="1872" w:hanging="454"/>
      </w:pPr>
      <w:r w:rsidRPr="0091469F">
        <w:t xml:space="preserve">the </w:t>
      </w:r>
      <w:r w:rsidRPr="00EB5888">
        <w:rPr>
          <w:i/>
        </w:rPr>
        <w:t>‘Control’</w:t>
      </w:r>
      <w:r w:rsidRPr="0091469F">
        <w:t xml:space="preserve"> or the enclosure in which it is contained must be lockable</w:t>
      </w:r>
      <w:r>
        <w:t>;</w:t>
      </w:r>
    </w:p>
    <w:p w:rsidR="00EB5888" w:rsidRDefault="00EB5888" w:rsidP="00DB0DEE">
      <w:pPr>
        <w:pStyle w:val="Alphalist"/>
        <w:numPr>
          <w:ilvl w:val="4"/>
          <w:numId w:val="12"/>
        </w:numPr>
        <w:spacing w:before="60" w:after="60"/>
        <w:ind w:left="1872" w:hanging="454"/>
      </w:pPr>
      <w:r w:rsidRPr="0091469F">
        <w:t xml:space="preserve">the </w:t>
      </w:r>
      <w:r w:rsidRPr="00EB5888">
        <w:rPr>
          <w:i/>
        </w:rPr>
        <w:t>‘Control’</w:t>
      </w:r>
      <w:r w:rsidRPr="0091469F">
        <w:t xml:space="preserve"> must be located </w:t>
      </w:r>
      <w:r w:rsidR="00B82303">
        <w:t>within 2.5 metres of the centre</w:t>
      </w:r>
      <w:r w:rsidRPr="0091469F">
        <w:t xml:space="preserve">line of the </w:t>
      </w:r>
      <w:r w:rsidRPr="00EB5888">
        <w:rPr>
          <w:i/>
        </w:rPr>
        <w:t>‘Axle Group’</w:t>
      </w:r>
      <w:r w:rsidRPr="0091469F">
        <w:t xml:space="preserve"> which contains the</w:t>
      </w:r>
      <w:r w:rsidRPr="00EB5888">
        <w:rPr>
          <w:i/>
        </w:rPr>
        <w:t xml:space="preserve"> ‘Retractable Axle’</w:t>
      </w:r>
      <w:r w:rsidRPr="0091469F">
        <w:t>;</w:t>
      </w:r>
      <w:r>
        <w:t xml:space="preserve"> and</w:t>
      </w:r>
    </w:p>
    <w:p w:rsidR="00EB5888" w:rsidRDefault="00EB5888" w:rsidP="00DB0DEE">
      <w:pPr>
        <w:pStyle w:val="Alphalist"/>
        <w:numPr>
          <w:ilvl w:val="4"/>
          <w:numId w:val="12"/>
        </w:numPr>
        <w:spacing w:before="60" w:after="60"/>
        <w:ind w:left="1872" w:hanging="454"/>
      </w:pPr>
      <w:r w:rsidRPr="0091469F">
        <w:t xml:space="preserve">the </w:t>
      </w:r>
      <w:r w:rsidRPr="00EB5888">
        <w:rPr>
          <w:i/>
        </w:rPr>
        <w:t>‘Control’</w:t>
      </w:r>
      <w:r w:rsidRPr="0091469F">
        <w:t xml:space="preserve"> must not be accessible from within the cab of the vehicle</w:t>
      </w:r>
      <w:r>
        <w:t>.</w:t>
      </w:r>
    </w:p>
    <w:p w:rsidR="00EB5888" w:rsidRDefault="00EB5888" w:rsidP="00EB5888">
      <w:pPr>
        <w:pStyle w:val="Subclause"/>
      </w:pPr>
      <w:r>
        <w:t xml:space="preserve">Any </w:t>
      </w:r>
      <w:r w:rsidRPr="004467AD">
        <w:rPr>
          <w:i/>
        </w:rPr>
        <w:t>‘Retractable Axle’</w:t>
      </w:r>
      <w:r w:rsidRPr="00EF77A1">
        <w:t xml:space="preserve"> </w:t>
      </w:r>
      <w:r w:rsidRPr="0091469F">
        <w:t xml:space="preserve">must not be able to be moved from the </w:t>
      </w:r>
      <w:r w:rsidRPr="0091469F">
        <w:rPr>
          <w:i/>
        </w:rPr>
        <w:t xml:space="preserve">‘Fully-down’ </w:t>
      </w:r>
      <w:r w:rsidRPr="0091469F">
        <w:t xml:space="preserve">position while the load on the </w:t>
      </w:r>
      <w:r w:rsidRPr="0091469F">
        <w:rPr>
          <w:i/>
        </w:rPr>
        <w:t>‘Axle Group’</w:t>
      </w:r>
      <w:r w:rsidRPr="0091469F">
        <w:t xml:space="preserve"> is greater than the </w:t>
      </w:r>
      <w:r w:rsidRPr="0091469F">
        <w:rPr>
          <w:i/>
        </w:rPr>
        <w:t>‘Prescribed Transition Mass’</w:t>
      </w:r>
      <w:r w:rsidRPr="0091469F">
        <w:t>.</w:t>
      </w:r>
    </w:p>
    <w:p w:rsidR="00EB5888" w:rsidRPr="0091469F" w:rsidRDefault="00EB5888" w:rsidP="00EB5888">
      <w:pPr>
        <w:pStyle w:val="Subclause"/>
        <w:rPr>
          <w:i/>
        </w:rPr>
      </w:pPr>
      <w:r w:rsidRPr="0091469F">
        <w:t xml:space="preserve">Any system malfunction, attempted tampering or loss of power (e.g. trailer uncoupling) </w:t>
      </w:r>
      <w:r w:rsidR="00E870BC">
        <w:t>shall</w:t>
      </w:r>
      <w:r w:rsidRPr="0091469F">
        <w:t xml:space="preserve"> result in </w:t>
      </w:r>
      <w:r>
        <w:t>any</w:t>
      </w:r>
      <w:r w:rsidRPr="0091469F">
        <w:t xml:space="preserve"> </w:t>
      </w:r>
      <w:r w:rsidRPr="0091469F">
        <w:rPr>
          <w:i/>
        </w:rPr>
        <w:t>‘Retractable Axle’</w:t>
      </w:r>
      <w:r w:rsidRPr="0091469F">
        <w:t xml:space="preserve"> moving to or staying in the </w:t>
      </w:r>
      <w:r w:rsidRPr="0091469F">
        <w:rPr>
          <w:i/>
        </w:rPr>
        <w:t>‘Fully-down’</w:t>
      </w:r>
      <w:r w:rsidRPr="0091469F">
        <w:t xml:space="preserve"> position if the vehicle is loaded</w:t>
      </w:r>
      <w:r w:rsidRPr="0091469F">
        <w:rPr>
          <w:i/>
        </w:rPr>
        <w:t>.</w:t>
      </w:r>
    </w:p>
    <w:p w:rsidR="00FE77D1" w:rsidRDefault="00FE77D1" w:rsidP="002504E8">
      <w:pPr>
        <w:pStyle w:val="Subclause"/>
        <w:keepLines/>
      </w:pPr>
      <w:r w:rsidRPr="0091469F">
        <w:lastRenderedPageBreak/>
        <w:t xml:space="preserve">An audible warning device </w:t>
      </w:r>
      <w:r>
        <w:t xml:space="preserve">in accordance with clause 23.3 below </w:t>
      </w:r>
      <w:r w:rsidRPr="0091469F">
        <w:t xml:space="preserve">must be </w:t>
      </w:r>
      <w:r w:rsidRPr="004300D1">
        <w:t xml:space="preserve">fitted to </w:t>
      </w:r>
      <w:r>
        <w:t>each vehicle equipped with a</w:t>
      </w:r>
      <w:r w:rsidRPr="004300D1">
        <w:t xml:space="preserve"> </w:t>
      </w:r>
      <w:r w:rsidRPr="004300D1">
        <w:rPr>
          <w:i/>
        </w:rPr>
        <w:t>‘Retractable Axle’</w:t>
      </w:r>
      <w:r w:rsidRPr="004300D1">
        <w:t>.</w:t>
      </w:r>
    </w:p>
    <w:p w:rsidR="00E931A1" w:rsidRDefault="00EB5888" w:rsidP="002504E8">
      <w:pPr>
        <w:pStyle w:val="Subclause"/>
        <w:keepLines/>
      </w:pPr>
      <w:r>
        <w:t>The vehicle must be marked on both sides within 2.0 metres of a transverse ve</w:t>
      </w:r>
      <w:r w:rsidR="00B82303">
        <w:t>rtical plane through the centre</w:t>
      </w:r>
      <w:r>
        <w:t xml:space="preserve">line of the </w:t>
      </w:r>
      <w:r w:rsidRPr="0079596C">
        <w:rPr>
          <w:i/>
        </w:rPr>
        <w:t>‘Retractable Axle’</w:t>
      </w:r>
      <w:r>
        <w:t xml:space="preserve"> with “Warning: Axle(s) may raise or lower automatically”. </w:t>
      </w:r>
      <w:r w:rsidR="00C6008A">
        <w:t xml:space="preserve"> </w:t>
      </w:r>
      <w:r>
        <w:t>This marking must be in letter height of 25 mm minimum with red coloured letters on a white background and in such a position as to be clearly visible to a person standing nearby.</w:t>
      </w:r>
    </w:p>
    <w:p w:rsidR="000472F9" w:rsidRDefault="005179D7" w:rsidP="000472F9">
      <w:pPr>
        <w:pStyle w:val="Clauseheading"/>
      </w:pPr>
      <w:bookmarkStart w:id="46" w:name="_Toc517180970"/>
      <w:bookmarkStart w:id="47" w:name="_Toc525916114"/>
      <w:bookmarkStart w:id="48" w:name="_Toc379164158"/>
      <w:bookmarkStart w:id="49" w:name="_Toc177461823"/>
      <w:r>
        <w:t xml:space="preserve">RIM </w:t>
      </w:r>
      <w:r w:rsidR="000472F9">
        <w:t>s</w:t>
      </w:r>
      <w:r w:rsidR="004D52DA">
        <w:t>election</w:t>
      </w:r>
      <w:bookmarkEnd w:id="46"/>
      <w:bookmarkEnd w:id="47"/>
    </w:p>
    <w:p w:rsidR="00BB0674" w:rsidRDefault="00BB0674" w:rsidP="00BB0674">
      <w:pPr>
        <w:pStyle w:val="Subclausebold"/>
      </w:pPr>
      <w:r>
        <w:t>L-Group vehicles</w:t>
      </w:r>
    </w:p>
    <w:p w:rsidR="003826F3" w:rsidRDefault="00882CCD" w:rsidP="00BB0674">
      <w:pPr>
        <w:pStyle w:val="Subsubclause"/>
      </w:pPr>
      <w:r w:rsidRPr="00882CCD">
        <w:t xml:space="preserve">The sum of the load carrying capacities recommended for all </w:t>
      </w:r>
      <w:r w:rsidRPr="003826F3">
        <w:rPr>
          <w:i/>
        </w:rPr>
        <w:t>‘Rims’</w:t>
      </w:r>
      <w:r w:rsidRPr="00882CCD">
        <w:t xml:space="preserve"> with which the vehicle is equipped must not </w:t>
      </w:r>
      <w:r w:rsidR="0044567A">
        <w:t xml:space="preserve">be </w:t>
      </w:r>
      <w:r w:rsidRPr="00882CCD">
        <w:t xml:space="preserve">less than the </w:t>
      </w:r>
      <w:r w:rsidRPr="00882CCD">
        <w:rPr>
          <w:i/>
        </w:rPr>
        <w:t>‘GVM’</w:t>
      </w:r>
      <w:r w:rsidRPr="00882CCD">
        <w:t>.</w:t>
      </w:r>
    </w:p>
    <w:p w:rsidR="00D35F3B" w:rsidRDefault="00EB0F99" w:rsidP="00D35F3B">
      <w:pPr>
        <w:pStyle w:val="Subclausebold"/>
      </w:pPr>
      <w:bookmarkStart w:id="50" w:name="_Toc517180971"/>
      <w:r>
        <w:t>Other than L</w:t>
      </w:r>
      <w:r w:rsidR="00D35F3B">
        <w:t>-Group vehicles</w:t>
      </w:r>
    </w:p>
    <w:p w:rsidR="00B75F7A" w:rsidRDefault="00B75F7A" w:rsidP="00D35F3B">
      <w:pPr>
        <w:pStyle w:val="Subsubclause"/>
      </w:pPr>
      <w:r w:rsidRPr="001B5A99">
        <w:t xml:space="preserve">All </w:t>
      </w:r>
      <w:r w:rsidR="00690F47" w:rsidRPr="001B5A99">
        <w:rPr>
          <w:i/>
        </w:rPr>
        <w:t>‘Rims’</w:t>
      </w:r>
      <w:r w:rsidR="005179D7" w:rsidRPr="001B5A99">
        <w:t xml:space="preserve"> </w:t>
      </w:r>
      <w:r w:rsidR="00EB0F99">
        <w:t xml:space="preserve">normally </w:t>
      </w:r>
      <w:r w:rsidR="00690F47" w:rsidRPr="001B5A99">
        <w:t xml:space="preserve">fitted to </w:t>
      </w:r>
      <w:r w:rsidR="00EB0F99">
        <w:t>the</w:t>
      </w:r>
      <w:r w:rsidR="00690F47" w:rsidRPr="001B5A99">
        <w:t xml:space="preserve"> vehicle </w:t>
      </w:r>
      <w:r w:rsidRPr="001B5A99">
        <w:t xml:space="preserve">must be suitable for </w:t>
      </w:r>
      <w:r w:rsidR="002554E9" w:rsidRPr="001B5A99">
        <w:t>the</w:t>
      </w:r>
      <w:r w:rsidR="00690F47" w:rsidRPr="001B5A99">
        <w:t xml:space="preserve"> vehicle</w:t>
      </w:r>
      <w:r w:rsidR="002554E9" w:rsidRPr="001B5A99">
        <w:t xml:space="preserve"> </w:t>
      </w:r>
      <w:r w:rsidR="000E53A5" w:rsidRPr="001B5A99">
        <w:t>model/</w:t>
      </w:r>
      <w:r w:rsidR="002554E9" w:rsidRPr="001B5A99">
        <w:t>type</w:t>
      </w:r>
      <w:r w:rsidRPr="001B5A99">
        <w:t xml:space="preserve">, particularly </w:t>
      </w:r>
      <w:r w:rsidR="00F84C35" w:rsidRPr="001B5A99">
        <w:t>with respect to</w:t>
      </w:r>
      <w:r w:rsidR="00AA51DF" w:rsidRPr="001B5A99">
        <w:t xml:space="preserve"> </w:t>
      </w:r>
      <w:r w:rsidRPr="001B5A99">
        <w:t>their dimensions, speed and load performance characteristics</w:t>
      </w:r>
      <w:r>
        <w:t>.</w:t>
      </w:r>
    </w:p>
    <w:p w:rsidR="00E02924" w:rsidRDefault="00B6356B" w:rsidP="00EB0F99">
      <w:pPr>
        <w:pStyle w:val="Subsubclause"/>
      </w:pPr>
      <w:r>
        <w:t xml:space="preserve">For category MA vehicles (passenger cars), the rims fitted must </w:t>
      </w:r>
      <w:r w:rsidRPr="003826F3">
        <w:t xml:space="preserve">comply with those listed for the </w:t>
      </w:r>
      <w:r>
        <w:t xml:space="preserve">tyre </w:t>
      </w:r>
      <w:r w:rsidRPr="003826F3">
        <w:t>size designation</w:t>
      </w:r>
      <w:r>
        <w:t xml:space="preserve"> in:</w:t>
      </w:r>
    </w:p>
    <w:p w:rsidR="002972EA" w:rsidRDefault="002972EA" w:rsidP="00BA5875">
      <w:pPr>
        <w:pStyle w:val="Alphalist"/>
        <w:numPr>
          <w:ilvl w:val="4"/>
          <w:numId w:val="44"/>
        </w:numPr>
        <w:spacing w:before="60" w:after="60"/>
        <w:ind w:left="1872" w:hanging="454"/>
      </w:pPr>
      <w:r w:rsidRPr="001B5A99">
        <w:t>ISO 4000-1:201</w:t>
      </w:r>
      <w:r w:rsidR="00BA5875" w:rsidRPr="001B5A99">
        <w:t>5</w:t>
      </w:r>
      <w:r w:rsidRPr="001B5A99">
        <w:t xml:space="preserve"> (</w:t>
      </w:r>
      <w:r w:rsidR="00BA5875" w:rsidRPr="001B5A99">
        <w:t>Passenger car tyres</w:t>
      </w:r>
      <w:r w:rsidR="001B5A99">
        <w:t xml:space="preserve"> and rims Part 1: Tyres (metric </w:t>
      </w:r>
      <w:r w:rsidR="00BA5875" w:rsidRPr="001B5A99">
        <w:t>series)</w:t>
      </w:r>
      <w:r w:rsidRPr="001B5A99">
        <w:t>);</w:t>
      </w:r>
      <w:r>
        <w:t xml:space="preserve"> or</w:t>
      </w:r>
    </w:p>
    <w:p w:rsidR="002972EA" w:rsidRDefault="002972EA" w:rsidP="004427A5">
      <w:pPr>
        <w:pStyle w:val="Alphalist"/>
        <w:numPr>
          <w:ilvl w:val="4"/>
          <w:numId w:val="44"/>
        </w:numPr>
        <w:spacing w:before="60" w:after="60"/>
        <w:ind w:left="1872" w:hanging="454"/>
      </w:pPr>
      <w:r>
        <w:t xml:space="preserve">the Tyre and Rim Association of Australia Standards Manual – </w:t>
      </w:r>
      <w:r w:rsidRPr="001B5A99">
        <w:t>2018 edition</w:t>
      </w:r>
      <w:r>
        <w:t>; or</w:t>
      </w:r>
    </w:p>
    <w:p w:rsidR="002972EA" w:rsidRDefault="002972EA" w:rsidP="004427A5">
      <w:pPr>
        <w:pStyle w:val="Alphalist"/>
        <w:numPr>
          <w:ilvl w:val="4"/>
          <w:numId w:val="44"/>
        </w:numPr>
        <w:spacing w:before="60" w:after="60"/>
        <w:ind w:left="1872" w:hanging="454"/>
      </w:pPr>
      <w:r>
        <w:t xml:space="preserve">the </w:t>
      </w:r>
      <w:r w:rsidRPr="00966D2F">
        <w:t>European Tyre a</w:t>
      </w:r>
      <w:r>
        <w:t xml:space="preserve">nd Rim Technical Organisation </w:t>
      </w:r>
      <w:r w:rsidRPr="00966D2F">
        <w:t xml:space="preserve">Standards Manual – </w:t>
      </w:r>
      <w:r w:rsidRPr="001B5A99">
        <w:t>2018 edition</w:t>
      </w:r>
      <w:r>
        <w:t>; or</w:t>
      </w:r>
    </w:p>
    <w:p w:rsidR="003131BF" w:rsidRDefault="002972EA" w:rsidP="004427A5">
      <w:pPr>
        <w:pStyle w:val="Alphalist"/>
        <w:numPr>
          <w:ilvl w:val="4"/>
          <w:numId w:val="44"/>
        </w:numPr>
        <w:spacing w:before="60" w:after="60"/>
        <w:ind w:left="1872" w:hanging="454"/>
      </w:pPr>
      <w:r>
        <w:t xml:space="preserve">the </w:t>
      </w:r>
      <w:r w:rsidRPr="00702CC9">
        <w:t>Japan Automobile Tyre Manufacturers Association, Inc.</w:t>
      </w:r>
      <w:r>
        <w:t xml:space="preserve"> Year Book – </w:t>
      </w:r>
      <w:r w:rsidRPr="001B5A99">
        <w:t>2018 edition</w:t>
      </w:r>
      <w:r w:rsidR="003131BF">
        <w:t>; or</w:t>
      </w:r>
    </w:p>
    <w:p w:rsidR="002972EA" w:rsidRDefault="003131BF" w:rsidP="004427A5">
      <w:pPr>
        <w:pStyle w:val="Alphalist"/>
        <w:numPr>
          <w:ilvl w:val="4"/>
          <w:numId w:val="44"/>
        </w:numPr>
        <w:spacing w:before="60" w:after="60"/>
        <w:ind w:left="1872" w:hanging="454"/>
      </w:pPr>
      <w:r>
        <w:t xml:space="preserve">the US Tyre and Rim Association, Inc. Year Book – </w:t>
      </w:r>
      <w:r w:rsidRPr="001B5A99">
        <w:t>2018 edition</w:t>
      </w:r>
      <w:r w:rsidR="002972EA">
        <w:t>.</w:t>
      </w:r>
    </w:p>
    <w:p w:rsidR="000472F9" w:rsidRDefault="000472F9" w:rsidP="00FB0D48">
      <w:pPr>
        <w:pStyle w:val="Clauseheading"/>
      </w:pPr>
      <w:bookmarkStart w:id="51" w:name="_Toc525916115"/>
      <w:r>
        <w:t>Tyre Placard</w:t>
      </w:r>
      <w:bookmarkEnd w:id="50"/>
      <w:bookmarkEnd w:id="51"/>
    </w:p>
    <w:p w:rsidR="001A6A7F" w:rsidRDefault="001A6A7F" w:rsidP="00FB0D48">
      <w:pPr>
        <w:pStyle w:val="Subclause"/>
      </w:pPr>
      <w:r>
        <w:t xml:space="preserve">Category </w:t>
      </w:r>
      <w:r w:rsidRPr="001A6A7F">
        <w:t>MA, MB, MC, MD, NA, NB1, TA and TB vehicles, must be fitted with a tyre placard which, includes at l</w:t>
      </w:r>
      <w:r>
        <w:t xml:space="preserve">east the </w:t>
      </w:r>
      <w:r w:rsidRPr="001A6A7F">
        <w:t>manufa</w:t>
      </w:r>
      <w:r>
        <w:t>cturer’s recommended:</w:t>
      </w:r>
    </w:p>
    <w:p w:rsidR="001A6A7F" w:rsidRPr="00C77E16" w:rsidRDefault="001A6A7F" w:rsidP="00DB0DEE">
      <w:pPr>
        <w:pStyle w:val="AlphaList0"/>
        <w:numPr>
          <w:ilvl w:val="4"/>
          <w:numId w:val="31"/>
        </w:numPr>
        <w:spacing w:before="60" w:after="60"/>
        <w:ind w:left="1872" w:hanging="454"/>
      </w:pPr>
      <w:r w:rsidRPr="00C77E16">
        <w:t>tyre size;</w:t>
      </w:r>
    </w:p>
    <w:p w:rsidR="001A6A7F" w:rsidRDefault="001A6A7F" w:rsidP="00DB0DEE">
      <w:pPr>
        <w:pStyle w:val="Alphalist"/>
        <w:numPr>
          <w:ilvl w:val="4"/>
          <w:numId w:val="31"/>
        </w:numPr>
        <w:spacing w:before="60" w:after="60"/>
        <w:ind w:left="1872" w:hanging="454"/>
      </w:pPr>
      <w:r w:rsidRPr="001A6A7F">
        <w:t>tyre loa</w:t>
      </w:r>
      <w:r>
        <w:t>d rating;</w:t>
      </w:r>
    </w:p>
    <w:p w:rsidR="001A6A7F" w:rsidRDefault="001A6A7F" w:rsidP="00DB0DEE">
      <w:pPr>
        <w:pStyle w:val="Alphalist"/>
        <w:numPr>
          <w:ilvl w:val="4"/>
          <w:numId w:val="31"/>
        </w:numPr>
        <w:spacing w:before="60" w:after="60"/>
        <w:ind w:left="1872" w:hanging="454"/>
      </w:pPr>
      <w:r w:rsidRPr="001A6A7F">
        <w:t>speed rating</w:t>
      </w:r>
      <w:r>
        <w:t>; and</w:t>
      </w:r>
    </w:p>
    <w:p w:rsidR="000472F9" w:rsidRPr="001A614C" w:rsidRDefault="001A6A7F" w:rsidP="00DB0DEE">
      <w:pPr>
        <w:pStyle w:val="Alphalist"/>
        <w:numPr>
          <w:ilvl w:val="4"/>
          <w:numId w:val="31"/>
        </w:numPr>
        <w:spacing w:before="60" w:after="60"/>
        <w:ind w:left="1872" w:hanging="454"/>
      </w:pPr>
      <w:r w:rsidRPr="001A6A7F">
        <w:t>cold inflation pressure.</w:t>
      </w:r>
    </w:p>
    <w:p w:rsidR="00B8217A" w:rsidRPr="00B8217A" w:rsidRDefault="00B8217A" w:rsidP="00B8217A">
      <w:pPr>
        <w:pStyle w:val="Clauseheading"/>
      </w:pPr>
      <w:bookmarkStart w:id="52" w:name="_Toc517180972"/>
      <w:bookmarkStart w:id="53" w:name="_Toc525916116"/>
      <w:r w:rsidRPr="00B8217A">
        <w:lastRenderedPageBreak/>
        <w:t>ELECTRICAL WIRING, CONNECTIONS &amp; INSTALLATIONS</w:t>
      </w:r>
      <w:bookmarkEnd w:id="48"/>
      <w:bookmarkEnd w:id="49"/>
      <w:bookmarkEnd w:id="52"/>
      <w:bookmarkEnd w:id="53"/>
    </w:p>
    <w:p w:rsidR="00B8217A" w:rsidRPr="0091469F" w:rsidRDefault="00B8217A" w:rsidP="004C3954">
      <w:pPr>
        <w:pStyle w:val="Subclause"/>
        <w:keepNext/>
      </w:pPr>
      <w:r w:rsidRPr="0091469F">
        <w:t>The wiring of electrical equipment other than the high tension ignition wiring must:</w:t>
      </w:r>
    </w:p>
    <w:p w:rsidR="00B8217A" w:rsidRPr="00026EE9" w:rsidRDefault="00B8217A" w:rsidP="004C3954">
      <w:pPr>
        <w:pStyle w:val="AlphaList0"/>
        <w:keepNext/>
        <w:numPr>
          <w:ilvl w:val="4"/>
          <w:numId w:val="16"/>
        </w:numPr>
        <w:spacing w:before="60" w:after="60"/>
        <w:ind w:left="1872" w:hanging="454"/>
      </w:pPr>
      <w:r w:rsidRPr="00026EE9">
        <w:t>be insulated at joints;</w:t>
      </w:r>
    </w:p>
    <w:p w:rsidR="00B8217A" w:rsidRPr="00026EE9" w:rsidRDefault="00B8217A" w:rsidP="00AD5058">
      <w:pPr>
        <w:pStyle w:val="AlphaList0"/>
        <w:keepNext/>
        <w:numPr>
          <w:ilvl w:val="4"/>
          <w:numId w:val="16"/>
        </w:numPr>
        <w:spacing w:before="60" w:after="60"/>
        <w:ind w:left="1872" w:hanging="454"/>
      </w:pPr>
      <w:r w:rsidRPr="00026EE9">
        <w:t>be located in such a position that it cannot become overheated, cannot contact moving parts, nor constitute a fire hazard owing to it</w:t>
      </w:r>
      <w:r w:rsidR="00852F16" w:rsidRPr="00026EE9">
        <w:t>s proximity to the fuel system;</w:t>
      </w:r>
    </w:p>
    <w:p w:rsidR="00602B93" w:rsidRPr="00026EE9" w:rsidRDefault="00852F16" w:rsidP="00AD5058">
      <w:pPr>
        <w:pStyle w:val="AlphaList0"/>
        <w:keepNext/>
        <w:numPr>
          <w:ilvl w:val="4"/>
          <w:numId w:val="16"/>
        </w:numPr>
        <w:spacing w:before="60" w:after="60"/>
        <w:ind w:left="1872" w:hanging="454"/>
      </w:pPr>
      <w:r w:rsidRPr="00026EE9">
        <w:t>be protected from chafing</w:t>
      </w:r>
      <w:r w:rsidR="00602B93" w:rsidRPr="00026EE9">
        <w:t>; and</w:t>
      </w:r>
    </w:p>
    <w:p w:rsidR="00852F16" w:rsidRPr="00026EE9" w:rsidRDefault="00602B93" w:rsidP="00DB0DEE">
      <w:pPr>
        <w:pStyle w:val="AlphaList0"/>
        <w:numPr>
          <w:ilvl w:val="4"/>
          <w:numId w:val="16"/>
        </w:numPr>
        <w:spacing w:before="60" w:after="60"/>
        <w:ind w:left="1872" w:hanging="454"/>
      </w:pPr>
      <w:r w:rsidRPr="00026EE9">
        <w:t>except in the case of any ‘Pole-type Trailer’ which is so constructed that the length of the pole forward of the trailer frame can be adjusted; be supported at intervals of not more than 600 mm</w:t>
      </w:r>
      <w:r w:rsidR="00170379" w:rsidRPr="00026EE9">
        <w:t>.</w:t>
      </w:r>
    </w:p>
    <w:p w:rsidR="00B8217A" w:rsidRPr="0091469F" w:rsidRDefault="00B8217A" w:rsidP="00B8217A">
      <w:pPr>
        <w:pStyle w:val="Subsubclause"/>
      </w:pPr>
      <w:r w:rsidRPr="0091469F">
        <w:t>The edge of all holes in metal through which the wiring passes</w:t>
      </w:r>
      <w:r w:rsidR="00AD5157">
        <w:t>,</w:t>
      </w:r>
      <w:r w:rsidRPr="0091469F">
        <w:t xml:space="preserve"> must be rolled or bushed with a grommet of rubber or other equivalent insulating material.</w:t>
      </w:r>
    </w:p>
    <w:p w:rsidR="00D35B3D" w:rsidRDefault="00E33D97" w:rsidP="00BA331A">
      <w:pPr>
        <w:pStyle w:val="Subclause"/>
      </w:pPr>
      <w:r>
        <w:t xml:space="preserve">In the case of </w:t>
      </w:r>
      <w:r w:rsidR="001B416E">
        <w:t>an M-Group or N-Group</w:t>
      </w:r>
      <w:r w:rsidR="007235B4">
        <w:t xml:space="preserve"> </w:t>
      </w:r>
      <w:r w:rsidR="00533282">
        <w:t xml:space="preserve">vehicle </w:t>
      </w:r>
      <w:r w:rsidR="00EF0A35" w:rsidRPr="001B5A99">
        <w:t xml:space="preserve">fitted </w:t>
      </w:r>
      <w:r w:rsidR="007F0868" w:rsidRPr="001B5A99">
        <w:t xml:space="preserve">with a </w:t>
      </w:r>
      <w:r w:rsidR="007F0868" w:rsidRPr="001B5A99">
        <w:rPr>
          <w:i/>
        </w:rPr>
        <w:t>‘Coupling’</w:t>
      </w:r>
      <w:r w:rsidR="007F0868" w:rsidRPr="001B5A99">
        <w:t xml:space="preserve"> designed to tow</w:t>
      </w:r>
      <w:r w:rsidR="00744735" w:rsidRPr="001B5A99">
        <w:t xml:space="preserve"> a trailer</w:t>
      </w:r>
      <w:r w:rsidR="007F0868" w:rsidRPr="001B5A99">
        <w:t xml:space="preserve"> with an </w:t>
      </w:r>
      <w:r w:rsidR="007F0868" w:rsidRPr="001B5A99">
        <w:rPr>
          <w:i/>
        </w:rPr>
        <w:t xml:space="preserve">‘ATM’ </w:t>
      </w:r>
      <w:r w:rsidR="008B1D12" w:rsidRPr="001B5A99">
        <w:t xml:space="preserve">not exceeding 3.5 </w:t>
      </w:r>
      <w:r w:rsidR="007F0868" w:rsidRPr="001B5A99">
        <w:t>tonnes</w:t>
      </w:r>
      <w:r w:rsidR="00B8217A" w:rsidRPr="001B5A99">
        <w:t>, the electrical connector</w:t>
      </w:r>
      <w:r w:rsidR="009647E8" w:rsidRPr="001B5A99">
        <w:t>(</w:t>
      </w:r>
      <w:r w:rsidR="00B8217A" w:rsidRPr="001B5A99">
        <w:t>s</w:t>
      </w:r>
      <w:r w:rsidR="009647E8" w:rsidRPr="001B5A99">
        <w:t>)</w:t>
      </w:r>
      <w:r w:rsidR="00B8217A" w:rsidRPr="001B5A99">
        <w:t xml:space="preserve"> </w:t>
      </w:r>
      <w:r w:rsidR="006D5F39" w:rsidRPr="001B5A99">
        <w:t xml:space="preserve">for </w:t>
      </w:r>
      <w:r w:rsidR="00B8217A" w:rsidRPr="001B5A99">
        <w:t xml:space="preserve">the purpose of operating prescribed </w:t>
      </w:r>
      <w:r w:rsidR="00C30707" w:rsidRPr="001B5A99">
        <w:t xml:space="preserve">trailer </w:t>
      </w:r>
      <w:r w:rsidR="00B8217A" w:rsidRPr="001B5A99">
        <w:t xml:space="preserve">lighting and </w:t>
      </w:r>
      <w:r w:rsidRPr="001B5A99">
        <w:t xml:space="preserve">light </w:t>
      </w:r>
      <w:r w:rsidR="00B8217A" w:rsidRPr="001B5A99">
        <w:t xml:space="preserve">signalling </w:t>
      </w:r>
      <w:r w:rsidRPr="001B5A99">
        <w:t>devices</w:t>
      </w:r>
      <w:r w:rsidR="008D6300" w:rsidRPr="001B5A99">
        <w:t>,</w:t>
      </w:r>
      <w:r w:rsidRPr="001B5A99">
        <w:t xml:space="preserve"> </w:t>
      </w:r>
      <w:r w:rsidR="00B8217A" w:rsidRPr="001B5A99">
        <w:t xml:space="preserve">must comply with </w:t>
      </w:r>
      <w:r w:rsidR="00CB6551" w:rsidRPr="001B5A99">
        <w:t>AS 4177.5</w:t>
      </w:r>
      <w:r w:rsidR="00B8217A" w:rsidRPr="001B5A99">
        <w:t xml:space="preserve"> – </w:t>
      </w:r>
      <w:r w:rsidR="00CB6551" w:rsidRPr="001B5A99">
        <w:t>2004</w:t>
      </w:r>
      <w:r w:rsidR="007F0868" w:rsidRPr="001B5A99">
        <w:t xml:space="preserve"> (</w:t>
      </w:r>
      <w:r w:rsidR="002F786C" w:rsidRPr="001B5A99">
        <w:t>Caravan and light trailer towing components</w:t>
      </w:r>
      <w:r w:rsidRPr="001B5A99">
        <w:t>,</w:t>
      </w:r>
      <w:r w:rsidR="002F786C" w:rsidRPr="001B5A99">
        <w:t xml:space="preserve"> Part 5: Electrical connectors</w:t>
      </w:r>
      <w:r w:rsidR="007F0868" w:rsidRPr="001B5A99">
        <w:t>)</w:t>
      </w:r>
      <w:r w:rsidR="00D35B3D" w:rsidRPr="001B5A99">
        <w:t>.</w:t>
      </w:r>
    </w:p>
    <w:p w:rsidR="005476DC" w:rsidRPr="001B5A99" w:rsidRDefault="00CB6551" w:rsidP="00BA331A">
      <w:pPr>
        <w:pStyle w:val="Subclause"/>
      </w:pPr>
      <w:r w:rsidRPr="001B5A99">
        <w:t xml:space="preserve">In the case of </w:t>
      </w:r>
      <w:r w:rsidR="001B416E" w:rsidRPr="001B5A99">
        <w:t>an M-Group or N-Group</w:t>
      </w:r>
      <w:r w:rsidRPr="001B5A99">
        <w:t xml:space="preserve"> vehicle</w:t>
      </w:r>
      <w:r w:rsidR="00B8217A" w:rsidRPr="001B5A99">
        <w:t xml:space="preserve"> </w:t>
      </w:r>
      <w:r w:rsidR="00D15655" w:rsidRPr="001B5A99">
        <w:t>fitted</w:t>
      </w:r>
      <w:r w:rsidR="005476DC" w:rsidRPr="001B5A99">
        <w:t xml:space="preserve"> </w:t>
      </w:r>
      <w:r w:rsidR="00D15655" w:rsidRPr="001B5A99">
        <w:t xml:space="preserve">with a </w:t>
      </w:r>
      <w:r w:rsidR="00D15655" w:rsidRPr="001B5A99">
        <w:rPr>
          <w:i/>
        </w:rPr>
        <w:t>‘Coupling’</w:t>
      </w:r>
      <w:r w:rsidR="00D15655" w:rsidRPr="001B5A99">
        <w:t xml:space="preserve"> designed to</w:t>
      </w:r>
      <w:r w:rsidR="005476DC" w:rsidRPr="001B5A99">
        <w:t xml:space="preserve"> tow a trailer</w:t>
      </w:r>
      <w:r w:rsidR="007F0868" w:rsidRPr="001B5A99">
        <w:t xml:space="preserve"> with an </w:t>
      </w:r>
      <w:r w:rsidR="007F0868" w:rsidRPr="001B5A99">
        <w:rPr>
          <w:i/>
        </w:rPr>
        <w:t>‘ATM’</w:t>
      </w:r>
      <w:r w:rsidR="007F0868" w:rsidRPr="001B5A99">
        <w:t xml:space="preserve"> </w:t>
      </w:r>
      <w:r w:rsidR="0024313E" w:rsidRPr="001B5A99">
        <w:t>exceeding</w:t>
      </w:r>
      <w:r w:rsidR="008B1D12" w:rsidRPr="001B5A99">
        <w:t xml:space="preserve"> 3.5 </w:t>
      </w:r>
      <w:r w:rsidR="00D15655" w:rsidRPr="001B5A99">
        <w:t>tonnes</w:t>
      </w:r>
      <w:r w:rsidR="007F0868" w:rsidRPr="001B5A99">
        <w:t>,</w:t>
      </w:r>
      <w:r w:rsidR="005476DC" w:rsidRPr="001B5A99">
        <w:t xml:space="preserve"> the electrical connector(s) for the purpose of operating prescribed </w:t>
      </w:r>
      <w:r w:rsidR="008B1D12" w:rsidRPr="001B5A99">
        <w:t xml:space="preserve">trailer </w:t>
      </w:r>
      <w:r w:rsidR="005476DC" w:rsidRPr="001B5A99">
        <w:t xml:space="preserve">lighting and light signalling </w:t>
      </w:r>
      <w:r w:rsidR="008B1D12" w:rsidRPr="001B5A99">
        <w:t xml:space="preserve">devices, </w:t>
      </w:r>
      <w:r w:rsidR="005476DC" w:rsidRPr="001B5A99">
        <w:t>must comply with:</w:t>
      </w:r>
    </w:p>
    <w:p w:rsidR="005476DC" w:rsidRPr="001B5A99" w:rsidRDefault="00B8217A" w:rsidP="00DB0DEE">
      <w:pPr>
        <w:pStyle w:val="AlphaList0"/>
        <w:numPr>
          <w:ilvl w:val="4"/>
          <w:numId w:val="26"/>
        </w:numPr>
        <w:spacing w:before="60" w:after="60"/>
        <w:ind w:left="1872" w:hanging="454"/>
      </w:pPr>
      <w:r w:rsidRPr="001B5A99">
        <w:t>ISO 1185</w:t>
      </w:r>
      <w:r w:rsidR="005476DC" w:rsidRPr="001B5A99">
        <w:t>:2003</w:t>
      </w:r>
      <w:r w:rsidR="0000542B" w:rsidRPr="001B5A99">
        <w:t xml:space="preserve"> (Road vehicles -- Connectors for the electrical connection of towing and towed ve</w:t>
      </w:r>
      <w:r w:rsidR="00C139F8" w:rsidRPr="001B5A99">
        <w:t>hicles -- 7-pole connector type 24 </w:t>
      </w:r>
      <w:r w:rsidR="0000542B" w:rsidRPr="001B5A99">
        <w:t>N (normal) for vehicles with 24 V nominal supply voltage)</w:t>
      </w:r>
      <w:r w:rsidR="005476DC" w:rsidRPr="001B5A99">
        <w:t xml:space="preserve">; </w:t>
      </w:r>
      <w:r w:rsidRPr="001B5A99">
        <w:t>or</w:t>
      </w:r>
    </w:p>
    <w:p w:rsidR="005476DC" w:rsidRPr="001B5A99" w:rsidRDefault="00F337E9" w:rsidP="00DB0DEE">
      <w:pPr>
        <w:pStyle w:val="AlphaList0"/>
        <w:numPr>
          <w:ilvl w:val="4"/>
          <w:numId w:val="26"/>
        </w:numPr>
        <w:tabs>
          <w:tab w:val="clear" w:pos="2523"/>
        </w:tabs>
        <w:spacing w:before="60" w:after="60"/>
        <w:ind w:left="1872" w:hanging="454"/>
      </w:pPr>
      <w:r w:rsidRPr="001B5A99">
        <w:t>SAE J</w:t>
      </w:r>
      <w:r w:rsidR="005476DC" w:rsidRPr="001B5A99">
        <w:t>560</w:t>
      </w:r>
      <w:r w:rsidR="0000542B" w:rsidRPr="001B5A99">
        <w:t xml:space="preserve"> – 2016-04-01 version (Primary and Auxiliary Seven Conductor Electrical Connector for Truck-Trailer Jumper Cable)</w:t>
      </w:r>
      <w:r w:rsidR="005476DC" w:rsidRPr="001B5A99">
        <w:t>; or</w:t>
      </w:r>
    </w:p>
    <w:p w:rsidR="003B1A3F" w:rsidRPr="001B5A99" w:rsidRDefault="00546B6C" w:rsidP="00DB0DEE">
      <w:pPr>
        <w:pStyle w:val="AlphaList0"/>
        <w:numPr>
          <w:ilvl w:val="4"/>
          <w:numId w:val="26"/>
        </w:numPr>
        <w:spacing w:before="60" w:after="60"/>
        <w:ind w:left="1872" w:hanging="454"/>
      </w:pPr>
      <w:r w:rsidRPr="001B5A99">
        <w:t xml:space="preserve">AS 4735 </w:t>
      </w:r>
      <w:r w:rsidR="003B1A3F" w:rsidRPr="001B5A99">
        <w:t>– 2003</w:t>
      </w:r>
      <w:r w:rsidR="0024313E" w:rsidRPr="001B5A99">
        <w:t xml:space="preserve"> (Heavy road vehicles - Electrical connectors for articulated vehicles)</w:t>
      </w:r>
      <w:r w:rsidR="003B1A3F" w:rsidRPr="001B5A99">
        <w:t>; or</w:t>
      </w:r>
    </w:p>
    <w:p w:rsidR="00B8217A" w:rsidRPr="001B5A99" w:rsidRDefault="003B1A3F" w:rsidP="00DB0DEE">
      <w:pPr>
        <w:pStyle w:val="AlphaList0"/>
        <w:numPr>
          <w:ilvl w:val="4"/>
          <w:numId w:val="26"/>
        </w:numPr>
        <w:spacing w:before="60" w:after="60"/>
        <w:ind w:left="1872" w:hanging="454"/>
      </w:pPr>
      <w:r w:rsidRPr="001B5A99">
        <w:t>AS 4177.5 – 2004</w:t>
      </w:r>
      <w:r w:rsidR="00D15655" w:rsidRPr="001B5A99">
        <w:t xml:space="preserve"> (Caravan and light trailer towing components, Part 5: Electrical connectors)</w:t>
      </w:r>
      <w:r w:rsidR="00B8217A" w:rsidRPr="001B5A99">
        <w:t>.</w:t>
      </w:r>
    </w:p>
    <w:p w:rsidR="004128B5" w:rsidRDefault="004128B5" w:rsidP="004128B5">
      <w:pPr>
        <w:pStyle w:val="Subclause"/>
      </w:pPr>
      <w:r w:rsidRPr="00CB6551">
        <w:t xml:space="preserve">In the case of </w:t>
      </w:r>
      <w:r w:rsidR="007235B4">
        <w:t xml:space="preserve">a </w:t>
      </w:r>
      <w:r>
        <w:t xml:space="preserve">trailer </w:t>
      </w:r>
      <w:r w:rsidR="008B1D12">
        <w:t xml:space="preserve">with an </w:t>
      </w:r>
      <w:r>
        <w:rPr>
          <w:i/>
        </w:rPr>
        <w:t>‘AT</w:t>
      </w:r>
      <w:r w:rsidRPr="0091469F">
        <w:rPr>
          <w:i/>
        </w:rPr>
        <w:t>M’</w:t>
      </w:r>
      <w:r w:rsidR="008B1D12">
        <w:t xml:space="preserve"> not exceeding</w:t>
      </w:r>
      <w:r w:rsidR="008B1D12" w:rsidRPr="0091469F">
        <w:t xml:space="preserve"> 3.5 tonnes</w:t>
      </w:r>
      <w:r w:rsidRPr="006D5F39">
        <w:t xml:space="preserve">, </w:t>
      </w:r>
      <w:r w:rsidRPr="0091469F">
        <w:t>the electrical connector</w:t>
      </w:r>
      <w:r>
        <w:t>(</w:t>
      </w:r>
      <w:r w:rsidRPr="0091469F">
        <w:t>s</w:t>
      </w:r>
      <w:r>
        <w:t>)</w:t>
      </w:r>
      <w:r w:rsidRPr="0091469F">
        <w:t xml:space="preserve"> </w:t>
      </w:r>
      <w:r>
        <w:t xml:space="preserve">for </w:t>
      </w:r>
      <w:r w:rsidRPr="0091469F">
        <w:t xml:space="preserve">the purpose of operating </w:t>
      </w:r>
      <w:r w:rsidR="00AE7391">
        <w:t xml:space="preserve">the </w:t>
      </w:r>
      <w:r w:rsidRPr="0091469F">
        <w:t xml:space="preserve">prescribed </w:t>
      </w:r>
      <w:r w:rsidR="008B1D12">
        <w:t xml:space="preserve">trailer </w:t>
      </w:r>
      <w:r w:rsidRPr="0091469F">
        <w:t xml:space="preserve">lighting and </w:t>
      </w:r>
      <w:r>
        <w:t xml:space="preserve">light </w:t>
      </w:r>
      <w:r w:rsidRPr="0091469F">
        <w:t xml:space="preserve">signalling </w:t>
      </w:r>
      <w:r>
        <w:t>devices</w:t>
      </w:r>
      <w:r w:rsidR="008B1D12">
        <w:t>,</w:t>
      </w:r>
      <w:r>
        <w:t xml:space="preserve"> </w:t>
      </w:r>
      <w:r w:rsidRPr="0091469F">
        <w:t>must comply with</w:t>
      </w:r>
      <w:r>
        <w:t xml:space="preserve"> </w:t>
      </w:r>
      <w:r w:rsidR="008B1D12" w:rsidRPr="001B5A99">
        <w:t>AS</w:t>
      </w:r>
      <w:r w:rsidRPr="001B5A99">
        <w:t xml:space="preserve"> 4177.5 – 2004</w:t>
      </w:r>
      <w:r w:rsidR="008B1D12" w:rsidRPr="001B5A99">
        <w:t xml:space="preserve"> (</w:t>
      </w:r>
      <w:r w:rsidRPr="001B5A99">
        <w:t xml:space="preserve">Caravan and light trailer towing components, Part </w:t>
      </w:r>
      <w:r w:rsidR="008B1D12" w:rsidRPr="001B5A99">
        <w:t>5: Electrical connectors)</w:t>
      </w:r>
      <w:r>
        <w:t>.</w:t>
      </w:r>
    </w:p>
    <w:p w:rsidR="00EC55DB" w:rsidRDefault="00EC55DB" w:rsidP="004C3954">
      <w:pPr>
        <w:pStyle w:val="Subclause"/>
        <w:keepNext/>
      </w:pPr>
      <w:r w:rsidRPr="00CB6551">
        <w:lastRenderedPageBreak/>
        <w:t xml:space="preserve">In the case of </w:t>
      </w:r>
      <w:r w:rsidR="007235B4">
        <w:t xml:space="preserve">a </w:t>
      </w:r>
      <w:r>
        <w:t xml:space="preserve">trailer </w:t>
      </w:r>
      <w:r w:rsidR="00AE7391">
        <w:t>with an</w:t>
      </w:r>
      <w:r w:rsidRPr="0091469F">
        <w:t xml:space="preserve"> </w:t>
      </w:r>
      <w:r>
        <w:rPr>
          <w:i/>
        </w:rPr>
        <w:t>‘AT</w:t>
      </w:r>
      <w:r w:rsidRPr="0091469F">
        <w:rPr>
          <w:i/>
        </w:rPr>
        <w:t>M’</w:t>
      </w:r>
      <w:r w:rsidR="00AE7391">
        <w:t xml:space="preserve"> exceeding 3.5 tonnes</w:t>
      </w:r>
      <w:r w:rsidRPr="006D5F39">
        <w:t xml:space="preserve">, </w:t>
      </w:r>
      <w:r w:rsidRPr="0091469F">
        <w:t>the electrical connector</w:t>
      </w:r>
      <w:r>
        <w:t>(</w:t>
      </w:r>
      <w:r w:rsidRPr="0091469F">
        <w:t>s</w:t>
      </w:r>
      <w:r>
        <w:t>)</w:t>
      </w:r>
      <w:r w:rsidRPr="0091469F">
        <w:t xml:space="preserve"> </w:t>
      </w:r>
      <w:r>
        <w:t xml:space="preserve">for </w:t>
      </w:r>
      <w:r w:rsidRPr="0091469F">
        <w:t xml:space="preserve">the purpose of operating </w:t>
      </w:r>
      <w:r w:rsidR="00AE7391">
        <w:t xml:space="preserve">the </w:t>
      </w:r>
      <w:r w:rsidRPr="0091469F">
        <w:t xml:space="preserve">prescribed </w:t>
      </w:r>
      <w:r w:rsidR="00AE7391">
        <w:t xml:space="preserve">trailer </w:t>
      </w:r>
      <w:r w:rsidRPr="0091469F">
        <w:t xml:space="preserve">lighting and </w:t>
      </w:r>
      <w:r>
        <w:t xml:space="preserve">light </w:t>
      </w:r>
      <w:r w:rsidRPr="0091469F">
        <w:t xml:space="preserve">signalling </w:t>
      </w:r>
      <w:r w:rsidR="00AE7391">
        <w:t xml:space="preserve">devices, </w:t>
      </w:r>
      <w:r w:rsidRPr="0091469F">
        <w:t>must comply with</w:t>
      </w:r>
      <w:r>
        <w:t>:</w:t>
      </w:r>
    </w:p>
    <w:p w:rsidR="00AE7391" w:rsidRPr="001B5A99" w:rsidRDefault="00AE7391" w:rsidP="004C3954">
      <w:pPr>
        <w:pStyle w:val="AlphaList0"/>
        <w:keepNext/>
        <w:keepLines/>
        <w:numPr>
          <w:ilvl w:val="4"/>
          <w:numId w:val="29"/>
        </w:numPr>
        <w:spacing w:before="60" w:after="60"/>
        <w:ind w:left="1872" w:hanging="454"/>
      </w:pPr>
      <w:r w:rsidRPr="001B5A99">
        <w:t>ISO 1185:2003 (Road vehicles -- Connectors for the electrical connection of towing and towed vehic</w:t>
      </w:r>
      <w:r w:rsidR="00C139F8" w:rsidRPr="001B5A99">
        <w:t>les -- 7-pole connector type 24 </w:t>
      </w:r>
      <w:r w:rsidRPr="001B5A99">
        <w:t>N (normal) for vehicles with 24 V nominal supply voltage); or</w:t>
      </w:r>
    </w:p>
    <w:p w:rsidR="00AE7391" w:rsidRPr="001B5A99" w:rsidRDefault="00AE7391" w:rsidP="00DB0DEE">
      <w:pPr>
        <w:pStyle w:val="AlphaList0"/>
        <w:numPr>
          <w:ilvl w:val="4"/>
          <w:numId w:val="29"/>
        </w:numPr>
        <w:tabs>
          <w:tab w:val="clear" w:pos="2523"/>
        </w:tabs>
        <w:spacing w:before="60" w:after="60"/>
        <w:ind w:left="1872" w:hanging="454"/>
      </w:pPr>
      <w:r w:rsidRPr="001B5A99">
        <w:t>SAE J560 – 2016-04-01 version (Primary and Auxiliary Seven Conductor Electrical Connector for Truck-Trailer Jumper Cable); or</w:t>
      </w:r>
    </w:p>
    <w:p w:rsidR="00AE7391" w:rsidRPr="001B5A99" w:rsidRDefault="00AE7391" w:rsidP="00DB0DEE">
      <w:pPr>
        <w:pStyle w:val="AlphaList0"/>
        <w:numPr>
          <w:ilvl w:val="4"/>
          <w:numId w:val="29"/>
        </w:numPr>
        <w:spacing w:before="60" w:after="60"/>
        <w:ind w:left="1872" w:hanging="454"/>
      </w:pPr>
      <w:r w:rsidRPr="001B5A99">
        <w:t>AS 4735 – 2003 (Heavy road vehicles - Electrical connectors for articulated vehicles); or</w:t>
      </w:r>
    </w:p>
    <w:p w:rsidR="00AE7391" w:rsidRPr="001B5A99" w:rsidRDefault="00AE7391" w:rsidP="00DB0DEE">
      <w:pPr>
        <w:pStyle w:val="AlphaList0"/>
        <w:numPr>
          <w:ilvl w:val="4"/>
          <w:numId w:val="29"/>
        </w:numPr>
        <w:spacing w:before="60" w:after="60"/>
        <w:ind w:left="1872" w:hanging="454"/>
      </w:pPr>
      <w:r w:rsidRPr="001B5A99">
        <w:t>AS 4177.5 – 2004 (Caravan and light trailer towing components, Part 5: Electrical connectors).</w:t>
      </w:r>
    </w:p>
    <w:p w:rsidR="00B8217A" w:rsidRPr="0091469F" w:rsidRDefault="00B8217A" w:rsidP="009D4AE4">
      <w:pPr>
        <w:pStyle w:val="Subclause"/>
      </w:pPr>
      <w:r w:rsidRPr="0091469F">
        <w:t>Every trailer must be equipped with an electrical conductor independent of the trailer ‘</w:t>
      </w:r>
      <w:r w:rsidRPr="0091469F">
        <w:rPr>
          <w:i/>
        </w:rPr>
        <w:t>Coupling’</w:t>
      </w:r>
      <w:r w:rsidRPr="0091469F">
        <w:t>, providing a return path between the electrical circuits of the trailer and that of the drawing vehicle.</w:t>
      </w:r>
    </w:p>
    <w:p w:rsidR="00254F7D" w:rsidRDefault="00B8217A" w:rsidP="00474DA1">
      <w:pPr>
        <w:pStyle w:val="Subclause"/>
        <w:keepLines/>
      </w:pPr>
      <w:r w:rsidRPr="0091469F">
        <w:t xml:space="preserve">Electrical installations intended for connection to a power system other than that of the drawing vehicle must </w:t>
      </w:r>
      <w:r w:rsidR="0020509C">
        <w:t>comply with</w:t>
      </w:r>
      <w:r w:rsidR="003164D2">
        <w:t xml:space="preserve"> </w:t>
      </w:r>
      <w:r w:rsidR="0020509C" w:rsidRPr="001B5A99">
        <w:t>AS/NZS</w:t>
      </w:r>
      <w:r w:rsidR="003164D2" w:rsidRPr="001B5A99">
        <w:t xml:space="preserve"> 3001:2008 </w:t>
      </w:r>
      <w:r w:rsidR="0020509C" w:rsidRPr="001B5A99">
        <w:t>(</w:t>
      </w:r>
      <w:r w:rsidR="003164D2" w:rsidRPr="001B5A99">
        <w:t>Electrical installations – Transportable structures and vehicles including their site supplies</w:t>
      </w:r>
      <w:r w:rsidR="0020509C" w:rsidRPr="001B5A99">
        <w:t>)</w:t>
      </w:r>
      <w:r w:rsidR="003164D2">
        <w:t>.</w:t>
      </w:r>
    </w:p>
    <w:p w:rsidR="00B8217A" w:rsidRDefault="00B97CBD" w:rsidP="00F53F35">
      <w:pPr>
        <w:pStyle w:val="Clauseheading"/>
      </w:pPr>
      <w:bookmarkStart w:id="54" w:name="_Toc517180973"/>
      <w:bookmarkStart w:id="55" w:name="_Toc525916117"/>
      <w:r>
        <w:t xml:space="preserve">Stability of Category </w:t>
      </w:r>
      <w:r w:rsidR="00E60BCF">
        <w:t>LE</w:t>
      </w:r>
      <w:r>
        <w:t xml:space="preserve"> Vehicles</w:t>
      </w:r>
      <w:bookmarkEnd w:id="54"/>
      <w:bookmarkEnd w:id="55"/>
    </w:p>
    <w:p w:rsidR="00B97CBD" w:rsidRDefault="00E60BCF" w:rsidP="00F53F35">
      <w:pPr>
        <w:pStyle w:val="Subclausebold"/>
        <w:keepNext/>
      </w:pPr>
      <w:r>
        <w:t xml:space="preserve">Category LEM1, LEP1 </w:t>
      </w:r>
      <w:r w:rsidR="00851048">
        <w:t>or</w:t>
      </w:r>
      <w:r>
        <w:t xml:space="preserve"> LEG1 vehicles</w:t>
      </w:r>
    </w:p>
    <w:p w:rsidR="00E60BCF" w:rsidRDefault="00E60BCF" w:rsidP="00F53F35">
      <w:pPr>
        <w:pStyle w:val="Subsubclause"/>
        <w:keepNext/>
      </w:pPr>
      <w:r>
        <w:t xml:space="preserve">The </w:t>
      </w:r>
      <w:r w:rsidR="00024383">
        <w:t>‘</w:t>
      </w:r>
      <w:r w:rsidRPr="00E60BCF">
        <w:t>Static Stability Ratio</w:t>
      </w:r>
      <w:r w:rsidR="00024383">
        <w:t>’</w:t>
      </w:r>
      <w:r w:rsidRPr="00E60BCF">
        <w:t xml:space="preserve"> </w:t>
      </w:r>
      <w:r w:rsidR="00394EAE">
        <w:t xml:space="preserve">determined in accordance with APPENDIX 1 </w:t>
      </w:r>
      <w:r>
        <w:t>must not exceed 1.0.</w:t>
      </w:r>
    </w:p>
    <w:p w:rsidR="0042796B" w:rsidRPr="0042796B" w:rsidRDefault="0042796B" w:rsidP="00C25944">
      <w:pPr>
        <w:pStyle w:val="Subsubclause"/>
      </w:pPr>
      <w:r>
        <w:t xml:space="preserve">For category LEM1 vehicles </w:t>
      </w:r>
      <w:r w:rsidR="00C25944">
        <w:t xml:space="preserve">with a rear axle </w:t>
      </w:r>
      <w:r w:rsidR="00BB47BF">
        <w:t>having</w:t>
      </w:r>
      <w:r w:rsidR="00C25944">
        <w:t xml:space="preserve"> a </w:t>
      </w:r>
      <w:r w:rsidR="00C25944" w:rsidRPr="00C25944">
        <w:rPr>
          <w:i/>
        </w:rPr>
        <w:t>‘Differential’</w:t>
      </w:r>
      <w:r w:rsidR="00C25944">
        <w:t xml:space="preserve"> that is not a </w:t>
      </w:r>
      <w:r w:rsidR="00C25944" w:rsidRPr="00C25944">
        <w:rPr>
          <w:i/>
        </w:rPr>
        <w:t>‘Limited-Slip Differential’</w:t>
      </w:r>
      <w:r w:rsidR="00C25944" w:rsidRPr="00C25944">
        <w:t xml:space="preserve">, </w:t>
      </w:r>
      <w:r w:rsidR="00C25944">
        <w:t xml:space="preserve">the technical requirements of the Canadian Motor Vehicle Safety Standard (CMVSS) </w:t>
      </w:r>
      <w:r w:rsidR="003B17DD">
        <w:t xml:space="preserve">No. 505 (Vehicle Stability) in force as </w:t>
      </w:r>
      <w:r w:rsidR="00BB47BF">
        <w:t>of</w:t>
      </w:r>
      <w:r w:rsidR="003B17DD">
        <w:t xml:space="preserve"> 1 October 2007, </w:t>
      </w:r>
      <w:r w:rsidR="00BD7068">
        <w:t>are</w:t>
      </w:r>
      <w:r w:rsidR="003B17DD">
        <w:t xml:space="preserve"> deemed to be equivalent to the requirements of clause 2</w:t>
      </w:r>
      <w:r w:rsidR="00295CF0">
        <w:t>2</w:t>
      </w:r>
      <w:r w:rsidR="003B17DD">
        <w:t>.1</w:t>
      </w:r>
      <w:r w:rsidR="004507CD">
        <w:t>.1 above</w:t>
      </w:r>
      <w:r w:rsidR="003B17DD">
        <w:t>.</w:t>
      </w:r>
    </w:p>
    <w:p w:rsidR="00E60BCF" w:rsidRDefault="00E60BCF" w:rsidP="00DC183F">
      <w:pPr>
        <w:pStyle w:val="Subclausebold"/>
      </w:pPr>
      <w:r>
        <w:t xml:space="preserve">Category LEM2, LEP2 </w:t>
      </w:r>
      <w:r w:rsidR="00851048">
        <w:t>or</w:t>
      </w:r>
      <w:r>
        <w:t xml:space="preserve"> LEG2 vehicles</w:t>
      </w:r>
    </w:p>
    <w:p w:rsidR="00E60BCF" w:rsidRDefault="00E60BCF" w:rsidP="00E60BCF">
      <w:pPr>
        <w:pStyle w:val="Subsubclause"/>
      </w:pPr>
      <w:r>
        <w:t xml:space="preserve">The </w:t>
      </w:r>
      <w:r w:rsidR="00024383">
        <w:t>‘</w:t>
      </w:r>
      <w:r w:rsidRPr="00E60BCF">
        <w:t>Static Stability Ratio</w:t>
      </w:r>
      <w:r w:rsidR="00024383">
        <w:t>’</w:t>
      </w:r>
      <w:r w:rsidRPr="00E60BCF">
        <w:t xml:space="preserve"> </w:t>
      </w:r>
      <w:r w:rsidR="00766ADC">
        <w:t xml:space="preserve">determined in accordance with APPENDIX 1 </w:t>
      </w:r>
      <w:r>
        <w:t>must not exceed 1.5.</w:t>
      </w:r>
    </w:p>
    <w:p w:rsidR="0022237C" w:rsidRDefault="0022237C" w:rsidP="00B97CBD">
      <w:pPr>
        <w:pStyle w:val="Clauseheading"/>
      </w:pPr>
      <w:bookmarkStart w:id="56" w:name="_Toc525916118"/>
      <w:bookmarkStart w:id="57" w:name="_Toc379164159"/>
      <w:bookmarkStart w:id="58" w:name="_Toc177461824"/>
      <w:bookmarkStart w:id="59" w:name="_Toc517180974"/>
      <w:r>
        <w:t>Audible Devices</w:t>
      </w:r>
      <w:bookmarkEnd w:id="56"/>
    </w:p>
    <w:p w:rsidR="00AD5058" w:rsidRDefault="00B06800" w:rsidP="00B06800">
      <w:pPr>
        <w:pStyle w:val="Subclausebold"/>
        <w:keepNext/>
      </w:pPr>
      <w:r>
        <w:t>Prohibited types of audible devices</w:t>
      </w:r>
    </w:p>
    <w:p w:rsidR="0022237C" w:rsidRDefault="00AB5A86" w:rsidP="00AD5058">
      <w:pPr>
        <w:pStyle w:val="Subsubclause"/>
      </w:pPr>
      <w:r>
        <w:t>N</w:t>
      </w:r>
      <w:r w:rsidR="0022237C" w:rsidRPr="0022237C">
        <w:t>o siren, repeater horn, bell, exhaust whistle or compression whistle</w:t>
      </w:r>
      <w:r w:rsidR="00637C59">
        <w:t>,</w:t>
      </w:r>
      <w:r w:rsidR="0022237C" w:rsidRPr="0022237C">
        <w:t xml:space="preserve"> or other device capable of producing a sound resembling that produced by any such siren, repeater horn, bell or whistle</w:t>
      </w:r>
      <w:r w:rsidR="00341227">
        <w:t>,</w:t>
      </w:r>
      <w:r w:rsidR="0022237C" w:rsidRPr="0022237C">
        <w:t xml:space="preserve"> </w:t>
      </w:r>
      <w:r w:rsidR="0022237C">
        <w:t>shall</w:t>
      </w:r>
      <w:r w:rsidR="0022237C" w:rsidRPr="0022237C">
        <w:t xml:space="preserve"> be attached to </w:t>
      </w:r>
      <w:r w:rsidR="0022237C">
        <w:t>any</w:t>
      </w:r>
      <w:r w:rsidR="0022237C" w:rsidRPr="0022237C">
        <w:t xml:space="preserve"> vehicle other than an emergency community service vehicle.</w:t>
      </w:r>
    </w:p>
    <w:p w:rsidR="00AB5A86" w:rsidRDefault="0022237C" w:rsidP="00AD5058">
      <w:pPr>
        <w:pStyle w:val="Subsubsubclause"/>
      </w:pPr>
      <w:r w:rsidRPr="0022237C">
        <w:t xml:space="preserve">For the purpose of </w:t>
      </w:r>
      <w:r w:rsidR="000045BE">
        <w:t>this clause 23.1</w:t>
      </w:r>
      <w:r w:rsidRPr="0022237C">
        <w:t>, a repeater horn is any device which generates an audible sound (to be emitted) alternating between different tones or frequencies on a regular time cycle</w:t>
      </w:r>
      <w:r w:rsidR="00AB5A86">
        <w:t>.</w:t>
      </w:r>
    </w:p>
    <w:p w:rsidR="00AD5058" w:rsidRDefault="00AD5058" w:rsidP="00B06800">
      <w:pPr>
        <w:pStyle w:val="Subclausebold"/>
        <w:keepNext/>
      </w:pPr>
      <w:r>
        <w:lastRenderedPageBreak/>
        <w:t>Reversing Alarm</w:t>
      </w:r>
    </w:p>
    <w:p w:rsidR="00544371" w:rsidRDefault="00B328A0" w:rsidP="00AD5058">
      <w:pPr>
        <w:pStyle w:val="Subsubclause"/>
      </w:pPr>
      <w:r>
        <w:t xml:space="preserve">Notwithstanding </w:t>
      </w:r>
      <w:r w:rsidR="00D27FF3">
        <w:t xml:space="preserve">the requirements of </w:t>
      </w:r>
      <w:r>
        <w:t xml:space="preserve">clause 23.1 above and </w:t>
      </w:r>
      <w:r w:rsidR="00270E58">
        <w:t xml:space="preserve">the Australian Design Rule 94/… </w:t>
      </w:r>
      <w:r w:rsidR="00270E58" w:rsidRPr="00AD5058">
        <w:rPr>
          <w:rFonts w:ascii="Times" w:hAnsi="Times"/>
        </w:rPr>
        <w:t>–</w:t>
      </w:r>
      <w:r w:rsidR="00270E58" w:rsidRPr="00C3471B">
        <w:t xml:space="preserve"> Audible Warning</w:t>
      </w:r>
      <w:r>
        <w:t>, a further device</w:t>
      </w:r>
      <w:r w:rsidR="006C52BE">
        <w:t xml:space="preserve"> </w:t>
      </w:r>
      <w:r w:rsidR="00AB5A86" w:rsidRPr="00AB5A86">
        <w:t>may be fitted which when and only when reverse gear is selected emits an intermittent audible signal</w:t>
      </w:r>
      <w:r w:rsidR="00AB5A86">
        <w:t xml:space="preserve"> </w:t>
      </w:r>
      <w:r w:rsidR="00AB5A86" w:rsidRPr="00AB5A86">
        <w:t>on a regular time cycle</w:t>
      </w:r>
      <w:r w:rsidR="0022237C" w:rsidRPr="0022237C">
        <w:t>.</w:t>
      </w:r>
      <w:r w:rsidR="0029314C">
        <w:t xml:space="preserve">  </w:t>
      </w:r>
      <w:r w:rsidR="00D57AEF">
        <w:t xml:space="preserve">However, </w:t>
      </w:r>
      <w:r w:rsidR="00456D5A">
        <w:t xml:space="preserve">the </w:t>
      </w:r>
      <w:r w:rsidR="00FD5484">
        <w:t xml:space="preserve">signal </w:t>
      </w:r>
      <w:r w:rsidR="00456D5A">
        <w:t xml:space="preserve">emitted </w:t>
      </w:r>
      <w:r w:rsidR="0029314C">
        <w:t xml:space="preserve">must </w:t>
      </w:r>
      <w:r w:rsidR="00FD5484">
        <w:t>not be</w:t>
      </w:r>
      <w:r w:rsidR="0029314C" w:rsidRPr="00AB5A86">
        <w:t xml:space="preserve"> louder than is necessary to warn persons of the pro</w:t>
      </w:r>
      <w:r w:rsidR="0029314C">
        <w:t>ximity of the reversing vehicle</w:t>
      </w:r>
      <w:r w:rsidR="00D57AEF">
        <w:t>.</w:t>
      </w:r>
    </w:p>
    <w:p w:rsidR="00AD5058" w:rsidRDefault="00AD5058" w:rsidP="00B06800">
      <w:pPr>
        <w:pStyle w:val="Subclausebold"/>
        <w:keepNext/>
      </w:pPr>
      <w:r>
        <w:t>Retractable Axle Alarm</w:t>
      </w:r>
    </w:p>
    <w:p w:rsidR="00AD5058" w:rsidRPr="00AD5058" w:rsidRDefault="00B328A0" w:rsidP="001E1460">
      <w:pPr>
        <w:pStyle w:val="Subsubclause"/>
      </w:pPr>
      <w:r>
        <w:t xml:space="preserve">Notwithstanding </w:t>
      </w:r>
      <w:r w:rsidR="00D27FF3">
        <w:t xml:space="preserve">the requirements of </w:t>
      </w:r>
      <w:r>
        <w:t xml:space="preserve">clause 23.1 above and the Australian Design Rule 94/… </w:t>
      </w:r>
      <w:r w:rsidRPr="00AD5058">
        <w:rPr>
          <w:rFonts w:ascii="Times" w:hAnsi="Times"/>
        </w:rPr>
        <w:t>–</w:t>
      </w:r>
      <w:r w:rsidRPr="00C3471B">
        <w:t xml:space="preserve"> Audible Warning</w:t>
      </w:r>
      <w:r>
        <w:t>, a further device</w:t>
      </w:r>
      <w:r w:rsidR="00AD5058">
        <w:t xml:space="preserve"> </w:t>
      </w:r>
      <w:r w:rsidR="00AD5058" w:rsidRPr="0091469F">
        <w:t xml:space="preserve">must be </w:t>
      </w:r>
      <w:r w:rsidR="00AD5058" w:rsidRPr="004300D1">
        <w:t xml:space="preserve">fitted to </w:t>
      </w:r>
      <w:r w:rsidR="00AD5058">
        <w:t>each vehicle equipped with a</w:t>
      </w:r>
      <w:r w:rsidR="00AD5058" w:rsidRPr="004300D1">
        <w:t xml:space="preserve"> </w:t>
      </w:r>
      <w:r w:rsidR="00AD5058" w:rsidRPr="00AD5058">
        <w:rPr>
          <w:i/>
        </w:rPr>
        <w:t>‘Retractable Axle’</w:t>
      </w:r>
      <w:r w:rsidR="00AD5058" w:rsidRPr="004300D1">
        <w:t>.</w:t>
      </w:r>
      <w:r w:rsidR="00AD5058">
        <w:t xml:space="preserve">  This device must emit</w:t>
      </w:r>
      <w:r w:rsidR="00AD5058" w:rsidRPr="004300D1">
        <w:t xml:space="preserve"> an audible signal</w:t>
      </w:r>
      <w:r w:rsidR="00270E58">
        <w:t xml:space="preserve"> upon the lowering of the </w:t>
      </w:r>
      <w:r w:rsidR="00270E58" w:rsidRPr="00AD5058">
        <w:rPr>
          <w:i/>
        </w:rPr>
        <w:t>‘</w:t>
      </w:r>
      <w:r w:rsidR="00D34D03">
        <w:rPr>
          <w:i/>
        </w:rPr>
        <w:t>Retractable</w:t>
      </w:r>
      <w:r w:rsidR="00D34D03" w:rsidRPr="00AD5058">
        <w:rPr>
          <w:i/>
        </w:rPr>
        <w:t xml:space="preserve"> </w:t>
      </w:r>
      <w:r w:rsidR="00270E58" w:rsidRPr="00AD5058">
        <w:rPr>
          <w:i/>
        </w:rPr>
        <w:t>Axle’</w:t>
      </w:r>
      <w:r w:rsidR="00270E58" w:rsidRPr="00270E58">
        <w:t>.</w:t>
      </w:r>
      <w:r w:rsidR="00AD5058" w:rsidRPr="00270E58">
        <w:t xml:space="preserve"> </w:t>
      </w:r>
      <w:r w:rsidR="00270E58">
        <w:t xml:space="preserve"> However, </w:t>
      </w:r>
      <w:r w:rsidR="00456D5A">
        <w:t>the signal emitted</w:t>
      </w:r>
      <w:r w:rsidR="00270E58">
        <w:t xml:space="preserve"> must not be </w:t>
      </w:r>
      <w:r w:rsidR="00AD5058">
        <w:t xml:space="preserve">louder </w:t>
      </w:r>
      <w:r w:rsidR="00AD5058" w:rsidRPr="00B67739">
        <w:t xml:space="preserve">than </w:t>
      </w:r>
      <w:r w:rsidR="00270E58">
        <w:t xml:space="preserve">is </w:t>
      </w:r>
      <w:r w:rsidR="00AD5058" w:rsidRPr="00B67739">
        <w:t xml:space="preserve">necessary to warn persons in the proximity of </w:t>
      </w:r>
      <w:r w:rsidR="00270E58">
        <w:t>the</w:t>
      </w:r>
      <w:r w:rsidR="00AD5058" w:rsidRPr="004300D1">
        <w:t xml:space="preserve"> </w:t>
      </w:r>
      <w:r w:rsidR="00D34D03">
        <w:rPr>
          <w:i/>
        </w:rPr>
        <w:t xml:space="preserve">‘Retractable </w:t>
      </w:r>
      <w:r w:rsidR="00AD5058" w:rsidRPr="00AD5058">
        <w:rPr>
          <w:i/>
        </w:rPr>
        <w:t>Axle’</w:t>
      </w:r>
      <w:r w:rsidR="00AD5058">
        <w:t>.</w:t>
      </w:r>
    </w:p>
    <w:p w:rsidR="00B97CBD" w:rsidRPr="0091469F" w:rsidRDefault="00B97CBD" w:rsidP="00B97CBD">
      <w:pPr>
        <w:pStyle w:val="Clauseheading"/>
      </w:pPr>
      <w:bookmarkStart w:id="60" w:name="_Toc525916119"/>
      <w:r w:rsidRPr="0091469F">
        <w:t>EXHAUST OUTLETS</w:t>
      </w:r>
      <w:bookmarkEnd w:id="57"/>
      <w:bookmarkEnd w:id="58"/>
      <w:bookmarkEnd w:id="59"/>
      <w:bookmarkEnd w:id="60"/>
    </w:p>
    <w:p w:rsidR="00B97CBD" w:rsidRPr="0091469F" w:rsidRDefault="00B97CBD" w:rsidP="00165FEC">
      <w:pPr>
        <w:pStyle w:val="Subclausebold"/>
        <w:keepNext/>
      </w:pPr>
      <w:r w:rsidRPr="0091469F">
        <w:t xml:space="preserve">Enclosed </w:t>
      </w:r>
      <w:r w:rsidR="00E1238F">
        <w:t xml:space="preserve">category </w:t>
      </w:r>
      <w:r w:rsidRPr="0091469F">
        <w:t>LE vehicles</w:t>
      </w:r>
    </w:p>
    <w:p w:rsidR="00B97CBD" w:rsidRPr="0091469F" w:rsidRDefault="00FD7DB5" w:rsidP="00DC183F">
      <w:pPr>
        <w:pStyle w:val="Subsubclause"/>
      </w:pPr>
      <w:r>
        <w:t>T</w:t>
      </w:r>
      <w:r w:rsidR="00B97CBD" w:rsidRPr="0091469F">
        <w:t>he exhaust outlet must extend at least 40 mm beyond the furthermost outboard or rearmost joint of the floor pan which is not continuously welded or permanently sealed which could permit direct access of exhaust gases to the passenger compartment, but not beyond the perimeter of the vehicle when viewed in plan</w:t>
      </w:r>
      <w:r w:rsidR="00183258">
        <w:t>.</w:t>
      </w:r>
    </w:p>
    <w:p w:rsidR="00B97CBD" w:rsidRPr="0091469F" w:rsidRDefault="00FD7DB5" w:rsidP="00DC183F">
      <w:pPr>
        <w:pStyle w:val="Subsubclause"/>
      </w:pPr>
      <w:r>
        <w:t>T</w:t>
      </w:r>
      <w:r w:rsidR="00B97CBD" w:rsidRPr="0091469F">
        <w:t>he exhaust outlet, if to the side of the vehicle, must discharge to the right hand side of the vehicle and downwards at an angle to the horizontal of not less than 15 degrees and not more than 45 degrees</w:t>
      </w:r>
      <w:r w:rsidR="00183258">
        <w:t>.</w:t>
      </w:r>
    </w:p>
    <w:p w:rsidR="00B97CBD" w:rsidRPr="0091469F" w:rsidRDefault="00FD7DB5" w:rsidP="00B97CBD">
      <w:pPr>
        <w:pStyle w:val="Subsubclause"/>
      </w:pPr>
      <w:r>
        <w:t>T</w:t>
      </w:r>
      <w:r w:rsidR="00B97CBD" w:rsidRPr="0091469F">
        <w:t>he exhaust outlet, if to the rear of the vehicle</w:t>
      </w:r>
      <w:r w:rsidR="00183258">
        <w:t>,</w:t>
      </w:r>
      <w:r w:rsidR="00B97CBD" w:rsidRPr="0091469F">
        <w:t xml:space="preserve"> must discharge at not m</w:t>
      </w:r>
      <w:r w:rsidR="00AC0650">
        <w:t xml:space="preserve">ore than 10 degrees above or 45 </w:t>
      </w:r>
      <w:r w:rsidR="00B97CBD" w:rsidRPr="0091469F">
        <w:t>degrees below the horizontal.</w:t>
      </w:r>
    </w:p>
    <w:p w:rsidR="00BB1693" w:rsidRDefault="00BB1693" w:rsidP="00FD7DB5">
      <w:pPr>
        <w:pStyle w:val="Subclausebold"/>
      </w:pPr>
      <w:r>
        <w:t>Category MD vehicles</w:t>
      </w:r>
    </w:p>
    <w:p w:rsidR="00BB1693" w:rsidRPr="0091469F" w:rsidRDefault="00BB1693" w:rsidP="00BB1693">
      <w:pPr>
        <w:pStyle w:val="Subsubclause"/>
      </w:pPr>
      <w:r>
        <w:t>E</w:t>
      </w:r>
      <w:r w:rsidRPr="0091469F">
        <w:t xml:space="preserve">xcept in the case of vertical exhaust systems, the exhaust outlet must </w:t>
      </w:r>
      <w:r w:rsidR="00E221B6" w:rsidRPr="0091469F">
        <w:t xml:space="preserve">extend </w:t>
      </w:r>
      <w:r w:rsidR="00E221B6">
        <w:t xml:space="preserve">as near as practicable to but not </w:t>
      </w:r>
      <w:r w:rsidR="00E221B6" w:rsidRPr="0091469F">
        <w:t>beyond the perimeter of the vehicle when viewed in plan</w:t>
      </w:r>
      <w:r w:rsidR="00E221B6">
        <w:t xml:space="preserve">, and must </w:t>
      </w:r>
      <w:r w:rsidRPr="0091469F">
        <w:t>discharge rearwards or to the right of the vehicle, either horizontally or at no</w:t>
      </w:r>
      <w:r w:rsidR="00E221B6">
        <w:t xml:space="preserve"> more than 45 degrees downwards</w:t>
      </w:r>
      <w:r>
        <w:t>.</w:t>
      </w:r>
    </w:p>
    <w:p w:rsidR="00BB1693" w:rsidRPr="0091469F" w:rsidRDefault="00BB1693" w:rsidP="00BB1693">
      <w:pPr>
        <w:pStyle w:val="Subsubclause"/>
      </w:pPr>
      <w:r>
        <w:t>W</w:t>
      </w:r>
      <w:r w:rsidRPr="0091469F">
        <w:t>hen the exhaust outlet is vertical, it must be located behind the rearmost portion of the passenger compartment and may discharge either vertically upwards or rearwards at any angle above the horizontal.</w:t>
      </w:r>
    </w:p>
    <w:p w:rsidR="00B97CBD" w:rsidRPr="0091469F" w:rsidRDefault="00FD7DB5" w:rsidP="00744379">
      <w:pPr>
        <w:pStyle w:val="Subclausebold"/>
        <w:keepNext/>
      </w:pPr>
      <w:r>
        <w:lastRenderedPageBreak/>
        <w:t>Category ME vehicles</w:t>
      </w:r>
    </w:p>
    <w:p w:rsidR="00B97CBD" w:rsidRPr="0091469F" w:rsidRDefault="00FD7DB5" w:rsidP="00744379">
      <w:pPr>
        <w:pStyle w:val="Subsubclause"/>
        <w:keepNext/>
      </w:pPr>
      <w:r>
        <w:t>T</w:t>
      </w:r>
      <w:r w:rsidR="00B97CBD" w:rsidRPr="0091469F">
        <w:t>he exhaust outlet must be as near as practicable to the rear of the vehicle</w:t>
      </w:r>
      <w:r>
        <w:t>.</w:t>
      </w:r>
    </w:p>
    <w:p w:rsidR="00B97CBD" w:rsidRPr="0091469F" w:rsidRDefault="00FD7DB5" w:rsidP="00744379">
      <w:pPr>
        <w:pStyle w:val="Subsubclause"/>
        <w:keepNext/>
        <w:keepLines/>
      </w:pPr>
      <w:r>
        <w:t>E</w:t>
      </w:r>
      <w:r w:rsidR="00B97CBD" w:rsidRPr="0091469F">
        <w:t>xcept in the case of vertical exhaust systems, the exhaust outlet must discharge rearwards or to the right of the vehicle, either horizontally or at no more than 45 degrees downwards, and must not extend beyond the perimeter of the vehicle when viewed in plan</w:t>
      </w:r>
      <w:r>
        <w:t>.</w:t>
      </w:r>
    </w:p>
    <w:p w:rsidR="00B97CBD" w:rsidRPr="0091469F" w:rsidRDefault="0060238A" w:rsidP="00B97CBD">
      <w:pPr>
        <w:pStyle w:val="Subsubclause"/>
      </w:pPr>
      <w:r>
        <w:t>W</w:t>
      </w:r>
      <w:r w:rsidR="00B97CBD" w:rsidRPr="0091469F">
        <w:t>hen the exhaust outlet is vertical, it must be located behind the rearmost portion of the passenger compartment and may discharge either vertically upwards or rearwards at any angle above the horizontal.</w:t>
      </w:r>
    </w:p>
    <w:p w:rsidR="00B97CBD" w:rsidRPr="0091469F" w:rsidRDefault="00FD7DB5" w:rsidP="00F53F35">
      <w:pPr>
        <w:pStyle w:val="Subclausebold"/>
        <w:keepNext/>
        <w:keepLines/>
      </w:pPr>
      <w:r>
        <w:t xml:space="preserve">Category </w:t>
      </w:r>
      <w:r w:rsidR="00B97CBD" w:rsidRPr="0062293E">
        <w:t xml:space="preserve">NC </w:t>
      </w:r>
      <w:r>
        <w:t>v</w:t>
      </w:r>
      <w:r w:rsidR="00B97CBD" w:rsidRPr="0091469F">
        <w:t>ehicles</w:t>
      </w:r>
    </w:p>
    <w:p w:rsidR="003241CE" w:rsidRDefault="00FD7DB5" w:rsidP="00272049">
      <w:pPr>
        <w:pStyle w:val="Subsubclause"/>
        <w:keepLines/>
      </w:pPr>
      <w:r>
        <w:t>T</w:t>
      </w:r>
      <w:r w:rsidR="00B97CBD" w:rsidRPr="0091469F">
        <w:t>he exhaust outlet must be behind the rearmost seating position and at least 40 mm beyond the furthermost outboard or rearmost joint of the floorpan</w:t>
      </w:r>
      <w:r w:rsidR="00FC5CD4">
        <w:t>,</w:t>
      </w:r>
      <w:r w:rsidR="00B97CBD" w:rsidRPr="0091469F">
        <w:t xml:space="preserve"> which </w:t>
      </w:r>
      <w:r w:rsidR="00C977CF">
        <w:t xml:space="preserve">is not continuously </w:t>
      </w:r>
      <w:r w:rsidR="00B97CBD" w:rsidRPr="0091469F">
        <w:t>welded or permanently sealed, and must not extend beyond the general perimeter of th</w:t>
      </w:r>
      <w:r w:rsidR="003241CE">
        <w:t>e vehicle when viewed in plan.</w:t>
      </w:r>
    </w:p>
    <w:p w:rsidR="00B97CBD" w:rsidRPr="0091469F" w:rsidRDefault="00B97CBD" w:rsidP="003241CE">
      <w:pPr>
        <w:pStyle w:val="Subsubsubclause"/>
      </w:pPr>
      <w:r w:rsidRPr="0091469F">
        <w:t>In the case of permanently enclosed vehicles not fitted with vertical exhaust systems</w:t>
      </w:r>
      <w:r w:rsidR="00C977CF">
        <w:t>,</w:t>
      </w:r>
      <w:r w:rsidRPr="0091469F">
        <w:t xml:space="preserve"> the outlet must extend to the perimeter of </w:t>
      </w:r>
      <w:r w:rsidR="00FD7DB5">
        <w:t>the vehicle when viewed in plan.</w:t>
      </w:r>
    </w:p>
    <w:p w:rsidR="00B97CBD" w:rsidRPr="0091469F" w:rsidRDefault="00FD7DB5" w:rsidP="00272049">
      <w:pPr>
        <w:pStyle w:val="Subsubclause"/>
        <w:keepNext/>
      </w:pPr>
      <w:r>
        <w:t>T</w:t>
      </w:r>
      <w:r w:rsidR="00B97CBD" w:rsidRPr="0091469F">
        <w:t>he height of the outlet must be either greater than 150 mm above the maximum height of the cab or le</w:t>
      </w:r>
      <w:r>
        <w:t>ss than 750 mm above the ground.</w:t>
      </w:r>
    </w:p>
    <w:p w:rsidR="00B97CBD" w:rsidRPr="0091469F" w:rsidRDefault="00FD7DB5" w:rsidP="00D6487E">
      <w:pPr>
        <w:pStyle w:val="Subsubsubclause"/>
      </w:pPr>
      <w:r>
        <w:t>F</w:t>
      </w:r>
      <w:r w:rsidR="00B97CBD" w:rsidRPr="0091469F">
        <w:t>or above-cab exhausts, the direction of discharge must not be to the left of the vehicle an</w:t>
      </w:r>
      <w:r>
        <w:t>d must be above the horizontal.</w:t>
      </w:r>
    </w:p>
    <w:p w:rsidR="00B97CBD" w:rsidRPr="0091469F" w:rsidRDefault="00FD7DB5" w:rsidP="00B97CBD">
      <w:pPr>
        <w:pStyle w:val="Subsubsubclause"/>
      </w:pPr>
      <w:r>
        <w:t>F</w:t>
      </w:r>
      <w:r w:rsidR="00B97CBD" w:rsidRPr="0091469F">
        <w:t>or other exhausts, the direction of discharge must not be to the left of the vehicle and must be between the horizontal and 45 degrees downwards</w:t>
      </w:r>
      <w:r>
        <w:t>.</w:t>
      </w:r>
    </w:p>
    <w:p w:rsidR="00B97CBD" w:rsidRPr="0091469F" w:rsidRDefault="00FD7DB5" w:rsidP="00B97CBD">
      <w:pPr>
        <w:pStyle w:val="Subsubclause"/>
      </w:pPr>
      <w:r>
        <w:t>A</w:t>
      </w:r>
      <w:r w:rsidR="00B97CBD" w:rsidRPr="0091469F">
        <w:t>ny exposed section of an exhaust system discharging above the cabin must be shielded to prevent accidental personal contact in areas where contact can occur during normal operating and servicing conditions.</w:t>
      </w:r>
    </w:p>
    <w:p w:rsidR="00B97CBD" w:rsidRPr="0091469F" w:rsidRDefault="00B97CBD" w:rsidP="00D6487E">
      <w:pPr>
        <w:pStyle w:val="Subsubclause"/>
      </w:pPr>
      <w:r w:rsidRPr="0091469F">
        <w:t xml:space="preserve">Vertical exhaust </w:t>
      </w:r>
      <w:r w:rsidR="00983955">
        <w:t xml:space="preserve">outlets (see </w:t>
      </w:r>
      <w:r w:rsidR="0093628F">
        <w:t xml:space="preserve">Figure </w:t>
      </w:r>
      <w:r w:rsidR="0093628F">
        <w:rPr>
          <w:noProof/>
        </w:rPr>
        <w:t>4</w:t>
      </w:r>
      <w:r w:rsidR="00983955">
        <w:t>)</w:t>
      </w:r>
      <w:r w:rsidRPr="0091469F">
        <w:t>, where fitted, must meet one of the following requirements:</w:t>
      </w:r>
    </w:p>
    <w:p w:rsidR="00B97CBD" w:rsidRPr="0091469F" w:rsidRDefault="00B97CBD" w:rsidP="00D6487E">
      <w:pPr>
        <w:pStyle w:val="AlphaList0"/>
        <w:numPr>
          <w:ilvl w:val="4"/>
          <w:numId w:val="34"/>
        </w:numPr>
        <w:spacing w:before="60" w:after="60"/>
        <w:ind w:left="1872" w:hanging="454"/>
      </w:pPr>
      <w:r w:rsidRPr="0091469F">
        <w:t xml:space="preserve">the orifice must be a horizontal cross-section of the exhaust pipe and must direct the exhaust gases vertically upwards; </w:t>
      </w:r>
      <w:r w:rsidR="00FD7DB5">
        <w:t>or</w:t>
      </w:r>
    </w:p>
    <w:p w:rsidR="00B97CBD" w:rsidRPr="0091469F" w:rsidRDefault="00B97CBD" w:rsidP="00D6487E">
      <w:pPr>
        <w:pStyle w:val="AlphaList0"/>
        <w:numPr>
          <w:ilvl w:val="4"/>
          <w:numId w:val="34"/>
        </w:numPr>
        <w:spacing w:before="60" w:after="60"/>
        <w:ind w:left="1872" w:hanging="454"/>
      </w:pPr>
      <w:r w:rsidRPr="0091469F">
        <w:t xml:space="preserve">the orifice must be a horizontal cross-section of the exhaust pipe and must be fitted with a rain cap such that in plan view the hinge of the cap makes an angle of 90 degrees ± 10 degrees with the longitudinal centreline of the vehicle, with the rain cap operating in a fore-and-aft direction; </w:t>
      </w:r>
      <w:r w:rsidR="00FD7DB5">
        <w:t>or</w:t>
      </w:r>
    </w:p>
    <w:p w:rsidR="00B97CBD" w:rsidRDefault="00B97CBD" w:rsidP="00272049">
      <w:pPr>
        <w:pStyle w:val="AlphaList0"/>
        <w:numPr>
          <w:ilvl w:val="4"/>
          <w:numId w:val="34"/>
        </w:numPr>
        <w:spacing w:before="0"/>
        <w:ind w:left="1872" w:hanging="454"/>
      </w:pPr>
      <w:r w:rsidRPr="0091469F">
        <w:t>the orifice must be angled and orientated so that the principal flow of the exhaust gases is directed rearwards,</w:t>
      </w:r>
      <w:r w:rsidRPr="00FD7DB5">
        <w:t xml:space="preserve"> </w:t>
      </w:r>
      <w:r w:rsidRPr="0091469F">
        <w:t>within 0</w:t>
      </w:r>
      <w:r w:rsidR="0034513A">
        <w:t xml:space="preserve"> degrees</w:t>
      </w:r>
      <w:r w:rsidRPr="0091469F">
        <w:t xml:space="preserve"> and 45</w:t>
      </w:r>
      <w:r w:rsidR="0034513A">
        <w:t> degrees of</w:t>
      </w:r>
      <w:r w:rsidRPr="0091469F">
        <w:t xml:space="preserve"> the longitudinal centreline of the vehicle.</w:t>
      </w:r>
    </w:p>
    <w:p w:rsidR="000139DE" w:rsidRDefault="00BA6BF6" w:rsidP="00272049">
      <w:pPr>
        <w:pStyle w:val="AlphaList0"/>
        <w:tabs>
          <w:tab w:val="clear" w:pos="2523"/>
        </w:tabs>
        <w:spacing w:before="60"/>
        <w:ind w:left="1418" w:firstLine="0"/>
        <w:jc w:val="center"/>
      </w:pPr>
      <w:r w:rsidRPr="00BA6BF6">
        <w:rPr>
          <w:noProof/>
        </w:rPr>
        <w:lastRenderedPageBreak/>
        <w:drawing>
          <wp:inline distT="0" distB="0" distL="0" distR="0">
            <wp:extent cx="3960000" cy="3648425"/>
            <wp:effectExtent l="0" t="0" r="2540" b="9525"/>
            <wp:docPr id="18" name="Picture 18" descr="Illustration of three permissible types of vertical exhaust outlets for category NC vehicles." title="Figure 4: Typical Vertical Exhaust Outlet Configu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960000" cy="3648425"/>
                    </a:xfrm>
                    <a:prstGeom prst="rect">
                      <a:avLst/>
                    </a:prstGeom>
                    <a:noFill/>
                    <a:ln>
                      <a:noFill/>
                    </a:ln>
                    <a:extLst>
                      <a:ext uri="{53640926-AAD7-44D8-BBD7-CCE9431645EC}">
                        <a14:shadowObscured xmlns:a14="http://schemas.microsoft.com/office/drawing/2010/main"/>
                      </a:ext>
                    </a:extLst>
                  </pic:spPr>
                </pic:pic>
              </a:graphicData>
            </a:graphic>
          </wp:inline>
        </w:drawing>
      </w:r>
    </w:p>
    <w:p w:rsidR="0097398E" w:rsidRPr="0091469F" w:rsidRDefault="004A3807" w:rsidP="00F53F35">
      <w:pPr>
        <w:pStyle w:val="Caption"/>
        <w:spacing w:before="60" w:after="60"/>
        <w:jc w:val="center"/>
      </w:pPr>
      <w:bookmarkStart w:id="61" w:name="_Ref517963700"/>
      <w:r>
        <w:t xml:space="preserve">Figure </w:t>
      </w:r>
      <w:r w:rsidR="0093628F">
        <w:rPr>
          <w:noProof/>
        </w:rPr>
        <w:t>4</w:t>
      </w:r>
      <w:bookmarkEnd w:id="61"/>
      <w:r>
        <w:t xml:space="preserve">: </w:t>
      </w:r>
      <w:r w:rsidR="0097398E">
        <w:rPr>
          <w:b w:val="0"/>
        </w:rPr>
        <w:t xml:space="preserve">Typical </w:t>
      </w:r>
      <w:r w:rsidR="00983955">
        <w:rPr>
          <w:b w:val="0"/>
        </w:rPr>
        <w:t xml:space="preserve">Vertical </w:t>
      </w:r>
      <w:r w:rsidR="0097398E">
        <w:rPr>
          <w:b w:val="0"/>
        </w:rPr>
        <w:t>Exhaust Outlet Configurations</w:t>
      </w:r>
    </w:p>
    <w:p w:rsidR="00B97CBD" w:rsidRPr="0091469F" w:rsidRDefault="00943F2C" w:rsidP="00785117">
      <w:pPr>
        <w:pStyle w:val="Clauseheading"/>
      </w:pPr>
      <w:bookmarkStart w:id="62" w:name="_Toc379164162"/>
      <w:bookmarkStart w:id="63" w:name="_Toc177461827"/>
      <w:bookmarkStart w:id="64" w:name="_Toc517180975"/>
      <w:bookmarkStart w:id="65" w:name="_Toc525916120"/>
      <w:r>
        <w:t>TOILET</w:t>
      </w:r>
      <w:r w:rsidR="00B97CBD" w:rsidRPr="0091469F">
        <w:t>S, URINALS, BASINS AND SINKS</w:t>
      </w:r>
      <w:bookmarkEnd w:id="62"/>
      <w:bookmarkEnd w:id="63"/>
      <w:bookmarkEnd w:id="64"/>
      <w:bookmarkEnd w:id="65"/>
    </w:p>
    <w:p w:rsidR="00B910F9" w:rsidRDefault="00B910F9" w:rsidP="000427E7">
      <w:pPr>
        <w:pStyle w:val="Subclause"/>
      </w:pPr>
      <w:r>
        <w:t>N</w:t>
      </w:r>
      <w:r w:rsidR="00B97CBD" w:rsidRPr="0091469F">
        <w:t xml:space="preserve">o vehicle </w:t>
      </w:r>
      <w:r>
        <w:t>shall</w:t>
      </w:r>
      <w:r w:rsidR="00B97CBD" w:rsidRPr="0091469F">
        <w:t xml:space="preserve"> be equipped with a </w:t>
      </w:r>
      <w:r w:rsidR="00943F2C">
        <w:t>toilet</w:t>
      </w:r>
      <w:r w:rsidR="00B97CBD" w:rsidRPr="0091469F">
        <w:t xml:space="preserve"> or urinal the contents of which can be </w:t>
      </w:r>
      <w:r>
        <w:t>discharged directly on</w:t>
      </w:r>
      <w:r w:rsidR="00845D4D">
        <w:t>to</w:t>
      </w:r>
      <w:r>
        <w:t xml:space="preserve"> the road.</w:t>
      </w:r>
    </w:p>
    <w:p w:rsidR="00DD25BD" w:rsidRDefault="00B910F9" w:rsidP="000427E7">
      <w:pPr>
        <w:pStyle w:val="Subclause"/>
      </w:pPr>
      <w:r>
        <w:t>E</w:t>
      </w:r>
      <w:r w:rsidR="00B97CBD" w:rsidRPr="0091469F">
        <w:t xml:space="preserve">xcept in the case of a </w:t>
      </w:r>
      <w:r w:rsidR="00B97CBD" w:rsidRPr="00565C43">
        <w:rPr>
          <w:i/>
        </w:rPr>
        <w:t>‘C</w:t>
      </w:r>
      <w:r w:rsidR="00B97CBD" w:rsidRPr="0091469F">
        <w:rPr>
          <w:i/>
        </w:rPr>
        <w:t>aravan’</w:t>
      </w:r>
      <w:r w:rsidR="00B97CBD" w:rsidRPr="0091469F">
        <w:t xml:space="preserve">, every </w:t>
      </w:r>
      <w:r w:rsidR="00943F2C">
        <w:t>toilet</w:t>
      </w:r>
      <w:r w:rsidR="00B97CBD" w:rsidRPr="0091469F">
        <w:t xml:space="preserve"> or urinal pan must empty into a tank </w:t>
      </w:r>
      <w:r w:rsidR="00DD25BD">
        <w:t>which is:</w:t>
      </w:r>
    </w:p>
    <w:p w:rsidR="00DD25BD" w:rsidRDefault="00DD25BD" w:rsidP="00575AD2">
      <w:pPr>
        <w:pStyle w:val="AlphaList0"/>
        <w:numPr>
          <w:ilvl w:val="4"/>
          <w:numId w:val="19"/>
        </w:numPr>
        <w:spacing w:before="60" w:after="60"/>
        <w:ind w:left="1872" w:hanging="454"/>
      </w:pPr>
      <w:r>
        <w:t>carried by the vehicle; and</w:t>
      </w:r>
    </w:p>
    <w:p w:rsidR="00B97CBD" w:rsidRPr="00973377" w:rsidRDefault="00B97CBD" w:rsidP="00575AD2">
      <w:pPr>
        <w:pStyle w:val="AlphaList0"/>
        <w:numPr>
          <w:ilvl w:val="4"/>
          <w:numId w:val="19"/>
        </w:numPr>
        <w:spacing w:before="60" w:after="60"/>
        <w:ind w:left="1872" w:hanging="454"/>
      </w:pPr>
      <w:r w:rsidRPr="0091469F">
        <w:t>efficiently ventilated by means of a pipe</w:t>
      </w:r>
      <w:r w:rsidR="00845D4D">
        <w:t>,</w:t>
      </w:r>
      <w:r w:rsidRPr="0091469F">
        <w:t xml:space="preserve"> the outlet </w:t>
      </w:r>
      <w:r w:rsidR="00845D4D">
        <w:t xml:space="preserve">of which is </w:t>
      </w:r>
      <w:r w:rsidR="00845D4D" w:rsidRPr="00973377">
        <w:t>outside the vehicle.</w:t>
      </w:r>
    </w:p>
    <w:p w:rsidR="00B97CBD" w:rsidRPr="00973377" w:rsidRDefault="00565C43" w:rsidP="005F7A4B">
      <w:pPr>
        <w:pStyle w:val="Subclause"/>
      </w:pPr>
      <w:r w:rsidRPr="00973377">
        <w:t>E</w:t>
      </w:r>
      <w:r w:rsidR="00B97CBD" w:rsidRPr="00973377">
        <w:t xml:space="preserve">very tank into which a </w:t>
      </w:r>
      <w:r w:rsidR="00943F2C" w:rsidRPr="00973377">
        <w:t>toilet</w:t>
      </w:r>
      <w:r w:rsidR="00B97CBD" w:rsidRPr="00973377">
        <w:t xml:space="preserve"> or urin</w:t>
      </w:r>
      <w:r w:rsidR="008730C1">
        <w:t>al pan empties must contain non</w:t>
      </w:r>
      <w:r w:rsidR="008730C1">
        <w:noBreakHyphen/>
        <w:t>inflammable and non</w:t>
      </w:r>
      <w:r w:rsidR="008730C1">
        <w:noBreakHyphen/>
      </w:r>
      <w:r w:rsidR="00B97CBD" w:rsidRPr="00973377">
        <w:t xml:space="preserve">irritant chemicals of such character and in such quantity as to form at all times an efficient deodorant and germicide in respect of the contents of the tank, </w:t>
      </w:r>
      <w:r w:rsidR="007A4B59" w:rsidRPr="00973377">
        <w:t>toilet</w:t>
      </w:r>
      <w:r w:rsidR="00B97CBD" w:rsidRPr="00973377">
        <w:t xml:space="preserve"> or urinal</w:t>
      </w:r>
      <w:r w:rsidR="00DD25BD" w:rsidRPr="00973377">
        <w:t xml:space="preserve"> (</w:t>
      </w:r>
      <w:r w:rsidR="00B97CBD" w:rsidRPr="00973377">
        <w:t xml:space="preserve">as </w:t>
      </w:r>
      <w:r w:rsidR="00DD25BD" w:rsidRPr="00973377">
        <w:t>applicable)</w:t>
      </w:r>
      <w:r w:rsidRPr="00973377">
        <w:t>.</w:t>
      </w:r>
    </w:p>
    <w:p w:rsidR="00B97CBD" w:rsidRPr="0091469F" w:rsidRDefault="00565C43" w:rsidP="005F7A4B">
      <w:pPr>
        <w:pStyle w:val="Subclause"/>
      </w:pPr>
      <w:r>
        <w:t>N</w:t>
      </w:r>
      <w:r w:rsidR="00B97CBD" w:rsidRPr="0091469F">
        <w:t xml:space="preserve">o basin or sink </w:t>
      </w:r>
      <w:r>
        <w:t>shall</w:t>
      </w:r>
      <w:r w:rsidR="00B97CBD" w:rsidRPr="0091469F">
        <w:t xml:space="preserve"> drain into any </w:t>
      </w:r>
      <w:r w:rsidR="0018222D">
        <w:t>toilet</w:t>
      </w:r>
      <w:r w:rsidR="00B97CBD" w:rsidRPr="0091469F">
        <w:t xml:space="preserve"> or urinal or into any tank into which a </w:t>
      </w:r>
      <w:r w:rsidR="0018222D">
        <w:t>toilet</w:t>
      </w:r>
      <w:r w:rsidR="00B97CBD" w:rsidRPr="0091469F">
        <w:t xml:space="preserve"> or urinal empties.</w:t>
      </w:r>
    </w:p>
    <w:p w:rsidR="001467F2" w:rsidRDefault="00565C43" w:rsidP="004427A5">
      <w:pPr>
        <w:pStyle w:val="Subclause"/>
      </w:pPr>
      <w:r>
        <w:t>Each</w:t>
      </w:r>
      <w:r w:rsidR="00B97CBD" w:rsidRPr="0091469F">
        <w:t xml:space="preserve"> </w:t>
      </w:r>
      <w:r w:rsidR="0018222D">
        <w:t>toilet</w:t>
      </w:r>
      <w:r w:rsidR="00B97CBD" w:rsidRPr="0091469F">
        <w:t xml:space="preserve"> </w:t>
      </w:r>
      <w:r w:rsidR="00D74E4F">
        <w:t>and/</w:t>
      </w:r>
      <w:r w:rsidR="00B97CBD" w:rsidRPr="0091469F">
        <w:t xml:space="preserve">or urinal </w:t>
      </w:r>
      <w:r w:rsidR="00D74E4F">
        <w:t xml:space="preserve">closet </w:t>
      </w:r>
      <w:r w:rsidR="00B97CBD" w:rsidRPr="0091469F">
        <w:t xml:space="preserve">must vent directly to </w:t>
      </w:r>
      <w:r>
        <w:t xml:space="preserve">the </w:t>
      </w:r>
      <w:r w:rsidR="00B97CBD" w:rsidRPr="0091469F">
        <w:t>atmosphere.</w:t>
      </w:r>
    </w:p>
    <w:p w:rsidR="00F53F35" w:rsidRDefault="00F53F35" w:rsidP="00B97CBD"/>
    <w:p w:rsidR="00272049" w:rsidRDefault="00272049" w:rsidP="00B97CBD">
      <w:pPr>
        <w:sectPr w:rsidR="00272049" w:rsidSect="00977B64">
          <w:headerReference w:type="even" r:id="rId18"/>
          <w:headerReference w:type="default" r:id="rId19"/>
          <w:headerReference w:type="first" r:id="rId20"/>
          <w:pgSz w:w="11906" w:h="16838"/>
          <w:pgMar w:top="1440" w:right="1701" w:bottom="1440" w:left="1701" w:header="709" w:footer="709" w:gutter="0"/>
          <w:cols w:space="708"/>
          <w:titlePg/>
          <w:docGrid w:linePitch="360"/>
        </w:sectPr>
      </w:pPr>
    </w:p>
    <w:p w:rsidR="00DD7109" w:rsidRPr="00623D4D" w:rsidRDefault="00DD7109" w:rsidP="002F7AA8">
      <w:pPr>
        <w:pStyle w:val="HeadingA"/>
      </w:pPr>
      <w:bookmarkStart w:id="66" w:name="_Toc145728629"/>
      <w:bookmarkStart w:id="67" w:name="_Toc456602807"/>
      <w:bookmarkStart w:id="68" w:name="_Toc500003208"/>
      <w:bookmarkStart w:id="69" w:name="_Toc514930302"/>
      <w:bookmarkStart w:id="70" w:name="_Toc525916121"/>
      <w:r w:rsidRPr="00623D4D">
        <w:lastRenderedPageBreak/>
        <w:t>APPENDIX 1</w:t>
      </w:r>
      <w:bookmarkStart w:id="71" w:name="_Toc456602808"/>
      <w:bookmarkEnd w:id="66"/>
      <w:bookmarkEnd w:id="67"/>
      <w:bookmarkEnd w:id="68"/>
      <w:bookmarkEnd w:id="69"/>
      <w:bookmarkEnd w:id="70"/>
    </w:p>
    <w:bookmarkEnd w:id="71"/>
    <w:p w:rsidR="00DD7109" w:rsidRPr="00623D4D" w:rsidRDefault="00DD7109" w:rsidP="00DD7109">
      <w:pPr>
        <w:pStyle w:val="Appendixsubheading"/>
      </w:pPr>
      <w:r>
        <w:t xml:space="preserve">Determination of the </w:t>
      </w:r>
      <w:r w:rsidR="00FB45E7">
        <w:t>‘</w:t>
      </w:r>
      <w:r>
        <w:t>St</w:t>
      </w:r>
      <w:r w:rsidR="006E08ED">
        <w:t>atic Stability Ratio</w:t>
      </w:r>
      <w:r w:rsidR="00FB45E7">
        <w:t>’</w:t>
      </w:r>
      <w:r w:rsidR="006E08ED">
        <w:t xml:space="preserve"> for </w:t>
      </w:r>
      <w:r w:rsidR="001625B2">
        <w:t>category LE vehicles</w:t>
      </w:r>
    </w:p>
    <w:p w:rsidR="00DD7109" w:rsidRPr="00623D4D" w:rsidRDefault="00DD7109" w:rsidP="00A229B1">
      <w:pPr>
        <w:pStyle w:val="Appendix-ClauseHeading"/>
        <w:keepNext w:val="0"/>
        <w:numPr>
          <w:ilvl w:val="0"/>
          <w:numId w:val="10"/>
        </w:numPr>
      </w:pPr>
      <w:r>
        <w:t>Definitions</w:t>
      </w:r>
    </w:p>
    <w:p w:rsidR="00DD7109" w:rsidRPr="003570FF" w:rsidRDefault="002D5D40" w:rsidP="00A229B1">
      <w:pPr>
        <w:pStyle w:val="Appendix-Subclause"/>
        <w:numPr>
          <w:ilvl w:val="1"/>
          <w:numId w:val="9"/>
        </w:numPr>
      </w:pPr>
      <w:r>
        <w:rPr>
          <w:rFonts w:cs="Arial"/>
        </w:rPr>
        <w:t>‘</w:t>
      </w:r>
      <w:r w:rsidR="001625B2" w:rsidRPr="006C70A7">
        <w:rPr>
          <w:rFonts w:cs="Arial"/>
        </w:rPr>
        <w:t>Static Stability Ratio</w:t>
      </w:r>
      <w:r>
        <w:rPr>
          <w:rFonts w:cs="Arial"/>
        </w:rPr>
        <w:t>’</w:t>
      </w:r>
      <w:r w:rsidR="001625B2" w:rsidRPr="006C70A7">
        <w:rPr>
          <w:rFonts w:cs="Arial"/>
        </w:rPr>
        <w:t xml:space="preserve"> </w:t>
      </w:r>
      <w:r w:rsidR="001625B2">
        <w:rPr>
          <w:rFonts w:cs="Arial"/>
        </w:rPr>
        <w:t xml:space="preserve">is the </w:t>
      </w:r>
      <w:r w:rsidR="001625B2" w:rsidRPr="006C70A7">
        <w:rPr>
          <w:rFonts w:cs="Arial"/>
        </w:rPr>
        <w:t xml:space="preserve">ratio of the </w:t>
      </w:r>
      <w:r w:rsidR="002D70D0" w:rsidRPr="006C70A7">
        <w:rPr>
          <w:rFonts w:cs="Arial"/>
        </w:rPr>
        <w:t>height (h)</w:t>
      </w:r>
      <w:r w:rsidR="002D70D0">
        <w:rPr>
          <w:rFonts w:cs="Arial"/>
        </w:rPr>
        <w:t xml:space="preserve"> of the </w:t>
      </w:r>
      <w:r w:rsidR="00C15F1B">
        <w:rPr>
          <w:rFonts w:cs="Arial"/>
        </w:rPr>
        <w:t>‘</w:t>
      </w:r>
      <w:r w:rsidR="001625B2" w:rsidRPr="006C70A7">
        <w:rPr>
          <w:rFonts w:cs="Arial"/>
        </w:rPr>
        <w:t>Centre of Mass (CoM)</w:t>
      </w:r>
      <w:r w:rsidR="00C15F1B">
        <w:rPr>
          <w:rFonts w:cs="Arial"/>
        </w:rPr>
        <w:t>’</w:t>
      </w:r>
      <w:r w:rsidR="001625B2" w:rsidRPr="006C70A7">
        <w:rPr>
          <w:rFonts w:cs="Arial"/>
        </w:rPr>
        <w:t xml:space="preserve"> (see </w:t>
      </w:r>
      <w:r w:rsidR="0093628F">
        <w:t xml:space="preserve">Figure </w:t>
      </w:r>
      <w:r w:rsidR="0093628F">
        <w:rPr>
          <w:noProof/>
        </w:rPr>
        <w:t>5</w:t>
      </w:r>
      <w:r w:rsidR="001625B2" w:rsidRPr="006C70A7">
        <w:rPr>
          <w:rFonts w:cs="Arial"/>
        </w:rPr>
        <w:t xml:space="preserve">) </w:t>
      </w:r>
      <w:r>
        <w:rPr>
          <w:rFonts w:cs="Arial"/>
        </w:rPr>
        <w:t>and</w:t>
      </w:r>
      <w:r w:rsidR="001625B2" w:rsidRPr="006C70A7">
        <w:rPr>
          <w:rFonts w:cs="Arial"/>
        </w:rPr>
        <w:t xml:space="preserve"> the horizontal distance </w:t>
      </w:r>
      <w:r w:rsidR="00673B73">
        <w:rPr>
          <w:rFonts w:cs="Arial"/>
        </w:rPr>
        <w:t xml:space="preserve">(d) </w:t>
      </w:r>
      <w:r w:rsidR="001625B2" w:rsidRPr="006C70A7">
        <w:rPr>
          <w:rFonts w:cs="Arial"/>
        </w:rPr>
        <w:t xml:space="preserve">from the </w:t>
      </w:r>
      <w:r w:rsidR="00C15F1B">
        <w:rPr>
          <w:rFonts w:cs="Arial"/>
        </w:rPr>
        <w:t>‘</w:t>
      </w:r>
      <w:r w:rsidR="001625B2" w:rsidRPr="006C70A7">
        <w:rPr>
          <w:rFonts w:cs="Arial"/>
        </w:rPr>
        <w:t>CoM</w:t>
      </w:r>
      <w:r w:rsidR="00C15F1B">
        <w:rPr>
          <w:rFonts w:cs="Arial"/>
        </w:rPr>
        <w:t>’</w:t>
      </w:r>
      <w:r w:rsidR="001625B2" w:rsidRPr="006C70A7">
        <w:rPr>
          <w:rFonts w:cs="Arial"/>
        </w:rPr>
        <w:t xml:space="preserve"> to </w:t>
      </w:r>
      <w:r w:rsidR="0045352C">
        <w:rPr>
          <w:rFonts w:cs="Arial"/>
        </w:rPr>
        <w:t>the nearest roll axis (see F</w:t>
      </w:r>
      <w:r w:rsidR="001625B2" w:rsidRPr="006C70A7">
        <w:rPr>
          <w:rFonts w:cs="Arial"/>
        </w:rPr>
        <w:t>igure</w:t>
      </w:r>
      <w:r w:rsidR="0045352C">
        <w:rPr>
          <w:rFonts w:cs="Arial"/>
        </w:rPr>
        <w:t>s</w:t>
      </w:r>
      <w:r w:rsidR="001625B2" w:rsidRPr="006C70A7">
        <w:rPr>
          <w:rFonts w:cs="Arial"/>
        </w:rPr>
        <w:t xml:space="preserve"> </w:t>
      </w:r>
      <w:r w:rsidR="00A633C0">
        <w:rPr>
          <w:rFonts w:cs="Arial"/>
        </w:rPr>
        <w:t>6</w:t>
      </w:r>
      <w:r w:rsidR="001625B2" w:rsidRPr="006C70A7">
        <w:rPr>
          <w:rFonts w:cs="Arial"/>
        </w:rPr>
        <w:t xml:space="preserve"> and </w:t>
      </w:r>
      <w:r w:rsidR="00A633C0">
        <w:t>7</w:t>
      </w:r>
      <w:r w:rsidR="001625B2" w:rsidRPr="006C70A7">
        <w:rPr>
          <w:rFonts w:cs="Arial"/>
        </w:rPr>
        <w:t xml:space="preserve">) </w:t>
      </w:r>
      <w:r>
        <w:rPr>
          <w:rFonts w:cs="Arial"/>
        </w:rPr>
        <w:t xml:space="preserve">at </w:t>
      </w:r>
      <w:r w:rsidR="001625B2" w:rsidRPr="006C70A7">
        <w:rPr>
          <w:rFonts w:cs="Arial"/>
        </w:rPr>
        <w:t>‘</w:t>
      </w:r>
      <w:r w:rsidR="001625B2" w:rsidRPr="006C70A7">
        <w:rPr>
          <w:rFonts w:cs="Arial"/>
          <w:i/>
        </w:rPr>
        <w:t>Maximum Loaded Test Mass</w:t>
      </w:r>
      <w:r>
        <w:rPr>
          <w:rFonts w:cs="Arial"/>
        </w:rPr>
        <w:t>’</w:t>
      </w:r>
      <w:r w:rsidR="001625B2" w:rsidRPr="006C70A7">
        <w:rPr>
          <w:rFonts w:cs="Arial"/>
        </w:rPr>
        <w:t>.</w:t>
      </w:r>
    </w:p>
    <w:p w:rsidR="003570FF" w:rsidRDefault="003570FF" w:rsidP="00963920">
      <w:pPr>
        <w:pStyle w:val="Appendix-Subclause"/>
        <w:ind w:left="1134"/>
        <w:jc w:val="both"/>
      </w:pPr>
      <w:r w:rsidRPr="003570FF">
        <w:rPr>
          <w:noProof/>
        </w:rPr>
        <w:drawing>
          <wp:inline distT="0" distB="0" distL="0" distR="0">
            <wp:extent cx="4500000" cy="3061983"/>
            <wp:effectExtent l="0" t="0" r="0" b="5080"/>
            <wp:docPr id="6" name="Picture 6" descr="Illustration of the location of the 'CoM' in plan view, including dimensions d, L, W and T; and axle loads F and R." title="Figure 5: Three-wheeled L-Group vehicle (sid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0000" cy="3061983"/>
                    </a:xfrm>
                    <a:prstGeom prst="rect">
                      <a:avLst/>
                    </a:prstGeom>
                    <a:noFill/>
                    <a:ln>
                      <a:noFill/>
                    </a:ln>
                  </pic:spPr>
                </pic:pic>
              </a:graphicData>
            </a:graphic>
          </wp:inline>
        </w:drawing>
      </w:r>
    </w:p>
    <w:p w:rsidR="003570FF" w:rsidRDefault="002B1004" w:rsidP="000F348A">
      <w:pPr>
        <w:pStyle w:val="Caption"/>
        <w:ind w:left="1134"/>
        <w:rPr>
          <w:b w:val="0"/>
        </w:rPr>
      </w:pPr>
      <w:bookmarkStart w:id="72" w:name="_Ref517689651"/>
      <w:r>
        <w:t xml:space="preserve">Figure </w:t>
      </w:r>
      <w:r w:rsidR="0093628F">
        <w:rPr>
          <w:noProof/>
        </w:rPr>
        <w:t>5</w:t>
      </w:r>
      <w:bookmarkEnd w:id="72"/>
      <w:r w:rsidR="003570FF" w:rsidRPr="001252F4">
        <w:rPr>
          <w:b w:val="0"/>
        </w:rPr>
        <w:t xml:space="preserve">: </w:t>
      </w:r>
      <w:r w:rsidR="003570FF">
        <w:rPr>
          <w:b w:val="0"/>
        </w:rPr>
        <w:t>Three-wheeled L-Group vehicle (side view)</w:t>
      </w:r>
    </w:p>
    <w:p w:rsidR="003570FF" w:rsidRDefault="002411B8" w:rsidP="00963920">
      <w:pPr>
        <w:spacing w:before="120" w:after="120"/>
        <w:ind w:firstLine="1134"/>
        <w:rPr>
          <w:rFonts w:ascii="Times New Roman Bold" w:hAnsi="Times New Roman Bold"/>
          <w:b/>
        </w:rPr>
      </w:pPr>
      <w:r w:rsidRPr="002411B8">
        <w:rPr>
          <w:noProof/>
        </w:rPr>
        <w:drawing>
          <wp:inline distT="0" distB="0" distL="0" distR="0">
            <wp:extent cx="4500000" cy="3124493"/>
            <wp:effectExtent l="0" t="0" r="0" b="0"/>
            <wp:docPr id="8" name="Picture 8" descr="Illustration of the location of the 'CoM' in plan view, including dimensions d, L, W and T." title="Figure 6: Category LEM1, LEP1 or LEG1 vehicle (pla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00000" cy="3124493"/>
                    </a:xfrm>
                    <a:prstGeom prst="rect">
                      <a:avLst/>
                    </a:prstGeom>
                    <a:noFill/>
                    <a:ln>
                      <a:noFill/>
                    </a:ln>
                  </pic:spPr>
                </pic:pic>
              </a:graphicData>
            </a:graphic>
          </wp:inline>
        </w:drawing>
      </w:r>
    </w:p>
    <w:p w:rsidR="002411B8" w:rsidRDefault="002B1004" w:rsidP="000F348A">
      <w:pPr>
        <w:pStyle w:val="Caption"/>
        <w:ind w:left="1134"/>
        <w:rPr>
          <w:b w:val="0"/>
        </w:rPr>
      </w:pPr>
      <w:r>
        <w:t xml:space="preserve">Figure </w:t>
      </w:r>
      <w:r w:rsidR="0093628F">
        <w:rPr>
          <w:noProof/>
        </w:rPr>
        <w:t>6</w:t>
      </w:r>
      <w:r w:rsidR="002411B8" w:rsidRPr="001252F4">
        <w:rPr>
          <w:b w:val="0"/>
        </w:rPr>
        <w:t xml:space="preserve">: </w:t>
      </w:r>
      <w:r w:rsidR="002411B8">
        <w:rPr>
          <w:b w:val="0"/>
        </w:rPr>
        <w:t>Category LEM1, LEP1 or LEG1 vehicle (plan view)</w:t>
      </w:r>
    </w:p>
    <w:p w:rsidR="002411B8" w:rsidRDefault="002411B8" w:rsidP="00963920">
      <w:pPr>
        <w:spacing w:before="120" w:after="120"/>
        <w:ind w:firstLine="1134"/>
        <w:rPr>
          <w:rFonts w:ascii="Times New Roman Bold" w:hAnsi="Times New Roman Bold"/>
          <w:b/>
        </w:rPr>
      </w:pPr>
      <w:r w:rsidRPr="002411B8">
        <w:rPr>
          <w:noProof/>
        </w:rPr>
        <w:lastRenderedPageBreak/>
        <w:drawing>
          <wp:inline distT="0" distB="0" distL="0" distR="0">
            <wp:extent cx="4500000" cy="2998464"/>
            <wp:effectExtent l="0" t="0" r="0" b="0"/>
            <wp:docPr id="11" name="Picture 11" descr="Illustration of the location of the 'CoM' in plan view, including dimensions d, L, W and T." title="Figure 7: Category LEM2, LEP2 or LEG2 vehicle (pla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00000" cy="2998464"/>
                    </a:xfrm>
                    <a:prstGeom prst="rect">
                      <a:avLst/>
                    </a:prstGeom>
                    <a:noFill/>
                    <a:ln>
                      <a:noFill/>
                    </a:ln>
                  </pic:spPr>
                </pic:pic>
              </a:graphicData>
            </a:graphic>
          </wp:inline>
        </w:drawing>
      </w:r>
    </w:p>
    <w:p w:rsidR="002411B8" w:rsidRDefault="002B1004" w:rsidP="000F348A">
      <w:pPr>
        <w:pStyle w:val="Caption"/>
        <w:ind w:left="1134"/>
        <w:rPr>
          <w:b w:val="0"/>
        </w:rPr>
      </w:pPr>
      <w:r>
        <w:t xml:space="preserve">Figure </w:t>
      </w:r>
      <w:r w:rsidR="0093628F">
        <w:rPr>
          <w:noProof/>
        </w:rPr>
        <w:t>7</w:t>
      </w:r>
      <w:r w:rsidR="002411B8" w:rsidRPr="001252F4">
        <w:rPr>
          <w:b w:val="0"/>
        </w:rPr>
        <w:t xml:space="preserve">: </w:t>
      </w:r>
      <w:r w:rsidR="002411B8">
        <w:rPr>
          <w:b w:val="0"/>
        </w:rPr>
        <w:t>Category LEM2, LEP2 or LEG2 vehicle (plan view)</w:t>
      </w:r>
    </w:p>
    <w:p w:rsidR="001625B2" w:rsidRPr="001625B2" w:rsidRDefault="001625B2" w:rsidP="00A229B1">
      <w:pPr>
        <w:pStyle w:val="ListParagraph"/>
        <w:numPr>
          <w:ilvl w:val="1"/>
          <w:numId w:val="9"/>
        </w:numPr>
      </w:pPr>
      <w:r w:rsidRPr="001625B2">
        <w:t xml:space="preserve">A </w:t>
      </w:r>
      <w:r w:rsidR="002D5D40">
        <w:t>‘</w:t>
      </w:r>
      <w:r w:rsidRPr="001625B2">
        <w:t>roll axis</w:t>
      </w:r>
      <w:r w:rsidR="002D5D40">
        <w:t>’</w:t>
      </w:r>
      <w:r w:rsidR="009D39D5">
        <w:t xml:space="preserve"> is a line joining the centre-</w:t>
      </w:r>
      <w:r w:rsidRPr="001625B2">
        <w:t>point of each tyre</w:t>
      </w:r>
      <w:r w:rsidR="00E86E07">
        <w:t>’</w:t>
      </w:r>
      <w:r w:rsidR="001B5280">
        <w:t>s contact patch (</w:t>
      </w:r>
      <w:r w:rsidR="00293A38">
        <w:rPr>
          <w:rFonts w:cs="Arial"/>
        </w:rPr>
        <w:t>see F</w:t>
      </w:r>
      <w:r w:rsidR="00293A38" w:rsidRPr="006C70A7">
        <w:rPr>
          <w:rFonts w:cs="Arial"/>
        </w:rPr>
        <w:t>igure</w:t>
      </w:r>
      <w:r w:rsidR="00293A38">
        <w:rPr>
          <w:rFonts w:cs="Arial"/>
        </w:rPr>
        <w:t>s</w:t>
      </w:r>
      <w:r w:rsidR="00293A38" w:rsidRPr="006C70A7">
        <w:rPr>
          <w:rFonts w:cs="Arial"/>
        </w:rPr>
        <w:t xml:space="preserve"> </w:t>
      </w:r>
      <w:r w:rsidR="00A633C0">
        <w:t>6 and 7</w:t>
      </w:r>
      <w:r w:rsidRPr="001625B2">
        <w:t>).</w:t>
      </w:r>
    </w:p>
    <w:p w:rsidR="001625B2" w:rsidRDefault="002A67F7" w:rsidP="00A229B1">
      <w:pPr>
        <w:pStyle w:val="Appendix-ClauseHeading"/>
        <w:keepNext w:val="0"/>
        <w:numPr>
          <w:ilvl w:val="0"/>
          <w:numId w:val="10"/>
        </w:numPr>
      </w:pPr>
      <w:r>
        <w:t>Procedures for determining the transverse</w:t>
      </w:r>
      <w:r w:rsidR="00F96876">
        <w:t xml:space="preserve"> location</w:t>
      </w:r>
      <w:r w:rsidR="00835F2E">
        <w:t xml:space="preserve"> and </w:t>
      </w:r>
      <w:r w:rsidR="00B97C4F">
        <w:t xml:space="preserve">the </w:t>
      </w:r>
      <w:r>
        <w:t xml:space="preserve">longitudinal </w:t>
      </w:r>
      <w:r w:rsidR="00F96876">
        <w:t xml:space="preserve">location </w:t>
      </w:r>
      <w:r w:rsidR="00673B73">
        <w:t xml:space="preserve">(L) </w:t>
      </w:r>
      <w:r w:rsidR="00F96876">
        <w:t xml:space="preserve">of </w:t>
      </w:r>
      <w:r w:rsidR="00B97C4F">
        <w:t>the</w:t>
      </w:r>
      <w:r w:rsidR="00F96876">
        <w:t xml:space="preserve"> </w:t>
      </w:r>
      <w:r w:rsidR="0034289D">
        <w:t>‘Co</w:t>
      </w:r>
      <w:r w:rsidR="00523DE2">
        <w:t>M’</w:t>
      </w:r>
    </w:p>
    <w:p w:rsidR="00E90920" w:rsidRPr="0091469F" w:rsidRDefault="00C15F1B" w:rsidP="00A229B1">
      <w:pPr>
        <w:pStyle w:val="Subsubsubclause"/>
        <w:numPr>
          <w:ilvl w:val="1"/>
          <w:numId w:val="9"/>
        </w:numPr>
        <w:rPr>
          <w:rFonts w:cs="Arial"/>
        </w:rPr>
      </w:pPr>
      <w:r w:rsidRPr="006C70A7">
        <w:rPr>
          <w:rFonts w:cs="Arial"/>
        </w:rPr>
        <w:t xml:space="preserve">Unless otherwise </w:t>
      </w:r>
      <w:r w:rsidRPr="006C70A7">
        <w:rPr>
          <w:rFonts w:cs="Arial"/>
          <w:i/>
        </w:rPr>
        <w:t>‘Approved</w:t>
      </w:r>
      <w:r w:rsidRPr="009C2E57">
        <w:rPr>
          <w:rFonts w:cs="Arial"/>
          <w:i/>
        </w:rPr>
        <w:t>’</w:t>
      </w:r>
      <w:r w:rsidRPr="006C70A7">
        <w:rPr>
          <w:rFonts w:cs="Arial"/>
        </w:rPr>
        <w:t>,</w:t>
      </w:r>
      <w:r>
        <w:rPr>
          <w:rFonts w:cs="Arial"/>
        </w:rPr>
        <w:t xml:space="preserve"> t</w:t>
      </w:r>
      <w:r w:rsidR="00E90920" w:rsidRPr="0091469F">
        <w:rPr>
          <w:rFonts w:cs="Arial"/>
        </w:rPr>
        <w:t>he transverse loca</w:t>
      </w:r>
      <w:r w:rsidR="0064129D">
        <w:rPr>
          <w:rFonts w:cs="Arial"/>
        </w:rPr>
        <w:t xml:space="preserve">tion of the </w:t>
      </w:r>
      <w:r>
        <w:rPr>
          <w:rFonts w:cs="Arial"/>
        </w:rPr>
        <w:t>‘CoM’</w:t>
      </w:r>
      <w:r w:rsidR="00E90920" w:rsidRPr="0091469F">
        <w:rPr>
          <w:rFonts w:cs="Arial"/>
        </w:rPr>
        <w:t xml:space="preserve"> </w:t>
      </w:r>
      <w:r>
        <w:rPr>
          <w:rFonts w:cs="Arial"/>
        </w:rPr>
        <w:t>shall be</w:t>
      </w:r>
      <w:r w:rsidR="00E90920" w:rsidRPr="0091469F">
        <w:rPr>
          <w:rFonts w:cs="Arial"/>
        </w:rPr>
        <w:t xml:space="preserve"> </w:t>
      </w:r>
      <w:r w:rsidR="0064129D">
        <w:rPr>
          <w:rFonts w:cs="Arial"/>
        </w:rPr>
        <w:t xml:space="preserve">taken to be </w:t>
      </w:r>
      <w:r w:rsidR="00E90920" w:rsidRPr="0091469F">
        <w:rPr>
          <w:rFonts w:cs="Arial"/>
        </w:rPr>
        <w:t>located along the vehicle’s longitudinal centreline.</w:t>
      </w:r>
    </w:p>
    <w:p w:rsidR="00B97C4F" w:rsidRPr="0091469F" w:rsidRDefault="00C15F1B" w:rsidP="00A229B1">
      <w:pPr>
        <w:pStyle w:val="Subsubsubclause"/>
        <w:numPr>
          <w:ilvl w:val="1"/>
          <w:numId w:val="9"/>
        </w:numPr>
        <w:rPr>
          <w:rFonts w:cs="Arial"/>
        </w:rPr>
      </w:pPr>
      <w:r w:rsidRPr="006C70A7">
        <w:rPr>
          <w:rFonts w:cs="Arial"/>
        </w:rPr>
        <w:t xml:space="preserve">Unless otherwise </w:t>
      </w:r>
      <w:r w:rsidRPr="006C70A7">
        <w:rPr>
          <w:rFonts w:cs="Arial"/>
          <w:i/>
        </w:rPr>
        <w:t>‘Approved</w:t>
      </w:r>
      <w:r w:rsidRPr="009C2E57">
        <w:rPr>
          <w:rFonts w:cs="Arial"/>
          <w:i/>
        </w:rPr>
        <w:t>’</w:t>
      </w:r>
      <w:r w:rsidRPr="006C70A7">
        <w:rPr>
          <w:rFonts w:cs="Arial"/>
        </w:rPr>
        <w:t>,</w:t>
      </w:r>
      <w:r>
        <w:rPr>
          <w:rFonts w:cs="Arial"/>
        </w:rPr>
        <w:t xml:space="preserve"> t</w:t>
      </w:r>
      <w:r w:rsidR="00B97C4F" w:rsidRPr="0091469F">
        <w:rPr>
          <w:rFonts w:cs="Arial"/>
        </w:rPr>
        <w:t>he lo</w:t>
      </w:r>
      <w:r w:rsidR="00CE279C">
        <w:rPr>
          <w:rFonts w:cs="Arial"/>
        </w:rPr>
        <w:t xml:space="preserve">ngitudinal </w:t>
      </w:r>
      <w:r w:rsidR="0015774D">
        <w:rPr>
          <w:rFonts w:cs="Arial"/>
        </w:rPr>
        <w:t>location</w:t>
      </w:r>
      <w:r w:rsidR="00CE279C">
        <w:rPr>
          <w:rFonts w:cs="Arial"/>
        </w:rPr>
        <w:t xml:space="preserve"> (L) of the </w:t>
      </w:r>
      <w:r w:rsidR="004647C2">
        <w:rPr>
          <w:rFonts w:cs="Arial"/>
        </w:rPr>
        <w:t>‘CoM’</w:t>
      </w:r>
      <w:r w:rsidR="00B82303">
        <w:rPr>
          <w:rFonts w:cs="Arial"/>
        </w:rPr>
        <w:t xml:space="preserve"> from the centre</w:t>
      </w:r>
      <w:r w:rsidR="00B97C4F" w:rsidRPr="0091469F">
        <w:rPr>
          <w:rFonts w:cs="Arial"/>
        </w:rPr>
        <w:t xml:space="preserve">line of the front </w:t>
      </w:r>
      <w:r w:rsidR="00B97C4F" w:rsidRPr="0091469F">
        <w:rPr>
          <w:rFonts w:cs="Arial"/>
          <w:i/>
        </w:rPr>
        <w:t>‘Axle’,</w:t>
      </w:r>
      <w:r w:rsidR="00B97C4F" w:rsidRPr="0091469F">
        <w:rPr>
          <w:rFonts w:cs="Arial"/>
        </w:rPr>
        <w:t xml:space="preserve"> </w:t>
      </w:r>
      <w:r>
        <w:rPr>
          <w:rFonts w:cs="Arial"/>
        </w:rPr>
        <w:t>must be determined according to</w:t>
      </w:r>
      <w:r w:rsidR="00B97C4F" w:rsidRPr="0091469F">
        <w:rPr>
          <w:rFonts w:cs="Arial"/>
        </w:rPr>
        <w:t xml:space="preserve"> the formula</w:t>
      </w:r>
      <w:r w:rsidR="00651B6E">
        <w:rPr>
          <w:rFonts w:cs="Arial"/>
        </w:rPr>
        <w:t>:</w:t>
      </w:r>
    </w:p>
    <w:p w:rsidR="00B97C4F" w:rsidRPr="0091469F" w:rsidRDefault="00C95654" w:rsidP="00050809">
      <w:pPr>
        <w:ind w:left="1134" w:firstLine="1134"/>
        <w:rPr>
          <w:rFonts w:cs="Arial"/>
        </w:rPr>
      </w:pPr>
      <m:oMathPara>
        <m:oMathParaPr>
          <m:jc m:val="left"/>
        </m:oMathParaPr>
        <m:oMath>
          <m:r>
            <w:rPr>
              <w:rFonts w:ascii="Cambria Math" w:hAnsi="Cambria Math" w:cs="Arial"/>
            </w:rPr>
            <m:t>L=</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WR</m:t>
                  </m:r>
                </m:num>
                <m:den>
                  <m:r>
                    <w:rPr>
                      <w:rFonts w:ascii="Cambria Math" w:hAnsi="Cambria Math" w:cs="Arial"/>
                    </w:rPr>
                    <m:t>F+R</m:t>
                  </m:r>
                </m:den>
              </m:f>
            </m:e>
          </m:d>
        </m:oMath>
      </m:oMathPara>
    </w:p>
    <w:p w:rsidR="00B97C4F" w:rsidRPr="0091469F" w:rsidRDefault="00DD07A5" w:rsidP="00651B6E">
      <w:pPr>
        <w:tabs>
          <w:tab w:val="left" w:pos="1134"/>
          <w:tab w:val="left" w:pos="1588"/>
        </w:tabs>
        <w:spacing w:before="120" w:after="120"/>
        <w:ind w:left="1134"/>
        <w:rPr>
          <w:rFonts w:cs="Arial"/>
        </w:rPr>
      </w:pPr>
      <w:r>
        <w:rPr>
          <w:rFonts w:cs="Arial"/>
        </w:rPr>
        <w:t>W</w:t>
      </w:r>
      <w:r w:rsidR="00B97C4F" w:rsidRPr="0091469F">
        <w:rPr>
          <w:rFonts w:cs="Arial"/>
        </w:rPr>
        <w:t>here:</w:t>
      </w:r>
    </w:p>
    <w:p w:rsidR="00B97C4F" w:rsidRPr="0091469F" w:rsidRDefault="00641960" w:rsidP="00B97C4F">
      <w:pPr>
        <w:tabs>
          <w:tab w:val="left" w:pos="1134"/>
          <w:tab w:val="left" w:pos="1588"/>
        </w:tabs>
        <w:ind w:left="1134"/>
        <w:rPr>
          <w:rFonts w:cs="Arial"/>
        </w:rPr>
      </w:pPr>
      <w:r>
        <w:rPr>
          <w:rFonts w:cs="Arial"/>
        </w:rPr>
        <w:t>W</w:t>
      </w:r>
      <w:r>
        <w:rPr>
          <w:rFonts w:cs="Arial"/>
        </w:rPr>
        <w:tab/>
        <w:t xml:space="preserve">is the </w:t>
      </w:r>
      <w:r w:rsidRPr="00641960">
        <w:rPr>
          <w:rFonts w:cs="Arial"/>
          <w:i/>
        </w:rPr>
        <w:t>‘W</w:t>
      </w:r>
      <w:r w:rsidR="00B97C4F" w:rsidRPr="00641960">
        <w:rPr>
          <w:rFonts w:cs="Arial"/>
          <w:i/>
        </w:rPr>
        <w:t>heelbase</w:t>
      </w:r>
      <w:r w:rsidRPr="00641960">
        <w:rPr>
          <w:rFonts w:cs="Arial"/>
          <w:i/>
        </w:rPr>
        <w:t>’</w:t>
      </w:r>
    </w:p>
    <w:p w:rsidR="00B97C4F" w:rsidRPr="0091469F" w:rsidRDefault="00B97C4F" w:rsidP="00B97C4F">
      <w:pPr>
        <w:tabs>
          <w:tab w:val="left" w:pos="1134"/>
          <w:tab w:val="left" w:pos="1588"/>
        </w:tabs>
        <w:ind w:left="1588" w:hanging="454"/>
        <w:rPr>
          <w:rFonts w:cs="Arial"/>
        </w:rPr>
      </w:pPr>
      <w:r w:rsidRPr="0091469F">
        <w:rPr>
          <w:rFonts w:cs="Arial"/>
        </w:rPr>
        <w:t>R</w:t>
      </w:r>
      <w:r w:rsidRPr="0091469F">
        <w:rPr>
          <w:rFonts w:cs="Arial"/>
        </w:rPr>
        <w:tab/>
        <w:t xml:space="preserve">is the rear </w:t>
      </w:r>
      <w:r w:rsidRPr="0091469F">
        <w:rPr>
          <w:rFonts w:cs="Arial"/>
          <w:i/>
        </w:rPr>
        <w:t>‘Axle Load’</w:t>
      </w:r>
      <w:r w:rsidRPr="0091469F">
        <w:rPr>
          <w:rFonts w:cs="Arial"/>
        </w:rPr>
        <w:t xml:space="preserve"> on the </w:t>
      </w:r>
      <w:r>
        <w:rPr>
          <w:rFonts w:cs="Arial"/>
        </w:rPr>
        <w:t>tyre(</w:t>
      </w:r>
      <w:r w:rsidRPr="0091469F">
        <w:rPr>
          <w:rFonts w:cs="Arial"/>
        </w:rPr>
        <w:t>s</w:t>
      </w:r>
      <w:r>
        <w:rPr>
          <w:rFonts w:cs="Arial"/>
        </w:rPr>
        <w:t>)</w:t>
      </w:r>
      <w:r w:rsidRPr="0091469F">
        <w:rPr>
          <w:rFonts w:cs="Arial"/>
        </w:rPr>
        <w:t xml:space="preserve"> </w:t>
      </w:r>
      <w:r>
        <w:rPr>
          <w:rFonts w:cs="Arial"/>
        </w:rPr>
        <w:t>at</w:t>
      </w:r>
      <w:r w:rsidRPr="0091469F">
        <w:rPr>
          <w:rFonts w:cs="Arial"/>
        </w:rPr>
        <w:t xml:space="preserve"> </w:t>
      </w:r>
      <w:r w:rsidRPr="0091469F">
        <w:rPr>
          <w:rFonts w:cs="Arial"/>
          <w:i/>
        </w:rPr>
        <w:t>‘Maximum Loaded Test Mass’</w:t>
      </w:r>
    </w:p>
    <w:p w:rsidR="00B97C4F" w:rsidRPr="0091469F" w:rsidRDefault="00B97C4F" w:rsidP="00B97C4F">
      <w:pPr>
        <w:tabs>
          <w:tab w:val="left" w:pos="1134"/>
          <w:tab w:val="left" w:pos="1588"/>
        </w:tabs>
        <w:ind w:left="1588" w:hanging="454"/>
        <w:rPr>
          <w:rFonts w:cs="Arial"/>
        </w:rPr>
      </w:pPr>
      <w:r w:rsidRPr="0091469F">
        <w:rPr>
          <w:rFonts w:cs="Arial"/>
        </w:rPr>
        <w:t>F</w:t>
      </w:r>
      <w:r w:rsidRPr="0091469F">
        <w:rPr>
          <w:rFonts w:cs="Arial"/>
        </w:rPr>
        <w:tab/>
        <w:t xml:space="preserve">is the front </w:t>
      </w:r>
      <w:r w:rsidRPr="0091469F">
        <w:rPr>
          <w:rFonts w:cs="Arial"/>
          <w:i/>
        </w:rPr>
        <w:t>‘Axle Load</w:t>
      </w:r>
      <w:r w:rsidRPr="0091469F">
        <w:rPr>
          <w:rFonts w:cs="Arial"/>
        </w:rPr>
        <w:t xml:space="preserve">’ on the tyre(s) </w:t>
      </w:r>
      <w:r>
        <w:rPr>
          <w:rFonts w:cs="Arial"/>
        </w:rPr>
        <w:t>at</w:t>
      </w:r>
      <w:r w:rsidRPr="0091469F">
        <w:rPr>
          <w:rFonts w:cs="Arial"/>
        </w:rPr>
        <w:t xml:space="preserve"> </w:t>
      </w:r>
      <w:r w:rsidRPr="0091469F">
        <w:rPr>
          <w:rFonts w:cs="Arial"/>
          <w:i/>
        </w:rPr>
        <w:t>‘Maximum Loaded Test Mass’</w:t>
      </w:r>
    </w:p>
    <w:p w:rsidR="00835F2E" w:rsidRDefault="00835F2E" w:rsidP="00A229B1">
      <w:pPr>
        <w:pStyle w:val="Appendix-ClauseHeading"/>
        <w:keepNext w:val="0"/>
        <w:numPr>
          <w:ilvl w:val="0"/>
          <w:numId w:val="9"/>
        </w:numPr>
      </w:pPr>
      <w:r>
        <w:t>Procedures for deter</w:t>
      </w:r>
      <w:r w:rsidR="0034289D">
        <w:t>mining the height (h) of the ‘Co</w:t>
      </w:r>
      <w:r>
        <w:t>M’</w:t>
      </w:r>
    </w:p>
    <w:p w:rsidR="00F34F28" w:rsidRPr="00F34F28" w:rsidRDefault="002D5568" w:rsidP="00A229B1">
      <w:pPr>
        <w:pStyle w:val="Appendix-Subclause"/>
        <w:numPr>
          <w:ilvl w:val="1"/>
          <w:numId w:val="9"/>
        </w:numPr>
      </w:pPr>
      <w:r>
        <w:t xml:space="preserve">The </w:t>
      </w:r>
      <w:r w:rsidR="00305BD5">
        <w:t xml:space="preserve">height (h) of the ‘CoM’ must be determined according to either the </w:t>
      </w:r>
      <w:r w:rsidR="00305BD5" w:rsidRPr="006C70A7">
        <w:rPr>
          <w:rFonts w:cs="Arial"/>
        </w:rPr>
        <w:t>Stable Pendulum Method (</w:t>
      </w:r>
      <w:r w:rsidR="00305BD5">
        <w:rPr>
          <w:rFonts w:cs="Arial"/>
        </w:rPr>
        <w:t>clause</w:t>
      </w:r>
      <w:r w:rsidR="00305BD5" w:rsidRPr="006C70A7">
        <w:rPr>
          <w:rFonts w:cs="Arial"/>
        </w:rPr>
        <w:t xml:space="preserve"> </w:t>
      </w:r>
      <w:r w:rsidR="00305BD5">
        <w:rPr>
          <w:rFonts w:cs="Arial"/>
        </w:rPr>
        <w:t>3.2 below</w:t>
      </w:r>
      <w:r w:rsidR="00305BD5" w:rsidRPr="006C70A7">
        <w:rPr>
          <w:rFonts w:cs="Arial"/>
        </w:rPr>
        <w:t xml:space="preserve">) </w:t>
      </w:r>
      <w:r w:rsidR="00305BD5">
        <w:rPr>
          <w:rFonts w:cs="Arial"/>
        </w:rPr>
        <w:t>or</w:t>
      </w:r>
      <w:r w:rsidR="00305BD5" w:rsidRPr="006C70A7">
        <w:rPr>
          <w:rFonts w:cs="Arial"/>
        </w:rPr>
        <w:t xml:space="preserve"> the Axle Lift Method (</w:t>
      </w:r>
      <w:r w:rsidR="00305BD5">
        <w:rPr>
          <w:rFonts w:cs="Arial"/>
        </w:rPr>
        <w:t>clause 3.</w:t>
      </w:r>
      <w:r w:rsidR="00873661">
        <w:rPr>
          <w:rFonts w:cs="Arial"/>
        </w:rPr>
        <w:t>3</w:t>
      </w:r>
      <w:r w:rsidR="00305BD5">
        <w:rPr>
          <w:rFonts w:cs="Arial"/>
        </w:rPr>
        <w:t xml:space="preserve"> below</w:t>
      </w:r>
      <w:r w:rsidR="00305BD5" w:rsidRPr="006C70A7">
        <w:rPr>
          <w:rFonts w:cs="Arial"/>
        </w:rPr>
        <w:t>)</w:t>
      </w:r>
      <w:r w:rsidR="00305BD5">
        <w:rPr>
          <w:rFonts w:cs="Arial"/>
        </w:rPr>
        <w:t xml:space="preserve">. The </w:t>
      </w:r>
      <w:r w:rsidR="00305BD5" w:rsidRPr="00305BD5">
        <w:rPr>
          <w:rFonts w:cs="Arial"/>
          <w:i/>
        </w:rPr>
        <w:t>‘Manufacturer’</w:t>
      </w:r>
      <w:r w:rsidR="00305BD5">
        <w:rPr>
          <w:rFonts w:cs="Arial"/>
        </w:rPr>
        <w:t xml:space="preserve"> may decide which method is used.</w:t>
      </w:r>
    </w:p>
    <w:p w:rsidR="008E3CD8" w:rsidRDefault="000D71FA" w:rsidP="00A229B1">
      <w:pPr>
        <w:pStyle w:val="Appendix-Subclause"/>
        <w:numPr>
          <w:ilvl w:val="1"/>
          <w:numId w:val="9"/>
        </w:numPr>
      </w:pPr>
      <w:r>
        <w:rPr>
          <w:rFonts w:cs="Arial"/>
        </w:rPr>
        <w:t>Stable Pendulum Method</w:t>
      </w:r>
    </w:p>
    <w:p w:rsidR="008E3CD8" w:rsidRDefault="008E3CD8" w:rsidP="00A229B1">
      <w:pPr>
        <w:pStyle w:val="Appendix-Subclause"/>
        <w:numPr>
          <w:ilvl w:val="2"/>
          <w:numId w:val="9"/>
        </w:numPr>
      </w:pPr>
      <w:r>
        <w:t>For c</w:t>
      </w:r>
      <w:r w:rsidR="009579A0">
        <w:t xml:space="preserve">ategory </w:t>
      </w:r>
      <w:r w:rsidR="00CF58BC">
        <w:t xml:space="preserve">LEM1, LEP1 </w:t>
      </w:r>
      <w:r>
        <w:t>and</w:t>
      </w:r>
      <w:r w:rsidR="00CF58BC">
        <w:t xml:space="preserve"> LEG1 vehicles</w:t>
      </w:r>
      <w:r>
        <w:t>:</w:t>
      </w:r>
    </w:p>
    <w:p w:rsidR="008E3CD8" w:rsidRDefault="008E3CD8" w:rsidP="00A229B1">
      <w:pPr>
        <w:pStyle w:val="AlphaList0"/>
        <w:numPr>
          <w:ilvl w:val="4"/>
          <w:numId w:val="19"/>
        </w:numPr>
        <w:ind w:left="1588" w:hanging="454"/>
      </w:pPr>
      <w:r>
        <w:t xml:space="preserve">position </w:t>
      </w:r>
      <w:r w:rsidR="00CF58BC">
        <w:t>the vehicle on a level surface</w:t>
      </w:r>
      <w:r>
        <w:t>;</w:t>
      </w:r>
    </w:p>
    <w:p w:rsidR="00CF58BC" w:rsidRDefault="008E3CD8" w:rsidP="00A229B1">
      <w:pPr>
        <w:pStyle w:val="AlphaList0"/>
        <w:numPr>
          <w:ilvl w:val="4"/>
          <w:numId w:val="19"/>
        </w:numPr>
        <w:ind w:left="1588" w:hanging="454"/>
      </w:pPr>
      <w:r>
        <w:t>m</w:t>
      </w:r>
      <w:r w:rsidR="00CF58BC">
        <w:t xml:space="preserve">ark a horizontal </w:t>
      </w:r>
      <w:r>
        <w:t xml:space="preserve">‘reference </w:t>
      </w:r>
      <w:r w:rsidR="00CF58BC">
        <w:t>line</w:t>
      </w:r>
      <w:r>
        <w:t>’</w:t>
      </w:r>
      <w:r w:rsidR="00CF58BC">
        <w:t xml:space="preserve"> parallel to the vehicle longitudinal centreline, passing through </w:t>
      </w:r>
      <w:r>
        <w:t xml:space="preserve">the centre of the rear </w:t>
      </w:r>
      <w:r w:rsidRPr="00651B6E">
        <w:rPr>
          <w:i/>
        </w:rPr>
        <w:t>‘</w:t>
      </w:r>
      <w:r w:rsidR="00CF58BC" w:rsidRPr="00651B6E">
        <w:rPr>
          <w:i/>
        </w:rPr>
        <w:t>Axle</w:t>
      </w:r>
      <w:r w:rsidRPr="00651B6E">
        <w:rPr>
          <w:i/>
        </w:rPr>
        <w:t>’</w:t>
      </w:r>
      <w:r>
        <w:t>;</w:t>
      </w:r>
    </w:p>
    <w:p w:rsidR="008E3CD8" w:rsidRDefault="008E3CD8" w:rsidP="00A229B1">
      <w:pPr>
        <w:pStyle w:val="AlphaList0"/>
        <w:numPr>
          <w:ilvl w:val="4"/>
          <w:numId w:val="19"/>
        </w:numPr>
        <w:ind w:left="1588" w:hanging="454"/>
      </w:pPr>
      <w:r>
        <w:lastRenderedPageBreak/>
        <w:t>chock both rear wheels;</w:t>
      </w:r>
    </w:p>
    <w:p w:rsidR="008E3CD8" w:rsidRDefault="008E3CD8" w:rsidP="00A229B1">
      <w:pPr>
        <w:pStyle w:val="AlphaList0"/>
        <w:numPr>
          <w:ilvl w:val="4"/>
          <w:numId w:val="19"/>
        </w:numPr>
        <w:ind w:left="1588" w:hanging="454"/>
      </w:pPr>
      <w:r>
        <w:t xml:space="preserve">raise the front of the vehicle until the </w:t>
      </w:r>
      <w:r w:rsidR="0067082E">
        <w:t>‘C</w:t>
      </w:r>
      <w:r w:rsidR="0034289D">
        <w:t>o</w:t>
      </w:r>
      <w:r w:rsidR="0067082E">
        <w:t>M’</w:t>
      </w:r>
      <w:r>
        <w:t xml:space="preserve"> is directly over the rear </w:t>
      </w:r>
      <w:r w:rsidRPr="00651B6E">
        <w:rPr>
          <w:i/>
        </w:rPr>
        <w:t>‘Axle’</w:t>
      </w:r>
      <w:r w:rsidR="007D3629">
        <w:t>;</w:t>
      </w:r>
    </w:p>
    <w:p w:rsidR="008E3CD8" w:rsidRDefault="008E3CD8" w:rsidP="00A229B1">
      <w:pPr>
        <w:pStyle w:val="AlphaList0"/>
        <w:numPr>
          <w:ilvl w:val="4"/>
          <w:numId w:val="19"/>
        </w:numPr>
        <w:ind w:left="1588" w:hanging="454"/>
      </w:pPr>
      <w:r>
        <w:t xml:space="preserve">measure the angle </w:t>
      </w:r>
      <w:r w:rsidR="00226714">
        <w:t xml:space="preserve">(θ) </w:t>
      </w:r>
      <w:r>
        <w:t>between the ‘refer</w:t>
      </w:r>
      <w:r w:rsidR="00E66708">
        <w:t>ence line’ and the horizontal (s</w:t>
      </w:r>
      <w:r w:rsidR="000D71FA">
        <w:t xml:space="preserve">ee </w:t>
      </w:r>
      <w:r w:rsidR="0093628F">
        <w:t xml:space="preserve">Figure </w:t>
      </w:r>
      <w:r w:rsidR="0093628F">
        <w:rPr>
          <w:noProof/>
        </w:rPr>
        <w:t>8</w:t>
      </w:r>
      <w:r>
        <w:t>)</w:t>
      </w:r>
      <w:r w:rsidR="007D3629">
        <w:t>; and</w:t>
      </w:r>
    </w:p>
    <w:p w:rsidR="007D3629" w:rsidRDefault="007D3629" w:rsidP="00A229B1">
      <w:pPr>
        <w:pStyle w:val="AlphaList0"/>
        <w:numPr>
          <w:ilvl w:val="4"/>
          <w:numId w:val="19"/>
        </w:numPr>
        <w:ind w:left="1588" w:hanging="454"/>
      </w:pPr>
      <w:r w:rsidRPr="007D3629">
        <w:t xml:space="preserve">determine the height (h) of the ‘CoM’ </w:t>
      </w:r>
      <w:r w:rsidR="00693473">
        <w:t>from</w:t>
      </w:r>
      <w:r w:rsidRPr="007D3629">
        <w:t xml:space="preserve"> the formula:</w:t>
      </w:r>
    </w:p>
    <w:p w:rsidR="00C95654" w:rsidRDefault="00C95654" w:rsidP="007D3629">
      <w:pPr>
        <w:pStyle w:val="Appendix-Subclause"/>
        <w:ind w:left="1588"/>
      </w:pPr>
      <m:oMathPara>
        <m:oMathParaPr>
          <m:jc m:val="left"/>
        </m:oMathParaPr>
        <m:oMath>
          <m:r>
            <w:rPr>
              <w:rFonts w:ascii="Cambria Math" w:hAnsi="Cambria Math" w:cs="Arial"/>
            </w:rPr>
            <m:t>h=r+</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W-L</m:t>
                  </m:r>
                </m:num>
                <m:den>
                  <m:r>
                    <m:rPr>
                      <m:sty m:val="p"/>
                    </m:rPr>
                    <w:rPr>
                      <w:rFonts w:ascii="Cambria Math" w:hAnsi="Cambria Math"/>
                    </w:rPr>
                    <m:t>tan θ</m:t>
                  </m:r>
                </m:den>
              </m:f>
            </m:e>
          </m:d>
        </m:oMath>
      </m:oMathPara>
    </w:p>
    <w:p w:rsidR="007D3629" w:rsidRDefault="00DD07A5" w:rsidP="007D3629">
      <w:pPr>
        <w:tabs>
          <w:tab w:val="left" w:pos="1134"/>
          <w:tab w:val="left" w:pos="1588"/>
        </w:tabs>
        <w:spacing w:before="120" w:after="120"/>
        <w:ind w:left="1588"/>
      </w:pPr>
      <w:r>
        <w:t>W</w:t>
      </w:r>
      <w:r w:rsidR="007D3629">
        <w:t>here:</w:t>
      </w:r>
    </w:p>
    <w:p w:rsidR="007D3629" w:rsidRDefault="007D3629" w:rsidP="007D3629">
      <w:pPr>
        <w:tabs>
          <w:tab w:val="left" w:pos="1134"/>
          <w:tab w:val="left" w:pos="1588"/>
          <w:tab w:val="left" w:pos="2041"/>
        </w:tabs>
        <w:ind w:left="1588"/>
      </w:pPr>
      <w:r>
        <w:t>r</w:t>
      </w:r>
      <w:r>
        <w:tab/>
        <w:t>is the rolling radius of the tyre(s) fitted to the rear wheel(s)</w:t>
      </w:r>
    </w:p>
    <w:p w:rsidR="007D3629" w:rsidRDefault="007D3629" w:rsidP="007D3629">
      <w:pPr>
        <w:tabs>
          <w:tab w:val="left" w:pos="1134"/>
          <w:tab w:val="left" w:pos="1588"/>
          <w:tab w:val="left" w:pos="2041"/>
        </w:tabs>
        <w:ind w:left="1588"/>
      </w:pPr>
      <w:r>
        <w:t>W</w:t>
      </w:r>
      <w:r>
        <w:tab/>
        <w:t xml:space="preserve">is the </w:t>
      </w:r>
      <w:r w:rsidRPr="00322D6E">
        <w:rPr>
          <w:i/>
        </w:rPr>
        <w:t>‘Wheelbase’</w:t>
      </w:r>
    </w:p>
    <w:p w:rsidR="007D3629" w:rsidRDefault="007D3629" w:rsidP="005F1E7A">
      <w:pPr>
        <w:tabs>
          <w:tab w:val="left" w:pos="1134"/>
          <w:tab w:val="left" w:pos="1588"/>
          <w:tab w:val="left" w:pos="2041"/>
        </w:tabs>
        <w:ind w:left="2042" w:hanging="454"/>
      </w:pPr>
      <w:r>
        <w:t>L</w:t>
      </w:r>
      <w:r>
        <w:tab/>
        <w:t>is the longitudinal location of the ‘CoM’</w:t>
      </w:r>
      <w:r w:rsidR="005F1E7A">
        <w:t xml:space="preserve"> </w:t>
      </w:r>
      <w:r w:rsidR="005F1E7A">
        <w:rPr>
          <w:rFonts w:cs="Arial"/>
        </w:rPr>
        <w:t>from the centre</w:t>
      </w:r>
      <w:r w:rsidR="005F1E7A" w:rsidRPr="0091469F">
        <w:rPr>
          <w:rFonts w:cs="Arial"/>
        </w:rPr>
        <w:t xml:space="preserve">line of the front </w:t>
      </w:r>
      <w:r w:rsidR="005F1E7A" w:rsidRPr="0091469F">
        <w:rPr>
          <w:rFonts w:cs="Arial"/>
          <w:i/>
        </w:rPr>
        <w:t>‘Axle’</w:t>
      </w:r>
    </w:p>
    <w:p w:rsidR="007D3629" w:rsidRDefault="007D3629" w:rsidP="007D3629">
      <w:pPr>
        <w:tabs>
          <w:tab w:val="left" w:pos="1134"/>
          <w:tab w:val="left" w:pos="1588"/>
          <w:tab w:val="left" w:pos="2041"/>
        </w:tabs>
        <w:ind w:left="1588"/>
      </w:pPr>
      <w:r>
        <w:t>θ</w:t>
      </w:r>
      <w:r>
        <w:tab/>
        <w:t>is the angle between the ‘reference line’ and the horizontal</w:t>
      </w:r>
    </w:p>
    <w:p w:rsidR="0090436D" w:rsidRDefault="0090436D" w:rsidP="0090436D">
      <w:pPr>
        <w:pStyle w:val="Appendix-Subclause"/>
        <w:ind w:left="1134"/>
      </w:pPr>
      <w:r w:rsidRPr="006D3FB2">
        <w:rPr>
          <w:noProof/>
        </w:rPr>
        <w:drawing>
          <wp:inline distT="0" distB="0" distL="0" distR="0">
            <wp:extent cx="4496334" cy="3640497"/>
            <wp:effectExtent l="0" t="0" r="0" b="0"/>
            <wp:docPr id="13" name="Picture 13" descr="Illustration of the determination of the height of the 'CoM' using the stable pendulum method." title="Figure 8: Stable Pendulum Method for a category LEM1, LEP1 or LEG1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496334" cy="3640497"/>
                    </a:xfrm>
                    <a:prstGeom prst="rect">
                      <a:avLst/>
                    </a:prstGeom>
                    <a:noFill/>
                    <a:ln>
                      <a:noFill/>
                    </a:ln>
                  </pic:spPr>
                </pic:pic>
              </a:graphicData>
            </a:graphic>
          </wp:inline>
        </w:drawing>
      </w:r>
    </w:p>
    <w:p w:rsidR="0090436D" w:rsidRPr="0090436D" w:rsidRDefault="002B1004" w:rsidP="000F348A">
      <w:pPr>
        <w:pStyle w:val="Caption"/>
        <w:ind w:left="1134"/>
        <w:rPr>
          <w:b w:val="0"/>
        </w:rPr>
      </w:pPr>
      <w:bookmarkStart w:id="73" w:name="_Ref517689531"/>
      <w:r>
        <w:t xml:space="preserve">Figure </w:t>
      </w:r>
      <w:r w:rsidR="0093628F">
        <w:rPr>
          <w:noProof/>
        </w:rPr>
        <w:t>8</w:t>
      </w:r>
      <w:bookmarkEnd w:id="73"/>
      <w:r w:rsidR="0090436D" w:rsidRPr="0090436D">
        <w:rPr>
          <w:b w:val="0"/>
        </w:rPr>
        <w:t>: Stable Pendulum Method</w:t>
      </w:r>
      <w:r w:rsidR="0090436D">
        <w:rPr>
          <w:b w:val="0"/>
        </w:rPr>
        <w:t xml:space="preserve"> for a </w:t>
      </w:r>
      <w:r w:rsidR="0090436D" w:rsidRPr="0090436D">
        <w:rPr>
          <w:b w:val="0"/>
        </w:rPr>
        <w:t xml:space="preserve">category LEM1, LEP1 </w:t>
      </w:r>
      <w:r w:rsidR="0090436D">
        <w:rPr>
          <w:b w:val="0"/>
        </w:rPr>
        <w:t>or LEG1 vehicle</w:t>
      </w:r>
    </w:p>
    <w:p w:rsidR="008E3CD8" w:rsidRDefault="00CF58BC" w:rsidP="00A229B1">
      <w:pPr>
        <w:pStyle w:val="Appendix-Subclause"/>
        <w:numPr>
          <w:ilvl w:val="2"/>
          <w:numId w:val="9"/>
        </w:numPr>
      </w:pPr>
      <w:r>
        <w:t xml:space="preserve">For </w:t>
      </w:r>
      <w:r w:rsidR="009579A0">
        <w:t xml:space="preserve">category </w:t>
      </w:r>
      <w:r>
        <w:t xml:space="preserve">LEM2, LEP2 </w:t>
      </w:r>
      <w:r w:rsidR="0037676F">
        <w:t>and</w:t>
      </w:r>
      <w:r>
        <w:t xml:space="preserve"> LEG2 vehicles</w:t>
      </w:r>
      <w:r w:rsidR="008E3CD8">
        <w:t>:</w:t>
      </w:r>
    </w:p>
    <w:p w:rsidR="008E3CD8" w:rsidRDefault="008E3CD8" w:rsidP="00A229B1">
      <w:pPr>
        <w:pStyle w:val="AlphaList0"/>
        <w:numPr>
          <w:ilvl w:val="4"/>
          <w:numId w:val="9"/>
        </w:numPr>
        <w:ind w:left="1588" w:hanging="454"/>
      </w:pPr>
      <w:r>
        <w:t>position the vehicle on a level surface;</w:t>
      </w:r>
    </w:p>
    <w:p w:rsidR="008E3CD8" w:rsidRDefault="008E3CD8" w:rsidP="00A229B1">
      <w:pPr>
        <w:pStyle w:val="AlphaList0"/>
        <w:numPr>
          <w:ilvl w:val="4"/>
          <w:numId w:val="9"/>
        </w:numPr>
        <w:ind w:left="1588" w:hanging="454"/>
      </w:pPr>
      <w:r>
        <w:t xml:space="preserve">mark a horizontal ‘reference line’ parallel to the vehicle longitudinal centreline, passing through the centre of the </w:t>
      </w:r>
      <w:r w:rsidR="00651B6E">
        <w:t>front</w:t>
      </w:r>
      <w:r>
        <w:t xml:space="preserve"> </w:t>
      </w:r>
      <w:r w:rsidRPr="00651B6E">
        <w:rPr>
          <w:i/>
        </w:rPr>
        <w:t>‘Axle’</w:t>
      </w:r>
      <w:r>
        <w:t>;</w:t>
      </w:r>
    </w:p>
    <w:p w:rsidR="008E3CD8" w:rsidRDefault="008E3CD8" w:rsidP="00A229B1">
      <w:pPr>
        <w:pStyle w:val="AlphaList0"/>
        <w:numPr>
          <w:ilvl w:val="4"/>
          <w:numId w:val="9"/>
        </w:numPr>
        <w:ind w:left="1588" w:hanging="454"/>
      </w:pPr>
      <w:r>
        <w:t xml:space="preserve">chock both </w:t>
      </w:r>
      <w:r w:rsidR="004C7BEF">
        <w:t>front</w:t>
      </w:r>
      <w:r>
        <w:t xml:space="preserve"> wheels;</w:t>
      </w:r>
    </w:p>
    <w:p w:rsidR="008E3CD8" w:rsidRDefault="008E3CD8" w:rsidP="00A229B1">
      <w:pPr>
        <w:pStyle w:val="AlphaList0"/>
        <w:numPr>
          <w:ilvl w:val="4"/>
          <w:numId w:val="9"/>
        </w:numPr>
        <w:ind w:left="1588" w:hanging="454"/>
      </w:pPr>
      <w:r>
        <w:t xml:space="preserve">raise the </w:t>
      </w:r>
      <w:r w:rsidR="004C7BEF">
        <w:t>rear</w:t>
      </w:r>
      <w:r>
        <w:t xml:space="preserve"> of the vehicle until the </w:t>
      </w:r>
      <w:r w:rsidR="0067082E">
        <w:t>‘CoM’</w:t>
      </w:r>
      <w:r>
        <w:t xml:space="preserve"> is directly over the </w:t>
      </w:r>
      <w:r w:rsidR="004C7BEF">
        <w:t>front</w:t>
      </w:r>
      <w:r>
        <w:t xml:space="preserve"> </w:t>
      </w:r>
      <w:r w:rsidRPr="00651B6E">
        <w:rPr>
          <w:i/>
        </w:rPr>
        <w:t>‘Axle’</w:t>
      </w:r>
      <w:r w:rsidR="00FA795C">
        <w:t>;</w:t>
      </w:r>
    </w:p>
    <w:p w:rsidR="00FA795C" w:rsidRDefault="008E3CD8" w:rsidP="00A229B1">
      <w:pPr>
        <w:pStyle w:val="AlphaList0"/>
        <w:numPr>
          <w:ilvl w:val="4"/>
          <w:numId w:val="9"/>
        </w:numPr>
        <w:ind w:left="1588" w:hanging="454"/>
      </w:pPr>
      <w:r>
        <w:lastRenderedPageBreak/>
        <w:t xml:space="preserve">measure the angle </w:t>
      </w:r>
      <w:r w:rsidR="003C13E9">
        <w:t xml:space="preserve">(θ) </w:t>
      </w:r>
      <w:r>
        <w:t>between the ‘refer</w:t>
      </w:r>
      <w:r w:rsidR="00E66708">
        <w:t>ence line’ and the horizontal</w:t>
      </w:r>
      <w:r w:rsidR="00293A38">
        <w:t xml:space="preserve"> (see </w:t>
      </w:r>
      <w:r w:rsidR="0093628F">
        <w:t xml:space="preserve">Figure </w:t>
      </w:r>
      <w:r w:rsidR="0093628F">
        <w:rPr>
          <w:noProof/>
        </w:rPr>
        <w:t>9</w:t>
      </w:r>
      <w:r w:rsidR="00293A38">
        <w:t>)</w:t>
      </w:r>
      <w:r w:rsidR="00FA795C">
        <w:t>; and</w:t>
      </w:r>
    </w:p>
    <w:p w:rsidR="00226714" w:rsidRPr="00E34A3C" w:rsidRDefault="00FA795C" w:rsidP="00A229B1">
      <w:pPr>
        <w:pStyle w:val="AlphaList0"/>
        <w:keepNext/>
        <w:numPr>
          <w:ilvl w:val="4"/>
          <w:numId w:val="9"/>
        </w:numPr>
        <w:ind w:left="1588" w:hanging="454"/>
      </w:pPr>
      <w:r>
        <w:t xml:space="preserve">determine the </w:t>
      </w:r>
      <w:r w:rsidR="00226714" w:rsidRPr="00E34A3C">
        <w:t xml:space="preserve">height (h) of the ‘CoM’ </w:t>
      </w:r>
      <w:r>
        <w:t>from</w:t>
      </w:r>
      <w:r w:rsidR="00226714" w:rsidRPr="00E34A3C">
        <w:t xml:space="preserve"> the formula:</w:t>
      </w:r>
    </w:p>
    <w:p w:rsidR="00CC264F" w:rsidRDefault="00CC264F" w:rsidP="001C63FF">
      <w:pPr>
        <w:pStyle w:val="Appendix-Subclause"/>
        <w:ind w:left="1588"/>
        <w:rPr>
          <w:rFonts w:cs="Arial"/>
        </w:rPr>
      </w:pPr>
      <m:oMathPara>
        <m:oMathParaPr>
          <m:jc m:val="left"/>
        </m:oMathParaPr>
        <m:oMath>
          <m:r>
            <w:rPr>
              <w:rFonts w:ascii="Cambria Math" w:hAnsi="Cambria Math" w:cs="Arial"/>
            </w:rPr>
            <m:t>h=r+</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L</m:t>
                  </m:r>
                </m:num>
                <m:den>
                  <m:r>
                    <m:rPr>
                      <m:sty m:val="p"/>
                    </m:rPr>
                    <w:rPr>
                      <w:rFonts w:ascii="Cambria Math" w:hAnsi="Cambria Math"/>
                    </w:rPr>
                    <m:t>tan θ</m:t>
                  </m:r>
                </m:den>
              </m:f>
            </m:e>
          </m:d>
        </m:oMath>
      </m:oMathPara>
    </w:p>
    <w:p w:rsidR="00226714" w:rsidRPr="0091469F" w:rsidRDefault="00DD07A5" w:rsidP="001C63FF">
      <w:pPr>
        <w:tabs>
          <w:tab w:val="left" w:pos="1134"/>
          <w:tab w:val="left" w:pos="1588"/>
        </w:tabs>
        <w:spacing w:before="120" w:after="120"/>
        <w:ind w:left="1588"/>
        <w:rPr>
          <w:rFonts w:cs="Arial"/>
        </w:rPr>
      </w:pPr>
      <w:r>
        <w:rPr>
          <w:rFonts w:cs="Arial"/>
        </w:rPr>
        <w:t>W</w:t>
      </w:r>
      <w:r w:rsidR="00226714" w:rsidRPr="0091469F">
        <w:rPr>
          <w:rFonts w:cs="Arial"/>
        </w:rPr>
        <w:t>here:</w:t>
      </w:r>
    </w:p>
    <w:p w:rsidR="00226714" w:rsidRDefault="00226714" w:rsidP="001C63FF">
      <w:pPr>
        <w:tabs>
          <w:tab w:val="left" w:pos="1134"/>
          <w:tab w:val="left" w:pos="1588"/>
          <w:tab w:val="left" w:pos="2041"/>
        </w:tabs>
        <w:ind w:left="1588"/>
      </w:pPr>
      <w:r>
        <w:t>r</w:t>
      </w:r>
      <w:r>
        <w:tab/>
      </w:r>
      <w:r w:rsidRPr="00E34A3C">
        <w:t>is the rolling radius of the tyre</w:t>
      </w:r>
      <w:r>
        <w:t>s</w:t>
      </w:r>
      <w:r w:rsidRPr="00E34A3C">
        <w:t xml:space="preserve"> fitted to the </w:t>
      </w:r>
      <w:r w:rsidR="00297FAC">
        <w:t>front</w:t>
      </w:r>
      <w:r>
        <w:t xml:space="preserve"> </w:t>
      </w:r>
      <w:r w:rsidRPr="00E34A3C">
        <w:t>wheel</w:t>
      </w:r>
      <w:r>
        <w:t>s</w:t>
      </w:r>
    </w:p>
    <w:p w:rsidR="00226714" w:rsidRDefault="00226714" w:rsidP="005F1E7A">
      <w:pPr>
        <w:tabs>
          <w:tab w:val="left" w:pos="1134"/>
          <w:tab w:val="left" w:pos="1588"/>
          <w:tab w:val="left" w:pos="2041"/>
        </w:tabs>
        <w:ind w:left="2042" w:hanging="454"/>
        <w:rPr>
          <w:rFonts w:cs="Arial"/>
        </w:rPr>
      </w:pPr>
      <w:r>
        <w:rPr>
          <w:rFonts w:cs="Arial"/>
        </w:rPr>
        <w:t>L</w:t>
      </w:r>
      <w:r>
        <w:rPr>
          <w:rFonts w:cs="Arial"/>
        </w:rPr>
        <w:tab/>
      </w:r>
      <w:r w:rsidR="005F1E7A">
        <w:t xml:space="preserve">is the longitudinal location of the ‘CoM’ </w:t>
      </w:r>
      <w:r w:rsidR="005F1E7A">
        <w:rPr>
          <w:rFonts w:cs="Arial"/>
        </w:rPr>
        <w:t>from the centre</w:t>
      </w:r>
      <w:r w:rsidR="005F1E7A" w:rsidRPr="0091469F">
        <w:rPr>
          <w:rFonts w:cs="Arial"/>
        </w:rPr>
        <w:t xml:space="preserve">line of the front </w:t>
      </w:r>
      <w:r w:rsidR="005F1E7A" w:rsidRPr="0091469F">
        <w:rPr>
          <w:rFonts w:cs="Arial"/>
          <w:i/>
        </w:rPr>
        <w:t>‘Axle’</w:t>
      </w:r>
    </w:p>
    <w:p w:rsidR="00226714" w:rsidRDefault="00226714" w:rsidP="001C63FF">
      <w:pPr>
        <w:tabs>
          <w:tab w:val="left" w:pos="1134"/>
          <w:tab w:val="left" w:pos="1588"/>
          <w:tab w:val="left" w:pos="2041"/>
        </w:tabs>
        <w:ind w:left="1588"/>
      </w:pPr>
      <w:r>
        <w:t>θ</w:t>
      </w:r>
      <w:r>
        <w:tab/>
        <w:t>is the angle (θ) between the ‘reference line’ and the horizontal</w:t>
      </w:r>
    </w:p>
    <w:p w:rsidR="00AA2FC4" w:rsidRDefault="00316951" w:rsidP="00AA2FC4">
      <w:pPr>
        <w:pStyle w:val="Appendix-Subclause"/>
        <w:ind w:left="1134"/>
      </w:pPr>
      <w:r w:rsidRPr="006D3FB2">
        <w:rPr>
          <w:noProof/>
        </w:rPr>
        <w:drawing>
          <wp:inline distT="0" distB="0" distL="0" distR="0">
            <wp:extent cx="4500000" cy="3867187"/>
            <wp:effectExtent l="0" t="0" r="0" b="0"/>
            <wp:docPr id="19" name="Picture 19" descr="Illustration of the determination of the height of the 'CoM' using the stable pendulum method." title="Figure 9: Stable Pendulum Method for a category LEM2, LEP2 or LEG2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500000" cy="3867187"/>
                    </a:xfrm>
                    <a:prstGeom prst="rect">
                      <a:avLst/>
                    </a:prstGeom>
                    <a:noFill/>
                    <a:ln>
                      <a:noFill/>
                    </a:ln>
                  </pic:spPr>
                </pic:pic>
              </a:graphicData>
            </a:graphic>
          </wp:inline>
        </w:drawing>
      </w:r>
    </w:p>
    <w:p w:rsidR="00AA2FC4" w:rsidRPr="0090436D" w:rsidRDefault="002B1004" w:rsidP="000F348A">
      <w:pPr>
        <w:pStyle w:val="Caption"/>
        <w:ind w:left="1134"/>
        <w:rPr>
          <w:b w:val="0"/>
        </w:rPr>
      </w:pPr>
      <w:bookmarkStart w:id="74" w:name="_Ref517689516"/>
      <w:r>
        <w:t xml:space="preserve">Figure </w:t>
      </w:r>
      <w:r w:rsidR="0093628F">
        <w:rPr>
          <w:noProof/>
        </w:rPr>
        <w:t>9</w:t>
      </w:r>
      <w:bookmarkEnd w:id="74"/>
      <w:r w:rsidR="00AA2FC4" w:rsidRPr="0090436D">
        <w:rPr>
          <w:b w:val="0"/>
        </w:rPr>
        <w:t>: Stable Pendulum Method</w:t>
      </w:r>
      <w:r w:rsidR="00AA2FC4">
        <w:rPr>
          <w:b w:val="0"/>
        </w:rPr>
        <w:t xml:space="preserve"> for a </w:t>
      </w:r>
      <w:r w:rsidR="00AA2FC4" w:rsidRPr="0090436D">
        <w:rPr>
          <w:b w:val="0"/>
        </w:rPr>
        <w:t>category LEM</w:t>
      </w:r>
      <w:r w:rsidR="00AA2FC4">
        <w:rPr>
          <w:b w:val="0"/>
        </w:rPr>
        <w:t>2</w:t>
      </w:r>
      <w:r w:rsidR="00AA2FC4" w:rsidRPr="0090436D">
        <w:rPr>
          <w:b w:val="0"/>
        </w:rPr>
        <w:t>, LEP</w:t>
      </w:r>
      <w:r w:rsidR="00AA2FC4">
        <w:rPr>
          <w:b w:val="0"/>
        </w:rPr>
        <w:t>2</w:t>
      </w:r>
      <w:r w:rsidR="00AA2FC4" w:rsidRPr="0090436D">
        <w:rPr>
          <w:b w:val="0"/>
        </w:rPr>
        <w:t xml:space="preserve"> </w:t>
      </w:r>
      <w:r w:rsidR="00AA2FC4">
        <w:rPr>
          <w:b w:val="0"/>
        </w:rPr>
        <w:t>or LEG2 vehicle</w:t>
      </w:r>
    </w:p>
    <w:p w:rsidR="00873661" w:rsidRPr="004E6969" w:rsidRDefault="00873661" w:rsidP="00A229B1">
      <w:pPr>
        <w:pStyle w:val="Appendix-Subclause"/>
        <w:numPr>
          <w:ilvl w:val="1"/>
          <w:numId w:val="9"/>
        </w:numPr>
      </w:pPr>
      <w:r>
        <w:rPr>
          <w:rFonts w:cs="Arial"/>
        </w:rPr>
        <w:t>Axle Lift Method</w:t>
      </w:r>
    </w:p>
    <w:p w:rsidR="00FA795C" w:rsidRDefault="00D27D9F" w:rsidP="00A229B1">
      <w:pPr>
        <w:pStyle w:val="Subsubsubclause"/>
        <w:numPr>
          <w:ilvl w:val="2"/>
          <w:numId w:val="9"/>
        </w:numPr>
      </w:pPr>
      <w:r>
        <w:t>C</w:t>
      </w:r>
      <w:r w:rsidR="00FA795C" w:rsidRPr="00FA795C">
        <w:t>ategory LEM1, LEP1 and LEG1 vehicles</w:t>
      </w:r>
    </w:p>
    <w:p w:rsidR="00FA795C" w:rsidRDefault="008C473F" w:rsidP="00A229B1">
      <w:pPr>
        <w:pStyle w:val="Subsubsubclause"/>
        <w:numPr>
          <w:ilvl w:val="3"/>
          <w:numId w:val="9"/>
        </w:numPr>
      </w:pPr>
      <w:r w:rsidRPr="008C473F">
        <w:t xml:space="preserve">With the suspension blocked to prevent movement and the vehicle in the </w:t>
      </w:r>
      <w:r w:rsidRPr="002B342E">
        <w:rPr>
          <w:i/>
        </w:rPr>
        <w:t>‘Maximum Loaded Test Mass’</w:t>
      </w:r>
      <w:r w:rsidRPr="008C473F">
        <w:t xml:space="preserve"> condition</w:t>
      </w:r>
      <w:r w:rsidR="002B342E">
        <w:t>:</w:t>
      </w:r>
    </w:p>
    <w:p w:rsidR="002B342E" w:rsidRDefault="002B342E" w:rsidP="00A229B1">
      <w:pPr>
        <w:pStyle w:val="AlphaList0"/>
        <w:numPr>
          <w:ilvl w:val="4"/>
          <w:numId w:val="9"/>
        </w:numPr>
        <w:ind w:left="1588" w:hanging="454"/>
      </w:pPr>
      <w:r w:rsidRPr="002B342E">
        <w:t xml:space="preserve">use </w:t>
      </w:r>
      <w:r>
        <w:t xml:space="preserve">a </w:t>
      </w:r>
      <w:r w:rsidRPr="002B342E">
        <w:t>block</w:t>
      </w:r>
      <w:r>
        <w:t xml:space="preserve"> (or block</w:t>
      </w:r>
      <w:r w:rsidRPr="002B342E">
        <w:t>s</w:t>
      </w:r>
      <w:r>
        <w:t>)</w:t>
      </w:r>
      <w:r w:rsidRPr="002B342E">
        <w:t xml:space="preserve"> to elevate the front </w:t>
      </w:r>
      <w:r>
        <w:t>wheel by at least 600 mm</w:t>
      </w:r>
      <w:r w:rsidR="00657E3D">
        <w:t xml:space="preserve"> </w:t>
      </w:r>
      <w:r w:rsidR="00657E3D">
        <w:rPr>
          <w:rFonts w:cs="Arial"/>
        </w:rPr>
        <w:t>(</w:t>
      </w:r>
      <w:r w:rsidR="00657E3D">
        <w:t xml:space="preserve">see </w:t>
      </w:r>
      <w:r w:rsidR="0093628F">
        <w:t xml:space="preserve">Figure </w:t>
      </w:r>
      <w:r w:rsidR="0093628F">
        <w:rPr>
          <w:noProof/>
        </w:rPr>
        <w:t>10</w:t>
      </w:r>
      <w:r w:rsidR="00657E3D">
        <w:t>)</w:t>
      </w:r>
      <w:r>
        <w:t>;</w:t>
      </w:r>
    </w:p>
    <w:p w:rsidR="002B342E" w:rsidRDefault="002B342E" w:rsidP="00A229B1">
      <w:pPr>
        <w:pStyle w:val="AlphaList0"/>
        <w:numPr>
          <w:ilvl w:val="4"/>
          <w:numId w:val="9"/>
        </w:numPr>
        <w:ind w:left="1588" w:hanging="454"/>
      </w:pPr>
      <w:r w:rsidRPr="002B342E">
        <w:t xml:space="preserve">determine the longitudinal location of the </w:t>
      </w:r>
      <w:r>
        <w:t>‘</w:t>
      </w:r>
      <w:r w:rsidRPr="002B342E">
        <w:t>CoM</w:t>
      </w:r>
      <w:r>
        <w:t>’</w:t>
      </w:r>
      <w:r w:rsidRPr="002B342E">
        <w:t xml:space="preserve"> in the elevated state (L</w:t>
      </w:r>
      <w:r w:rsidRPr="002B342E">
        <w:rPr>
          <w:vertAlign w:val="subscript"/>
        </w:rPr>
        <w:t>e</w:t>
      </w:r>
      <w:r w:rsidR="00B82303">
        <w:t>), from the centre</w:t>
      </w:r>
      <w:r w:rsidRPr="002B342E">
        <w:t xml:space="preserve">line of the front </w:t>
      </w:r>
      <w:r w:rsidRPr="002B342E">
        <w:rPr>
          <w:i/>
        </w:rPr>
        <w:t>‘Axle’</w:t>
      </w:r>
      <w:r w:rsidRPr="002B342E">
        <w:t>, using the formula:</w:t>
      </w:r>
    </w:p>
    <w:p w:rsidR="00621E9B" w:rsidRDefault="003E2D78" w:rsidP="0006139C">
      <w:pPr>
        <w:tabs>
          <w:tab w:val="left" w:pos="1134"/>
          <w:tab w:val="left" w:pos="1588"/>
        </w:tabs>
        <w:spacing w:before="120" w:after="120"/>
        <w:ind w:left="1588"/>
        <w:rPr>
          <w:rFonts w:cs="Arial"/>
        </w:rPr>
      </w:pPr>
      <m:oMathPara>
        <m:oMathParaPr>
          <m:jc m:val="left"/>
        </m:oMathParaP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e</m:t>
              </m:r>
            </m:sub>
          </m:sSub>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rPr>
                      </m:ctrlPr>
                    </m:sSubPr>
                    <m:e>
                      <m:r>
                        <m:rPr>
                          <m:sty m:val="p"/>
                        </m:rPr>
                        <w:rPr>
                          <w:rFonts w:ascii="Cambria Math" w:hAnsi="Cambria Math"/>
                        </w:rPr>
                        <m:t>W</m:t>
                      </m:r>
                    </m:e>
                    <m:sub>
                      <m:r>
                        <m:rPr>
                          <m:sty m:val="p"/>
                        </m:rPr>
                        <w:rPr>
                          <w:rFonts w:ascii="Cambria Math" w:hAnsi="Cambria Math"/>
                        </w:rPr>
                        <m:t>e</m:t>
                      </m:r>
                    </m:sub>
                  </m:s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e</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e</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R</m:t>
                      </m:r>
                    </m:e>
                    <m:sub>
                      <m:r>
                        <m:rPr>
                          <m:sty m:val="p"/>
                        </m:rPr>
                        <w:rPr>
                          <w:rFonts w:ascii="Cambria Math" w:hAnsi="Cambria Math"/>
                        </w:rPr>
                        <m:t>e</m:t>
                      </m:r>
                    </m:sub>
                  </m:sSub>
                </m:den>
              </m:f>
            </m:e>
          </m:d>
        </m:oMath>
      </m:oMathPara>
    </w:p>
    <w:p w:rsidR="0006139C" w:rsidRPr="0091469F" w:rsidRDefault="0006139C" w:rsidP="0006139C">
      <w:pPr>
        <w:tabs>
          <w:tab w:val="left" w:pos="1134"/>
          <w:tab w:val="left" w:pos="1588"/>
        </w:tabs>
        <w:spacing w:before="120" w:after="120"/>
        <w:ind w:left="1588"/>
        <w:rPr>
          <w:rFonts w:cs="Arial"/>
        </w:rPr>
      </w:pPr>
      <w:r>
        <w:rPr>
          <w:rFonts w:cs="Arial"/>
        </w:rPr>
        <w:lastRenderedPageBreak/>
        <w:t>W</w:t>
      </w:r>
      <w:r w:rsidRPr="0091469F">
        <w:rPr>
          <w:rFonts w:cs="Arial"/>
        </w:rPr>
        <w:t>here</w:t>
      </w:r>
      <w:r w:rsidR="008D4B33">
        <w:rPr>
          <w:rFonts w:cs="Arial"/>
        </w:rPr>
        <w:t xml:space="preserve"> (</w:t>
      </w:r>
      <w:r w:rsidR="008D4B33">
        <w:t xml:space="preserve">see </w:t>
      </w:r>
      <w:r w:rsidR="0093628F">
        <w:t xml:space="preserve">Figure </w:t>
      </w:r>
      <w:r w:rsidR="0093628F">
        <w:rPr>
          <w:noProof/>
        </w:rPr>
        <w:t>10</w:t>
      </w:r>
      <w:r w:rsidR="008D4B33">
        <w:t>)</w:t>
      </w:r>
      <w:r w:rsidRPr="0091469F">
        <w:rPr>
          <w:rFonts w:cs="Arial"/>
        </w:rPr>
        <w:t>:</w:t>
      </w:r>
    </w:p>
    <w:p w:rsidR="0006139C" w:rsidRDefault="0006139C" w:rsidP="0006139C">
      <w:pPr>
        <w:tabs>
          <w:tab w:val="left" w:pos="1134"/>
          <w:tab w:val="left" w:pos="1588"/>
          <w:tab w:val="left" w:pos="2041"/>
        </w:tabs>
        <w:ind w:left="2042" w:hanging="454"/>
      </w:pPr>
      <w:r w:rsidRPr="00FC6E0E">
        <w:t>W</w:t>
      </w:r>
      <w:r w:rsidRPr="00FC6E0E">
        <w:rPr>
          <w:vertAlign w:val="subscript"/>
        </w:rPr>
        <w:t>e</w:t>
      </w:r>
      <w:r>
        <w:tab/>
        <w:t xml:space="preserve">is the </w:t>
      </w:r>
      <w:r w:rsidR="00434337" w:rsidRPr="00434337">
        <w:t>wheelbase</w:t>
      </w:r>
      <w:r w:rsidRPr="00FC6E0E">
        <w:t xml:space="preserve"> in the horizontal plane</w:t>
      </w:r>
    </w:p>
    <w:p w:rsidR="0006139C" w:rsidRPr="00D01848" w:rsidRDefault="0006139C" w:rsidP="0006139C">
      <w:pPr>
        <w:tabs>
          <w:tab w:val="left" w:pos="1134"/>
          <w:tab w:val="left" w:pos="1588"/>
          <w:tab w:val="left" w:pos="2041"/>
        </w:tabs>
        <w:ind w:left="2042" w:hanging="454"/>
        <w:rPr>
          <w:vertAlign w:val="subscript"/>
        </w:rPr>
      </w:pPr>
      <w:r w:rsidRPr="0006139C">
        <w:t>R</w:t>
      </w:r>
      <w:r w:rsidRPr="00125BB1">
        <w:rPr>
          <w:vertAlign w:val="subscript"/>
        </w:rPr>
        <w:t>e</w:t>
      </w:r>
      <w:r w:rsidRPr="0006139C">
        <w:tab/>
        <w:t xml:space="preserve">is the rear </w:t>
      </w:r>
      <w:r w:rsidRPr="00125BB1">
        <w:rPr>
          <w:i/>
        </w:rPr>
        <w:t>‘Axle Load’</w:t>
      </w:r>
      <w:r w:rsidRPr="0006139C">
        <w:t xml:space="preserve"> on the tyre(s) with the elevated vehicle in the </w:t>
      </w:r>
      <w:r w:rsidRPr="00125BB1">
        <w:rPr>
          <w:i/>
        </w:rPr>
        <w:t>‘Maximum Loaded Test Mass’</w:t>
      </w:r>
      <w:r w:rsidR="00125BB1">
        <w:t xml:space="preserve"> condition</w:t>
      </w:r>
      <w:r w:rsidR="00D01848">
        <w:t xml:space="preserve"> = F + R – F</w:t>
      </w:r>
      <w:r w:rsidR="00D01848">
        <w:rPr>
          <w:vertAlign w:val="subscript"/>
        </w:rPr>
        <w:t>e</w:t>
      </w:r>
    </w:p>
    <w:p w:rsidR="00125BB1" w:rsidRDefault="00125BB1" w:rsidP="0006139C">
      <w:pPr>
        <w:tabs>
          <w:tab w:val="left" w:pos="1134"/>
          <w:tab w:val="left" w:pos="1588"/>
          <w:tab w:val="left" w:pos="2041"/>
        </w:tabs>
        <w:ind w:left="2042" w:hanging="454"/>
      </w:pPr>
      <w:r w:rsidRPr="00125BB1">
        <w:t>F</w:t>
      </w:r>
      <w:r w:rsidRPr="00125BB1">
        <w:rPr>
          <w:vertAlign w:val="subscript"/>
        </w:rPr>
        <w:t>e</w:t>
      </w:r>
      <w:r w:rsidRPr="00125BB1">
        <w:tab/>
        <w:t xml:space="preserve">is the front </w:t>
      </w:r>
      <w:r w:rsidRPr="00125BB1">
        <w:rPr>
          <w:i/>
        </w:rPr>
        <w:t>‘Axle Load’</w:t>
      </w:r>
      <w:r w:rsidRPr="00125BB1">
        <w:t xml:space="preserve"> on the tyre(s) with the elevated vehicle in the </w:t>
      </w:r>
      <w:r w:rsidRPr="00125BB1">
        <w:rPr>
          <w:i/>
        </w:rPr>
        <w:t>‘Maximum Loaded Test Mass’</w:t>
      </w:r>
      <w:r w:rsidRPr="00125BB1">
        <w:t xml:space="preserve"> condition</w:t>
      </w:r>
      <w:r w:rsidR="00D01848">
        <w:t xml:space="preserve"> = F + R – R</w:t>
      </w:r>
      <w:r w:rsidR="00D01848">
        <w:rPr>
          <w:vertAlign w:val="subscript"/>
        </w:rPr>
        <w:t>e</w:t>
      </w:r>
    </w:p>
    <w:p w:rsidR="00D01848" w:rsidRDefault="00D01848" w:rsidP="00D01848">
      <w:pPr>
        <w:tabs>
          <w:tab w:val="left" w:pos="1134"/>
          <w:tab w:val="left" w:pos="1588"/>
          <w:tab w:val="left" w:pos="2041"/>
        </w:tabs>
        <w:ind w:left="2042" w:hanging="454"/>
      </w:pPr>
      <w:r w:rsidRPr="00125BB1">
        <w:t>F</w:t>
      </w:r>
      <w:r w:rsidRPr="00125BB1">
        <w:tab/>
        <w:t xml:space="preserve">is the front </w:t>
      </w:r>
      <w:r w:rsidRPr="00125BB1">
        <w:rPr>
          <w:i/>
        </w:rPr>
        <w:t>‘Axle Load’</w:t>
      </w:r>
      <w:r w:rsidRPr="00125BB1">
        <w:t xml:space="preserve"> on the tyre(s) with the vehicle </w:t>
      </w:r>
      <w:r w:rsidR="00094B1E">
        <w:t>on a level surface</w:t>
      </w:r>
      <w:r>
        <w:t xml:space="preserve"> </w:t>
      </w:r>
      <w:r w:rsidRPr="00125BB1">
        <w:t xml:space="preserve">in the </w:t>
      </w:r>
      <w:r w:rsidRPr="00125BB1">
        <w:rPr>
          <w:i/>
        </w:rPr>
        <w:t>‘Maximum Loaded Test Mass’</w:t>
      </w:r>
      <w:r w:rsidRPr="00125BB1">
        <w:t xml:space="preserve"> condition</w:t>
      </w:r>
    </w:p>
    <w:p w:rsidR="00D01848" w:rsidRDefault="00D01848" w:rsidP="00D01848">
      <w:pPr>
        <w:tabs>
          <w:tab w:val="left" w:pos="1134"/>
          <w:tab w:val="left" w:pos="1588"/>
          <w:tab w:val="left" w:pos="2041"/>
        </w:tabs>
        <w:ind w:left="2042" w:hanging="454"/>
      </w:pPr>
      <w:r w:rsidRPr="0006139C">
        <w:t>R</w:t>
      </w:r>
      <w:r w:rsidRPr="0006139C">
        <w:tab/>
        <w:t xml:space="preserve">is the rear </w:t>
      </w:r>
      <w:r w:rsidRPr="00125BB1">
        <w:rPr>
          <w:i/>
        </w:rPr>
        <w:t>‘Axle Load’</w:t>
      </w:r>
      <w:r w:rsidRPr="0006139C">
        <w:t xml:space="preserve"> on the tyre(s) with </w:t>
      </w:r>
      <w:r w:rsidRPr="00125BB1">
        <w:t xml:space="preserve">the vehicle </w:t>
      </w:r>
      <w:r>
        <w:t xml:space="preserve">on </w:t>
      </w:r>
      <w:r w:rsidR="00094B1E">
        <w:t xml:space="preserve">a </w:t>
      </w:r>
      <w:r>
        <w:t xml:space="preserve">level </w:t>
      </w:r>
      <w:r w:rsidR="00094B1E">
        <w:t>surface</w:t>
      </w:r>
      <w:r>
        <w:t xml:space="preserve"> </w:t>
      </w:r>
      <w:r w:rsidRPr="00125BB1">
        <w:t xml:space="preserve">in the </w:t>
      </w:r>
      <w:r w:rsidRPr="00125BB1">
        <w:rPr>
          <w:i/>
        </w:rPr>
        <w:t>‘Maximum Loaded Test Mass’</w:t>
      </w:r>
      <w:r w:rsidRPr="00125BB1">
        <w:t xml:space="preserve"> condition</w:t>
      </w:r>
    </w:p>
    <w:p w:rsidR="00434337" w:rsidRPr="00C574BC" w:rsidRDefault="00434337" w:rsidP="00A229B1">
      <w:pPr>
        <w:pStyle w:val="AlphaList0"/>
        <w:numPr>
          <w:ilvl w:val="4"/>
          <w:numId w:val="9"/>
        </w:numPr>
        <w:ind w:left="1588" w:hanging="454"/>
      </w:pPr>
      <w:r>
        <w:t xml:space="preserve">determine the angle </w:t>
      </w:r>
      <w:r w:rsidR="000E35BE">
        <w:t>(</w:t>
      </w:r>
      <w:r w:rsidR="000E35BE" w:rsidRPr="00FC6E0E">
        <w:t>θ</w:t>
      </w:r>
      <w:r w:rsidR="000E35BE">
        <w:t xml:space="preserve">) of inclination </w:t>
      </w:r>
      <w:r w:rsidRPr="00C574BC">
        <w:t>from the formula:</w:t>
      </w:r>
    </w:p>
    <w:p w:rsidR="00A92442" w:rsidRPr="00FC6E0E" w:rsidRDefault="00A92442" w:rsidP="004334BB">
      <w:pPr>
        <w:pStyle w:val="Appendix-Subclause"/>
        <w:ind w:left="1588"/>
      </w:pPr>
      <m:oMathPara>
        <m:oMathParaPr>
          <m:jc m:val="left"/>
        </m:oMathParaPr>
        <m:oMath>
          <m:r>
            <m:rPr>
              <m:sty m:val="p"/>
            </m:rPr>
            <w:rPr>
              <w:rFonts w:ascii="Cambria Math" w:hAnsi="Cambria Math"/>
            </w:rPr>
            <m:t>θ</m:t>
          </m:r>
          <m:r>
            <w:rPr>
              <w:rFonts w:ascii="Cambria Math" w:hAnsi="Cambria Math" w:cs="Arial"/>
            </w:rPr>
            <m:t>=arctan</m:t>
          </m:r>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rPr>
                      </m:ctrlPr>
                    </m:sSubPr>
                    <m:e>
                      <m:r>
                        <m:rPr>
                          <m:sty m:val="p"/>
                        </m:rPr>
                        <w:rPr>
                          <w:rFonts w:ascii="Cambria Math" w:hAnsi="Cambria Math"/>
                        </w:rPr>
                        <m:t>H</m:t>
                      </m:r>
                    </m:e>
                    <m:sub>
                      <m:r>
                        <m:rPr>
                          <m:sty m:val="p"/>
                        </m:rPr>
                        <w:rPr>
                          <w:rFonts w:ascii="Cambria Math" w:hAnsi="Cambria Math"/>
                        </w:rPr>
                        <m:t>fe</m:t>
                      </m:r>
                    </m:sub>
                  </m:sSub>
                </m:num>
                <m:den>
                  <m:sSub>
                    <m:sSubPr>
                      <m:ctrlPr>
                        <w:rPr>
                          <w:rFonts w:ascii="Cambria Math" w:hAnsi="Cambria Math"/>
                        </w:rPr>
                      </m:ctrlPr>
                    </m:sSubPr>
                    <m:e>
                      <m:r>
                        <m:rPr>
                          <m:sty m:val="p"/>
                        </m:rPr>
                        <w:rPr>
                          <w:rFonts w:ascii="Cambria Math" w:hAnsi="Cambria Math"/>
                        </w:rPr>
                        <m:t>W</m:t>
                      </m:r>
                    </m:e>
                    <m:sub>
                      <m:r>
                        <m:rPr>
                          <m:sty m:val="p"/>
                        </m:rPr>
                        <w:rPr>
                          <w:rFonts w:ascii="Cambria Math" w:hAnsi="Cambria Math"/>
                        </w:rPr>
                        <m:t>e</m:t>
                      </m:r>
                    </m:sub>
                  </m:sSub>
                </m:den>
              </m:f>
            </m:e>
          </m:d>
        </m:oMath>
      </m:oMathPara>
    </w:p>
    <w:p w:rsidR="00434337" w:rsidRPr="00434337" w:rsidRDefault="00434337" w:rsidP="00434337">
      <w:pPr>
        <w:tabs>
          <w:tab w:val="left" w:pos="1134"/>
          <w:tab w:val="left" w:pos="1588"/>
        </w:tabs>
        <w:spacing w:before="120" w:after="120"/>
        <w:ind w:left="1588"/>
        <w:rPr>
          <w:rFonts w:cs="Arial"/>
        </w:rPr>
      </w:pPr>
      <w:r w:rsidRPr="00434337">
        <w:rPr>
          <w:rFonts w:cs="Arial"/>
        </w:rPr>
        <w:t>Where</w:t>
      </w:r>
      <w:r w:rsidR="008D4B33">
        <w:rPr>
          <w:rFonts w:cs="Arial"/>
        </w:rPr>
        <w:t xml:space="preserve"> (</w:t>
      </w:r>
      <w:r w:rsidR="008D4B33">
        <w:t xml:space="preserve">see </w:t>
      </w:r>
      <w:r w:rsidR="0093628F">
        <w:t xml:space="preserve">Figure </w:t>
      </w:r>
      <w:r w:rsidR="0093628F">
        <w:rPr>
          <w:noProof/>
        </w:rPr>
        <w:t>10</w:t>
      </w:r>
      <w:r w:rsidR="008D4B33">
        <w:t>)</w:t>
      </w:r>
      <w:r w:rsidRPr="00434337">
        <w:rPr>
          <w:rFonts w:cs="Arial"/>
        </w:rPr>
        <w:t>:</w:t>
      </w:r>
    </w:p>
    <w:p w:rsidR="00434337" w:rsidRDefault="00434337" w:rsidP="00434337">
      <w:pPr>
        <w:tabs>
          <w:tab w:val="left" w:pos="1134"/>
          <w:tab w:val="left" w:pos="1588"/>
          <w:tab w:val="left" w:pos="2041"/>
        </w:tabs>
        <w:ind w:left="2042" w:hanging="454"/>
      </w:pPr>
      <w:r w:rsidRPr="00FC6E0E">
        <w:t>H</w:t>
      </w:r>
      <w:r w:rsidRPr="00434337">
        <w:rPr>
          <w:vertAlign w:val="subscript"/>
        </w:rPr>
        <w:t>fe</w:t>
      </w:r>
      <w:r w:rsidRPr="00FC6E0E">
        <w:tab/>
        <w:t>is the height by wh</w:t>
      </w:r>
      <w:r>
        <w:t>ich the front wheel is elevated</w:t>
      </w:r>
    </w:p>
    <w:p w:rsidR="004334BB" w:rsidRDefault="004334BB" w:rsidP="004334BB">
      <w:pPr>
        <w:tabs>
          <w:tab w:val="left" w:pos="1134"/>
          <w:tab w:val="left" w:pos="1588"/>
          <w:tab w:val="left" w:pos="2041"/>
        </w:tabs>
        <w:ind w:left="2042" w:hanging="454"/>
      </w:pPr>
      <w:r w:rsidRPr="00FC6E0E">
        <w:t>W</w:t>
      </w:r>
      <w:r w:rsidRPr="00FC6E0E">
        <w:rPr>
          <w:vertAlign w:val="subscript"/>
        </w:rPr>
        <w:t>e</w:t>
      </w:r>
      <w:r>
        <w:tab/>
        <w:t xml:space="preserve">is the </w:t>
      </w:r>
      <w:r w:rsidRPr="00434337">
        <w:t>wheelbase</w:t>
      </w:r>
      <w:r w:rsidRPr="00FC6E0E">
        <w:t xml:space="preserve"> in the horizontal plane</w:t>
      </w:r>
    </w:p>
    <w:p w:rsidR="00C574BC" w:rsidRPr="00C574BC" w:rsidRDefault="00C574BC" w:rsidP="00A229B1">
      <w:pPr>
        <w:pStyle w:val="AlphaList0"/>
        <w:numPr>
          <w:ilvl w:val="4"/>
          <w:numId w:val="9"/>
        </w:numPr>
        <w:ind w:left="1588" w:hanging="454"/>
      </w:pPr>
      <w:r w:rsidRPr="00C574BC">
        <w:t>d</w:t>
      </w:r>
      <w:r w:rsidR="004334BB">
        <w:t>etermine the height (h) of the ‘</w:t>
      </w:r>
      <w:r w:rsidRPr="00C574BC">
        <w:t>CoM</w:t>
      </w:r>
      <w:r w:rsidR="004334BB">
        <w:t>’</w:t>
      </w:r>
      <w:r w:rsidRPr="00C574BC">
        <w:t xml:space="preserve"> from the formula:</w:t>
      </w:r>
    </w:p>
    <w:p w:rsidR="00AC4C4B" w:rsidRDefault="00AC4C4B" w:rsidP="00434337">
      <w:pPr>
        <w:tabs>
          <w:tab w:val="left" w:pos="1134"/>
          <w:tab w:val="left" w:pos="1588"/>
        </w:tabs>
        <w:spacing w:before="120" w:after="120"/>
        <w:ind w:left="1588"/>
        <w:rPr>
          <w:rFonts w:cs="Arial"/>
        </w:rPr>
      </w:pPr>
      <m:oMathPara>
        <m:oMathParaPr>
          <m:jc m:val="left"/>
        </m:oMathParaPr>
        <m:oMath>
          <m:r>
            <m:rPr>
              <m:sty m:val="p"/>
            </m:rPr>
            <w:rPr>
              <w:rFonts w:ascii="Cambria Math" w:hAnsi="Cambria Math"/>
            </w:rPr>
            <m:t>h=</m:t>
          </m:r>
          <m:d>
            <m:dPr>
              <m:begChr m:val="["/>
              <m:endChr m:val="]"/>
              <m:ctrlPr>
                <w:rPr>
                  <w:rFonts w:ascii="Cambria Math" w:hAnsi="Cambria Math" w:cs="Arial"/>
                  <w:i/>
                </w:rPr>
              </m:ctrlPr>
            </m:dPr>
            <m:e>
              <m:f>
                <m:fPr>
                  <m:ctrlPr>
                    <w:rPr>
                      <w:rFonts w:ascii="Cambria Math" w:hAnsi="Cambria Math" w:cs="Arial"/>
                      <w:i/>
                    </w:rPr>
                  </m:ctrlPr>
                </m:fPr>
                <m:num>
                  <m:r>
                    <m:rPr>
                      <m:sty m:val="p"/>
                    </m:rPr>
                    <w:rPr>
                      <w:rFonts w:ascii="Cambria Math" w:hAnsi="Cambria Math"/>
                    </w:rPr>
                    <m:t>W-L</m:t>
                  </m:r>
                </m:num>
                <m:den>
                  <m:func>
                    <m:funcPr>
                      <m:ctrlPr>
                        <w:rPr>
                          <w:rFonts w:ascii="Cambria Math" w:hAnsi="Cambria Math"/>
                        </w:rPr>
                      </m:ctrlPr>
                    </m:funcPr>
                    <m:fName>
                      <m:r>
                        <m:rPr>
                          <m:sty m:val="p"/>
                        </m:rPr>
                        <w:rPr>
                          <w:rFonts w:ascii="Cambria Math" w:hAnsi="Cambria Math"/>
                        </w:rPr>
                        <m:t>tan</m:t>
                      </m:r>
                    </m:fName>
                    <m:e>
                      <m:r>
                        <m:rPr>
                          <m:sty m:val="p"/>
                        </m:rPr>
                        <w:rPr>
                          <w:rFonts w:ascii="Cambria Math" w:hAnsi="Cambria Math"/>
                        </w:rPr>
                        <m:t>θ</m:t>
                      </m:r>
                    </m:e>
                  </m:func>
                </m:den>
              </m:f>
            </m:e>
          </m:d>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rPr>
                      </m:ctrlPr>
                    </m:sSubPr>
                    <m:e>
                      <m:r>
                        <m:rPr>
                          <m:sty m:val="p"/>
                        </m:rPr>
                        <w:rPr>
                          <w:rFonts w:ascii="Cambria Math" w:hAnsi="Cambria Math"/>
                        </w:rPr>
                        <m:t>W</m:t>
                      </m:r>
                    </m:e>
                    <m:sub>
                      <m:r>
                        <m:rPr>
                          <m:sty m:val="p"/>
                        </m:rPr>
                        <w:rPr>
                          <w:rFonts w:ascii="Cambria Math" w:hAnsi="Cambria Math"/>
                        </w:rPr>
                        <m:t>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e</m:t>
                      </m:r>
                    </m:sub>
                  </m:sSub>
                </m:num>
                <m:den>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θ</m:t>
                      </m:r>
                    </m:e>
                  </m:func>
                </m:den>
              </m:f>
            </m:e>
          </m:d>
          <m:r>
            <w:rPr>
              <w:rFonts w:ascii="Cambria Math" w:hAnsi="Cambria Math" w:cs="Arial"/>
            </w:rPr>
            <m:t>+r</m:t>
          </m:r>
        </m:oMath>
      </m:oMathPara>
    </w:p>
    <w:p w:rsidR="00434337" w:rsidRPr="0091469F" w:rsidRDefault="00434337" w:rsidP="00434337">
      <w:pPr>
        <w:tabs>
          <w:tab w:val="left" w:pos="1134"/>
          <w:tab w:val="left" w:pos="1588"/>
        </w:tabs>
        <w:spacing w:before="120" w:after="120"/>
        <w:ind w:left="1588"/>
        <w:rPr>
          <w:rFonts w:cs="Arial"/>
        </w:rPr>
      </w:pPr>
      <w:r>
        <w:rPr>
          <w:rFonts w:cs="Arial"/>
        </w:rPr>
        <w:t>W</w:t>
      </w:r>
      <w:r w:rsidRPr="0091469F">
        <w:rPr>
          <w:rFonts w:cs="Arial"/>
        </w:rPr>
        <w:t>here</w:t>
      </w:r>
      <w:r w:rsidR="006D56A0">
        <w:rPr>
          <w:rFonts w:cs="Arial"/>
        </w:rPr>
        <w:t xml:space="preserve"> (</w:t>
      </w:r>
      <w:r w:rsidR="006D56A0">
        <w:t xml:space="preserve">see </w:t>
      </w:r>
      <w:r w:rsidR="0093628F">
        <w:t xml:space="preserve">Figure </w:t>
      </w:r>
      <w:r w:rsidR="0093628F">
        <w:rPr>
          <w:noProof/>
        </w:rPr>
        <w:t>10</w:t>
      </w:r>
      <w:r w:rsidR="006D56A0">
        <w:t>)</w:t>
      </w:r>
      <w:r w:rsidRPr="0091469F">
        <w:rPr>
          <w:rFonts w:cs="Arial"/>
        </w:rPr>
        <w:t>:</w:t>
      </w:r>
    </w:p>
    <w:p w:rsidR="00434337" w:rsidRPr="00FC6E0E" w:rsidRDefault="00434337" w:rsidP="00434337">
      <w:pPr>
        <w:tabs>
          <w:tab w:val="left" w:pos="1134"/>
          <w:tab w:val="left" w:pos="1588"/>
          <w:tab w:val="left" w:pos="2041"/>
        </w:tabs>
        <w:ind w:left="2042" w:hanging="454"/>
      </w:pPr>
      <w:r>
        <w:t>W</w:t>
      </w:r>
      <w:r>
        <w:tab/>
        <w:t xml:space="preserve">is the </w:t>
      </w:r>
      <w:r w:rsidRPr="00434337">
        <w:rPr>
          <w:i/>
        </w:rPr>
        <w:t>‘Wheelbase’</w:t>
      </w:r>
      <w:r w:rsidRPr="00FC6E0E">
        <w:t xml:space="preserve"> of the vehicle </w:t>
      </w:r>
      <w:r>
        <w:t xml:space="preserve">measured </w:t>
      </w:r>
      <w:r w:rsidRPr="00FC6E0E">
        <w:t>prior to elevation; and</w:t>
      </w:r>
    </w:p>
    <w:p w:rsidR="00434337" w:rsidRDefault="00434337" w:rsidP="00434337">
      <w:pPr>
        <w:tabs>
          <w:tab w:val="left" w:pos="1134"/>
          <w:tab w:val="left" w:pos="1588"/>
          <w:tab w:val="left" w:pos="2041"/>
        </w:tabs>
        <w:ind w:left="2042" w:hanging="454"/>
      </w:pPr>
      <w:r w:rsidRPr="00FC6E0E">
        <w:t>L</w:t>
      </w:r>
      <w:r w:rsidRPr="00FC6E0E">
        <w:tab/>
        <w:t xml:space="preserve">is the longitudinal location of the </w:t>
      </w:r>
      <w:r>
        <w:t>‘</w:t>
      </w:r>
      <w:r w:rsidRPr="00FC6E0E">
        <w:t>CoM</w:t>
      </w:r>
      <w:r>
        <w:t>’</w:t>
      </w:r>
      <w:r w:rsidRPr="00FC6E0E">
        <w:t xml:space="preserve"> prior to elevation (</w:t>
      </w:r>
      <w:r>
        <w:t xml:space="preserve">as </w:t>
      </w:r>
      <w:r w:rsidRPr="00FC6E0E">
        <w:t xml:space="preserve">determined </w:t>
      </w:r>
      <w:r>
        <w:t>according to</w:t>
      </w:r>
      <w:r w:rsidRPr="00FC6E0E">
        <w:t xml:space="preserve"> </w:t>
      </w:r>
      <w:r w:rsidRPr="00434337">
        <w:t xml:space="preserve">clause </w:t>
      </w:r>
      <w:r>
        <w:t>2.2 of this appendix above)</w:t>
      </w:r>
    </w:p>
    <w:p w:rsidR="00434337" w:rsidRPr="00FC6E0E" w:rsidRDefault="00434337" w:rsidP="00434337">
      <w:pPr>
        <w:tabs>
          <w:tab w:val="left" w:pos="1134"/>
          <w:tab w:val="left" w:pos="1588"/>
          <w:tab w:val="left" w:pos="2041"/>
        </w:tabs>
        <w:ind w:left="2042" w:hanging="454"/>
      </w:pPr>
      <w:r w:rsidRPr="00FC6E0E">
        <w:t>θ</w:t>
      </w:r>
      <w:r w:rsidRPr="00FC6E0E">
        <w:tab/>
        <w:t xml:space="preserve">is </w:t>
      </w:r>
      <w:r>
        <w:t>the angle</w:t>
      </w:r>
      <w:r w:rsidR="000E35BE">
        <w:t xml:space="preserve"> of inclination</w:t>
      </w:r>
    </w:p>
    <w:p w:rsidR="004334BB" w:rsidRDefault="004334BB" w:rsidP="004334BB">
      <w:pPr>
        <w:tabs>
          <w:tab w:val="left" w:pos="1134"/>
          <w:tab w:val="left" w:pos="1588"/>
          <w:tab w:val="left" w:pos="2041"/>
        </w:tabs>
        <w:ind w:left="2042" w:hanging="454"/>
      </w:pPr>
      <w:r w:rsidRPr="00FC6E0E">
        <w:t>W</w:t>
      </w:r>
      <w:r w:rsidRPr="00FC6E0E">
        <w:rPr>
          <w:vertAlign w:val="subscript"/>
        </w:rPr>
        <w:t>e</w:t>
      </w:r>
      <w:r>
        <w:tab/>
        <w:t xml:space="preserve">is the </w:t>
      </w:r>
      <w:r w:rsidRPr="00434337">
        <w:t>wheelbase</w:t>
      </w:r>
      <w:r w:rsidRPr="00FC6E0E">
        <w:t xml:space="preserve"> in the horizontal plane</w:t>
      </w:r>
    </w:p>
    <w:p w:rsidR="00434337" w:rsidRDefault="00434337" w:rsidP="00434337">
      <w:pPr>
        <w:tabs>
          <w:tab w:val="left" w:pos="1134"/>
          <w:tab w:val="left" w:pos="1588"/>
          <w:tab w:val="left" w:pos="2041"/>
        </w:tabs>
        <w:ind w:left="2042" w:hanging="454"/>
      </w:pPr>
      <w:r w:rsidRPr="00FC6E0E">
        <w:t>L</w:t>
      </w:r>
      <w:r w:rsidRPr="00FC6E0E">
        <w:rPr>
          <w:vertAlign w:val="subscript"/>
        </w:rPr>
        <w:t>e</w:t>
      </w:r>
      <w:r w:rsidRPr="00FC6E0E">
        <w:tab/>
        <w:t xml:space="preserve">is </w:t>
      </w:r>
      <w:r w:rsidRPr="002B342E">
        <w:t xml:space="preserve">the longitudinal location of the </w:t>
      </w:r>
      <w:r>
        <w:t>‘</w:t>
      </w:r>
      <w:r w:rsidRPr="002B342E">
        <w:t>CoM</w:t>
      </w:r>
      <w:r>
        <w:t>’</w:t>
      </w:r>
      <w:r w:rsidRPr="002B342E">
        <w:t xml:space="preserve"> in the elevated state</w:t>
      </w:r>
    </w:p>
    <w:p w:rsidR="00434337" w:rsidRPr="00EA3488" w:rsidRDefault="00434337" w:rsidP="00434337">
      <w:pPr>
        <w:tabs>
          <w:tab w:val="left" w:pos="1134"/>
          <w:tab w:val="left" w:pos="1588"/>
          <w:tab w:val="left" w:pos="2041"/>
        </w:tabs>
        <w:ind w:left="2042" w:hanging="454"/>
      </w:pPr>
      <w:r w:rsidRPr="00FC6E0E">
        <w:t>r</w:t>
      </w:r>
      <w:r w:rsidRPr="00FC6E0E">
        <w:tab/>
        <w:t>is the rolling radius of the tyre</w:t>
      </w:r>
      <w:r>
        <w:t>s</w:t>
      </w:r>
      <w:r w:rsidRPr="00FC6E0E">
        <w:t xml:space="preserve"> fitted to the rear wheel</w:t>
      </w:r>
      <w:r>
        <w:t>s</w:t>
      </w:r>
    </w:p>
    <w:p w:rsidR="00FA795C" w:rsidRDefault="008A3C1A" w:rsidP="008A3C1A">
      <w:pPr>
        <w:pStyle w:val="Subsubsubclause"/>
        <w:numPr>
          <w:ilvl w:val="0"/>
          <w:numId w:val="0"/>
        </w:numPr>
        <w:ind w:left="1134"/>
      </w:pPr>
      <w:r w:rsidRPr="008A3C1A">
        <w:rPr>
          <w:noProof/>
        </w:rPr>
        <w:drawing>
          <wp:inline distT="0" distB="0" distL="0" distR="0">
            <wp:extent cx="4064870" cy="2880000"/>
            <wp:effectExtent l="0" t="0" r="0" b="0"/>
            <wp:docPr id="14" name="Picture 14" descr="Illustration of the determination of the height of the 'CoM' using the axle lift method." title="Figure 10: Axle Lift Method for a category LEM1, LEP1 or LEG1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64870" cy="2880000"/>
                    </a:xfrm>
                    <a:prstGeom prst="rect">
                      <a:avLst/>
                    </a:prstGeom>
                    <a:noFill/>
                    <a:ln>
                      <a:noFill/>
                    </a:ln>
                  </pic:spPr>
                </pic:pic>
              </a:graphicData>
            </a:graphic>
          </wp:inline>
        </w:drawing>
      </w:r>
    </w:p>
    <w:p w:rsidR="008A3C1A" w:rsidRPr="0090436D" w:rsidRDefault="002B1004" w:rsidP="000F348A">
      <w:pPr>
        <w:pStyle w:val="Caption"/>
        <w:ind w:left="1134"/>
        <w:rPr>
          <w:b w:val="0"/>
        </w:rPr>
      </w:pPr>
      <w:bookmarkStart w:id="75" w:name="_Ref517689456"/>
      <w:r>
        <w:t xml:space="preserve">Figure </w:t>
      </w:r>
      <w:r w:rsidR="0093628F">
        <w:rPr>
          <w:noProof/>
        </w:rPr>
        <w:t>10</w:t>
      </w:r>
      <w:bookmarkEnd w:id="75"/>
      <w:r w:rsidR="008A3C1A" w:rsidRPr="0090436D">
        <w:rPr>
          <w:b w:val="0"/>
        </w:rPr>
        <w:t xml:space="preserve">: </w:t>
      </w:r>
      <w:r w:rsidR="008A3C1A">
        <w:rPr>
          <w:b w:val="0"/>
        </w:rPr>
        <w:t>Axle Lift</w:t>
      </w:r>
      <w:r w:rsidR="008A3C1A" w:rsidRPr="0090436D">
        <w:rPr>
          <w:b w:val="0"/>
        </w:rPr>
        <w:t xml:space="preserve"> Method</w:t>
      </w:r>
      <w:r w:rsidR="008A3C1A">
        <w:rPr>
          <w:b w:val="0"/>
        </w:rPr>
        <w:t xml:space="preserve"> for a </w:t>
      </w:r>
      <w:r w:rsidR="008A3C1A" w:rsidRPr="0090436D">
        <w:rPr>
          <w:b w:val="0"/>
        </w:rPr>
        <w:t xml:space="preserve">category LEM1, LEP1 </w:t>
      </w:r>
      <w:r w:rsidR="008A3C1A">
        <w:rPr>
          <w:b w:val="0"/>
        </w:rPr>
        <w:t>or LEG1 vehicle</w:t>
      </w:r>
    </w:p>
    <w:p w:rsidR="008A3C1A" w:rsidRDefault="008A3C1A" w:rsidP="00D01848">
      <w:pPr>
        <w:pStyle w:val="Subsubsubclause"/>
        <w:keepNext/>
        <w:numPr>
          <w:ilvl w:val="2"/>
          <w:numId w:val="9"/>
        </w:numPr>
      </w:pPr>
      <w:r>
        <w:lastRenderedPageBreak/>
        <w:t>C</w:t>
      </w:r>
      <w:r w:rsidRPr="00FA795C">
        <w:t>ategory LEM</w:t>
      </w:r>
      <w:r w:rsidR="003F05BC">
        <w:t>2</w:t>
      </w:r>
      <w:r w:rsidRPr="00FA795C">
        <w:t>, LEP</w:t>
      </w:r>
      <w:r w:rsidR="003F05BC">
        <w:t>2</w:t>
      </w:r>
      <w:r w:rsidRPr="00FA795C">
        <w:t xml:space="preserve"> and LEG</w:t>
      </w:r>
      <w:r w:rsidR="003F05BC">
        <w:t>2</w:t>
      </w:r>
      <w:r w:rsidRPr="00FA795C">
        <w:t xml:space="preserve"> vehicles</w:t>
      </w:r>
    </w:p>
    <w:p w:rsidR="008459E9" w:rsidRDefault="008459E9" w:rsidP="00D01848">
      <w:pPr>
        <w:pStyle w:val="Subsubsubclause"/>
        <w:keepNext/>
        <w:numPr>
          <w:ilvl w:val="3"/>
          <w:numId w:val="9"/>
        </w:numPr>
      </w:pPr>
      <w:r w:rsidRPr="008C473F">
        <w:t xml:space="preserve">With the suspension blocked to prevent movement and the vehicle in the </w:t>
      </w:r>
      <w:r w:rsidRPr="002B342E">
        <w:rPr>
          <w:i/>
        </w:rPr>
        <w:t>‘Maximum Loaded Test Mass’</w:t>
      </w:r>
      <w:r w:rsidRPr="008C473F">
        <w:t xml:space="preserve"> condition</w:t>
      </w:r>
      <w:r>
        <w:t>:</w:t>
      </w:r>
    </w:p>
    <w:p w:rsidR="008459E9" w:rsidRDefault="008459E9" w:rsidP="00A229B1">
      <w:pPr>
        <w:pStyle w:val="AlphaList0"/>
        <w:numPr>
          <w:ilvl w:val="4"/>
          <w:numId w:val="9"/>
        </w:numPr>
        <w:ind w:left="1588" w:hanging="454"/>
      </w:pPr>
      <w:r w:rsidRPr="002B342E">
        <w:t xml:space="preserve">use </w:t>
      </w:r>
      <w:r>
        <w:t xml:space="preserve">a </w:t>
      </w:r>
      <w:r w:rsidRPr="002B342E">
        <w:t>block</w:t>
      </w:r>
      <w:r>
        <w:t xml:space="preserve"> (or block</w:t>
      </w:r>
      <w:r w:rsidRPr="002B342E">
        <w:t>s</w:t>
      </w:r>
      <w:r>
        <w:t>)</w:t>
      </w:r>
      <w:r w:rsidRPr="002B342E">
        <w:t xml:space="preserve"> to elevate the </w:t>
      </w:r>
      <w:r w:rsidR="000E35BE">
        <w:t>rear</w:t>
      </w:r>
      <w:r w:rsidRPr="002B342E">
        <w:t xml:space="preserve"> </w:t>
      </w:r>
      <w:r>
        <w:t>wheel by at least 600 mm</w:t>
      </w:r>
      <w:r w:rsidR="00AE650C">
        <w:t xml:space="preserve"> (see </w:t>
      </w:r>
      <w:r w:rsidR="0093628F">
        <w:t xml:space="preserve">Figure </w:t>
      </w:r>
      <w:r w:rsidR="0093628F">
        <w:rPr>
          <w:noProof/>
        </w:rPr>
        <w:t>11</w:t>
      </w:r>
      <w:r w:rsidR="00AE650C">
        <w:t>)</w:t>
      </w:r>
      <w:r>
        <w:t>;</w:t>
      </w:r>
    </w:p>
    <w:p w:rsidR="008459E9" w:rsidRDefault="008459E9" w:rsidP="00A229B1">
      <w:pPr>
        <w:pStyle w:val="AlphaList0"/>
        <w:numPr>
          <w:ilvl w:val="4"/>
          <w:numId w:val="9"/>
        </w:numPr>
        <w:ind w:left="1588" w:hanging="454"/>
      </w:pPr>
      <w:r w:rsidRPr="002B342E">
        <w:t xml:space="preserve">determine the longitudinal location of the </w:t>
      </w:r>
      <w:r>
        <w:t>‘</w:t>
      </w:r>
      <w:r w:rsidRPr="002B342E">
        <w:t>CoM</w:t>
      </w:r>
      <w:r>
        <w:t>’</w:t>
      </w:r>
      <w:r w:rsidRPr="002B342E">
        <w:t xml:space="preserve"> in the elevated state (L</w:t>
      </w:r>
      <w:r w:rsidRPr="002B342E">
        <w:rPr>
          <w:vertAlign w:val="subscript"/>
        </w:rPr>
        <w:t>e</w:t>
      </w:r>
      <w:r w:rsidR="00B82303">
        <w:t>), from the centre</w:t>
      </w:r>
      <w:r w:rsidRPr="002B342E">
        <w:t xml:space="preserve">line of the front </w:t>
      </w:r>
      <w:r w:rsidRPr="002B342E">
        <w:rPr>
          <w:i/>
        </w:rPr>
        <w:t>‘Axle’</w:t>
      </w:r>
      <w:r w:rsidRPr="002B342E">
        <w:t>, using the formula:</w:t>
      </w:r>
    </w:p>
    <w:p w:rsidR="002612D5" w:rsidRPr="00FC6E0E" w:rsidRDefault="003E2D78" w:rsidP="008459E9">
      <w:pPr>
        <w:pStyle w:val="Appendix-Subclause"/>
        <w:ind w:left="1588"/>
      </w:pPr>
      <m:oMathPara>
        <m:oMathParaPr>
          <m:jc m:val="left"/>
        </m:oMathParaP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e</m:t>
              </m:r>
            </m:sub>
          </m:sSub>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rPr>
                      </m:ctrlPr>
                    </m:sSubPr>
                    <m:e>
                      <m:r>
                        <m:rPr>
                          <m:sty m:val="p"/>
                        </m:rPr>
                        <w:rPr>
                          <w:rFonts w:ascii="Cambria Math" w:hAnsi="Cambria Math"/>
                        </w:rPr>
                        <m:t>W</m:t>
                      </m:r>
                    </m:e>
                    <m:sub>
                      <m:r>
                        <m:rPr>
                          <m:sty m:val="p"/>
                        </m:rPr>
                        <w:rPr>
                          <w:rFonts w:ascii="Cambria Math" w:hAnsi="Cambria Math"/>
                        </w:rPr>
                        <m:t>e</m:t>
                      </m:r>
                    </m:sub>
                  </m:s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e</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e</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R</m:t>
                      </m:r>
                    </m:e>
                    <m:sub>
                      <m:r>
                        <m:rPr>
                          <m:sty m:val="p"/>
                        </m:rPr>
                        <w:rPr>
                          <w:rFonts w:ascii="Cambria Math" w:hAnsi="Cambria Math"/>
                        </w:rPr>
                        <m:t>e</m:t>
                      </m:r>
                    </m:sub>
                  </m:sSub>
                </m:den>
              </m:f>
            </m:e>
          </m:d>
        </m:oMath>
      </m:oMathPara>
    </w:p>
    <w:p w:rsidR="008459E9" w:rsidRPr="0091469F" w:rsidRDefault="008459E9" w:rsidP="008459E9">
      <w:pPr>
        <w:tabs>
          <w:tab w:val="left" w:pos="1134"/>
          <w:tab w:val="left" w:pos="1588"/>
        </w:tabs>
        <w:spacing w:before="120" w:after="120"/>
        <w:ind w:left="1588"/>
        <w:rPr>
          <w:rFonts w:cs="Arial"/>
        </w:rPr>
      </w:pPr>
      <w:r>
        <w:rPr>
          <w:rFonts w:cs="Arial"/>
        </w:rPr>
        <w:t>W</w:t>
      </w:r>
      <w:r w:rsidRPr="0091469F">
        <w:rPr>
          <w:rFonts w:cs="Arial"/>
        </w:rPr>
        <w:t>here</w:t>
      </w:r>
      <w:r w:rsidR="008D4B33">
        <w:rPr>
          <w:rFonts w:cs="Arial"/>
        </w:rPr>
        <w:t xml:space="preserve"> </w:t>
      </w:r>
      <w:r w:rsidR="008D4B33">
        <w:t xml:space="preserve">(see </w:t>
      </w:r>
      <w:r w:rsidR="0093628F">
        <w:t xml:space="preserve">Figure </w:t>
      </w:r>
      <w:r w:rsidR="0093628F">
        <w:rPr>
          <w:noProof/>
        </w:rPr>
        <w:t>11</w:t>
      </w:r>
      <w:r w:rsidR="008D4B33">
        <w:t>)</w:t>
      </w:r>
      <w:r w:rsidRPr="0091469F">
        <w:rPr>
          <w:rFonts w:cs="Arial"/>
        </w:rPr>
        <w:t>:</w:t>
      </w:r>
    </w:p>
    <w:p w:rsidR="008459E9" w:rsidRDefault="008459E9" w:rsidP="008459E9">
      <w:pPr>
        <w:tabs>
          <w:tab w:val="left" w:pos="1134"/>
          <w:tab w:val="left" w:pos="1588"/>
          <w:tab w:val="left" w:pos="2041"/>
        </w:tabs>
        <w:ind w:left="2042" w:hanging="454"/>
      </w:pPr>
      <w:r w:rsidRPr="00FC6E0E">
        <w:t>W</w:t>
      </w:r>
      <w:r w:rsidRPr="00FC6E0E">
        <w:rPr>
          <w:vertAlign w:val="subscript"/>
        </w:rPr>
        <w:t>e</w:t>
      </w:r>
      <w:r>
        <w:tab/>
        <w:t xml:space="preserve">is the </w:t>
      </w:r>
      <w:r w:rsidRPr="00434337">
        <w:t>wheelbase</w:t>
      </w:r>
      <w:r>
        <w:t xml:space="preserve"> </w:t>
      </w:r>
      <w:r w:rsidRPr="00FC6E0E">
        <w:t>in the horizontal plane</w:t>
      </w:r>
    </w:p>
    <w:p w:rsidR="008459E9" w:rsidRPr="00D01848" w:rsidRDefault="008459E9" w:rsidP="008459E9">
      <w:pPr>
        <w:tabs>
          <w:tab w:val="left" w:pos="1134"/>
          <w:tab w:val="left" w:pos="1588"/>
          <w:tab w:val="left" w:pos="2041"/>
        </w:tabs>
        <w:ind w:left="2042" w:hanging="454"/>
        <w:rPr>
          <w:vertAlign w:val="subscript"/>
        </w:rPr>
      </w:pPr>
      <w:r w:rsidRPr="0006139C">
        <w:t>R</w:t>
      </w:r>
      <w:r w:rsidRPr="00125BB1">
        <w:rPr>
          <w:vertAlign w:val="subscript"/>
        </w:rPr>
        <w:t>e</w:t>
      </w:r>
      <w:r w:rsidRPr="0006139C">
        <w:tab/>
        <w:t xml:space="preserve">is the rear </w:t>
      </w:r>
      <w:r w:rsidRPr="00125BB1">
        <w:rPr>
          <w:i/>
        </w:rPr>
        <w:t>‘Axle Load’</w:t>
      </w:r>
      <w:r w:rsidRPr="0006139C">
        <w:t xml:space="preserve"> on the tyre(s) with the elevated vehicle in the </w:t>
      </w:r>
      <w:r w:rsidRPr="00125BB1">
        <w:rPr>
          <w:i/>
        </w:rPr>
        <w:t>‘Maximum Loaded Test Mass’</w:t>
      </w:r>
      <w:r>
        <w:t xml:space="preserve"> condition</w:t>
      </w:r>
      <w:r w:rsidR="00D01848">
        <w:t xml:space="preserve"> = F + R – F</w:t>
      </w:r>
      <w:r w:rsidR="00D01848">
        <w:rPr>
          <w:vertAlign w:val="subscript"/>
        </w:rPr>
        <w:t>e</w:t>
      </w:r>
    </w:p>
    <w:p w:rsidR="008459E9" w:rsidRPr="00D01848" w:rsidRDefault="008459E9" w:rsidP="008459E9">
      <w:pPr>
        <w:tabs>
          <w:tab w:val="left" w:pos="1134"/>
          <w:tab w:val="left" w:pos="1588"/>
          <w:tab w:val="left" w:pos="2041"/>
        </w:tabs>
        <w:ind w:left="2042" w:hanging="454"/>
        <w:rPr>
          <w:vertAlign w:val="subscript"/>
        </w:rPr>
      </w:pPr>
      <w:r w:rsidRPr="00125BB1">
        <w:t>F</w:t>
      </w:r>
      <w:r w:rsidRPr="00125BB1">
        <w:rPr>
          <w:vertAlign w:val="subscript"/>
        </w:rPr>
        <w:t>e</w:t>
      </w:r>
      <w:r w:rsidRPr="00125BB1">
        <w:tab/>
        <w:t xml:space="preserve">is the front </w:t>
      </w:r>
      <w:r w:rsidRPr="00125BB1">
        <w:rPr>
          <w:i/>
        </w:rPr>
        <w:t>‘Axle Load’</w:t>
      </w:r>
      <w:r w:rsidRPr="00125BB1">
        <w:t xml:space="preserve"> on the tyre(s) with the elevated vehicle in the </w:t>
      </w:r>
      <w:r w:rsidRPr="00125BB1">
        <w:rPr>
          <w:i/>
        </w:rPr>
        <w:t>‘Maximum Loaded Test Mass’</w:t>
      </w:r>
      <w:r w:rsidRPr="00125BB1">
        <w:t xml:space="preserve"> condition</w:t>
      </w:r>
      <w:r w:rsidR="00D01848">
        <w:t xml:space="preserve"> = F + R – R</w:t>
      </w:r>
      <w:r w:rsidR="00D01848">
        <w:rPr>
          <w:vertAlign w:val="subscript"/>
        </w:rPr>
        <w:t>e</w:t>
      </w:r>
    </w:p>
    <w:p w:rsidR="00D01848" w:rsidRDefault="00D01848" w:rsidP="00D01848">
      <w:pPr>
        <w:tabs>
          <w:tab w:val="left" w:pos="1134"/>
          <w:tab w:val="left" w:pos="1588"/>
          <w:tab w:val="left" w:pos="2041"/>
        </w:tabs>
        <w:ind w:left="2042" w:hanging="454"/>
      </w:pPr>
      <w:r w:rsidRPr="00125BB1">
        <w:t>F</w:t>
      </w:r>
      <w:r w:rsidRPr="00125BB1">
        <w:tab/>
        <w:t xml:space="preserve">is the front </w:t>
      </w:r>
      <w:r w:rsidRPr="00125BB1">
        <w:rPr>
          <w:i/>
        </w:rPr>
        <w:t>‘Axle Load’</w:t>
      </w:r>
      <w:r w:rsidRPr="00125BB1">
        <w:t xml:space="preserve"> on the tyre(s) with </w:t>
      </w:r>
      <w:r w:rsidR="00094B1E">
        <w:t>the vehicle on a level surface</w:t>
      </w:r>
      <w:r>
        <w:t xml:space="preserve"> </w:t>
      </w:r>
      <w:r w:rsidRPr="00125BB1">
        <w:t xml:space="preserve">in the </w:t>
      </w:r>
      <w:r w:rsidRPr="00125BB1">
        <w:rPr>
          <w:i/>
        </w:rPr>
        <w:t>‘Maximum Loaded Test Mass’</w:t>
      </w:r>
      <w:r w:rsidRPr="00125BB1">
        <w:t xml:space="preserve"> condition</w:t>
      </w:r>
    </w:p>
    <w:p w:rsidR="00D01848" w:rsidRDefault="00D01848" w:rsidP="00D01848">
      <w:pPr>
        <w:tabs>
          <w:tab w:val="left" w:pos="1134"/>
          <w:tab w:val="left" w:pos="1588"/>
          <w:tab w:val="left" w:pos="2041"/>
        </w:tabs>
        <w:ind w:left="2042" w:hanging="454"/>
      </w:pPr>
      <w:r w:rsidRPr="0006139C">
        <w:t>R</w:t>
      </w:r>
      <w:r w:rsidRPr="0006139C">
        <w:tab/>
        <w:t xml:space="preserve">is the rear </w:t>
      </w:r>
      <w:r w:rsidRPr="00125BB1">
        <w:rPr>
          <w:i/>
        </w:rPr>
        <w:t>‘Axle Load’</w:t>
      </w:r>
      <w:r w:rsidRPr="0006139C">
        <w:t xml:space="preserve"> on the tyre(s) with </w:t>
      </w:r>
      <w:r w:rsidRPr="00125BB1">
        <w:t xml:space="preserve">the vehicle </w:t>
      </w:r>
      <w:r w:rsidR="00094B1E">
        <w:t>on a level surface</w:t>
      </w:r>
      <w:r>
        <w:t xml:space="preserve"> </w:t>
      </w:r>
      <w:r w:rsidRPr="00125BB1">
        <w:t xml:space="preserve">in the </w:t>
      </w:r>
      <w:r w:rsidRPr="00125BB1">
        <w:rPr>
          <w:i/>
        </w:rPr>
        <w:t>‘Maximum Loaded Test Mass’</w:t>
      </w:r>
      <w:r w:rsidRPr="00125BB1">
        <w:t xml:space="preserve"> condition</w:t>
      </w:r>
    </w:p>
    <w:p w:rsidR="008459E9" w:rsidRPr="00C574BC" w:rsidRDefault="008459E9" w:rsidP="00A229B1">
      <w:pPr>
        <w:pStyle w:val="AlphaList0"/>
        <w:numPr>
          <w:ilvl w:val="4"/>
          <w:numId w:val="9"/>
        </w:numPr>
        <w:ind w:left="1588" w:hanging="454"/>
      </w:pPr>
      <w:r>
        <w:t xml:space="preserve">determine the angle </w:t>
      </w:r>
      <w:r w:rsidR="000E35BE">
        <w:t>(</w:t>
      </w:r>
      <w:r w:rsidR="000E35BE" w:rsidRPr="00FC6E0E">
        <w:t>θ</w:t>
      </w:r>
      <w:r w:rsidR="000E35BE">
        <w:t>)</w:t>
      </w:r>
      <w:r w:rsidR="000E35BE" w:rsidRPr="00FC6E0E">
        <w:t xml:space="preserve"> </w:t>
      </w:r>
      <w:r w:rsidR="000E35BE">
        <w:t xml:space="preserve">of declination </w:t>
      </w:r>
      <w:r w:rsidRPr="00C574BC">
        <w:t>from the formula:</w:t>
      </w:r>
    </w:p>
    <w:p w:rsidR="00A92442" w:rsidRDefault="00A92442" w:rsidP="008459E9">
      <w:pPr>
        <w:tabs>
          <w:tab w:val="left" w:pos="1134"/>
          <w:tab w:val="left" w:pos="1588"/>
        </w:tabs>
        <w:spacing w:before="120" w:after="120"/>
        <w:ind w:left="1588"/>
        <w:rPr>
          <w:rFonts w:cs="Arial"/>
        </w:rPr>
      </w:pPr>
      <m:oMathPara>
        <m:oMathParaPr>
          <m:jc m:val="left"/>
        </m:oMathParaPr>
        <m:oMath>
          <m:r>
            <m:rPr>
              <m:sty m:val="p"/>
            </m:rPr>
            <w:rPr>
              <w:rFonts w:ascii="Cambria Math" w:hAnsi="Cambria Math"/>
            </w:rPr>
            <m:t>θ</m:t>
          </m:r>
          <m:r>
            <w:rPr>
              <w:rFonts w:ascii="Cambria Math" w:hAnsi="Cambria Math" w:cs="Arial"/>
            </w:rPr>
            <m:t>=arctan</m:t>
          </m:r>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rPr>
                      </m:ctrlPr>
                    </m:sSubPr>
                    <m:e>
                      <m:r>
                        <m:rPr>
                          <m:sty m:val="p"/>
                        </m:rPr>
                        <w:rPr>
                          <w:rFonts w:ascii="Cambria Math" w:hAnsi="Cambria Math"/>
                        </w:rPr>
                        <m:t>H</m:t>
                      </m:r>
                    </m:e>
                    <m:sub>
                      <m:r>
                        <m:rPr>
                          <m:sty m:val="p"/>
                        </m:rPr>
                        <w:rPr>
                          <w:rFonts w:ascii="Cambria Math" w:hAnsi="Cambria Math"/>
                        </w:rPr>
                        <m:t>re</m:t>
                      </m:r>
                    </m:sub>
                  </m:sSub>
                </m:num>
                <m:den>
                  <m:sSub>
                    <m:sSubPr>
                      <m:ctrlPr>
                        <w:rPr>
                          <w:rFonts w:ascii="Cambria Math" w:hAnsi="Cambria Math"/>
                        </w:rPr>
                      </m:ctrlPr>
                    </m:sSubPr>
                    <m:e>
                      <m:r>
                        <m:rPr>
                          <m:sty m:val="p"/>
                        </m:rPr>
                        <w:rPr>
                          <w:rFonts w:ascii="Cambria Math" w:hAnsi="Cambria Math"/>
                        </w:rPr>
                        <m:t>W</m:t>
                      </m:r>
                    </m:e>
                    <m:sub>
                      <m:r>
                        <m:rPr>
                          <m:sty m:val="p"/>
                        </m:rPr>
                        <w:rPr>
                          <w:rFonts w:ascii="Cambria Math" w:hAnsi="Cambria Math"/>
                        </w:rPr>
                        <m:t>e</m:t>
                      </m:r>
                    </m:sub>
                  </m:sSub>
                </m:den>
              </m:f>
            </m:e>
          </m:d>
        </m:oMath>
      </m:oMathPara>
    </w:p>
    <w:p w:rsidR="008459E9" w:rsidRPr="00434337" w:rsidRDefault="008459E9" w:rsidP="008459E9">
      <w:pPr>
        <w:tabs>
          <w:tab w:val="left" w:pos="1134"/>
          <w:tab w:val="left" w:pos="1588"/>
        </w:tabs>
        <w:spacing w:before="120" w:after="120"/>
        <w:ind w:left="1588"/>
        <w:rPr>
          <w:rFonts w:cs="Arial"/>
        </w:rPr>
      </w:pPr>
      <w:r w:rsidRPr="00434337">
        <w:rPr>
          <w:rFonts w:cs="Arial"/>
        </w:rPr>
        <w:t>Where</w:t>
      </w:r>
      <w:r w:rsidR="008D4B33">
        <w:rPr>
          <w:rFonts w:cs="Arial"/>
        </w:rPr>
        <w:t xml:space="preserve"> </w:t>
      </w:r>
      <w:r w:rsidR="008D4B33">
        <w:t xml:space="preserve">(see </w:t>
      </w:r>
      <w:r w:rsidR="0093628F">
        <w:t xml:space="preserve">Figure </w:t>
      </w:r>
      <w:r w:rsidR="0093628F">
        <w:rPr>
          <w:noProof/>
        </w:rPr>
        <w:t>11</w:t>
      </w:r>
      <w:r w:rsidR="008D4B33">
        <w:t>)</w:t>
      </w:r>
      <w:r w:rsidRPr="00434337">
        <w:rPr>
          <w:rFonts w:cs="Arial"/>
        </w:rPr>
        <w:t>:</w:t>
      </w:r>
    </w:p>
    <w:p w:rsidR="008459E9" w:rsidRDefault="008459E9" w:rsidP="008459E9">
      <w:pPr>
        <w:tabs>
          <w:tab w:val="left" w:pos="1134"/>
          <w:tab w:val="left" w:pos="1588"/>
          <w:tab w:val="left" w:pos="2041"/>
        </w:tabs>
        <w:ind w:left="2042" w:hanging="454"/>
      </w:pPr>
      <w:r w:rsidRPr="00FC6E0E">
        <w:t>H</w:t>
      </w:r>
      <w:r w:rsidR="000E35BE">
        <w:rPr>
          <w:vertAlign w:val="subscript"/>
        </w:rPr>
        <w:t>r</w:t>
      </w:r>
      <w:r w:rsidRPr="00434337">
        <w:rPr>
          <w:vertAlign w:val="subscript"/>
        </w:rPr>
        <w:t>e</w:t>
      </w:r>
      <w:r w:rsidRPr="00FC6E0E">
        <w:tab/>
        <w:t>is the height by wh</w:t>
      </w:r>
      <w:r>
        <w:t xml:space="preserve">ich the </w:t>
      </w:r>
      <w:r w:rsidR="000E35BE">
        <w:t>rear</w:t>
      </w:r>
      <w:r>
        <w:t xml:space="preserve"> wheel is elevated</w:t>
      </w:r>
    </w:p>
    <w:p w:rsidR="008459E9" w:rsidRDefault="008459E9" w:rsidP="008459E9">
      <w:pPr>
        <w:tabs>
          <w:tab w:val="left" w:pos="1134"/>
          <w:tab w:val="left" w:pos="1588"/>
          <w:tab w:val="left" w:pos="2041"/>
        </w:tabs>
        <w:ind w:left="2042" w:hanging="454"/>
      </w:pPr>
      <w:r w:rsidRPr="00FC6E0E">
        <w:t>W</w:t>
      </w:r>
      <w:r w:rsidRPr="00FC6E0E">
        <w:rPr>
          <w:vertAlign w:val="subscript"/>
        </w:rPr>
        <w:t>e</w:t>
      </w:r>
      <w:r>
        <w:tab/>
        <w:t xml:space="preserve">is the </w:t>
      </w:r>
      <w:r w:rsidRPr="00434337">
        <w:t>wheelbase</w:t>
      </w:r>
      <w:r w:rsidRPr="00FC6E0E">
        <w:t xml:space="preserve"> in the horizontal plane</w:t>
      </w:r>
    </w:p>
    <w:p w:rsidR="008459E9" w:rsidRPr="00C574BC" w:rsidRDefault="008459E9" w:rsidP="003C265B">
      <w:pPr>
        <w:pStyle w:val="AlphaList0"/>
        <w:numPr>
          <w:ilvl w:val="4"/>
          <w:numId w:val="9"/>
        </w:numPr>
        <w:ind w:left="1588" w:hanging="454"/>
      </w:pPr>
      <w:r w:rsidRPr="00C574BC">
        <w:t>d</w:t>
      </w:r>
      <w:r>
        <w:t>etermine the height (h) of the ‘</w:t>
      </w:r>
      <w:r w:rsidRPr="00C574BC">
        <w:t>CoM</w:t>
      </w:r>
      <w:r>
        <w:t>’</w:t>
      </w:r>
      <w:r w:rsidRPr="00C574BC">
        <w:t xml:space="preserve"> from the formula:</w:t>
      </w:r>
    </w:p>
    <w:p w:rsidR="00D80827" w:rsidRDefault="00D80827" w:rsidP="003C265B">
      <w:pPr>
        <w:tabs>
          <w:tab w:val="left" w:pos="1134"/>
          <w:tab w:val="left" w:pos="1588"/>
        </w:tabs>
        <w:spacing w:before="120" w:after="120"/>
        <w:ind w:left="1588"/>
        <w:rPr>
          <w:rFonts w:cs="Arial"/>
        </w:rPr>
      </w:pPr>
      <m:oMathPara>
        <m:oMathParaPr>
          <m:jc m:val="left"/>
        </m:oMathParaPr>
        <m:oMath>
          <m:r>
            <m:rPr>
              <m:sty m:val="p"/>
            </m:rPr>
            <w:rPr>
              <w:rFonts w:ascii="Cambria Math" w:hAnsi="Cambria Math"/>
            </w:rPr>
            <m:t>h=</m:t>
          </m:r>
          <m:d>
            <m:dPr>
              <m:begChr m:val="["/>
              <m:endChr m:val="]"/>
              <m:ctrlPr>
                <w:rPr>
                  <w:rFonts w:ascii="Cambria Math" w:hAnsi="Cambria Math" w:cs="Arial"/>
                  <w:i/>
                </w:rPr>
              </m:ctrlPr>
            </m:dPr>
            <m:e>
              <m:f>
                <m:fPr>
                  <m:ctrlPr>
                    <w:rPr>
                      <w:rFonts w:ascii="Cambria Math" w:hAnsi="Cambria Math" w:cs="Arial"/>
                      <w:i/>
                    </w:rPr>
                  </m:ctrlPr>
                </m:fPr>
                <m:num>
                  <m:r>
                    <m:rPr>
                      <m:sty m:val="p"/>
                    </m:rPr>
                    <w:rPr>
                      <w:rFonts w:ascii="Cambria Math" w:hAnsi="Cambria Math"/>
                    </w:rPr>
                    <m:t>L</m:t>
                  </m:r>
                </m:num>
                <m:den>
                  <m:func>
                    <m:funcPr>
                      <m:ctrlPr>
                        <w:rPr>
                          <w:rFonts w:ascii="Cambria Math" w:hAnsi="Cambria Math"/>
                        </w:rPr>
                      </m:ctrlPr>
                    </m:funcPr>
                    <m:fName>
                      <m:r>
                        <m:rPr>
                          <m:sty m:val="p"/>
                        </m:rPr>
                        <w:rPr>
                          <w:rFonts w:ascii="Cambria Math" w:hAnsi="Cambria Math"/>
                        </w:rPr>
                        <m:t>tan</m:t>
                      </m:r>
                    </m:fName>
                    <m:e>
                      <m:r>
                        <m:rPr>
                          <m:sty m:val="p"/>
                        </m:rPr>
                        <w:rPr>
                          <w:rFonts w:ascii="Cambria Math" w:hAnsi="Cambria Math"/>
                        </w:rPr>
                        <m:t>θ</m:t>
                      </m:r>
                    </m:e>
                  </m:func>
                </m:den>
              </m:f>
            </m:e>
          </m:d>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rPr>
                      </m:ctrlPr>
                    </m:sSubPr>
                    <m:e>
                      <m:r>
                        <m:rPr>
                          <m:sty m:val="p"/>
                        </m:rPr>
                        <w:rPr>
                          <w:rFonts w:ascii="Cambria Math" w:hAnsi="Cambria Math"/>
                        </w:rPr>
                        <m:t>L</m:t>
                      </m:r>
                    </m:e>
                    <m:sub>
                      <m:r>
                        <m:rPr>
                          <m:sty m:val="p"/>
                        </m:rPr>
                        <w:rPr>
                          <w:rFonts w:ascii="Cambria Math" w:hAnsi="Cambria Math"/>
                        </w:rPr>
                        <m:t>e</m:t>
                      </m:r>
                    </m:sub>
                  </m:sSub>
                </m:num>
                <m:den>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θ</m:t>
                      </m:r>
                    </m:e>
                  </m:func>
                </m:den>
              </m:f>
            </m:e>
          </m:d>
          <m:r>
            <w:rPr>
              <w:rFonts w:ascii="Cambria Math" w:hAnsi="Cambria Math" w:cs="Arial"/>
            </w:rPr>
            <m:t>+r</m:t>
          </m:r>
        </m:oMath>
      </m:oMathPara>
    </w:p>
    <w:p w:rsidR="008459E9" w:rsidRPr="0091469F" w:rsidRDefault="008459E9" w:rsidP="003C265B">
      <w:pPr>
        <w:tabs>
          <w:tab w:val="left" w:pos="1134"/>
          <w:tab w:val="left" w:pos="1588"/>
        </w:tabs>
        <w:spacing w:before="120" w:after="120"/>
        <w:ind w:left="1588"/>
        <w:rPr>
          <w:rFonts w:cs="Arial"/>
        </w:rPr>
      </w:pPr>
      <w:r>
        <w:rPr>
          <w:rFonts w:cs="Arial"/>
        </w:rPr>
        <w:t>W</w:t>
      </w:r>
      <w:r w:rsidRPr="0091469F">
        <w:rPr>
          <w:rFonts w:cs="Arial"/>
        </w:rPr>
        <w:t>here</w:t>
      </w:r>
      <w:r w:rsidR="00E05B20">
        <w:rPr>
          <w:rFonts w:cs="Arial"/>
        </w:rPr>
        <w:t xml:space="preserve"> </w:t>
      </w:r>
      <w:r w:rsidR="008D4B33">
        <w:t xml:space="preserve">(see </w:t>
      </w:r>
      <w:r w:rsidR="0093628F">
        <w:t xml:space="preserve">Figure </w:t>
      </w:r>
      <w:r w:rsidR="0093628F">
        <w:rPr>
          <w:noProof/>
        </w:rPr>
        <w:t>11</w:t>
      </w:r>
      <w:r w:rsidR="00E05B20">
        <w:t>)</w:t>
      </w:r>
      <w:r w:rsidRPr="0091469F">
        <w:rPr>
          <w:rFonts w:cs="Arial"/>
        </w:rPr>
        <w:t>:</w:t>
      </w:r>
    </w:p>
    <w:p w:rsidR="008459E9" w:rsidRDefault="008459E9" w:rsidP="008459E9">
      <w:pPr>
        <w:tabs>
          <w:tab w:val="left" w:pos="1134"/>
          <w:tab w:val="left" w:pos="1588"/>
          <w:tab w:val="left" w:pos="2041"/>
        </w:tabs>
        <w:ind w:left="2042" w:hanging="454"/>
      </w:pPr>
      <w:r w:rsidRPr="00FC6E0E">
        <w:t>L</w:t>
      </w:r>
      <w:r w:rsidRPr="00FC6E0E">
        <w:tab/>
        <w:t xml:space="preserve">is the longitudinal location of the </w:t>
      </w:r>
      <w:r>
        <w:t>‘</w:t>
      </w:r>
      <w:r w:rsidRPr="00FC6E0E">
        <w:t>CoM</w:t>
      </w:r>
      <w:r>
        <w:t>’</w:t>
      </w:r>
      <w:r w:rsidRPr="00FC6E0E">
        <w:t xml:space="preserve"> prior to elevation (</w:t>
      </w:r>
      <w:r>
        <w:t xml:space="preserve">as </w:t>
      </w:r>
      <w:r w:rsidRPr="00FC6E0E">
        <w:t xml:space="preserve">determined </w:t>
      </w:r>
      <w:r>
        <w:t>according to</w:t>
      </w:r>
      <w:r w:rsidRPr="00FC6E0E">
        <w:t xml:space="preserve"> </w:t>
      </w:r>
      <w:r w:rsidRPr="00434337">
        <w:t xml:space="preserve">clause </w:t>
      </w:r>
      <w:r>
        <w:t>2.2 of this appendix above)</w:t>
      </w:r>
    </w:p>
    <w:p w:rsidR="008459E9" w:rsidRPr="00FC6E0E" w:rsidRDefault="008459E9" w:rsidP="008459E9">
      <w:pPr>
        <w:tabs>
          <w:tab w:val="left" w:pos="1134"/>
          <w:tab w:val="left" w:pos="1588"/>
          <w:tab w:val="left" w:pos="2041"/>
        </w:tabs>
        <w:ind w:left="2042" w:hanging="454"/>
      </w:pPr>
      <w:r w:rsidRPr="00FC6E0E">
        <w:t>θ</w:t>
      </w:r>
      <w:r w:rsidRPr="00FC6E0E">
        <w:tab/>
        <w:t xml:space="preserve">is </w:t>
      </w:r>
      <w:r>
        <w:t>the angle</w:t>
      </w:r>
      <w:r w:rsidR="000E35BE">
        <w:t xml:space="preserve"> of declination</w:t>
      </w:r>
    </w:p>
    <w:p w:rsidR="008459E9" w:rsidRDefault="008459E9" w:rsidP="008459E9">
      <w:pPr>
        <w:tabs>
          <w:tab w:val="left" w:pos="1134"/>
          <w:tab w:val="left" w:pos="1588"/>
          <w:tab w:val="left" w:pos="2041"/>
        </w:tabs>
        <w:ind w:left="2042" w:hanging="454"/>
      </w:pPr>
      <w:r w:rsidRPr="00FC6E0E">
        <w:t>W</w:t>
      </w:r>
      <w:r w:rsidRPr="00FC6E0E">
        <w:rPr>
          <w:vertAlign w:val="subscript"/>
        </w:rPr>
        <w:t>e</w:t>
      </w:r>
      <w:r>
        <w:tab/>
        <w:t xml:space="preserve">is the </w:t>
      </w:r>
      <w:r w:rsidRPr="00434337">
        <w:t>wheelbase</w:t>
      </w:r>
      <w:r w:rsidRPr="00FC6E0E">
        <w:t xml:space="preserve"> in the horizontal plane</w:t>
      </w:r>
    </w:p>
    <w:p w:rsidR="008459E9" w:rsidRDefault="008459E9" w:rsidP="008459E9">
      <w:pPr>
        <w:tabs>
          <w:tab w:val="left" w:pos="1134"/>
          <w:tab w:val="left" w:pos="1588"/>
          <w:tab w:val="left" w:pos="2041"/>
        </w:tabs>
        <w:ind w:left="2042" w:hanging="454"/>
      </w:pPr>
      <w:r w:rsidRPr="00FC6E0E">
        <w:t>L</w:t>
      </w:r>
      <w:r w:rsidRPr="00FC6E0E">
        <w:rPr>
          <w:vertAlign w:val="subscript"/>
        </w:rPr>
        <w:t>e</w:t>
      </w:r>
      <w:r w:rsidRPr="00FC6E0E">
        <w:tab/>
        <w:t xml:space="preserve">is </w:t>
      </w:r>
      <w:r w:rsidRPr="002B342E">
        <w:t xml:space="preserve">the longitudinal location of the </w:t>
      </w:r>
      <w:r>
        <w:t>‘</w:t>
      </w:r>
      <w:r w:rsidRPr="002B342E">
        <w:t>CoM</w:t>
      </w:r>
      <w:r>
        <w:t>’</w:t>
      </w:r>
      <w:r w:rsidRPr="002B342E">
        <w:t xml:space="preserve"> in the elevated state</w:t>
      </w:r>
    </w:p>
    <w:p w:rsidR="008A3C1A" w:rsidRPr="00FA795C" w:rsidRDefault="008459E9" w:rsidP="008459E9">
      <w:pPr>
        <w:tabs>
          <w:tab w:val="left" w:pos="1134"/>
          <w:tab w:val="left" w:pos="1588"/>
          <w:tab w:val="left" w:pos="2041"/>
        </w:tabs>
        <w:ind w:left="2042" w:hanging="454"/>
      </w:pPr>
      <w:r w:rsidRPr="00FC6E0E">
        <w:t>r</w:t>
      </w:r>
      <w:r w:rsidRPr="00FC6E0E">
        <w:tab/>
        <w:t>is the rolling radius of the tyre</w:t>
      </w:r>
      <w:r>
        <w:t>s</w:t>
      </w:r>
      <w:r w:rsidRPr="00FC6E0E">
        <w:t xml:space="preserve"> fitted to the rear wheel</w:t>
      </w:r>
      <w:r>
        <w:t>s</w:t>
      </w:r>
    </w:p>
    <w:p w:rsidR="008A3C1A" w:rsidRDefault="003F05BC" w:rsidP="003F05BC">
      <w:pPr>
        <w:pStyle w:val="Subsubsubclause"/>
        <w:numPr>
          <w:ilvl w:val="0"/>
          <w:numId w:val="0"/>
        </w:numPr>
        <w:ind w:left="1134"/>
      </w:pPr>
      <w:r w:rsidRPr="003F05BC">
        <w:rPr>
          <w:noProof/>
        </w:rPr>
        <w:lastRenderedPageBreak/>
        <w:drawing>
          <wp:inline distT="0" distB="0" distL="0" distR="0">
            <wp:extent cx="4024999" cy="2880000"/>
            <wp:effectExtent l="0" t="0" r="0" b="0"/>
            <wp:docPr id="17" name="Picture 17" descr="Illustration of the determination of the height of the 'CoM' using the axle lift method." title="Figure 11: Axle Lift Method for a category LEM2, LEP2 or LEG2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37124"/>
                    <a:stretch/>
                  </pic:blipFill>
                  <pic:spPr bwMode="auto">
                    <a:xfrm>
                      <a:off x="0" y="0"/>
                      <a:ext cx="4024999"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EE7128" w:rsidRPr="0090436D" w:rsidRDefault="002B1004" w:rsidP="000F348A">
      <w:pPr>
        <w:pStyle w:val="Caption"/>
        <w:ind w:left="1134"/>
        <w:rPr>
          <w:b w:val="0"/>
        </w:rPr>
      </w:pPr>
      <w:bookmarkStart w:id="76" w:name="_Ref517689404"/>
      <w:r>
        <w:t xml:space="preserve">Figure </w:t>
      </w:r>
      <w:r w:rsidR="0093628F">
        <w:rPr>
          <w:noProof/>
        </w:rPr>
        <w:t>11</w:t>
      </w:r>
      <w:bookmarkEnd w:id="76"/>
      <w:r w:rsidR="00EE7128" w:rsidRPr="0090436D">
        <w:rPr>
          <w:b w:val="0"/>
        </w:rPr>
        <w:t xml:space="preserve">: </w:t>
      </w:r>
      <w:r w:rsidR="00EE7128">
        <w:rPr>
          <w:b w:val="0"/>
        </w:rPr>
        <w:t>Axle Lift</w:t>
      </w:r>
      <w:r w:rsidR="00EE7128" w:rsidRPr="0090436D">
        <w:rPr>
          <w:b w:val="0"/>
        </w:rPr>
        <w:t xml:space="preserve"> Method</w:t>
      </w:r>
      <w:r w:rsidR="00EE7128">
        <w:rPr>
          <w:b w:val="0"/>
        </w:rPr>
        <w:t xml:space="preserve"> for a category LEM2, LEP2</w:t>
      </w:r>
      <w:r w:rsidR="00EE7128" w:rsidRPr="0090436D">
        <w:rPr>
          <w:b w:val="0"/>
        </w:rPr>
        <w:t xml:space="preserve"> </w:t>
      </w:r>
      <w:r w:rsidR="00EE7128">
        <w:rPr>
          <w:b w:val="0"/>
        </w:rPr>
        <w:t>or LEG2 vehicle</w:t>
      </w:r>
    </w:p>
    <w:p w:rsidR="004E6969" w:rsidRPr="004E6969" w:rsidRDefault="00D27D9F" w:rsidP="00A229B1">
      <w:pPr>
        <w:pStyle w:val="Appendix-ClauseHeading"/>
        <w:numPr>
          <w:ilvl w:val="0"/>
          <w:numId w:val="9"/>
        </w:numPr>
      </w:pPr>
      <w:r>
        <w:t>Calculation of the h</w:t>
      </w:r>
      <w:r w:rsidR="004E6969" w:rsidRPr="004E6969">
        <w:t xml:space="preserve">orizontal distance (d) from the ‘CoM’ to the nearest </w:t>
      </w:r>
      <w:r w:rsidR="00CC2D29">
        <w:t>‘</w:t>
      </w:r>
      <w:r w:rsidR="004E6969" w:rsidRPr="004E6969">
        <w:t>roll axis</w:t>
      </w:r>
      <w:r w:rsidR="00CC2D29">
        <w:t>’</w:t>
      </w:r>
    </w:p>
    <w:p w:rsidR="00AA56D5" w:rsidRPr="0091469F" w:rsidRDefault="00AA56D5" w:rsidP="00A229B1">
      <w:pPr>
        <w:pStyle w:val="Subsubsubclause"/>
        <w:numPr>
          <w:ilvl w:val="1"/>
          <w:numId w:val="9"/>
        </w:numPr>
        <w:rPr>
          <w:rFonts w:cs="Arial"/>
        </w:rPr>
      </w:pPr>
      <w:r w:rsidRPr="0091469F">
        <w:rPr>
          <w:rFonts w:cs="Arial"/>
        </w:rPr>
        <w:t xml:space="preserve">For </w:t>
      </w:r>
      <w:r>
        <w:rPr>
          <w:rFonts w:cs="Arial"/>
        </w:rPr>
        <w:t xml:space="preserve">category </w:t>
      </w:r>
      <w:r w:rsidRPr="0091469F">
        <w:rPr>
          <w:rFonts w:cs="Arial"/>
        </w:rPr>
        <w:t xml:space="preserve">LEM1, LEP1 </w:t>
      </w:r>
      <w:r>
        <w:rPr>
          <w:rFonts w:cs="Arial"/>
        </w:rPr>
        <w:t>and</w:t>
      </w:r>
      <w:r w:rsidRPr="0091469F">
        <w:rPr>
          <w:rFonts w:cs="Arial"/>
        </w:rPr>
        <w:t xml:space="preserve"> LEG1 vehicles</w:t>
      </w:r>
      <w:r w:rsidR="00447041">
        <w:rPr>
          <w:rFonts w:cs="Arial"/>
        </w:rPr>
        <w:t xml:space="preserve">, </w:t>
      </w:r>
      <w:r w:rsidR="004A1B07">
        <w:rPr>
          <w:rFonts w:cs="Arial"/>
        </w:rPr>
        <w:t xml:space="preserve">the </w:t>
      </w:r>
      <w:r w:rsidR="00447041" w:rsidRPr="0091469F">
        <w:rPr>
          <w:rFonts w:cs="Arial"/>
        </w:rPr>
        <w:t xml:space="preserve">horizontal distance </w:t>
      </w:r>
      <w:r w:rsidR="00447041">
        <w:rPr>
          <w:rFonts w:cs="Arial"/>
        </w:rPr>
        <w:t xml:space="preserve">(d) </w:t>
      </w:r>
      <w:r w:rsidR="00447041" w:rsidRPr="0091469F">
        <w:rPr>
          <w:rFonts w:cs="Arial"/>
        </w:rPr>
        <w:t xml:space="preserve">from the </w:t>
      </w:r>
      <w:r w:rsidR="00447041">
        <w:rPr>
          <w:rFonts w:cs="Arial"/>
        </w:rPr>
        <w:t>‘CoM’</w:t>
      </w:r>
      <w:r w:rsidR="00447041" w:rsidRPr="0091469F">
        <w:rPr>
          <w:rFonts w:cs="Arial"/>
        </w:rPr>
        <w:t xml:space="preserve"> to the nearest </w:t>
      </w:r>
      <w:r w:rsidR="00447041">
        <w:rPr>
          <w:rFonts w:cs="Arial"/>
        </w:rPr>
        <w:t>‘</w:t>
      </w:r>
      <w:r w:rsidR="00447041" w:rsidRPr="0091469F">
        <w:rPr>
          <w:rFonts w:cs="Arial"/>
        </w:rPr>
        <w:t>roll axis</w:t>
      </w:r>
      <w:r w:rsidR="00447041">
        <w:rPr>
          <w:rFonts w:cs="Arial"/>
        </w:rPr>
        <w:t>’</w:t>
      </w:r>
      <w:r w:rsidR="00447041" w:rsidRPr="0091469F">
        <w:rPr>
          <w:rFonts w:cs="Arial"/>
        </w:rPr>
        <w:t xml:space="preserve"> </w:t>
      </w:r>
      <w:r w:rsidR="004A1B07">
        <w:rPr>
          <w:rFonts w:cs="Arial"/>
        </w:rPr>
        <w:t>shall be</w:t>
      </w:r>
      <w:r w:rsidR="00447041" w:rsidRPr="0091469F">
        <w:rPr>
          <w:rFonts w:cs="Arial"/>
        </w:rPr>
        <w:t xml:space="preserve"> calculated from the formula shown below</w:t>
      </w:r>
      <w:r>
        <w:rPr>
          <w:rFonts w:cs="Arial"/>
        </w:rPr>
        <w:t>:</w:t>
      </w:r>
    </w:p>
    <w:p w:rsidR="00125B1E" w:rsidRDefault="00125B1E" w:rsidP="00AA56D5">
      <w:pPr>
        <w:tabs>
          <w:tab w:val="left" w:pos="1134"/>
          <w:tab w:val="left" w:pos="1588"/>
        </w:tabs>
        <w:spacing w:before="120" w:after="120"/>
        <w:ind w:left="1134"/>
        <w:rPr>
          <w:rFonts w:cs="Arial"/>
        </w:rPr>
      </w:pPr>
      <m:oMathPara>
        <m:oMathParaPr>
          <m:jc m:val="left"/>
        </m:oMathParaPr>
        <m:oMath>
          <m:r>
            <w:rPr>
              <w:rFonts w:ascii="Cambria Math" w:hAnsi="Cambria Math" w:cs="Arial"/>
            </w:rPr>
            <m:t>d=L ×sin</m:t>
          </m:r>
          <m:d>
            <m:dPr>
              <m:begChr m:val="["/>
              <m:endChr m:val="]"/>
              <m:ctrlPr>
                <w:rPr>
                  <w:rFonts w:ascii="Cambria Math" w:hAnsi="Cambria Math" w:cs="Arial"/>
                  <w:i/>
                </w:rPr>
              </m:ctrlPr>
            </m:dPr>
            <m:e>
              <m:r>
                <w:rPr>
                  <w:rFonts w:ascii="Cambria Math" w:hAnsi="Cambria Math" w:cs="Arial"/>
                </w:rPr>
                <m:t>arctan</m:t>
              </m:r>
              <m:d>
                <m:dPr>
                  <m:begChr m:val="["/>
                  <m:endChr m:val="]"/>
                  <m:ctrlPr>
                    <w:rPr>
                      <w:rFonts w:ascii="Cambria Math" w:hAnsi="Cambria Math" w:cs="Arial"/>
                      <w:i/>
                    </w:rPr>
                  </m:ctrlPr>
                </m:dPr>
                <m:e>
                  <m:f>
                    <m:fPr>
                      <m:ctrlPr>
                        <w:rPr>
                          <w:rFonts w:ascii="Cambria Math" w:hAnsi="Cambria Math" w:cs="Arial"/>
                          <w:i/>
                        </w:rPr>
                      </m:ctrlPr>
                    </m:fPr>
                    <m:num>
                      <m:r>
                        <m:rPr>
                          <m:sty m:val="p"/>
                        </m:rPr>
                        <w:rPr>
                          <w:rFonts w:ascii="Cambria Math" w:hAnsi="Cambria Math"/>
                        </w:rPr>
                        <m:t>t</m:t>
                      </m:r>
                    </m:num>
                    <m:den>
                      <m:r>
                        <m:rPr>
                          <m:sty m:val="p"/>
                        </m:rPr>
                        <w:rPr>
                          <w:rFonts w:ascii="Cambria Math" w:hAnsi="Cambria Math"/>
                        </w:rPr>
                        <m:t>2W</m:t>
                      </m:r>
                    </m:den>
                  </m:f>
                </m:e>
              </m:d>
            </m:e>
          </m:d>
        </m:oMath>
      </m:oMathPara>
    </w:p>
    <w:p w:rsidR="00AA56D5" w:rsidRPr="0091469F" w:rsidRDefault="00AA56D5" w:rsidP="00AA56D5">
      <w:pPr>
        <w:tabs>
          <w:tab w:val="left" w:pos="1134"/>
          <w:tab w:val="left" w:pos="1588"/>
        </w:tabs>
        <w:spacing w:before="120" w:after="120"/>
        <w:ind w:left="1134"/>
        <w:rPr>
          <w:rFonts w:cs="Arial"/>
        </w:rPr>
      </w:pPr>
      <w:r w:rsidRPr="0091469F">
        <w:rPr>
          <w:rFonts w:cs="Arial"/>
        </w:rPr>
        <w:t>where:</w:t>
      </w:r>
    </w:p>
    <w:p w:rsidR="00AA56D5" w:rsidRDefault="00AA56D5" w:rsidP="005F1E7A">
      <w:pPr>
        <w:tabs>
          <w:tab w:val="left" w:pos="1134"/>
          <w:tab w:val="left" w:pos="1588"/>
        </w:tabs>
        <w:spacing w:before="120" w:after="120"/>
        <w:ind w:left="1588" w:hanging="454"/>
        <w:rPr>
          <w:rFonts w:cs="Arial"/>
        </w:rPr>
      </w:pPr>
      <w:r>
        <w:rPr>
          <w:rFonts w:cs="Arial"/>
        </w:rPr>
        <w:t>L</w:t>
      </w:r>
      <w:r>
        <w:rPr>
          <w:rFonts w:cs="Arial"/>
        </w:rPr>
        <w:tab/>
      </w:r>
      <w:r w:rsidR="005F1E7A">
        <w:t xml:space="preserve">is the longitudinal location of the ‘CoM’ </w:t>
      </w:r>
      <w:r w:rsidR="005F1E7A">
        <w:rPr>
          <w:rFonts w:cs="Arial"/>
        </w:rPr>
        <w:t>from the centre</w:t>
      </w:r>
      <w:r w:rsidR="005F1E7A" w:rsidRPr="0091469F">
        <w:rPr>
          <w:rFonts w:cs="Arial"/>
        </w:rPr>
        <w:t xml:space="preserve">line of the front </w:t>
      </w:r>
      <w:r w:rsidR="005F1E7A" w:rsidRPr="0091469F">
        <w:rPr>
          <w:rFonts w:cs="Arial"/>
          <w:i/>
        </w:rPr>
        <w:t>‘Axle’</w:t>
      </w:r>
    </w:p>
    <w:p w:rsidR="00AA56D5" w:rsidRDefault="00AA56D5" w:rsidP="00AA56D5">
      <w:pPr>
        <w:tabs>
          <w:tab w:val="left" w:pos="1134"/>
          <w:tab w:val="left" w:pos="1588"/>
        </w:tabs>
        <w:spacing w:before="120" w:after="120"/>
        <w:ind w:left="1134"/>
        <w:rPr>
          <w:rFonts w:cs="Arial"/>
        </w:rPr>
      </w:pPr>
      <w:r>
        <w:rPr>
          <w:rFonts w:cs="Arial"/>
        </w:rPr>
        <w:t>t</w:t>
      </w:r>
      <w:r>
        <w:rPr>
          <w:rFonts w:cs="Arial"/>
        </w:rPr>
        <w:tab/>
      </w:r>
      <w:r w:rsidRPr="0091469F">
        <w:rPr>
          <w:rFonts w:cs="Arial"/>
        </w:rPr>
        <w:t xml:space="preserve">is the width of the wheel track of the rear </w:t>
      </w:r>
      <w:r w:rsidRPr="00AA56D5">
        <w:rPr>
          <w:rFonts w:cs="Arial"/>
          <w:i/>
        </w:rPr>
        <w:t>‘Axle’</w:t>
      </w:r>
    </w:p>
    <w:p w:rsidR="00AA56D5" w:rsidRPr="00AA56D5" w:rsidRDefault="00AA56D5" w:rsidP="00AA56D5">
      <w:pPr>
        <w:tabs>
          <w:tab w:val="left" w:pos="1134"/>
          <w:tab w:val="left" w:pos="1588"/>
        </w:tabs>
        <w:spacing w:before="120" w:after="120"/>
        <w:ind w:left="1134"/>
        <w:rPr>
          <w:rFonts w:cs="Arial"/>
        </w:rPr>
      </w:pPr>
      <w:r>
        <w:rPr>
          <w:rFonts w:cs="Arial"/>
        </w:rPr>
        <w:t>W</w:t>
      </w:r>
      <w:r>
        <w:rPr>
          <w:rFonts w:cs="Arial"/>
        </w:rPr>
        <w:tab/>
        <w:t xml:space="preserve">is the </w:t>
      </w:r>
      <w:r w:rsidRPr="00641960">
        <w:rPr>
          <w:rFonts w:cs="Arial"/>
          <w:i/>
        </w:rPr>
        <w:t>‘Wheelbase’</w:t>
      </w:r>
    </w:p>
    <w:p w:rsidR="00AA56D5" w:rsidRPr="0091469F" w:rsidRDefault="00AA56D5" w:rsidP="00A229B1">
      <w:pPr>
        <w:pStyle w:val="Subsubsubclause"/>
        <w:keepNext/>
        <w:numPr>
          <w:ilvl w:val="1"/>
          <w:numId w:val="9"/>
        </w:numPr>
        <w:rPr>
          <w:rFonts w:cs="Arial"/>
        </w:rPr>
      </w:pPr>
      <w:r w:rsidRPr="0091469F">
        <w:rPr>
          <w:rFonts w:cs="Arial"/>
        </w:rPr>
        <w:t xml:space="preserve">For </w:t>
      </w:r>
      <w:r>
        <w:rPr>
          <w:rFonts w:cs="Arial"/>
        </w:rPr>
        <w:t xml:space="preserve">category </w:t>
      </w:r>
      <w:r w:rsidRPr="0091469F">
        <w:rPr>
          <w:rFonts w:cs="Arial"/>
        </w:rPr>
        <w:t xml:space="preserve">LEM2, LEP2 </w:t>
      </w:r>
      <w:r>
        <w:rPr>
          <w:rFonts w:cs="Arial"/>
        </w:rPr>
        <w:t>and</w:t>
      </w:r>
      <w:r w:rsidRPr="0091469F">
        <w:rPr>
          <w:rFonts w:cs="Arial"/>
        </w:rPr>
        <w:t xml:space="preserve"> LEG2 vehicles</w:t>
      </w:r>
      <w:r w:rsidR="00447041">
        <w:rPr>
          <w:rFonts w:cs="Arial"/>
        </w:rPr>
        <w:t xml:space="preserve">, the </w:t>
      </w:r>
      <w:r w:rsidR="00447041" w:rsidRPr="0091469F">
        <w:rPr>
          <w:rFonts w:cs="Arial"/>
        </w:rPr>
        <w:t xml:space="preserve">horizontal distance </w:t>
      </w:r>
      <w:r w:rsidR="00447041">
        <w:rPr>
          <w:rFonts w:cs="Arial"/>
        </w:rPr>
        <w:t xml:space="preserve">(d) </w:t>
      </w:r>
      <w:r w:rsidR="00447041" w:rsidRPr="0091469F">
        <w:rPr>
          <w:rFonts w:cs="Arial"/>
        </w:rPr>
        <w:t xml:space="preserve">from the </w:t>
      </w:r>
      <w:r w:rsidR="00447041">
        <w:rPr>
          <w:rFonts w:cs="Arial"/>
        </w:rPr>
        <w:t>‘CoM’</w:t>
      </w:r>
      <w:r w:rsidR="00447041" w:rsidRPr="0091469F">
        <w:rPr>
          <w:rFonts w:cs="Arial"/>
        </w:rPr>
        <w:t xml:space="preserve"> to the nearest </w:t>
      </w:r>
      <w:r w:rsidR="00447041">
        <w:rPr>
          <w:rFonts w:cs="Arial"/>
        </w:rPr>
        <w:t>‘</w:t>
      </w:r>
      <w:r w:rsidR="00447041" w:rsidRPr="0091469F">
        <w:rPr>
          <w:rFonts w:cs="Arial"/>
        </w:rPr>
        <w:t>roll axis</w:t>
      </w:r>
      <w:r w:rsidR="00447041">
        <w:rPr>
          <w:rFonts w:cs="Arial"/>
        </w:rPr>
        <w:t>’</w:t>
      </w:r>
      <w:r w:rsidR="00447041" w:rsidRPr="0091469F">
        <w:rPr>
          <w:rFonts w:cs="Arial"/>
        </w:rPr>
        <w:t xml:space="preserve"> </w:t>
      </w:r>
      <w:r w:rsidR="004A1B07">
        <w:rPr>
          <w:rFonts w:cs="Arial"/>
        </w:rPr>
        <w:t>shall be</w:t>
      </w:r>
      <w:r w:rsidR="00447041" w:rsidRPr="0091469F">
        <w:rPr>
          <w:rFonts w:cs="Arial"/>
        </w:rPr>
        <w:t xml:space="preserve"> calculated from the formula shown below</w:t>
      </w:r>
      <w:r>
        <w:rPr>
          <w:rFonts w:cs="Arial"/>
        </w:rPr>
        <w:t>:</w:t>
      </w:r>
    </w:p>
    <w:p w:rsidR="00125B1E" w:rsidRDefault="00125B1E" w:rsidP="00AA56D5">
      <w:pPr>
        <w:tabs>
          <w:tab w:val="left" w:pos="1134"/>
          <w:tab w:val="left" w:pos="1588"/>
        </w:tabs>
        <w:spacing w:before="120" w:after="120"/>
        <w:ind w:left="1134"/>
        <w:rPr>
          <w:rFonts w:cs="Arial"/>
        </w:rPr>
      </w:pPr>
      <m:oMathPara>
        <m:oMathParaPr>
          <m:jc m:val="left"/>
        </m:oMathParaPr>
        <m:oMath>
          <m:r>
            <w:rPr>
              <w:rFonts w:ascii="Cambria Math" w:hAnsi="Cambria Math" w:cs="Arial"/>
            </w:rPr>
            <m:t>d=(W-L) ×sin</m:t>
          </m:r>
          <m:d>
            <m:dPr>
              <m:begChr m:val="["/>
              <m:endChr m:val="]"/>
              <m:ctrlPr>
                <w:rPr>
                  <w:rFonts w:ascii="Cambria Math" w:hAnsi="Cambria Math" w:cs="Arial"/>
                  <w:i/>
                </w:rPr>
              </m:ctrlPr>
            </m:dPr>
            <m:e>
              <m:r>
                <w:rPr>
                  <w:rFonts w:ascii="Cambria Math" w:hAnsi="Cambria Math" w:cs="Arial"/>
                </w:rPr>
                <m:t>arctan</m:t>
              </m:r>
              <m:d>
                <m:dPr>
                  <m:begChr m:val="["/>
                  <m:endChr m:val="]"/>
                  <m:ctrlPr>
                    <w:rPr>
                      <w:rFonts w:ascii="Cambria Math" w:hAnsi="Cambria Math" w:cs="Arial"/>
                      <w:i/>
                    </w:rPr>
                  </m:ctrlPr>
                </m:dPr>
                <m:e>
                  <m:f>
                    <m:fPr>
                      <m:ctrlPr>
                        <w:rPr>
                          <w:rFonts w:ascii="Cambria Math" w:hAnsi="Cambria Math" w:cs="Arial"/>
                          <w:i/>
                        </w:rPr>
                      </m:ctrlPr>
                    </m:fPr>
                    <m:num>
                      <m:r>
                        <m:rPr>
                          <m:sty m:val="p"/>
                        </m:rPr>
                        <w:rPr>
                          <w:rFonts w:ascii="Cambria Math" w:hAnsi="Cambria Math"/>
                        </w:rPr>
                        <m:t>t</m:t>
                      </m:r>
                    </m:num>
                    <m:den>
                      <m:r>
                        <m:rPr>
                          <m:sty m:val="p"/>
                        </m:rPr>
                        <w:rPr>
                          <w:rFonts w:ascii="Cambria Math" w:hAnsi="Cambria Math"/>
                        </w:rPr>
                        <m:t>2W</m:t>
                      </m:r>
                    </m:den>
                  </m:f>
                </m:e>
              </m:d>
            </m:e>
          </m:d>
        </m:oMath>
      </m:oMathPara>
    </w:p>
    <w:p w:rsidR="00AA56D5" w:rsidRPr="0091469F" w:rsidRDefault="00AA56D5" w:rsidP="00AA56D5">
      <w:pPr>
        <w:tabs>
          <w:tab w:val="left" w:pos="1134"/>
          <w:tab w:val="left" w:pos="1588"/>
        </w:tabs>
        <w:spacing w:before="120" w:after="120"/>
        <w:ind w:left="1134"/>
        <w:rPr>
          <w:rFonts w:cs="Arial"/>
        </w:rPr>
      </w:pPr>
      <w:r w:rsidRPr="0091469F">
        <w:rPr>
          <w:rFonts w:cs="Arial"/>
        </w:rPr>
        <w:t>where:</w:t>
      </w:r>
    </w:p>
    <w:p w:rsidR="00AA56D5" w:rsidRPr="00AA56D5" w:rsidRDefault="00AA56D5" w:rsidP="00AA56D5">
      <w:pPr>
        <w:tabs>
          <w:tab w:val="left" w:pos="1134"/>
          <w:tab w:val="left" w:pos="1588"/>
        </w:tabs>
        <w:spacing w:before="120" w:after="120"/>
        <w:ind w:left="1134"/>
        <w:rPr>
          <w:rFonts w:cs="Arial"/>
        </w:rPr>
      </w:pPr>
      <w:r>
        <w:rPr>
          <w:rFonts w:cs="Arial"/>
        </w:rPr>
        <w:t>W</w:t>
      </w:r>
      <w:r>
        <w:rPr>
          <w:rFonts w:cs="Arial"/>
        </w:rPr>
        <w:tab/>
        <w:t xml:space="preserve">is the </w:t>
      </w:r>
      <w:r w:rsidRPr="00641960">
        <w:rPr>
          <w:rFonts w:cs="Arial"/>
          <w:i/>
        </w:rPr>
        <w:t>‘Wheelbase’</w:t>
      </w:r>
    </w:p>
    <w:p w:rsidR="00AA56D5" w:rsidRDefault="00AA56D5" w:rsidP="005F1E7A">
      <w:pPr>
        <w:tabs>
          <w:tab w:val="left" w:pos="1134"/>
          <w:tab w:val="left" w:pos="1588"/>
        </w:tabs>
        <w:spacing w:before="120" w:after="120"/>
        <w:ind w:left="1588" w:hanging="454"/>
        <w:rPr>
          <w:rFonts w:cs="Arial"/>
        </w:rPr>
      </w:pPr>
      <w:r>
        <w:rPr>
          <w:rFonts w:cs="Arial"/>
        </w:rPr>
        <w:t>L</w:t>
      </w:r>
      <w:r>
        <w:rPr>
          <w:rFonts w:cs="Arial"/>
        </w:rPr>
        <w:tab/>
      </w:r>
      <w:r w:rsidR="005F1E7A">
        <w:t xml:space="preserve">is the longitudinal location of the ‘CoM’ </w:t>
      </w:r>
      <w:r w:rsidR="005F1E7A">
        <w:rPr>
          <w:rFonts w:cs="Arial"/>
        </w:rPr>
        <w:t>from the centre</w:t>
      </w:r>
      <w:r w:rsidR="005F1E7A" w:rsidRPr="0091469F">
        <w:rPr>
          <w:rFonts w:cs="Arial"/>
        </w:rPr>
        <w:t xml:space="preserve">line of the front </w:t>
      </w:r>
      <w:r w:rsidR="005F1E7A" w:rsidRPr="0091469F">
        <w:rPr>
          <w:rFonts w:cs="Arial"/>
          <w:i/>
        </w:rPr>
        <w:t>‘Axle’</w:t>
      </w:r>
    </w:p>
    <w:p w:rsidR="00873661" w:rsidRDefault="00AA56D5" w:rsidP="00AA56D5">
      <w:pPr>
        <w:tabs>
          <w:tab w:val="left" w:pos="1134"/>
          <w:tab w:val="left" w:pos="1588"/>
        </w:tabs>
        <w:spacing w:before="120" w:after="120"/>
        <w:ind w:left="1134"/>
        <w:rPr>
          <w:rFonts w:cs="Arial"/>
        </w:rPr>
      </w:pPr>
      <w:r>
        <w:rPr>
          <w:rFonts w:cs="Arial"/>
        </w:rPr>
        <w:t>t</w:t>
      </w:r>
      <w:r>
        <w:rPr>
          <w:rFonts w:cs="Arial"/>
        </w:rPr>
        <w:tab/>
      </w:r>
      <w:r w:rsidRPr="0091469F">
        <w:rPr>
          <w:rFonts w:cs="Arial"/>
        </w:rPr>
        <w:t xml:space="preserve">is the width of the wheel track of the front </w:t>
      </w:r>
      <w:r w:rsidRPr="0091469F">
        <w:rPr>
          <w:rFonts w:cs="Arial"/>
          <w:i/>
        </w:rPr>
        <w:t>‘Axle’</w:t>
      </w:r>
    </w:p>
    <w:p w:rsidR="00D27D9F" w:rsidRDefault="00D27D9F" w:rsidP="00D01848">
      <w:pPr>
        <w:pStyle w:val="Appendix-ClauseHeading"/>
        <w:numPr>
          <w:ilvl w:val="0"/>
          <w:numId w:val="9"/>
        </w:numPr>
      </w:pPr>
      <w:r>
        <w:lastRenderedPageBreak/>
        <w:t>Calculati</w:t>
      </w:r>
      <w:r w:rsidR="009D6D9E">
        <w:t>on of</w:t>
      </w:r>
      <w:r>
        <w:t xml:space="preserve"> the ‘Static Stability Ratio’</w:t>
      </w:r>
    </w:p>
    <w:p w:rsidR="00D27D9F" w:rsidRDefault="009D6D9E" w:rsidP="00D01848">
      <w:pPr>
        <w:pStyle w:val="Subsubsubclause"/>
        <w:keepNext/>
        <w:numPr>
          <w:ilvl w:val="1"/>
          <w:numId w:val="9"/>
        </w:numPr>
      </w:pPr>
      <w:r>
        <w:t xml:space="preserve">The ‘Static Stability Ratio’ </w:t>
      </w:r>
      <w:r w:rsidR="006A40C0">
        <w:t>shall be</w:t>
      </w:r>
      <w:r>
        <w:t xml:space="preserve"> calculated </w:t>
      </w:r>
      <w:r w:rsidR="00C459BE">
        <w:t>as follows</w:t>
      </w:r>
      <w:r w:rsidR="003D194B">
        <w:t>:</w:t>
      </w:r>
    </w:p>
    <w:p w:rsidR="003D194B" w:rsidRDefault="003D194B" w:rsidP="003D194B">
      <w:pPr>
        <w:tabs>
          <w:tab w:val="left" w:pos="1134"/>
          <w:tab w:val="left" w:pos="1588"/>
        </w:tabs>
        <w:spacing w:before="120" w:after="120"/>
        <w:ind w:left="1134"/>
      </w:pPr>
      <w:r>
        <w:t>‘Static Stability Ratio’ = h/d</w:t>
      </w:r>
    </w:p>
    <w:p w:rsidR="003D194B" w:rsidRPr="0091469F" w:rsidRDefault="003D194B" w:rsidP="003D194B">
      <w:pPr>
        <w:tabs>
          <w:tab w:val="left" w:pos="1134"/>
          <w:tab w:val="left" w:pos="1588"/>
        </w:tabs>
        <w:spacing w:before="120" w:after="120"/>
        <w:ind w:left="1134"/>
        <w:rPr>
          <w:rFonts w:cs="Arial"/>
        </w:rPr>
      </w:pPr>
      <w:r w:rsidRPr="0091469F">
        <w:rPr>
          <w:rFonts w:cs="Arial"/>
        </w:rPr>
        <w:t>where:</w:t>
      </w:r>
    </w:p>
    <w:p w:rsidR="003D194B" w:rsidRDefault="003D194B" w:rsidP="003D194B">
      <w:pPr>
        <w:tabs>
          <w:tab w:val="left" w:pos="1134"/>
          <w:tab w:val="left" w:pos="1588"/>
        </w:tabs>
        <w:spacing w:before="120" w:after="120"/>
        <w:ind w:left="1134"/>
      </w:pPr>
      <w:r>
        <w:t>h</w:t>
      </w:r>
      <w:r>
        <w:tab/>
        <w:t xml:space="preserve">is the </w:t>
      </w:r>
      <w:r w:rsidRPr="00E34A3C">
        <w:t>height (h) of the ‘CoM’</w:t>
      </w:r>
    </w:p>
    <w:p w:rsidR="003D194B" w:rsidRDefault="003D194B" w:rsidP="003D194B">
      <w:pPr>
        <w:tabs>
          <w:tab w:val="left" w:pos="1134"/>
          <w:tab w:val="left" w:pos="1588"/>
        </w:tabs>
        <w:spacing w:before="120" w:after="120"/>
        <w:ind w:left="1134"/>
        <w:rPr>
          <w:rFonts w:cs="Arial"/>
        </w:rPr>
      </w:pPr>
      <w:r>
        <w:t>d</w:t>
      </w:r>
      <w:r>
        <w:tab/>
        <w:t>is the</w:t>
      </w:r>
      <w:r w:rsidRPr="003D194B">
        <w:rPr>
          <w:rFonts w:cs="Arial"/>
        </w:rPr>
        <w:t xml:space="preserve"> </w:t>
      </w:r>
      <w:r w:rsidRPr="0091469F">
        <w:rPr>
          <w:rFonts w:cs="Arial"/>
        </w:rPr>
        <w:t xml:space="preserve">horizontal distance from the </w:t>
      </w:r>
      <w:r>
        <w:rPr>
          <w:rFonts w:cs="Arial"/>
        </w:rPr>
        <w:t>‘CoM’</w:t>
      </w:r>
      <w:r w:rsidRPr="0091469F">
        <w:rPr>
          <w:rFonts w:cs="Arial"/>
        </w:rPr>
        <w:t xml:space="preserve"> to the nearest </w:t>
      </w:r>
      <w:r>
        <w:rPr>
          <w:rFonts w:cs="Arial"/>
        </w:rPr>
        <w:t>‘</w:t>
      </w:r>
      <w:r w:rsidRPr="0091469F">
        <w:rPr>
          <w:rFonts w:cs="Arial"/>
        </w:rPr>
        <w:t>roll axis</w:t>
      </w:r>
      <w:r>
        <w:rPr>
          <w:rFonts w:cs="Arial"/>
        </w:rPr>
        <w:t>’</w:t>
      </w:r>
    </w:p>
    <w:p w:rsidR="00FE6AB1" w:rsidRDefault="00FE6AB1" w:rsidP="00A229B1">
      <w:pPr>
        <w:pStyle w:val="Appendix-Subclause"/>
        <w:numPr>
          <w:ilvl w:val="1"/>
          <w:numId w:val="9"/>
        </w:numPr>
      </w:pPr>
      <w:r w:rsidRPr="00FC6E0E">
        <w:t xml:space="preserve">The test report </w:t>
      </w:r>
      <w:r w:rsidR="009622B1">
        <w:t>must</w:t>
      </w:r>
      <w:r w:rsidRPr="00FC6E0E">
        <w:t xml:space="preserve"> take account of known </w:t>
      </w:r>
      <w:r w:rsidR="005201F9">
        <w:t xml:space="preserve">and potential </w:t>
      </w:r>
      <w:r w:rsidRPr="00FC6E0E">
        <w:t xml:space="preserve">inaccuracies in measurement equipment, especially </w:t>
      </w:r>
      <w:r w:rsidR="005B5D99">
        <w:t>where</w:t>
      </w:r>
      <w:r w:rsidRPr="00FC6E0E">
        <w:t xml:space="preserve"> the </w:t>
      </w:r>
      <w:r>
        <w:rPr>
          <w:rFonts w:cs="Arial"/>
        </w:rPr>
        <w:t>‘</w:t>
      </w:r>
      <w:r w:rsidRPr="006C70A7">
        <w:rPr>
          <w:rFonts w:cs="Arial"/>
        </w:rPr>
        <w:t>Static Stability Ratio</w:t>
      </w:r>
      <w:r>
        <w:rPr>
          <w:rFonts w:cs="Arial"/>
        </w:rPr>
        <w:t>’</w:t>
      </w:r>
      <w:r w:rsidRPr="00FC6E0E">
        <w:t xml:space="preserve"> nears the compliance limit.</w:t>
      </w:r>
    </w:p>
    <w:p w:rsidR="007E5A0D" w:rsidRDefault="007E5A0D" w:rsidP="00862B86">
      <w:pPr>
        <w:pStyle w:val="Appendix-Subclause"/>
        <w:numPr>
          <w:ilvl w:val="2"/>
          <w:numId w:val="9"/>
        </w:numPr>
      </w:pPr>
      <w:r>
        <w:t xml:space="preserve">For the </w:t>
      </w:r>
      <w:r w:rsidR="00862B86">
        <w:t xml:space="preserve">Stable Pendulum Method, </w:t>
      </w:r>
      <w:r w:rsidR="005C5C06">
        <w:t>the</w:t>
      </w:r>
      <w:r w:rsidR="00862B86">
        <w:t xml:space="preserve"> test facility must be able</w:t>
      </w:r>
      <w:r w:rsidR="00862B86" w:rsidRPr="007E5A0D">
        <w:t xml:space="preserve"> to accurately measure</w:t>
      </w:r>
      <w:r w:rsidR="00862B86" w:rsidRPr="00862B86">
        <w:t xml:space="preserve"> the angle </w:t>
      </w:r>
      <w:r w:rsidR="00206D4F">
        <w:t>(</w:t>
      </w:r>
      <w:r w:rsidR="00206D4F" w:rsidRPr="00FC6E0E">
        <w:t>θ</w:t>
      </w:r>
      <w:r w:rsidR="00206D4F">
        <w:t xml:space="preserve">) </w:t>
      </w:r>
      <w:r w:rsidR="00862B86" w:rsidRPr="00862B86">
        <w:t>between the reference line and the horizontal</w:t>
      </w:r>
      <w:r w:rsidR="00862B86">
        <w:t>.</w:t>
      </w:r>
    </w:p>
    <w:p w:rsidR="007E5A0D" w:rsidRPr="00FE6AB1" w:rsidRDefault="007E5A0D" w:rsidP="007E5A0D">
      <w:pPr>
        <w:pStyle w:val="Appendix-Subclause"/>
        <w:numPr>
          <w:ilvl w:val="2"/>
          <w:numId w:val="9"/>
        </w:numPr>
      </w:pPr>
      <w:r>
        <w:t>For the Axle Lift Method</w:t>
      </w:r>
      <w:r w:rsidR="00862B86">
        <w:t>,</w:t>
      </w:r>
      <w:r w:rsidRPr="007E5A0D">
        <w:t xml:space="preserve"> </w:t>
      </w:r>
      <w:r w:rsidR="005C5C06">
        <w:t>the</w:t>
      </w:r>
      <w:r>
        <w:t xml:space="preserve"> test facility must be able</w:t>
      </w:r>
      <w:r w:rsidRPr="007E5A0D">
        <w:t xml:space="preserve"> to accurately measure the height of elevation of the single-wheel axle, and accurately measure the </w:t>
      </w:r>
      <w:r w:rsidRPr="007E5A0D">
        <w:rPr>
          <w:i/>
        </w:rPr>
        <w:t>‘Axle Load’</w:t>
      </w:r>
      <w:r w:rsidRPr="007E5A0D">
        <w:t xml:space="preserve"> (or axle weight) of the two-wheel axle.</w:t>
      </w:r>
    </w:p>
    <w:sectPr w:rsidR="007E5A0D" w:rsidRPr="00FE6AB1" w:rsidSect="00977B64">
      <w:headerReference w:type="default" r:id="rId28"/>
      <w:headerReference w:type="first" r:id="rId29"/>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A86" w:rsidRDefault="00AB5A86" w:rsidP="00293615">
      <w:r>
        <w:separator/>
      </w:r>
    </w:p>
    <w:p w:rsidR="00AB5A86" w:rsidRDefault="00AB5A86"/>
    <w:p w:rsidR="00AB5A86" w:rsidRDefault="00AB5A86" w:rsidP="00DF2ECE"/>
  </w:endnote>
  <w:endnote w:type="continuationSeparator" w:id="0">
    <w:p w:rsidR="00AB5A86" w:rsidRDefault="00AB5A86" w:rsidP="00293615">
      <w:r>
        <w:continuationSeparator/>
      </w:r>
    </w:p>
    <w:p w:rsidR="00AB5A86" w:rsidRDefault="00AB5A86"/>
    <w:p w:rsidR="00AB5A86" w:rsidRDefault="00AB5A86" w:rsidP="00DF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A86" w:rsidRDefault="00AB5A86" w:rsidP="00293615">
      <w:r>
        <w:separator/>
      </w:r>
    </w:p>
    <w:p w:rsidR="00AB5A86" w:rsidRDefault="00AB5A86"/>
    <w:p w:rsidR="00AB5A86" w:rsidRDefault="00AB5A86" w:rsidP="00DF2ECE"/>
  </w:footnote>
  <w:footnote w:type="continuationSeparator" w:id="0">
    <w:p w:rsidR="00AB5A86" w:rsidRDefault="00AB5A86" w:rsidP="00293615">
      <w:r>
        <w:continuationSeparator/>
      </w:r>
    </w:p>
    <w:p w:rsidR="00AB5A86" w:rsidRDefault="00AB5A86"/>
    <w:p w:rsidR="00AB5A86" w:rsidRDefault="00AB5A86" w:rsidP="00DF2ECE"/>
  </w:footnote>
  <w:footnote w:id="1">
    <w:p w:rsidR="00AB5A86" w:rsidRPr="00951737" w:rsidRDefault="00AB5A86" w:rsidP="003D73C6">
      <w:pPr>
        <w:pStyle w:val="FootnoteText"/>
        <w:tabs>
          <w:tab w:val="left" w:pos="170"/>
        </w:tabs>
      </w:pPr>
      <w:r w:rsidRPr="00951737">
        <w:rPr>
          <w:vertAlign w:val="superscript"/>
        </w:rPr>
        <w:t>*</w:t>
      </w:r>
      <w:r>
        <w:tab/>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footnote>
  <w:footnote w:id="2">
    <w:p w:rsidR="00AB5A86" w:rsidRPr="00FF2163" w:rsidRDefault="00AB5A86" w:rsidP="003D73C6">
      <w:pPr>
        <w:pStyle w:val="FootnoteText"/>
        <w:tabs>
          <w:tab w:val="left" w:pos="170"/>
        </w:tabs>
      </w:pPr>
      <w:r>
        <w:rPr>
          <w:rStyle w:val="FootnoteReference"/>
        </w:rPr>
        <w:t>**</w:t>
      </w:r>
      <w:r>
        <w:tab/>
        <w:t>See clause 3.1.</w:t>
      </w:r>
    </w:p>
  </w:footnote>
  <w:footnote w:id="3">
    <w:p w:rsidR="00AB5A86" w:rsidRPr="00A95F03" w:rsidRDefault="00AB5A86">
      <w:pPr>
        <w:pStyle w:val="FootnoteText"/>
        <w:rPr>
          <w:lang w:val="en-US"/>
        </w:rPr>
      </w:pPr>
      <w:r>
        <w:rPr>
          <w:rStyle w:val="FootnoteReference"/>
        </w:rPr>
        <w:footnoteRef/>
      </w:r>
      <w:r>
        <w:rPr>
          <w:lang w:val="en-US"/>
        </w:rPr>
        <w:t xml:space="preserve"> SA means Standards Australia; SAE means the Society of Automotive Engineers or SAE International; BS means British Standard; JIS means Japanese Industrial Standard; DIN means </w:t>
      </w:r>
      <w:r w:rsidRPr="00051174">
        <w:rPr>
          <w:lang w:val="en-US"/>
        </w:rPr>
        <w:t xml:space="preserve">Deutsches Institut für Normung </w:t>
      </w:r>
      <w:r>
        <w:rPr>
          <w:lang w:val="en-US"/>
        </w:rPr>
        <w:t>(German national Organization for S</w:t>
      </w:r>
      <w:r w:rsidRPr="00051174">
        <w:rPr>
          <w:lang w:val="en-US"/>
        </w:rPr>
        <w:t>tandardization</w:t>
      </w:r>
      <w:r>
        <w:rPr>
          <w:lang w:val="en-US"/>
        </w:rPr>
        <w:t>), ISO means International Organization for Standardization and UN means United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046"/>
      <w:gridCol w:w="462"/>
    </w:tblGrid>
    <w:tr w:rsidR="00AB5A86" w:rsidRPr="008E6D60" w:rsidTr="007C2A03">
      <w:tc>
        <w:tcPr>
          <w:tcW w:w="8046" w:type="dxa"/>
          <w:shd w:val="clear" w:color="auto" w:fill="auto"/>
          <w:vAlign w:val="bottom"/>
        </w:tcPr>
        <w:p w:rsidR="00AB5A86" w:rsidRPr="00790D7A" w:rsidRDefault="00AB5A86" w:rsidP="00F63C34">
          <w:pPr>
            <w:tabs>
              <w:tab w:val="center" w:pos="4153"/>
              <w:tab w:val="right" w:pos="8306"/>
            </w:tabs>
            <w:rPr>
              <w:sz w:val="20"/>
              <w:szCs w:val="20"/>
              <w:lang w:val="en-US"/>
            </w:rPr>
          </w:pPr>
          <w:r w:rsidRPr="008E6D60">
            <w:rPr>
              <w:sz w:val="20"/>
              <w:szCs w:val="20"/>
            </w:rPr>
            <w:t xml:space="preserve">Australian Design Rule </w:t>
          </w:r>
          <w:r>
            <w:rPr>
              <w:sz w:val="20"/>
              <w:szCs w:val="20"/>
              <w:lang w:val="en-US"/>
            </w:rPr>
            <w:t>42/05</w:t>
          </w:r>
          <w:r w:rsidRPr="008E6D60">
            <w:rPr>
              <w:sz w:val="20"/>
              <w:szCs w:val="20"/>
            </w:rPr>
            <w:t xml:space="preserve"> </w:t>
          </w:r>
          <w:r>
            <w:rPr>
              <w:sz w:val="20"/>
              <w:szCs w:val="20"/>
              <w:lang w:val="en-US"/>
            </w:rPr>
            <w:t xml:space="preserve">– </w:t>
          </w:r>
          <w:r w:rsidRPr="003C667E">
            <w:rPr>
              <w:sz w:val="20"/>
              <w:szCs w:val="20"/>
              <w:lang w:val="en-US"/>
            </w:rPr>
            <w:t>General Safety Requirements</w:t>
          </w:r>
        </w:p>
      </w:tc>
      <w:tc>
        <w:tcPr>
          <w:tcW w:w="462" w:type="dxa"/>
          <w:shd w:val="clear" w:color="auto" w:fill="auto"/>
        </w:tcPr>
        <w:p w:rsidR="00AB5A86" w:rsidRPr="008E6D60" w:rsidRDefault="00AB5A86" w:rsidP="005A16A9">
          <w:pPr>
            <w:tabs>
              <w:tab w:val="center" w:pos="4153"/>
              <w:tab w:val="right" w:pos="8306"/>
            </w:tabs>
            <w:rPr>
              <w:sz w:val="20"/>
              <w:szCs w:val="20"/>
            </w:rPr>
          </w:pPr>
          <w:r w:rsidRPr="008E6D60">
            <w:rPr>
              <w:sz w:val="20"/>
              <w:szCs w:val="20"/>
            </w:rPr>
            <w:fldChar w:fldCharType="begin"/>
          </w:r>
          <w:r w:rsidRPr="008E6D60">
            <w:rPr>
              <w:sz w:val="20"/>
              <w:szCs w:val="20"/>
            </w:rPr>
            <w:instrText xml:space="preserve"> PAGE </w:instrText>
          </w:r>
          <w:r w:rsidRPr="008E6D60">
            <w:rPr>
              <w:sz w:val="20"/>
              <w:szCs w:val="20"/>
            </w:rPr>
            <w:fldChar w:fldCharType="separate"/>
          </w:r>
          <w:r>
            <w:rPr>
              <w:noProof/>
              <w:sz w:val="20"/>
              <w:szCs w:val="20"/>
            </w:rPr>
            <w:t>28</w:t>
          </w:r>
          <w:r w:rsidRPr="008E6D60">
            <w:rPr>
              <w:sz w:val="20"/>
              <w:szCs w:val="20"/>
            </w:rPr>
            <w:fldChar w:fldCharType="end"/>
          </w:r>
        </w:p>
      </w:tc>
    </w:tr>
  </w:tbl>
  <w:p w:rsidR="00AB5A86" w:rsidRDefault="00AB5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Borders>
        <w:bottom w:val="single" w:sz="4" w:space="0" w:color="auto"/>
      </w:tblBorders>
      <w:tblLook w:val="01E0" w:firstRow="1" w:lastRow="1" w:firstColumn="1" w:lastColumn="1" w:noHBand="0" w:noVBand="0"/>
    </w:tblPr>
    <w:tblGrid>
      <w:gridCol w:w="8189"/>
      <w:gridCol w:w="316"/>
    </w:tblGrid>
    <w:tr w:rsidR="00AB5A86" w:rsidRPr="008E6D60" w:rsidTr="000644C4">
      <w:tc>
        <w:tcPr>
          <w:tcW w:w="8192" w:type="dxa"/>
          <w:shd w:val="clear" w:color="auto" w:fill="auto"/>
          <w:vAlign w:val="bottom"/>
        </w:tcPr>
        <w:p w:rsidR="00AB5A86" w:rsidRPr="00790D7A" w:rsidRDefault="00AB5A86" w:rsidP="003C667E">
          <w:pPr>
            <w:tabs>
              <w:tab w:val="center" w:pos="4153"/>
              <w:tab w:val="right" w:pos="8306"/>
            </w:tabs>
            <w:rPr>
              <w:sz w:val="20"/>
              <w:szCs w:val="20"/>
              <w:lang w:val="en-US"/>
            </w:rPr>
          </w:pPr>
          <w:r w:rsidRPr="008E6D60">
            <w:rPr>
              <w:sz w:val="20"/>
              <w:szCs w:val="20"/>
            </w:rPr>
            <w:t xml:space="preserve">Australian Design Rule </w:t>
          </w:r>
          <w:r>
            <w:rPr>
              <w:sz w:val="20"/>
              <w:szCs w:val="20"/>
              <w:lang w:val="en-US"/>
            </w:rPr>
            <w:t>42/05</w:t>
          </w:r>
          <w:r w:rsidRPr="008E6D60">
            <w:rPr>
              <w:sz w:val="20"/>
              <w:szCs w:val="20"/>
            </w:rPr>
            <w:t xml:space="preserve"> </w:t>
          </w:r>
          <w:r>
            <w:rPr>
              <w:sz w:val="20"/>
              <w:szCs w:val="20"/>
              <w:lang w:val="en-US"/>
            </w:rPr>
            <w:t xml:space="preserve">– </w:t>
          </w:r>
          <w:r w:rsidRPr="003C667E">
            <w:rPr>
              <w:sz w:val="20"/>
              <w:szCs w:val="20"/>
              <w:lang w:val="en-US"/>
            </w:rPr>
            <w:t>General Safety Requirements</w:t>
          </w:r>
        </w:p>
      </w:tc>
      <w:tc>
        <w:tcPr>
          <w:tcW w:w="316" w:type="dxa"/>
          <w:shd w:val="clear" w:color="auto" w:fill="auto"/>
        </w:tcPr>
        <w:p w:rsidR="00AB5A86" w:rsidRPr="008E6D60" w:rsidRDefault="00AB5A86" w:rsidP="005A16A9">
          <w:pPr>
            <w:tabs>
              <w:tab w:val="center" w:pos="4153"/>
              <w:tab w:val="right" w:pos="8306"/>
            </w:tabs>
            <w:rPr>
              <w:sz w:val="20"/>
              <w:szCs w:val="20"/>
            </w:rPr>
          </w:pPr>
          <w:r w:rsidRPr="008E6D60">
            <w:rPr>
              <w:sz w:val="20"/>
              <w:szCs w:val="20"/>
            </w:rPr>
            <w:fldChar w:fldCharType="begin"/>
          </w:r>
          <w:r w:rsidRPr="008E6D60">
            <w:rPr>
              <w:sz w:val="20"/>
              <w:szCs w:val="20"/>
            </w:rPr>
            <w:instrText xml:space="preserve"> PAGE </w:instrText>
          </w:r>
          <w:r w:rsidRPr="008E6D60">
            <w:rPr>
              <w:sz w:val="20"/>
              <w:szCs w:val="20"/>
            </w:rPr>
            <w:fldChar w:fldCharType="separate"/>
          </w:r>
          <w:r w:rsidR="003E2D78">
            <w:rPr>
              <w:noProof/>
              <w:sz w:val="20"/>
              <w:szCs w:val="20"/>
            </w:rPr>
            <w:t>1</w:t>
          </w:r>
          <w:r w:rsidRPr="008E6D60">
            <w:rPr>
              <w:sz w:val="20"/>
              <w:szCs w:val="20"/>
            </w:rPr>
            <w:fldChar w:fldCharType="end"/>
          </w:r>
        </w:p>
      </w:tc>
    </w:tr>
  </w:tbl>
  <w:p w:rsidR="00AB5A86" w:rsidRDefault="00AB5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A86" w:rsidRDefault="00AB5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080"/>
      <w:gridCol w:w="424"/>
    </w:tblGrid>
    <w:tr w:rsidR="00AB5A86" w:rsidRPr="008E6D60" w:rsidTr="00FF1B98">
      <w:tc>
        <w:tcPr>
          <w:tcW w:w="8080" w:type="dxa"/>
          <w:shd w:val="clear" w:color="auto" w:fill="auto"/>
          <w:vAlign w:val="bottom"/>
        </w:tcPr>
        <w:p w:rsidR="00AB5A86" w:rsidRPr="00790D7A" w:rsidRDefault="00AB5A86" w:rsidP="00F63C34">
          <w:pPr>
            <w:tabs>
              <w:tab w:val="center" w:pos="4153"/>
              <w:tab w:val="right" w:pos="8306"/>
            </w:tabs>
            <w:rPr>
              <w:sz w:val="20"/>
              <w:szCs w:val="20"/>
              <w:lang w:val="en-US"/>
            </w:rPr>
          </w:pPr>
          <w:r w:rsidRPr="008E6D60">
            <w:rPr>
              <w:sz w:val="20"/>
              <w:szCs w:val="20"/>
            </w:rPr>
            <w:t xml:space="preserve">Australian Design Rule </w:t>
          </w:r>
          <w:r>
            <w:rPr>
              <w:sz w:val="20"/>
              <w:szCs w:val="20"/>
              <w:lang w:val="en-US"/>
            </w:rPr>
            <w:t>42/05</w:t>
          </w:r>
          <w:r w:rsidRPr="008E6D60">
            <w:rPr>
              <w:sz w:val="20"/>
              <w:szCs w:val="20"/>
            </w:rPr>
            <w:t xml:space="preserve"> </w:t>
          </w:r>
          <w:r>
            <w:rPr>
              <w:sz w:val="20"/>
              <w:szCs w:val="20"/>
              <w:lang w:val="en-US"/>
            </w:rPr>
            <w:t xml:space="preserve">– </w:t>
          </w:r>
          <w:r w:rsidRPr="003C667E">
            <w:rPr>
              <w:sz w:val="20"/>
              <w:szCs w:val="20"/>
              <w:lang w:val="en-US"/>
            </w:rPr>
            <w:t>General Safety Requirements</w:t>
          </w:r>
        </w:p>
      </w:tc>
      <w:tc>
        <w:tcPr>
          <w:tcW w:w="424" w:type="dxa"/>
          <w:shd w:val="clear" w:color="auto" w:fill="auto"/>
        </w:tcPr>
        <w:p w:rsidR="00AB5A86" w:rsidRPr="008E6D60" w:rsidRDefault="00AB5A86" w:rsidP="00B53331">
          <w:pPr>
            <w:tabs>
              <w:tab w:val="center" w:pos="4153"/>
              <w:tab w:val="right" w:pos="8306"/>
            </w:tabs>
            <w:jc w:val="right"/>
            <w:rPr>
              <w:sz w:val="20"/>
              <w:szCs w:val="20"/>
            </w:rPr>
          </w:pPr>
          <w:r w:rsidRPr="008E6D60">
            <w:rPr>
              <w:sz w:val="20"/>
              <w:szCs w:val="20"/>
            </w:rPr>
            <w:fldChar w:fldCharType="begin"/>
          </w:r>
          <w:r w:rsidRPr="008E6D60">
            <w:rPr>
              <w:sz w:val="20"/>
              <w:szCs w:val="20"/>
            </w:rPr>
            <w:instrText xml:space="preserve"> PAGE </w:instrText>
          </w:r>
          <w:r w:rsidRPr="008E6D60">
            <w:rPr>
              <w:sz w:val="20"/>
              <w:szCs w:val="20"/>
            </w:rPr>
            <w:fldChar w:fldCharType="separate"/>
          </w:r>
          <w:r w:rsidR="003E2D78">
            <w:rPr>
              <w:noProof/>
              <w:sz w:val="20"/>
              <w:szCs w:val="20"/>
            </w:rPr>
            <w:t>20</w:t>
          </w:r>
          <w:r w:rsidRPr="008E6D60">
            <w:rPr>
              <w:sz w:val="20"/>
              <w:szCs w:val="20"/>
            </w:rPr>
            <w:fldChar w:fldCharType="end"/>
          </w:r>
        </w:p>
      </w:tc>
    </w:tr>
  </w:tbl>
  <w:p w:rsidR="00AB5A86" w:rsidRDefault="00AB5A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080"/>
      <w:gridCol w:w="424"/>
    </w:tblGrid>
    <w:tr w:rsidR="00AB5A86" w:rsidRPr="008E6D60" w:rsidTr="00DD7109">
      <w:tc>
        <w:tcPr>
          <w:tcW w:w="8080" w:type="dxa"/>
          <w:shd w:val="clear" w:color="auto" w:fill="auto"/>
          <w:vAlign w:val="bottom"/>
        </w:tcPr>
        <w:p w:rsidR="00AB5A86" w:rsidRPr="00790D7A" w:rsidRDefault="00AB5A86" w:rsidP="003C667E">
          <w:pPr>
            <w:tabs>
              <w:tab w:val="center" w:pos="4153"/>
              <w:tab w:val="right" w:pos="8306"/>
            </w:tabs>
            <w:rPr>
              <w:sz w:val="20"/>
              <w:szCs w:val="20"/>
              <w:lang w:val="en-US"/>
            </w:rPr>
          </w:pPr>
          <w:r w:rsidRPr="008E6D60">
            <w:rPr>
              <w:sz w:val="20"/>
              <w:szCs w:val="20"/>
            </w:rPr>
            <w:t xml:space="preserve">Australian Design Rule </w:t>
          </w:r>
          <w:r>
            <w:rPr>
              <w:sz w:val="20"/>
              <w:szCs w:val="20"/>
              <w:lang w:val="en-US"/>
            </w:rPr>
            <w:t>42/05</w:t>
          </w:r>
          <w:r w:rsidRPr="008E6D60">
            <w:rPr>
              <w:sz w:val="20"/>
              <w:szCs w:val="20"/>
            </w:rPr>
            <w:t xml:space="preserve"> </w:t>
          </w:r>
          <w:r>
            <w:rPr>
              <w:sz w:val="20"/>
              <w:szCs w:val="20"/>
              <w:lang w:val="en-US"/>
            </w:rPr>
            <w:t xml:space="preserve">– </w:t>
          </w:r>
          <w:r w:rsidRPr="003C667E">
            <w:rPr>
              <w:sz w:val="20"/>
              <w:szCs w:val="20"/>
              <w:lang w:val="en-US"/>
            </w:rPr>
            <w:t>General Safety Requirements</w:t>
          </w:r>
        </w:p>
      </w:tc>
      <w:tc>
        <w:tcPr>
          <w:tcW w:w="424" w:type="dxa"/>
          <w:shd w:val="clear" w:color="auto" w:fill="auto"/>
        </w:tcPr>
        <w:p w:rsidR="00AB5A86" w:rsidRPr="008E6D60" w:rsidRDefault="00AB5A86" w:rsidP="005A16A9">
          <w:pPr>
            <w:tabs>
              <w:tab w:val="center" w:pos="4153"/>
              <w:tab w:val="right" w:pos="8306"/>
            </w:tabs>
            <w:rPr>
              <w:sz w:val="20"/>
              <w:szCs w:val="20"/>
            </w:rPr>
          </w:pPr>
          <w:r w:rsidRPr="008E6D60">
            <w:rPr>
              <w:sz w:val="20"/>
              <w:szCs w:val="20"/>
            </w:rPr>
            <w:fldChar w:fldCharType="begin"/>
          </w:r>
          <w:r w:rsidRPr="008E6D60">
            <w:rPr>
              <w:sz w:val="20"/>
              <w:szCs w:val="20"/>
            </w:rPr>
            <w:instrText xml:space="preserve"> PAGE </w:instrText>
          </w:r>
          <w:r w:rsidRPr="008E6D60">
            <w:rPr>
              <w:sz w:val="20"/>
              <w:szCs w:val="20"/>
            </w:rPr>
            <w:fldChar w:fldCharType="separate"/>
          </w:r>
          <w:r w:rsidR="003E2D78">
            <w:rPr>
              <w:noProof/>
              <w:sz w:val="20"/>
              <w:szCs w:val="20"/>
            </w:rPr>
            <w:t>3</w:t>
          </w:r>
          <w:r w:rsidRPr="008E6D60">
            <w:rPr>
              <w:sz w:val="20"/>
              <w:szCs w:val="20"/>
            </w:rPr>
            <w:fldChar w:fldCharType="end"/>
          </w:r>
        </w:p>
      </w:tc>
    </w:tr>
  </w:tbl>
  <w:p w:rsidR="00AB5A86" w:rsidRDefault="00AB5A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080"/>
      <w:gridCol w:w="424"/>
    </w:tblGrid>
    <w:tr w:rsidR="00AB5A86" w:rsidRPr="008E6D60" w:rsidTr="00FF1B98">
      <w:tc>
        <w:tcPr>
          <w:tcW w:w="8080" w:type="dxa"/>
          <w:shd w:val="clear" w:color="auto" w:fill="auto"/>
          <w:vAlign w:val="bottom"/>
        </w:tcPr>
        <w:p w:rsidR="00AB5A86" w:rsidRDefault="00AB5A86" w:rsidP="00F63C34">
          <w:pPr>
            <w:tabs>
              <w:tab w:val="center" w:pos="4153"/>
              <w:tab w:val="right" w:pos="8306"/>
            </w:tabs>
            <w:rPr>
              <w:sz w:val="20"/>
              <w:szCs w:val="20"/>
              <w:lang w:val="en-US"/>
            </w:rPr>
          </w:pPr>
          <w:r w:rsidRPr="008E6D60">
            <w:rPr>
              <w:sz w:val="20"/>
              <w:szCs w:val="20"/>
            </w:rPr>
            <w:t xml:space="preserve">Australian Design Rule </w:t>
          </w:r>
          <w:r>
            <w:rPr>
              <w:sz w:val="20"/>
              <w:szCs w:val="20"/>
              <w:lang w:val="en-US"/>
            </w:rPr>
            <w:t>42/05</w:t>
          </w:r>
          <w:r w:rsidRPr="008E6D60">
            <w:rPr>
              <w:sz w:val="20"/>
              <w:szCs w:val="20"/>
            </w:rPr>
            <w:t xml:space="preserve"> </w:t>
          </w:r>
          <w:r>
            <w:rPr>
              <w:sz w:val="20"/>
              <w:szCs w:val="20"/>
              <w:lang w:val="en-US"/>
            </w:rPr>
            <w:t xml:space="preserve">– </w:t>
          </w:r>
          <w:r w:rsidRPr="003C667E">
            <w:rPr>
              <w:sz w:val="20"/>
              <w:szCs w:val="20"/>
              <w:lang w:val="en-US"/>
            </w:rPr>
            <w:t>General Safety Requirements</w:t>
          </w:r>
        </w:p>
        <w:p w:rsidR="00AB5A86" w:rsidRPr="00790D7A" w:rsidRDefault="00AB5A86" w:rsidP="00F63C34">
          <w:pPr>
            <w:tabs>
              <w:tab w:val="center" w:pos="4153"/>
              <w:tab w:val="right" w:pos="8306"/>
            </w:tabs>
            <w:rPr>
              <w:sz w:val="20"/>
              <w:szCs w:val="20"/>
              <w:lang w:val="en-US"/>
            </w:rPr>
          </w:pPr>
          <w:r>
            <w:rPr>
              <w:sz w:val="20"/>
              <w:szCs w:val="20"/>
              <w:lang w:val="en-US"/>
            </w:rPr>
            <w:t>APPENDIX 1</w:t>
          </w:r>
        </w:p>
      </w:tc>
      <w:tc>
        <w:tcPr>
          <w:tcW w:w="424" w:type="dxa"/>
          <w:shd w:val="clear" w:color="auto" w:fill="auto"/>
        </w:tcPr>
        <w:p w:rsidR="00AB5A86" w:rsidRPr="008E6D60" w:rsidRDefault="00AB5A86" w:rsidP="00B53331">
          <w:pPr>
            <w:tabs>
              <w:tab w:val="center" w:pos="4153"/>
              <w:tab w:val="right" w:pos="8306"/>
            </w:tabs>
            <w:jc w:val="right"/>
            <w:rPr>
              <w:sz w:val="20"/>
              <w:szCs w:val="20"/>
            </w:rPr>
          </w:pPr>
          <w:r w:rsidRPr="008E6D60">
            <w:rPr>
              <w:sz w:val="20"/>
              <w:szCs w:val="20"/>
            </w:rPr>
            <w:fldChar w:fldCharType="begin"/>
          </w:r>
          <w:r w:rsidRPr="008E6D60">
            <w:rPr>
              <w:sz w:val="20"/>
              <w:szCs w:val="20"/>
            </w:rPr>
            <w:instrText xml:space="preserve"> PAGE </w:instrText>
          </w:r>
          <w:r w:rsidRPr="008E6D60">
            <w:rPr>
              <w:sz w:val="20"/>
              <w:szCs w:val="20"/>
            </w:rPr>
            <w:fldChar w:fldCharType="separate"/>
          </w:r>
          <w:r w:rsidR="003E2D78">
            <w:rPr>
              <w:noProof/>
              <w:sz w:val="20"/>
              <w:szCs w:val="20"/>
            </w:rPr>
            <w:t>28</w:t>
          </w:r>
          <w:r w:rsidRPr="008E6D60">
            <w:rPr>
              <w:sz w:val="20"/>
              <w:szCs w:val="20"/>
            </w:rPr>
            <w:fldChar w:fldCharType="end"/>
          </w:r>
        </w:p>
      </w:tc>
    </w:tr>
  </w:tbl>
  <w:p w:rsidR="00AB5A86" w:rsidRDefault="00AB5A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080"/>
      <w:gridCol w:w="424"/>
    </w:tblGrid>
    <w:tr w:rsidR="00AB5A86" w:rsidRPr="008E6D60" w:rsidTr="00DD7109">
      <w:tc>
        <w:tcPr>
          <w:tcW w:w="8080" w:type="dxa"/>
          <w:shd w:val="clear" w:color="auto" w:fill="auto"/>
          <w:vAlign w:val="bottom"/>
        </w:tcPr>
        <w:p w:rsidR="00AB5A86" w:rsidRDefault="00AB5A86" w:rsidP="003C667E">
          <w:pPr>
            <w:tabs>
              <w:tab w:val="center" w:pos="4153"/>
              <w:tab w:val="right" w:pos="8306"/>
            </w:tabs>
            <w:rPr>
              <w:sz w:val="20"/>
              <w:szCs w:val="20"/>
              <w:lang w:val="en-US"/>
            </w:rPr>
          </w:pPr>
          <w:r w:rsidRPr="008E6D60">
            <w:rPr>
              <w:sz w:val="20"/>
              <w:szCs w:val="20"/>
            </w:rPr>
            <w:t xml:space="preserve">Australian Design Rule </w:t>
          </w:r>
          <w:r>
            <w:rPr>
              <w:sz w:val="20"/>
              <w:szCs w:val="20"/>
              <w:lang w:val="en-US"/>
            </w:rPr>
            <w:t>42/05</w:t>
          </w:r>
          <w:r w:rsidRPr="008E6D60">
            <w:rPr>
              <w:sz w:val="20"/>
              <w:szCs w:val="20"/>
            </w:rPr>
            <w:t xml:space="preserve"> </w:t>
          </w:r>
          <w:r>
            <w:rPr>
              <w:sz w:val="20"/>
              <w:szCs w:val="20"/>
              <w:lang w:val="en-US"/>
            </w:rPr>
            <w:t xml:space="preserve">– </w:t>
          </w:r>
          <w:r w:rsidRPr="003C667E">
            <w:rPr>
              <w:sz w:val="20"/>
              <w:szCs w:val="20"/>
              <w:lang w:val="en-US"/>
            </w:rPr>
            <w:t>General Safety Requirements</w:t>
          </w:r>
        </w:p>
        <w:p w:rsidR="00AB5A86" w:rsidRPr="00790D7A" w:rsidRDefault="00AB5A86" w:rsidP="003C667E">
          <w:pPr>
            <w:tabs>
              <w:tab w:val="center" w:pos="4153"/>
              <w:tab w:val="right" w:pos="8306"/>
            </w:tabs>
            <w:rPr>
              <w:sz w:val="20"/>
              <w:szCs w:val="20"/>
              <w:lang w:val="en-US"/>
            </w:rPr>
          </w:pPr>
          <w:r>
            <w:rPr>
              <w:sz w:val="20"/>
              <w:szCs w:val="20"/>
              <w:lang w:val="en-US"/>
            </w:rPr>
            <w:t>APPENDIX 1</w:t>
          </w:r>
        </w:p>
      </w:tc>
      <w:tc>
        <w:tcPr>
          <w:tcW w:w="424" w:type="dxa"/>
          <w:shd w:val="clear" w:color="auto" w:fill="auto"/>
        </w:tcPr>
        <w:p w:rsidR="00AB5A86" w:rsidRPr="008E6D60" w:rsidRDefault="00AB5A86" w:rsidP="005A16A9">
          <w:pPr>
            <w:tabs>
              <w:tab w:val="center" w:pos="4153"/>
              <w:tab w:val="right" w:pos="8306"/>
            </w:tabs>
            <w:rPr>
              <w:sz w:val="20"/>
              <w:szCs w:val="20"/>
            </w:rPr>
          </w:pPr>
          <w:r w:rsidRPr="008E6D60">
            <w:rPr>
              <w:sz w:val="20"/>
              <w:szCs w:val="20"/>
            </w:rPr>
            <w:fldChar w:fldCharType="begin"/>
          </w:r>
          <w:r w:rsidRPr="008E6D60">
            <w:rPr>
              <w:sz w:val="20"/>
              <w:szCs w:val="20"/>
            </w:rPr>
            <w:instrText xml:space="preserve"> PAGE </w:instrText>
          </w:r>
          <w:r w:rsidRPr="008E6D60">
            <w:rPr>
              <w:sz w:val="20"/>
              <w:szCs w:val="20"/>
            </w:rPr>
            <w:fldChar w:fldCharType="separate"/>
          </w:r>
          <w:r w:rsidR="003E2D78">
            <w:rPr>
              <w:noProof/>
              <w:sz w:val="20"/>
              <w:szCs w:val="20"/>
            </w:rPr>
            <w:t>21</w:t>
          </w:r>
          <w:r w:rsidRPr="008E6D60">
            <w:rPr>
              <w:sz w:val="20"/>
              <w:szCs w:val="20"/>
            </w:rPr>
            <w:fldChar w:fldCharType="end"/>
          </w:r>
        </w:p>
      </w:tc>
    </w:tr>
  </w:tbl>
  <w:p w:rsidR="00AB5A86" w:rsidRDefault="00AB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B475EE2"/>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3" w15:restartNumberingAfterBreak="0">
    <w:nsid w:val="148C623D"/>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CA57B0"/>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6" w15:restartNumberingAfterBreak="0">
    <w:nsid w:val="22CC34CB"/>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7" w15:restartNumberingAfterBreak="0">
    <w:nsid w:val="26E25EC8"/>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8" w15:restartNumberingAfterBreak="0">
    <w:nsid w:val="2B04001B"/>
    <w:multiLevelType w:val="multilevel"/>
    <w:tmpl w:val="83DACD1A"/>
    <w:lvl w:ilvl="0">
      <w:start w:val="1"/>
      <w:numFmt w:val="decimal"/>
      <w:lvlText w:val="%1."/>
      <w:lvlJc w:val="left"/>
      <w:pPr>
        <w:tabs>
          <w:tab w:val="num" w:pos="720"/>
        </w:tabs>
        <w:ind w:left="720" w:hanging="720"/>
      </w:pPr>
    </w:lvl>
    <w:lvl w:ilvl="1">
      <w:start w:val="1"/>
      <w:numFmt w:val="decimal"/>
      <w:pStyle w:val="ADRSubclaus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BDF38E2"/>
    <w:multiLevelType w:val="multilevel"/>
    <w:tmpl w:val="9D16CA7E"/>
    <w:lvl w:ilvl="0">
      <w:start w:val="2"/>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pStyle w:val="Appendixsubx4"/>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7B73B9"/>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11" w15:restartNumberingAfterBreak="0">
    <w:nsid w:val="48ED78AF"/>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12" w15:restartNumberingAfterBreak="0">
    <w:nsid w:val="567624AA"/>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13" w15:restartNumberingAfterBreak="0">
    <w:nsid w:val="58F7506F"/>
    <w:multiLevelType w:val="multilevel"/>
    <w:tmpl w:val="BB3EE274"/>
    <w:lvl w:ilvl="0">
      <w:start w:val="1"/>
      <w:numFmt w:val="decimal"/>
      <w:pStyle w:val="Clauseheading"/>
      <w:lvlText w:val="%1."/>
      <w:lvlJc w:val="left"/>
      <w:pPr>
        <w:tabs>
          <w:tab w:val="num" w:pos="1418"/>
        </w:tabs>
        <w:ind w:left="1418" w:hanging="1418"/>
      </w:pPr>
      <w:rPr>
        <w:rFonts w:ascii="Times New Roman" w:eastAsia="Times New Roman" w:hAnsi="Times New Roman" w:cs="Times New Roman"/>
      </w:rPr>
    </w:lvl>
    <w:lvl w:ilvl="1">
      <w:start w:val="1"/>
      <w:numFmt w:val="decimal"/>
      <w:pStyle w:val="Subclause"/>
      <w:lvlText w:val="%1.%2."/>
      <w:lvlJc w:val="left"/>
      <w:pPr>
        <w:tabs>
          <w:tab w:val="num" w:pos="1418"/>
        </w:tabs>
        <w:ind w:left="1418" w:hanging="141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rPr>
    </w:lvl>
    <w:lvl w:ilvl="4">
      <w:start w:val="1"/>
      <w:numFmt w:val="decimal"/>
      <w:pStyle w:val="subx4clause"/>
      <w:lvlText w:val="%1.%2.%3.%4.%5."/>
      <w:lvlJc w:val="left"/>
      <w:pPr>
        <w:tabs>
          <w:tab w:val="num" w:pos="1418"/>
        </w:tabs>
        <w:ind w:left="1418" w:hanging="1418"/>
      </w:pPr>
      <w:rPr>
        <w:rFonts w:hint="default"/>
        <w:i w:val="0"/>
      </w:rPr>
    </w:lvl>
    <w:lvl w:ilvl="5">
      <w:start w:val="1"/>
      <w:numFmt w:val="decimal"/>
      <w:pStyle w:val="subx5clause"/>
      <w:lvlText w:val="%1.%2.%3.%4.%5.%6."/>
      <w:lvlJc w:val="left"/>
      <w:pPr>
        <w:tabs>
          <w:tab w:val="num" w:pos="1701"/>
        </w:tabs>
        <w:ind w:left="1701" w:hanging="1701"/>
      </w:pPr>
      <w:rPr>
        <w:rFonts w:hint="default"/>
      </w:rPr>
    </w:lvl>
    <w:lvl w:ilvl="6">
      <w:start w:val="1"/>
      <w:numFmt w:val="decimal"/>
      <w:pStyle w:val="subx6clause"/>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092ABA"/>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73D64F7"/>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65AF3"/>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19" w15:restartNumberingAfterBreak="0">
    <w:nsid w:val="777060D0"/>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20" w15:restartNumberingAfterBreak="0">
    <w:nsid w:val="7EE74495"/>
    <w:multiLevelType w:val="multilevel"/>
    <w:tmpl w:val="F0569FE4"/>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val="0"/>
        <w:i w:val="0"/>
        <w:strike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2523"/>
        </w:tabs>
        <w:ind w:left="2523" w:hanging="397"/>
      </w:pPr>
      <w:rPr>
        <w:rFonts w:hint="default"/>
        <w:i w:val="0"/>
        <w:strike w:val="0"/>
        <w:dstrike w:val="0"/>
      </w:rPr>
    </w:lvl>
    <w:lvl w:ilvl="5">
      <w:start w:val="1"/>
      <w:numFmt w:val="lowerRoman"/>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num w:numId="1">
    <w:abstractNumId w:val="13"/>
  </w:num>
  <w:num w:numId="2">
    <w:abstractNumId w:val="13"/>
  </w:num>
  <w:num w:numId="3">
    <w:abstractNumId w:val="0"/>
  </w:num>
  <w:num w:numId="4">
    <w:abstractNumId w:val="17"/>
  </w:num>
  <w:num w:numId="5">
    <w:abstractNumId w:val="15"/>
  </w:num>
  <w:num w:numId="6">
    <w:abstractNumId w:val="4"/>
  </w:num>
  <w:num w:numId="7">
    <w:abstractNumId w:val="1"/>
  </w:num>
  <w:num w:numId="8">
    <w:abstractNumId w:val="8"/>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9"/>
  </w:num>
  <w:num w:numId="25">
    <w:abstractNumId w:val="12"/>
  </w:num>
  <w:num w:numId="26">
    <w:abstractNumId w:val="2"/>
  </w:num>
  <w:num w:numId="27">
    <w:abstractNumId w:val="5"/>
  </w:num>
  <w:num w:numId="28">
    <w:abstractNumId w:val="13"/>
  </w:num>
  <w:num w:numId="29">
    <w:abstractNumId w:val="20"/>
  </w:num>
  <w:num w:numId="30">
    <w:abstractNumId w:val="13"/>
  </w:num>
  <w:num w:numId="31">
    <w:abstractNumId w:val="16"/>
  </w:num>
  <w:num w:numId="32">
    <w:abstractNumId w:val="3"/>
  </w:num>
  <w:num w:numId="33">
    <w:abstractNumId w:val="7"/>
  </w:num>
  <w:num w:numId="34">
    <w:abstractNumId w:val="11"/>
  </w:num>
  <w:num w:numId="35">
    <w:abstractNumId w:val="13"/>
  </w:num>
  <w:num w:numId="36">
    <w:abstractNumId w:val="13"/>
  </w:num>
  <w:num w:numId="37">
    <w:abstractNumId w:val="13"/>
  </w:num>
  <w:num w:numId="38">
    <w:abstractNumId w:val="13"/>
  </w:num>
  <w:num w:numId="39">
    <w:abstractNumId w:val="19"/>
  </w:num>
  <w:num w:numId="40">
    <w:abstractNumId w:val="13"/>
  </w:num>
  <w:num w:numId="41">
    <w:abstractNumId w:val="13"/>
  </w:num>
  <w:num w:numId="42">
    <w:abstractNumId w:val="13"/>
  </w:num>
  <w:num w:numId="43">
    <w:abstractNumId w:val="18"/>
  </w:num>
  <w:num w:numId="44">
    <w:abstractNumId w:val="10"/>
  </w:num>
  <w:num w:numId="45">
    <w:abstractNumId w:val="13"/>
  </w:num>
  <w:num w:numId="46">
    <w:abstractNumId w:val="13"/>
  </w:num>
  <w:num w:numId="47">
    <w:abstractNumId w:val="13"/>
  </w:num>
  <w:num w:numId="4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fr-CH" w:vendorID="64" w:dllVersion="131078" w:nlCheck="1" w:checkStyle="0"/>
  <w:defaultTabStop w:val="141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15"/>
    <w:rsid w:val="00001478"/>
    <w:rsid w:val="00002A3B"/>
    <w:rsid w:val="0000325C"/>
    <w:rsid w:val="000045BE"/>
    <w:rsid w:val="00004929"/>
    <w:rsid w:val="000050B9"/>
    <w:rsid w:val="0000542B"/>
    <w:rsid w:val="0001204B"/>
    <w:rsid w:val="0001220A"/>
    <w:rsid w:val="0001305D"/>
    <w:rsid w:val="000139DE"/>
    <w:rsid w:val="00015031"/>
    <w:rsid w:val="000150F9"/>
    <w:rsid w:val="00015195"/>
    <w:rsid w:val="000205D0"/>
    <w:rsid w:val="00021A24"/>
    <w:rsid w:val="00023D45"/>
    <w:rsid w:val="00024383"/>
    <w:rsid w:val="00026EE9"/>
    <w:rsid w:val="00027C02"/>
    <w:rsid w:val="00035816"/>
    <w:rsid w:val="00036D96"/>
    <w:rsid w:val="0003740E"/>
    <w:rsid w:val="000377FA"/>
    <w:rsid w:val="0004145C"/>
    <w:rsid w:val="000427E7"/>
    <w:rsid w:val="00044196"/>
    <w:rsid w:val="00045F03"/>
    <w:rsid w:val="000472F9"/>
    <w:rsid w:val="00047E39"/>
    <w:rsid w:val="00050809"/>
    <w:rsid w:val="00050ED4"/>
    <w:rsid w:val="00051174"/>
    <w:rsid w:val="00051536"/>
    <w:rsid w:val="000546E6"/>
    <w:rsid w:val="000549C8"/>
    <w:rsid w:val="0005700C"/>
    <w:rsid w:val="00060578"/>
    <w:rsid w:val="000612FE"/>
    <w:rsid w:val="0006139C"/>
    <w:rsid w:val="00063DFD"/>
    <w:rsid w:val="000644C4"/>
    <w:rsid w:val="00064D00"/>
    <w:rsid w:val="00065120"/>
    <w:rsid w:val="00065A36"/>
    <w:rsid w:val="00070B0F"/>
    <w:rsid w:val="000712F2"/>
    <w:rsid w:val="0007168A"/>
    <w:rsid w:val="000730CC"/>
    <w:rsid w:val="00077353"/>
    <w:rsid w:val="00080689"/>
    <w:rsid w:val="00080D24"/>
    <w:rsid w:val="000810F6"/>
    <w:rsid w:val="00081AE6"/>
    <w:rsid w:val="00081D23"/>
    <w:rsid w:val="00082287"/>
    <w:rsid w:val="0008405C"/>
    <w:rsid w:val="000866C0"/>
    <w:rsid w:val="00087EA1"/>
    <w:rsid w:val="00090042"/>
    <w:rsid w:val="0009239D"/>
    <w:rsid w:val="000928CC"/>
    <w:rsid w:val="00093F27"/>
    <w:rsid w:val="00094B1E"/>
    <w:rsid w:val="00095E5B"/>
    <w:rsid w:val="00096BAB"/>
    <w:rsid w:val="000A080F"/>
    <w:rsid w:val="000A4117"/>
    <w:rsid w:val="000A494E"/>
    <w:rsid w:val="000A5008"/>
    <w:rsid w:val="000A5684"/>
    <w:rsid w:val="000A7284"/>
    <w:rsid w:val="000A72DA"/>
    <w:rsid w:val="000B1769"/>
    <w:rsid w:val="000B217F"/>
    <w:rsid w:val="000B2882"/>
    <w:rsid w:val="000B4201"/>
    <w:rsid w:val="000B5042"/>
    <w:rsid w:val="000B61A4"/>
    <w:rsid w:val="000B7FBF"/>
    <w:rsid w:val="000C01AB"/>
    <w:rsid w:val="000C04CB"/>
    <w:rsid w:val="000C401C"/>
    <w:rsid w:val="000C6027"/>
    <w:rsid w:val="000C7BFE"/>
    <w:rsid w:val="000C7C9F"/>
    <w:rsid w:val="000D0EC2"/>
    <w:rsid w:val="000D6ECC"/>
    <w:rsid w:val="000D71FA"/>
    <w:rsid w:val="000E0501"/>
    <w:rsid w:val="000E072D"/>
    <w:rsid w:val="000E07F9"/>
    <w:rsid w:val="000E0D51"/>
    <w:rsid w:val="000E14E2"/>
    <w:rsid w:val="000E35BE"/>
    <w:rsid w:val="000E37B1"/>
    <w:rsid w:val="000E43F5"/>
    <w:rsid w:val="000E53A5"/>
    <w:rsid w:val="000E5A17"/>
    <w:rsid w:val="000F037A"/>
    <w:rsid w:val="000F1A8F"/>
    <w:rsid w:val="000F348A"/>
    <w:rsid w:val="000F6740"/>
    <w:rsid w:val="00102ACE"/>
    <w:rsid w:val="0010417C"/>
    <w:rsid w:val="00105DD9"/>
    <w:rsid w:val="00106203"/>
    <w:rsid w:val="00106B25"/>
    <w:rsid w:val="001113AF"/>
    <w:rsid w:val="0011227A"/>
    <w:rsid w:val="00112529"/>
    <w:rsid w:val="001133F0"/>
    <w:rsid w:val="001145A8"/>
    <w:rsid w:val="001164EF"/>
    <w:rsid w:val="001205B1"/>
    <w:rsid w:val="001210D9"/>
    <w:rsid w:val="00122A90"/>
    <w:rsid w:val="00124865"/>
    <w:rsid w:val="001252F4"/>
    <w:rsid w:val="00125B1E"/>
    <w:rsid w:val="00125BB1"/>
    <w:rsid w:val="00126418"/>
    <w:rsid w:val="0012676C"/>
    <w:rsid w:val="00127DEF"/>
    <w:rsid w:val="00127EFB"/>
    <w:rsid w:val="001314CE"/>
    <w:rsid w:val="00132B4B"/>
    <w:rsid w:val="001333A9"/>
    <w:rsid w:val="001350DC"/>
    <w:rsid w:val="0013607C"/>
    <w:rsid w:val="00137038"/>
    <w:rsid w:val="00137E42"/>
    <w:rsid w:val="00137E88"/>
    <w:rsid w:val="00140EC0"/>
    <w:rsid w:val="00140EC7"/>
    <w:rsid w:val="00140F3F"/>
    <w:rsid w:val="001412D8"/>
    <w:rsid w:val="0014305E"/>
    <w:rsid w:val="00145571"/>
    <w:rsid w:val="001467F2"/>
    <w:rsid w:val="00147524"/>
    <w:rsid w:val="0015163E"/>
    <w:rsid w:val="001518D7"/>
    <w:rsid w:val="00151ACD"/>
    <w:rsid w:val="0015253A"/>
    <w:rsid w:val="0015345B"/>
    <w:rsid w:val="001545B0"/>
    <w:rsid w:val="00155219"/>
    <w:rsid w:val="001558A7"/>
    <w:rsid w:val="00155B0C"/>
    <w:rsid w:val="0015774D"/>
    <w:rsid w:val="00160AE3"/>
    <w:rsid w:val="00161534"/>
    <w:rsid w:val="001625B2"/>
    <w:rsid w:val="00163C97"/>
    <w:rsid w:val="001657C6"/>
    <w:rsid w:val="00165FEC"/>
    <w:rsid w:val="00167C68"/>
    <w:rsid w:val="00170379"/>
    <w:rsid w:val="0017653E"/>
    <w:rsid w:val="00177E8F"/>
    <w:rsid w:val="001806A1"/>
    <w:rsid w:val="0018222D"/>
    <w:rsid w:val="00182A2B"/>
    <w:rsid w:val="00183258"/>
    <w:rsid w:val="00183AAF"/>
    <w:rsid w:val="00184E78"/>
    <w:rsid w:val="00186CBB"/>
    <w:rsid w:val="00186E66"/>
    <w:rsid w:val="00186F42"/>
    <w:rsid w:val="00190FF8"/>
    <w:rsid w:val="00193593"/>
    <w:rsid w:val="00194488"/>
    <w:rsid w:val="00195683"/>
    <w:rsid w:val="00196010"/>
    <w:rsid w:val="00196B19"/>
    <w:rsid w:val="001A0237"/>
    <w:rsid w:val="001A15C0"/>
    <w:rsid w:val="001A1836"/>
    <w:rsid w:val="001A2099"/>
    <w:rsid w:val="001A233B"/>
    <w:rsid w:val="001A2BF6"/>
    <w:rsid w:val="001A2C3E"/>
    <w:rsid w:val="001A4780"/>
    <w:rsid w:val="001A492A"/>
    <w:rsid w:val="001A49A6"/>
    <w:rsid w:val="001A5FD4"/>
    <w:rsid w:val="001A614C"/>
    <w:rsid w:val="001A6A7F"/>
    <w:rsid w:val="001A6B8D"/>
    <w:rsid w:val="001A7675"/>
    <w:rsid w:val="001A7CC5"/>
    <w:rsid w:val="001B059B"/>
    <w:rsid w:val="001B0AB3"/>
    <w:rsid w:val="001B1003"/>
    <w:rsid w:val="001B1211"/>
    <w:rsid w:val="001B2B31"/>
    <w:rsid w:val="001B416E"/>
    <w:rsid w:val="001B48FE"/>
    <w:rsid w:val="001B5280"/>
    <w:rsid w:val="001B5A99"/>
    <w:rsid w:val="001B5B31"/>
    <w:rsid w:val="001B5F29"/>
    <w:rsid w:val="001C04E7"/>
    <w:rsid w:val="001C1077"/>
    <w:rsid w:val="001C2884"/>
    <w:rsid w:val="001C4E19"/>
    <w:rsid w:val="001C57EB"/>
    <w:rsid w:val="001C5EF6"/>
    <w:rsid w:val="001C63FF"/>
    <w:rsid w:val="001D08CC"/>
    <w:rsid w:val="001D0F27"/>
    <w:rsid w:val="001D2F5D"/>
    <w:rsid w:val="001D38C5"/>
    <w:rsid w:val="001D436F"/>
    <w:rsid w:val="001D4FE2"/>
    <w:rsid w:val="001D5E96"/>
    <w:rsid w:val="001D7B8D"/>
    <w:rsid w:val="001E274F"/>
    <w:rsid w:val="001E42B0"/>
    <w:rsid w:val="001E475B"/>
    <w:rsid w:val="001E4BD7"/>
    <w:rsid w:val="001E4DFE"/>
    <w:rsid w:val="001E4F2E"/>
    <w:rsid w:val="001E5748"/>
    <w:rsid w:val="001E6DAA"/>
    <w:rsid w:val="001E774E"/>
    <w:rsid w:val="001E7A76"/>
    <w:rsid w:val="001F0543"/>
    <w:rsid w:val="001F0794"/>
    <w:rsid w:val="001F0A23"/>
    <w:rsid w:val="001F196C"/>
    <w:rsid w:val="001F48BD"/>
    <w:rsid w:val="001F5CB9"/>
    <w:rsid w:val="001F6C2F"/>
    <w:rsid w:val="001F6F29"/>
    <w:rsid w:val="001F7012"/>
    <w:rsid w:val="001F7605"/>
    <w:rsid w:val="001F780C"/>
    <w:rsid w:val="002010F4"/>
    <w:rsid w:val="002029CD"/>
    <w:rsid w:val="0020509C"/>
    <w:rsid w:val="00205B2E"/>
    <w:rsid w:val="00206D4F"/>
    <w:rsid w:val="00210A05"/>
    <w:rsid w:val="00212FBA"/>
    <w:rsid w:val="00213619"/>
    <w:rsid w:val="00215DCC"/>
    <w:rsid w:val="002164A9"/>
    <w:rsid w:val="00216694"/>
    <w:rsid w:val="00217FC6"/>
    <w:rsid w:val="00221951"/>
    <w:rsid w:val="0022237C"/>
    <w:rsid w:val="0022267C"/>
    <w:rsid w:val="0022363A"/>
    <w:rsid w:val="00224F11"/>
    <w:rsid w:val="002265D9"/>
    <w:rsid w:val="00226714"/>
    <w:rsid w:val="0022744E"/>
    <w:rsid w:val="00230220"/>
    <w:rsid w:val="002310C4"/>
    <w:rsid w:val="00232ACA"/>
    <w:rsid w:val="00235882"/>
    <w:rsid w:val="00236525"/>
    <w:rsid w:val="002411B8"/>
    <w:rsid w:val="00242332"/>
    <w:rsid w:val="00242C03"/>
    <w:rsid w:val="0024313E"/>
    <w:rsid w:val="002476D2"/>
    <w:rsid w:val="002504E8"/>
    <w:rsid w:val="00253EF1"/>
    <w:rsid w:val="00254F7D"/>
    <w:rsid w:val="002554E9"/>
    <w:rsid w:val="002612D5"/>
    <w:rsid w:val="002622C8"/>
    <w:rsid w:val="00264D6E"/>
    <w:rsid w:val="002668B4"/>
    <w:rsid w:val="00267454"/>
    <w:rsid w:val="00270E58"/>
    <w:rsid w:val="00271A44"/>
    <w:rsid w:val="00272049"/>
    <w:rsid w:val="00274595"/>
    <w:rsid w:val="00274659"/>
    <w:rsid w:val="00277155"/>
    <w:rsid w:val="002800F1"/>
    <w:rsid w:val="00280AB4"/>
    <w:rsid w:val="00281241"/>
    <w:rsid w:val="002829A8"/>
    <w:rsid w:val="00283467"/>
    <w:rsid w:val="00283D41"/>
    <w:rsid w:val="002846EF"/>
    <w:rsid w:val="00285CB3"/>
    <w:rsid w:val="00286A9C"/>
    <w:rsid w:val="002900C6"/>
    <w:rsid w:val="00291FA0"/>
    <w:rsid w:val="0029314C"/>
    <w:rsid w:val="00293615"/>
    <w:rsid w:val="00293A38"/>
    <w:rsid w:val="0029411A"/>
    <w:rsid w:val="002942F3"/>
    <w:rsid w:val="002959CD"/>
    <w:rsid w:val="00295CF0"/>
    <w:rsid w:val="002962F5"/>
    <w:rsid w:val="002972EA"/>
    <w:rsid w:val="00297FAC"/>
    <w:rsid w:val="002A64C8"/>
    <w:rsid w:val="002A67F7"/>
    <w:rsid w:val="002A6F1D"/>
    <w:rsid w:val="002A70E1"/>
    <w:rsid w:val="002A7CAD"/>
    <w:rsid w:val="002B0539"/>
    <w:rsid w:val="002B1004"/>
    <w:rsid w:val="002B1446"/>
    <w:rsid w:val="002B342E"/>
    <w:rsid w:val="002B3FC8"/>
    <w:rsid w:val="002B42ED"/>
    <w:rsid w:val="002B5AB5"/>
    <w:rsid w:val="002B6781"/>
    <w:rsid w:val="002B6DED"/>
    <w:rsid w:val="002B721A"/>
    <w:rsid w:val="002B72F1"/>
    <w:rsid w:val="002C0615"/>
    <w:rsid w:val="002C1A94"/>
    <w:rsid w:val="002C3D4D"/>
    <w:rsid w:val="002C3FFF"/>
    <w:rsid w:val="002C476D"/>
    <w:rsid w:val="002C7091"/>
    <w:rsid w:val="002D08DA"/>
    <w:rsid w:val="002D42B9"/>
    <w:rsid w:val="002D5568"/>
    <w:rsid w:val="002D57E5"/>
    <w:rsid w:val="002D5D40"/>
    <w:rsid w:val="002D6334"/>
    <w:rsid w:val="002D669D"/>
    <w:rsid w:val="002D70D0"/>
    <w:rsid w:val="002E1E9C"/>
    <w:rsid w:val="002E2559"/>
    <w:rsid w:val="002E31CB"/>
    <w:rsid w:val="002E344B"/>
    <w:rsid w:val="002E49F2"/>
    <w:rsid w:val="002E5637"/>
    <w:rsid w:val="002F02B6"/>
    <w:rsid w:val="002F122F"/>
    <w:rsid w:val="002F1C41"/>
    <w:rsid w:val="002F475D"/>
    <w:rsid w:val="002F6DC6"/>
    <w:rsid w:val="002F713A"/>
    <w:rsid w:val="002F786C"/>
    <w:rsid w:val="002F7AA8"/>
    <w:rsid w:val="002F7EFA"/>
    <w:rsid w:val="003028E1"/>
    <w:rsid w:val="00305983"/>
    <w:rsid w:val="00305BD5"/>
    <w:rsid w:val="0030619A"/>
    <w:rsid w:val="0030728B"/>
    <w:rsid w:val="0030757E"/>
    <w:rsid w:val="003102D8"/>
    <w:rsid w:val="003131BF"/>
    <w:rsid w:val="00313300"/>
    <w:rsid w:val="003164D2"/>
    <w:rsid w:val="00316951"/>
    <w:rsid w:val="00316F88"/>
    <w:rsid w:val="00320493"/>
    <w:rsid w:val="003217D3"/>
    <w:rsid w:val="00322D6E"/>
    <w:rsid w:val="003241CE"/>
    <w:rsid w:val="00325125"/>
    <w:rsid w:val="00325784"/>
    <w:rsid w:val="00325E0F"/>
    <w:rsid w:val="00326FCA"/>
    <w:rsid w:val="00327713"/>
    <w:rsid w:val="00330319"/>
    <w:rsid w:val="00330AEA"/>
    <w:rsid w:val="00332DA2"/>
    <w:rsid w:val="003331CA"/>
    <w:rsid w:val="003343AE"/>
    <w:rsid w:val="00334F03"/>
    <w:rsid w:val="00341227"/>
    <w:rsid w:val="00341289"/>
    <w:rsid w:val="0034237E"/>
    <w:rsid w:val="0034289D"/>
    <w:rsid w:val="00343285"/>
    <w:rsid w:val="0034513A"/>
    <w:rsid w:val="0034692E"/>
    <w:rsid w:val="00346D06"/>
    <w:rsid w:val="0035195F"/>
    <w:rsid w:val="00352283"/>
    <w:rsid w:val="00352975"/>
    <w:rsid w:val="00353067"/>
    <w:rsid w:val="00354613"/>
    <w:rsid w:val="00354D1D"/>
    <w:rsid w:val="00355033"/>
    <w:rsid w:val="00355F8D"/>
    <w:rsid w:val="003570FF"/>
    <w:rsid w:val="003605FE"/>
    <w:rsid w:val="00361CFB"/>
    <w:rsid w:val="00361DC3"/>
    <w:rsid w:val="00363861"/>
    <w:rsid w:val="0036486B"/>
    <w:rsid w:val="00367C52"/>
    <w:rsid w:val="00370644"/>
    <w:rsid w:val="00370ADD"/>
    <w:rsid w:val="00371E5F"/>
    <w:rsid w:val="00373853"/>
    <w:rsid w:val="00373A8E"/>
    <w:rsid w:val="0037676F"/>
    <w:rsid w:val="00377372"/>
    <w:rsid w:val="00381DE9"/>
    <w:rsid w:val="003826F3"/>
    <w:rsid w:val="003844FC"/>
    <w:rsid w:val="00385221"/>
    <w:rsid w:val="00387366"/>
    <w:rsid w:val="003877ED"/>
    <w:rsid w:val="00390950"/>
    <w:rsid w:val="00390B2E"/>
    <w:rsid w:val="00390DEE"/>
    <w:rsid w:val="0039217E"/>
    <w:rsid w:val="00393671"/>
    <w:rsid w:val="00394EAE"/>
    <w:rsid w:val="003A0BB0"/>
    <w:rsid w:val="003A22AC"/>
    <w:rsid w:val="003A49D5"/>
    <w:rsid w:val="003A4AD4"/>
    <w:rsid w:val="003A4EA5"/>
    <w:rsid w:val="003A5139"/>
    <w:rsid w:val="003B17DD"/>
    <w:rsid w:val="003B1A3F"/>
    <w:rsid w:val="003B2A86"/>
    <w:rsid w:val="003B3FB3"/>
    <w:rsid w:val="003B67A5"/>
    <w:rsid w:val="003B786C"/>
    <w:rsid w:val="003C13E9"/>
    <w:rsid w:val="003C222C"/>
    <w:rsid w:val="003C230D"/>
    <w:rsid w:val="003C265B"/>
    <w:rsid w:val="003C43E9"/>
    <w:rsid w:val="003C5ABB"/>
    <w:rsid w:val="003C6418"/>
    <w:rsid w:val="003C667E"/>
    <w:rsid w:val="003D0AE9"/>
    <w:rsid w:val="003D194B"/>
    <w:rsid w:val="003D2278"/>
    <w:rsid w:val="003D2B2A"/>
    <w:rsid w:val="003D52FB"/>
    <w:rsid w:val="003D5940"/>
    <w:rsid w:val="003D658C"/>
    <w:rsid w:val="003D73C6"/>
    <w:rsid w:val="003E0248"/>
    <w:rsid w:val="003E0806"/>
    <w:rsid w:val="003E26AF"/>
    <w:rsid w:val="003E2D78"/>
    <w:rsid w:val="003E34FB"/>
    <w:rsid w:val="003E3AF3"/>
    <w:rsid w:val="003E4C9B"/>
    <w:rsid w:val="003E5509"/>
    <w:rsid w:val="003E6C17"/>
    <w:rsid w:val="003F030A"/>
    <w:rsid w:val="003F05BC"/>
    <w:rsid w:val="003F0D04"/>
    <w:rsid w:val="003F2760"/>
    <w:rsid w:val="003F27E1"/>
    <w:rsid w:val="003F3654"/>
    <w:rsid w:val="003F36A1"/>
    <w:rsid w:val="003F4222"/>
    <w:rsid w:val="003F4759"/>
    <w:rsid w:val="003F5845"/>
    <w:rsid w:val="003F7E45"/>
    <w:rsid w:val="0040119A"/>
    <w:rsid w:val="004022C4"/>
    <w:rsid w:val="00403274"/>
    <w:rsid w:val="00403A78"/>
    <w:rsid w:val="0040411E"/>
    <w:rsid w:val="0040579F"/>
    <w:rsid w:val="00406025"/>
    <w:rsid w:val="00407401"/>
    <w:rsid w:val="00411D92"/>
    <w:rsid w:val="00412134"/>
    <w:rsid w:val="004128B5"/>
    <w:rsid w:val="00413A32"/>
    <w:rsid w:val="004144A3"/>
    <w:rsid w:val="004151FF"/>
    <w:rsid w:val="00417D4F"/>
    <w:rsid w:val="00422691"/>
    <w:rsid w:val="00423A73"/>
    <w:rsid w:val="004254AA"/>
    <w:rsid w:val="00425B66"/>
    <w:rsid w:val="004261AB"/>
    <w:rsid w:val="0042620D"/>
    <w:rsid w:val="00426277"/>
    <w:rsid w:val="00426B61"/>
    <w:rsid w:val="00427001"/>
    <w:rsid w:val="0042796B"/>
    <w:rsid w:val="004300D1"/>
    <w:rsid w:val="0043339D"/>
    <w:rsid w:val="004334BB"/>
    <w:rsid w:val="004342EA"/>
    <w:rsid w:val="00434337"/>
    <w:rsid w:val="0043576B"/>
    <w:rsid w:val="0043652B"/>
    <w:rsid w:val="00437D68"/>
    <w:rsid w:val="004427A5"/>
    <w:rsid w:val="00442A2E"/>
    <w:rsid w:val="00444D20"/>
    <w:rsid w:val="0044567A"/>
    <w:rsid w:val="00445F93"/>
    <w:rsid w:val="00445FDA"/>
    <w:rsid w:val="004467AD"/>
    <w:rsid w:val="00447041"/>
    <w:rsid w:val="00447168"/>
    <w:rsid w:val="004474B1"/>
    <w:rsid w:val="00447F17"/>
    <w:rsid w:val="004507CD"/>
    <w:rsid w:val="00450819"/>
    <w:rsid w:val="004516AF"/>
    <w:rsid w:val="00452FB3"/>
    <w:rsid w:val="00453323"/>
    <w:rsid w:val="0045352C"/>
    <w:rsid w:val="0045545B"/>
    <w:rsid w:val="004556D1"/>
    <w:rsid w:val="004558CB"/>
    <w:rsid w:val="00456D5A"/>
    <w:rsid w:val="004570E3"/>
    <w:rsid w:val="00457627"/>
    <w:rsid w:val="00457989"/>
    <w:rsid w:val="00460443"/>
    <w:rsid w:val="004647C2"/>
    <w:rsid w:val="00466942"/>
    <w:rsid w:val="00467E5C"/>
    <w:rsid w:val="004715C1"/>
    <w:rsid w:val="00473F93"/>
    <w:rsid w:val="00474DA1"/>
    <w:rsid w:val="00475E5F"/>
    <w:rsid w:val="00482844"/>
    <w:rsid w:val="004849C9"/>
    <w:rsid w:val="00484F89"/>
    <w:rsid w:val="004908D7"/>
    <w:rsid w:val="004912FE"/>
    <w:rsid w:val="0049196D"/>
    <w:rsid w:val="00493613"/>
    <w:rsid w:val="0049521A"/>
    <w:rsid w:val="004A1B07"/>
    <w:rsid w:val="004A36E1"/>
    <w:rsid w:val="004A3807"/>
    <w:rsid w:val="004A5A5D"/>
    <w:rsid w:val="004A650A"/>
    <w:rsid w:val="004A76CA"/>
    <w:rsid w:val="004B0891"/>
    <w:rsid w:val="004B1421"/>
    <w:rsid w:val="004B2A55"/>
    <w:rsid w:val="004B4091"/>
    <w:rsid w:val="004B5B64"/>
    <w:rsid w:val="004B6621"/>
    <w:rsid w:val="004C137E"/>
    <w:rsid w:val="004C2D49"/>
    <w:rsid w:val="004C3340"/>
    <w:rsid w:val="004C3954"/>
    <w:rsid w:val="004C4801"/>
    <w:rsid w:val="004C5921"/>
    <w:rsid w:val="004C6317"/>
    <w:rsid w:val="004C799E"/>
    <w:rsid w:val="004C7BEF"/>
    <w:rsid w:val="004C7E2E"/>
    <w:rsid w:val="004D3874"/>
    <w:rsid w:val="004D3FD4"/>
    <w:rsid w:val="004D52DA"/>
    <w:rsid w:val="004D6886"/>
    <w:rsid w:val="004D772E"/>
    <w:rsid w:val="004D7F1A"/>
    <w:rsid w:val="004E0349"/>
    <w:rsid w:val="004E1A43"/>
    <w:rsid w:val="004E337F"/>
    <w:rsid w:val="004E4BF2"/>
    <w:rsid w:val="004E5B83"/>
    <w:rsid w:val="004E68D2"/>
    <w:rsid w:val="004E6969"/>
    <w:rsid w:val="004E6A73"/>
    <w:rsid w:val="004F1EF7"/>
    <w:rsid w:val="004F20ED"/>
    <w:rsid w:val="004F36A8"/>
    <w:rsid w:val="004F46B5"/>
    <w:rsid w:val="004F4DB0"/>
    <w:rsid w:val="004F6458"/>
    <w:rsid w:val="004F685C"/>
    <w:rsid w:val="004F7C04"/>
    <w:rsid w:val="00501F1C"/>
    <w:rsid w:val="0050295D"/>
    <w:rsid w:val="0050631C"/>
    <w:rsid w:val="00506A06"/>
    <w:rsid w:val="005101D5"/>
    <w:rsid w:val="00510CEB"/>
    <w:rsid w:val="0051387B"/>
    <w:rsid w:val="005156A2"/>
    <w:rsid w:val="00516CC7"/>
    <w:rsid w:val="005179D7"/>
    <w:rsid w:val="005201F9"/>
    <w:rsid w:val="005207C1"/>
    <w:rsid w:val="00523DE2"/>
    <w:rsid w:val="00523EB0"/>
    <w:rsid w:val="00525029"/>
    <w:rsid w:val="005303EE"/>
    <w:rsid w:val="0053166D"/>
    <w:rsid w:val="00533282"/>
    <w:rsid w:val="0053341A"/>
    <w:rsid w:val="00533D82"/>
    <w:rsid w:val="0053619A"/>
    <w:rsid w:val="0054019A"/>
    <w:rsid w:val="005409C5"/>
    <w:rsid w:val="0054109A"/>
    <w:rsid w:val="005410A4"/>
    <w:rsid w:val="005434A0"/>
    <w:rsid w:val="00543B95"/>
    <w:rsid w:val="00544035"/>
    <w:rsid w:val="00544371"/>
    <w:rsid w:val="005447ED"/>
    <w:rsid w:val="0054554D"/>
    <w:rsid w:val="0054579B"/>
    <w:rsid w:val="00545BD7"/>
    <w:rsid w:val="00546B6C"/>
    <w:rsid w:val="00546F76"/>
    <w:rsid w:val="00547137"/>
    <w:rsid w:val="00547478"/>
    <w:rsid w:val="005476DC"/>
    <w:rsid w:val="0054778C"/>
    <w:rsid w:val="00550F02"/>
    <w:rsid w:val="00552BFA"/>
    <w:rsid w:val="005536E9"/>
    <w:rsid w:val="00557B8D"/>
    <w:rsid w:val="00560FB7"/>
    <w:rsid w:val="0056358F"/>
    <w:rsid w:val="0056384D"/>
    <w:rsid w:val="00564D63"/>
    <w:rsid w:val="00565C43"/>
    <w:rsid w:val="005664AF"/>
    <w:rsid w:val="00567679"/>
    <w:rsid w:val="005700BC"/>
    <w:rsid w:val="00570E7B"/>
    <w:rsid w:val="0057378E"/>
    <w:rsid w:val="00573CEE"/>
    <w:rsid w:val="00573F4F"/>
    <w:rsid w:val="00575AD2"/>
    <w:rsid w:val="00576AFF"/>
    <w:rsid w:val="00577D33"/>
    <w:rsid w:val="0058408D"/>
    <w:rsid w:val="005870E8"/>
    <w:rsid w:val="00587F05"/>
    <w:rsid w:val="00590E2B"/>
    <w:rsid w:val="005914A7"/>
    <w:rsid w:val="0059184F"/>
    <w:rsid w:val="00594A18"/>
    <w:rsid w:val="00594C24"/>
    <w:rsid w:val="005953F3"/>
    <w:rsid w:val="00595A4C"/>
    <w:rsid w:val="00596EBF"/>
    <w:rsid w:val="005A0097"/>
    <w:rsid w:val="005A0676"/>
    <w:rsid w:val="005A0918"/>
    <w:rsid w:val="005A16A9"/>
    <w:rsid w:val="005A177D"/>
    <w:rsid w:val="005A1B9E"/>
    <w:rsid w:val="005A39AB"/>
    <w:rsid w:val="005A3A52"/>
    <w:rsid w:val="005A6BAD"/>
    <w:rsid w:val="005A78C5"/>
    <w:rsid w:val="005B10E8"/>
    <w:rsid w:val="005B3386"/>
    <w:rsid w:val="005B5D99"/>
    <w:rsid w:val="005C015D"/>
    <w:rsid w:val="005C0403"/>
    <w:rsid w:val="005C1419"/>
    <w:rsid w:val="005C2041"/>
    <w:rsid w:val="005C427F"/>
    <w:rsid w:val="005C4DE1"/>
    <w:rsid w:val="005C50D8"/>
    <w:rsid w:val="005C5C06"/>
    <w:rsid w:val="005C616C"/>
    <w:rsid w:val="005C6955"/>
    <w:rsid w:val="005C6FEC"/>
    <w:rsid w:val="005C7985"/>
    <w:rsid w:val="005D00CD"/>
    <w:rsid w:val="005D2FF5"/>
    <w:rsid w:val="005D4290"/>
    <w:rsid w:val="005D4F0A"/>
    <w:rsid w:val="005D6051"/>
    <w:rsid w:val="005D78D0"/>
    <w:rsid w:val="005D7BC7"/>
    <w:rsid w:val="005E1291"/>
    <w:rsid w:val="005E2140"/>
    <w:rsid w:val="005E2210"/>
    <w:rsid w:val="005E3EEB"/>
    <w:rsid w:val="005E494D"/>
    <w:rsid w:val="005E4DC3"/>
    <w:rsid w:val="005E60F7"/>
    <w:rsid w:val="005E665B"/>
    <w:rsid w:val="005E68D4"/>
    <w:rsid w:val="005E6E70"/>
    <w:rsid w:val="005F1023"/>
    <w:rsid w:val="005F142B"/>
    <w:rsid w:val="005F14D6"/>
    <w:rsid w:val="005F1E7A"/>
    <w:rsid w:val="005F5BD0"/>
    <w:rsid w:val="005F72A7"/>
    <w:rsid w:val="005F7A4B"/>
    <w:rsid w:val="00601573"/>
    <w:rsid w:val="00601A6E"/>
    <w:rsid w:val="0060238A"/>
    <w:rsid w:val="00602494"/>
    <w:rsid w:val="00602B93"/>
    <w:rsid w:val="00605E6F"/>
    <w:rsid w:val="006104EF"/>
    <w:rsid w:val="00612230"/>
    <w:rsid w:val="006131E1"/>
    <w:rsid w:val="00613E4C"/>
    <w:rsid w:val="00620CA0"/>
    <w:rsid w:val="0062118C"/>
    <w:rsid w:val="00621C0A"/>
    <w:rsid w:val="00621E9B"/>
    <w:rsid w:val="006235F6"/>
    <w:rsid w:val="006238CE"/>
    <w:rsid w:val="00630E21"/>
    <w:rsid w:val="00631679"/>
    <w:rsid w:val="00631703"/>
    <w:rsid w:val="00631831"/>
    <w:rsid w:val="00634059"/>
    <w:rsid w:val="00637C59"/>
    <w:rsid w:val="00640123"/>
    <w:rsid w:val="0064040C"/>
    <w:rsid w:val="00640637"/>
    <w:rsid w:val="0064129D"/>
    <w:rsid w:val="00641960"/>
    <w:rsid w:val="00643119"/>
    <w:rsid w:val="00644565"/>
    <w:rsid w:val="00644A75"/>
    <w:rsid w:val="00644D1F"/>
    <w:rsid w:val="00644EA1"/>
    <w:rsid w:val="00644F91"/>
    <w:rsid w:val="0065073D"/>
    <w:rsid w:val="00651B6E"/>
    <w:rsid w:val="006530B9"/>
    <w:rsid w:val="006530E1"/>
    <w:rsid w:val="0065335B"/>
    <w:rsid w:val="006543D7"/>
    <w:rsid w:val="00654F3F"/>
    <w:rsid w:val="00657E3D"/>
    <w:rsid w:val="00657F46"/>
    <w:rsid w:val="00660439"/>
    <w:rsid w:val="0066125A"/>
    <w:rsid w:val="006613F1"/>
    <w:rsid w:val="006624C1"/>
    <w:rsid w:val="00664B78"/>
    <w:rsid w:val="0066662C"/>
    <w:rsid w:val="00667127"/>
    <w:rsid w:val="00667467"/>
    <w:rsid w:val="00667928"/>
    <w:rsid w:val="0067082E"/>
    <w:rsid w:val="0067199A"/>
    <w:rsid w:val="00671BB0"/>
    <w:rsid w:val="00672961"/>
    <w:rsid w:val="00672ECE"/>
    <w:rsid w:val="0067315E"/>
    <w:rsid w:val="006731F1"/>
    <w:rsid w:val="00673B73"/>
    <w:rsid w:val="00673FE3"/>
    <w:rsid w:val="0067672C"/>
    <w:rsid w:val="006767A2"/>
    <w:rsid w:val="00681662"/>
    <w:rsid w:val="00681E4A"/>
    <w:rsid w:val="00682649"/>
    <w:rsid w:val="006827F1"/>
    <w:rsid w:val="0068315C"/>
    <w:rsid w:val="00684418"/>
    <w:rsid w:val="00690F47"/>
    <w:rsid w:val="00691918"/>
    <w:rsid w:val="00693473"/>
    <w:rsid w:val="00693CB4"/>
    <w:rsid w:val="0069436C"/>
    <w:rsid w:val="006945E8"/>
    <w:rsid w:val="006946CE"/>
    <w:rsid w:val="00696477"/>
    <w:rsid w:val="0069706A"/>
    <w:rsid w:val="006971EC"/>
    <w:rsid w:val="006A125C"/>
    <w:rsid w:val="006A2CDE"/>
    <w:rsid w:val="006A40C0"/>
    <w:rsid w:val="006A580C"/>
    <w:rsid w:val="006B051F"/>
    <w:rsid w:val="006B0C5C"/>
    <w:rsid w:val="006B14BD"/>
    <w:rsid w:val="006B30FC"/>
    <w:rsid w:val="006C4125"/>
    <w:rsid w:val="006C52BE"/>
    <w:rsid w:val="006C5B16"/>
    <w:rsid w:val="006C65E8"/>
    <w:rsid w:val="006C7978"/>
    <w:rsid w:val="006D0540"/>
    <w:rsid w:val="006D1CE9"/>
    <w:rsid w:val="006D34E6"/>
    <w:rsid w:val="006D3FB2"/>
    <w:rsid w:val="006D4E19"/>
    <w:rsid w:val="006D56A0"/>
    <w:rsid w:val="006D5F39"/>
    <w:rsid w:val="006D6437"/>
    <w:rsid w:val="006D646B"/>
    <w:rsid w:val="006D78E3"/>
    <w:rsid w:val="006D7D65"/>
    <w:rsid w:val="006E08ED"/>
    <w:rsid w:val="006E0E38"/>
    <w:rsid w:val="006E1542"/>
    <w:rsid w:val="006E38EB"/>
    <w:rsid w:val="006E41B8"/>
    <w:rsid w:val="006E530C"/>
    <w:rsid w:val="006E6F3D"/>
    <w:rsid w:val="006E73BF"/>
    <w:rsid w:val="006E769C"/>
    <w:rsid w:val="006F02AA"/>
    <w:rsid w:val="006F1E06"/>
    <w:rsid w:val="006F2CCE"/>
    <w:rsid w:val="006F46EC"/>
    <w:rsid w:val="006F5422"/>
    <w:rsid w:val="006F609A"/>
    <w:rsid w:val="006F7E6B"/>
    <w:rsid w:val="00701C9C"/>
    <w:rsid w:val="00701F50"/>
    <w:rsid w:val="00702CC9"/>
    <w:rsid w:val="00703D9C"/>
    <w:rsid w:val="00703E3E"/>
    <w:rsid w:val="00705324"/>
    <w:rsid w:val="00706341"/>
    <w:rsid w:val="007070C4"/>
    <w:rsid w:val="007074B3"/>
    <w:rsid w:val="00707BFC"/>
    <w:rsid w:val="00710369"/>
    <w:rsid w:val="00710650"/>
    <w:rsid w:val="00710F1F"/>
    <w:rsid w:val="00711B84"/>
    <w:rsid w:val="007128A4"/>
    <w:rsid w:val="00713320"/>
    <w:rsid w:val="00713936"/>
    <w:rsid w:val="00715DDA"/>
    <w:rsid w:val="00715FA7"/>
    <w:rsid w:val="00720201"/>
    <w:rsid w:val="0072042B"/>
    <w:rsid w:val="00721CB8"/>
    <w:rsid w:val="00721F88"/>
    <w:rsid w:val="007235B4"/>
    <w:rsid w:val="007243F5"/>
    <w:rsid w:val="00724C04"/>
    <w:rsid w:val="00726AC6"/>
    <w:rsid w:val="00727A03"/>
    <w:rsid w:val="007313E4"/>
    <w:rsid w:val="00731A69"/>
    <w:rsid w:val="00731E9A"/>
    <w:rsid w:val="00732589"/>
    <w:rsid w:val="00735D03"/>
    <w:rsid w:val="00735D13"/>
    <w:rsid w:val="00736CA1"/>
    <w:rsid w:val="00737150"/>
    <w:rsid w:val="00737C42"/>
    <w:rsid w:val="0074001C"/>
    <w:rsid w:val="007429C9"/>
    <w:rsid w:val="00742AB6"/>
    <w:rsid w:val="00744379"/>
    <w:rsid w:val="00744735"/>
    <w:rsid w:val="0074507F"/>
    <w:rsid w:val="00745535"/>
    <w:rsid w:val="007457E2"/>
    <w:rsid w:val="007467AF"/>
    <w:rsid w:val="00747209"/>
    <w:rsid w:val="00750286"/>
    <w:rsid w:val="00750CD9"/>
    <w:rsid w:val="00753393"/>
    <w:rsid w:val="0075547E"/>
    <w:rsid w:val="00756254"/>
    <w:rsid w:val="0076023B"/>
    <w:rsid w:val="007602B1"/>
    <w:rsid w:val="00761199"/>
    <w:rsid w:val="00761E78"/>
    <w:rsid w:val="007644E1"/>
    <w:rsid w:val="00766ADC"/>
    <w:rsid w:val="00767176"/>
    <w:rsid w:val="0077017F"/>
    <w:rsid w:val="0077134B"/>
    <w:rsid w:val="00771A58"/>
    <w:rsid w:val="00771B4C"/>
    <w:rsid w:val="00773F1C"/>
    <w:rsid w:val="00776C86"/>
    <w:rsid w:val="0077723A"/>
    <w:rsid w:val="00777A65"/>
    <w:rsid w:val="00783F33"/>
    <w:rsid w:val="00785117"/>
    <w:rsid w:val="00785DB7"/>
    <w:rsid w:val="007867F8"/>
    <w:rsid w:val="007872BE"/>
    <w:rsid w:val="0078754E"/>
    <w:rsid w:val="00790205"/>
    <w:rsid w:val="00790A8B"/>
    <w:rsid w:val="00793029"/>
    <w:rsid w:val="0079596C"/>
    <w:rsid w:val="007978EC"/>
    <w:rsid w:val="007A0D9E"/>
    <w:rsid w:val="007A1308"/>
    <w:rsid w:val="007A2D63"/>
    <w:rsid w:val="007A3D01"/>
    <w:rsid w:val="007A3DC4"/>
    <w:rsid w:val="007A3E76"/>
    <w:rsid w:val="007A4576"/>
    <w:rsid w:val="007A4B59"/>
    <w:rsid w:val="007B01A4"/>
    <w:rsid w:val="007B37DF"/>
    <w:rsid w:val="007B3CD1"/>
    <w:rsid w:val="007B668A"/>
    <w:rsid w:val="007B746F"/>
    <w:rsid w:val="007C03E8"/>
    <w:rsid w:val="007C04E4"/>
    <w:rsid w:val="007C149C"/>
    <w:rsid w:val="007C2A03"/>
    <w:rsid w:val="007C5D45"/>
    <w:rsid w:val="007C5FE4"/>
    <w:rsid w:val="007C65A4"/>
    <w:rsid w:val="007C6D03"/>
    <w:rsid w:val="007D290A"/>
    <w:rsid w:val="007D2D89"/>
    <w:rsid w:val="007D3249"/>
    <w:rsid w:val="007D348D"/>
    <w:rsid w:val="007D3629"/>
    <w:rsid w:val="007D4E30"/>
    <w:rsid w:val="007D7228"/>
    <w:rsid w:val="007D7425"/>
    <w:rsid w:val="007E12E9"/>
    <w:rsid w:val="007E3E36"/>
    <w:rsid w:val="007E529F"/>
    <w:rsid w:val="007E5A0D"/>
    <w:rsid w:val="007E5BD0"/>
    <w:rsid w:val="007E7150"/>
    <w:rsid w:val="007F0868"/>
    <w:rsid w:val="007F0BB1"/>
    <w:rsid w:val="007F0FBF"/>
    <w:rsid w:val="007F2193"/>
    <w:rsid w:val="007F4FFD"/>
    <w:rsid w:val="007F5E79"/>
    <w:rsid w:val="007F7554"/>
    <w:rsid w:val="0080053C"/>
    <w:rsid w:val="008013C9"/>
    <w:rsid w:val="00803559"/>
    <w:rsid w:val="00803565"/>
    <w:rsid w:val="00803849"/>
    <w:rsid w:val="008040E3"/>
    <w:rsid w:val="00805D60"/>
    <w:rsid w:val="00807599"/>
    <w:rsid w:val="00807A02"/>
    <w:rsid w:val="00807B75"/>
    <w:rsid w:val="00812833"/>
    <w:rsid w:val="00812E0F"/>
    <w:rsid w:val="00815C86"/>
    <w:rsid w:val="00816CB5"/>
    <w:rsid w:val="00817C09"/>
    <w:rsid w:val="00820583"/>
    <w:rsid w:val="00820839"/>
    <w:rsid w:val="0082248E"/>
    <w:rsid w:val="008244A0"/>
    <w:rsid w:val="00824633"/>
    <w:rsid w:val="0082515A"/>
    <w:rsid w:val="0082682E"/>
    <w:rsid w:val="00827461"/>
    <w:rsid w:val="0083086D"/>
    <w:rsid w:val="008319C0"/>
    <w:rsid w:val="008323D5"/>
    <w:rsid w:val="00833E5A"/>
    <w:rsid w:val="008353CC"/>
    <w:rsid w:val="00835F2E"/>
    <w:rsid w:val="00836717"/>
    <w:rsid w:val="008413CC"/>
    <w:rsid w:val="008433EC"/>
    <w:rsid w:val="00843564"/>
    <w:rsid w:val="008446A8"/>
    <w:rsid w:val="00845168"/>
    <w:rsid w:val="008459E9"/>
    <w:rsid w:val="00845C66"/>
    <w:rsid w:val="00845D4D"/>
    <w:rsid w:val="0084657A"/>
    <w:rsid w:val="0084664F"/>
    <w:rsid w:val="00846DB8"/>
    <w:rsid w:val="00847F31"/>
    <w:rsid w:val="00850C39"/>
    <w:rsid w:val="00851048"/>
    <w:rsid w:val="00852F16"/>
    <w:rsid w:val="008558C3"/>
    <w:rsid w:val="00862B86"/>
    <w:rsid w:val="0086304B"/>
    <w:rsid w:val="0086487D"/>
    <w:rsid w:val="0086531A"/>
    <w:rsid w:val="00865503"/>
    <w:rsid w:val="00865B57"/>
    <w:rsid w:val="0086751F"/>
    <w:rsid w:val="00871A75"/>
    <w:rsid w:val="00871BF5"/>
    <w:rsid w:val="008730C1"/>
    <w:rsid w:val="00873661"/>
    <w:rsid w:val="00876404"/>
    <w:rsid w:val="00876AE5"/>
    <w:rsid w:val="00877725"/>
    <w:rsid w:val="00880485"/>
    <w:rsid w:val="008808F9"/>
    <w:rsid w:val="00881E71"/>
    <w:rsid w:val="00882CCD"/>
    <w:rsid w:val="00884B97"/>
    <w:rsid w:val="00885134"/>
    <w:rsid w:val="00886098"/>
    <w:rsid w:val="0088759F"/>
    <w:rsid w:val="008902F0"/>
    <w:rsid w:val="00892011"/>
    <w:rsid w:val="00894AFA"/>
    <w:rsid w:val="00895889"/>
    <w:rsid w:val="00896964"/>
    <w:rsid w:val="008970F7"/>
    <w:rsid w:val="0089766F"/>
    <w:rsid w:val="00897706"/>
    <w:rsid w:val="008A2737"/>
    <w:rsid w:val="008A3508"/>
    <w:rsid w:val="008A3C1A"/>
    <w:rsid w:val="008A42A7"/>
    <w:rsid w:val="008A55E0"/>
    <w:rsid w:val="008A6671"/>
    <w:rsid w:val="008B0059"/>
    <w:rsid w:val="008B09B7"/>
    <w:rsid w:val="008B1598"/>
    <w:rsid w:val="008B1D12"/>
    <w:rsid w:val="008B1F75"/>
    <w:rsid w:val="008B2CD0"/>
    <w:rsid w:val="008B3110"/>
    <w:rsid w:val="008B38BC"/>
    <w:rsid w:val="008B47F6"/>
    <w:rsid w:val="008B6D54"/>
    <w:rsid w:val="008B7CBA"/>
    <w:rsid w:val="008B7ED4"/>
    <w:rsid w:val="008C040F"/>
    <w:rsid w:val="008C074A"/>
    <w:rsid w:val="008C07EA"/>
    <w:rsid w:val="008C473F"/>
    <w:rsid w:val="008C536C"/>
    <w:rsid w:val="008C560C"/>
    <w:rsid w:val="008C573E"/>
    <w:rsid w:val="008D063F"/>
    <w:rsid w:val="008D0645"/>
    <w:rsid w:val="008D145F"/>
    <w:rsid w:val="008D15AA"/>
    <w:rsid w:val="008D1AFB"/>
    <w:rsid w:val="008D4851"/>
    <w:rsid w:val="008D4B33"/>
    <w:rsid w:val="008D5A34"/>
    <w:rsid w:val="008D6300"/>
    <w:rsid w:val="008D7050"/>
    <w:rsid w:val="008E087D"/>
    <w:rsid w:val="008E0A73"/>
    <w:rsid w:val="008E0DAC"/>
    <w:rsid w:val="008E1160"/>
    <w:rsid w:val="008E14F0"/>
    <w:rsid w:val="008E16EE"/>
    <w:rsid w:val="008E1EE1"/>
    <w:rsid w:val="008E32BA"/>
    <w:rsid w:val="008E3372"/>
    <w:rsid w:val="008E3CD8"/>
    <w:rsid w:val="008E48C5"/>
    <w:rsid w:val="008E6679"/>
    <w:rsid w:val="008E78C8"/>
    <w:rsid w:val="008F0D31"/>
    <w:rsid w:val="008F366A"/>
    <w:rsid w:val="008F3ABD"/>
    <w:rsid w:val="008F453E"/>
    <w:rsid w:val="008F53E5"/>
    <w:rsid w:val="00900AB0"/>
    <w:rsid w:val="00901C17"/>
    <w:rsid w:val="009031DB"/>
    <w:rsid w:val="00903465"/>
    <w:rsid w:val="0090436D"/>
    <w:rsid w:val="009073D4"/>
    <w:rsid w:val="009076A9"/>
    <w:rsid w:val="009101C1"/>
    <w:rsid w:val="0091067B"/>
    <w:rsid w:val="009121D7"/>
    <w:rsid w:val="00912E04"/>
    <w:rsid w:val="00913CA0"/>
    <w:rsid w:val="009142AA"/>
    <w:rsid w:val="009163B0"/>
    <w:rsid w:val="00917EE5"/>
    <w:rsid w:val="009216A9"/>
    <w:rsid w:val="00922976"/>
    <w:rsid w:val="009234C2"/>
    <w:rsid w:val="00923A79"/>
    <w:rsid w:val="009248FD"/>
    <w:rsid w:val="00925DE1"/>
    <w:rsid w:val="00926428"/>
    <w:rsid w:val="00926773"/>
    <w:rsid w:val="00926EDA"/>
    <w:rsid w:val="00931106"/>
    <w:rsid w:val="00932E41"/>
    <w:rsid w:val="00934513"/>
    <w:rsid w:val="0093496F"/>
    <w:rsid w:val="00934ED2"/>
    <w:rsid w:val="0093628F"/>
    <w:rsid w:val="009372C8"/>
    <w:rsid w:val="009376FA"/>
    <w:rsid w:val="00937BB2"/>
    <w:rsid w:val="009428D0"/>
    <w:rsid w:val="00943F2C"/>
    <w:rsid w:val="00944312"/>
    <w:rsid w:val="009472E1"/>
    <w:rsid w:val="00947B2F"/>
    <w:rsid w:val="00950430"/>
    <w:rsid w:val="0095264A"/>
    <w:rsid w:val="00953896"/>
    <w:rsid w:val="009551E4"/>
    <w:rsid w:val="009579A0"/>
    <w:rsid w:val="00957A33"/>
    <w:rsid w:val="00957C5D"/>
    <w:rsid w:val="00961709"/>
    <w:rsid w:val="00961FB0"/>
    <w:rsid w:val="009622B1"/>
    <w:rsid w:val="00963920"/>
    <w:rsid w:val="009647E8"/>
    <w:rsid w:val="009650F8"/>
    <w:rsid w:val="00965C56"/>
    <w:rsid w:val="00965FAC"/>
    <w:rsid w:val="00966808"/>
    <w:rsid w:val="00966D2F"/>
    <w:rsid w:val="0096738E"/>
    <w:rsid w:val="00971B90"/>
    <w:rsid w:val="00971E4D"/>
    <w:rsid w:val="00973377"/>
    <w:rsid w:val="0097398E"/>
    <w:rsid w:val="009741C9"/>
    <w:rsid w:val="00974431"/>
    <w:rsid w:val="00974758"/>
    <w:rsid w:val="00975524"/>
    <w:rsid w:val="00977B64"/>
    <w:rsid w:val="00982BAE"/>
    <w:rsid w:val="009838EE"/>
    <w:rsid w:val="00983955"/>
    <w:rsid w:val="009839A2"/>
    <w:rsid w:val="009861E8"/>
    <w:rsid w:val="009871FF"/>
    <w:rsid w:val="0099105A"/>
    <w:rsid w:val="009923A9"/>
    <w:rsid w:val="009940DB"/>
    <w:rsid w:val="00995383"/>
    <w:rsid w:val="00995AC1"/>
    <w:rsid w:val="00997264"/>
    <w:rsid w:val="009A0839"/>
    <w:rsid w:val="009A251D"/>
    <w:rsid w:val="009A41A6"/>
    <w:rsid w:val="009A4FBB"/>
    <w:rsid w:val="009A57AE"/>
    <w:rsid w:val="009A6281"/>
    <w:rsid w:val="009A6384"/>
    <w:rsid w:val="009B0161"/>
    <w:rsid w:val="009B03B9"/>
    <w:rsid w:val="009B0D97"/>
    <w:rsid w:val="009B25CF"/>
    <w:rsid w:val="009B3F67"/>
    <w:rsid w:val="009B6EFF"/>
    <w:rsid w:val="009B7A10"/>
    <w:rsid w:val="009C22B1"/>
    <w:rsid w:val="009C2E07"/>
    <w:rsid w:val="009C2E57"/>
    <w:rsid w:val="009C58E0"/>
    <w:rsid w:val="009C594E"/>
    <w:rsid w:val="009C6B4E"/>
    <w:rsid w:val="009D00BF"/>
    <w:rsid w:val="009D099B"/>
    <w:rsid w:val="009D1E67"/>
    <w:rsid w:val="009D2E6B"/>
    <w:rsid w:val="009D2E91"/>
    <w:rsid w:val="009D325A"/>
    <w:rsid w:val="009D39D5"/>
    <w:rsid w:val="009D4539"/>
    <w:rsid w:val="009D4AE4"/>
    <w:rsid w:val="009D5521"/>
    <w:rsid w:val="009D5CE8"/>
    <w:rsid w:val="009D681D"/>
    <w:rsid w:val="009D6AD8"/>
    <w:rsid w:val="009D6D9E"/>
    <w:rsid w:val="009E34D1"/>
    <w:rsid w:val="009E513C"/>
    <w:rsid w:val="009E5A1D"/>
    <w:rsid w:val="009E6D5F"/>
    <w:rsid w:val="009F0F00"/>
    <w:rsid w:val="009F17C7"/>
    <w:rsid w:val="009F1D23"/>
    <w:rsid w:val="009F1D34"/>
    <w:rsid w:val="009F2BF2"/>
    <w:rsid w:val="009F30CB"/>
    <w:rsid w:val="009F4236"/>
    <w:rsid w:val="009F662E"/>
    <w:rsid w:val="009F6D29"/>
    <w:rsid w:val="009F743F"/>
    <w:rsid w:val="009F77D9"/>
    <w:rsid w:val="009F7C1D"/>
    <w:rsid w:val="00A00FF1"/>
    <w:rsid w:val="00A03694"/>
    <w:rsid w:val="00A05491"/>
    <w:rsid w:val="00A06831"/>
    <w:rsid w:val="00A11673"/>
    <w:rsid w:val="00A11DA3"/>
    <w:rsid w:val="00A1466D"/>
    <w:rsid w:val="00A14C7A"/>
    <w:rsid w:val="00A14E12"/>
    <w:rsid w:val="00A151F7"/>
    <w:rsid w:val="00A16347"/>
    <w:rsid w:val="00A17E36"/>
    <w:rsid w:val="00A229B1"/>
    <w:rsid w:val="00A23E3D"/>
    <w:rsid w:val="00A24177"/>
    <w:rsid w:val="00A2557E"/>
    <w:rsid w:val="00A2562D"/>
    <w:rsid w:val="00A256E0"/>
    <w:rsid w:val="00A26A89"/>
    <w:rsid w:val="00A34571"/>
    <w:rsid w:val="00A34C44"/>
    <w:rsid w:val="00A34CD2"/>
    <w:rsid w:val="00A35DFA"/>
    <w:rsid w:val="00A36425"/>
    <w:rsid w:val="00A364C7"/>
    <w:rsid w:val="00A40501"/>
    <w:rsid w:val="00A40C9D"/>
    <w:rsid w:val="00A413F0"/>
    <w:rsid w:val="00A43455"/>
    <w:rsid w:val="00A44623"/>
    <w:rsid w:val="00A45B91"/>
    <w:rsid w:val="00A465DC"/>
    <w:rsid w:val="00A478A7"/>
    <w:rsid w:val="00A52753"/>
    <w:rsid w:val="00A52BFA"/>
    <w:rsid w:val="00A52D1A"/>
    <w:rsid w:val="00A53C78"/>
    <w:rsid w:val="00A54654"/>
    <w:rsid w:val="00A54F0C"/>
    <w:rsid w:val="00A55529"/>
    <w:rsid w:val="00A56BD0"/>
    <w:rsid w:val="00A57BFB"/>
    <w:rsid w:val="00A623A4"/>
    <w:rsid w:val="00A6303B"/>
    <w:rsid w:val="00A633C0"/>
    <w:rsid w:val="00A64CA2"/>
    <w:rsid w:val="00A64EA4"/>
    <w:rsid w:val="00A65A46"/>
    <w:rsid w:val="00A663DF"/>
    <w:rsid w:val="00A673D6"/>
    <w:rsid w:val="00A702E3"/>
    <w:rsid w:val="00A70FBB"/>
    <w:rsid w:val="00A73E21"/>
    <w:rsid w:val="00A74A75"/>
    <w:rsid w:val="00A74FFC"/>
    <w:rsid w:val="00A760E9"/>
    <w:rsid w:val="00A8141F"/>
    <w:rsid w:val="00A81ACE"/>
    <w:rsid w:val="00A824A5"/>
    <w:rsid w:val="00A825A8"/>
    <w:rsid w:val="00A82DFF"/>
    <w:rsid w:val="00A834DB"/>
    <w:rsid w:val="00A8351E"/>
    <w:rsid w:val="00A842E1"/>
    <w:rsid w:val="00A86129"/>
    <w:rsid w:val="00A867C7"/>
    <w:rsid w:val="00A92429"/>
    <w:rsid w:val="00A92442"/>
    <w:rsid w:val="00A92B61"/>
    <w:rsid w:val="00A92D13"/>
    <w:rsid w:val="00A9373D"/>
    <w:rsid w:val="00A94C93"/>
    <w:rsid w:val="00A94CBA"/>
    <w:rsid w:val="00A95F03"/>
    <w:rsid w:val="00AA14B0"/>
    <w:rsid w:val="00AA1792"/>
    <w:rsid w:val="00AA199C"/>
    <w:rsid w:val="00AA2FC4"/>
    <w:rsid w:val="00AA3C10"/>
    <w:rsid w:val="00AA47A0"/>
    <w:rsid w:val="00AA51DF"/>
    <w:rsid w:val="00AA56D5"/>
    <w:rsid w:val="00AA5DDB"/>
    <w:rsid w:val="00AA7D3E"/>
    <w:rsid w:val="00AB05A3"/>
    <w:rsid w:val="00AB07AB"/>
    <w:rsid w:val="00AB0FD2"/>
    <w:rsid w:val="00AB11C3"/>
    <w:rsid w:val="00AB39E4"/>
    <w:rsid w:val="00AB3B37"/>
    <w:rsid w:val="00AB3DFD"/>
    <w:rsid w:val="00AB4849"/>
    <w:rsid w:val="00AB4906"/>
    <w:rsid w:val="00AB4A0A"/>
    <w:rsid w:val="00AB5A86"/>
    <w:rsid w:val="00AB6800"/>
    <w:rsid w:val="00AC0650"/>
    <w:rsid w:val="00AC11FE"/>
    <w:rsid w:val="00AC1FFE"/>
    <w:rsid w:val="00AC3053"/>
    <w:rsid w:val="00AC3D5B"/>
    <w:rsid w:val="00AC445B"/>
    <w:rsid w:val="00AC4C4B"/>
    <w:rsid w:val="00AC78CC"/>
    <w:rsid w:val="00AD13F2"/>
    <w:rsid w:val="00AD23F2"/>
    <w:rsid w:val="00AD2869"/>
    <w:rsid w:val="00AD3300"/>
    <w:rsid w:val="00AD3804"/>
    <w:rsid w:val="00AD4BA7"/>
    <w:rsid w:val="00AD5058"/>
    <w:rsid w:val="00AD5157"/>
    <w:rsid w:val="00AD54D4"/>
    <w:rsid w:val="00AD6A02"/>
    <w:rsid w:val="00AD6E16"/>
    <w:rsid w:val="00AE137F"/>
    <w:rsid w:val="00AE13ED"/>
    <w:rsid w:val="00AE14CC"/>
    <w:rsid w:val="00AE351C"/>
    <w:rsid w:val="00AE458C"/>
    <w:rsid w:val="00AE48EF"/>
    <w:rsid w:val="00AE545D"/>
    <w:rsid w:val="00AE650C"/>
    <w:rsid w:val="00AE7391"/>
    <w:rsid w:val="00AF0CA3"/>
    <w:rsid w:val="00AF222F"/>
    <w:rsid w:val="00AF5FE3"/>
    <w:rsid w:val="00AF6393"/>
    <w:rsid w:val="00AF6E08"/>
    <w:rsid w:val="00AF7D91"/>
    <w:rsid w:val="00B00B21"/>
    <w:rsid w:val="00B01783"/>
    <w:rsid w:val="00B02F93"/>
    <w:rsid w:val="00B0358B"/>
    <w:rsid w:val="00B03858"/>
    <w:rsid w:val="00B03BEA"/>
    <w:rsid w:val="00B04F2C"/>
    <w:rsid w:val="00B055D3"/>
    <w:rsid w:val="00B05937"/>
    <w:rsid w:val="00B06800"/>
    <w:rsid w:val="00B07A5E"/>
    <w:rsid w:val="00B1367D"/>
    <w:rsid w:val="00B139FB"/>
    <w:rsid w:val="00B140EA"/>
    <w:rsid w:val="00B1497D"/>
    <w:rsid w:val="00B15597"/>
    <w:rsid w:val="00B15631"/>
    <w:rsid w:val="00B1625B"/>
    <w:rsid w:val="00B170EE"/>
    <w:rsid w:val="00B2435B"/>
    <w:rsid w:val="00B246CE"/>
    <w:rsid w:val="00B24C85"/>
    <w:rsid w:val="00B27336"/>
    <w:rsid w:val="00B275F4"/>
    <w:rsid w:val="00B277AA"/>
    <w:rsid w:val="00B328A0"/>
    <w:rsid w:val="00B32997"/>
    <w:rsid w:val="00B33A87"/>
    <w:rsid w:val="00B34B9E"/>
    <w:rsid w:val="00B35C38"/>
    <w:rsid w:val="00B35FCF"/>
    <w:rsid w:val="00B36199"/>
    <w:rsid w:val="00B36E49"/>
    <w:rsid w:val="00B423F1"/>
    <w:rsid w:val="00B425A1"/>
    <w:rsid w:val="00B4321A"/>
    <w:rsid w:val="00B44D73"/>
    <w:rsid w:val="00B46E54"/>
    <w:rsid w:val="00B51FAD"/>
    <w:rsid w:val="00B5227D"/>
    <w:rsid w:val="00B52902"/>
    <w:rsid w:val="00B52C1C"/>
    <w:rsid w:val="00B52E19"/>
    <w:rsid w:val="00B53331"/>
    <w:rsid w:val="00B54C62"/>
    <w:rsid w:val="00B5761D"/>
    <w:rsid w:val="00B57C34"/>
    <w:rsid w:val="00B62191"/>
    <w:rsid w:val="00B629AF"/>
    <w:rsid w:val="00B63552"/>
    <w:rsid w:val="00B6356B"/>
    <w:rsid w:val="00B6401A"/>
    <w:rsid w:val="00B64659"/>
    <w:rsid w:val="00B64A85"/>
    <w:rsid w:val="00B65D1C"/>
    <w:rsid w:val="00B66CAC"/>
    <w:rsid w:val="00B67739"/>
    <w:rsid w:val="00B71D37"/>
    <w:rsid w:val="00B71EC8"/>
    <w:rsid w:val="00B72F4A"/>
    <w:rsid w:val="00B74D12"/>
    <w:rsid w:val="00B75277"/>
    <w:rsid w:val="00B75F28"/>
    <w:rsid w:val="00B75F7A"/>
    <w:rsid w:val="00B760E1"/>
    <w:rsid w:val="00B761F0"/>
    <w:rsid w:val="00B76D21"/>
    <w:rsid w:val="00B776D9"/>
    <w:rsid w:val="00B77A86"/>
    <w:rsid w:val="00B77C59"/>
    <w:rsid w:val="00B77DD2"/>
    <w:rsid w:val="00B817DF"/>
    <w:rsid w:val="00B81979"/>
    <w:rsid w:val="00B81C28"/>
    <w:rsid w:val="00B8217A"/>
    <w:rsid w:val="00B82303"/>
    <w:rsid w:val="00B86D01"/>
    <w:rsid w:val="00B910F9"/>
    <w:rsid w:val="00B91814"/>
    <w:rsid w:val="00B92499"/>
    <w:rsid w:val="00B9309E"/>
    <w:rsid w:val="00B94296"/>
    <w:rsid w:val="00B95C0F"/>
    <w:rsid w:val="00B97323"/>
    <w:rsid w:val="00B97BDF"/>
    <w:rsid w:val="00B97C4F"/>
    <w:rsid w:val="00B97CBD"/>
    <w:rsid w:val="00B97EC6"/>
    <w:rsid w:val="00BA2C47"/>
    <w:rsid w:val="00BA331A"/>
    <w:rsid w:val="00BA380C"/>
    <w:rsid w:val="00BA3949"/>
    <w:rsid w:val="00BA44E6"/>
    <w:rsid w:val="00BA5175"/>
    <w:rsid w:val="00BA5875"/>
    <w:rsid w:val="00BA6BF6"/>
    <w:rsid w:val="00BA7552"/>
    <w:rsid w:val="00BA7A4C"/>
    <w:rsid w:val="00BB04DC"/>
    <w:rsid w:val="00BB0674"/>
    <w:rsid w:val="00BB1693"/>
    <w:rsid w:val="00BB1A16"/>
    <w:rsid w:val="00BB302A"/>
    <w:rsid w:val="00BB44B3"/>
    <w:rsid w:val="00BB47BF"/>
    <w:rsid w:val="00BB6922"/>
    <w:rsid w:val="00BB79E4"/>
    <w:rsid w:val="00BC0559"/>
    <w:rsid w:val="00BC0F2C"/>
    <w:rsid w:val="00BC452F"/>
    <w:rsid w:val="00BC4B0A"/>
    <w:rsid w:val="00BC782A"/>
    <w:rsid w:val="00BC7C40"/>
    <w:rsid w:val="00BD1BFF"/>
    <w:rsid w:val="00BD2E2A"/>
    <w:rsid w:val="00BD3DBE"/>
    <w:rsid w:val="00BD3EF6"/>
    <w:rsid w:val="00BD4BA7"/>
    <w:rsid w:val="00BD4DE5"/>
    <w:rsid w:val="00BD5076"/>
    <w:rsid w:val="00BD68C3"/>
    <w:rsid w:val="00BD7068"/>
    <w:rsid w:val="00BD7120"/>
    <w:rsid w:val="00BE138C"/>
    <w:rsid w:val="00BE32BE"/>
    <w:rsid w:val="00BE3691"/>
    <w:rsid w:val="00BE4F94"/>
    <w:rsid w:val="00BE5AFA"/>
    <w:rsid w:val="00BE6EFF"/>
    <w:rsid w:val="00BF06DA"/>
    <w:rsid w:val="00BF2E63"/>
    <w:rsid w:val="00BF469F"/>
    <w:rsid w:val="00BF6EAB"/>
    <w:rsid w:val="00BF7AB4"/>
    <w:rsid w:val="00BF7E73"/>
    <w:rsid w:val="00C007AC"/>
    <w:rsid w:val="00C017A4"/>
    <w:rsid w:val="00C01F1D"/>
    <w:rsid w:val="00C03CB7"/>
    <w:rsid w:val="00C04695"/>
    <w:rsid w:val="00C135E3"/>
    <w:rsid w:val="00C139F8"/>
    <w:rsid w:val="00C14D83"/>
    <w:rsid w:val="00C15F1B"/>
    <w:rsid w:val="00C1665C"/>
    <w:rsid w:val="00C2253F"/>
    <w:rsid w:val="00C22AAF"/>
    <w:rsid w:val="00C23147"/>
    <w:rsid w:val="00C24C88"/>
    <w:rsid w:val="00C25944"/>
    <w:rsid w:val="00C278FA"/>
    <w:rsid w:val="00C30707"/>
    <w:rsid w:val="00C3159C"/>
    <w:rsid w:val="00C31FE8"/>
    <w:rsid w:val="00C33C40"/>
    <w:rsid w:val="00C405D3"/>
    <w:rsid w:val="00C42787"/>
    <w:rsid w:val="00C45382"/>
    <w:rsid w:val="00C458AF"/>
    <w:rsid w:val="00C459BE"/>
    <w:rsid w:val="00C46763"/>
    <w:rsid w:val="00C46D3D"/>
    <w:rsid w:val="00C4737F"/>
    <w:rsid w:val="00C4795E"/>
    <w:rsid w:val="00C50A89"/>
    <w:rsid w:val="00C50FFE"/>
    <w:rsid w:val="00C53A6F"/>
    <w:rsid w:val="00C54903"/>
    <w:rsid w:val="00C574BC"/>
    <w:rsid w:val="00C5766D"/>
    <w:rsid w:val="00C577DC"/>
    <w:rsid w:val="00C6008A"/>
    <w:rsid w:val="00C605F8"/>
    <w:rsid w:val="00C66D2D"/>
    <w:rsid w:val="00C709CF"/>
    <w:rsid w:val="00C713AA"/>
    <w:rsid w:val="00C71552"/>
    <w:rsid w:val="00C721AD"/>
    <w:rsid w:val="00C75A6F"/>
    <w:rsid w:val="00C76461"/>
    <w:rsid w:val="00C778D0"/>
    <w:rsid w:val="00C77DAB"/>
    <w:rsid w:val="00C77E16"/>
    <w:rsid w:val="00C80489"/>
    <w:rsid w:val="00C8289B"/>
    <w:rsid w:val="00C85A7A"/>
    <w:rsid w:val="00C876A4"/>
    <w:rsid w:val="00C92B4A"/>
    <w:rsid w:val="00C95654"/>
    <w:rsid w:val="00C960B7"/>
    <w:rsid w:val="00C96F36"/>
    <w:rsid w:val="00C977CF"/>
    <w:rsid w:val="00C977D6"/>
    <w:rsid w:val="00CA073B"/>
    <w:rsid w:val="00CA0BB7"/>
    <w:rsid w:val="00CA2CB7"/>
    <w:rsid w:val="00CA3C02"/>
    <w:rsid w:val="00CA42F1"/>
    <w:rsid w:val="00CA7253"/>
    <w:rsid w:val="00CB0058"/>
    <w:rsid w:val="00CB102A"/>
    <w:rsid w:val="00CB2D6B"/>
    <w:rsid w:val="00CB4BF3"/>
    <w:rsid w:val="00CB6475"/>
    <w:rsid w:val="00CB6551"/>
    <w:rsid w:val="00CB7151"/>
    <w:rsid w:val="00CC0228"/>
    <w:rsid w:val="00CC264F"/>
    <w:rsid w:val="00CC28F1"/>
    <w:rsid w:val="00CC2D29"/>
    <w:rsid w:val="00CC2F1F"/>
    <w:rsid w:val="00CC40C4"/>
    <w:rsid w:val="00CC5FAA"/>
    <w:rsid w:val="00CC68C4"/>
    <w:rsid w:val="00CC6973"/>
    <w:rsid w:val="00CC6FFC"/>
    <w:rsid w:val="00CC7140"/>
    <w:rsid w:val="00CD00CC"/>
    <w:rsid w:val="00CD18ED"/>
    <w:rsid w:val="00CD3182"/>
    <w:rsid w:val="00CD34BD"/>
    <w:rsid w:val="00CD408D"/>
    <w:rsid w:val="00CD5F9F"/>
    <w:rsid w:val="00CD61DA"/>
    <w:rsid w:val="00CD76F8"/>
    <w:rsid w:val="00CD7A6B"/>
    <w:rsid w:val="00CE1832"/>
    <w:rsid w:val="00CE1C67"/>
    <w:rsid w:val="00CE2063"/>
    <w:rsid w:val="00CE211F"/>
    <w:rsid w:val="00CE279C"/>
    <w:rsid w:val="00CE2D7F"/>
    <w:rsid w:val="00CE32A3"/>
    <w:rsid w:val="00CE6CE1"/>
    <w:rsid w:val="00CE6F11"/>
    <w:rsid w:val="00CE7829"/>
    <w:rsid w:val="00CE78C7"/>
    <w:rsid w:val="00CE7AEE"/>
    <w:rsid w:val="00CF06F8"/>
    <w:rsid w:val="00CF1CC8"/>
    <w:rsid w:val="00CF2355"/>
    <w:rsid w:val="00CF2FEB"/>
    <w:rsid w:val="00CF58BC"/>
    <w:rsid w:val="00D007B5"/>
    <w:rsid w:val="00D010B4"/>
    <w:rsid w:val="00D01848"/>
    <w:rsid w:val="00D01953"/>
    <w:rsid w:val="00D03658"/>
    <w:rsid w:val="00D0389B"/>
    <w:rsid w:val="00D103F5"/>
    <w:rsid w:val="00D108FD"/>
    <w:rsid w:val="00D10C48"/>
    <w:rsid w:val="00D110A0"/>
    <w:rsid w:val="00D13DA4"/>
    <w:rsid w:val="00D143B7"/>
    <w:rsid w:val="00D15655"/>
    <w:rsid w:val="00D1746B"/>
    <w:rsid w:val="00D174E0"/>
    <w:rsid w:val="00D215EF"/>
    <w:rsid w:val="00D22250"/>
    <w:rsid w:val="00D22664"/>
    <w:rsid w:val="00D22993"/>
    <w:rsid w:val="00D255E2"/>
    <w:rsid w:val="00D27D9F"/>
    <w:rsid w:val="00D27FF3"/>
    <w:rsid w:val="00D30FC8"/>
    <w:rsid w:val="00D3112A"/>
    <w:rsid w:val="00D32AFF"/>
    <w:rsid w:val="00D34D03"/>
    <w:rsid w:val="00D353E6"/>
    <w:rsid w:val="00D35B3D"/>
    <w:rsid w:val="00D35F3B"/>
    <w:rsid w:val="00D36475"/>
    <w:rsid w:val="00D40015"/>
    <w:rsid w:val="00D40E95"/>
    <w:rsid w:val="00D425E6"/>
    <w:rsid w:val="00D428A4"/>
    <w:rsid w:val="00D42B0F"/>
    <w:rsid w:val="00D43CE2"/>
    <w:rsid w:val="00D43DB2"/>
    <w:rsid w:val="00D44AC0"/>
    <w:rsid w:val="00D45C8E"/>
    <w:rsid w:val="00D4634F"/>
    <w:rsid w:val="00D50604"/>
    <w:rsid w:val="00D50BD3"/>
    <w:rsid w:val="00D517CE"/>
    <w:rsid w:val="00D52D0D"/>
    <w:rsid w:val="00D5327C"/>
    <w:rsid w:val="00D54EA2"/>
    <w:rsid w:val="00D56AAC"/>
    <w:rsid w:val="00D5729F"/>
    <w:rsid w:val="00D5742E"/>
    <w:rsid w:val="00D57AEF"/>
    <w:rsid w:val="00D606C3"/>
    <w:rsid w:val="00D60D4B"/>
    <w:rsid w:val="00D6218C"/>
    <w:rsid w:val="00D624DF"/>
    <w:rsid w:val="00D6289D"/>
    <w:rsid w:val="00D62BED"/>
    <w:rsid w:val="00D633CD"/>
    <w:rsid w:val="00D6487E"/>
    <w:rsid w:val="00D653CF"/>
    <w:rsid w:val="00D65DE5"/>
    <w:rsid w:val="00D67D5C"/>
    <w:rsid w:val="00D713D7"/>
    <w:rsid w:val="00D722D2"/>
    <w:rsid w:val="00D741D8"/>
    <w:rsid w:val="00D74D30"/>
    <w:rsid w:val="00D74DEB"/>
    <w:rsid w:val="00D74E4F"/>
    <w:rsid w:val="00D76A2F"/>
    <w:rsid w:val="00D80827"/>
    <w:rsid w:val="00D80A13"/>
    <w:rsid w:val="00D81FF1"/>
    <w:rsid w:val="00D86151"/>
    <w:rsid w:val="00D90C15"/>
    <w:rsid w:val="00D91428"/>
    <w:rsid w:val="00D9437B"/>
    <w:rsid w:val="00D946DE"/>
    <w:rsid w:val="00D9471A"/>
    <w:rsid w:val="00D965F1"/>
    <w:rsid w:val="00DA03F1"/>
    <w:rsid w:val="00DA045C"/>
    <w:rsid w:val="00DA2357"/>
    <w:rsid w:val="00DA3D9B"/>
    <w:rsid w:val="00DA443F"/>
    <w:rsid w:val="00DA6D41"/>
    <w:rsid w:val="00DA7FDF"/>
    <w:rsid w:val="00DB023A"/>
    <w:rsid w:val="00DB095B"/>
    <w:rsid w:val="00DB0DEE"/>
    <w:rsid w:val="00DB2136"/>
    <w:rsid w:val="00DB3277"/>
    <w:rsid w:val="00DB485A"/>
    <w:rsid w:val="00DB4A5B"/>
    <w:rsid w:val="00DB61A4"/>
    <w:rsid w:val="00DB6BD9"/>
    <w:rsid w:val="00DB6E67"/>
    <w:rsid w:val="00DB7D5C"/>
    <w:rsid w:val="00DC0E62"/>
    <w:rsid w:val="00DC171F"/>
    <w:rsid w:val="00DC183F"/>
    <w:rsid w:val="00DC1CE9"/>
    <w:rsid w:val="00DC1E83"/>
    <w:rsid w:val="00DC256A"/>
    <w:rsid w:val="00DC75EA"/>
    <w:rsid w:val="00DD05A1"/>
    <w:rsid w:val="00DD07A5"/>
    <w:rsid w:val="00DD1AD3"/>
    <w:rsid w:val="00DD1BB0"/>
    <w:rsid w:val="00DD21C4"/>
    <w:rsid w:val="00DD25BD"/>
    <w:rsid w:val="00DD5D1F"/>
    <w:rsid w:val="00DD7109"/>
    <w:rsid w:val="00DD7291"/>
    <w:rsid w:val="00DD776E"/>
    <w:rsid w:val="00DE1343"/>
    <w:rsid w:val="00DE36E0"/>
    <w:rsid w:val="00DF001C"/>
    <w:rsid w:val="00DF07B3"/>
    <w:rsid w:val="00DF0948"/>
    <w:rsid w:val="00DF2068"/>
    <w:rsid w:val="00DF2ACC"/>
    <w:rsid w:val="00DF2BC5"/>
    <w:rsid w:val="00DF2ECE"/>
    <w:rsid w:val="00DF31C4"/>
    <w:rsid w:val="00DF31FA"/>
    <w:rsid w:val="00DF441B"/>
    <w:rsid w:val="00DF6A3E"/>
    <w:rsid w:val="00DF717D"/>
    <w:rsid w:val="00DF7984"/>
    <w:rsid w:val="00E02924"/>
    <w:rsid w:val="00E042FF"/>
    <w:rsid w:val="00E05184"/>
    <w:rsid w:val="00E05B20"/>
    <w:rsid w:val="00E103D8"/>
    <w:rsid w:val="00E1238F"/>
    <w:rsid w:val="00E13000"/>
    <w:rsid w:val="00E135BB"/>
    <w:rsid w:val="00E14F5E"/>
    <w:rsid w:val="00E17665"/>
    <w:rsid w:val="00E221B6"/>
    <w:rsid w:val="00E224CF"/>
    <w:rsid w:val="00E22D32"/>
    <w:rsid w:val="00E2565E"/>
    <w:rsid w:val="00E27719"/>
    <w:rsid w:val="00E27F2D"/>
    <w:rsid w:val="00E3279B"/>
    <w:rsid w:val="00E33D97"/>
    <w:rsid w:val="00E34A3C"/>
    <w:rsid w:val="00E34BD6"/>
    <w:rsid w:val="00E35103"/>
    <w:rsid w:val="00E37090"/>
    <w:rsid w:val="00E40059"/>
    <w:rsid w:val="00E426B8"/>
    <w:rsid w:val="00E43A90"/>
    <w:rsid w:val="00E45BA5"/>
    <w:rsid w:val="00E478D3"/>
    <w:rsid w:val="00E47D00"/>
    <w:rsid w:val="00E501A9"/>
    <w:rsid w:val="00E50874"/>
    <w:rsid w:val="00E53601"/>
    <w:rsid w:val="00E5392A"/>
    <w:rsid w:val="00E53BE9"/>
    <w:rsid w:val="00E54177"/>
    <w:rsid w:val="00E569DB"/>
    <w:rsid w:val="00E56BC3"/>
    <w:rsid w:val="00E57D7E"/>
    <w:rsid w:val="00E60BCF"/>
    <w:rsid w:val="00E60D55"/>
    <w:rsid w:val="00E62728"/>
    <w:rsid w:val="00E6288D"/>
    <w:rsid w:val="00E62E11"/>
    <w:rsid w:val="00E631D3"/>
    <w:rsid w:val="00E65370"/>
    <w:rsid w:val="00E65537"/>
    <w:rsid w:val="00E66708"/>
    <w:rsid w:val="00E67ADB"/>
    <w:rsid w:val="00E72AA3"/>
    <w:rsid w:val="00E72E80"/>
    <w:rsid w:val="00E72FDB"/>
    <w:rsid w:val="00E7422F"/>
    <w:rsid w:val="00E76164"/>
    <w:rsid w:val="00E76BE9"/>
    <w:rsid w:val="00E80D12"/>
    <w:rsid w:val="00E8537E"/>
    <w:rsid w:val="00E86228"/>
    <w:rsid w:val="00E86E07"/>
    <w:rsid w:val="00E870BC"/>
    <w:rsid w:val="00E90408"/>
    <w:rsid w:val="00E90920"/>
    <w:rsid w:val="00E90BFA"/>
    <w:rsid w:val="00E931A1"/>
    <w:rsid w:val="00E94122"/>
    <w:rsid w:val="00E94222"/>
    <w:rsid w:val="00E95D06"/>
    <w:rsid w:val="00E9736A"/>
    <w:rsid w:val="00E97478"/>
    <w:rsid w:val="00E97AA3"/>
    <w:rsid w:val="00EA1C71"/>
    <w:rsid w:val="00EA238F"/>
    <w:rsid w:val="00EA23B6"/>
    <w:rsid w:val="00EA3F7F"/>
    <w:rsid w:val="00EA4C3D"/>
    <w:rsid w:val="00EA4E38"/>
    <w:rsid w:val="00EA4F89"/>
    <w:rsid w:val="00EA526E"/>
    <w:rsid w:val="00EA7752"/>
    <w:rsid w:val="00EB09C5"/>
    <w:rsid w:val="00EB0F99"/>
    <w:rsid w:val="00EB1E89"/>
    <w:rsid w:val="00EB3811"/>
    <w:rsid w:val="00EB3985"/>
    <w:rsid w:val="00EB436D"/>
    <w:rsid w:val="00EB4688"/>
    <w:rsid w:val="00EB5888"/>
    <w:rsid w:val="00EB5A95"/>
    <w:rsid w:val="00EB693F"/>
    <w:rsid w:val="00EB6D18"/>
    <w:rsid w:val="00EB6E76"/>
    <w:rsid w:val="00EC0B44"/>
    <w:rsid w:val="00EC383A"/>
    <w:rsid w:val="00EC3C97"/>
    <w:rsid w:val="00EC3CEC"/>
    <w:rsid w:val="00EC4703"/>
    <w:rsid w:val="00EC55DB"/>
    <w:rsid w:val="00EC7082"/>
    <w:rsid w:val="00ED1646"/>
    <w:rsid w:val="00ED21BD"/>
    <w:rsid w:val="00ED2249"/>
    <w:rsid w:val="00ED24B9"/>
    <w:rsid w:val="00ED29BB"/>
    <w:rsid w:val="00ED2D2D"/>
    <w:rsid w:val="00ED2D37"/>
    <w:rsid w:val="00ED2EF1"/>
    <w:rsid w:val="00ED5BB6"/>
    <w:rsid w:val="00EE4106"/>
    <w:rsid w:val="00EE57CD"/>
    <w:rsid w:val="00EE59EF"/>
    <w:rsid w:val="00EE7128"/>
    <w:rsid w:val="00EF0A35"/>
    <w:rsid w:val="00EF2866"/>
    <w:rsid w:val="00EF4697"/>
    <w:rsid w:val="00EF5C20"/>
    <w:rsid w:val="00EF5C5C"/>
    <w:rsid w:val="00EF6F13"/>
    <w:rsid w:val="00EF7034"/>
    <w:rsid w:val="00EF77A1"/>
    <w:rsid w:val="00EF7FA3"/>
    <w:rsid w:val="00F0066B"/>
    <w:rsid w:val="00F00DB1"/>
    <w:rsid w:val="00F02CE0"/>
    <w:rsid w:val="00F032AD"/>
    <w:rsid w:val="00F0663C"/>
    <w:rsid w:val="00F06E64"/>
    <w:rsid w:val="00F072DB"/>
    <w:rsid w:val="00F07D10"/>
    <w:rsid w:val="00F10431"/>
    <w:rsid w:val="00F10FD1"/>
    <w:rsid w:val="00F12033"/>
    <w:rsid w:val="00F12BD5"/>
    <w:rsid w:val="00F15CCC"/>
    <w:rsid w:val="00F15F4A"/>
    <w:rsid w:val="00F163F3"/>
    <w:rsid w:val="00F17497"/>
    <w:rsid w:val="00F21428"/>
    <w:rsid w:val="00F24CA9"/>
    <w:rsid w:val="00F256EC"/>
    <w:rsid w:val="00F2687F"/>
    <w:rsid w:val="00F26B51"/>
    <w:rsid w:val="00F26C2A"/>
    <w:rsid w:val="00F27963"/>
    <w:rsid w:val="00F307AF"/>
    <w:rsid w:val="00F31C8E"/>
    <w:rsid w:val="00F3309D"/>
    <w:rsid w:val="00F337E9"/>
    <w:rsid w:val="00F34F28"/>
    <w:rsid w:val="00F4394D"/>
    <w:rsid w:val="00F43E37"/>
    <w:rsid w:val="00F4493A"/>
    <w:rsid w:val="00F47712"/>
    <w:rsid w:val="00F51CAA"/>
    <w:rsid w:val="00F5282B"/>
    <w:rsid w:val="00F532F4"/>
    <w:rsid w:val="00F53F35"/>
    <w:rsid w:val="00F56A5F"/>
    <w:rsid w:val="00F62677"/>
    <w:rsid w:val="00F62EBE"/>
    <w:rsid w:val="00F63C34"/>
    <w:rsid w:val="00F65CD1"/>
    <w:rsid w:val="00F70AFD"/>
    <w:rsid w:val="00F72538"/>
    <w:rsid w:val="00F7263C"/>
    <w:rsid w:val="00F76300"/>
    <w:rsid w:val="00F76DC4"/>
    <w:rsid w:val="00F77A4E"/>
    <w:rsid w:val="00F8025B"/>
    <w:rsid w:val="00F8064A"/>
    <w:rsid w:val="00F81298"/>
    <w:rsid w:val="00F81740"/>
    <w:rsid w:val="00F83E1C"/>
    <w:rsid w:val="00F84C35"/>
    <w:rsid w:val="00F84CB5"/>
    <w:rsid w:val="00F9090A"/>
    <w:rsid w:val="00F94A11"/>
    <w:rsid w:val="00F94A75"/>
    <w:rsid w:val="00F96876"/>
    <w:rsid w:val="00F97815"/>
    <w:rsid w:val="00FA14D8"/>
    <w:rsid w:val="00FA288D"/>
    <w:rsid w:val="00FA345A"/>
    <w:rsid w:val="00FA4874"/>
    <w:rsid w:val="00FA6DAB"/>
    <w:rsid w:val="00FA795C"/>
    <w:rsid w:val="00FA7B50"/>
    <w:rsid w:val="00FA7C4A"/>
    <w:rsid w:val="00FB0D48"/>
    <w:rsid w:val="00FB14B7"/>
    <w:rsid w:val="00FB24B7"/>
    <w:rsid w:val="00FB262E"/>
    <w:rsid w:val="00FB2FE6"/>
    <w:rsid w:val="00FB45E7"/>
    <w:rsid w:val="00FB4C8A"/>
    <w:rsid w:val="00FB5664"/>
    <w:rsid w:val="00FB6100"/>
    <w:rsid w:val="00FC1EB2"/>
    <w:rsid w:val="00FC2079"/>
    <w:rsid w:val="00FC30E8"/>
    <w:rsid w:val="00FC4C32"/>
    <w:rsid w:val="00FC5C9E"/>
    <w:rsid w:val="00FC5CD4"/>
    <w:rsid w:val="00FD0461"/>
    <w:rsid w:val="00FD0897"/>
    <w:rsid w:val="00FD15A3"/>
    <w:rsid w:val="00FD5484"/>
    <w:rsid w:val="00FD5A52"/>
    <w:rsid w:val="00FD5BB2"/>
    <w:rsid w:val="00FD7585"/>
    <w:rsid w:val="00FD7DB5"/>
    <w:rsid w:val="00FE1AF0"/>
    <w:rsid w:val="00FE494B"/>
    <w:rsid w:val="00FE62CC"/>
    <w:rsid w:val="00FE6AB1"/>
    <w:rsid w:val="00FE77D1"/>
    <w:rsid w:val="00FF121A"/>
    <w:rsid w:val="00FF1B98"/>
    <w:rsid w:val="00FF3A8A"/>
    <w:rsid w:val="00FF5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73B8A8"/>
  <w15:docId w15:val="{9BBD1E09-F270-4820-8755-25344D69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A3"/>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next w:val="Normal"/>
    <w:link w:val="Heading1Char"/>
    <w:qFormat/>
    <w:rsid w:val="00DB3277"/>
    <w:pPr>
      <w:suppressAutoHyphens/>
      <w:ind w:left="1134"/>
      <w:outlineLvl w:val="0"/>
    </w:pPr>
    <w:rPr>
      <w:sz w:val="20"/>
      <w:szCs w:val="20"/>
      <w:lang w:val="en-GB" w:eastAsia="en-US"/>
    </w:rPr>
  </w:style>
  <w:style w:type="paragraph" w:styleId="Heading2">
    <w:name w:val="heading 2"/>
    <w:basedOn w:val="Clauseheading"/>
    <w:next w:val="Normal"/>
    <w:link w:val="Heading2Char"/>
    <w:unhideWhenUsed/>
    <w:qFormat/>
    <w:rsid w:val="00DF2ECE"/>
    <w:pPr>
      <w:outlineLvl w:val="1"/>
    </w:pPr>
  </w:style>
  <w:style w:type="paragraph" w:styleId="Heading3">
    <w:name w:val="heading 3"/>
    <w:basedOn w:val="Normal"/>
    <w:next w:val="Normal"/>
    <w:link w:val="Heading3Char"/>
    <w:unhideWhenUsed/>
    <w:qFormat/>
    <w:rsid w:val="00DF2EC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A06831"/>
    <w:pPr>
      <w:tabs>
        <w:tab w:val="num" w:pos="1728"/>
      </w:tabs>
      <w:suppressAutoHyphens/>
      <w:ind w:left="1728" w:hanging="648"/>
      <w:outlineLvl w:val="3"/>
    </w:pPr>
    <w:rPr>
      <w:sz w:val="20"/>
      <w:szCs w:val="20"/>
      <w:lang w:val="en-GB" w:eastAsia="en-US"/>
    </w:rPr>
  </w:style>
  <w:style w:type="paragraph" w:styleId="Heading5">
    <w:name w:val="heading 5"/>
    <w:basedOn w:val="Normal"/>
    <w:next w:val="Normal"/>
    <w:link w:val="Heading5Char"/>
    <w:qFormat/>
    <w:rsid w:val="00A06831"/>
    <w:pPr>
      <w:tabs>
        <w:tab w:val="num" w:pos="2232"/>
      </w:tabs>
      <w:suppressAutoHyphens/>
      <w:ind w:left="2232" w:hanging="792"/>
      <w:outlineLvl w:val="4"/>
    </w:pPr>
    <w:rPr>
      <w:sz w:val="20"/>
      <w:szCs w:val="20"/>
      <w:lang w:val="en-GB" w:eastAsia="en-US"/>
    </w:rPr>
  </w:style>
  <w:style w:type="paragraph" w:styleId="Heading6">
    <w:name w:val="heading 6"/>
    <w:basedOn w:val="Normal"/>
    <w:next w:val="Normal"/>
    <w:link w:val="Heading6Char"/>
    <w:qFormat/>
    <w:rsid w:val="00A06831"/>
    <w:pPr>
      <w:tabs>
        <w:tab w:val="num" w:pos="2736"/>
      </w:tabs>
      <w:suppressAutoHyphens/>
      <w:ind w:left="2736" w:hanging="936"/>
      <w:outlineLvl w:val="5"/>
    </w:pPr>
    <w:rPr>
      <w:sz w:val="20"/>
      <w:szCs w:val="20"/>
      <w:lang w:val="en-GB" w:eastAsia="en-US"/>
    </w:rPr>
  </w:style>
  <w:style w:type="paragraph" w:styleId="Heading7">
    <w:name w:val="heading 7"/>
    <w:basedOn w:val="Normal"/>
    <w:next w:val="Normal"/>
    <w:link w:val="Heading7Char"/>
    <w:qFormat/>
    <w:rsid w:val="00A06831"/>
    <w:pPr>
      <w:tabs>
        <w:tab w:val="num" w:pos="3240"/>
      </w:tabs>
      <w:suppressAutoHyphens/>
      <w:ind w:left="3240" w:hanging="1080"/>
      <w:outlineLvl w:val="6"/>
    </w:pPr>
    <w:rPr>
      <w:sz w:val="20"/>
      <w:szCs w:val="20"/>
      <w:lang w:val="en-GB" w:eastAsia="en-US"/>
    </w:rPr>
  </w:style>
  <w:style w:type="paragraph" w:styleId="Heading8">
    <w:name w:val="heading 8"/>
    <w:basedOn w:val="Normal"/>
    <w:next w:val="Normal"/>
    <w:link w:val="Heading8Char"/>
    <w:qFormat/>
    <w:rsid w:val="00A06831"/>
    <w:pPr>
      <w:tabs>
        <w:tab w:val="num" w:pos="3744"/>
      </w:tabs>
      <w:suppressAutoHyphens/>
      <w:ind w:left="3744" w:hanging="1224"/>
      <w:outlineLvl w:val="7"/>
    </w:pPr>
    <w:rPr>
      <w:sz w:val="20"/>
      <w:szCs w:val="20"/>
      <w:lang w:val="en-GB" w:eastAsia="en-US"/>
    </w:rPr>
  </w:style>
  <w:style w:type="paragraph" w:styleId="Heading9">
    <w:name w:val="heading 9"/>
    <w:basedOn w:val="Normal"/>
    <w:next w:val="Normal"/>
    <w:link w:val="Heading9Char"/>
    <w:qFormat/>
    <w:rsid w:val="00A06831"/>
    <w:pPr>
      <w:tabs>
        <w:tab w:val="num" w:pos="4320"/>
      </w:tabs>
      <w:suppressAutoHyphens/>
      <w:ind w:left="4320" w:hanging="1440"/>
      <w:outlineLvl w:val="8"/>
    </w:pPr>
    <w:rPr>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293615"/>
    <w:pPr>
      <w:spacing w:after="480"/>
    </w:pPr>
    <w:rPr>
      <w:b/>
      <w:sz w:val="40"/>
    </w:rPr>
  </w:style>
  <w:style w:type="paragraph" w:styleId="BalloonText">
    <w:name w:val="Balloon Text"/>
    <w:basedOn w:val="Normal"/>
    <w:link w:val="BalloonTextChar"/>
    <w:unhideWhenUsed/>
    <w:rsid w:val="00293615"/>
    <w:rPr>
      <w:rFonts w:ascii="Tahoma" w:hAnsi="Tahoma" w:cs="Tahoma"/>
      <w:sz w:val="16"/>
      <w:szCs w:val="16"/>
    </w:rPr>
  </w:style>
  <w:style w:type="character" w:customStyle="1" w:styleId="BalloonTextChar">
    <w:name w:val="Balloon Text Char"/>
    <w:basedOn w:val="DefaultParagraphFont"/>
    <w:link w:val="BalloonText"/>
    <w:rsid w:val="00293615"/>
    <w:rPr>
      <w:rFonts w:ascii="Tahoma" w:eastAsia="Times New Roman" w:hAnsi="Tahoma" w:cs="Tahoma"/>
      <w:sz w:val="16"/>
      <w:szCs w:val="16"/>
    </w:rPr>
  </w:style>
  <w:style w:type="paragraph" w:styleId="TOC1">
    <w:name w:val="toc 1"/>
    <w:basedOn w:val="Normal"/>
    <w:next w:val="Normal"/>
    <w:autoRedefine/>
    <w:uiPriority w:val="39"/>
    <w:rsid w:val="00293615"/>
    <w:pPr>
      <w:tabs>
        <w:tab w:val="left" w:pos="851"/>
        <w:tab w:val="right" w:leader="dot" w:pos="8494"/>
      </w:tabs>
      <w:spacing w:before="120" w:after="120"/>
      <w:ind w:left="851" w:hanging="851"/>
    </w:pPr>
    <w:rPr>
      <w:caps/>
    </w:rPr>
  </w:style>
  <w:style w:type="paragraph" w:styleId="Header">
    <w:name w:val="header"/>
    <w:aliases w:val="6_G"/>
    <w:basedOn w:val="Normal"/>
    <w:link w:val="HeaderChar"/>
    <w:unhideWhenUsed/>
    <w:rsid w:val="00293615"/>
    <w:pPr>
      <w:tabs>
        <w:tab w:val="center" w:pos="4513"/>
        <w:tab w:val="right" w:pos="9026"/>
      </w:tabs>
    </w:pPr>
  </w:style>
  <w:style w:type="character" w:customStyle="1" w:styleId="HeaderChar">
    <w:name w:val="Header Char"/>
    <w:aliases w:val="6_G Char"/>
    <w:basedOn w:val="DefaultParagraphFont"/>
    <w:link w:val="Header"/>
    <w:rsid w:val="00293615"/>
    <w:rPr>
      <w:rFonts w:ascii="Times New Roman" w:eastAsia="Times New Roman" w:hAnsi="Times New Roman" w:cs="Times New Roman"/>
      <w:sz w:val="24"/>
      <w:szCs w:val="24"/>
    </w:rPr>
  </w:style>
  <w:style w:type="paragraph" w:styleId="Footer">
    <w:name w:val="footer"/>
    <w:aliases w:val="3_G"/>
    <w:basedOn w:val="Normal"/>
    <w:link w:val="FooterChar"/>
    <w:uiPriority w:val="99"/>
    <w:unhideWhenUsed/>
    <w:rsid w:val="00293615"/>
    <w:pPr>
      <w:tabs>
        <w:tab w:val="center" w:pos="4513"/>
        <w:tab w:val="right" w:pos="9026"/>
      </w:tabs>
    </w:pPr>
  </w:style>
  <w:style w:type="character" w:customStyle="1" w:styleId="FooterChar">
    <w:name w:val="Footer Char"/>
    <w:aliases w:val="3_G Char"/>
    <w:basedOn w:val="DefaultParagraphFont"/>
    <w:link w:val="Footer"/>
    <w:uiPriority w:val="99"/>
    <w:rsid w:val="00293615"/>
    <w:rPr>
      <w:rFonts w:ascii="Times New Roman" w:eastAsia="Times New Roman" w:hAnsi="Times New Roman" w:cs="Times New Roman"/>
      <w:sz w:val="24"/>
      <w:szCs w:val="24"/>
    </w:rPr>
  </w:style>
  <w:style w:type="paragraph" w:customStyle="1" w:styleId="Clauseheading">
    <w:name w:val="Clause heading"/>
    <w:basedOn w:val="Normal"/>
    <w:next w:val="Normal"/>
    <w:rsid w:val="00AF0CA3"/>
    <w:pPr>
      <w:keepNext/>
      <w:numPr>
        <w:numId w:val="2"/>
      </w:numPr>
      <w:spacing w:before="240" w:after="120"/>
    </w:pPr>
    <w:rPr>
      <w:b/>
      <w:caps/>
    </w:rPr>
  </w:style>
  <w:style w:type="paragraph" w:customStyle="1" w:styleId="Subclause">
    <w:name w:val="Sub clause"/>
    <w:basedOn w:val="Normal"/>
    <w:next w:val="Normal"/>
    <w:link w:val="SubclauseChar"/>
    <w:rsid w:val="00AF0CA3"/>
    <w:pPr>
      <w:numPr>
        <w:ilvl w:val="1"/>
        <w:numId w:val="2"/>
      </w:numPr>
      <w:spacing w:before="120" w:after="120"/>
    </w:pPr>
  </w:style>
  <w:style w:type="paragraph" w:customStyle="1" w:styleId="Subsubclause">
    <w:name w:val="Subsub clause"/>
    <w:basedOn w:val="Normal"/>
    <w:next w:val="Normal"/>
    <w:rsid w:val="00AF0CA3"/>
    <w:pPr>
      <w:numPr>
        <w:ilvl w:val="2"/>
        <w:numId w:val="2"/>
      </w:numPr>
      <w:spacing w:before="120" w:after="120"/>
    </w:pPr>
  </w:style>
  <w:style w:type="paragraph" w:customStyle="1" w:styleId="Subsubsubclause">
    <w:name w:val="Subsubsub clause"/>
    <w:basedOn w:val="Normal"/>
    <w:next w:val="Normal"/>
    <w:rsid w:val="00AF0CA3"/>
    <w:pPr>
      <w:numPr>
        <w:ilvl w:val="3"/>
        <w:numId w:val="2"/>
      </w:numPr>
      <w:spacing w:before="120" w:after="120"/>
    </w:pPr>
  </w:style>
  <w:style w:type="paragraph" w:customStyle="1" w:styleId="section0clauseheaddings">
    <w:name w:val="section 0 clause headdings"/>
    <w:basedOn w:val="Normal"/>
    <w:next w:val="Normal"/>
    <w:rsid w:val="00293615"/>
    <w:pPr>
      <w:tabs>
        <w:tab w:val="left" w:pos="1134"/>
      </w:tabs>
      <w:spacing w:before="240" w:after="120"/>
      <w:ind w:left="1134" w:hanging="1134"/>
    </w:pPr>
    <w:rPr>
      <w:b/>
      <w:caps/>
    </w:rPr>
  </w:style>
  <w:style w:type="paragraph" w:customStyle="1" w:styleId="subx4clause">
    <w:name w:val="subx4 clause"/>
    <w:basedOn w:val="Subsubsubclause"/>
    <w:next w:val="Normal"/>
    <w:link w:val="subx4clauseChar"/>
    <w:rsid w:val="00D81FF1"/>
    <w:pPr>
      <w:numPr>
        <w:ilvl w:val="4"/>
      </w:numPr>
    </w:pPr>
  </w:style>
  <w:style w:type="paragraph" w:customStyle="1" w:styleId="subx5clause">
    <w:name w:val="subx5 clause"/>
    <w:basedOn w:val="Normal"/>
    <w:next w:val="Normal"/>
    <w:rsid w:val="00AF0CA3"/>
    <w:pPr>
      <w:numPr>
        <w:ilvl w:val="5"/>
        <w:numId w:val="2"/>
      </w:numPr>
      <w:spacing w:before="120" w:after="120"/>
    </w:pPr>
  </w:style>
  <w:style w:type="paragraph" w:customStyle="1" w:styleId="subx6clause">
    <w:name w:val="subx6 clause"/>
    <w:basedOn w:val="Normal"/>
    <w:next w:val="Normal"/>
    <w:rsid w:val="00AF0CA3"/>
    <w:pPr>
      <w:numPr>
        <w:ilvl w:val="6"/>
        <w:numId w:val="2"/>
      </w:numPr>
      <w:spacing w:before="120" w:after="120"/>
    </w:pPr>
  </w:style>
  <w:style w:type="character" w:styleId="CommentReference">
    <w:name w:val="annotation reference"/>
    <w:basedOn w:val="DefaultParagraphFont"/>
    <w:unhideWhenUsed/>
    <w:rsid w:val="00293615"/>
    <w:rPr>
      <w:sz w:val="16"/>
      <w:szCs w:val="16"/>
    </w:rPr>
  </w:style>
  <w:style w:type="paragraph" w:styleId="CommentText">
    <w:name w:val="annotation text"/>
    <w:basedOn w:val="Normal"/>
    <w:link w:val="CommentTextChar"/>
    <w:unhideWhenUsed/>
    <w:rsid w:val="00293615"/>
    <w:rPr>
      <w:sz w:val="20"/>
      <w:szCs w:val="20"/>
    </w:rPr>
  </w:style>
  <w:style w:type="character" w:customStyle="1" w:styleId="CommentTextChar">
    <w:name w:val="Comment Text Char"/>
    <w:basedOn w:val="DefaultParagraphFont"/>
    <w:link w:val="CommentText"/>
    <w:rsid w:val="00293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293615"/>
    <w:rPr>
      <w:b/>
      <w:bCs/>
    </w:rPr>
  </w:style>
  <w:style w:type="character" w:customStyle="1" w:styleId="CommentSubjectChar">
    <w:name w:val="Comment Subject Char"/>
    <w:basedOn w:val="CommentTextChar"/>
    <w:link w:val="CommentSubject"/>
    <w:rsid w:val="00293615"/>
    <w:rPr>
      <w:rFonts w:ascii="Times New Roman" w:eastAsia="Times New Roman" w:hAnsi="Times New Roman" w:cs="Times New Roman"/>
      <w:b/>
      <w:bCs/>
      <w:sz w:val="20"/>
      <w:szCs w:val="20"/>
    </w:rPr>
  </w:style>
  <w:style w:type="paragraph" w:styleId="ListParagraph">
    <w:name w:val="List Paragraph"/>
    <w:basedOn w:val="Normal"/>
    <w:uiPriority w:val="34"/>
    <w:qFormat/>
    <w:rsid w:val="0086304B"/>
    <w:pPr>
      <w:ind w:left="720"/>
      <w:contextualSpacing/>
    </w:pPr>
  </w:style>
  <w:style w:type="paragraph" w:styleId="Revision">
    <w:name w:val="Revision"/>
    <w:hidden/>
    <w:uiPriority w:val="99"/>
    <w:semiHidden/>
    <w:rsid w:val="00087EA1"/>
    <w:pPr>
      <w:spacing w:after="0" w:line="240" w:lineRule="auto"/>
    </w:pPr>
    <w:rPr>
      <w:rFonts w:ascii="Times New Roman" w:eastAsia="Times New Roman" w:hAnsi="Times New Roman" w:cs="Times New Roman"/>
      <w:sz w:val="24"/>
      <w:szCs w:val="24"/>
    </w:rPr>
  </w:style>
  <w:style w:type="paragraph" w:styleId="FootnoteText">
    <w:name w:val="footnote text"/>
    <w:aliases w:val="5_G,PP"/>
    <w:basedOn w:val="Normal"/>
    <w:link w:val="FootnoteTextChar"/>
    <w:unhideWhenUsed/>
    <w:qFormat/>
    <w:rsid w:val="006104EF"/>
    <w:rPr>
      <w:sz w:val="20"/>
      <w:szCs w:val="20"/>
    </w:rPr>
  </w:style>
  <w:style w:type="character" w:customStyle="1" w:styleId="FootnoteTextChar">
    <w:name w:val="Footnote Text Char"/>
    <w:aliases w:val="5_G Char,PP Char"/>
    <w:basedOn w:val="DefaultParagraphFont"/>
    <w:link w:val="FootnoteText"/>
    <w:rsid w:val="006104EF"/>
    <w:rPr>
      <w:rFonts w:ascii="Times New Roman" w:eastAsia="Times New Roman" w:hAnsi="Times New Roman" w:cs="Times New Roman"/>
      <w:sz w:val="20"/>
      <w:szCs w:val="20"/>
    </w:rPr>
  </w:style>
  <w:style w:type="character" w:styleId="FootnoteReference">
    <w:name w:val="footnote reference"/>
    <w:aliases w:val="4_G,(Footnote Reference),-E Fußnotenzeichen,BVI fnr,Footnote symbol,Footnote,Footnote Reference Superscript,SUPERS, BVI fnr"/>
    <w:basedOn w:val="DefaultParagraphFont"/>
    <w:unhideWhenUsed/>
    <w:rsid w:val="006104EF"/>
    <w:rPr>
      <w:vertAlign w:val="superscript"/>
    </w:rPr>
  </w:style>
  <w:style w:type="paragraph" w:styleId="EndnoteText">
    <w:name w:val="endnote text"/>
    <w:aliases w:val="2_G"/>
    <w:basedOn w:val="Normal"/>
    <w:link w:val="EndnoteTextChar"/>
    <w:unhideWhenUsed/>
    <w:rsid w:val="008C07EA"/>
    <w:rPr>
      <w:sz w:val="20"/>
      <w:szCs w:val="20"/>
    </w:rPr>
  </w:style>
  <w:style w:type="character" w:customStyle="1" w:styleId="EndnoteTextChar">
    <w:name w:val="Endnote Text Char"/>
    <w:aliases w:val="2_G Char"/>
    <w:basedOn w:val="DefaultParagraphFont"/>
    <w:link w:val="EndnoteText"/>
    <w:rsid w:val="008C07EA"/>
    <w:rPr>
      <w:rFonts w:ascii="Times New Roman" w:eastAsia="Times New Roman" w:hAnsi="Times New Roman" w:cs="Times New Roman"/>
      <w:sz w:val="20"/>
      <w:szCs w:val="20"/>
    </w:rPr>
  </w:style>
  <w:style w:type="character" w:styleId="EndnoteReference">
    <w:name w:val="endnote reference"/>
    <w:aliases w:val="1_G"/>
    <w:basedOn w:val="DefaultParagraphFont"/>
    <w:unhideWhenUsed/>
    <w:rsid w:val="008C07EA"/>
    <w:rPr>
      <w:vertAlign w:val="superscript"/>
    </w:rPr>
  </w:style>
  <w:style w:type="paragraph" w:styleId="PlainText">
    <w:name w:val="Plain Text"/>
    <w:basedOn w:val="Normal"/>
    <w:link w:val="PlainTextChar"/>
    <w:rsid w:val="004A5A5D"/>
    <w:pPr>
      <w:widowControl w:val="0"/>
    </w:pPr>
    <w:rPr>
      <w:rFonts w:ascii="Courier New" w:hAnsi="Courier New"/>
      <w:sz w:val="20"/>
      <w:szCs w:val="20"/>
      <w:lang w:val="en-GB" w:eastAsia="en-US"/>
    </w:rPr>
  </w:style>
  <w:style w:type="character" w:customStyle="1" w:styleId="PlainTextChar">
    <w:name w:val="Plain Text Char"/>
    <w:basedOn w:val="DefaultParagraphFont"/>
    <w:link w:val="PlainText"/>
    <w:rsid w:val="004A5A5D"/>
    <w:rPr>
      <w:rFonts w:ascii="Courier New" w:eastAsia="Times New Roman" w:hAnsi="Courier New" w:cs="Times New Roman"/>
      <w:sz w:val="20"/>
      <w:szCs w:val="20"/>
      <w:lang w:val="en-GB" w:eastAsia="en-US"/>
    </w:rPr>
  </w:style>
  <w:style w:type="paragraph" w:styleId="BodyText3">
    <w:name w:val="Body Text 3"/>
    <w:basedOn w:val="Normal"/>
    <w:link w:val="BodyText3Char"/>
    <w:rsid w:val="00C23147"/>
    <w:rPr>
      <w:rFonts w:ascii="Courier New" w:hAnsi="Courier New"/>
      <w:i/>
      <w:sz w:val="20"/>
      <w:szCs w:val="20"/>
      <w:lang w:val="de-DE" w:eastAsia="en-US"/>
    </w:rPr>
  </w:style>
  <w:style w:type="character" w:customStyle="1" w:styleId="BodyText3Char">
    <w:name w:val="Body Text 3 Char"/>
    <w:basedOn w:val="DefaultParagraphFont"/>
    <w:link w:val="BodyText3"/>
    <w:rsid w:val="00C23147"/>
    <w:rPr>
      <w:rFonts w:ascii="Courier New" w:eastAsia="Times New Roman" w:hAnsi="Courier New" w:cs="Times New Roman"/>
      <w:i/>
      <w:sz w:val="20"/>
      <w:szCs w:val="20"/>
      <w:lang w:val="de-DE" w:eastAsia="en-US"/>
    </w:rPr>
  </w:style>
  <w:style w:type="character" w:customStyle="1" w:styleId="Heading1Char">
    <w:name w:val="Heading 1 Char"/>
    <w:aliases w:val="Table_G Char"/>
    <w:basedOn w:val="DefaultParagraphFont"/>
    <w:link w:val="Heading1"/>
    <w:rsid w:val="00DB3277"/>
    <w:rPr>
      <w:rFonts w:ascii="Times New Roman" w:eastAsia="Times New Roman" w:hAnsi="Times New Roman" w:cs="Times New Roman"/>
      <w:sz w:val="20"/>
      <w:szCs w:val="20"/>
      <w:lang w:val="en-GB" w:eastAsia="en-US"/>
    </w:rPr>
  </w:style>
  <w:style w:type="paragraph" w:customStyle="1" w:styleId="Para">
    <w:name w:val="Para"/>
    <w:basedOn w:val="Normal"/>
    <w:qFormat/>
    <w:rsid w:val="00DB3277"/>
    <w:pPr>
      <w:spacing w:after="120" w:line="240" w:lineRule="atLeast"/>
      <w:ind w:left="2268" w:right="1134" w:hanging="1134"/>
      <w:jc w:val="both"/>
    </w:pPr>
    <w:rPr>
      <w:sz w:val="20"/>
      <w:szCs w:val="20"/>
      <w:lang w:val="en-GB" w:eastAsia="en-US"/>
    </w:rPr>
  </w:style>
  <w:style w:type="paragraph" w:customStyle="1" w:styleId="SingleTxtG">
    <w:name w:val="_ Single Txt_G"/>
    <w:basedOn w:val="Normal"/>
    <w:link w:val="SingleTxtGChar"/>
    <w:qFormat/>
    <w:rsid w:val="006613F1"/>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6613F1"/>
    <w:rPr>
      <w:rFonts w:ascii="Times New Roman" w:eastAsia="Times New Roman" w:hAnsi="Times New Roman" w:cs="Times New Roman"/>
      <w:sz w:val="20"/>
      <w:szCs w:val="20"/>
      <w:lang w:val="en-GB" w:eastAsia="en-US"/>
    </w:rPr>
  </w:style>
  <w:style w:type="character" w:customStyle="1" w:styleId="Heading3Char">
    <w:name w:val="Heading 3 Char"/>
    <w:basedOn w:val="DefaultParagraphFont"/>
    <w:link w:val="Heading3"/>
    <w:rsid w:val="00DF2ECE"/>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DF2ECE"/>
    <w:rPr>
      <w:rFonts w:ascii="Times New Roman" w:eastAsia="Times New Roman" w:hAnsi="Times New Roman" w:cs="Times New Roman"/>
      <w:b/>
      <w:caps/>
      <w:sz w:val="24"/>
      <w:szCs w:val="24"/>
    </w:rPr>
  </w:style>
  <w:style w:type="paragraph" w:styleId="TOC2">
    <w:name w:val="toc 2"/>
    <w:basedOn w:val="Normal"/>
    <w:next w:val="Normal"/>
    <w:autoRedefine/>
    <w:uiPriority w:val="39"/>
    <w:unhideWhenUsed/>
    <w:rsid w:val="00C405D3"/>
    <w:pPr>
      <w:tabs>
        <w:tab w:val="left" w:pos="851"/>
        <w:tab w:val="right" w:leader="dot" w:pos="8494"/>
      </w:tabs>
      <w:spacing w:after="100"/>
    </w:pPr>
  </w:style>
  <w:style w:type="table" w:styleId="TableGrid">
    <w:name w:val="Table Grid"/>
    <w:basedOn w:val="TableNormal"/>
    <w:rsid w:val="008D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95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aliases w:val="7_G"/>
    <w:basedOn w:val="DefaultParagraphFont"/>
    <w:rsid w:val="00865B57"/>
  </w:style>
  <w:style w:type="character" w:customStyle="1" w:styleId="Heading4Char">
    <w:name w:val="Heading 4 Char"/>
    <w:basedOn w:val="DefaultParagraphFont"/>
    <w:link w:val="Heading4"/>
    <w:rsid w:val="00A06831"/>
    <w:rPr>
      <w:rFonts w:ascii="Times New Roman" w:eastAsia="Times New Roman" w:hAnsi="Times New Roman" w:cs="Times New Roman"/>
      <w:sz w:val="20"/>
      <w:szCs w:val="20"/>
      <w:lang w:val="en-GB" w:eastAsia="en-US"/>
    </w:rPr>
  </w:style>
  <w:style w:type="character" w:customStyle="1" w:styleId="Heading5Char">
    <w:name w:val="Heading 5 Char"/>
    <w:basedOn w:val="DefaultParagraphFont"/>
    <w:link w:val="Heading5"/>
    <w:rsid w:val="00A06831"/>
    <w:rPr>
      <w:rFonts w:ascii="Times New Roman" w:eastAsia="Times New Roman" w:hAnsi="Times New Roman" w:cs="Times New Roman"/>
      <w:sz w:val="20"/>
      <w:szCs w:val="20"/>
      <w:lang w:val="en-GB" w:eastAsia="en-US"/>
    </w:rPr>
  </w:style>
  <w:style w:type="character" w:customStyle="1" w:styleId="Heading6Char">
    <w:name w:val="Heading 6 Char"/>
    <w:basedOn w:val="DefaultParagraphFont"/>
    <w:link w:val="Heading6"/>
    <w:rsid w:val="00A06831"/>
    <w:rPr>
      <w:rFonts w:ascii="Times New Roman" w:eastAsia="Times New Roman" w:hAnsi="Times New Roman" w:cs="Times New Roman"/>
      <w:sz w:val="20"/>
      <w:szCs w:val="20"/>
      <w:lang w:val="en-GB" w:eastAsia="en-US"/>
    </w:rPr>
  </w:style>
  <w:style w:type="character" w:customStyle="1" w:styleId="Heading7Char">
    <w:name w:val="Heading 7 Char"/>
    <w:basedOn w:val="DefaultParagraphFont"/>
    <w:link w:val="Heading7"/>
    <w:rsid w:val="00A06831"/>
    <w:rPr>
      <w:rFonts w:ascii="Times New Roman" w:eastAsia="Times New Roman" w:hAnsi="Times New Roman" w:cs="Times New Roman"/>
      <w:sz w:val="20"/>
      <w:szCs w:val="20"/>
      <w:lang w:val="en-GB" w:eastAsia="en-US"/>
    </w:rPr>
  </w:style>
  <w:style w:type="character" w:customStyle="1" w:styleId="Heading8Char">
    <w:name w:val="Heading 8 Char"/>
    <w:basedOn w:val="DefaultParagraphFont"/>
    <w:link w:val="Heading8"/>
    <w:rsid w:val="00A06831"/>
    <w:rPr>
      <w:rFonts w:ascii="Times New Roman" w:eastAsia="Times New Roman" w:hAnsi="Times New Roman" w:cs="Times New Roman"/>
      <w:sz w:val="20"/>
      <w:szCs w:val="20"/>
      <w:lang w:val="en-GB" w:eastAsia="en-US"/>
    </w:rPr>
  </w:style>
  <w:style w:type="character" w:customStyle="1" w:styleId="Heading9Char">
    <w:name w:val="Heading 9 Char"/>
    <w:basedOn w:val="DefaultParagraphFont"/>
    <w:link w:val="Heading9"/>
    <w:rsid w:val="00A06831"/>
    <w:rPr>
      <w:rFonts w:ascii="Times New Roman" w:eastAsia="Times New Roman" w:hAnsi="Times New Roman" w:cs="Times New Roman"/>
      <w:sz w:val="20"/>
      <w:szCs w:val="20"/>
      <w:lang w:val="en-GB" w:eastAsia="en-US"/>
    </w:rPr>
  </w:style>
  <w:style w:type="paragraph" w:customStyle="1" w:styleId="HMG">
    <w:name w:val="_ H __M_G"/>
    <w:basedOn w:val="Normal"/>
    <w:next w:val="Normal"/>
    <w:rsid w:val="00A06831"/>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2A64C8"/>
    <w:pPr>
      <w:keepNext/>
      <w:keepLines/>
      <w:suppressAutoHyphens/>
      <w:spacing w:before="360" w:after="240" w:line="300" w:lineRule="exact"/>
      <w:ind w:left="2268" w:right="1134" w:hanging="1134"/>
    </w:pPr>
    <w:rPr>
      <w:b/>
      <w:sz w:val="28"/>
      <w:szCs w:val="20"/>
      <w:lang w:val="en-GB" w:eastAsia="en-US"/>
    </w:rPr>
  </w:style>
  <w:style w:type="character" w:styleId="Hyperlink">
    <w:name w:val="Hyperlink"/>
    <w:basedOn w:val="DefaultParagraphFont"/>
    <w:uiPriority w:val="99"/>
    <w:rsid w:val="00A06831"/>
    <w:rPr>
      <w:color w:val="auto"/>
      <w:u w:val="none"/>
    </w:rPr>
  </w:style>
  <w:style w:type="character" w:styleId="FollowedHyperlink">
    <w:name w:val="FollowedHyperlink"/>
    <w:basedOn w:val="DefaultParagraphFont"/>
    <w:rsid w:val="00A06831"/>
    <w:rPr>
      <w:color w:val="auto"/>
      <w:u w:val="none"/>
    </w:rPr>
  </w:style>
  <w:style w:type="paragraph" w:customStyle="1" w:styleId="SMG">
    <w:name w:val="__S_M_G"/>
    <w:basedOn w:val="Normal"/>
    <w:next w:val="Normal"/>
    <w:rsid w:val="00A06831"/>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A06831"/>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A06831"/>
    <w:pPr>
      <w:keepNext/>
      <w:keepLines/>
      <w:suppressAutoHyphens/>
      <w:spacing w:before="240" w:after="240" w:line="300" w:lineRule="exact"/>
      <w:ind w:left="1134" w:right="1134"/>
    </w:pPr>
    <w:rPr>
      <w:b/>
      <w:sz w:val="28"/>
      <w:szCs w:val="20"/>
      <w:lang w:val="en-GB" w:eastAsia="en-US"/>
    </w:rPr>
  </w:style>
  <w:style w:type="paragraph" w:customStyle="1" w:styleId="XLargeG">
    <w:name w:val="__XLarge_G"/>
    <w:basedOn w:val="Normal"/>
    <w:next w:val="Normal"/>
    <w:rsid w:val="00A06831"/>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A06831"/>
    <w:pPr>
      <w:numPr>
        <w:numId w:val="3"/>
      </w:numPr>
      <w:suppressAutoHyphens/>
      <w:spacing w:after="120" w:line="240" w:lineRule="atLeast"/>
      <w:ind w:right="1134"/>
      <w:jc w:val="both"/>
    </w:pPr>
    <w:rPr>
      <w:sz w:val="20"/>
      <w:szCs w:val="20"/>
      <w:lang w:val="en-GB" w:eastAsia="en-US"/>
    </w:rPr>
  </w:style>
  <w:style w:type="paragraph" w:customStyle="1" w:styleId="Bullet2G">
    <w:name w:val="_Bullet 2_G"/>
    <w:basedOn w:val="Normal"/>
    <w:rsid w:val="00A06831"/>
    <w:pPr>
      <w:numPr>
        <w:numId w:val="4"/>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qFormat/>
    <w:rsid w:val="00A0683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rsid w:val="00A06831"/>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A06831"/>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link w:val="H56GChar"/>
    <w:rsid w:val="00A06831"/>
    <w:pPr>
      <w:keepNext/>
      <w:keepLines/>
      <w:tabs>
        <w:tab w:val="right" w:pos="851"/>
      </w:tabs>
      <w:suppressAutoHyphens/>
      <w:spacing w:before="240" w:after="120" w:line="240" w:lineRule="exact"/>
      <w:ind w:left="1134" w:right="1134" w:hanging="1134"/>
    </w:pPr>
    <w:rPr>
      <w:sz w:val="20"/>
      <w:szCs w:val="20"/>
      <w:lang w:val="en-GB" w:eastAsia="en-US"/>
    </w:rPr>
  </w:style>
  <w:style w:type="character" w:customStyle="1" w:styleId="FootnoteTextChar1">
    <w:name w:val="Footnote Text Char1"/>
    <w:aliases w:val="5_G Char1,PP Char1"/>
    <w:locked/>
    <w:rsid w:val="00A06831"/>
    <w:rPr>
      <w:sz w:val="18"/>
      <w:lang w:eastAsia="en-US"/>
    </w:rPr>
  </w:style>
  <w:style w:type="paragraph" w:customStyle="1" w:styleId="a">
    <w:name w:val="(a)"/>
    <w:basedOn w:val="Normal"/>
    <w:qFormat/>
    <w:rsid w:val="00A06831"/>
    <w:pPr>
      <w:suppressAutoHyphens/>
      <w:spacing w:after="120" w:line="240" w:lineRule="exact"/>
      <w:ind w:left="2835" w:right="1134" w:hanging="567"/>
      <w:jc w:val="both"/>
    </w:pPr>
    <w:rPr>
      <w:sz w:val="20"/>
      <w:szCs w:val="20"/>
      <w:lang w:val="en-GB" w:eastAsia="en-US"/>
    </w:rPr>
  </w:style>
  <w:style w:type="paragraph" w:customStyle="1" w:styleId="i">
    <w:name w:val="(i)"/>
    <w:basedOn w:val="a"/>
    <w:qFormat/>
    <w:rsid w:val="00A06831"/>
    <w:pPr>
      <w:ind w:left="3402"/>
    </w:pPr>
  </w:style>
  <w:style w:type="paragraph" w:customStyle="1" w:styleId="para0">
    <w:name w:val="para"/>
    <w:basedOn w:val="SingleTxtG"/>
    <w:link w:val="paraChar"/>
    <w:qFormat/>
    <w:rsid w:val="00A06831"/>
    <w:pPr>
      <w:spacing w:line="240" w:lineRule="exact"/>
      <w:ind w:left="2268" w:hanging="1134"/>
    </w:pPr>
  </w:style>
  <w:style w:type="character" w:customStyle="1" w:styleId="paraChar">
    <w:name w:val="para Char"/>
    <w:link w:val="para0"/>
    <w:locked/>
    <w:rsid w:val="00A06831"/>
    <w:rPr>
      <w:rFonts w:ascii="Times New Roman" w:eastAsia="Times New Roman" w:hAnsi="Times New Roman" w:cs="Times New Roman"/>
      <w:sz w:val="20"/>
      <w:szCs w:val="20"/>
      <w:lang w:val="en-GB" w:eastAsia="en-US"/>
    </w:rPr>
  </w:style>
  <w:style w:type="character" w:customStyle="1" w:styleId="HChGChar">
    <w:name w:val="_ H _Ch_G Char"/>
    <w:link w:val="HChG"/>
    <w:rsid w:val="002A64C8"/>
    <w:rPr>
      <w:rFonts w:ascii="Times New Roman" w:eastAsia="Times New Roman" w:hAnsi="Times New Roman" w:cs="Times New Roman"/>
      <w:b/>
      <w:sz w:val="28"/>
      <w:szCs w:val="20"/>
      <w:lang w:val="en-GB" w:eastAsia="en-US"/>
    </w:rPr>
  </w:style>
  <w:style w:type="character" w:customStyle="1" w:styleId="H1GChar">
    <w:name w:val="_ H_1_G Char"/>
    <w:link w:val="H1G"/>
    <w:rsid w:val="00A06831"/>
    <w:rPr>
      <w:rFonts w:ascii="Times New Roman" w:eastAsia="Times New Roman" w:hAnsi="Times New Roman" w:cs="Times New Roman"/>
      <w:b/>
      <w:sz w:val="24"/>
      <w:szCs w:val="20"/>
      <w:lang w:val="en-GB" w:eastAsia="en-US"/>
    </w:rPr>
  </w:style>
  <w:style w:type="character" w:styleId="Emphasis">
    <w:name w:val="Emphasis"/>
    <w:qFormat/>
    <w:rsid w:val="00A06831"/>
    <w:rPr>
      <w:i/>
      <w:iCs/>
    </w:rPr>
  </w:style>
  <w:style w:type="paragraph" w:customStyle="1" w:styleId="bloc">
    <w:name w:val="bloc"/>
    <w:basedOn w:val="para0"/>
    <w:qFormat/>
    <w:rsid w:val="00A06831"/>
    <w:pPr>
      <w:spacing w:line="240" w:lineRule="atLeast"/>
      <w:ind w:firstLine="0"/>
    </w:pPr>
  </w:style>
  <w:style w:type="paragraph" w:styleId="NormalWeb">
    <w:name w:val="Normal (Web)"/>
    <w:basedOn w:val="Normal"/>
    <w:link w:val="NormalWebChar"/>
    <w:uiPriority w:val="99"/>
    <w:rsid w:val="00A06831"/>
    <w:pPr>
      <w:suppressAutoHyphens/>
      <w:spacing w:line="240" w:lineRule="atLeast"/>
    </w:pPr>
    <w:rPr>
      <w:lang w:val="en-GB" w:eastAsia="en-US"/>
    </w:rPr>
  </w:style>
  <w:style w:type="character" w:customStyle="1" w:styleId="NormalWebChar">
    <w:name w:val="Normal (Web) Char"/>
    <w:link w:val="NormalWeb"/>
    <w:rsid w:val="00A06831"/>
    <w:rPr>
      <w:rFonts w:ascii="Times New Roman" w:eastAsia="Times New Roman" w:hAnsi="Times New Roman" w:cs="Times New Roman"/>
      <w:sz w:val="24"/>
      <w:szCs w:val="24"/>
      <w:lang w:val="en-GB" w:eastAsia="en-US"/>
    </w:rPr>
  </w:style>
  <w:style w:type="paragraph" w:customStyle="1" w:styleId="Applicationdirecte">
    <w:name w:val="Application directe"/>
    <w:basedOn w:val="Normal"/>
    <w:next w:val="Normal"/>
    <w:semiHidden/>
    <w:rsid w:val="00A06831"/>
    <w:pPr>
      <w:spacing w:before="480" w:after="120"/>
      <w:jc w:val="both"/>
    </w:pPr>
    <w:rPr>
      <w:szCs w:val="20"/>
      <w:lang w:val="en-GB" w:eastAsia="en-GB"/>
    </w:rPr>
  </w:style>
  <w:style w:type="paragraph" w:customStyle="1" w:styleId="a0">
    <w:name w:val="Содержимое таблицы"/>
    <w:basedOn w:val="BodyText"/>
    <w:rsid w:val="00A06831"/>
    <w:pPr>
      <w:suppressLineNumbers/>
      <w:spacing w:line="240" w:lineRule="auto"/>
    </w:pPr>
    <w:rPr>
      <w:sz w:val="24"/>
      <w:szCs w:val="24"/>
      <w:lang w:val="ru-RU" w:eastAsia="ar-SA"/>
    </w:rPr>
  </w:style>
  <w:style w:type="paragraph" w:styleId="BodyText">
    <w:name w:val="Body Text"/>
    <w:basedOn w:val="Normal"/>
    <w:link w:val="BodyTextChar"/>
    <w:rsid w:val="00A06831"/>
    <w:pPr>
      <w:suppressAutoHyphens/>
      <w:spacing w:after="120" w:line="240" w:lineRule="atLeast"/>
    </w:pPr>
    <w:rPr>
      <w:sz w:val="20"/>
      <w:szCs w:val="20"/>
      <w:lang w:val="fr-CH" w:eastAsia="en-US"/>
    </w:rPr>
  </w:style>
  <w:style w:type="character" w:customStyle="1" w:styleId="BodyTextChar">
    <w:name w:val="Body Text Char"/>
    <w:basedOn w:val="DefaultParagraphFont"/>
    <w:link w:val="BodyText"/>
    <w:rsid w:val="00A06831"/>
    <w:rPr>
      <w:rFonts w:ascii="Times New Roman" w:eastAsia="Times New Roman" w:hAnsi="Times New Roman" w:cs="Times New Roman"/>
      <w:sz w:val="20"/>
      <w:szCs w:val="20"/>
      <w:lang w:val="fr-CH" w:eastAsia="en-US"/>
    </w:rPr>
  </w:style>
  <w:style w:type="paragraph" w:styleId="BodyTextIndent2">
    <w:name w:val="Body Text Indent 2"/>
    <w:basedOn w:val="Normal"/>
    <w:link w:val="BodyTextIndent2Char"/>
    <w:rsid w:val="00A06831"/>
    <w:pPr>
      <w:spacing w:after="120" w:line="480" w:lineRule="auto"/>
      <w:ind w:left="283"/>
    </w:pPr>
    <w:rPr>
      <w:lang w:val="fr-FR" w:eastAsia="fr-FR"/>
    </w:rPr>
  </w:style>
  <w:style w:type="character" w:customStyle="1" w:styleId="BodyTextIndent2Char">
    <w:name w:val="Body Text Indent 2 Char"/>
    <w:basedOn w:val="DefaultParagraphFont"/>
    <w:link w:val="BodyTextIndent2"/>
    <w:rsid w:val="00A06831"/>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rsid w:val="00A06831"/>
    <w:pPr>
      <w:suppressAutoHyphens/>
      <w:spacing w:after="120" w:line="240" w:lineRule="atLeast"/>
      <w:ind w:left="283"/>
    </w:pPr>
    <w:rPr>
      <w:sz w:val="20"/>
      <w:szCs w:val="20"/>
      <w:lang w:val="fr-CH" w:eastAsia="en-US"/>
    </w:rPr>
  </w:style>
  <w:style w:type="character" w:customStyle="1" w:styleId="BodyTextIndentChar">
    <w:name w:val="Body Text Indent Char"/>
    <w:basedOn w:val="DefaultParagraphFont"/>
    <w:link w:val="BodyTextIndent"/>
    <w:rsid w:val="00A06831"/>
    <w:rPr>
      <w:rFonts w:ascii="Times New Roman" w:eastAsia="Times New Roman" w:hAnsi="Times New Roman" w:cs="Times New Roman"/>
      <w:sz w:val="20"/>
      <w:szCs w:val="20"/>
      <w:lang w:val="fr-CH" w:eastAsia="en-US"/>
    </w:rPr>
  </w:style>
  <w:style w:type="character" w:customStyle="1" w:styleId="WW8Num2z0">
    <w:name w:val="WW8Num2z0"/>
    <w:rsid w:val="00A06831"/>
    <w:rPr>
      <w:rFonts w:ascii="Symbol" w:hAnsi="Symbol"/>
    </w:rPr>
  </w:style>
  <w:style w:type="character" w:customStyle="1" w:styleId="H56GChar">
    <w:name w:val="_ H_5/6_G Char"/>
    <w:link w:val="H56G"/>
    <w:rsid w:val="00A06831"/>
    <w:rPr>
      <w:rFonts w:ascii="Times New Roman" w:eastAsia="Times New Roman" w:hAnsi="Times New Roman" w:cs="Times New Roman"/>
      <w:sz w:val="20"/>
      <w:szCs w:val="20"/>
      <w:lang w:val="en-GB" w:eastAsia="en-US"/>
    </w:rPr>
  </w:style>
  <w:style w:type="paragraph" w:customStyle="1" w:styleId="CM1">
    <w:name w:val="CM1"/>
    <w:basedOn w:val="Default"/>
    <w:next w:val="Default"/>
    <w:uiPriority w:val="99"/>
    <w:rsid w:val="00A06831"/>
    <w:rPr>
      <w:rFonts w:ascii="EUAlbertina" w:eastAsia="Times New Roman" w:hAnsi="EUAlbertina"/>
      <w:color w:val="auto"/>
      <w:lang w:val="de-DE" w:eastAsia="de-DE"/>
    </w:rPr>
  </w:style>
  <w:style w:type="paragraph" w:customStyle="1" w:styleId="CM3">
    <w:name w:val="CM3"/>
    <w:basedOn w:val="Default"/>
    <w:next w:val="Default"/>
    <w:uiPriority w:val="99"/>
    <w:rsid w:val="00A06831"/>
    <w:rPr>
      <w:rFonts w:ascii="EUAlbertina" w:eastAsia="Times New Roman" w:hAnsi="EUAlbertina"/>
      <w:color w:val="auto"/>
      <w:lang w:val="de-DE" w:eastAsia="de-DE"/>
    </w:rPr>
  </w:style>
  <w:style w:type="character" w:customStyle="1" w:styleId="Document4">
    <w:name w:val="Document 4"/>
    <w:rsid w:val="00A06831"/>
    <w:rPr>
      <w:b/>
      <w:bCs/>
      <w:i/>
      <w:iCs/>
      <w:sz w:val="22"/>
      <w:szCs w:val="22"/>
    </w:rPr>
  </w:style>
  <w:style w:type="paragraph" w:customStyle="1" w:styleId="ManualNumPar1">
    <w:name w:val="Manual NumPar 1"/>
    <w:basedOn w:val="Normal"/>
    <w:next w:val="Normal"/>
    <w:rsid w:val="00A06831"/>
    <w:pPr>
      <w:spacing w:before="120" w:after="120"/>
      <w:ind w:left="851" w:hanging="851"/>
      <w:jc w:val="both"/>
    </w:pPr>
    <w:rPr>
      <w:szCs w:val="20"/>
      <w:lang w:val="en-GB" w:eastAsia="ja-JP"/>
    </w:rPr>
  </w:style>
  <w:style w:type="paragraph" w:customStyle="1" w:styleId="Text1">
    <w:name w:val="Text 1"/>
    <w:basedOn w:val="Normal"/>
    <w:rsid w:val="00A06831"/>
    <w:pPr>
      <w:spacing w:before="120" w:after="120"/>
      <w:ind w:left="851"/>
      <w:jc w:val="both"/>
    </w:pPr>
    <w:rPr>
      <w:szCs w:val="20"/>
      <w:lang w:val="en-GB" w:eastAsia="ja-JP"/>
    </w:rPr>
  </w:style>
  <w:style w:type="paragraph" w:styleId="NoSpacing">
    <w:name w:val="No Spacing"/>
    <w:uiPriority w:val="1"/>
    <w:qFormat/>
    <w:rsid w:val="00A06831"/>
    <w:pPr>
      <w:spacing w:after="0" w:line="240" w:lineRule="auto"/>
    </w:pPr>
    <w:rPr>
      <w:rFonts w:ascii="Calibri" w:eastAsia="Calibri" w:hAnsi="Calibri" w:cs="Times New Roman"/>
      <w:lang w:val="de-DE" w:eastAsia="en-US"/>
    </w:rPr>
  </w:style>
  <w:style w:type="paragraph" w:customStyle="1" w:styleId="a1">
    <w:name w:val="a)"/>
    <w:basedOn w:val="SingleTxtG"/>
    <w:rsid w:val="00A06831"/>
    <w:pPr>
      <w:ind w:left="2835" w:hanging="567"/>
    </w:pPr>
  </w:style>
  <w:style w:type="paragraph" w:customStyle="1" w:styleId="TxBrp5">
    <w:name w:val="TxBr_p5"/>
    <w:basedOn w:val="Normal"/>
    <w:rsid w:val="00A06831"/>
    <w:pPr>
      <w:tabs>
        <w:tab w:val="left" w:pos="4688"/>
      </w:tabs>
      <w:autoSpaceDE w:val="0"/>
      <w:autoSpaceDN w:val="0"/>
      <w:adjustRightInd w:val="0"/>
      <w:spacing w:line="240" w:lineRule="atLeast"/>
      <w:ind w:left="568"/>
    </w:pPr>
    <w:rPr>
      <w:sz w:val="20"/>
      <w:lang w:val="en-US" w:eastAsia="de-DE"/>
    </w:rPr>
  </w:style>
  <w:style w:type="paragraph" w:styleId="E-mailSignature">
    <w:name w:val="E-mail Signature"/>
    <w:basedOn w:val="Normal"/>
    <w:link w:val="E-mailSignatureChar"/>
    <w:rsid w:val="00A06831"/>
    <w:pPr>
      <w:suppressAutoHyphens/>
      <w:spacing w:line="240" w:lineRule="atLeast"/>
    </w:pPr>
    <w:rPr>
      <w:sz w:val="20"/>
      <w:szCs w:val="20"/>
      <w:lang w:val="en-GB" w:eastAsia="en-US"/>
    </w:rPr>
  </w:style>
  <w:style w:type="character" w:customStyle="1" w:styleId="E-mailSignatureChar">
    <w:name w:val="E-mail Signature Char"/>
    <w:basedOn w:val="DefaultParagraphFont"/>
    <w:link w:val="E-mailSignature"/>
    <w:rsid w:val="00A06831"/>
    <w:rPr>
      <w:rFonts w:ascii="Times New Roman" w:eastAsia="Times New Roman" w:hAnsi="Times New Roman" w:cs="Times New Roman"/>
      <w:sz w:val="20"/>
      <w:szCs w:val="20"/>
      <w:lang w:val="en-GB" w:eastAsia="en-US"/>
    </w:rPr>
  </w:style>
  <w:style w:type="paragraph" w:styleId="List">
    <w:name w:val="List"/>
    <w:basedOn w:val="Normal"/>
    <w:rsid w:val="00A06831"/>
    <w:pPr>
      <w:suppressAutoHyphens/>
      <w:spacing w:line="240" w:lineRule="atLeast"/>
      <w:ind w:left="283" w:hanging="283"/>
    </w:pPr>
    <w:rPr>
      <w:sz w:val="20"/>
      <w:szCs w:val="20"/>
      <w:lang w:val="en-GB" w:eastAsia="en-US"/>
    </w:rPr>
  </w:style>
  <w:style w:type="paragraph" w:styleId="BlockText">
    <w:name w:val="Block Text"/>
    <w:basedOn w:val="Normal"/>
    <w:rsid w:val="00A06831"/>
    <w:pPr>
      <w:suppressAutoHyphens/>
      <w:spacing w:line="240" w:lineRule="atLeast"/>
      <w:ind w:left="1440" w:right="1440"/>
    </w:pPr>
    <w:rPr>
      <w:sz w:val="20"/>
      <w:szCs w:val="20"/>
      <w:lang w:val="en-GB" w:eastAsia="en-US"/>
    </w:rPr>
  </w:style>
  <w:style w:type="character" w:styleId="LineNumber">
    <w:name w:val="line number"/>
    <w:rsid w:val="00A06831"/>
    <w:rPr>
      <w:sz w:val="14"/>
    </w:rPr>
  </w:style>
  <w:style w:type="numbering" w:styleId="111111">
    <w:name w:val="Outline List 2"/>
    <w:basedOn w:val="NoList"/>
    <w:rsid w:val="00A06831"/>
    <w:pPr>
      <w:numPr>
        <w:numId w:val="5"/>
      </w:numPr>
    </w:pPr>
  </w:style>
  <w:style w:type="numbering" w:styleId="1ai">
    <w:name w:val="Outline List 1"/>
    <w:basedOn w:val="NoList"/>
    <w:rsid w:val="00A06831"/>
    <w:pPr>
      <w:numPr>
        <w:numId w:val="6"/>
      </w:numPr>
    </w:pPr>
  </w:style>
  <w:style w:type="numbering" w:styleId="ArticleSection">
    <w:name w:val="Outline List 3"/>
    <w:basedOn w:val="NoList"/>
    <w:rsid w:val="00A06831"/>
    <w:pPr>
      <w:numPr>
        <w:numId w:val="7"/>
      </w:numPr>
    </w:pPr>
  </w:style>
  <w:style w:type="paragraph" w:styleId="BodyText2">
    <w:name w:val="Body Text 2"/>
    <w:basedOn w:val="Normal"/>
    <w:link w:val="BodyText2Char"/>
    <w:rsid w:val="00A06831"/>
    <w:pPr>
      <w:suppressAutoHyphens/>
      <w:spacing w:after="120" w:line="480" w:lineRule="auto"/>
    </w:pPr>
    <w:rPr>
      <w:sz w:val="20"/>
      <w:szCs w:val="20"/>
      <w:lang w:val="en-GB" w:eastAsia="en-US"/>
    </w:rPr>
  </w:style>
  <w:style w:type="character" w:customStyle="1" w:styleId="BodyText2Char">
    <w:name w:val="Body Text 2 Char"/>
    <w:basedOn w:val="DefaultParagraphFont"/>
    <w:link w:val="BodyText2"/>
    <w:rsid w:val="00A06831"/>
    <w:rPr>
      <w:rFonts w:ascii="Times New Roman" w:eastAsia="Times New Roman" w:hAnsi="Times New Roman" w:cs="Times New Roman"/>
      <w:sz w:val="20"/>
      <w:szCs w:val="20"/>
      <w:lang w:val="en-GB" w:eastAsia="en-US"/>
    </w:rPr>
  </w:style>
  <w:style w:type="paragraph" w:styleId="BodyTextFirstIndent">
    <w:name w:val="Body Text First Indent"/>
    <w:basedOn w:val="BodyText"/>
    <w:link w:val="BodyTextFirstIndentChar"/>
    <w:rsid w:val="00A06831"/>
    <w:pPr>
      <w:ind w:firstLine="210"/>
    </w:pPr>
    <w:rPr>
      <w:lang w:val="en-GB"/>
    </w:rPr>
  </w:style>
  <w:style w:type="character" w:customStyle="1" w:styleId="BodyTextFirstIndentChar">
    <w:name w:val="Body Text First Indent Char"/>
    <w:basedOn w:val="BodyTextChar"/>
    <w:link w:val="BodyTextFirstIndent"/>
    <w:rsid w:val="00A06831"/>
    <w:rPr>
      <w:rFonts w:ascii="Times New Roman" w:eastAsia="Times New Roman" w:hAnsi="Times New Roman" w:cs="Times New Roman"/>
      <w:sz w:val="20"/>
      <w:szCs w:val="20"/>
      <w:lang w:val="en-GB" w:eastAsia="en-US"/>
    </w:rPr>
  </w:style>
  <w:style w:type="paragraph" w:styleId="BodyTextFirstIndent2">
    <w:name w:val="Body Text First Indent 2"/>
    <w:basedOn w:val="BodyTextIndent"/>
    <w:link w:val="BodyTextFirstIndent2Char"/>
    <w:rsid w:val="00A06831"/>
    <w:pPr>
      <w:ind w:firstLine="210"/>
    </w:pPr>
    <w:rPr>
      <w:lang w:val="en-GB"/>
    </w:rPr>
  </w:style>
  <w:style w:type="character" w:customStyle="1" w:styleId="BodyTextFirstIndent2Char">
    <w:name w:val="Body Text First Indent 2 Char"/>
    <w:basedOn w:val="BodyTextIndentChar"/>
    <w:link w:val="BodyTextFirstIndent2"/>
    <w:rsid w:val="00A06831"/>
    <w:rPr>
      <w:rFonts w:ascii="Times New Roman" w:eastAsia="Times New Roman" w:hAnsi="Times New Roman" w:cs="Times New Roman"/>
      <w:sz w:val="20"/>
      <w:szCs w:val="20"/>
      <w:lang w:val="en-GB" w:eastAsia="en-US"/>
    </w:rPr>
  </w:style>
  <w:style w:type="paragraph" w:styleId="BodyTextIndent3">
    <w:name w:val="Body Text Indent 3"/>
    <w:basedOn w:val="Normal"/>
    <w:link w:val="BodyTextIndent3Char"/>
    <w:rsid w:val="00A06831"/>
    <w:pPr>
      <w:suppressAutoHyphens/>
      <w:spacing w:after="120" w:line="240" w:lineRule="atLeast"/>
      <w:ind w:left="283"/>
    </w:pPr>
    <w:rPr>
      <w:sz w:val="16"/>
      <w:szCs w:val="16"/>
      <w:lang w:val="en-GB" w:eastAsia="en-US"/>
    </w:rPr>
  </w:style>
  <w:style w:type="character" w:customStyle="1" w:styleId="BodyTextIndent3Char">
    <w:name w:val="Body Text Indent 3 Char"/>
    <w:basedOn w:val="DefaultParagraphFont"/>
    <w:link w:val="BodyTextIndent3"/>
    <w:rsid w:val="00A06831"/>
    <w:rPr>
      <w:rFonts w:ascii="Times New Roman" w:eastAsia="Times New Roman" w:hAnsi="Times New Roman" w:cs="Times New Roman"/>
      <w:sz w:val="16"/>
      <w:szCs w:val="16"/>
      <w:lang w:val="en-GB" w:eastAsia="en-US"/>
    </w:rPr>
  </w:style>
  <w:style w:type="paragraph" w:styleId="Closing">
    <w:name w:val="Closing"/>
    <w:basedOn w:val="Normal"/>
    <w:link w:val="ClosingChar"/>
    <w:rsid w:val="00A06831"/>
    <w:pPr>
      <w:suppressAutoHyphens/>
      <w:spacing w:line="240" w:lineRule="atLeast"/>
      <w:ind w:left="4252"/>
    </w:pPr>
    <w:rPr>
      <w:sz w:val="20"/>
      <w:szCs w:val="20"/>
      <w:lang w:val="en-GB" w:eastAsia="en-US"/>
    </w:rPr>
  </w:style>
  <w:style w:type="character" w:customStyle="1" w:styleId="ClosingChar">
    <w:name w:val="Closing Char"/>
    <w:basedOn w:val="DefaultParagraphFont"/>
    <w:link w:val="Closing"/>
    <w:rsid w:val="00A06831"/>
    <w:rPr>
      <w:rFonts w:ascii="Times New Roman" w:eastAsia="Times New Roman" w:hAnsi="Times New Roman" w:cs="Times New Roman"/>
      <w:sz w:val="20"/>
      <w:szCs w:val="20"/>
      <w:lang w:val="en-GB" w:eastAsia="en-US"/>
    </w:rPr>
  </w:style>
  <w:style w:type="paragraph" w:styleId="Date">
    <w:name w:val="Date"/>
    <w:basedOn w:val="Normal"/>
    <w:next w:val="Normal"/>
    <w:link w:val="DateChar"/>
    <w:rsid w:val="00A06831"/>
    <w:pPr>
      <w:suppressAutoHyphens/>
      <w:spacing w:line="240" w:lineRule="atLeast"/>
    </w:pPr>
    <w:rPr>
      <w:sz w:val="20"/>
      <w:szCs w:val="20"/>
      <w:lang w:val="en-GB" w:eastAsia="en-US"/>
    </w:rPr>
  </w:style>
  <w:style w:type="character" w:customStyle="1" w:styleId="DateChar">
    <w:name w:val="Date Char"/>
    <w:basedOn w:val="DefaultParagraphFont"/>
    <w:link w:val="Date"/>
    <w:rsid w:val="00A06831"/>
    <w:rPr>
      <w:rFonts w:ascii="Times New Roman" w:eastAsia="Times New Roman" w:hAnsi="Times New Roman" w:cs="Times New Roman"/>
      <w:sz w:val="20"/>
      <w:szCs w:val="20"/>
      <w:lang w:val="en-GB" w:eastAsia="en-US"/>
    </w:rPr>
  </w:style>
  <w:style w:type="paragraph" w:styleId="EnvelopeReturn">
    <w:name w:val="envelope return"/>
    <w:basedOn w:val="Normal"/>
    <w:rsid w:val="00A06831"/>
    <w:pPr>
      <w:suppressAutoHyphens/>
      <w:spacing w:line="240" w:lineRule="atLeast"/>
    </w:pPr>
    <w:rPr>
      <w:rFonts w:ascii="Arial" w:hAnsi="Arial" w:cs="Arial"/>
      <w:sz w:val="20"/>
      <w:szCs w:val="20"/>
      <w:lang w:val="en-GB" w:eastAsia="en-US"/>
    </w:rPr>
  </w:style>
  <w:style w:type="character" w:styleId="HTMLAcronym">
    <w:name w:val="HTML Acronym"/>
    <w:rsid w:val="00A06831"/>
  </w:style>
  <w:style w:type="paragraph" w:styleId="HTMLAddress">
    <w:name w:val="HTML Address"/>
    <w:basedOn w:val="Normal"/>
    <w:link w:val="HTMLAddressChar"/>
    <w:rsid w:val="00A06831"/>
    <w:pPr>
      <w:suppressAutoHyphens/>
      <w:spacing w:line="240" w:lineRule="atLeast"/>
    </w:pPr>
    <w:rPr>
      <w:i/>
      <w:iCs/>
      <w:sz w:val="20"/>
      <w:szCs w:val="20"/>
      <w:lang w:val="en-GB" w:eastAsia="en-US"/>
    </w:rPr>
  </w:style>
  <w:style w:type="character" w:customStyle="1" w:styleId="HTMLAddressChar">
    <w:name w:val="HTML Address Char"/>
    <w:basedOn w:val="DefaultParagraphFont"/>
    <w:link w:val="HTMLAddress"/>
    <w:rsid w:val="00A06831"/>
    <w:rPr>
      <w:rFonts w:ascii="Times New Roman" w:eastAsia="Times New Roman" w:hAnsi="Times New Roman" w:cs="Times New Roman"/>
      <w:i/>
      <w:iCs/>
      <w:sz w:val="20"/>
      <w:szCs w:val="20"/>
      <w:lang w:val="en-GB" w:eastAsia="en-US"/>
    </w:rPr>
  </w:style>
  <w:style w:type="character" w:styleId="HTMLCite">
    <w:name w:val="HTML Cite"/>
    <w:rsid w:val="00A06831"/>
    <w:rPr>
      <w:i/>
      <w:iCs/>
    </w:rPr>
  </w:style>
  <w:style w:type="character" w:styleId="HTMLCode">
    <w:name w:val="HTML Code"/>
    <w:rsid w:val="00A06831"/>
    <w:rPr>
      <w:rFonts w:ascii="Courier New" w:hAnsi="Courier New" w:cs="Courier New"/>
      <w:sz w:val="20"/>
      <w:szCs w:val="20"/>
    </w:rPr>
  </w:style>
  <w:style w:type="character" w:styleId="HTMLDefinition">
    <w:name w:val="HTML Definition"/>
    <w:rsid w:val="00A06831"/>
    <w:rPr>
      <w:i/>
      <w:iCs/>
    </w:rPr>
  </w:style>
  <w:style w:type="character" w:styleId="HTMLKeyboard">
    <w:name w:val="HTML Keyboard"/>
    <w:rsid w:val="00A06831"/>
    <w:rPr>
      <w:rFonts w:ascii="Courier New" w:hAnsi="Courier New" w:cs="Courier New"/>
      <w:sz w:val="20"/>
      <w:szCs w:val="20"/>
    </w:rPr>
  </w:style>
  <w:style w:type="paragraph" w:styleId="HTMLPreformatted">
    <w:name w:val="HTML Preformatted"/>
    <w:basedOn w:val="Normal"/>
    <w:link w:val="HTMLPreformattedChar"/>
    <w:rsid w:val="00A06831"/>
    <w:pPr>
      <w:suppressAutoHyphens/>
      <w:spacing w:line="240" w:lineRule="atLeast"/>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A06831"/>
    <w:rPr>
      <w:rFonts w:ascii="Courier New" w:eastAsia="Times New Roman" w:hAnsi="Courier New" w:cs="Courier New"/>
      <w:sz w:val="20"/>
      <w:szCs w:val="20"/>
      <w:lang w:val="en-GB" w:eastAsia="en-US"/>
    </w:rPr>
  </w:style>
  <w:style w:type="character" w:styleId="HTMLSample">
    <w:name w:val="HTML Sample"/>
    <w:rsid w:val="00A06831"/>
    <w:rPr>
      <w:rFonts w:ascii="Courier New" w:hAnsi="Courier New" w:cs="Courier New"/>
    </w:rPr>
  </w:style>
  <w:style w:type="character" w:styleId="HTMLTypewriter">
    <w:name w:val="HTML Typewriter"/>
    <w:rsid w:val="00A06831"/>
    <w:rPr>
      <w:rFonts w:ascii="Courier New" w:hAnsi="Courier New" w:cs="Courier New"/>
      <w:sz w:val="20"/>
      <w:szCs w:val="20"/>
    </w:rPr>
  </w:style>
  <w:style w:type="character" w:styleId="HTMLVariable">
    <w:name w:val="HTML Variable"/>
    <w:rsid w:val="00A06831"/>
    <w:rPr>
      <w:i/>
      <w:iCs/>
    </w:rPr>
  </w:style>
  <w:style w:type="paragraph" w:styleId="List2">
    <w:name w:val="List 2"/>
    <w:basedOn w:val="Normal"/>
    <w:rsid w:val="00A06831"/>
    <w:pPr>
      <w:suppressAutoHyphens/>
      <w:spacing w:line="240" w:lineRule="atLeast"/>
      <w:ind w:left="566" w:hanging="283"/>
    </w:pPr>
    <w:rPr>
      <w:sz w:val="20"/>
      <w:szCs w:val="20"/>
      <w:lang w:val="en-GB" w:eastAsia="en-US"/>
    </w:rPr>
  </w:style>
  <w:style w:type="paragraph" w:styleId="List3">
    <w:name w:val="List 3"/>
    <w:basedOn w:val="Normal"/>
    <w:rsid w:val="00A06831"/>
    <w:pPr>
      <w:suppressAutoHyphens/>
      <w:spacing w:line="240" w:lineRule="atLeast"/>
      <w:ind w:left="849" w:hanging="283"/>
    </w:pPr>
    <w:rPr>
      <w:sz w:val="20"/>
      <w:szCs w:val="20"/>
      <w:lang w:val="en-GB" w:eastAsia="en-US"/>
    </w:rPr>
  </w:style>
  <w:style w:type="paragraph" w:styleId="List4">
    <w:name w:val="List 4"/>
    <w:basedOn w:val="Normal"/>
    <w:rsid w:val="00A06831"/>
    <w:pPr>
      <w:suppressAutoHyphens/>
      <w:spacing w:line="240" w:lineRule="atLeast"/>
      <w:ind w:left="1132" w:hanging="283"/>
    </w:pPr>
    <w:rPr>
      <w:sz w:val="20"/>
      <w:szCs w:val="20"/>
      <w:lang w:val="en-GB" w:eastAsia="en-US"/>
    </w:rPr>
  </w:style>
  <w:style w:type="paragraph" w:styleId="List5">
    <w:name w:val="List 5"/>
    <w:basedOn w:val="Normal"/>
    <w:rsid w:val="00A06831"/>
    <w:pPr>
      <w:suppressAutoHyphens/>
      <w:spacing w:line="240" w:lineRule="atLeast"/>
      <w:ind w:left="1415" w:hanging="283"/>
    </w:pPr>
    <w:rPr>
      <w:sz w:val="20"/>
      <w:szCs w:val="20"/>
      <w:lang w:val="en-GB" w:eastAsia="en-US"/>
    </w:rPr>
  </w:style>
  <w:style w:type="paragraph" w:styleId="ListBullet">
    <w:name w:val="List Bullet"/>
    <w:basedOn w:val="Normal"/>
    <w:rsid w:val="00A06831"/>
    <w:pPr>
      <w:tabs>
        <w:tab w:val="num" w:pos="360"/>
      </w:tabs>
      <w:suppressAutoHyphens/>
      <w:spacing w:line="240" w:lineRule="atLeast"/>
      <w:ind w:left="360" w:hanging="360"/>
    </w:pPr>
    <w:rPr>
      <w:sz w:val="20"/>
      <w:szCs w:val="20"/>
      <w:lang w:val="en-GB" w:eastAsia="en-US"/>
    </w:rPr>
  </w:style>
  <w:style w:type="paragraph" w:styleId="ListBullet2">
    <w:name w:val="List Bullet 2"/>
    <w:basedOn w:val="Normal"/>
    <w:rsid w:val="00A06831"/>
    <w:pPr>
      <w:tabs>
        <w:tab w:val="num" w:pos="643"/>
      </w:tabs>
      <w:suppressAutoHyphens/>
      <w:spacing w:line="240" w:lineRule="atLeast"/>
      <w:ind w:left="643" w:hanging="360"/>
    </w:pPr>
    <w:rPr>
      <w:sz w:val="20"/>
      <w:szCs w:val="20"/>
      <w:lang w:val="en-GB" w:eastAsia="en-US"/>
    </w:rPr>
  </w:style>
  <w:style w:type="paragraph" w:styleId="ListBullet3">
    <w:name w:val="List Bullet 3"/>
    <w:basedOn w:val="Normal"/>
    <w:rsid w:val="00A06831"/>
    <w:pPr>
      <w:tabs>
        <w:tab w:val="num" w:pos="926"/>
      </w:tabs>
      <w:suppressAutoHyphens/>
      <w:spacing w:line="240" w:lineRule="atLeast"/>
      <w:ind w:left="926" w:hanging="360"/>
    </w:pPr>
    <w:rPr>
      <w:sz w:val="20"/>
      <w:szCs w:val="20"/>
      <w:lang w:val="en-GB" w:eastAsia="en-US"/>
    </w:rPr>
  </w:style>
  <w:style w:type="paragraph" w:styleId="ListBullet4">
    <w:name w:val="List Bullet 4"/>
    <w:basedOn w:val="Normal"/>
    <w:rsid w:val="00A06831"/>
    <w:pPr>
      <w:tabs>
        <w:tab w:val="num" w:pos="1209"/>
      </w:tabs>
      <w:suppressAutoHyphens/>
      <w:spacing w:line="240" w:lineRule="atLeast"/>
      <w:ind w:left="1209" w:hanging="360"/>
    </w:pPr>
    <w:rPr>
      <w:sz w:val="20"/>
      <w:szCs w:val="20"/>
      <w:lang w:val="en-GB" w:eastAsia="en-US"/>
    </w:rPr>
  </w:style>
  <w:style w:type="paragraph" w:styleId="ListBullet5">
    <w:name w:val="List Bullet 5"/>
    <w:basedOn w:val="Normal"/>
    <w:rsid w:val="00A06831"/>
    <w:pPr>
      <w:tabs>
        <w:tab w:val="num" w:pos="1492"/>
      </w:tabs>
      <w:suppressAutoHyphens/>
      <w:spacing w:line="240" w:lineRule="atLeast"/>
      <w:ind w:left="1492" w:hanging="360"/>
    </w:pPr>
    <w:rPr>
      <w:sz w:val="20"/>
      <w:szCs w:val="20"/>
      <w:lang w:val="en-GB" w:eastAsia="en-US"/>
    </w:rPr>
  </w:style>
  <w:style w:type="paragraph" w:styleId="ListContinue">
    <w:name w:val="List Continue"/>
    <w:basedOn w:val="Normal"/>
    <w:rsid w:val="00A06831"/>
    <w:pPr>
      <w:suppressAutoHyphens/>
      <w:spacing w:after="120" w:line="240" w:lineRule="atLeast"/>
      <w:ind w:left="283"/>
    </w:pPr>
    <w:rPr>
      <w:sz w:val="20"/>
      <w:szCs w:val="20"/>
      <w:lang w:val="en-GB" w:eastAsia="en-US"/>
    </w:rPr>
  </w:style>
  <w:style w:type="paragraph" w:styleId="ListContinue2">
    <w:name w:val="List Continue 2"/>
    <w:basedOn w:val="Normal"/>
    <w:rsid w:val="00A06831"/>
    <w:pPr>
      <w:suppressAutoHyphens/>
      <w:spacing w:after="120" w:line="240" w:lineRule="atLeast"/>
      <w:ind w:left="566"/>
    </w:pPr>
    <w:rPr>
      <w:sz w:val="20"/>
      <w:szCs w:val="20"/>
      <w:lang w:val="en-GB" w:eastAsia="en-US"/>
    </w:rPr>
  </w:style>
  <w:style w:type="paragraph" w:styleId="ListContinue3">
    <w:name w:val="List Continue 3"/>
    <w:basedOn w:val="Normal"/>
    <w:rsid w:val="00A06831"/>
    <w:pPr>
      <w:suppressAutoHyphens/>
      <w:spacing w:after="120" w:line="240" w:lineRule="atLeast"/>
      <w:ind w:left="849"/>
    </w:pPr>
    <w:rPr>
      <w:sz w:val="20"/>
      <w:szCs w:val="20"/>
      <w:lang w:val="en-GB" w:eastAsia="en-US"/>
    </w:rPr>
  </w:style>
  <w:style w:type="paragraph" w:styleId="ListContinue4">
    <w:name w:val="List Continue 4"/>
    <w:basedOn w:val="Normal"/>
    <w:rsid w:val="00A06831"/>
    <w:pPr>
      <w:suppressAutoHyphens/>
      <w:spacing w:after="120" w:line="240" w:lineRule="atLeast"/>
      <w:ind w:left="1132"/>
    </w:pPr>
    <w:rPr>
      <w:sz w:val="20"/>
      <w:szCs w:val="20"/>
      <w:lang w:val="en-GB" w:eastAsia="en-US"/>
    </w:rPr>
  </w:style>
  <w:style w:type="paragraph" w:styleId="ListContinue5">
    <w:name w:val="List Continue 5"/>
    <w:basedOn w:val="Normal"/>
    <w:rsid w:val="00A06831"/>
    <w:pPr>
      <w:suppressAutoHyphens/>
      <w:spacing w:after="120" w:line="240" w:lineRule="atLeast"/>
      <w:ind w:left="1415"/>
    </w:pPr>
    <w:rPr>
      <w:sz w:val="20"/>
      <w:szCs w:val="20"/>
      <w:lang w:val="en-GB" w:eastAsia="en-US"/>
    </w:rPr>
  </w:style>
  <w:style w:type="paragraph" w:styleId="ListNumber">
    <w:name w:val="List Number"/>
    <w:basedOn w:val="Normal"/>
    <w:rsid w:val="00A06831"/>
    <w:pPr>
      <w:tabs>
        <w:tab w:val="num" w:pos="360"/>
      </w:tabs>
      <w:suppressAutoHyphens/>
      <w:spacing w:line="240" w:lineRule="atLeast"/>
      <w:ind w:left="360" w:hanging="360"/>
    </w:pPr>
    <w:rPr>
      <w:sz w:val="20"/>
      <w:szCs w:val="20"/>
      <w:lang w:val="en-GB" w:eastAsia="en-US"/>
    </w:rPr>
  </w:style>
  <w:style w:type="paragraph" w:styleId="ListNumber2">
    <w:name w:val="List Number 2"/>
    <w:basedOn w:val="Normal"/>
    <w:rsid w:val="00A06831"/>
    <w:pPr>
      <w:tabs>
        <w:tab w:val="num" w:pos="643"/>
      </w:tabs>
      <w:suppressAutoHyphens/>
      <w:spacing w:line="240" w:lineRule="atLeast"/>
      <w:ind w:left="643" w:hanging="360"/>
    </w:pPr>
    <w:rPr>
      <w:sz w:val="20"/>
      <w:szCs w:val="20"/>
      <w:lang w:val="en-GB" w:eastAsia="en-US"/>
    </w:rPr>
  </w:style>
  <w:style w:type="paragraph" w:styleId="ListNumber3">
    <w:name w:val="List Number 3"/>
    <w:basedOn w:val="Normal"/>
    <w:rsid w:val="00A06831"/>
    <w:pPr>
      <w:tabs>
        <w:tab w:val="num" w:pos="926"/>
      </w:tabs>
      <w:suppressAutoHyphens/>
      <w:spacing w:line="240" w:lineRule="atLeast"/>
      <w:ind w:left="926" w:hanging="360"/>
    </w:pPr>
    <w:rPr>
      <w:sz w:val="20"/>
      <w:szCs w:val="20"/>
      <w:lang w:val="en-GB" w:eastAsia="en-US"/>
    </w:rPr>
  </w:style>
  <w:style w:type="paragraph" w:styleId="ListNumber4">
    <w:name w:val="List Number 4"/>
    <w:basedOn w:val="Normal"/>
    <w:rsid w:val="00A06831"/>
    <w:pPr>
      <w:tabs>
        <w:tab w:val="num" w:pos="1209"/>
      </w:tabs>
      <w:suppressAutoHyphens/>
      <w:spacing w:line="240" w:lineRule="atLeast"/>
      <w:ind w:left="1209" w:hanging="360"/>
    </w:pPr>
    <w:rPr>
      <w:sz w:val="20"/>
      <w:szCs w:val="20"/>
      <w:lang w:val="en-GB" w:eastAsia="en-US"/>
    </w:rPr>
  </w:style>
  <w:style w:type="paragraph" w:styleId="ListNumber5">
    <w:name w:val="List Number 5"/>
    <w:basedOn w:val="Normal"/>
    <w:rsid w:val="00A06831"/>
    <w:pPr>
      <w:tabs>
        <w:tab w:val="num" w:pos="1492"/>
      </w:tabs>
      <w:suppressAutoHyphens/>
      <w:spacing w:line="240" w:lineRule="atLeast"/>
      <w:ind w:left="1492" w:hanging="360"/>
    </w:pPr>
    <w:rPr>
      <w:sz w:val="20"/>
      <w:szCs w:val="20"/>
      <w:lang w:val="en-GB" w:eastAsia="en-US"/>
    </w:rPr>
  </w:style>
  <w:style w:type="paragraph" w:styleId="MessageHeader">
    <w:name w:val="Message Header"/>
    <w:basedOn w:val="Normal"/>
    <w:link w:val="MessageHeaderChar"/>
    <w:rsid w:val="00A06831"/>
    <w:pPr>
      <w:pBdr>
        <w:top w:val="single" w:sz="6" w:space="1" w:color="auto"/>
        <w:left w:val="single" w:sz="6" w:space="1" w:color="auto"/>
        <w:bottom w:val="single" w:sz="6" w:space="1" w:color="auto"/>
        <w:right w:val="single" w:sz="6" w:space="1" w:color="auto"/>
      </w:pBdr>
      <w:shd w:val="pct20" w:color="auto" w:fill="auto"/>
      <w:suppressAutoHyphens/>
      <w:spacing w:line="240" w:lineRule="atLeast"/>
      <w:ind w:left="1134" w:hanging="1134"/>
    </w:pPr>
    <w:rPr>
      <w:rFonts w:ascii="Arial" w:hAnsi="Arial" w:cs="Arial"/>
      <w:lang w:val="en-GB" w:eastAsia="en-US"/>
    </w:rPr>
  </w:style>
  <w:style w:type="character" w:customStyle="1" w:styleId="MessageHeaderChar">
    <w:name w:val="Message Header Char"/>
    <w:basedOn w:val="DefaultParagraphFont"/>
    <w:link w:val="MessageHeader"/>
    <w:rsid w:val="00A06831"/>
    <w:rPr>
      <w:rFonts w:ascii="Arial" w:eastAsia="Times New Roman" w:hAnsi="Arial" w:cs="Arial"/>
      <w:sz w:val="24"/>
      <w:szCs w:val="24"/>
      <w:shd w:val="pct20" w:color="auto" w:fill="auto"/>
      <w:lang w:val="en-GB" w:eastAsia="en-US"/>
    </w:rPr>
  </w:style>
  <w:style w:type="paragraph" w:styleId="NormalIndent">
    <w:name w:val="Normal Indent"/>
    <w:basedOn w:val="Normal"/>
    <w:rsid w:val="00A06831"/>
    <w:pPr>
      <w:suppressAutoHyphens/>
      <w:spacing w:line="240" w:lineRule="atLeast"/>
      <w:ind w:left="567"/>
    </w:pPr>
    <w:rPr>
      <w:sz w:val="20"/>
      <w:szCs w:val="20"/>
      <w:lang w:val="en-GB" w:eastAsia="en-US"/>
    </w:rPr>
  </w:style>
  <w:style w:type="paragraph" w:styleId="NoteHeading">
    <w:name w:val="Note Heading"/>
    <w:basedOn w:val="Normal"/>
    <w:next w:val="Normal"/>
    <w:link w:val="NoteHeadingChar"/>
    <w:rsid w:val="00A06831"/>
    <w:pPr>
      <w:suppressAutoHyphens/>
      <w:spacing w:line="240" w:lineRule="atLeast"/>
    </w:pPr>
    <w:rPr>
      <w:sz w:val="20"/>
      <w:szCs w:val="20"/>
      <w:lang w:val="en-GB" w:eastAsia="en-US"/>
    </w:rPr>
  </w:style>
  <w:style w:type="character" w:customStyle="1" w:styleId="NoteHeadingChar">
    <w:name w:val="Note Heading Char"/>
    <w:basedOn w:val="DefaultParagraphFont"/>
    <w:link w:val="NoteHeading"/>
    <w:rsid w:val="00A06831"/>
    <w:rPr>
      <w:rFonts w:ascii="Times New Roman" w:eastAsia="Times New Roman" w:hAnsi="Times New Roman" w:cs="Times New Roman"/>
      <w:sz w:val="20"/>
      <w:szCs w:val="20"/>
      <w:lang w:val="en-GB" w:eastAsia="en-US"/>
    </w:rPr>
  </w:style>
  <w:style w:type="paragraph" w:styleId="Salutation">
    <w:name w:val="Salutation"/>
    <w:basedOn w:val="Normal"/>
    <w:next w:val="Normal"/>
    <w:link w:val="SalutationChar"/>
    <w:rsid w:val="00A06831"/>
    <w:pPr>
      <w:suppressAutoHyphens/>
      <w:spacing w:line="240" w:lineRule="atLeast"/>
    </w:pPr>
    <w:rPr>
      <w:sz w:val="20"/>
      <w:szCs w:val="20"/>
      <w:lang w:val="en-GB" w:eastAsia="en-US"/>
    </w:rPr>
  </w:style>
  <w:style w:type="character" w:customStyle="1" w:styleId="SalutationChar">
    <w:name w:val="Salutation Char"/>
    <w:basedOn w:val="DefaultParagraphFont"/>
    <w:link w:val="Salutation"/>
    <w:rsid w:val="00A06831"/>
    <w:rPr>
      <w:rFonts w:ascii="Times New Roman" w:eastAsia="Times New Roman" w:hAnsi="Times New Roman" w:cs="Times New Roman"/>
      <w:sz w:val="20"/>
      <w:szCs w:val="20"/>
      <w:lang w:val="en-GB" w:eastAsia="en-US"/>
    </w:rPr>
  </w:style>
  <w:style w:type="paragraph" w:styleId="Signature">
    <w:name w:val="Signature"/>
    <w:basedOn w:val="Normal"/>
    <w:link w:val="SignatureChar"/>
    <w:rsid w:val="00A06831"/>
    <w:pPr>
      <w:suppressAutoHyphens/>
      <w:spacing w:line="240" w:lineRule="atLeast"/>
      <w:ind w:left="4252"/>
    </w:pPr>
    <w:rPr>
      <w:sz w:val="20"/>
      <w:szCs w:val="20"/>
      <w:lang w:val="en-GB" w:eastAsia="en-US"/>
    </w:rPr>
  </w:style>
  <w:style w:type="character" w:customStyle="1" w:styleId="SignatureChar">
    <w:name w:val="Signature Char"/>
    <w:basedOn w:val="DefaultParagraphFont"/>
    <w:link w:val="Signature"/>
    <w:rsid w:val="00A06831"/>
    <w:rPr>
      <w:rFonts w:ascii="Times New Roman" w:eastAsia="Times New Roman" w:hAnsi="Times New Roman" w:cs="Times New Roman"/>
      <w:sz w:val="20"/>
      <w:szCs w:val="20"/>
      <w:lang w:val="en-GB" w:eastAsia="en-US"/>
    </w:rPr>
  </w:style>
  <w:style w:type="character" w:styleId="Strong">
    <w:name w:val="Strong"/>
    <w:qFormat/>
    <w:rsid w:val="00A06831"/>
    <w:rPr>
      <w:b/>
      <w:bCs/>
    </w:rPr>
  </w:style>
  <w:style w:type="paragraph" w:styleId="Subtitle">
    <w:name w:val="Subtitle"/>
    <w:basedOn w:val="Normal"/>
    <w:link w:val="SubtitleChar"/>
    <w:qFormat/>
    <w:rsid w:val="00A06831"/>
    <w:pPr>
      <w:suppressAutoHyphens/>
      <w:spacing w:after="60" w:line="240" w:lineRule="atLeast"/>
      <w:jc w:val="center"/>
      <w:outlineLvl w:val="1"/>
    </w:pPr>
    <w:rPr>
      <w:rFonts w:ascii="Arial" w:hAnsi="Arial" w:cs="Arial"/>
      <w:lang w:val="en-GB" w:eastAsia="en-US"/>
    </w:rPr>
  </w:style>
  <w:style w:type="character" w:customStyle="1" w:styleId="SubtitleChar">
    <w:name w:val="Subtitle Char"/>
    <w:basedOn w:val="DefaultParagraphFont"/>
    <w:link w:val="Subtitle"/>
    <w:rsid w:val="00A06831"/>
    <w:rPr>
      <w:rFonts w:ascii="Arial" w:eastAsia="Times New Roman" w:hAnsi="Arial" w:cs="Arial"/>
      <w:sz w:val="24"/>
      <w:szCs w:val="24"/>
      <w:lang w:val="en-GB" w:eastAsia="en-US"/>
    </w:rPr>
  </w:style>
  <w:style w:type="table" w:styleId="Table3Deffects1">
    <w:name w:val="Table 3D effects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6831"/>
    <w:pPr>
      <w:suppressAutoHyphens/>
      <w:spacing w:after="0" w:line="240" w:lineRule="atLeast"/>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6831"/>
    <w:pPr>
      <w:suppressAutoHyphens/>
      <w:spacing w:after="0" w:line="240" w:lineRule="atLeast"/>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6831"/>
    <w:pPr>
      <w:suppressAutoHyphens/>
      <w:spacing w:after="0" w:line="240" w:lineRule="atLeast"/>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6831"/>
    <w:pPr>
      <w:suppressAutoHyphens/>
      <w:spacing w:after="0" w:line="240" w:lineRule="atLeast"/>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6831"/>
    <w:pPr>
      <w:suppressAutoHyphens/>
      <w:spacing w:after="0" w:line="240" w:lineRule="atLeast"/>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6831"/>
    <w:pPr>
      <w:suppressAutoHyphens/>
      <w:spacing w:after="0" w:line="240" w:lineRule="atLeast"/>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06831"/>
    <w:pPr>
      <w:suppressAutoHyphens/>
      <w:spacing w:before="240" w:after="60" w:line="240" w:lineRule="atLeast"/>
      <w:jc w:val="center"/>
      <w:outlineLvl w:val="0"/>
    </w:pPr>
    <w:rPr>
      <w:rFonts w:ascii="Arial" w:hAnsi="Arial" w:cs="Arial"/>
      <w:b/>
      <w:bCs/>
      <w:kern w:val="28"/>
      <w:sz w:val="32"/>
      <w:szCs w:val="32"/>
      <w:lang w:val="en-GB" w:eastAsia="en-US"/>
    </w:rPr>
  </w:style>
  <w:style w:type="character" w:customStyle="1" w:styleId="TitleChar">
    <w:name w:val="Title Char"/>
    <w:basedOn w:val="DefaultParagraphFont"/>
    <w:link w:val="Title"/>
    <w:rsid w:val="00A06831"/>
    <w:rPr>
      <w:rFonts w:ascii="Arial" w:eastAsia="Times New Roman" w:hAnsi="Arial" w:cs="Arial"/>
      <w:b/>
      <w:bCs/>
      <w:kern w:val="28"/>
      <w:sz w:val="32"/>
      <w:szCs w:val="32"/>
      <w:lang w:val="en-GB" w:eastAsia="en-US"/>
    </w:rPr>
  </w:style>
  <w:style w:type="paragraph" w:styleId="EnvelopeAddress">
    <w:name w:val="envelope address"/>
    <w:basedOn w:val="Normal"/>
    <w:rsid w:val="00A06831"/>
    <w:pPr>
      <w:framePr w:w="7920" w:h="1980" w:hRule="exact" w:hSpace="180" w:wrap="auto" w:hAnchor="page" w:xAlign="center" w:yAlign="bottom"/>
      <w:suppressAutoHyphens/>
      <w:spacing w:line="240" w:lineRule="atLeast"/>
      <w:ind w:left="2880"/>
    </w:pPr>
    <w:rPr>
      <w:rFonts w:ascii="Arial" w:hAnsi="Arial" w:cs="Arial"/>
      <w:lang w:val="en-GB" w:eastAsia="en-US"/>
    </w:rPr>
  </w:style>
  <w:style w:type="character" w:customStyle="1" w:styleId="WW-">
    <w:name w:val="WW-Основной шрифт абзаца"/>
    <w:rsid w:val="00A06831"/>
  </w:style>
  <w:style w:type="paragraph" w:styleId="Caption">
    <w:name w:val="caption"/>
    <w:basedOn w:val="Normal"/>
    <w:next w:val="Normal"/>
    <w:uiPriority w:val="35"/>
    <w:unhideWhenUsed/>
    <w:qFormat/>
    <w:rsid w:val="00AB07AB"/>
    <w:pPr>
      <w:spacing w:after="240"/>
      <w:ind w:left="1418"/>
    </w:pPr>
    <w:rPr>
      <w:rFonts w:ascii="Times New Roman Bold" w:hAnsi="Times New Roman Bold"/>
      <w:b/>
    </w:rPr>
  </w:style>
  <w:style w:type="paragraph" w:customStyle="1" w:styleId="Annex1">
    <w:name w:val="Annex1"/>
    <w:basedOn w:val="Normal"/>
    <w:qFormat/>
    <w:rsid w:val="00A06831"/>
    <w:pPr>
      <w:tabs>
        <w:tab w:val="left" w:pos="1700"/>
        <w:tab w:val="right" w:leader="dot" w:pos="8505"/>
      </w:tabs>
      <w:suppressAutoHyphens/>
      <w:spacing w:after="120" w:line="240" w:lineRule="atLeast"/>
      <w:ind w:left="2268" w:right="1134" w:hanging="1134"/>
      <w:jc w:val="both"/>
    </w:pPr>
    <w:rPr>
      <w:sz w:val="20"/>
      <w:szCs w:val="20"/>
      <w:lang w:val="en-GB" w:eastAsia="en-US"/>
    </w:rPr>
  </w:style>
  <w:style w:type="character" w:customStyle="1" w:styleId="FooterChar1">
    <w:name w:val="Footer Char1"/>
    <w:aliases w:val="3_G Char1"/>
    <w:basedOn w:val="DefaultParagraphFont"/>
    <w:uiPriority w:val="99"/>
    <w:semiHidden/>
    <w:rsid w:val="00A06831"/>
    <w:rPr>
      <w:lang w:eastAsia="en-US"/>
    </w:rPr>
  </w:style>
  <w:style w:type="paragraph" w:customStyle="1" w:styleId="ADRSubclause">
    <w:name w:val="ADR Subclause"/>
    <w:basedOn w:val="Subclause"/>
    <w:link w:val="ADRSubclauseChar"/>
    <w:uiPriority w:val="1"/>
    <w:qFormat/>
    <w:rsid w:val="00AE458C"/>
    <w:pPr>
      <w:numPr>
        <w:numId w:val="8"/>
      </w:numPr>
    </w:pPr>
    <w:rPr>
      <w:rFonts w:eastAsiaTheme="minorHAnsi"/>
    </w:rPr>
  </w:style>
  <w:style w:type="character" w:customStyle="1" w:styleId="ADRSubclauseChar">
    <w:name w:val="ADR Subclause Char"/>
    <w:basedOn w:val="DefaultParagraphFont"/>
    <w:link w:val="ADRSubclause"/>
    <w:uiPriority w:val="1"/>
    <w:rsid w:val="00AE458C"/>
    <w:rPr>
      <w:rFonts w:ascii="Times New Roman" w:hAnsi="Times New Roman" w:cs="Times New Roman"/>
      <w:sz w:val="24"/>
      <w:szCs w:val="24"/>
    </w:rPr>
  </w:style>
  <w:style w:type="character" w:customStyle="1" w:styleId="SubclauseChar">
    <w:name w:val="Sub clause Char"/>
    <w:basedOn w:val="DefaultParagraphFont"/>
    <w:link w:val="Subclause"/>
    <w:rsid w:val="005D4290"/>
    <w:rPr>
      <w:rFonts w:ascii="Times New Roman" w:eastAsia="Times New Roman" w:hAnsi="Times New Roman" w:cs="Times New Roman"/>
      <w:sz w:val="24"/>
      <w:szCs w:val="24"/>
    </w:rPr>
  </w:style>
  <w:style w:type="paragraph" w:customStyle="1" w:styleId="HeadingA">
    <w:name w:val="Heading A"/>
    <w:basedOn w:val="Heading2"/>
    <w:link w:val="HeadingAChar"/>
    <w:qFormat/>
    <w:rsid w:val="00BC0559"/>
    <w:pPr>
      <w:numPr>
        <w:numId w:val="0"/>
      </w:numPr>
      <w:jc w:val="center"/>
    </w:pPr>
    <w:rPr>
      <w:rFonts w:ascii="Times New Roman Bold" w:hAnsi="Times New Roman Bold"/>
    </w:rPr>
  </w:style>
  <w:style w:type="character" w:customStyle="1" w:styleId="HeadingAChar">
    <w:name w:val="Heading A Char"/>
    <w:basedOn w:val="Heading2Char"/>
    <w:link w:val="HeadingA"/>
    <w:rsid w:val="00BC0559"/>
    <w:rPr>
      <w:rFonts w:ascii="Times New Roman Bold" w:eastAsia="Times New Roman" w:hAnsi="Times New Roman Bold" w:cs="Times New Roman"/>
      <w:b/>
      <w:caps/>
      <w:sz w:val="24"/>
      <w:szCs w:val="24"/>
    </w:rPr>
  </w:style>
  <w:style w:type="paragraph" w:customStyle="1" w:styleId="Appendixsubheading">
    <w:name w:val="Appendix sub heading"/>
    <w:basedOn w:val="Normal"/>
    <w:qFormat/>
    <w:rsid w:val="005101D5"/>
    <w:pPr>
      <w:tabs>
        <w:tab w:val="left" w:pos="1134"/>
      </w:tabs>
      <w:ind w:left="1134"/>
    </w:pPr>
    <w:rPr>
      <w:b/>
    </w:rPr>
  </w:style>
  <w:style w:type="paragraph" w:customStyle="1" w:styleId="Alphalist">
    <w:name w:val="Alpha list"/>
    <w:basedOn w:val="Appendix-Subclause"/>
    <w:link w:val="AlphalistChar"/>
    <w:qFormat/>
    <w:rsid w:val="00DF2068"/>
    <w:pPr>
      <w:tabs>
        <w:tab w:val="left" w:pos="1588"/>
        <w:tab w:val="num" w:pos="1957"/>
        <w:tab w:val="num" w:pos="2523"/>
      </w:tabs>
      <w:ind w:left="1588" w:hanging="454"/>
    </w:pPr>
  </w:style>
  <w:style w:type="paragraph" w:customStyle="1" w:styleId="Appendix-Smallromannumeralslist">
    <w:name w:val="Appendix - Small roman numerals list"/>
    <w:basedOn w:val="Alphalist"/>
    <w:qFormat/>
    <w:rsid w:val="00DF2068"/>
    <w:pPr>
      <w:numPr>
        <w:ilvl w:val="5"/>
      </w:numPr>
      <w:tabs>
        <w:tab w:val="num" w:pos="1957"/>
      </w:tabs>
      <w:ind w:left="1588" w:hanging="454"/>
    </w:pPr>
  </w:style>
  <w:style w:type="paragraph" w:customStyle="1" w:styleId="Appendix-ClauseHeading">
    <w:name w:val="Appendix - Clause Heading"/>
    <w:basedOn w:val="Normal"/>
    <w:next w:val="Appendix-Subclause"/>
    <w:qFormat/>
    <w:rsid w:val="00155219"/>
    <w:pPr>
      <w:keepNext/>
      <w:spacing w:before="240" w:after="120"/>
    </w:pPr>
    <w:rPr>
      <w:rFonts w:ascii="Times New Roman Bold" w:hAnsi="Times New Roman Bold" w:cs="Arial"/>
      <w:b/>
      <w:bCs/>
      <w:iCs/>
      <w:kern w:val="32"/>
    </w:rPr>
  </w:style>
  <w:style w:type="paragraph" w:customStyle="1" w:styleId="Appendix-Subclause">
    <w:name w:val="Appendix - Sub clause"/>
    <w:link w:val="Appendix-SubclauseChar"/>
    <w:qFormat/>
    <w:rsid w:val="00DF2068"/>
    <w:pPr>
      <w:spacing w:before="120" w:after="120" w:line="240" w:lineRule="auto"/>
    </w:pPr>
    <w:rPr>
      <w:rFonts w:ascii="Times New Roman" w:eastAsia="Times New Roman" w:hAnsi="Times New Roman" w:cs="Times New Roman"/>
      <w:sz w:val="24"/>
      <w:szCs w:val="24"/>
    </w:rPr>
  </w:style>
  <w:style w:type="paragraph" w:customStyle="1" w:styleId="Appendix-Subsubclause">
    <w:name w:val="Appendix - Subsub clause"/>
    <w:qFormat/>
    <w:rsid w:val="00DF2068"/>
    <w:pPr>
      <w:spacing w:before="120" w:after="120" w:line="240" w:lineRule="auto"/>
    </w:pPr>
    <w:rPr>
      <w:rFonts w:ascii="Times New Roman" w:eastAsia="Times New Roman" w:hAnsi="Times New Roman" w:cs="Times New Roman"/>
      <w:sz w:val="24"/>
      <w:szCs w:val="24"/>
    </w:rPr>
  </w:style>
  <w:style w:type="paragraph" w:customStyle="1" w:styleId="Appendix-Subsubsubclause">
    <w:name w:val="Appendix - Subsubsub clause"/>
    <w:link w:val="Appendix-SubsubsubclauseChar"/>
    <w:qFormat/>
    <w:rsid w:val="00DF2068"/>
    <w:pPr>
      <w:spacing w:before="120" w:after="120" w:line="240" w:lineRule="auto"/>
    </w:pPr>
    <w:rPr>
      <w:rFonts w:ascii="Times New Roman" w:eastAsia="Times New Roman" w:hAnsi="Times New Roman" w:cs="Times New Roman"/>
      <w:sz w:val="24"/>
      <w:szCs w:val="24"/>
    </w:rPr>
  </w:style>
  <w:style w:type="paragraph" w:customStyle="1" w:styleId="AlphaList0">
    <w:name w:val="Alpha List"/>
    <w:basedOn w:val="Alphalist"/>
    <w:link w:val="AlphaListChar0"/>
    <w:rsid w:val="00C77E16"/>
    <w:pPr>
      <w:tabs>
        <w:tab w:val="clear" w:pos="1957"/>
      </w:tabs>
      <w:ind w:left="2523" w:hanging="397"/>
    </w:pPr>
  </w:style>
  <w:style w:type="character" w:customStyle="1" w:styleId="Appendix-SubclauseChar">
    <w:name w:val="Appendix - Sub clause Char"/>
    <w:basedOn w:val="DefaultParagraphFont"/>
    <w:link w:val="Appendix-Subclause"/>
    <w:rsid w:val="009F4236"/>
    <w:rPr>
      <w:rFonts w:ascii="Times New Roman" w:eastAsia="Times New Roman" w:hAnsi="Times New Roman" w:cs="Times New Roman"/>
      <w:sz w:val="24"/>
      <w:szCs w:val="24"/>
    </w:rPr>
  </w:style>
  <w:style w:type="character" w:customStyle="1" w:styleId="AlphalistChar">
    <w:name w:val="Alpha list Char"/>
    <w:basedOn w:val="Appendix-SubclauseChar"/>
    <w:link w:val="Alphalist"/>
    <w:rsid w:val="009F4236"/>
    <w:rPr>
      <w:rFonts w:ascii="Times New Roman" w:eastAsia="Times New Roman" w:hAnsi="Times New Roman" w:cs="Times New Roman"/>
      <w:sz w:val="24"/>
      <w:szCs w:val="24"/>
    </w:rPr>
  </w:style>
  <w:style w:type="character" w:customStyle="1" w:styleId="AlphaListChar0">
    <w:name w:val="Alpha List Char"/>
    <w:basedOn w:val="AlphalistChar"/>
    <w:link w:val="AlphaList0"/>
    <w:rsid w:val="00C77E16"/>
    <w:rPr>
      <w:rFonts w:ascii="Times New Roman" w:eastAsia="Times New Roman" w:hAnsi="Times New Roman" w:cs="Times New Roman"/>
      <w:sz w:val="24"/>
      <w:szCs w:val="24"/>
    </w:rPr>
  </w:style>
  <w:style w:type="paragraph" w:customStyle="1" w:styleId="Subclausebold">
    <w:name w:val="Sub clause bold"/>
    <w:basedOn w:val="Subclause"/>
    <w:link w:val="SubclauseboldChar"/>
    <w:qFormat/>
    <w:rsid w:val="000A4117"/>
    <w:rPr>
      <w:b/>
    </w:rPr>
  </w:style>
  <w:style w:type="character" w:customStyle="1" w:styleId="SubclauseboldChar">
    <w:name w:val="Sub clause bold Char"/>
    <w:basedOn w:val="SubclauseChar"/>
    <w:link w:val="Subclausebold"/>
    <w:rsid w:val="000A4117"/>
    <w:rPr>
      <w:rFonts w:ascii="Times New Roman" w:eastAsia="Times New Roman" w:hAnsi="Times New Roman" w:cs="Times New Roman"/>
      <w:b/>
      <w:sz w:val="24"/>
      <w:szCs w:val="24"/>
    </w:rPr>
  </w:style>
  <w:style w:type="paragraph" w:customStyle="1" w:styleId="Clause-smallromannumeralslist">
    <w:name w:val="Clause - small roman numerals list"/>
    <w:basedOn w:val="Appendix-Smallromannumeralslist"/>
    <w:link w:val="Clause-smallromannumeralslistChar"/>
    <w:qFormat/>
    <w:rsid w:val="00CA2CB7"/>
  </w:style>
  <w:style w:type="character" w:customStyle="1" w:styleId="Clause-smallromannumeralslistChar">
    <w:name w:val="Clause - small roman numerals list Char"/>
    <w:basedOn w:val="DefaultParagraphFont"/>
    <w:link w:val="Clause-smallromannumeralslist"/>
    <w:rsid w:val="00CA2CB7"/>
    <w:rPr>
      <w:rFonts w:ascii="Times New Roman" w:eastAsia="Times New Roman" w:hAnsi="Times New Roman" w:cs="Times New Roman"/>
      <w:sz w:val="24"/>
      <w:szCs w:val="24"/>
    </w:rPr>
  </w:style>
  <w:style w:type="paragraph" w:customStyle="1" w:styleId="AppendixHeading">
    <w:name w:val="Appendix Heading"/>
    <w:basedOn w:val="Heading1"/>
    <w:qFormat/>
    <w:rsid w:val="00DD7109"/>
    <w:pPr>
      <w:keepNext/>
      <w:suppressAutoHyphens w:val="0"/>
      <w:spacing w:before="240" w:after="60"/>
      <w:ind w:left="0"/>
      <w:jc w:val="center"/>
    </w:pPr>
    <w:rPr>
      <w:b/>
      <w:bCs/>
      <w:kern w:val="32"/>
      <w:sz w:val="24"/>
      <w:szCs w:val="32"/>
      <w:lang w:val="en-AU"/>
    </w:rPr>
  </w:style>
  <w:style w:type="paragraph" w:customStyle="1" w:styleId="Appendix-Alphalist">
    <w:name w:val="Appendix - Alpha list"/>
    <w:basedOn w:val="Appendix-Subclause"/>
    <w:qFormat/>
    <w:rsid w:val="00DD7109"/>
    <w:pPr>
      <w:tabs>
        <w:tab w:val="left" w:pos="1588"/>
        <w:tab w:val="num" w:pos="1957"/>
        <w:tab w:val="num" w:pos="2523"/>
      </w:tabs>
      <w:ind w:left="1588" w:hanging="454"/>
    </w:pPr>
  </w:style>
  <w:style w:type="paragraph" w:customStyle="1" w:styleId="Appendixsubx4">
    <w:name w:val="Appendix subx4"/>
    <w:basedOn w:val="subx4clause"/>
    <w:link w:val="Appendixsubx4Char"/>
    <w:qFormat/>
    <w:rsid w:val="00F256EC"/>
    <w:pPr>
      <w:numPr>
        <w:numId w:val="24"/>
      </w:numPr>
    </w:pPr>
  </w:style>
  <w:style w:type="character" w:customStyle="1" w:styleId="Appendix-SubsubsubclauseChar">
    <w:name w:val="Appendix - Subsubsub clause Char"/>
    <w:basedOn w:val="DefaultParagraphFont"/>
    <w:link w:val="Appendix-Subsubsubclause"/>
    <w:rsid w:val="00812833"/>
    <w:rPr>
      <w:rFonts w:ascii="Times New Roman" w:eastAsia="Times New Roman" w:hAnsi="Times New Roman" w:cs="Times New Roman"/>
      <w:sz w:val="24"/>
      <w:szCs w:val="24"/>
    </w:rPr>
  </w:style>
  <w:style w:type="character" w:customStyle="1" w:styleId="subx4clauseChar">
    <w:name w:val="subx4 clause Char"/>
    <w:basedOn w:val="Appendix-SubsubsubclauseChar"/>
    <w:link w:val="subx4clause"/>
    <w:rsid w:val="00D81FF1"/>
    <w:rPr>
      <w:rFonts w:ascii="Times New Roman" w:eastAsia="Times New Roman" w:hAnsi="Times New Roman" w:cs="Times New Roman"/>
      <w:sz w:val="24"/>
      <w:szCs w:val="24"/>
    </w:rPr>
  </w:style>
  <w:style w:type="character" w:customStyle="1" w:styleId="Appendixsubx4Char">
    <w:name w:val="Appendix subx4 Char"/>
    <w:basedOn w:val="subx4clauseChar"/>
    <w:link w:val="Appendixsubx4"/>
    <w:rsid w:val="00F256EC"/>
    <w:rPr>
      <w:rFonts w:ascii="Times New Roman" w:eastAsia="Times New Roman" w:hAnsi="Times New Roman" w:cs="Times New Roman"/>
      <w:sz w:val="24"/>
      <w:szCs w:val="24"/>
    </w:rPr>
  </w:style>
  <w:style w:type="table" w:customStyle="1" w:styleId="TableGrid0">
    <w:name w:val="TableGrid"/>
    <w:rsid w:val="006B0C5C"/>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C956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2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B128-175C-4E01-BC71-628286E12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93AF-E85C-45F8-8281-5456C148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24A1B-E63F-44B0-A48E-78292354E12C}">
  <ds:schemaRefs>
    <ds:schemaRef ds:uri="http://schemas.microsoft.com/office/2006/metadata/properties"/>
    <ds:schemaRef ds:uri="http://schemas.microsoft.com/office/infopath/2007/PartnerControls"/>
    <ds:schemaRef ds:uri="C3A693AF-E85C-45F8-8281-5456C148A9F4"/>
  </ds:schemaRefs>
</ds:datastoreItem>
</file>

<file path=customXml/itemProps3.xml><?xml version="1.0" encoding="utf-8"?>
<ds:datastoreItem xmlns:ds="http://schemas.openxmlformats.org/officeDocument/2006/customXml" ds:itemID="{ED9CA2F7-F316-47E9-9A4A-5C7FB6C0F41E}">
  <ds:schemaRefs>
    <ds:schemaRef ds:uri="http://schemas.microsoft.com/sharepoint/v3/contenttype/forms"/>
  </ds:schemaRefs>
</ds:datastoreItem>
</file>

<file path=customXml/itemProps4.xml><?xml version="1.0" encoding="utf-8"?>
<ds:datastoreItem xmlns:ds="http://schemas.openxmlformats.org/officeDocument/2006/customXml" ds:itemID="{0A896540-0994-49EF-843B-1A079C88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28</Pages>
  <Words>6431</Words>
  <Characters>36660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Connell Heidi10</dc:creator>
  <cp:lastModifiedBy>BELCHER Thomas</cp:lastModifiedBy>
  <cp:revision>103</cp:revision>
  <cp:lastPrinted>2018-08-28T05:13:00Z</cp:lastPrinted>
  <dcterms:created xsi:type="dcterms:W3CDTF">2018-09-17T01:00:00Z</dcterms:created>
  <dcterms:modified xsi:type="dcterms:W3CDTF">2018-10-29T02:15:00Z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0x010100266966F133664895A6EE3632470D45F500806A60DF7339FD468706769E1C3EB95C</vt:lpwstr>
  </property>
</Properties>
</file>