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53EB5" w14:textId="77777777" w:rsidR="00565C2F" w:rsidRDefault="00E302F2" w:rsidP="00CD7F2B">
      <w:pPr>
        <w:spacing w:after="240"/>
        <w:ind w:right="91"/>
        <w:jc w:val="center"/>
        <w:rPr>
          <w:b/>
          <w:u w:val="single"/>
        </w:rPr>
      </w:pPr>
      <w:r>
        <w:rPr>
          <w:b/>
          <w:u w:val="single"/>
        </w:rPr>
        <w:t xml:space="preserve">EXPLANATORY </w:t>
      </w:r>
      <w:r w:rsidR="00565C2F">
        <w:rPr>
          <w:b/>
          <w:u w:val="single"/>
        </w:rPr>
        <w:t>STATEMENT</w:t>
      </w:r>
    </w:p>
    <w:p w14:paraId="3103678B" w14:textId="77777777" w:rsidR="00E302F2" w:rsidRPr="00565C2F" w:rsidRDefault="00565C2F" w:rsidP="00CD7F2B">
      <w:pPr>
        <w:spacing w:after="240"/>
        <w:ind w:right="372"/>
        <w:jc w:val="center"/>
        <w:rPr>
          <w:b/>
          <w:szCs w:val="20"/>
          <w:lang w:eastAsia="en-AU"/>
        </w:rPr>
      </w:pPr>
      <w:r w:rsidRPr="00565C2F">
        <w:rPr>
          <w:b/>
          <w:szCs w:val="20"/>
          <w:lang w:eastAsia="en-AU"/>
        </w:rPr>
        <w:t>Issued by the Authority of the Minister for Finance</w:t>
      </w:r>
      <w:r w:rsidR="004C4B08">
        <w:rPr>
          <w:b/>
          <w:szCs w:val="20"/>
          <w:lang w:eastAsia="en-AU"/>
        </w:rPr>
        <w:t xml:space="preserve"> and the Public Service</w:t>
      </w:r>
    </w:p>
    <w:p w14:paraId="6AA80567" w14:textId="77777777" w:rsidR="006013C7" w:rsidRPr="00565C2F" w:rsidRDefault="008911D0" w:rsidP="00CD7F2B">
      <w:pPr>
        <w:spacing w:after="240"/>
        <w:ind w:right="372"/>
        <w:jc w:val="center"/>
        <w:rPr>
          <w:i/>
          <w:szCs w:val="20"/>
          <w:lang w:eastAsia="en-AU"/>
        </w:rPr>
      </w:pPr>
      <w:r w:rsidRPr="00565C2F">
        <w:rPr>
          <w:i/>
          <w:szCs w:val="20"/>
          <w:lang w:eastAsia="en-AU"/>
        </w:rPr>
        <w:t>Judges’ P</w:t>
      </w:r>
      <w:r w:rsidR="006013C7" w:rsidRPr="00565C2F">
        <w:rPr>
          <w:i/>
          <w:szCs w:val="20"/>
          <w:lang w:eastAsia="en-AU"/>
        </w:rPr>
        <w:t>ensions Act 1968</w:t>
      </w:r>
    </w:p>
    <w:p w14:paraId="4AE42C50" w14:textId="77777777" w:rsidR="00E302F2" w:rsidRPr="00565C2F" w:rsidRDefault="006013C7" w:rsidP="00CD7F2B">
      <w:pPr>
        <w:spacing w:after="240"/>
        <w:ind w:right="372"/>
        <w:jc w:val="center"/>
        <w:rPr>
          <w:i/>
          <w:szCs w:val="20"/>
          <w:lang w:eastAsia="en-AU"/>
        </w:rPr>
      </w:pPr>
      <w:r w:rsidRPr="00565C2F">
        <w:rPr>
          <w:i/>
          <w:szCs w:val="20"/>
          <w:lang w:eastAsia="en-AU"/>
        </w:rPr>
        <w:t>Judges’ Pensions Amendment Regulations 2018</w:t>
      </w:r>
    </w:p>
    <w:p w14:paraId="197CD9EE" w14:textId="2CBB7DCA" w:rsidR="00F15C15" w:rsidRDefault="00E302F2" w:rsidP="00CD7F2B">
      <w:pPr>
        <w:spacing w:after="240"/>
        <w:ind w:right="91"/>
      </w:pPr>
      <w:r>
        <w:t xml:space="preserve">The </w:t>
      </w:r>
      <w:r w:rsidR="008911D0">
        <w:rPr>
          <w:i/>
        </w:rPr>
        <w:t>Judges’ P</w:t>
      </w:r>
      <w:r w:rsidR="007E49FC" w:rsidRPr="007E49FC">
        <w:rPr>
          <w:i/>
        </w:rPr>
        <w:t>ensions Act 1968</w:t>
      </w:r>
      <w:r>
        <w:t xml:space="preserve"> (the Act) </w:t>
      </w:r>
      <w:r w:rsidR="008911D0" w:rsidRPr="008911D0">
        <w:t>establishes the Judges’ Pension</w:t>
      </w:r>
      <w:r w:rsidR="00DA7A5B">
        <w:t>s</w:t>
      </w:r>
      <w:r w:rsidR="008911D0" w:rsidRPr="008911D0">
        <w:t xml:space="preserve"> Scheme</w:t>
      </w:r>
      <w:r w:rsidR="00877D05">
        <w:t xml:space="preserve"> (JPS)</w:t>
      </w:r>
      <w:r w:rsidR="008911D0" w:rsidRPr="008911D0">
        <w:t xml:space="preserve">, </w:t>
      </w:r>
      <w:r w:rsidR="00B5149A" w:rsidRPr="00B5149A">
        <w:t xml:space="preserve">which provides superannuation benefits for office holders who fall under the definition of </w:t>
      </w:r>
      <w:r w:rsidR="00F70544">
        <w:t>‘</w:t>
      </w:r>
      <w:r w:rsidR="00B5149A" w:rsidRPr="00B5149A">
        <w:t>Judge</w:t>
      </w:r>
      <w:r w:rsidR="00F70544">
        <w:t>’</w:t>
      </w:r>
      <w:r w:rsidR="00B5149A" w:rsidRPr="00B5149A">
        <w:t xml:space="preserve"> in that Act.</w:t>
      </w:r>
    </w:p>
    <w:p w14:paraId="3FD49279" w14:textId="7D3E9A02" w:rsidR="00F15C15" w:rsidRDefault="00BD3A0F" w:rsidP="00CD7F2B">
      <w:pPr>
        <w:spacing w:after="240"/>
        <w:ind w:right="91"/>
      </w:pPr>
      <w:r>
        <w:t>Commonwealth j</w:t>
      </w:r>
      <w:r w:rsidR="00F15C15" w:rsidRPr="00F15C15">
        <w:t xml:space="preserve">udges who are members of </w:t>
      </w:r>
      <w:r w:rsidR="00F15C15">
        <w:t xml:space="preserve">JPS </w:t>
      </w:r>
      <w:r w:rsidR="00F15C15" w:rsidRPr="00F15C15">
        <w:t>are not subject to Division 293 tax</w:t>
      </w:r>
      <w:r w:rsidR="00F15C15">
        <w:t>, which reduces the superannuation tax concessions of very high income earners.</w:t>
      </w:r>
      <w:r w:rsidR="00F15C15" w:rsidRPr="00F15C15">
        <w:t xml:space="preserve"> However, there are a small number of non-judges that have been granted the same status as judges for the purpose of membership of the </w:t>
      </w:r>
      <w:r w:rsidR="00F15C15">
        <w:t>JPS</w:t>
      </w:r>
      <w:r w:rsidR="00F15C15" w:rsidRPr="00F15C15">
        <w:t>. These non-judge members, and any future non</w:t>
      </w:r>
      <w:r w:rsidR="00085DC9">
        <w:noBreakHyphen/>
      </w:r>
      <w:r w:rsidR="00F15C15" w:rsidRPr="00F15C15">
        <w:t>judge members, are subject to Division 293 tax.</w:t>
      </w:r>
    </w:p>
    <w:p w14:paraId="5862CFC1" w14:textId="7217D687" w:rsidR="00C128E8" w:rsidRDefault="006B6DFA" w:rsidP="00CD7F2B">
      <w:pPr>
        <w:spacing w:after="240"/>
        <w:ind w:right="91"/>
      </w:pPr>
      <w:r>
        <w:t>The Act a</w:t>
      </w:r>
      <w:r w:rsidRPr="006B6DFA">
        <w:t>llow</w:t>
      </w:r>
      <w:r>
        <w:t>s</w:t>
      </w:r>
      <w:r w:rsidRPr="006B6DFA">
        <w:t xml:space="preserve"> </w:t>
      </w:r>
      <w:r w:rsidR="00F15C15" w:rsidRPr="00F15C15">
        <w:t xml:space="preserve">non-judge </w:t>
      </w:r>
      <w:r w:rsidRPr="006B6DFA">
        <w:t xml:space="preserve">members of the JPS to request that a lump sum amount </w:t>
      </w:r>
      <w:r w:rsidR="004009CB">
        <w:t xml:space="preserve">be paid </w:t>
      </w:r>
      <w:r w:rsidRPr="006B6DFA">
        <w:t>from the scheme to meet t</w:t>
      </w:r>
      <w:r>
        <w:t>heir Division 293 tax liability</w:t>
      </w:r>
      <w:r w:rsidR="00D17036">
        <w:t xml:space="preserve"> and</w:t>
      </w:r>
      <w:r w:rsidR="001E7D63">
        <w:t>,</w:t>
      </w:r>
      <w:r w:rsidR="00D17036">
        <w:t xml:space="preserve"> </w:t>
      </w:r>
      <w:r w:rsidR="001E7D63">
        <w:t xml:space="preserve">as a consequence, </w:t>
      </w:r>
      <w:r w:rsidR="00D17036">
        <w:t>accept</w:t>
      </w:r>
      <w:r w:rsidR="00D17036" w:rsidRPr="00D17036">
        <w:t xml:space="preserve"> a permanent </w:t>
      </w:r>
      <w:r w:rsidR="00CA7BA7">
        <w:t>reduction in their JPS pension.</w:t>
      </w:r>
      <w:r w:rsidR="00B3066B">
        <w:t xml:space="preserve"> The pension is reduced to offset the member’s Division 293 tax liability that has been assessed by the Australian Taxation Office.</w:t>
      </w:r>
    </w:p>
    <w:p w14:paraId="61C90C82" w14:textId="2E9E97ED" w:rsidR="001B3755" w:rsidRDefault="00D17036" w:rsidP="00CD7F2B">
      <w:pPr>
        <w:spacing w:after="240"/>
        <w:ind w:right="91"/>
      </w:pPr>
      <w:r>
        <w:t xml:space="preserve">The </w:t>
      </w:r>
      <w:r w:rsidRPr="00565C2F">
        <w:rPr>
          <w:i/>
          <w:szCs w:val="20"/>
          <w:lang w:eastAsia="en-AU"/>
        </w:rPr>
        <w:t>Judges’ Pensions Amendment Regulations 2018</w:t>
      </w:r>
      <w:r>
        <w:t xml:space="preserve"> </w:t>
      </w:r>
      <w:r w:rsidR="00F42FDA">
        <w:t>(the</w:t>
      </w:r>
      <w:r w:rsidR="000055A3">
        <w:t xml:space="preserve"> </w:t>
      </w:r>
      <w:r w:rsidR="00F42FDA">
        <w:t xml:space="preserve">Regulations) </w:t>
      </w:r>
      <w:r w:rsidR="00DF30D7">
        <w:t xml:space="preserve">amend the </w:t>
      </w:r>
      <w:r w:rsidR="00DF30D7" w:rsidRPr="00F35FE3">
        <w:rPr>
          <w:i/>
        </w:rPr>
        <w:t>Judges’ Pensions Regulations 1998</w:t>
      </w:r>
      <w:r w:rsidR="00DF30D7">
        <w:t xml:space="preserve"> to </w:t>
      </w:r>
      <w:r>
        <w:t>prescribe the relevant age factor</w:t>
      </w:r>
      <w:r w:rsidR="00E16575">
        <w:t>s</w:t>
      </w:r>
      <w:r>
        <w:t xml:space="preserve"> </w:t>
      </w:r>
      <w:r w:rsidR="00C128E8">
        <w:t>which are</w:t>
      </w:r>
      <w:r w:rsidR="00EE5B64">
        <w:t xml:space="preserve"> </w:t>
      </w:r>
      <w:r w:rsidR="00C82ECB">
        <w:t xml:space="preserve">required </w:t>
      </w:r>
      <w:r w:rsidRPr="00D17036">
        <w:t xml:space="preserve">to </w:t>
      </w:r>
      <w:r w:rsidR="00F70544">
        <w:t>calculate</w:t>
      </w:r>
      <w:r w:rsidRPr="00D17036">
        <w:t xml:space="preserve"> this </w:t>
      </w:r>
      <w:r w:rsidR="006B2FED">
        <w:t xml:space="preserve">pension </w:t>
      </w:r>
      <w:r w:rsidRPr="00D17036">
        <w:t>reduction</w:t>
      </w:r>
      <w:r w:rsidR="00364D64">
        <w:t xml:space="preserve"> under the Act</w:t>
      </w:r>
      <w:r w:rsidRPr="00D17036">
        <w:t>.</w:t>
      </w:r>
    </w:p>
    <w:p w14:paraId="78F1B88E" w14:textId="77777777" w:rsidR="00C82ECB" w:rsidRDefault="00C128E8" w:rsidP="00CD7F2B">
      <w:pPr>
        <w:spacing w:after="240"/>
        <w:ind w:right="91"/>
      </w:pPr>
      <w:r>
        <w:t xml:space="preserve">The changes will align with </w:t>
      </w:r>
      <w:r w:rsidR="00C82ECB">
        <w:t xml:space="preserve">arrangements for Division 293 tax purposes in other Commonwealth government defined benefit </w:t>
      </w:r>
      <w:r>
        <w:t xml:space="preserve">superannuation </w:t>
      </w:r>
      <w:r w:rsidR="00C82ECB">
        <w:t>schemes.</w:t>
      </w:r>
    </w:p>
    <w:p w14:paraId="6C421DEA" w14:textId="77777777" w:rsidR="00E302F2" w:rsidRDefault="00DA7A5B" w:rsidP="00CD7F2B">
      <w:pPr>
        <w:spacing w:after="240"/>
        <w:ind w:right="91"/>
      </w:pPr>
      <w:r w:rsidRPr="00DA7A5B">
        <w:t>Section 21 of the Act provides that the Governor-General may make regulations prescribing matters required or permitted by the Act to be prescribed, or necessary or convenient to be prescribed for carrying out or giving effect to the Act</w:t>
      </w:r>
      <w:r w:rsidR="00E302F2">
        <w:t>.</w:t>
      </w:r>
    </w:p>
    <w:p w14:paraId="3F827D70" w14:textId="77777777" w:rsidR="00200A7B" w:rsidRDefault="00200A7B" w:rsidP="00CD7F2B">
      <w:pPr>
        <w:spacing w:after="240"/>
      </w:pPr>
      <w:r>
        <w:t xml:space="preserve">The authority to prescribe the age factors </w:t>
      </w:r>
      <w:r w:rsidR="00B22F60">
        <w:t xml:space="preserve">for Division 293 purposes </w:t>
      </w:r>
      <w:r>
        <w:t xml:space="preserve">in the Regulations derives from </w:t>
      </w:r>
      <w:r w:rsidRPr="00200A7B">
        <w:t>subsection</w:t>
      </w:r>
      <w:r w:rsidR="00737DED">
        <w:t xml:space="preserve"> </w:t>
      </w:r>
      <w:r>
        <w:t>17AN(4) of the</w:t>
      </w:r>
      <w:r w:rsidRPr="00DA7A5B">
        <w:t xml:space="preserve"> Act</w:t>
      </w:r>
      <w:r>
        <w:t xml:space="preserve">. The authority to </w:t>
      </w:r>
      <w:r w:rsidR="00604E29">
        <w:t xml:space="preserve">amend the </w:t>
      </w:r>
      <w:r w:rsidR="00F35FE3" w:rsidRPr="00F35FE3">
        <w:rPr>
          <w:i/>
        </w:rPr>
        <w:t>Judges’ Pensions Regulations 1998</w:t>
      </w:r>
      <w:r>
        <w:t xml:space="preserve"> derives from s</w:t>
      </w:r>
      <w:r w:rsidRPr="00CA309C">
        <w:t xml:space="preserve">ubsection 33(3) of the </w:t>
      </w:r>
      <w:r w:rsidRPr="00CA309C">
        <w:rPr>
          <w:i/>
        </w:rPr>
        <w:t xml:space="preserve">Acts Interpretation Act </w:t>
      </w:r>
      <w:r w:rsidR="00737DED" w:rsidRPr="00CA309C">
        <w:rPr>
          <w:i/>
        </w:rPr>
        <w:t>1901</w:t>
      </w:r>
      <w:r w:rsidR="00737DED" w:rsidRPr="00CA309C">
        <w:t xml:space="preserve"> which</w:t>
      </w:r>
      <w:r>
        <w:t xml:space="preserve"> </w:t>
      </w:r>
      <w:r w:rsidRPr="00CA309C">
        <w:t xml:space="preserve">provides, among other things, that where an Act confers power to make regulations the power shall, unless the contrary intention appears, be construed as including a power, exercisable in like manner, to amend </w:t>
      </w:r>
      <w:r>
        <w:t xml:space="preserve">the </w:t>
      </w:r>
      <w:r w:rsidR="00A31F8B">
        <w:t>r</w:t>
      </w:r>
      <w:r>
        <w:t>egulation</w:t>
      </w:r>
      <w:r w:rsidRPr="00CA309C">
        <w:t>s. No such contrary intention appears in the Act.</w:t>
      </w:r>
    </w:p>
    <w:p w14:paraId="0C130D07" w14:textId="77777777" w:rsidR="00200A7B" w:rsidRDefault="00200A7B" w:rsidP="00CD7F2B">
      <w:pPr>
        <w:spacing w:after="240"/>
      </w:pPr>
      <w:r>
        <w:t xml:space="preserve">The </w:t>
      </w:r>
      <w:r w:rsidRPr="00AB1261">
        <w:t>Act</w:t>
      </w:r>
      <w:r w:rsidRPr="00503E44">
        <w:t xml:space="preserve"> </w:t>
      </w:r>
      <w:r>
        <w:t>does not specify any conditions that need to be satisfied before the power to make the Regulation</w:t>
      </w:r>
      <w:r w:rsidR="000D2173">
        <w:t>s</w:t>
      </w:r>
      <w:r>
        <w:t xml:space="preserve"> may be exercised.</w:t>
      </w:r>
    </w:p>
    <w:p w14:paraId="51E78921" w14:textId="3D84114F" w:rsidR="001378A4" w:rsidRDefault="001378A4" w:rsidP="00CD7F2B">
      <w:pPr>
        <w:pStyle w:val="Default"/>
        <w:spacing w:after="240"/>
      </w:pPr>
      <w:r>
        <w:t>The Regulation</w:t>
      </w:r>
      <w:r w:rsidR="000D2173">
        <w:t>s</w:t>
      </w:r>
      <w:r>
        <w:t xml:space="preserve"> </w:t>
      </w:r>
      <w:r w:rsidR="00900AC0">
        <w:t>are</w:t>
      </w:r>
      <w:r>
        <w:t xml:space="preserve"> a legislative instrument for the purposes of the </w:t>
      </w:r>
      <w:r w:rsidR="00D94B05">
        <w:rPr>
          <w:i/>
          <w:iCs/>
          <w:sz w:val="23"/>
          <w:szCs w:val="23"/>
        </w:rPr>
        <w:t>Legislation Act 2003</w:t>
      </w:r>
      <w:r>
        <w:t xml:space="preserve">. </w:t>
      </w:r>
      <w:r w:rsidR="00F70544">
        <w:t>T</w:t>
      </w:r>
      <w:r>
        <w:t xml:space="preserve">he </w:t>
      </w:r>
      <w:r w:rsidRPr="008F7774">
        <w:t>Regulation</w:t>
      </w:r>
      <w:r w:rsidR="000D2173">
        <w:t>s</w:t>
      </w:r>
      <w:r w:rsidRPr="008F7774">
        <w:t xml:space="preserve"> </w:t>
      </w:r>
      <w:r w:rsidR="00900AC0">
        <w:t>are</w:t>
      </w:r>
      <w:r>
        <w:t xml:space="preserve"> exempt</w:t>
      </w:r>
      <w:r w:rsidRPr="008F7774">
        <w:t xml:space="preserve"> from sunsetting by item </w:t>
      </w:r>
      <w:r>
        <w:t>36</w:t>
      </w:r>
      <w:r w:rsidRPr="008F7774">
        <w:t xml:space="preserve"> of the table in </w:t>
      </w:r>
      <w:r w:rsidR="00A015DF">
        <w:t>s</w:t>
      </w:r>
      <w:r>
        <w:t xml:space="preserve">ection 12 </w:t>
      </w:r>
      <w:r w:rsidRPr="008F7774">
        <w:t xml:space="preserve">of the </w:t>
      </w:r>
      <w:r w:rsidRPr="008F7774">
        <w:rPr>
          <w:i/>
        </w:rPr>
        <w:t>Legislation (Exemptions and Other Matters) Regulation 2015</w:t>
      </w:r>
      <w:r w:rsidRPr="008F7774">
        <w:t>.</w:t>
      </w:r>
    </w:p>
    <w:p w14:paraId="3A848AAF" w14:textId="77777777" w:rsidR="00AE1E21" w:rsidRDefault="00CF3DF8" w:rsidP="00AE1E21">
      <w:pPr>
        <w:spacing w:after="240"/>
      </w:pPr>
      <w:r>
        <w:t>C</w:t>
      </w:r>
      <w:r w:rsidR="00AE1E21">
        <w:t>onsultation was considered unnecessary as the Regulation</w:t>
      </w:r>
      <w:r w:rsidR="003C2529">
        <w:t>s</w:t>
      </w:r>
      <w:r w:rsidR="00AE1E21" w:rsidRPr="00B448BE">
        <w:t xml:space="preserve"> </w:t>
      </w:r>
      <w:r w:rsidR="003C2529">
        <w:t>are</w:t>
      </w:r>
      <w:r w:rsidR="00AE1E21" w:rsidRPr="00B448BE">
        <w:t xml:space="preserve"> of a minor or machinery nature and do not substantially alter existing arrangements</w:t>
      </w:r>
      <w:r w:rsidR="00AE1E21">
        <w:t>.</w:t>
      </w:r>
    </w:p>
    <w:p w14:paraId="09C9314C" w14:textId="77777777" w:rsidR="001378A4" w:rsidRDefault="001378A4" w:rsidP="00CD7F2B">
      <w:pPr>
        <w:spacing w:after="240"/>
      </w:pPr>
      <w:r w:rsidRPr="00D2522C">
        <w:lastRenderedPageBreak/>
        <w:t xml:space="preserve">A </w:t>
      </w:r>
      <w:r w:rsidRPr="00186C6E">
        <w:t>Regulation</w:t>
      </w:r>
      <w:r w:rsidRPr="00D2522C">
        <w:t xml:space="preserve"> Impact Statement</w:t>
      </w:r>
      <w:r>
        <w:t xml:space="preserve"> </w:t>
      </w:r>
      <w:r w:rsidRPr="00D2522C">
        <w:t>was not prepared for th</w:t>
      </w:r>
      <w:r>
        <w:t>e</w:t>
      </w:r>
      <w:r w:rsidRPr="00D2522C">
        <w:t xml:space="preserve"> Regulation</w:t>
      </w:r>
      <w:r w:rsidR="00877D05">
        <w:t>s</w:t>
      </w:r>
      <w:r w:rsidRPr="00D2522C">
        <w:t xml:space="preserve"> because </w:t>
      </w:r>
      <w:r>
        <w:t xml:space="preserve">the </w:t>
      </w:r>
      <w:r w:rsidRPr="002A59A3">
        <w:t>amendments only affect members of the JPS and will have a nil or minor impact on business, community organisations and individuals. The Office of Best Practice Regulation  has confirmed that a RIS is not required.</w:t>
      </w:r>
    </w:p>
    <w:p w14:paraId="0674DC4C" w14:textId="77777777" w:rsidR="004C4B08" w:rsidRPr="004C4B08" w:rsidRDefault="004C4B08" w:rsidP="00CD7F2B">
      <w:pPr>
        <w:spacing w:after="240"/>
        <w:rPr>
          <w:szCs w:val="20"/>
          <w:lang w:eastAsia="en-AU"/>
        </w:rPr>
      </w:pPr>
      <w:r w:rsidRPr="004C4B08">
        <w:rPr>
          <w:szCs w:val="20"/>
          <w:lang w:eastAsia="en-AU"/>
        </w:rPr>
        <w:t xml:space="preserve">Details of the amendments are set out in </w:t>
      </w:r>
      <w:r w:rsidRPr="004C4B08">
        <w:rPr>
          <w:szCs w:val="20"/>
          <w:u w:val="single"/>
          <w:lang w:eastAsia="en-AU"/>
        </w:rPr>
        <w:t>Attachment A</w:t>
      </w:r>
      <w:r w:rsidRPr="004C4B08">
        <w:rPr>
          <w:szCs w:val="20"/>
          <w:lang w:eastAsia="en-AU"/>
        </w:rPr>
        <w:t>.</w:t>
      </w:r>
    </w:p>
    <w:p w14:paraId="4C33FF1D" w14:textId="77777777" w:rsidR="004C4B08" w:rsidRPr="004C4B08" w:rsidRDefault="004C4B08" w:rsidP="00CD7F2B">
      <w:pPr>
        <w:spacing w:after="240"/>
        <w:rPr>
          <w:szCs w:val="20"/>
          <w:lang w:eastAsia="en-AU"/>
        </w:rPr>
      </w:pPr>
      <w:r w:rsidRPr="004C4B08">
        <w:rPr>
          <w:szCs w:val="20"/>
          <w:lang w:eastAsia="en-AU"/>
        </w:rPr>
        <w:t xml:space="preserve">A statement of Compatibility with Human Rights is at </w:t>
      </w:r>
      <w:r w:rsidRPr="004C4B08">
        <w:rPr>
          <w:szCs w:val="20"/>
          <w:u w:val="single"/>
          <w:lang w:eastAsia="en-AU"/>
        </w:rPr>
        <w:t>Attachment B</w:t>
      </w:r>
      <w:r w:rsidRPr="004C4B08">
        <w:rPr>
          <w:szCs w:val="20"/>
          <w:lang w:eastAsia="en-AU"/>
        </w:rPr>
        <w:t>.</w:t>
      </w:r>
    </w:p>
    <w:p w14:paraId="01CEDB86" w14:textId="77777777" w:rsidR="004C4B08" w:rsidRPr="004C4B08" w:rsidRDefault="004C4B08" w:rsidP="00CD7F2B">
      <w:pPr>
        <w:spacing w:after="240"/>
        <w:rPr>
          <w:szCs w:val="20"/>
          <w:lang w:eastAsia="en-AU"/>
        </w:rPr>
      </w:pPr>
      <w:r w:rsidRPr="004C4B08">
        <w:rPr>
          <w:szCs w:val="20"/>
          <w:lang w:eastAsia="en-AU"/>
        </w:rPr>
        <w:t>The Regulation</w:t>
      </w:r>
      <w:r w:rsidR="000F7A40">
        <w:rPr>
          <w:szCs w:val="20"/>
          <w:lang w:eastAsia="en-AU"/>
        </w:rPr>
        <w:t>s</w:t>
      </w:r>
      <w:r w:rsidRPr="004C4B08">
        <w:rPr>
          <w:szCs w:val="20"/>
          <w:lang w:eastAsia="en-AU"/>
        </w:rPr>
        <w:t xml:space="preserve"> commence on</w:t>
      </w:r>
      <w:r w:rsidR="00D83E2A">
        <w:rPr>
          <w:szCs w:val="20"/>
          <w:lang w:eastAsia="en-AU"/>
        </w:rPr>
        <w:t xml:space="preserve"> the day after </w:t>
      </w:r>
      <w:r w:rsidR="000F7A40">
        <w:rPr>
          <w:szCs w:val="20"/>
          <w:lang w:eastAsia="en-AU"/>
        </w:rPr>
        <w:t>they are</w:t>
      </w:r>
      <w:r w:rsidR="00D83E2A">
        <w:rPr>
          <w:szCs w:val="20"/>
          <w:lang w:eastAsia="en-AU"/>
        </w:rPr>
        <w:t xml:space="preserve"> registered.</w:t>
      </w:r>
    </w:p>
    <w:p w14:paraId="77C84AF0" w14:textId="77777777" w:rsidR="00E302F2" w:rsidRDefault="00E302F2" w:rsidP="00CD7F2B">
      <w:pPr>
        <w:spacing w:after="240"/>
        <w:jc w:val="right"/>
        <w:rPr>
          <w:u w:val="single"/>
        </w:rPr>
      </w:pPr>
      <w:r w:rsidRPr="004C4B08">
        <w:rPr>
          <w:szCs w:val="20"/>
          <w:u w:val="single"/>
          <w:lang w:eastAsia="en-AU"/>
        </w:rPr>
        <w:br w:type="page"/>
      </w:r>
      <w:r>
        <w:rPr>
          <w:b/>
          <w:u w:val="single"/>
        </w:rPr>
        <w:lastRenderedPageBreak/>
        <w:t>A</w:t>
      </w:r>
      <w:r w:rsidR="00AD61C1">
        <w:rPr>
          <w:b/>
          <w:u w:val="single"/>
        </w:rPr>
        <w:t>ttachment</w:t>
      </w:r>
      <w:r w:rsidR="00565C2F">
        <w:rPr>
          <w:b/>
          <w:u w:val="single"/>
        </w:rPr>
        <w:t xml:space="preserve"> A</w:t>
      </w:r>
    </w:p>
    <w:p w14:paraId="59EFE049" w14:textId="77777777" w:rsidR="00737DED" w:rsidRPr="00737DED" w:rsidRDefault="00737DED" w:rsidP="00CD7F2B">
      <w:pPr>
        <w:spacing w:after="240"/>
        <w:rPr>
          <w:b/>
          <w:i/>
          <w:u w:val="single"/>
        </w:rPr>
      </w:pPr>
      <w:r w:rsidRPr="00CB6726">
        <w:rPr>
          <w:b/>
          <w:u w:val="single"/>
        </w:rPr>
        <w:t xml:space="preserve">Details of the </w:t>
      </w:r>
      <w:r w:rsidRPr="00737DED">
        <w:rPr>
          <w:b/>
          <w:i/>
          <w:u w:val="single"/>
        </w:rPr>
        <w:t>Judges’ Pensions Amendment Regulations 2018</w:t>
      </w:r>
    </w:p>
    <w:p w14:paraId="627C2E1A" w14:textId="77777777" w:rsidR="00737DED" w:rsidRDefault="00737DED" w:rsidP="00CD7F2B">
      <w:pPr>
        <w:spacing w:after="240"/>
        <w:rPr>
          <w:u w:val="single"/>
        </w:rPr>
      </w:pPr>
      <w:r>
        <w:rPr>
          <w:u w:val="single"/>
        </w:rPr>
        <w:t>Section</w:t>
      </w:r>
      <w:r w:rsidRPr="00F20465">
        <w:rPr>
          <w:u w:val="single"/>
        </w:rPr>
        <w:t xml:space="preserve"> 1</w:t>
      </w:r>
      <w:r>
        <w:rPr>
          <w:u w:val="single"/>
        </w:rPr>
        <w:t xml:space="preserve"> – Name of Regulation</w:t>
      </w:r>
    </w:p>
    <w:p w14:paraId="510196A0" w14:textId="77777777" w:rsidR="00737DED" w:rsidRDefault="00737DED" w:rsidP="00CD7F2B">
      <w:pPr>
        <w:spacing w:after="240"/>
      </w:pPr>
      <w:r>
        <w:t xml:space="preserve">This section provides that the name of the </w:t>
      </w:r>
      <w:r w:rsidR="00576FA3">
        <w:t>instrument</w:t>
      </w:r>
      <w:r>
        <w:t xml:space="preserve"> is the </w:t>
      </w:r>
      <w:r w:rsidRPr="00737DED">
        <w:rPr>
          <w:i/>
        </w:rPr>
        <w:t>Judges’ Pens</w:t>
      </w:r>
      <w:r>
        <w:rPr>
          <w:i/>
        </w:rPr>
        <w:t>ions Amendment Regulations 2018</w:t>
      </w:r>
      <w:r>
        <w:t xml:space="preserve"> (the Regulation</w:t>
      </w:r>
      <w:r w:rsidR="00565246">
        <w:t>s</w:t>
      </w:r>
      <w:r>
        <w:t>).</w:t>
      </w:r>
    </w:p>
    <w:p w14:paraId="44FC69A4" w14:textId="77777777" w:rsidR="00737DED" w:rsidRDefault="00737DED" w:rsidP="00CD7F2B">
      <w:pPr>
        <w:spacing w:after="240"/>
        <w:rPr>
          <w:u w:val="single"/>
        </w:rPr>
      </w:pPr>
      <w:r>
        <w:rPr>
          <w:u w:val="single"/>
        </w:rPr>
        <w:t>Section</w:t>
      </w:r>
      <w:r w:rsidRPr="002C1E6C">
        <w:rPr>
          <w:u w:val="single"/>
        </w:rPr>
        <w:t xml:space="preserve"> 2</w:t>
      </w:r>
      <w:r>
        <w:rPr>
          <w:u w:val="single"/>
        </w:rPr>
        <w:t xml:space="preserve"> </w:t>
      </w:r>
      <w:r w:rsidRPr="002C1E6C">
        <w:rPr>
          <w:u w:val="single"/>
        </w:rPr>
        <w:t>–</w:t>
      </w:r>
      <w:r>
        <w:rPr>
          <w:u w:val="single"/>
        </w:rPr>
        <w:t xml:space="preserve"> </w:t>
      </w:r>
      <w:r w:rsidRPr="002C1E6C">
        <w:rPr>
          <w:u w:val="single"/>
        </w:rPr>
        <w:t>Commencement</w:t>
      </w:r>
    </w:p>
    <w:p w14:paraId="226D998A" w14:textId="77777777" w:rsidR="00737DED" w:rsidRDefault="00737DED" w:rsidP="00CD7F2B">
      <w:pPr>
        <w:spacing w:after="240"/>
      </w:pPr>
      <w:r>
        <w:t xml:space="preserve">This section provides that the </w:t>
      </w:r>
      <w:r w:rsidR="00576FA3">
        <w:t xml:space="preserve">instrument </w:t>
      </w:r>
      <w:r>
        <w:t>will commence the day after it is registered.</w:t>
      </w:r>
    </w:p>
    <w:p w14:paraId="61A7F841" w14:textId="77777777" w:rsidR="00737DED" w:rsidRDefault="00737DED" w:rsidP="00CD7F2B">
      <w:pPr>
        <w:spacing w:after="240"/>
        <w:rPr>
          <w:u w:val="single"/>
        </w:rPr>
      </w:pPr>
      <w:r>
        <w:rPr>
          <w:u w:val="single"/>
        </w:rPr>
        <w:t>Section</w:t>
      </w:r>
      <w:r w:rsidRPr="003E4B5E">
        <w:rPr>
          <w:u w:val="single"/>
        </w:rPr>
        <w:t xml:space="preserve"> 3</w:t>
      </w:r>
      <w:r>
        <w:rPr>
          <w:u w:val="single"/>
        </w:rPr>
        <w:t xml:space="preserve"> </w:t>
      </w:r>
      <w:r w:rsidRPr="003E4B5E">
        <w:rPr>
          <w:u w:val="single"/>
        </w:rPr>
        <w:t>–</w:t>
      </w:r>
      <w:r>
        <w:rPr>
          <w:u w:val="single"/>
        </w:rPr>
        <w:t xml:space="preserve"> Authority</w:t>
      </w:r>
    </w:p>
    <w:p w14:paraId="03EBCD81" w14:textId="77777777" w:rsidR="00737DED" w:rsidRDefault="00737DED" w:rsidP="00CD7F2B">
      <w:pPr>
        <w:spacing w:after="240"/>
      </w:pPr>
      <w:r>
        <w:t xml:space="preserve">This section provides that the </w:t>
      </w:r>
      <w:r w:rsidR="00576FA3">
        <w:t xml:space="preserve">instrument </w:t>
      </w:r>
      <w:r w:rsidRPr="003E4B5E">
        <w:t xml:space="preserve">is made under the </w:t>
      </w:r>
      <w:r w:rsidRPr="006810E3">
        <w:rPr>
          <w:i/>
        </w:rPr>
        <w:t>Judges’ Pensions Act 1968</w:t>
      </w:r>
      <w:r>
        <w:t xml:space="preserve"> </w:t>
      </w:r>
      <w:r w:rsidRPr="00AB1261">
        <w:t>(</w:t>
      </w:r>
      <w:r w:rsidR="00E16575">
        <w:t>the</w:t>
      </w:r>
      <w:r w:rsidR="00576FA3">
        <w:t> </w:t>
      </w:r>
      <w:r w:rsidR="00E16575">
        <w:t>Act</w:t>
      </w:r>
      <w:r w:rsidRPr="00AB1261">
        <w:t>)</w:t>
      </w:r>
      <w:r>
        <w:t>.</w:t>
      </w:r>
    </w:p>
    <w:p w14:paraId="083772F5" w14:textId="77777777" w:rsidR="00737DED" w:rsidRPr="003E4B5E" w:rsidRDefault="00737DED" w:rsidP="00CD7F2B">
      <w:pPr>
        <w:spacing w:after="240"/>
        <w:rPr>
          <w:u w:val="single"/>
        </w:rPr>
      </w:pPr>
      <w:r>
        <w:rPr>
          <w:u w:val="single"/>
        </w:rPr>
        <w:t>Section</w:t>
      </w:r>
      <w:r w:rsidRPr="003E4B5E">
        <w:rPr>
          <w:u w:val="single"/>
        </w:rPr>
        <w:t xml:space="preserve"> 4</w:t>
      </w:r>
      <w:r>
        <w:rPr>
          <w:u w:val="single"/>
        </w:rPr>
        <w:t xml:space="preserve"> </w:t>
      </w:r>
      <w:r w:rsidRPr="003E4B5E">
        <w:rPr>
          <w:u w:val="single"/>
        </w:rPr>
        <w:t>–</w:t>
      </w:r>
      <w:r>
        <w:rPr>
          <w:u w:val="single"/>
        </w:rPr>
        <w:t xml:space="preserve"> </w:t>
      </w:r>
      <w:r w:rsidRPr="003E4B5E">
        <w:rPr>
          <w:u w:val="single"/>
        </w:rPr>
        <w:t>Schedule(s)</w:t>
      </w:r>
    </w:p>
    <w:p w14:paraId="5241D11B" w14:textId="77777777" w:rsidR="00737DED" w:rsidRDefault="00737DED" w:rsidP="00CD7F2B">
      <w:pPr>
        <w:spacing w:after="240"/>
      </w:pPr>
      <w:r w:rsidRPr="00997E48">
        <w:t xml:space="preserve">This section provides for the operation of Schedule 1 to the </w:t>
      </w:r>
      <w:r w:rsidR="00576FA3">
        <w:t>instrument</w:t>
      </w:r>
      <w:r>
        <w:t xml:space="preserve">, which amends </w:t>
      </w:r>
      <w:r w:rsidRPr="00997E48">
        <w:t xml:space="preserve">the </w:t>
      </w:r>
      <w:r w:rsidRPr="00503AB8">
        <w:rPr>
          <w:i/>
        </w:rPr>
        <w:t>Judges’ Pensions Regulations 1998</w:t>
      </w:r>
      <w:r w:rsidRPr="00997E48">
        <w:t>.</w:t>
      </w:r>
    </w:p>
    <w:p w14:paraId="41FFEA2D" w14:textId="77777777" w:rsidR="00737DED" w:rsidRDefault="00737DED" w:rsidP="00CD7F2B">
      <w:pPr>
        <w:spacing w:after="240"/>
        <w:rPr>
          <w:b/>
        </w:rPr>
      </w:pPr>
      <w:r w:rsidRPr="003E4B5E">
        <w:rPr>
          <w:b/>
        </w:rPr>
        <w:t>Schedule 1</w:t>
      </w:r>
      <w:r>
        <w:rPr>
          <w:b/>
        </w:rPr>
        <w:t xml:space="preserve"> – </w:t>
      </w:r>
      <w:r w:rsidRPr="003E4B5E">
        <w:rPr>
          <w:b/>
        </w:rPr>
        <w:t>Amendments</w:t>
      </w:r>
    </w:p>
    <w:p w14:paraId="11C7935F" w14:textId="0928D87A" w:rsidR="004009CB" w:rsidRDefault="00737DED" w:rsidP="006B6DFA">
      <w:pPr>
        <w:spacing w:after="240"/>
      </w:pPr>
      <w:r>
        <w:rPr>
          <w:u w:val="single"/>
        </w:rPr>
        <w:t>Item 1</w:t>
      </w:r>
      <w:r w:rsidRPr="002A0271">
        <w:t xml:space="preserve"> </w:t>
      </w:r>
      <w:r w:rsidR="00C237C5">
        <w:t xml:space="preserve">adds </w:t>
      </w:r>
      <w:r w:rsidR="00565246">
        <w:t>a</w:t>
      </w:r>
      <w:r w:rsidR="00F35D87">
        <w:t xml:space="preserve"> new </w:t>
      </w:r>
      <w:r w:rsidR="00555EFF">
        <w:t xml:space="preserve">Part </w:t>
      </w:r>
      <w:r w:rsidR="00F35D87">
        <w:t>1B to</w:t>
      </w:r>
      <w:r>
        <w:t xml:space="preserve"> the </w:t>
      </w:r>
      <w:r w:rsidRPr="00503AB8">
        <w:rPr>
          <w:i/>
        </w:rPr>
        <w:t>Judges’ Pensions Regulations 1998</w:t>
      </w:r>
      <w:r w:rsidRPr="004E6694">
        <w:t>.</w:t>
      </w:r>
      <w:r>
        <w:t xml:space="preserve"> The new </w:t>
      </w:r>
      <w:r w:rsidR="00555EFF">
        <w:t xml:space="preserve">Part </w:t>
      </w:r>
      <w:r w:rsidR="00F35D87">
        <w:t>1B</w:t>
      </w:r>
      <w:r>
        <w:t xml:space="preserve"> </w:t>
      </w:r>
      <w:r w:rsidR="004009CB">
        <w:t xml:space="preserve">provides the age factor to be used to calculate the reduced pension when a member requests </w:t>
      </w:r>
      <w:r w:rsidR="004009CB" w:rsidRPr="006B6DFA">
        <w:t xml:space="preserve">a lump sum amount </w:t>
      </w:r>
      <w:r w:rsidR="00A15168">
        <w:t xml:space="preserve">(the “release authority lump sum”) </w:t>
      </w:r>
      <w:r w:rsidR="004009CB">
        <w:t xml:space="preserve">be paid </w:t>
      </w:r>
      <w:r w:rsidR="004009CB" w:rsidRPr="006B6DFA">
        <w:t xml:space="preserve">from the </w:t>
      </w:r>
      <w:r w:rsidR="00A15168">
        <w:t>Judges’ Pension S</w:t>
      </w:r>
      <w:r w:rsidR="004009CB" w:rsidRPr="006B6DFA">
        <w:t>cheme</w:t>
      </w:r>
      <w:r w:rsidR="00A15168">
        <w:t xml:space="preserve"> </w:t>
      </w:r>
      <w:r w:rsidR="004009CB" w:rsidRPr="006B6DFA">
        <w:t>to meet t</w:t>
      </w:r>
      <w:r w:rsidR="004009CB">
        <w:t>heir Division 293 tax liability.</w:t>
      </w:r>
    </w:p>
    <w:p w14:paraId="306D60E1" w14:textId="77777777" w:rsidR="00737DED" w:rsidRDefault="00C237C5" w:rsidP="006B6DFA">
      <w:pPr>
        <w:spacing w:after="240"/>
      </w:pPr>
      <w:r>
        <w:t>S</w:t>
      </w:r>
      <w:r w:rsidRPr="00C237C5">
        <w:t>ubsection</w:t>
      </w:r>
      <w:r w:rsidR="00737DED">
        <w:t xml:space="preserve"> </w:t>
      </w:r>
      <w:r w:rsidR="00F35D87">
        <w:t>17AN</w:t>
      </w:r>
      <w:r>
        <w:t>(2)</w:t>
      </w:r>
      <w:r w:rsidR="00F35D87">
        <w:t xml:space="preserve"> prescribes the</w:t>
      </w:r>
      <w:r w:rsidR="00737DED">
        <w:t xml:space="preserve"> formula </w:t>
      </w:r>
      <w:r w:rsidR="00F35D87" w:rsidRPr="006B6DFA">
        <w:rPr>
          <w:lang w:val="en-US"/>
        </w:rPr>
        <w:t xml:space="preserve">to calculate </w:t>
      </w:r>
      <w:r w:rsidR="00FC3AF7">
        <w:rPr>
          <w:lang w:val="en-US"/>
        </w:rPr>
        <w:t>the reduced pension</w:t>
      </w:r>
      <w:r w:rsidR="00FC3AF7" w:rsidRPr="006B6DFA">
        <w:rPr>
          <w:lang w:val="en-US"/>
        </w:rPr>
        <w:t xml:space="preserve"> </w:t>
      </w:r>
      <w:r w:rsidR="00F35D87" w:rsidRPr="006B6DFA">
        <w:rPr>
          <w:lang w:val="en-US"/>
        </w:rPr>
        <w:t xml:space="preserve">payable under the Act where a member elects to offset their Division 293 tax liability from their </w:t>
      </w:r>
      <w:r w:rsidR="00FC3AF7">
        <w:t>pension that would have otherwise been payable under the Act</w:t>
      </w:r>
      <w:r w:rsidR="00737DED">
        <w:t>.</w:t>
      </w:r>
      <w:r w:rsidR="00FC3AF7">
        <w:t xml:space="preserve"> </w:t>
      </w:r>
      <w:r w:rsidR="00F44283">
        <w:t xml:space="preserve">Generally, under the Act, a pension is payable </w:t>
      </w:r>
      <w:r w:rsidR="00BB65E6">
        <w:t xml:space="preserve">to a member </w:t>
      </w:r>
      <w:r w:rsidR="00F44283">
        <w:t>on retirement or due to permanent disability or infirmity.</w:t>
      </w:r>
      <w:r w:rsidR="00A15168">
        <w:t xml:space="preserve"> The formula specified under section 17AN(2) of the Act is:</w:t>
      </w:r>
    </w:p>
    <w:p w14:paraId="6F2A6882" w14:textId="77777777" w:rsidR="00A15168" w:rsidRDefault="00CA7BA7" w:rsidP="006B6DFA">
      <w:pPr>
        <w:spacing w:after="240"/>
      </w:pPr>
      <w:r>
        <w:rPr>
          <w:noProof/>
          <w:lang w:eastAsia="en-AU"/>
        </w:rPr>
        <w:drawing>
          <wp:inline distT="0" distB="0" distL="0" distR="0" wp14:anchorId="3322A117" wp14:editId="528AD03D">
            <wp:extent cx="3018155" cy="5632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8155" cy="563245"/>
                    </a:xfrm>
                    <a:prstGeom prst="rect">
                      <a:avLst/>
                    </a:prstGeom>
                    <a:noFill/>
                    <a:ln>
                      <a:noFill/>
                    </a:ln>
                  </pic:spPr>
                </pic:pic>
              </a:graphicData>
            </a:graphic>
          </wp:inline>
        </w:drawing>
      </w:r>
    </w:p>
    <w:p w14:paraId="48F83C16" w14:textId="77777777" w:rsidR="00F44283" w:rsidRDefault="00555EFF" w:rsidP="006B6DFA">
      <w:pPr>
        <w:spacing w:after="240"/>
      </w:pPr>
      <w:r>
        <w:t xml:space="preserve">New regulation 3B in Part 1B </w:t>
      </w:r>
      <w:r w:rsidR="00004574">
        <w:t xml:space="preserve">of the Regulations </w:t>
      </w:r>
      <w:r>
        <w:t>provides a table, which specifies the age factor to be used in the formula specified under section 17AN(2) of the Act</w:t>
      </w:r>
      <w:r w:rsidRPr="00C237C5">
        <w:t>.</w:t>
      </w:r>
      <w:r w:rsidR="00E14E9C">
        <w:t xml:space="preserve"> </w:t>
      </w:r>
      <w:r>
        <w:t>The relevant age factor for the member will be based on:</w:t>
      </w:r>
    </w:p>
    <w:p w14:paraId="7625F161" w14:textId="77777777" w:rsidR="00555EFF" w:rsidRDefault="00893E67" w:rsidP="000D533C">
      <w:pPr>
        <w:pStyle w:val="ListParagraph"/>
        <w:numPr>
          <w:ilvl w:val="0"/>
          <w:numId w:val="4"/>
        </w:numPr>
        <w:spacing w:after="240"/>
        <w:ind w:left="714" w:hanging="357"/>
        <w:contextualSpacing w:val="0"/>
      </w:pPr>
      <w:r>
        <w:t>w</w:t>
      </w:r>
      <w:r w:rsidR="00555EFF">
        <w:t xml:space="preserve">hether the member’s retirement </w:t>
      </w:r>
      <w:r>
        <w:t xml:space="preserve">is </w:t>
      </w:r>
      <w:r w:rsidR="00555EFF">
        <w:t xml:space="preserve">due to </w:t>
      </w:r>
      <w:r>
        <w:t>permanent disability or infirmity or not due to permanent disability or infirmity; and</w:t>
      </w:r>
    </w:p>
    <w:p w14:paraId="28AA0AD4" w14:textId="77777777" w:rsidR="00893E67" w:rsidRDefault="00893E67" w:rsidP="000D533C">
      <w:pPr>
        <w:pStyle w:val="ListParagraph"/>
        <w:numPr>
          <w:ilvl w:val="0"/>
          <w:numId w:val="4"/>
        </w:numPr>
        <w:spacing w:after="240"/>
        <w:ind w:left="714" w:hanging="357"/>
        <w:contextualSpacing w:val="0"/>
      </w:pPr>
      <w:r>
        <w:t>the member’s age at their last birthday before or on retirement.</w:t>
      </w:r>
    </w:p>
    <w:p w14:paraId="1E6E32C5" w14:textId="77777777" w:rsidR="00A15168" w:rsidRDefault="00A15168">
      <w:pPr>
        <w:spacing w:after="240"/>
      </w:pPr>
      <w:r>
        <w:t xml:space="preserve">The age factors have been determined by an Actuary, and reflect </w:t>
      </w:r>
      <w:r w:rsidR="00004574">
        <w:t>assumptions regarding</w:t>
      </w:r>
      <w:r>
        <w:t xml:space="preserve"> life expectanc</w:t>
      </w:r>
      <w:r w:rsidR="00004574">
        <w:t>ies</w:t>
      </w:r>
      <w:r>
        <w:t xml:space="preserve"> </w:t>
      </w:r>
      <w:r w:rsidR="00004574">
        <w:t>which were adopted in the 2017 Long Term Cost Report for the scheme.</w:t>
      </w:r>
    </w:p>
    <w:p w14:paraId="049E7B8C" w14:textId="77777777" w:rsidR="00A15168" w:rsidRDefault="00A15168" w:rsidP="000D533C">
      <w:pPr>
        <w:spacing w:after="240"/>
      </w:pPr>
      <w:r>
        <w:lastRenderedPageBreak/>
        <w:t xml:space="preserve">A note has been included in new Part 1B </w:t>
      </w:r>
      <w:r w:rsidR="00004574">
        <w:t xml:space="preserve">of the Regulations </w:t>
      </w:r>
      <w:r>
        <w:t xml:space="preserve">to clarify that Division 293 tax is not payable by a Justice of the High Court or a justice or judge of a court created by the Parliament. As such, the </w:t>
      </w:r>
      <w:r w:rsidR="00F6147C">
        <w:t>R</w:t>
      </w:r>
      <w:r>
        <w:t>egulations will not be applicable to members</w:t>
      </w:r>
      <w:r w:rsidR="00F6147C">
        <w:t xml:space="preserve"> in the Judges’ Pensions Scheme</w:t>
      </w:r>
      <w:r>
        <w:t xml:space="preserve"> h</w:t>
      </w:r>
      <w:r w:rsidR="00F6147C">
        <w:t xml:space="preserve">olding these judicial positions </w:t>
      </w:r>
      <w:r>
        <w:t>as there is no Division 293 tax liability to be offset for these members.</w:t>
      </w:r>
    </w:p>
    <w:p w14:paraId="4EF66461" w14:textId="77777777" w:rsidR="004C4B08" w:rsidRDefault="004C4B08" w:rsidP="00CD7F2B">
      <w:pPr>
        <w:spacing w:after="240"/>
        <w:ind w:right="91"/>
      </w:pPr>
    </w:p>
    <w:p w14:paraId="5D75B1C2" w14:textId="77777777" w:rsidR="004C4B08" w:rsidRDefault="004C4B08" w:rsidP="00CD7F2B">
      <w:pPr>
        <w:spacing w:after="240"/>
      </w:pPr>
      <w:r>
        <w:br w:type="page"/>
      </w:r>
    </w:p>
    <w:p w14:paraId="07313520" w14:textId="77777777" w:rsidR="004C4B08" w:rsidRDefault="004C4B08" w:rsidP="006B6DFA">
      <w:pPr>
        <w:widowControl w:val="0"/>
        <w:spacing w:after="240"/>
        <w:jc w:val="right"/>
        <w:rPr>
          <w:b/>
          <w:u w:val="single"/>
        </w:rPr>
      </w:pPr>
      <w:r>
        <w:rPr>
          <w:b/>
          <w:u w:val="single"/>
        </w:rPr>
        <w:lastRenderedPageBreak/>
        <w:t>A</w:t>
      </w:r>
      <w:r w:rsidR="00AD61C1">
        <w:rPr>
          <w:b/>
          <w:u w:val="single"/>
        </w:rPr>
        <w:t>ttachment</w:t>
      </w:r>
      <w:r>
        <w:rPr>
          <w:b/>
          <w:u w:val="single"/>
        </w:rPr>
        <w:t xml:space="preserve"> B</w:t>
      </w:r>
    </w:p>
    <w:p w14:paraId="05CFB158" w14:textId="77777777" w:rsidR="004C4B08" w:rsidRPr="004C4B08" w:rsidRDefault="004C4B08" w:rsidP="006B6DFA">
      <w:pPr>
        <w:pStyle w:val="Heading3"/>
        <w:keepNext w:val="0"/>
        <w:keepLines w:val="0"/>
        <w:widowControl w:val="0"/>
        <w:spacing w:before="0" w:after="240"/>
        <w:jc w:val="center"/>
        <w:rPr>
          <w:rFonts w:ascii="Helvetica" w:hAnsi="Helvetica" w:cs="Helvetica"/>
          <w:b/>
          <w:color w:val="auto"/>
        </w:rPr>
      </w:pPr>
      <w:r w:rsidRPr="004C4B08">
        <w:rPr>
          <w:rFonts w:ascii="Helvetica" w:hAnsi="Helvetica" w:cs="Helvetica"/>
          <w:b/>
          <w:color w:val="auto"/>
        </w:rPr>
        <w:t>Statement of Compatibility with Human Rights</w:t>
      </w:r>
    </w:p>
    <w:p w14:paraId="0BD33099" w14:textId="77777777" w:rsidR="004C4B08" w:rsidRPr="004C4B08" w:rsidRDefault="004C4B08" w:rsidP="006B6DFA">
      <w:pPr>
        <w:widowControl w:val="0"/>
        <w:spacing w:after="240"/>
        <w:jc w:val="center"/>
        <w:rPr>
          <w:i/>
        </w:rPr>
      </w:pPr>
      <w:r w:rsidRPr="004C4B08">
        <w:rPr>
          <w:i/>
        </w:rPr>
        <w:t>Prepared in accordance with Part 3 of the</w:t>
      </w:r>
      <w:r w:rsidRPr="004C4B08">
        <w:rPr>
          <w:i/>
        </w:rPr>
        <w:br/>
        <w:t>Human Rights (Parliamentary Scrutiny) Act 2011</w:t>
      </w:r>
    </w:p>
    <w:p w14:paraId="3FFC16D4" w14:textId="77777777" w:rsidR="004C4B08" w:rsidRPr="004C4B08" w:rsidRDefault="004C4B08" w:rsidP="006B6DFA">
      <w:pPr>
        <w:widowControl w:val="0"/>
        <w:spacing w:after="240"/>
        <w:jc w:val="center"/>
        <w:rPr>
          <w:b/>
        </w:rPr>
      </w:pPr>
      <w:r w:rsidRPr="004C4B08">
        <w:rPr>
          <w:b/>
          <w:i/>
        </w:rPr>
        <w:t>Judges’ Pensions Amendment Regulations 2018</w:t>
      </w:r>
    </w:p>
    <w:p w14:paraId="4504942A" w14:textId="77777777" w:rsidR="004C4B08" w:rsidRPr="004C4B08" w:rsidRDefault="004C4B08" w:rsidP="006B6DFA">
      <w:pPr>
        <w:widowControl w:val="0"/>
        <w:spacing w:after="240"/>
      </w:pPr>
      <w:r w:rsidRPr="004C4B08">
        <w:t xml:space="preserve">This Legislative Instrument is compatible with the human rights and freedoms recognised or declared in the international instruments listed in section 3 of the </w:t>
      </w:r>
      <w:r w:rsidRPr="004C4B08">
        <w:rPr>
          <w:i/>
        </w:rPr>
        <w:t>Human Rights (Parliamentary Scrutiny) Act 2011</w:t>
      </w:r>
      <w:r w:rsidRPr="004C4B08">
        <w:t>.</w:t>
      </w:r>
    </w:p>
    <w:p w14:paraId="5BB4DE3B" w14:textId="77777777" w:rsidR="004C4B08" w:rsidRPr="004C4B08" w:rsidRDefault="004C4B08" w:rsidP="006B6DFA">
      <w:pPr>
        <w:pStyle w:val="Heading4"/>
        <w:keepNext w:val="0"/>
        <w:keepLines w:val="0"/>
        <w:widowControl w:val="0"/>
        <w:spacing w:before="0" w:after="240"/>
        <w:rPr>
          <w:rFonts w:ascii="Times New Roman" w:hAnsi="Times New Roman" w:cs="Times New Roman"/>
          <w:color w:val="auto"/>
        </w:rPr>
      </w:pPr>
      <w:r w:rsidRPr="004C4B08">
        <w:rPr>
          <w:rFonts w:ascii="Times New Roman" w:hAnsi="Times New Roman" w:cs="Times New Roman"/>
          <w:color w:val="auto"/>
        </w:rPr>
        <w:t>Overview of the Legislative Instrument</w:t>
      </w:r>
    </w:p>
    <w:p w14:paraId="44BE6882" w14:textId="77777777" w:rsidR="00C454ED" w:rsidRDefault="00C454ED" w:rsidP="00FD2830">
      <w:pPr>
        <w:spacing w:after="240"/>
        <w:ind w:right="91"/>
      </w:pPr>
      <w:r>
        <w:t xml:space="preserve">The </w:t>
      </w:r>
      <w:r>
        <w:rPr>
          <w:i/>
        </w:rPr>
        <w:t>Judges’ P</w:t>
      </w:r>
      <w:r w:rsidRPr="007E49FC">
        <w:rPr>
          <w:i/>
        </w:rPr>
        <w:t>ensions Act 1968</w:t>
      </w:r>
      <w:r>
        <w:t xml:space="preserve"> (the Act) a</w:t>
      </w:r>
      <w:r w:rsidRPr="006B6DFA">
        <w:t>llow</w:t>
      </w:r>
      <w:r>
        <w:t>s</w:t>
      </w:r>
      <w:r w:rsidRPr="006B6DFA">
        <w:t xml:space="preserve"> members of the </w:t>
      </w:r>
      <w:r w:rsidR="00005F37" w:rsidRPr="008911D0">
        <w:t>Judges’ Pension</w:t>
      </w:r>
      <w:r w:rsidR="00005F37">
        <w:t>s</w:t>
      </w:r>
      <w:r w:rsidR="00005F37" w:rsidRPr="008911D0">
        <w:t xml:space="preserve"> Scheme</w:t>
      </w:r>
      <w:r w:rsidR="00005F37">
        <w:t xml:space="preserve"> (JPS)</w:t>
      </w:r>
      <w:r w:rsidRPr="006B6DFA">
        <w:t xml:space="preserve"> to request that a lump sum amount </w:t>
      </w:r>
      <w:r w:rsidR="00FD2830">
        <w:t xml:space="preserve">be paid </w:t>
      </w:r>
      <w:r w:rsidRPr="006B6DFA">
        <w:t>from the scheme to meet t</w:t>
      </w:r>
      <w:r>
        <w:t>heir Division 293 tax liability and</w:t>
      </w:r>
      <w:r w:rsidR="00FD2830">
        <w:t>, as a consequence,</w:t>
      </w:r>
      <w:r>
        <w:t xml:space="preserve"> accept</w:t>
      </w:r>
      <w:r w:rsidRPr="00D17036">
        <w:t xml:space="preserve"> a permanent </w:t>
      </w:r>
      <w:r w:rsidR="00005F37">
        <w:t>reduction in their JPS pension.</w:t>
      </w:r>
      <w:r w:rsidR="00FD2830">
        <w:t xml:space="preserve"> The pension is reduced to offset the member’s Division 293 tax liability that has been assessed by the Australian Taxation Office.</w:t>
      </w:r>
    </w:p>
    <w:p w14:paraId="57BC0C5B" w14:textId="77777777" w:rsidR="00C454ED" w:rsidRDefault="00C454ED" w:rsidP="00C454ED">
      <w:pPr>
        <w:spacing w:after="240"/>
        <w:ind w:right="91"/>
      </w:pPr>
      <w:r w:rsidRPr="004C4B08">
        <w:t xml:space="preserve">This Legislative Instrument </w:t>
      </w:r>
      <w:r>
        <w:t xml:space="preserve">amends the </w:t>
      </w:r>
      <w:r w:rsidRPr="00F35FE3">
        <w:rPr>
          <w:i/>
        </w:rPr>
        <w:t>Judges’ Pensions Regulations 1998</w:t>
      </w:r>
      <w:r>
        <w:t xml:space="preserve"> to prescribe the relevant age factors </w:t>
      </w:r>
      <w:r w:rsidRPr="00D17036">
        <w:t xml:space="preserve">under the Act to work out this </w:t>
      </w:r>
      <w:r w:rsidR="00FD2830">
        <w:t xml:space="preserve">pension </w:t>
      </w:r>
      <w:r w:rsidRPr="00D17036">
        <w:t>reduction.</w:t>
      </w:r>
    </w:p>
    <w:p w14:paraId="6432E3AF" w14:textId="77777777" w:rsidR="004C4B08" w:rsidRPr="004C4B08" w:rsidRDefault="004C4B08" w:rsidP="006B6DFA">
      <w:pPr>
        <w:pStyle w:val="Heading4"/>
        <w:keepNext w:val="0"/>
        <w:keepLines w:val="0"/>
        <w:widowControl w:val="0"/>
        <w:spacing w:before="0" w:after="240"/>
        <w:rPr>
          <w:rFonts w:ascii="Times New Roman" w:hAnsi="Times New Roman" w:cs="Times New Roman"/>
          <w:color w:val="auto"/>
        </w:rPr>
      </w:pPr>
      <w:r w:rsidRPr="004C4B08">
        <w:rPr>
          <w:rFonts w:ascii="Times New Roman" w:hAnsi="Times New Roman" w:cs="Times New Roman"/>
          <w:color w:val="auto"/>
        </w:rPr>
        <w:t>Human rights implications</w:t>
      </w:r>
    </w:p>
    <w:p w14:paraId="0F55AE9B" w14:textId="77777777" w:rsidR="004C4B08" w:rsidRPr="004C4B08" w:rsidRDefault="004C4B08" w:rsidP="006B6DFA">
      <w:pPr>
        <w:widowControl w:val="0"/>
        <w:spacing w:after="240"/>
      </w:pPr>
      <w:r w:rsidRPr="004C4B08">
        <w:t>This Legislative Instrument does not engage any of the applicable rights or freedoms.</w:t>
      </w:r>
    </w:p>
    <w:p w14:paraId="651837B7" w14:textId="77777777" w:rsidR="004C4B08" w:rsidRPr="004C4B08" w:rsidRDefault="004C4B08" w:rsidP="006B6DFA">
      <w:pPr>
        <w:pStyle w:val="Heading4"/>
        <w:keepNext w:val="0"/>
        <w:keepLines w:val="0"/>
        <w:widowControl w:val="0"/>
        <w:spacing w:before="0" w:after="240"/>
        <w:rPr>
          <w:rFonts w:ascii="Times New Roman" w:hAnsi="Times New Roman" w:cs="Times New Roman"/>
          <w:color w:val="auto"/>
        </w:rPr>
      </w:pPr>
      <w:r w:rsidRPr="004C4B08">
        <w:rPr>
          <w:rFonts w:ascii="Times New Roman" w:hAnsi="Times New Roman" w:cs="Times New Roman"/>
          <w:color w:val="auto"/>
        </w:rPr>
        <w:t>Conclusion</w:t>
      </w:r>
    </w:p>
    <w:p w14:paraId="6D1E454A" w14:textId="77777777" w:rsidR="004C4B08" w:rsidRPr="004C4B08" w:rsidRDefault="004C4B08" w:rsidP="006B6DFA">
      <w:pPr>
        <w:widowControl w:val="0"/>
        <w:spacing w:after="240"/>
      </w:pPr>
      <w:r w:rsidRPr="004C4B08">
        <w:t>This Legislative Instrument is compatible with human rights as it does not raise any human rights issues.</w:t>
      </w:r>
    </w:p>
    <w:p w14:paraId="3D55119B" w14:textId="77777777" w:rsidR="004C4B08" w:rsidRPr="004C4B08" w:rsidRDefault="004C4B08" w:rsidP="006B6DFA">
      <w:pPr>
        <w:widowControl w:val="0"/>
        <w:jc w:val="center"/>
        <w:rPr>
          <w:b/>
        </w:rPr>
      </w:pPr>
      <w:r w:rsidRPr="004C4B08">
        <w:rPr>
          <w:b/>
        </w:rPr>
        <w:t>Senator the Hon Mathias Cormann</w:t>
      </w:r>
    </w:p>
    <w:p w14:paraId="03914C8A" w14:textId="77777777" w:rsidR="004C4B08" w:rsidRPr="004C4B08" w:rsidRDefault="004C4B08" w:rsidP="006B6DFA">
      <w:pPr>
        <w:widowControl w:val="0"/>
        <w:spacing w:after="240"/>
        <w:jc w:val="center"/>
      </w:pPr>
      <w:r w:rsidRPr="004C4B08">
        <w:rPr>
          <w:b/>
        </w:rPr>
        <w:t>Minister for Finance</w:t>
      </w:r>
      <w:r>
        <w:rPr>
          <w:b/>
        </w:rPr>
        <w:t xml:space="preserve"> and the Public Service</w:t>
      </w:r>
    </w:p>
    <w:p w14:paraId="78320CD1" w14:textId="77777777" w:rsidR="00077806" w:rsidRDefault="00077806" w:rsidP="006B6DFA">
      <w:pPr>
        <w:widowControl w:val="0"/>
        <w:spacing w:after="240"/>
        <w:ind w:right="91"/>
      </w:pPr>
      <w:bookmarkStart w:id="0" w:name="_GoBack"/>
      <w:bookmarkEnd w:id="0"/>
    </w:p>
    <w:sectPr w:rsidR="00077806" w:rsidSect="002939A5">
      <w:footerReference w:type="first" r:id="rId8"/>
      <w:pgSz w:w="11906" w:h="16838"/>
      <w:pgMar w:top="1440" w:right="1700" w:bottom="1440" w:left="1440"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356C7" w14:textId="77777777" w:rsidR="00DE19A4" w:rsidRDefault="00DE19A4" w:rsidP="008F7774">
      <w:r>
        <w:separator/>
      </w:r>
    </w:p>
  </w:endnote>
  <w:endnote w:type="continuationSeparator" w:id="0">
    <w:p w14:paraId="7804D966" w14:textId="77777777" w:rsidR="00DE19A4" w:rsidRDefault="00DE19A4" w:rsidP="008F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Dutch801BM">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586241"/>
      <w:docPartObj>
        <w:docPartGallery w:val="Page Numbers (Bottom of Page)"/>
        <w:docPartUnique/>
      </w:docPartObj>
    </w:sdtPr>
    <w:sdtEndPr>
      <w:rPr>
        <w:noProof/>
      </w:rPr>
    </w:sdtEndPr>
    <w:sdtContent>
      <w:p w14:paraId="5B737B89" w14:textId="77777777" w:rsidR="00620703" w:rsidRDefault="00620703">
        <w:pPr>
          <w:pStyle w:val="Footer"/>
          <w:jc w:val="right"/>
        </w:pPr>
        <w:r>
          <w:t>1</w:t>
        </w:r>
      </w:p>
    </w:sdtContent>
  </w:sdt>
  <w:p w14:paraId="78572789" w14:textId="77777777" w:rsidR="00620703" w:rsidRDefault="00620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18180" w14:textId="77777777" w:rsidR="00DE19A4" w:rsidRDefault="00DE19A4" w:rsidP="008F7774">
      <w:r>
        <w:separator/>
      </w:r>
    </w:p>
  </w:footnote>
  <w:footnote w:type="continuationSeparator" w:id="0">
    <w:p w14:paraId="1E2A9B48" w14:textId="77777777" w:rsidR="00DE19A4" w:rsidRDefault="00DE19A4" w:rsidP="008F7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 w15:restartNumberingAfterBreak="0">
    <w:nsid w:val="4444287C"/>
    <w:multiLevelType w:val="hybridMultilevel"/>
    <w:tmpl w:val="917CE45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7394B3C"/>
    <w:multiLevelType w:val="hybridMultilevel"/>
    <w:tmpl w:val="203CF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74F83249"/>
    <w:multiLevelType w:val="hybridMultilevel"/>
    <w:tmpl w:val="982C5E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F2"/>
    <w:rsid w:val="00004574"/>
    <w:rsid w:val="000055A3"/>
    <w:rsid w:val="00005F37"/>
    <w:rsid w:val="000174AD"/>
    <w:rsid w:val="00077806"/>
    <w:rsid w:val="00085DC9"/>
    <w:rsid w:val="00092D75"/>
    <w:rsid w:val="000D2173"/>
    <w:rsid w:val="000D533C"/>
    <w:rsid w:val="000D7AE5"/>
    <w:rsid w:val="000F6087"/>
    <w:rsid w:val="000F7A40"/>
    <w:rsid w:val="001018B1"/>
    <w:rsid w:val="001152E5"/>
    <w:rsid w:val="001378A4"/>
    <w:rsid w:val="00147958"/>
    <w:rsid w:val="001B0BCB"/>
    <w:rsid w:val="001B3755"/>
    <w:rsid w:val="001D108C"/>
    <w:rsid w:val="001D54FB"/>
    <w:rsid w:val="001D6218"/>
    <w:rsid w:val="001E7D63"/>
    <w:rsid w:val="001F4036"/>
    <w:rsid w:val="00200A7B"/>
    <w:rsid w:val="00262F92"/>
    <w:rsid w:val="002750B7"/>
    <w:rsid w:val="002939A5"/>
    <w:rsid w:val="002A582C"/>
    <w:rsid w:val="002A59A3"/>
    <w:rsid w:val="00307E48"/>
    <w:rsid w:val="00364D64"/>
    <w:rsid w:val="0038489A"/>
    <w:rsid w:val="003C2529"/>
    <w:rsid w:val="004009CB"/>
    <w:rsid w:val="00423DE9"/>
    <w:rsid w:val="004B1A7E"/>
    <w:rsid w:val="004C4B08"/>
    <w:rsid w:val="004C7745"/>
    <w:rsid w:val="004D481A"/>
    <w:rsid w:val="005510C2"/>
    <w:rsid w:val="00552C2C"/>
    <w:rsid w:val="00555EFF"/>
    <w:rsid w:val="00565246"/>
    <w:rsid w:val="00565C2F"/>
    <w:rsid w:val="00576FA3"/>
    <w:rsid w:val="005E3C9A"/>
    <w:rsid w:val="005F6E97"/>
    <w:rsid w:val="006013C7"/>
    <w:rsid w:val="00604E29"/>
    <w:rsid w:val="00620703"/>
    <w:rsid w:val="00641024"/>
    <w:rsid w:val="006B2FED"/>
    <w:rsid w:val="006B6DFA"/>
    <w:rsid w:val="006C07C1"/>
    <w:rsid w:val="006F3A5B"/>
    <w:rsid w:val="00735F84"/>
    <w:rsid w:val="00737DED"/>
    <w:rsid w:val="0075534D"/>
    <w:rsid w:val="007E49FC"/>
    <w:rsid w:val="00877D05"/>
    <w:rsid w:val="008911D0"/>
    <w:rsid w:val="00893E67"/>
    <w:rsid w:val="008A489B"/>
    <w:rsid w:val="008D556D"/>
    <w:rsid w:val="008F7774"/>
    <w:rsid w:val="00900AC0"/>
    <w:rsid w:val="00912FF3"/>
    <w:rsid w:val="00921378"/>
    <w:rsid w:val="00997618"/>
    <w:rsid w:val="009A02C3"/>
    <w:rsid w:val="00A015DF"/>
    <w:rsid w:val="00A15168"/>
    <w:rsid w:val="00A31F8B"/>
    <w:rsid w:val="00A72B33"/>
    <w:rsid w:val="00AB4047"/>
    <w:rsid w:val="00AD61C1"/>
    <w:rsid w:val="00AE1E21"/>
    <w:rsid w:val="00B22F60"/>
    <w:rsid w:val="00B3066B"/>
    <w:rsid w:val="00B5149A"/>
    <w:rsid w:val="00B66663"/>
    <w:rsid w:val="00B71012"/>
    <w:rsid w:val="00BA5FAA"/>
    <w:rsid w:val="00BB623B"/>
    <w:rsid w:val="00BB65E6"/>
    <w:rsid w:val="00BD3A0F"/>
    <w:rsid w:val="00C128E8"/>
    <w:rsid w:val="00C237C5"/>
    <w:rsid w:val="00C454ED"/>
    <w:rsid w:val="00C73F84"/>
    <w:rsid w:val="00C82ECB"/>
    <w:rsid w:val="00CA7BA7"/>
    <w:rsid w:val="00CD7F2B"/>
    <w:rsid w:val="00CF3DF8"/>
    <w:rsid w:val="00D17036"/>
    <w:rsid w:val="00D17BEF"/>
    <w:rsid w:val="00D40595"/>
    <w:rsid w:val="00D83E2A"/>
    <w:rsid w:val="00D94A9B"/>
    <w:rsid w:val="00D94B05"/>
    <w:rsid w:val="00DA61DE"/>
    <w:rsid w:val="00DA799D"/>
    <w:rsid w:val="00DA7A5B"/>
    <w:rsid w:val="00DC2439"/>
    <w:rsid w:val="00DE19A4"/>
    <w:rsid w:val="00DF30D7"/>
    <w:rsid w:val="00E14E9C"/>
    <w:rsid w:val="00E16575"/>
    <w:rsid w:val="00E17BE3"/>
    <w:rsid w:val="00E302F2"/>
    <w:rsid w:val="00E3716B"/>
    <w:rsid w:val="00EA7D09"/>
    <w:rsid w:val="00EE5B64"/>
    <w:rsid w:val="00F15C15"/>
    <w:rsid w:val="00F35D87"/>
    <w:rsid w:val="00F35FE3"/>
    <w:rsid w:val="00F42FDA"/>
    <w:rsid w:val="00F44283"/>
    <w:rsid w:val="00F44814"/>
    <w:rsid w:val="00F6147C"/>
    <w:rsid w:val="00F70544"/>
    <w:rsid w:val="00FC3AF7"/>
    <w:rsid w:val="00FD2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D910F8"/>
  <w15:docId w15:val="{BE60B181-614A-482E-ACAB-23E7934B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2F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4C4B0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4C4B0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302F2"/>
    <w:pPr>
      <w:keepNext/>
      <w:tabs>
        <w:tab w:val="left" w:pos="2018"/>
      </w:tabs>
      <w:spacing w:before="240" w:line="240" w:lineRule="exact"/>
      <w:ind w:left="742" w:right="91"/>
      <w:outlineLvl w:val="4"/>
    </w:pPr>
    <w:rPr>
      <w:b/>
      <w:szCs w:val="20"/>
      <w:lang w:eastAsia="en-AU"/>
    </w:rPr>
  </w:style>
  <w:style w:type="paragraph" w:styleId="Heading6">
    <w:name w:val="heading 6"/>
    <w:basedOn w:val="Normal"/>
    <w:next w:val="Normal"/>
    <w:link w:val="Heading6Char"/>
    <w:semiHidden/>
    <w:unhideWhenUsed/>
    <w:qFormat/>
    <w:rsid w:val="00E302F2"/>
    <w:pPr>
      <w:keepNext/>
      <w:spacing w:before="240"/>
      <w:ind w:right="91"/>
      <w:outlineLvl w:val="5"/>
    </w:pPr>
    <w:rPr>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E302F2"/>
    <w:rPr>
      <w:rFonts w:ascii="Times New Roman" w:eastAsia="Times New Roman" w:hAnsi="Times New Roman" w:cs="Times New Roman"/>
      <w:b/>
      <w:sz w:val="24"/>
      <w:szCs w:val="20"/>
      <w:lang w:eastAsia="en-AU"/>
    </w:rPr>
  </w:style>
  <w:style w:type="character" w:customStyle="1" w:styleId="Heading6Char">
    <w:name w:val="Heading 6 Char"/>
    <w:basedOn w:val="DefaultParagraphFont"/>
    <w:link w:val="Heading6"/>
    <w:semiHidden/>
    <w:rsid w:val="00E302F2"/>
    <w:rPr>
      <w:rFonts w:ascii="Times New Roman" w:eastAsia="Times New Roman" w:hAnsi="Times New Roman" w:cs="Times New Roman"/>
      <w:sz w:val="24"/>
      <w:szCs w:val="20"/>
      <w:u w:val="single"/>
      <w:lang w:eastAsia="en-AU"/>
    </w:rPr>
  </w:style>
  <w:style w:type="paragraph" w:styleId="Header">
    <w:name w:val="header"/>
    <w:basedOn w:val="Normal"/>
    <w:link w:val="HeaderChar"/>
    <w:uiPriority w:val="99"/>
    <w:rsid w:val="00E302F2"/>
    <w:pPr>
      <w:tabs>
        <w:tab w:val="center" w:pos="4153"/>
        <w:tab w:val="right" w:pos="8306"/>
      </w:tabs>
    </w:pPr>
    <w:rPr>
      <w:rFonts w:ascii="Dutch801BM" w:hAnsi="Dutch801BM"/>
      <w:sz w:val="20"/>
      <w:szCs w:val="20"/>
      <w:lang w:val="en-US" w:eastAsia="en-AU"/>
    </w:rPr>
  </w:style>
  <w:style w:type="character" w:customStyle="1" w:styleId="HeaderChar">
    <w:name w:val="Header Char"/>
    <w:basedOn w:val="DefaultParagraphFont"/>
    <w:link w:val="Header"/>
    <w:uiPriority w:val="99"/>
    <w:rsid w:val="00E302F2"/>
    <w:rPr>
      <w:rFonts w:ascii="Dutch801BM" w:eastAsia="Times New Roman" w:hAnsi="Dutch801BM" w:cs="Times New Roman"/>
      <w:sz w:val="20"/>
      <w:szCs w:val="20"/>
      <w:lang w:val="en-US" w:eastAsia="en-AU"/>
    </w:rPr>
  </w:style>
  <w:style w:type="paragraph" w:styleId="Footer">
    <w:name w:val="footer"/>
    <w:basedOn w:val="Normal"/>
    <w:link w:val="FooterChar"/>
    <w:uiPriority w:val="99"/>
    <w:unhideWhenUsed/>
    <w:rsid w:val="00E302F2"/>
    <w:pPr>
      <w:tabs>
        <w:tab w:val="center" w:pos="4153"/>
        <w:tab w:val="right" w:pos="8306"/>
      </w:tabs>
      <w:spacing w:before="240"/>
    </w:pPr>
    <w:rPr>
      <w:szCs w:val="20"/>
      <w:lang w:eastAsia="en-AU"/>
    </w:rPr>
  </w:style>
  <w:style w:type="character" w:customStyle="1" w:styleId="FooterChar">
    <w:name w:val="Footer Char"/>
    <w:basedOn w:val="DefaultParagraphFont"/>
    <w:link w:val="Footer"/>
    <w:uiPriority w:val="99"/>
    <w:rsid w:val="00E302F2"/>
    <w:rPr>
      <w:rFonts w:ascii="Times New Roman" w:eastAsia="Times New Roman" w:hAnsi="Times New Roman" w:cs="Times New Roman"/>
      <w:sz w:val="24"/>
      <w:szCs w:val="20"/>
      <w:lang w:eastAsia="en-AU"/>
    </w:rPr>
  </w:style>
  <w:style w:type="paragraph" w:styleId="Title">
    <w:name w:val="Title"/>
    <w:basedOn w:val="Normal"/>
    <w:link w:val="TitleChar"/>
    <w:qFormat/>
    <w:rsid w:val="00E302F2"/>
    <w:pPr>
      <w:jc w:val="center"/>
    </w:pPr>
    <w:rPr>
      <w:b/>
      <w:sz w:val="36"/>
      <w:szCs w:val="20"/>
      <w:lang w:eastAsia="en-AU"/>
    </w:rPr>
  </w:style>
  <w:style w:type="character" w:customStyle="1" w:styleId="TitleChar">
    <w:name w:val="Title Char"/>
    <w:basedOn w:val="DefaultParagraphFont"/>
    <w:link w:val="Title"/>
    <w:rsid w:val="00E302F2"/>
    <w:rPr>
      <w:rFonts w:ascii="Times New Roman" w:eastAsia="Times New Roman" w:hAnsi="Times New Roman" w:cs="Times New Roman"/>
      <w:b/>
      <w:sz w:val="36"/>
      <w:szCs w:val="20"/>
      <w:lang w:eastAsia="en-AU"/>
    </w:rPr>
  </w:style>
  <w:style w:type="paragraph" w:styleId="BlockText">
    <w:name w:val="Block Text"/>
    <w:basedOn w:val="Normal"/>
    <w:semiHidden/>
    <w:unhideWhenUsed/>
    <w:rsid w:val="00E302F2"/>
    <w:pPr>
      <w:spacing w:before="240"/>
      <w:ind w:left="1440" w:right="90" w:hanging="720"/>
    </w:pPr>
    <w:rPr>
      <w:szCs w:val="20"/>
      <w:lang w:eastAsia="en-AU"/>
    </w:rPr>
  </w:style>
  <w:style w:type="character" w:customStyle="1" w:styleId="AppendixCharChar">
    <w:name w:val="Appendix Char Char"/>
    <w:link w:val="Appendix"/>
    <w:locked/>
    <w:rsid w:val="00E302F2"/>
    <w:rPr>
      <w:b/>
      <w:sz w:val="24"/>
    </w:rPr>
  </w:style>
  <w:style w:type="paragraph" w:customStyle="1" w:styleId="Appendix">
    <w:name w:val="Appendix"/>
    <w:basedOn w:val="Normal"/>
    <w:link w:val="AppendixCharChar"/>
    <w:rsid w:val="00E302F2"/>
    <w:pPr>
      <w:jc w:val="right"/>
    </w:pPr>
    <w:rPr>
      <w:rFonts w:asciiTheme="minorHAnsi" w:eastAsiaTheme="minorHAnsi" w:hAnsiTheme="minorHAnsi" w:cstheme="minorBidi"/>
      <w:b/>
      <w:szCs w:val="22"/>
    </w:rPr>
  </w:style>
  <w:style w:type="paragraph" w:customStyle="1" w:styleId="HB-dotpoint">
    <w:name w:val="HB - dotpoint"/>
    <w:basedOn w:val="Normal"/>
    <w:rsid w:val="00E302F2"/>
    <w:pPr>
      <w:numPr>
        <w:numId w:val="1"/>
      </w:numPr>
      <w:spacing w:before="180"/>
    </w:pPr>
    <w:rPr>
      <w:szCs w:val="20"/>
      <w:lang w:eastAsia="en-AU"/>
    </w:rPr>
  </w:style>
  <w:style w:type="paragraph" w:styleId="BalloonText">
    <w:name w:val="Balloon Text"/>
    <w:basedOn w:val="Normal"/>
    <w:link w:val="BalloonTextChar"/>
    <w:uiPriority w:val="99"/>
    <w:semiHidden/>
    <w:unhideWhenUsed/>
    <w:rsid w:val="00E302F2"/>
    <w:rPr>
      <w:rFonts w:ascii="Tahoma" w:hAnsi="Tahoma" w:cs="Tahoma"/>
      <w:sz w:val="16"/>
      <w:szCs w:val="16"/>
    </w:rPr>
  </w:style>
  <w:style w:type="character" w:customStyle="1" w:styleId="BalloonTextChar">
    <w:name w:val="Balloon Text Char"/>
    <w:basedOn w:val="DefaultParagraphFont"/>
    <w:link w:val="BalloonText"/>
    <w:uiPriority w:val="99"/>
    <w:semiHidden/>
    <w:rsid w:val="00E302F2"/>
    <w:rPr>
      <w:rFonts w:ascii="Tahoma" w:eastAsia="Times New Roman" w:hAnsi="Tahoma" w:cs="Tahoma"/>
      <w:sz w:val="16"/>
      <w:szCs w:val="16"/>
    </w:rPr>
  </w:style>
  <w:style w:type="paragraph" w:styleId="ListParagraph">
    <w:name w:val="List Paragraph"/>
    <w:basedOn w:val="Normal"/>
    <w:uiPriority w:val="34"/>
    <w:qFormat/>
    <w:rsid w:val="00737DED"/>
    <w:pPr>
      <w:spacing w:before="120" w:after="120"/>
      <w:ind w:left="720"/>
      <w:contextualSpacing/>
    </w:pPr>
    <w:rPr>
      <w:szCs w:val="20"/>
      <w:lang w:eastAsia="en-AU"/>
    </w:rPr>
  </w:style>
  <w:style w:type="character" w:styleId="CommentReference">
    <w:name w:val="annotation reference"/>
    <w:basedOn w:val="DefaultParagraphFont"/>
    <w:uiPriority w:val="99"/>
    <w:semiHidden/>
    <w:unhideWhenUsed/>
    <w:rsid w:val="004C4B08"/>
    <w:rPr>
      <w:sz w:val="16"/>
      <w:szCs w:val="16"/>
    </w:rPr>
  </w:style>
  <w:style w:type="paragraph" w:styleId="CommentText">
    <w:name w:val="annotation text"/>
    <w:basedOn w:val="Normal"/>
    <w:link w:val="CommentTextChar"/>
    <w:uiPriority w:val="99"/>
    <w:semiHidden/>
    <w:unhideWhenUsed/>
    <w:rsid w:val="004C4B08"/>
    <w:rPr>
      <w:sz w:val="20"/>
      <w:szCs w:val="20"/>
    </w:rPr>
  </w:style>
  <w:style w:type="character" w:customStyle="1" w:styleId="CommentTextChar">
    <w:name w:val="Comment Text Char"/>
    <w:basedOn w:val="DefaultParagraphFont"/>
    <w:link w:val="CommentText"/>
    <w:uiPriority w:val="99"/>
    <w:semiHidden/>
    <w:rsid w:val="004C4B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4B08"/>
    <w:rPr>
      <w:b/>
      <w:bCs/>
    </w:rPr>
  </w:style>
  <w:style w:type="character" w:customStyle="1" w:styleId="CommentSubjectChar">
    <w:name w:val="Comment Subject Char"/>
    <w:basedOn w:val="CommentTextChar"/>
    <w:link w:val="CommentSubject"/>
    <w:uiPriority w:val="99"/>
    <w:semiHidden/>
    <w:rsid w:val="004C4B08"/>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4C4B0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C4B08"/>
    <w:rPr>
      <w:rFonts w:asciiTheme="majorHAnsi" w:eastAsiaTheme="majorEastAsia" w:hAnsiTheme="majorHAnsi" w:cstheme="majorBidi"/>
      <w:i/>
      <w:iCs/>
      <w:color w:val="365F91" w:themeColor="accent1" w:themeShade="BF"/>
      <w:sz w:val="24"/>
      <w:szCs w:val="24"/>
    </w:rPr>
  </w:style>
  <w:style w:type="paragraph" w:customStyle="1" w:styleId="Default">
    <w:name w:val="Default"/>
    <w:rsid w:val="00D94B0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DADC8737.dotm</Template>
  <TotalTime>623</TotalTime>
  <Pages>5</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Perdrau, Sara</dc:creator>
  <cp:lastModifiedBy>Woolcock, David</cp:lastModifiedBy>
  <cp:revision>72</cp:revision>
  <dcterms:created xsi:type="dcterms:W3CDTF">2018-09-21T01:44:00Z</dcterms:created>
  <dcterms:modified xsi:type="dcterms:W3CDTF">2018-10-19T00:54:00Z</dcterms:modified>
</cp:coreProperties>
</file>