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CC29C1" w:rsidP="00554826">
      <w:pPr>
        <w:pStyle w:val="ShortT"/>
      </w:pPr>
      <w:r>
        <w:t>Public Governance, Performance and Accountability (Section 75 Transfers) Determination 2018-2019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C29C1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C29C1">
        <w:rPr>
          <w:szCs w:val="22"/>
        </w:rPr>
        <w:t>First Assistant Secretary</w:t>
      </w:r>
      <w:r w:rsidR="007F61BF">
        <w:rPr>
          <w:szCs w:val="22"/>
        </w:rPr>
        <w:t>, Financial Analysis, Reporting and Management, Department of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C29C1">
        <w:rPr>
          <w:szCs w:val="22"/>
        </w:rPr>
        <w:t>determination</w:t>
      </w:r>
      <w:r w:rsidRPr="00DA182D">
        <w:rPr>
          <w:szCs w:val="22"/>
        </w:rPr>
        <w:t>.</w:t>
      </w:r>
    </w:p>
    <w:p w:rsidR="00554826" w:rsidRPr="00001A63" w:rsidRDefault="00B061C9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B69BE">
        <w:rPr>
          <w:szCs w:val="22"/>
        </w:rPr>
        <w:t xml:space="preserve"> 9 </w:t>
      </w:r>
      <w:r w:rsidR="007F61BF">
        <w:rPr>
          <w:szCs w:val="22"/>
        </w:rPr>
        <w:t xml:space="preserve">November </w:t>
      </w:r>
      <w:r w:rsidR="00CC29C1">
        <w:rPr>
          <w:szCs w:val="22"/>
        </w:rPr>
        <w:t>2018</w:t>
      </w:r>
      <w:r w:rsidR="00554826" w:rsidRPr="00001A63">
        <w:rPr>
          <w:szCs w:val="22"/>
        </w:rPr>
        <w:tab/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:rsidR="00554826" w:rsidRDefault="00CC29C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  <w:r w:rsidR="00554826" w:rsidRPr="00A75FE9">
        <w:rPr>
          <w:szCs w:val="22"/>
        </w:rPr>
        <w:t xml:space="preserve"> </w:t>
      </w:r>
      <w:bookmarkStart w:id="0" w:name="_GoBack"/>
      <w:bookmarkEnd w:id="0"/>
    </w:p>
    <w:p w:rsidR="00CC29C1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C29C1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554826" w:rsidRPr="008E0027" w:rsidRDefault="00CC29C1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27283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72837">
        <w:rPr>
          <w:noProof/>
        </w:rPr>
        <w:t>1  Name</w:t>
      </w:r>
      <w:r w:rsidR="00272837">
        <w:rPr>
          <w:noProof/>
        </w:rPr>
        <w:tab/>
      </w:r>
      <w:r w:rsidR="00272837">
        <w:rPr>
          <w:noProof/>
        </w:rPr>
        <w:fldChar w:fldCharType="begin"/>
      </w:r>
      <w:r w:rsidR="00272837">
        <w:rPr>
          <w:noProof/>
        </w:rPr>
        <w:instrText xml:space="preserve"> PAGEREF _Toc529261750 \h </w:instrText>
      </w:r>
      <w:r w:rsidR="00272837">
        <w:rPr>
          <w:noProof/>
        </w:rPr>
      </w:r>
      <w:r w:rsidR="00272837">
        <w:rPr>
          <w:noProof/>
        </w:rPr>
        <w:fldChar w:fldCharType="separate"/>
      </w:r>
      <w:r w:rsidR="00272837">
        <w:rPr>
          <w:noProof/>
        </w:rPr>
        <w:t>1</w:t>
      </w:r>
      <w:r w:rsidR="00272837">
        <w:rPr>
          <w:noProof/>
        </w:rPr>
        <w:fldChar w:fldCharType="end"/>
      </w:r>
    </w:p>
    <w:p w:rsidR="00272837" w:rsidRDefault="00272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_Toc529261751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72837" w:rsidRDefault="00272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_Toc529261752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72837" w:rsidRDefault="00272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_Toc529261753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72837" w:rsidRDefault="00272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Modification of Appropriation 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_Toc529261754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72837" w:rsidRDefault="00272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Modification of Appropriation Act (No. 1) 2018-2019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_Toc529261755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29261750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C29C1">
        <w:rPr>
          <w:i/>
        </w:rPr>
        <w:t>Public Governance, Performance and Accountability (Section 75 Transfers) Determination 2018-2019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29261751"/>
      <w:proofErr w:type="gramStart"/>
      <w:r w:rsidRPr="00554826">
        <w:t>2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C29C1">
        <w:t>the day after it is registered</w:t>
      </w:r>
      <w:r>
        <w:t>.</w:t>
      </w:r>
    </w:p>
    <w:p w:rsidR="00554826" w:rsidRPr="00554826" w:rsidRDefault="00554826" w:rsidP="00554826">
      <w:pPr>
        <w:pStyle w:val="ActHead5"/>
      </w:pPr>
      <w:bookmarkStart w:id="4" w:name="_Toc529261752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C29C1">
        <w:t xml:space="preserve">section 75 of the </w:t>
      </w:r>
      <w:r w:rsidR="00CC29C1" w:rsidRPr="00CC29C1">
        <w:rPr>
          <w:i/>
        </w:rPr>
        <w:t>Public Governance, Performance and Accountability Act 2013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529261753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CC29C1" w:rsidRDefault="00CC29C1" w:rsidP="00554826">
      <w:pPr>
        <w:pStyle w:val="Definition"/>
      </w:pPr>
      <w:r>
        <w:rPr>
          <w:b/>
          <w:i/>
        </w:rPr>
        <w:t xml:space="preserve">Appropriation </w:t>
      </w:r>
      <w:r w:rsidR="00554826" w:rsidRPr="009C2562">
        <w:rPr>
          <w:b/>
          <w:i/>
        </w:rPr>
        <w:t>Act</w:t>
      </w:r>
      <w:r w:rsidR="00554826" w:rsidRPr="009C2562">
        <w:t xml:space="preserve"> means</w:t>
      </w:r>
      <w:r>
        <w:t>:</w:t>
      </w:r>
    </w:p>
    <w:p w:rsidR="00CC29C1" w:rsidRDefault="00CC29C1" w:rsidP="003505F0">
      <w:pPr>
        <w:pStyle w:val="paragraph"/>
        <w:numPr>
          <w:ilvl w:val="0"/>
          <w:numId w:val="15"/>
        </w:numPr>
      </w:pPr>
      <w:r>
        <w:t xml:space="preserve">the </w:t>
      </w:r>
      <w:r w:rsidRPr="003505F0">
        <w:rPr>
          <w:i/>
        </w:rPr>
        <w:t>Appropriation Act (No. 1) 2018-2019</w:t>
      </w:r>
      <w:r>
        <w:t xml:space="preserve">; </w:t>
      </w:r>
      <w:r w:rsidR="008272E9">
        <w:t>and</w:t>
      </w:r>
    </w:p>
    <w:p w:rsidR="00554826" w:rsidRPr="009C2562" w:rsidRDefault="00CC29C1" w:rsidP="008272E9">
      <w:pPr>
        <w:pStyle w:val="paragraph"/>
        <w:numPr>
          <w:ilvl w:val="0"/>
          <w:numId w:val="15"/>
        </w:numPr>
      </w:pPr>
      <w:r>
        <w:t xml:space="preserve">the </w:t>
      </w:r>
      <w:r w:rsidRPr="003505F0">
        <w:rPr>
          <w:i/>
        </w:rPr>
        <w:t>Appropriation Act (No. 2) 2018-2019</w:t>
      </w:r>
      <w:r w:rsidR="008272E9">
        <w:t>.</w:t>
      </w:r>
      <w:r w:rsidR="003505F0" w:rsidRPr="003505F0">
        <w:t xml:space="preserve"> </w:t>
      </w:r>
    </w:p>
    <w:p w:rsidR="00554826" w:rsidRDefault="00CC29C1" w:rsidP="00554826">
      <w:pPr>
        <w:pStyle w:val="Definition"/>
      </w:pPr>
      <w:r>
        <w:rPr>
          <w:b/>
          <w:i/>
        </w:rPr>
        <w:t>appropriation item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an item with</w:t>
      </w:r>
      <w:r w:rsidR="002576B3">
        <w:t>in</w:t>
      </w:r>
      <w:r>
        <w:t xml:space="preserve"> the meaning of an Appropriation Act</w:t>
      </w:r>
      <w:r w:rsidR="00554826">
        <w:t>.</w:t>
      </w:r>
    </w:p>
    <w:p w:rsidR="00554826" w:rsidRDefault="00CC29C1" w:rsidP="00554826">
      <w:pPr>
        <w:pStyle w:val="Definition"/>
      </w:pPr>
      <w:r>
        <w:rPr>
          <w:b/>
          <w:i/>
        </w:rPr>
        <w:t xml:space="preserve">entity </w:t>
      </w:r>
      <w:r w:rsidR="00554826" w:rsidRPr="009C2562">
        <w:t>means</w:t>
      </w:r>
      <w:r w:rsidR="00554826">
        <w:t xml:space="preserve"> </w:t>
      </w:r>
      <w:r>
        <w:t>a non-corporate entity with</w:t>
      </w:r>
      <w:r w:rsidR="002576B3">
        <w:t>in</w:t>
      </w:r>
      <w:r>
        <w:t xml:space="preserve"> the meaning of an Appropriation Act</w:t>
      </w:r>
      <w:r w:rsidR="00554826">
        <w:t>.</w:t>
      </w:r>
    </w:p>
    <w:p w:rsidR="00ED6C75" w:rsidRPr="00ED6C75" w:rsidRDefault="00F71236" w:rsidP="00F71236">
      <w:pPr>
        <w:pStyle w:val="ActHead5"/>
      </w:pPr>
      <w:bookmarkStart w:id="6" w:name="_Toc529261754"/>
      <w:proofErr w:type="gramStart"/>
      <w:r>
        <w:t xml:space="preserve">5  </w:t>
      </w:r>
      <w:r w:rsidR="00ED6C75" w:rsidRPr="003505F0">
        <w:t>Modification</w:t>
      </w:r>
      <w:proofErr w:type="gramEnd"/>
      <w:r w:rsidR="00ED6C75" w:rsidRPr="003505F0">
        <w:t xml:space="preserve"> of </w:t>
      </w:r>
      <w:r w:rsidR="00ED6C75" w:rsidRPr="00ED6C75">
        <w:t>Appropriation Act</w:t>
      </w:r>
      <w:r w:rsidR="00ED6C75">
        <w:t>s</w:t>
      </w:r>
      <w:bookmarkEnd w:id="6"/>
    </w:p>
    <w:p w:rsidR="00ED6C75" w:rsidRDefault="00ED6C75" w:rsidP="00870D83">
      <w:pPr>
        <w:pStyle w:val="subsection"/>
        <w:numPr>
          <w:ilvl w:val="0"/>
          <w:numId w:val="22"/>
        </w:numPr>
      </w:pPr>
      <w:r>
        <w:t>The Appropriation Acts have effect as if:</w:t>
      </w:r>
    </w:p>
    <w:p w:rsidR="00ED6C75" w:rsidRDefault="00981B72" w:rsidP="008272E9">
      <w:pPr>
        <w:pStyle w:val="paragraph"/>
        <w:numPr>
          <w:ilvl w:val="1"/>
          <w:numId w:val="22"/>
        </w:numPr>
        <w:spacing w:before="120" w:after="120"/>
        <w:ind w:left="1434" w:hanging="357"/>
      </w:pPr>
      <w:r>
        <w:t>items and outcomes for the Department of Human Services, included for the Human Services Portfolio, were instead included for the Social Services Portfolio; and</w:t>
      </w:r>
      <w:r w:rsidR="00341DAF">
        <w:tab/>
      </w:r>
      <w:r w:rsidR="00341DAF">
        <w:tab/>
      </w:r>
    </w:p>
    <w:p w:rsidR="00ED6C75" w:rsidRDefault="006C1497" w:rsidP="008272E9">
      <w:pPr>
        <w:pStyle w:val="paragraph"/>
        <w:numPr>
          <w:ilvl w:val="1"/>
          <w:numId w:val="22"/>
        </w:numPr>
        <w:spacing w:before="120" w:after="120"/>
        <w:ind w:left="1434" w:hanging="357"/>
      </w:pPr>
      <w:r>
        <w:t xml:space="preserve">items and outcomes for the following entities, included for the Jobs and Innovation Portfolio, were instead included for </w:t>
      </w:r>
      <w:r w:rsidR="00981B72">
        <w:t>an</w:t>
      </w:r>
      <w:r>
        <w:t xml:space="preserve"> Industry, Innovation and Science Portfolio: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Department of Industry, Innovation and Science;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Australian Institute of Marine Science;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Australian Nuclear Science and Technology Organisation;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Commonwealth Scientific and Industrial Research Organisation;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Northern Australia Infrastructure Facility;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 xml:space="preserve">Geoscience Australia; </w:t>
      </w:r>
    </w:p>
    <w:p w:rsidR="006C1497" w:rsidRDefault="00556FF0" w:rsidP="00870D83">
      <w:pPr>
        <w:pStyle w:val="paragraphsub"/>
        <w:numPr>
          <w:ilvl w:val="2"/>
          <w:numId w:val="22"/>
        </w:numPr>
      </w:pPr>
      <w:r>
        <w:t>IP Australia; and</w:t>
      </w:r>
    </w:p>
    <w:p w:rsidR="006C1497" w:rsidRDefault="006C1497" w:rsidP="008272E9">
      <w:pPr>
        <w:pStyle w:val="paragraph"/>
        <w:numPr>
          <w:ilvl w:val="1"/>
          <w:numId w:val="22"/>
        </w:numPr>
        <w:spacing w:before="120" w:after="120"/>
        <w:ind w:left="1434" w:hanging="357"/>
      </w:pPr>
      <w:r>
        <w:t xml:space="preserve">items and outcomes for the following entities, included for the Jobs and Innovation Portfolio, were instead included for </w:t>
      </w:r>
      <w:r w:rsidR="00981B72">
        <w:t>a</w:t>
      </w:r>
      <w:r>
        <w:t xml:space="preserve"> Jobs and Small Business Portfolio: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Department of Jobs and Small Business;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lastRenderedPageBreak/>
        <w:t>Comcare;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Asbestos Safety and Eradication Agency;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Australian Building and Construction Commission;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Fair Work Commission;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 xml:space="preserve">Fair Work Ombudsman and Registered Organisations Commission Entity; </w:t>
      </w:r>
    </w:p>
    <w:p w:rsidR="006C1497" w:rsidRDefault="006C1497" w:rsidP="00870D83">
      <w:pPr>
        <w:pStyle w:val="paragraphsub"/>
        <w:numPr>
          <w:ilvl w:val="2"/>
          <w:numId w:val="22"/>
        </w:numPr>
      </w:pPr>
      <w:r>
        <w:t>Safe Work Australia</w:t>
      </w:r>
      <w:r w:rsidR="00556FF0">
        <w:t>; and</w:t>
      </w:r>
    </w:p>
    <w:p w:rsidR="00981B72" w:rsidRDefault="007F61BF" w:rsidP="008272E9">
      <w:pPr>
        <w:pStyle w:val="paragraph"/>
        <w:numPr>
          <w:ilvl w:val="1"/>
          <w:numId w:val="22"/>
        </w:numPr>
        <w:spacing w:before="120" w:after="120"/>
        <w:ind w:left="1434" w:hanging="357"/>
      </w:pPr>
      <w:r>
        <w:t xml:space="preserve">items and outcomes for the </w:t>
      </w:r>
      <w:r w:rsidR="00981B72">
        <w:t>Australian Security Intelligence Organisation</w:t>
      </w:r>
      <w:r>
        <w:t>, included in the Attorney-General’s Portfolio, were instead included for the Home Affairs Portfolio</w:t>
      </w:r>
      <w:r w:rsidR="00556FF0">
        <w:t>; and</w:t>
      </w:r>
    </w:p>
    <w:p w:rsidR="00981B72" w:rsidRDefault="00556FF0" w:rsidP="008272E9">
      <w:pPr>
        <w:pStyle w:val="paragraph"/>
        <w:numPr>
          <w:ilvl w:val="1"/>
          <w:numId w:val="22"/>
        </w:numPr>
        <w:spacing w:before="120" w:after="120"/>
        <w:ind w:left="1434" w:hanging="357"/>
      </w:pPr>
      <w:r>
        <w:t>i</w:t>
      </w:r>
      <w:r w:rsidR="00981B72">
        <w:t>tems and outcomes for the following entities, included for the Prime Minister and Cabinet Portfolio, were instead included for the Attorney-General’s Portfolio:</w:t>
      </w:r>
    </w:p>
    <w:p w:rsidR="007F61BF" w:rsidRDefault="007F61BF" w:rsidP="00870D83">
      <w:pPr>
        <w:pStyle w:val="paragraphsub"/>
        <w:numPr>
          <w:ilvl w:val="2"/>
          <w:numId w:val="22"/>
        </w:numPr>
      </w:pPr>
      <w:r>
        <w:t xml:space="preserve">Office of the Commonwealth </w:t>
      </w:r>
      <w:r w:rsidR="00C53FD2">
        <w:t>Ombudsman</w:t>
      </w:r>
      <w:r>
        <w:t xml:space="preserve">; </w:t>
      </w:r>
    </w:p>
    <w:p w:rsidR="00ED6C75" w:rsidRDefault="007F61BF" w:rsidP="00870D83">
      <w:pPr>
        <w:pStyle w:val="paragraphsub"/>
        <w:numPr>
          <w:ilvl w:val="2"/>
          <w:numId w:val="22"/>
        </w:numPr>
      </w:pPr>
      <w:r>
        <w:t>Office of the Inspector-General of Intelligence Services.</w:t>
      </w:r>
    </w:p>
    <w:p w:rsidR="00554826" w:rsidRPr="00ED6C75" w:rsidRDefault="00F71236" w:rsidP="00F71236">
      <w:pPr>
        <w:pStyle w:val="ActHead5"/>
        <w:ind w:left="0" w:firstLine="0"/>
      </w:pPr>
      <w:bookmarkStart w:id="7" w:name="_Toc529261755"/>
      <w:proofErr w:type="gramStart"/>
      <w:r>
        <w:t xml:space="preserve">6  </w:t>
      </w:r>
      <w:r w:rsidR="003505F0" w:rsidRPr="003505F0">
        <w:t>Modification</w:t>
      </w:r>
      <w:proofErr w:type="gramEnd"/>
      <w:r w:rsidR="003505F0" w:rsidRPr="003505F0">
        <w:t xml:space="preserve"> of </w:t>
      </w:r>
      <w:r w:rsidR="003505F0" w:rsidRPr="00F71236">
        <w:t>Appropriation Act (No. 1) 2018-2019</w:t>
      </w:r>
      <w:bookmarkEnd w:id="7"/>
    </w:p>
    <w:p w:rsidR="00554826" w:rsidRPr="003505F0" w:rsidRDefault="003505F0" w:rsidP="008272E9">
      <w:pPr>
        <w:pStyle w:val="subsection"/>
        <w:numPr>
          <w:ilvl w:val="0"/>
          <w:numId w:val="23"/>
        </w:numPr>
      </w:pPr>
      <w:r w:rsidRPr="003505F0">
        <w:t>This section applies to the Appropriation Act (No. 1) 2018-2019.</w:t>
      </w:r>
    </w:p>
    <w:p w:rsidR="00554826" w:rsidRPr="003505F0" w:rsidRDefault="003505F0" w:rsidP="008272E9">
      <w:pPr>
        <w:pStyle w:val="subsection"/>
        <w:numPr>
          <w:ilvl w:val="0"/>
          <w:numId w:val="23"/>
        </w:numPr>
      </w:pPr>
      <w:r w:rsidRPr="003505F0">
        <w:t>The Act has effect</w:t>
      </w:r>
      <w:r w:rsidR="00554826" w:rsidRPr="003505F0">
        <w:t>:</w:t>
      </w:r>
    </w:p>
    <w:p w:rsidR="00554826" w:rsidRPr="003505F0" w:rsidRDefault="003505F0" w:rsidP="008272E9">
      <w:pPr>
        <w:pStyle w:val="paragraph"/>
        <w:numPr>
          <w:ilvl w:val="1"/>
          <w:numId w:val="24"/>
        </w:numPr>
        <w:spacing w:before="120" w:after="120"/>
      </w:pPr>
      <w:r w:rsidRPr="003505F0">
        <w:t>as if appropriation items in Schedule 1 to the Act were increased or decreased in accordance with the following table</w:t>
      </w:r>
      <w:r w:rsidR="00554826" w:rsidRPr="003505F0">
        <w:t>; and</w:t>
      </w:r>
    </w:p>
    <w:p w:rsidR="00554826" w:rsidRPr="003505F0" w:rsidRDefault="003505F0" w:rsidP="008272E9">
      <w:pPr>
        <w:pStyle w:val="paragraph"/>
        <w:numPr>
          <w:ilvl w:val="1"/>
          <w:numId w:val="24"/>
        </w:numPr>
        <w:spacing w:before="120" w:after="120"/>
        <w:ind w:left="1434" w:hanging="357"/>
      </w:pPr>
      <w:r w:rsidRPr="003505F0">
        <w:t>if the table specifies an increase for an appropriation item which is an appropriation item that has effect because of this determination – as if the increase were from a nil amount.</w:t>
      </w:r>
    </w:p>
    <w:p w:rsidR="003505F0" w:rsidRDefault="003505F0" w:rsidP="00554826">
      <w:pPr>
        <w:pStyle w:val="paragraph"/>
        <w:rPr>
          <w:highlight w:val="yellow"/>
        </w:rPr>
      </w:pPr>
    </w:p>
    <w:tbl>
      <w:tblPr>
        <w:tblW w:w="857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397"/>
        <w:gridCol w:w="2842"/>
        <w:gridCol w:w="1696"/>
      </w:tblGrid>
      <w:tr w:rsidR="003505F0" w:rsidRPr="00555874" w:rsidTr="00DA4A77">
        <w:trPr>
          <w:tblHeader/>
        </w:trPr>
        <w:tc>
          <w:tcPr>
            <w:tcW w:w="857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505F0" w:rsidRPr="009F55BF" w:rsidRDefault="003505F0" w:rsidP="00DA4A77">
            <w:pPr>
              <w:pStyle w:val="TableHeading"/>
              <w:spacing w:before="40" w:after="40"/>
            </w:pPr>
            <w:r w:rsidRPr="009F55BF">
              <w:t>Increases and decreases in appropriation items</w:t>
            </w:r>
          </w:p>
        </w:tc>
      </w:tr>
      <w:tr w:rsidR="003505F0" w:rsidRPr="000D121B" w:rsidTr="00DA4A77">
        <w:trPr>
          <w:tblHeader/>
        </w:trPr>
        <w:tc>
          <w:tcPr>
            <w:tcW w:w="6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05F0" w:rsidRPr="006A1FFC" w:rsidRDefault="003505F0" w:rsidP="00DA4A77">
            <w:pPr>
              <w:pStyle w:val="TableHeading"/>
              <w:spacing w:before="40" w:after="40"/>
            </w:pPr>
            <w:r w:rsidRPr="006A1FFC">
              <w:t>Item</w:t>
            </w:r>
          </w:p>
        </w:tc>
        <w:tc>
          <w:tcPr>
            <w:tcW w:w="33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05F0" w:rsidRPr="006A1FFC" w:rsidRDefault="003505F0" w:rsidP="00DA4A77">
            <w:pPr>
              <w:pStyle w:val="TableHeading"/>
              <w:spacing w:before="40" w:after="40"/>
            </w:pPr>
            <w:r w:rsidRPr="006A1FFC">
              <w:t>Entity</w:t>
            </w:r>
          </w:p>
        </w:tc>
        <w:tc>
          <w:tcPr>
            <w:tcW w:w="2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05F0" w:rsidRPr="006A1FFC" w:rsidRDefault="003505F0" w:rsidP="00DA4A77">
            <w:pPr>
              <w:pStyle w:val="TableHeading"/>
              <w:spacing w:before="40" w:after="40"/>
            </w:pPr>
            <w:r w:rsidRPr="006A1FFC">
              <w:t>Appropriation item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05F0" w:rsidRPr="006A1FFC" w:rsidRDefault="003505F0" w:rsidP="00DA4A77">
            <w:pPr>
              <w:pStyle w:val="TableHeading"/>
              <w:spacing w:before="40" w:after="40"/>
            </w:pPr>
            <w:r w:rsidRPr="006A1FFC">
              <w:t>Increase (+)/</w:t>
            </w:r>
            <w:r w:rsidRPr="006A1FFC">
              <w:br/>
              <w:t>decrease (</w:t>
            </w:r>
            <w:r w:rsidRPr="006A1FFC">
              <w:noBreakHyphen/>
              <w:t>)</w:t>
            </w:r>
            <w:r w:rsidRPr="006A1FFC">
              <w:br/>
              <w:t>($’000)</w:t>
            </w:r>
          </w:p>
        </w:tc>
      </w:tr>
      <w:tr w:rsidR="003505F0" w:rsidRPr="00D83532" w:rsidTr="00DA4A77">
        <w:tc>
          <w:tcPr>
            <w:tcW w:w="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Pr="00671CF0" w:rsidRDefault="003505F0" w:rsidP="00DA4A77">
            <w:pPr>
              <w:pStyle w:val="Tabletext"/>
              <w:spacing w:before="40" w:after="40"/>
            </w:pPr>
            <w:bookmarkStart w:id="8" w:name="_Hlk499297879"/>
            <w:r w:rsidRPr="00671CF0">
              <w:t>1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Pr="00EC4924" w:rsidRDefault="00981B72" w:rsidP="00DA4A77">
            <w:pPr>
              <w:pStyle w:val="Tabletext"/>
              <w:spacing w:before="40" w:after="40"/>
              <w:rPr>
                <w:highlight w:val="yellow"/>
              </w:rPr>
            </w:pPr>
            <w:r>
              <w:t>Attorney-</w:t>
            </w:r>
            <w:r w:rsidR="003505F0">
              <w:t>General’s Department</w:t>
            </w:r>
          </w:p>
        </w:tc>
        <w:tc>
          <w:tcPr>
            <w:tcW w:w="2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Pr="00395D9F" w:rsidRDefault="003505F0" w:rsidP="00DA4A77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Pr="00D83532" w:rsidRDefault="007D1748" w:rsidP="00DA4A77">
            <w:pPr>
              <w:pStyle w:val="Tabletext"/>
              <w:spacing w:before="40" w:after="40"/>
              <w:jc w:val="right"/>
            </w:pPr>
            <w:r>
              <w:t>-2,204.579</w:t>
            </w:r>
          </w:p>
        </w:tc>
      </w:tr>
      <w:tr w:rsidR="003505F0" w:rsidRPr="00D83532" w:rsidTr="007D1748">
        <w:tc>
          <w:tcPr>
            <w:tcW w:w="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Pr="00671CF0" w:rsidRDefault="003505F0" w:rsidP="00DA4A77">
            <w:pPr>
              <w:pStyle w:val="Tabletext"/>
              <w:spacing w:before="40" w:after="40"/>
            </w:pPr>
            <w:r>
              <w:t>2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Default="003505F0" w:rsidP="00DA4A77">
            <w:pPr>
              <w:pStyle w:val="Tabletext"/>
              <w:spacing w:before="40" w:after="40"/>
            </w:pPr>
            <w:r>
              <w:t>Department of the Prime Minister and Cabinet</w:t>
            </w:r>
          </w:p>
        </w:tc>
        <w:tc>
          <w:tcPr>
            <w:tcW w:w="2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Pr="00395D9F" w:rsidRDefault="003505F0" w:rsidP="00DA4A77">
            <w:pPr>
              <w:pStyle w:val="Tabletext"/>
              <w:spacing w:before="40" w:after="40"/>
            </w:pPr>
            <w:r>
              <w:t>Departmental item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05F0" w:rsidRDefault="003505F0" w:rsidP="00DA4A77">
            <w:pPr>
              <w:pStyle w:val="Tabletext"/>
              <w:spacing w:before="40" w:after="40"/>
              <w:jc w:val="right"/>
            </w:pPr>
            <w:r>
              <w:t>-1,274</w:t>
            </w:r>
          </w:p>
        </w:tc>
      </w:tr>
      <w:tr w:rsidR="007D1748" w:rsidRPr="00D83532" w:rsidTr="00DA4A77"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D1748" w:rsidRDefault="007D1748" w:rsidP="00DA4A77">
            <w:pPr>
              <w:pStyle w:val="Tabletext"/>
              <w:spacing w:before="40" w:after="40"/>
            </w:pPr>
            <w:r>
              <w:t>3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D1748" w:rsidRDefault="007D1748" w:rsidP="00DA4A77">
            <w:pPr>
              <w:pStyle w:val="Tabletext"/>
              <w:spacing w:before="40" w:after="40"/>
            </w:pPr>
            <w:r>
              <w:t>Department of Home Affairs</w:t>
            </w:r>
          </w:p>
        </w:tc>
        <w:tc>
          <w:tcPr>
            <w:tcW w:w="2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D1748" w:rsidRDefault="007D1748" w:rsidP="00DA4A77">
            <w:pPr>
              <w:pStyle w:val="Tabletext"/>
              <w:spacing w:before="40" w:after="40"/>
            </w:pPr>
            <w:r>
              <w:t>Department</w:t>
            </w:r>
            <w:r w:rsidR="007F61BF">
              <w:t>al</w:t>
            </w:r>
            <w:r>
              <w:t xml:space="preserve"> item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D1748" w:rsidRDefault="007D1748" w:rsidP="00DA4A77">
            <w:pPr>
              <w:pStyle w:val="Tabletext"/>
              <w:spacing w:before="40" w:after="40"/>
              <w:jc w:val="right"/>
            </w:pPr>
            <w:r>
              <w:t>+3,478.579</w:t>
            </w:r>
          </w:p>
        </w:tc>
      </w:tr>
      <w:bookmarkEnd w:id="8"/>
    </w:tbl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C1" w:rsidRDefault="00CC29C1" w:rsidP="00715914">
      <w:pPr>
        <w:spacing w:line="240" w:lineRule="auto"/>
      </w:pPr>
      <w:r>
        <w:separator/>
      </w:r>
    </w:p>
  </w:endnote>
  <w:endnote w:type="continuationSeparator" w:id="0">
    <w:p w:rsidR="00CC29C1" w:rsidRDefault="00CC29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1B72">
            <w:rPr>
              <w:i/>
              <w:noProof/>
              <w:sz w:val="18"/>
            </w:rPr>
            <w:t>Public Governance, Performance and Accountability (Section 75 Transfers) Determination 2018-2019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1B72">
            <w:rPr>
              <w:i/>
              <w:noProof/>
              <w:sz w:val="18"/>
            </w:rPr>
            <w:t>Public Governance, Performance and Accountability (Section 75 Transfers) Determination 2018-2019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1B72">
            <w:rPr>
              <w:i/>
              <w:noProof/>
              <w:sz w:val="18"/>
            </w:rPr>
            <w:t>Public Governance, Performance and Accountability (Section 75 Transfers) Determination 2018-2019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69BE">
            <w:rPr>
              <w:i/>
              <w:noProof/>
              <w:sz w:val="18"/>
            </w:rPr>
            <w:t>Public Governance, Performance and Accountability (Section 75 Transfers) Determination 2018-2019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69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69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69BE">
            <w:rPr>
              <w:i/>
              <w:noProof/>
              <w:sz w:val="18"/>
            </w:rPr>
            <w:t>Public Governance, Performance and Accountability (Section 75 Transfers) Determination 2018-2019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69BE">
            <w:rPr>
              <w:i/>
              <w:noProof/>
              <w:sz w:val="18"/>
            </w:rPr>
            <w:t>Public Governance, Performance and Accountability (Section 75 Transfers) Determination 2018-2019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69B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C1" w:rsidRDefault="00CC29C1" w:rsidP="00715914">
      <w:pPr>
        <w:spacing w:line="240" w:lineRule="auto"/>
      </w:pPr>
      <w:r>
        <w:separator/>
      </w:r>
    </w:p>
  </w:footnote>
  <w:footnote w:type="continuationSeparator" w:id="0">
    <w:p w:rsidR="00CC29C1" w:rsidRDefault="00CC29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7729FF" w:rsidP="00D6537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 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7729FF" w:rsidRPr="007A1328" w:rsidRDefault="007729FF" w:rsidP="007729F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A8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E0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67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01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E8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E88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CC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B2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90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783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3E508F0"/>
    <w:multiLevelType w:val="hybridMultilevel"/>
    <w:tmpl w:val="2D58CEF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E340F"/>
    <w:multiLevelType w:val="hybridMultilevel"/>
    <w:tmpl w:val="633C92CE"/>
    <w:lvl w:ilvl="0" w:tplc="C0C4BF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861741A"/>
    <w:multiLevelType w:val="hybridMultilevel"/>
    <w:tmpl w:val="00F87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D0C331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CA5AD3"/>
    <w:multiLevelType w:val="hybridMultilevel"/>
    <w:tmpl w:val="16E21CB6"/>
    <w:lvl w:ilvl="0" w:tplc="A98CC9B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1CE6261"/>
    <w:multiLevelType w:val="hybridMultilevel"/>
    <w:tmpl w:val="9B0201D6"/>
    <w:lvl w:ilvl="0" w:tplc="5664B7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9AC0EDA"/>
    <w:multiLevelType w:val="multilevel"/>
    <w:tmpl w:val="0C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A3925BA"/>
    <w:multiLevelType w:val="hybridMultilevel"/>
    <w:tmpl w:val="FF0C216A"/>
    <w:lvl w:ilvl="0" w:tplc="C7A8F6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9420E1A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7196904"/>
    <w:multiLevelType w:val="hybridMultilevel"/>
    <w:tmpl w:val="99DC3A1C"/>
    <w:lvl w:ilvl="0" w:tplc="C906661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EA89E16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3"/>
  </w:num>
  <w:num w:numId="16">
    <w:abstractNumId w:val="22"/>
  </w:num>
  <w:num w:numId="17">
    <w:abstractNumId w:val="14"/>
  </w:num>
  <w:num w:numId="18">
    <w:abstractNumId w:val="19"/>
  </w:num>
  <w:num w:numId="19">
    <w:abstractNumId w:val="20"/>
  </w:num>
  <w:num w:numId="20">
    <w:abstractNumId w:val="17"/>
  </w:num>
  <w:num w:numId="21">
    <w:abstractNumId w:val="16"/>
  </w:num>
  <w:num w:numId="22">
    <w:abstractNumId w:val="2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C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17A6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576B3"/>
    <w:rsid w:val="0026736C"/>
    <w:rsid w:val="00272837"/>
    <w:rsid w:val="00281308"/>
    <w:rsid w:val="00284719"/>
    <w:rsid w:val="00297ECB"/>
    <w:rsid w:val="002A7BCF"/>
    <w:rsid w:val="002C3FD1"/>
    <w:rsid w:val="002D043A"/>
    <w:rsid w:val="002D266B"/>
    <w:rsid w:val="002D6224"/>
    <w:rsid w:val="002F77BA"/>
    <w:rsid w:val="00304F8B"/>
    <w:rsid w:val="00335BC6"/>
    <w:rsid w:val="003415D3"/>
    <w:rsid w:val="00341DAF"/>
    <w:rsid w:val="00344338"/>
    <w:rsid w:val="00344701"/>
    <w:rsid w:val="003505F0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9B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6FF0"/>
    <w:rsid w:val="00562877"/>
    <w:rsid w:val="00584811"/>
    <w:rsid w:val="00585784"/>
    <w:rsid w:val="00593AA6"/>
    <w:rsid w:val="00594161"/>
    <w:rsid w:val="00594749"/>
    <w:rsid w:val="005A65D5"/>
    <w:rsid w:val="005A6E23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149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29FF"/>
    <w:rsid w:val="00774EDD"/>
    <w:rsid w:val="007757EC"/>
    <w:rsid w:val="00783E89"/>
    <w:rsid w:val="00793915"/>
    <w:rsid w:val="007C2253"/>
    <w:rsid w:val="007D1748"/>
    <w:rsid w:val="007D7911"/>
    <w:rsid w:val="007E163D"/>
    <w:rsid w:val="007E667A"/>
    <w:rsid w:val="007F28C9"/>
    <w:rsid w:val="007F51B2"/>
    <w:rsid w:val="007F61BF"/>
    <w:rsid w:val="008040DD"/>
    <w:rsid w:val="008117E9"/>
    <w:rsid w:val="00824498"/>
    <w:rsid w:val="00826BD1"/>
    <w:rsid w:val="008272E9"/>
    <w:rsid w:val="00854D0B"/>
    <w:rsid w:val="00856A31"/>
    <w:rsid w:val="00860B4E"/>
    <w:rsid w:val="00867B37"/>
    <w:rsid w:val="00870D83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1B72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61C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FD2"/>
    <w:rsid w:val="00C7573B"/>
    <w:rsid w:val="00C97A54"/>
    <w:rsid w:val="00CA5B23"/>
    <w:rsid w:val="00CB602E"/>
    <w:rsid w:val="00CB7E90"/>
    <w:rsid w:val="00CC29C1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587F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6C75"/>
    <w:rsid w:val="00EE5E36"/>
    <w:rsid w:val="00EF2E3A"/>
    <w:rsid w:val="00F02C7C"/>
    <w:rsid w:val="00F072A7"/>
    <w:rsid w:val="00F078DC"/>
    <w:rsid w:val="00F14DB7"/>
    <w:rsid w:val="00F32BA8"/>
    <w:rsid w:val="00F32EE0"/>
    <w:rsid w:val="00F349F1"/>
    <w:rsid w:val="00F4350D"/>
    <w:rsid w:val="00F479C4"/>
    <w:rsid w:val="00F567F7"/>
    <w:rsid w:val="00F6696E"/>
    <w:rsid w:val="00F71236"/>
    <w:rsid w:val="00F73BD6"/>
    <w:rsid w:val="00F83989"/>
    <w:rsid w:val="00F85099"/>
    <w:rsid w:val="00F9379C"/>
    <w:rsid w:val="00F95F1F"/>
    <w:rsid w:val="00F9632C"/>
    <w:rsid w:val="00FA1E52"/>
    <w:rsid w:val="00FA3BF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773FCD"/>
  <w15:docId w15:val="{03AD95AD-620D-44A0-8CC5-ACA4DDC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C4BXBRVU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3DC4-8B7B-49BA-A0C7-A7E92372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8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Foster, Chris</cp:lastModifiedBy>
  <cp:revision>5</cp:revision>
  <cp:lastPrinted>2018-10-26T05:21:00Z</cp:lastPrinted>
  <dcterms:created xsi:type="dcterms:W3CDTF">2018-11-05T23:00:00Z</dcterms:created>
  <dcterms:modified xsi:type="dcterms:W3CDTF">2018-11-11T23:14:00Z</dcterms:modified>
</cp:coreProperties>
</file>